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4CB97" w14:textId="77777777" w:rsidR="00D700A4" w:rsidRPr="00D700A4" w:rsidRDefault="00D700A4" w:rsidP="00D700A4">
      <w:pPr>
        <w:rPr>
          <w:rFonts w:ascii="Verdana" w:hAnsi="Verdana" w:cs="Arial"/>
          <w:b/>
          <w:color w:val="000000" w:themeColor="text1"/>
          <w:lang w:val="es-ES_tradnl"/>
        </w:rPr>
      </w:pPr>
      <w:bookmarkStart w:id="0" w:name="_Hlk143780582"/>
      <w:r w:rsidRPr="00D700A4">
        <w:rPr>
          <w:rFonts w:ascii="Verdana" w:hAnsi="Verdana" w:cs="Arial"/>
          <w:b/>
          <w:color w:val="000000" w:themeColor="text1"/>
          <w:lang w:val="es-ES_tradnl"/>
        </w:rPr>
        <w:t xml:space="preserve">LEY DE GARANTÍAS ELECTORALES ‒ Finalidad </w:t>
      </w:r>
    </w:p>
    <w:p w14:paraId="1DF358A4" w14:textId="5FD38BFE" w:rsidR="00D700A4" w:rsidRDefault="00D700A4" w:rsidP="00D700A4">
      <w:pPr>
        <w:jc w:val="both"/>
        <w:rPr>
          <w:rFonts w:ascii="Verdana" w:hAnsi="Verdana" w:cs="Arial"/>
          <w:bCs/>
          <w:color w:val="000000" w:themeColor="text1"/>
          <w:lang w:val="es-ES_tradnl"/>
        </w:rPr>
      </w:pPr>
      <w:r>
        <w:rPr>
          <w:rFonts w:ascii="Verdana" w:eastAsia="Times New Roman" w:hAnsi="Verdana" w:cs="Arial"/>
          <w:lang w:val="es-MX" w:eastAsia="es-CO"/>
        </w:rPr>
        <w:t>L</w:t>
      </w:r>
      <w:r w:rsidRPr="00E2397D">
        <w:rPr>
          <w:rFonts w:ascii="Verdana" w:eastAsia="Times New Roman" w:hAnsi="Verdana" w:cs="Arial"/>
          <w:lang w:val="es-MX" w:eastAsia="es-CO"/>
        </w:rPr>
        <w:t>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Pr>
          <w:rFonts w:ascii="Verdana" w:eastAsia="Times New Roman" w:hAnsi="Verdana" w:cs="Arial"/>
          <w:lang w:val="es-MX" w:eastAsia="es-CO"/>
        </w:rPr>
        <w:t>.</w:t>
      </w:r>
    </w:p>
    <w:p w14:paraId="798F6B6F" w14:textId="51AE8B21" w:rsidR="00D700A4" w:rsidRDefault="00D700A4" w:rsidP="00D700A4">
      <w:pPr>
        <w:rPr>
          <w:rFonts w:ascii="Verdana" w:hAnsi="Verdana" w:cs="Arial"/>
          <w:b/>
          <w:color w:val="000000" w:themeColor="text1"/>
          <w:lang w:val="es-ES_tradnl"/>
        </w:rPr>
      </w:pPr>
      <w:r w:rsidRPr="00D700A4">
        <w:rPr>
          <w:rFonts w:ascii="Verdana" w:hAnsi="Verdana" w:cs="Arial"/>
          <w:b/>
          <w:color w:val="000000" w:themeColor="text1"/>
          <w:lang w:val="es-ES_tradnl"/>
        </w:rPr>
        <w:t>LEY DE GARANTÍAS ELECTORALES ‒ Tipos de restricciones – Convenios interadministrativos</w:t>
      </w:r>
    </w:p>
    <w:p w14:paraId="45153860" w14:textId="77777777" w:rsidR="00D700A4" w:rsidRDefault="00D700A4" w:rsidP="00D700A4">
      <w:pPr>
        <w:spacing w:after="120" w:line="276" w:lineRule="auto"/>
        <w:jc w:val="both"/>
        <w:rPr>
          <w:rFonts w:ascii="Verdana" w:eastAsia="Times New Roman" w:hAnsi="Verdana" w:cs="Arial"/>
          <w:lang w:val="es-MX" w:eastAsia="es-CO"/>
        </w:rPr>
      </w:pPr>
      <w:r w:rsidRPr="00E2397D">
        <w:rPr>
          <w:rFonts w:ascii="Verdana" w:eastAsia="Arial" w:hAnsi="Verdana" w:cs="Arial"/>
          <w:lang w:val="es-MX" w:eastAsia="es-ES" w:bidi="es-ES"/>
        </w:rPr>
        <w:t>De esta manera, s</w:t>
      </w:r>
      <w:proofErr w:type="spellStart"/>
      <w:r w:rsidRPr="00E2397D">
        <w:rPr>
          <w:rFonts w:ascii="Verdana" w:eastAsia="Times New Roman" w:hAnsi="Verdana" w:cs="Arial"/>
          <w:lang w:eastAsia="es-CO"/>
        </w:rPr>
        <w:t>e</w:t>
      </w:r>
      <w:proofErr w:type="spellEnd"/>
      <w:r w:rsidRPr="00E2397D">
        <w:rPr>
          <w:rFonts w:ascii="Verdana" w:eastAsia="Times New Roman" w:hAnsi="Verdana" w:cs="Arial"/>
          <w:lang w:eastAsia="es-CO"/>
        </w:rPr>
        <w:t xml:space="preserve"> observa entonces que </w:t>
      </w:r>
      <w:r w:rsidRPr="00E2397D">
        <w:rPr>
          <w:rFonts w:ascii="Verdana" w:eastAsia="Times New Roman" w:hAnsi="Verdana" w:cs="Arial"/>
          <w:lang w:val="es-MX" w:eastAsia="es-CO"/>
        </w:rPr>
        <w:t xml:space="preserve">el parágrafo del artículo 38 de la Ley 996 de 2005 prohíbe a los </w:t>
      </w:r>
      <w:proofErr w:type="gramStart"/>
      <w:r w:rsidRPr="00E2397D">
        <w:rPr>
          <w:rFonts w:ascii="Verdana" w:eastAsia="Times New Roman" w:hAnsi="Verdana" w:cs="Arial"/>
          <w:lang w:val="es-MX" w:eastAsia="es-CO"/>
        </w:rPr>
        <w:t>Alcaldes</w:t>
      </w:r>
      <w:proofErr w:type="gramEnd"/>
      <w:r w:rsidRPr="00E2397D">
        <w:rPr>
          <w:rFonts w:ascii="Verdana" w:eastAsia="Times New Roman" w:hAnsi="Verdana" w:cs="Arial"/>
          <w:lang w:val="es-MX" w:eastAsia="es-CO"/>
        </w:rPr>
        <w:t xml:space="preserve">, Gobernadores, Secretarios, Gerentes y Directores de las entidades </w:t>
      </w:r>
      <w:r>
        <w:rPr>
          <w:rFonts w:ascii="Verdana" w:eastAsia="Times New Roman" w:hAnsi="Verdana" w:cs="Arial"/>
          <w:lang w:val="es-MX" w:eastAsia="es-CO"/>
        </w:rPr>
        <w:t xml:space="preserve">descentralizadas </w:t>
      </w:r>
      <w:r w:rsidRPr="00E2397D">
        <w:rPr>
          <w:rFonts w:ascii="Verdana" w:eastAsia="Times New Roman" w:hAnsi="Verdana" w:cs="Arial"/>
          <w:lang w:val="es-MX" w:eastAsia="es-CO"/>
        </w:rPr>
        <w:t xml:space="preserve">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w:t>
      </w:r>
      <w:r>
        <w:rPr>
          <w:rFonts w:ascii="Verdana" w:eastAsia="Times New Roman" w:hAnsi="Verdana" w:cs="Arial"/>
          <w:lang w:val="es-MX" w:eastAsia="es-CO"/>
        </w:rPr>
        <w:t xml:space="preserve"> </w:t>
      </w:r>
      <w:r w:rsidRPr="00E2397D">
        <w:rPr>
          <w:rFonts w:ascii="Verdana" w:eastAsia="Times New Roman" w:hAnsi="Verdana" w:cs="Arial"/>
          <w:lang w:val="es-MX" w:eastAsia="es-CO"/>
        </w:rPr>
        <w:t xml:space="preserve">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5A20A233" w14:textId="77777777" w:rsidR="00D700A4" w:rsidRPr="00BC3A80" w:rsidRDefault="00D700A4" w:rsidP="00D700A4">
      <w:pPr>
        <w:spacing w:before="120" w:after="0" w:line="276" w:lineRule="auto"/>
        <w:jc w:val="both"/>
        <w:rPr>
          <w:rFonts w:ascii="Verdana" w:eastAsia="Times New Roman" w:hAnsi="Verdana" w:cs="Arial"/>
          <w:lang w:eastAsia="es-CO"/>
        </w:rPr>
      </w:pPr>
      <w:r w:rsidRPr="00BC3A80">
        <w:rPr>
          <w:rFonts w:ascii="Verdana" w:eastAsia="Times New Roman" w:hAnsi="Verdana" w:cs="Arial"/>
          <w:lang w:val="es-MX" w:eastAsia="es-CO"/>
        </w:rPr>
        <w:t xml:space="preserve">Respecto del alcance de esta prohibición la Circular Externa No. 006 de 2025 expedida por la ANCP -CCE, en los literales </w:t>
      </w:r>
      <w:proofErr w:type="spellStart"/>
      <w:r w:rsidRPr="00BC3A80">
        <w:rPr>
          <w:rFonts w:ascii="Verdana" w:eastAsia="Times New Roman" w:hAnsi="Verdana" w:cs="Arial"/>
          <w:lang w:val="es-MX" w:eastAsia="es-CO"/>
        </w:rPr>
        <w:t>ii</w:t>
      </w:r>
      <w:proofErr w:type="spellEnd"/>
      <w:r w:rsidRPr="00BC3A80">
        <w:rPr>
          <w:rFonts w:ascii="Verdana" w:eastAsia="Times New Roman" w:hAnsi="Verdana" w:cs="Arial"/>
          <w:lang w:val="es-MX" w:eastAsia="es-CO"/>
        </w:rPr>
        <w:t xml:space="preserve">) y </w:t>
      </w:r>
      <w:proofErr w:type="spellStart"/>
      <w:r w:rsidRPr="00BC3A80">
        <w:rPr>
          <w:rFonts w:ascii="Verdana" w:eastAsia="Times New Roman" w:hAnsi="Verdana" w:cs="Arial"/>
          <w:lang w:val="es-MX" w:eastAsia="es-CO"/>
        </w:rPr>
        <w:t>iv</w:t>
      </w:r>
      <w:proofErr w:type="spellEnd"/>
      <w:r w:rsidRPr="00BC3A80">
        <w:rPr>
          <w:rFonts w:ascii="Verdana" w:eastAsia="Times New Roman" w:hAnsi="Verdana" w:cs="Arial"/>
          <w:lang w:val="es-MX" w:eastAsia="es-CO"/>
        </w:rPr>
        <w:t>) del numeral 2</w:t>
      </w:r>
      <w:r w:rsidRPr="00BC3A80">
        <w:rPr>
          <w:rFonts w:ascii="Verdana" w:eastAsia="Times New Roman" w:hAnsi="Verdana" w:cs="Arial"/>
          <w:lang w:eastAsia="es-CO"/>
        </w:rPr>
        <w:t>,</w:t>
      </w:r>
      <w:r w:rsidRPr="00BC3A80">
        <w:rPr>
          <w:rFonts w:ascii="Verdana" w:eastAsia="Times New Roman" w:hAnsi="Verdana" w:cs="Arial"/>
          <w:lang w:val="es-MX" w:eastAsia="es-CO"/>
        </w:rPr>
        <w:t xml:space="preserve"> indica que el </w:t>
      </w:r>
      <w:r w:rsidRPr="00BC3A80">
        <w:rPr>
          <w:rFonts w:ascii="Verdana" w:eastAsia="Times New Roman" w:hAnsi="Verdana" w:cs="Arial"/>
          <w:lang w:eastAsia="es-CO"/>
        </w:rPr>
        <w:t xml:space="preserve">parágrafo del artículo 38 de la Ley 996 de 2005 cobija expresamente a los </w:t>
      </w:r>
      <w:r w:rsidRPr="00BC3A80">
        <w:rPr>
          <w:rFonts w:ascii="Verdana" w:eastAsia="Times New Roman" w:hAnsi="Verdana" w:cs="Arial"/>
          <w:i/>
          <w:iCs/>
          <w:lang w:eastAsia="es-CO"/>
        </w:rPr>
        <w:t>convenios interadministrativos</w:t>
      </w:r>
      <w:r w:rsidRPr="00BC3A80">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BC3A80">
        <w:rPr>
          <w:rFonts w:ascii="Verdana" w:eastAsia="Times New Roman" w:hAnsi="Verdana" w:cs="Arial"/>
          <w:i/>
          <w:iCs/>
          <w:lang w:eastAsia="es-CO"/>
        </w:rPr>
        <w:t>“aunque se configure alguno de los supuestos de excepción que señaló el inciso final del artículo 33”.</w:t>
      </w:r>
      <w:r w:rsidRPr="00BC3A80">
        <w:rPr>
          <w:rFonts w:ascii="Verdana" w:eastAsia="Times New Roman" w:hAnsi="Verdana" w:cs="Arial"/>
          <w:lang w:eastAsia="es-CO"/>
        </w:rPr>
        <w:t xml:space="preserve"> </w:t>
      </w:r>
    </w:p>
    <w:p w14:paraId="301C547F" w14:textId="77777777" w:rsidR="00D700A4" w:rsidRPr="00D700A4" w:rsidRDefault="00D700A4" w:rsidP="00D700A4">
      <w:pPr>
        <w:rPr>
          <w:rFonts w:ascii="Verdana" w:hAnsi="Verdana" w:cs="Arial"/>
          <w:b/>
          <w:color w:val="000000" w:themeColor="text1"/>
          <w:lang w:val="es-ES_tradnl"/>
        </w:rPr>
      </w:pPr>
    </w:p>
    <w:p w14:paraId="0E198A72" w14:textId="77777777" w:rsidR="00D700A4" w:rsidRDefault="00D700A4" w:rsidP="00D700A4">
      <w:pPr>
        <w:rPr>
          <w:rFonts w:ascii="Verdana" w:hAnsi="Verdana" w:cs="Arial"/>
          <w:bCs/>
          <w:color w:val="000000" w:themeColor="text1"/>
          <w:lang w:val="es-ES_tradnl"/>
        </w:rPr>
      </w:pPr>
    </w:p>
    <w:p w14:paraId="68896A42" w14:textId="77777777" w:rsidR="00D700A4" w:rsidRDefault="00D700A4" w:rsidP="00C15139">
      <w:pPr>
        <w:spacing w:after="0"/>
        <w:rPr>
          <w:rFonts w:ascii="Verdana" w:hAnsi="Verdana"/>
        </w:rPr>
      </w:pPr>
    </w:p>
    <w:p w14:paraId="74B36C45" w14:textId="77777777" w:rsidR="00D700A4" w:rsidRDefault="00D700A4" w:rsidP="00C15139">
      <w:pPr>
        <w:spacing w:after="0"/>
        <w:rPr>
          <w:rFonts w:ascii="Verdana" w:hAnsi="Verdana"/>
        </w:rPr>
      </w:pPr>
    </w:p>
    <w:p w14:paraId="1468C46D" w14:textId="4E2374A4" w:rsidR="00C15139" w:rsidRPr="0024624F" w:rsidRDefault="00F52E9E" w:rsidP="00C15139">
      <w:pPr>
        <w:spacing w:after="0"/>
        <w:rPr>
          <w:rFonts w:ascii="Verdana" w:hAnsi="Verdana"/>
        </w:rPr>
      </w:pPr>
      <w:r>
        <w:rPr>
          <w:rFonts w:ascii="Verdana" w:hAnsi="Verdana"/>
          <w:noProof/>
        </w:rPr>
        <w:lastRenderedPageBreak/>
        <w:drawing>
          <wp:anchor distT="0" distB="0" distL="114300" distR="114300" simplePos="0" relativeHeight="251658240" behindDoc="0" locked="0" layoutInCell="1" allowOverlap="1" wp14:anchorId="0EC83149" wp14:editId="2B1BDE4B">
            <wp:simplePos x="0" y="0"/>
            <wp:positionH relativeFrom="column">
              <wp:posOffset>2964367</wp:posOffset>
            </wp:positionH>
            <wp:positionV relativeFrom="paragraph">
              <wp:posOffset>93009</wp:posOffset>
            </wp:positionV>
            <wp:extent cx="2705100" cy="81915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705100" cy="819150"/>
                    </a:xfrm>
                    <a:prstGeom prst="rect">
                      <a:avLst/>
                    </a:prstGeom>
                  </pic:spPr>
                </pic:pic>
              </a:graphicData>
            </a:graphic>
            <wp14:sizeRelH relativeFrom="page">
              <wp14:pctWidth>0</wp14:pctWidth>
            </wp14:sizeRelH>
            <wp14:sizeRelV relativeFrom="page">
              <wp14:pctHeight>0</wp14:pctHeight>
            </wp14:sizeRelV>
          </wp:anchor>
        </w:drawing>
      </w:r>
      <w:r w:rsidR="00C15139" w:rsidRPr="0024624F">
        <w:rPr>
          <w:rFonts w:ascii="Verdana" w:hAnsi="Verdana"/>
        </w:rPr>
        <w:t xml:space="preserve">Bogotá D.C., </w:t>
      </w:r>
      <w:r>
        <w:rPr>
          <w:rFonts w:ascii="Verdana" w:hAnsi="Verdana"/>
        </w:rPr>
        <w:t xml:space="preserve">03 </w:t>
      </w:r>
      <w:proofErr w:type="gramStart"/>
      <w:r>
        <w:rPr>
          <w:rFonts w:ascii="Verdana" w:hAnsi="Verdana"/>
        </w:rPr>
        <w:t>Diciembre</w:t>
      </w:r>
      <w:proofErr w:type="gramEnd"/>
      <w:r>
        <w:rPr>
          <w:rFonts w:ascii="Verdana" w:hAnsi="Verdana"/>
        </w:rPr>
        <w:t xml:space="preserve"> 2025</w:t>
      </w:r>
      <w:r w:rsidR="00C15139" w:rsidRPr="000E2B93">
        <w:rPr>
          <w:rFonts w:ascii="Verdana" w:hAnsi="Verdana"/>
        </w:rPr>
        <w:tab/>
      </w:r>
      <w:r w:rsidR="00C15139" w:rsidRPr="000E2B93">
        <w:rPr>
          <w:rFonts w:ascii="Verdana" w:hAnsi="Verdana"/>
        </w:rPr>
        <w:br/>
      </w:r>
      <w:r w:rsidR="00C15139" w:rsidRPr="0024624F">
        <w:rPr>
          <w:rFonts w:ascii="Verdana" w:hAnsi="Verdana"/>
        </w:rPr>
        <w:tab/>
      </w:r>
    </w:p>
    <w:p w14:paraId="77670A5A" w14:textId="77777777" w:rsidR="004A51DE" w:rsidRPr="0051487B" w:rsidRDefault="004A51DE" w:rsidP="004A51DE">
      <w:pPr>
        <w:spacing w:after="0" w:line="240" w:lineRule="auto"/>
        <w:jc w:val="both"/>
        <w:rPr>
          <w:rFonts w:ascii="Verdana" w:eastAsia="Calibri" w:hAnsi="Verdana" w:cs="Arial"/>
          <w:lang w:val="de-DE" w:eastAsia="es-ES"/>
        </w:rPr>
      </w:pPr>
      <w:r w:rsidRPr="0051487B">
        <w:rPr>
          <w:rFonts w:ascii="Verdana" w:eastAsia="Calibri" w:hAnsi="Verdana" w:cs="Arial"/>
          <w:lang w:val="de-DE" w:eastAsia="es-ES"/>
        </w:rPr>
        <w:t>Señor</w:t>
      </w:r>
      <w:r>
        <w:rPr>
          <w:rFonts w:ascii="Verdana" w:eastAsia="Calibri" w:hAnsi="Verdana" w:cs="Arial"/>
          <w:lang w:val="de-DE" w:eastAsia="es-ES"/>
        </w:rPr>
        <w:t>a</w:t>
      </w:r>
    </w:p>
    <w:p w14:paraId="47050D37" w14:textId="77777777" w:rsidR="004A51DE" w:rsidRPr="0051487B" w:rsidRDefault="004A51DE" w:rsidP="004A51DE">
      <w:pPr>
        <w:spacing w:after="0" w:line="240" w:lineRule="auto"/>
        <w:rPr>
          <w:rFonts w:ascii="Verdana" w:eastAsia="Calibri" w:hAnsi="Verdana" w:cs="Arial"/>
          <w:b/>
          <w:lang w:val="de-DE" w:eastAsia="es-ES"/>
        </w:rPr>
      </w:pPr>
      <w:r>
        <w:rPr>
          <w:rFonts w:ascii="Verdana" w:eastAsia="Calibri" w:hAnsi="Verdana" w:cs="Arial"/>
          <w:b/>
          <w:lang w:val="de-DE" w:eastAsia="es-ES"/>
        </w:rPr>
        <w:t>Tania Alejandra Salgado Guerrero</w:t>
      </w:r>
    </w:p>
    <w:p w14:paraId="27D8CDD3" w14:textId="77777777" w:rsidR="004A51DE" w:rsidRPr="0051487B" w:rsidRDefault="00265FDE" w:rsidP="004A51DE">
      <w:pPr>
        <w:spacing w:after="0" w:line="240" w:lineRule="auto"/>
        <w:rPr>
          <w:rFonts w:ascii="Verdana" w:hAnsi="Verdana" w:cs="ArialMT"/>
          <w:lang w:val="de-DE"/>
        </w:rPr>
      </w:pPr>
      <w:hyperlink r:id="rId11" w:history="1">
        <w:r w:rsidR="004A51DE" w:rsidRPr="003A73E9">
          <w:rPr>
            <w:rStyle w:val="Hipervnculo"/>
            <w:rFonts w:ascii="Verdana" w:hAnsi="Verdana" w:cs="ArialMT"/>
            <w:lang w:val="de-DE"/>
          </w:rPr>
          <w:t>alejandra.salgado94@gmail.com</w:t>
        </w:r>
      </w:hyperlink>
      <w:r w:rsidR="004A51DE">
        <w:rPr>
          <w:rFonts w:ascii="Verdana" w:hAnsi="Verdana" w:cs="ArialMT"/>
          <w:lang w:val="de-DE"/>
        </w:rPr>
        <w:t xml:space="preserve"> </w:t>
      </w:r>
      <w:r w:rsidR="004A51DE" w:rsidRPr="0051487B">
        <w:rPr>
          <w:rFonts w:ascii="Verdana" w:hAnsi="Verdana" w:cs="ArialMT"/>
          <w:lang w:val="de-DE"/>
        </w:rPr>
        <w:t xml:space="preserve">   </w:t>
      </w:r>
    </w:p>
    <w:p w14:paraId="435CDF22" w14:textId="77777777" w:rsidR="004A51DE" w:rsidRPr="00C53B42" w:rsidRDefault="004A51DE" w:rsidP="004A51DE">
      <w:pPr>
        <w:spacing w:after="0" w:line="240" w:lineRule="auto"/>
        <w:rPr>
          <w:rFonts w:ascii="Verdana" w:hAnsi="Verdana" w:cs="ArialMT"/>
        </w:rPr>
      </w:pPr>
      <w:r>
        <w:rPr>
          <w:rFonts w:ascii="Verdana" w:eastAsia="Calibri" w:hAnsi="Verdana" w:cs="Arial"/>
          <w:lang w:val="es-ES" w:eastAsia="es-ES"/>
        </w:rPr>
        <w:t>Bogotá D.C.</w:t>
      </w:r>
    </w:p>
    <w:p w14:paraId="5CE90021" w14:textId="77777777" w:rsidR="004A51DE" w:rsidRPr="00C53B42" w:rsidRDefault="004A51DE" w:rsidP="004A51DE">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75"/>
        <w:gridCol w:w="6614"/>
      </w:tblGrid>
      <w:tr w:rsidR="004A51DE" w:rsidRPr="00C53B42" w14:paraId="45FD81C0" w14:textId="77777777" w:rsidTr="00F82976">
        <w:trPr>
          <w:trHeight w:val="218"/>
        </w:trPr>
        <w:tc>
          <w:tcPr>
            <w:tcW w:w="2175" w:type="dxa"/>
          </w:tcPr>
          <w:p w14:paraId="71B6D797" w14:textId="77777777" w:rsidR="004A51DE" w:rsidRPr="00C53B42" w:rsidRDefault="004A51DE" w:rsidP="00F82976">
            <w:pPr>
              <w:jc w:val="both"/>
              <w:rPr>
                <w:rFonts w:ascii="Verdana" w:eastAsia="Calibri" w:hAnsi="Verdana" w:cs="Arial"/>
                <w:b/>
                <w:bCs/>
                <w:color w:val="7030A0"/>
                <w:lang w:val="es-ES_tradnl" w:eastAsia="es-ES_tradnl"/>
              </w:rPr>
            </w:pPr>
          </w:p>
        </w:tc>
        <w:tc>
          <w:tcPr>
            <w:tcW w:w="6614" w:type="dxa"/>
            <w:hideMark/>
          </w:tcPr>
          <w:p w14:paraId="0E79A163" w14:textId="77777777" w:rsidR="004A51DE" w:rsidRDefault="004A51DE" w:rsidP="00F82976">
            <w:pPr>
              <w:jc w:val="both"/>
              <w:rPr>
                <w:rFonts w:ascii="Verdana" w:eastAsia="Calibri" w:hAnsi="Verdana" w:cs="Arial"/>
                <w:b/>
                <w:bCs/>
                <w:lang w:val="es-ES" w:eastAsia="es-ES"/>
              </w:rPr>
            </w:pPr>
            <w:r w:rsidRPr="00C53B42">
              <w:rPr>
                <w:rFonts w:ascii="Verdana" w:eastAsia="Calibri" w:hAnsi="Verdana" w:cs="Arial"/>
                <w:b/>
                <w:bCs/>
                <w:lang w:val="es-ES" w:eastAsia="es-ES"/>
              </w:rPr>
              <w:t>Concepto C-</w:t>
            </w:r>
            <w:r>
              <w:rPr>
                <w:rFonts w:ascii="Verdana" w:eastAsia="Calibri" w:hAnsi="Verdana" w:cs="Arial"/>
                <w:b/>
                <w:bCs/>
                <w:lang w:val="es-ES" w:eastAsia="es-ES"/>
              </w:rPr>
              <w:t>1589</w:t>
            </w:r>
            <w:r w:rsidRPr="00C53B42">
              <w:rPr>
                <w:rFonts w:ascii="Verdana" w:eastAsia="Calibri" w:hAnsi="Verdana" w:cs="Arial"/>
                <w:b/>
                <w:bCs/>
                <w:lang w:val="es-ES" w:eastAsia="es-ES"/>
              </w:rPr>
              <w:t xml:space="preserve"> de 2025</w:t>
            </w:r>
          </w:p>
          <w:p w14:paraId="6B310B3C" w14:textId="77777777" w:rsidR="004A51DE" w:rsidRPr="00C53B42" w:rsidRDefault="004A51DE" w:rsidP="00F82976">
            <w:pPr>
              <w:jc w:val="both"/>
              <w:rPr>
                <w:rFonts w:ascii="Verdana" w:eastAsia="Calibri" w:hAnsi="Verdana" w:cs="Arial"/>
                <w:b/>
                <w:bCs/>
                <w:lang w:val="es-ES" w:eastAsia="es-ES"/>
              </w:rPr>
            </w:pPr>
          </w:p>
          <w:p w14:paraId="5388E672" w14:textId="77777777" w:rsidR="004A51DE" w:rsidRPr="00C53B42" w:rsidRDefault="004A51DE" w:rsidP="00F82976">
            <w:pPr>
              <w:jc w:val="both"/>
              <w:rPr>
                <w:rFonts w:ascii="Verdana" w:eastAsia="Calibri" w:hAnsi="Verdana" w:cs="Arial"/>
                <w:b/>
                <w:bCs/>
                <w:lang w:val="es-ES" w:eastAsia="es-ES"/>
              </w:rPr>
            </w:pPr>
          </w:p>
        </w:tc>
      </w:tr>
      <w:tr w:rsidR="004A51DE" w:rsidRPr="00C53B42" w14:paraId="6C2A62F3" w14:textId="77777777" w:rsidTr="00F82976">
        <w:trPr>
          <w:trHeight w:val="884"/>
        </w:trPr>
        <w:tc>
          <w:tcPr>
            <w:tcW w:w="2175" w:type="dxa"/>
            <w:hideMark/>
          </w:tcPr>
          <w:p w14:paraId="29677087" w14:textId="77777777" w:rsidR="004A51DE" w:rsidRPr="00C53B42" w:rsidRDefault="004A51DE" w:rsidP="00F82976">
            <w:pPr>
              <w:jc w:val="both"/>
              <w:rPr>
                <w:rFonts w:ascii="Verdana" w:eastAsia="Calibri" w:hAnsi="Verdana" w:cs="Arial"/>
                <w:color w:val="000000"/>
                <w:lang w:val="es-ES_tradnl" w:eastAsia="es-ES_tradnl"/>
              </w:rPr>
            </w:pPr>
            <w:r w:rsidRPr="00C53B42">
              <w:rPr>
                <w:rFonts w:ascii="Verdana" w:eastAsia="Calibri" w:hAnsi="Verdana" w:cs="Arial"/>
                <w:b/>
                <w:color w:val="000000"/>
                <w:lang w:val="es-ES_tradnl" w:eastAsia="es-ES_tradnl"/>
              </w:rPr>
              <w:t>Temas:</w:t>
            </w:r>
            <w:r w:rsidRPr="00C53B42">
              <w:rPr>
                <w:rFonts w:ascii="Verdana" w:eastAsia="Calibri" w:hAnsi="Verdana" w:cs="Arial"/>
                <w:color w:val="000000"/>
                <w:lang w:val="es-ES_tradnl" w:eastAsia="es-ES_tradnl"/>
              </w:rPr>
              <w:t xml:space="preserve">                   </w:t>
            </w:r>
          </w:p>
        </w:tc>
        <w:tc>
          <w:tcPr>
            <w:tcW w:w="6614" w:type="dxa"/>
            <w:hideMark/>
          </w:tcPr>
          <w:p w14:paraId="0054B35A" w14:textId="77777777" w:rsidR="004A51DE" w:rsidRDefault="004A51DE" w:rsidP="00F82976">
            <w:pPr>
              <w:jc w:val="both"/>
              <w:rPr>
                <w:rFonts w:ascii="Verdana" w:hAnsi="Verdana" w:cs="Arial"/>
                <w:bCs/>
                <w:color w:val="000000" w:themeColor="text1"/>
                <w:lang w:val="es-ES_tradnl"/>
              </w:rPr>
            </w:pPr>
            <w:r w:rsidRPr="00C53B42">
              <w:rPr>
                <w:rFonts w:ascii="Verdana" w:hAnsi="Verdana" w:cs="Arial"/>
                <w:bCs/>
                <w:color w:val="000000" w:themeColor="text1"/>
                <w:lang w:val="es-ES_tradnl"/>
              </w:rPr>
              <w:t xml:space="preserve">LEY DE </w:t>
            </w:r>
            <w:r w:rsidRPr="00430973">
              <w:rPr>
                <w:rFonts w:ascii="Verdana" w:hAnsi="Verdana" w:cs="Arial"/>
                <w:bCs/>
                <w:color w:val="000000" w:themeColor="text1"/>
                <w:lang w:val="es-ES_tradnl"/>
              </w:rPr>
              <w:t>GARANTÍAS ELECTORALES ‒ Finalidad / LEY DE GARANTÍAS ELECTORALES ‒ Tipos de restricciones – Convenios interadministrativos</w:t>
            </w:r>
          </w:p>
          <w:p w14:paraId="4C714209" w14:textId="77777777" w:rsidR="004A51DE" w:rsidRDefault="004A51DE" w:rsidP="00F82976">
            <w:pPr>
              <w:jc w:val="both"/>
              <w:rPr>
                <w:rFonts w:ascii="Verdana" w:hAnsi="Verdana" w:cs="Arial"/>
                <w:bCs/>
                <w:color w:val="000000" w:themeColor="text1"/>
                <w:lang w:val="es-ES_tradnl"/>
              </w:rPr>
            </w:pPr>
          </w:p>
          <w:p w14:paraId="2FFF31E8" w14:textId="77777777" w:rsidR="004A51DE" w:rsidRPr="00C53B42" w:rsidRDefault="004A51DE" w:rsidP="00F82976">
            <w:pPr>
              <w:jc w:val="both"/>
              <w:rPr>
                <w:rFonts w:ascii="Verdana" w:eastAsia="Calibri" w:hAnsi="Verdana" w:cs="Arial"/>
                <w:lang w:val="es-ES" w:eastAsia="es-ES"/>
              </w:rPr>
            </w:pPr>
          </w:p>
        </w:tc>
      </w:tr>
      <w:tr w:rsidR="004A51DE" w14:paraId="6DC344F9" w14:textId="77777777" w:rsidTr="00F82976">
        <w:trPr>
          <w:trHeight w:val="360"/>
        </w:trPr>
        <w:tc>
          <w:tcPr>
            <w:tcW w:w="2175" w:type="dxa"/>
            <w:hideMark/>
          </w:tcPr>
          <w:p w14:paraId="31230408" w14:textId="77777777" w:rsidR="004A51DE" w:rsidRPr="00C53B42" w:rsidRDefault="004A51DE" w:rsidP="00F82976">
            <w:pPr>
              <w:jc w:val="both"/>
              <w:rPr>
                <w:rFonts w:ascii="Verdana" w:eastAsia="Calibri" w:hAnsi="Verdana" w:cs="Arial"/>
                <w:b/>
                <w:color w:val="7030A0"/>
                <w:lang w:val="es-ES_tradnl" w:eastAsia="es-ES_tradnl"/>
              </w:rPr>
            </w:pPr>
            <w:r w:rsidRPr="00C53B42">
              <w:rPr>
                <w:rFonts w:ascii="Verdana" w:eastAsia="Calibri" w:hAnsi="Verdana" w:cs="Arial"/>
                <w:b/>
                <w:lang w:val="es-ES_tradnl" w:eastAsia="es-ES_tradnl"/>
              </w:rPr>
              <w:t>Radicación:</w:t>
            </w:r>
            <w:r w:rsidRPr="00C53B42">
              <w:rPr>
                <w:rFonts w:ascii="Verdana" w:eastAsia="Calibri" w:hAnsi="Verdana" w:cs="Arial"/>
                <w:lang w:val="es-ES_tradnl" w:eastAsia="es-ES_tradnl"/>
              </w:rPr>
              <w:t xml:space="preserve">               </w:t>
            </w:r>
          </w:p>
        </w:tc>
        <w:tc>
          <w:tcPr>
            <w:tcW w:w="6614" w:type="dxa"/>
          </w:tcPr>
          <w:p w14:paraId="275E7535" w14:textId="77777777" w:rsidR="004A51DE" w:rsidRPr="00C53B42" w:rsidRDefault="004A51DE" w:rsidP="00F82976">
            <w:pPr>
              <w:jc w:val="both"/>
              <w:rPr>
                <w:rFonts w:ascii="Verdana" w:eastAsia="Calibri" w:hAnsi="Verdana" w:cs="Arial"/>
                <w:lang w:val="es-ES_tradnl" w:eastAsia="es-ES_tradnl"/>
              </w:rPr>
            </w:pPr>
            <w:r w:rsidRPr="00C53B42">
              <w:rPr>
                <w:rFonts w:ascii="Verdana" w:eastAsia="Calibri" w:hAnsi="Verdana" w:cs="Arial"/>
                <w:lang w:val="es-ES_tradnl" w:eastAsia="es-ES_tradnl"/>
              </w:rPr>
              <w:t>Respuesta a consulta con radicado No.</w:t>
            </w:r>
            <w:r>
              <w:rPr>
                <w:rFonts w:ascii="Verdana" w:eastAsia="Calibri" w:hAnsi="Verdana" w:cs="Arial"/>
                <w:lang w:val="es-ES_tradnl" w:eastAsia="es-ES_tradnl"/>
              </w:rPr>
              <w:t xml:space="preserve"> </w:t>
            </w:r>
            <w:r w:rsidRPr="005C237F">
              <w:rPr>
                <w:rFonts w:ascii="Verdana" w:eastAsia="Calibri" w:hAnsi="Verdana" w:cs="Arial"/>
                <w:lang w:val="es-ES_tradnl" w:eastAsia="es-ES_tradnl"/>
              </w:rPr>
              <w:t>1_2025_10_29_012162</w:t>
            </w:r>
          </w:p>
        </w:tc>
      </w:tr>
    </w:tbl>
    <w:p w14:paraId="7739F2AC" w14:textId="77777777" w:rsidR="004A51DE" w:rsidRDefault="004A51DE" w:rsidP="004A51DE">
      <w:pPr>
        <w:spacing w:after="0" w:line="240" w:lineRule="auto"/>
        <w:jc w:val="both"/>
        <w:rPr>
          <w:rFonts w:ascii="Verdana" w:eastAsia="Calibri" w:hAnsi="Verdana" w:cs="Arial"/>
          <w:color w:val="000000"/>
          <w:lang w:val="es-ES_tradnl" w:eastAsia="es-ES_tradnl"/>
        </w:rPr>
      </w:pPr>
    </w:p>
    <w:p w14:paraId="051FB82F" w14:textId="77777777" w:rsidR="004A51DE" w:rsidRDefault="004A51DE" w:rsidP="004A51DE">
      <w:pPr>
        <w:spacing w:after="0" w:line="240" w:lineRule="auto"/>
        <w:jc w:val="both"/>
        <w:rPr>
          <w:rFonts w:ascii="Verdana" w:eastAsia="Calibri" w:hAnsi="Verdana" w:cs="Arial"/>
          <w:color w:val="000000"/>
          <w:lang w:val="es-ES_tradnl" w:eastAsia="es-ES_tradnl"/>
        </w:rPr>
      </w:pPr>
    </w:p>
    <w:p w14:paraId="2CE994C1" w14:textId="77777777" w:rsidR="004A51DE" w:rsidRDefault="004A51DE" w:rsidP="004A51DE">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Estimada señora Salgado,</w:t>
      </w:r>
    </w:p>
    <w:p w14:paraId="17FC7400" w14:textId="77777777" w:rsidR="004A51DE" w:rsidRDefault="004A51DE" w:rsidP="004A51DE">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AFAED34" w14:textId="77777777" w:rsidR="004A51DE" w:rsidRDefault="004A51DE" w:rsidP="004A51DE">
      <w:pPr>
        <w:spacing w:after="0" w:line="276" w:lineRule="auto"/>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su solicitud trasladada por la Contraloría General de la República el 29 de octubre de 2025, en la cual manifiesta lo siguiente: </w:t>
      </w:r>
    </w:p>
    <w:p w14:paraId="176ACF7E" w14:textId="77777777" w:rsidR="004A51DE" w:rsidRDefault="004A51DE" w:rsidP="004A51D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7A6C1F4" w14:textId="77777777" w:rsidR="004A51DE" w:rsidRDefault="004A51DE" w:rsidP="004A51DE">
      <w:pPr>
        <w:autoSpaceDE w:val="0"/>
        <w:autoSpaceDN w:val="0"/>
        <w:adjustRightInd w:val="0"/>
        <w:spacing w:after="0" w:line="240" w:lineRule="auto"/>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lang w:val="es-ES"/>
        </w:rPr>
        <w:t>“</w:t>
      </w:r>
      <w:r w:rsidRPr="00394C3C">
        <w:rPr>
          <w:rFonts w:ascii="Verdana" w:eastAsia="Century Gothic" w:hAnsi="Verdana" w:cs="Century Gothic"/>
          <w:sz w:val="20"/>
          <w:szCs w:val="20"/>
          <w:lang w:val="es-ES"/>
        </w:rPr>
        <w:t>Se solicita orientación sobre la correcta aplicación del parágrafo del artículo 38 de la Ley 996 de 2005 respecto a la suscripción de instrumentos interadministrativos que implican ejecución de recursos públicos durante la vigencia de las restricciones preelectorales. En particular, se requiere precisar si la prohibición aplica únicamente a los convenios interadministrativos o también a los contratos interadministrativos suscritos por contratación directa. Un Municipio proyecta: (i) un convenio (interadministrativo) con la ESP para la transferencia de subsidios, (</w:t>
      </w:r>
      <w:proofErr w:type="spellStart"/>
      <w:r w:rsidRPr="00394C3C">
        <w:rPr>
          <w:rFonts w:ascii="Verdana" w:eastAsia="Century Gothic" w:hAnsi="Verdana" w:cs="Century Gothic"/>
          <w:sz w:val="20"/>
          <w:szCs w:val="20"/>
          <w:lang w:val="es-ES"/>
        </w:rPr>
        <w:t>ii</w:t>
      </w:r>
      <w:proofErr w:type="spellEnd"/>
      <w:r w:rsidRPr="00394C3C">
        <w:rPr>
          <w:rFonts w:ascii="Verdana" w:eastAsia="Century Gothic" w:hAnsi="Verdana" w:cs="Century Gothic"/>
          <w:sz w:val="20"/>
          <w:szCs w:val="20"/>
          <w:lang w:val="es-ES"/>
        </w:rPr>
        <w:t>) un contrato interadministrativo con la ESP para el mantenimiento de zonas verdes y (</w:t>
      </w:r>
      <w:proofErr w:type="spellStart"/>
      <w:r w:rsidRPr="00394C3C">
        <w:rPr>
          <w:rFonts w:ascii="Verdana" w:eastAsia="Century Gothic" w:hAnsi="Verdana" w:cs="Century Gothic"/>
          <w:sz w:val="20"/>
          <w:szCs w:val="20"/>
          <w:lang w:val="es-ES"/>
        </w:rPr>
        <w:t>iii</w:t>
      </w:r>
      <w:proofErr w:type="spellEnd"/>
      <w:r w:rsidRPr="00394C3C">
        <w:rPr>
          <w:rFonts w:ascii="Verdana" w:eastAsia="Century Gothic" w:hAnsi="Verdana" w:cs="Century Gothic"/>
          <w:sz w:val="20"/>
          <w:szCs w:val="20"/>
          <w:lang w:val="es-ES"/>
        </w:rPr>
        <w:t>) un contrato interadministrativo con la ESE para la ejecución del PIC. Se solicita conceptear si dichos instrumentos pueden celebrarse después del 8 de noviembre de 2025, atendiendo el Auto Consejo de Estado</w:t>
      </w:r>
      <w:r w:rsidRPr="007A5855">
        <w:rPr>
          <w:rFonts w:ascii="Verdana" w:eastAsia="Century Gothic" w:hAnsi="Verdana" w:cs="Century Gothic"/>
          <w:sz w:val="20"/>
          <w:szCs w:val="20"/>
          <w:lang w:val="es-ES"/>
        </w:rPr>
        <w:t>.</w:t>
      </w:r>
      <w:r>
        <w:rPr>
          <w:rFonts w:ascii="Verdana" w:eastAsia="Century Gothic" w:hAnsi="Verdana" w:cs="Century Gothic"/>
          <w:sz w:val="20"/>
          <w:szCs w:val="20"/>
          <w:lang w:val="es-ES"/>
        </w:rPr>
        <w:t>”</w:t>
      </w:r>
    </w:p>
    <w:p w14:paraId="536B9BC9" w14:textId="77777777" w:rsidR="004A51DE" w:rsidRPr="00924340" w:rsidRDefault="004A51DE" w:rsidP="004A51DE">
      <w:pPr>
        <w:autoSpaceDE w:val="0"/>
        <w:autoSpaceDN w:val="0"/>
        <w:adjustRightInd w:val="0"/>
        <w:spacing w:after="0" w:line="276" w:lineRule="auto"/>
        <w:ind w:left="851" w:right="616"/>
        <w:jc w:val="both"/>
        <w:rPr>
          <w:rFonts w:ascii="Verdana" w:eastAsia="Century Gothic" w:hAnsi="Verdana" w:cs="Century Gothic"/>
          <w:b/>
        </w:rPr>
      </w:pPr>
    </w:p>
    <w:p w14:paraId="62444875" w14:textId="77777777" w:rsidR="004A51DE" w:rsidRDefault="004A51DE" w:rsidP="004A51DE">
      <w:pPr>
        <w:spacing w:after="120" w:line="276" w:lineRule="auto"/>
        <w:ind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709C938E" w14:textId="77777777" w:rsidR="004A51DE" w:rsidRDefault="004A51DE" w:rsidP="004A51DE">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del caso en concreto planteado, pero señalando algunas consideraciones sobre las normas generales relacionadas con el</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41D5B3BC" w14:textId="77777777" w:rsidR="004A51DE" w:rsidRDefault="004A51DE" w:rsidP="004A51DE">
      <w:pPr>
        <w:spacing w:after="0" w:line="276" w:lineRule="auto"/>
        <w:ind w:firstLine="709"/>
        <w:jc w:val="both"/>
        <w:rPr>
          <w:rFonts w:ascii="Verdana" w:eastAsia="Calibri" w:hAnsi="Verdana" w:cs="Arial"/>
          <w:color w:val="000000"/>
          <w:lang w:val="es-ES" w:eastAsia="es-ES"/>
        </w:rPr>
      </w:pPr>
    </w:p>
    <w:p w14:paraId="3E5D0498" w14:textId="77777777" w:rsidR="004A51DE" w:rsidRDefault="004A51DE" w:rsidP="004A51D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Problema planteado:</w:t>
      </w:r>
    </w:p>
    <w:p w14:paraId="11861822" w14:textId="77777777" w:rsidR="004A51DE" w:rsidRDefault="004A51DE" w:rsidP="004A51DE">
      <w:pPr>
        <w:tabs>
          <w:tab w:val="left" w:pos="426"/>
        </w:tabs>
        <w:spacing w:after="0" w:line="276" w:lineRule="auto"/>
        <w:jc w:val="both"/>
        <w:rPr>
          <w:rFonts w:ascii="Verdana" w:eastAsia="Century Gothic" w:hAnsi="Verdana" w:cs="Century Gothic"/>
          <w:lang w:val="es-ES"/>
        </w:rPr>
      </w:pPr>
    </w:p>
    <w:p w14:paraId="60588CD1" w14:textId="77777777" w:rsidR="004A51DE" w:rsidRDefault="004A51DE" w:rsidP="004A51DE">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su solicitud, esta Agencia resolverá el siguiente problema jurídico: </w:t>
      </w:r>
      <w:r w:rsidRPr="005649AA">
        <w:rPr>
          <w:rFonts w:ascii="Verdana" w:eastAsia="Century Gothic" w:hAnsi="Verdana" w:cs="Century Gothic"/>
        </w:rPr>
        <w:t>¿</w:t>
      </w:r>
      <w:r w:rsidRPr="004E1038">
        <w:rPr>
          <w:rFonts w:ascii="Verdana" w:eastAsia="Century Gothic" w:hAnsi="Verdana" w:cs="Century Gothic"/>
        </w:rPr>
        <w:t>la restricción contenida en el</w:t>
      </w:r>
      <w:r w:rsidRPr="004E1038">
        <w:rPr>
          <w:rFonts w:ascii="Verdana" w:eastAsia="Century Gothic" w:hAnsi="Verdana" w:cs="Century Gothic"/>
          <w:lang w:val="es-ES"/>
        </w:rPr>
        <w:t xml:space="preserve"> parágrafo del artículo 38 de la Ley 996 de 2005 aplica únicamente a convenios interadministrativos</w:t>
      </w:r>
      <w:r w:rsidRPr="004E1038">
        <w:rPr>
          <w:rFonts w:ascii="Verdana" w:eastAsia="Century Gothic" w:hAnsi="Verdana" w:cs="Century Gothic"/>
        </w:rPr>
        <w:t>?</w:t>
      </w:r>
    </w:p>
    <w:p w14:paraId="401F1E2B" w14:textId="77777777" w:rsidR="004A51DE" w:rsidRDefault="004A51DE" w:rsidP="004A51DE">
      <w:pPr>
        <w:spacing w:after="0" w:line="276" w:lineRule="auto"/>
        <w:jc w:val="both"/>
        <w:rPr>
          <w:rFonts w:ascii="Verdana" w:eastAsia="Calibri" w:hAnsi="Verdana" w:cs="Arial"/>
          <w:color w:val="7030A0"/>
          <w:lang w:val="es-ES"/>
        </w:rPr>
      </w:pPr>
    </w:p>
    <w:p w14:paraId="04D53536" w14:textId="77777777" w:rsidR="004A51DE" w:rsidRDefault="004A51DE" w:rsidP="004A51D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Respuesta:</w:t>
      </w:r>
    </w:p>
    <w:p w14:paraId="02670714" w14:textId="77777777" w:rsidR="004A51DE" w:rsidRDefault="004A51DE" w:rsidP="004A51D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A51DE" w:rsidRPr="00DE5508" w14:paraId="71B7B757" w14:textId="77777777" w:rsidTr="00F82976">
        <w:tc>
          <w:tcPr>
            <w:tcW w:w="8828" w:type="dxa"/>
            <w:tcBorders>
              <w:top w:val="dotted" w:sz="4" w:space="0" w:color="auto"/>
              <w:left w:val="dotted" w:sz="4" w:space="0" w:color="auto"/>
              <w:bottom w:val="dotted" w:sz="4" w:space="0" w:color="auto"/>
              <w:right w:val="dotted" w:sz="4" w:space="0" w:color="auto"/>
            </w:tcBorders>
          </w:tcPr>
          <w:p w14:paraId="45872F0E" w14:textId="77777777" w:rsidR="004A51DE" w:rsidRDefault="004A51DE" w:rsidP="00F82976">
            <w:pPr>
              <w:spacing w:after="120" w:line="276" w:lineRule="auto"/>
              <w:jc w:val="both"/>
              <w:rPr>
                <w:rFonts w:ascii="Verdana" w:eastAsia="Arial" w:hAnsi="Verdana" w:cs="Arial"/>
                <w:color w:val="000000"/>
              </w:rPr>
            </w:pPr>
            <w:r>
              <w:rPr>
                <w:rFonts w:ascii="Verdana" w:hAnsi="Verdana" w:cs="BCDHEE+Verdana"/>
                <w:color w:val="000000"/>
              </w:rPr>
              <w:t xml:space="preserve">El parágrafo del artículo 38 de la Ley 996 de 2005 </w:t>
            </w:r>
            <w:r w:rsidRPr="00DE5508">
              <w:rPr>
                <w:rFonts w:ascii="Verdana" w:hAnsi="Verdana" w:cs="BCDHEE+Verdana"/>
                <w:color w:val="000000"/>
              </w:rPr>
              <w:t xml:space="preserve">prohíbe a los gobernadores, alcaldes municipales o distritales, secretarios, gerentes y directores de entidades descentralizadas del orden municipal, departamental o distrital </w:t>
            </w:r>
            <w:r w:rsidRPr="007A3B8C">
              <w:rPr>
                <w:rFonts w:ascii="Verdana" w:eastAsia="Arial" w:hAnsi="Verdana" w:cs="Arial"/>
                <w:color w:val="000000"/>
              </w:rPr>
              <w:t>“[…]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Arial" w:hAnsi="Verdana" w:cs="Arial"/>
                <w:color w:val="000000"/>
              </w:rPr>
              <w:t xml:space="preserve"> </w:t>
            </w:r>
          </w:p>
          <w:p w14:paraId="6E250D0B" w14:textId="77777777" w:rsidR="004A51DE" w:rsidRDefault="004A51DE" w:rsidP="00F82976">
            <w:pPr>
              <w:spacing w:after="120" w:line="276" w:lineRule="auto"/>
              <w:ind w:firstLine="709"/>
              <w:jc w:val="both"/>
              <w:rPr>
                <w:rFonts w:ascii="Verdana" w:eastAsia="Times New Roman" w:hAnsi="Verdana" w:cs="Arial"/>
                <w:lang w:val="es-MX" w:eastAsia="es-CO"/>
              </w:rPr>
            </w:pPr>
            <w:r w:rsidRPr="00E2397D">
              <w:rPr>
                <w:rFonts w:ascii="Verdana" w:eastAsia="Arial" w:hAnsi="Verdana" w:cs="Arial"/>
                <w:lang w:val="es-MX" w:eastAsia="es-ES" w:bidi="es-ES"/>
              </w:rPr>
              <w:t>De esta manera, s</w:t>
            </w:r>
            <w:proofErr w:type="spellStart"/>
            <w:r w:rsidRPr="00E2397D">
              <w:rPr>
                <w:rFonts w:ascii="Verdana" w:eastAsia="Times New Roman" w:hAnsi="Verdana" w:cs="Arial"/>
                <w:lang w:eastAsia="es-CO"/>
              </w:rPr>
              <w:t>e</w:t>
            </w:r>
            <w:proofErr w:type="spellEnd"/>
            <w:r w:rsidRPr="00E2397D">
              <w:rPr>
                <w:rFonts w:ascii="Verdana" w:eastAsia="Times New Roman" w:hAnsi="Verdana" w:cs="Arial"/>
                <w:lang w:eastAsia="es-CO"/>
              </w:rPr>
              <w:t xml:space="preserve"> observa entonces que </w:t>
            </w:r>
            <w:r w:rsidRPr="00E2397D">
              <w:rPr>
                <w:rFonts w:ascii="Verdana" w:eastAsia="Times New Roman" w:hAnsi="Verdana" w:cs="Arial"/>
                <w:lang w:val="es-MX" w:eastAsia="es-CO"/>
              </w:rPr>
              <w:t xml:space="preserve">el parágrafo del artículo 38 de la Ley 996 de 2005 prohíbe a los </w:t>
            </w:r>
            <w:proofErr w:type="gramStart"/>
            <w:r w:rsidRPr="00E2397D">
              <w:rPr>
                <w:rFonts w:ascii="Verdana" w:eastAsia="Times New Roman" w:hAnsi="Verdana" w:cs="Arial"/>
                <w:lang w:val="es-MX" w:eastAsia="es-CO"/>
              </w:rPr>
              <w:t>Alcaldes</w:t>
            </w:r>
            <w:proofErr w:type="gramEnd"/>
            <w:r w:rsidRPr="00E2397D">
              <w:rPr>
                <w:rFonts w:ascii="Verdana" w:eastAsia="Times New Roman" w:hAnsi="Verdana" w:cs="Arial"/>
                <w:lang w:val="es-MX" w:eastAsia="es-CO"/>
              </w:rPr>
              <w:t xml:space="preserve">, Gobernadores, Secretarios, </w:t>
            </w:r>
            <w:r w:rsidRPr="00E2397D">
              <w:rPr>
                <w:rFonts w:ascii="Verdana" w:eastAsia="Times New Roman" w:hAnsi="Verdana" w:cs="Arial"/>
                <w:lang w:val="es-MX" w:eastAsia="es-CO"/>
              </w:rPr>
              <w:lastRenderedPageBreak/>
              <w:t xml:space="preserve">Gerentes y Directores de las entidades </w:t>
            </w:r>
            <w:r>
              <w:rPr>
                <w:rFonts w:ascii="Verdana" w:eastAsia="Times New Roman" w:hAnsi="Verdana" w:cs="Arial"/>
                <w:lang w:val="es-MX" w:eastAsia="es-CO"/>
              </w:rPr>
              <w:t xml:space="preserve">descentralizadas </w:t>
            </w:r>
            <w:r w:rsidRPr="00E2397D">
              <w:rPr>
                <w:rFonts w:ascii="Verdana" w:eastAsia="Times New Roman" w:hAnsi="Verdana" w:cs="Arial"/>
                <w:lang w:val="es-MX" w:eastAsia="es-CO"/>
              </w:rPr>
              <w:t xml:space="preserve">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w:t>
            </w:r>
            <w:r>
              <w:rPr>
                <w:rFonts w:ascii="Verdana" w:eastAsia="Times New Roman" w:hAnsi="Verdana" w:cs="Arial"/>
                <w:lang w:val="es-MX" w:eastAsia="es-CO"/>
              </w:rPr>
              <w:t xml:space="preserve"> </w:t>
            </w:r>
            <w:r w:rsidRPr="00E2397D">
              <w:rPr>
                <w:rFonts w:ascii="Verdana" w:eastAsia="Times New Roman" w:hAnsi="Verdana" w:cs="Arial"/>
                <w:lang w:val="es-MX" w:eastAsia="es-CO"/>
              </w:rPr>
              <w:t xml:space="preserve">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1E72517D" w14:textId="77777777" w:rsidR="004A51DE" w:rsidRDefault="004A51DE" w:rsidP="00F82976">
            <w:pPr>
              <w:spacing w:before="120" w:line="276" w:lineRule="auto"/>
              <w:ind w:firstLine="708"/>
              <w:jc w:val="both"/>
              <w:rPr>
                <w:rFonts w:ascii="Verdana" w:eastAsia="Times New Roman" w:hAnsi="Verdana" w:cs="Arial"/>
                <w:lang w:eastAsia="es-CO"/>
              </w:rPr>
            </w:pPr>
            <w:r w:rsidRPr="00BC3A80">
              <w:rPr>
                <w:rFonts w:ascii="Verdana" w:eastAsia="Times New Roman" w:hAnsi="Verdana" w:cs="Arial"/>
                <w:lang w:val="es-MX" w:eastAsia="es-CO"/>
              </w:rPr>
              <w:t xml:space="preserve">Respecto del alcance de esta prohibición la Circular Externa No. 006 de 2025 expedida por la ANCP -CCE, en los literales </w:t>
            </w:r>
            <w:proofErr w:type="spellStart"/>
            <w:r w:rsidRPr="00BC3A80">
              <w:rPr>
                <w:rFonts w:ascii="Verdana" w:eastAsia="Times New Roman" w:hAnsi="Verdana" w:cs="Arial"/>
                <w:lang w:val="es-MX" w:eastAsia="es-CO"/>
              </w:rPr>
              <w:t>ii</w:t>
            </w:r>
            <w:proofErr w:type="spellEnd"/>
            <w:r w:rsidRPr="00BC3A80">
              <w:rPr>
                <w:rFonts w:ascii="Verdana" w:eastAsia="Times New Roman" w:hAnsi="Verdana" w:cs="Arial"/>
                <w:lang w:val="es-MX" w:eastAsia="es-CO"/>
              </w:rPr>
              <w:t xml:space="preserve">) y </w:t>
            </w:r>
            <w:proofErr w:type="spellStart"/>
            <w:r w:rsidRPr="00BC3A80">
              <w:rPr>
                <w:rFonts w:ascii="Verdana" w:eastAsia="Times New Roman" w:hAnsi="Verdana" w:cs="Arial"/>
                <w:lang w:val="es-MX" w:eastAsia="es-CO"/>
              </w:rPr>
              <w:t>iv</w:t>
            </w:r>
            <w:proofErr w:type="spellEnd"/>
            <w:r w:rsidRPr="00BC3A80">
              <w:rPr>
                <w:rFonts w:ascii="Verdana" w:eastAsia="Times New Roman" w:hAnsi="Verdana" w:cs="Arial"/>
                <w:lang w:val="es-MX" w:eastAsia="es-CO"/>
              </w:rPr>
              <w:t>) del numeral 2</w:t>
            </w:r>
            <w:r w:rsidRPr="00BC3A80">
              <w:rPr>
                <w:rFonts w:ascii="Verdana" w:eastAsia="Times New Roman" w:hAnsi="Verdana" w:cs="Arial"/>
                <w:lang w:eastAsia="es-CO"/>
              </w:rPr>
              <w:t>,</w:t>
            </w:r>
            <w:r w:rsidRPr="00BC3A80">
              <w:rPr>
                <w:rFonts w:ascii="Verdana" w:eastAsia="Times New Roman" w:hAnsi="Verdana" w:cs="Arial"/>
                <w:lang w:val="es-MX" w:eastAsia="es-CO"/>
              </w:rPr>
              <w:t xml:space="preserve"> indica que el </w:t>
            </w:r>
            <w:r w:rsidRPr="00BC3A80">
              <w:rPr>
                <w:rFonts w:ascii="Verdana" w:eastAsia="Times New Roman" w:hAnsi="Verdana" w:cs="Arial"/>
                <w:lang w:eastAsia="es-CO"/>
              </w:rPr>
              <w:t xml:space="preserve">parágrafo del artículo 38 de la Ley 996 de 2005 cobija expresamente a los </w:t>
            </w:r>
            <w:r w:rsidRPr="00BC3A80">
              <w:rPr>
                <w:rFonts w:ascii="Verdana" w:eastAsia="Times New Roman" w:hAnsi="Verdana" w:cs="Arial"/>
                <w:i/>
                <w:iCs/>
                <w:lang w:eastAsia="es-CO"/>
              </w:rPr>
              <w:t>convenios interadministrativos</w:t>
            </w:r>
            <w:r w:rsidRPr="00BC3A80">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BC3A80">
              <w:rPr>
                <w:rFonts w:ascii="Verdana" w:eastAsia="Times New Roman" w:hAnsi="Verdana" w:cs="Arial"/>
                <w:i/>
                <w:iCs/>
                <w:lang w:eastAsia="es-CO"/>
              </w:rPr>
              <w:t>“aunque se configure alguno de los supuestos de excepción que señaló el inciso final del artículo 33”.</w:t>
            </w:r>
            <w:r w:rsidRPr="00BC3A80">
              <w:rPr>
                <w:rFonts w:ascii="Verdana" w:eastAsia="Times New Roman" w:hAnsi="Verdana" w:cs="Arial"/>
                <w:lang w:eastAsia="es-CO"/>
              </w:rPr>
              <w:t xml:space="preserve"> </w:t>
            </w:r>
          </w:p>
          <w:p w14:paraId="22ACF0DE" w14:textId="77777777" w:rsidR="004A51DE" w:rsidRPr="00BC3A80" w:rsidRDefault="004A51DE" w:rsidP="00F82976">
            <w:pPr>
              <w:spacing w:before="120" w:line="276" w:lineRule="auto"/>
              <w:ind w:firstLine="708"/>
              <w:jc w:val="both"/>
              <w:rPr>
                <w:rFonts w:ascii="Verdana" w:eastAsia="Times New Roman" w:hAnsi="Verdana" w:cs="Arial"/>
                <w:lang w:eastAsia="es-CO"/>
              </w:rPr>
            </w:pPr>
            <w:r w:rsidRPr="00BC3A80">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sidRPr="00BC3A80">
              <w:rPr>
                <w:rFonts w:ascii="Verdana" w:eastAsia="Times New Roman" w:hAnsi="Verdana" w:cs="Arial"/>
                <w:i/>
                <w:iCs/>
                <w:lang w:eastAsia="es-CO"/>
              </w:rPr>
              <w:t>convenios interadministrativos</w:t>
            </w:r>
            <w:r w:rsidRPr="00BC3A80">
              <w:rPr>
                <w:rFonts w:ascii="Verdana" w:eastAsia="Times New Roman" w:hAnsi="Verdana" w:cs="Arial"/>
                <w:lang w:eastAsia="es-CO"/>
              </w:rPr>
              <w:t xml:space="preserve"> en los que se contemple la </w:t>
            </w:r>
            <w:r w:rsidRPr="00BC3A80">
              <w:rPr>
                <w:rFonts w:ascii="Verdana" w:eastAsia="Times New Roman" w:hAnsi="Verdana" w:cs="Arial"/>
                <w:i/>
                <w:iCs/>
                <w:lang w:eastAsia="es-CO"/>
              </w:rPr>
              <w:t>ejecución de recursos públicos</w:t>
            </w:r>
            <w:r w:rsidRPr="00BC3A80">
              <w:rPr>
                <w:rFonts w:ascii="Verdana" w:eastAsia="Times New Roman" w:hAnsi="Verdana" w:cs="Arial"/>
                <w:lang w:eastAsia="es-CO"/>
              </w:rPr>
              <w:t xml:space="preserve">. Esto significa que la prohibición no resulta aplicable a </w:t>
            </w:r>
            <w:r w:rsidRPr="00BC3A80">
              <w:rPr>
                <w:rFonts w:ascii="Verdana" w:eastAsia="Times New Roman" w:hAnsi="Verdana" w:cs="Arial"/>
                <w:i/>
                <w:iCs/>
                <w:lang w:eastAsia="es-CO"/>
              </w:rPr>
              <w:t>convenios interadministrativos a título gratuito,</w:t>
            </w:r>
            <w:r w:rsidRPr="00BC3A80">
              <w:rPr>
                <w:rFonts w:ascii="Verdana" w:eastAsia="Times New Roman" w:hAnsi="Verdana" w:cs="Arial"/>
                <w:lang w:eastAsia="es-CO"/>
              </w:rPr>
              <w:t xml:space="preserve"> los cuales pueden celebrarse válidamente durante la vigencia de la mencionada restricción. </w:t>
            </w:r>
          </w:p>
          <w:p w14:paraId="5FA140ED" w14:textId="77777777" w:rsidR="004A51DE" w:rsidRDefault="004A51DE" w:rsidP="00F82976">
            <w:pPr>
              <w:spacing w:before="120" w:line="276" w:lineRule="auto"/>
              <w:ind w:firstLine="708"/>
              <w:jc w:val="both"/>
              <w:rPr>
                <w:rFonts w:ascii="Verdana" w:eastAsia="Arial" w:hAnsi="Verdana" w:cs="Arial"/>
                <w:color w:val="000000"/>
              </w:rPr>
            </w:pPr>
            <w:r>
              <w:rPr>
                <w:rFonts w:ascii="Verdana" w:eastAsia="Times New Roman" w:hAnsi="Verdana" w:cs="Arial"/>
                <w:lang w:eastAsia="es-CO"/>
              </w:rPr>
              <w:t xml:space="preserve">Por último, se resalta </w:t>
            </w:r>
            <w:proofErr w:type="gramStart"/>
            <w:r>
              <w:rPr>
                <w:rFonts w:ascii="Verdana" w:eastAsia="Times New Roman" w:hAnsi="Verdana" w:cs="Arial"/>
                <w:lang w:eastAsia="es-CO"/>
              </w:rPr>
              <w:t>que</w:t>
            </w:r>
            <w:proofErr w:type="gramEnd"/>
            <w:r>
              <w:rPr>
                <w:rFonts w:ascii="Verdana" w:eastAsia="Times New Roman" w:hAnsi="Verdana" w:cs="Arial"/>
                <w:lang w:eastAsia="es-CO"/>
              </w:rPr>
              <w:t xml:space="preserve"> a</w:t>
            </w:r>
            <w:r w:rsidRPr="00BC3A80">
              <w:rPr>
                <w:rFonts w:ascii="Verdana" w:eastAsia="Times New Roman" w:hAnsi="Verdana" w:cs="Arial"/>
                <w:lang w:eastAsia="es-CO"/>
              </w:rPr>
              <w:t xml:space="preserve"> la luz de lo expuesto por el Consejo de Estado en los autos del 4 de octubre de 2024 y 6 de noviembre de 2025,</w:t>
            </w:r>
            <w:r>
              <w:rPr>
                <w:rFonts w:ascii="Verdana" w:eastAsia="Times New Roman" w:hAnsi="Verdana" w:cs="Arial"/>
                <w:lang w:eastAsia="es-CO"/>
              </w:rPr>
              <w:t xml:space="preserve"> y en la Sentencia del 17 de octubre de 2025,</w:t>
            </w:r>
            <w:r w:rsidRPr="00BC3A80">
              <w:rPr>
                <w:rFonts w:ascii="Verdana" w:eastAsia="Times New Roman" w:hAnsi="Verdana" w:cs="Arial"/>
                <w:lang w:eastAsia="es-CO"/>
              </w:rPr>
              <w:t xml:space="preserve"> no resultaría aplicable la prohibición del parágrafo del artículo 38 de la Ley de Garantías Electorales a los </w:t>
            </w:r>
            <w:r w:rsidRPr="00BC3A80">
              <w:rPr>
                <w:rFonts w:ascii="Verdana" w:eastAsia="Times New Roman" w:hAnsi="Verdana" w:cs="Arial"/>
                <w:i/>
                <w:iCs/>
                <w:lang w:eastAsia="es-CO"/>
              </w:rPr>
              <w:t>contratos interadministrativos</w:t>
            </w:r>
            <w:r>
              <w:rPr>
                <w:rFonts w:ascii="Verdana" w:eastAsia="Times New Roman" w:hAnsi="Verdana" w:cs="Arial"/>
                <w:lang w:eastAsia="es-CO"/>
              </w:rPr>
              <w:t xml:space="preserve"> sino únicamente a los </w:t>
            </w:r>
            <w:r w:rsidRPr="002A503A">
              <w:rPr>
                <w:rFonts w:ascii="Verdana" w:eastAsia="Times New Roman" w:hAnsi="Verdana" w:cs="Arial"/>
                <w:i/>
                <w:iCs/>
                <w:lang w:eastAsia="es-CO"/>
              </w:rPr>
              <w:t>convenios interadministrativos</w:t>
            </w:r>
            <w:r>
              <w:rPr>
                <w:rFonts w:ascii="Verdana" w:eastAsia="Times New Roman" w:hAnsi="Verdana" w:cs="Arial"/>
                <w:lang w:eastAsia="es-CO"/>
              </w:rPr>
              <w:t>.</w:t>
            </w:r>
          </w:p>
          <w:p w14:paraId="48449A7D" w14:textId="77777777" w:rsidR="004A51DE" w:rsidRPr="00F2587B" w:rsidRDefault="004A51DE" w:rsidP="00F82976">
            <w:pPr>
              <w:spacing w:after="120" w:line="276" w:lineRule="auto"/>
              <w:ind w:firstLine="740"/>
              <w:jc w:val="both"/>
              <w:rPr>
                <w:rFonts w:ascii="Verdana" w:eastAsia="Arial" w:hAnsi="Verdana" w:cs="Arial"/>
                <w:color w:val="000000"/>
              </w:rPr>
            </w:pPr>
            <w:r>
              <w:rPr>
                <w:rFonts w:ascii="Verdana" w:hAnsi="Verdana" w:cs="BCDHEE+Verdana"/>
                <w:color w:val="000000"/>
              </w:rPr>
              <w:t>En cuanto a la fecha de inicio de la restricción p</w:t>
            </w:r>
            <w:r w:rsidRPr="00DE5508">
              <w:rPr>
                <w:rFonts w:ascii="Verdana" w:hAnsi="Verdana" w:cs="BCDHEE+Verdana"/>
                <w:color w:val="000000"/>
              </w:rPr>
              <w:t>ara las elecciones al Congreso de la República que serán el 8 de marzo de 2026,</w:t>
            </w:r>
            <w:r>
              <w:rPr>
                <w:rFonts w:ascii="Verdana" w:hAnsi="Verdana" w:cs="BCDHEE+Verdana"/>
                <w:color w:val="000000"/>
              </w:rPr>
              <w:t xml:space="preserve"> según calendario electoral fijado por </w:t>
            </w:r>
            <w:r w:rsidRPr="00DE5508">
              <w:rPr>
                <w:rFonts w:ascii="Verdana" w:hAnsi="Verdana" w:cs="BCDHEE+Verdana"/>
                <w:color w:val="000000"/>
              </w:rPr>
              <w:t>el Consejo Nacional Electoral mediante Resolución No. 2581 del 5 de marzo de 2025, de acuerdo con el artículo 38 de la Ley 996 de 2005,</w:t>
            </w:r>
            <w:r>
              <w:rPr>
                <w:rFonts w:ascii="Verdana" w:hAnsi="Verdana" w:cs="BCDHEE+Verdana"/>
                <w:color w:val="000000"/>
              </w:rPr>
              <w:t xml:space="preserve"> por lo cual la anterior restricción </w:t>
            </w:r>
            <w:r w:rsidRPr="00DE5508">
              <w:rPr>
                <w:rFonts w:ascii="Verdana" w:hAnsi="Verdana" w:cs="BCDHEE+Verdana"/>
                <w:color w:val="000000"/>
              </w:rPr>
              <w:t>inici</w:t>
            </w:r>
            <w:r>
              <w:rPr>
                <w:rFonts w:ascii="Verdana" w:hAnsi="Verdana" w:cs="BCDHEE+Verdana"/>
                <w:color w:val="000000"/>
              </w:rPr>
              <w:t>ó</w:t>
            </w:r>
            <w:r w:rsidRPr="00DE5508">
              <w:rPr>
                <w:rFonts w:ascii="Verdana" w:hAnsi="Verdana" w:cs="BCDHEE+Verdana"/>
                <w:color w:val="000000"/>
              </w:rPr>
              <w:t xml:space="preserve"> el 8 de noviembre de 2025, es decir, </w:t>
            </w:r>
            <w:r>
              <w:rPr>
                <w:rFonts w:ascii="Verdana" w:hAnsi="Verdana" w:cs="BCDHEE+Verdana"/>
                <w:color w:val="000000"/>
              </w:rPr>
              <w:t>cuatro</w:t>
            </w:r>
            <w:r w:rsidRPr="00DE5508">
              <w:rPr>
                <w:rFonts w:ascii="Verdana" w:hAnsi="Verdana" w:cs="BCDHEE+Verdana"/>
                <w:color w:val="000000"/>
              </w:rPr>
              <w:t xml:space="preserve"> </w:t>
            </w:r>
            <w:r>
              <w:rPr>
                <w:rFonts w:ascii="Verdana" w:hAnsi="Verdana" w:cs="BCDHEE+Verdana"/>
                <w:color w:val="000000"/>
              </w:rPr>
              <w:t>(</w:t>
            </w:r>
            <w:r w:rsidRPr="00DE5508">
              <w:rPr>
                <w:rFonts w:ascii="Verdana" w:hAnsi="Verdana" w:cs="BCDHEE+Verdana"/>
                <w:color w:val="000000"/>
              </w:rPr>
              <w:t>4</w:t>
            </w:r>
            <w:r>
              <w:rPr>
                <w:rFonts w:ascii="Verdana" w:hAnsi="Verdana" w:cs="BCDHEE+Verdana"/>
                <w:color w:val="000000"/>
              </w:rPr>
              <w:t>)</w:t>
            </w:r>
            <w:r w:rsidRPr="00DE5508">
              <w:rPr>
                <w:rFonts w:ascii="Verdana" w:hAnsi="Verdana" w:cs="BCDHEE+Verdana"/>
                <w:color w:val="000000"/>
              </w:rPr>
              <w:t xml:space="preserve"> meses antes de la fecha de las elecciones</w:t>
            </w:r>
            <w:r>
              <w:rPr>
                <w:rFonts w:ascii="Verdana" w:hAnsi="Verdana" w:cs="BCDHEE+Verdana"/>
                <w:color w:val="000000"/>
              </w:rPr>
              <w:t>.</w:t>
            </w:r>
          </w:p>
          <w:p w14:paraId="0AE797D0" w14:textId="77777777" w:rsidR="004A51DE" w:rsidRPr="00DE5508" w:rsidRDefault="004A51DE" w:rsidP="00F82976">
            <w:pPr>
              <w:spacing w:after="120" w:line="276" w:lineRule="auto"/>
              <w:ind w:firstLine="709"/>
              <w:jc w:val="both"/>
              <w:rPr>
                <w:rFonts w:ascii="Verdana" w:hAnsi="Verdana"/>
              </w:rPr>
            </w:pPr>
            <w:r>
              <w:rPr>
                <w:rFonts w:ascii="Verdana" w:hAnsi="Verdana" w:cs="BCDHEE+Verdana"/>
                <w:color w:val="000000"/>
              </w:rPr>
              <w:lastRenderedPageBreak/>
              <w:t xml:space="preserve"> </w:t>
            </w:r>
            <w:r w:rsidRPr="00DE5508">
              <w:rPr>
                <w:rFonts w:ascii="Verdana" w:hAnsi="Verdana"/>
              </w:rPr>
              <w:t>Dentro de este marco, corresponde a cada entidad pública, en ejercicio de su competencia y previa valoración de los elementos fácticos y jurídicos, así como de las disposiciones legales mencionadas, determinar su gestión contractual durante la aplicación de las restricciones de la Ley de Garantías Electorales.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300167F6" w14:textId="77777777" w:rsidR="004A51DE" w:rsidRPr="00DE5508" w:rsidRDefault="004A51DE" w:rsidP="004A51DE">
      <w:pPr>
        <w:tabs>
          <w:tab w:val="left" w:pos="142"/>
          <w:tab w:val="left" w:pos="284"/>
        </w:tabs>
        <w:spacing w:after="0" w:line="276" w:lineRule="auto"/>
        <w:jc w:val="both"/>
        <w:rPr>
          <w:rFonts w:ascii="Verdana" w:eastAsia="Century Gothic" w:hAnsi="Verdana" w:cs="Century Gothic"/>
          <w:b/>
          <w:bCs/>
          <w:lang w:val="es-ES"/>
        </w:rPr>
      </w:pPr>
    </w:p>
    <w:p w14:paraId="40FE1CD0" w14:textId="77777777" w:rsidR="004A51DE" w:rsidRDefault="004A51DE" w:rsidP="004A51D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Razones de la respuesta:</w:t>
      </w:r>
    </w:p>
    <w:p w14:paraId="6FA4263C" w14:textId="77777777" w:rsidR="004A51DE" w:rsidRDefault="004A51DE" w:rsidP="004A51DE">
      <w:pPr>
        <w:spacing w:after="0" w:line="276" w:lineRule="auto"/>
        <w:jc w:val="both"/>
        <w:rPr>
          <w:rFonts w:ascii="Verdana" w:eastAsia="Calibri" w:hAnsi="Verdana" w:cs="Arial"/>
          <w:color w:val="7030A0"/>
          <w:lang w:val="es-ES"/>
        </w:rPr>
      </w:pPr>
    </w:p>
    <w:p w14:paraId="075BC15D" w14:textId="77777777" w:rsidR="004A51DE" w:rsidRDefault="004A51DE" w:rsidP="004A51DE">
      <w:pPr>
        <w:spacing w:after="0" w:line="276" w:lineRule="auto"/>
        <w:jc w:val="both"/>
        <w:rPr>
          <w:rFonts w:ascii="Verdana" w:eastAsia="Calibri" w:hAnsi="Verdana" w:cs="Arial"/>
          <w:lang w:val="es-ES"/>
        </w:rPr>
      </w:pPr>
      <w:r>
        <w:rPr>
          <w:rFonts w:ascii="Verdana" w:eastAsia="Calibri" w:hAnsi="Verdana" w:cs="Arial"/>
          <w:lang w:val="es-ES"/>
        </w:rPr>
        <w:t xml:space="preserve">Lo anterior se sustenta en las siguientes consideraciones: </w:t>
      </w:r>
    </w:p>
    <w:p w14:paraId="6615C01C" w14:textId="77777777" w:rsidR="004A51DE" w:rsidRDefault="004A51DE" w:rsidP="004A51DE">
      <w:pPr>
        <w:widowControl w:val="0"/>
        <w:autoSpaceDE w:val="0"/>
        <w:autoSpaceDN w:val="0"/>
        <w:spacing w:after="0" w:line="276" w:lineRule="auto"/>
        <w:ind w:right="176"/>
        <w:jc w:val="both"/>
        <w:rPr>
          <w:rFonts w:ascii="Verdana" w:eastAsia="Calibri" w:hAnsi="Verdana" w:cs="Arial"/>
          <w:lang w:val="es-ES"/>
        </w:rPr>
      </w:pPr>
    </w:p>
    <w:p w14:paraId="6B77DC45" w14:textId="77777777" w:rsidR="004A51DE" w:rsidRDefault="004A51DE" w:rsidP="004A51DE">
      <w:pPr>
        <w:tabs>
          <w:tab w:val="left" w:pos="426"/>
        </w:tabs>
        <w:spacing w:after="120" w:line="276" w:lineRule="auto"/>
        <w:jc w:val="both"/>
        <w:rPr>
          <w:rFonts w:ascii="Verdana" w:eastAsia="Calibri" w:hAnsi="Verdana" w:cs="Arial"/>
          <w:lang w:val="es-ES_tradnl"/>
        </w:rPr>
      </w:pPr>
      <w:r>
        <w:rPr>
          <w:rFonts w:ascii="Verdana" w:eastAsia="Times New Roman" w:hAnsi="Verdana" w:cs="Arial"/>
          <w:lang w:val="es-MX" w:eastAsia="es-CO"/>
        </w:rPr>
        <w:t>L</w:t>
      </w:r>
      <w:r w:rsidRPr="00E2397D">
        <w:rPr>
          <w:rFonts w:ascii="Verdana" w:eastAsia="Times New Roman" w:hAnsi="Verdana" w:cs="Arial"/>
          <w:lang w:val="es-MX" w:eastAsia="es-CO"/>
        </w:rPr>
        <w:t>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1"/>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p>
    <w:p w14:paraId="704A24B2" w14:textId="77777777" w:rsidR="004A51DE" w:rsidRPr="006B14B5" w:rsidRDefault="004A51DE" w:rsidP="004A51DE">
      <w:pPr>
        <w:tabs>
          <w:tab w:val="left" w:pos="426"/>
        </w:tabs>
        <w:spacing w:after="0" w:line="276" w:lineRule="auto"/>
        <w:ind w:firstLine="709"/>
        <w:jc w:val="both"/>
        <w:rPr>
          <w:rFonts w:ascii="Verdana" w:eastAsia="Calibri" w:hAnsi="Verdana" w:cs="Arial"/>
          <w:lang w:val="es-ES_tradnl"/>
        </w:rPr>
      </w:pPr>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676EB493" w14:textId="77777777" w:rsidR="004A51DE" w:rsidRPr="00E2397D" w:rsidRDefault="004A51DE" w:rsidP="004A51DE">
      <w:pPr>
        <w:spacing w:after="0" w:line="276" w:lineRule="auto"/>
        <w:ind w:right="709"/>
        <w:contextualSpacing/>
        <w:jc w:val="both"/>
        <w:rPr>
          <w:rFonts w:ascii="Verdana" w:eastAsia="Times New Roman" w:hAnsi="Verdana" w:cs="Arial"/>
          <w:lang w:val="es-ES" w:eastAsia="es-CO"/>
        </w:rPr>
      </w:pPr>
    </w:p>
    <w:p w14:paraId="1D126B9B" w14:textId="77777777" w:rsidR="004A51DE" w:rsidRPr="00E2397D" w:rsidRDefault="004A51DE" w:rsidP="004A51DE">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66B6EAFA" w14:textId="77777777" w:rsidR="004A51DE" w:rsidRPr="00E2397D" w:rsidRDefault="004A51DE" w:rsidP="004A51DE">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12617893" w14:textId="77777777" w:rsidR="004A51DE" w:rsidRPr="00E2397D" w:rsidRDefault="004A51DE" w:rsidP="004A51DE">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 xml:space="preserve">Una ley de garantías electorales es una guía para el ejercicio equitativo y transparente de la democracia representativa. Un estatuto diseñado para </w:t>
      </w:r>
      <w:r w:rsidRPr="00E2397D">
        <w:rPr>
          <w:rFonts w:ascii="Verdana" w:eastAsia="Times New Roman" w:hAnsi="Verdana" w:cs="Arial"/>
          <w:sz w:val="20"/>
          <w:szCs w:val="20"/>
          <w:lang w:val="es-MX" w:eastAsia="es-CO"/>
        </w:rPr>
        <w:lastRenderedPageBreak/>
        <w:t>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2"/>
      </w:r>
    </w:p>
    <w:p w14:paraId="405B6DA1" w14:textId="77777777" w:rsidR="004A51DE" w:rsidRPr="00E2397D" w:rsidRDefault="004A51DE" w:rsidP="004A51DE">
      <w:pPr>
        <w:spacing w:after="0" w:line="276" w:lineRule="auto"/>
        <w:ind w:firstLine="709"/>
        <w:jc w:val="both"/>
        <w:rPr>
          <w:rFonts w:ascii="Verdana" w:eastAsia="Times New Roman" w:hAnsi="Verdana" w:cs="Arial"/>
          <w:lang w:val="es-MX" w:eastAsia="es-CO"/>
        </w:rPr>
      </w:pPr>
    </w:p>
    <w:p w14:paraId="0E89853E" w14:textId="77777777" w:rsidR="004A51DE" w:rsidRPr="00E2397D" w:rsidRDefault="004A51DE" w:rsidP="004A51DE">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4CC96780" w14:textId="77777777" w:rsidR="004A51DE" w:rsidRPr="00886C02" w:rsidRDefault="004A51DE" w:rsidP="004A51DE">
      <w:pPr>
        <w:spacing w:after="0" w:line="276" w:lineRule="auto"/>
        <w:ind w:firstLine="709"/>
        <w:jc w:val="both"/>
        <w:rPr>
          <w:rFonts w:ascii="Verdana" w:eastAsia="Times New Roman" w:hAnsi="Verdana" w:cs="Arial"/>
          <w:lang w:val="es-MX" w:eastAsia="es-CO"/>
        </w:rPr>
      </w:pPr>
    </w:p>
    <w:p w14:paraId="65947A61" w14:textId="77777777" w:rsidR="004A51DE" w:rsidRPr="00E2397D" w:rsidRDefault="004A51DE" w:rsidP="004A51DE">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E2397D">
        <w:rPr>
          <w:rFonts w:ascii="Verdana" w:eastAsia="Times New Roman" w:hAnsi="Verdana" w:cs="Arial"/>
          <w:sz w:val="20"/>
          <w:szCs w:val="20"/>
          <w:lang w:val="es-MX" w:eastAsia="es-CO"/>
        </w:rPr>
        <w:t>legis</w:t>
      </w:r>
      <w:proofErr w:type="spellEnd"/>
      <w:r w:rsidRPr="00E2397D">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0C27D620" w14:textId="77777777" w:rsidR="004A51DE" w:rsidRPr="00E2397D" w:rsidRDefault="004A51DE" w:rsidP="004A51DE">
      <w:pPr>
        <w:spacing w:after="0" w:line="240" w:lineRule="auto"/>
        <w:ind w:right="709"/>
        <w:contextualSpacing/>
        <w:jc w:val="both"/>
        <w:rPr>
          <w:rFonts w:ascii="Verdana" w:eastAsia="Times New Roman" w:hAnsi="Verdana" w:cs="Arial"/>
          <w:lang w:val="es-MX" w:eastAsia="es-CO"/>
        </w:rPr>
      </w:pPr>
    </w:p>
    <w:p w14:paraId="6F4E38E7" w14:textId="77777777" w:rsidR="004A51DE" w:rsidRPr="00E2397D" w:rsidRDefault="004A51DE" w:rsidP="004A51DE">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La jurisprudencia de la Corte Constitucional</w:t>
      </w:r>
      <w:r w:rsidRPr="00E2397D">
        <w:rPr>
          <w:rFonts w:ascii="Verdana" w:eastAsia="Times New Roman" w:hAnsi="Verdana" w:cs="Arial"/>
          <w:sz w:val="20"/>
          <w:szCs w:val="20"/>
          <w:vertAlign w:val="superscript"/>
          <w:lang w:val="es-MX" w:eastAsia="es-CO"/>
        </w:rPr>
        <w:footnoteReference w:id="3"/>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4"/>
      </w:r>
      <w:r w:rsidRPr="00E2397D">
        <w:rPr>
          <w:rFonts w:ascii="Verdana" w:eastAsia="Times New Roman" w:hAnsi="Verdana" w:cs="Arial"/>
          <w:sz w:val="20"/>
          <w:szCs w:val="20"/>
          <w:lang w:val="es-MX"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w:t>
      </w:r>
      <w:r w:rsidRPr="00E2397D">
        <w:rPr>
          <w:rFonts w:ascii="Verdana" w:eastAsia="Times New Roman" w:hAnsi="Verdana" w:cs="Arial"/>
          <w:sz w:val="20"/>
          <w:szCs w:val="20"/>
          <w:lang w:val="es-MX" w:eastAsia="es-CO"/>
        </w:rPr>
        <w:lastRenderedPageBreak/>
        <w:t>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5"/>
      </w:r>
      <w:r w:rsidRPr="00E2397D">
        <w:rPr>
          <w:rFonts w:ascii="Verdana" w:eastAsia="Times New Roman" w:hAnsi="Verdana" w:cs="Arial"/>
          <w:sz w:val="20"/>
          <w:szCs w:val="20"/>
          <w:lang w:val="es-MX" w:eastAsia="es-CO"/>
        </w:rPr>
        <w:t>.</w:t>
      </w:r>
    </w:p>
    <w:p w14:paraId="26E9E75C" w14:textId="77777777" w:rsidR="004A51DE" w:rsidRPr="00E2397D" w:rsidRDefault="004A51DE" w:rsidP="004A51DE">
      <w:pPr>
        <w:spacing w:after="0" w:line="276" w:lineRule="auto"/>
        <w:jc w:val="both"/>
        <w:rPr>
          <w:rFonts w:ascii="Verdana" w:eastAsia="Calibri" w:hAnsi="Verdana" w:cs="Arial"/>
          <w:bCs/>
          <w:lang w:val="es-ES_tradnl"/>
        </w:rPr>
      </w:pPr>
    </w:p>
    <w:p w14:paraId="765D8E8F" w14:textId="77777777" w:rsidR="004A51DE" w:rsidRPr="00B3605D" w:rsidRDefault="004A51DE" w:rsidP="004A51DE">
      <w:pPr>
        <w:spacing w:after="120" w:line="276" w:lineRule="auto"/>
        <w:ind w:firstLine="709"/>
        <w:jc w:val="both"/>
        <w:rPr>
          <w:rFonts w:ascii="Verdana" w:eastAsia="Arial" w:hAnsi="Verdana" w:cs="Arial"/>
          <w:lang w:val="es-ES" w:eastAsia="es-ES" w:bidi="es-ES"/>
        </w:rPr>
      </w:pPr>
      <w:r w:rsidRPr="00B3605D">
        <w:rPr>
          <w:rFonts w:ascii="Verdana" w:eastAsia="Times New Roman" w:hAnsi="Verdana" w:cs="Arial"/>
          <w:lang w:val="es-MX" w:eastAsia="es-CO"/>
        </w:rPr>
        <w:t>De</w:t>
      </w:r>
      <w:r w:rsidRPr="00B3605D">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7E32F17E" w14:textId="77777777" w:rsidR="004A51DE" w:rsidRPr="00D61E29" w:rsidRDefault="004A51DE" w:rsidP="004A51DE">
      <w:pPr>
        <w:spacing w:after="0" w:line="276" w:lineRule="auto"/>
        <w:ind w:firstLine="708"/>
        <w:jc w:val="both"/>
        <w:rPr>
          <w:rFonts w:ascii="Verdana" w:eastAsia="Times New Roman" w:hAnsi="Verdana" w:cs="Open Sans"/>
          <w:lang w:eastAsia="es-CO"/>
        </w:rPr>
      </w:pPr>
      <w:r>
        <w:rPr>
          <w:rFonts w:ascii="Verdana" w:eastAsia="Times New Roman" w:hAnsi="Verdana" w:cs="Open Sans"/>
          <w:iCs/>
          <w:lang w:val="es-ES" w:eastAsia="es-CO"/>
        </w:rPr>
        <w:t xml:space="preserve">Para resolver el problema jurídico de esta consulta, es necesario analizar </w:t>
      </w:r>
      <w:r w:rsidRPr="00D61E29">
        <w:rPr>
          <w:rFonts w:ascii="Verdana" w:eastAsia="Times New Roman" w:hAnsi="Verdana" w:cs="Open Sans"/>
          <w:lang w:eastAsia="es-CO"/>
        </w:rPr>
        <w:t xml:space="preserve">el parágrafo del artículo 38 </w:t>
      </w:r>
      <w:r>
        <w:rPr>
          <w:rFonts w:ascii="Verdana" w:eastAsia="Times New Roman" w:hAnsi="Verdana" w:cs="Open Sans"/>
          <w:lang w:eastAsia="es-CO"/>
        </w:rPr>
        <w:t xml:space="preserve">de la Ley de Garantía Electorales que </w:t>
      </w:r>
      <w:r w:rsidRPr="00D61E29">
        <w:rPr>
          <w:rFonts w:ascii="Verdana" w:eastAsia="Calibri" w:hAnsi="Verdana" w:cs="Arial"/>
        </w:rPr>
        <w:t>prevé una restricción, aplicable respecto de cualquier tipo de contienda electoral, como sigue:</w:t>
      </w:r>
    </w:p>
    <w:p w14:paraId="03675E32" w14:textId="77777777" w:rsidR="004A51DE" w:rsidRDefault="004A51DE" w:rsidP="004A51DE">
      <w:pPr>
        <w:pStyle w:val="NormalWeb"/>
        <w:spacing w:before="0" w:beforeAutospacing="0" w:after="0" w:afterAutospacing="0" w:line="276" w:lineRule="auto"/>
        <w:ind w:left="709" w:right="616"/>
        <w:jc w:val="both"/>
        <w:rPr>
          <w:rStyle w:val="baj"/>
          <w:rFonts w:ascii="Verdana" w:eastAsiaTheme="minorHAnsi" w:hAnsi="Verdana" w:cs="Open Sans"/>
          <w:b/>
          <w:sz w:val="20"/>
          <w:szCs w:val="20"/>
          <w:lang w:eastAsia="en-US"/>
        </w:rPr>
      </w:pPr>
    </w:p>
    <w:p w14:paraId="2F955B8A" w14:textId="77777777" w:rsidR="004A51DE" w:rsidRPr="00D61E29" w:rsidRDefault="004A51DE" w:rsidP="004A51DE">
      <w:pPr>
        <w:pStyle w:val="NormalWeb"/>
        <w:spacing w:before="0" w:beforeAutospacing="0" w:after="0" w:afterAutospacing="0"/>
        <w:ind w:left="709" w:right="709"/>
        <w:jc w:val="both"/>
        <w:rPr>
          <w:rFonts w:ascii="Verdana" w:hAnsi="Verdana" w:cs="Open Sans"/>
          <w:sz w:val="20"/>
          <w:szCs w:val="20"/>
        </w:rPr>
      </w:pPr>
      <w:r>
        <w:rPr>
          <w:rStyle w:val="baj"/>
          <w:rFonts w:ascii="Verdana" w:hAnsi="Verdana" w:cs="Open Sans"/>
          <w:b/>
          <w:bCs/>
          <w:sz w:val="20"/>
          <w:szCs w:val="20"/>
        </w:rPr>
        <w:t>“</w:t>
      </w:r>
      <w:r w:rsidRPr="00D61E29">
        <w:rPr>
          <w:rStyle w:val="baj"/>
          <w:rFonts w:ascii="Verdana" w:hAnsi="Verdana" w:cs="Open Sans"/>
          <w:b/>
          <w:bCs/>
          <w:sz w:val="20"/>
          <w:szCs w:val="20"/>
        </w:rPr>
        <w:t>PARÁGRAFO.</w:t>
      </w:r>
      <w:r w:rsidRPr="00D61E29">
        <w:rPr>
          <w:rFonts w:ascii="Verdana" w:hAnsi="Verdana" w:cs="Open Sans"/>
          <w:sz w:val="20"/>
          <w:szCs w:val="20"/>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0FE57987" w14:textId="77777777" w:rsidR="004A51DE" w:rsidRPr="00D61E29" w:rsidRDefault="004A51DE" w:rsidP="004A51DE">
      <w:pPr>
        <w:pStyle w:val="NormalWeb"/>
        <w:spacing w:before="0" w:beforeAutospacing="0" w:after="0" w:afterAutospacing="0"/>
        <w:ind w:left="709" w:right="709"/>
        <w:jc w:val="both"/>
        <w:rPr>
          <w:rFonts w:ascii="Verdana" w:hAnsi="Verdana" w:cs="Open Sans"/>
          <w:sz w:val="20"/>
          <w:szCs w:val="20"/>
        </w:rPr>
      </w:pPr>
    </w:p>
    <w:p w14:paraId="7173F2F4" w14:textId="77777777" w:rsidR="004A51DE" w:rsidRPr="00D61E29" w:rsidRDefault="004A51DE" w:rsidP="004A51DE">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Tampoco podrán inaugurar obras públicas o dar inicio a programas de carácter social en reuniones o eventos en los que participen candidatos a la Presidencia y Vicepresidencia de la República, el Congreso de la República, gobernaciones departamentales, asambleas departamentales, alcaldías y concejos municipales o distritales. Tampoco podrán hacerlo cuando participen voceros de los candidatos.</w:t>
      </w:r>
    </w:p>
    <w:p w14:paraId="083C5C5A" w14:textId="77777777" w:rsidR="004A51DE" w:rsidRDefault="004A51DE" w:rsidP="004A51DE">
      <w:pPr>
        <w:pStyle w:val="NormalWeb"/>
        <w:spacing w:before="0" w:beforeAutospacing="0" w:after="0" w:afterAutospacing="0"/>
        <w:ind w:left="709" w:right="709"/>
        <w:jc w:val="both"/>
        <w:rPr>
          <w:rFonts w:ascii="Verdana" w:hAnsi="Verdana" w:cs="Open Sans"/>
          <w:sz w:val="20"/>
          <w:szCs w:val="20"/>
        </w:rPr>
      </w:pPr>
    </w:p>
    <w:p w14:paraId="0EAF96C8" w14:textId="77777777" w:rsidR="004A51DE" w:rsidRPr="00D61E29" w:rsidRDefault="004A51DE" w:rsidP="004A51DE">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No podrán autorizar la utilización de inmuebles o bienes muebles de carácter público para actividades proselitistas, ni para facilitar el alojamiento, ni el transporte de electores de candidatos a cargos de elección popular. Tampoco podrán hacerlo cuando participen voceros de los candidatos.</w:t>
      </w:r>
    </w:p>
    <w:p w14:paraId="01381EF9" w14:textId="77777777" w:rsidR="004A51DE" w:rsidRDefault="004A51DE" w:rsidP="004A51DE">
      <w:pPr>
        <w:pStyle w:val="NormalWeb"/>
        <w:spacing w:before="0" w:beforeAutospacing="0" w:after="0" w:afterAutospacing="0"/>
        <w:ind w:left="709" w:right="709"/>
        <w:jc w:val="both"/>
        <w:rPr>
          <w:rFonts w:ascii="Verdana" w:hAnsi="Verdana" w:cs="Open Sans"/>
          <w:sz w:val="20"/>
          <w:szCs w:val="20"/>
        </w:rPr>
      </w:pPr>
    </w:p>
    <w:p w14:paraId="6108DF4B" w14:textId="77777777" w:rsidR="004A51DE" w:rsidRPr="00D61E29" w:rsidRDefault="004A51DE" w:rsidP="004A51DE">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lastRenderedPageBreak/>
        <w:t>La nómina del respectivo ente territorial o entidad no se podrá modificar dentro de los cuatro (4) meses anteriores a las elecciones a cargos de elección popular, salvo que se trate de provisión de cargos por faltas definitivas, con ocasión de muerte o renuncia irrevocable del cargo correspondiente debidamente aceptada, y en los casos de aplicación de las normas de carrera administrativa</w:t>
      </w:r>
      <w:r>
        <w:rPr>
          <w:rFonts w:ascii="Verdana" w:hAnsi="Verdana" w:cs="Open Sans"/>
          <w:sz w:val="20"/>
          <w:szCs w:val="20"/>
        </w:rPr>
        <w:t>”</w:t>
      </w:r>
      <w:r w:rsidRPr="00D61E29">
        <w:rPr>
          <w:rFonts w:ascii="Verdana" w:hAnsi="Verdana" w:cs="Open Sans"/>
          <w:sz w:val="20"/>
          <w:szCs w:val="20"/>
        </w:rPr>
        <w:t>.</w:t>
      </w:r>
    </w:p>
    <w:p w14:paraId="2C6B19DD" w14:textId="77777777" w:rsidR="004A51DE" w:rsidRDefault="004A51DE" w:rsidP="004A51DE">
      <w:pPr>
        <w:widowControl w:val="0"/>
        <w:autoSpaceDE w:val="0"/>
        <w:autoSpaceDN w:val="0"/>
        <w:spacing w:after="0" w:line="276" w:lineRule="auto"/>
        <w:ind w:right="113"/>
        <w:contextualSpacing/>
        <w:jc w:val="both"/>
      </w:pPr>
    </w:p>
    <w:p w14:paraId="23CBFB85" w14:textId="77777777" w:rsidR="004A51DE" w:rsidRDefault="004A51DE" w:rsidP="004A51DE">
      <w:pPr>
        <w:spacing w:after="120" w:line="276" w:lineRule="auto"/>
        <w:ind w:firstLine="709"/>
        <w:jc w:val="both"/>
        <w:rPr>
          <w:rFonts w:ascii="Verdana" w:eastAsia="Times New Roman" w:hAnsi="Verdana" w:cs="Arial"/>
          <w:lang w:val="es-MX" w:eastAsia="es-CO"/>
        </w:rPr>
      </w:pPr>
      <w:r w:rsidRPr="00E2397D">
        <w:rPr>
          <w:rFonts w:ascii="Verdana" w:eastAsia="Arial" w:hAnsi="Verdana" w:cs="Arial"/>
          <w:lang w:val="es-MX" w:eastAsia="es-ES" w:bidi="es-ES"/>
        </w:rPr>
        <w:t>De esta manera, s</w:t>
      </w:r>
      <w:proofErr w:type="spellStart"/>
      <w:r w:rsidRPr="00E2397D">
        <w:rPr>
          <w:rFonts w:ascii="Verdana" w:eastAsia="Times New Roman" w:hAnsi="Verdana" w:cs="Arial"/>
          <w:lang w:eastAsia="es-CO"/>
        </w:rPr>
        <w:t>e</w:t>
      </w:r>
      <w:proofErr w:type="spellEnd"/>
      <w:r w:rsidRPr="00E2397D">
        <w:rPr>
          <w:rFonts w:ascii="Verdana" w:eastAsia="Times New Roman" w:hAnsi="Verdana" w:cs="Arial"/>
          <w:lang w:eastAsia="es-CO"/>
        </w:rPr>
        <w:t xml:space="preserve"> observa entonces </w:t>
      </w:r>
      <w:bookmarkStart w:id="1" w:name="_Hlk207205098"/>
      <w:r w:rsidRPr="00E2397D">
        <w:rPr>
          <w:rFonts w:ascii="Verdana" w:eastAsia="Times New Roman" w:hAnsi="Verdana" w:cs="Arial"/>
          <w:lang w:eastAsia="es-CO"/>
        </w:rPr>
        <w:t xml:space="preserve">que </w:t>
      </w:r>
      <w:r w:rsidRPr="00E2397D">
        <w:rPr>
          <w:rFonts w:ascii="Verdana" w:eastAsia="Times New Roman" w:hAnsi="Verdana" w:cs="Arial"/>
          <w:lang w:val="es-MX" w:eastAsia="es-CO"/>
        </w:rPr>
        <w:t xml:space="preserve">el parágrafo del artículo 38 de la Ley 996 de 2005 prohíbe a los </w:t>
      </w:r>
      <w:proofErr w:type="gramStart"/>
      <w:r w:rsidRPr="00E2397D">
        <w:rPr>
          <w:rFonts w:ascii="Verdana" w:eastAsia="Times New Roman" w:hAnsi="Verdana" w:cs="Arial"/>
          <w:lang w:val="es-MX" w:eastAsia="es-CO"/>
        </w:rPr>
        <w:t>Alcaldes</w:t>
      </w:r>
      <w:proofErr w:type="gramEnd"/>
      <w:r w:rsidRPr="00E2397D">
        <w:rPr>
          <w:rFonts w:ascii="Verdana" w:eastAsia="Times New Roman" w:hAnsi="Verdana" w:cs="Arial"/>
          <w:lang w:val="es-MX" w:eastAsia="es-CO"/>
        </w:rPr>
        <w:t xml:space="preserve">, Gobernadores, Secretarios, Gerentes y Directores de las entidades </w:t>
      </w:r>
      <w:r>
        <w:rPr>
          <w:rFonts w:ascii="Verdana" w:eastAsia="Times New Roman" w:hAnsi="Verdana" w:cs="Arial"/>
          <w:lang w:val="es-MX" w:eastAsia="es-CO"/>
        </w:rPr>
        <w:t xml:space="preserve">descentralizadas </w:t>
      </w:r>
      <w:r w:rsidRPr="00E2397D">
        <w:rPr>
          <w:rFonts w:ascii="Verdana" w:eastAsia="Times New Roman" w:hAnsi="Verdana" w:cs="Arial"/>
          <w:lang w:val="es-MX" w:eastAsia="es-CO"/>
        </w:rPr>
        <w:t xml:space="preserve">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w:t>
      </w:r>
      <w:r>
        <w:rPr>
          <w:rFonts w:ascii="Verdana" w:eastAsia="Times New Roman" w:hAnsi="Verdana" w:cs="Arial"/>
          <w:lang w:val="es-MX" w:eastAsia="es-CO"/>
        </w:rPr>
        <w:t xml:space="preserve"> </w:t>
      </w:r>
      <w:r w:rsidRPr="00E2397D">
        <w:rPr>
          <w:rFonts w:ascii="Verdana" w:eastAsia="Times New Roman" w:hAnsi="Verdana" w:cs="Arial"/>
          <w:lang w:val="es-MX" w:eastAsia="es-CO"/>
        </w:rPr>
        <w:t xml:space="preserve">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bookmarkEnd w:id="1"/>
    </w:p>
    <w:p w14:paraId="637CD4B0" w14:textId="77777777" w:rsidR="004A51DE" w:rsidRPr="00BC3A80" w:rsidRDefault="004A51DE" w:rsidP="004A51DE">
      <w:pPr>
        <w:spacing w:before="120" w:after="0" w:line="276" w:lineRule="auto"/>
        <w:ind w:firstLine="708"/>
        <w:jc w:val="both"/>
        <w:rPr>
          <w:rFonts w:ascii="Verdana" w:eastAsia="Times New Roman" w:hAnsi="Verdana" w:cs="Arial"/>
          <w:lang w:eastAsia="es-CO"/>
        </w:rPr>
      </w:pPr>
      <w:r w:rsidRPr="00BC3A80">
        <w:rPr>
          <w:rFonts w:ascii="Verdana" w:eastAsia="Times New Roman" w:hAnsi="Verdana" w:cs="Arial"/>
          <w:lang w:val="es-MX" w:eastAsia="es-CO"/>
        </w:rPr>
        <w:t xml:space="preserve">Respecto del alcance de esta prohibición la Circular Externa No. 006 de 2025 expedida por la ANCP -CCE, en los literales </w:t>
      </w:r>
      <w:proofErr w:type="spellStart"/>
      <w:r w:rsidRPr="00BC3A80">
        <w:rPr>
          <w:rFonts w:ascii="Verdana" w:eastAsia="Times New Roman" w:hAnsi="Verdana" w:cs="Arial"/>
          <w:lang w:val="es-MX" w:eastAsia="es-CO"/>
        </w:rPr>
        <w:t>ii</w:t>
      </w:r>
      <w:proofErr w:type="spellEnd"/>
      <w:r w:rsidRPr="00BC3A80">
        <w:rPr>
          <w:rFonts w:ascii="Verdana" w:eastAsia="Times New Roman" w:hAnsi="Verdana" w:cs="Arial"/>
          <w:lang w:val="es-MX" w:eastAsia="es-CO"/>
        </w:rPr>
        <w:t xml:space="preserve">) y </w:t>
      </w:r>
      <w:proofErr w:type="spellStart"/>
      <w:r w:rsidRPr="00BC3A80">
        <w:rPr>
          <w:rFonts w:ascii="Verdana" w:eastAsia="Times New Roman" w:hAnsi="Verdana" w:cs="Arial"/>
          <w:lang w:val="es-MX" w:eastAsia="es-CO"/>
        </w:rPr>
        <w:t>iv</w:t>
      </w:r>
      <w:proofErr w:type="spellEnd"/>
      <w:r w:rsidRPr="00BC3A80">
        <w:rPr>
          <w:rFonts w:ascii="Verdana" w:eastAsia="Times New Roman" w:hAnsi="Verdana" w:cs="Arial"/>
          <w:lang w:val="es-MX" w:eastAsia="es-CO"/>
        </w:rPr>
        <w:t>) del numeral 2</w:t>
      </w:r>
      <w:r w:rsidRPr="00BC3A80">
        <w:rPr>
          <w:rFonts w:ascii="Verdana" w:eastAsia="Times New Roman" w:hAnsi="Verdana" w:cs="Arial"/>
          <w:lang w:eastAsia="es-CO"/>
        </w:rPr>
        <w:t>,</w:t>
      </w:r>
      <w:r w:rsidRPr="00BC3A80">
        <w:rPr>
          <w:rFonts w:ascii="Verdana" w:eastAsia="Times New Roman" w:hAnsi="Verdana" w:cs="Arial"/>
          <w:lang w:val="es-MX" w:eastAsia="es-CO"/>
        </w:rPr>
        <w:t xml:space="preserve"> indica que el </w:t>
      </w:r>
      <w:r w:rsidRPr="00BC3A80">
        <w:rPr>
          <w:rFonts w:ascii="Verdana" w:eastAsia="Times New Roman" w:hAnsi="Verdana" w:cs="Arial"/>
          <w:lang w:eastAsia="es-CO"/>
        </w:rPr>
        <w:t xml:space="preserve">parágrafo del artículo 38 de la Ley 996 de 2005 cobija expresamente a los </w:t>
      </w:r>
      <w:r w:rsidRPr="00BC3A80">
        <w:rPr>
          <w:rFonts w:ascii="Verdana" w:eastAsia="Times New Roman" w:hAnsi="Verdana" w:cs="Arial"/>
          <w:i/>
          <w:iCs/>
          <w:lang w:eastAsia="es-CO"/>
        </w:rPr>
        <w:t>convenios interadministrativos</w:t>
      </w:r>
      <w:r w:rsidRPr="00BC3A80">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BC3A80">
        <w:rPr>
          <w:rFonts w:ascii="Verdana" w:eastAsia="Times New Roman" w:hAnsi="Verdana" w:cs="Arial"/>
          <w:i/>
          <w:iCs/>
          <w:lang w:eastAsia="es-CO"/>
        </w:rPr>
        <w:t>“aunque se configure alguno de los supuestos de excepción que señaló el inciso final del artículo 33”.</w:t>
      </w:r>
      <w:r w:rsidRPr="00BC3A80">
        <w:rPr>
          <w:rFonts w:ascii="Verdana" w:eastAsia="Times New Roman" w:hAnsi="Verdana" w:cs="Arial"/>
          <w:lang w:eastAsia="es-CO"/>
        </w:rPr>
        <w:t xml:space="preserve"> </w:t>
      </w:r>
    </w:p>
    <w:p w14:paraId="46F846B1" w14:textId="77777777" w:rsidR="004A51DE" w:rsidRPr="00BC3A80" w:rsidRDefault="004A51DE" w:rsidP="004A51DE">
      <w:pPr>
        <w:spacing w:before="120" w:after="0" w:line="276" w:lineRule="auto"/>
        <w:ind w:firstLine="708"/>
        <w:jc w:val="both"/>
        <w:rPr>
          <w:rFonts w:ascii="Verdana" w:eastAsia="Times New Roman" w:hAnsi="Verdana" w:cs="Arial"/>
          <w:lang w:eastAsia="es-CO"/>
        </w:rPr>
      </w:pPr>
      <w:r w:rsidRPr="00BC3A80">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sidRPr="00BC3A80">
        <w:rPr>
          <w:rFonts w:ascii="Verdana" w:eastAsia="Times New Roman" w:hAnsi="Verdana" w:cs="Arial"/>
          <w:i/>
          <w:iCs/>
          <w:lang w:eastAsia="es-CO"/>
        </w:rPr>
        <w:t>convenios interadministrativos</w:t>
      </w:r>
      <w:r w:rsidRPr="00BC3A80">
        <w:rPr>
          <w:rFonts w:ascii="Verdana" w:eastAsia="Times New Roman" w:hAnsi="Verdana" w:cs="Arial"/>
          <w:lang w:eastAsia="es-CO"/>
        </w:rPr>
        <w:t xml:space="preserve"> en los que se contemple la </w:t>
      </w:r>
      <w:r w:rsidRPr="00BC3A80">
        <w:rPr>
          <w:rFonts w:ascii="Verdana" w:eastAsia="Times New Roman" w:hAnsi="Verdana" w:cs="Arial"/>
          <w:i/>
          <w:iCs/>
          <w:lang w:eastAsia="es-CO"/>
        </w:rPr>
        <w:t>ejecución de recursos públicos</w:t>
      </w:r>
      <w:r w:rsidRPr="00BC3A80">
        <w:rPr>
          <w:rFonts w:ascii="Verdana" w:eastAsia="Times New Roman" w:hAnsi="Verdana" w:cs="Arial"/>
          <w:lang w:eastAsia="es-CO"/>
        </w:rPr>
        <w:t xml:space="preserve">. Esto significa que la prohibición no resulta aplicable a </w:t>
      </w:r>
      <w:r w:rsidRPr="00BC3A80">
        <w:rPr>
          <w:rFonts w:ascii="Verdana" w:eastAsia="Times New Roman" w:hAnsi="Verdana" w:cs="Arial"/>
          <w:i/>
          <w:iCs/>
          <w:lang w:eastAsia="es-CO"/>
        </w:rPr>
        <w:t>convenios interadministrativos a título gratuito,</w:t>
      </w:r>
      <w:r w:rsidRPr="00BC3A80">
        <w:rPr>
          <w:rFonts w:ascii="Verdana" w:eastAsia="Times New Roman" w:hAnsi="Verdana" w:cs="Arial"/>
          <w:lang w:eastAsia="es-CO"/>
        </w:rPr>
        <w:t xml:space="preserve"> los cuales pueden celebrarse válidamente durante la vigencia de la mencionada restricción. </w:t>
      </w:r>
    </w:p>
    <w:p w14:paraId="3DBCDD93" w14:textId="77777777" w:rsidR="004A51DE" w:rsidRPr="00BC3A80" w:rsidRDefault="004A51DE" w:rsidP="004A51DE">
      <w:pPr>
        <w:spacing w:before="120" w:after="0" w:line="276" w:lineRule="auto"/>
        <w:ind w:firstLine="708"/>
        <w:jc w:val="both"/>
        <w:rPr>
          <w:rFonts w:ascii="Verdana" w:eastAsia="Times New Roman" w:hAnsi="Verdana" w:cs="Arial"/>
          <w:lang w:eastAsia="es-CO"/>
        </w:rPr>
      </w:pPr>
      <w:r w:rsidRPr="00BC3A80">
        <w:rPr>
          <w:rFonts w:ascii="Verdana" w:eastAsia="Times New Roman" w:hAnsi="Verdana" w:cs="Arial"/>
          <w:lang w:eastAsia="es-CO"/>
        </w:rPr>
        <w:t xml:space="preserve">De esta manera, conforme a lo dispuesto en la Circular referida, si se suscriben </w:t>
      </w:r>
      <w:r w:rsidRPr="00BC3A80">
        <w:rPr>
          <w:rFonts w:ascii="Verdana" w:eastAsia="Times New Roman" w:hAnsi="Verdana" w:cs="Arial"/>
          <w:i/>
          <w:iCs/>
          <w:lang w:eastAsia="es-CO"/>
        </w:rPr>
        <w:t>convenios interadministrativos para la ejecución de recursos públicos</w:t>
      </w:r>
      <w:r w:rsidRPr="00BC3A80">
        <w:rPr>
          <w:rFonts w:ascii="Verdana" w:eastAsia="Times New Roman" w:hAnsi="Verdana" w:cs="Arial"/>
          <w:lang w:eastAsia="es-CO"/>
        </w:rPr>
        <w:t xml:space="preserve"> por los alcaldes, gobernadores, secretarios, gerentes y directores de las entidades del orden municipal, departamental o distrital, aplicará la prohibición </w:t>
      </w:r>
      <w:r w:rsidRPr="00BC3A80">
        <w:rPr>
          <w:rFonts w:ascii="Verdana" w:eastAsia="Times New Roman" w:hAnsi="Verdana" w:cs="Arial"/>
          <w:lang w:eastAsia="es-CO"/>
        </w:rPr>
        <w:lastRenderedPageBreak/>
        <w:t xml:space="preserve">del parágrafo del artículo 38 </w:t>
      </w:r>
      <w:r w:rsidRPr="00BC3A80">
        <w:rPr>
          <w:rFonts w:ascii="Verdana" w:eastAsia="Times New Roman" w:hAnsi="Verdana" w:cs="Arial"/>
          <w:i/>
          <w:iCs/>
          <w:lang w:eastAsia="es-CO"/>
        </w:rPr>
        <w:t>ibidem</w:t>
      </w:r>
      <w:r w:rsidRPr="00BC3A80">
        <w:rPr>
          <w:rFonts w:ascii="Verdana" w:eastAsia="Times New Roman" w:hAnsi="Verdana" w:cs="Arial"/>
          <w:lang w:eastAsia="es-CO"/>
        </w:rPr>
        <w:t>, independientemente de que se configure alguno de los supuestos de excepción que señaló el inciso final del artículo 33, es decir, que se trate de:</w:t>
      </w:r>
      <w:r w:rsidRPr="00BC3A80">
        <w:rPr>
          <w:rFonts w:ascii="Verdana" w:hAnsi="Verdana" w:cs="Arial"/>
          <w:bCs/>
          <w:lang w:val="es-MX" w:eastAsia="x-none"/>
        </w:rPr>
        <w:t xml:space="preserve"> i) la defensa y seguridad del Estado; </w:t>
      </w:r>
      <w:proofErr w:type="spellStart"/>
      <w:r w:rsidRPr="00BC3A80">
        <w:rPr>
          <w:rFonts w:ascii="Verdana" w:hAnsi="Verdana" w:cs="Arial"/>
          <w:bCs/>
          <w:lang w:val="es-MX" w:eastAsia="x-none"/>
        </w:rPr>
        <w:t>ii</w:t>
      </w:r>
      <w:proofErr w:type="spellEnd"/>
      <w:r w:rsidRPr="00BC3A80">
        <w:rPr>
          <w:rFonts w:ascii="Verdana" w:hAnsi="Verdana" w:cs="Arial"/>
          <w:bCs/>
          <w:lang w:val="es-MX" w:eastAsia="x-none"/>
        </w:rPr>
        <w:t xml:space="preserve">) los contratos de crédito público; </w:t>
      </w:r>
      <w:proofErr w:type="spellStart"/>
      <w:r w:rsidRPr="00BC3A80">
        <w:rPr>
          <w:rFonts w:ascii="Verdana" w:hAnsi="Verdana" w:cs="Arial"/>
          <w:bCs/>
          <w:lang w:val="es-MX" w:eastAsia="x-none"/>
        </w:rPr>
        <w:t>iii</w:t>
      </w:r>
      <w:proofErr w:type="spellEnd"/>
      <w:r w:rsidRPr="00BC3A80">
        <w:rPr>
          <w:rFonts w:ascii="Verdana" w:hAnsi="Verdana" w:cs="Arial"/>
          <w:bCs/>
          <w:lang w:val="es-MX" w:eastAsia="x-none"/>
        </w:rPr>
        <w:t xml:space="preserve">) los requeridos para cubrir las emergencias educativas, sanitarias y desastres; </w:t>
      </w:r>
      <w:proofErr w:type="spellStart"/>
      <w:r w:rsidRPr="00BC3A80">
        <w:rPr>
          <w:rFonts w:ascii="Verdana" w:hAnsi="Verdana" w:cs="Arial"/>
          <w:bCs/>
          <w:lang w:val="es-MX" w:eastAsia="x-none"/>
        </w:rPr>
        <w:t>iv</w:t>
      </w:r>
      <w:proofErr w:type="spellEnd"/>
      <w:r w:rsidRPr="00BC3A80">
        <w:rPr>
          <w:rFonts w:ascii="Verdana"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BC3A80">
        <w:rPr>
          <w:rFonts w:ascii="Verdana" w:hAnsi="Verdana" w:cs="Arial"/>
          <w:bCs/>
          <w:lang w:val="es-MX" w:eastAsia="es-CO"/>
        </w:rPr>
        <w:t xml:space="preserve"> </w:t>
      </w:r>
      <w:r w:rsidRPr="00BC3A80">
        <w:rPr>
          <w:rFonts w:ascii="Verdana" w:eastAsia="Times New Roman" w:hAnsi="Verdana" w:cs="Arial"/>
          <w:lang w:eastAsia="es-CO"/>
        </w:rPr>
        <w:t xml:space="preserve">  </w:t>
      </w:r>
    </w:p>
    <w:p w14:paraId="118D321D" w14:textId="77777777" w:rsidR="004A51DE" w:rsidRPr="00BC3A80" w:rsidRDefault="004A51DE" w:rsidP="004A51DE">
      <w:pPr>
        <w:spacing w:before="120" w:after="0" w:line="276" w:lineRule="auto"/>
        <w:ind w:firstLine="708"/>
        <w:jc w:val="both"/>
        <w:rPr>
          <w:rFonts w:ascii="Verdana" w:eastAsia="Times New Roman" w:hAnsi="Verdana" w:cs="Arial"/>
          <w:lang w:eastAsia="es-CO"/>
        </w:rPr>
      </w:pPr>
      <w:r w:rsidRPr="00BC3A80">
        <w:rPr>
          <w:rFonts w:ascii="Verdana" w:eastAsia="Times New Roman" w:hAnsi="Verdana" w:cs="Arial"/>
          <w:lang w:eastAsia="es-CO"/>
        </w:rPr>
        <w:t xml:space="preserve">En este punto, vale la pena destacar </w:t>
      </w:r>
      <w:proofErr w:type="gramStart"/>
      <w:r w:rsidRPr="00BC3A80">
        <w:rPr>
          <w:rFonts w:ascii="Verdana" w:eastAsia="Times New Roman" w:hAnsi="Verdana" w:cs="Arial"/>
          <w:lang w:eastAsia="es-CO"/>
        </w:rPr>
        <w:t>que</w:t>
      </w:r>
      <w:proofErr w:type="gramEnd"/>
      <w:r w:rsidRPr="00BC3A80">
        <w:rPr>
          <w:rFonts w:ascii="Verdana" w:eastAsia="Times New Roman" w:hAnsi="Verdana" w:cs="Arial"/>
          <w:lang w:eastAsia="es-CO"/>
        </w:rPr>
        <w:t xml:space="preserve"> </w:t>
      </w:r>
      <w:r w:rsidRPr="00BC3A80">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BC3A80">
        <w:rPr>
          <w:rFonts w:ascii="Verdana" w:hAnsi="Verdana" w:cs="Arial"/>
        </w:rPr>
        <w:t>numeral 16.2 de la Circular Externa Única de 2022 expedida por la Agencia Nacional de Contratación Pública -Colombia Compra Eficiente-, concretamente, respecto de los siguientes apartes normativos</w:t>
      </w:r>
      <w:r w:rsidRPr="00BC3A80">
        <w:rPr>
          <w:rFonts w:ascii="Verdana" w:hAnsi="Verdana" w:cs="Arial"/>
          <w:vertAlign w:val="superscript"/>
        </w:rPr>
        <w:footnoteReference w:id="6"/>
      </w:r>
      <w:r w:rsidRPr="00BC3A80">
        <w:rPr>
          <w:rFonts w:ascii="Verdana" w:hAnsi="Verdana" w:cs="Arial"/>
        </w:rPr>
        <w:t>:</w:t>
      </w:r>
      <w:r w:rsidRPr="00BC3A80">
        <w:rPr>
          <w:rFonts w:cs="Arial"/>
        </w:rPr>
        <w:t xml:space="preserve"> </w:t>
      </w:r>
    </w:p>
    <w:p w14:paraId="70C8309D" w14:textId="77777777" w:rsidR="004A51DE" w:rsidRPr="00BC3A80" w:rsidRDefault="004A51DE" w:rsidP="004A51DE">
      <w:pPr>
        <w:spacing w:after="0" w:line="276" w:lineRule="auto"/>
        <w:ind w:firstLine="709"/>
        <w:jc w:val="both"/>
        <w:rPr>
          <w:rFonts w:cs="Arial"/>
        </w:rPr>
      </w:pPr>
    </w:p>
    <w:p w14:paraId="4AFDEC13" w14:textId="77777777" w:rsidR="004A51DE" w:rsidRPr="00BC3A80" w:rsidRDefault="004A51DE" w:rsidP="004A51DE">
      <w:pPr>
        <w:spacing w:after="0" w:line="240" w:lineRule="auto"/>
        <w:ind w:left="709" w:right="709"/>
        <w:jc w:val="both"/>
        <w:rPr>
          <w:rFonts w:ascii="Verdana" w:hAnsi="Verdana" w:cs="Arial"/>
          <w:sz w:val="20"/>
          <w:szCs w:val="20"/>
        </w:rPr>
      </w:pPr>
      <w:r w:rsidRPr="00BC3A80">
        <w:rPr>
          <w:rFonts w:ascii="Verdana" w:hAnsi="Verdana" w:cs="Arial"/>
          <w:sz w:val="20"/>
          <w:szCs w:val="20"/>
          <w:lang w:val="es-MX"/>
        </w:rPr>
        <w:t>i)</w:t>
      </w:r>
      <w:r w:rsidRPr="00BC3A80">
        <w:rPr>
          <w:rFonts w:ascii="Verdana"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0A566441" w14:textId="77777777" w:rsidR="004A51DE" w:rsidRPr="00BC3A80" w:rsidRDefault="004A51DE" w:rsidP="004A51DE">
      <w:pPr>
        <w:spacing w:after="0" w:line="240" w:lineRule="auto"/>
        <w:ind w:left="709" w:right="709"/>
        <w:jc w:val="both"/>
        <w:rPr>
          <w:rFonts w:ascii="Verdana" w:hAnsi="Verdana" w:cs="Arial"/>
          <w:sz w:val="20"/>
          <w:szCs w:val="20"/>
        </w:rPr>
      </w:pPr>
    </w:p>
    <w:p w14:paraId="2F50D2CD" w14:textId="77777777" w:rsidR="004A51DE" w:rsidRPr="00BC3A80" w:rsidRDefault="004A51DE" w:rsidP="004A51DE">
      <w:pPr>
        <w:spacing w:after="0" w:line="240" w:lineRule="auto"/>
        <w:ind w:left="709" w:right="709"/>
        <w:jc w:val="both"/>
        <w:rPr>
          <w:rFonts w:ascii="Verdana" w:hAnsi="Verdana" w:cs="Arial"/>
          <w:sz w:val="20"/>
          <w:szCs w:val="20"/>
        </w:rPr>
      </w:pPr>
      <w:proofErr w:type="spellStart"/>
      <w:r w:rsidRPr="00BC3A80">
        <w:rPr>
          <w:rFonts w:ascii="Verdana" w:hAnsi="Verdana" w:cs="Arial"/>
          <w:sz w:val="20"/>
          <w:szCs w:val="20"/>
        </w:rPr>
        <w:t>ii</w:t>
      </w:r>
      <w:proofErr w:type="spellEnd"/>
      <w:r w:rsidRPr="00BC3A80">
        <w:rPr>
          <w:rFonts w:ascii="Verdana" w:hAnsi="Verdana" w:cs="Arial"/>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4AB3DD5C" w14:textId="77777777" w:rsidR="004A51DE" w:rsidRPr="00BC3A80" w:rsidRDefault="004A51DE" w:rsidP="004A51DE">
      <w:pPr>
        <w:spacing w:after="0" w:line="276" w:lineRule="auto"/>
        <w:ind w:left="709" w:right="709"/>
        <w:jc w:val="both"/>
        <w:rPr>
          <w:rFonts w:ascii="Verdana" w:hAnsi="Verdana" w:cs="Arial"/>
        </w:rPr>
      </w:pPr>
    </w:p>
    <w:p w14:paraId="713FF8EC" w14:textId="77777777" w:rsidR="004A51DE" w:rsidRPr="00BC3A80" w:rsidRDefault="004A51DE" w:rsidP="004A51DE">
      <w:pPr>
        <w:spacing w:after="120" w:line="276" w:lineRule="auto"/>
        <w:ind w:firstLine="709"/>
        <w:jc w:val="both"/>
        <w:rPr>
          <w:rFonts w:ascii="Verdana" w:eastAsia="Arial" w:hAnsi="Verdana" w:cs="Arial"/>
          <w:i/>
          <w:iCs/>
          <w:lang w:eastAsia="es-ES" w:bidi="es-ES"/>
        </w:rPr>
      </w:pPr>
      <w:r w:rsidRPr="00BC3A80">
        <w:rPr>
          <w:rFonts w:ascii="Verdana" w:eastAsia="Arial" w:hAnsi="Verdana" w:cs="Arial"/>
          <w:lang w:val="es-MX" w:eastAsia="es-ES" w:bidi="es-ES"/>
        </w:rPr>
        <w:t xml:space="preserve">De conformidad con los argumentos de dicha providencia, se parte de la distinción entre los conceptos </w:t>
      </w:r>
      <w:r w:rsidRPr="00BC3A80">
        <w:rPr>
          <w:rFonts w:ascii="Verdana" w:eastAsia="Arial" w:hAnsi="Verdana" w:cs="Arial"/>
          <w:lang w:eastAsia="es-ES" w:bidi="es-ES"/>
        </w:rPr>
        <w:t xml:space="preserve">de “convenio” y “contrato” interadministrativos, para diferenciarlos en su naturaleza, contenido y alcance, lo cual ha servido de fundamento para que tanto la Sección Tercera como también la Sala de Consulta </w:t>
      </w:r>
      <w:r w:rsidRPr="00BC3A80">
        <w:rPr>
          <w:rFonts w:ascii="Verdana" w:eastAsia="Arial" w:hAnsi="Verdana" w:cs="Arial"/>
          <w:lang w:eastAsia="es-ES" w:bidi="es-ES"/>
        </w:rPr>
        <w:lastRenderedPageBreak/>
        <w:t>y Servicio Civil de esa Corporación hayan realzado la distinción entre uno y otro negocio jurídico.</w:t>
      </w:r>
      <w:r w:rsidRPr="00BC3A80">
        <w:rPr>
          <w:rFonts w:ascii="Times New Roman" w:hAnsi="Times New Roman"/>
          <w:sz w:val="24"/>
          <w:szCs w:val="24"/>
          <w:lang w:eastAsia="es-CO"/>
        </w:rPr>
        <w:t xml:space="preserve"> </w:t>
      </w:r>
      <w:r w:rsidRPr="00BC3A80">
        <w:rPr>
          <w:rFonts w:ascii="Verdana" w:eastAsia="Arial" w:hAnsi="Verdana" w:cs="Arial"/>
          <w:lang w:eastAsia="es-ES" w:bidi="es-ES"/>
        </w:rPr>
        <w:t xml:space="preserve">En este sentido, en relación con el parágrafo del artículo 38 de la Ley 996 de 2005 concluyó que </w:t>
      </w:r>
      <w:r w:rsidRPr="00BC3A80">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BC3A80">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BC3A80">
        <w:rPr>
          <w:rFonts w:ascii="Verdana" w:eastAsia="Arial" w:hAnsi="Verdana" w:cs="Arial"/>
          <w:i/>
          <w:iCs/>
          <w:lang w:eastAsia="es-ES" w:bidi="es-ES"/>
        </w:rPr>
        <w:t>“con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w:t>
      </w:r>
      <w:r>
        <w:rPr>
          <w:rFonts w:ascii="Verdana" w:eastAsia="Arial" w:hAnsi="Verdana" w:cs="Arial"/>
          <w:i/>
          <w:iCs/>
          <w:lang w:eastAsia="es-ES" w:bidi="es-ES"/>
        </w:rPr>
        <w:t>”</w:t>
      </w:r>
      <w:r w:rsidRPr="00BC3A80">
        <w:rPr>
          <w:rFonts w:ascii="Verdana" w:eastAsia="Arial" w:hAnsi="Verdana" w:cs="Arial"/>
          <w:i/>
          <w:iCs/>
          <w:lang w:eastAsia="es-ES" w:bidi="es-ES"/>
        </w:rPr>
        <w:t xml:space="preserve">. </w:t>
      </w:r>
    </w:p>
    <w:p w14:paraId="3E3D6228" w14:textId="77777777" w:rsidR="004A51DE" w:rsidRDefault="004A51DE" w:rsidP="004A51DE">
      <w:pPr>
        <w:spacing w:after="120" w:line="276" w:lineRule="auto"/>
        <w:ind w:firstLine="709"/>
        <w:jc w:val="both"/>
        <w:rPr>
          <w:rFonts w:ascii="Verdana" w:eastAsia="Arial" w:hAnsi="Verdana" w:cs="Arial"/>
          <w:lang w:eastAsia="es-ES" w:bidi="es-ES"/>
        </w:rPr>
      </w:pPr>
      <w:r w:rsidRPr="00BC3A80">
        <w:rPr>
          <w:rFonts w:ascii="Verdana" w:eastAsia="Arial" w:hAnsi="Verdana" w:cs="Arial"/>
          <w:lang w:eastAsia="es-ES" w:bidi="es-ES"/>
        </w:rPr>
        <w:t>De igual manera, mediante auto del 6 de noviembre de 2025, el Consejo de Estado, Subsección A de la Sección Tercera, decretó</w:t>
      </w:r>
      <w:r w:rsidRPr="00BC3A80">
        <w:rPr>
          <w:rFonts w:ascii="Verdana" w:eastAsia="Arial" w:hAnsi="Verdana" w:cs="Arial"/>
          <w:b/>
          <w:bCs/>
          <w:lang w:eastAsia="es-ES" w:bidi="es-ES"/>
        </w:rPr>
        <w:t xml:space="preserve"> </w:t>
      </w:r>
      <w:r w:rsidRPr="00BC3A80">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BC3A80">
        <w:rPr>
          <w:rFonts w:ascii="Verdana" w:eastAsia="Arial" w:hAnsi="Verdana" w:cs="Arial"/>
          <w:vertAlign w:val="superscript"/>
          <w:lang w:eastAsia="es-ES" w:bidi="es-ES"/>
        </w:rPr>
        <w:footnoteReference w:id="7"/>
      </w:r>
      <w:r w:rsidRPr="00BC3A80">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w:t>
      </w:r>
      <w:r>
        <w:rPr>
          <w:rFonts w:ascii="Verdana" w:eastAsia="Arial" w:hAnsi="Verdana" w:cs="Arial"/>
          <w:lang w:eastAsia="es-ES" w:bidi="es-ES"/>
        </w:rPr>
        <w:t>de</w:t>
      </w:r>
      <w:r w:rsidRPr="00BC3A80">
        <w:rPr>
          <w:rFonts w:ascii="Verdana" w:eastAsia="Arial" w:hAnsi="Verdana" w:cs="Arial"/>
          <w:lang w:eastAsia="es-ES" w:bidi="es-ES"/>
        </w:rPr>
        <w:t xml:space="preserve"> manera que se excluye la analogía </w:t>
      </w:r>
      <w:proofErr w:type="spellStart"/>
      <w:r w:rsidRPr="00BC3A80">
        <w:rPr>
          <w:rFonts w:ascii="Verdana" w:eastAsia="Arial" w:hAnsi="Verdana" w:cs="Arial"/>
          <w:lang w:eastAsia="es-ES" w:bidi="es-ES"/>
        </w:rPr>
        <w:t>legis</w:t>
      </w:r>
      <w:proofErr w:type="spellEnd"/>
      <w:r w:rsidRPr="00BC3A80">
        <w:rPr>
          <w:rFonts w:ascii="Verdana" w:eastAsia="Arial" w:hAnsi="Verdana" w:cs="Arial"/>
          <w:lang w:eastAsia="es-ES" w:bidi="es-ES"/>
        </w:rPr>
        <w:t xml:space="preserve"> o iuris y la interpretación extensiva y reiteró los argumentos sobre la diferencia entre contratos y convenios interadministrativos. </w:t>
      </w:r>
    </w:p>
    <w:p w14:paraId="53EB6C13" w14:textId="77777777" w:rsidR="004A51DE" w:rsidRDefault="004A51DE" w:rsidP="004A51DE">
      <w:pPr>
        <w:spacing w:after="120" w:line="276" w:lineRule="auto"/>
        <w:ind w:firstLine="709"/>
        <w:jc w:val="both"/>
        <w:rPr>
          <w:rFonts w:ascii="Verdana" w:eastAsia="Arial" w:hAnsi="Verdana" w:cs="Arial"/>
          <w:lang w:eastAsia="es-ES" w:bidi="es-ES"/>
        </w:rPr>
      </w:pPr>
      <w:r>
        <w:rPr>
          <w:rFonts w:ascii="Verdana" w:eastAsia="Arial" w:hAnsi="Verdana" w:cs="Arial"/>
          <w:lang w:eastAsia="es-ES" w:bidi="es-ES"/>
        </w:rPr>
        <w:lastRenderedPageBreak/>
        <w:t>En línea con lo anterior, el Consejo de Estado</w:t>
      </w:r>
      <w:r>
        <w:rPr>
          <w:rStyle w:val="Refdenotaalpie"/>
          <w:rFonts w:ascii="Verdana" w:eastAsia="Arial" w:hAnsi="Verdana" w:cs="Arial"/>
          <w:lang w:eastAsia="es-ES" w:bidi="es-ES"/>
        </w:rPr>
        <w:footnoteReference w:id="8"/>
      </w:r>
      <w:r>
        <w:rPr>
          <w:rFonts w:ascii="Verdana" w:eastAsia="Arial" w:hAnsi="Verdana" w:cs="Arial"/>
          <w:lang w:eastAsia="es-ES" w:bidi="es-ES"/>
        </w:rPr>
        <w:t xml:space="preserve">, Sección Tercera – Subsección B, en Sentencia del 17 de octubre de 2025, declaró la nulidad </w:t>
      </w:r>
      <w:proofErr w:type="gramStart"/>
      <w:r>
        <w:rPr>
          <w:rFonts w:ascii="Verdana" w:eastAsia="Arial" w:hAnsi="Verdana" w:cs="Arial"/>
          <w:lang w:eastAsia="es-ES" w:bidi="es-ES"/>
        </w:rPr>
        <w:t xml:space="preserve">parcial </w:t>
      </w:r>
      <w:r w:rsidRPr="002A503A">
        <w:t xml:space="preserve"> </w:t>
      </w:r>
      <w:r w:rsidRPr="002A503A">
        <w:rPr>
          <w:rFonts w:ascii="Verdana" w:eastAsia="Arial" w:hAnsi="Verdana" w:cs="Arial"/>
          <w:lang w:eastAsia="es-ES" w:bidi="es-ES"/>
        </w:rPr>
        <w:t>del</w:t>
      </w:r>
      <w:proofErr w:type="gramEnd"/>
      <w:r w:rsidRPr="002A503A">
        <w:rPr>
          <w:rFonts w:ascii="Verdana" w:eastAsia="Arial" w:hAnsi="Verdana" w:cs="Arial"/>
          <w:lang w:eastAsia="es-ES" w:bidi="es-ES"/>
        </w:rPr>
        <w:t xml:space="preserve"> numeral 16.2 de la Circular Externa Única de 2022 expedida por la Agencia Nacional de Contratación Pública -Colombia Compra Eficiente-, concretamente, de los siguientes apartes normativos: </w:t>
      </w:r>
    </w:p>
    <w:p w14:paraId="099E030D" w14:textId="77777777" w:rsidR="004A51DE" w:rsidRPr="002A503A" w:rsidRDefault="004A51DE" w:rsidP="004A51DE">
      <w:pPr>
        <w:spacing w:after="120" w:line="276" w:lineRule="auto"/>
        <w:ind w:left="708" w:firstLine="709"/>
        <w:jc w:val="both"/>
        <w:rPr>
          <w:rFonts w:ascii="Verdana" w:eastAsia="Arial" w:hAnsi="Verdana" w:cs="Arial"/>
          <w:sz w:val="20"/>
          <w:szCs w:val="20"/>
          <w:lang w:eastAsia="es-ES" w:bidi="es-ES"/>
        </w:rPr>
      </w:pPr>
      <w:r w:rsidRPr="002A503A">
        <w:rPr>
          <w:rFonts w:ascii="Verdana" w:eastAsia="Arial" w:hAnsi="Verdana" w:cs="Arial"/>
          <w:sz w:val="20"/>
          <w:szCs w:val="20"/>
          <w:lang w:eastAsia="es-ES" w:bidi="es-ES"/>
        </w:rPr>
        <w:t xml:space="preserve">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roofErr w:type="spellStart"/>
      <w:r w:rsidRPr="002A503A">
        <w:rPr>
          <w:rFonts w:ascii="Verdana" w:eastAsia="Arial" w:hAnsi="Verdana" w:cs="Arial"/>
          <w:sz w:val="20"/>
          <w:szCs w:val="20"/>
          <w:lang w:eastAsia="es-ES" w:bidi="es-ES"/>
        </w:rPr>
        <w:t>ii</w:t>
      </w:r>
      <w:proofErr w:type="spellEnd"/>
      <w:r w:rsidRPr="002A503A">
        <w:rPr>
          <w:rFonts w:ascii="Verdana" w:eastAsia="Arial" w:hAnsi="Verdana" w:cs="Arial"/>
          <w:sz w:val="20"/>
          <w:szCs w:val="20"/>
          <w:lang w:eastAsia="es-ES" w:bidi="es-ES"/>
        </w:rPr>
        <w:t>)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0DE7BDA7" w14:textId="77777777" w:rsidR="004A51DE" w:rsidRPr="00B04FA0" w:rsidRDefault="004A51DE" w:rsidP="004A51DE">
      <w:pPr>
        <w:spacing w:after="120" w:line="276" w:lineRule="auto"/>
        <w:ind w:firstLine="709"/>
        <w:jc w:val="both"/>
        <w:rPr>
          <w:rFonts w:ascii="Verdana" w:eastAsia="Times New Roman" w:hAnsi="Verdana" w:cs="Arial"/>
          <w:lang w:eastAsia="es-CO"/>
        </w:rPr>
      </w:pPr>
      <w:r w:rsidRPr="00BC3A80">
        <w:rPr>
          <w:rFonts w:ascii="Verdana" w:eastAsia="Times New Roman" w:hAnsi="Verdana" w:cs="Arial"/>
          <w:lang w:eastAsia="es-CO"/>
        </w:rPr>
        <w:t>Así las cosas, a la luz de lo expuesto por el Consejo de Estado en los autos del 4 de octubre de 2024 y 6 de noviembre de 2025,</w:t>
      </w:r>
      <w:r>
        <w:rPr>
          <w:rFonts w:ascii="Verdana" w:eastAsia="Times New Roman" w:hAnsi="Verdana" w:cs="Arial"/>
          <w:lang w:eastAsia="es-CO"/>
        </w:rPr>
        <w:t xml:space="preserve"> y en la Sentencia del 17 de octubre de 2025,</w:t>
      </w:r>
      <w:r w:rsidRPr="00BC3A80">
        <w:rPr>
          <w:rFonts w:ascii="Verdana" w:eastAsia="Times New Roman" w:hAnsi="Verdana" w:cs="Arial"/>
          <w:lang w:eastAsia="es-CO"/>
        </w:rPr>
        <w:t xml:space="preserve"> no resultaría aplicable la prohibición del parágrafo del artículo 38 de la Ley de Garantías Electorales a los </w:t>
      </w:r>
      <w:r w:rsidRPr="00BC3A80">
        <w:rPr>
          <w:rFonts w:ascii="Verdana" w:eastAsia="Times New Roman" w:hAnsi="Verdana" w:cs="Arial"/>
          <w:i/>
          <w:iCs/>
          <w:lang w:eastAsia="es-CO"/>
        </w:rPr>
        <w:t>contratos interadministrativos</w:t>
      </w:r>
      <w:r>
        <w:rPr>
          <w:rFonts w:ascii="Verdana" w:eastAsia="Times New Roman" w:hAnsi="Verdana" w:cs="Arial"/>
          <w:lang w:eastAsia="es-CO"/>
        </w:rPr>
        <w:t xml:space="preserve"> sino únicamente a los </w:t>
      </w:r>
      <w:r w:rsidRPr="002A503A">
        <w:rPr>
          <w:rFonts w:ascii="Verdana" w:eastAsia="Times New Roman" w:hAnsi="Verdana" w:cs="Arial"/>
          <w:i/>
          <w:iCs/>
          <w:lang w:eastAsia="es-CO"/>
        </w:rPr>
        <w:t>convenios interadministrativos</w:t>
      </w:r>
      <w:r>
        <w:rPr>
          <w:rFonts w:ascii="Verdana" w:eastAsia="Times New Roman" w:hAnsi="Verdana" w:cs="Arial"/>
          <w:lang w:eastAsia="es-CO"/>
        </w:rPr>
        <w:t>.</w:t>
      </w:r>
      <w:r w:rsidRPr="00BC3A80">
        <w:rPr>
          <w:rFonts w:ascii="Verdana" w:eastAsia="Times New Roman" w:hAnsi="Verdana" w:cs="Arial"/>
          <w:lang w:eastAsia="es-CO"/>
        </w:rPr>
        <w:t xml:space="preserve"> </w:t>
      </w:r>
    </w:p>
    <w:p w14:paraId="0E635E6D" w14:textId="77777777" w:rsidR="004A51DE" w:rsidRPr="00947721" w:rsidRDefault="004A51DE" w:rsidP="004A51DE">
      <w:pPr>
        <w:autoSpaceDE w:val="0"/>
        <w:autoSpaceDN w:val="0"/>
        <w:adjustRightInd w:val="0"/>
        <w:spacing w:after="120" w:line="240" w:lineRule="auto"/>
        <w:ind w:firstLine="708"/>
        <w:jc w:val="both"/>
        <w:rPr>
          <w:rFonts w:ascii="Verdana" w:hAnsi="Verdana" w:cs="BCDHEE+Verdana"/>
          <w:color w:val="000000"/>
        </w:rPr>
      </w:pPr>
      <w:r w:rsidRPr="00947721">
        <w:rPr>
          <w:rFonts w:ascii="Verdana" w:hAnsi="Verdana" w:cs="BCDHEE+Verdana"/>
          <w:color w:val="000000"/>
        </w:rPr>
        <w:t>Finalmente, sobre las fechas en que aplica la Ley de garantías, se debe tener en cuenta que el Consejo Nacional Electoral mediante Resolución No. 2581 del 5 de marzo de 2025 fijó el calendario electoral para las elecciones al Congreso de la República que serán el 8 de marzo de 2026</w:t>
      </w:r>
      <w:r>
        <w:rPr>
          <w:rFonts w:ascii="Verdana" w:hAnsi="Verdana" w:cs="BCDHEE+Verdana"/>
          <w:color w:val="000000"/>
        </w:rPr>
        <w:t>. E</w:t>
      </w:r>
      <w:r w:rsidRPr="00947721">
        <w:rPr>
          <w:rFonts w:ascii="Verdana" w:hAnsi="Verdana" w:cs="BCDHEE+Verdana"/>
          <w:color w:val="000000"/>
        </w:rPr>
        <w:t>n esa medida, de acuerdo con el artículo 38 de la Ley 996 de 2005, la restricción inici</w:t>
      </w:r>
      <w:r>
        <w:rPr>
          <w:rFonts w:ascii="Verdana" w:hAnsi="Verdana" w:cs="BCDHEE+Verdana"/>
          <w:color w:val="000000"/>
        </w:rPr>
        <w:t>ó</w:t>
      </w:r>
      <w:r w:rsidRPr="00947721">
        <w:rPr>
          <w:rFonts w:ascii="Verdana" w:hAnsi="Verdana" w:cs="BCDHEE+Verdana"/>
          <w:color w:val="000000"/>
        </w:rPr>
        <w:t xml:space="preserve"> el 8 de noviembre de 2025, es decir, </w:t>
      </w:r>
      <w:r>
        <w:rPr>
          <w:rFonts w:ascii="Verdana" w:hAnsi="Verdana" w:cs="BCDHEE+Verdana"/>
          <w:color w:val="000000"/>
        </w:rPr>
        <w:t>cuatro (</w:t>
      </w:r>
      <w:r w:rsidRPr="00947721">
        <w:rPr>
          <w:rFonts w:ascii="Verdana" w:hAnsi="Verdana" w:cs="BCDHEE+Verdana"/>
          <w:color w:val="000000"/>
        </w:rPr>
        <w:t>4</w:t>
      </w:r>
      <w:r>
        <w:rPr>
          <w:rFonts w:ascii="Verdana" w:hAnsi="Verdana" w:cs="BCDHEE+Verdana"/>
          <w:color w:val="000000"/>
        </w:rPr>
        <w:t>)</w:t>
      </w:r>
      <w:r w:rsidRPr="00947721">
        <w:rPr>
          <w:rFonts w:ascii="Verdana" w:hAnsi="Verdana" w:cs="BCDHEE+Verdana"/>
          <w:color w:val="000000"/>
        </w:rPr>
        <w:t xml:space="preserve"> meses antes de la fecha de las elecciones, y las restricciones que se aplican son que prohíbe a los gobernadores, alcaldes municipales o distritales, secretarios, gerentes y directores de entidades descentralizadas del orden municipal, departamental o distrital celebrar convenios interadministrativos para la ejecución de recursos públicos, ni participar, promover y destinar recursos públicos de las entidades a su cargo, </w:t>
      </w:r>
      <w:r w:rsidRPr="00947721">
        <w:rPr>
          <w:rFonts w:ascii="Verdana" w:hAnsi="Verdana" w:cs="BCDHEE+Verdana"/>
          <w:color w:val="000000"/>
        </w:rPr>
        <w:lastRenderedPageBreak/>
        <w:t xml:space="preserve">como tampoco de las que participen como miembros de sus juntas directivas, en o para reuniones de carácter proselitista. </w:t>
      </w:r>
    </w:p>
    <w:p w14:paraId="152A3C44" w14:textId="77777777" w:rsidR="004A51DE" w:rsidRPr="00E61635" w:rsidRDefault="004A51DE" w:rsidP="004A51DE">
      <w:pPr>
        <w:widowControl w:val="0"/>
        <w:autoSpaceDE w:val="0"/>
        <w:autoSpaceDN w:val="0"/>
        <w:spacing w:after="0" w:line="276" w:lineRule="auto"/>
        <w:ind w:right="176" w:firstLine="708"/>
        <w:jc w:val="both"/>
        <w:rPr>
          <w:rFonts w:ascii="Verdana" w:hAnsi="Verdana"/>
        </w:rPr>
      </w:pPr>
      <w:r w:rsidRPr="00E61635">
        <w:rPr>
          <w:rFonts w:ascii="Verdana" w:hAnsi="Verdana"/>
        </w:rPr>
        <w:t xml:space="preserve">Dentro de este marco, corresponde a cada </w:t>
      </w:r>
      <w:r w:rsidRPr="005F3B31">
        <w:rPr>
          <w:rFonts w:ascii="Verdana" w:hAnsi="Verdana"/>
        </w:rPr>
        <w:t>entidad pública</w:t>
      </w:r>
      <w:r w:rsidRPr="00E61635">
        <w:rPr>
          <w:rFonts w:ascii="Verdana" w:hAnsi="Verdana"/>
        </w:rPr>
        <w:t>, en ejercicio de su competencia y previa valoración de los elementos fácticos y jurídicos, así como de las disposiciones legales mencionadas,</w:t>
      </w:r>
      <w:r>
        <w:rPr>
          <w:rFonts w:ascii="Verdana" w:hAnsi="Verdana"/>
        </w:rPr>
        <w:t xml:space="preserve"> determinar su gestión contractual durante la aplicación de las restricciones de la Ley de Garantías Electorales. </w:t>
      </w:r>
      <w:r w:rsidRPr="00E61635">
        <w:rPr>
          <w:rFonts w:ascii="Verdana" w:hAnsi="Verdana"/>
        </w:rPr>
        <w:t>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1056A6D1" w14:textId="77777777" w:rsidR="004A51DE" w:rsidRDefault="004A51DE" w:rsidP="004A51DE">
      <w:pPr>
        <w:widowControl w:val="0"/>
        <w:autoSpaceDE w:val="0"/>
        <w:autoSpaceDN w:val="0"/>
        <w:spacing w:after="0" w:line="276" w:lineRule="auto"/>
        <w:jc w:val="both"/>
        <w:rPr>
          <w:rFonts w:ascii="Verdana" w:hAnsi="Verdana" w:cs="Arial"/>
        </w:rPr>
      </w:pPr>
    </w:p>
    <w:p w14:paraId="674A568C" w14:textId="77777777" w:rsidR="004A51DE" w:rsidRDefault="004A51DE" w:rsidP="004A51D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Referencias normativas, jurisprudenciales y otras fuentes:</w:t>
      </w:r>
    </w:p>
    <w:p w14:paraId="29E722A9" w14:textId="77777777" w:rsidR="004A51DE" w:rsidRDefault="004A51DE" w:rsidP="004A51DE">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4A51DE" w14:paraId="45D82CA0" w14:textId="77777777" w:rsidTr="00F82976">
        <w:trPr>
          <w:trHeight w:val="870"/>
        </w:trPr>
        <w:tc>
          <w:tcPr>
            <w:tcW w:w="8647" w:type="dxa"/>
            <w:tcBorders>
              <w:top w:val="dotted" w:sz="4" w:space="0" w:color="auto"/>
              <w:left w:val="dotted" w:sz="4" w:space="0" w:color="auto"/>
              <w:bottom w:val="dotted" w:sz="4" w:space="0" w:color="auto"/>
              <w:right w:val="dotted" w:sz="4" w:space="0" w:color="auto"/>
            </w:tcBorders>
            <w:hideMark/>
          </w:tcPr>
          <w:p w14:paraId="23297328" w14:textId="0D57C3E7" w:rsidR="004A51DE" w:rsidRPr="00B3605D" w:rsidRDefault="004A51DE" w:rsidP="004A51DE">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DF1048">
              <w:rPr>
                <w:rFonts w:ascii="Verdana" w:eastAsia="Arial MT" w:hAnsi="Verdana" w:cs="Arial"/>
                <w:bCs/>
                <w:lang w:val="es-ES" w:eastAsia="es-ES" w:bidi="es-ES"/>
              </w:rPr>
              <w:t>Ley 996 de 2005: artículos 38 parágrafo.</w:t>
            </w:r>
          </w:p>
          <w:p w14:paraId="08337D22" w14:textId="77777777" w:rsidR="004A51DE" w:rsidRPr="00274DBA" w:rsidRDefault="004A51DE" w:rsidP="004A51DE">
            <w:pPr>
              <w:widowControl w:val="0"/>
              <w:numPr>
                <w:ilvl w:val="0"/>
                <w:numId w:val="17"/>
              </w:numPr>
              <w:autoSpaceDE w:val="0"/>
              <w:autoSpaceDN w:val="0"/>
              <w:spacing w:after="120" w:line="276" w:lineRule="auto"/>
              <w:jc w:val="both"/>
              <w:rPr>
                <w:rFonts w:ascii="Verdana" w:eastAsia="Calibri" w:hAnsi="Verdana" w:cs="Arial"/>
                <w:lang w:val="es-ES"/>
              </w:rPr>
            </w:pPr>
            <w:r w:rsidRPr="00274DBA">
              <w:rPr>
                <w:rFonts w:ascii="Verdana" w:eastAsia="Calibri" w:hAnsi="Verdana" w:cs="Arial"/>
                <w:lang w:val="pt-BR"/>
              </w:rPr>
              <w:t xml:space="preserve">Corte Constitucional. Sentencia C -1153 de 2005. </w:t>
            </w:r>
            <w:r w:rsidRPr="00274DBA">
              <w:rPr>
                <w:rFonts w:ascii="Verdana" w:eastAsia="Calibri" w:hAnsi="Verdana" w:cs="Arial"/>
                <w:lang w:val="es-ES"/>
              </w:rPr>
              <w:t xml:space="preserve">M.P. Marco Gerardo Monroy Cabra. </w:t>
            </w:r>
          </w:p>
          <w:p w14:paraId="3A542C49" w14:textId="77777777" w:rsidR="004A51DE" w:rsidRDefault="004A51DE" w:rsidP="004A51DE">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B3605D">
              <w:rPr>
                <w:rFonts w:ascii="Verdana" w:eastAsia="Arial MT" w:hAnsi="Verdana" w:cs="Arial"/>
                <w:lang w:val="es-ES" w:eastAsia="es-ES" w:bidi="es-ES"/>
              </w:rPr>
              <w:t xml:space="preserve">Consejo de Estado, Sala de Consulta y Servicio Civil de fecha 24 de julio de 2013, Rad. 2166, C. P. Álvaro </w:t>
            </w:r>
            <w:proofErr w:type="spellStart"/>
            <w:r w:rsidRPr="00B3605D">
              <w:rPr>
                <w:rFonts w:ascii="Verdana" w:eastAsia="Arial MT" w:hAnsi="Verdana" w:cs="Arial"/>
                <w:lang w:val="es-ES" w:eastAsia="es-ES" w:bidi="es-ES"/>
              </w:rPr>
              <w:t>Namén</w:t>
            </w:r>
            <w:proofErr w:type="spellEnd"/>
            <w:r w:rsidRPr="00B3605D">
              <w:rPr>
                <w:rFonts w:ascii="Verdana" w:eastAsia="Arial MT" w:hAnsi="Verdana" w:cs="Arial"/>
                <w:lang w:val="es-ES" w:eastAsia="es-ES" w:bidi="es-ES"/>
              </w:rPr>
              <w:t xml:space="preserve"> Vargas.  </w:t>
            </w:r>
          </w:p>
          <w:p w14:paraId="3FC363CB" w14:textId="5A924018" w:rsidR="004A51DE" w:rsidRPr="00677645" w:rsidRDefault="004A51DE" w:rsidP="00677645">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60146E">
              <w:rPr>
                <w:rFonts w:ascii="Verdana" w:hAnsi="Verdana"/>
                <w:lang w:val="es-ES"/>
              </w:rPr>
              <w:t xml:space="preserve">Consejo de Estado. Sala de Consulta y Servicio Civil. Concepto del 12 de junio de 2018. </w:t>
            </w:r>
            <w:proofErr w:type="spellStart"/>
            <w:r w:rsidRPr="0060146E">
              <w:rPr>
                <w:rFonts w:ascii="Verdana" w:hAnsi="Verdana"/>
                <w:lang w:val="es-ES"/>
              </w:rPr>
              <w:t>Exp</w:t>
            </w:r>
            <w:proofErr w:type="spellEnd"/>
            <w:r w:rsidRPr="0060146E">
              <w:rPr>
                <w:rFonts w:ascii="Verdana" w:hAnsi="Verdana"/>
                <w:lang w:val="es-ES"/>
              </w:rPr>
              <w:t>. 2371. C.P. Oscar Darío Amaya Navas</w:t>
            </w:r>
          </w:p>
        </w:tc>
      </w:tr>
    </w:tbl>
    <w:p w14:paraId="1134D3B7" w14:textId="77777777" w:rsidR="004A51DE" w:rsidRDefault="004A51DE" w:rsidP="004A51DE">
      <w:pPr>
        <w:widowControl w:val="0"/>
        <w:autoSpaceDE w:val="0"/>
        <w:autoSpaceDN w:val="0"/>
        <w:spacing w:after="0" w:line="276" w:lineRule="auto"/>
        <w:jc w:val="both"/>
        <w:rPr>
          <w:rFonts w:ascii="Verdana" w:hAnsi="Verdana" w:cs="Arial"/>
        </w:rPr>
      </w:pPr>
    </w:p>
    <w:p w14:paraId="32AAC1F0" w14:textId="77777777" w:rsidR="004A51DE" w:rsidRDefault="004A51DE" w:rsidP="004A51D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p>
    <w:p w14:paraId="5BDEDF57" w14:textId="77777777" w:rsidR="004A51DE" w:rsidRDefault="004A51DE" w:rsidP="004A51DE">
      <w:pPr>
        <w:widowControl w:val="0"/>
        <w:autoSpaceDE w:val="0"/>
        <w:autoSpaceDN w:val="0"/>
        <w:spacing w:after="0" w:line="276" w:lineRule="auto"/>
        <w:jc w:val="both"/>
        <w:rPr>
          <w:rFonts w:ascii="Verdana" w:hAnsi="Verdana" w:cs="Arial"/>
        </w:rPr>
      </w:pPr>
    </w:p>
    <w:p w14:paraId="102AED91" w14:textId="77777777" w:rsidR="004A51DE" w:rsidRPr="00FE3C84" w:rsidRDefault="004A51DE" w:rsidP="004A51DE">
      <w:pPr>
        <w:widowControl w:val="0"/>
        <w:autoSpaceDE w:val="0"/>
        <w:autoSpaceDN w:val="0"/>
        <w:spacing w:after="0" w:line="276" w:lineRule="auto"/>
        <w:jc w:val="both"/>
        <w:rPr>
          <w:rStyle w:val="normaltextrun"/>
          <w:rFonts w:ascii="Verdana" w:hAnsi="Verdana"/>
          <w:color w:val="FF0000"/>
          <w:shd w:val="clear" w:color="auto" w:fill="FFFFFF"/>
          <w:lang w:val="es-ES"/>
        </w:rPr>
      </w:pPr>
      <w:r>
        <w:rPr>
          <w:rStyle w:val="normaltextrun"/>
          <w:rFonts w:ascii="Verdana" w:hAnsi="Verdana" w:cs="Arial"/>
          <w:shd w:val="clear" w:color="auto" w:fill="FFFFFF"/>
          <w:lang w:val="es-ES"/>
        </w:rPr>
        <w:t>Sobre la aplicación de la Ley de Garantías Electorales</w:t>
      </w:r>
      <w:r w:rsidRPr="00AD7D4E">
        <w:rPr>
          <w:rStyle w:val="normaltextrun"/>
          <w:rFonts w:ascii="Verdana" w:hAnsi="Verdana" w:cs="Arial"/>
          <w:shd w:val="clear" w:color="auto" w:fill="FFFFFF"/>
          <w:lang w:val="es-ES"/>
        </w:rPr>
        <w:t>, esta Subdirección se ha pronunciado en los conceptos</w:t>
      </w:r>
      <w:r>
        <w:rPr>
          <w:rStyle w:val="normaltextrun"/>
          <w:rFonts w:ascii="Verdana" w:hAnsi="Verdana" w:cs="Arial"/>
          <w:shd w:val="clear" w:color="auto" w:fill="FFFFFF"/>
          <w:lang w:val="es-ES"/>
        </w:rPr>
        <w:t xml:space="preserve"> </w:t>
      </w:r>
      <w:r w:rsidRPr="00CF7C16">
        <w:rPr>
          <w:rFonts w:ascii="Verdana" w:hAnsi="Verdana" w:cs="Arial"/>
          <w:shd w:val="clear" w:color="auto" w:fill="FFFFFF"/>
          <w:lang w:val="es-ES"/>
        </w:rPr>
        <w:t xml:space="preserve">C-636 del 16 de noviembre de 2021, 681 del 7 de diciembre de 2021, C-686 del 21 de diciembre de 2021, </w:t>
      </w:r>
      <w:r>
        <w:rPr>
          <w:rFonts w:ascii="Verdana" w:hAnsi="Verdana" w:cs="Arial"/>
          <w:shd w:val="clear" w:color="auto" w:fill="FFFFFF"/>
          <w:lang w:val="es-ES"/>
        </w:rPr>
        <w:t xml:space="preserve">C-1179 del 8 de abril de 2022, </w:t>
      </w:r>
      <w:r w:rsidRPr="00CF7C16">
        <w:rPr>
          <w:rFonts w:ascii="Verdana" w:hAnsi="Verdana" w:cs="Arial"/>
          <w:shd w:val="clear" w:color="auto" w:fill="FFFFFF"/>
          <w:lang w:val="es-ES"/>
        </w:rPr>
        <w:t xml:space="preserve">C-697 del 3 de enero de 2022, </w:t>
      </w:r>
      <w:r>
        <w:rPr>
          <w:rStyle w:val="normaltextrun"/>
          <w:rFonts w:ascii="Verdana" w:hAnsi="Verdana" w:cs="Arial"/>
          <w:shd w:val="clear" w:color="auto" w:fill="FFFFFF"/>
          <w:lang w:val="es-ES"/>
        </w:rPr>
        <w:t xml:space="preserve">C-329 del 24 de mayo de 2022, </w:t>
      </w:r>
      <w:r w:rsidRPr="00CF7C16">
        <w:rPr>
          <w:rFonts w:ascii="Verdana" w:hAnsi="Verdana" w:cs="Arial"/>
          <w:shd w:val="clear" w:color="auto" w:fill="FFFFFF"/>
          <w:lang w:val="es-ES"/>
        </w:rPr>
        <w:t>C-180 del 21 de marzo de 2025, C-317 del 25 de abril de 2025, C-510 del 4 de junio de 2025,</w:t>
      </w:r>
      <w:r>
        <w:rPr>
          <w:rFonts w:ascii="Verdana" w:hAnsi="Verdana" w:cs="Arial"/>
          <w:shd w:val="clear" w:color="auto" w:fill="FFFFFF"/>
          <w:lang w:val="es-ES"/>
        </w:rPr>
        <w:t xml:space="preserve"> C-856 del 11 de agosto de 2025,</w:t>
      </w:r>
      <w:r w:rsidRPr="00CF7C16">
        <w:rPr>
          <w:rFonts w:ascii="Verdana" w:hAnsi="Verdana" w:cs="Arial"/>
          <w:shd w:val="clear" w:color="auto" w:fill="FFFFFF"/>
          <w:lang w:val="es-ES"/>
        </w:rPr>
        <w:t xml:space="preserve"> </w:t>
      </w:r>
      <w:r>
        <w:rPr>
          <w:rFonts w:ascii="Verdana" w:hAnsi="Verdana" w:cs="Arial"/>
          <w:shd w:val="clear" w:color="auto" w:fill="FFFFFF"/>
          <w:lang w:val="es-ES"/>
        </w:rPr>
        <w:t xml:space="preserve">C-1568 del 14 de noviembre de 2025, </w:t>
      </w:r>
      <w:r w:rsidRPr="00CF7C16">
        <w:rPr>
          <w:rFonts w:ascii="Verdana" w:hAnsi="Verdana" w:cs="Arial"/>
          <w:shd w:val="clear" w:color="auto" w:fill="FFFFFF"/>
          <w:lang w:val="es-ES"/>
        </w:rPr>
        <w:t>entre otros.</w:t>
      </w:r>
      <w:r>
        <w:rPr>
          <w:rStyle w:val="normaltextrun"/>
          <w:rFonts w:ascii="Verdana" w:hAnsi="Verdana" w:cs="Arial"/>
          <w:shd w:val="clear" w:color="auto" w:fill="FFFFFF"/>
          <w:lang w:val="es-ES"/>
        </w:rPr>
        <w:t xml:space="preserve"> Es</w:t>
      </w:r>
      <w:r>
        <w:rPr>
          <w:rFonts w:ascii="Verdana" w:hAnsi="Verdana"/>
        </w:rPr>
        <w:t xml:space="preserve">tos y otros conceptos se encuentran disponibles para consulta en el Sistema de relatoría de la Agencia, al cual se puede acceder a través del </w:t>
      </w:r>
      <w:r>
        <w:rPr>
          <w:rFonts w:ascii="Verdana" w:hAnsi="Verdana"/>
        </w:rPr>
        <w:lastRenderedPageBreak/>
        <w:t>siguiente enlace:</w:t>
      </w:r>
      <w:r>
        <w:rPr>
          <w:rStyle w:val="normaltextrun"/>
          <w:rFonts w:ascii="Verdana" w:hAnsi="Verdana" w:cs="Arial"/>
          <w:shd w:val="clear" w:color="auto" w:fill="FFFFFF"/>
          <w:lang w:val="es-ES"/>
        </w:rPr>
        <w:t xml:space="preserve"> </w:t>
      </w:r>
      <w:hyperlink r:id="rId12" w:history="1">
        <w:r w:rsidRPr="00B778BC">
          <w:rPr>
            <w:rStyle w:val="Hipervnculo"/>
            <w:rFonts w:ascii="Verdana" w:hAnsi="Verdana" w:cs="Arial"/>
            <w:shd w:val="clear" w:color="auto" w:fill="FFFFFF"/>
            <w:lang w:val="es-ES"/>
          </w:rPr>
          <w:t>https://relatoria.colombiacompra.gov.co/busqueda/conceptos</w:t>
        </w:r>
      </w:hyperlink>
      <w:r w:rsidRPr="00B778BC">
        <w:rPr>
          <w:rStyle w:val="normaltextrun"/>
          <w:rFonts w:ascii="Verdana" w:hAnsi="Verdana" w:cs="Arial"/>
          <w:color w:val="FF0000"/>
          <w:shd w:val="clear" w:color="auto" w:fill="FFFFFF"/>
          <w:lang w:val="es-ES"/>
        </w:rPr>
        <w:t xml:space="preserve">. </w:t>
      </w:r>
    </w:p>
    <w:p w14:paraId="59E888CC" w14:textId="77777777" w:rsidR="004A51DE" w:rsidRDefault="004A51DE" w:rsidP="004A51DE">
      <w:pPr>
        <w:spacing w:after="0" w:line="276" w:lineRule="auto"/>
        <w:jc w:val="both"/>
        <w:rPr>
          <w:rFonts w:ascii="Verdana" w:hAnsi="Verdana"/>
        </w:rPr>
      </w:pPr>
    </w:p>
    <w:p w14:paraId="48D4F1FF" w14:textId="77777777" w:rsidR="004A51DE" w:rsidRDefault="004A51DE" w:rsidP="004A51DE">
      <w:pPr>
        <w:spacing w:after="0" w:line="276" w:lineRule="auto"/>
        <w:jc w:val="both"/>
        <w:rPr>
          <w:rFonts w:ascii="Verdana" w:hAnsi="Verdana"/>
        </w:rPr>
      </w:pPr>
      <w:r>
        <w:rPr>
          <w:rFonts w:ascii="Verdana" w:hAnsi="Verdana"/>
        </w:rPr>
        <w:t xml:space="preserve">Por último, lo invitamos a seguirnos en las redes sociales en las cuales se difunde información institucional: </w:t>
      </w:r>
    </w:p>
    <w:p w14:paraId="2C548F17" w14:textId="77777777" w:rsidR="004A51DE" w:rsidRDefault="004A51DE" w:rsidP="004A51DE">
      <w:pPr>
        <w:spacing w:after="0" w:line="276" w:lineRule="auto"/>
        <w:jc w:val="both"/>
        <w:rPr>
          <w:rFonts w:ascii="Verdana" w:hAnsi="Verdana"/>
        </w:rPr>
      </w:pPr>
    </w:p>
    <w:p w14:paraId="43023BD3" w14:textId="77777777" w:rsidR="004A51DE" w:rsidRDefault="004A51DE" w:rsidP="004A51DE">
      <w:pPr>
        <w:spacing w:after="0" w:line="276" w:lineRule="auto"/>
        <w:jc w:val="both"/>
        <w:rPr>
          <w:rFonts w:ascii="Verdana" w:hAnsi="Verdana"/>
        </w:rPr>
      </w:pPr>
      <w:r>
        <w:rPr>
          <w:rFonts w:ascii="Verdana" w:hAnsi="Verdana"/>
        </w:rPr>
        <w:t xml:space="preserve">Twitter: </w:t>
      </w:r>
      <w:r>
        <w:rPr>
          <w:rStyle w:val="Hipervnculo"/>
          <w:rFonts w:ascii="Verdana" w:hAnsi="Verdana"/>
          <w:color w:val="4472C4" w:themeColor="accent1"/>
        </w:rPr>
        <w:t>@colombiacompra</w:t>
      </w:r>
      <w:r>
        <w:rPr>
          <w:rFonts w:ascii="Verdana" w:hAnsi="Verdana"/>
          <w:color w:val="4472C4" w:themeColor="accent1"/>
        </w:rPr>
        <w:t xml:space="preserve"> </w:t>
      </w:r>
    </w:p>
    <w:p w14:paraId="47BDD8A8" w14:textId="77777777" w:rsidR="004A51DE" w:rsidRDefault="004A51DE" w:rsidP="004A51DE">
      <w:pPr>
        <w:spacing w:after="0" w:line="276" w:lineRule="auto"/>
        <w:jc w:val="both"/>
        <w:rPr>
          <w:rFonts w:ascii="Verdana" w:hAnsi="Verdana"/>
        </w:rPr>
      </w:pPr>
      <w:r>
        <w:rPr>
          <w:rFonts w:ascii="Verdana" w:hAnsi="Verdana"/>
        </w:rPr>
        <w:t xml:space="preserve">Facebook: </w:t>
      </w:r>
      <w:proofErr w:type="spellStart"/>
      <w:r>
        <w:rPr>
          <w:rStyle w:val="Hipervnculo"/>
          <w:rFonts w:ascii="Verdana" w:hAnsi="Verdana"/>
          <w:color w:val="4472C4" w:themeColor="accent1"/>
        </w:rPr>
        <w:t>ColombiaCompraEficiente</w:t>
      </w:r>
      <w:proofErr w:type="spellEnd"/>
    </w:p>
    <w:p w14:paraId="592D780D" w14:textId="77777777" w:rsidR="004A51DE" w:rsidRDefault="004A51DE" w:rsidP="004A51DE">
      <w:pPr>
        <w:spacing w:after="0" w:line="276" w:lineRule="auto"/>
        <w:jc w:val="both"/>
        <w:rPr>
          <w:rFonts w:ascii="Verdana" w:hAnsi="Verdana"/>
        </w:rPr>
      </w:pPr>
      <w:r>
        <w:rPr>
          <w:rFonts w:ascii="Verdana" w:hAnsi="Verdana"/>
        </w:rPr>
        <w:t xml:space="preserve">LinkedIn: </w:t>
      </w:r>
      <w:r>
        <w:rPr>
          <w:rStyle w:val="Hipervnculo"/>
          <w:rFonts w:ascii="Verdana" w:hAnsi="Verdana"/>
          <w:color w:val="4472C4" w:themeColor="accent1"/>
        </w:rPr>
        <w:t>Agencia Nacional de Contratación Pública - Colombia Compra Eficiente</w:t>
      </w:r>
      <w:r>
        <w:rPr>
          <w:rFonts w:ascii="Verdana" w:hAnsi="Verdana"/>
          <w:color w:val="4472C4" w:themeColor="accent1"/>
        </w:rPr>
        <w:t xml:space="preserve"> </w:t>
      </w:r>
      <w:r>
        <w:rPr>
          <w:rFonts w:ascii="Verdana" w:hAnsi="Verdana"/>
        </w:rPr>
        <w:t xml:space="preserve">Instagram: </w:t>
      </w:r>
      <w:r>
        <w:rPr>
          <w:rStyle w:val="Hipervnculo"/>
          <w:rFonts w:ascii="Verdana" w:hAnsi="Verdana"/>
          <w:color w:val="4472C4" w:themeColor="accent1"/>
        </w:rPr>
        <w:t>@colombiacompraeficiente_cce</w:t>
      </w:r>
    </w:p>
    <w:p w14:paraId="40636E74" w14:textId="77777777" w:rsidR="004A51DE" w:rsidRDefault="004A51DE" w:rsidP="004A51DE">
      <w:pPr>
        <w:widowControl w:val="0"/>
        <w:autoSpaceDE w:val="0"/>
        <w:autoSpaceDN w:val="0"/>
        <w:spacing w:after="0" w:line="276" w:lineRule="auto"/>
        <w:jc w:val="both"/>
        <w:rPr>
          <w:rFonts w:ascii="Verdana" w:hAnsi="Verdana" w:cs="Arial"/>
        </w:rPr>
      </w:pPr>
    </w:p>
    <w:p w14:paraId="419128EA" w14:textId="77777777" w:rsidR="004A51DE" w:rsidRDefault="004A51DE" w:rsidP="004A51DE">
      <w:pPr>
        <w:widowControl w:val="0"/>
        <w:autoSpaceDE w:val="0"/>
        <w:autoSpaceDN w:val="0"/>
        <w:spacing w:after="0" w:line="276" w:lineRule="auto"/>
        <w:jc w:val="both"/>
        <w:rPr>
          <w:rFonts w:ascii="Verdana" w:hAnsi="Verdana" w:cs="Arial"/>
          <w:lang w:val="es-ES_tradnl"/>
        </w:rPr>
      </w:pPr>
      <w:r>
        <w:rPr>
          <w:rFonts w:ascii="Verdana" w:hAnsi="Verdana" w:cs="Arial"/>
        </w:rPr>
        <w:t xml:space="preserve">Este concepto tiene el alcance previsto en el artículo 28 del Código de Procedimiento Administrativo y de lo Contencioso Administrativo </w:t>
      </w:r>
      <w:r>
        <w:rPr>
          <w:rFonts w:ascii="Verdana" w:hAnsi="Verdana" w:cs="Arial"/>
          <w:lang w:val="es-ES_tradnl"/>
        </w:rPr>
        <w:t>y las expresiones aquí utilizadas con mayúscula inicial deben ser entendidas con el significado que les otorga el artículo 2.2.1.1.1.3.1. del Decreto 1082 de 2015.</w:t>
      </w:r>
    </w:p>
    <w:p w14:paraId="78DB6B80" w14:textId="77777777" w:rsidR="004A51DE" w:rsidRDefault="004A51DE" w:rsidP="004A51DE">
      <w:pPr>
        <w:widowControl w:val="0"/>
        <w:autoSpaceDE w:val="0"/>
        <w:autoSpaceDN w:val="0"/>
        <w:spacing w:after="0" w:line="276" w:lineRule="auto"/>
        <w:jc w:val="both"/>
        <w:rPr>
          <w:rFonts w:ascii="Verdana" w:hAnsi="Verdana" w:cs="Arial"/>
        </w:rPr>
      </w:pPr>
    </w:p>
    <w:p w14:paraId="14B80D2E" w14:textId="77777777" w:rsidR="004A51DE" w:rsidRDefault="004A51DE" w:rsidP="004A51DE">
      <w:pPr>
        <w:spacing w:after="0" w:line="276" w:lineRule="auto"/>
        <w:rPr>
          <w:rFonts w:ascii="Verdana" w:hAnsi="Verdana" w:cs="Arial"/>
          <w:lang w:eastAsia="es-CO"/>
        </w:rPr>
      </w:pPr>
      <w:r>
        <w:rPr>
          <w:rFonts w:ascii="Verdana" w:eastAsia="Times New Roman" w:hAnsi="Verdana" w:cs="Arial"/>
          <w:lang w:eastAsia="es-CO"/>
        </w:rPr>
        <w:t>Atentamente,</w:t>
      </w:r>
      <w:r>
        <w:rPr>
          <w:rFonts w:ascii="Verdana" w:hAnsi="Verdana" w:cs="Arial"/>
          <w:lang w:eastAsia="es-CO"/>
        </w:rPr>
        <w:t xml:space="preserve"> </w:t>
      </w:r>
    </w:p>
    <w:p w14:paraId="73DE64F7" w14:textId="17752393" w:rsidR="004A51DE" w:rsidRDefault="00D700A4" w:rsidP="004A51DE">
      <w:pPr>
        <w:spacing w:after="0" w:line="276" w:lineRule="auto"/>
        <w:jc w:val="center"/>
      </w:pPr>
      <w:r>
        <w:rPr>
          <w:noProof/>
        </w:rPr>
        <w:drawing>
          <wp:inline distT="0" distB="0" distL="0" distR="0" wp14:anchorId="03E2873D" wp14:editId="246AD18E">
            <wp:extent cx="3768725" cy="1399540"/>
            <wp:effectExtent l="0" t="0" r="3175" b="0"/>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A51DE" w14:paraId="1BE9D416" w14:textId="77777777" w:rsidTr="00F82976">
        <w:trPr>
          <w:trHeight w:val="315"/>
        </w:trPr>
        <w:tc>
          <w:tcPr>
            <w:tcW w:w="893" w:type="dxa"/>
            <w:vAlign w:val="center"/>
            <w:hideMark/>
          </w:tcPr>
          <w:p w14:paraId="35D44DF8" w14:textId="77777777" w:rsidR="004A51DE" w:rsidRDefault="004A51DE" w:rsidP="00F82976">
            <w:pPr>
              <w:spacing w:after="255"/>
              <w:contextualSpacing/>
              <w:rPr>
                <w:rFonts w:ascii="Verdana" w:hAnsi="Verdana" w:cs="Arial"/>
                <w:sz w:val="16"/>
                <w:szCs w:val="16"/>
                <w:lang w:val="es-ES" w:eastAsia="es-ES"/>
              </w:rPr>
            </w:pPr>
            <w:r>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CBFEED9" w14:textId="77777777" w:rsidR="004A51DE" w:rsidRDefault="004A51DE" w:rsidP="00F82976">
            <w:pPr>
              <w:spacing w:after="255"/>
              <w:contextualSpacing/>
              <w:rPr>
                <w:rFonts w:ascii="Verdana" w:eastAsia="Arial" w:hAnsi="Verdana" w:cs="Arial"/>
                <w:sz w:val="16"/>
                <w:szCs w:val="16"/>
              </w:rPr>
            </w:pPr>
            <w:r>
              <w:rPr>
                <w:rStyle w:val="normaltextrun"/>
                <w:rFonts w:ascii="Verdana" w:hAnsi="Verdana"/>
                <w:sz w:val="16"/>
                <w:szCs w:val="16"/>
              </w:rPr>
              <w:t xml:space="preserve">Catalina Cubides </w:t>
            </w:r>
            <w:proofErr w:type="spellStart"/>
            <w:r>
              <w:rPr>
                <w:rStyle w:val="normaltextrun"/>
                <w:rFonts w:ascii="Verdana" w:hAnsi="Verdana"/>
                <w:sz w:val="16"/>
                <w:szCs w:val="16"/>
              </w:rPr>
              <w:t>Estupiñan</w:t>
            </w:r>
            <w:proofErr w:type="spellEnd"/>
          </w:p>
          <w:p w14:paraId="5A3AC6CF" w14:textId="77777777" w:rsidR="004A51DE" w:rsidRDefault="004A51DE" w:rsidP="00F82976">
            <w:pPr>
              <w:spacing w:after="255"/>
              <w:contextualSpacing/>
              <w:rPr>
                <w:rFonts w:ascii="Verdana" w:eastAsia="Arial" w:hAnsi="Verdana" w:cs="Arial"/>
                <w:sz w:val="16"/>
                <w:szCs w:val="16"/>
              </w:rPr>
            </w:pPr>
            <w:r>
              <w:rPr>
                <w:rStyle w:val="normaltextrun"/>
                <w:rFonts w:ascii="Verdana" w:eastAsia="Arial" w:hAnsi="Verdana" w:cs="Arial"/>
                <w:sz w:val="16"/>
                <w:szCs w:val="16"/>
              </w:rPr>
              <w:t>C</w:t>
            </w:r>
            <w:r>
              <w:rPr>
                <w:rStyle w:val="normaltextrun"/>
                <w:rFonts w:ascii="Verdana" w:eastAsia="Arial" w:hAnsi="Verdana"/>
                <w:sz w:val="16"/>
                <w:szCs w:val="16"/>
              </w:rPr>
              <w:t>ontratista d</w:t>
            </w:r>
            <w:r>
              <w:rPr>
                <w:rStyle w:val="normaltextrun"/>
                <w:rFonts w:ascii="Verdana" w:eastAsia="Arial" w:hAnsi="Verdana" w:cs="Arial"/>
                <w:sz w:val="16"/>
                <w:szCs w:val="16"/>
              </w:rPr>
              <w:t>e la Subdirección de Gestión Contractual</w:t>
            </w:r>
          </w:p>
        </w:tc>
      </w:tr>
      <w:tr w:rsidR="004A51DE" w14:paraId="0105AE6C" w14:textId="77777777" w:rsidTr="00F82976">
        <w:trPr>
          <w:trHeight w:val="330"/>
        </w:trPr>
        <w:tc>
          <w:tcPr>
            <w:tcW w:w="893" w:type="dxa"/>
            <w:vAlign w:val="center"/>
            <w:hideMark/>
          </w:tcPr>
          <w:p w14:paraId="7479FE25" w14:textId="77777777" w:rsidR="004A51DE" w:rsidRDefault="004A51DE" w:rsidP="00F82976">
            <w:pPr>
              <w:spacing w:after="255"/>
              <w:contextualSpacing/>
              <w:rPr>
                <w:rFonts w:ascii="Verdana" w:hAnsi="Verdana" w:cs="Arial"/>
                <w:sz w:val="16"/>
                <w:szCs w:val="16"/>
                <w:lang w:val="es-ES" w:eastAsia="es-ES"/>
              </w:rPr>
            </w:pPr>
            <w:r>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717CD74" w14:textId="77777777" w:rsidR="004A51DE" w:rsidRDefault="004A51DE" w:rsidP="00F82976">
            <w:pPr>
              <w:pStyle w:val="paragraph"/>
              <w:spacing w:before="0" w:beforeAutospacing="0" w:after="0" w:afterAutospacing="0"/>
              <w:contextualSpacing/>
              <w:textAlignment w:val="baseline"/>
              <w:rPr>
                <w:rFonts w:ascii="Verdana" w:hAnsi="Verdana" w:cs="Segoe UI"/>
                <w:sz w:val="16"/>
                <w:szCs w:val="16"/>
                <w:lang w:eastAsia="es-ES_tradnl"/>
              </w:rPr>
            </w:pPr>
            <w:r>
              <w:rPr>
                <w:rFonts w:ascii="Verdana" w:hAnsi="Verdana" w:cs="Segoe UI"/>
                <w:sz w:val="16"/>
                <w:szCs w:val="16"/>
              </w:rPr>
              <w:t>Juan Carlos González Vásquez</w:t>
            </w:r>
          </w:p>
          <w:p w14:paraId="37317FEE" w14:textId="77777777" w:rsidR="004A51DE" w:rsidRDefault="004A51DE" w:rsidP="00F82976">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 de la Subdirección de Gestión Contractual</w:t>
            </w:r>
            <w:r>
              <w:rPr>
                <w:rStyle w:val="eop"/>
                <w:rFonts w:ascii="Verdana" w:hAnsi="Verdana" w:cs="Arial"/>
                <w:sz w:val="16"/>
                <w:szCs w:val="16"/>
              </w:rPr>
              <w:t> </w:t>
            </w:r>
          </w:p>
        </w:tc>
      </w:tr>
      <w:tr w:rsidR="004A51DE" w14:paraId="7BC997D3" w14:textId="77777777" w:rsidTr="00F82976">
        <w:trPr>
          <w:trHeight w:val="300"/>
        </w:trPr>
        <w:tc>
          <w:tcPr>
            <w:tcW w:w="893" w:type="dxa"/>
            <w:vAlign w:val="center"/>
            <w:hideMark/>
          </w:tcPr>
          <w:p w14:paraId="52011A5C" w14:textId="77777777" w:rsidR="004A51DE" w:rsidRDefault="004A51DE" w:rsidP="00F82976">
            <w:pPr>
              <w:spacing w:after="255"/>
              <w:contextualSpacing/>
              <w:rPr>
                <w:rFonts w:ascii="Verdana" w:hAnsi="Verdana" w:cs="Arial"/>
                <w:sz w:val="16"/>
                <w:szCs w:val="16"/>
                <w:lang w:val="es-ES" w:eastAsia="es-ES"/>
              </w:rPr>
            </w:pPr>
            <w:r>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F5D0CF3" w14:textId="77777777" w:rsidR="004A51DE" w:rsidRDefault="004A51DE" w:rsidP="00F82976">
            <w:pPr>
              <w:spacing w:after="255"/>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Carolina Quintero </w:t>
            </w:r>
            <w:proofErr w:type="spellStart"/>
            <w:r>
              <w:rPr>
                <w:rFonts w:ascii="Verdana" w:eastAsia="Calibri" w:hAnsi="Verdana" w:cs="Arial"/>
                <w:sz w:val="16"/>
                <w:szCs w:val="16"/>
                <w:lang w:val="pt-BR" w:eastAsia="es-ES"/>
              </w:rPr>
              <w:t>Gacharná</w:t>
            </w:r>
            <w:proofErr w:type="spellEnd"/>
          </w:p>
          <w:p w14:paraId="7FC676D4" w14:textId="77777777" w:rsidR="004A51DE" w:rsidRDefault="004A51DE" w:rsidP="00F82976">
            <w:pPr>
              <w:spacing w:after="255"/>
              <w:contextualSpacing/>
              <w:rPr>
                <w:rFonts w:ascii="Verdana" w:eastAsia="Calibri" w:hAnsi="Verdana" w:cs="Arial"/>
                <w:sz w:val="16"/>
                <w:szCs w:val="16"/>
                <w:lang w:val="pt-BR" w:eastAsia="es-ES"/>
              </w:rPr>
            </w:pPr>
            <w:r>
              <w:rPr>
                <w:rFonts w:ascii="Verdana" w:eastAsia="Calibri" w:hAnsi="Verdana" w:cs="Arial"/>
                <w:sz w:val="16"/>
                <w:szCs w:val="16"/>
                <w:lang w:eastAsia="es-ES"/>
              </w:rPr>
              <w:t>Subdirectora</w:t>
            </w:r>
            <w:r>
              <w:rPr>
                <w:rFonts w:ascii="Verdana" w:eastAsia="Calibri" w:hAnsi="Verdana" w:cs="Arial"/>
                <w:sz w:val="16"/>
                <w:szCs w:val="16"/>
                <w:lang w:val="pt-BR" w:eastAsia="es-ES"/>
              </w:rPr>
              <w:t xml:space="preserve"> de </w:t>
            </w:r>
            <w:proofErr w:type="spellStart"/>
            <w:r>
              <w:rPr>
                <w:rFonts w:ascii="Verdana" w:eastAsia="Calibri" w:hAnsi="Verdana" w:cs="Arial"/>
                <w:sz w:val="16"/>
                <w:szCs w:val="16"/>
                <w:lang w:val="pt-BR" w:eastAsia="es-ES"/>
              </w:rPr>
              <w:t>Gestión</w:t>
            </w:r>
            <w:proofErr w:type="spellEnd"/>
            <w:r>
              <w:rPr>
                <w:rFonts w:ascii="Verdana" w:eastAsia="Calibri" w:hAnsi="Verdana" w:cs="Arial"/>
                <w:sz w:val="16"/>
                <w:szCs w:val="16"/>
                <w:lang w:val="pt-BR" w:eastAsia="es-ES"/>
              </w:rPr>
              <w:t xml:space="preserve"> </w:t>
            </w:r>
            <w:proofErr w:type="spellStart"/>
            <w:r>
              <w:rPr>
                <w:rFonts w:ascii="Verdana" w:eastAsia="Calibri" w:hAnsi="Verdana" w:cs="Arial"/>
                <w:sz w:val="16"/>
                <w:szCs w:val="16"/>
                <w:lang w:val="pt-BR" w:eastAsia="es-ES"/>
              </w:rPr>
              <w:t>Contractual</w:t>
            </w:r>
            <w:proofErr w:type="spellEnd"/>
            <w:r>
              <w:rPr>
                <w:rFonts w:ascii="Verdana" w:eastAsia="Calibri" w:hAnsi="Verdana" w:cs="Arial"/>
                <w:sz w:val="16"/>
                <w:szCs w:val="16"/>
                <w:lang w:val="pt-BR" w:eastAsia="es-ES"/>
              </w:rPr>
              <w:t xml:space="preserve"> ANCP – CCE </w:t>
            </w:r>
          </w:p>
        </w:tc>
      </w:tr>
    </w:tbl>
    <w:p w14:paraId="7FD280BF" w14:textId="77777777" w:rsidR="004A51DE" w:rsidRPr="001249F1" w:rsidRDefault="004A51DE" w:rsidP="004A51DE"/>
    <w:p w14:paraId="49A20C68" w14:textId="77777777" w:rsidR="004A51DE" w:rsidRPr="0044528D" w:rsidRDefault="004A51DE" w:rsidP="004A51DE">
      <w:pPr>
        <w:spacing w:after="0"/>
        <w:rPr>
          <w:rFonts w:ascii="Verdana" w:eastAsia="Times New Roman" w:hAnsi="Verdana" w:cs="Segoe UI"/>
          <w:b/>
          <w:bCs/>
          <w:color w:val="46589C"/>
          <w:lang w:val="es-ES" w:eastAsia="es-CO"/>
        </w:rPr>
      </w:pPr>
    </w:p>
    <w:p w14:paraId="68C2D6B5" w14:textId="77777777" w:rsidR="004A51DE" w:rsidRPr="00046945" w:rsidRDefault="004A51DE" w:rsidP="004A51DE">
      <w:pPr>
        <w:spacing w:after="0"/>
        <w:rPr>
          <w:rFonts w:ascii="Verdana" w:eastAsia="Times New Roman" w:hAnsi="Verdana" w:cs="Segoe UI"/>
          <w:sz w:val="18"/>
          <w:szCs w:val="18"/>
          <w:lang w:eastAsia="es-CO"/>
        </w:rPr>
      </w:pPr>
    </w:p>
    <w:p w14:paraId="2E710789" w14:textId="77777777" w:rsidR="004A51DE" w:rsidRPr="0015699B" w:rsidRDefault="004A51DE" w:rsidP="004A51DE">
      <w:pPr>
        <w:spacing w:after="0"/>
        <w:rPr>
          <w:rFonts w:ascii="Verdana" w:eastAsia="Times New Roman" w:hAnsi="Verdana" w:cs="Segoe UI"/>
          <w:lang w:eastAsia="es-CO"/>
        </w:rPr>
      </w:pPr>
    </w:p>
    <w:bookmarkEnd w:id="0"/>
    <w:p w14:paraId="12443EE0" w14:textId="77777777" w:rsidR="00C15139" w:rsidRPr="0024624F" w:rsidRDefault="00C15139" w:rsidP="00C15139">
      <w:pPr>
        <w:spacing w:after="0"/>
        <w:rPr>
          <w:rFonts w:ascii="Verdana" w:hAnsi="Verdana"/>
        </w:rPr>
      </w:pPr>
    </w:p>
    <w:sectPr w:rsidR="00C15139" w:rsidRPr="0024624F"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A69CA" w14:textId="77777777" w:rsidR="00265FDE" w:rsidRDefault="00265FDE" w:rsidP="004A1847">
      <w:pPr>
        <w:spacing w:after="0" w:line="240" w:lineRule="auto"/>
      </w:pPr>
      <w:r>
        <w:separator/>
      </w:r>
    </w:p>
  </w:endnote>
  <w:endnote w:type="continuationSeparator" w:id="0">
    <w:p w14:paraId="2401B413" w14:textId="77777777" w:rsidR="00265FDE" w:rsidRDefault="00265FD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BCDHEE+Verdana">
    <w:altName w:val="Verdana"/>
    <w:charset w:val="00"/>
    <w:family w:val="swiss"/>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5BCEE" w14:textId="77777777" w:rsidR="00265FDE" w:rsidRDefault="00265FDE" w:rsidP="004A1847">
      <w:pPr>
        <w:spacing w:after="0" w:line="240" w:lineRule="auto"/>
      </w:pPr>
      <w:r>
        <w:separator/>
      </w:r>
    </w:p>
  </w:footnote>
  <w:footnote w:type="continuationSeparator" w:id="0">
    <w:p w14:paraId="7955C751" w14:textId="77777777" w:rsidR="00265FDE" w:rsidRDefault="00265FDE" w:rsidP="004A1847">
      <w:pPr>
        <w:spacing w:after="0" w:line="240" w:lineRule="auto"/>
      </w:pPr>
      <w:r>
        <w:continuationSeparator/>
      </w:r>
    </w:p>
  </w:footnote>
  <w:footnote w:id="1">
    <w:p w14:paraId="076BE95C" w14:textId="77777777" w:rsidR="004A51DE" w:rsidRPr="00C05384" w:rsidRDefault="004A51DE" w:rsidP="004A51DE">
      <w:pPr>
        <w:pStyle w:val="Textonotapie"/>
        <w:contextualSpacing/>
        <w:jc w:val="both"/>
        <w:rPr>
          <w:rFonts w:ascii="Verdana" w:hAnsi="Verdana" w:cs="Arial"/>
          <w:sz w:val="16"/>
          <w:szCs w:val="16"/>
        </w:rPr>
      </w:pPr>
      <w:r>
        <w:rPr>
          <w:rFonts w:ascii="Verdana" w:hAnsi="Verdana" w:cs="Arial"/>
          <w:sz w:val="16"/>
          <w:szCs w:val="16"/>
        </w:rPr>
        <w:tab/>
      </w:r>
      <w:r w:rsidRPr="00C05384">
        <w:rPr>
          <w:rStyle w:val="Refdenotaalpie"/>
          <w:rFonts w:ascii="Verdana" w:hAnsi="Verdana" w:cs="Arial"/>
          <w:sz w:val="16"/>
          <w:szCs w:val="16"/>
        </w:rPr>
        <w:footnoteRef/>
      </w:r>
      <w:r w:rsidRPr="00C05384">
        <w:rPr>
          <w:rFonts w:ascii="Verdana" w:hAnsi="Verdana" w:cs="Arial"/>
          <w:sz w:val="16"/>
          <w:szCs w:val="16"/>
        </w:rPr>
        <w:t xml:space="preserve"> Gaceta del Congreso de la República No. 71 del 2005.</w:t>
      </w:r>
    </w:p>
  </w:footnote>
  <w:footnote w:id="2">
    <w:p w14:paraId="51E431A2" w14:textId="77777777" w:rsidR="004A51DE" w:rsidRPr="00C05384" w:rsidRDefault="004A51DE" w:rsidP="004A51DE">
      <w:pPr>
        <w:pStyle w:val="Textonotapie"/>
        <w:ind w:firstLine="709"/>
        <w:contextualSpacing/>
        <w:jc w:val="both"/>
        <w:rPr>
          <w:rFonts w:ascii="Verdana" w:hAnsi="Verdana" w:cs="Arial"/>
          <w:sz w:val="16"/>
          <w:szCs w:val="16"/>
          <w:lang w:val="pt-BR"/>
        </w:rPr>
      </w:pPr>
      <w:r w:rsidRPr="00C05384">
        <w:rPr>
          <w:rStyle w:val="Refdenotaalpie"/>
          <w:rFonts w:ascii="Verdana" w:hAnsi="Verdana" w:cs="Arial"/>
          <w:sz w:val="16"/>
          <w:szCs w:val="16"/>
        </w:rPr>
        <w:footnoteRef/>
      </w:r>
      <w:r w:rsidRPr="00C05384">
        <w:rPr>
          <w:rFonts w:ascii="Verdana" w:hAnsi="Verdana" w:cs="Arial"/>
          <w:sz w:val="16"/>
          <w:szCs w:val="16"/>
          <w:lang w:val="pt-BR"/>
        </w:rPr>
        <w:t xml:space="preserve"> Corte Constitucional, Sentencia C- 1153 de 2005, M.P. Marco Gerardo </w:t>
      </w:r>
      <w:proofErr w:type="spellStart"/>
      <w:r w:rsidRPr="00C05384">
        <w:rPr>
          <w:rFonts w:ascii="Verdana" w:hAnsi="Verdana" w:cs="Arial"/>
          <w:sz w:val="16"/>
          <w:szCs w:val="16"/>
          <w:lang w:val="pt-BR"/>
        </w:rPr>
        <w:t>Monroy</w:t>
      </w:r>
      <w:proofErr w:type="spellEnd"/>
      <w:r w:rsidRPr="00C05384">
        <w:rPr>
          <w:rFonts w:ascii="Verdana" w:hAnsi="Verdana" w:cs="Arial"/>
          <w:sz w:val="16"/>
          <w:szCs w:val="16"/>
          <w:lang w:val="pt-BR"/>
        </w:rPr>
        <w:t xml:space="preserve"> Cabra.</w:t>
      </w:r>
    </w:p>
  </w:footnote>
  <w:footnote w:id="3">
    <w:p w14:paraId="3A50EB12" w14:textId="77777777" w:rsidR="004A51DE" w:rsidRPr="00C05384" w:rsidRDefault="004A51DE" w:rsidP="004A51DE">
      <w:pPr>
        <w:pStyle w:val="Textonotapie"/>
        <w:ind w:firstLine="709"/>
        <w:contextualSpacing/>
        <w:jc w:val="both"/>
        <w:rPr>
          <w:rFonts w:ascii="Verdana" w:hAnsi="Verdana" w:cs="Arial"/>
          <w:sz w:val="16"/>
          <w:szCs w:val="16"/>
          <w:lang w:val="pt-BR"/>
        </w:rPr>
      </w:pPr>
      <w:r w:rsidRPr="00C05384">
        <w:rPr>
          <w:rStyle w:val="Refdenotaalpie"/>
          <w:rFonts w:ascii="Verdana" w:hAnsi="Verdana" w:cs="Arial"/>
          <w:sz w:val="16"/>
          <w:szCs w:val="16"/>
        </w:rPr>
        <w:footnoteRef/>
      </w:r>
      <w:r w:rsidRPr="00C05384">
        <w:rPr>
          <w:rFonts w:ascii="Verdana" w:hAnsi="Verdana" w:cs="Arial"/>
          <w:sz w:val="16"/>
          <w:szCs w:val="16"/>
          <w:lang w:val="pt-BR"/>
        </w:rPr>
        <w:t xml:space="preserve"> Corte Constitucional. Sentencias: C-233 de 4 de abril de 2002, expediente: D-3704; C-551 de 9 de </w:t>
      </w:r>
      <w:proofErr w:type="spellStart"/>
      <w:r w:rsidRPr="00C05384">
        <w:rPr>
          <w:rFonts w:ascii="Verdana" w:hAnsi="Verdana" w:cs="Arial"/>
          <w:sz w:val="16"/>
          <w:szCs w:val="16"/>
          <w:lang w:val="pt-BR"/>
        </w:rPr>
        <w:t>julio</w:t>
      </w:r>
      <w:proofErr w:type="spellEnd"/>
      <w:r w:rsidRPr="00C05384">
        <w:rPr>
          <w:rFonts w:ascii="Verdana" w:hAnsi="Verdana" w:cs="Arial"/>
          <w:sz w:val="16"/>
          <w:szCs w:val="16"/>
          <w:lang w:val="pt-BR"/>
        </w:rPr>
        <w:t xml:space="preserve"> de 2003, expediente: CRF-001 de 9 de </w:t>
      </w:r>
      <w:proofErr w:type="spellStart"/>
      <w:r w:rsidRPr="00C05384">
        <w:rPr>
          <w:rFonts w:ascii="Verdana" w:hAnsi="Verdana" w:cs="Arial"/>
          <w:sz w:val="16"/>
          <w:szCs w:val="16"/>
          <w:lang w:val="pt-BR"/>
        </w:rPr>
        <w:t>julio</w:t>
      </w:r>
      <w:proofErr w:type="spellEnd"/>
      <w:r w:rsidRPr="00C05384">
        <w:rPr>
          <w:rFonts w:ascii="Verdana" w:hAnsi="Verdana" w:cs="Arial"/>
          <w:sz w:val="16"/>
          <w:szCs w:val="16"/>
          <w:lang w:val="pt-BR"/>
        </w:rPr>
        <w:t xml:space="preserve"> de 2003; C-652 de 5 de agosto de 2003, expediente: D-4330; C-353 de 20 de </w:t>
      </w:r>
      <w:proofErr w:type="spellStart"/>
      <w:r w:rsidRPr="00C05384">
        <w:rPr>
          <w:rFonts w:ascii="Verdana" w:hAnsi="Verdana" w:cs="Arial"/>
          <w:sz w:val="16"/>
          <w:szCs w:val="16"/>
          <w:lang w:val="pt-BR"/>
        </w:rPr>
        <w:t>mayo</w:t>
      </w:r>
      <w:proofErr w:type="spellEnd"/>
      <w:r w:rsidRPr="00C05384">
        <w:rPr>
          <w:rFonts w:ascii="Verdana" w:hAnsi="Verdana" w:cs="Arial"/>
          <w:sz w:val="16"/>
          <w:szCs w:val="16"/>
          <w:lang w:val="pt-BR"/>
        </w:rPr>
        <w:t xml:space="preserve"> de 2009, expediente: D-7518, C-541 de 30 de </w:t>
      </w:r>
      <w:proofErr w:type="spellStart"/>
      <w:r w:rsidRPr="00C05384">
        <w:rPr>
          <w:rFonts w:ascii="Verdana" w:hAnsi="Verdana" w:cs="Arial"/>
          <w:sz w:val="16"/>
          <w:szCs w:val="16"/>
          <w:lang w:val="pt-BR"/>
        </w:rPr>
        <w:t>junio</w:t>
      </w:r>
      <w:proofErr w:type="spellEnd"/>
      <w:r w:rsidRPr="00C05384">
        <w:rPr>
          <w:rFonts w:ascii="Verdana" w:hAnsi="Verdana" w:cs="Arial"/>
          <w:sz w:val="16"/>
          <w:szCs w:val="16"/>
          <w:lang w:val="pt-BR"/>
        </w:rPr>
        <w:t xml:space="preserve"> de 2010, expediente: DD7966; entre </w:t>
      </w:r>
      <w:proofErr w:type="spellStart"/>
      <w:r w:rsidRPr="00C05384">
        <w:rPr>
          <w:rFonts w:ascii="Verdana" w:hAnsi="Verdana" w:cs="Arial"/>
          <w:sz w:val="16"/>
          <w:szCs w:val="16"/>
          <w:lang w:val="pt-BR"/>
        </w:rPr>
        <w:t>otras</w:t>
      </w:r>
      <w:proofErr w:type="spellEnd"/>
      <w:r w:rsidRPr="00C05384">
        <w:rPr>
          <w:rFonts w:ascii="Verdana" w:hAnsi="Verdana" w:cs="Arial"/>
          <w:sz w:val="16"/>
          <w:szCs w:val="16"/>
          <w:lang w:val="pt-BR"/>
        </w:rPr>
        <w:t>.</w:t>
      </w:r>
    </w:p>
  </w:footnote>
  <w:footnote w:id="4">
    <w:p w14:paraId="4D56D580" w14:textId="77777777" w:rsidR="004A51DE" w:rsidRPr="00C05384" w:rsidRDefault="004A51DE" w:rsidP="004A51DE">
      <w:pPr>
        <w:pStyle w:val="Textonotapie"/>
        <w:ind w:firstLine="709"/>
        <w:contextualSpacing/>
        <w:jc w:val="both"/>
        <w:rPr>
          <w:rFonts w:ascii="Verdana" w:hAnsi="Verdana" w:cs="Arial"/>
          <w:sz w:val="16"/>
          <w:szCs w:val="16"/>
          <w:lang w:val="es-CO"/>
        </w:rPr>
      </w:pPr>
      <w:r w:rsidRPr="00C05384">
        <w:rPr>
          <w:rStyle w:val="Refdenotaalpie"/>
          <w:rFonts w:ascii="Verdana" w:hAnsi="Verdana" w:cs="Arial"/>
          <w:sz w:val="16"/>
          <w:szCs w:val="16"/>
        </w:rPr>
        <w:footnoteRef/>
      </w:r>
      <w:r w:rsidRPr="00C05384">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5">
    <w:p w14:paraId="17495FAD" w14:textId="77777777" w:rsidR="004A51DE" w:rsidRPr="00C05384" w:rsidRDefault="004A51DE" w:rsidP="004A51DE">
      <w:pPr>
        <w:pStyle w:val="Textonotapie"/>
        <w:ind w:firstLine="709"/>
        <w:contextualSpacing/>
        <w:jc w:val="both"/>
        <w:rPr>
          <w:rFonts w:ascii="Verdana" w:hAnsi="Verdana" w:cs="Arial"/>
          <w:sz w:val="16"/>
          <w:szCs w:val="16"/>
        </w:rPr>
      </w:pPr>
      <w:r w:rsidRPr="00C05384">
        <w:rPr>
          <w:rStyle w:val="Refdenotaalpie"/>
          <w:rFonts w:ascii="Verdana" w:hAnsi="Verdana" w:cs="Arial"/>
          <w:sz w:val="16"/>
          <w:szCs w:val="16"/>
        </w:rPr>
        <w:footnoteRef/>
      </w:r>
      <w:r w:rsidRPr="00C05384">
        <w:rPr>
          <w:rFonts w:ascii="Verdana" w:hAnsi="Verdana" w:cs="Arial"/>
          <w:sz w:val="16"/>
          <w:szCs w:val="16"/>
        </w:rPr>
        <w:t xml:space="preserve"> Consejo de Estado, Sala de Consulta y Servicio Civil de fecha 24 de julio de 2013, Rad. 2166, C. P. Álvaro </w:t>
      </w:r>
      <w:proofErr w:type="spellStart"/>
      <w:r w:rsidRPr="00C05384">
        <w:rPr>
          <w:rFonts w:ascii="Verdana" w:hAnsi="Verdana" w:cs="Arial"/>
          <w:sz w:val="16"/>
          <w:szCs w:val="16"/>
        </w:rPr>
        <w:t>Namén</w:t>
      </w:r>
      <w:proofErr w:type="spellEnd"/>
      <w:r w:rsidRPr="00C05384">
        <w:rPr>
          <w:rFonts w:ascii="Verdana" w:hAnsi="Verdana" w:cs="Arial"/>
          <w:sz w:val="16"/>
          <w:szCs w:val="16"/>
        </w:rPr>
        <w:t xml:space="preserve"> Vargas.  </w:t>
      </w:r>
    </w:p>
  </w:footnote>
  <w:footnote w:id="6">
    <w:p w14:paraId="74E830F5" w14:textId="77777777" w:rsidR="004A51DE" w:rsidRPr="00E657A2" w:rsidRDefault="004A51DE" w:rsidP="004A51DE">
      <w:pPr>
        <w:pStyle w:val="Textonotapie"/>
        <w:ind w:firstLine="709"/>
        <w:jc w:val="both"/>
        <w:rPr>
          <w:rFonts w:ascii="Verdana" w:hAnsi="Verdana" w:cs="Arial"/>
          <w:sz w:val="16"/>
          <w:szCs w:val="16"/>
          <w:lang w:val="es-CO"/>
        </w:rPr>
      </w:pPr>
      <w:r w:rsidRPr="00E657A2">
        <w:rPr>
          <w:rStyle w:val="Refdenotaalpie"/>
          <w:rFonts w:ascii="Verdana" w:hAnsi="Verdana"/>
          <w:sz w:val="16"/>
          <w:szCs w:val="16"/>
        </w:rPr>
        <w:footnoteRef/>
      </w:r>
      <w:r w:rsidRPr="00E657A2">
        <w:rPr>
          <w:rFonts w:ascii="Verdana" w:hAnsi="Verdana"/>
          <w:sz w:val="16"/>
          <w:szCs w:val="16"/>
          <w:lang w:val="es-CO"/>
        </w:rPr>
        <w:t xml:space="preserve"> Consejo de Estado, Sección Tercera. Auto del 4 de octubre de 2024. </w:t>
      </w:r>
      <w:proofErr w:type="spellStart"/>
      <w:r w:rsidRPr="00E657A2">
        <w:rPr>
          <w:rFonts w:ascii="Verdana" w:hAnsi="Verdana"/>
          <w:sz w:val="16"/>
          <w:szCs w:val="16"/>
          <w:lang w:val="es-CO"/>
        </w:rPr>
        <w:t>Exp</w:t>
      </w:r>
      <w:proofErr w:type="spellEnd"/>
      <w:r w:rsidRPr="00E657A2">
        <w:rPr>
          <w:rFonts w:ascii="Verdana" w:hAnsi="Verdana"/>
          <w:sz w:val="16"/>
          <w:szCs w:val="16"/>
          <w:lang w:val="es-CO"/>
        </w:rPr>
        <w:t>. 70.313. C.P: Fredy Ibarra Martínez</w:t>
      </w:r>
    </w:p>
  </w:footnote>
  <w:footnote w:id="7">
    <w:p w14:paraId="0AAB214A" w14:textId="77777777" w:rsidR="004A51DE" w:rsidRPr="00E657A2" w:rsidRDefault="004A51DE" w:rsidP="004A51DE">
      <w:pPr>
        <w:pStyle w:val="Textonotapie"/>
        <w:ind w:firstLine="709"/>
        <w:jc w:val="both"/>
        <w:rPr>
          <w:rFonts w:ascii="Verdana" w:hAnsi="Verdana"/>
          <w:sz w:val="16"/>
          <w:szCs w:val="16"/>
          <w:lang w:val="es-CO"/>
        </w:rPr>
      </w:pPr>
      <w:r w:rsidRPr="00E657A2">
        <w:rPr>
          <w:rStyle w:val="Refdenotaalpie"/>
          <w:sz w:val="16"/>
          <w:szCs w:val="16"/>
        </w:rPr>
        <w:footnoteRef/>
      </w:r>
      <w:r w:rsidRPr="00E657A2">
        <w:rPr>
          <w:sz w:val="16"/>
          <w:szCs w:val="16"/>
        </w:rPr>
        <w:t xml:space="preserve"> L</w:t>
      </w:r>
      <w:r w:rsidRPr="00E657A2">
        <w:rPr>
          <w:rFonts w:ascii="Verdana" w:hAnsi="Verdana"/>
          <w:sz w:val="16"/>
          <w:szCs w:val="16"/>
        </w:rPr>
        <w:t>a parte resolutiva del auto dispone lo siguiente; “</w:t>
      </w:r>
      <w:r w:rsidRPr="00E657A2">
        <w:rPr>
          <w:rFonts w:ascii="Verdana" w:hAnsi="Verdana"/>
          <w:b/>
          <w:bCs/>
          <w:sz w:val="16"/>
          <w:szCs w:val="16"/>
          <w:lang w:val="es-CO"/>
        </w:rPr>
        <w:t xml:space="preserve">PRIMERO: DECRETAR </w:t>
      </w:r>
      <w:r w:rsidRPr="00E657A2">
        <w:rPr>
          <w:rFonts w:ascii="Verdana" w:hAnsi="Verdana"/>
          <w:sz w:val="16"/>
          <w:szCs w:val="16"/>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E657A2">
        <w:rPr>
          <w:rFonts w:ascii="Verdana" w:hAnsi="Verdana"/>
          <w:i/>
          <w:iCs/>
          <w:sz w:val="16"/>
          <w:szCs w:val="16"/>
          <w:lang w:val="es-CO"/>
        </w:rPr>
        <w:t>“[e]</w:t>
      </w:r>
      <w:proofErr w:type="spellStart"/>
      <w:r w:rsidRPr="00E657A2">
        <w:rPr>
          <w:rFonts w:ascii="Verdana" w:hAnsi="Verdana"/>
          <w:i/>
          <w:iCs/>
          <w:sz w:val="16"/>
          <w:szCs w:val="16"/>
          <w:lang w:val="es-CO"/>
        </w:rPr>
        <w:t>sta</w:t>
      </w:r>
      <w:proofErr w:type="spellEnd"/>
      <w:r w:rsidRPr="00E657A2">
        <w:rPr>
          <w:rFonts w:ascii="Verdana" w:hAnsi="Verdana"/>
          <w:i/>
          <w:iCs/>
          <w:sz w:val="16"/>
          <w:szCs w:val="16"/>
          <w:lang w:val="es-CO"/>
        </w:rPr>
        <w:t xml:space="preserve">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E657A2">
        <w:rPr>
          <w:rFonts w:ascii="Verdana" w:hAnsi="Verdana"/>
          <w:sz w:val="16"/>
          <w:szCs w:val="16"/>
          <w:lang w:val="es-CO"/>
        </w:rPr>
        <w:t xml:space="preserve">, por las razones expuestas en precedencia. </w:t>
      </w:r>
    </w:p>
    <w:p w14:paraId="6228D824" w14:textId="77777777" w:rsidR="004A51DE" w:rsidRPr="00E657A2" w:rsidRDefault="004A51DE" w:rsidP="004A51DE">
      <w:pPr>
        <w:pStyle w:val="Textonotapie"/>
        <w:ind w:firstLine="709"/>
        <w:jc w:val="both"/>
        <w:rPr>
          <w:rFonts w:ascii="Verdana" w:hAnsi="Verdana" w:cs="Arial"/>
          <w:sz w:val="16"/>
          <w:szCs w:val="16"/>
          <w:lang w:val="es-CO"/>
        </w:rPr>
      </w:pPr>
      <w:r w:rsidRPr="00E657A2">
        <w:rPr>
          <w:rFonts w:ascii="Verdana" w:hAnsi="Verdana"/>
          <w:b/>
          <w:bCs/>
          <w:sz w:val="16"/>
          <w:szCs w:val="16"/>
          <w:lang w:val="es-CO"/>
        </w:rPr>
        <w:t xml:space="preserve">SEGUNDO: DECRETAR </w:t>
      </w:r>
      <w:r w:rsidRPr="00E657A2">
        <w:rPr>
          <w:rFonts w:ascii="Verdana" w:hAnsi="Verdana"/>
          <w:sz w:val="16"/>
          <w:szCs w:val="16"/>
          <w:lang w:val="es-CO"/>
        </w:rPr>
        <w:t>la suspensión provisional de la expresión “</w:t>
      </w:r>
      <w:r w:rsidRPr="00E657A2">
        <w:rPr>
          <w:rFonts w:ascii="Verdana" w:hAnsi="Verdana"/>
          <w:i/>
          <w:iCs/>
          <w:sz w:val="16"/>
          <w:szCs w:val="16"/>
          <w:lang w:val="es-CO"/>
        </w:rPr>
        <w:t>contratos</w:t>
      </w:r>
      <w:r w:rsidRPr="00E657A2">
        <w:rPr>
          <w:rFonts w:ascii="Verdana" w:hAnsi="Verdana"/>
          <w:sz w:val="16"/>
          <w:szCs w:val="16"/>
          <w:lang w:val="es-CO"/>
        </w:rPr>
        <w:t xml:space="preserve">” y del párrafo </w:t>
      </w:r>
      <w:r w:rsidRPr="00E657A2">
        <w:rPr>
          <w:rFonts w:ascii="Verdana" w:hAnsi="Verdana"/>
          <w:i/>
          <w:iCs/>
          <w:sz w:val="16"/>
          <w:szCs w:val="16"/>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E657A2">
        <w:rPr>
          <w:rFonts w:ascii="Verdana" w:hAnsi="Verdana"/>
          <w:sz w:val="16"/>
          <w:szCs w:val="16"/>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w:t>
      </w:r>
      <w:proofErr w:type="spellStart"/>
      <w:r w:rsidRPr="00E657A2">
        <w:rPr>
          <w:rFonts w:ascii="Verdana" w:hAnsi="Verdana"/>
          <w:sz w:val="16"/>
          <w:szCs w:val="16"/>
          <w:lang w:val="es-CO"/>
        </w:rPr>
        <w:t>Exp</w:t>
      </w:r>
      <w:proofErr w:type="spellEnd"/>
      <w:r w:rsidRPr="00E657A2">
        <w:rPr>
          <w:rFonts w:ascii="Verdana" w:hAnsi="Verdana"/>
          <w:sz w:val="16"/>
          <w:szCs w:val="16"/>
          <w:lang w:val="es-CO"/>
        </w:rPr>
        <w:t xml:space="preserve">. 72.424. C.P: Fernando </w:t>
      </w:r>
      <w:proofErr w:type="spellStart"/>
      <w:r w:rsidRPr="00E657A2">
        <w:rPr>
          <w:rFonts w:ascii="Verdana" w:hAnsi="Verdana"/>
          <w:sz w:val="16"/>
          <w:szCs w:val="16"/>
          <w:lang w:val="es-CO"/>
        </w:rPr>
        <w:t>Alexei</w:t>
      </w:r>
      <w:proofErr w:type="spellEnd"/>
      <w:r w:rsidRPr="00E657A2">
        <w:rPr>
          <w:rFonts w:ascii="Verdana" w:hAnsi="Verdana"/>
          <w:sz w:val="16"/>
          <w:szCs w:val="16"/>
          <w:lang w:val="es-CO"/>
        </w:rPr>
        <w:t xml:space="preserve"> Pardo </w:t>
      </w:r>
      <w:proofErr w:type="spellStart"/>
      <w:r w:rsidRPr="00E657A2">
        <w:rPr>
          <w:rFonts w:ascii="Verdana" w:hAnsi="Verdana"/>
          <w:sz w:val="16"/>
          <w:szCs w:val="16"/>
          <w:lang w:val="es-CO"/>
        </w:rPr>
        <w:t>Florez</w:t>
      </w:r>
      <w:proofErr w:type="spellEnd"/>
      <w:r w:rsidRPr="00E657A2">
        <w:rPr>
          <w:rFonts w:ascii="Verdana" w:hAnsi="Verdana"/>
          <w:sz w:val="16"/>
          <w:szCs w:val="16"/>
          <w:lang w:val="es-CO"/>
        </w:rPr>
        <w:t xml:space="preserve">. </w:t>
      </w:r>
    </w:p>
  </w:footnote>
  <w:footnote w:id="8">
    <w:p w14:paraId="53F8C920" w14:textId="77777777" w:rsidR="004A51DE" w:rsidRPr="002A503A" w:rsidRDefault="004A51DE" w:rsidP="004A51DE">
      <w:pPr>
        <w:pStyle w:val="Textonotapie"/>
        <w:rPr>
          <w:lang w:val="es-ES"/>
        </w:rPr>
      </w:pPr>
      <w:r>
        <w:rPr>
          <w:rStyle w:val="Refdenotaalpie"/>
        </w:rPr>
        <w:footnoteRef/>
      </w:r>
      <w:r>
        <w:t xml:space="preserve"> </w:t>
      </w:r>
      <w:r w:rsidRPr="00E657A2">
        <w:rPr>
          <w:rFonts w:ascii="Verdana" w:hAnsi="Verdana"/>
          <w:sz w:val="16"/>
          <w:szCs w:val="16"/>
          <w:lang w:val="es-CO"/>
        </w:rPr>
        <w:t xml:space="preserve">Consejo de Estado, Sección Tercera. </w:t>
      </w:r>
      <w:r>
        <w:rPr>
          <w:rFonts w:ascii="Verdana" w:hAnsi="Verdana"/>
          <w:sz w:val="16"/>
          <w:szCs w:val="16"/>
          <w:lang w:val="es-CO"/>
        </w:rPr>
        <w:t>Sentencia</w:t>
      </w:r>
      <w:r w:rsidRPr="00E657A2">
        <w:rPr>
          <w:rFonts w:ascii="Verdana" w:hAnsi="Verdana"/>
          <w:sz w:val="16"/>
          <w:szCs w:val="16"/>
          <w:lang w:val="es-CO"/>
        </w:rPr>
        <w:t xml:space="preserve"> del </w:t>
      </w:r>
      <w:r>
        <w:rPr>
          <w:rFonts w:ascii="Verdana" w:hAnsi="Verdana"/>
          <w:sz w:val="16"/>
          <w:szCs w:val="16"/>
          <w:lang w:val="es-CO"/>
        </w:rPr>
        <w:t>17</w:t>
      </w:r>
      <w:r w:rsidRPr="00E657A2">
        <w:rPr>
          <w:rFonts w:ascii="Verdana" w:hAnsi="Verdana"/>
          <w:sz w:val="16"/>
          <w:szCs w:val="16"/>
          <w:lang w:val="es-CO"/>
        </w:rPr>
        <w:t xml:space="preserve"> de octubre de 202</w:t>
      </w:r>
      <w:r>
        <w:rPr>
          <w:rFonts w:ascii="Verdana" w:hAnsi="Verdana"/>
          <w:sz w:val="16"/>
          <w:szCs w:val="16"/>
          <w:lang w:val="es-CO"/>
        </w:rPr>
        <w:t>5</w:t>
      </w:r>
      <w:r w:rsidRPr="00E657A2">
        <w:rPr>
          <w:rFonts w:ascii="Verdana" w:hAnsi="Verdana"/>
          <w:sz w:val="16"/>
          <w:szCs w:val="16"/>
          <w:lang w:val="es-CO"/>
        </w:rPr>
        <w:t xml:space="preserve">. </w:t>
      </w:r>
      <w:proofErr w:type="spellStart"/>
      <w:r w:rsidRPr="00E657A2">
        <w:rPr>
          <w:rFonts w:ascii="Verdana" w:hAnsi="Verdana"/>
          <w:sz w:val="16"/>
          <w:szCs w:val="16"/>
          <w:lang w:val="es-CO"/>
        </w:rPr>
        <w:t>Exp</w:t>
      </w:r>
      <w:proofErr w:type="spellEnd"/>
      <w:r w:rsidRPr="00E657A2">
        <w:rPr>
          <w:rFonts w:ascii="Verdana" w:hAnsi="Verdana"/>
          <w:sz w:val="16"/>
          <w:szCs w:val="16"/>
          <w:lang w:val="es-CO"/>
        </w:rPr>
        <w:t>. 70.313. C.P: Fredy Ibarra Martínez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79" type="#_x0000_t75" style="width:11.85pt;height:11.8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3"/>
  </w:num>
  <w:num w:numId="7">
    <w:abstractNumId w:val="6"/>
  </w:num>
  <w:num w:numId="8">
    <w:abstractNumId w:val="12"/>
  </w:num>
  <w:num w:numId="9">
    <w:abstractNumId w:val="8"/>
  </w:num>
  <w:num w:numId="10">
    <w:abstractNumId w:val="11"/>
  </w:num>
  <w:num w:numId="11">
    <w:abstractNumId w:val="9"/>
  </w:num>
  <w:num w:numId="12">
    <w:abstractNumId w:val="1"/>
  </w:num>
  <w:num w:numId="13">
    <w:abstractNumId w:val="4"/>
  </w:num>
  <w:num w:numId="14">
    <w:abstractNumId w:val="14"/>
  </w:num>
  <w:num w:numId="15">
    <w:abstractNumId w:val="10"/>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65FD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0D26"/>
    <w:rsid w:val="0044528D"/>
    <w:rsid w:val="00466E39"/>
    <w:rsid w:val="004A1847"/>
    <w:rsid w:val="004A305D"/>
    <w:rsid w:val="004A51DE"/>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77645"/>
    <w:rsid w:val="006900D9"/>
    <w:rsid w:val="00706C16"/>
    <w:rsid w:val="007340C3"/>
    <w:rsid w:val="0075235A"/>
    <w:rsid w:val="00756841"/>
    <w:rsid w:val="007649AB"/>
    <w:rsid w:val="00771D0C"/>
    <w:rsid w:val="007833AC"/>
    <w:rsid w:val="007B268C"/>
    <w:rsid w:val="007B7171"/>
    <w:rsid w:val="007C0C0F"/>
    <w:rsid w:val="007C1888"/>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6376D"/>
    <w:rsid w:val="00B72CD3"/>
    <w:rsid w:val="00B72FFF"/>
    <w:rsid w:val="00BC3D36"/>
    <w:rsid w:val="00BD54A6"/>
    <w:rsid w:val="00BD7F72"/>
    <w:rsid w:val="00BF7425"/>
    <w:rsid w:val="00C03D13"/>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00A4"/>
    <w:rsid w:val="00D7383B"/>
    <w:rsid w:val="00D7788A"/>
    <w:rsid w:val="00DA231B"/>
    <w:rsid w:val="00DC39FC"/>
    <w:rsid w:val="00DF5254"/>
    <w:rsid w:val="00E02524"/>
    <w:rsid w:val="00E16408"/>
    <w:rsid w:val="00E20894"/>
    <w:rsid w:val="00E245AB"/>
    <w:rsid w:val="00E2764C"/>
    <w:rsid w:val="00E27F2E"/>
    <w:rsid w:val="00E50AFE"/>
    <w:rsid w:val="00E53D7A"/>
    <w:rsid w:val="00E75C92"/>
    <w:rsid w:val="00E771DC"/>
    <w:rsid w:val="00E8772A"/>
    <w:rsid w:val="00E90F6B"/>
    <w:rsid w:val="00E92C27"/>
    <w:rsid w:val="00EA0E3D"/>
    <w:rsid w:val="00EC38A7"/>
    <w:rsid w:val="00EE1AA8"/>
    <w:rsid w:val="00F23FEA"/>
    <w:rsid w:val="00F31EDC"/>
    <w:rsid w:val="00F462B3"/>
    <w:rsid w:val="00F50722"/>
    <w:rsid w:val="00F52E9E"/>
    <w:rsid w:val="00F5664F"/>
    <w:rsid w:val="00F666C4"/>
    <w:rsid w:val="00F76AFC"/>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51DE"/>
    <w:rPr>
      <w:rFonts w:ascii="Geomanist Light" w:hAnsi="Geomanist Light"/>
      <w:lang w:val="es-ES"/>
    </w:rPr>
  </w:style>
  <w:style w:type="paragraph" w:customStyle="1" w:styleId="Appelnotedebasde">
    <w:name w:val="Appel note de bas de..."/>
    <w:basedOn w:val="Normal"/>
    <w:link w:val="Refdenotaalpie"/>
    <w:uiPriority w:val="99"/>
    <w:rsid w:val="004A51DE"/>
    <w:pPr>
      <w:spacing w:line="240" w:lineRule="exact"/>
    </w:pPr>
    <w:rPr>
      <w:vertAlign w:val="superscript"/>
    </w:rPr>
  </w:style>
  <w:style w:type="character" w:customStyle="1" w:styleId="baj">
    <w:name w:val="b_aj"/>
    <w:basedOn w:val="Fuentedeprrafopredeter"/>
    <w:rsid w:val="004A51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lejandra.salgado94@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tmp"/><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customXml/itemProps2.xml><?xml version="1.0" encoding="utf-8"?>
<ds:datastoreItem xmlns:ds="http://schemas.openxmlformats.org/officeDocument/2006/customXml" ds:itemID="{90A8512E-899A-4004-88A8-BC29BF31213D}"/>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674</TotalTime>
  <Pages>13</Pages>
  <Words>4255</Words>
  <Characters>23405</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3</cp:revision>
  <cp:lastPrinted>2023-01-10T21:18:00Z</cp:lastPrinted>
  <dcterms:created xsi:type="dcterms:W3CDTF">2025-12-03T15:41:00Z</dcterms:created>
  <dcterms:modified xsi:type="dcterms:W3CDTF">2025-12-12T04:19:00Z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