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64547" w14:textId="389DECF5" w:rsidR="002133AC" w:rsidRPr="00C55BDE" w:rsidRDefault="002133AC" w:rsidP="002133AC">
      <w:pPr>
        <w:jc w:val="both"/>
        <w:rPr>
          <w:rFonts w:ascii="Verdana" w:eastAsia="Calibri" w:hAnsi="Verdana" w:cs="Arial"/>
          <w:b/>
        </w:rPr>
      </w:pPr>
      <w:bookmarkStart w:id="0" w:name="_Hlk143780582"/>
      <w:r w:rsidRPr="00C55BDE">
        <w:rPr>
          <w:rFonts w:ascii="Verdana" w:eastAsia="Calibri" w:hAnsi="Verdana" w:cs="Arial"/>
          <w:b/>
        </w:rPr>
        <w:t xml:space="preserve">RESGUARDOS INDÍGENAS – Administración de recursos del SGP – Entidades </w:t>
      </w:r>
      <w:r w:rsidR="00F775C8" w:rsidRPr="00C55BDE">
        <w:rPr>
          <w:rFonts w:ascii="Verdana" w:eastAsia="Calibri" w:hAnsi="Verdana" w:cs="Arial"/>
          <w:b/>
        </w:rPr>
        <w:t>E</w:t>
      </w:r>
      <w:r w:rsidRPr="00C55BDE">
        <w:rPr>
          <w:rFonts w:ascii="Verdana" w:eastAsia="Calibri" w:hAnsi="Verdana" w:cs="Arial"/>
          <w:b/>
        </w:rPr>
        <w:t>statales</w:t>
      </w:r>
    </w:p>
    <w:p w14:paraId="2FBE9944" w14:textId="48394D4F" w:rsidR="002133AC" w:rsidRPr="00C55BDE" w:rsidRDefault="002133AC" w:rsidP="002133AC">
      <w:pPr>
        <w:spacing w:after="0" w:line="240" w:lineRule="auto"/>
        <w:jc w:val="both"/>
        <w:rPr>
          <w:rFonts w:ascii="Verdana" w:eastAsia="Calibri" w:hAnsi="Verdana" w:cs="Arial"/>
          <w:sz w:val="20"/>
        </w:rPr>
      </w:pPr>
      <w:r w:rsidRPr="00C55BDE">
        <w:rPr>
          <w:rFonts w:ascii="Verdana" w:eastAsia="Calibri" w:hAnsi="Verdana" w:cs="Arial"/>
          <w:sz w:val="20"/>
        </w:rPr>
        <w:t xml:space="preserve">Al respecto, [el Decreto 1953 de 2014] dispone que los resguardos indígenas que se ubiquen en ciertos supuestos, al igual que las asociaciones que estos conformen para administrar recursos del SGP, podrán ser considerados como territorios indígenas, de manera transitoria, “[…] mientras el Congreso expide la Ley Orgánica de Ordenamiento Territorial que crea las entidades territoriales indígenas”.   </w:t>
      </w:r>
    </w:p>
    <w:p w14:paraId="0A3AC3A9" w14:textId="77777777" w:rsidR="002133AC" w:rsidRPr="00C55BDE" w:rsidRDefault="002133AC" w:rsidP="002133AC">
      <w:pPr>
        <w:spacing w:after="0" w:line="240" w:lineRule="auto"/>
        <w:jc w:val="both"/>
        <w:rPr>
          <w:rFonts w:ascii="Verdana" w:eastAsia="Calibri" w:hAnsi="Verdana" w:cs="Arial"/>
          <w:b/>
        </w:rPr>
      </w:pPr>
    </w:p>
    <w:p w14:paraId="7D282EF0" w14:textId="7F24B3C2" w:rsidR="002133AC" w:rsidRPr="00C55BDE" w:rsidRDefault="002133AC" w:rsidP="002133AC">
      <w:pPr>
        <w:spacing w:after="0" w:line="240" w:lineRule="auto"/>
        <w:jc w:val="both"/>
        <w:rPr>
          <w:rFonts w:ascii="Verdana" w:eastAsia="Calibri" w:hAnsi="Verdana" w:cs="Arial"/>
          <w:sz w:val="20"/>
        </w:rPr>
      </w:pPr>
      <w:r w:rsidRPr="00C55BDE">
        <w:rPr>
          <w:rFonts w:ascii="Verdana" w:eastAsia="Calibri" w:hAnsi="Verdana" w:cs="Arial"/>
          <w:sz w:val="20"/>
        </w:rPr>
        <w:t xml:space="preserve">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La norma además establece una última posibilidad para los resguardos indígenas que no hayan sido autorizados para administrar de manera directa los recursos del SGP, consistente en la celebración de contratos de administración con las entidades territoriales respectivas y los representantes legales del resguardo designado por las autoridades propias. </w:t>
      </w:r>
    </w:p>
    <w:p w14:paraId="22A4ADAE" w14:textId="77777777" w:rsidR="003820DF" w:rsidRPr="00C55BDE" w:rsidRDefault="003820DF" w:rsidP="002133AC">
      <w:pPr>
        <w:spacing w:after="0" w:line="240" w:lineRule="auto"/>
        <w:jc w:val="both"/>
        <w:rPr>
          <w:rFonts w:ascii="Verdana" w:eastAsia="Calibri" w:hAnsi="Verdana" w:cs="Arial"/>
          <w:sz w:val="20"/>
        </w:rPr>
      </w:pPr>
    </w:p>
    <w:p w14:paraId="3B3C4F1B" w14:textId="77777777" w:rsidR="00C851C7" w:rsidRPr="00C55BDE" w:rsidRDefault="00C851C7" w:rsidP="00C851C7">
      <w:pPr>
        <w:snapToGrid w:val="0"/>
        <w:contextualSpacing/>
        <w:jc w:val="both"/>
        <w:rPr>
          <w:rFonts w:ascii="Verdana" w:hAnsi="Verdana" w:cs="Arial"/>
          <w:b/>
          <w:bCs/>
          <w:lang w:val="es-ES" w:eastAsia="es-ES"/>
        </w:rPr>
      </w:pPr>
      <w:r w:rsidRPr="00C55BDE">
        <w:rPr>
          <w:rFonts w:ascii="Verdana" w:hAnsi="Verdana" w:cs="Arial"/>
          <w:b/>
          <w:bCs/>
          <w:lang w:val="es-ES" w:eastAsia="es-ES"/>
        </w:rPr>
        <w:t>LEY DE GARANTÍAS ELECTORALES – Finalidad</w:t>
      </w:r>
    </w:p>
    <w:p w14:paraId="13B3A3BD" w14:textId="77777777" w:rsidR="00C851C7" w:rsidRPr="00C55BDE" w:rsidRDefault="00C851C7" w:rsidP="00C851C7">
      <w:pPr>
        <w:snapToGrid w:val="0"/>
        <w:contextualSpacing/>
        <w:jc w:val="both"/>
        <w:rPr>
          <w:rFonts w:ascii="Verdana" w:hAnsi="Verdana" w:cs="Arial"/>
          <w:b/>
          <w:bCs/>
          <w:lang w:val="es-ES" w:eastAsia="es-ES"/>
        </w:rPr>
      </w:pPr>
    </w:p>
    <w:p w14:paraId="6D9D56D5" w14:textId="77777777" w:rsidR="00C851C7" w:rsidRPr="00C55BDE" w:rsidRDefault="00C851C7" w:rsidP="00C851C7">
      <w:pPr>
        <w:tabs>
          <w:tab w:val="left" w:pos="426"/>
        </w:tabs>
        <w:snapToGrid w:val="0"/>
        <w:spacing w:after="0" w:line="240" w:lineRule="auto"/>
        <w:contextualSpacing/>
        <w:jc w:val="both"/>
        <w:rPr>
          <w:rFonts w:ascii="Verdana" w:hAnsi="Verdana" w:cs="Arial"/>
          <w:sz w:val="20"/>
          <w:szCs w:val="20"/>
          <w:lang w:val="es-ES"/>
        </w:rPr>
      </w:pPr>
      <w:r w:rsidRPr="00C55BDE">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C55BDE">
        <w:rPr>
          <w:rFonts w:ascii="Verdana" w:hAnsi="Verdana" w:cs="Arial"/>
          <w:sz w:val="20"/>
          <w:szCs w:val="20"/>
          <w:lang w:val="es-ES"/>
        </w:rPr>
        <w:t xml:space="preserve"> </w:t>
      </w:r>
    </w:p>
    <w:p w14:paraId="48192D07" w14:textId="77777777" w:rsidR="00C851C7" w:rsidRPr="00C55BDE" w:rsidRDefault="00C851C7" w:rsidP="00C851C7">
      <w:pPr>
        <w:snapToGrid w:val="0"/>
        <w:contextualSpacing/>
        <w:jc w:val="both"/>
        <w:rPr>
          <w:rFonts w:ascii="Verdana" w:hAnsi="Verdana" w:cs="Arial"/>
          <w:b/>
          <w:bCs/>
          <w:lang w:val="es-ES" w:eastAsia="es-ES"/>
        </w:rPr>
      </w:pPr>
    </w:p>
    <w:p w14:paraId="08E144EE" w14:textId="77777777" w:rsidR="00C851C7" w:rsidRPr="00C55BDE" w:rsidRDefault="00C851C7" w:rsidP="00C851C7">
      <w:pPr>
        <w:snapToGrid w:val="0"/>
        <w:contextualSpacing/>
        <w:jc w:val="both"/>
        <w:rPr>
          <w:rFonts w:ascii="Verdana" w:hAnsi="Verdana" w:cs="Arial"/>
          <w:b/>
          <w:bCs/>
          <w:sz w:val="20"/>
          <w:szCs w:val="20"/>
          <w:lang w:val="es-ES" w:eastAsia="es-ES"/>
        </w:rPr>
      </w:pPr>
      <w:r w:rsidRPr="00C55BDE">
        <w:rPr>
          <w:rFonts w:ascii="Verdana" w:hAnsi="Verdana" w:cs="Arial"/>
          <w:b/>
          <w:bCs/>
          <w:lang w:val="es-ES" w:eastAsia="es-ES"/>
        </w:rPr>
        <w:t>LEY DE GARANTÍAS ELECTORALES ‒ Restricciones ‒ Contratación ‒ Tipos de elección</w:t>
      </w:r>
    </w:p>
    <w:p w14:paraId="451E1AB4" w14:textId="77777777" w:rsidR="00C851C7" w:rsidRPr="00C55BDE" w:rsidRDefault="00C851C7" w:rsidP="00C851C7">
      <w:pPr>
        <w:snapToGrid w:val="0"/>
        <w:spacing w:after="0" w:line="240" w:lineRule="auto"/>
        <w:contextualSpacing/>
        <w:jc w:val="both"/>
        <w:rPr>
          <w:rFonts w:ascii="Verdana" w:hAnsi="Verdana" w:cs="Arial"/>
          <w:sz w:val="20"/>
          <w:szCs w:val="20"/>
          <w:lang w:val="es-ES" w:eastAsia="es-ES"/>
        </w:rPr>
      </w:pPr>
    </w:p>
    <w:p w14:paraId="2EF346BB" w14:textId="77777777" w:rsidR="00C851C7" w:rsidRPr="00C55BDE" w:rsidRDefault="00C851C7" w:rsidP="00C851C7">
      <w:pPr>
        <w:snapToGrid w:val="0"/>
        <w:spacing w:after="0" w:line="240" w:lineRule="auto"/>
        <w:contextualSpacing/>
        <w:jc w:val="both"/>
        <w:rPr>
          <w:rFonts w:ascii="Verdana" w:hAnsi="Verdana" w:cs="Arial"/>
          <w:sz w:val="20"/>
          <w:szCs w:val="20"/>
          <w:lang w:val="es-ES"/>
        </w:rPr>
      </w:pPr>
      <w:r w:rsidRPr="00C55BDE">
        <w:rPr>
          <w:rFonts w:ascii="Verdana" w:hAnsi="Verdana" w:cs="Arial"/>
          <w:sz w:val="20"/>
          <w:szCs w:val="20"/>
          <w:lang w:val="es-ES"/>
        </w:rPr>
        <w:t xml:space="preserve">Por un lado, el </w:t>
      </w:r>
      <w:r w:rsidRPr="00C55BDE">
        <w:rPr>
          <w:rFonts w:ascii="Verdana" w:hAnsi="Verdana" w:cs="Arial"/>
          <w:i/>
          <w:iCs/>
          <w:sz w:val="20"/>
          <w:szCs w:val="20"/>
          <w:lang w:val="es-ES"/>
        </w:rPr>
        <w:t xml:space="preserve">artículo 33 </w:t>
      </w:r>
      <w:r w:rsidRPr="00C55BDE">
        <w:rPr>
          <w:rFonts w:ascii="Verdana" w:hAnsi="Verdana" w:cs="Arial"/>
          <w:sz w:val="20"/>
          <w:szCs w:val="20"/>
          <w:lang w:val="es-ES"/>
        </w:rPr>
        <w:t xml:space="preserve">de la Ley 996 de 2005 prohíbe “[…] la contratación directa por parte de </w:t>
      </w:r>
      <w:r w:rsidRPr="00C55BDE">
        <w:rPr>
          <w:rFonts w:ascii="Verdana" w:hAnsi="Verdana" w:cs="Arial"/>
          <w:i/>
          <w:iCs/>
          <w:sz w:val="20"/>
          <w:szCs w:val="20"/>
          <w:lang w:val="es-ES"/>
        </w:rPr>
        <w:t>todos los entes del Estado</w:t>
      </w:r>
      <w:r w:rsidRPr="00C55BDE">
        <w:rPr>
          <w:rFonts w:ascii="Verdana" w:hAnsi="Verdana" w:cs="Arial"/>
          <w:sz w:val="20"/>
          <w:szCs w:val="20"/>
          <w:lang w:val="es-ES"/>
        </w:rPr>
        <w:t xml:space="preserve">” durante los cuatro (4) meses anteriores a las </w:t>
      </w:r>
      <w:r w:rsidRPr="00C55BDE">
        <w:rPr>
          <w:rFonts w:ascii="Verdana" w:hAnsi="Verdana" w:cs="Arial"/>
          <w:i/>
          <w:iCs/>
          <w:sz w:val="20"/>
          <w:szCs w:val="20"/>
          <w:lang w:val="es-ES"/>
        </w:rPr>
        <w:t>elecciones presidenciales</w:t>
      </w:r>
      <w:r w:rsidRPr="00C55BDE">
        <w:rPr>
          <w:rFonts w:ascii="Verdana" w:hAnsi="Verdana" w:cs="Arial"/>
          <w:sz w:val="20"/>
          <w:szCs w:val="20"/>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5ED3785" w14:textId="77777777" w:rsidR="00C851C7" w:rsidRPr="00C55BDE" w:rsidRDefault="00C851C7" w:rsidP="00C851C7">
      <w:pPr>
        <w:snapToGrid w:val="0"/>
        <w:spacing w:after="0" w:line="240" w:lineRule="auto"/>
        <w:contextualSpacing/>
        <w:jc w:val="both"/>
        <w:rPr>
          <w:rFonts w:ascii="Verdana" w:hAnsi="Verdana" w:cs="Arial"/>
          <w:sz w:val="20"/>
          <w:szCs w:val="20"/>
          <w:lang w:val="es-ES"/>
        </w:rPr>
      </w:pPr>
    </w:p>
    <w:p w14:paraId="0E79DDCE" w14:textId="548AAAD7" w:rsidR="00F07606" w:rsidRDefault="00C851C7" w:rsidP="00C851C7">
      <w:pPr>
        <w:widowControl w:val="0"/>
        <w:autoSpaceDE w:val="0"/>
        <w:autoSpaceDN w:val="0"/>
        <w:snapToGrid w:val="0"/>
        <w:spacing w:after="0" w:line="240" w:lineRule="auto"/>
        <w:ind w:right="113"/>
        <w:contextualSpacing/>
        <w:jc w:val="both"/>
        <w:rPr>
          <w:rFonts w:ascii="Verdana" w:eastAsia="Arial" w:hAnsi="Verdana" w:cs="Arial"/>
          <w:sz w:val="20"/>
          <w:szCs w:val="20"/>
          <w:lang w:val="es-ES" w:eastAsia="es-ES" w:bidi="es-ES"/>
        </w:rPr>
      </w:pPr>
      <w:r w:rsidRPr="00C55BDE">
        <w:rPr>
          <w:rFonts w:ascii="Verdana" w:hAnsi="Verdana" w:cs="Arial"/>
          <w:sz w:val="20"/>
          <w:szCs w:val="20"/>
          <w:lang w:val="es-ES"/>
        </w:rPr>
        <w:t xml:space="preserve">Por otro lado, </w:t>
      </w:r>
      <w:r w:rsidRPr="00C55BDE">
        <w:rPr>
          <w:rFonts w:ascii="Verdana" w:hAnsi="Verdana" w:cs="Arial"/>
          <w:i/>
          <w:iCs/>
          <w:sz w:val="20"/>
          <w:szCs w:val="20"/>
          <w:lang w:val="es-ES"/>
        </w:rPr>
        <w:t xml:space="preserve">el parágrafo del artículo 38 </w:t>
      </w:r>
      <w:r w:rsidRPr="00C55BDE">
        <w:rPr>
          <w:rFonts w:ascii="Verdana" w:hAnsi="Verdana" w:cs="Arial"/>
          <w:sz w:val="20"/>
          <w:szCs w:val="20"/>
          <w:lang w:val="es-ES"/>
        </w:rPr>
        <w:t xml:space="preserve">de la Ley 996 de 2005 prevé una restricción, aplicable respecto de </w:t>
      </w:r>
      <w:r w:rsidRPr="00C55BDE">
        <w:rPr>
          <w:rFonts w:ascii="Verdana" w:hAnsi="Verdana" w:cs="Arial"/>
          <w:i/>
          <w:iCs/>
          <w:sz w:val="20"/>
          <w:szCs w:val="20"/>
          <w:lang w:val="es-ES"/>
        </w:rPr>
        <w:t>cualquier tipo de contienda electoral</w:t>
      </w:r>
      <w:r w:rsidRPr="00C55BDE">
        <w:rPr>
          <w:rFonts w:ascii="Verdana" w:hAnsi="Verdana" w:cs="Arial"/>
          <w:sz w:val="20"/>
          <w:szCs w:val="20"/>
          <w:lang w:val="es-ES"/>
        </w:rPr>
        <w:t xml:space="preserve">, que prohíbe a los gobernadores, alcaldes municipales o distritales, secretarios, gerentes y directores de entidades descentralizadas del orden municipal, departamental o distrital “[…] celebrar </w:t>
      </w:r>
      <w:r w:rsidRPr="00C55BDE">
        <w:rPr>
          <w:rFonts w:ascii="Verdana" w:hAnsi="Verdana" w:cs="Arial"/>
          <w:sz w:val="20"/>
          <w:szCs w:val="20"/>
          <w:lang w:val="es-ES"/>
        </w:rPr>
        <w:lastRenderedPageBreak/>
        <w:t>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55BDE">
        <w:rPr>
          <w:rFonts w:ascii="Verdana" w:eastAsia="Arial" w:hAnsi="Verdana" w:cs="Arial"/>
          <w:sz w:val="20"/>
          <w:szCs w:val="20"/>
          <w:lang w:val="es-ES" w:eastAsia="es-ES" w:bidi="es-ES"/>
        </w:rPr>
        <w:t xml:space="preserve"> </w:t>
      </w:r>
    </w:p>
    <w:p w14:paraId="07494AB5" w14:textId="77777777" w:rsidR="00F07606" w:rsidRPr="00C55BDE" w:rsidRDefault="00F07606" w:rsidP="00C851C7">
      <w:pPr>
        <w:widowControl w:val="0"/>
        <w:autoSpaceDE w:val="0"/>
        <w:autoSpaceDN w:val="0"/>
        <w:snapToGrid w:val="0"/>
        <w:spacing w:after="0" w:line="240" w:lineRule="auto"/>
        <w:ind w:right="113"/>
        <w:contextualSpacing/>
        <w:jc w:val="both"/>
        <w:rPr>
          <w:rFonts w:ascii="Verdana" w:eastAsia="Arial" w:hAnsi="Verdana" w:cs="Arial"/>
          <w:sz w:val="20"/>
          <w:szCs w:val="20"/>
          <w:lang w:val="es-ES" w:eastAsia="es-ES" w:bidi="es-ES"/>
        </w:rPr>
      </w:pPr>
    </w:p>
    <w:p w14:paraId="13E251E6" w14:textId="21C3B442" w:rsidR="003820DF" w:rsidRDefault="00F07606" w:rsidP="002133AC">
      <w:pPr>
        <w:spacing w:after="0" w:line="240" w:lineRule="auto"/>
        <w:jc w:val="both"/>
        <w:rPr>
          <w:rFonts w:ascii="Verdana" w:hAnsi="Verdana" w:cs="Arial"/>
          <w:b/>
          <w:bCs/>
          <w:lang w:val="es-MX" w:eastAsia="es-ES_tradnl"/>
        </w:rPr>
      </w:pPr>
      <w:r w:rsidRPr="00F07606">
        <w:rPr>
          <w:rFonts w:ascii="Verdana" w:hAnsi="Verdana" w:cs="Arial"/>
          <w:b/>
          <w:bCs/>
          <w:lang w:val="es-MX" w:eastAsia="es-ES_tradnl"/>
        </w:rPr>
        <w:t>CONVENIOS INTERADMINISTRATIVOS – Criterio orgánico</w:t>
      </w:r>
    </w:p>
    <w:p w14:paraId="449F783F" w14:textId="77777777" w:rsidR="00F07606" w:rsidRDefault="00F07606" w:rsidP="002133AC">
      <w:pPr>
        <w:spacing w:after="0" w:line="240" w:lineRule="auto"/>
        <w:jc w:val="both"/>
        <w:rPr>
          <w:rFonts w:ascii="Verdana" w:hAnsi="Verdana" w:cs="Arial"/>
          <w:b/>
          <w:bCs/>
          <w:lang w:val="es-MX" w:eastAsia="es-ES_tradnl"/>
        </w:rPr>
      </w:pPr>
    </w:p>
    <w:p w14:paraId="64E8784D" w14:textId="66C6D82D" w:rsidR="00F07606" w:rsidRPr="00F07606" w:rsidRDefault="00F07606" w:rsidP="002133AC">
      <w:pPr>
        <w:spacing w:after="0" w:line="240" w:lineRule="auto"/>
        <w:jc w:val="both"/>
        <w:rPr>
          <w:rFonts w:ascii="Verdana" w:hAnsi="Verdana" w:cs="Arial"/>
          <w:sz w:val="20"/>
          <w:szCs w:val="20"/>
          <w:lang w:val="es-MX" w:eastAsia="es-ES_tradnl"/>
        </w:rPr>
      </w:pPr>
      <w:r>
        <w:rPr>
          <w:rFonts w:ascii="Verdana" w:hAnsi="Verdana" w:cs="Arial"/>
          <w:sz w:val="20"/>
          <w:szCs w:val="20"/>
          <w:lang w:val="es-ES" w:eastAsia="es-ES_tradnl"/>
        </w:rPr>
        <w:t>D</w:t>
      </w:r>
      <w:r w:rsidRPr="00F07606">
        <w:rPr>
          <w:rFonts w:ascii="Verdana" w:hAnsi="Verdana" w:cs="Arial"/>
          <w:sz w:val="20"/>
          <w:szCs w:val="20"/>
          <w:lang w:val="es-ES" w:eastAsia="es-ES_tradnl"/>
        </w:rPr>
        <w:t xml:space="preserve">ebe precisarse que los contratos o convenios interadministrativos están determinados por un criterio orgánico, pues es necesario que los extremos de la relación contractual sean entidades públicas, </w:t>
      </w:r>
      <w:r w:rsidRPr="00F07606">
        <w:rPr>
          <w:rFonts w:ascii="Verdana" w:hAnsi="Verdana" w:cs="Arial"/>
          <w:sz w:val="20"/>
          <w:szCs w:val="20"/>
          <w:lang w:eastAsia="es-ES_tradnl"/>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14:paraId="19BC069F" w14:textId="77777777" w:rsidR="00F07606" w:rsidRPr="00C55BDE" w:rsidRDefault="00F07606" w:rsidP="002133AC">
      <w:pPr>
        <w:spacing w:after="0" w:line="240" w:lineRule="auto"/>
        <w:jc w:val="both"/>
        <w:rPr>
          <w:rFonts w:ascii="Verdana" w:eastAsia="Calibri" w:hAnsi="Verdana" w:cs="Arial"/>
          <w:b/>
          <w:lang w:val="es-ES"/>
        </w:rPr>
      </w:pPr>
    </w:p>
    <w:p w14:paraId="4C6EF8E9" w14:textId="0CD7A528" w:rsidR="007D4B2E" w:rsidRPr="00C55BDE" w:rsidRDefault="007D4B2E" w:rsidP="007D4B2E">
      <w:pPr>
        <w:spacing w:after="0"/>
        <w:jc w:val="both"/>
        <w:rPr>
          <w:rFonts w:ascii="Verdana" w:hAnsi="Verdana"/>
          <w:b/>
        </w:rPr>
      </w:pPr>
      <w:r w:rsidRPr="00C55BDE">
        <w:rPr>
          <w:rFonts w:ascii="Verdana" w:hAnsi="Verdana" w:cs="Arial"/>
          <w:b/>
          <w:lang w:val="es-MX" w:eastAsia="es-ES_tradnl"/>
        </w:rPr>
        <w:t>CONTRATOS Y CONVENIOS INTERADMINISTRATIVOS – Circular Externa Única – Auto de suspensión –</w:t>
      </w:r>
      <w:r w:rsidR="00BD652D">
        <w:rPr>
          <w:rFonts w:ascii="Verdana" w:hAnsi="Verdana" w:cs="Arial"/>
          <w:b/>
          <w:lang w:val="es-MX" w:eastAsia="es-ES_tradnl"/>
        </w:rPr>
        <w:t xml:space="preserve"> N</w:t>
      </w:r>
      <w:r w:rsidRPr="00C55BDE">
        <w:rPr>
          <w:rFonts w:ascii="Verdana" w:hAnsi="Verdana" w:cs="Arial"/>
          <w:b/>
          <w:lang w:val="es-MX" w:eastAsia="es-ES_tradnl"/>
        </w:rPr>
        <w:t>umeral 16.2.</w:t>
      </w:r>
    </w:p>
    <w:p w14:paraId="584FD6A3" w14:textId="77777777" w:rsidR="007D4B2E" w:rsidRPr="00C55BDE" w:rsidRDefault="007D4B2E" w:rsidP="007D4B2E">
      <w:pPr>
        <w:spacing w:after="0"/>
        <w:jc w:val="both"/>
        <w:rPr>
          <w:rFonts w:ascii="Verdana" w:hAnsi="Verdana"/>
          <w:b/>
        </w:rPr>
      </w:pPr>
    </w:p>
    <w:p w14:paraId="755FF2C2" w14:textId="38236549" w:rsidR="007D4B2E" w:rsidRPr="00482175" w:rsidRDefault="007D4B2E" w:rsidP="00482175">
      <w:pPr>
        <w:spacing w:after="0" w:line="240" w:lineRule="auto"/>
        <w:jc w:val="both"/>
        <w:rPr>
          <w:rFonts w:ascii="Verdana" w:hAnsi="Verdana"/>
          <w:sz w:val="18"/>
          <w:szCs w:val="20"/>
        </w:rPr>
      </w:pPr>
      <w:r w:rsidRPr="00C55BDE">
        <w:rPr>
          <w:rFonts w:ascii="Verdana" w:eastAsia="Arial" w:hAnsi="Verdana" w:cs="Arial"/>
          <w:sz w:val="20"/>
          <w:lang w:val="es-MX" w:eastAsia="es-ES" w:bidi="es-ES"/>
        </w:rPr>
        <w:t xml:space="preserve">[…] conviene señalar que, mediante auto de 4 de octubre del 2024, el Consejo de Estado, Sección Tercera, decretó medida de suspensión provisional parcial del </w:t>
      </w:r>
      <w:r w:rsidRPr="00C55BDE">
        <w:rPr>
          <w:rFonts w:ascii="Verdana" w:hAnsi="Verdana"/>
          <w:sz w:val="20"/>
        </w:rPr>
        <w:t>numeral 16.2 de la Circular Externa Única de 2022 expedida por la Agencia Nacional de Contratación Pública -Colombia Compra Eficiente-, concretamente, respecto de los siguientes apartes normativos</w:t>
      </w:r>
      <w:r w:rsidRPr="00C55BDE">
        <w:rPr>
          <w:rFonts w:ascii="Verdana" w:hAnsi="Verdana"/>
          <w:sz w:val="18"/>
          <w:szCs w:val="20"/>
        </w:rPr>
        <w:t xml:space="preserve"> </w:t>
      </w:r>
    </w:p>
    <w:p w14:paraId="43BB954D" w14:textId="77777777" w:rsidR="007D4B2E" w:rsidRDefault="007D4B2E" w:rsidP="00482175">
      <w:pPr>
        <w:spacing w:after="0" w:line="240" w:lineRule="auto"/>
        <w:jc w:val="both"/>
        <w:rPr>
          <w:rFonts w:ascii="Verdana" w:eastAsia="Geomanist Light" w:hAnsi="Verdana" w:cs="Arial"/>
          <w:color w:val="000000" w:themeColor="text1"/>
          <w:sz w:val="20"/>
          <w:szCs w:val="20"/>
          <w:lang w:val="es-ES_tradnl"/>
        </w:rPr>
      </w:pPr>
    </w:p>
    <w:p w14:paraId="5E206B78" w14:textId="1CC7BB67" w:rsidR="00482175" w:rsidRDefault="00482175" w:rsidP="00482175">
      <w:pPr>
        <w:spacing w:after="0" w:line="240" w:lineRule="auto"/>
        <w:jc w:val="both"/>
        <w:rPr>
          <w:rFonts w:ascii="Verdana" w:eastAsia="Arial" w:hAnsi="Verdana" w:cs="Arial"/>
          <w:sz w:val="20"/>
          <w:lang w:val="es-MX" w:eastAsia="es-ES" w:bidi="es-ES"/>
        </w:rPr>
      </w:pPr>
      <w:r w:rsidRPr="00C55BDE">
        <w:rPr>
          <w:rFonts w:ascii="Verdana" w:eastAsia="Arial" w:hAnsi="Verdana" w:cs="Arial"/>
          <w:sz w:val="20"/>
          <w:lang w:val="es-MX" w:eastAsia="es-ES" w:bidi="es-ES"/>
        </w:rPr>
        <w:t>[…]</w:t>
      </w:r>
    </w:p>
    <w:p w14:paraId="1A320D5D" w14:textId="77777777" w:rsidR="00482175" w:rsidRPr="00482175" w:rsidRDefault="00482175" w:rsidP="00482175">
      <w:pPr>
        <w:spacing w:after="0" w:line="240" w:lineRule="auto"/>
        <w:jc w:val="both"/>
        <w:rPr>
          <w:rFonts w:ascii="Verdana" w:eastAsia="Geomanist Light" w:hAnsi="Verdana" w:cs="Arial"/>
          <w:color w:val="000000" w:themeColor="text1"/>
          <w:sz w:val="20"/>
          <w:szCs w:val="20"/>
          <w:lang w:val="es-ES_tradnl"/>
        </w:rPr>
      </w:pPr>
    </w:p>
    <w:p w14:paraId="5873CCAD" w14:textId="6BDFA2EE" w:rsidR="00482175" w:rsidRDefault="00482175" w:rsidP="00482175">
      <w:pPr>
        <w:spacing w:after="0" w:line="240" w:lineRule="auto"/>
        <w:jc w:val="both"/>
        <w:rPr>
          <w:rFonts w:ascii="Verdana" w:hAnsi="Verdana"/>
          <w:sz w:val="20"/>
          <w:szCs w:val="20"/>
        </w:rPr>
      </w:pPr>
      <w:r w:rsidRPr="00482175">
        <w:rPr>
          <w:rFonts w:ascii="Verdana" w:hAnsi="Verdana"/>
          <w:sz w:val="20"/>
          <w:szCs w:val="20"/>
        </w:rPr>
        <w:t>De igual manera, mediante auto del 6 de noviembre de 2025, el Consejo de Estado, Subsección A de la Sección Tercera, decretó</w:t>
      </w:r>
      <w:r w:rsidRPr="00482175">
        <w:rPr>
          <w:rFonts w:ascii="Verdana" w:hAnsi="Verdana"/>
          <w:b/>
          <w:bCs/>
          <w:sz w:val="20"/>
          <w:szCs w:val="20"/>
        </w:rPr>
        <w:t xml:space="preserve"> </w:t>
      </w:r>
      <w:r w:rsidRPr="00482175">
        <w:rPr>
          <w:rFonts w:ascii="Verdana" w:hAnsi="Verdana"/>
          <w:sz w:val="20"/>
          <w:szCs w:val="20"/>
        </w:rPr>
        <w:t xml:space="preserve">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 Para tales efectos, el alto tribunal resaltó la interpretación restrictiva de las normas que contienen prohibiciones, como la del parágrafo del artículo 38 de la Ley 996 de 2005, por manera que se excluye la analogía </w:t>
      </w:r>
      <w:proofErr w:type="spellStart"/>
      <w:r w:rsidRPr="00482175">
        <w:rPr>
          <w:rFonts w:ascii="Verdana" w:hAnsi="Verdana"/>
          <w:sz w:val="20"/>
          <w:szCs w:val="20"/>
        </w:rPr>
        <w:t>legis</w:t>
      </w:r>
      <w:proofErr w:type="spellEnd"/>
      <w:r w:rsidRPr="00482175">
        <w:rPr>
          <w:rFonts w:ascii="Verdana" w:hAnsi="Verdana"/>
          <w:sz w:val="20"/>
          <w:szCs w:val="20"/>
        </w:rPr>
        <w:t xml:space="preserve"> o iuris y la interpretación extensiva y reiteró los argumentos sobre la diferencia entre contratos y convenios interadministrativos. </w:t>
      </w:r>
    </w:p>
    <w:p w14:paraId="383CA2DC" w14:textId="09409CA1" w:rsidR="00482175" w:rsidRDefault="00482175" w:rsidP="00482175">
      <w:pPr>
        <w:spacing w:after="0" w:line="240" w:lineRule="auto"/>
        <w:jc w:val="both"/>
        <w:rPr>
          <w:rFonts w:ascii="Verdana" w:eastAsia="Arial" w:hAnsi="Verdana" w:cs="Arial"/>
          <w:sz w:val="20"/>
          <w:lang w:val="es-MX" w:eastAsia="es-ES" w:bidi="es-ES"/>
        </w:rPr>
      </w:pPr>
      <w:r w:rsidRPr="00C55BDE">
        <w:rPr>
          <w:rFonts w:ascii="Verdana" w:eastAsia="Arial" w:hAnsi="Verdana" w:cs="Arial"/>
          <w:sz w:val="20"/>
          <w:lang w:val="es-MX" w:eastAsia="es-ES" w:bidi="es-ES"/>
        </w:rPr>
        <w:t>[…]</w:t>
      </w:r>
    </w:p>
    <w:p w14:paraId="4A57D211" w14:textId="77777777" w:rsidR="00482175" w:rsidRPr="00482175" w:rsidRDefault="00482175" w:rsidP="00482175">
      <w:pPr>
        <w:spacing w:after="0" w:line="240" w:lineRule="auto"/>
        <w:jc w:val="both"/>
        <w:rPr>
          <w:rFonts w:ascii="Verdana" w:hAnsi="Verdana"/>
          <w:sz w:val="20"/>
          <w:szCs w:val="20"/>
        </w:rPr>
      </w:pPr>
    </w:p>
    <w:p w14:paraId="6D7FFEEF" w14:textId="77777777" w:rsidR="00482175" w:rsidRPr="00482175" w:rsidRDefault="00482175" w:rsidP="00482175">
      <w:pPr>
        <w:spacing w:after="0" w:line="240" w:lineRule="auto"/>
        <w:jc w:val="both"/>
        <w:rPr>
          <w:rFonts w:ascii="Verdana" w:hAnsi="Verdana"/>
          <w:sz w:val="20"/>
          <w:szCs w:val="20"/>
        </w:rPr>
      </w:pPr>
      <w:r w:rsidRPr="00482175">
        <w:rPr>
          <w:rFonts w:ascii="Verdana" w:hAnsi="Verdana"/>
          <w:sz w:val="20"/>
          <w:szCs w:val="20"/>
        </w:rPr>
        <w:t xml:space="preserve">Finalmente, mediante sentencia del 17 de octubre de 2025, emitida por la Sala de lo Contencioso Administrativo del Consejo de Estado, dentro del expediente 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0E5B80EB" w14:textId="77777777" w:rsidR="007D4B2E" w:rsidRPr="00482175" w:rsidRDefault="007D4B2E" w:rsidP="00482175">
      <w:pPr>
        <w:spacing w:after="0" w:line="240" w:lineRule="auto"/>
        <w:jc w:val="both"/>
        <w:rPr>
          <w:rFonts w:ascii="Verdana" w:hAnsi="Verdana"/>
          <w:sz w:val="20"/>
          <w:szCs w:val="20"/>
          <w:lang w:val="es-ES_tradnl"/>
        </w:rPr>
      </w:pPr>
    </w:p>
    <w:p w14:paraId="6D29E5E6" w14:textId="77777777" w:rsidR="002133AC" w:rsidRPr="00C55BDE" w:rsidRDefault="002133AC" w:rsidP="00C15139">
      <w:pPr>
        <w:spacing w:after="0"/>
        <w:rPr>
          <w:rFonts w:ascii="Verdana" w:hAnsi="Verdana"/>
          <w:lang w:val="es-ES_tradnl"/>
        </w:rPr>
      </w:pPr>
    </w:p>
    <w:p w14:paraId="3C820B5D" w14:textId="41A25C0C" w:rsidR="00013201" w:rsidRDefault="00013201" w:rsidP="00013201">
      <w:pPr>
        <w:spacing w:after="0" w:line="240" w:lineRule="auto"/>
        <w:rPr>
          <w:rFonts w:ascii="Verdana" w:eastAsia="Geomanist Light" w:hAnsi="Verdana" w:cs="Arial"/>
          <w:color w:val="201F1E"/>
        </w:rPr>
      </w:pPr>
      <w:r w:rsidRPr="00C55BDE">
        <w:rPr>
          <w:rFonts w:ascii="Verdana" w:hAnsi="Verdana"/>
        </w:rPr>
        <w:lastRenderedPageBreak/>
        <w:t xml:space="preserve">Bogotá D.C., </w:t>
      </w:r>
      <w:r w:rsidR="00C335B7">
        <w:rPr>
          <w:rFonts w:ascii="Verdana" w:eastAsia="Geomanist Light" w:hAnsi="Verdana" w:cs="Arial"/>
          <w:color w:val="201F1E"/>
        </w:rPr>
        <w:t>5 de diciembre de 2025</w:t>
      </w:r>
    </w:p>
    <w:p w14:paraId="63FAD2D0" w14:textId="40685B78" w:rsidR="00013201" w:rsidRDefault="00013201" w:rsidP="00013201">
      <w:pPr>
        <w:spacing w:after="0"/>
        <w:rPr>
          <w:rFonts w:ascii="Verdana" w:hAnsi="Verdana"/>
        </w:rPr>
      </w:pPr>
    </w:p>
    <w:p w14:paraId="28766236" w14:textId="7E89EB8C" w:rsidR="00013201" w:rsidRDefault="00BD652D" w:rsidP="00482175">
      <w:pPr>
        <w:spacing w:after="0"/>
        <w:jc w:val="right"/>
        <w:rPr>
          <w:rFonts w:ascii="Verdana" w:hAnsi="Verdana"/>
        </w:rPr>
      </w:pPr>
      <w:r w:rsidRPr="00482175">
        <w:rPr>
          <w:rFonts w:ascii="Verdana" w:hAnsi="Verdana"/>
          <w:noProof/>
        </w:rPr>
        <w:drawing>
          <wp:anchor distT="0" distB="0" distL="114300" distR="114300" simplePos="0" relativeHeight="251658240" behindDoc="0" locked="0" layoutInCell="1" allowOverlap="1" wp14:anchorId="3D9E5967" wp14:editId="36D09652">
            <wp:simplePos x="0" y="0"/>
            <wp:positionH relativeFrom="margin">
              <wp:posOffset>2823845</wp:posOffset>
            </wp:positionH>
            <wp:positionV relativeFrom="paragraph">
              <wp:posOffset>5715</wp:posOffset>
            </wp:positionV>
            <wp:extent cx="2784475" cy="885825"/>
            <wp:effectExtent l="0" t="0" r="0" b="9525"/>
            <wp:wrapSquare wrapText="bothSides"/>
            <wp:docPr id="2517492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4475" cy="885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3201" w:rsidRPr="00C55BDE">
        <w:rPr>
          <w:rFonts w:ascii="Verdana" w:hAnsi="Verdana"/>
        </w:rPr>
        <w:tab/>
      </w:r>
    </w:p>
    <w:p w14:paraId="60A273A1" w14:textId="77777777" w:rsidR="00013201" w:rsidRPr="00441CBA" w:rsidRDefault="00013201" w:rsidP="00013201">
      <w:pPr>
        <w:spacing w:after="0"/>
        <w:rPr>
          <w:rFonts w:ascii="Verdana" w:hAnsi="Verdana"/>
        </w:rPr>
      </w:pPr>
      <w:r w:rsidRPr="00C55BDE">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 xml:space="preserve"> (a):</w:t>
      </w:r>
    </w:p>
    <w:p w14:paraId="533AC24D" w14:textId="77777777" w:rsidR="00013201" w:rsidRPr="00C55BDE" w:rsidRDefault="00013201" w:rsidP="00013201">
      <w:pPr>
        <w:spacing w:after="0" w:line="240" w:lineRule="auto"/>
        <w:jc w:val="both"/>
        <w:rPr>
          <w:rFonts w:ascii="Verdana" w:eastAsia="Calibri" w:hAnsi="Verdana" w:cs="Arial"/>
          <w:b/>
          <w:bCs/>
          <w:color w:val="000000" w:themeColor="text1"/>
          <w:lang w:val="es-ES" w:eastAsia="es-ES"/>
        </w:rPr>
      </w:pPr>
      <w:r>
        <w:rPr>
          <w:rFonts w:ascii="Verdana" w:eastAsia="Calibri" w:hAnsi="Verdana" w:cs="Arial"/>
          <w:b/>
          <w:bCs/>
          <w:color w:val="000000" w:themeColor="text1"/>
          <w:lang w:val="es-ES" w:eastAsia="es-ES"/>
        </w:rPr>
        <w:t xml:space="preserve">Anónimo </w:t>
      </w:r>
    </w:p>
    <w:p w14:paraId="103CE382" w14:textId="77777777" w:rsidR="00013201" w:rsidRPr="00C55BDE" w:rsidRDefault="00013201" w:rsidP="00013201">
      <w:pPr>
        <w:spacing w:after="0" w:line="240" w:lineRule="auto"/>
        <w:rPr>
          <w:rFonts w:ascii="Verdana" w:hAnsi="Verdana"/>
        </w:rPr>
      </w:pPr>
      <w:hyperlink r:id="rId12" w:history="1">
        <w:r w:rsidRPr="00B55C5D">
          <w:rPr>
            <w:rStyle w:val="Hipervnculo"/>
            <w:rFonts w:ascii="Verdana" w:hAnsi="Verdana"/>
          </w:rPr>
          <w:t>sebashdezc@gmail.com</w:t>
        </w:r>
      </w:hyperlink>
      <w:r>
        <w:rPr>
          <w:rFonts w:ascii="Verdana" w:hAnsi="Verdana"/>
        </w:rPr>
        <w:t xml:space="preserve"> </w:t>
      </w:r>
    </w:p>
    <w:p w14:paraId="0AF0BC69" w14:textId="77777777" w:rsidR="00013201" w:rsidRPr="00C55BDE" w:rsidRDefault="00013201" w:rsidP="00013201">
      <w:pPr>
        <w:spacing w:after="0" w:line="240" w:lineRule="auto"/>
        <w:rPr>
          <w:rFonts w:ascii="Verdana" w:eastAsia="Calibri" w:hAnsi="Verdana" w:cs="Arial"/>
          <w:b/>
          <w:bCs/>
          <w:color w:val="000000" w:themeColor="text1"/>
          <w:lang w:val="es-ES_tradnl" w:eastAsia="es-ES"/>
        </w:rPr>
      </w:pPr>
      <w:r>
        <w:rPr>
          <w:rFonts w:ascii="Verdana" w:eastAsia="Calibri" w:hAnsi="Verdana" w:cs="Arial"/>
          <w:color w:val="000000" w:themeColor="text1"/>
          <w:lang w:val="es-ES_tradnl" w:eastAsia="es-ES"/>
        </w:rPr>
        <w:t>Bogotá</w:t>
      </w:r>
      <w:r w:rsidRPr="00C55BDE">
        <w:rPr>
          <w:rFonts w:ascii="Verdana" w:eastAsia="Calibri" w:hAnsi="Verdana" w:cs="Arial"/>
          <w:color w:val="000000" w:themeColor="text1"/>
          <w:lang w:val="es-ES_tradnl" w:eastAsia="es-ES"/>
        </w:rPr>
        <w:t xml:space="preserve"> </w:t>
      </w:r>
    </w:p>
    <w:p w14:paraId="5078B4E0" w14:textId="77777777" w:rsidR="00013201" w:rsidRPr="00C55BDE" w:rsidRDefault="00013201" w:rsidP="00013201">
      <w:pPr>
        <w:spacing w:after="0" w:line="240" w:lineRule="auto"/>
        <w:rPr>
          <w:rFonts w:ascii="Verdana" w:eastAsia="Calibri" w:hAnsi="Verdana" w:cs="Arial"/>
          <w:b/>
          <w:bCs/>
          <w:color w:val="000000" w:themeColor="text1"/>
          <w:lang w:val="es-ES_tradnl" w:eastAsia="es-ES_tradnl"/>
        </w:rPr>
      </w:pPr>
    </w:p>
    <w:p w14:paraId="41BFE013" w14:textId="77777777" w:rsidR="00013201" w:rsidRPr="00C55BDE" w:rsidRDefault="00013201" w:rsidP="00013201">
      <w:pPr>
        <w:spacing w:after="0" w:line="240" w:lineRule="auto"/>
        <w:rPr>
          <w:rFonts w:ascii="Verdana" w:eastAsia="Calibri" w:hAnsi="Verdana" w:cs="Arial"/>
          <w:b/>
          <w:bCs/>
          <w:color w:val="000000" w:themeColor="text1"/>
          <w:lang w:val="es-ES_tradnl" w:eastAsia="es-ES_tradnl"/>
        </w:rPr>
      </w:pPr>
      <w:r w:rsidRPr="00C55BDE">
        <w:rPr>
          <w:rFonts w:ascii="Verdana" w:eastAsia="Calibri" w:hAnsi="Verdana" w:cs="Arial"/>
          <w:b/>
          <w:bCs/>
          <w:color w:val="000000" w:themeColor="text1"/>
          <w:lang w:val="es-ES_tradnl" w:eastAsia="es-ES_tradnl"/>
        </w:rPr>
        <w:t xml:space="preserve">                                   Concepto C-</w:t>
      </w:r>
      <w:r>
        <w:rPr>
          <w:rFonts w:ascii="Verdana" w:eastAsia="Calibri" w:hAnsi="Verdana" w:cs="Arial"/>
          <w:b/>
          <w:bCs/>
          <w:color w:val="000000" w:themeColor="text1"/>
          <w:lang w:val="es-ES_tradnl" w:eastAsia="es-ES_tradnl"/>
        </w:rPr>
        <w:t>1592</w:t>
      </w:r>
      <w:r w:rsidRPr="00C55BDE">
        <w:rPr>
          <w:rFonts w:ascii="Verdana" w:eastAsia="Calibri" w:hAnsi="Verdana" w:cs="Arial"/>
          <w:b/>
          <w:bCs/>
          <w:color w:val="000000" w:themeColor="text1"/>
          <w:lang w:val="es-ES_tradnl" w:eastAsia="es-ES_tradnl"/>
        </w:rPr>
        <w:t xml:space="preserve"> del 2025</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13201" w:rsidRPr="00C55BDE" w14:paraId="2A55EB75" w14:textId="77777777" w:rsidTr="00902708">
        <w:trPr>
          <w:gridAfter w:val="1"/>
          <w:wAfter w:w="6100" w:type="dxa"/>
          <w:trHeight w:val="133"/>
        </w:trPr>
        <w:tc>
          <w:tcPr>
            <w:tcW w:w="2689" w:type="dxa"/>
          </w:tcPr>
          <w:p w14:paraId="7904058D" w14:textId="77777777" w:rsidR="00013201" w:rsidRPr="00C55BDE" w:rsidRDefault="00013201" w:rsidP="00902708">
            <w:pPr>
              <w:jc w:val="both"/>
              <w:rPr>
                <w:rFonts w:ascii="Verdana" w:eastAsia="Calibri" w:hAnsi="Verdana" w:cs="Arial"/>
                <w:b/>
                <w:bCs/>
                <w:color w:val="000000" w:themeColor="text1"/>
                <w:highlight w:val="cyan"/>
                <w:lang w:val="es-ES_tradnl" w:eastAsia="es-ES_tradnl"/>
              </w:rPr>
            </w:pPr>
          </w:p>
        </w:tc>
      </w:tr>
      <w:tr w:rsidR="00013201" w:rsidRPr="00C55BDE" w14:paraId="1F5377DA" w14:textId="77777777" w:rsidTr="00902708">
        <w:trPr>
          <w:trHeight w:val="884"/>
        </w:trPr>
        <w:tc>
          <w:tcPr>
            <w:tcW w:w="2689" w:type="dxa"/>
          </w:tcPr>
          <w:p w14:paraId="3D36BD72" w14:textId="77777777" w:rsidR="00013201" w:rsidRPr="00C55BDE" w:rsidRDefault="00013201" w:rsidP="00902708">
            <w:pPr>
              <w:jc w:val="both"/>
              <w:rPr>
                <w:rFonts w:ascii="Verdana" w:eastAsia="Calibri" w:hAnsi="Verdana" w:cs="Arial"/>
                <w:color w:val="000000" w:themeColor="text1"/>
                <w:highlight w:val="cyan"/>
                <w:lang w:val="es-ES_tradnl" w:eastAsia="es-ES_tradnl"/>
              </w:rPr>
            </w:pPr>
            <w:r w:rsidRPr="00C55BDE">
              <w:rPr>
                <w:rFonts w:ascii="Verdana" w:eastAsia="Calibri" w:hAnsi="Verdana" w:cs="Arial"/>
                <w:b/>
                <w:color w:val="000000" w:themeColor="text1"/>
                <w:lang w:val="es-ES_tradnl" w:eastAsia="es-ES_tradnl"/>
              </w:rPr>
              <w:t>Temas:</w:t>
            </w:r>
            <w:r w:rsidRPr="00C55BDE">
              <w:rPr>
                <w:rFonts w:ascii="Verdana" w:eastAsia="Calibri" w:hAnsi="Verdana" w:cs="Arial"/>
                <w:color w:val="000000" w:themeColor="text1"/>
                <w:lang w:val="es-ES_tradnl" w:eastAsia="es-ES_tradnl"/>
              </w:rPr>
              <w:t xml:space="preserve">                   </w:t>
            </w:r>
          </w:p>
        </w:tc>
        <w:tc>
          <w:tcPr>
            <w:tcW w:w="6100" w:type="dxa"/>
          </w:tcPr>
          <w:p w14:paraId="780EA55D" w14:textId="77777777" w:rsidR="00013201" w:rsidRDefault="00013201" w:rsidP="00902708">
            <w:pPr>
              <w:spacing w:line="276" w:lineRule="auto"/>
              <w:jc w:val="both"/>
              <w:rPr>
                <w:rFonts w:ascii="Verdana" w:hAnsi="Verdana" w:cs="Arial"/>
                <w:lang w:val="es-MX" w:eastAsia="es-ES_tradnl"/>
              </w:rPr>
            </w:pPr>
            <w:r w:rsidRPr="00C55BDE">
              <w:rPr>
                <w:rFonts w:ascii="Verdana" w:eastAsia="Calibri" w:hAnsi="Verdana" w:cs="Arial"/>
                <w:lang w:val="es-ES" w:eastAsia="es-ES"/>
              </w:rPr>
              <w:t xml:space="preserve">RESGUARDOS INDÍGENAS – Administración de recursos del SGP – Entidades Estatales / </w:t>
            </w:r>
            <w:r w:rsidRPr="00C55BDE">
              <w:rPr>
                <w:rFonts w:ascii="Verdana" w:hAnsi="Verdana" w:cs="Arial"/>
                <w:lang w:val="es-ES" w:eastAsia="es-ES"/>
              </w:rPr>
              <w:t xml:space="preserve">LEY DE GARANTÍAS ELECTORALES – Finalidad / LEY DE GARANTÍAS ELECTORALES ‒ Restricciones ‒ Contratación ‒ Tipos de elección / </w:t>
            </w:r>
            <w:r w:rsidRPr="00C55BDE">
              <w:rPr>
                <w:rFonts w:ascii="Verdana" w:hAnsi="Verdana" w:cs="Arial"/>
                <w:lang w:val="es-MX" w:eastAsia="es-ES_tradnl"/>
              </w:rPr>
              <w:t>CONVENIOS INTERADMINISTRATIVOS – Criterio orgánico /</w:t>
            </w:r>
            <w:r w:rsidRPr="00C55BDE">
              <w:rPr>
                <w:rFonts w:ascii="Verdana" w:hAnsi="Verdana"/>
              </w:rPr>
              <w:t xml:space="preserve"> </w:t>
            </w:r>
            <w:r w:rsidRPr="00C55BDE">
              <w:rPr>
                <w:rFonts w:ascii="Verdana" w:hAnsi="Verdana" w:cs="Arial"/>
                <w:lang w:val="es-MX" w:eastAsia="es-ES_tradnl"/>
              </w:rPr>
              <w:t>CONTRATOS Y CONVENIOS INTERADMINISTRATIVOS – Circular Externa Única – Auto de suspensión –</w:t>
            </w:r>
            <w:r>
              <w:rPr>
                <w:rFonts w:ascii="Verdana" w:hAnsi="Verdana" w:cs="Arial"/>
                <w:lang w:val="es-MX" w:eastAsia="es-ES_tradnl"/>
              </w:rPr>
              <w:t xml:space="preserve"> N</w:t>
            </w:r>
            <w:r w:rsidRPr="00C55BDE">
              <w:rPr>
                <w:rFonts w:ascii="Verdana" w:hAnsi="Verdana" w:cs="Arial"/>
                <w:lang w:val="es-MX" w:eastAsia="es-ES_tradnl"/>
              </w:rPr>
              <w:t>umeral 16.2.</w:t>
            </w:r>
          </w:p>
          <w:p w14:paraId="64EAD0A7" w14:textId="77777777" w:rsidR="00013201" w:rsidRPr="00C55BDE" w:rsidRDefault="00013201" w:rsidP="00902708">
            <w:pPr>
              <w:spacing w:line="276" w:lineRule="auto"/>
              <w:jc w:val="both"/>
              <w:rPr>
                <w:rFonts w:ascii="Verdana" w:hAnsi="Verdana" w:cs="Arial"/>
                <w:bCs/>
                <w:color w:val="000000" w:themeColor="text1"/>
                <w:highlight w:val="cyan"/>
              </w:rPr>
            </w:pPr>
          </w:p>
        </w:tc>
      </w:tr>
      <w:tr w:rsidR="00013201" w:rsidRPr="00C55BDE" w14:paraId="5089E8FE" w14:textId="77777777" w:rsidTr="00902708">
        <w:tc>
          <w:tcPr>
            <w:tcW w:w="2689" w:type="dxa"/>
          </w:tcPr>
          <w:p w14:paraId="6029B039" w14:textId="77777777" w:rsidR="00013201" w:rsidRPr="00C55BDE" w:rsidRDefault="00013201" w:rsidP="00902708">
            <w:pPr>
              <w:jc w:val="both"/>
              <w:rPr>
                <w:rFonts w:ascii="Verdana" w:eastAsia="Calibri" w:hAnsi="Verdana" w:cs="Arial"/>
                <w:b/>
                <w:color w:val="000000" w:themeColor="text1"/>
                <w:lang w:val="es-ES_tradnl" w:eastAsia="es-ES_tradnl"/>
              </w:rPr>
            </w:pPr>
            <w:r w:rsidRPr="00C55BDE">
              <w:rPr>
                <w:rFonts w:ascii="Verdana" w:eastAsia="Calibri" w:hAnsi="Verdana" w:cs="Arial"/>
                <w:b/>
                <w:color w:val="000000" w:themeColor="text1"/>
                <w:lang w:val="es-ES_tradnl" w:eastAsia="es-ES_tradnl"/>
              </w:rPr>
              <w:t>Radicación:</w:t>
            </w:r>
            <w:r w:rsidRPr="00C55BDE">
              <w:rPr>
                <w:rFonts w:ascii="Verdana" w:eastAsia="Calibri" w:hAnsi="Verdana" w:cs="Arial"/>
                <w:color w:val="000000" w:themeColor="text1"/>
                <w:lang w:val="es-ES_tradnl" w:eastAsia="es-ES_tradnl"/>
              </w:rPr>
              <w:t xml:space="preserve">               </w:t>
            </w:r>
          </w:p>
        </w:tc>
        <w:tc>
          <w:tcPr>
            <w:tcW w:w="6100" w:type="dxa"/>
          </w:tcPr>
          <w:p w14:paraId="3A5A663B" w14:textId="77777777" w:rsidR="00013201" w:rsidRPr="00C55BDE" w:rsidRDefault="00013201" w:rsidP="00902708">
            <w:pPr>
              <w:jc w:val="both"/>
              <w:rPr>
                <w:rFonts w:ascii="Verdana" w:hAnsi="Verdana" w:cs="Arial"/>
              </w:rPr>
            </w:pPr>
            <w:r w:rsidRPr="00C55BDE">
              <w:rPr>
                <w:rFonts w:ascii="Verdana" w:eastAsia="Calibri" w:hAnsi="Verdana" w:cs="Arial"/>
                <w:color w:val="000000" w:themeColor="text1"/>
                <w:lang w:val="es-ES_tradnl" w:eastAsia="es-ES_tradnl"/>
              </w:rPr>
              <w:t>Respuesta a consulta con radicado No.</w:t>
            </w:r>
            <w:r w:rsidRPr="00C55BDE">
              <w:rPr>
                <w:rFonts w:ascii="Verdana" w:hAnsi="Verdana"/>
              </w:rPr>
              <w:t xml:space="preserve"> </w:t>
            </w:r>
            <w:r w:rsidRPr="00411BDC">
              <w:rPr>
                <w:rFonts w:ascii="Verdana" w:hAnsi="Verdana"/>
              </w:rPr>
              <w:t>1_2025_10_28_012155</w:t>
            </w:r>
          </w:p>
          <w:p w14:paraId="3910B203" w14:textId="77777777" w:rsidR="00013201" w:rsidRPr="00C55BDE" w:rsidRDefault="00013201" w:rsidP="00902708">
            <w:pPr>
              <w:jc w:val="both"/>
              <w:rPr>
                <w:rFonts w:ascii="Verdana" w:hAnsi="Verdana"/>
                <w:color w:val="000000"/>
              </w:rPr>
            </w:pPr>
          </w:p>
        </w:tc>
      </w:tr>
    </w:tbl>
    <w:p w14:paraId="55BC3230" w14:textId="77777777" w:rsidR="00013201" w:rsidRPr="00C55BDE" w:rsidRDefault="00013201" w:rsidP="00013201">
      <w:pPr>
        <w:spacing w:after="0" w:line="276" w:lineRule="auto"/>
        <w:jc w:val="both"/>
        <w:rPr>
          <w:rFonts w:ascii="Verdana" w:eastAsia="Calibri" w:hAnsi="Verdana" w:cs="Arial"/>
          <w:color w:val="000000" w:themeColor="text1"/>
          <w:lang w:val="es-ES" w:eastAsia="es-ES"/>
        </w:rPr>
      </w:pPr>
      <w:r w:rsidRPr="00C55BDE">
        <w:rPr>
          <w:rFonts w:ascii="Verdana" w:eastAsia="Calibri" w:hAnsi="Verdana" w:cs="Arial"/>
          <w:color w:val="000000" w:themeColor="text1"/>
          <w:lang w:val="es-ES" w:eastAsia="es-ES"/>
        </w:rPr>
        <w:t>Estimado</w:t>
      </w:r>
      <w:r>
        <w:rPr>
          <w:rFonts w:ascii="Verdana" w:eastAsia="Calibri" w:hAnsi="Verdana" w:cs="Arial"/>
          <w:color w:val="000000" w:themeColor="text1"/>
          <w:lang w:val="es-ES" w:eastAsia="es-ES"/>
        </w:rPr>
        <w:t xml:space="preserve"> (a)</w:t>
      </w:r>
      <w:r w:rsidRPr="00C55BDE">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 xml:space="preserve"> (a)</w:t>
      </w:r>
      <w:r w:rsidRPr="00C55BDE">
        <w:rPr>
          <w:rFonts w:ascii="Verdana" w:eastAsia="Calibri" w:hAnsi="Verdana" w:cs="Arial"/>
          <w:color w:val="000000" w:themeColor="text1"/>
          <w:lang w:val="es-ES" w:eastAsia="es-ES"/>
        </w:rPr>
        <w:t xml:space="preserve">: </w:t>
      </w:r>
    </w:p>
    <w:p w14:paraId="2FDE3414" w14:textId="77777777" w:rsidR="00013201" w:rsidRPr="00C55BDE" w:rsidRDefault="00013201" w:rsidP="00013201">
      <w:pPr>
        <w:spacing w:after="0"/>
        <w:rPr>
          <w:rFonts w:ascii="Verdana" w:eastAsia="Times New Roman" w:hAnsi="Verdana" w:cs="Segoe UI"/>
          <w:lang w:eastAsia="es-CO"/>
        </w:rPr>
      </w:pPr>
    </w:p>
    <w:p w14:paraId="7A80B888" w14:textId="77777777" w:rsidR="00013201" w:rsidRPr="00BA1D42" w:rsidRDefault="00013201" w:rsidP="00013201">
      <w:pPr>
        <w:spacing w:after="0" w:line="276" w:lineRule="auto"/>
        <w:jc w:val="both"/>
        <w:rPr>
          <w:rFonts w:ascii="Verdana" w:hAnsi="Verdana" w:cs="Arial"/>
          <w:color w:val="000000" w:themeColor="text1"/>
        </w:rPr>
      </w:pPr>
      <w:r w:rsidRPr="00C55BDE">
        <w:rPr>
          <w:rFonts w:ascii="Verdana" w:eastAsia="Calibri" w:hAnsi="Verdana" w:cs="Arial"/>
          <w:color w:val="000000" w:themeColor="text1"/>
          <w:lang w:val="es-ES" w:eastAsia="es-ES"/>
        </w:rPr>
        <w:t>En ejercicio de la competencia otorgada por los artículos 3, numeral 5º, y 11, numeral 8º, del Decreto Ley 4170 de 2011,</w:t>
      </w:r>
      <w:r w:rsidRPr="00C55BDE">
        <w:rPr>
          <w:rFonts w:ascii="Verdana" w:eastAsia="Arial MT" w:hAnsi="Verdana" w:cs="Arial MT"/>
          <w:color w:val="000000" w:themeColor="text1"/>
          <w:lang w:val="es-ES" w:eastAsia="es-ES"/>
        </w:rPr>
        <w:t xml:space="preserve"> </w:t>
      </w:r>
      <w:r>
        <w:rPr>
          <w:rFonts w:ascii="Verdana" w:hAnsi="Verdana" w:cs="Arial"/>
          <w:lang w:val="es-ES_tradnl"/>
        </w:rPr>
        <w:t>así como lo establecido en</w:t>
      </w:r>
      <w:r>
        <w:rPr>
          <w:rFonts w:ascii="Verdana" w:hAnsi="Verdana" w:cs="Arial"/>
        </w:rPr>
        <w:t xml:space="preserve"> la Resolución 469 de 2025 expedida por esta Entidad</w:t>
      </w:r>
      <w:r w:rsidRPr="00C55BDE">
        <w:rPr>
          <w:rFonts w:ascii="Verdana" w:hAnsi="Verdana" w:cs="Arial"/>
          <w:color w:val="000000" w:themeColor="text1"/>
        </w:rPr>
        <w:t xml:space="preserve">, </w:t>
      </w:r>
      <w:r w:rsidRPr="00C55BDE">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28</w:t>
      </w:r>
      <w:r w:rsidRPr="00C55BDE">
        <w:rPr>
          <w:rFonts w:ascii="Verdana" w:eastAsia="Calibri" w:hAnsi="Verdana" w:cs="Arial"/>
          <w:color w:val="000000" w:themeColor="text1"/>
          <w:lang w:val="es-ES" w:eastAsia="es-ES"/>
        </w:rPr>
        <w:t xml:space="preserve"> de octubre del 2025, en la cual manifiesta lo siguiente: </w:t>
      </w:r>
    </w:p>
    <w:p w14:paraId="37342E5F" w14:textId="77777777" w:rsidR="00013201" w:rsidRPr="00C55BDE" w:rsidRDefault="00013201" w:rsidP="00013201">
      <w:pPr>
        <w:spacing w:after="0" w:line="276" w:lineRule="auto"/>
        <w:jc w:val="both"/>
        <w:rPr>
          <w:rFonts w:ascii="Verdana" w:eastAsia="Calibri" w:hAnsi="Verdana" w:cs="Arial"/>
          <w:color w:val="000000" w:themeColor="text1"/>
          <w:lang w:val="es-ES" w:eastAsia="es-ES"/>
        </w:rPr>
      </w:pPr>
    </w:p>
    <w:p w14:paraId="67E3BAD1" w14:textId="77777777" w:rsidR="00013201" w:rsidRPr="00C55BDE" w:rsidRDefault="00013201" w:rsidP="00013201">
      <w:pPr>
        <w:spacing w:after="0" w:line="240" w:lineRule="auto"/>
        <w:ind w:left="709" w:right="709"/>
        <w:jc w:val="both"/>
        <w:rPr>
          <w:rFonts w:ascii="Verdana" w:eastAsia="Century Gothic" w:hAnsi="Verdana" w:cs="Century Gothic"/>
          <w:i/>
          <w:iCs/>
          <w:color w:val="000000" w:themeColor="text1"/>
          <w:sz w:val="20"/>
          <w:szCs w:val="20"/>
          <w:lang w:val="es-ES"/>
        </w:rPr>
      </w:pPr>
      <w:bookmarkStart w:id="1" w:name="_Hlk95313578"/>
      <w:r w:rsidRPr="00C55BDE">
        <w:rPr>
          <w:rFonts w:ascii="Verdana" w:eastAsia="Century Gothic" w:hAnsi="Verdana" w:cs="Century Gothic"/>
          <w:i/>
          <w:iCs/>
          <w:color w:val="000000" w:themeColor="text1"/>
          <w:sz w:val="20"/>
          <w:szCs w:val="20"/>
          <w:lang w:val="es-ES"/>
        </w:rPr>
        <w:t>“</w:t>
      </w:r>
      <w:bookmarkEnd w:id="1"/>
      <w:r w:rsidRPr="00F07CE6">
        <w:rPr>
          <w:rFonts w:ascii="Verdana" w:eastAsia="Century Gothic" w:hAnsi="Verdana" w:cs="Century Gothic"/>
          <w:i/>
          <w:iCs/>
          <w:color w:val="000000" w:themeColor="text1"/>
          <w:sz w:val="20"/>
          <w:szCs w:val="20"/>
        </w:rPr>
        <w:t xml:space="preserve">Teniendo en cuenta la Circular Externa 006 del 25 de septiembre de 2025, en la cual CCE en uso de sus facultades instruyó a las Entidades Estatales sobre la aplicación de las prohibiciones establecidas en el artículo 33 y el parágrafo del artículo 38 de la Ley 996 de 2005 “ Ley de Garantías Electorales ”, sin embargo revisada la referida Circular así como la Ley 996 de 2005, me surge la siguiente duda: ¿Un resguardo o una autoridad Indígena en el organigrama del Estado Colombiano se clasifica como una Entidad del orden territorial o nacional?, lo anterior teniendo en cuanta que la Ley es ambigua frente a ello, y como consecuencia saber si la </w:t>
      </w:r>
      <w:r w:rsidRPr="00F07CE6">
        <w:rPr>
          <w:rFonts w:ascii="Verdana" w:eastAsia="Century Gothic" w:hAnsi="Verdana" w:cs="Century Gothic"/>
          <w:i/>
          <w:iCs/>
          <w:color w:val="000000" w:themeColor="text1"/>
          <w:sz w:val="20"/>
          <w:szCs w:val="20"/>
        </w:rPr>
        <w:lastRenderedPageBreak/>
        <w:t>restricción para celebrar contratos y/o convenios interadministrativos entre una Entidad Pública del orden nacional y un resguardo o una autoridad Indígena inicia el 8 de noviembre de 2025, o en su defecto el 31 de enero de 2026, con ocasión a los comicios que se llevará cabo el próximo año.</w:t>
      </w:r>
      <w:r>
        <w:rPr>
          <w:rFonts w:ascii="Verdana" w:eastAsia="Century Gothic" w:hAnsi="Verdana" w:cs="Century Gothic"/>
          <w:i/>
          <w:iCs/>
          <w:color w:val="000000" w:themeColor="text1"/>
          <w:sz w:val="20"/>
          <w:szCs w:val="20"/>
        </w:rPr>
        <w:t>”</w:t>
      </w:r>
    </w:p>
    <w:p w14:paraId="2682C8A2" w14:textId="77777777" w:rsidR="00013201" w:rsidRPr="00C55BDE" w:rsidRDefault="00013201" w:rsidP="00013201">
      <w:pPr>
        <w:spacing w:after="0" w:line="240" w:lineRule="auto"/>
        <w:ind w:left="709" w:right="709"/>
        <w:jc w:val="both"/>
        <w:rPr>
          <w:rFonts w:ascii="Verdana" w:eastAsia="Times New Roman" w:hAnsi="Verdana" w:cs="Arial"/>
          <w:i/>
          <w:iCs/>
          <w:sz w:val="20"/>
          <w:szCs w:val="20"/>
          <w:lang w:eastAsia="es-ES_tradnl"/>
        </w:rPr>
      </w:pPr>
    </w:p>
    <w:p w14:paraId="0257A720" w14:textId="77777777" w:rsidR="00013201" w:rsidRPr="00C55BDE" w:rsidRDefault="00013201" w:rsidP="00013201">
      <w:pPr>
        <w:spacing w:after="120" w:line="276" w:lineRule="auto"/>
        <w:ind w:firstLine="709"/>
        <w:jc w:val="both"/>
        <w:rPr>
          <w:rFonts w:ascii="Verdana" w:eastAsia="Calibri" w:hAnsi="Verdana" w:cs="Arial"/>
          <w:color w:val="000000" w:themeColor="text1"/>
          <w:szCs w:val="24"/>
          <w:lang w:val="es-ES_tradnl" w:eastAsia="es-ES_tradnl"/>
        </w:rPr>
      </w:pPr>
      <w:r w:rsidRPr="00C55BDE">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55BDE">
        <w:rPr>
          <w:rFonts w:ascii="Verdana" w:eastAsia="Calibri" w:hAnsi="Verdana" w:cs="Arial"/>
          <w:color w:val="000000" w:themeColor="text1"/>
          <w:szCs w:val="24"/>
          <w:lang w:val="es-ES_tradnl" w:eastAsia="es-ES_tradnl"/>
        </w:rPr>
        <w:tab/>
      </w:r>
    </w:p>
    <w:p w14:paraId="77B339E8" w14:textId="77777777" w:rsidR="00013201" w:rsidRPr="00C55BDE" w:rsidRDefault="00013201" w:rsidP="00013201">
      <w:pPr>
        <w:spacing w:after="0" w:line="276" w:lineRule="auto"/>
        <w:ind w:firstLine="709"/>
        <w:jc w:val="both"/>
        <w:rPr>
          <w:rFonts w:ascii="Verdana" w:eastAsia="Calibri" w:hAnsi="Verdana" w:cs="Arial"/>
          <w:color w:val="000000" w:themeColor="text1"/>
          <w:lang w:val="es-ES" w:eastAsia="es-ES"/>
        </w:rPr>
      </w:pPr>
      <w:r w:rsidRPr="00C55BDE">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31C17DD5" w14:textId="77777777" w:rsidR="00013201" w:rsidRPr="00C55BDE" w:rsidRDefault="00013201" w:rsidP="00013201">
      <w:pPr>
        <w:spacing w:after="0" w:line="276" w:lineRule="auto"/>
        <w:jc w:val="both"/>
        <w:rPr>
          <w:rFonts w:ascii="Verdana" w:eastAsia="Calibri" w:hAnsi="Verdana" w:cs="Arial"/>
          <w:color w:val="000000" w:themeColor="text1"/>
          <w:lang w:val="es-ES" w:eastAsia="es-ES"/>
        </w:rPr>
      </w:pPr>
    </w:p>
    <w:p w14:paraId="67052B38" w14:textId="77777777" w:rsidR="00013201" w:rsidRPr="00C55BDE" w:rsidRDefault="00013201" w:rsidP="0001320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C55BDE">
        <w:rPr>
          <w:rFonts w:ascii="Verdana" w:eastAsia="Century Gothic" w:hAnsi="Verdana" w:cs="Century Gothic"/>
          <w:b/>
          <w:bCs/>
          <w:color w:val="000000" w:themeColor="text1"/>
        </w:rPr>
        <w:t>Problema planteado:</w:t>
      </w:r>
    </w:p>
    <w:p w14:paraId="4C57F130" w14:textId="77777777" w:rsidR="00013201" w:rsidRPr="00C55BDE" w:rsidRDefault="00013201" w:rsidP="00013201">
      <w:pPr>
        <w:tabs>
          <w:tab w:val="left" w:pos="426"/>
        </w:tabs>
        <w:spacing w:after="0" w:line="276" w:lineRule="auto"/>
        <w:jc w:val="both"/>
        <w:rPr>
          <w:rFonts w:ascii="Verdana" w:eastAsia="Century Gothic" w:hAnsi="Verdana" w:cs="Century Gothic"/>
          <w:color w:val="000000" w:themeColor="text1"/>
          <w:lang w:val="es-ES"/>
        </w:rPr>
      </w:pPr>
    </w:p>
    <w:p w14:paraId="64CCA337" w14:textId="77777777" w:rsidR="00013201" w:rsidRPr="00C55BDE" w:rsidRDefault="00013201" w:rsidP="00013201">
      <w:pPr>
        <w:spacing w:after="0" w:line="276" w:lineRule="auto"/>
        <w:jc w:val="both"/>
        <w:rPr>
          <w:rFonts w:ascii="Verdana" w:eastAsia="Century Gothic" w:hAnsi="Verdana" w:cs="Century Gothic"/>
          <w:color w:val="000000" w:themeColor="text1"/>
        </w:rPr>
      </w:pPr>
      <w:r w:rsidRPr="00C55BDE">
        <w:rPr>
          <w:rFonts w:ascii="Verdana" w:eastAsia="Century Gothic" w:hAnsi="Verdana" w:cs="Century Gothic"/>
          <w:color w:val="000000" w:themeColor="text1"/>
        </w:rPr>
        <w:t>De acuerdo con el contenido de su solicitud, esta Agencia resolverá los siguientes problemas jurídicos:</w:t>
      </w:r>
      <w:r>
        <w:rPr>
          <w:rFonts w:ascii="Verdana" w:eastAsia="Century Gothic" w:hAnsi="Verdana" w:cs="Century Gothic"/>
          <w:color w:val="000000" w:themeColor="text1"/>
        </w:rPr>
        <w:t xml:space="preserve"> </w:t>
      </w:r>
      <w:r w:rsidRPr="00C55BDE">
        <w:rPr>
          <w:rFonts w:ascii="Verdana" w:eastAsia="Century Gothic" w:hAnsi="Verdana" w:cs="Century Gothic"/>
          <w:color w:val="000000" w:themeColor="text1"/>
        </w:rPr>
        <w:t>¿</w:t>
      </w:r>
      <w:r>
        <w:rPr>
          <w:rFonts w:ascii="Verdana" w:eastAsia="Century Gothic" w:hAnsi="Verdana" w:cs="Century Gothic"/>
          <w:color w:val="000000" w:themeColor="text1"/>
        </w:rPr>
        <w:t xml:space="preserve">aplican las restricciones </w:t>
      </w:r>
      <w:r w:rsidRPr="00C55BDE">
        <w:rPr>
          <w:rFonts w:ascii="Verdana" w:eastAsia="Times New Roman" w:hAnsi="Verdana" w:cs="Arial"/>
          <w:lang w:eastAsia="es-CO"/>
        </w:rPr>
        <w:t>de la Ley de Garantías Electorales -</w:t>
      </w:r>
      <w:r w:rsidRPr="00C55BDE">
        <w:rPr>
          <w:rFonts w:ascii="Verdana" w:hAnsi="Verdana"/>
          <w:iCs/>
        </w:rPr>
        <w:t xml:space="preserve"> Ley 996 de 2005</w:t>
      </w:r>
      <w:r>
        <w:rPr>
          <w:rFonts w:ascii="Verdana" w:hAnsi="Verdana"/>
          <w:iCs/>
        </w:rPr>
        <w:t xml:space="preserve"> a los convenios o contratos interadministrativos que se celebren entre entidades estatales y los resguardos indígenas</w:t>
      </w:r>
      <w:r w:rsidRPr="00C55BDE">
        <w:rPr>
          <w:rFonts w:ascii="Verdana" w:hAnsi="Verdana"/>
          <w:iCs/>
        </w:rPr>
        <w:t>?</w:t>
      </w:r>
    </w:p>
    <w:p w14:paraId="199E5A96" w14:textId="77777777" w:rsidR="00013201" w:rsidRPr="00C55BDE" w:rsidRDefault="00013201" w:rsidP="00013201">
      <w:pPr>
        <w:spacing w:after="0" w:line="276" w:lineRule="auto"/>
        <w:jc w:val="both"/>
        <w:rPr>
          <w:rFonts w:ascii="Verdana" w:eastAsia="Century Gothic" w:hAnsi="Verdana" w:cs="Century Gothic"/>
          <w:color w:val="000000" w:themeColor="text1"/>
        </w:rPr>
      </w:pPr>
    </w:p>
    <w:p w14:paraId="6B05EBA8" w14:textId="77777777" w:rsidR="00013201" w:rsidRPr="00C55BDE" w:rsidRDefault="00013201" w:rsidP="0001320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55BDE">
        <w:rPr>
          <w:rFonts w:ascii="Verdana" w:eastAsia="Century Gothic" w:hAnsi="Verdana" w:cs="Century Gothic"/>
          <w:b/>
          <w:bCs/>
          <w:color w:val="000000" w:themeColor="text1"/>
        </w:rPr>
        <w:t xml:space="preserve">Respuesta: </w:t>
      </w:r>
    </w:p>
    <w:p w14:paraId="5D2E6A97" w14:textId="77777777" w:rsidR="00013201" w:rsidRPr="00C55BDE" w:rsidRDefault="00013201" w:rsidP="00013201">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13201" w:rsidRPr="00C55BDE" w14:paraId="66FF4AEF" w14:textId="77777777" w:rsidTr="00902708">
        <w:tc>
          <w:tcPr>
            <w:tcW w:w="8828" w:type="dxa"/>
          </w:tcPr>
          <w:p w14:paraId="58BC05AF" w14:textId="77777777" w:rsidR="00013201" w:rsidRPr="00C55BDE" w:rsidRDefault="00013201" w:rsidP="00902708">
            <w:pPr>
              <w:spacing w:after="120" w:line="276" w:lineRule="auto"/>
              <w:jc w:val="both"/>
              <w:rPr>
                <w:rFonts w:ascii="Verdana" w:eastAsia="Calibri" w:hAnsi="Verdana" w:cs="Arial"/>
                <w:lang w:val="es-ES"/>
              </w:rPr>
            </w:pPr>
            <w:r w:rsidRPr="00C55BDE">
              <w:rPr>
                <w:rFonts w:ascii="Verdana" w:eastAsia="Calibri" w:hAnsi="Verdana" w:cs="Arial"/>
                <w:lang w:val="es-ES"/>
              </w:rPr>
              <w:t xml:space="preserve">Las normas </w:t>
            </w:r>
            <w:r>
              <w:rPr>
                <w:rFonts w:ascii="Verdana" w:eastAsia="Calibri" w:hAnsi="Verdana" w:cs="Arial"/>
                <w:lang w:val="es-ES"/>
              </w:rPr>
              <w:t>analizadas en este concepto</w:t>
            </w:r>
            <w:r w:rsidRPr="00C55BDE">
              <w:rPr>
                <w:rFonts w:ascii="Verdana" w:eastAsia="Calibri" w:hAnsi="Verdana" w:cs="Arial"/>
                <w:lang w:val="es-ES"/>
              </w:rPr>
              <w:t xml:space="preserve">, por un lado, conciben a los resguardos indígenas como una instituciones legales y sociopolíticas de carácter especial, que pueden estar conformadas por una o más comunidades </w:t>
            </w:r>
            <w:r w:rsidRPr="00C55BDE">
              <w:rPr>
                <w:rFonts w:ascii="Verdana" w:eastAsia="Calibri" w:hAnsi="Verdana" w:cs="Arial"/>
                <w:lang w:val="es-ES"/>
              </w:rPr>
              <w:lastRenderedPageBreak/>
              <w:t>indígenas, que ejercen la propiedad colectiva sobre un territorio común, y que, si bien gozan de las garantías de la propiedad privada, tienen naturaleza inalienable, imprescriptible e inembargable. En ese sentido, a pesar de que la noción de resguardos indígenas no se agota en el territorio físico que es objeto de propiedad colectiva, tampoco es susceptible de ser equiparado al concepto de territorios indígenas al que se refiere el artículo 2 de la Ley 80 de 1993, ya que este aplica a las entidades territoriales indígenas, que, conforme a lo aquí explicado, aún no han sido objeto de implementación. Así pues, en principio, los resguardos indígenas no tienen el carácter de Entidades Estatales en el marco del Estatuto General de Contratación de la Administración Pública, ni tampoco tienen capacidad para contratar a luz del artículo 6 de la Ley 80 de 1993.</w:t>
            </w:r>
          </w:p>
          <w:p w14:paraId="4032FAD1" w14:textId="77777777" w:rsidR="00013201" w:rsidRPr="00C55BDE" w:rsidRDefault="00013201" w:rsidP="00902708">
            <w:pPr>
              <w:spacing w:after="120" w:line="276" w:lineRule="auto"/>
              <w:jc w:val="both"/>
              <w:rPr>
                <w:rFonts w:ascii="Verdana" w:eastAsia="Calibri" w:hAnsi="Verdana" w:cs="Arial"/>
                <w:lang w:val="es-ES"/>
              </w:rPr>
            </w:pPr>
            <w:r w:rsidRPr="00C55BDE">
              <w:rPr>
                <w:rFonts w:ascii="Verdana" w:eastAsia="Calibri" w:hAnsi="Verdana" w:cs="Arial"/>
                <w:lang w:val="es-ES"/>
              </w:rPr>
              <w:tab/>
              <w:t>No obstante, el régimen para la transitoria puesta en marcha de los territorios indígenas establecido por el Decreto autónomo 1953 de 2014, a efectos de garantizar la distribución de los recursos de asignación especial del Sistema General de Participaciones</w:t>
            </w:r>
            <w:r>
              <w:rPr>
                <w:rFonts w:ascii="Verdana" w:eastAsia="Calibri" w:hAnsi="Verdana" w:cs="Arial"/>
                <w:lang w:val="es-ES"/>
              </w:rPr>
              <w:t xml:space="preserve"> </w:t>
            </w:r>
            <w:r w:rsidRPr="00C55BDE">
              <w:rPr>
                <w:rFonts w:ascii="Verdana" w:hAnsi="Verdana"/>
              </w:rPr>
              <w:t>-AESGPRI-</w:t>
            </w:r>
            <w:r>
              <w:rPr>
                <w:rFonts w:ascii="Verdana" w:hAnsi="Verdana"/>
              </w:rPr>
              <w:t>,</w:t>
            </w:r>
            <w:r w:rsidRPr="00C55BDE">
              <w:rPr>
                <w:rFonts w:ascii="Verdana" w:hAnsi="Verdana"/>
              </w:rPr>
              <w:t xml:space="preserve"> </w:t>
            </w:r>
            <w:r w:rsidRPr="00C55BDE">
              <w:rPr>
                <w:rFonts w:ascii="Verdana" w:eastAsia="Calibri" w:hAnsi="Verdana" w:cs="Arial"/>
                <w:lang w:val="es-ES"/>
              </w:rPr>
              <w:t xml:space="preserve">que corresponden a los pueblos indígenas, estableció diferentes mecanismos para que se ejecutaran los mismos. Dentro de estos mecanismos se estableció la posibilidad de que los resguardos indígenas que cumplieran ciertos requisitos o se agruparan con otros resguardos fueran reconocidos de manera transitoria como territorios indígenas, evento en el que, de conformidad con el artículo 9 del Decreto 1953 de 2014, son consideradas como Entidades Estatales de acuerdo con el artículo 2 de la Ley 80 de 1993. No obstante, la capacidad jurídica que deriva de este artículo está limitada a lo relacionado con el ejercicio de las funciones públicas y la ejecución de recursos de los que trata el decreto.   </w:t>
            </w:r>
          </w:p>
          <w:p w14:paraId="7ECD0182" w14:textId="77777777" w:rsidR="00013201" w:rsidRDefault="00013201" w:rsidP="00902708">
            <w:pPr>
              <w:spacing w:after="120" w:line="276" w:lineRule="auto"/>
              <w:ind w:firstLine="743"/>
              <w:jc w:val="both"/>
              <w:rPr>
                <w:rFonts w:ascii="Verdana" w:eastAsia="Calibri" w:hAnsi="Verdana" w:cs="Arial"/>
                <w:lang w:val="es-ES"/>
              </w:rPr>
            </w:pPr>
            <w:r w:rsidRPr="00C55BDE">
              <w:rPr>
                <w:rFonts w:ascii="Verdana" w:eastAsia="Calibri" w:hAnsi="Verdana" w:cs="Arial"/>
                <w:lang w:val="es-ES"/>
              </w:rPr>
              <w:t xml:space="preserve">En síntesis, a pesar de que el Decreto 1953 de 2014 establece el carácter de Entidades Estatales de los territorios indígenas regulados de manera transitoria, los resguardos indígenas y sus asociaciones, esto solo resulta aplicable a los asuntos contractuales regulados por dicha norma autónoma. Esto significa que, los territorios, resguardos indígenas y asociaciones de estos, solo son consideradas Entidades Estatales para efectos de celebrar los negocios jurídicos requeridos para el cumplimiento de las </w:t>
            </w:r>
            <w:r w:rsidRPr="00C55BDE">
              <w:rPr>
                <w:rFonts w:ascii="Verdana" w:eastAsia="Calibri" w:hAnsi="Verdana" w:cs="Arial"/>
                <w:lang w:val="es-ES"/>
              </w:rPr>
              <w:lastRenderedPageBreak/>
              <w:t>funciones que les asigna el decreto</w:t>
            </w:r>
            <w:r w:rsidRPr="00C55BDE">
              <w:rPr>
                <w:rStyle w:val="Refdenotaalpie"/>
                <w:rFonts w:ascii="Verdana" w:eastAsia="Calibri" w:hAnsi="Verdana" w:cs="Arial"/>
                <w:lang w:val="es-ES"/>
              </w:rPr>
              <w:footnoteReference w:id="1"/>
            </w:r>
            <w:r w:rsidRPr="00C55BDE">
              <w:rPr>
                <w:rFonts w:ascii="Verdana" w:eastAsia="Calibri" w:hAnsi="Verdana" w:cs="Arial"/>
                <w:lang w:val="es-ES"/>
              </w:rPr>
              <w:t xml:space="preserve">, prevalentemente relacionadas con la ejecución y administración de recursos del Sistema General de Participaciones, por lo que no estarían facultados para ejecutar negocios jurídicos no relacionados con tales atribuciones. </w:t>
            </w:r>
          </w:p>
          <w:p w14:paraId="19BFD369" w14:textId="77777777" w:rsidR="00013201" w:rsidRPr="0053094D" w:rsidRDefault="00013201" w:rsidP="00902708">
            <w:pPr>
              <w:spacing w:after="120" w:line="276" w:lineRule="auto"/>
              <w:ind w:firstLine="743"/>
              <w:jc w:val="both"/>
              <w:rPr>
                <w:rFonts w:ascii="Verdana" w:eastAsia="Calibri" w:hAnsi="Verdana" w:cs="Arial"/>
                <w:lang w:val="es-ES"/>
              </w:rPr>
            </w:pPr>
            <w:r>
              <w:rPr>
                <w:rFonts w:ascii="Verdana" w:hAnsi="Verdana"/>
              </w:rPr>
              <w:t>T</w:t>
            </w:r>
            <w:r w:rsidRPr="00C55BDE">
              <w:rPr>
                <w:rFonts w:ascii="Verdana" w:hAnsi="Verdana"/>
              </w:rPr>
              <w:t>ratándose de recursos -AESGPRI-</w:t>
            </w:r>
            <w:r>
              <w:rPr>
                <w:rFonts w:ascii="Verdana" w:hAnsi="Verdana"/>
              </w:rPr>
              <w:t>,</w:t>
            </w:r>
            <w:r w:rsidRPr="00C55BDE">
              <w:rPr>
                <w:rFonts w:ascii="Verdana" w:hAnsi="Verdana"/>
              </w:rPr>
              <w:t xml:space="preserve"> debe tenerse </w:t>
            </w:r>
            <w:r>
              <w:rPr>
                <w:rFonts w:ascii="Verdana" w:hAnsi="Verdana"/>
              </w:rPr>
              <w:t>en</w:t>
            </w:r>
            <w:r w:rsidRPr="00C55BDE">
              <w:rPr>
                <w:rFonts w:ascii="Verdana" w:hAnsi="Verdana"/>
              </w:rPr>
              <w:t xml:space="preserve"> </w:t>
            </w:r>
            <w:r>
              <w:rPr>
                <w:rFonts w:ascii="Verdana" w:hAnsi="Verdana"/>
              </w:rPr>
              <w:t xml:space="preserve">cuenta </w:t>
            </w:r>
            <w:r w:rsidRPr="00C55BDE">
              <w:rPr>
                <w:rFonts w:ascii="Verdana" w:hAnsi="Verdana"/>
              </w:rPr>
              <w:t>que</w:t>
            </w:r>
            <w:r>
              <w:rPr>
                <w:rFonts w:ascii="Verdana" w:hAnsi="Verdana"/>
              </w:rPr>
              <w:t>,</w:t>
            </w:r>
            <w:r w:rsidRPr="00C55BDE">
              <w:rPr>
                <w:rFonts w:ascii="Verdana" w:hAnsi="Verdana"/>
              </w:rPr>
              <w:t xml:space="preserve"> </w:t>
            </w:r>
            <w:r>
              <w:rPr>
                <w:rFonts w:ascii="Verdana" w:hAnsi="Verdana"/>
              </w:rPr>
              <w:t>según dispone el</w:t>
            </w:r>
            <w:r w:rsidRPr="00C55BDE">
              <w:rPr>
                <w:rFonts w:ascii="Verdana" w:hAnsi="Verdana"/>
              </w:rPr>
              <w:t xml:space="preserve"> artículo 83 de la Ley 715 de 2001</w:t>
            </w:r>
            <w:r>
              <w:rPr>
                <w:rFonts w:ascii="Verdana" w:hAnsi="Verdana"/>
              </w:rPr>
              <w:t>,</w:t>
            </w:r>
            <w:r w:rsidRPr="00C55BDE">
              <w:rPr>
                <w:rFonts w:ascii="Verdana" w:hAnsi="Verdana"/>
              </w:rPr>
              <w:t xml:space="preserve"> estos</w:t>
            </w:r>
            <w:r>
              <w:rPr>
                <w:rFonts w:ascii="Verdana" w:hAnsi="Verdana"/>
              </w:rPr>
              <w:t xml:space="preserve"> deben ser</w:t>
            </w:r>
            <w:r w:rsidRPr="00C55BDE">
              <w:rPr>
                <w:rFonts w:ascii="Verdana" w:hAnsi="Verdana"/>
              </w:rPr>
              <w:t xml:space="preserve"> girados a cada uno de los municipios en proporción a la población indígena que comprenda y que para su ejecución deberá celebrarse un contrato entre la entidad territorial y las autoridades del resguardo, </w:t>
            </w:r>
            <w:r w:rsidRPr="00C55BDE">
              <w:rPr>
                <w:rFonts w:ascii="Verdana" w:hAnsi="Verdana"/>
                <w:i/>
                <w:iCs/>
              </w:rPr>
              <w:t>antes del 31 de diciembre de cada año</w:t>
            </w:r>
            <w:r w:rsidRPr="00C55BDE">
              <w:rPr>
                <w:rFonts w:ascii="Verdana" w:hAnsi="Verdana"/>
              </w:rPr>
              <w:t>, en la que se determine el uso de los recursos en el año siguiente. Copia de dicho contrato se enviará antes del 20 de enero al Ministerio del Interior.</w:t>
            </w:r>
          </w:p>
          <w:p w14:paraId="6F1E2E4C" w14:textId="77777777" w:rsidR="00013201" w:rsidRDefault="00013201" w:rsidP="00902708">
            <w:pPr>
              <w:spacing w:before="120" w:after="120" w:line="276" w:lineRule="auto"/>
              <w:ind w:firstLine="709"/>
              <w:jc w:val="both"/>
              <w:rPr>
                <w:rFonts w:ascii="Verdana" w:eastAsia="Times New Roman" w:hAnsi="Verdana" w:cs="Arial"/>
                <w:lang w:eastAsia="es-CO"/>
              </w:rPr>
            </w:pPr>
            <w:r>
              <w:rPr>
                <w:rFonts w:ascii="Verdana" w:hAnsi="Verdana" w:cs="Arial"/>
                <w:lang w:val="es-ES"/>
              </w:rPr>
              <w:t>Ahora bien</w:t>
            </w:r>
            <w:r w:rsidRPr="00C55BDE">
              <w:rPr>
                <w:rFonts w:ascii="Verdana" w:hAnsi="Verdana" w:cs="Arial"/>
                <w:lang w:val="es-ES"/>
              </w:rPr>
              <w:t xml:space="preserve">, en lo que respecta a lo dispuesto en el parágrafo </w:t>
            </w:r>
            <w:r w:rsidRPr="00C55BDE">
              <w:rPr>
                <w:rFonts w:ascii="Verdana" w:eastAsia="Times New Roman" w:hAnsi="Verdana" w:cs="Arial"/>
                <w:lang w:eastAsia="es-CO"/>
              </w:rPr>
              <w:t xml:space="preserve">del artículo 38 de la Ley 996 de 2005, se precisa que, este prohíbe a los </w:t>
            </w:r>
            <w:proofErr w:type="gramStart"/>
            <w:r w:rsidRPr="00C55BDE">
              <w:rPr>
                <w:rFonts w:ascii="Verdana" w:eastAsia="Times New Roman" w:hAnsi="Verdana" w:cs="Arial"/>
                <w:lang w:eastAsia="es-CO"/>
              </w:rPr>
              <w:t>Alcaldes</w:t>
            </w:r>
            <w:proofErr w:type="gramEnd"/>
            <w:r w:rsidRPr="00C55BDE">
              <w:rPr>
                <w:rFonts w:ascii="Verdana" w:eastAsia="Times New Roman" w:hAnsi="Verdana" w:cs="Arial"/>
                <w:lang w:eastAsia="es-CO"/>
              </w:rPr>
              <w:t xml:space="preserve">, Gobernadores, </w:t>
            </w:r>
            <w:proofErr w:type="gramStart"/>
            <w:r w:rsidRPr="00C55BDE">
              <w:rPr>
                <w:rFonts w:ascii="Verdana" w:eastAsia="Times New Roman" w:hAnsi="Verdana" w:cs="Arial"/>
                <w:lang w:eastAsia="es-CO"/>
              </w:rPr>
              <w:t>Secretarios</w:t>
            </w:r>
            <w:proofErr w:type="gramEnd"/>
            <w:r w:rsidRPr="00C55BDE">
              <w:rPr>
                <w:rFonts w:ascii="Verdana" w:eastAsia="Times New Roman" w:hAnsi="Verdana" w:cs="Arial"/>
                <w:lang w:eastAsia="es-CO"/>
              </w:rPr>
              <w:t xml:space="preserve">, Gerentes y </w:t>
            </w:r>
            <w:proofErr w:type="gramStart"/>
            <w:r w:rsidRPr="00C55BDE">
              <w:rPr>
                <w:rFonts w:ascii="Verdana" w:eastAsia="Times New Roman" w:hAnsi="Verdana" w:cs="Arial"/>
                <w:lang w:eastAsia="es-CO"/>
              </w:rPr>
              <w:t>Directores</w:t>
            </w:r>
            <w:proofErr w:type="gramEnd"/>
            <w:r w:rsidRPr="00C55BDE">
              <w:rPr>
                <w:rFonts w:ascii="Verdana" w:eastAsia="Times New Roman" w:hAnsi="Verdana" w:cs="Arial"/>
                <w:lang w:eastAsia="es-CO"/>
              </w:rPr>
              <w:t xml:space="preserve"> de las entidades del orden municipal, departamental o distrital celebrar </w:t>
            </w:r>
            <w:r w:rsidRPr="00C55BDE">
              <w:rPr>
                <w:rFonts w:ascii="Verdana" w:eastAsia="Times New Roman" w:hAnsi="Verdana" w:cs="Arial"/>
                <w:i/>
                <w:iCs/>
                <w:lang w:eastAsia="es-CO"/>
              </w:rPr>
              <w:t>convenios interadministrativos</w:t>
            </w:r>
            <w:r w:rsidRPr="00C55BDE">
              <w:rPr>
                <w:rFonts w:ascii="Verdana" w:eastAsia="Times New Roman" w:hAnsi="Verdana" w:cs="Arial"/>
                <w:lang w:eastAsia="es-CO"/>
              </w:rPr>
              <w:t xml:space="preserve"> </w:t>
            </w:r>
            <w:r w:rsidRPr="00C55BDE">
              <w:rPr>
                <w:rFonts w:ascii="Verdana" w:eastAsia="Times New Roman" w:hAnsi="Verdana" w:cs="Arial"/>
                <w:i/>
                <w:iCs/>
                <w:lang w:eastAsia="es-CO"/>
              </w:rPr>
              <w:t>para la ejecución de recursos públicos</w:t>
            </w:r>
            <w:r w:rsidRPr="00C55BDE">
              <w:rPr>
                <w:rFonts w:ascii="Verdana" w:eastAsia="Times New Roman" w:hAnsi="Verdana" w:cs="Arial"/>
                <w:lang w:eastAsia="es-CO"/>
              </w:rPr>
              <w:t xml:space="preserve">. En este sentido, si una o ambas partes de la relación contractual es una entidad de aquellas descritas en el parágrafo </w:t>
            </w:r>
            <w:r w:rsidRPr="00C55BDE">
              <w:rPr>
                <w:rFonts w:ascii="Verdana" w:eastAsia="Times New Roman" w:hAnsi="Verdana" w:cs="Arial"/>
                <w:i/>
                <w:lang w:eastAsia="es-CO"/>
              </w:rPr>
              <w:t>ibidem</w:t>
            </w:r>
            <w:r w:rsidRPr="00C55BDE">
              <w:rPr>
                <w:rFonts w:ascii="Verdana" w:eastAsia="Times New Roman" w:hAnsi="Verdana" w:cs="Arial"/>
                <w:lang w:eastAsia="es-CO"/>
              </w:rPr>
              <w:t xml:space="preserve">, no podrá celebrar tales </w:t>
            </w:r>
            <w:r w:rsidRPr="00C55BDE">
              <w:rPr>
                <w:rFonts w:ascii="Verdana" w:eastAsia="Times New Roman" w:hAnsi="Verdana" w:cs="Arial"/>
                <w:i/>
                <w:iCs/>
                <w:lang w:eastAsia="es-CO"/>
              </w:rPr>
              <w:t>convenios</w:t>
            </w:r>
            <w:r w:rsidRPr="00C55BDE">
              <w:rPr>
                <w:rFonts w:ascii="Verdana" w:eastAsia="Times New Roman" w:hAnsi="Verdana" w:cs="Arial"/>
                <w:lang w:eastAsia="es-CO"/>
              </w:rPr>
              <w:t xml:space="preserve"> durante la aplicación de la Ley de Garantías Electorales, toda vez que la citada disposición hace referencia a dicha tipología contractual sin que el legislador hubiere contemplado un efecto extensivo a otra tipología.</w:t>
            </w:r>
          </w:p>
          <w:p w14:paraId="73E2FA90" w14:textId="77777777" w:rsidR="00013201" w:rsidRDefault="00013201" w:rsidP="00902708">
            <w:pPr>
              <w:spacing w:before="120" w:line="276" w:lineRule="auto"/>
              <w:ind w:firstLine="708"/>
              <w:jc w:val="both"/>
              <w:rPr>
                <w:rFonts w:ascii="Verdana" w:eastAsia="Times New Roman" w:hAnsi="Verdana" w:cs="Arial"/>
                <w:lang w:eastAsia="es-CO"/>
              </w:rPr>
            </w:pPr>
            <w:r>
              <w:rPr>
                <w:rFonts w:ascii="Verdana" w:eastAsia="Times New Roman" w:hAnsi="Verdana" w:cs="Arial"/>
                <w:lang w:eastAsia="es-CO"/>
              </w:rPr>
              <w:t xml:space="preserve">Además, respecto de los sujetos </w:t>
            </w:r>
            <w:r w:rsidRPr="005173C4">
              <w:rPr>
                <w:rFonts w:ascii="Verdana" w:eastAsia="Times New Roman" w:hAnsi="Verdana" w:cs="Arial"/>
                <w:lang w:eastAsia="es-CO"/>
              </w:rPr>
              <w:t>que tienen prohibido celebrar convenios interadministrativos</w:t>
            </w:r>
            <w:r>
              <w:rPr>
                <w:rFonts w:ascii="Verdana" w:eastAsia="Times New Roman" w:hAnsi="Verdana" w:cs="Arial"/>
                <w:lang w:eastAsia="es-CO"/>
              </w:rPr>
              <w:t xml:space="preserve"> se precisa que</w:t>
            </w:r>
            <w:r w:rsidRPr="005173C4">
              <w:rPr>
                <w:rFonts w:ascii="Verdana" w:eastAsia="Times New Roman" w:hAnsi="Verdana" w:cs="Arial"/>
                <w:lang w:eastAsia="es-CO"/>
              </w:rPr>
              <w:t xml:space="preserve"> </w:t>
            </w:r>
            <w:r>
              <w:rPr>
                <w:rFonts w:ascii="Verdana" w:eastAsia="Times New Roman" w:hAnsi="Verdana" w:cs="Arial"/>
                <w:lang w:eastAsia="es-CO"/>
              </w:rPr>
              <w:t>“l</w:t>
            </w:r>
            <w:r w:rsidRPr="005173C4">
              <w:rPr>
                <w:rFonts w:ascii="Verdana" w:eastAsia="Times New Roman" w:hAnsi="Verdana" w:cs="Arial"/>
                <w:lang w:eastAsia="es-CO"/>
              </w:rPr>
              <w:t xml:space="preserve">a norma señala expresamente los sujetos a quienes aplica la prohibición, es decir: a los </w:t>
            </w:r>
            <w:proofErr w:type="gramStart"/>
            <w:r w:rsidRPr="00C54178">
              <w:rPr>
                <w:rFonts w:ascii="Verdana" w:eastAsia="Times New Roman" w:hAnsi="Verdana" w:cs="Arial"/>
                <w:i/>
                <w:iCs/>
                <w:lang w:eastAsia="es-CO"/>
              </w:rPr>
              <w:t>Alcaldes</w:t>
            </w:r>
            <w:proofErr w:type="gramEnd"/>
            <w:r w:rsidRPr="00C54178">
              <w:rPr>
                <w:rFonts w:ascii="Verdana" w:eastAsia="Times New Roman" w:hAnsi="Verdana" w:cs="Arial"/>
                <w:i/>
                <w:iCs/>
                <w:lang w:eastAsia="es-CO"/>
              </w:rPr>
              <w:t xml:space="preserve">, </w:t>
            </w:r>
            <w:r w:rsidRPr="00C54178">
              <w:rPr>
                <w:rFonts w:ascii="Verdana" w:eastAsia="Times New Roman" w:hAnsi="Verdana" w:cs="Arial"/>
                <w:i/>
                <w:iCs/>
                <w:lang w:eastAsia="es-CO"/>
              </w:rPr>
              <w:lastRenderedPageBreak/>
              <w:t xml:space="preserve">Gobernadores, </w:t>
            </w:r>
            <w:proofErr w:type="gramStart"/>
            <w:r w:rsidRPr="00C54178">
              <w:rPr>
                <w:rFonts w:ascii="Verdana" w:eastAsia="Times New Roman" w:hAnsi="Verdana" w:cs="Arial"/>
                <w:i/>
                <w:iCs/>
                <w:lang w:eastAsia="es-CO"/>
              </w:rPr>
              <w:t>Secretarios</w:t>
            </w:r>
            <w:proofErr w:type="gramEnd"/>
            <w:r w:rsidRPr="00C54178">
              <w:rPr>
                <w:rFonts w:ascii="Verdana" w:eastAsia="Times New Roman" w:hAnsi="Verdana" w:cs="Arial"/>
                <w:i/>
                <w:iCs/>
                <w:lang w:eastAsia="es-CO"/>
              </w:rPr>
              <w:t xml:space="preserve">, Gerentes y </w:t>
            </w:r>
            <w:proofErr w:type="gramStart"/>
            <w:r w:rsidRPr="00C54178">
              <w:rPr>
                <w:rFonts w:ascii="Verdana" w:eastAsia="Times New Roman" w:hAnsi="Verdana" w:cs="Arial"/>
                <w:i/>
                <w:iCs/>
                <w:lang w:eastAsia="es-CO"/>
              </w:rPr>
              <w:t>Directores</w:t>
            </w:r>
            <w:proofErr w:type="gramEnd"/>
            <w:r w:rsidRPr="00C54178">
              <w:rPr>
                <w:rFonts w:ascii="Verdana" w:eastAsia="Times New Roman" w:hAnsi="Verdana" w:cs="Arial"/>
                <w:i/>
                <w:iCs/>
                <w:lang w:eastAsia="es-CO"/>
              </w:rPr>
              <w:t xml:space="preserve"> de las entidades descentralizadas del orden municipal, departamental o distrital</w:t>
            </w:r>
            <w:r w:rsidRPr="005173C4">
              <w:rPr>
                <w:rFonts w:ascii="Verdana" w:eastAsia="Times New Roman" w:hAnsi="Verdana" w:cs="Arial"/>
                <w:lang w:eastAsia="es-CO"/>
              </w:rPr>
              <w:t>. En consecuencia, no se extiende a sujetos adicionales o distintos a los referidos, de modo que no cobija a todos los entes públicos que tienen la facultad de contratar, como ocurre con la prohibición del artículo 33</w:t>
            </w:r>
            <w:r>
              <w:rPr>
                <w:rFonts w:ascii="Verdana" w:eastAsia="Times New Roman" w:hAnsi="Verdana" w:cs="Arial"/>
                <w:lang w:eastAsia="es-CO"/>
              </w:rPr>
              <w:t>”</w:t>
            </w:r>
            <w:r w:rsidRPr="005173C4">
              <w:rPr>
                <w:rFonts w:ascii="Verdana" w:eastAsia="Times New Roman" w:hAnsi="Verdana" w:cs="Arial"/>
                <w:lang w:eastAsia="es-CO"/>
              </w:rPr>
              <w:t>.</w:t>
            </w:r>
            <w:r>
              <w:rPr>
                <w:rFonts w:ascii="Verdana" w:eastAsia="Times New Roman" w:hAnsi="Verdana" w:cs="Arial"/>
                <w:lang w:eastAsia="es-CO"/>
              </w:rPr>
              <w:t xml:space="preserve"> </w:t>
            </w:r>
          </w:p>
          <w:p w14:paraId="65B36850" w14:textId="77777777" w:rsidR="00013201" w:rsidRDefault="00013201" w:rsidP="00902708">
            <w:pPr>
              <w:spacing w:before="120" w:line="276" w:lineRule="auto"/>
              <w:ind w:firstLine="708"/>
              <w:jc w:val="both"/>
              <w:rPr>
                <w:rFonts w:ascii="Verdana" w:eastAsia="Times New Roman" w:hAnsi="Verdana" w:cs="Arial"/>
                <w:lang w:eastAsia="es-CO"/>
              </w:rPr>
            </w:pPr>
            <w:r w:rsidRPr="00C55BDE">
              <w:rPr>
                <w:rFonts w:ascii="Verdana" w:eastAsia="Times New Roman" w:hAnsi="Verdana" w:cs="Arial"/>
                <w:lang w:eastAsia="es-CO"/>
              </w:rPr>
              <w:t xml:space="preserve">Así, a la luz de lo analizado por el Consejo de Estado en la sentencia expedida por la Sección Tercera de la Sala de lo Contencioso Administrativo del 17 de octubre de 2025, los autos del 4 de octubre de 2024 y 6 de noviembre de 2025, en los cuales se declaró la nulidad parcial, se decretó la medida </w:t>
            </w:r>
            <w:r w:rsidRPr="00C55BDE">
              <w:rPr>
                <w:rFonts w:ascii="Verdana" w:eastAsia="Arial" w:hAnsi="Verdana" w:cs="Arial"/>
                <w:lang w:eastAsia="es-ES" w:bidi="es-ES"/>
              </w:rPr>
              <w:t xml:space="preserve">de suspensión provisional parcial del </w:t>
            </w:r>
            <w:r w:rsidRPr="00C55BDE">
              <w:rPr>
                <w:rFonts w:ascii="Verdana" w:hAnsi="Verdana" w:cs="Arial"/>
              </w:rPr>
              <w:t xml:space="preserve">numeral 16.2 de la Circular Externa Única de 2022 expedida por la Agencia Nacional de Contratación Pública -Colombia Compra Eficiente-, y </w:t>
            </w:r>
            <w:r w:rsidRPr="00C55BDE">
              <w:rPr>
                <w:rFonts w:ascii="Verdana" w:eastAsia="Arial" w:hAnsi="Verdana" w:cs="Arial"/>
                <w:lang w:eastAsia="es-ES" w:bidi="es-ES"/>
              </w:rPr>
              <w:t>de los apartes cuestionados del inciso segundo y del inciso cuarto del numeral 16.2 de la Circular Externa Única, versión 3 del 27 de diciembre de 2023,</w:t>
            </w:r>
            <w:r w:rsidRPr="00C55BDE">
              <w:rPr>
                <w:rFonts w:ascii="Verdana" w:eastAsia="Times New Roman" w:hAnsi="Verdana" w:cs="Arial"/>
                <w:lang w:eastAsia="es-CO"/>
              </w:rPr>
              <w:t xml:space="preserve"> no resultaría aplicable la prohibición del parágrafo del artículo 38 de la Ley de Garantías Electorales a los </w:t>
            </w:r>
            <w:r w:rsidRPr="00C55BDE">
              <w:rPr>
                <w:rFonts w:ascii="Verdana" w:eastAsia="Times New Roman" w:hAnsi="Verdana" w:cs="Arial"/>
                <w:i/>
                <w:lang w:eastAsia="es-CO"/>
              </w:rPr>
              <w:t>contratos interadministrativos</w:t>
            </w:r>
            <w:r w:rsidRPr="00C55BDE">
              <w:rPr>
                <w:rFonts w:ascii="Verdana" w:eastAsia="Times New Roman" w:hAnsi="Verdana" w:cs="Arial"/>
                <w:lang w:eastAsia="es-CO"/>
              </w:rPr>
              <w:t>.</w:t>
            </w:r>
          </w:p>
          <w:p w14:paraId="2EB5A499" w14:textId="77777777" w:rsidR="00013201" w:rsidRPr="00C55BDE" w:rsidRDefault="00013201" w:rsidP="00902708">
            <w:pPr>
              <w:spacing w:before="120" w:line="276" w:lineRule="auto"/>
              <w:ind w:firstLine="708"/>
              <w:jc w:val="both"/>
              <w:rPr>
                <w:rFonts w:ascii="Verdana" w:eastAsia="Times New Roman" w:hAnsi="Verdana" w:cs="Arial"/>
                <w:lang w:eastAsia="es-CO"/>
              </w:rPr>
            </w:pPr>
            <w:r w:rsidRPr="00C55BDE">
              <w:rPr>
                <w:rFonts w:ascii="Verdana" w:eastAsia="Times New Roman" w:hAnsi="Verdana" w:cs="Arial"/>
                <w:lang w:eastAsia="es-CO"/>
              </w:rPr>
              <w:t xml:space="preserve">De lo expuesto, conforme a lo señalado por el Consejo de Estado, cuando dos entidades públicas celebren un </w:t>
            </w:r>
            <w:r w:rsidRPr="00C55BDE">
              <w:rPr>
                <w:rFonts w:ascii="Verdana" w:eastAsia="Times New Roman" w:hAnsi="Verdana" w:cs="Arial"/>
                <w:i/>
                <w:iCs/>
                <w:lang w:eastAsia="es-CO"/>
              </w:rPr>
              <w:t>contrato interadministrativo,</w:t>
            </w:r>
            <w:r w:rsidRPr="00C55BDE">
              <w:rPr>
                <w:rFonts w:ascii="Verdana" w:eastAsia="Times New Roman" w:hAnsi="Verdana" w:cs="Arial"/>
                <w:lang w:eastAsia="es-CO"/>
              </w:rPr>
              <w:t xml:space="preserve"> independientemente del objeto, dicho contrato puede suscribirse durante el periodo preelectoral. No obstante, es importante mencionar que aún se encuentra por definir la demanda </w:t>
            </w:r>
            <w:r w:rsidRPr="00C55BDE">
              <w:rPr>
                <w:rFonts w:ascii="Verdana" w:eastAsia="Calibri" w:hAnsi="Verdana" w:cs="Arial"/>
                <w:lang w:val="es-ES" w:eastAsia="es-ES"/>
              </w:rPr>
              <w:t xml:space="preserve">de nulidad simple, identificada con el Radicado número 11001-03-26-000-2025-00016-00, en la cual se cuestiona </w:t>
            </w:r>
            <w:r w:rsidRPr="00C55BDE">
              <w:rPr>
                <w:rFonts w:ascii="Verdana" w:eastAsia="Calibri" w:hAnsi="Verdana" w:cs="Arial"/>
                <w:lang w:eastAsia="es-ES"/>
              </w:rPr>
              <w:t>parcialmente el numeral 16.2 de la Circular Externa Única CCE-EICP-MA-06, Versión 03 del 27 de diciembre de 2023.</w:t>
            </w:r>
            <w:r w:rsidRPr="00C55BDE">
              <w:rPr>
                <w:rFonts w:ascii="Verdana" w:eastAsia="Calibri" w:hAnsi="Verdana" w:cs="Arial"/>
                <w:lang w:val="es-ES" w:eastAsia="es-ES"/>
              </w:rPr>
              <w:t xml:space="preserve"> </w:t>
            </w:r>
          </w:p>
          <w:p w14:paraId="09784BC4" w14:textId="77777777" w:rsidR="00013201" w:rsidRPr="00C55BDE" w:rsidRDefault="00013201" w:rsidP="00902708">
            <w:pPr>
              <w:spacing w:before="120" w:after="120" w:line="276" w:lineRule="auto"/>
              <w:ind w:firstLine="709"/>
              <w:jc w:val="both"/>
              <w:rPr>
                <w:rFonts w:ascii="Verdana" w:eastAsia="Times New Roman" w:hAnsi="Verdana" w:cs="Arial"/>
                <w:lang w:eastAsia="es-CO"/>
              </w:rPr>
            </w:pPr>
            <w:r w:rsidRPr="00C55BDE">
              <w:rPr>
                <w:rFonts w:ascii="Verdana" w:eastAsia="Arial" w:hAnsi="Verdana" w:cs="Arial"/>
                <w:bCs/>
                <w:color w:val="000000" w:themeColor="text1"/>
              </w:rPr>
              <w:t xml:space="preserve">En todo caso, vale anotar que es responsabilidad del respectivo ente del Estado examinar </w:t>
            </w:r>
            <w:r w:rsidRPr="00C55BDE">
              <w:rPr>
                <w:rFonts w:ascii="Verdana" w:eastAsia="Arial" w:hAnsi="Verdana" w:cs="Arial"/>
                <w:color w:val="000000" w:themeColor="text1"/>
              </w:rPr>
              <w:t>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tc>
      </w:tr>
    </w:tbl>
    <w:p w14:paraId="6AEA9D85" w14:textId="77777777" w:rsidR="00013201" w:rsidRPr="00C55BDE" w:rsidRDefault="00013201" w:rsidP="00013201">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45A9EA55" w14:textId="77777777" w:rsidR="00013201" w:rsidRPr="00C55BDE" w:rsidRDefault="00013201" w:rsidP="0001320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55BDE">
        <w:rPr>
          <w:rFonts w:ascii="Verdana" w:eastAsia="Century Gothic" w:hAnsi="Verdana" w:cs="Century Gothic"/>
          <w:b/>
          <w:bCs/>
          <w:color w:val="000000" w:themeColor="text1"/>
        </w:rPr>
        <w:t>Razones de la respuesta:</w:t>
      </w:r>
    </w:p>
    <w:p w14:paraId="228F91D4" w14:textId="77777777" w:rsidR="00013201" w:rsidRPr="00C55BDE" w:rsidRDefault="00013201" w:rsidP="00013201">
      <w:pPr>
        <w:spacing w:after="0" w:line="276" w:lineRule="auto"/>
        <w:jc w:val="both"/>
        <w:rPr>
          <w:rFonts w:ascii="Verdana" w:eastAsia="Calibri" w:hAnsi="Verdana" w:cs="Arial"/>
          <w:color w:val="000000" w:themeColor="text1"/>
          <w:lang w:val="es-ES"/>
        </w:rPr>
      </w:pPr>
    </w:p>
    <w:p w14:paraId="78DA2869" w14:textId="77777777" w:rsidR="00013201" w:rsidRPr="00C55BDE" w:rsidRDefault="00013201" w:rsidP="00013201">
      <w:pPr>
        <w:spacing w:after="120" w:line="276" w:lineRule="auto"/>
        <w:jc w:val="both"/>
        <w:rPr>
          <w:rFonts w:ascii="Verdana" w:eastAsia="Calibri" w:hAnsi="Verdana" w:cs="Arial"/>
          <w:color w:val="000000" w:themeColor="text1"/>
          <w:lang w:val="es-ES"/>
        </w:rPr>
      </w:pPr>
      <w:r w:rsidRPr="00C55BDE">
        <w:rPr>
          <w:rFonts w:ascii="Verdana" w:eastAsia="Calibri" w:hAnsi="Verdana" w:cs="Arial"/>
          <w:color w:val="000000" w:themeColor="text1"/>
          <w:lang w:val="es-ES"/>
        </w:rPr>
        <w:t xml:space="preserve">Lo anterior se sustenta en las siguientes consideraciones: </w:t>
      </w:r>
    </w:p>
    <w:p w14:paraId="644D3F66" w14:textId="77777777" w:rsidR="00013201" w:rsidRPr="00C55BDE" w:rsidRDefault="00013201" w:rsidP="00013201">
      <w:pPr>
        <w:spacing w:after="120" w:line="276" w:lineRule="auto"/>
        <w:jc w:val="both"/>
        <w:rPr>
          <w:rFonts w:ascii="Verdana" w:eastAsia="Calibri" w:hAnsi="Verdana" w:cs="Arial"/>
          <w:color w:val="000000" w:themeColor="text1"/>
          <w:lang w:val="es-ES"/>
        </w:rPr>
      </w:pPr>
      <w:r>
        <w:rPr>
          <w:rFonts w:ascii="Verdana" w:eastAsia="Calibri" w:hAnsi="Verdana" w:cs="Arial"/>
          <w:lang w:val="es-ES"/>
        </w:rPr>
        <w:lastRenderedPageBreak/>
        <w:t xml:space="preserve">i. </w:t>
      </w:r>
      <w:r w:rsidRPr="00C55BDE">
        <w:rPr>
          <w:rFonts w:ascii="Verdana" w:eastAsia="Calibri" w:hAnsi="Verdana" w:cs="Arial"/>
          <w:lang w:val="es-ES"/>
        </w:rPr>
        <w:t>El artículo 329 de la Constitución Política de 1991 dispuso que la conformación de las entidades territoriales indígenas se realizaría conforme a lo dispuesto en la Ley de Ordenamiento Territorial – LOT. En ese sentido, la norma previamente mencionada dispuso que la conformación de las entidades territoriales indígenas se realizaría de acuerdo con lo indicado en la Ley de Ordenamiento Territorial. No obstante, mientras esa ley era expedida por el Congreso de la República, la Constitución contempló un mecanismo para poner en funcionamiento los territorios indígenas de manera transitoria. En efecto, el artículo 56 transitorio de la Constitución Política prescribe que “Mientras se expide la ley a que se refiere el artículo 329, el Gobierno podrá dictar las normas fiscales necesarias y las demás relativas al funcionamiento de los territorios indígenas y su coordinación con las demás entidades territoriales”.</w:t>
      </w:r>
    </w:p>
    <w:p w14:paraId="0286249E" w14:textId="77777777" w:rsidR="00013201" w:rsidRPr="00C55BDE" w:rsidRDefault="00013201" w:rsidP="00013201">
      <w:pPr>
        <w:spacing w:after="120" w:line="276" w:lineRule="auto"/>
        <w:ind w:firstLine="680"/>
        <w:jc w:val="both"/>
        <w:rPr>
          <w:rFonts w:ascii="Verdana" w:eastAsia="Calibri" w:hAnsi="Verdana" w:cs="Arial"/>
          <w:lang w:val="es-ES"/>
        </w:rPr>
      </w:pPr>
      <w:r w:rsidRPr="00C55BDE">
        <w:rPr>
          <w:rFonts w:ascii="Verdana" w:eastAsia="Calibri" w:hAnsi="Verdana" w:cs="Arial"/>
          <w:lang w:val="es-ES"/>
        </w:rPr>
        <w:t>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w:t>
      </w:r>
      <w:r w:rsidRPr="00C55BDE">
        <w:rPr>
          <w:rStyle w:val="Refdenotaalpie"/>
          <w:rFonts w:ascii="Verdana" w:eastAsia="Calibri" w:hAnsi="Verdana" w:cs="Arial"/>
          <w:lang w:val="es-ES"/>
        </w:rPr>
        <w:footnoteReference w:id="2"/>
      </w:r>
      <w:r w:rsidRPr="00C55BDE">
        <w:rPr>
          <w:rFonts w:ascii="Verdana" w:eastAsia="Calibri" w:hAnsi="Verdana" w:cs="Arial"/>
          <w:lang w:val="es-ES"/>
        </w:rPr>
        <w:t>. Con base en esto, los cabildos y las asociaciones de autoridades tradicionales indígenas pueden asociarse en representación de sus territorios, y esas asociaciones tienen la naturaleza de ser entidades de derecho público de carácter especial, que gozan de personería jurídica y tienen capacidad para adquirir obligaciones.</w:t>
      </w:r>
    </w:p>
    <w:p w14:paraId="6F377ED6" w14:textId="77777777" w:rsidR="00013201" w:rsidRPr="00C55BDE" w:rsidRDefault="00013201" w:rsidP="00013201">
      <w:pPr>
        <w:spacing w:after="120" w:line="276" w:lineRule="auto"/>
        <w:ind w:firstLine="680"/>
        <w:jc w:val="both"/>
        <w:rPr>
          <w:rFonts w:ascii="Verdana" w:eastAsia="Calibri" w:hAnsi="Verdana" w:cs="Arial"/>
          <w:lang w:val="es-ES"/>
        </w:rPr>
      </w:pPr>
      <w:r w:rsidRPr="00C55BDE">
        <w:rPr>
          <w:rFonts w:ascii="Verdana" w:eastAsia="Calibri" w:hAnsi="Verdana" w:cs="Arial"/>
          <w:lang w:val="es-ES"/>
        </w:rPr>
        <w:t>De otra parte,</w:t>
      </w:r>
      <w:r>
        <w:rPr>
          <w:rFonts w:ascii="Verdana" w:eastAsia="Calibri" w:hAnsi="Verdana" w:cs="Arial"/>
          <w:lang w:val="es-ES"/>
        </w:rPr>
        <w:t xml:space="preserve"> el</w:t>
      </w:r>
      <w:r w:rsidRPr="00C55BDE">
        <w:rPr>
          <w:rFonts w:ascii="Verdana" w:eastAsia="Calibri" w:hAnsi="Verdana" w:cs="Arial"/>
          <w:lang w:val="es-ES"/>
        </w:rPr>
        <w:t xml:space="preserve"> artículo 329 de la Constitución además involucra dentro del tema relativo a las entidades territoriales indígenas a los resguardos, de quienes predica su carácter de propiedad colectiva no enajenable. Esto es concordante con el artículo 63 de la Carta Política cuyo texto establece expresamente que: “Los bienes de uso público, los parques naturales, las tierras comunales de grupos étnicos, las tierras de resguardo, el patrimonio arqueológico de la Nación y los demás bienes que determine la ley, son inalienables, imprescriptibles e inembargables”</w:t>
      </w:r>
      <w:r w:rsidRPr="00C55BDE">
        <w:rPr>
          <w:rStyle w:val="Refdenotaalpie"/>
          <w:rFonts w:ascii="Verdana" w:eastAsia="Calibri" w:hAnsi="Verdana" w:cs="Arial"/>
          <w:lang w:val="es-ES"/>
        </w:rPr>
        <w:footnoteReference w:id="3"/>
      </w:r>
      <w:r w:rsidRPr="00C55BDE">
        <w:rPr>
          <w:rFonts w:ascii="Verdana" w:eastAsia="Calibri" w:hAnsi="Verdana" w:cs="Arial"/>
          <w:lang w:val="es-ES"/>
        </w:rPr>
        <w:t xml:space="preserve">. De estos artículos se colige </w:t>
      </w:r>
      <w:r w:rsidRPr="00C55BDE">
        <w:rPr>
          <w:rFonts w:ascii="Verdana" w:eastAsia="Calibri" w:hAnsi="Verdana" w:cs="Arial"/>
          <w:lang w:val="es-ES"/>
        </w:rPr>
        <w:lastRenderedPageBreak/>
        <w:t xml:space="preserve">como los resguardos indígenas son una forma de propiedad colectiva a la que la Constitución le endilga unos atributos que la sustraen de actos traslaticios o de comercio, al igual que con los bienes de uso público.  </w:t>
      </w:r>
    </w:p>
    <w:p w14:paraId="3F09D5D9" w14:textId="77777777" w:rsidR="00013201" w:rsidRPr="00C55BDE" w:rsidRDefault="00013201" w:rsidP="00013201">
      <w:pPr>
        <w:spacing w:before="120" w:line="276" w:lineRule="auto"/>
        <w:ind w:firstLine="680"/>
        <w:jc w:val="both"/>
        <w:rPr>
          <w:rFonts w:ascii="Verdana" w:eastAsia="Calibri" w:hAnsi="Verdana" w:cs="Arial"/>
          <w:lang w:val="es-ES"/>
        </w:rPr>
      </w:pPr>
      <w:r w:rsidRPr="00C55BDE">
        <w:rPr>
          <w:rFonts w:ascii="Verdana" w:eastAsia="Calibri" w:hAnsi="Verdana" w:cs="Arial"/>
          <w:lang w:val="es-ES"/>
        </w:rPr>
        <w:t xml:space="preserve">De acuerdo con esto, la Ley 160 de 1994 </w:t>
      </w:r>
      <w:r w:rsidRPr="00C55BDE">
        <w:rPr>
          <w:rFonts w:ascii="Verdana" w:hAnsi="Verdana"/>
        </w:rPr>
        <w:t>“</w:t>
      </w:r>
      <w:r w:rsidRPr="00C55BDE">
        <w:rPr>
          <w:rFonts w:ascii="Verdana" w:eastAsia="Calibri" w:hAnsi="Verdana" w:cs="Arial"/>
          <w:lang w:val="es-ES"/>
        </w:rPr>
        <w:t>por la cual se crea el Sistema Nacional de Reforma Agraria y Desarrollo Rural Campesino, se establece un subsidio para la adquisición de tierras, se reforma el Instituto Colombiano de la Reforma Agraria y se dictan otras disposiciones”, concibe la constitución, ampliación, saneamiento y reestructuración de resguardos como formas para satisfacer las necesidades de tierras de las comunidades indígenas, tal como se colige de los artículos 12-18</w:t>
      </w:r>
      <w:r w:rsidRPr="00C55BDE">
        <w:rPr>
          <w:rStyle w:val="Refdenotaalpie"/>
          <w:rFonts w:ascii="Verdana" w:eastAsia="Calibri" w:hAnsi="Verdana" w:cs="Arial"/>
          <w:lang w:val="es-ES"/>
        </w:rPr>
        <w:footnoteReference w:id="4"/>
      </w:r>
      <w:r w:rsidRPr="00C55BDE">
        <w:rPr>
          <w:rFonts w:ascii="Verdana" w:eastAsia="Calibri" w:hAnsi="Verdana" w:cs="Arial"/>
          <w:lang w:val="es-ES"/>
        </w:rPr>
        <w:t xml:space="preserve"> y 85 de dicha Ley</w:t>
      </w:r>
      <w:r w:rsidRPr="00C55BDE">
        <w:rPr>
          <w:rStyle w:val="Refdenotaalpie"/>
          <w:rFonts w:ascii="Verdana" w:eastAsia="Calibri" w:hAnsi="Verdana" w:cs="Arial"/>
          <w:lang w:val="es-ES"/>
        </w:rPr>
        <w:footnoteReference w:id="5"/>
      </w:r>
      <w:r w:rsidRPr="00C55BDE">
        <w:rPr>
          <w:rFonts w:ascii="Verdana" w:eastAsia="Calibri" w:hAnsi="Verdana" w:cs="Arial"/>
          <w:lang w:val="es-ES"/>
        </w:rPr>
        <w:t>. De hecho, esta última norma hace parte del Capítulo XIV de la Ley 160 de 1994, específicamente referido a resguardos indígenas, el cual sería reglamentado por el Decreto 2164 de 1995, norma compilada por el Decreto 1071 de 2015, “Por medio del cual se expide el Decreto Único Reglamentario del Sector Administrativo Agropecuario, Pesquero y de Desarrollo Rural”, y contiene las definiciones de resguardo, cabildo y autoridad indígena:</w:t>
      </w:r>
    </w:p>
    <w:p w14:paraId="775DCB35" w14:textId="77777777" w:rsidR="00013201" w:rsidRPr="00C55BDE" w:rsidRDefault="00013201" w:rsidP="00013201">
      <w:pPr>
        <w:spacing w:after="0" w:line="240" w:lineRule="auto"/>
        <w:ind w:left="709" w:right="709"/>
        <w:jc w:val="both"/>
        <w:rPr>
          <w:rFonts w:ascii="Verdana" w:eastAsia="Calibri" w:hAnsi="Verdana" w:cs="Arial"/>
          <w:sz w:val="20"/>
          <w:szCs w:val="20"/>
          <w:lang w:val="es-ES"/>
        </w:rPr>
      </w:pPr>
      <w:r w:rsidRPr="00C55BDE">
        <w:rPr>
          <w:rFonts w:ascii="Verdana" w:hAnsi="Verdana"/>
          <w:color w:val="242424"/>
          <w:sz w:val="20"/>
          <w:szCs w:val="20"/>
          <w:shd w:val="clear" w:color="auto" w:fill="FFFFFF"/>
        </w:rPr>
        <w:t xml:space="preserve">“[…] </w:t>
      </w:r>
      <w:r w:rsidRPr="00C55BDE">
        <w:rPr>
          <w:rFonts w:ascii="Verdana" w:eastAsia="Calibri" w:hAnsi="Verdana" w:cs="Arial"/>
          <w:sz w:val="20"/>
          <w:szCs w:val="20"/>
          <w:lang w:val="es-ES"/>
        </w:rPr>
        <w:t xml:space="preserve">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6449A73D" w14:textId="77777777" w:rsidR="00013201" w:rsidRPr="00C55BDE" w:rsidRDefault="00013201" w:rsidP="00013201">
      <w:pPr>
        <w:spacing w:after="0" w:line="240" w:lineRule="auto"/>
        <w:ind w:left="709" w:right="709"/>
        <w:jc w:val="both"/>
        <w:rPr>
          <w:rFonts w:ascii="Verdana" w:eastAsia="Calibri" w:hAnsi="Verdana" w:cs="Arial"/>
          <w:sz w:val="20"/>
          <w:szCs w:val="20"/>
          <w:lang w:val="es-ES"/>
        </w:rPr>
      </w:pPr>
    </w:p>
    <w:p w14:paraId="78A1BA14" w14:textId="77777777" w:rsidR="00013201" w:rsidRPr="00C55BDE" w:rsidRDefault="00013201" w:rsidP="00013201">
      <w:pPr>
        <w:spacing w:after="0" w:line="240" w:lineRule="auto"/>
        <w:ind w:left="709" w:right="709"/>
        <w:jc w:val="both"/>
        <w:rPr>
          <w:rFonts w:ascii="Verdana" w:eastAsia="Calibri" w:hAnsi="Verdana" w:cs="Arial"/>
          <w:sz w:val="20"/>
          <w:szCs w:val="20"/>
          <w:lang w:val="es-ES"/>
        </w:rPr>
      </w:pPr>
      <w:r w:rsidRPr="00C55BDE">
        <w:rPr>
          <w:rFonts w:ascii="Verdana" w:eastAsia="Calibri" w:hAnsi="Verdana" w:cs="Arial"/>
          <w:sz w:val="20"/>
          <w:szCs w:val="20"/>
          <w:lang w:val="es-E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14:paraId="6F6C992F" w14:textId="77777777" w:rsidR="00013201" w:rsidRPr="00C55BDE" w:rsidRDefault="00013201" w:rsidP="00013201">
      <w:pPr>
        <w:spacing w:after="0" w:line="240" w:lineRule="auto"/>
        <w:ind w:left="709" w:right="709"/>
        <w:jc w:val="both"/>
        <w:rPr>
          <w:rFonts w:ascii="Verdana" w:eastAsia="Calibri" w:hAnsi="Verdana" w:cs="Arial"/>
          <w:sz w:val="20"/>
          <w:szCs w:val="20"/>
          <w:lang w:val="es-ES"/>
        </w:rPr>
      </w:pPr>
    </w:p>
    <w:p w14:paraId="343D8D19" w14:textId="77777777" w:rsidR="00013201" w:rsidRPr="00C55BDE" w:rsidRDefault="00013201" w:rsidP="00013201">
      <w:pPr>
        <w:spacing w:after="0" w:line="240" w:lineRule="auto"/>
        <w:ind w:left="709" w:right="709"/>
        <w:jc w:val="both"/>
        <w:rPr>
          <w:rFonts w:ascii="Verdana" w:eastAsia="Calibri" w:hAnsi="Verdana" w:cs="Arial"/>
          <w:sz w:val="20"/>
          <w:szCs w:val="20"/>
          <w:lang w:val="es-ES"/>
        </w:rPr>
      </w:pPr>
      <w:r w:rsidRPr="00C55BDE">
        <w:rPr>
          <w:rFonts w:ascii="Verdana" w:eastAsia="Calibri" w:hAnsi="Verdana" w:cs="Arial"/>
          <w:sz w:val="20"/>
          <w:szCs w:val="20"/>
          <w:lang w:val="es-ES"/>
        </w:rPr>
        <w:lastRenderedPageBreak/>
        <w:t>Parágrafo. Los integrantes de la comunidad indígena del resguardo no podrán enajenar a cualquier título, arrendar por cuenta propia o hipotecar los terrenos que constituyen el resguardo. (Decreto número 2164 de 1995, artículo 21) (Cursiva fuera de texto).</w:t>
      </w:r>
    </w:p>
    <w:p w14:paraId="385AB6A6" w14:textId="77777777" w:rsidR="00013201" w:rsidRPr="00C55BDE" w:rsidRDefault="00013201" w:rsidP="00013201">
      <w:pPr>
        <w:spacing w:after="0" w:line="240" w:lineRule="auto"/>
        <w:ind w:left="709" w:right="709"/>
        <w:jc w:val="both"/>
        <w:rPr>
          <w:rFonts w:ascii="Verdana" w:eastAsia="Calibri" w:hAnsi="Verdana" w:cs="Arial"/>
          <w:sz w:val="20"/>
          <w:szCs w:val="20"/>
          <w:lang w:val="es-ES"/>
        </w:rPr>
      </w:pPr>
    </w:p>
    <w:p w14:paraId="0B1DCB7C" w14:textId="77777777" w:rsidR="00013201" w:rsidRDefault="00013201" w:rsidP="00013201">
      <w:pPr>
        <w:spacing w:after="0" w:line="240" w:lineRule="auto"/>
        <w:ind w:left="708" w:right="709"/>
        <w:jc w:val="both"/>
        <w:rPr>
          <w:rFonts w:ascii="Verdana" w:eastAsia="Calibri" w:hAnsi="Verdana" w:cs="Arial"/>
          <w:sz w:val="20"/>
          <w:szCs w:val="20"/>
          <w:lang w:val="es-ES"/>
        </w:rPr>
      </w:pPr>
      <w:r w:rsidRPr="00C55BDE">
        <w:rPr>
          <w:rFonts w:ascii="Verdana" w:eastAsia="Calibri" w:hAnsi="Verdana" w:cs="Arial"/>
          <w:sz w:val="20"/>
          <w:szCs w:val="20"/>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r w:rsidRPr="00C55BDE">
        <w:rPr>
          <w:rFonts w:ascii="Verdana" w:hAnsi="Verdana"/>
          <w:color w:val="242424"/>
          <w:sz w:val="20"/>
          <w:szCs w:val="20"/>
          <w:shd w:val="clear" w:color="auto" w:fill="FFFFFF"/>
        </w:rPr>
        <w:t xml:space="preserve"> […]”</w:t>
      </w:r>
    </w:p>
    <w:p w14:paraId="11140AF9" w14:textId="77777777" w:rsidR="00013201" w:rsidRPr="00A575FE" w:rsidRDefault="00013201" w:rsidP="00013201">
      <w:pPr>
        <w:spacing w:after="0" w:line="240" w:lineRule="auto"/>
        <w:ind w:left="708" w:right="709"/>
        <w:jc w:val="both"/>
        <w:rPr>
          <w:rFonts w:ascii="Verdana" w:eastAsia="Calibri" w:hAnsi="Verdana" w:cs="Arial"/>
          <w:sz w:val="20"/>
          <w:szCs w:val="20"/>
          <w:lang w:val="es-ES"/>
        </w:rPr>
      </w:pPr>
    </w:p>
    <w:p w14:paraId="48F5AB67" w14:textId="77777777" w:rsidR="00013201" w:rsidRPr="00C55BDE" w:rsidRDefault="00013201" w:rsidP="00013201">
      <w:pPr>
        <w:spacing w:line="276" w:lineRule="auto"/>
        <w:jc w:val="both"/>
        <w:rPr>
          <w:rFonts w:ascii="Verdana" w:eastAsia="Calibri" w:hAnsi="Verdana" w:cs="Arial"/>
          <w:lang w:val="es-ES"/>
        </w:rPr>
      </w:pPr>
      <w:proofErr w:type="spellStart"/>
      <w:r>
        <w:rPr>
          <w:rFonts w:ascii="Verdana" w:eastAsia="Calibri" w:hAnsi="Verdana" w:cs="Arial"/>
          <w:lang w:val="es-ES"/>
        </w:rPr>
        <w:t>ii</w:t>
      </w:r>
      <w:proofErr w:type="spellEnd"/>
      <w:r>
        <w:rPr>
          <w:rFonts w:ascii="Verdana" w:eastAsia="Calibri" w:hAnsi="Verdana" w:cs="Arial"/>
          <w:lang w:val="es-ES"/>
        </w:rPr>
        <w:t xml:space="preserve">. </w:t>
      </w:r>
      <w:r w:rsidRPr="00C55BDE">
        <w:rPr>
          <w:rFonts w:ascii="Verdana" w:eastAsia="Calibri" w:hAnsi="Verdana" w:cs="Arial"/>
          <w:lang w:val="es-ES"/>
        </w:rPr>
        <w:t xml:space="preserve">Ahora bien, en octubre de 1993 se expidió la Ley 80, “Por la cual se expide el Estatuto General de Contratación de la Administración Pública”. El artículo 2 define las entidades estatales a las cuales le aplican sus disposiciones, e incluye a los territorios indígenas: </w:t>
      </w:r>
    </w:p>
    <w:p w14:paraId="13BD6A0F" w14:textId="77777777" w:rsidR="00013201" w:rsidRPr="00C55BDE" w:rsidRDefault="00013201" w:rsidP="00013201">
      <w:pPr>
        <w:spacing w:after="0" w:line="240" w:lineRule="auto"/>
        <w:ind w:left="708" w:right="709"/>
        <w:jc w:val="both"/>
        <w:rPr>
          <w:rFonts w:ascii="Verdana" w:eastAsia="Calibri" w:hAnsi="Verdana" w:cs="Arial"/>
          <w:sz w:val="20"/>
          <w:szCs w:val="20"/>
          <w:lang w:val="es-ES"/>
        </w:rPr>
      </w:pPr>
      <w:r w:rsidRPr="00C55BDE">
        <w:rPr>
          <w:rFonts w:ascii="Verdana" w:hAnsi="Verdana"/>
          <w:color w:val="242424"/>
          <w:sz w:val="20"/>
          <w:szCs w:val="20"/>
          <w:shd w:val="clear" w:color="auto" w:fill="FFFFFF"/>
        </w:rPr>
        <w:t xml:space="preserve">[…] </w:t>
      </w:r>
      <w:r w:rsidRPr="00C55BDE">
        <w:rPr>
          <w:rFonts w:ascii="Verdana" w:eastAsia="Calibri" w:hAnsi="Verdana" w:cs="Arial"/>
          <w:sz w:val="20"/>
          <w:szCs w:val="20"/>
          <w:lang w:val="es-ES"/>
        </w:rPr>
        <w:t xml:space="preserve">Artículo 2o. De la definición de entidades, servidores y servicios públicos. Para los solos efectos de esta ley: </w:t>
      </w:r>
    </w:p>
    <w:p w14:paraId="649A7A8B" w14:textId="77777777" w:rsidR="00013201" w:rsidRPr="00C55BDE" w:rsidRDefault="00013201" w:rsidP="00013201">
      <w:pPr>
        <w:spacing w:after="0" w:line="240" w:lineRule="auto"/>
        <w:ind w:left="708" w:right="709"/>
        <w:jc w:val="both"/>
        <w:rPr>
          <w:rFonts w:ascii="Verdana" w:eastAsia="Calibri" w:hAnsi="Verdana" w:cs="Arial"/>
          <w:sz w:val="20"/>
          <w:szCs w:val="20"/>
          <w:lang w:val="es-ES"/>
        </w:rPr>
      </w:pPr>
    </w:p>
    <w:p w14:paraId="155C1013" w14:textId="77777777" w:rsidR="00013201" w:rsidRPr="00C55BDE" w:rsidRDefault="00013201" w:rsidP="00013201">
      <w:pPr>
        <w:spacing w:after="0" w:line="240" w:lineRule="auto"/>
        <w:ind w:left="708" w:right="709"/>
        <w:jc w:val="both"/>
        <w:rPr>
          <w:rFonts w:ascii="Verdana" w:eastAsia="Calibri" w:hAnsi="Verdana" w:cs="Arial"/>
          <w:sz w:val="20"/>
          <w:szCs w:val="20"/>
          <w:lang w:val="es-ES"/>
        </w:rPr>
      </w:pPr>
      <w:r w:rsidRPr="00C55BDE">
        <w:rPr>
          <w:rFonts w:ascii="Verdana" w:eastAsia="Calibri" w:hAnsi="Verdana" w:cs="Arial"/>
          <w:sz w:val="20"/>
          <w:szCs w:val="20"/>
          <w:lang w:val="es-ES"/>
        </w:rPr>
        <w:t xml:space="preserve">1o. Se denominan entidades estatales: </w:t>
      </w:r>
    </w:p>
    <w:p w14:paraId="07E159C2" w14:textId="77777777" w:rsidR="00013201" w:rsidRPr="00C55BDE" w:rsidRDefault="00013201" w:rsidP="00013201">
      <w:pPr>
        <w:spacing w:after="0" w:line="240" w:lineRule="auto"/>
        <w:ind w:left="708" w:right="709"/>
        <w:jc w:val="both"/>
        <w:rPr>
          <w:rFonts w:ascii="Verdana" w:eastAsia="Calibri" w:hAnsi="Verdana" w:cs="Arial"/>
          <w:sz w:val="20"/>
          <w:szCs w:val="20"/>
          <w:lang w:val="es-ES"/>
        </w:rPr>
      </w:pPr>
    </w:p>
    <w:p w14:paraId="6B3D2B6F" w14:textId="77777777" w:rsidR="00013201" w:rsidRPr="00C55BDE" w:rsidRDefault="00013201" w:rsidP="00013201">
      <w:pPr>
        <w:spacing w:after="0" w:line="240" w:lineRule="auto"/>
        <w:ind w:left="708" w:right="709"/>
        <w:jc w:val="both"/>
        <w:rPr>
          <w:rFonts w:ascii="Verdana" w:eastAsia="Calibri" w:hAnsi="Verdana" w:cs="Arial"/>
          <w:sz w:val="20"/>
          <w:szCs w:val="20"/>
          <w:lang w:val="es-ES"/>
        </w:rPr>
      </w:pPr>
      <w:r w:rsidRPr="00C55BDE">
        <w:rPr>
          <w:rFonts w:ascii="Verdana" w:eastAsia="Calibri" w:hAnsi="Verdana" w:cs="Arial"/>
          <w:sz w:val="20"/>
          <w:szCs w:val="20"/>
          <w:lang w:val="es-ES"/>
        </w:rPr>
        <w:t xml:space="preserve">a) La Nación, las regiones, los departamentos, las provincias, el distrito capital y los distritos especiales, las áreas metropolitanas, las asociaciones de municipios, </w:t>
      </w:r>
      <w:r w:rsidRPr="00C55BDE">
        <w:rPr>
          <w:rFonts w:ascii="Verdana" w:eastAsia="Calibri" w:hAnsi="Verdana" w:cs="Arial"/>
          <w:i/>
          <w:sz w:val="20"/>
          <w:szCs w:val="20"/>
          <w:lang w:val="es-ES"/>
        </w:rPr>
        <w:t>los territorios indígenas</w:t>
      </w:r>
      <w:r w:rsidRPr="00C55BDE">
        <w:rPr>
          <w:rFonts w:ascii="Verdana" w:eastAsia="Calibri" w:hAnsi="Verdana" w:cs="Arial"/>
          <w:sz w:val="20"/>
          <w:szCs w:val="20"/>
          <w:lang w:val="es-ES"/>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(énfasis fuera de texto).</w:t>
      </w:r>
    </w:p>
    <w:p w14:paraId="24B837DD" w14:textId="77777777" w:rsidR="00013201" w:rsidRPr="00C55BDE" w:rsidRDefault="00013201" w:rsidP="00013201">
      <w:pPr>
        <w:spacing w:after="0" w:line="240" w:lineRule="auto"/>
        <w:textAlignment w:val="baseline"/>
        <w:rPr>
          <w:rFonts w:ascii="Verdana" w:eastAsia="Times New Roman" w:hAnsi="Verdana" w:cs="Segoe UI"/>
          <w:b/>
          <w:bCs/>
          <w:color w:val="46589C"/>
          <w:lang w:val="es-ES" w:eastAsia="es-CO"/>
        </w:rPr>
      </w:pPr>
    </w:p>
    <w:p w14:paraId="4A43DA8C" w14:textId="77777777" w:rsidR="00013201" w:rsidRPr="00C55BDE" w:rsidRDefault="00013201" w:rsidP="00013201">
      <w:pPr>
        <w:spacing w:after="120" w:line="276" w:lineRule="auto"/>
        <w:ind w:firstLine="708"/>
        <w:jc w:val="both"/>
        <w:rPr>
          <w:rFonts w:ascii="Verdana" w:eastAsia="Calibri" w:hAnsi="Verdana" w:cs="Arial"/>
          <w:lang w:val="es-ES"/>
        </w:rPr>
      </w:pPr>
      <w:r w:rsidRPr="00C55BDE">
        <w:rPr>
          <w:rFonts w:ascii="Verdana" w:eastAsia="Calibri" w:hAnsi="Verdana" w:cs="Arial"/>
          <w:lang w:val="es-ES"/>
        </w:rPr>
        <w:t xml:space="preserve">De acuerdo con la Ley 80 de 1993, los territorios indígenas eran considerados Entidades Estatales. Sin embargo, la existencia de aquellos se encuentra condicionada a la expedición de la Ley de Ordenamiento Territorial, por lo que la aplicación del Estatuto General de Contratación de la Administración Pública para este tipo de entidades, a luz de las disposiciones hasta aquí referidas, presenta dificultades. Esto en la medida que no existe una norma que defina los territorios indígenas a los que hace referencia el artículo 2 de esta Ley, lo que necesariamente remite a otras normas a efectos de determinar qué se entiende por estos y cuáles tienen capacidad para adquirir obligaciones. </w:t>
      </w:r>
    </w:p>
    <w:p w14:paraId="28240EB8" w14:textId="77777777" w:rsidR="00013201" w:rsidRPr="00C55BDE" w:rsidRDefault="00013201" w:rsidP="00013201">
      <w:pPr>
        <w:spacing w:before="120" w:line="276" w:lineRule="auto"/>
        <w:ind w:firstLine="680"/>
        <w:jc w:val="both"/>
        <w:rPr>
          <w:rFonts w:ascii="Verdana" w:eastAsia="Calibri" w:hAnsi="Verdana" w:cs="Arial"/>
          <w:lang w:val="es-ES"/>
        </w:rPr>
      </w:pPr>
      <w:r w:rsidRPr="00C55BDE">
        <w:rPr>
          <w:rFonts w:ascii="Verdana" w:eastAsia="Calibri" w:hAnsi="Verdana" w:cs="Arial"/>
          <w:lang w:val="es-ES"/>
        </w:rPr>
        <w:lastRenderedPageBreak/>
        <w:t xml:space="preserve">En este contexto, posteriormente, se expediría la Ley 1454 de 2011, “Por la cual se dictan normas orgánicas sobre ordenamiento territorial y se modifican otras disposiciones”, que reguló asuntos relacionados con el ordenamiento territorial. Sin embargo, esta ley no constituyó a los territorios indígenas, como lo demuestra el parágrafo 2° del artículo 37, al disponer que el Gobierno debía presentar al Congreso un proyecto de ley que regulara la materia. </w:t>
      </w:r>
    </w:p>
    <w:p w14:paraId="0A5564DD" w14:textId="77777777" w:rsidR="00013201" w:rsidRPr="00C55BDE" w:rsidRDefault="00013201" w:rsidP="00013201">
      <w:pPr>
        <w:spacing w:after="120" w:line="276" w:lineRule="auto"/>
        <w:jc w:val="both"/>
        <w:rPr>
          <w:rFonts w:ascii="Verdana" w:eastAsia="Calibri" w:hAnsi="Verdana" w:cs="Arial"/>
          <w:lang w:val="es-ES"/>
        </w:rPr>
      </w:pPr>
      <w:r w:rsidRPr="00C55BDE">
        <w:rPr>
          <w:rFonts w:ascii="Verdana" w:eastAsia="Calibri" w:hAnsi="Verdana" w:cs="Arial"/>
          <w:lang w:val="es-ES"/>
        </w:rPr>
        <w:tab/>
        <w:t xml:space="preserve">Otra disposición de relevancia es el artículo 356 superior, el cual </w:t>
      </w:r>
      <w:r>
        <w:rPr>
          <w:rFonts w:ascii="Verdana" w:eastAsia="Calibri" w:hAnsi="Verdana" w:cs="Arial"/>
          <w:lang w:val="es-ES"/>
        </w:rPr>
        <w:t>se refiere a</w:t>
      </w:r>
      <w:r w:rsidRPr="00C55BDE">
        <w:rPr>
          <w:rFonts w:ascii="Verdana" w:eastAsia="Calibri" w:hAnsi="Verdana" w:cs="Arial"/>
          <w:lang w:val="es-ES"/>
        </w:rPr>
        <w:t xml:space="preserve"> la distribución de los recursos del Sistema General de Participaciones–SGP, </w:t>
      </w:r>
      <w:r>
        <w:rPr>
          <w:rFonts w:ascii="Verdana" w:eastAsia="Calibri" w:hAnsi="Verdana" w:cs="Arial"/>
          <w:lang w:val="es-ES"/>
        </w:rPr>
        <w:t xml:space="preserve">que establece </w:t>
      </w:r>
      <w:r w:rsidRPr="00C55BDE">
        <w:rPr>
          <w:rFonts w:ascii="Verdana" w:eastAsia="Calibri" w:hAnsi="Verdana" w:cs="Arial"/>
          <w:lang w:val="es-ES"/>
        </w:rPr>
        <w:t xml:space="preserve">que “[…] serán beneficiarias las entidades territoriales indígenas, una vez constituidas. Así mismo, la ley establecerá como beneficiarios a los resguardos indígenas, siempre y cuando estos no se hayan constituido en entidad territorial indígena”. A efectos de materializar esta distribución, –y ante la </w:t>
      </w:r>
      <w:proofErr w:type="spellStart"/>
      <w:r w:rsidRPr="00C55BDE">
        <w:rPr>
          <w:rFonts w:ascii="Verdana" w:eastAsia="Calibri" w:hAnsi="Verdana" w:cs="Arial"/>
          <w:lang w:val="es-ES"/>
        </w:rPr>
        <w:t>omisión</w:t>
      </w:r>
      <w:proofErr w:type="spellEnd"/>
      <w:r w:rsidRPr="00C55BDE">
        <w:rPr>
          <w:rFonts w:ascii="Verdana" w:eastAsia="Calibri" w:hAnsi="Verdana" w:cs="Arial"/>
          <w:lang w:val="es-ES"/>
        </w:rPr>
        <w:t xml:space="preserve"> legislativa identificada por la Corte Constitucional en la sentencia C-489 del 2012–, con sustento en el mencionado artículo 56 transitorio  se expidió el Decreto 1953 de 2014, “Por el cual se crea un régimen especial con el fin de poner en funcionamiento los territorios indígenas respecto de la administración de los sistemas propios de los pueblos indígenas hasta que el Congreso expida la ley de qué trata el artículo 329 de la Constitución Política”. </w:t>
      </w:r>
    </w:p>
    <w:p w14:paraId="090B38B9" w14:textId="77777777" w:rsidR="00013201" w:rsidRPr="00C55BDE" w:rsidRDefault="00013201" w:rsidP="00013201">
      <w:pPr>
        <w:spacing w:line="276" w:lineRule="auto"/>
        <w:ind w:firstLine="708"/>
        <w:jc w:val="both"/>
        <w:rPr>
          <w:rFonts w:ascii="Verdana" w:eastAsia="Calibri" w:hAnsi="Verdana" w:cs="Arial"/>
          <w:lang w:val="es-ES"/>
        </w:rPr>
      </w:pPr>
      <w:r w:rsidRPr="00C55BDE">
        <w:rPr>
          <w:rFonts w:ascii="Verdana" w:eastAsia="Calibri" w:hAnsi="Verdana" w:cs="Arial"/>
          <w:lang w:val="es-ES"/>
        </w:rPr>
        <w:t>Los aspectos más relevantes de esta norma son los relacionados con el funcionamiento de los territorios indígenas. Al respecto, dispone que los resguardos indígenas que se ubiquen en ciertos supuestos</w:t>
      </w:r>
      <w:r w:rsidRPr="00C55BDE">
        <w:rPr>
          <w:rStyle w:val="Refdenotaalpie"/>
          <w:rFonts w:ascii="Verdana" w:eastAsia="Calibri" w:hAnsi="Verdana" w:cs="Arial"/>
          <w:lang w:val="es-ES"/>
        </w:rPr>
        <w:footnoteReference w:id="6"/>
      </w:r>
      <w:r w:rsidRPr="00C55BDE">
        <w:rPr>
          <w:rFonts w:ascii="Verdana" w:eastAsia="Calibri" w:hAnsi="Verdana" w:cs="Arial"/>
          <w:lang w:val="es-ES"/>
        </w:rPr>
        <w:t>, al igual que las asociaciones que estos conformen para administrar recursos del SGP, podrán ser considerados como territorios indígenas, de manera transitoria, “[…] mientras el Congreso expide la Ley Orgánica de Ordenamiento Territorial que crea las entidades territoriales indígenas”.</w:t>
      </w:r>
      <w:r w:rsidRPr="00C55BDE">
        <w:rPr>
          <w:rStyle w:val="Refdenotaalpie"/>
          <w:rFonts w:ascii="Verdana" w:eastAsia="Calibri" w:hAnsi="Verdana" w:cs="Arial"/>
          <w:lang w:val="es-ES"/>
        </w:rPr>
        <w:footnoteReference w:id="7"/>
      </w:r>
      <w:r w:rsidRPr="00C55BDE">
        <w:rPr>
          <w:rFonts w:ascii="Verdana" w:eastAsia="Calibri" w:hAnsi="Verdana" w:cs="Arial"/>
          <w:lang w:val="es-ES"/>
        </w:rPr>
        <w:t xml:space="preserve">  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La norma además establece una última posibilidad para los resguardos indígenas que no hayan sido autorizados para </w:t>
      </w:r>
      <w:r w:rsidRPr="00C55BDE">
        <w:rPr>
          <w:rFonts w:ascii="Verdana" w:eastAsia="Calibri" w:hAnsi="Verdana" w:cs="Arial"/>
          <w:lang w:val="es-ES"/>
        </w:rPr>
        <w:lastRenderedPageBreak/>
        <w:t xml:space="preserve">administrar de manera directa los recursos del SGP, consistente en la celebración de contratos de administración con las entidades territoriales respectivas y los representantes legales del resguardo designado por las autoridades propias. </w:t>
      </w:r>
    </w:p>
    <w:p w14:paraId="0E8BBACC" w14:textId="77777777" w:rsidR="00013201" w:rsidRPr="00C55BDE" w:rsidRDefault="00013201" w:rsidP="00013201">
      <w:pPr>
        <w:spacing w:after="120" w:line="276" w:lineRule="auto"/>
        <w:ind w:firstLine="708"/>
        <w:jc w:val="both"/>
        <w:rPr>
          <w:rFonts w:ascii="Verdana" w:eastAsia="Calibri" w:hAnsi="Verdana" w:cs="Arial"/>
          <w:lang w:val="es-ES"/>
        </w:rPr>
      </w:pPr>
      <w:r w:rsidRPr="00C55BDE">
        <w:rPr>
          <w:rFonts w:ascii="Verdana" w:eastAsia="Calibri" w:hAnsi="Verdana" w:cs="Arial"/>
          <w:lang w:val="es-ES"/>
        </w:rPr>
        <w:t>Por otro lado, el artículo 20 del Decreto 1953 de 2014 dispone que los actos o contratos que celebren o expidan los territorios indígenas en virtud de dicho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estos solo podrán celebrarse entre territorios indígenas, cabildos y/o autoridades tradicionales constituidos bajo lo dispuesto en el Decreto 1088 de 1993, no con otras entidades del Estado</w:t>
      </w:r>
      <w:r w:rsidRPr="00C55BDE">
        <w:rPr>
          <w:rStyle w:val="Refdenotaalpie"/>
          <w:rFonts w:ascii="Verdana" w:eastAsia="Calibri" w:hAnsi="Verdana" w:cs="Arial"/>
          <w:lang w:val="es-ES"/>
        </w:rPr>
        <w:footnoteReference w:id="8"/>
      </w:r>
      <w:r w:rsidRPr="00C55BDE">
        <w:rPr>
          <w:rFonts w:ascii="Verdana" w:eastAsia="Calibri" w:hAnsi="Verdana" w:cs="Arial"/>
          <w:lang w:val="es-ES"/>
        </w:rPr>
        <w:t xml:space="preserve">. </w:t>
      </w:r>
    </w:p>
    <w:p w14:paraId="2189D052" w14:textId="77777777" w:rsidR="00013201" w:rsidRPr="00C55BDE" w:rsidRDefault="00013201" w:rsidP="00013201">
      <w:pPr>
        <w:spacing w:after="120" w:line="276" w:lineRule="auto"/>
        <w:ind w:firstLine="709"/>
        <w:jc w:val="both"/>
        <w:rPr>
          <w:rFonts w:ascii="Verdana" w:eastAsia="Calibri" w:hAnsi="Verdana" w:cs="Arial"/>
          <w:lang w:val="es-ES"/>
        </w:rPr>
      </w:pPr>
      <w:r w:rsidRPr="00C55BDE">
        <w:rPr>
          <w:rFonts w:ascii="Verdana" w:eastAsia="Calibri" w:hAnsi="Verdana" w:cs="Arial"/>
          <w:lang w:val="es-ES"/>
        </w:rPr>
        <w:t xml:space="preserve">Conforme a lo anterior, el Decreto 1953 de 2014 permite que resguardos podrán asociarse para administrar y ejecutar los recursos de la asignación especial del SGP, siempre que acrediten los requisitos establecidos en el decreto, y son personas jurídicas de derecho público especial. 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de acuerdo con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3F0993B6" w14:textId="77777777" w:rsidR="00013201" w:rsidRPr="00C55BDE" w:rsidRDefault="00013201" w:rsidP="00013201">
      <w:pPr>
        <w:spacing w:after="120" w:line="276" w:lineRule="auto"/>
        <w:jc w:val="both"/>
        <w:rPr>
          <w:rFonts w:ascii="Verdana" w:eastAsia="Calibri" w:hAnsi="Verdana" w:cs="Arial"/>
          <w:lang w:val="es-ES"/>
        </w:rPr>
      </w:pPr>
      <w:r w:rsidRPr="00C55BDE">
        <w:rPr>
          <w:rFonts w:ascii="Verdana" w:eastAsia="Calibri" w:hAnsi="Verdana" w:cs="Arial"/>
          <w:lang w:val="es-ES"/>
        </w:rPr>
        <w:t>  </w:t>
      </w:r>
      <w:r w:rsidRPr="00C55BDE">
        <w:rPr>
          <w:rFonts w:ascii="Verdana" w:eastAsia="Calibri" w:hAnsi="Verdana" w:cs="Arial"/>
          <w:lang w:val="es-ES"/>
        </w:rPr>
        <w:tab/>
        <w:t xml:space="preserve"> Las normas hasta aquí analizadas, por un lado, conciben a los resguardos indígenas como una instituciones legales y sociopolíticas de carácter especial, que pueden estar conformadas por una o más comunidades indígenas, que </w:t>
      </w:r>
      <w:r w:rsidRPr="00C55BDE">
        <w:rPr>
          <w:rFonts w:ascii="Verdana" w:eastAsia="Calibri" w:hAnsi="Verdana" w:cs="Arial"/>
          <w:lang w:val="es-ES"/>
        </w:rPr>
        <w:lastRenderedPageBreak/>
        <w:t>ejercen la propiedad colectiva sobre un territorio común, y que, si bien gozan de las garantías de la propiedad privada, tienen naturaleza inalienable, imprescriptible e inembargable. En ese sentido, a pesar de que la noción de resguardos indígenas no se agota en el territorio físico que es objeto de propiedad colectiva, tampoco es susceptible de ser equiparado al concepto de territorios indígenas al que se refiere el artículo 2 de la Ley 80 de 1993, ya que este aplica a las entidades territoriales indígenas, que, conforme a lo aquí explicado, aún no han sido objeto de implementación. Así pues, en principio, los resguardos indígenas no tienen el carácter de Entidades Estatales en el marco del Estatuto General de Contratación de la Administración Pública, ni tampoco tienen capacidad para contratar a luz del artículo 6 de la Ley 80 de 1993.</w:t>
      </w:r>
    </w:p>
    <w:p w14:paraId="6D747040" w14:textId="77777777" w:rsidR="00013201" w:rsidRPr="00C55BDE" w:rsidRDefault="00013201" w:rsidP="00013201">
      <w:pPr>
        <w:spacing w:after="120" w:line="276" w:lineRule="auto"/>
        <w:jc w:val="both"/>
        <w:rPr>
          <w:rFonts w:ascii="Verdana" w:eastAsia="Calibri" w:hAnsi="Verdana" w:cs="Arial"/>
          <w:lang w:val="es-ES"/>
        </w:rPr>
      </w:pPr>
      <w:r w:rsidRPr="00C55BDE">
        <w:rPr>
          <w:rFonts w:ascii="Verdana" w:eastAsia="Calibri" w:hAnsi="Verdana" w:cs="Arial"/>
          <w:lang w:val="es-ES"/>
        </w:rPr>
        <w:tab/>
        <w:t xml:space="preserve">No obstante, el régimen para la transitoria puesta en marcha de los territorios indígenas establecido por el Decreto autónomo 1953 de 2014, a efectos de garantizar la distribución de los recursos de asignación especial del Sistema General de Participaciones que corresponden a los pueblos indígenas, estableció diferentes mecanismos para que se ejecutaran los mismos. Dentro de estos mecanismos se estableció la posibilidad de que los resguardos indígenas que cumplieran ciertos requisitos o se agruparan con otros resguardos fueran reconocidos de manera transitoria como territorios indígenas, evento en el que, de conformidad con el artículo 9 del Decreto 1953 de 2014, son consideradas como Entidades Estatales de acuerdo con el artículo 2 de la Ley 80 de 1993. No obstante, la capacidad jurídica que deriva de este artículo está limitada a lo relacionado con el ejercicio de las funciones públicas y la ejecución de recursos de los que trata el decreto.   </w:t>
      </w:r>
    </w:p>
    <w:p w14:paraId="27033DDD" w14:textId="77777777" w:rsidR="00013201" w:rsidRPr="00C55BDE" w:rsidRDefault="00013201" w:rsidP="00013201">
      <w:pPr>
        <w:spacing w:after="120" w:line="276" w:lineRule="auto"/>
        <w:jc w:val="both"/>
        <w:rPr>
          <w:rFonts w:ascii="Verdana" w:eastAsia="Calibri" w:hAnsi="Verdana" w:cs="Arial"/>
          <w:lang w:val="es-ES"/>
        </w:rPr>
      </w:pPr>
      <w:r w:rsidRPr="00C55BDE">
        <w:rPr>
          <w:rFonts w:ascii="Verdana" w:eastAsia="Calibri" w:hAnsi="Verdana" w:cs="Arial"/>
          <w:lang w:val="es-ES"/>
        </w:rPr>
        <w:tab/>
        <w:t>En síntesis, a pesar de que el Decreto 1953 de 2014 establece el carácter de Entidades Estatales de los territorios indígenas regulados de manera transitoria, los resguardos indígenas y sus asociaciones, esto solo resulta aplicable a los asuntos contractuales regulados por dicha norma autónoma. Esto significa que, los territorios, resguardos indígenas y asociaciones de estos, solo son consideradas Entidades Estatales para efectos de celebrar los negocios jurídicos requeridos para el cumplimiento de las funciones que les asigna el decreto</w:t>
      </w:r>
      <w:r w:rsidRPr="00C55BDE">
        <w:rPr>
          <w:rStyle w:val="Refdenotaalpie"/>
          <w:rFonts w:ascii="Verdana" w:eastAsia="Calibri" w:hAnsi="Verdana" w:cs="Arial"/>
          <w:lang w:val="es-ES"/>
        </w:rPr>
        <w:footnoteReference w:id="9"/>
      </w:r>
      <w:r w:rsidRPr="00C55BDE">
        <w:rPr>
          <w:rFonts w:ascii="Verdana" w:eastAsia="Calibri" w:hAnsi="Verdana" w:cs="Arial"/>
          <w:lang w:val="es-ES"/>
        </w:rPr>
        <w:t xml:space="preserve">, prevalentemente relacionadas con la ejecución y administración de </w:t>
      </w:r>
      <w:r w:rsidRPr="00C55BDE">
        <w:rPr>
          <w:rFonts w:ascii="Verdana" w:eastAsia="Calibri" w:hAnsi="Verdana" w:cs="Arial"/>
          <w:lang w:val="es-ES"/>
        </w:rPr>
        <w:lastRenderedPageBreak/>
        <w:t xml:space="preserve">recursos del Sistema General de Participaciones, por lo que no estarían facultados para ejecutar negocios jurídicos no relacionados con tales atribuciones. </w:t>
      </w:r>
    </w:p>
    <w:p w14:paraId="42690F71" w14:textId="77777777" w:rsidR="00013201" w:rsidRPr="00C55BDE" w:rsidRDefault="00013201" w:rsidP="00013201">
      <w:pPr>
        <w:spacing w:before="120" w:after="120" w:line="276" w:lineRule="auto"/>
        <w:ind w:firstLine="709"/>
        <w:jc w:val="both"/>
        <w:rPr>
          <w:rFonts w:ascii="Verdana" w:hAnsi="Verdana" w:cs="Arial"/>
        </w:rPr>
      </w:pPr>
      <w:r w:rsidRPr="00C55BDE">
        <w:rPr>
          <w:rFonts w:ascii="Verdana" w:hAnsi="Verdana" w:cs="Arial"/>
          <w:lang w:val="es-ES"/>
        </w:rPr>
        <w:t>Sumado a los anterior, debe indicarse que los recursos de la Asignación Especial del Sistema General de Participaciones para los Resguardos Indígenas -AESGPRI- corresponden a los recursos del Sistema General de Participaciones que les son transferidos a los resguardos indígenas de conformidad con lo dispuesto por el artículo 356 de la Constitución Política y por los artículos 2º y 83 de la Ley 715 de 2001, para la financiación de proyectos de inversión debidamente formulados, e incluidos en los planes de vida o de acuerdo con los usos y costumbres de los pueblos indígenas.</w:t>
      </w:r>
    </w:p>
    <w:p w14:paraId="538238D1" w14:textId="77777777" w:rsidR="00013201" w:rsidRPr="00C55BDE" w:rsidRDefault="00013201" w:rsidP="00013201">
      <w:pPr>
        <w:spacing w:before="120" w:after="120" w:line="276" w:lineRule="auto"/>
        <w:ind w:firstLine="709"/>
        <w:jc w:val="both"/>
        <w:rPr>
          <w:rFonts w:ascii="Verdana" w:hAnsi="Verdana" w:cs="Arial"/>
          <w:lang w:val="es-ES"/>
        </w:rPr>
      </w:pPr>
      <w:r w:rsidRPr="00C55BDE">
        <w:rPr>
          <w:rFonts w:ascii="Verdana" w:hAnsi="Verdana" w:cs="Arial"/>
          <w:lang w:val="es-ES"/>
        </w:rPr>
        <w:t xml:space="preserve">Bajo este contexto, en el parágrafo 2º del artículo 2º de la Ley 715 de 2001 se establece la Asignación Especial del Sistema General de Participaciones para los Resguardos Indígenas -AESGPRI- y en el artículo 83 se determinan los criterios para la distribución y la administración de los recursos. Con base en lo anterior, se entiende que </w:t>
      </w:r>
      <w:r w:rsidRPr="00C55BDE">
        <w:rPr>
          <w:rFonts w:ascii="Verdana" w:hAnsi="Verdana" w:cs="Arial"/>
          <w:i/>
          <w:iCs/>
          <w:lang w:val="es-ES"/>
        </w:rPr>
        <w:t xml:space="preserve">los recursos de la AESGPRI son públicos </w:t>
      </w:r>
      <w:r w:rsidRPr="00C55BDE">
        <w:rPr>
          <w:rFonts w:ascii="Verdana" w:hAnsi="Verdana" w:cs="Arial"/>
          <w:lang w:val="es-ES"/>
        </w:rPr>
        <w:t>y tienen como propósito beneficiar a la población indígena que habita en los resguardos.</w:t>
      </w:r>
    </w:p>
    <w:p w14:paraId="45CA90CD" w14:textId="77777777" w:rsidR="00013201" w:rsidRPr="00C55BDE" w:rsidRDefault="00013201" w:rsidP="00013201">
      <w:pPr>
        <w:spacing w:before="120" w:after="120" w:line="276" w:lineRule="auto"/>
        <w:ind w:firstLine="709"/>
        <w:jc w:val="both"/>
        <w:rPr>
          <w:rFonts w:ascii="Verdana" w:hAnsi="Verdana"/>
        </w:rPr>
      </w:pPr>
      <w:r w:rsidRPr="00C55BDE">
        <w:rPr>
          <w:rFonts w:ascii="Verdana" w:hAnsi="Verdana"/>
        </w:rPr>
        <w:t xml:space="preserve">Ahora bien, tratándose de recursos -AESGPRI- debe tenerse de presente que el artículo 83 de la Ley 715 de 2001 dispone que estos serán girados a cada uno de los municipios en proporción a la población indígena que comprenda y que para su ejecución deberá celebrarse un contrato entre la entidad territorial y las autoridades del resguardo, </w:t>
      </w:r>
      <w:r w:rsidRPr="00C55BDE">
        <w:rPr>
          <w:rFonts w:ascii="Verdana" w:hAnsi="Verdana"/>
          <w:i/>
          <w:iCs/>
        </w:rPr>
        <w:t>antes del 31 de diciembre de cada año</w:t>
      </w:r>
      <w:r w:rsidRPr="00C55BDE">
        <w:rPr>
          <w:rFonts w:ascii="Verdana" w:hAnsi="Verdana"/>
        </w:rPr>
        <w:t>, en la que se determine el uso de los recursos en el año siguiente. Copia de dicho contrato se enviará antes del 20 de enero al Ministerio del Interior.</w:t>
      </w:r>
    </w:p>
    <w:p w14:paraId="0721F160" w14:textId="77777777" w:rsidR="00013201" w:rsidRPr="00C55BDE" w:rsidRDefault="00013201" w:rsidP="00013201">
      <w:pPr>
        <w:spacing w:before="120" w:after="120" w:line="276" w:lineRule="auto"/>
        <w:jc w:val="both"/>
        <w:rPr>
          <w:rFonts w:ascii="Verdana" w:hAnsi="Verdana"/>
        </w:rPr>
      </w:pPr>
      <w:proofErr w:type="spellStart"/>
      <w:r>
        <w:rPr>
          <w:rFonts w:ascii="Verdana" w:hAnsi="Verdana" w:cs="Arial"/>
          <w:lang w:val="es-ES"/>
        </w:rPr>
        <w:t>iii</w:t>
      </w:r>
      <w:proofErr w:type="spellEnd"/>
      <w:r>
        <w:rPr>
          <w:rFonts w:ascii="Verdana" w:hAnsi="Verdana" w:cs="Arial"/>
          <w:lang w:val="es-ES"/>
        </w:rPr>
        <w:t xml:space="preserve">. </w:t>
      </w:r>
      <w:r w:rsidRPr="00C55BDE">
        <w:rPr>
          <w:rFonts w:ascii="Verdana" w:hAnsi="Verdana" w:cs="Arial"/>
          <w:lang w:val="es-ES"/>
        </w:rPr>
        <w:t xml:space="preserve">Frente a las restricciones de Ley de Garantías debe tener en cuenta que el ordenamiento jurídico colombiano contempla medidas para evitar la obtención </w:t>
      </w:r>
      <w:r w:rsidRPr="00C55BDE">
        <w:rPr>
          <w:rFonts w:ascii="Verdana" w:hAnsi="Verdana" w:cs="Arial"/>
          <w:lang w:val="es-ES"/>
        </w:rPr>
        <w:lastRenderedPageBreak/>
        <w:t>de beneficios personales en asuntos propios de la administración pública</w:t>
      </w:r>
      <w:r w:rsidRPr="00C55BDE">
        <w:rPr>
          <w:rFonts w:ascii="Verdana" w:hAnsi="Verdana" w:cs="Arial"/>
          <w:i/>
          <w:lang w:val="es-ES"/>
        </w:rPr>
        <w:t xml:space="preserve">. </w:t>
      </w:r>
      <w:r w:rsidRPr="00C55BDE">
        <w:rPr>
          <w:rFonts w:ascii="Verdana"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C55BDE">
        <w:rPr>
          <w:rFonts w:ascii="Verdana" w:hAnsi="Verdana"/>
          <w:vertAlign w:val="superscript"/>
          <w:lang w:val="es-ES"/>
        </w:rPr>
        <w:footnoteReference w:id="10"/>
      </w:r>
      <w:r w:rsidRPr="00C55BDE">
        <w:rPr>
          <w:rFonts w:ascii="Verdana" w:hAnsi="Verdana" w:cs="Arial"/>
          <w:lang w:val="es-ES"/>
        </w:rPr>
        <w:t>.</w:t>
      </w:r>
    </w:p>
    <w:p w14:paraId="3C35AEBE" w14:textId="77777777" w:rsidR="00013201" w:rsidRPr="00C55BDE" w:rsidRDefault="00013201" w:rsidP="00013201">
      <w:pPr>
        <w:tabs>
          <w:tab w:val="left" w:pos="426"/>
        </w:tabs>
        <w:spacing w:after="120" w:line="276" w:lineRule="auto"/>
        <w:ind w:firstLine="709"/>
        <w:jc w:val="both"/>
        <w:rPr>
          <w:rFonts w:ascii="Verdana" w:hAnsi="Verdana" w:cs="Arial"/>
          <w:lang w:val="es-ES"/>
        </w:rPr>
      </w:pPr>
      <w:r w:rsidRPr="00C55BDE">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C55BDE">
        <w:rPr>
          <w:rFonts w:ascii="Verdana" w:eastAsia="Times New Roman" w:hAnsi="Verdana" w:cs="Arial"/>
          <w:vertAlign w:val="superscript"/>
          <w:lang w:val="es-ES" w:eastAsia="es-CO"/>
        </w:rPr>
        <w:footnoteReference w:id="11"/>
      </w:r>
      <w:r w:rsidRPr="00C55BDE">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C55BDE">
        <w:rPr>
          <w:rFonts w:ascii="Verdana" w:hAnsi="Verdana" w:cs="Arial"/>
          <w:lang w:val="es-ES"/>
        </w:rPr>
        <w:t xml:space="preserve"> </w:t>
      </w:r>
    </w:p>
    <w:p w14:paraId="727D71B5" w14:textId="77777777" w:rsidR="00013201" w:rsidRPr="00C55BDE" w:rsidRDefault="00013201" w:rsidP="00013201">
      <w:pPr>
        <w:tabs>
          <w:tab w:val="left" w:pos="426"/>
        </w:tabs>
        <w:spacing w:after="0" w:line="276" w:lineRule="auto"/>
        <w:ind w:firstLine="709"/>
        <w:jc w:val="both"/>
        <w:rPr>
          <w:rFonts w:ascii="Verdana" w:hAnsi="Verdana" w:cs="Arial"/>
          <w:lang w:val="es-ES"/>
        </w:rPr>
      </w:pPr>
      <w:r w:rsidRPr="00C55BDE">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51801FEB" w14:textId="77777777" w:rsidR="00013201" w:rsidRPr="00C55BDE" w:rsidRDefault="00013201" w:rsidP="00013201">
      <w:pPr>
        <w:spacing w:after="0" w:line="276" w:lineRule="auto"/>
        <w:ind w:right="709"/>
        <w:jc w:val="both"/>
        <w:rPr>
          <w:rFonts w:ascii="Verdana" w:eastAsia="Times New Roman" w:hAnsi="Verdana" w:cs="Arial"/>
          <w:lang w:val="es-ES" w:eastAsia="es-CO"/>
        </w:rPr>
      </w:pPr>
    </w:p>
    <w:p w14:paraId="3B555B41" w14:textId="77777777" w:rsidR="00013201" w:rsidRPr="00C55BDE" w:rsidRDefault="00013201" w:rsidP="00013201">
      <w:pPr>
        <w:spacing w:after="0" w:line="240" w:lineRule="auto"/>
        <w:ind w:left="709" w:right="709"/>
        <w:contextualSpacing/>
        <w:jc w:val="both"/>
        <w:rPr>
          <w:rFonts w:ascii="Verdana" w:eastAsia="Times New Roman" w:hAnsi="Verdana" w:cs="Arial"/>
          <w:sz w:val="20"/>
          <w:szCs w:val="20"/>
          <w:lang w:val="es-ES" w:eastAsia="es-CO"/>
        </w:rPr>
      </w:pPr>
      <w:r w:rsidRPr="00C55BDE">
        <w:rPr>
          <w:rFonts w:ascii="Verdana" w:eastAsia="Times New Roman" w:hAnsi="Verdana" w:cs="Arial"/>
          <w:sz w:val="20"/>
          <w:szCs w:val="20"/>
          <w:lang w:val="es-ES" w:eastAsia="es-CO"/>
        </w:rPr>
        <w:t>“[…] la definición de reglas claras que permitan acceder a los canales de expresión democrática de manera efectiva e igualitaria. El objetivo de una ley de garantías es definir esas reglas.</w:t>
      </w:r>
    </w:p>
    <w:p w14:paraId="549AA122" w14:textId="77777777" w:rsidR="00013201" w:rsidRPr="00C55BDE" w:rsidRDefault="00013201" w:rsidP="00013201">
      <w:pPr>
        <w:spacing w:after="0" w:line="240" w:lineRule="auto"/>
        <w:ind w:left="709" w:right="709"/>
        <w:contextualSpacing/>
        <w:jc w:val="both"/>
        <w:rPr>
          <w:rFonts w:ascii="Verdana" w:eastAsia="Times New Roman" w:hAnsi="Verdana" w:cs="Arial"/>
          <w:sz w:val="20"/>
          <w:szCs w:val="20"/>
          <w:lang w:val="es-ES" w:eastAsia="es-CO"/>
        </w:rPr>
      </w:pPr>
    </w:p>
    <w:p w14:paraId="4B246AFF" w14:textId="77777777" w:rsidR="00013201" w:rsidRPr="00C55BDE" w:rsidRDefault="00013201" w:rsidP="00013201">
      <w:pPr>
        <w:spacing w:after="0" w:line="240" w:lineRule="auto"/>
        <w:ind w:left="709" w:right="709"/>
        <w:contextualSpacing/>
        <w:jc w:val="both"/>
        <w:rPr>
          <w:rFonts w:ascii="Verdana" w:eastAsia="Times New Roman" w:hAnsi="Verdana" w:cs="Arial"/>
          <w:sz w:val="20"/>
          <w:szCs w:val="20"/>
          <w:lang w:val="es-ES" w:eastAsia="es-CO"/>
        </w:rPr>
      </w:pPr>
      <w:r w:rsidRPr="00C55BDE">
        <w:rPr>
          <w:rFonts w:ascii="Verdana" w:eastAsia="Times New Roman" w:hAnsi="Verdana" w:cs="Arial"/>
          <w:sz w:val="20"/>
          <w:szCs w:val="20"/>
          <w:lang w:val="es-ES" w:eastAsia="es-CO"/>
        </w:rPr>
        <w:t xml:space="preserve">[…] </w:t>
      </w:r>
    </w:p>
    <w:p w14:paraId="4F2983B7" w14:textId="77777777" w:rsidR="00013201" w:rsidRPr="00C55BDE" w:rsidRDefault="00013201" w:rsidP="00013201">
      <w:pPr>
        <w:spacing w:after="0" w:line="240" w:lineRule="auto"/>
        <w:ind w:left="709" w:right="709"/>
        <w:contextualSpacing/>
        <w:jc w:val="both"/>
        <w:rPr>
          <w:rFonts w:ascii="Verdana" w:eastAsia="Times New Roman" w:hAnsi="Verdana" w:cs="Arial"/>
          <w:sz w:val="20"/>
          <w:szCs w:val="20"/>
          <w:lang w:val="es-ES" w:eastAsia="es-CO"/>
        </w:rPr>
      </w:pPr>
    </w:p>
    <w:p w14:paraId="06AEDD79" w14:textId="77777777" w:rsidR="00013201" w:rsidRPr="00C55BDE" w:rsidRDefault="00013201" w:rsidP="00013201">
      <w:pPr>
        <w:spacing w:after="0" w:line="240" w:lineRule="auto"/>
        <w:ind w:left="709" w:right="709"/>
        <w:contextualSpacing/>
        <w:jc w:val="both"/>
        <w:rPr>
          <w:rFonts w:ascii="Verdana" w:eastAsia="Times New Roman" w:hAnsi="Verdana" w:cs="Arial"/>
          <w:sz w:val="20"/>
          <w:szCs w:val="20"/>
          <w:lang w:val="es-ES" w:eastAsia="es-CO"/>
        </w:rPr>
      </w:pPr>
      <w:r w:rsidRPr="00C55BDE">
        <w:rPr>
          <w:rFonts w:ascii="Verdana" w:eastAsia="Times New Roman" w:hAnsi="Verdana" w:cs="Arial"/>
          <w:sz w:val="20"/>
          <w:szCs w:val="20"/>
          <w:lang w:val="es-ES"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w:t>
      </w:r>
      <w:r w:rsidRPr="00C55BDE">
        <w:rPr>
          <w:rFonts w:ascii="Verdana" w:eastAsia="Times New Roman" w:hAnsi="Verdana" w:cs="Arial"/>
          <w:sz w:val="20"/>
          <w:szCs w:val="20"/>
          <w:lang w:val="es-ES" w:eastAsia="es-CO"/>
        </w:rPr>
        <w:lastRenderedPageBreak/>
        <w:t>una ley de garantías debe permitir que, en el debate democrático, sean las ideas y las propuestas las que definan el ascenso al poder, y no el músculo económico de los que se lo disputan”.</w:t>
      </w:r>
      <w:r w:rsidRPr="00C55BDE">
        <w:rPr>
          <w:rFonts w:ascii="Verdana" w:hAnsi="Verdana" w:cs="Arial"/>
          <w:sz w:val="20"/>
          <w:szCs w:val="20"/>
          <w:vertAlign w:val="superscript"/>
          <w:lang w:val="es-ES"/>
        </w:rPr>
        <w:footnoteReference w:id="12"/>
      </w:r>
    </w:p>
    <w:p w14:paraId="7D732433" w14:textId="77777777" w:rsidR="00013201" w:rsidRPr="00C55BDE" w:rsidRDefault="00013201" w:rsidP="00013201">
      <w:pPr>
        <w:spacing w:after="0" w:line="276" w:lineRule="auto"/>
        <w:ind w:left="709" w:right="709"/>
        <w:jc w:val="both"/>
        <w:rPr>
          <w:rFonts w:ascii="Verdana" w:eastAsia="Times New Roman" w:hAnsi="Verdana" w:cs="Arial"/>
          <w:sz w:val="20"/>
          <w:szCs w:val="20"/>
          <w:lang w:val="es-ES" w:eastAsia="es-CO"/>
        </w:rPr>
      </w:pPr>
    </w:p>
    <w:p w14:paraId="4540B00A" w14:textId="77777777" w:rsidR="00013201" w:rsidRPr="00C55BDE" w:rsidRDefault="00013201" w:rsidP="00013201">
      <w:pPr>
        <w:spacing w:after="0" w:line="276" w:lineRule="auto"/>
        <w:ind w:firstLine="709"/>
        <w:jc w:val="both"/>
        <w:rPr>
          <w:rFonts w:ascii="Verdana" w:eastAsia="Times New Roman" w:hAnsi="Verdana" w:cs="Arial"/>
          <w:lang w:val="es-ES" w:eastAsia="es-CO"/>
        </w:rPr>
      </w:pPr>
      <w:r w:rsidRPr="00C55BDE">
        <w:rPr>
          <w:rFonts w:ascii="Verdana" w:eastAsia="Times New Roman" w:hAnsi="Verdana" w:cs="Arial"/>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5DAE3EAE" w14:textId="77777777" w:rsidR="00013201" w:rsidRPr="00C55BDE" w:rsidRDefault="00013201" w:rsidP="00013201">
      <w:pPr>
        <w:spacing w:after="0" w:line="276" w:lineRule="auto"/>
        <w:ind w:firstLine="709"/>
        <w:jc w:val="both"/>
        <w:rPr>
          <w:rFonts w:ascii="Verdana" w:eastAsia="Times New Roman" w:hAnsi="Verdana" w:cs="Arial"/>
          <w:lang w:val="es-ES" w:eastAsia="es-CO"/>
        </w:rPr>
      </w:pPr>
    </w:p>
    <w:p w14:paraId="00A78B42" w14:textId="77777777" w:rsidR="00013201" w:rsidRPr="00C55BDE" w:rsidRDefault="00013201" w:rsidP="00013201">
      <w:pPr>
        <w:spacing w:after="0" w:line="240" w:lineRule="auto"/>
        <w:ind w:left="709" w:right="709"/>
        <w:jc w:val="both"/>
        <w:rPr>
          <w:rFonts w:ascii="Verdana" w:eastAsia="Times New Roman" w:hAnsi="Verdana" w:cs="Arial"/>
          <w:sz w:val="20"/>
          <w:szCs w:val="20"/>
          <w:lang w:val="es-ES" w:eastAsia="es-CO"/>
        </w:rPr>
      </w:pPr>
      <w:r w:rsidRPr="00C55BDE">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C55BDE">
        <w:rPr>
          <w:rFonts w:ascii="Verdana" w:eastAsia="Times New Roman" w:hAnsi="Verdana" w:cs="Arial"/>
          <w:sz w:val="20"/>
          <w:szCs w:val="20"/>
          <w:lang w:val="es-ES" w:eastAsia="es-CO"/>
        </w:rPr>
        <w:t>legis</w:t>
      </w:r>
      <w:proofErr w:type="spellEnd"/>
      <w:r w:rsidRPr="00C55BDE">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69601A0" w14:textId="77777777" w:rsidR="00013201" w:rsidRPr="00C55BDE" w:rsidRDefault="00013201" w:rsidP="00013201">
      <w:pPr>
        <w:spacing w:after="0" w:line="240" w:lineRule="auto"/>
        <w:ind w:right="709"/>
        <w:jc w:val="both"/>
        <w:rPr>
          <w:rFonts w:ascii="Verdana" w:eastAsia="Times New Roman" w:hAnsi="Verdana" w:cs="Arial"/>
          <w:lang w:val="es-ES" w:eastAsia="es-CO"/>
        </w:rPr>
      </w:pPr>
    </w:p>
    <w:p w14:paraId="33C915C4" w14:textId="77777777" w:rsidR="00013201" w:rsidRPr="00C55BDE" w:rsidRDefault="00013201" w:rsidP="00013201">
      <w:pPr>
        <w:spacing w:after="0" w:line="240" w:lineRule="auto"/>
        <w:ind w:left="709" w:right="709"/>
        <w:jc w:val="both"/>
        <w:rPr>
          <w:rFonts w:ascii="Verdana" w:eastAsia="Times New Roman" w:hAnsi="Verdana" w:cs="Arial"/>
          <w:sz w:val="20"/>
          <w:szCs w:val="20"/>
          <w:lang w:val="es-ES" w:eastAsia="es-CO"/>
        </w:rPr>
      </w:pPr>
      <w:r w:rsidRPr="00C55BDE">
        <w:rPr>
          <w:rFonts w:ascii="Verdana" w:eastAsia="Times New Roman" w:hAnsi="Verdana" w:cs="Arial"/>
          <w:sz w:val="20"/>
          <w:szCs w:val="20"/>
          <w:lang w:val="es-ES" w:eastAsia="es-CO"/>
        </w:rPr>
        <w:t>La jurisprudencia de la Corte Constitucional</w:t>
      </w:r>
      <w:r w:rsidRPr="00C55BDE">
        <w:rPr>
          <w:rFonts w:ascii="Verdana" w:eastAsia="Times New Roman" w:hAnsi="Verdana" w:cs="Arial"/>
          <w:sz w:val="20"/>
          <w:szCs w:val="20"/>
          <w:vertAlign w:val="superscript"/>
          <w:lang w:val="es-ES" w:eastAsia="es-CO"/>
        </w:rPr>
        <w:footnoteReference w:id="13"/>
      </w:r>
      <w:r w:rsidRPr="00C55BDE">
        <w:rPr>
          <w:rFonts w:ascii="Verdana" w:eastAsia="Times New Roman" w:hAnsi="Verdana" w:cs="Arial"/>
          <w:sz w:val="20"/>
          <w:szCs w:val="20"/>
          <w:lang w:val="es-ES" w:eastAsia="es-CO"/>
        </w:rPr>
        <w:t> y del Consejo de Estado</w:t>
      </w:r>
      <w:r w:rsidRPr="00C55BDE">
        <w:rPr>
          <w:rFonts w:ascii="Verdana" w:eastAsia="Times New Roman" w:hAnsi="Verdana" w:cs="Arial"/>
          <w:sz w:val="20"/>
          <w:szCs w:val="20"/>
          <w:vertAlign w:val="superscript"/>
          <w:lang w:val="es-ES" w:eastAsia="es-CO"/>
        </w:rPr>
        <w:footnoteReference w:id="14"/>
      </w:r>
      <w:r w:rsidRPr="00C55BDE">
        <w:rPr>
          <w:rFonts w:ascii="Verdana" w:eastAsia="Times New Roman" w:hAnsi="Verdana" w:cs="Arial"/>
          <w:sz w:val="20"/>
          <w:szCs w:val="20"/>
          <w:lang w:val="es-ES"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w:t>
      </w:r>
      <w:r w:rsidRPr="00C55BDE">
        <w:rPr>
          <w:rFonts w:ascii="Verdana" w:eastAsia="Times New Roman" w:hAnsi="Verdana" w:cs="Arial"/>
          <w:sz w:val="20"/>
          <w:szCs w:val="20"/>
          <w:lang w:val="es-ES" w:eastAsia="es-CO"/>
        </w:rPr>
        <w:lastRenderedPageBreak/>
        <w:t>o capacidad de obrar, sobrepasar sus precisos términos comporta el desconocimiento de la voluntad del legislador”</w:t>
      </w:r>
      <w:r w:rsidRPr="00C55BDE">
        <w:rPr>
          <w:rFonts w:ascii="Verdana" w:eastAsia="Times New Roman" w:hAnsi="Verdana" w:cs="Arial"/>
          <w:sz w:val="20"/>
          <w:szCs w:val="20"/>
          <w:vertAlign w:val="superscript"/>
          <w:lang w:val="es-ES" w:eastAsia="es-CO"/>
        </w:rPr>
        <w:footnoteReference w:id="15"/>
      </w:r>
      <w:r w:rsidRPr="00C55BDE">
        <w:rPr>
          <w:rFonts w:ascii="Verdana" w:eastAsia="Times New Roman" w:hAnsi="Verdana" w:cs="Arial"/>
          <w:sz w:val="20"/>
          <w:szCs w:val="20"/>
          <w:lang w:val="es-ES" w:eastAsia="es-CO"/>
        </w:rPr>
        <w:t>.</w:t>
      </w:r>
    </w:p>
    <w:p w14:paraId="4454DFD0" w14:textId="77777777" w:rsidR="00013201" w:rsidRPr="00C55BDE" w:rsidRDefault="00013201" w:rsidP="00013201">
      <w:pPr>
        <w:spacing w:after="0" w:line="276" w:lineRule="auto"/>
        <w:jc w:val="both"/>
        <w:rPr>
          <w:rFonts w:ascii="Verdana" w:hAnsi="Verdana" w:cs="Arial"/>
          <w:bCs/>
          <w:lang w:val="es-ES"/>
        </w:rPr>
      </w:pPr>
    </w:p>
    <w:p w14:paraId="071AFFB7" w14:textId="77777777" w:rsidR="00013201" w:rsidRPr="00C55BDE" w:rsidRDefault="00013201" w:rsidP="00013201">
      <w:pPr>
        <w:spacing w:after="120" w:line="276" w:lineRule="auto"/>
        <w:ind w:firstLine="709"/>
        <w:jc w:val="both"/>
        <w:rPr>
          <w:rFonts w:ascii="Verdana" w:eastAsia="Arial" w:hAnsi="Verdana" w:cs="Arial"/>
          <w:lang w:val="es-ES" w:eastAsia="es-ES" w:bidi="es-ES"/>
        </w:rPr>
      </w:pPr>
      <w:r w:rsidRPr="00C55BDE">
        <w:rPr>
          <w:rFonts w:ascii="Verdana" w:eastAsia="Times New Roman" w:hAnsi="Verdana" w:cs="Arial"/>
          <w:lang w:val="es-ES" w:eastAsia="es-CO"/>
        </w:rPr>
        <w:t>De</w:t>
      </w:r>
      <w:r w:rsidRPr="00C55BDE">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w:t>
      </w:r>
    </w:p>
    <w:p w14:paraId="31D0B818" w14:textId="77777777" w:rsidR="00013201" w:rsidRPr="00C55BDE" w:rsidRDefault="00013201" w:rsidP="00013201">
      <w:pPr>
        <w:spacing w:after="120" w:line="276" w:lineRule="auto"/>
        <w:ind w:firstLine="709"/>
        <w:jc w:val="both"/>
        <w:rPr>
          <w:rFonts w:ascii="Verdana" w:eastAsia="Arial" w:hAnsi="Verdana" w:cs="Arial"/>
          <w:lang w:val="es-ES" w:eastAsia="es-ES" w:bidi="es-ES"/>
        </w:rPr>
      </w:pPr>
      <w:r w:rsidRPr="00C55BDE">
        <w:rPr>
          <w:rFonts w:ascii="Verdana" w:eastAsia="Arial" w:hAnsi="Verdana" w:cs="Arial"/>
          <w:lang w:val="es-ES" w:eastAsia="es-ES" w:bidi="es-ES"/>
        </w:rPr>
        <w:t>En ese orden, las restricciones consagradas en la Ley de Garantías Electorales se dirigen a dos (2) tipos de campañas electorales diferenciadas: las presidenciales y las que se adelanten para la elección de los demás cargos de elección popular, tanto a nivel nacional como territorial.</w:t>
      </w:r>
    </w:p>
    <w:p w14:paraId="2F33356E" w14:textId="77777777" w:rsidR="00013201" w:rsidRPr="00C55BDE" w:rsidRDefault="00013201" w:rsidP="00013201">
      <w:pPr>
        <w:spacing w:after="120" w:line="276" w:lineRule="auto"/>
        <w:ind w:firstLine="708"/>
        <w:jc w:val="both"/>
        <w:rPr>
          <w:rFonts w:ascii="Verdana" w:hAnsi="Verdana" w:cs="Arial"/>
          <w:lang w:val="es-ES"/>
        </w:rPr>
      </w:pPr>
      <w:r w:rsidRPr="00C55BDE">
        <w:rPr>
          <w:rFonts w:ascii="Verdana" w:hAnsi="Verdana" w:cs="Arial"/>
          <w:lang w:val="es-ES"/>
        </w:rPr>
        <w:t xml:space="preserve">Por un lado, el </w:t>
      </w:r>
      <w:r w:rsidRPr="00C55BDE">
        <w:rPr>
          <w:rFonts w:ascii="Verdana" w:hAnsi="Verdana" w:cs="Arial"/>
          <w:i/>
          <w:iCs/>
          <w:lang w:val="es-ES"/>
        </w:rPr>
        <w:t xml:space="preserve">artículo 33 </w:t>
      </w:r>
      <w:r w:rsidRPr="00C55BDE">
        <w:rPr>
          <w:rFonts w:ascii="Verdana" w:hAnsi="Verdana" w:cs="Arial"/>
          <w:lang w:val="es-ES"/>
        </w:rPr>
        <w:t xml:space="preserve">de la Ley 996 de 2005 prohíbe “[…] la contratación directa por parte de </w:t>
      </w:r>
      <w:r w:rsidRPr="00C55BDE">
        <w:rPr>
          <w:rFonts w:ascii="Verdana" w:hAnsi="Verdana" w:cs="Arial"/>
          <w:i/>
          <w:iCs/>
          <w:lang w:val="es-ES"/>
        </w:rPr>
        <w:t>todos los entes del Estado</w:t>
      </w:r>
      <w:r w:rsidRPr="00C55BDE">
        <w:rPr>
          <w:rFonts w:ascii="Verdana" w:hAnsi="Verdana" w:cs="Arial"/>
          <w:lang w:val="es-ES"/>
        </w:rPr>
        <w:t xml:space="preserve">” durante los cuatro (4) meses anteriores a las </w:t>
      </w:r>
      <w:r w:rsidRPr="00C55BDE">
        <w:rPr>
          <w:rFonts w:ascii="Verdana" w:hAnsi="Verdana" w:cs="Arial"/>
          <w:i/>
          <w:iCs/>
          <w:lang w:val="es-ES"/>
        </w:rPr>
        <w:t>elecciones presidenciales</w:t>
      </w:r>
      <w:r w:rsidRPr="00C55BDE">
        <w:rPr>
          <w:rFonts w:ascii="Verdana" w:hAnsi="Verdana" w:cs="Arial"/>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55BDE">
        <w:rPr>
          <w:rFonts w:ascii="Verdana" w:hAnsi="Verdana" w:cs="Arial"/>
          <w:vertAlign w:val="superscript"/>
          <w:lang w:val="es-ES"/>
        </w:rPr>
        <w:footnoteReference w:id="16"/>
      </w:r>
      <w:r w:rsidRPr="00C55BDE">
        <w:rPr>
          <w:rFonts w:ascii="Verdana" w:hAnsi="Verdana" w:cs="Arial"/>
          <w:lang w:val="es-ES"/>
        </w:rPr>
        <w:t>.</w:t>
      </w:r>
    </w:p>
    <w:p w14:paraId="5A958617" w14:textId="77777777" w:rsidR="00013201" w:rsidRPr="00C55BDE" w:rsidRDefault="00013201" w:rsidP="00013201">
      <w:pPr>
        <w:widowControl w:val="0"/>
        <w:autoSpaceDE w:val="0"/>
        <w:autoSpaceDN w:val="0"/>
        <w:spacing w:after="120" w:line="276" w:lineRule="auto"/>
        <w:ind w:right="113" w:firstLine="709"/>
        <w:jc w:val="both"/>
        <w:rPr>
          <w:rFonts w:ascii="Verdana" w:eastAsia="Arial" w:hAnsi="Verdana" w:cs="Arial"/>
          <w:lang w:val="es-ES" w:eastAsia="es-ES" w:bidi="es-ES"/>
        </w:rPr>
      </w:pPr>
      <w:r w:rsidRPr="00C55BDE">
        <w:rPr>
          <w:rFonts w:ascii="Verdana" w:hAnsi="Verdana" w:cs="Arial"/>
          <w:lang w:val="es-ES"/>
        </w:rPr>
        <w:t xml:space="preserve">Por otro lado, </w:t>
      </w:r>
      <w:r w:rsidRPr="00C55BDE">
        <w:rPr>
          <w:rFonts w:ascii="Verdana" w:hAnsi="Verdana" w:cs="Arial"/>
          <w:i/>
          <w:iCs/>
          <w:lang w:val="es-ES"/>
        </w:rPr>
        <w:t xml:space="preserve">el parágrafo del artículo 38 </w:t>
      </w:r>
      <w:r w:rsidRPr="00C55BDE">
        <w:rPr>
          <w:rFonts w:ascii="Verdana" w:hAnsi="Verdana" w:cs="Arial"/>
          <w:lang w:val="es-ES"/>
        </w:rPr>
        <w:t xml:space="preserve">de la Ley 996 de 2005 prevé una restricción, aplicable respecto de </w:t>
      </w:r>
      <w:r w:rsidRPr="00C55BDE">
        <w:rPr>
          <w:rFonts w:ascii="Verdana" w:hAnsi="Verdana" w:cs="Arial"/>
          <w:i/>
          <w:iCs/>
          <w:lang w:val="es-ES"/>
        </w:rPr>
        <w:t>cualquier tipo de contienda electoral</w:t>
      </w:r>
      <w:r w:rsidRPr="00C55BDE">
        <w:rPr>
          <w:rFonts w:ascii="Verdana" w:hAnsi="Verdana" w:cs="Arial"/>
          <w:lang w:val="es-ES"/>
        </w:rPr>
        <w:t xml:space="preserve">, que prohíbe a los gobernadores, alcaldes municipales o distritales, secretarios, gerentes y directores de entidades descentralizadas del orden municipal, departamental o distrital “[…] celebrar convenios interadministrativos para la </w:t>
      </w:r>
      <w:r w:rsidRPr="00C55BDE">
        <w:rPr>
          <w:rFonts w:ascii="Verdana" w:hAnsi="Verdana" w:cs="Arial"/>
          <w:lang w:val="es-ES"/>
        </w:rPr>
        <w:lastRenderedPageBreak/>
        <w:t>ejecución de recursos públicos, ni participar, promover y destinar recursos públicos de las entidades a su cargo, como tampoco de las que participen como miembros de sus juntas directivas, en o para reuniones de carácter proselitista”</w:t>
      </w:r>
      <w:r w:rsidRPr="00C55BDE">
        <w:rPr>
          <w:rFonts w:ascii="Verdana" w:hAnsi="Verdana" w:cs="Arial"/>
          <w:vertAlign w:val="superscript"/>
          <w:lang w:val="es-ES"/>
        </w:rPr>
        <w:footnoteReference w:id="17"/>
      </w:r>
      <w:r w:rsidRPr="00C55BDE">
        <w:rPr>
          <w:rFonts w:ascii="Verdana" w:hAnsi="Verdana" w:cs="Arial"/>
          <w:lang w:val="es-ES"/>
        </w:rPr>
        <w:t>.</w:t>
      </w:r>
      <w:r w:rsidRPr="00C55BDE">
        <w:rPr>
          <w:rFonts w:ascii="Verdana" w:eastAsia="Arial" w:hAnsi="Verdana" w:cs="Arial"/>
          <w:lang w:val="es-ES" w:eastAsia="es-ES" w:bidi="es-ES"/>
        </w:rPr>
        <w:t xml:space="preserve"> </w:t>
      </w:r>
    </w:p>
    <w:p w14:paraId="354604FC" w14:textId="77777777" w:rsidR="00013201" w:rsidRPr="00C55BDE" w:rsidRDefault="00013201" w:rsidP="00013201">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C55BDE">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5A3A0F36" w14:textId="77777777" w:rsidR="00013201" w:rsidRPr="00C55BDE" w:rsidRDefault="00013201" w:rsidP="00013201">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00667864" w14:textId="77777777" w:rsidR="00013201" w:rsidRPr="00C55BDE" w:rsidRDefault="00013201" w:rsidP="00013201">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C55BDE">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C55BDE">
        <w:rPr>
          <w:rFonts w:ascii="Verdana" w:eastAsia="Arial" w:hAnsi="Verdana" w:cs="Arial"/>
          <w:sz w:val="20"/>
          <w:szCs w:val="20"/>
          <w:lang w:val="es-ES" w:eastAsia="es-ES" w:bidi="es-ES"/>
        </w:rPr>
        <w:t>Presidente</w:t>
      </w:r>
      <w:proofErr w:type="gramEnd"/>
      <w:r w:rsidRPr="00C55BDE">
        <w:rPr>
          <w:rFonts w:ascii="Verdana" w:eastAsia="Arial" w:hAnsi="Verdana" w:cs="Arial"/>
          <w:sz w:val="20"/>
          <w:szCs w:val="20"/>
          <w:lang w:val="es-ES" w:eastAsia="es-ES" w:bidi="es-ES"/>
        </w:rPr>
        <w:t xml:space="preserve"> de la República, a las autoridades territoriales allí mencionadas sólo se aplican las restricciones contenidas en el parágrafo del artículo 38”.</w:t>
      </w:r>
      <w:r w:rsidRPr="00C55BDE">
        <w:rPr>
          <w:rFonts w:ascii="Verdana" w:eastAsia="Arial" w:hAnsi="Verdana" w:cs="Arial"/>
          <w:sz w:val="20"/>
          <w:szCs w:val="20"/>
          <w:vertAlign w:val="superscript"/>
          <w:lang w:val="es-ES" w:eastAsia="es-ES" w:bidi="es-ES"/>
        </w:rPr>
        <w:footnoteReference w:id="18"/>
      </w:r>
    </w:p>
    <w:p w14:paraId="76254BC6" w14:textId="77777777" w:rsidR="00013201" w:rsidRPr="00C55BDE" w:rsidRDefault="00013201" w:rsidP="00013201">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p>
    <w:p w14:paraId="0FD8D4A9" w14:textId="77777777" w:rsidR="00013201" w:rsidRPr="00C55BDE" w:rsidRDefault="00013201" w:rsidP="00013201">
      <w:pPr>
        <w:spacing w:after="120" w:line="276" w:lineRule="auto"/>
        <w:ind w:firstLine="709"/>
        <w:jc w:val="both"/>
        <w:rPr>
          <w:rFonts w:ascii="Verdana" w:eastAsia="Arial" w:hAnsi="Verdana" w:cs="Arial"/>
          <w:lang w:val="es-ES" w:eastAsia="es-ES" w:bidi="es-ES"/>
        </w:rPr>
      </w:pPr>
      <w:r w:rsidRPr="00C55BDE">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C55BDE">
        <w:rPr>
          <w:rFonts w:ascii="Verdana" w:eastAsia="Arial" w:hAnsi="Verdana" w:cs="Arial"/>
          <w:i/>
          <w:lang w:val="es-ES" w:eastAsia="es-ES" w:bidi="es-ES"/>
        </w:rPr>
        <w:t>En primer lugar</w:t>
      </w:r>
      <w:r w:rsidRPr="00C55BDE">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w:t>
      </w:r>
      <w:r w:rsidRPr="00C55BDE">
        <w:rPr>
          <w:rFonts w:ascii="Verdana" w:eastAsia="Arial" w:hAnsi="Verdana" w:cs="Arial"/>
          <w:lang w:val="es-ES" w:eastAsia="es-ES" w:bidi="es-ES"/>
        </w:rPr>
        <w:lastRenderedPageBreak/>
        <w:t xml:space="preserve">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C55BDE">
        <w:rPr>
          <w:rFonts w:ascii="Verdana" w:eastAsia="Arial" w:hAnsi="Verdana" w:cs="Arial"/>
          <w:i/>
          <w:lang w:val="es-ES" w:eastAsia="es-ES" w:bidi="es-ES"/>
        </w:rPr>
        <w:t>En segundo lugar</w:t>
      </w:r>
      <w:r w:rsidRPr="00C55BDE">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0C62FE49" w14:textId="77777777" w:rsidR="00013201" w:rsidRPr="00C55BDE" w:rsidRDefault="00013201" w:rsidP="00013201">
      <w:pPr>
        <w:spacing w:after="120" w:line="276" w:lineRule="auto"/>
        <w:ind w:firstLine="709"/>
        <w:jc w:val="both"/>
        <w:rPr>
          <w:rFonts w:ascii="Verdana" w:eastAsia="Arial" w:hAnsi="Verdana" w:cs="Arial"/>
          <w:lang w:val="es-ES" w:eastAsia="es-ES" w:bidi="es-ES"/>
        </w:rPr>
      </w:pPr>
      <w:r w:rsidRPr="00C55BDE">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C55BDE">
        <w:rPr>
          <w:rFonts w:ascii="Verdana" w:eastAsia="Arial" w:hAnsi="Verdana" w:cs="Arial"/>
          <w:lang w:val="es-ES" w:eastAsia="es-ES" w:bidi="es-ES"/>
        </w:rPr>
        <w:t>Presidente</w:t>
      </w:r>
      <w:proofErr w:type="gramEnd"/>
      <w:r w:rsidRPr="00C55BDE">
        <w:rPr>
          <w:rFonts w:ascii="Verdana" w:eastAsia="Arial" w:hAnsi="Verdana" w:cs="Arial"/>
          <w:lang w:val="es-ES"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C55BDE">
        <w:rPr>
          <w:rFonts w:ascii="Verdana" w:eastAsia="Arial" w:hAnsi="Verdana" w:cs="Arial"/>
          <w:lang w:val="es-ES" w:eastAsia="es-ES" w:bidi="es-ES"/>
        </w:rPr>
        <w:t>Presidente</w:t>
      </w:r>
      <w:proofErr w:type="gramEnd"/>
      <w:r w:rsidRPr="00C55BDE">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4CC1F469" w14:textId="77777777" w:rsidR="00013201" w:rsidRPr="00C55BDE" w:rsidRDefault="00013201" w:rsidP="00013201">
      <w:pPr>
        <w:spacing w:after="120" w:line="276" w:lineRule="auto"/>
        <w:ind w:firstLine="709"/>
        <w:jc w:val="both"/>
        <w:rPr>
          <w:rFonts w:ascii="Verdana" w:eastAsia="Arial" w:hAnsi="Verdana" w:cs="Arial"/>
          <w:lang w:val="es-ES" w:eastAsia="es-ES" w:bidi="es-ES"/>
        </w:rPr>
      </w:pPr>
      <w:r w:rsidRPr="00C55BDE">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C55BDE">
        <w:rPr>
          <w:rFonts w:ascii="Verdana" w:eastAsia="Arial" w:hAnsi="Verdana" w:cs="Arial"/>
          <w:lang w:val="es-ES" w:eastAsia="es-ES" w:bidi="es-ES"/>
        </w:rPr>
        <w:t>Presidente</w:t>
      </w:r>
      <w:proofErr w:type="gramEnd"/>
      <w:r w:rsidRPr="00C55BDE">
        <w:rPr>
          <w:rFonts w:ascii="Verdana" w:eastAsia="Arial" w:hAnsi="Verdana" w:cs="Arial"/>
          <w:lang w:val="es-ES" w:eastAsia="es-ES" w:bidi="es-ES"/>
        </w:rPr>
        <w:t xml:space="preserve"> o el </w:t>
      </w:r>
      <w:proofErr w:type="gramStart"/>
      <w:r w:rsidRPr="00C55BDE">
        <w:rPr>
          <w:rFonts w:ascii="Verdana" w:eastAsia="Arial" w:hAnsi="Verdana" w:cs="Arial"/>
          <w:lang w:val="es-ES" w:eastAsia="es-ES" w:bidi="es-ES"/>
        </w:rPr>
        <w:t>Vicepresidente</w:t>
      </w:r>
      <w:proofErr w:type="gramEnd"/>
      <w:r w:rsidRPr="00C55BDE">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C55BDE">
        <w:rPr>
          <w:rFonts w:ascii="Verdana" w:eastAsia="Arial" w:hAnsi="Verdana" w:cs="Arial"/>
          <w:lang w:val="es-ES" w:eastAsia="es-ES" w:bidi="es-ES"/>
        </w:rPr>
        <w:t>Presidente</w:t>
      </w:r>
      <w:proofErr w:type="gramEnd"/>
      <w:r w:rsidRPr="00C55BDE">
        <w:rPr>
          <w:rFonts w:ascii="Verdana" w:eastAsia="Arial" w:hAnsi="Verdana" w:cs="Arial"/>
          <w:lang w:val="es-ES" w:eastAsia="es-ES" w:bidi="es-ES"/>
        </w:rPr>
        <w:t xml:space="preserve"> y el </w:t>
      </w:r>
      <w:proofErr w:type="gramStart"/>
      <w:r w:rsidRPr="00C55BDE">
        <w:rPr>
          <w:rFonts w:ascii="Verdana" w:eastAsia="Arial" w:hAnsi="Verdana" w:cs="Arial"/>
          <w:lang w:val="es-ES" w:eastAsia="es-ES" w:bidi="es-ES"/>
        </w:rPr>
        <w:t>Vicepresidente</w:t>
      </w:r>
      <w:proofErr w:type="gramEnd"/>
      <w:r w:rsidRPr="00C55BDE">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C55BDE">
        <w:rPr>
          <w:rFonts w:ascii="Verdana" w:eastAsia="Arial" w:hAnsi="Verdana" w:cs="Arial"/>
          <w:lang w:val="es-ES" w:eastAsia="es-ES" w:bidi="es-ES"/>
        </w:rPr>
        <w:t>Vicepresidente</w:t>
      </w:r>
      <w:proofErr w:type="gramEnd"/>
      <w:r w:rsidRPr="00C55BDE">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47CA3B55" w14:textId="77777777" w:rsidR="00013201" w:rsidRPr="00C55BDE" w:rsidRDefault="00013201" w:rsidP="00013201">
      <w:pPr>
        <w:spacing w:after="120" w:line="276" w:lineRule="auto"/>
        <w:jc w:val="both"/>
        <w:rPr>
          <w:rFonts w:ascii="Verdana" w:hAnsi="Verdana" w:cs="Arial"/>
          <w:lang w:val="es-ES"/>
        </w:rPr>
      </w:pPr>
      <w:proofErr w:type="spellStart"/>
      <w:r>
        <w:rPr>
          <w:rFonts w:ascii="Verdana" w:hAnsi="Verdana" w:cs="Arial"/>
          <w:lang w:val="es-ES"/>
        </w:rPr>
        <w:t>iv</w:t>
      </w:r>
      <w:proofErr w:type="spellEnd"/>
      <w:r>
        <w:rPr>
          <w:rFonts w:ascii="Verdana" w:hAnsi="Verdana" w:cs="Arial"/>
          <w:lang w:val="es-ES"/>
        </w:rPr>
        <w:t xml:space="preserve">. </w:t>
      </w:r>
      <w:r w:rsidRPr="00C55BDE">
        <w:rPr>
          <w:rFonts w:ascii="Verdana" w:hAnsi="Verdana" w:cs="Arial"/>
          <w:lang w:val="es-ES"/>
        </w:rPr>
        <w:t xml:space="preserve">Ahora bien, para proceder a dar respuesta a la consulta elevada, debe indicarse que respecto del alcance del parágrafo </w:t>
      </w:r>
      <w:r w:rsidRPr="00C55BDE">
        <w:rPr>
          <w:rFonts w:ascii="Verdana" w:hAnsi="Verdana" w:cs="Arial"/>
        </w:rPr>
        <w:t xml:space="preserve">del artículo 38 de la Ley 996 de 2005, esta prohibición dispone en primera medida que: “[l]os Gobernadores, Alcaldes Municipales y/o Distritales, Secretarios, Gerentes y directores de Entidades Descentralizadas del orden Municipal, Departamental o Distrital, </w:t>
      </w:r>
      <w:r w:rsidRPr="00C55BDE">
        <w:rPr>
          <w:rFonts w:ascii="Verdana" w:hAnsi="Verdana" w:cs="Arial"/>
        </w:rPr>
        <w:lastRenderedPageBreak/>
        <w:t xml:space="preserve">dentro de los cuatro (4) meses anteriores a las elecciones, no podrán celebrar </w:t>
      </w:r>
      <w:r w:rsidRPr="00C55BDE">
        <w:rPr>
          <w:rFonts w:ascii="Verdana" w:hAnsi="Verdana" w:cs="Arial"/>
          <w:i/>
          <w:iCs/>
        </w:rPr>
        <w:t>convenios interadministrativos</w:t>
      </w:r>
      <w:r w:rsidRPr="00C55BDE">
        <w:rPr>
          <w:rFonts w:ascii="Verdana" w:hAnsi="Verdana" w:cs="Arial"/>
        </w:rPr>
        <w:t xml:space="preserve"> </w:t>
      </w:r>
      <w:r w:rsidRPr="00C55BDE">
        <w:rPr>
          <w:rFonts w:ascii="Verdana" w:hAnsi="Verdana" w:cs="Arial"/>
          <w:i/>
          <w:iCs/>
        </w:rPr>
        <w:t>para la ejecución de recursos públicos</w:t>
      </w:r>
      <w:r w:rsidRPr="00C55BDE">
        <w:rPr>
          <w:rFonts w:ascii="Verdana" w:hAnsi="Verdana" w:cs="Arial"/>
        </w:rPr>
        <w:t>”.</w:t>
      </w:r>
      <w:r w:rsidRPr="00C55BDE">
        <w:rPr>
          <w:rFonts w:ascii="Verdana" w:eastAsia="Times New Roman" w:hAnsi="Verdana" w:cs="Arial"/>
          <w:lang w:val="es-MX" w:eastAsia="x-none"/>
        </w:rPr>
        <w:t xml:space="preserve"> [Énfasis fuera del texto original]</w:t>
      </w:r>
    </w:p>
    <w:p w14:paraId="345307E4" w14:textId="77777777" w:rsidR="00013201" w:rsidRPr="00C55BDE" w:rsidRDefault="00013201" w:rsidP="00013201">
      <w:pPr>
        <w:spacing w:after="120" w:line="276" w:lineRule="auto"/>
        <w:ind w:firstLine="709"/>
        <w:jc w:val="both"/>
        <w:rPr>
          <w:rFonts w:ascii="Verdana" w:hAnsi="Verdana" w:cs="Arial"/>
          <w:lang w:eastAsia="es-ES"/>
        </w:rPr>
      </w:pPr>
      <w:r w:rsidRPr="00C55BDE">
        <w:rPr>
          <w:rFonts w:ascii="Verdana" w:eastAsia="Times New Roman" w:hAnsi="Verdana" w:cs="Arial"/>
          <w:lang w:val="es-ES" w:eastAsia="es-ES"/>
        </w:rPr>
        <w:t xml:space="preserve">Para tales efectos, debe precisarse que </w:t>
      </w:r>
      <w:r w:rsidRPr="00C55BDE">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C55BDE">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C55BDE">
        <w:rPr>
          <w:rFonts w:ascii="Verdana" w:hAnsi="Verdana" w:cs="Arial"/>
          <w:vertAlign w:val="superscript"/>
          <w:lang w:eastAsia="es-ES"/>
        </w:rPr>
        <w:footnoteReference w:id="19"/>
      </w:r>
      <w:r w:rsidRPr="00C55BDE">
        <w:rPr>
          <w:rFonts w:ascii="Verdana" w:hAnsi="Verdana" w:cs="Arial"/>
          <w:lang w:eastAsia="es-ES"/>
        </w:rPr>
        <w:t>.</w:t>
      </w:r>
    </w:p>
    <w:p w14:paraId="706291C3" w14:textId="77777777" w:rsidR="00013201" w:rsidRPr="00C55BDE" w:rsidRDefault="00013201" w:rsidP="00013201">
      <w:pPr>
        <w:spacing w:after="120" w:line="276" w:lineRule="auto"/>
        <w:ind w:firstLine="709"/>
        <w:jc w:val="both"/>
        <w:rPr>
          <w:rFonts w:ascii="Verdana" w:hAnsi="Verdana" w:cs="Arial"/>
          <w:color w:val="000000" w:themeColor="text1"/>
          <w:lang w:val="es-ES_tradnl"/>
        </w:rPr>
      </w:pPr>
      <w:r w:rsidRPr="00C55BDE">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107EE12D" w14:textId="77777777" w:rsidR="00013201" w:rsidRPr="00C55BDE" w:rsidRDefault="00013201" w:rsidP="00013201">
      <w:pPr>
        <w:spacing w:before="120" w:after="0" w:line="276" w:lineRule="auto"/>
        <w:ind w:firstLine="708"/>
        <w:jc w:val="both"/>
        <w:rPr>
          <w:rFonts w:ascii="Verdana" w:hAnsi="Verdana" w:cs="Arial"/>
          <w:lang w:val="es-ES_tradnl"/>
        </w:rPr>
      </w:pPr>
      <w:r w:rsidRPr="00C55BDE">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C55BDE">
        <w:rPr>
          <w:rFonts w:ascii="Verdana" w:hAnsi="Verdana" w:cs="Arial"/>
          <w:vertAlign w:val="superscript"/>
          <w:lang w:val="es-ES"/>
        </w:rPr>
        <w:footnoteReference w:id="20"/>
      </w:r>
      <w:r w:rsidRPr="00C55BDE">
        <w:rPr>
          <w:rFonts w:ascii="Verdana" w:hAnsi="Verdana" w:cs="Arial"/>
          <w:lang w:val="es-ES"/>
        </w:rPr>
        <w:t>. Nótese que, en este caso, lo que cambia es la modalidad de selección y no la naturaleza de contrato interadministrativo.</w:t>
      </w:r>
    </w:p>
    <w:p w14:paraId="6E912E39" w14:textId="77777777" w:rsidR="00013201" w:rsidRPr="00C55BDE" w:rsidRDefault="00013201" w:rsidP="00013201">
      <w:pPr>
        <w:spacing w:before="120" w:after="0" w:line="276" w:lineRule="auto"/>
        <w:ind w:firstLine="708"/>
        <w:jc w:val="both"/>
        <w:rPr>
          <w:rFonts w:ascii="Verdana" w:hAnsi="Verdana" w:cs="Arial"/>
          <w:lang w:val="es-ES_tradnl"/>
        </w:rPr>
      </w:pPr>
      <w:r w:rsidRPr="00C55BDE">
        <w:rPr>
          <w:rFonts w:ascii="Verdana" w:hAnsi="Verdana" w:cs="Arial"/>
          <w:lang w:val="es-ES"/>
        </w:rPr>
        <w:lastRenderedPageBreak/>
        <w:t>Además, es necesario tener en cuenta que para que un contrato o convenio interadministrativo exista debe cumplir con los siguientes elementos: acuerdo sobre el objeto y la contraprestación y que conste por escrito</w:t>
      </w:r>
      <w:r w:rsidRPr="00C55BDE">
        <w:rPr>
          <w:rFonts w:ascii="Verdana" w:hAnsi="Verdana" w:cs="Arial"/>
          <w:vertAlign w:val="superscript"/>
          <w:lang w:val="es-ES"/>
        </w:rPr>
        <w:footnoteReference w:id="21"/>
      </w:r>
      <w:r w:rsidRPr="00C55BDE">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52A7275C" w14:textId="77777777" w:rsidR="00013201" w:rsidRPr="00C55BDE" w:rsidRDefault="00013201" w:rsidP="00013201">
      <w:pPr>
        <w:spacing w:before="120" w:after="0" w:line="276" w:lineRule="auto"/>
        <w:ind w:firstLine="708"/>
        <w:jc w:val="both"/>
        <w:rPr>
          <w:rFonts w:ascii="Verdana" w:hAnsi="Verdana"/>
          <w:sz w:val="24"/>
          <w:szCs w:val="24"/>
          <w:lang w:eastAsia="es-CO"/>
        </w:rPr>
      </w:pPr>
      <w:r w:rsidRPr="00C55BDE">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00C55BDE">
        <w:rPr>
          <w:rFonts w:ascii="Verdana" w:hAnsi="Verdana" w:cs="Arial"/>
          <w:vertAlign w:val="superscript"/>
          <w:lang w:val="es-ES"/>
        </w:rPr>
        <w:footnoteReference w:id="22"/>
      </w:r>
      <w:r w:rsidRPr="00C55BDE">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C55BDE">
        <w:rPr>
          <w:rFonts w:ascii="Verdana" w:hAnsi="Verdana"/>
          <w:sz w:val="24"/>
          <w:szCs w:val="24"/>
          <w:lang w:eastAsia="es-CO"/>
        </w:rPr>
        <w:t>.</w:t>
      </w:r>
    </w:p>
    <w:p w14:paraId="719DC890" w14:textId="77777777" w:rsidR="00013201" w:rsidRPr="00C55BDE" w:rsidRDefault="00013201" w:rsidP="00013201">
      <w:pPr>
        <w:spacing w:before="120" w:after="0" w:line="276" w:lineRule="auto"/>
        <w:ind w:firstLine="708"/>
        <w:jc w:val="both"/>
        <w:rPr>
          <w:rFonts w:ascii="Verdana" w:eastAsia="Times New Roman" w:hAnsi="Verdana" w:cs="Arial"/>
          <w:lang w:val="es-MX" w:eastAsia="es-CO"/>
        </w:rPr>
      </w:pPr>
      <w:r w:rsidRPr="00C55BDE">
        <w:rPr>
          <w:rFonts w:ascii="Verdana" w:eastAsia="Arial" w:hAnsi="Verdana" w:cs="Arial"/>
          <w:lang w:val="es-MX" w:eastAsia="es-ES" w:bidi="es-ES"/>
        </w:rPr>
        <w:t>De esta manera, se</w:t>
      </w:r>
      <w:r w:rsidRPr="00C55BDE">
        <w:rPr>
          <w:rFonts w:ascii="Verdana" w:eastAsia="Times New Roman" w:hAnsi="Verdana" w:cs="Arial"/>
          <w:lang w:eastAsia="es-CO"/>
        </w:rPr>
        <w:t xml:space="preserve"> observa entonces que </w:t>
      </w:r>
      <w:r w:rsidRPr="00C55BDE">
        <w:rPr>
          <w:rFonts w:ascii="Verdana" w:eastAsia="Times New Roman" w:hAnsi="Verdana" w:cs="Arial"/>
          <w:lang w:val="es-MX" w:eastAsia="es-CO"/>
        </w:rPr>
        <w:t xml:space="preserve">el parágrafo del artículo 38 de la Ley 996 de 2005 prohíbe a los </w:t>
      </w:r>
      <w:proofErr w:type="gramStart"/>
      <w:r w:rsidRPr="00C55BDE">
        <w:rPr>
          <w:rFonts w:ascii="Verdana" w:eastAsia="Times New Roman" w:hAnsi="Verdana" w:cs="Arial"/>
          <w:lang w:val="es-MX" w:eastAsia="es-CO"/>
        </w:rPr>
        <w:t>Alcaldes</w:t>
      </w:r>
      <w:proofErr w:type="gramEnd"/>
      <w:r w:rsidRPr="00C55BDE">
        <w:rPr>
          <w:rFonts w:ascii="Verdana" w:eastAsia="Times New Roman" w:hAnsi="Verdana" w:cs="Arial"/>
          <w:lang w:val="es-MX" w:eastAsia="es-CO"/>
        </w:rPr>
        <w:t xml:space="preserve">, Gobernadores, </w:t>
      </w:r>
      <w:proofErr w:type="gramStart"/>
      <w:r w:rsidRPr="00C55BDE">
        <w:rPr>
          <w:rFonts w:ascii="Verdana" w:eastAsia="Times New Roman" w:hAnsi="Verdana" w:cs="Arial"/>
          <w:lang w:val="es-MX" w:eastAsia="es-CO"/>
        </w:rPr>
        <w:t>Secretarios</w:t>
      </w:r>
      <w:proofErr w:type="gramEnd"/>
      <w:r w:rsidRPr="00C55BDE">
        <w:rPr>
          <w:rFonts w:ascii="Verdana" w:eastAsia="Times New Roman" w:hAnsi="Verdana" w:cs="Arial"/>
          <w:lang w:val="es-MX" w:eastAsia="es-CO"/>
        </w:rPr>
        <w:t xml:space="preserve">, Gerentes y </w:t>
      </w:r>
      <w:proofErr w:type="gramStart"/>
      <w:r w:rsidRPr="00C55BDE">
        <w:rPr>
          <w:rFonts w:ascii="Verdana" w:eastAsia="Times New Roman" w:hAnsi="Verdana" w:cs="Arial"/>
          <w:lang w:val="es-MX" w:eastAsia="es-CO"/>
        </w:rPr>
        <w:t>Directores</w:t>
      </w:r>
      <w:proofErr w:type="gramEnd"/>
      <w:r w:rsidRPr="00C55BDE">
        <w:rPr>
          <w:rFonts w:ascii="Verdana" w:eastAsia="Times New Roman" w:hAnsi="Verdana" w:cs="Arial"/>
          <w:lang w:val="es-MX" w:eastAsia="es-CO"/>
        </w:rPr>
        <w:t xml:space="preserve"> de las entidades del orden municipal, departamental o distrital celebrar </w:t>
      </w:r>
      <w:r w:rsidRPr="00C55BDE">
        <w:rPr>
          <w:rFonts w:ascii="Verdana" w:eastAsia="Times New Roman" w:hAnsi="Verdana" w:cs="Arial"/>
          <w:i/>
          <w:iCs/>
          <w:lang w:val="es-MX" w:eastAsia="es-CO"/>
        </w:rPr>
        <w:t>convenios interadministrativos</w:t>
      </w:r>
      <w:r w:rsidRPr="00C55BDE">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C55BDE">
        <w:rPr>
          <w:rFonts w:ascii="Verdana" w:eastAsia="Times New Roman" w:hAnsi="Verdana" w:cs="Arial"/>
          <w:i/>
          <w:lang w:val="es-MX" w:eastAsia="es-CO"/>
        </w:rPr>
        <w:t>ibidem</w:t>
      </w:r>
      <w:r w:rsidRPr="00C55BDE">
        <w:rPr>
          <w:rFonts w:ascii="Verdana" w:eastAsia="Times New Roman" w:hAnsi="Verdana" w:cs="Arial"/>
          <w:lang w:val="es-MX" w:eastAsia="es-CO"/>
        </w:rPr>
        <w:t xml:space="preserve">, no podrá celebrar tales </w:t>
      </w:r>
      <w:r w:rsidRPr="00C55BDE">
        <w:rPr>
          <w:rFonts w:ascii="Verdana" w:eastAsia="Times New Roman" w:hAnsi="Verdana" w:cs="Arial"/>
          <w:i/>
          <w:iCs/>
          <w:lang w:val="es-MX" w:eastAsia="es-CO"/>
        </w:rPr>
        <w:t>convenios</w:t>
      </w:r>
      <w:r w:rsidRPr="00C55BDE">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4D243BD7" w14:textId="77777777" w:rsidR="00013201" w:rsidRDefault="00013201" w:rsidP="00013201">
      <w:pPr>
        <w:spacing w:before="120" w:after="0" w:line="276" w:lineRule="auto"/>
        <w:ind w:firstLine="708"/>
        <w:jc w:val="both"/>
        <w:rPr>
          <w:rFonts w:ascii="Verdana" w:eastAsia="Times New Roman" w:hAnsi="Verdana" w:cs="Arial"/>
          <w:lang w:eastAsia="es-CO"/>
        </w:rPr>
      </w:pPr>
      <w:r w:rsidRPr="00C55BDE">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C55BDE">
        <w:rPr>
          <w:rFonts w:ascii="Verdana" w:eastAsia="Times New Roman" w:hAnsi="Verdana" w:cs="Arial"/>
          <w:lang w:val="es-MX" w:eastAsia="es-CO"/>
        </w:rPr>
        <w:t>ii</w:t>
      </w:r>
      <w:proofErr w:type="spellEnd"/>
      <w:r w:rsidRPr="00C55BDE">
        <w:rPr>
          <w:rFonts w:ascii="Verdana" w:eastAsia="Times New Roman" w:hAnsi="Verdana" w:cs="Arial"/>
          <w:lang w:val="es-MX" w:eastAsia="es-CO"/>
        </w:rPr>
        <w:t xml:space="preserve">) y </w:t>
      </w:r>
      <w:proofErr w:type="spellStart"/>
      <w:r w:rsidRPr="00C55BDE">
        <w:rPr>
          <w:rFonts w:ascii="Verdana" w:eastAsia="Times New Roman" w:hAnsi="Verdana" w:cs="Arial"/>
          <w:lang w:val="es-MX" w:eastAsia="es-CO"/>
        </w:rPr>
        <w:t>iv</w:t>
      </w:r>
      <w:proofErr w:type="spellEnd"/>
      <w:r w:rsidRPr="00C55BDE">
        <w:rPr>
          <w:rFonts w:ascii="Verdana" w:eastAsia="Times New Roman" w:hAnsi="Verdana" w:cs="Arial"/>
          <w:lang w:val="es-MX" w:eastAsia="es-CO"/>
        </w:rPr>
        <w:t>) del numeral 2</w:t>
      </w:r>
      <w:r w:rsidRPr="00C55BDE">
        <w:rPr>
          <w:rFonts w:ascii="Verdana" w:eastAsia="Times New Roman" w:hAnsi="Verdana" w:cs="Arial"/>
          <w:lang w:eastAsia="es-CO"/>
        </w:rPr>
        <w:t>,</w:t>
      </w:r>
      <w:r w:rsidRPr="00C55BDE">
        <w:rPr>
          <w:rFonts w:ascii="Verdana" w:eastAsia="Times New Roman" w:hAnsi="Verdana" w:cs="Arial"/>
          <w:lang w:val="es-MX" w:eastAsia="es-CO"/>
        </w:rPr>
        <w:t xml:space="preserve"> indica que el </w:t>
      </w:r>
      <w:r w:rsidRPr="00C55BDE">
        <w:rPr>
          <w:rFonts w:ascii="Verdana" w:eastAsia="Times New Roman" w:hAnsi="Verdana" w:cs="Arial"/>
          <w:lang w:eastAsia="es-CO"/>
        </w:rPr>
        <w:t xml:space="preserve">parágrafo del artículo 38 de la Ley 996 de 2005 cobija expresamente a los </w:t>
      </w:r>
      <w:r w:rsidRPr="00C55BDE">
        <w:rPr>
          <w:rFonts w:ascii="Verdana" w:eastAsia="Times New Roman" w:hAnsi="Verdana" w:cs="Arial"/>
          <w:i/>
          <w:iCs/>
          <w:lang w:eastAsia="es-CO"/>
        </w:rPr>
        <w:t>convenios interadministrativos</w:t>
      </w:r>
      <w:r w:rsidRPr="00C55BDE">
        <w:rPr>
          <w:rFonts w:ascii="Verdana" w:eastAsia="Times New Roman" w:hAnsi="Verdana" w:cs="Arial"/>
          <w:lang w:eastAsia="es-CO"/>
        </w:rPr>
        <w:t xml:space="preserve"> en los que se contemple la ejecución de </w:t>
      </w:r>
      <w:r w:rsidRPr="00C55BDE">
        <w:rPr>
          <w:rFonts w:ascii="Verdana" w:eastAsia="Times New Roman" w:hAnsi="Verdana" w:cs="Arial"/>
          <w:lang w:eastAsia="es-CO"/>
        </w:rPr>
        <w:lastRenderedPageBreak/>
        <w:t xml:space="preserve">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C55BDE">
        <w:rPr>
          <w:rFonts w:ascii="Verdana" w:eastAsia="Times New Roman" w:hAnsi="Verdana" w:cs="Arial"/>
          <w:i/>
          <w:iCs/>
          <w:lang w:eastAsia="es-CO"/>
        </w:rPr>
        <w:t>“aunque se configure alguno de los supuestos de excepción que señaló el inciso final del artículo 33”.</w:t>
      </w:r>
      <w:r w:rsidRPr="00C55BDE">
        <w:rPr>
          <w:rFonts w:ascii="Verdana" w:eastAsia="Times New Roman" w:hAnsi="Verdana" w:cs="Arial"/>
          <w:lang w:eastAsia="es-CO"/>
        </w:rPr>
        <w:t xml:space="preserve"> </w:t>
      </w:r>
    </w:p>
    <w:p w14:paraId="021886F1" w14:textId="77777777" w:rsidR="00013201" w:rsidRPr="00C55BDE" w:rsidRDefault="00013201" w:rsidP="00013201">
      <w:pPr>
        <w:spacing w:before="120" w:after="0" w:line="276" w:lineRule="auto"/>
        <w:ind w:firstLine="708"/>
        <w:jc w:val="both"/>
        <w:rPr>
          <w:rFonts w:ascii="Verdana" w:eastAsia="Times New Roman" w:hAnsi="Verdana" w:cs="Arial"/>
          <w:lang w:eastAsia="es-CO"/>
        </w:rPr>
      </w:pPr>
      <w:r>
        <w:rPr>
          <w:rFonts w:ascii="Verdana" w:eastAsia="Times New Roman" w:hAnsi="Verdana" w:cs="Arial"/>
          <w:lang w:eastAsia="es-CO"/>
        </w:rPr>
        <w:t xml:space="preserve">Asimismo, respecto de los sujetos </w:t>
      </w:r>
      <w:r w:rsidRPr="005173C4">
        <w:rPr>
          <w:rFonts w:ascii="Verdana" w:eastAsia="Times New Roman" w:hAnsi="Verdana" w:cs="Arial"/>
          <w:lang w:eastAsia="es-CO"/>
        </w:rPr>
        <w:t>que tienen prohibido celebrar convenios interadministrativos</w:t>
      </w:r>
      <w:r>
        <w:rPr>
          <w:rFonts w:ascii="Verdana" w:eastAsia="Times New Roman" w:hAnsi="Verdana" w:cs="Arial"/>
          <w:lang w:eastAsia="es-CO"/>
        </w:rPr>
        <w:t xml:space="preserve"> se precisa que</w:t>
      </w:r>
      <w:r w:rsidRPr="005173C4">
        <w:rPr>
          <w:rFonts w:ascii="Verdana" w:eastAsia="Times New Roman" w:hAnsi="Verdana" w:cs="Arial"/>
          <w:lang w:eastAsia="es-CO"/>
        </w:rPr>
        <w:t xml:space="preserve"> </w:t>
      </w:r>
      <w:r>
        <w:rPr>
          <w:rFonts w:ascii="Verdana" w:eastAsia="Times New Roman" w:hAnsi="Verdana" w:cs="Arial"/>
          <w:lang w:eastAsia="es-CO"/>
        </w:rPr>
        <w:t>“l</w:t>
      </w:r>
      <w:r w:rsidRPr="005173C4">
        <w:rPr>
          <w:rFonts w:ascii="Verdana" w:eastAsia="Times New Roman" w:hAnsi="Verdana" w:cs="Arial"/>
          <w:lang w:eastAsia="es-CO"/>
        </w:rPr>
        <w:t xml:space="preserve">a norma señala expresamente los sujetos a quienes aplica la prohibición, es decir: a los </w:t>
      </w:r>
      <w:proofErr w:type="gramStart"/>
      <w:r w:rsidRPr="00C54178">
        <w:rPr>
          <w:rFonts w:ascii="Verdana" w:eastAsia="Times New Roman" w:hAnsi="Verdana" w:cs="Arial"/>
          <w:i/>
          <w:iCs/>
          <w:lang w:eastAsia="es-CO"/>
        </w:rPr>
        <w:t>Alcaldes</w:t>
      </w:r>
      <w:proofErr w:type="gramEnd"/>
      <w:r w:rsidRPr="00C54178">
        <w:rPr>
          <w:rFonts w:ascii="Verdana" w:eastAsia="Times New Roman" w:hAnsi="Verdana" w:cs="Arial"/>
          <w:i/>
          <w:iCs/>
          <w:lang w:eastAsia="es-CO"/>
        </w:rPr>
        <w:t xml:space="preserve">, Gobernadores, </w:t>
      </w:r>
      <w:proofErr w:type="gramStart"/>
      <w:r w:rsidRPr="00C54178">
        <w:rPr>
          <w:rFonts w:ascii="Verdana" w:eastAsia="Times New Roman" w:hAnsi="Verdana" w:cs="Arial"/>
          <w:i/>
          <w:iCs/>
          <w:lang w:eastAsia="es-CO"/>
        </w:rPr>
        <w:t>Secretarios</w:t>
      </w:r>
      <w:proofErr w:type="gramEnd"/>
      <w:r w:rsidRPr="00C54178">
        <w:rPr>
          <w:rFonts w:ascii="Verdana" w:eastAsia="Times New Roman" w:hAnsi="Verdana" w:cs="Arial"/>
          <w:i/>
          <w:iCs/>
          <w:lang w:eastAsia="es-CO"/>
        </w:rPr>
        <w:t xml:space="preserve">, Gerentes y </w:t>
      </w:r>
      <w:proofErr w:type="gramStart"/>
      <w:r w:rsidRPr="00C54178">
        <w:rPr>
          <w:rFonts w:ascii="Verdana" w:eastAsia="Times New Roman" w:hAnsi="Verdana" w:cs="Arial"/>
          <w:i/>
          <w:iCs/>
          <w:lang w:eastAsia="es-CO"/>
        </w:rPr>
        <w:t>Directores</w:t>
      </w:r>
      <w:proofErr w:type="gramEnd"/>
      <w:r w:rsidRPr="00C54178">
        <w:rPr>
          <w:rFonts w:ascii="Verdana" w:eastAsia="Times New Roman" w:hAnsi="Verdana" w:cs="Arial"/>
          <w:i/>
          <w:iCs/>
          <w:lang w:eastAsia="es-CO"/>
        </w:rPr>
        <w:t xml:space="preserve"> de las entidades descentralizadas del orden municipal, departamental o distrital</w:t>
      </w:r>
      <w:r w:rsidRPr="005173C4">
        <w:rPr>
          <w:rFonts w:ascii="Verdana" w:eastAsia="Times New Roman" w:hAnsi="Verdana" w:cs="Arial"/>
          <w:lang w:eastAsia="es-CO"/>
        </w:rPr>
        <w:t xml:space="preserve">. En consecuencia, no se extiende a sujetos adicionales o distintos a los referidos, </w:t>
      </w:r>
      <w:r w:rsidRPr="000673BA">
        <w:rPr>
          <w:rFonts w:ascii="Verdana" w:eastAsia="Times New Roman" w:hAnsi="Verdana" w:cs="Arial"/>
          <w:i/>
          <w:iCs/>
          <w:lang w:eastAsia="es-CO"/>
        </w:rPr>
        <w:t>de modo que no cobija a todos los entes públicos que tienen la facultad de contratar</w:t>
      </w:r>
      <w:r w:rsidRPr="005173C4">
        <w:rPr>
          <w:rFonts w:ascii="Verdana" w:eastAsia="Times New Roman" w:hAnsi="Verdana" w:cs="Arial"/>
          <w:lang w:eastAsia="es-CO"/>
        </w:rPr>
        <w:t>, como ocurre con la prohibición del artículo 33</w:t>
      </w:r>
      <w:r>
        <w:rPr>
          <w:rFonts w:ascii="Verdana" w:eastAsia="Times New Roman" w:hAnsi="Verdana" w:cs="Arial"/>
          <w:lang w:eastAsia="es-CO"/>
        </w:rPr>
        <w:t>”</w:t>
      </w:r>
      <w:r w:rsidRPr="005173C4">
        <w:rPr>
          <w:rFonts w:ascii="Verdana" w:eastAsia="Times New Roman" w:hAnsi="Verdana" w:cs="Arial"/>
          <w:lang w:eastAsia="es-CO"/>
        </w:rPr>
        <w:t>.</w:t>
      </w:r>
    </w:p>
    <w:p w14:paraId="01FD8B3E" w14:textId="77777777" w:rsidR="00013201" w:rsidRPr="00C55BDE" w:rsidRDefault="00013201" w:rsidP="00013201">
      <w:pPr>
        <w:spacing w:before="120" w:after="0" w:line="276" w:lineRule="auto"/>
        <w:ind w:firstLine="708"/>
        <w:jc w:val="both"/>
        <w:rPr>
          <w:rFonts w:ascii="Verdana" w:eastAsia="Times New Roman" w:hAnsi="Verdana" w:cs="Arial"/>
          <w:lang w:val="es-MX" w:eastAsia="es-CO"/>
        </w:rPr>
      </w:pPr>
      <w:r>
        <w:rPr>
          <w:rFonts w:ascii="Verdana" w:eastAsia="Times New Roman" w:hAnsi="Verdana" w:cs="Arial"/>
          <w:lang w:eastAsia="es-CO"/>
        </w:rPr>
        <w:t>En este contexto, e</w:t>
      </w:r>
      <w:r w:rsidRPr="00C55BDE">
        <w:rPr>
          <w:rFonts w:ascii="Verdana" w:eastAsia="Times New Roman" w:hAnsi="Verdana" w:cs="Arial"/>
          <w:lang w:eastAsia="es-CO"/>
        </w:rPr>
        <w:t xml:space="preserve">s importante tener en cuenta que el ámbito de aplicación de la restricción prevista en el parágrafo del artículo 38 de la Ley 996 de 2005 solo se extiende a los </w:t>
      </w:r>
      <w:r w:rsidRPr="00C55BDE">
        <w:rPr>
          <w:rFonts w:ascii="Verdana" w:eastAsia="Times New Roman" w:hAnsi="Verdana" w:cs="Arial"/>
          <w:i/>
          <w:iCs/>
          <w:lang w:eastAsia="es-CO"/>
        </w:rPr>
        <w:t>convenios interadministrativos</w:t>
      </w:r>
      <w:r w:rsidRPr="00C55BDE">
        <w:rPr>
          <w:rFonts w:ascii="Verdana" w:eastAsia="Times New Roman" w:hAnsi="Verdana" w:cs="Arial"/>
          <w:lang w:eastAsia="es-CO"/>
        </w:rPr>
        <w:t xml:space="preserve"> en los que se contemple la </w:t>
      </w:r>
      <w:r w:rsidRPr="00C55BDE">
        <w:rPr>
          <w:rFonts w:ascii="Verdana" w:eastAsia="Times New Roman" w:hAnsi="Verdana" w:cs="Arial"/>
          <w:i/>
          <w:iCs/>
          <w:lang w:eastAsia="es-CO"/>
        </w:rPr>
        <w:t>ejecución de recursos públicos</w:t>
      </w:r>
      <w:r w:rsidRPr="00C55BDE">
        <w:rPr>
          <w:rFonts w:ascii="Verdana" w:eastAsia="Times New Roman" w:hAnsi="Verdana" w:cs="Arial"/>
          <w:lang w:eastAsia="es-CO"/>
        </w:rPr>
        <w:t xml:space="preserve">. Esto significa que la prohibición no resulta aplicable a </w:t>
      </w:r>
      <w:r w:rsidRPr="00C55BDE">
        <w:rPr>
          <w:rFonts w:ascii="Verdana" w:eastAsia="Times New Roman" w:hAnsi="Verdana" w:cs="Arial"/>
          <w:i/>
          <w:iCs/>
          <w:lang w:eastAsia="es-CO"/>
        </w:rPr>
        <w:t>convenios interadministrativos a título gratuito,</w:t>
      </w:r>
      <w:r w:rsidRPr="00C55BDE">
        <w:rPr>
          <w:rFonts w:ascii="Verdana" w:eastAsia="Times New Roman" w:hAnsi="Verdana" w:cs="Arial"/>
          <w:lang w:eastAsia="es-CO"/>
        </w:rPr>
        <w:t xml:space="preserve"> los cuales pueden celebrarse válidamente durante la vigencia de la mencionada restricción. </w:t>
      </w:r>
    </w:p>
    <w:p w14:paraId="76D38C22" w14:textId="77777777" w:rsidR="00013201" w:rsidRPr="00C55BDE" w:rsidRDefault="00013201" w:rsidP="00013201">
      <w:pPr>
        <w:spacing w:before="120" w:after="0" w:line="276" w:lineRule="auto"/>
        <w:ind w:firstLine="708"/>
        <w:jc w:val="both"/>
        <w:rPr>
          <w:rFonts w:ascii="Verdana" w:eastAsia="Times New Roman" w:hAnsi="Verdana" w:cs="Arial"/>
          <w:lang w:eastAsia="es-CO"/>
        </w:rPr>
      </w:pPr>
      <w:r w:rsidRPr="00C55BDE">
        <w:rPr>
          <w:rFonts w:ascii="Verdana" w:eastAsia="Times New Roman" w:hAnsi="Verdana" w:cs="Arial"/>
          <w:lang w:eastAsia="es-CO"/>
        </w:rPr>
        <w:t xml:space="preserve">De esta manera, conforme a lo dispuesto en la Circular referida, si se suscriben </w:t>
      </w:r>
      <w:r w:rsidRPr="00C55BDE">
        <w:rPr>
          <w:rFonts w:ascii="Verdana" w:eastAsia="Times New Roman" w:hAnsi="Verdana" w:cs="Arial"/>
          <w:i/>
          <w:iCs/>
          <w:lang w:eastAsia="es-CO"/>
        </w:rPr>
        <w:t>convenios interadministrativos para la ejecución de recursos públicos</w:t>
      </w:r>
      <w:r w:rsidRPr="00C55BDE">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C55BDE">
        <w:rPr>
          <w:rFonts w:ascii="Verdana" w:eastAsia="Times New Roman" w:hAnsi="Verdana" w:cs="Arial"/>
          <w:i/>
          <w:iCs/>
          <w:lang w:eastAsia="es-CO"/>
        </w:rPr>
        <w:t>ibidem</w:t>
      </w:r>
      <w:r w:rsidRPr="00C55BDE">
        <w:rPr>
          <w:rFonts w:ascii="Verdana" w:eastAsia="Times New Roman" w:hAnsi="Verdana" w:cs="Arial"/>
          <w:lang w:eastAsia="es-CO"/>
        </w:rPr>
        <w:t>, independientemente de que se configure alguno de los supuestos de excepción que señaló el inciso final del artículo 33, es decir, que se trate de:</w:t>
      </w:r>
      <w:r w:rsidRPr="00C55BDE">
        <w:rPr>
          <w:rFonts w:ascii="Verdana" w:hAnsi="Verdana" w:cs="Arial"/>
          <w:bCs/>
          <w:lang w:val="es-MX" w:eastAsia="x-none"/>
        </w:rPr>
        <w:t xml:space="preserve"> i) la defensa y seguridad del Estado; </w:t>
      </w:r>
      <w:proofErr w:type="spellStart"/>
      <w:r w:rsidRPr="00C55BDE">
        <w:rPr>
          <w:rFonts w:ascii="Verdana" w:hAnsi="Verdana" w:cs="Arial"/>
          <w:bCs/>
          <w:lang w:val="es-MX" w:eastAsia="x-none"/>
        </w:rPr>
        <w:t>ii</w:t>
      </w:r>
      <w:proofErr w:type="spellEnd"/>
      <w:r w:rsidRPr="00C55BDE">
        <w:rPr>
          <w:rFonts w:ascii="Verdana" w:hAnsi="Verdana" w:cs="Arial"/>
          <w:bCs/>
          <w:lang w:val="es-MX" w:eastAsia="x-none"/>
        </w:rPr>
        <w:t xml:space="preserve">) los contratos de crédito público; </w:t>
      </w:r>
      <w:proofErr w:type="spellStart"/>
      <w:r w:rsidRPr="00C55BDE">
        <w:rPr>
          <w:rFonts w:ascii="Verdana" w:hAnsi="Verdana" w:cs="Arial"/>
          <w:bCs/>
          <w:lang w:val="es-MX" w:eastAsia="x-none"/>
        </w:rPr>
        <w:t>iii</w:t>
      </w:r>
      <w:proofErr w:type="spellEnd"/>
      <w:r w:rsidRPr="00C55BDE">
        <w:rPr>
          <w:rFonts w:ascii="Verdana" w:hAnsi="Verdana" w:cs="Arial"/>
          <w:bCs/>
          <w:lang w:val="es-MX" w:eastAsia="x-none"/>
        </w:rPr>
        <w:t xml:space="preserve">) los requeridos para cubrir las emergencias educativas, sanitarias y desastres; </w:t>
      </w:r>
      <w:proofErr w:type="spellStart"/>
      <w:r w:rsidRPr="00C55BDE">
        <w:rPr>
          <w:rFonts w:ascii="Verdana" w:hAnsi="Verdana" w:cs="Arial"/>
          <w:bCs/>
          <w:lang w:val="es-MX" w:eastAsia="x-none"/>
        </w:rPr>
        <w:t>iv</w:t>
      </w:r>
      <w:proofErr w:type="spellEnd"/>
      <w:r w:rsidRPr="00C55BDE">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C55BDE">
        <w:rPr>
          <w:rFonts w:ascii="Verdana" w:hAnsi="Verdana" w:cs="Arial"/>
          <w:bCs/>
          <w:lang w:val="es-MX" w:eastAsia="es-CO"/>
        </w:rPr>
        <w:t xml:space="preserve"> </w:t>
      </w:r>
      <w:r w:rsidRPr="00C55BDE">
        <w:rPr>
          <w:rFonts w:ascii="Verdana" w:eastAsia="Times New Roman" w:hAnsi="Verdana" w:cs="Arial"/>
          <w:lang w:eastAsia="es-CO"/>
        </w:rPr>
        <w:t xml:space="preserve">  </w:t>
      </w:r>
    </w:p>
    <w:p w14:paraId="2CB3F78C" w14:textId="77777777" w:rsidR="00013201" w:rsidRPr="00C55BDE" w:rsidRDefault="00013201" w:rsidP="00013201">
      <w:pPr>
        <w:spacing w:before="120" w:after="0" w:line="276" w:lineRule="auto"/>
        <w:ind w:firstLine="708"/>
        <w:jc w:val="both"/>
        <w:rPr>
          <w:rFonts w:ascii="Verdana" w:eastAsia="Times New Roman" w:hAnsi="Verdana" w:cs="Arial"/>
          <w:lang w:eastAsia="es-CO"/>
        </w:rPr>
      </w:pPr>
      <w:r w:rsidRPr="00C55BDE">
        <w:rPr>
          <w:rFonts w:ascii="Verdana" w:eastAsia="Times New Roman" w:hAnsi="Verdana" w:cs="Arial"/>
          <w:lang w:eastAsia="es-CO"/>
        </w:rPr>
        <w:t xml:space="preserve">En este punto, teniendo en cuenta lo señalado en el contenido de su petición, vale la pena destacar </w:t>
      </w:r>
      <w:proofErr w:type="gramStart"/>
      <w:r w:rsidRPr="00C55BDE">
        <w:rPr>
          <w:rFonts w:ascii="Verdana" w:eastAsia="Times New Roman" w:hAnsi="Verdana" w:cs="Arial"/>
          <w:lang w:eastAsia="es-CO"/>
        </w:rPr>
        <w:t>que</w:t>
      </w:r>
      <w:proofErr w:type="gramEnd"/>
      <w:r w:rsidRPr="00C55BDE">
        <w:rPr>
          <w:rFonts w:ascii="Verdana" w:eastAsia="Times New Roman" w:hAnsi="Verdana" w:cs="Arial"/>
          <w:lang w:eastAsia="es-CO"/>
        </w:rPr>
        <w:t xml:space="preserve"> </w:t>
      </w:r>
      <w:r w:rsidRPr="00C55BDE">
        <w:rPr>
          <w:rFonts w:ascii="Verdana" w:eastAsia="Arial" w:hAnsi="Verdana" w:cs="Arial"/>
          <w:lang w:val="es-MX" w:eastAsia="es-ES" w:bidi="es-ES"/>
        </w:rPr>
        <w:t xml:space="preserve">mediante auto de 4 de octubre del 2024, el Consejo de Estado, Subsección C de la Sección Tercera, decretó medida de </w:t>
      </w:r>
      <w:r w:rsidRPr="00C55BDE">
        <w:rPr>
          <w:rFonts w:ascii="Verdana" w:eastAsia="Arial" w:hAnsi="Verdana" w:cs="Arial"/>
          <w:lang w:val="es-MX" w:eastAsia="es-ES" w:bidi="es-ES"/>
        </w:rPr>
        <w:lastRenderedPageBreak/>
        <w:t xml:space="preserve">suspensión provisional parcial del </w:t>
      </w:r>
      <w:r w:rsidRPr="00C55BDE">
        <w:rPr>
          <w:rFonts w:ascii="Verdana" w:hAnsi="Verdana" w:cs="Arial"/>
        </w:rPr>
        <w:t>numeral 16.2 de la Circular Externa Única de 2022 expedida por la Agencia Nacional de Contratación Pública -Colombia Compra Eficiente-, concretamente, respecto de los siguientes apartes normativos</w:t>
      </w:r>
      <w:r w:rsidRPr="00C55BDE">
        <w:rPr>
          <w:rFonts w:ascii="Verdana" w:hAnsi="Verdana" w:cs="Arial"/>
          <w:vertAlign w:val="superscript"/>
        </w:rPr>
        <w:footnoteReference w:id="23"/>
      </w:r>
      <w:r w:rsidRPr="00C55BDE">
        <w:rPr>
          <w:rFonts w:ascii="Verdana" w:hAnsi="Verdana" w:cs="Arial"/>
        </w:rPr>
        <w:t xml:space="preserve">: </w:t>
      </w:r>
    </w:p>
    <w:p w14:paraId="0F2C8A28" w14:textId="77777777" w:rsidR="00013201" w:rsidRPr="00C55BDE" w:rsidRDefault="00013201" w:rsidP="00013201">
      <w:pPr>
        <w:spacing w:after="0" w:line="276" w:lineRule="auto"/>
        <w:ind w:firstLine="709"/>
        <w:jc w:val="both"/>
        <w:rPr>
          <w:rFonts w:ascii="Verdana" w:hAnsi="Verdana" w:cs="Arial"/>
        </w:rPr>
      </w:pPr>
    </w:p>
    <w:p w14:paraId="3ABCE145" w14:textId="77777777" w:rsidR="00013201" w:rsidRPr="00C55BDE" w:rsidRDefault="00013201" w:rsidP="00013201">
      <w:pPr>
        <w:spacing w:after="0" w:line="240" w:lineRule="auto"/>
        <w:ind w:left="709" w:right="709"/>
        <w:jc w:val="both"/>
        <w:rPr>
          <w:rFonts w:ascii="Verdana" w:hAnsi="Verdana" w:cs="Arial"/>
          <w:sz w:val="20"/>
          <w:szCs w:val="20"/>
        </w:rPr>
      </w:pPr>
      <w:r>
        <w:rPr>
          <w:rFonts w:ascii="Verdana" w:hAnsi="Verdana" w:cs="Arial"/>
          <w:sz w:val="20"/>
          <w:szCs w:val="20"/>
          <w:lang w:val="es-MX"/>
        </w:rPr>
        <w:t>“</w:t>
      </w:r>
      <w:r w:rsidRPr="00C55BDE">
        <w:rPr>
          <w:rFonts w:ascii="Verdana" w:hAnsi="Verdana" w:cs="Arial"/>
          <w:sz w:val="20"/>
          <w:szCs w:val="20"/>
          <w:lang w:val="es-MX"/>
        </w:rPr>
        <w:t>i)</w:t>
      </w:r>
      <w:r w:rsidRPr="00C55BDE">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7B1AEB81" w14:textId="77777777" w:rsidR="00013201" w:rsidRPr="00C55BDE" w:rsidRDefault="00013201" w:rsidP="00013201">
      <w:pPr>
        <w:spacing w:after="0" w:line="240" w:lineRule="auto"/>
        <w:ind w:left="709" w:right="709"/>
        <w:jc w:val="both"/>
        <w:rPr>
          <w:rFonts w:ascii="Verdana" w:hAnsi="Verdana" w:cs="Arial"/>
          <w:sz w:val="20"/>
          <w:szCs w:val="20"/>
        </w:rPr>
      </w:pPr>
    </w:p>
    <w:p w14:paraId="52C9B317" w14:textId="77777777" w:rsidR="00013201" w:rsidRPr="00C55BDE" w:rsidRDefault="00013201" w:rsidP="00013201">
      <w:pPr>
        <w:spacing w:after="0" w:line="240" w:lineRule="auto"/>
        <w:ind w:left="709" w:right="709"/>
        <w:jc w:val="both"/>
        <w:rPr>
          <w:rFonts w:ascii="Verdana" w:hAnsi="Verdana" w:cs="Arial"/>
          <w:sz w:val="20"/>
          <w:szCs w:val="20"/>
        </w:rPr>
      </w:pPr>
      <w:proofErr w:type="spellStart"/>
      <w:r w:rsidRPr="00C55BDE">
        <w:rPr>
          <w:rFonts w:ascii="Verdana" w:hAnsi="Verdana" w:cs="Arial"/>
          <w:sz w:val="20"/>
          <w:szCs w:val="20"/>
        </w:rPr>
        <w:t>ii</w:t>
      </w:r>
      <w:proofErr w:type="spellEnd"/>
      <w:r w:rsidRPr="00C55BDE">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1EE863AE" w14:textId="77777777" w:rsidR="00013201" w:rsidRPr="00C55BDE" w:rsidRDefault="00013201" w:rsidP="00013201">
      <w:pPr>
        <w:spacing w:after="0" w:line="276" w:lineRule="auto"/>
        <w:ind w:left="709" w:right="709"/>
        <w:jc w:val="both"/>
        <w:rPr>
          <w:rFonts w:ascii="Verdana" w:hAnsi="Verdana" w:cs="Arial"/>
        </w:rPr>
      </w:pPr>
    </w:p>
    <w:p w14:paraId="5444DA62" w14:textId="77777777" w:rsidR="00013201" w:rsidRPr="00C55BDE" w:rsidRDefault="00013201" w:rsidP="00013201">
      <w:pPr>
        <w:spacing w:after="120" w:line="276" w:lineRule="auto"/>
        <w:ind w:firstLine="709"/>
        <w:jc w:val="both"/>
        <w:rPr>
          <w:rFonts w:ascii="Verdana" w:eastAsia="Arial" w:hAnsi="Verdana" w:cs="Arial"/>
          <w:i/>
          <w:iCs/>
          <w:lang w:eastAsia="es-ES" w:bidi="es-ES"/>
        </w:rPr>
      </w:pPr>
      <w:r w:rsidRPr="00C55BDE">
        <w:rPr>
          <w:rFonts w:ascii="Verdana" w:eastAsia="Arial" w:hAnsi="Verdana" w:cs="Arial"/>
          <w:lang w:val="es-MX" w:eastAsia="es-ES" w:bidi="es-ES"/>
        </w:rPr>
        <w:t xml:space="preserve">De conformidad con los argumentos de dicha providencia, se parte de la distinción entre los conceptos </w:t>
      </w:r>
      <w:r w:rsidRPr="00C55BDE">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C55BDE">
        <w:rPr>
          <w:rFonts w:ascii="Verdana" w:hAnsi="Verdana"/>
          <w:sz w:val="24"/>
          <w:szCs w:val="24"/>
          <w:lang w:eastAsia="es-CO"/>
        </w:rPr>
        <w:t xml:space="preserve"> </w:t>
      </w:r>
      <w:r w:rsidRPr="00C55BDE">
        <w:rPr>
          <w:rFonts w:ascii="Verdana" w:eastAsia="Arial" w:hAnsi="Verdana" w:cs="Arial"/>
          <w:lang w:eastAsia="es-ES" w:bidi="es-ES"/>
        </w:rPr>
        <w:t xml:space="preserve">En este sentido, en relación con el parágrafo del artículo 38 de la Ley 996 de 2005 concluyó que </w:t>
      </w:r>
      <w:r w:rsidRPr="00C55BDE">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C55BDE">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C55BDE">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w:t>
      </w:r>
      <w:r w:rsidRPr="00C55BDE">
        <w:rPr>
          <w:rFonts w:ascii="Verdana" w:eastAsia="Arial" w:hAnsi="Verdana" w:cs="Arial"/>
          <w:i/>
          <w:iCs/>
          <w:lang w:eastAsia="es-ES" w:bidi="es-ES"/>
        </w:rPr>
        <w:lastRenderedPageBreak/>
        <w:t xml:space="preserve">incorporó en la prohibición una categoría que no quedó comprendida expresa e inequívocamente en la ley. </w:t>
      </w:r>
    </w:p>
    <w:p w14:paraId="707AC913" w14:textId="77777777" w:rsidR="00013201" w:rsidRPr="00C55BDE" w:rsidRDefault="00013201" w:rsidP="00013201">
      <w:pPr>
        <w:spacing w:after="120" w:line="276" w:lineRule="auto"/>
        <w:ind w:firstLine="709"/>
        <w:jc w:val="both"/>
        <w:rPr>
          <w:rFonts w:ascii="Verdana" w:eastAsia="Arial" w:hAnsi="Verdana" w:cs="Arial"/>
          <w:lang w:eastAsia="es-ES" w:bidi="es-ES"/>
        </w:rPr>
      </w:pPr>
      <w:r w:rsidRPr="00C55BDE">
        <w:rPr>
          <w:rFonts w:ascii="Verdana" w:eastAsia="Arial" w:hAnsi="Verdana" w:cs="Arial"/>
          <w:lang w:eastAsia="es-ES" w:bidi="es-ES"/>
        </w:rPr>
        <w:t>De igual manera, mediante auto del 6 de noviembre de 2025, el Consejo de Estado, Subsección A de la Sección Tercera, decretó</w:t>
      </w:r>
      <w:r w:rsidRPr="00C55BDE">
        <w:rPr>
          <w:rFonts w:ascii="Verdana" w:eastAsia="Arial" w:hAnsi="Verdana" w:cs="Arial"/>
          <w:b/>
          <w:bCs/>
          <w:lang w:eastAsia="es-ES" w:bidi="es-ES"/>
        </w:rPr>
        <w:t xml:space="preserve"> </w:t>
      </w:r>
      <w:r w:rsidRPr="00C55BDE">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C55BDE">
        <w:rPr>
          <w:rFonts w:ascii="Verdana" w:eastAsia="Arial" w:hAnsi="Verdana" w:cs="Arial"/>
          <w:vertAlign w:val="superscript"/>
          <w:lang w:eastAsia="es-ES" w:bidi="es-ES"/>
        </w:rPr>
        <w:footnoteReference w:id="24"/>
      </w:r>
      <w:r w:rsidRPr="00C55BDE">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C55BDE">
        <w:rPr>
          <w:rFonts w:ascii="Verdana" w:eastAsia="Arial" w:hAnsi="Verdana" w:cs="Arial"/>
          <w:lang w:eastAsia="es-ES" w:bidi="es-ES"/>
        </w:rPr>
        <w:t>legis</w:t>
      </w:r>
      <w:proofErr w:type="spellEnd"/>
      <w:r w:rsidRPr="00C55BDE">
        <w:rPr>
          <w:rFonts w:ascii="Verdana" w:eastAsia="Arial" w:hAnsi="Verdana" w:cs="Arial"/>
          <w:lang w:eastAsia="es-ES" w:bidi="es-ES"/>
        </w:rPr>
        <w:t xml:space="preserve"> o iuris y la interpretación extensiva y reiteró los argumentos sobre la diferencia entre contratos y convenios interadministrativos. </w:t>
      </w:r>
    </w:p>
    <w:p w14:paraId="3180D830" w14:textId="77777777" w:rsidR="00013201" w:rsidRPr="00C55BDE" w:rsidRDefault="00013201" w:rsidP="00013201">
      <w:pPr>
        <w:spacing w:after="120" w:line="276" w:lineRule="auto"/>
        <w:ind w:firstLine="709"/>
        <w:jc w:val="both"/>
        <w:rPr>
          <w:rFonts w:ascii="Verdana" w:eastAsia="Times New Roman" w:hAnsi="Verdana" w:cs="Times New Roman"/>
          <w:lang w:eastAsia="es-ES"/>
        </w:rPr>
      </w:pPr>
      <w:r w:rsidRPr="00C55BDE">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00C55BDE">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36F26DB3" w14:textId="77777777" w:rsidR="00013201" w:rsidRPr="00C55BDE" w:rsidRDefault="00013201" w:rsidP="00013201">
      <w:pPr>
        <w:spacing w:after="120" w:line="276" w:lineRule="auto"/>
        <w:ind w:firstLine="709"/>
        <w:jc w:val="both"/>
        <w:rPr>
          <w:rFonts w:ascii="Verdana" w:eastAsia="Times New Roman" w:hAnsi="Verdana" w:cs="Times New Roman"/>
          <w:lang w:eastAsia="es-ES"/>
        </w:rPr>
      </w:pPr>
      <w:r w:rsidRPr="00C55BDE">
        <w:rPr>
          <w:rFonts w:ascii="Verdana" w:eastAsia="Times New Roman" w:hAnsi="Verdana" w:cs="Times New Roman"/>
          <w:lang w:eastAsia="es-ES"/>
        </w:rPr>
        <w:t xml:space="preserve">La anterior decisión se adoptó al considerar que la Agencia excedió su competencia material al incluir contratos en una restricción que la Ley de Garantías Electorales solo previó para convenios, cuando no es posible aplicar </w:t>
      </w:r>
      <w:r w:rsidRPr="00C55BDE">
        <w:rPr>
          <w:rFonts w:ascii="Verdana" w:eastAsia="Times New Roman" w:hAnsi="Verdana" w:cs="Times New Roman"/>
          <w:lang w:eastAsia="es-ES"/>
        </w:rPr>
        <w:lastRenderedPageBreak/>
        <w:t>por analogía o extensión una norma que establece prohibiciones</w:t>
      </w:r>
      <w:r w:rsidRPr="00C55BDE">
        <w:rPr>
          <w:rStyle w:val="Refdenotaalpie"/>
          <w:rFonts w:ascii="Verdana" w:eastAsia="Times New Roman" w:hAnsi="Verdana" w:cs="Times New Roman"/>
          <w:lang w:eastAsia="es-ES"/>
        </w:rPr>
        <w:footnoteReference w:id="25"/>
      </w:r>
      <w:r w:rsidRPr="00C55BDE">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0D6731B7" w14:textId="77777777" w:rsidR="00013201" w:rsidRPr="00C55BDE" w:rsidRDefault="00013201" w:rsidP="00013201">
      <w:pPr>
        <w:spacing w:after="120" w:line="276" w:lineRule="auto"/>
        <w:ind w:firstLine="709"/>
        <w:jc w:val="both"/>
        <w:rPr>
          <w:rFonts w:ascii="Verdana" w:eastAsia="Times New Roman" w:hAnsi="Verdana" w:cs="Times New Roman"/>
          <w:lang w:eastAsia="es-ES"/>
        </w:rPr>
      </w:pPr>
      <w:r w:rsidRPr="00C55BDE">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4AEAEA1C" w14:textId="77777777" w:rsidR="00013201" w:rsidRPr="00C55BDE" w:rsidRDefault="00013201" w:rsidP="00013201">
      <w:pPr>
        <w:spacing w:after="120" w:line="276" w:lineRule="auto"/>
        <w:ind w:firstLine="709"/>
        <w:jc w:val="both"/>
        <w:rPr>
          <w:rFonts w:ascii="Verdana" w:eastAsia="Times New Roman" w:hAnsi="Verdana" w:cs="Arial"/>
          <w:lang w:eastAsia="es-CO"/>
        </w:rPr>
      </w:pPr>
      <w:r w:rsidRPr="00C55BDE">
        <w:rPr>
          <w:rFonts w:ascii="Verdana" w:eastAsia="Times New Roman" w:hAnsi="Verdana" w:cs="Arial"/>
          <w:lang w:eastAsia="es-CO"/>
        </w:rPr>
        <w:t xml:space="preserve">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C55BDE">
        <w:rPr>
          <w:rFonts w:ascii="Verdana" w:eastAsia="Times New Roman" w:hAnsi="Verdana" w:cs="Arial"/>
          <w:i/>
          <w:iCs/>
          <w:lang w:eastAsia="es-CO"/>
        </w:rPr>
        <w:t>contratos interadministrativos</w:t>
      </w:r>
      <w:r w:rsidRPr="00C55BDE">
        <w:rPr>
          <w:rFonts w:ascii="Verdana" w:eastAsia="Times New Roman" w:hAnsi="Verdana" w:cs="Arial"/>
          <w:lang w:eastAsia="es-CO"/>
        </w:rPr>
        <w:t>, esta prohibición solo aplicaría a los convenios interadministrativos que impliquen la ejecución de recursos públicos</w:t>
      </w:r>
      <w:r w:rsidRPr="00C55BDE">
        <w:rPr>
          <w:rStyle w:val="Refdenotaalpie"/>
          <w:rFonts w:ascii="Verdana" w:eastAsia="Times New Roman" w:hAnsi="Verdana" w:cs="Arial"/>
          <w:lang w:eastAsia="es-CO"/>
        </w:rPr>
        <w:footnoteReference w:id="26"/>
      </w:r>
      <w:r w:rsidRPr="00C55BDE">
        <w:rPr>
          <w:rFonts w:ascii="Verdana" w:eastAsia="Times New Roman" w:hAnsi="Verdana" w:cs="Arial"/>
          <w:lang w:eastAsia="es-CO"/>
        </w:rPr>
        <w:t>.</w:t>
      </w:r>
    </w:p>
    <w:p w14:paraId="31240997" w14:textId="77777777" w:rsidR="00013201" w:rsidRPr="00C55BDE" w:rsidRDefault="00013201" w:rsidP="00013201">
      <w:pPr>
        <w:spacing w:after="120" w:line="276" w:lineRule="auto"/>
        <w:ind w:firstLine="708"/>
        <w:jc w:val="both"/>
        <w:rPr>
          <w:rFonts w:ascii="Verdana" w:eastAsia="Times New Roman" w:hAnsi="Verdana" w:cs="Arial"/>
          <w:lang w:eastAsia="es-CO"/>
        </w:rPr>
      </w:pPr>
      <w:r w:rsidRPr="00C55BDE">
        <w:rPr>
          <w:rFonts w:ascii="Verdana"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w:t>
      </w:r>
      <w:r w:rsidRPr="00C55BDE">
        <w:rPr>
          <w:rFonts w:ascii="Verdana" w:hAnsi="Verdana" w:cs="Arial"/>
          <w:bCs/>
          <w:color w:val="000000" w:themeColor="text1"/>
        </w:rPr>
        <w:lastRenderedPageBreak/>
        <w:t>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E90C264" w14:textId="77777777" w:rsidR="00013201" w:rsidRPr="00C55BDE" w:rsidRDefault="00013201" w:rsidP="00013201">
      <w:pPr>
        <w:spacing w:after="0" w:line="276" w:lineRule="auto"/>
        <w:ind w:firstLine="708"/>
        <w:jc w:val="both"/>
        <w:rPr>
          <w:rFonts w:ascii="Verdana" w:hAnsi="Verdana" w:cs="Arial"/>
          <w:bCs/>
          <w:color w:val="000000" w:themeColor="text1"/>
        </w:rPr>
      </w:pPr>
      <w:r w:rsidRPr="00C55BDE">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227E5CAF" w14:textId="77777777" w:rsidR="00013201" w:rsidRPr="00C55BDE" w:rsidRDefault="00013201" w:rsidP="00013201">
      <w:pPr>
        <w:spacing w:after="0" w:line="276" w:lineRule="auto"/>
        <w:ind w:firstLine="708"/>
        <w:jc w:val="both"/>
        <w:rPr>
          <w:rFonts w:ascii="Verdana" w:hAnsi="Verdana" w:cs="Arial"/>
          <w:bCs/>
          <w:color w:val="000000" w:themeColor="text1"/>
        </w:rPr>
      </w:pPr>
    </w:p>
    <w:p w14:paraId="64B65DB2" w14:textId="77777777" w:rsidR="00013201" w:rsidRPr="00C55BDE" w:rsidRDefault="00013201" w:rsidP="00013201">
      <w:pPr>
        <w:numPr>
          <w:ilvl w:val="0"/>
          <w:numId w:val="16"/>
        </w:numPr>
        <w:tabs>
          <w:tab w:val="left" w:pos="142"/>
          <w:tab w:val="left" w:pos="284"/>
        </w:tabs>
        <w:spacing w:after="0" w:line="276" w:lineRule="auto"/>
        <w:ind w:left="360"/>
        <w:jc w:val="both"/>
        <w:rPr>
          <w:rFonts w:ascii="Verdana" w:eastAsia="Century Gothic" w:hAnsi="Verdana" w:cs="Century Gothic"/>
          <w:b/>
          <w:bCs/>
          <w:lang w:val="es-ES_tradnl"/>
        </w:rPr>
      </w:pPr>
      <w:r w:rsidRPr="00C55BDE">
        <w:rPr>
          <w:rFonts w:ascii="Verdana" w:eastAsia="Century Gothic" w:hAnsi="Verdana" w:cs="Century Gothic"/>
          <w:b/>
          <w:bCs/>
          <w:lang w:val="es-ES_tradnl"/>
        </w:rPr>
        <w:t>Referencias normativas:</w:t>
      </w:r>
    </w:p>
    <w:p w14:paraId="43355160" w14:textId="77777777" w:rsidR="00013201" w:rsidRPr="00C55BDE" w:rsidRDefault="00013201" w:rsidP="00013201">
      <w:pPr>
        <w:widowControl w:val="0"/>
        <w:autoSpaceDE w:val="0"/>
        <w:autoSpaceDN w:val="0"/>
        <w:spacing w:after="0" w:line="276" w:lineRule="auto"/>
        <w:jc w:val="both"/>
        <w:rPr>
          <w:rFonts w:ascii="Verdana" w:hAnsi="Verdana" w:cs="Arial"/>
          <w:lang w:val="es-ES_tradnl"/>
        </w:rPr>
      </w:pPr>
    </w:p>
    <w:tbl>
      <w:tblPr>
        <w:tblStyle w:val="Tablaconcuadrcula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13201" w:rsidRPr="00C55BDE" w14:paraId="3CA3A1C8" w14:textId="77777777" w:rsidTr="00902708">
        <w:trPr>
          <w:trHeight w:val="491"/>
          <w:jc w:val="center"/>
        </w:trPr>
        <w:tc>
          <w:tcPr>
            <w:tcW w:w="8647" w:type="dxa"/>
          </w:tcPr>
          <w:p w14:paraId="6F7FB64D" w14:textId="77777777" w:rsidR="00013201" w:rsidRPr="00C55BDE" w:rsidRDefault="00013201" w:rsidP="00902708">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55BDE">
              <w:rPr>
                <w:rFonts w:ascii="Verdana" w:eastAsia="Arial MT" w:hAnsi="Verdana" w:cs="Arial"/>
                <w:lang w:val="es-ES" w:eastAsia="es-ES" w:bidi="es-ES"/>
              </w:rPr>
              <w:t>Constitución Política, artículos 127, 329, 356.</w:t>
            </w:r>
          </w:p>
          <w:p w14:paraId="11818D6E" w14:textId="77777777" w:rsidR="00013201" w:rsidRPr="00C55BDE" w:rsidRDefault="00013201" w:rsidP="00902708">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55BDE">
              <w:rPr>
                <w:rFonts w:ascii="Verdana" w:eastAsia="Arial MT" w:hAnsi="Verdana" w:cs="Arial"/>
                <w:lang w:val="es-ES" w:eastAsia="es-ES" w:bidi="es-ES"/>
              </w:rPr>
              <w:t>Decreto 1088 de 1993.</w:t>
            </w:r>
          </w:p>
          <w:p w14:paraId="321B6657" w14:textId="77777777" w:rsidR="00013201" w:rsidRPr="00C55BDE" w:rsidRDefault="00013201" w:rsidP="00902708">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55BDE">
              <w:rPr>
                <w:rFonts w:ascii="Verdana" w:eastAsia="Arial MT" w:hAnsi="Verdana" w:cs="Arial"/>
                <w:lang w:val="es-ES" w:eastAsia="es-ES" w:bidi="es-ES"/>
              </w:rPr>
              <w:t>Decreto 1953 de 2014.</w:t>
            </w:r>
          </w:p>
          <w:p w14:paraId="6031E5FB" w14:textId="77777777" w:rsidR="00013201" w:rsidRPr="00C55BDE" w:rsidRDefault="00013201" w:rsidP="00902708">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55BDE">
              <w:rPr>
                <w:rFonts w:ascii="Verdana" w:eastAsia="Arial MT" w:hAnsi="Verdana" w:cs="Arial"/>
                <w:lang w:val="es-ES" w:eastAsia="es-ES" w:bidi="es-ES"/>
              </w:rPr>
              <w:t>Ley 80 de 1993, artículo 2.</w:t>
            </w:r>
          </w:p>
          <w:p w14:paraId="7550A7DF" w14:textId="77777777" w:rsidR="00013201" w:rsidRPr="00C55BDE" w:rsidRDefault="00013201" w:rsidP="00902708">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55BDE">
              <w:rPr>
                <w:rFonts w:ascii="Verdana" w:eastAsia="Arial MT" w:hAnsi="Verdana" w:cs="Arial"/>
                <w:lang w:val="es-ES" w:eastAsia="es-ES" w:bidi="es-ES"/>
              </w:rPr>
              <w:t>Ley 715 de 2001.</w:t>
            </w:r>
          </w:p>
          <w:p w14:paraId="3245001D" w14:textId="77777777" w:rsidR="00013201" w:rsidRPr="00C55BDE" w:rsidRDefault="00013201" w:rsidP="00902708">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C55BDE">
              <w:rPr>
                <w:rFonts w:ascii="Verdana" w:eastAsia="Arial MT" w:hAnsi="Verdana" w:cs="Arial"/>
                <w:bCs/>
                <w:lang w:val="es-ES" w:eastAsia="es-ES" w:bidi="es-ES"/>
              </w:rPr>
              <w:t>Ley 996 de 2005, artículos 33 y 38.</w:t>
            </w:r>
          </w:p>
          <w:p w14:paraId="1C2213CE" w14:textId="77777777" w:rsidR="00013201" w:rsidRPr="00C55BDE" w:rsidRDefault="00013201" w:rsidP="00902708">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C55BDE">
              <w:rPr>
                <w:rFonts w:ascii="Verdana" w:hAnsi="Verdana" w:cs="Arial"/>
                <w:bCs/>
                <w:color w:val="000000" w:themeColor="text1"/>
                <w:lang w:val="es-ES"/>
              </w:rPr>
              <w:t>Decreto 1068 de 2015, artículo 2.2.1.1.1.</w:t>
            </w:r>
          </w:p>
          <w:p w14:paraId="625E934F" w14:textId="77777777" w:rsidR="00013201" w:rsidRPr="00C55BDE" w:rsidRDefault="00013201" w:rsidP="00902708">
            <w:pPr>
              <w:widowControl w:val="0"/>
              <w:numPr>
                <w:ilvl w:val="0"/>
                <w:numId w:val="17"/>
              </w:numPr>
              <w:autoSpaceDE w:val="0"/>
              <w:autoSpaceDN w:val="0"/>
              <w:spacing w:after="120" w:line="276" w:lineRule="auto"/>
              <w:jc w:val="both"/>
              <w:rPr>
                <w:rFonts w:ascii="Verdana" w:hAnsi="Verdana" w:cs="Arial"/>
                <w:lang w:val="es-ES"/>
              </w:rPr>
            </w:pPr>
            <w:r w:rsidRPr="00C55BDE">
              <w:rPr>
                <w:rFonts w:ascii="Verdana" w:hAnsi="Verdana" w:cs="Arial"/>
                <w:lang w:val="pt-BR"/>
              </w:rPr>
              <w:t>Corte Constitucional. Sentencia C-671 de 2015. M.P. Alberto Rojas Ríos.</w:t>
            </w:r>
          </w:p>
          <w:p w14:paraId="614636DB" w14:textId="77777777" w:rsidR="00013201" w:rsidRPr="00C55BDE" w:rsidRDefault="00013201" w:rsidP="00902708">
            <w:pPr>
              <w:widowControl w:val="0"/>
              <w:numPr>
                <w:ilvl w:val="0"/>
                <w:numId w:val="17"/>
              </w:numPr>
              <w:autoSpaceDE w:val="0"/>
              <w:autoSpaceDN w:val="0"/>
              <w:spacing w:after="120" w:line="276" w:lineRule="auto"/>
              <w:jc w:val="both"/>
              <w:rPr>
                <w:rFonts w:ascii="Verdana" w:hAnsi="Verdana" w:cs="Arial"/>
                <w:lang w:val="es-ES"/>
              </w:rPr>
            </w:pPr>
            <w:r w:rsidRPr="00C55BDE">
              <w:rPr>
                <w:rFonts w:ascii="Verdana" w:hAnsi="Verdana" w:cs="Arial"/>
                <w:lang w:val="es-ES"/>
              </w:rPr>
              <w:t xml:space="preserve">Consejo de Estado, Sección Primera. Sentencia de 3 de marzo de 2005, </w:t>
            </w:r>
            <w:proofErr w:type="spellStart"/>
            <w:r w:rsidRPr="00C55BDE">
              <w:rPr>
                <w:rFonts w:ascii="Verdana" w:hAnsi="Verdana" w:cs="Arial"/>
                <w:lang w:val="es-ES"/>
              </w:rPr>
              <w:t>Exp</w:t>
            </w:r>
            <w:proofErr w:type="spellEnd"/>
            <w:r w:rsidRPr="00C55BDE">
              <w:rPr>
                <w:rFonts w:ascii="Verdana" w:hAnsi="Verdana" w:cs="Arial"/>
                <w:lang w:val="es-ES"/>
              </w:rPr>
              <w:t xml:space="preserve">. 2004-00823-01(PI). </w:t>
            </w:r>
          </w:p>
          <w:p w14:paraId="5DB364BF" w14:textId="77777777" w:rsidR="00013201" w:rsidRPr="00C55BDE" w:rsidRDefault="00013201" w:rsidP="00902708">
            <w:pPr>
              <w:numPr>
                <w:ilvl w:val="0"/>
                <w:numId w:val="17"/>
              </w:numPr>
              <w:spacing w:before="120" w:after="120" w:line="276" w:lineRule="auto"/>
              <w:jc w:val="both"/>
              <w:rPr>
                <w:rFonts w:ascii="Verdana" w:hAnsi="Verdana" w:cs="Arial"/>
                <w:lang w:val="es-ES"/>
              </w:rPr>
            </w:pPr>
            <w:r w:rsidRPr="00C55BDE">
              <w:rPr>
                <w:rFonts w:ascii="Verdana" w:hAnsi="Verdana" w:cs="Arial"/>
              </w:rPr>
              <w:t>Consejo de Estado. Sala de Consulta y Servicio Civil. Concepto del 15 de noviembre de 2007. Expediente número 1863. Consejero Ponente: Luis Fernando Álvarez Jaramillo</w:t>
            </w:r>
          </w:p>
          <w:p w14:paraId="462CD086" w14:textId="77777777" w:rsidR="00013201" w:rsidRPr="00C55BDE" w:rsidRDefault="00013201" w:rsidP="00902708">
            <w:pPr>
              <w:widowControl w:val="0"/>
              <w:numPr>
                <w:ilvl w:val="0"/>
                <w:numId w:val="17"/>
              </w:numPr>
              <w:autoSpaceDE w:val="0"/>
              <w:autoSpaceDN w:val="0"/>
              <w:spacing w:after="120" w:line="276" w:lineRule="auto"/>
              <w:jc w:val="both"/>
              <w:rPr>
                <w:rFonts w:ascii="Verdana" w:hAnsi="Verdana" w:cs="Arial"/>
                <w:lang w:val="es-ES"/>
              </w:rPr>
            </w:pPr>
            <w:r w:rsidRPr="00C55BDE">
              <w:rPr>
                <w:rFonts w:ascii="Verdana" w:hAnsi="Verdana" w:cs="Arial"/>
                <w:lang w:val="es-ES"/>
              </w:rPr>
              <w:lastRenderedPageBreak/>
              <w:t xml:space="preserve">Consejo de Estado, Sala de Consulta y Servicio Civil, Concepto de fecha 24 de julio de 2013, Rad. 2166, C. P. Álvaro </w:t>
            </w:r>
            <w:proofErr w:type="spellStart"/>
            <w:r w:rsidRPr="00C55BDE">
              <w:rPr>
                <w:rFonts w:ascii="Verdana" w:hAnsi="Verdana" w:cs="Arial"/>
                <w:lang w:val="es-ES"/>
              </w:rPr>
              <w:t>Namén</w:t>
            </w:r>
            <w:proofErr w:type="spellEnd"/>
            <w:r w:rsidRPr="00C55BDE">
              <w:rPr>
                <w:rFonts w:ascii="Verdana" w:hAnsi="Verdana" w:cs="Arial"/>
                <w:lang w:val="es-ES"/>
              </w:rPr>
              <w:t xml:space="preserve"> Vargas. </w:t>
            </w:r>
          </w:p>
          <w:p w14:paraId="4048760D" w14:textId="77777777" w:rsidR="00013201" w:rsidRPr="00C55BDE" w:rsidRDefault="00013201" w:rsidP="00902708">
            <w:pPr>
              <w:numPr>
                <w:ilvl w:val="0"/>
                <w:numId w:val="17"/>
              </w:numPr>
              <w:spacing w:before="120" w:after="120" w:line="276" w:lineRule="auto"/>
              <w:jc w:val="both"/>
              <w:rPr>
                <w:rFonts w:ascii="Verdana" w:hAnsi="Verdana" w:cs="Arial"/>
                <w:lang w:val="es-ES"/>
              </w:rPr>
            </w:pPr>
            <w:r w:rsidRPr="00C55BDE">
              <w:rPr>
                <w:rFonts w:ascii="Verdana" w:hAnsi="Verdana" w:cs="Arial"/>
              </w:rPr>
              <w:t xml:space="preserve">Consejo de Estado. Sala de Consulta y Servicio Civil. Concepto del 2 de septiembre de 2013 Radicado No: 2168. CP: </w:t>
            </w:r>
            <w:proofErr w:type="spellStart"/>
            <w:r w:rsidRPr="00C55BDE">
              <w:rPr>
                <w:rFonts w:ascii="Verdana" w:hAnsi="Verdana" w:cs="Arial"/>
              </w:rPr>
              <w:t>Alvaro</w:t>
            </w:r>
            <w:proofErr w:type="spellEnd"/>
            <w:r w:rsidRPr="00C55BDE">
              <w:rPr>
                <w:rFonts w:ascii="Verdana" w:hAnsi="Verdana" w:cs="Arial"/>
              </w:rPr>
              <w:t xml:space="preserve"> </w:t>
            </w:r>
            <w:proofErr w:type="spellStart"/>
            <w:r w:rsidRPr="00C55BDE">
              <w:rPr>
                <w:rFonts w:ascii="Verdana" w:hAnsi="Verdana" w:cs="Arial"/>
              </w:rPr>
              <w:t>Namén</w:t>
            </w:r>
            <w:proofErr w:type="spellEnd"/>
            <w:r w:rsidRPr="00C55BDE">
              <w:rPr>
                <w:rFonts w:ascii="Verdana" w:hAnsi="Verdana" w:cs="Arial"/>
              </w:rPr>
              <w:t xml:space="preserve"> Vargas.</w:t>
            </w:r>
          </w:p>
          <w:p w14:paraId="36E5B49A" w14:textId="77777777" w:rsidR="00013201" w:rsidRPr="00C55BDE" w:rsidRDefault="00013201" w:rsidP="00902708">
            <w:pPr>
              <w:numPr>
                <w:ilvl w:val="0"/>
                <w:numId w:val="17"/>
              </w:numPr>
              <w:spacing w:before="120" w:after="120" w:line="276" w:lineRule="auto"/>
              <w:jc w:val="both"/>
              <w:rPr>
                <w:rFonts w:ascii="Verdana" w:hAnsi="Verdana" w:cs="Arial"/>
                <w:lang w:val="es-ES"/>
              </w:rPr>
            </w:pPr>
            <w:r w:rsidRPr="00C55BDE">
              <w:rPr>
                <w:rFonts w:ascii="Verdana" w:hAnsi="Verdana" w:cs="Arial"/>
                <w:lang w:val="es-ES"/>
              </w:rPr>
              <w:t>Consejo de Estado. Sala de Consulta y Servicio Civil. Concepto del 17 de febrero de 2015. C.P. William Zambrano Cetina. Radicación No. 11001-03-06-000-2015-00164-00(2269).</w:t>
            </w:r>
          </w:p>
          <w:p w14:paraId="254E56A8" w14:textId="77777777" w:rsidR="00013201" w:rsidRPr="00C55BDE" w:rsidRDefault="00013201" w:rsidP="00902708">
            <w:pPr>
              <w:numPr>
                <w:ilvl w:val="0"/>
                <w:numId w:val="17"/>
              </w:numPr>
              <w:spacing w:before="120" w:after="120" w:line="276" w:lineRule="auto"/>
              <w:jc w:val="both"/>
              <w:rPr>
                <w:rFonts w:ascii="Verdana" w:hAnsi="Verdana" w:cs="Arial"/>
                <w:lang w:val="es-ES"/>
              </w:rPr>
            </w:pPr>
            <w:r w:rsidRPr="00C55BDE">
              <w:rPr>
                <w:rFonts w:ascii="Verdana" w:hAnsi="Verdana" w:cs="Arial"/>
                <w:lang w:val="es-ES"/>
              </w:rPr>
              <w:t xml:space="preserve">Consejo de Estado, Sala de Consulta y Servicio Civil, Concepto de fecha 8 de mayo de 2018, No. 2382. C. P. Álvaro </w:t>
            </w:r>
            <w:proofErr w:type="spellStart"/>
            <w:r w:rsidRPr="00C55BDE">
              <w:rPr>
                <w:rFonts w:ascii="Verdana" w:hAnsi="Verdana" w:cs="Arial"/>
                <w:lang w:val="es-ES"/>
              </w:rPr>
              <w:t>Namén</w:t>
            </w:r>
            <w:proofErr w:type="spellEnd"/>
            <w:r w:rsidRPr="00C55BDE">
              <w:rPr>
                <w:rFonts w:ascii="Verdana" w:hAnsi="Verdana" w:cs="Arial"/>
                <w:lang w:val="es-ES"/>
              </w:rPr>
              <w:t xml:space="preserve"> Vargas.</w:t>
            </w:r>
          </w:p>
          <w:p w14:paraId="495F3549" w14:textId="77777777" w:rsidR="00013201" w:rsidRPr="00C55BDE" w:rsidRDefault="00013201" w:rsidP="00902708">
            <w:pPr>
              <w:widowControl w:val="0"/>
              <w:numPr>
                <w:ilvl w:val="0"/>
                <w:numId w:val="17"/>
              </w:numPr>
              <w:autoSpaceDE w:val="0"/>
              <w:autoSpaceDN w:val="0"/>
              <w:spacing w:after="120" w:line="276" w:lineRule="auto"/>
              <w:jc w:val="both"/>
              <w:rPr>
                <w:rFonts w:ascii="Verdana" w:hAnsi="Verdana" w:cs="Arial"/>
                <w:lang w:val="es-ES"/>
              </w:rPr>
            </w:pPr>
            <w:proofErr w:type="spellStart"/>
            <w:r w:rsidRPr="00C55BDE">
              <w:rPr>
                <w:rFonts w:ascii="Verdana" w:hAnsi="Verdana" w:cs="Arial"/>
                <w:lang w:val="pt-BR"/>
              </w:rPr>
              <w:t>Consejo</w:t>
            </w:r>
            <w:proofErr w:type="spellEnd"/>
            <w:r w:rsidRPr="00C55BDE">
              <w:rPr>
                <w:rFonts w:ascii="Verdana" w:hAnsi="Verdana" w:cs="Arial"/>
                <w:lang w:val="pt-BR"/>
              </w:rPr>
              <w:t xml:space="preserve"> de Estado, </w:t>
            </w:r>
            <w:proofErr w:type="spellStart"/>
            <w:r w:rsidRPr="00C55BDE">
              <w:rPr>
                <w:rFonts w:ascii="Verdana" w:hAnsi="Verdana" w:cs="Arial"/>
                <w:lang w:val="pt-BR"/>
              </w:rPr>
              <w:t>Sección</w:t>
            </w:r>
            <w:proofErr w:type="spellEnd"/>
            <w:r w:rsidRPr="00C55BDE">
              <w:rPr>
                <w:rFonts w:ascii="Verdana" w:hAnsi="Verdana" w:cs="Arial"/>
                <w:lang w:val="pt-BR"/>
              </w:rPr>
              <w:t xml:space="preserve"> Tercera. Auto </w:t>
            </w:r>
            <w:proofErr w:type="spellStart"/>
            <w:r w:rsidRPr="00C55BDE">
              <w:rPr>
                <w:rFonts w:ascii="Verdana" w:hAnsi="Verdana" w:cs="Arial"/>
                <w:lang w:val="pt-BR"/>
              </w:rPr>
              <w:t>del</w:t>
            </w:r>
            <w:proofErr w:type="spellEnd"/>
            <w:r w:rsidRPr="00C55BDE">
              <w:rPr>
                <w:rFonts w:ascii="Verdana" w:hAnsi="Verdana" w:cs="Arial"/>
                <w:lang w:val="pt-BR"/>
              </w:rPr>
              <w:t xml:space="preserve"> 4 de </w:t>
            </w:r>
            <w:proofErr w:type="spellStart"/>
            <w:r w:rsidRPr="00C55BDE">
              <w:rPr>
                <w:rFonts w:ascii="Verdana" w:hAnsi="Verdana" w:cs="Arial"/>
                <w:lang w:val="pt-BR"/>
              </w:rPr>
              <w:t>octubre</w:t>
            </w:r>
            <w:proofErr w:type="spellEnd"/>
            <w:r w:rsidRPr="00C55BDE">
              <w:rPr>
                <w:rFonts w:ascii="Verdana" w:hAnsi="Verdana" w:cs="Arial"/>
                <w:lang w:val="pt-BR"/>
              </w:rPr>
              <w:t xml:space="preserve"> de 2024. Exp. 70.313. C.P: Fredy Ibarra Martínez.</w:t>
            </w:r>
          </w:p>
          <w:p w14:paraId="648C0B95" w14:textId="77777777" w:rsidR="00013201" w:rsidRPr="00C55BDE" w:rsidRDefault="00013201" w:rsidP="00902708">
            <w:pPr>
              <w:widowControl w:val="0"/>
              <w:numPr>
                <w:ilvl w:val="0"/>
                <w:numId w:val="17"/>
              </w:numPr>
              <w:autoSpaceDE w:val="0"/>
              <w:autoSpaceDN w:val="0"/>
              <w:spacing w:after="120" w:line="276" w:lineRule="auto"/>
              <w:jc w:val="both"/>
              <w:rPr>
                <w:rFonts w:ascii="Verdana" w:hAnsi="Verdana" w:cs="Arial"/>
                <w:lang w:val="es-ES"/>
              </w:rPr>
            </w:pPr>
            <w:r w:rsidRPr="00C55BDE">
              <w:rPr>
                <w:rFonts w:ascii="Verdana" w:eastAsia="Times New Roman" w:hAnsi="Verdana" w:cs="Times New Roman"/>
                <w:lang w:eastAsia="es-ES_tradnl"/>
              </w:rPr>
              <w:t xml:space="preserve">Consejo de Estado. Sala de lo Contencioso Administrativo. Sección Tercera. Subsección B. 17 de octubre de 2025. Magistrado Ponente: Fredy Ibarra Martínez.  </w:t>
            </w:r>
          </w:p>
          <w:p w14:paraId="6BA539B4" w14:textId="77777777" w:rsidR="00013201" w:rsidRPr="00C55BDE" w:rsidRDefault="00013201" w:rsidP="00902708">
            <w:pPr>
              <w:widowControl w:val="0"/>
              <w:numPr>
                <w:ilvl w:val="0"/>
                <w:numId w:val="17"/>
              </w:numPr>
              <w:autoSpaceDE w:val="0"/>
              <w:autoSpaceDN w:val="0"/>
              <w:spacing w:after="120" w:line="276" w:lineRule="auto"/>
              <w:jc w:val="both"/>
              <w:rPr>
                <w:rFonts w:ascii="Verdana" w:hAnsi="Verdana" w:cs="Arial"/>
                <w:lang w:val="es-ES"/>
              </w:rPr>
            </w:pPr>
            <w:r w:rsidRPr="00C55BDE">
              <w:rPr>
                <w:rFonts w:ascii="Verdana" w:hAnsi="Verdana" w:cs="Arial"/>
              </w:rPr>
              <w:t xml:space="preserve">Circular Externa No. 006 de 2025 </w:t>
            </w:r>
            <w:hyperlink r:id="rId13" w:history="1">
              <w:r w:rsidRPr="00C55BDE">
                <w:rPr>
                  <w:rFonts w:ascii="Verdana" w:hAnsi="Verdana" w:cs="Arial"/>
                  <w:color w:val="0000FF"/>
                  <w:u w:val="single"/>
                </w:rPr>
                <w:t>https://www.colombiacompra.gov.co/archivos/circular/circular-externa-006-de-2025</w:t>
              </w:r>
            </w:hyperlink>
            <w:r w:rsidRPr="00C55BDE">
              <w:rPr>
                <w:rFonts w:ascii="Verdana" w:hAnsi="Verdana" w:cs="Arial"/>
              </w:rPr>
              <w:t xml:space="preserve"> </w:t>
            </w:r>
          </w:p>
        </w:tc>
      </w:tr>
    </w:tbl>
    <w:p w14:paraId="6C824501" w14:textId="77777777" w:rsidR="00013201" w:rsidRPr="00C55BDE" w:rsidRDefault="00013201" w:rsidP="00013201">
      <w:pPr>
        <w:widowControl w:val="0"/>
        <w:autoSpaceDE w:val="0"/>
        <w:autoSpaceDN w:val="0"/>
        <w:spacing w:after="0" w:line="276" w:lineRule="auto"/>
        <w:jc w:val="both"/>
        <w:rPr>
          <w:rFonts w:ascii="Verdana" w:hAnsi="Verdana" w:cs="Arial"/>
          <w:lang w:val="es-ES_tradnl"/>
        </w:rPr>
      </w:pPr>
    </w:p>
    <w:p w14:paraId="5C9E1EEA" w14:textId="77777777" w:rsidR="00013201" w:rsidRPr="00C55BDE" w:rsidRDefault="00013201" w:rsidP="00013201">
      <w:pPr>
        <w:numPr>
          <w:ilvl w:val="0"/>
          <w:numId w:val="16"/>
        </w:numPr>
        <w:tabs>
          <w:tab w:val="left" w:pos="142"/>
          <w:tab w:val="left" w:pos="284"/>
        </w:tabs>
        <w:spacing w:after="0" w:line="276" w:lineRule="auto"/>
        <w:ind w:left="360"/>
        <w:jc w:val="both"/>
        <w:rPr>
          <w:rFonts w:ascii="Verdana" w:eastAsia="Century Gothic" w:hAnsi="Verdana" w:cs="Century Gothic"/>
          <w:b/>
          <w:bCs/>
          <w:lang w:val="es-ES_tradnl"/>
        </w:rPr>
      </w:pPr>
      <w:r w:rsidRPr="00C55BDE">
        <w:rPr>
          <w:rFonts w:ascii="Verdana" w:eastAsia="Century Gothic" w:hAnsi="Verdana" w:cs="Century Gothic"/>
          <w:b/>
          <w:bCs/>
          <w:lang w:val="es-ES_tradnl"/>
        </w:rPr>
        <w:t>Doctrina de la Agencia Nacional de Contratación Pública:</w:t>
      </w:r>
    </w:p>
    <w:p w14:paraId="3914D20C" w14:textId="77777777" w:rsidR="00013201" w:rsidRPr="00C55BDE" w:rsidRDefault="00013201" w:rsidP="00013201">
      <w:pPr>
        <w:widowControl w:val="0"/>
        <w:autoSpaceDE w:val="0"/>
        <w:autoSpaceDN w:val="0"/>
        <w:spacing w:after="0" w:line="276" w:lineRule="auto"/>
        <w:jc w:val="both"/>
        <w:rPr>
          <w:rFonts w:ascii="Verdana" w:hAnsi="Verdana" w:cs="Arial"/>
          <w:lang w:val="es-ES_tradnl"/>
        </w:rPr>
      </w:pPr>
    </w:p>
    <w:p w14:paraId="6ECAE46F" w14:textId="77777777" w:rsidR="00013201" w:rsidRPr="00C55BDE" w:rsidRDefault="00013201" w:rsidP="00013201">
      <w:pPr>
        <w:widowControl w:val="0"/>
        <w:autoSpaceDE w:val="0"/>
        <w:autoSpaceDN w:val="0"/>
        <w:spacing w:after="120" w:line="276" w:lineRule="auto"/>
        <w:jc w:val="both"/>
        <w:rPr>
          <w:rFonts w:ascii="Verdana" w:hAnsi="Verdana" w:cs="Arial"/>
          <w:shd w:val="clear" w:color="auto" w:fill="FFFFFF"/>
        </w:rPr>
      </w:pPr>
      <w:r w:rsidRPr="00C55BDE">
        <w:rPr>
          <w:rFonts w:ascii="Verdana" w:hAnsi="Verdana" w:cs="Arial"/>
          <w:shd w:val="clear" w:color="auto" w:fill="FFFFFF"/>
        </w:rPr>
        <w:t>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C-1186 del 17 de septiembre de 2025, C-1350 del 1˚ de octubre de 2025, C-1430 del 12 de noviembre del 2025 y C-1492 del 21 de noviembre del 2025</w:t>
      </w:r>
      <w:r>
        <w:rPr>
          <w:rFonts w:ascii="Verdana" w:hAnsi="Verdana" w:cs="Arial"/>
          <w:shd w:val="clear" w:color="auto" w:fill="FFFFFF"/>
        </w:rPr>
        <w:t xml:space="preserve"> y C-1608 del 4 de diciembre de 2025</w:t>
      </w:r>
      <w:r w:rsidRPr="00C55BDE">
        <w:rPr>
          <w:rFonts w:ascii="Verdana" w:hAnsi="Verdana" w:cs="Arial"/>
          <w:shd w:val="clear" w:color="auto" w:fill="FFFFFF"/>
        </w:rPr>
        <w:t>.</w:t>
      </w:r>
    </w:p>
    <w:p w14:paraId="78AA5A80" w14:textId="77777777" w:rsidR="00013201" w:rsidRPr="00C55BDE" w:rsidRDefault="00013201" w:rsidP="00013201">
      <w:pPr>
        <w:widowControl w:val="0"/>
        <w:autoSpaceDE w:val="0"/>
        <w:autoSpaceDN w:val="0"/>
        <w:spacing w:after="120" w:line="276" w:lineRule="auto"/>
        <w:jc w:val="both"/>
        <w:rPr>
          <w:rFonts w:ascii="Verdana" w:hAnsi="Verdana" w:cs="Arial"/>
          <w:shd w:val="clear" w:color="auto" w:fill="FFFFFF"/>
        </w:rPr>
      </w:pPr>
      <w:r w:rsidRPr="00C55BDE">
        <w:rPr>
          <w:rFonts w:ascii="Verdana" w:hAnsi="Verdana" w:cs="Arial"/>
          <w:shd w:val="clear" w:color="auto" w:fill="FFFFFF"/>
        </w:rPr>
        <w:lastRenderedPageBreak/>
        <w:t>Igualmente ha analizado el marco normativo de contratación con Pueblos Indígenas en los conceptos Nro. C-459 del 22 de diciembre del 2023, C-011 del 01 de marzo del 2024, C-012 del 21 de marzo del 2024, C-062 del 07 de junio del 2024, C-371 del 09 de agosto del 2024, C-256 del 30 de agosto del 2024, C-596 del 16 de octubre del 2024</w:t>
      </w:r>
      <w:r w:rsidRPr="00C55BDE">
        <w:rPr>
          <w:rFonts w:ascii="Verdana" w:hAnsi="Verdana" w:cs="Arial"/>
          <w:shd w:val="clear" w:color="auto" w:fill="FFFFFF"/>
          <w:lang w:val="es-ES"/>
        </w:rPr>
        <w:t>, C-484 del 2025, C-891 del 20 de diciembre del 2024, C-714 del 04 de julio del 2025, C-844 del 06 de agosto del 2025, C-1130 del 17 de septiembre del 2025 y C-1585 del 03 de diciembre del 2025.</w:t>
      </w:r>
      <w:r w:rsidRPr="00C55BDE">
        <w:rPr>
          <w:rFonts w:ascii="Verdana" w:hAnsi="Verdana" w:cs="Arial"/>
          <w:shd w:val="clear" w:color="auto" w:fill="FFFFFF"/>
        </w:rPr>
        <w:t xml:space="preserve"> </w:t>
      </w:r>
      <w:r w:rsidRPr="00C55BDE">
        <w:rPr>
          <w:rFonts w:ascii="Verdana" w:hAnsi="Verdana" w:cs="Arial"/>
          <w:shd w:val="clear" w:color="auto" w:fill="FFFFFF"/>
          <w:lang w:val="es-ES_tradnl"/>
        </w:rPr>
        <w:t xml:space="preserve">Estos conceptos se encuentran disponibles para consulta en el Sistema de relatoría de la Agencia, al cual puede accederse a través del siguiente enlace: </w:t>
      </w:r>
      <w:hyperlink r:id="rId14" w:history="1">
        <w:r w:rsidRPr="00C55BDE">
          <w:rPr>
            <w:rFonts w:ascii="Verdana" w:hAnsi="Verdana" w:cs="Arial"/>
            <w:color w:val="0000FF"/>
            <w:u w:val="single"/>
            <w:shd w:val="clear" w:color="auto" w:fill="FFFFFF"/>
            <w:lang w:val="es-ES_tradnl"/>
          </w:rPr>
          <w:t>https://relatoria.colombiacompra.gov.co/busqueda/conceptos</w:t>
        </w:r>
      </w:hyperlink>
      <w:r w:rsidRPr="00C55BDE">
        <w:rPr>
          <w:rFonts w:ascii="Verdana" w:hAnsi="Verdana" w:cs="Arial"/>
          <w:shd w:val="clear" w:color="auto" w:fill="FFFFFF"/>
          <w:lang w:val="es-ES_tradnl"/>
        </w:rPr>
        <w:t xml:space="preserve">. </w:t>
      </w:r>
      <w:r w:rsidRPr="00C55BDE">
        <w:rPr>
          <w:rFonts w:ascii="Verdana" w:hAnsi="Verdana" w:cs="Arial"/>
          <w:color w:val="FF0000"/>
          <w:shd w:val="clear" w:color="auto" w:fill="FFFFFF"/>
          <w:lang w:val="es-ES_tradnl"/>
        </w:rPr>
        <w:t xml:space="preserve"> </w:t>
      </w:r>
    </w:p>
    <w:p w14:paraId="3A5EDB29" w14:textId="77777777" w:rsidR="00013201" w:rsidRPr="00C55BDE" w:rsidRDefault="00013201" w:rsidP="00013201">
      <w:pPr>
        <w:shd w:val="clear" w:color="auto" w:fill="FFFFFF"/>
        <w:spacing w:after="120" w:line="276" w:lineRule="auto"/>
        <w:jc w:val="both"/>
        <w:rPr>
          <w:rFonts w:ascii="Verdana" w:hAnsi="Verdana"/>
          <w:color w:val="467886"/>
          <w:u w:val="single"/>
        </w:rPr>
      </w:pPr>
      <w:r w:rsidRPr="00C55BDE">
        <w:rPr>
          <w:rFonts w:ascii="Verdana" w:hAnsi="Verdana"/>
          <w:color w:val="000000"/>
          <w:lang w:val="es-ES_tradnl"/>
        </w:rPr>
        <w:t>Informamos</w:t>
      </w:r>
      <w:r w:rsidRPr="00C55BDE">
        <w:rPr>
          <w:rFonts w:ascii="Verdana" w:hAnsi="Verdana"/>
          <w:color w:val="000000"/>
        </w:rPr>
        <w:t xml:space="preserve"> que ya se encuentra disponible la </w:t>
      </w:r>
      <w:r w:rsidRPr="00C55BDE">
        <w:rPr>
          <w:rFonts w:ascii="Verdana" w:hAnsi="Verdana"/>
          <w:b/>
          <w:bCs/>
          <w:color w:val="000000"/>
        </w:rPr>
        <w:t>Guía de lineamientos de transparencia y selección objetiva para el departamento de La Guajira – Objetivo sexto constitucional de la Sentencia T-302 del 2017. </w:t>
      </w:r>
      <w:r w:rsidRPr="00C55BDE">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C55BDE">
        <w:rPr>
          <w:rFonts w:ascii="Verdana" w:hAnsi="Verdana"/>
          <w:color w:val="000000"/>
        </w:rPr>
        <w:t>Wayúu</w:t>
      </w:r>
      <w:proofErr w:type="spellEnd"/>
      <w:r w:rsidRPr="00C55BDE">
        <w:rPr>
          <w:rFonts w:ascii="Verdana" w:hAnsi="Verdana"/>
          <w:color w:val="000000"/>
        </w:rPr>
        <w:t>.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C55BDE">
          <w:rPr>
            <w:rFonts w:ascii="Verdana" w:hAnsi="Verdana"/>
            <w:color w:val="0000FF"/>
            <w:u w:val="single"/>
          </w:rPr>
          <w:t>Guía de lineamientos de transparencia y selección objetiva para el departamento de La Guajira – Objetivo sexto constitucional de la Sentencia T-302 del 2017</w:t>
        </w:r>
      </w:hyperlink>
      <w:r w:rsidRPr="00C55BDE">
        <w:rPr>
          <w:rFonts w:ascii="Verdana" w:hAnsi="Verdana"/>
          <w:color w:val="000000"/>
          <w:u w:val="single"/>
        </w:rPr>
        <w:t>.</w:t>
      </w:r>
    </w:p>
    <w:p w14:paraId="640A74B5" w14:textId="77777777" w:rsidR="00013201" w:rsidRPr="00C55BDE" w:rsidRDefault="00013201" w:rsidP="00013201">
      <w:pPr>
        <w:shd w:val="clear" w:color="auto" w:fill="FFFFFF"/>
        <w:spacing w:after="0" w:line="276" w:lineRule="auto"/>
        <w:jc w:val="both"/>
        <w:rPr>
          <w:rFonts w:ascii="Verdana" w:hAnsi="Verdana"/>
          <w:color w:val="467886"/>
          <w:u w:val="single"/>
        </w:rPr>
      </w:pPr>
      <w:r w:rsidRPr="00C55BDE">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02C222B" w14:textId="77777777" w:rsidR="00013201" w:rsidRPr="00C55BDE" w:rsidRDefault="00013201" w:rsidP="00013201">
      <w:pPr>
        <w:spacing w:after="0"/>
        <w:jc w:val="both"/>
        <w:rPr>
          <w:rFonts w:ascii="Verdana" w:hAnsi="Verdana"/>
        </w:rPr>
      </w:pPr>
    </w:p>
    <w:p w14:paraId="38277A01" w14:textId="77777777" w:rsidR="00013201" w:rsidRPr="00C55BDE" w:rsidRDefault="00013201" w:rsidP="00013201">
      <w:pPr>
        <w:numPr>
          <w:ilvl w:val="0"/>
          <w:numId w:val="15"/>
        </w:numPr>
        <w:spacing w:after="0" w:line="240" w:lineRule="auto"/>
        <w:contextualSpacing/>
        <w:jc w:val="both"/>
        <w:rPr>
          <w:rFonts w:ascii="Verdana" w:eastAsia="Verdana" w:hAnsi="Verdana" w:cs="Verdana"/>
          <w:color w:val="4472C4" w:themeColor="accent1"/>
          <w:u w:val="single"/>
          <w:lang w:val="es-MX"/>
        </w:rPr>
      </w:pPr>
      <w:r w:rsidRPr="00C55BDE">
        <w:rPr>
          <w:rFonts w:ascii="Verdana" w:eastAsia="Verdana" w:hAnsi="Verdana" w:cs="Verdana"/>
          <w:lang w:val="es-MX"/>
        </w:rPr>
        <w:t xml:space="preserve">Línea nacional gratuita o servicio a la ciudadanía (Mesa de servicio): </w:t>
      </w:r>
      <w:r w:rsidRPr="00C55BDE">
        <w:rPr>
          <w:rFonts w:ascii="Verdana" w:hAnsi="Verdana"/>
          <w:color w:val="0000FF"/>
          <w:u w:val="single"/>
          <w:lang w:val="es-ES"/>
        </w:rPr>
        <w:t>01800 0520808</w:t>
      </w:r>
    </w:p>
    <w:p w14:paraId="5D803C8C" w14:textId="77777777" w:rsidR="00013201" w:rsidRPr="00C55BDE" w:rsidRDefault="00013201" w:rsidP="00013201">
      <w:pPr>
        <w:numPr>
          <w:ilvl w:val="0"/>
          <w:numId w:val="15"/>
        </w:numPr>
        <w:spacing w:after="0"/>
        <w:contextualSpacing/>
        <w:rPr>
          <w:rFonts w:ascii="Verdana" w:eastAsia="Verdana" w:hAnsi="Verdana" w:cs="Verdana"/>
          <w:color w:val="4472C4" w:themeColor="accent1"/>
          <w:u w:val="single"/>
          <w:lang w:val="es-MX"/>
        </w:rPr>
      </w:pPr>
      <w:r w:rsidRPr="00C55BDE">
        <w:rPr>
          <w:rFonts w:ascii="Verdana" w:eastAsia="Verdana" w:hAnsi="Verdana" w:cs="Verdana"/>
          <w:lang w:val="es-MX"/>
        </w:rPr>
        <w:t>Línea en Bogotá (Mesa de servicio</w:t>
      </w:r>
      <w:proofErr w:type="gramStart"/>
      <w:r w:rsidRPr="00C55BDE">
        <w:rPr>
          <w:rFonts w:ascii="Verdana" w:eastAsia="Verdana" w:hAnsi="Verdana" w:cs="Verdana"/>
          <w:lang w:val="es-MX"/>
        </w:rPr>
        <w:t>):</w:t>
      </w:r>
      <w:r w:rsidRPr="00C55BDE">
        <w:rPr>
          <w:rFonts w:ascii="Verdana" w:hAnsi="Verdana"/>
          <w:color w:val="0000FF"/>
          <w:u w:val="single"/>
          <w:lang w:val="es-ES"/>
        </w:rPr>
        <w:t>+</w:t>
      </w:r>
      <w:proofErr w:type="gramEnd"/>
      <w:r w:rsidRPr="00C55BDE">
        <w:rPr>
          <w:rFonts w:ascii="Verdana" w:hAnsi="Verdana"/>
          <w:color w:val="0000FF"/>
          <w:u w:val="single"/>
          <w:lang w:val="es-ES"/>
        </w:rPr>
        <w:t>57 601 7456788</w:t>
      </w:r>
    </w:p>
    <w:p w14:paraId="1B9FBA54" w14:textId="77777777" w:rsidR="00013201" w:rsidRPr="00C55BDE" w:rsidRDefault="00013201" w:rsidP="00013201">
      <w:pPr>
        <w:numPr>
          <w:ilvl w:val="0"/>
          <w:numId w:val="15"/>
        </w:numPr>
        <w:spacing w:after="0"/>
        <w:contextualSpacing/>
        <w:rPr>
          <w:rFonts w:ascii="Verdana" w:eastAsia="Verdana" w:hAnsi="Verdana" w:cs="Verdana"/>
          <w:color w:val="0000FF"/>
          <w:u w:val="single"/>
          <w:lang w:val="es-MX"/>
        </w:rPr>
      </w:pPr>
      <w:r w:rsidRPr="00C55BDE">
        <w:rPr>
          <w:rFonts w:ascii="Verdana" w:eastAsia="Verdana" w:hAnsi="Verdana" w:cs="Verdana"/>
          <w:lang w:val="es-MX"/>
        </w:rPr>
        <w:t xml:space="preserve">Correo de radicación de correspondencia: </w:t>
      </w:r>
      <w:hyperlink r:id="rId16" w:history="1">
        <w:r w:rsidRPr="00C55BDE">
          <w:rPr>
            <w:rFonts w:ascii="Verdana" w:eastAsia="Verdana" w:hAnsi="Verdana" w:cs="Verdana"/>
            <w:color w:val="0000FF"/>
            <w:u w:val="single"/>
            <w:lang w:val="es-MX"/>
          </w:rPr>
          <w:t>ventanilladeradicacion@colombiacompra.gov.co</w:t>
        </w:r>
      </w:hyperlink>
    </w:p>
    <w:p w14:paraId="59BBD878" w14:textId="77777777" w:rsidR="00013201" w:rsidRPr="00C55BDE" w:rsidRDefault="00013201" w:rsidP="00013201">
      <w:pPr>
        <w:numPr>
          <w:ilvl w:val="0"/>
          <w:numId w:val="15"/>
        </w:numPr>
        <w:spacing w:after="0"/>
        <w:contextualSpacing/>
        <w:rPr>
          <w:rFonts w:ascii="Verdana" w:eastAsia="Verdana" w:hAnsi="Verdana" w:cs="Verdana"/>
          <w:color w:val="0000FF"/>
          <w:u w:val="single"/>
          <w:lang w:val="es-MX"/>
        </w:rPr>
      </w:pPr>
      <w:r w:rsidRPr="00C55BDE">
        <w:rPr>
          <w:rFonts w:ascii="Verdana" w:eastAsia="Verdana" w:hAnsi="Verdana" w:cs="Verdana"/>
          <w:lang w:val="es-ES"/>
        </w:rPr>
        <w:t xml:space="preserve">Formulario web para PQRSD: </w:t>
      </w:r>
      <w:hyperlink r:id="rId17" w:history="1">
        <w:r w:rsidRPr="00C55BDE">
          <w:rPr>
            <w:rFonts w:ascii="Verdana" w:eastAsia="Verdana" w:hAnsi="Verdana" w:cs="Verdana"/>
            <w:color w:val="0000FF"/>
            <w:u w:val="single"/>
            <w:lang w:val="es-MX"/>
          </w:rPr>
          <w:t>https://www.colombiacompra.gov.co/pqrsd/informacion-importante-antes-de-formular-una-pqrsd</w:t>
        </w:r>
      </w:hyperlink>
    </w:p>
    <w:p w14:paraId="166C5707" w14:textId="77777777" w:rsidR="00013201" w:rsidRPr="00C55BDE" w:rsidRDefault="00013201" w:rsidP="00013201">
      <w:pPr>
        <w:spacing w:after="0" w:line="240" w:lineRule="auto"/>
        <w:ind w:left="720"/>
        <w:jc w:val="both"/>
        <w:rPr>
          <w:rFonts w:ascii="Verdana" w:hAnsi="Verdana"/>
        </w:rPr>
      </w:pPr>
    </w:p>
    <w:p w14:paraId="55535C71" w14:textId="77777777" w:rsidR="00013201" w:rsidRPr="00C55BDE" w:rsidRDefault="00013201" w:rsidP="00013201">
      <w:pPr>
        <w:spacing w:after="0" w:line="276" w:lineRule="auto"/>
        <w:jc w:val="both"/>
        <w:rPr>
          <w:rFonts w:ascii="Verdana" w:hAnsi="Verdana"/>
        </w:rPr>
      </w:pPr>
      <w:r w:rsidRPr="00C55BDE">
        <w:rPr>
          <w:rFonts w:ascii="Verdana" w:hAnsi="Verdana"/>
        </w:rPr>
        <w:lastRenderedPageBreak/>
        <w:t xml:space="preserve">Evalúa el servicio que ofrece la Agencia por el canal de atención de PQRSD en el siguiente enlace: </w:t>
      </w:r>
      <w:hyperlink r:id="rId18" w:history="1">
        <w:r w:rsidRPr="00C55BDE">
          <w:rPr>
            <w:rStyle w:val="Hipervnculo"/>
            <w:rFonts w:ascii="Verdana" w:hAnsi="Verdana"/>
          </w:rPr>
          <w:t>https://forms.office.com/r/pPHyWVs2SZ</w:t>
        </w:r>
      </w:hyperlink>
      <w:r w:rsidRPr="00C55BDE">
        <w:rPr>
          <w:rFonts w:ascii="Verdana" w:hAnsi="Verdana"/>
        </w:rPr>
        <w:t xml:space="preserve"> .¡Ayúdanos a mejorar porque el compromiso es de todos!</w:t>
      </w:r>
    </w:p>
    <w:p w14:paraId="7A0E3E07" w14:textId="77777777" w:rsidR="00013201" w:rsidRPr="00C55BDE" w:rsidRDefault="00013201" w:rsidP="00013201">
      <w:pPr>
        <w:spacing w:after="0" w:line="240" w:lineRule="auto"/>
        <w:rPr>
          <w:rFonts w:ascii="Verdana" w:hAnsi="Verdana"/>
        </w:rPr>
      </w:pPr>
    </w:p>
    <w:p w14:paraId="0F6E90BA" w14:textId="77777777" w:rsidR="00013201" w:rsidRPr="00C55BDE" w:rsidRDefault="00013201" w:rsidP="00013201">
      <w:pPr>
        <w:spacing w:after="0" w:line="240" w:lineRule="auto"/>
        <w:jc w:val="both"/>
        <w:rPr>
          <w:rFonts w:ascii="Verdana" w:hAnsi="Verdana"/>
        </w:rPr>
      </w:pPr>
      <w:r w:rsidRPr="00C55BDE">
        <w:rPr>
          <w:rFonts w:ascii="Verdana" w:hAnsi="Verdana"/>
        </w:rPr>
        <w:t xml:space="preserve">Por último, lo invitamos a seguirnos en las redes sociales en las cuales se difunde información institucional: </w:t>
      </w:r>
    </w:p>
    <w:p w14:paraId="1FB2DE8D" w14:textId="77777777" w:rsidR="00013201" w:rsidRPr="00C55BDE" w:rsidRDefault="00013201" w:rsidP="00013201">
      <w:pPr>
        <w:spacing w:after="0" w:line="240" w:lineRule="auto"/>
        <w:jc w:val="both"/>
        <w:rPr>
          <w:rFonts w:ascii="Verdana" w:hAnsi="Verdana"/>
        </w:rPr>
      </w:pPr>
    </w:p>
    <w:p w14:paraId="2C109CCB" w14:textId="77777777" w:rsidR="00013201" w:rsidRPr="00C55BDE" w:rsidRDefault="00013201" w:rsidP="00013201">
      <w:pPr>
        <w:spacing w:after="0" w:line="240" w:lineRule="auto"/>
        <w:jc w:val="both"/>
        <w:rPr>
          <w:rFonts w:ascii="Verdana" w:hAnsi="Verdana"/>
        </w:rPr>
      </w:pPr>
      <w:r w:rsidRPr="00C55BDE">
        <w:rPr>
          <w:rFonts w:ascii="Verdana" w:hAnsi="Verdana"/>
        </w:rPr>
        <w:t xml:space="preserve">Twitter: </w:t>
      </w:r>
      <w:r w:rsidRPr="00C55BDE">
        <w:rPr>
          <w:rFonts w:ascii="Verdana" w:hAnsi="Verdana"/>
          <w:color w:val="0000FF"/>
          <w:u w:val="single"/>
        </w:rPr>
        <w:t>@colombiacompra</w:t>
      </w:r>
      <w:r w:rsidRPr="00C55BDE">
        <w:rPr>
          <w:rFonts w:ascii="Verdana" w:hAnsi="Verdana"/>
        </w:rPr>
        <w:t xml:space="preserve"> </w:t>
      </w:r>
    </w:p>
    <w:p w14:paraId="145BDBDC" w14:textId="77777777" w:rsidR="00013201" w:rsidRPr="00C55BDE" w:rsidRDefault="00013201" w:rsidP="00013201">
      <w:pPr>
        <w:spacing w:after="0" w:line="240" w:lineRule="auto"/>
        <w:jc w:val="both"/>
        <w:rPr>
          <w:rFonts w:ascii="Verdana" w:hAnsi="Verdana"/>
        </w:rPr>
      </w:pPr>
      <w:r w:rsidRPr="00C55BDE">
        <w:rPr>
          <w:rFonts w:ascii="Verdana" w:hAnsi="Verdana"/>
        </w:rPr>
        <w:t xml:space="preserve">Facebook: </w:t>
      </w:r>
      <w:proofErr w:type="spellStart"/>
      <w:r w:rsidRPr="00C55BDE">
        <w:rPr>
          <w:rFonts w:ascii="Verdana" w:hAnsi="Verdana"/>
          <w:color w:val="0000FF"/>
          <w:u w:val="single"/>
        </w:rPr>
        <w:t>ColombiaCompraEficiente</w:t>
      </w:r>
      <w:proofErr w:type="spellEnd"/>
    </w:p>
    <w:p w14:paraId="230E3EAC" w14:textId="77777777" w:rsidR="00013201" w:rsidRPr="00C55BDE" w:rsidRDefault="00013201" w:rsidP="00013201">
      <w:pPr>
        <w:spacing w:after="0" w:line="240" w:lineRule="auto"/>
        <w:jc w:val="both"/>
        <w:rPr>
          <w:rFonts w:ascii="Verdana" w:hAnsi="Verdana"/>
        </w:rPr>
      </w:pPr>
      <w:r w:rsidRPr="00C55BDE">
        <w:rPr>
          <w:rFonts w:ascii="Verdana" w:hAnsi="Verdana"/>
        </w:rPr>
        <w:t xml:space="preserve">LinkedIn: </w:t>
      </w:r>
      <w:r w:rsidRPr="00C55BDE">
        <w:rPr>
          <w:rFonts w:ascii="Verdana" w:hAnsi="Verdana"/>
          <w:color w:val="0000FF"/>
          <w:u w:val="single"/>
        </w:rPr>
        <w:t>Agencia Nacional de Contratación Pública - Colombia Compra Eficiente</w:t>
      </w:r>
      <w:r w:rsidRPr="00C55BDE">
        <w:rPr>
          <w:rFonts w:ascii="Verdana" w:hAnsi="Verdana"/>
        </w:rPr>
        <w:t xml:space="preserve"> Instagram: </w:t>
      </w:r>
      <w:r w:rsidRPr="00C55BDE">
        <w:rPr>
          <w:rFonts w:ascii="Verdana" w:hAnsi="Verdana"/>
          <w:color w:val="0000FF"/>
          <w:u w:val="single"/>
        </w:rPr>
        <w:t>@colombiacompraeficiente_cce</w:t>
      </w:r>
    </w:p>
    <w:p w14:paraId="7487055A" w14:textId="77777777" w:rsidR="00013201" w:rsidRPr="00C55BDE" w:rsidRDefault="00013201" w:rsidP="00013201">
      <w:pPr>
        <w:widowControl w:val="0"/>
        <w:autoSpaceDE w:val="0"/>
        <w:autoSpaceDN w:val="0"/>
        <w:spacing w:after="120" w:line="276" w:lineRule="auto"/>
        <w:jc w:val="both"/>
        <w:rPr>
          <w:rFonts w:ascii="Verdana" w:hAnsi="Verdana" w:cs="Arial"/>
          <w:color w:val="FF0000"/>
          <w:shd w:val="clear" w:color="auto" w:fill="FFFFFF"/>
          <w:lang w:val="es-ES_tradnl"/>
        </w:rPr>
      </w:pPr>
      <w:r w:rsidRPr="00C55BDE">
        <w:rPr>
          <w:rFonts w:ascii="Verdana" w:hAnsi="Verdana" w:cs="Arial"/>
          <w:color w:val="FF0000"/>
          <w:shd w:val="clear" w:color="auto" w:fill="FFFFFF"/>
          <w:lang w:val="es-ES_tradnl"/>
        </w:rPr>
        <w:t xml:space="preserve">        </w:t>
      </w:r>
    </w:p>
    <w:p w14:paraId="7AE548B9" w14:textId="77777777" w:rsidR="00013201" w:rsidRPr="00C55BDE" w:rsidRDefault="00013201" w:rsidP="00013201">
      <w:pPr>
        <w:widowControl w:val="0"/>
        <w:autoSpaceDE w:val="0"/>
        <w:autoSpaceDN w:val="0"/>
        <w:spacing w:after="0" w:line="276" w:lineRule="auto"/>
        <w:jc w:val="both"/>
        <w:rPr>
          <w:rFonts w:ascii="Verdana" w:hAnsi="Verdana" w:cs="Arial"/>
          <w:lang w:val="es-ES_tradnl"/>
        </w:rPr>
      </w:pPr>
      <w:r w:rsidRPr="00C55BDE">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4923EB4D" w14:textId="77777777" w:rsidR="00013201" w:rsidRPr="00C55BDE" w:rsidRDefault="00013201" w:rsidP="00013201">
      <w:pPr>
        <w:widowControl w:val="0"/>
        <w:autoSpaceDE w:val="0"/>
        <w:autoSpaceDN w:val="0"/>
        <w:spacing w:after="0" w:line="276" w:lineRule="auto"/>
        <w:jc w:val="both"/>
        <w:rPr>
          <w:rFonts w:ascii="Verdana" w:hAnsi="Verdana" w:cs="Arial"/>
          <w:lang w:val="es-ES_tradnl"/>
        </w:rPr>
      </w:pPr>
    </w:p>
    <w:p w14:paraId="0206B9D3" w14:textId="77777777" w:rsidR="00013201" w:rsidRPr="00C55BDE" w:rsidRDefault="00013201" w:rsidP="00013201">
      <w:pPr>
        <w:spacing w:after="0" w:line="240" w:lineRule="auto"/>
        <w:rPr>
          <w:rFonts w:ascii="Verdana" w:hAnsi="Verdana" w:cs="Arial"/>
          <w:lang w:val="es-ES_tradnl" w:eastAsia="es-CO"/>
        </w:rPr>
      </w:pPr>
      <w:r w:rsidRPr="00C55BDE">
        <w:rPr>
          <w:rFonts w:ascii="Verdana" w:eastAsia="Times New Roman" w:hAnsi="Verdana" w:cs="Arial"/>
          <w:lang w:val="es-ES" w:eastAsia="es-CO"/>
        </w:rPr>
        <w:t>Atentamente,</w:t>
      </w:r>
      <w:r w:rsidRPr="00C55BDE">
        <w:rPr>
          <w:rFonts w:ascii="Verdana" w:hAnsi="Verdana" w:cs="Arial"/>
          <w:lang w:val="es-ES" w:eastAsia="es-CO"/>
        </w:rPr>
        <w:t xml:space="preserve"> </w:t>
      </w:r>
    </w:p>
    <w:p w14:paraId="571386C1" w14:textId="78E5A9C3" w:rsidR="00013201" w:rsidRDefault="00E10E51" w:rsidP="00013201">
      <w:pPr>
        <w:spacing w:line="276" w:lineRule="auto"/>
        <w:jc w:val="center"/>
        <w:rPr>
          <w:rFonts w:ascii="Verdana" w:eastAsia="Calibri" w:hAnsi="Verdana" w:cs="Arial"/>
          <w:color w:val="000000"/>
          <w:lang w:val="es-ES_tradnl" w:eastAsia="es-CO"/>
        </w:rPr>
      </w:pPr>
      <w:r w:rsidRPr="002C3AD6">
        <w:rPr>
          <w:rFonts w:ascii="Century Gothic" w:hAnsi="Century Gothic"/>
          <w:noProof/>
        </w:rPr>
        <w:drawing>
          <wp:inline distT="0" distB="0" distL="0" distR="0" wp14:anchorId="1DAE8398" wp14:editId="4AFB2B78">
            <wp:extent cx="3771900" cy="131826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318444"/>
                    </a:xfrm>
                    <a:prstGeom prst="rect">
                      <a:avLst/>
                    </a:prstGeom>
                  </pic:spPr>
                </pic:pic>
              </a:graphicData>
            </a:graphic>
          </wp:inline>
        </w:drawing>
      </w:r>
    </w:p>
    <w:tbl>
      <w:tblPr>
        <w:tblStyle w:val="Tablaconcuadrcula11"/>
        <w:tblW w:w="6521" w:type="dxa"/>
        <w:tblLook w:val="04A0" w:firstRow="1" w:lastRow="0" w:firstColumn="1" w:lastColumn="0" w:noHBand="0" w:noVBand="1"/>
      </w:tblPr>
      <w:tblGrid>
        <w:gridCol w:w="893"/>
        <w:gridCol w:w="5628"/>
      </w:tblGrid>
      <w:tr w:rsidR="00013201" w14:paraId="3C90AF61" w14:textId="77777777" w:rsidTr="00902708">
        <w:trPr>
          <w:trHeight w:val="315"/>
        </w:trPr>
        <w:tc>
          <w:tcPr>
            <w:tcW w:w="893" w:type="dxa"/>
            <w:vAlign w:val="center"/>
            <w:hideMark/>
          </w:tcPr>
          <w:p w14:paraId="23256F50" w14:textId="77777777" w:rsidR="00013201" w:rsidRDefault="00013201" w:rsidP="00902708">
            <w:pPr>
              <w:spacing w:after="255" w:line="254" w:lineRule="auto"/>
              <w:contextualSpacing/>
              <w:rPr>
                <w:rFonts w:ascii="Verdana" w:eastAsia="Calibri" w:hAnsi="Verdana"/>
                <w:sz w:val="16"/>
                <w:szCs w:val="16"/>
                <w:lang w:eastAsia="es-ES"/>
              </w:rPr>
            </w:pPr>
            <w:r>
              <w:rPr>
                <w:rFonts w:ascii="Verdana" w:eastAsia="Calibri" w:hAnsi="Verdana"/>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6E2C0855" w14:textId="77777777" w:rsidR="00013201" w:rsidRDefault="00013201" w:rsidP="00902708">
            <w:pPr>
              <w:spacing w:after="255" w:line="254" w:lineRule="auto"/>
              <w:contextualSpacing/>
              <w:rPr>
                <w:rFonts w:ascii="Verdana" w:eastAsia="Calibri" w:hAnsi="Verdana" w:cs="Times New Roman"/>
                <w:sz w:val="16"/>
                <w:szCs w:val="16"/>
              </w:rPr>
            </w:pPr>
            <w:r>
              <w:rPr>
                <w:rFonts w:ascii="Verdana" w:eastAsia="Calibri" w:hAnsi="Verdana" w:cs="Times New Roman"/>
                <w:sz w:val="16"/>
                <w:szCs w:val="16"/>
              </w:rPr>
              <w:t>Tatiana Baquero Iguarán</w:t>
            </w:r>
          </w:p>
          <w:p w14:paraId="2A488E88" w14:textId="77777777" w:rsidR="00013201" w:rsidRDefault="00013201" w:rsidP="00902708">
            <w:pPr>
              <w:spacing w:after="255" w:line="254" w:lineRule="auto"/>
              <w:contextualSpacing/>
              <w:rPr>
                <w:rFonts w:ascii="Verdana" w:hAnsi="Verdana"/>
                <w:sz w:val="16"/>
                <w:szCs w:val="16"/>
              </w:rPr>
            </w:pPr>
            <w:r>
              <w:rPr>
                <w:rFonts w:ascii="Verdana" w:eastAsia="Calibri" w:hAnsi="Verdana" w:cs="Times New Roman"/>
                <w:sz w:val="16"/>
                <w:szCs w:val="16"/>
              </w:rPr>
              <w:t>Contratista de la Subdirección de Gestión Contractual</w:t>
            </w:r>
          </w:p>
        </w:tc>
      </w:tr>
      <w:tr w:rsidR="00013201" w14:paraId="52233958" w14:textId="77777777" w:rsidTr="00902708">
        <w:trPr>
          <w:trHeight w:val="330"/>
        </w:trPr>
        <w:tc>
          <w:tcPr>
            <w:tcW w:w="893" w:type="dxa"/>
            <w:vAlign w:val="center"/>
            <w:hideMark/>
          </w:tcPr>
          <w:p w14:paraId="15A4EA04" w14:textId="77777777" w:rsidR="00013201" w:rsidRDefault="00013201" w:rsidP="00902708">
            <w:pPr>
              <w:spacing w:after="255" w:line="254" w:lineRule="auto"/>
              <w:contextualSpacing/>
              <w:rPr>
                <w:rFonts w:ascii="Verdana" w:eastAsia="Calibri" w:hAnsi="Verdana"/>
                <w:sz w:val="16"/>
                <w:szCs w:val="16"/>
                <w:lang w:eastAsia="es-ES"/>
              </w:rPr>
            </w:pPr>
            <w:r>
              <w:rPr>
                <w:rFonts w:ascii="Verdana" w:eastAsia="Calibri" w:hAnsi="Verdana"/>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2B263C2" w14:textId="77777777" w:rsidR="00013201" w:rsidRDefault="00013201" w:rsidP="00902708">
            <w:pPr>
              <w:spacing w:before="100" w:beforeAutospacing="1" w:after="100" w:afterAutospacing="1" w:line="254" w:lineRule="auto"/>
              <w:contextualSpacing/>
              <w:textAlignment w:val="baseline"/>
              <w:rPr>
                <w:rFonts w:ascii="Verdana" w:eastAsia="Times New Roman" w:hAnsi="Verdana"/>
                <w:sz w:val="16"/>
                <w:szCs w:val="16"/>
                <w:lang w:eastAsia="es-ES_tradnl"/>
              </w:rPr>
            </w:pPr>
            <w:r>
              <w:rPr>
                <w:rFonts w:ascii="Verdana" w:eastAsia="Times New Roman" w:hAnsi="Verdana"/>
                <w:sz w:val="16"/>
                <w:szCs w:val="16"/>
                <w:lang w:eastAsia="es-ES_tradnl"/>
              </w:rPr>
              <w:t>Alejandro Sarmiento Cantillo</w:t>
            </w:r>
          </w:p>
          <w:p w14:paraId="40A9EE2E" w14:textId="77777777" w:rsidR="00013201" w:rsidRDefault="00013201" w:rsidP="00902708">
            <w:pPr>
              <w:spacing w:after="255" w:line="254" w:lineRule="auto"/>
              <w:contextualSpacing/>
              <w:textAlignment w:val="baseline"/>
              <w:rPr>
                <w:rFonts w:ascii="Verdana" w:eastAsia="Times New Roman" w:hAnsi="Verdana" w:cs="Segoe UI"/>
                <w:sz w:val="16"/>
                <w:szCs w:val="16"/>
                <w:lang w:eastAsia="es-ES_tradnl"/>
              </w:rPr>
            </w:pPr>
            <w:r>
              <w:rPr>
                <w:rFonts w:ascii="Verdana" w:eastAsia="Times New Roman" w:hAnsi="Verdana"/>
                <w:sz w:val="16"/>
                <w:szCs w:val="16"/>
                <w:lang w:eastAsia="es-ES_tradnl"/>
              </w:rPr>
              <w:t>Gestor T1 ‒ 15 de la Subdirección de Gestión Contractual </w:t>
            </w:r>
          </w:p>
        </w:tc>
      </w:tr>
      <w:tr w:rsidR="00013201" w14:paraId="118CC86E" w14:textId="77777777" w:rsidTr="00902708">
        <w:trPr>
          <w:trHeight w:val="300"/>
        </w:trPr>
        <w:tc>
          <w:tcPr>
            <w:tcW w:w="893" w:type="dxa"/>
            <w:vAlign w:val="center"/>
            <w:hideMark/>
          </w:tcPr>
          <w:p w14:paraId="2C5BCE9F" w14:textId="77777777" w:rsidR="00013201" w:rsidRDefault="00013201" w:rsidP="00902708">
            <w:pPr>
              <w:spacing w:after="255" w:line="254" w:lineRule="auto"/>
              <w:contextualSpacing/>
              <w:rPr>
                <w:rFonts w:ascii="Verdana" w:eastAsia="Calibri" w:hAnsi="Verdana"/>
                <w:sz w:val="16"/>
                <w:szCs w:val="16"/>
                <w:lang w:eastAsia="es-ES"/>
              </w:rPr>
            </w:pPr>
            <w:r>
              <w:rPr>
                <w:rFonts w:ascii="Verdana" w:eastAsia="Calibri" w:hAnsi="Verdana"/>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9126195" w14:textId="77777777" w:rsidR="00013201" w:rsidRDefault="00013201" w:rsidP="00902708">
            <w:pPr>
              <w:spacing w:after="255" w:line="254" w:lineRule="auto"/>
              <w:contextualSpacing/>
              <w:rPr>
                <w:rFonts w:ascii="Verdana" w:eastAsia="Calibri" w:hAnsi="Verdana"/>
                <w:sz w:val="16"/>
                <w:szCs w:val="16"/>
                <w:lang w:val="pt-BR" w:eastAsia="es-ES"/>
              </w:rPr>
            </w:pPr>
            <w:r>
              <w:rPr>
                <w:rFonts w:ascii="Verdana" w:eastAsia="Calibri" w:hAnsi="Verdana"/>
                <w:sz w:val="16"/>
                <w:szCs w:val="16"/>
                <w:lang w:val="pt-BR" w:eastAsia="es-ES"/>
              </w:rPr>
              <w:t xml:space="preserve">Carolina Quintero </w:t>
            </w:r>
            <w:proofErr w:type="spellStart"/>
            <w:r>
              <w:rPr>
                <w:rFonts w:ascii="Verdana" w:eastAsia="Calibri" w:hAnsi="Verdana"/>
                <w:sz w:val="16"/>
                <w:szCs w:val="16"/>
                <w:lang w:val="pt-BR" w:eastAsia="es-ES"/>
              </w:rPr>
              <w:t>Gacharná</w:t>
            </w:r>
            <w:proofErr w:type="spellEnd"/>
          </w:p>
          <w:p w14:paraId="31367755" w14:textId="77777777" w:rsidR="00013201" w:rsidRDefault="00013201" w:rsidP="00902708">
            <w:pPr>
              <w:spacing w:after="255" w:line="254" w:lineRule="auto"/>
              <w:contextualSpacing/>
              <w:rPr>
                <w:rFonts w:ascii="Verdana" w:eastAsia="Calibri" w:hAnsi="Verdana"/>
                <w:sz w:val="16"/>
                <w:szCs w:val="16"/>
                <w:lang w:val="pt-BR" w:eastAsia="es-ES"/>
              </w:rPr>
            </w:pPr>
            <w:r>
              <w:rPr>
                <w:rFonts w:ascii="Verdana" w:eastAsia="Calibri" w:hAnsi="Verdana"/>
                <w:sz w:val="16"/>
                <w:szCs w:val="16"/>
                <w:lang w:eastAsia="es-ES"/>
              </w:rPr>
              <w:t>Subdirectora</w:t>
            </w:r>
            <w:r>
              <w:rPr>
                <w:rFonts w:ascii="Verdana" w:eastAsia="Calibri" w:hAnsi="Verdana"/>
                <w:sz w:val="16"/>
                <w:szCs w:val="16"/>
                <w:lang w:val="pt-BR" w:eastAsia="es-ES"/>
              </w:rPr>
              <w:t xml:space="preserve"> de Gestión Contratual ANCP – CCE</w:t>
            </w:r>
          </w:p>
        </w:tc>
      </w:tr>
    </w:tbl>
    <w:p w14:paraId="60F1E18D" w14:textId="77777777" w:rsidR="00013201" w:rsidRDefault="00013201" w:rsidP="00013201">
      <w:pPr>
        <w:spacing w:after="0" w:line="240" w:lineRule="auto"/>
        <w:rPr>
          <w:rFonts w:ascii="Verdana" w:eastAsia="Times New Roman" w:hAnsi="Verdana" w:cs="Arial"/>
          <w:sz w:val="24"/>
          <w:szCs w:val="24"/>
          <w:lang w:eastAsia="es-ES"/>
        </w:rPr>
      </w:pPr>
    </w:p>
    <w:p w14:paraId="3A66C3E7" w14:textId="77777777" w:rsidR="00013201" w:rsidRDefault="00013201" w:rsidP="00013201"/>
    <w:p w14:paraId="39C43C29" w14:textId="77777777" w:rsidR="00013201" w:rsidRDefault="00013201" w:rsidP="00013201"/>
    <w:p w14:paraId="3844D3F3" w14:textId="77777777" w:rsidR="00013201" w:rsidRPr="00C55BDE" w:rsidRDefault="00013201" w:rsidP="00013201">
      <w:pPr>
        <w:spacing w:after="0"/>
        <w:rPr>
          <w:rFonts w:ascii="Verdana" w:eastAsia="Times New Roman" w:hAnsi="Verdana" w:cs="Segoe UI"/>
          <w:lang w:val="es-ES" w:eastAsia="es-CO"/>
        </w:rPr>
      </w:pPr>
    </w:p>
    <w:p w14:paraId="4383F010" w14:textId="77777777" w:rsidR="00013201" w:rsidRPr="00B32004" w:rsidRDefault="00013201" w:rsidP="00013201"/>
    <w:bookmarkEnd w:id="0"/>
    <w:p w14:paraId="25F2AF7F" w14:textId="77777777" w:rsidR="007D4B2E" w:rsidRPr="00C55BDE" w:rsidRDefault="007D4B2E" w:rsidP="00C15139">
      <w:pPr>
        <w:spacing w:after="0"/>
        <w:rPr>
          <w:rFonts w:ascii="Verdana" w:hAnsi="Verdana"/>
        </w:rPr>
      </w:pPr>
    </w:p>
    <w:sectPr w:rsidR="007D4B2E" w:rsidRPr="00C55BDE"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D2A2E" w14:textId="77777777" w:rsidR="0027509F" w:rsidRDefault="0027509F" w:rsidP="004A1847">
      <w:pPr>
        <w:spacing w:after="0" w:line="240" w:lineRule="auto"/>
      </w:pPr>
      <w:r>
        <w:separator/>
      </w:r>
    </w:p>
  </w:endnote>
  <w:endnote w:type="continuationSeparator" w:id="0">
    <w:p w14:paraId="08507FE3" w14:textId="77777777" w:rsidR="0027509F" w:rsidRDefault="0027509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D1431" w14:textId="77777777" w:rsidR="0027509F" w:rsidRDefault="0027509F" w:rsidP="004A1847">
      <w:pPr>
        <w:spacing w:after="0" w:line="240" w:lineRule="auto"/>
      </w:pPr>
      <w:r>
        <w:separator/>
      </w:r>
    </w:p>
  </w:footnote>
  <w:footnote w:type="continuationSeparator" w:id="0">
    <w:p w14:paraId="2CF3235A" w14:textId="77777777" w:rsidR="0027509F" w:rsidRDefault="0027509F" w:rsidP="004A1847">
      <w:pPr>
        <w:spacing w:after="0" w:line="240" w:lineRule="auto"/>
      </w:pPr>
      <w:r>
        <w:continuationSeparator/>
      </w:r>
    </w:p>
  </w:footnote>
  <w:footnote w:id="1">
    <w:p w14:paraId="42D6F092" w14:textId="77777777" w:rsidR="00013201" w:rsidRPr="00454929" w:rsidRDefault="00013201" w:rsidP="00013201">
      <w:pPr>
        <w:pStyle w:val="Textonotapie"/>
        <w:ind w:firstLine="709"/>
        <w:jc w:val="both"/>
        <w:rPr>
          <w:rFonts w:ascii="Verdana"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Decreto 1953 de 2014: “Artículo 13. Competencias Generales de los Territorios Indígenas. Los Territorios Indígenas ejercerán las siguientes competencias dentro del ámbito de su autonomía para la gestión de sus intereses en el marco de sus planes de vida:</w:t>
      </w:r>
    </w:p>
    <w:p w14:paraId="4AD7DA8B" w14:textId="77777777" w:rsidR="00013201" w:rsidRPr="00454929" w:rsidRDefault="00013201" w:rsidP="00013201">
      <w:pPr>
        <w:pStyle w:val="Textonotapie"/>
        <w:ind w:firstLine="709"/>
        <w:jc w:val="both"/>
        <w:rPr>
          <w:rFonts w:ascii="Verdana" w:hAnsi="Verdana" w:cs="Arial"/>
          <w:sz w:val="16"/>
          <w:szCs w:val="16"/>
        </w:rPr>
      </w:pPr>
      <w:r w:rsidRPr="00454929">
        <w:rPr>
          <w:rFonts w:ascii="Verdana" w:hAnsi="Verdana" w:cs="Arial"/>
          <w:sz w:val="16"/>
          <w:szCs w:val="16"/>
        </w:rPr>
        <w:t>“1. Gobernarse por Autoridades Propias de acuerdo con la ley de origen, derecho mayor o derecho propio.</w:t>
      </w:r>
    </w:p>
    <w:p w14:paraId="55E7E79A" w14:textId="77777777" w:rsidR="00013201" w:rsidRPr="00454929" w:rsidRDefault="00013201" w:rsidP="00013201">
      <w:pPr>
        <w:pStyle w:val="Textonotapie"/>
        <w:ind w:firstLine="709"/>
        <w:jc w:val="both"/>
        <w:rPr>
          <w:rFonts w:ascii="Verdana" w:hAnsi="Verdana" w:cs="Arial"/>
          <w:sz w:val="16"/>
          <w:szCs w:val="16"/>
        </w:rPr>
      </w:pPr>
      <w:r w:rsidRPr="00454929">
        <w:rPr>
          <w:rFonts w:ascii="Verdana" w:hAnsi="Verdana" w:cs="Arial"/>
          <w:sz w:val="16"/>
          <w:szCs w:val="16"/>
        </w:rPr>
        <w:t>“2. Ejercer las competencias y derechos establecidos en este decreto, conforme con la Constitución Política, la legislación nacional e internacional que hace parte del bloque de constitucionalidad, la ley de origen, el derecho mayor o derecho propio.</w:t>
      </w:r>
    </w:p>
    <w:p w14:paraId="3CACE85F" w14:textId="77777777" w:rsidR="00013201" w:rsidRPr="00454929" w:rsidRDefault="00013201" w:rsidP="00013201">
      <w:pPr>
        <w:pStyle w:val="Textonotapie"/>
        <w:ind w:firstLine="709"/>
        <w:jc w:val="both"/>
        <w:rPr>
          <w:rFonts w:ascii="Verdana" w:hAnsi="Verdana" w:cs="Arial"/>
          <w:sz w:val="16"/>
          <w:szCs w:val="16"/>
        </w:rPr>
      </w:pPr>
      <w:r w:rsidRPr="00454929">
        <w:rPr>
          <w:rFonts w:ascii="Verdana" w:hAnsi="Verdana" w:cs="Arial"/>
          <w:sz w:val="16"/>
          <w:szCs w:val="16"/>
        </w:rPr>
        <w:t>“3. Definir, ejecutar y evaluar las políticas económicas, sociales, ambientales y culturales propias en el marco de los planes de vida, en los respectivos territorios dentro del marco de la legislación nacional, y conforme a los principios de coordinación, concurrencia y subsidiariedad.</w:t>
      </w:r>
    </w:p>
    <w:p w14:paraId="505B4DCA" w14:textId="77777777" w:rsidR="00013201" w:rsidRPr="00454929" w:rsidRDefault="00013201" w:rsidP="00013201">
      <w:pPr>
        <w:pStyle w:val="Textonotapie"/>
        <w:ind w:firstLine="709"/>
        <w:jc w:val="both"/>
        <w:rPr>
          <w:rFonts w:ascii="Verdana" w:hAnsi="Verdana" w:cs="Arial"/>
          <w:sz w:val="16"/>
          <w:szCs w:val="16"/>
        </w:rPr>
      </w:pPr>
      <w:r w:rsidRPr="00454929">
        <w:rPr>
          <w:rFonts w:ascii="Verdana" w:hAnsi="Verdana" w:cs="Arial"/>
          <w:sz w:val="16"/>
          <w:szCs w:val="16"/>
        </w:rPr>
        <w:t>“4. Darse sus estructuras de gobierno propio y de coordinación para efectos del desarrollo de sus respectivas competencias.</w:t>
      </w:r>
    </w:p>
    <w:p w14:paraId="59C430F2" w14:textId="77777777" w:rsidR="00013201" w:rsidRPr="00454929" w:rsidRDefault="00013201" w:rsidP="00013201">
      <w:pPr>
        <w:pStyle w:val="Textonotapie"/>
        <w:ind w:firstLine="708"/>
        <w:jc w:val="both"/>
        <w:rPr>
          <w:rFonts w:ascii="Verdana" w:hAnsi="Verdana" w:cs="Arial"/>
          <w:sz w:val="16"/>
          <w:szCs w:val="16"/>
        </w:rPr>
      </w:pPr>
      <w:r w:rsidRPr="00454929">
        <w:rPr>
          <w:rFonts w:ascii="Verdana" w:hAnsi="Verdana" w:cs="Arial"/>
          <w:sz w:val="16"/>
          <w:szCs w:val="16"/>
        </w:rPr>
        <w:t>“5. Percibir y administrar los recursos provenientes de fuentes de financiación públicas y/o privadas para el desarrollo de sus funciones y competencias de acuerdo con lo establecido en este decreto”.</w:t>
      </w:r>
    </w:p>
  </w:footnote>
  <w:footnote w:id="2">
    <w:p w14:paraId="5696A9B3" w14:textId="77777777" w:rsidR="00013201" w:rsidRPr="00454929" w:rsidRDefault="00013201" w:rsidP="00013201">
      <w:pPr>
        <w:pStyle w:val="Textonotapie"/>
        <w:ind w:firstLine="708"/>
        <w:jc w:val="both"/>
        <w:rPr>
          <w:rFonts w:ascii="Verdana"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Decreto 1088 de 1993: “Artículo 1° Aplicabilidad. Los Cabildos y/o Autoridades Tradicionales Indígenas, en representación de sus respectivos territorios indígenas, podrán conformar asociaciones de conformidad con el presente Decreto. </w:t>
      </w:r>
    </w:p>
    <w:p w14:paraId="6CF9268B" w14:textId="77777777" w:rsidR="00013201" w:rsidRPr="00454929" w:rsidRDefault="00013201" w:rsidP="00013201">
      <w:pPr>
        <w:pStyle w:val="Textonotapie"/>
        <w:ind w:firstLine="708"/>
        <w:jc w:val="both"/>
        <w:rPr>
          <w:rFonts w:ascii="Verdana" w:hAnsi="Verdana" w:cs="Arial"/>
          <w:sz w:val="16"/>
          <w:szCs w:val="16"/>
        </w:rPr>
      </w:pPr>
      <w:r w:rsidRPr="00454929">
        <w:rPr>
          <w:rFonts w:ascii="Verdana" w:hAnsi="Verdana" w:cs="Arial"/>
          <w:sz w:val="16"/>
          <w:szCs w:val="16"/>
        </w:rPr>
        <w:t>“Artículo 2° Naturaleza Jurídica. Las asociaciones de que trata el presente Decreto son entidades de Derecho Público de carácter especial, con personería jurídica, patrimonio propio y autonomía administrativa”.</w:t>
      </w:r>
    </w:p>
  </w:footnote>
  <w:footnote w:id="3">
    <w:p w14:paraId="2D489FA1" w14:textId="77777777" w:rsidR="00013201" w:rsidRPr="00454929" w:rsidRDefault="00013201" w:rsidP="00013201">
      <w:pPr>
        <w:shd w:val="clear" w:color="auto" w:fill="FFFFFF"/>
        <w:spacing w:after="0" w:line="240" w:lineRule="auto"/>
        <w:ind w:firstLine="708"/>
        <w:jc w:val="both"/>
        <w:rPr>
          <w:rFonts w:ascii="Verdana" w:hAnsi="Verdana" w:cs="Arial"/>
          <w:color w:val="2D2D2D"/>
          <w:sz w:val="16"/>
          <w:szCs w:val="16"/>
          <w:lang w:eastAsia="es-CO"/>
        </w:rPr>
      </w:pPr>
      <w:r w:rsidRPr="00454929">
        <w:rPr>
          <w:rStyle w:val="Refdenotaalpie"/>
          <w:rFonts w:ascii="Verdana" w:hAnsi="Verdana" w:cs="Arial"/>
          <w:sz w:val="16"/>
          <w:szCs w:val="16"/>
        </w:rPr>
        <w:footnoteRef/>
      </w:r>
      <w:r w:rsidRPr="00454929">
        <w:rPr>
          <w:rFonts w:ascii="Verdana" w:hAnsi="Verdana" w:cs="Arial"/>
          <w:sz w:val="16"/>
          <w:szCs w:val="16"/>
        </w:rPr>
        <w:t xml:space="preserve"> Sobre la noción de Resguardos indígenas la Corte Constitucional: “</w:t>
      </w:r>
      <w:r w:rsidRPr="00454929">
        <w:rPr>
          <w:rFonts w:ascii="Verdana" w:hAnsi="Verdana" w:cs="Arial"/>
          <w:color w:val="2D2D2D"/>
          <w:sz w:val="16"/>
          <w:szCs w:val="16"/>
          <w:lang w:eastAsia="es-CO"/>
        </w:rPr>
        <w:t>Cabe recordar, que los resguardos indígenas se remontan a la época de la colonización española, fueron creados por Cédula Real y deben su nombre al propósito de “</w:t>
      </w:r>
      <w:r w:rsidRPr="00454929">
        <w:rPr>
          <w:rFonts w:ascii="Verdana" w:hAnsi="Verdana" w:cs="Arial"/>
          <w:i/>
          <w:color w:val="2D2D2D"/>
          <w:sz w:val="16"/>
          <w:szCs w:val="16"/>
          <w:lang w:eastAsia="es-CO"/>
        </w:rPr>
        <w:t>resguardar</w:t>
      </w:r>
      <w:r w:rsidRPr="00454929">
        <w:rPr>
          <w:rFonts w:ascii="Verdana" w:hAnsi="Verdana" w:cs="Arial"/>
          <w:color w:val="2D2D2D"/>
          <w:sz w:val="16"/>
          <w:szCs w:val="16"/>
          <w:lang w:eastAsia="es-CO"/>
        </w:rPr>
        <w:t xml:space="preserve">” a las comunidades indígenas del desalojo, el despojo y el exterminio al que estaban siendo sometidas por parte de los denominados conquistadores. </w:t>
      </w:r>
    </w:p>
    <w:p w14:paraId="5620A426" w14:textId="77777777" w:rsidR="00013201" w:rsidRPr="00454929" w:rsidRDefault="00013201" w:rsidP="00013201">
      <w:pPr>
        <w:shd w:val="clear" w:color="auto" w:fill="FFFFFF"/>
        <w:spacing w:after="0" w:line="240" w:lineRule="auto"/>
        <w:ind w:firstLine="708"/>
        <w:jc w:val="both"/>
        <w:rPr>
          <w:rFonts w:ascii="Verdana" w:hAnsi="Verdana" w:cs="Arial"/>
          <w:color w:val="2D2D2D"/>
          <w:sz w:val="16"/>
          <w:szCs w:val="16"/>
          <w:lang w:eastAsia="es-CO"/>
        </w:rPr>
      </w:pPr>
    </w:p>
  </w:footnote>
  <w:footnote w:id="4">
    <w:p w14:paraId="3D463CA4" w14:textId="77777777" w:rsidR="00013201" w:rsidRPr="00454929" w:rsidRDefault="00013201" w:rsidP="00013201">
      <w:pPr>
        <w:pStyle w:val="NormalWeb"/>
        <w:spacing w:before="0" w:beforeAutospacing="0" w:after="0" w:afterAutospacing="0"/>
        <w:ind w:firstLine="708"/>
        <w:jc w:val="both"/>
        <w:rPr>
          <w:rFonts w:ascii="Verdana" w:hAnsi="Verdana" w:cs="Arial"/>
          <w:color w:val="000000"/>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Ley 160 de 1994: “</w:t>
      </w:r>
      <w:r w:rsidRPr="00454929">
        <w:rPr>
          <w:rFonts w:ascii="Verdana" w:hAnsi="Verdana" w:cs="Arial"/>
          <w:color w:val="000000"/>
          <w:sz w:val="16"/>
          <w:szCs w:val="16"/>
        </w:rPr>
        <w:t>Artículo 12. Son funciones del Instituto Colombiano de la Reforma Agraria:  </w:t>
      </w:r>
    </w:p>
    <w:p w14:paraId="4A913C90" w14:textId="77777777" w:rsidR="00013201" w:rsidRPr="00454929" w:rsidRDefault="00013201" w:rsidP="00013201">
      <w:pPr>
        <w:spacing w:after="0" w:line="240" w:lineRule="auto"/>
        <w:ind w:firstLine="708"/>
        <w:jc w:val="both"/>
        <w:rPr>
          <w:rFonts w:ascii="Verdana" w:hAnsi="Verdana" w:cs="Arial"/>
          <w:color w:val="000000"/>
          <w:sz w:val="16"/>
          <w:szCs w:val="16"/>
          <w:lang w:eastAsia="es-CO"/>
        </w:rPr>
      </w:pPr>
      <w:r w:rsidRPr="00454929">
        <w:rPr>
          <w:rFonts w:ascii="Verdana" w:hAnsi="Verdana" w:cs="Arial"/>
          <w:color w:val="000000"/>
          <w:sz w:val="16"/>
          <w:szCs w:val="16"/>
          <w:lang w:eastAsia="es-CO"/>
        </w:rPr>
        <w:t>[…]</w:t>
      </w:r>
    </w:p>
    <w:p w14:paraId="40CD4A1D" w14:textId="77777777" w:rsidR="00013201" w:rsidRPr="00454929" w:rsidRDefault="00013201" w:rsidP="00013201">
      <w:pPr>
        <w:spacing w:after="0" w:line="240" w:lineRule="auto"/>
        <w:ind w:firstLine="708"/>
        <w:jc w:val="both"/>
        <w:rPr>
          <w:rFonts w:ascii="Verdana" w:hAnsi="Verdana" w:cs="Arial"/>
          <w:color w:val="000000"/>
          <w:sz w:val="16"/>
          <w:szCs w:val="16"/>
          <w:lang w:eastAsia="es-CO"/>
        </w:rPr>
      </w:pPr>
      <w:r w:rsidRPr="00454929">
        <w:rPr>
          <w:rFonts w:ascii="Verdana" w:hAnsi="Verdana" w:cs="Arial"/>
          <w:color w:val="000000"/>
          <w:sz w:val="16"/>
          <w:szCs w:val="16"/>
          <w:lang w:eastAsia="es-CO"/>
        </w:rPr>
        <w:t>“18. Estudiar las necesidades de tierras de las comunidades indígenas y constituir, ampliar, sanear y reestructurar los resguardos en beneficio de las respectivas parcialidades […]”.</w:t>
      </w:r>
    </w:p>
    <w:p w14:paraId="1EA1004C" w14:textId="77777777" w:rsidR="00013201" w:rsidRPr="00454929" w:rsidRDefault="00013201" w:rsidP="00013201">
      <w:pPr>
        <w:spacing w:after="0" w:line="240" w:lineRule="auto"/>
        <w:ind w:firstLine="708"/>
        <w:jc w:val="both"/>
        <w:rPr>
          <w:rFonts w:ascii="Verdana" w:hAnsi="Verdana" w:cs="Arial"/>
          <w:color w:val="000000"/>
          <w:sz w:val="16"/>
          <w:szCs w:val="16"/>
          <w:lang w:eastAsia="es-CO"/>
        </w:rPr>
      </w:pPr>
    </w:p>
  </w:footnote>
  <w:footnote w:id="5">
    <w:p w14:paraId="21951B35" w14:textId="77777777" w:rsidR="00013201" w:rsidRPr="00454929" w:rsidRDefault="00013201" w:rsidP="00013201">
      <w:pPr>
        <w:pStyle w:val="Textonotapie"/>
        <w:ind w:firstLine="708"/>
        <w:jc w:val="both"/>
        <w:rPr>
          <w:rFonts w:ascii="Verdana"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Ley 160 de 1994 “Articulo 85. El Instituto estudiará las necesidades de tierras, de las comunidades indígenas, para el efecto de dotarlas de las superficies indispensables que faciliten su adecuado asentamiento y desarrollo, y además llevará a cabo el estudio de los títulos que aquellas presenten con el fin de establecer la existencia legal de los resguardos. </w:t>
      </w:r>
    </w:p>
    <w:p w14:paraId="7041918C" w14:textId="77777777" w:rsidR="00013201" w:rsidRPr="00454929" w:rsidRDefault="00013201" w:rsidP="00013201">
      <w:pPr>
        <w:pStyle w:val="Textonotapie"/>
        <w:ind w:firstLine="708"/>
        <w:jc w:val="both"/>
        <w:rPr>
          <w:rFonts w:ascii="Verdana" w:hAnsi="Verdana" w:cs="Arial"/>
          <w:sz w:val="16"/>
          <w:szCs w:val="16"/>
        </w:rPr>
      </w:pPr>
      <w:r w:rsidRPr="00454929">
        <w:rPr>
          <w:rFonts w:ascii="Verdana" w:hAnsi="Verdana" w:cs="Arial"/>
          <w:sz w:val="16"/>
          <w:szCs w:val="16"/>
        </w:rPr>
        <w:t xml:space="preserve">“Con tal objeto constituirá o ampliará resguardos de tierras y procederá al saneamiento de aquellos que estuvieren ocupados por personas que no pertenezcan a la respectiva parcialidad. </w:t>
      </w:r>
    </w:p>
  </w:footnote>
  <w:footnote w:id="6">
    <w:p w14:paraId="1E79AB23" w14:textId="77777777" w:rsidR="00013201" w:rsidRPr="00454929" w:rsidRDefault="00013201" w:rsidP="00013201">
      <w:pPr>
        <w:pStyle w:val="NormalWeb"/>
        <w:spacing w:before="0" w:beforeAutospacing="0" w:after="0" w:afterAutospacing="0"/>
        <w:ind w:firstLine="708"/>
        <w:jc w:val="both"/>
        <w:rPr>
          <w:rFonts w:ascii="Verdana"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Decreto 1953 de 2014: “</w:t>
      </w:r>
      <w:r w:rsidRPr="00454929">
        <w:rPr>
          <w:rFonts w:ascii="Verdana" w:hAnsi="Verdana" w:cs="Arial"/>
          <w:color w:val="000000"/>
          <w:sz w:val="16"/>
          <w:szCs w:val="16"/>
        </w:rPr>
        <w:t>Artículo 3°. Funcionamiento de los Territorios Indígenas</w:t>
      </w:r>
      <w:r w:rsidRPr="00454929">
        <w:rPr>
          <w:rFonts w:ascii="Verdana" w:hAnsi="Verdana" w:cs="Arial"/>
          <w:i/>
          <w:color w:val="000000"/>
          <w:sz w:val="16"/>
          <w:szCs w:val="16"/>
        </w:rPr>
        <w:t>. </w:t>
      </w:r>
      <w:r w:rsidRPr="00454929">
        <w:rPr>
          <w:rFonts w:ascii="Verdana" w:hAnsi="Verdana" w:cs="Arial"/>
          <w:color w:val="000000"/>
          <w:sz w:val="16"/>
          <w:szCs w:val="16"/>
        </w:rPr>
        <w:t xml:space="preserve">Los Territorios Indígenas podrán ponerse en funcionamiento, de manera transitoria, de conformidad con las disposiciones del presente decreto, mientras el Congreso expide la Ley Orgánica de Ordenamiento Territorial que crea las entidades territoriales indígenas. </w:t>
      </w:r>
    </w:p>
  </w:footnote>
  <w:footnote w:id="7">
    <w:p w14:paraId="3CA71A2F" w14:textId="77777777" w:rsidR="00013201" w:rsidRPr="00454929" w:rsidRDefault="00013201" w:rsidP="00013201">
      <w:pPr>
        <w:pStyle w:val="Textonotapie"/>
        <w:jc w:val="both"/>
        <w:rPr>
          <w:rFonts w:ascii="Verdana" w:hAnsi="Verdana" w:cs="Arial"/>
          <w:sz w:val="16"/>
          <w:szCs w:val="16"/>
        </w:rPr>
      </w:pPr>
    </w:p>
    <w:p w14:paraId="71A446F3" w14:textId="77777777" w:rsidR="00013201" w:rsidRPr="00454929" w:rsidRDefault="00013201" w:rsidP="00013201">
      <w:pPr>
        <w:pStyle w:val="Textonotapie"/>
        <w:ind w:firstLine="708"/>
        <w:jc w:val="both"/>
        <w:rPr>
          <w:rFonts w:ascii="Verdana"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Ibidem. </w:t>
      </w:r>
    </w:p>
    <w:p w14:paraId="4642DC3A" w14:textId="77777777" w:rsidR="00013201" w:rsidRPr="00454929" w:rsidRDefault="00013201" w:rsidP="00013201">
      <w:pPr>
        <w:pStyle w:val="Textonotapie"/>
        <w:ind w:firstLine="708"/>
        <w:jc w:val="both"/>
        <w:rPr>
          <w:rFonts w:ascii="Verdana" w:hAnsi="Verdana" w:cs="Arial"/>
          <w:sz w:val="16"/>
          <w:szCs w:val="16"/>
        </w:rPr>
      </w:pPr>
    </w:p>
  </w:footnote>
  <w:footnote w:id="8">
    <w:p w14:paraId="0E0771F8" w14:textId="77777777" w:rsidR="00013201" w:rsidRPr="00454929" w:rsidRDefault="00013201" w:rsidP="00013201">
      <w:pPr>
        <w:spacing w:after="0" w:line="240" w:lineRule="auto"/>
        <w:ind w:firstLine="708"/>
        <w:jc w:val="both"/>
        <w:rPr>
          <w:rFonts w:ascii="Verdana" w:eastAsia="Calibri" w:hAnsi="Verdana" w:cs="Arial"/>
          <w:sz w:val="16"/>
          <w:szCs w:val="16"/>
          <w:lang w:val="es-ES"/>
        </w:rPr>
      </w:pPr>
      <w:r w:rsidRPr="00454929">
        <w:rPr>
          <w:rStyle w:val="Refdenotaalpie"/>
          <w:rFonts w:ascii="Verdana" w:hAnsi="Verdana" w:cs="Arial"/>
          <w:sz w:val="16"/>
          <w:szCs w:val="16"/>
        </w:rPr>
        <w:footnoteRef/>
      </w:r>
      <w:r w:rsidRPr="00454929">
        <w:rPr>
          <w:rFonts w:ascii="Verdana" w:hAnsi="Verdana" w:cs="Arial"/>
          <w:sz w:val="16"/>
          <w:szCs w:val="16"/>
        </w:rPr>
        <w:t xml:space="preserve"> </w:t>
      </w:r>
      <w:r w:rsidRPr="00454929">
        <w:rPr>
          <w:rFonts w:ascii="Verdana" w:eastAsia="Calibri" w:hAnsi="Verdana" w:cs="Arial"/>
          <w:sz w:val="16"/>
          <w:szCs w:val="16"/>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4EABE2DA" w14:textId="77777777" w:rsidR="00013201" w:rsidRPr="00454929" w:rsidRDefault="00013201" w:rsidP="00013201">
      <w:pPr>
        <w:spacing w:after="0" w:line="240" w:lineRule="auto"/>
        <w:ind w:firstLine="708"/>
        <w:jc w:val="both"/>
        <w:rPr>
          <w:rFonts w:ascii="Verdana" w:eastAsia="Calibri" w:hAnsi="Verdana" w:cs="Arial"/>
          <w:sz w:val="16"/>
          <w:szCs w:val="16"/>
          <w:lang w:val="es-ES"/>
        </w:rPr>
      </w:pPr>
      <w:r w:rsidRPr="00454929">
        <w:rPr>
          <w:rFonts w:ascii="Verdana" w:eastAsia="Calibri" w:hAnsi="Verdana" w:cs="Arial"/>
          <w:sz w:val="16"/>
          <w:szCs w:val="16"/>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footnote>
  <w:footnote w:id="9">
    <w:p w14:paraId="332AA208" w14:textId="77777777" w:rsidR="00013201" w:rsidRPr="00454929" w:rsidRDefault="00013201" w:rsidP="00013201">
      <w:pPr>
        <w:pStyle w:val="Textonotapie"/>
        <w:ind w:firstLine="709"/>
        <w:jc w:val="both"/>
        <w:rPr>
          <w:rFonts w:ascii="Verdana"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Decreto 1953 de 2014: “Artículo 13. Competencias Generales de los Territorios Indígenas. Los Territorios Indígenas ejercerán las siguientes competencias dentro del ámbito de su autonomía para la gestión de sus intereses en el marco de sus planes de vida:</w:t>
      </w:r>
    </w:p>
    <w:p w14:paraId="0596E8C6" w14:textId="77777777" w:rsidR="00013201" w:rsidRPr="00454929" w:rsidRDefault="00013201" w:rsidP="00013201">
      <w:pPr>
        <w:pStyle w:val="Textonotapie"/>
        <w:ind w:firstLine="709"/>
        <w:jc w:val="both"/>
        <w:rPr>
          <w:rFonts w:ascii="Verdana" w:hAnsi="Verdana" w:cs="Arial"/>
          <w:sz w:val="16"/>
          <w:szCs w:val="16"/>
        </w:rPr>
      </w:pPr>
      <w:r w:rsidRPr="00454929">
        <w:rPr>
          <w:rFonts w:ascii="Verdana" w:hAnsi="Verdana" w:cs="Arial"/>
          <w:sz w:val="16"/>
          <w:szCs w:val="16"/>
        </w:rPr>
        <w:t>“1. Gobernarse por Autoridades Propias de acuerdo con la ley de origen, derecho mayor o derecho propio.</w:t>
      </w:r>
    </w:p>
    <w:p w14:paraId="096C9B92" w14:textId="77777777" w:rsidR="00013201" w:rsidRPr="00454929" w:rsidRDefault="00013201" w:rsidP="00013201">
      <w:pPr>
        <w:pStyle w:val="Textonotapie"/>
        <w:ind w:firstLine="709"/>
        <w:jc w:val="both"/>
        <w:rPr>
          <w:rFonts w:ascii="Verdana" w:hAnsi="Verdana" w:cs="Arial"/>
          <w:sz w:val="16"/>
          <w:szCs w:val="16"/>
        </w:rPr>
      </w:pPr>
      <w:r w:rsidRPr="00454929">
        <w:rPr>
          <w:rFonts w:ascii="Verdana" w:hAnsi="Verdana" w:cs="Arial"/>
          <w:sz w:val="16"/>
          <w:szCs w:val="16"/>
        </w:rPr>
        <w:t>“2. Ejercer las competencias y derechos establecidos en este decreto, conforme con la Constitución Política, la legislación nacional e internacional que hace parte del bloque de constitucionalidad, la ley de origen, el derecho mayor o derecho propio.</w:t>
      </w:r>
    </w:p>
    <w:p w14:paraId="2698E6E3" w14:textId="77777777" w:rsidR="00013201" w:rsidRPr="00454929" w:rsidRDefault="00013201" w:rsidP="00013201">
      <w:pPr>
        <w:pStyle w:val="Textonotapie"/>
        <w:ind w:firstLine="709"/>
        <w:jc w:val="both"/>
        <w:rPr>
          <w:rFonts w:ascii="Verdana" w:hAnsi="Verdana" w:cs="Arial"/>
          <w:sz w:val="16"/>
          <w:szCs w:val="16"/>
        </w:rPr>
      </w:pPr>
      <w:r w:rsidRPr="00454929">
        <w:rPr>
          <w:rFonts w:ascii="Verdana" w:hAnsi="Verdana" w:cs="Arial"/>
          <w:sz w:val="16"/>
          <w:szCs w:val="16"/>
        </w:rPr>
        <w:t>“3. Definir, ejecutar y evaluar las políticas económicas, sociales, ambientales y culturales propias en el marco de los planes de vida, en los respectivos territorios dentro del marco de la legislación nacional, y conforme a los principios de coordinación, concurrencia y subsidiariedad.</w:t>
      </w:r>
    </w:p>
    <w:p w14:paraId="52DE6ACE" w14:textId="77777777" w:rsidR="00013201" w:rsidRPr="00454929" w:rsidRDefault="00013201" w:rsidP="00013201">
      <w:pPr>
        <w:pStyle w:val="Textonotapie"/>
        <w:ind w:firstLine="709"/>
        <w:jc w:val="both"/>
        <w:rPr>
          <w:rFonts w:ascii="Verdana" w:hAnsi="Verdana" w:cs="Arial"/>
          <w:sz w:val="16"/>
          <w:szCs w:val="16"/>
        </w:rPr>
      </w:pPr>
      <w:r w:rsidRPr="00454929">
        <w:rPr>
          <w:rFonts w:ascii="Verdana" w:hAnsi="Verdana" w:cs="Arial"/>
          <w:sz w:val="16"/>
          <w:szCs w:val="16"/>
        </w:rPr>
        <w:t>“4. Darse sus estructuras de gobierno propio y de coordinación para efectos del desarrollo de sus respectivas competencias.</w:t>
      </w:r>
    </w:p>
    <w:p w14:paraId="39B44098" w14:textId="77777777" w:rsidR="00013201" w:rsidRPr="00454929" w:rsidRDefault="00013201" w:rsidP="00013201">
      <w:pPr>
        <w:pStyle w:val="Textonotapie"/>
        <w:ind w:firstLine="708"/>
        <w:jc w:val="both"/>
        <w:rPr>
          <w:rFonts w:ascii="Verdana" w:hAnsi="Verdana" w:cs="Arial"/>
          <w:sz w:val="16"/>
          <w:szCs w:val="16"/>
        </w:rPr>
      </w:pPr>
      <w:r w:rsidRPr="00454929">
        <w:rPr>
          <w:rFonts w:ascii="Verdana" w:hAnsi="Verdana" w:cs="Arial"/>
          <w:sz w:val="16"/>
          <w:szCs w:val="16"/>
        </w:rPr>
        <w:t>“5. Percibir y administrar los recursos provenientes de fuentes de financiación públicas y/o privadas para el desarrollo de sus funciones y competencias de acuerdo con lo establecido en este decreto”.</w:t>
      </w:r>
    </w:p>
  </w:footnote>
  <w:footnote w:id="10">
    <w:p w14:paraId="531EE64D" w14:textId="77777777" w:rsidR="00013201" w:rsidRPr="00454929" w:rsidRDefault="00013201" w:rsidP="00013201">
      <w:pPr>
        <w:pStyle w:val="Textonotapie"/>
        <w:ind w:firstLine="709"/>
        <w:contextualSpacing/>
        <w:jc w:val="both"/>
        <w:rPr>
          <w:rFonts w:ascii="Verdana"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3760511" w14:textId="77777777" w:rsidR="00013201" w:rsidRPr="00454929" w:rsidRDefault="00013201" w:rsidP="00013201">
      <w:pPr>
        <w:pStyle w:val="Textonotapie"/>
        <w:ind w:firstLine="709"/>
        <w:contextualSpacing/>
        <w:jc w:val="both"/>
        <w:rPr>
          <w:rFonts w:ascii="Verdana" w:hAnsi="Verdana" w:cs="Arial"/>
          <w:sz w:val="16"/>
          <w:szCs w:val="16"/>
        </w:rPr>
      </w:pPr>
      <w:r w:rsidRPr="00454929">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41AD48FF" w14:textId="77777777" w:rsidR="00013201" w:rsidRPr="00454929" w:rsidRDefault="00013201" w:rsidP="00013201">
      <w:pPr>
        <w:pStyle w:val="Textonotapie"/>
        <w:ind w:firstLine="709"/>
        <w:contextualSpacing/>
        <w:jc w:val="both"/>
        <w:rPr>
          <w:rFonts w:ascii="Verdana" w:hAnsi="Verdana" w:cs="Arial"/>
          <w:sz w:val="16"/>
          <w:szCs w:val="16"/>
        </w:rPr>
      </w:pPr>
    </w:p>
  </w:footnote>
  <w:footnote w:id="11">
    <w:p w14:paraId="2FD64717" w14:textId="77777777" w:rsidR="00013201" w:rsidRPr="00454929" w:rsidRDefault="00013201" w:rsidP="00013201">
      <w:pPr>
        <w:pStyle w:val="Textonotapie"/>
        <w:ind w:firstLine="709"/>
        <w:contextualSpacing/>
        <w:jc w:val="both"/>
        <w:rPr>
          <w:rFonts w:ascii="Verdana"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Gaceta del Congreso de la República No. 71 del 2005.</w:t>
      </w:r>
    </w:p>
    <w:p w14:paraId="4A71F8C6" w14:textId="77777777" w:rsidR="00013201" w:rsidRPr="00454929" w:rsidRDefault="00013201" w:rsidP="00013201">
      <w:pPr>
        <w:pStyle w:val="Textonotapie"/>
        <w:ind w:firstLine="709"/>
        <w:contextualSpacing/>
        <w:jc w:val="both"/>
        <w:rPr>
          <w:rFonts w:ascii="Verdana" w:hAnsi="Verdana" w:cs="Arial"/>
          <w:sz w:val="16"/>
          <w:szCs w:val="16"/>
        </w:rPr>
      </w:pPr>
    </w:p>
  </w:footnote>
  <w:footnote w:id="12">
    <w:p w14:paraId="11619F58" w14:textId="77777777" w:rsidR="00013201" w:rsidRDefault="00013201" w:rsidP="00013201">
      <w:pPr>
        <w:pStyle w:val="Textonotapie"/>
        <w:ind w:firstLine="709"/>
        <w:contextualSpacing/>
        <w:jc w:val="both"/>
        <w:rPr>
          <w:rFonts w:ascii="Verdana" w:hAnsi="Verdana" w:cs="Arial"/>
          <w:sz w:val="16"/>
          <w:szCs w:val="16"/>
          <w:lang w:val="pt-BR"/>
        </w:rPr>
      </w:pPr>
      <w:r w:rsidRPr="00454929">
        <w:rPr>
          <w:rStyle w:val="Refdenotaalpie"/>
          <w:rFonts w:ascii="Verdana" w:hAnsi="Verdana" w:cs="Arial"/>
          <w:sz w:val="16"/>
          <w:szCs w:val="16"/>
        </w:rPr>
        <w:footnoteRef/>
      </w:r>
      <w:r w:rsidRPr="00454929">
        <w:rPr>
          <w:rFonts w:ascii="Verdana" w:hAnsi="Verdana" w:cs="Arial"/>
          <w:sz w:val="16"/>
          <w:szCs w:val="16"/>
          <w:lang w:val="pt-BR"/>
        </w:rPr>
        <w:t xml:space="preserve"> Corte Constitucional, Sentencia C- 1153 de 2005, M.P. Marco Gerardo </w:t>
      </w:r>
      <w:proofErr w:type="spellStart"/>
      <w:r w:rsidRPr="00454929">
        <w:rPr>
          <w:rFonts w:ascii="Verdana" w:hAnsi="Verdana" w:cs="Arial"/>
          <w:sz w:val="16"/>
          <w:szCs w:val="16"/>
          <w:lang w:val="pt-BR"/>
        </w:rPr>
        <w:t>Monroy</w:t>
      </w:r>
      <w:proofErr w:type="spellEnd"/>
      <w:r w:rsidRPr="00454929">
        <w:rPr>
          <w:rFonts w:ascii="Verdana" w:hAnsi="Verdana" w:cs="Arial"/>
          <w:sz w:val="16"/>
          <w:szCs w:val="16"/>
          <w:lang w:val="pt-BR"/>
        </w:rPr>
        <w:t xml:space="preserve"> Cabra.</w:t>
      </w:r>
    </w:p>
    <w:p w14:paraId="692ABD85" w14:textId="77777777" w:rsidR="00013201" w:rsidRPr="00454929" w:rsidRDefault="00013201" w:rsidP="00013201">
      <w:pPr>
        <w:pStyle w:val="Textonotapie"/>
        <w:ind w:firstLine="709"/>
        <w:contextualSpacing/>
        <w:jc w:val="both"/>
        <w:rPr>
          <w:rFonts w:ascii="Verdana" w:hAnsi="Verdana" w:cs="Arial"/>
          <w:sz w:val="16"/>
          <w:szCs w:val="16"/>
          <w:lang w:val="pt-BR"/>
        </w:rPr>
      </w:pPr>
    </w:p>
  </w:footnote>
  <w:footnote w:id="13">
    <w:p w14:paraId="27B58D41" w14:textId="77777777" w:rsidR="00013201" w:rsidRPr="00454929" w:rsidRDefault="00013201" w:rsidP="00013201">
      <w:pPr>
        <w:pStyle w:val="Textonotapie"/>
        <w:ind w:firstLine="709"/>
        <w:contextualSpacing/>
        <w:jc w:val="both"/>
        <w:rPr>
          <w:rFonts w:ascii="Verdana" w:hAnsi="Verdana" w:cs="Arial"/>
          <w:sz w:val="16"/>
          <w:szCs w:val="16"/>
          <w:lang w:val="pt-BR"/>
        </w:rPr>
      </w:pPr>
      <w:r w:rsidRPr="00454929">
        <w:rPr>
          <w:rStyle w:val="Refdenotaalpie"/>
          <w:rFonts w:ascii="Verdana" w:hAnsi="Verdana" w:cs="Arial"/>
          <w:sz w:val="16"/>
          <w:szCs w:val="16"/>
        </w:rPr>
        <w:footnoteRef/>
      </w:r>
      <w:r w:rsidRPr="00454929">
        <w:rPr>
          <w:rFonts w:ascii="Verdana" w:hAnsi="Verdana" w:cs="Arial"/>
          <w:sz w:val="16"/>
          <w:szCs w:val="16"/>
          <w:lang w:val="pt-BR"/>
        </w:rPr>
        <w:t xml:space="preserve"> Corte Constitucional. Sentencias: C-233 de 4 de abril de 2002, expediente: D-3704; C-551 de 9 de </w:t>
      </w:r>
      <w:proofErr w:type="spellStart"/>
      <w:r w:rsidRPr="00454929">
        <w:rPr>
          <w:rFonts w:ascii="Verdana" w:hAnsi="Verdana" w:cs="Arial"/>
          <w:sz w:val="16"/>
          <w:szCs w:val="16"/>
          <w:lang w:val="pt-BR"/>
        </w:rPr>
        <w:t>julio</w:t>
      </w:r>
      <w:proofErr w:type="spellEnd"/>
      <w:r w:rsidRPr="00454929">
        <w:rPr>
          <w:rFonts w:ascii="Verdana" w:hAnsi="Verdana" w:cs="Arial"/>
          <w:sz w:val="16"/>
          <w:szCs w:val="16"/>
          <w:lang w:val="pt-BR"/>
        </w:rPr>
        <w:t xml:space="preserve"> de 2003, expediente: CRF-001 de 9 de </w:t>
      </w:r>
      <w:proofErr w:type="spellStart"/>
      <w:r w:rsidRPr="00454929">
        <w:rPr>
          <w:rFonts w:ascii="Verdana" w:hAnsi="Verdana" w:cs="Arial"/>
          <w:sz w:val="16"/>
          <w:szCs w:val="16"/>
          <w:lang w:val="pt-BR"/>
        </w:rPr>
        <w:t>julio</w:t>
      </w:r>
      <w:proofErr w:type="spellEnd"/>
      <w:r w:rsidRPr="00454929">
        <w:rPr>
          <w:rFonts w:ascii="Verdana" w:hAnsi="Verdana" w:cs="Arial"/>
          <w:sz w:val="16"/>
          <w:szCs w:val="16"/>
          <w:lang w:val="pt-BR"/>
        </w:rPr>
        <w:t xml:space="preserve"> de 2003; C-652 de 5 de agosto de 2003, expediente: D-4330; C-353 de 20 de </w:t>
      </w:r>
      <w:proofErr w:type="spellStart"/>
      <w:r w:rsidRPr="00454929">
        <w:rPr>
          <w:rFonts w:ascii="Verdana" w:hAnsi="Verdana" w:cs="Arial"/>
          <w:sz w:val="16"/>
          <w:szCs w:val="16"/>
          <w:lang w:val="pt-BR"/>
        </w:rPr>
        <w:t>mayo</w:t>
      </w:r>
      <w:proofErr w:type="spellEnd"/>
      <w:r w:rsidRPr="00454929">
        <w:rPr>
          <w:rFonts w:ascii="Verdana" w:hAnsi="Verdana" w:cs="Arial"/>
          <w:sz w:val="16"/>
          <w:szCs w:val="16"/>
          <w:lang w:val="pt-BR"/>
        </w:rPr>
        <w:t xml:space="preserve"> de 2009, expediente: D-7518, C-541 de 30 de </w:t>
      </w:r>
      <w:proofErr w:type="spellStart"/>
      <w:r w:rsidRPr="00454929">
        <w:rPr>
          <w:rFonts w:ascii="Verdana" w:hAnsi="Verdana" w:cs="Arial"/>
          <w:sz w:val="16"/>
          <w:szCs w:val="16"/>
          <w:lang w:val="pt-BR"/>
        </w:rPr>
        <w:t>junio</w:t>
      </w:r>
      <w:proofErr w:type="spellEnd"/>
      <w:r w:rsidRPr="00454929">
        <w:rPr>
          <w:rFonts w:ascii="Verdana" w:hAnsi="Verdana" w:cs="Arial"/>
          <w:sz w:val="16"/>
          <w:szCs w:val="16"/>
          <w:lang w:val="pt-BR"/>
        </w:rPr>
        <w:t xml:space="preserve"> de 2010, expediente: DD7966; entre otras.</w:t>
      </w:r>
    </w:p>
    <w:p w14:paraId="7AF8CCB4" w14:textId="77777777" w:rsidR="00013201" w:rsidRPr="00454929" w:rsidRDefault="00013201" w:rsidP="00013201">
      <w:pPr>
        <w:pStyle w:val="Textonotapie"/>
        <w:ind w:firstLine="709"/>
        <w:contextualSpacing/>
        <w:jc w:val="both"/>
        <w:rPr>
          <w:rFonts w:ascii="Verdana" w:hAnsi="Verdana" w:cs="Arial"/>
          <w:sz w:val="16"/>
          <w:szCs w:val="16"/>
          <w:lang w:val="pt-BR"/>
        </w:rPr>
      </w:pPr>
    </w:p>
  </w:footnote>
  <w:footnote w:id="14">
    <w:p w14:paraId="35D20A48" w14:textId="77777777" w:rsidR="00013201" w:rsidRPr="00454929" w:rsidRDefault="00013201" w:rsidP="00013201">
      <w:pPr>
        <w:pStyle w:val="Textonotapie"/>
        <w:ind w:firstLine="709"/>
        <w:contextualSpacing/>
        <w:jc w:val="both"/>
        <w:rPr>
          <w:rFonts w:ascii="Verdana" w:hAnsi="Verdana" w:cs="Arial"/>
          <w:sz w:val="16"/>
          <w:szCs w:val="16"/>
          <w:lang w:val="es-CO"/>
        </w:rPr>
      </w:pPr>
      <w:r w:rsidRPr="00454929">
        <w:rPr>
          <w:rStyle w:val="Refdenotaalpie"/>
          <w:rFonts w:ascii="Verdana" w:hAnsi="Verdana" w:cs="Arial"/>
          <w:sz w:val="16"/>
          <w:szCs w:val="16"/>
        </w:rPr>
        <w:footnoteRef/>
      </w:r>
      <w:r w:rsidRPr="00454929">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55E12D6B" w14:textId="77777777" w:rsidR="00013201" w:rsidRPr="00454929" w:rsidRDefault="00013201" w:rsidP="00013201">
      <w:pPr>
        <w:pStyle w:val="Textonotapie"/>
        <w:ind w:firstLine="709"/>
        <w:contextualSpacing/>
        <w:jc w:val="both"/>
        <w:rPr>
          <w:rFonts w:ascii="Verdana" w:hAnsi="Verdana" w:cs="Arial"/>
          <w:sz w:val="16"/>
          <w:szCs w:val="16"/>
          <w:lang w:val="es-CO"/>
        </w:rPr>
      </w:pPr>
    </w:p>
  </w:footnote>
  <w:footnote w:id="15">
    <w:p w14:paraId="3A9843BA" w14:textId="77777777" w:rsidR="00013201" w:rsidRDefault="00013201" w:rsidP="00013201">
      <w:pPr>
        <w:pStyle w:val="Textonotapie"/>
        <w:ind w:firstLine="709"/>
        <w:contextualSpacing/>
        <w:jc w:val="both"/>
        <w:rPr>
          <w:rFonts w:ascii="Verdana"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Consejo de Estado, Sala de Consulta y Servicio Civil de fecha 24 de julio de 2013, Rad. 2166, C. P. Álvaro </w:t>
      </w:r>
      <w:proofErr w:type="spellStart"/>
      <w:r w:rsidRPr="00454929">
        <w:rPr>
          <w:rFonts w:ascii="Verdana" w:hAnsi="Verdana" w:cs="Arial"/>
          <w:sz w:val="16"/>
          <w:szCs w:val="16"/>
        </w:rPr>
        <w:t>Namén</w:t>
      </w:r>
      <w:proofErr w:type="spellEnd"/>
      <w:r w:rsidRPr="00454929">
        <w:rPr>
          <w:rFonts w:ascii="Verdana" w:hAnsi="Verdana" w:cs="Arial"/>
          <w:sz w:val="16"/>
          <w:szCs w:val="16"/>
        </w:rPr>
        <w:t xml:space="preserve"> Vargas.  </w:t>
      </w:r>
    </w:p>
    <w:p w14:paraId="7E6B18F3" w14:textId="77777777" w:rsidR="00013201" w:rsidRPr="00454929" w:rsidRDefault="00013201" w:rsidP="00013201">
      <w:pPr>
        <w:pStyle w:val="Textonotapie"/>
        <w:ind w:firstLine="709"/>
        <w:contextualSpacing/>
        <w:jc w:val="both"/>
        <w:rPr>
          <w:rFonts w:ascii="Verdana" w:hAnsi="Verdana" w:cs="Arial"/>
          <w:sz w:val="16"/>
          <w:szCs w:val="16"/>
        </w:rPr>
      </w:pPr>
    </w:p>
  </w:footnote>
  <w:footnote w:id="16">
    <w:p w14:paraId="6DA90F12" w14:textId="77777777" w:rsidR="00013201" w:rsidRPr="00454929" w:rsidRDefault="00013201" w:rsidP="00013201">
      <w:pPr>
        <w:spacing w:after="0" w:line="240" w:lineRule="auto"/>
        <w:ind w:firstLine="709"/>
        <w:contextualSpacing/>
        <w:jc w:val="both"/>
        <w:rPr>
          <w:rFonts w:ascii="Verdana" w:eastAsia="Times New Roman"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w:t>
      </w:r>
      <w:r w:rsidRPr="00454929">
        <w:rPr>
          <w:rFonts w:ascii="Verdana" w:hAnsi="Verdana" w:cs="Arial"/>
          <w:color w:val="000000"/>
          <w:sz w:val="16"/>
          <w:szCs w:val="16"/>
        </w:rPr>
        <w:t>“</w:t>
      </w:r>
      <w:r w:rsidRPr="00454929">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09B41BDB" w14:textId="77777777" w:rsidR="00013201" w:rsidRPr="00454929" w:rsidRDefault="00013201" w:rsidP="00013201">
      <w:pPr>
        <w:spacing w:after="0" w:line="240" w:lineRule="auto"/>
        <w:ind w:firstLine="709"/>
        <w:contextualSpacing/>
        <w:jc w:val="both"/>
        <w:rPr>
          <w:rFonts w:ascii="Verdana" w:eastAsia="Times New Roman" w:hAnsi="Verdana" w:cs="Arial"/>
          <w:sz w:val="16"/>
          <w:szCs w:val="16"/>
        </w:rPr>
      </w:pPr>
      <w:r w:rsidRPr="00454929">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54929">
        <w:rPr>
          <w:rFonts w:ascii="Verdana" w:hAnsi="Verdana" w:cs="Arial"/>
          <w:color w:val="000000" w:themeColor="text1"/>
          <w:sz w:val="16"/>
          <w:szCs w:val="16"/>
        </w:rPr>
        <w:t>”</w:t>
      </w:r>
      <w:r w:rsidRPr="00454929">
        <w:rPr>
          <w:rFonts w:ascii="Verdana" w:eastAsia="Times New Roman" w:hAnsi="Verdana" w:cs="Arial"/>
          <w:sz w:val="16"/>
          <w:szCs w:val="16"/>
        </w:rPr>
        <w:t>.</w:t>
      </w:r>
    </w:p>
    <w:p w14:paraId="5D9D4CD7" w14:textId="77777777" w:rsidR="00013201" w:rsidRPr="00454929" w:rsidRDefault="00013201" w:rsidP="00013201">
      <w:pPr>
        <w:spacing w:after="0" w:line="240" w:lineRule="auto"/>
        <w:ind w:firstLine="709"/>
        <w:contextualSpacing/>
        <w:jc w:val="both"/>
        <w:rPr>
          <w:rFonts w:ascii="Verdana" w:eastAsia="Times New Roman" w:hAnsi="Verdana" w:cs="Arial"/>
          <w:sz w:val="16"/>
          <w:szCs w:val="16"/>
        </w:rPr>
      </w:pPr>
    </w:p>
  </w:footnote>
  <w:footnote w:id="17">
    <w:p w14:paraId="7699BB5B" w14:textId="77777777" w:rsidR="00013201" w:rsidRPr="00454929" w:rsidRDefault="00013201" w:rsidP="00013201">
      <w:pPr>
        <w:pStyle w:val="NormalWeb"/>
        <w:spacing w:before="0" w:beforeAutospacing="0" w:after="0" w:afterAutospacing="0"/>
        <w:ind w:firstLine="709"/>
        <w:contextualSpacing/>
        <w:jc w:val="both"/>
        <w:rPr>
          <w:rFonts w:ascii="Verdana" w:hAnsi="Verdana" w:cs="Arial"/>
          <w:sz w:val="16"/>
          <w:szCs w:val="16"/>
          <w:lang w:val="es-MX"/>
        </w:rPr>
      </w:pPr>
      <w:r w:rsidRPr="00454929">
        <w:rPr>
          <w:rStyle w:val="Refdenotaalpie"/>
          <w:rFonts w:ascii="Verdana" w:hAnsi="Verdana" w:cs="Arial"/>
          <w:sz w:val="16"/>
          <w:szCs w:val="16"/>
        </w:rPr>
        <w:footnoteRef/>
      </w:r>
      <w:r w:rsidRPr="00454929">
        <w:rPr>
          <w:rFonts w:ascii="Verdana" w:hAnsi="Verdana" w:cs="Arial"/>
          <w:sz w:val="16"/>
          <w:szCs w:val="16"/>
        </w:rPr>
        <w:t xml:space="preserve"> </w:t>
      </w:r>
      <w:r w:rsidRPr="00454929">
        <w:rPr>
          <w:rFonts w:ascii="Verdana" w:eastAsia="Calibri" w:hAnsi="Verdana" w:cs="Arial"/>
          <w:color w:val="000000"/>
          <w:sz w:val="16"/>
          <w:szCs w:val="16"/>
        </w:rPr>
        <w:t>“</w:t>
      </w:r>
      <w:r w:rsidRPr="00454929">
        <w:rPr>
          <w:rFonts w:ascii="Verdana" w:hAnsi="Verdana" w:cs="Arial"/>
          <w:sz w:val="16"/>
          <w:szCs w:val="16"/>
          <w:lang w:val="es-MX"/>
        </w:rPr>
        <w:t>Artículo 38. Prohibiciones para los servidores públicos. A los empleados del Estado les está prohibido: […]</w:t>
      </w:r>
    </w:p>
    <w:p w14:paraId="02B57771" w14:textId="77777777" w:rsidR="00013201" w:rsidRDefault="00013201" w:rsidP="00013201">
      <w:pPr>
        <w:pStyle w:val="NormalWeb"/>
        <w:spacing w:before="0" w:beforeAutospacing="0" w:after="0" w:afterAutospacing="0"/>
        <w:ind w:firstLine="709"/>
        <w:contextualSpacing/>
        <w:jc w:val="both"/>
        <w:rPr>
          <w:rFonts w:ascii="Verdana" w:hAnsi="Verdana" w:cs="Arial"/>
          <w:sz w:val="16"/>
          <w:szCs w:val="16"/>
          <w:lang w:val="es-MX"/>
        </w:rPr>
      </w:pPr>
      <w:r w:rsidRPr="00454929">
        <w:rPr>
          <w:rStyle w:val="baj"/>
          <w:rFonts w:ascii="Verdana" w:hAnsi="Verdana" w:cs="Arial"/>
          <w:sz w:val="16"/>
          <w:szCs w:val="16"/>
          <w:lang w:val="es-MX"/>
        </w:rPr>
        <w:t>Parágrafo.</w:t>
      </w:r>
      <w:r w:rsidRPr="00454929">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54929">
        <w:rPr>
          <w:rFonts w:ascii="Verdana" w:eastAsia="Calibri" w:hAnsi="Verdana" w:cs="Arial"/>
          <w:color w:val="000000"/>
          <w:sz w:val="16"/>
          <w:szCs w:val="16"/>
        </w:rPr>
        <w:t>”</w:t>
      </w:r>
      <w:r w:rsidRPr="00454929">
        <w:rPr>
          <w:rFonts w:ascii="Verdana" w:hAnsi="Verdana" w:cs="Arial"/>
          <w:sz w:val="16"/>
          <w:szCs w:val="16"/>
          <w:lang w:val="es-MX"/>
        </w:rPr>
        <w:t>.</w:t>
      </w:r>
    </w:p>
    <w:p w14:paraId="06B3D464" w14:textId="77777777" w:rsidR="00013201" w:rsidRPr="00454929" w:rsidRDefault="00013201" w:rsidP="00013201">
      <w:pPr>
        <w:pStyle w:val="NormalWeb"/>
        <w:spacing w:before="0" w:beforeAutospacing="0" w:after="0" w:afterAutospacing="0"/>
        <w:ind w:firstLine="709"/>
        <w:contextualSpacing/>
        <w:jc w:val="both"/>
        <w:rPr>
          <w:rFonts w:ascii="Verdana" w:hAnsi="Verdana" w:cs="Arial"/>
          <w:sz w:val="16"/>
          <w:szCs w:val="16"/>
          <w:lang w:val="es-MX"/>
        </w:rPr>
      </w:pPr>
    </w:p>
  </w:footnote>
  <w:footnote w:id="18">
    <w:p w14:paraId="3BE7A57F" w14:textId="77777777" w:rsidR="00013201" w:rsidRPr="00454929" w:rsidRDefault="00013201" w:rsidP="00013201">
      <w:pPr>
        <w:spacing w:after="0" w:line="240" w:lineRule="auto"/>
        <w:ind w:left="100" w:right="244" w:firstLine="709"/>
        <w:contextualSpacing/>
        <w:jc w:val="both"/>
        <w:rPr>
          <w:rFonts w:ascii="Verdana"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9">
    <w:p w14:paraId="40C4C734" w14:textId="77777777" w:rsidR="00013201" w:rsidRPr="00454929" w:rsidRDefault="00013201" w:rsidP="00013201">
      <w:pPr>
        <w:pStyle w:val="Textonotapie"/>
        <w:ind w:firstLine="709"/>
        <w:contextualSpacing/>
        <w:jc w:val="both"/>
        <w:rPr>
          <w:rFonts w:ascii="Verdana" w:hAnsi="Verdana" w:cs="Arial"/>
          <w:sz w:val="16"/>
          <w:szCs w:val="16"/>
        </w:rPr>
      </w:pPr>
      <w:r w:rsidRPr="00454929">
        <w:rPr>
          <w:rStyle w:val="Refdenotaalpie"/>
          <w:rFonts w:ascii="Verdana" w:hAnsi="Verdana"/>
          <w:sz w:val="16"/>
          <w:szCs w:val="16"/>
        </w:rPr>
        <w:footnoteRef/>
      </w:r>
      <w:r w:rsidRPr="00454929">
        <w:rPr>
          <w:rFonts w:ascii="Verdana" w:hAnsi="Verdana"/>
          <w:sz w:val="16"/>
          <w:szCs w:val="16"/>
        </w:rPr>
        <w:t xml:space="preserve"> </w:t>
      </w:r>
      <w:r w:rsidRPr="00454929">
        <w:rPr>
          <w:rFonts w:ascii="Verdana" w:hAnsi="Verdana" w:cs="Arial"/>
          <w:sz w:val="16"/>
          <w:szCs w:val="16"/>
        </w:rPr>
        <w:t>Consejo de Estado -Sección Tercera-. Sentencia del 21 de febrero de 2025. Radicación Número: 68.280. CP: José Roberto Sáchica Méndez.</w:t>
      </w:r>
    </w:p>
    <w:p w14:paraId="581AEAC9" w14:textId="77777777" w:rsidR="00013201" w:rsidRPr="00454929" w:rsidRDefault="00013201" w:rsidP="00013201">
      <w:pPr>
        <w:pStyle w:val="Textonotapie"/>
        <w:ind w:firstLine="709"/>
        <w:contextualSpacing/>
        <w:jc w:val="both"/>
        <w:rPr>
          <w:rFonts w:ascii="Verdana" w:hAnsi="Verdana" w:cs="Arial"/>
          <w:sz w:val="16"/>
          <w:szCs w:val="16"/>
        </w:rPr>
      </w:pPr>
    </w:p>
  </w:footnote>
  <w:footnote w:id="20">
    <w:p w14:paraId="1BADF325" w14:textId="77777777" w:rsidR="00013201" w:rsidRDefault="00013201" w:rsidP="00013201">
      <w:pPr>
        <w:pStyle w:val="Textonotapie"/>
        <w:ind w:firstLine="709"/>
        <w:contextualSpacing/>
        <w:jc w:val="both"/>
        <w:rPr>
          <w:rFonts w:ascii="Verdana" w:hAnsi="Verdana" w:cs="Arial"/>
          <w:sz w:val="16"/>
          <w:szCs w:val="16"/>
        </w:rPr>
      </w:pPr>
      <w:r w:rsidRPr="00454929">
        <w:rPr>
          <w:rFonts w:ascii="Verdana" w:hAnsi="Verdana"/>
          <w:sz w:val="16"/>
          <w:szCs w:val="16"/>
          <w:vertAlign w:val="superscript"/>
        </w:rPr>
        <w:footnoteRef/>
      </w:r>
      <w:r w:rsidRPr="00454929">
        <w:rPr>
          <w:rFonts w:ascii="Verdana" w:hAnsi="Verdana"/>
          <w:sz w:val="16"/>
          <w:szCs w:val="16"/>
          <w:vertAlign w:val="superscript"/>
        </w:rPr>
        <w:t xml:space="preserve"> </w:t>
      </w:r>
      <w:r w:rsidRPr="00454929">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7B5588E9" w14:textId="77777777" w:rsidR="00013201" w:rsidRPr="00454929" w:rsidRDefault="00013201" w:rsidP="00013201">
      <w:pPr>
        <w:pStyle w:val="Textonotapie"/>
        <w:ind w:firstLine="709"/>
        <w:contextualSpacing/>
        <w:jc w:val="both"/>
        <w:rPr>
          <w:rFonts w:ascii="Verdana" w:hAnsi="Verdana" w:cs="Arial"/>
          <w:sz w:val="16"/>
          <w:szCs w:val="16"/>
        </w:rPr>
      </w:pPr>
    </w:p>
  </w:footnote>
  <w:footnote w:id="21">
    <w:p w14:paraId="1B7254DF" w14:textId="77777777" w:rsidR="00013201" w:rsidRPr="00454929" w:rsidRDefault="00013201" w:rsidP="00013201">
      <w:pPr>
        <w:pStyle w:val="Textonotapie"/>
        <w:ind w:firstLine="709"/>
        <w:contextualSpacing/>
        <w:jc w:val="both"/>
        <w:rPr>
          <w:rFonts w:ascii="Verdana" w:hAnsi="Verdana" w:cs="Arial"/>
          <w:sz w:val="16"/>
          <w:szCs w:val="16"/>
        </w:rPr>
      </w:pPr>
      <w:r w:rsidRPr="00454929">
        <w:rPr>
          <w:rFonts w:ascii="Verdana" w:hAnsi="Verdana"/>
          <w:sz w:val="16"/>
          <w:szCs w:val="16"/>
          <w:vertAlign w:val="superscript"/>
        </w:rPr>
        <w:footnoteRef/>
      </w:r>
      <w:r w:rsidRPr="00454929">
        <w:rPr>
          <w:rFonts w:ascii="Verdana" w:hAnsi="Verdana" w:cs="Arial"/>
          <w:sz w:val="16"/>
          <w:szCs w:val="16"/>
          <w:vertAlign w:val="superscript"/>
        </w:rPr>
        <w:t xml:space="preserve"> </w:t>
      </w:r>
      <w:r w:rsidRPr="00454929">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p>
    <w:p w14:paraId="0C2EBD2A" w14:textId="77777777" w:rsidR="00013201" w:rsidRDefault="00013201" w:rsidP="00013201">
      <w:pPr>
        <w:pStyle w:val="Textonotapie"/>
        <w:ind w:firstLine="709"/>
        <w:contextualSpacing/>
        <w:jc w:val="both"/>
        <w:rPr>
          <w:rFonts w:ascii="Verdana" w:hAnsi="Verdana" w:cs="Arial"/>
          <w:sz w:val="16"/>
          <w:szCs w:val="16"/>
        </w:rPr>
      </w:pPr>
      <w:r w:rsidRPr="00454929">
        <w:rPr>
          <w:rFonts w:ascii="Verdana" w:hAnsi="Verdana" w:cs="Arial"/>
          <w:sz w:val="16"/>
          <w:szCs w:val="16"/>
        </w:rPr>
        <w:t>[…]”.</w:t>
      </w:r>
    </w:p>
    <w:p w14:paraId="781BB90A" w14:textId="77777777" w:rsidR="00013201" w:rsidRPr="00454929" w:rsidRDefault="00013201" w:rsidP="00013201">
      <w:pPr>
        <w:pStyle w:val="Textonotapie"/>
        <w:ind w:firstLine="709"/>
        <w:contextualSpacing/>
        <w:jc w:val="both"/>
        <w:rPr>
          <w:rFonts w:ascii="Verdana" w:hAnsi="Verdana" w:cs="Arial"/>
          <w:sz w:val="16"/>
          <w:szCs w:val="16"/>
        </w:rPr>
      </w:pPr>
    </w:p>
  </w:footnote>
  <w:footnote w:id="22">
    <w:p w14:paraId="5A96AB18" w14:textId="77777777" w:rsidR="00013201" w:rsidRPr="00454929" w:rsidRDefault="00013201" w:rsidP="00013201">
      <w:pPr>
        <w:pStyle w:val="Textonotapie"/>
        <w:ind w:firstLine="709"/>
        <w:contextualSpacing/>
        <w:jc w:val="both"/>
        <w:rPr>
          <w:rFonts w:ascii="Verdana" w:hAnsi="Verdana" w:cs="Arial"/>
          <w:sz w:val="16"/>
          <w:szCs w:val="16"/>
        </w:rPr>
      </w:pPr>
      <w:r w:rsidRPr="00454929">
        <w:rPr>
          <w:rFonts w:ascii="Verdana" w:hAnsi="Verdana"/>
          <w:sz w:val="16"/>
          <w:szCs w:val="16"/>
          <w:vertAlign w:val="superscript"/>
        </w:rPr>
        <w:footnoteRef/>
      </w:r>
      <w:r w:rsidRPr="00454929">
        <w:rPr>
          <w:rFonts w:ascii="Verdana" w:hAnsi="Verdana" w:cs="Arial"/>
          <w:sz w:val="16"/>
          <w:szCs w:val="16"/>
          <w:vertAlign w:val="superscript"/>
        </w:rPr>
        <w:t xml:space="preserve"> </w:t>
      </w:r>
      <w:r w:rsidRPr="00454929">
        <w:rPr>
          <w:rFonts w:ascii="Verdana" w:hAnsi="Verdana" w:cs="Arial"/>
          <w:sz w:val="16"/>
          <w:szCs w:val="16"/>
        </w:rPr>
        <w:t>Código Civil: “Artículo 27. Cuando el sentido de la ley sea claro, no se desatenderá su tenor a pretexto de consultar su espíritu”.</w:t>
      </w:r>
    </w:p>
  </w:footnote>
  <w:footnote w:id="23">
    <w:p w14:paraId="612E984D" w14:textId="77777777" w:rsidR="00013201" w:rsidRPr="00454929" w:rsidRDefault="00013201" w:rsidP="00013201">
      <w:pPr>
        <w:pStyle w:val="Textonotapie"/>
        <w:ind w:firstLine="709"/>
        <w:contextualSpacing/>
        <w:jc w:val="both"/>
        <w:rPr>
          <w:rFonts w:ascii="Verdana" w:hAnsi="Verdana"/>
          <w:sz w:val="16"/>
          <w:szCs w:val="16"/>
          <w:lang w:val="es-CO"/>
        </w:rPr>
      </w:pPr>
      <w:r w:rsidRPr="00454929">
        <w:rPr>
          <w:rStyle w:val="Refdenotaalpie"/>
          <w:rFonts w:ascii="Verdana" w:hAnsi="Verdana"/>
          <w:sz w:val="16"/>
          <w:szCs w:val="16"/>
        </w:rPr>
        <w:footnoteRef/>
      </w:r>
      <w:r w:rsidRPr="00454929">
        <w:rPr>
          <w:rFonts w:ascii="Verdana" w:hAnsi="Verdana"/>
          <w:sz w:val="16"/>
          <w:szCs w:val="16"/>
          <w:lang w:val="es-CO"/>
        </w:rPr>
        <w:t xml:space="preserve"> Consejo de Estado, Sección Tercera. Auto del 4 de octubre de 2024. </w:t>
      </w:r>
      <w:proofErr w:type="spellStart"/>
      <w:r w:rsidRPr="00454929">
        <w:rPr>
          <w:rFonts w:ascii="Verdana" w:hAnsi="Verdana"/>
          <w:sz w:val="16"/>
          <w:szCs w:val="16"/>
          <w:lang w:val="es-CO"/>
        </w:rPr>
        <w:t>Exp</w:t>
      </w:r>
      <w:proofErr w:type="spellEnd"/>
      <w:r w:rsidRPr="00454929">
        <w:rPr>
          <w:rFonts w:ascii="Verdana" w:hAnsi="Verdana"/>
          <w:sz w:val="16"/>
          <w:szCs w:val="16"/>
          <w:lang w:val="es-CO"/>
        </w:rPr>
        <w:t>. 70.313. C.P: Fredy Ibarra Martínez.</w:t>
      </w:r>
    </w:p>
  </w:footnote>
  <w:footnote w:id="24">
    <w:p w14:paraId="5395A0FB" w14:textId="77777777" w:rsidR="00013201" w:rsidRPr="00454929" w:rsidRDefault="00013201" w:rsidP="00013201">
      <w:pPr>
        <w:pStyle w:val="Textonotapie"/>
        <w:ind w:firstLine="709"/>
        <w:contextualSpacing/>
        <w:jc w:val="both"/>
        <w:rPr>
          <w:rFonts w:ascii="Verdana" w:hAnsi="Verdana"/>
          <w:sz w:val="16"/>
          <w:szCs w:val="16"/>
          <w:lang w:val="es-CO"/>
        </w:rPr>
      </w:pPr>
      <w:r w:rsidRPr="00454929">
        <w:rPr>
          <w:rStyle w:val="Refdenotaalpie"/>
          <w:rFonts w:ascii="Verdana" w:hAnsi="Verdana"/>
          <w:sz w:val="16"/>
          <w:szCs w:val="16"/>
        </w:rPr>
        <w:footnoteRef/>
      </w:r>
      <w:r w:rsidRPr="00454929">
        <w:rPr>
          <w:rFonts w:ascii="Verdana" w:hAnsi="Verdana"/>
          <w:sz w:val="16"/>
          <w:szCs w:val="16"/>
        </w:rPr>
        <w:t xml:space="preserve"> La parte resolutiva del auto dispone lo siguiente; “</w:t>
      </w:r>
      <w:r w:rsidRPr="00301509">
        <w:rPr>
          <w:rFonts w:ascii="Verdana" w:hAnsi="Verdana"/>
          <w:bCs/>
          <w:sz w:val="16"/>
          <w:szCs w:val="16"/>
          <w:lang w:val="es-CO"/>
        </w:rPr>
        <w:t>PRIMERO: DECRETAR la</w:t>
      </w:r>
      <w:r w:rsidRPr="00454929">
        <w:rPr>
          <w:rFonts w:ascii="Verdana" w:hAnsi="Verdana"/>
          <w:sz w:val="16"/>
          <w:szCs w:val="16"/>
          <w:lang w:val="es-CO"/>
        </w:rPr>
        <w:t xml:space="preserve"> suspensión provisional de los apartes cuestionados del inciso segundo del numeral 16.2 de la Circular Externa única, versión 3 del 27 de diciembre de 2023, expedida por la Agencia Nacional de Contratación Pública – Colombia Compra Eficiente, según el cual </w:t>
      </w:r>
      <w:r w:rsidRPr="00454929">
        <w:rPr>
          <w:rFonts w:ascii="Verdana" w:hAnsi="Verdana"/>
          <w:i/>
          <w:sz w:val="16"/>
          <w:szCs w:val="16"/>
          <w:lang w:val="es-CO"/>
        </w:rPr>
        <w:t>“[e]</w:t>
      </w:r>
      <w:proofErr w:type="spellStart"/>
      <w:r w:rsidRPr="00454929">
        <w:rPr>
          <w:rFonts w:ascii="Verdana" w:hAnsi="Verdana"/>
          <w:i/>
          <w:sz w:val="16"/>
          <w:szCs w:val="16"/>
          <w:lang w:val="es-CO"/>
        </w:rPr>
        <w:t>sta</w:t>
      </w:r>
      <w:proofErr w:type="spellEnd"/>
      <w:r w:rsidRPr="00454929">
        <w:rPr>
          <w:rFonts w:ascii="Verdana" w:hAnsi="Verdana"/>
          <w:i/>
          <w:sz w:val="16"/>
          <w:szCs w:val="16"/>
          <w:lang w:val="es-CO"/>
        </w:rPr>
        <w:t xml:space="preserve">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454929">
        <w:rPr>
          <w:rFonts w:ascii="Verdana" w:hAnsi="Verdana"/>
          <w:sz w:val="16"/>
          <w:szCs w:val="16"/>
          <w:lang w:val="es-CO"/>
        </w:rPr>
        <w:t xml:space="preserve">, por las razones expuestas en precedencia. </w:t>
      </w:r>
    </w:p>
    <w:p w14:paraId="2E4DA350" w14:textId="77777777" w:rsidR="00013201" w:rsidRPr="00454929" w:rsidRDefault="00013201" w:rsidP="00013201">
      <w:pPr>
        <w:pStyle w:val="Textonotapie"/>
        <w:ind w:firstLine="709"/>
        <w:contextualSpacing/>
        <w:jc w:val="both"/>
        <w:rPr>
          <w:rFonts w:ascii="Verdana" w:hAnsi="Verdana"/>
          <w:sz w:val="16"/>
          <w:szCs w:val="16"/>
          <w:lang w:val="es-CO"/>
        </w:rPr>
      </w:pPr>
      <w:r w:rsidRPr="00301509">
        <w:rPr>
          <w:rFonts w:ascii="Verdana" w:hAnsi="Verdana"/>
          <w:bCs/>
          <w:sz w:val="16"/>
          <w:szCs w:val="16"/>
          <w:lang w:val="es-CO"/>
        </w:rPr>
        <w:t>SEGUNDO: DECRETAR</w:t>
      </w:r>
      <w:r w:rsidRPr="00454929">
        <w:rPr>
          <w:rFonts w:ascii="Verdana" w:hAnsi="Verdana"/>
          <w:b/>
          <w:sz w:val="16"/>
          <w:szCs w:val="16"/>
          <w:lang w:val="es-CO"/>
        </w:rPr>
        <w:t xml:space="preserve"> </w:t>
      </w:r>
      <w:r w:rsidRPr="00454929">
        <w:rPr>
          <w:rFonts w:ascii="Verdana" w:hAnsi="Verdana"/>
          <w:sz w:val="16"/>
          <w:szCs w:val="16"/>
          <w:lang w:val="es-CO"/>
        </w:rPr>
        <w:t>la suspensión provisional de la expresión “</w:t>
      </w:r>
      <w:r w:rsidRPr="00454929">
        <w:rPr>
          <w:rFonts w:ascii="Verdana" w:hAnsi="Verdana"/>
          <w:i/>
          <w:sz w:val="16"/>
          <w:szCs w:val="16"/>
          <w:lang w:val="es-CO"/>
        </w:rPr>
        <w:t>contratos</w:t>
      </w:r>
      <w:r w:rsidRPr="00454929">
        <w:rPr>
          <w:rFonts w:ascii="Verdana" w:hAnsi="Verdana"/>
          <w:sz w:val="16"/>
          <w:szCs w:val="16"/>
          <w:lang w:val="es-CO"/>
        </w:rPr>
        <w:t xml:space="preserve">” y del párrafo </w:t>
      </w:r>
      <w:r w:rsidRPr="00454929">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454929">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w:t>
      </w:r>
      <w:proofErr w:type="spellStart"/>
      <w:r w:rsidRPr="00454929">
        <w:rPr>
          <w:rFonts w:ascii="Verdana" w:hAnsi="Verdana"/>
          <w:sz w:val="16"/>
          <w:szCs w:val="16"/>
          <w:lang w:val="es-CO"/>
        </w:rPr>
        <w:t>Exp</w:t>
      </w:r>
      <w:proofErr w:type="spellEnd"/>
      <w:r w:rsidRPr="00454929">
        <w:rPr>
          <w:rFonts w:ascii="Verdana" w:hAnsi="Verdana"/>
          <w:sz w:val="16"/>
          <w:szCs w:val="16"/>
          <w:lang w:val="es-CO"/>
        </w:rPr>
        <w:t xml:space="preserve">. 72.424. C.P: Fernando </w:t>
      </w:r>
      <w:proofErr w:type="spellStart"/>
      <w:r w:rsidRPr="00454929">
        <w:rPr>
          <w:rFonts w:ascii="Verdana" w:hAnsi="Verdana"/>
          <w:sz w:val="16"/>
          <w:szCs w:val="16"/>
          <w:lang w:val="es-CO"/>
        </w:rPr>
        <w:t>Alexei</w:t>
      </w:r>
      <w:proofErr w:type="spellEnd"/>
      <w:r w:rsidRPr="00454929">
        <w:rPr>
          <w:rFonts w:ascii="Verdana" w:hAnsi="Verdana"/>
          <w:sz w:val="16"/>
          <w:szCs w:val="16"/>
          <w:lang w:val="es-CO"/>
        </w:rPr>
        <w:t xml:space="preserve"> Pardo </w:t>
      </w:r>
      <w:proofErr w:type="spellStart"/>
      <w:r w:rsidRPr="00454929">
        <w:rPr>
          <w:rFonts w:ascii="Verdana" w:hAnsi="Verdana"/>
          <w:sz w:val="16"/>
          <w:szCs w:val="16"/>
          <w:lang w:val="es-CO"/>
        </w:rPr>
        <w:t>Florez</w:t>
      </w:r>
      <w:proofErr w:type="spellEnd"/>
      <w:r w:rsidRPr="00454929">
        <w:rPr>
          <w:rFonts w:ascii="Verdana" w:hAnsi="Verdana"/>
          <w:sz w:val="16"/>
          <w:szCs w:val="16"/>
          <w:lang w:val="es-CO"/>
        </w:rPr>
        <w:t xml:space="preserve">. </w:t>
      </w:r>
    </w:p>
  </w:footnote>
  <w:footnote w:id="25">
    <w:p w14:paraId="737EFDA4" w14:textId="77777777" w:rsidR="00013201" w:rsidRDefault="00013201" w:rsidP="00013201">
      <w:pPr>
        <w:spacing w:after="0" w:line="240" w:lineRule="auto"/>
        <w:ind w:firstLine="709"/>
        <w:contextualSpacing/>
        <w:jc w:val="both"/>
        <w:rPr>
          <w:rFonts w:ascii="Verdana" w:eastAsia="Times New Roman" w:hAnsi="Verdana" w:cs="Times New Roman"/>
          <w:sz w:val="16"/>
          <w:szCs w:val="16"/>
          <w:lang w:eastAsia="es-ES"/>
        </w:rPr>
      </w:pPr>
      <w:r w:rsidRPr="00454929">
        <w:rPr>
          <w:rStyle w:val="Refdenotaalpie"/>
          <w:rFonts w:ascii="Verdana" w:hAnsi="Verdana"/>
          <w:sz w:val="16"/>
          <w:szCs w:val="16"/>
        </w:rPr>
        <w:footnoteRef/>
      </w:r>
      <w:r w:rsidRPr="00454929">
        <w:rPr>
          <w:rFonts w:ascii="Verdana" w:hAnsi="Verdana"/>
          <w:sz w:val="16"/>
          <w:szCs w:val="16"/>
        </w:rPr>
        <w:t xml:space="preserve"> </w:t>
      </w:r>
      <w:r w:rsidRPr="00454929">
        <w:rPr>
          <w:rFonts w:ascii="Verdana" w:eastAsia="Times New Roman" w:hAnsi="Verdana" w:cs="Times New Roman"/>
          <w:sz w:val="16"/>
          <w:szCs w:val="16"/>
          <w:lang w:eastAsia="es-ES"/>
        </w:rPr>
        <w:t xml:space="preserve">Consejo de Estado. Sala de lo Contencioso Administrativo. Sección Tercera. Subsección B. 17 de octubre de 2025. Magistrado Ponente: Fredy Ibarra Martínez.  </w:t>
      </w:r>
      <w:r w:rsidRPr="00454929">
        <w:rPr>
          <w:rFonts w:ascii="Verdana" w:hAnsi="Verdana"/>
          <w:sz w:val="16"/>
          <w:szCs w:val="16"/>
        </w:rPr>
        <w:t xml:space="preserve">La parte de la providencia señala: </w:t>
      </w:r>
      <w:r w:rsidRPr="00454929">
        <w:rPr>
          <w:rFonts w:ascii="Verdana" w:eastAsia="Times New Roman" w:hAnsi="Verdana" w:cs="Times New Roman"/>
          <w:sz w:val="16"/>
          <w:szCs w:val="16"/>
          <w:lang w:eastAsia="es-ES"/>
        </w:rPr>
        <w:t xml:space="preserve">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roofErr w:type="spellStart"/>
      <w:r w:rsidRPr="00454929">
        <w:rPr>
          <w:rFonts w:ascii="Verdana" w:eastAsia="Times New Roman" w:hAnsi="Verdana" w:cs="Times New Roman"/>
          <w:sz w:val="16"/>
          <w:szCs w:val="16"/>
          <w:lang w:eastAsia="es-ES"/>
        </w:rPr>
        <w:t>ii</w:t>
      </w:r>
      <w:proofErr w:type="spellEnd"/>
      <w:r w:rsidRPr="00454929">
        <w:rPr>
          <w:rFonts w:ascii="Verdana" w:eastAsia="Times New Roman" w:hAnsi="Verdana" w:cs="Times New Roman"/>
          <w:sz w:val="16"/>
          <w:szCs w:val="16"/>
          <w:lang w:eastAsia="es-ES"/>
        </w:rPr>
        <w:t>)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69D564A7" w14:textId="77777777" w:rsidR="00013201" w:rsidRPr="00454929" w:rsidRDefault="00013201" w:rsidP="00013201">
      <w:pPr>
        <w:spacing w:after="0" w:line="240" w:lineRule="auto"/>
        <w:ind w:firstLine="709"/>
        <w:contextualSpacing/>
        <w:jc w:val="both"/>
        <w:rPr>
          <w:rFonts w:ascii="Verdana" w:eastAsia="Times New Roman" w:hAnsi="Verdana" w:cs="Times New Roman"/>
          <w:sz w:val="16"/>
          <w:szCs w:val="16"/>
          <w:lang w:eastAsia="es-ES"/>
        </w:rPr>
      </w:pPr>
    </w:p>
  </w:footnote>
  <w:footnote w:id="26">
    <w:p w14:paraId="3A83400C" w14:textId="77777777" w:rsidR="00013201" w:rsidRPr="00454929" w:rsidRDefault="00013201" w:rsidP="00013201">
      <w:pPr>
        <w:pStyle w:val="Textonotapie"/>
        <w:ind w:firstLine="709"/>
        <w:rPr>
          <w:rFonts w:ascii="Verdana" w:hAnsi="Verdana"/>
          <w:sz w:val="16"/>
          <w:szCs w:val="16"/>
          <w:lang w:val="es-CO"/>
        </w:rPr>
      </w:pPr>
      <w:r w:rsidRPr="00454929">
        <w:rPr>
          <w:rStyle w:val="Refdenotaalpie"/>
          <w:rFonts w:ascii="Verdana" w:hAnsi="Verdana"/>
          <w:sz w:val="16"/>
          <w:szCs w:val="16"/>
        </w:rPr>
        <w:footnoteRef/>
      </w:r>
      <w:r w:rsidRPr="00454929">
        <w:rPr>
          <w:rFonts w:ascii="Verdana" w:hAnsi="Verdana"/>
          <w:sz w:val="16"/>
          <w:szCs w:val="16"/>
        </w:rPr>
        <w:t xml:space="preserve"> No </w:t>
      </w:r>
      <w:proofErr w:type="gramStart"/>
      <w:r w:rsidRPr="00454929">
        <w:rPr>
          <w:rFonts w:ascii="Verdana" w:hAnsi="Verdana"/>
          <w:sz w:val="16"/>
          <w:szCs w:val="16"/>
        </w:rPr>
        <w:t>obstante</w:t>
      </w:r>
      <w:proofErr w:type="gramEnd"/>
      <w:r w:rsidRPr="00454929">
        <w:rPr>
          <w:rFonts w:ascii="Verdana" w:hAnsi="Verdana"/>
          <w:sz w:val="16"/>
          <w:szCs w:val="16"/>
        </w:rPr>
        <w:t xml:space="preserv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201"/>
    <w:rsid w:val="00016F78"/>
    <w:rsid w:val="0002029B"/>
    <w:rsid w:val="00031855"/>
    <w:rsid w:val="00035438"/>
    <w:rsid w:val="000358D2"/>
    <w:rsid w:val="00040801"/>
    <w:rsid w:val="000466BD"/>
    <w:rsid w:val="00046945"/>
    <w:rsid w:val="0005195F"/>
    <w:rsid w:val="00052B57"/>
    <w:rsid w:val="000547F7"/>
    <w:rsid w:val="00061547"/>
    <w:rsid w:val="00061B2A"/>
    <w:rsid w:val="000673BA"/>
    <w:rsid w:val="00071189"/>
    <w:rsid w:val="00071D46"/>
    <w:rsid w:val="00074CDA"/>
    <w:rsid w:val="00082362"/>
    <w:rsid w:val="000838BA"/>
    <w:rsid w:val="000900F5"/>
    <w:rsid w:val="00092DCC"/>
    <w:rsid w:val="000A683E"/>
    <w:rsid w:val="000A6D90"/>
    <w:rsid w:val="000B19B9"/>
    <w:rsid w:val="000C5B06"/>
    <w:rsid w:val="000D0334"/>
    <w:rsid w:val="000D15E3"/>
    <w:rsid w:val="000D5DA7"/>
    <w:rsid w:val="000E3C0C"/>
    <w:rsid w:val="000F6486"/>
    <w:rsid w:val="001131F7"/>
    <w:rsid w:val="00116940"/>
    <w:rsid w:val="00125105"/>
    <w:rsid w:val="00127233"/>
    <w:rsid w:val="0013793B"/>
    <w:rsid w:val="0015683D"/>
    <w:rsid w:val="0015699B"/>
    <w:rsid w:val="00160992"/>
    <w:rsid w:val="00161946"/>
    <w:rsid w:val="0016386A"/>
    <w:rsid w:val="00186559"/>
    <w:rsid w:val="00192440"/>
    <w:rsid w:val="001A0022"/>
    <w:rsid w:val="001A33BF"/>
    <w:rsid w:val="001B04E1"/>
    <w:rsid w:val="001B40D7"/>
    <w:rsid w:val="001C02BF"/>
    <w:rsid w:val="001C7A3B"/>
    <w:rsid w:val="001E4177"/>
    <w:rsid w:val="001F0B24"/>
    <w:rsid w:val="001F7DC6"/>
    <w:rsid w:val="0021326C"/>
    <w:rsid w:val="002133AC"/>
    <w:rsid w:val="00220E51"/>
    <w:rsid w:val="0022400B"/>
    <w:rsid w:val="00225635"/>
    <w:rsid w:val="0022674B"/>
    <w:rsid w:val="002421BB"/>
    <w:rsid w:val="002439E8"/>
    <w:rsid w:val="0025796E"/>
    <w:rsid w:val="0026347A"/>
    <w:rsid w:val="002707A2"/>
    <w:rsid w:val="0027500F"/>
    <w:rsid w:val="0027509F"/>
    <w:rsid w:val="00275223"/>
    <w:rsid w:val="00285515"/>
    <w:rsid w:val="002951A0"/>
    <w:rsid w:val="002962BC"/>
    <w:rsid w:val="002A093D"/>
    <w:rsid w:val="002A0DD0"/>
    <w:rsid w:val="002A49AC"/>
    <w:rsid w:val="002A64FD"/>
    <w:rsid w:val="002C1DC7"/>
    <w:rsid w:val="002C7024"/>
    <w:rsid w:val="002C7A84"/>
    <w:rsid w:val="002E2BF8"/>
    <w:rsid w:val="002E4FD9"/>
    <w:rsid w:val="002E61CB"/>
    <w:rsid w:val="002F0013"/>
    <w:rsid w:val="00301509"/>
    <w:rsid w:val="0030657A"/>
    <w:rsid w:val="00322A85"/>
    <w:rsid w:val="00322EC5"/>
    <w:rsid w:val="00324168"/>
    <w:rsid w:val="00330834"/>
    <w:rsid w:val="003448F4"/>
    <w:rsid w:val="00364792"/>
    <w:rsid w:val="00371077"/>
    <w:rsid w:val="00372C6B"/>
    <w:rsid w:val="00374F5E"/>
    <w:rsid w:val="0037544F"/>
    <w:rsid w:val="00377E3E"/>
    <w:rsid w:val="003820DF"/>
    <w:rsid w:val="003A779E"/>
    <w:rsid w:val="003C6845"/>
    <w:rsid w:val="003D0F4D"/>
    <w:rsid w:val="003D1B64"/>
    <w:rsid w:val="003D5B0D"/>
    <w:rsid w:val="003E0499"/>
    <w:rsid w:val="003E4F80"/>
    <w:rsid w:val="003E6439"/>
    <w:rsid w:val="003E735B"/>
    <w:rsid w:val="003F3941"/>
    <w:rsid w:val="003F614D"/>
    <w:rsid w:val="00406575"/>
    <w:rsid w:val="00410798"/>
    <w:rsid w:val="00411BDC"/>
    <w:rsid w:val="00414C74"/>
    <w:rsid w:val="0042722E"/>
    <w:rsid w:val="00441CBA"/>
    <w:rsid w:val="0044391D"/>
    <w:rsid w:val="0044528D"/>
    <w:rsid w:val="00447D68"/>
    <w:rsid w:val="00454929"/>
    <w:rsid w:val="00466E39"/>
    <w:rsid w:val="00482175"/>
    <w:rsid w:val="004826B6"/>
    <w:rsid w:val="0049672E"/>
    <w:rsid w:val="004A1847"/>
    <w:rsid w:val="004A305D"/>
    <w:rsid w:val="004A6106"/>
    <w:rsid w:val="004D249E"/>
    <w:rsid w:val="004E615E"/>
    <w:rsid w:val="004F21C4"/>
    <w:rsid w:val="004F685F"/>
    <w:rsid w:val="00500CF5"/>
    <w:rsid w:val="00511259"/>
    <w:rsid w:val="0051328D"/>
    <w:rsid w:val="005173C4"/>
    <w:rsid w:val="005254E6"/>
    <w:rsid w:val="0053094D"/>
    <w:rsid w:val="00555728"/>
    <w:rsid w:val="005566E8"/>
    <w:rsid w:val="005675BF"/>
    <w:rsid w:val="00574867"/>
    <w:rsid w:val="00576B1A"/>
    <w:rsid w:val="00591460"/>
    <w:rsid w:val="005A2F05"/>
    <w:rsid w:val="005A65E0"/>
    <w:rsid w:val="005B6132"/>
    <w:rsid w:val="005C3777"/>
    <w:rsid w:val="005C5CDC"/>
    <w:rsid w:val="005D476C"/>
    <w:rsid w:val="00612C39"/>
    <w:rsid w:val="00613744"/>
    <w:rsid w:val="006200BF"/>
    <w:rsid w:val="006204DF"/>
    <w:rsid w:val="006219F8"/>
    <w:rsid w:val="006302F7"/>
    <w:rsid w:val="00646B9F"/>
    <w:rsid w:val="006638D4"/>
    <w:rsid w:val="00665D70"/>
    <w:rsid w:val="00684307"/>
    <w:rsid w:val="006900D9"/>
    <w:rsid w:val="006918E2"/>
    <w:rsid w:val="00694F2A"/>
    <w:rsid w:val="006E7646"/>
    <w:rsid w:val="006F73F6"/>
    <w:rsid w:val="00700FC1"/>
    <w:rsid w:val="00706C16"/>
    <w:rsid w:val="00720881"/>
    <w:rsid w:val="007340C3"/>
    <w:rsid w:val="00746BE7"/>
    <w:rsid w:val="0075235A"/>
    <w:rsid w:val="007551A3"/>
    <w:rsid w:val="00756841"/>
    <w:rsid w:val="007649AB"/>
    <w:rsid w:val="00771CCA"/>
    <w:rsid w:val="00771D0C"/>
    <w:rsid w:val="00782142"/>
    <w:rsid w:val="007833AC"/>
    <w:rsid w:val="0079605D"/>
    <w:rsid w:val="007B268C"/>
    <w:rsid w:val="007B7171"/>
    <w:rsid w:val="007C0C0F"/>
    <w:rsid w:val="007C3DC2"/>
    <w:rsid w:val="007D4B2E"/>
    <w:rsid w:val="007D57F7"/>
    <w:rsid w:val="007E5497"/>
    <w:rsid w:val="007F431E"/>
    <w:rsid w:val="007F494F"/>
    <w:rsid w:val="008036B4"/>
    <w:rsid w:val="00806F5F"/>
    <w:rsid w:val="0081175D"/>
    <w:rsid w:val="00816000"/>
    <w:rsid w:val="00820278"/>
    <w:rsid w:val="008258C9"/>
    <w:rsid w:val="00832214"/>
    <w:rsid w:val="00834510"/>
    <w:rsid w:val="00834C77"/>
    <w:rsid w:val="00844AE9"/>
    <w:rsid w:val="00846D07"/>
    <w:rsid w:val="00861E32"/>
    <w:rsid w:val="00865796"/>
    <w:rsid w:val="00867F95"/>
    <w:rsid w:val="008717DA"/>
    <w:rsid w:val="0087320F"/>
    <w:rsid w:val="008843B6"/>
    <w:rsid w:val="00887563"/>
    <w:rsid w:val="00891928"/>
    <w:rsid w:val="008A446D"/>
    <w:rsid w:val="008B0077"/>
    <w:rsid w:val="008B25F1"/>
    <w:rsid w:val="008C17CB"/>
    <w:rsid w:val="008D180B"/>
    <w:rsid w:val="008E12F2"/>
    <w:rsid w:val="008E492D"/>
    <w:rsid w:val="008E55E5"/>
    <w:rsid w:val="008F0EA7"/>
    <w:rsid w:val="00923EEF"/>
    <w:rsid w:val="00926E3D"/>
    <w:rsid w:val="0093137C"/>
    <w:rsid w:val="00934F4F"/>
    <w:rsid w:val="009419F9"/>
    <w:rsid w:val="009433C7"/>
    <w:rsid w:val="0095685E"/>
    <w:rsid w:val="00957615"/>
    <w:rsid w:val="00961B09"/>
    <w:rsid w:val="00965334"/>
    <w:rsid w:val="0097093E"/>
    <w:rsid w:val="00970FE4"/>
    <w:rsid w:val="009948A2"/>
    <w:rsid w:val="0099559C"/>
    <w:rsid w:val="009A0DFA"/>
    <w:rsid w:val="009A1C6F"/>
    <w:rsid w:val="009B0E84"/>
    <w:rsid w:val="009B2D26"/>
    <w:rsid w:val="009B604C"/>
    <w:rsid w:val="009C1F94"/>
    <w:rsid w:val="009C71FA"/>
    <w:rsid w:val="009C72E7"/>
    <w:rsid w:val="009C7F7E"/>
    <w:rsid w:val="009D3058"/>
    <w:rsid w:val="009F3A13"/>
    <w:rsid w:val="00A122D3"/>
    <w:rsid w:val="00A14468"/>
    <w:rsid w:val="00A17F13"/>
    <w:rsid w:val="00A20739"/>
    <w:rsid w:val="00A23AF9"/>
    <w:rsid w:val="00A32BE2"/>
    <w:rsid w:val="00A332C8"/>
    <w:rsid w:val="00A33C78"/>
    <w:rsid w:val="00A3402F"/>
    <w:rsid w:val="00A43116"/>
    <w:rsid w:val="00A43159"/>
    <w:rsid w:val="00A53532"/>
    <w:rsid w:val="00A575FE"/>
    <w:rsid w:val="00A841B2"/>
    <w:rsid w:val="00A92EC3"/>
    <w:rsid w:val="00A960E5"/>
    <w:rsid w:val="00AA63B5"/>
    <w:rsid w:val="00AB0ADB"/>
    <w:rsid w:val="00AD6C81"/>
    <w:rsid w:val="00AF1BE5"/>
    <w:rsid w:val="00B00C0E"/>
    <w:rsid w:val="00B01B1A"/>
    <w:rsid w:val="00B0381D"/>
    <w:rsid w:val="00B060A3"/>
    <w:rsid w:val="00B354C9"/>
    <w:rsid w:val="00B37969"/>
    <w:rsid w:val="00B44A47"/>
    <w:rsid w:val="00B45858"/>
    <w:rsid w:val="00B714B0"/>
    <w:rsid w:val="00B72CD3"/>
    <w:rsid w:val="00B72FFF"/>
    <w:rsid w:val="00B85A64"/>
    <w:rsid w:val="00BA1D42"/>
    <w:rsid w:val="00BC3D36"/>
    <w:rsid w:val="00BD4350"/>
    <w:rsid w:val="00BD54A6"/>
    <w:rsid w:val="00BD652D"/>
    <w:rsid w:val="00BD7F72"/>
    <w:rsid w:val="00BF2144"/>
    <w:rsid w:val="00BF7425"/>
    <w:rsid w:val="00C04FB3"/>
    <w:rsid w:val="00C0783E"/>
    <w:rsid w:val="00C11D8B"/>
    <w:rsid w:val="00C15139"/>
    <w:rsid w:val="00C16A37"/>
    <w:rsid w:val="00C330EB"/>
    <w:rsid w:val="00C335B7"/>
    <w:rsid w:val="00C413E9"/>
    <w:rsid w:val="00C41DE8"/>
    <w:rsid w:val="00C50D69"/>
    <w:rsid w:val="00C5151D"/>
    <w:rsid w:val="00C5365C"/>
    <w:rsid w:val="00C54178"/>
    <w:rsid w:val="00C541CA"/>
    <w:rsid w:val="00C546CC"/>
    <w:rsid w:val="00C55BDE"/>
    <w:rsid w:val="00C708C9"/>
    <w:rsid w:val="00C754BE"/>
    <w:rsid w:val="00C76B1C"/>
    <w:rsid w:val="00C851C7"/>
    <w:rsid w:val="00C925AC"/>
    <w:rsid w:val="00CA7C8E"/>
    <w:rsid w:val="00CB1D05"/>
    <w:rsid w:val="00CB6357"/>
    <w:rsid w:val="00CC1B26"/>
    <w:rsid w:val="00CC2FD7"/>
    <w:rsid w:val="00CF29BA"/>
    <w:rsid w:val="00CF4966"/>
    <w:rsid w:val="00D177E6"/>
    <w:rsid w:val="00D201E9"/>
    <w:rsid w:val="00D25E73"/>
    <w:rsid w:val="00D302D9"/>
    <w:rsid w:val="00D361FD"/>
    <w:rsid w:val="00D414FE"/>
    <w:rsid w:val="00D423A2"/>
    <w:rsid w:val="00D44E26"/>
    <w:rsid w:val="00D460D0"/>
    <w:rsid w:val="00D520D8"/>
    <w:rsid w:val="00D63AC2"/>
    <w:rsid w:val="00D7383B"/>
    <w:rsid w:val="00D7788A"/>
    <w:rsid w:val="00D82C96"/>
    <w:rsid w:val="00D86621"/>
    <w:rsid w:val="00DA02A1"/>
    <w:rsid w:val="00DA1FBF"/>
    <w:rsid w:val="00DA231B"/>
    <w:rsid w:val="00DB2058"/>
    <w:rsid w:val="00DB2E63"/>
    <w:rsid w:val="00DC2676"/>
    <w:rsid w:val="00DC38B2"/>
    <w:rsid w:val="00DC39FC"/>
    <w:rsid w:val="00DE440E"/>
    <w:rsid w:val="00DE4943"/>
    <w:rsid w:val="00DE79ED"/>
    <w:rsid w:val="00DF5254"/>
    <w:rsid w:val="00E02524"/>
    <w:rsid w:val="00E07A6B"/>
    <w:rsid w:val="00E10E51"/>
    <w:rsid w:val="00E1209B"/>
    <w:rsid w:val="00E13BCD"/>
    <w:rsid w:val="00E15C40"/>
    <w:rsid w:val="00E16408"/>
    <w:rsid w:val="00E20894"/>
    <w:rsid w:val="00E245AB"/>
    <w:rsid w:val="00E27291"/>
    <w:rsid w:val="00E2764C"/>
    <w:rsid w:val="00E27F2E"/>
    <w:rsid w:val="00E36176"/>
    <w:rsid w:val="00E50AFE"/>
    <w:rsid w:val="00E51371"/>
    <w:rsid w:val="00E75C92"/>
    <w:rsid w:val="00E771DC"/>
    <w:rsid w:val="00E826C6"/>
    <w:rsid w:val="00E84EEF"/>
    <w:rsid w:val="00E86265"/>
    <w:rsid w:val="00E8772A"/>
    <w:rsid w:val="00E90F6B"/>
    <w:rsid w:val="00E92C27"/>
    <w:rsid w:val="00E93496"/>
    <w:rsid w:val="00EA0E3D"/>
    <w:rsid w:val="00EB5A8E"/>
    <w:rsid w:val="00EC214E"/>
    <w:rsid w:val="00EC38A7"/>
    <w:rsid w:val="00ED5F50"/>
    <w:rsid w:val="00EE04B9"/>
    <w:rsid w:val="00EE1AA8"/>
    <w:rsid w:val="00EF2E3F"/>
    <w:rsid w:val="00EF5BD7"/>
    <w:rsid w:val="00F01EE6"/>
    <w:rsid w:val="00F07606"/>
    <w:rsid w:val="00F07CE6"/>
    <w:rsid w:val="00F07F01"/>
    <w:rsid w:val="00F10689"/>
    <w:rsid w:val="00F23FEA"/>
    <w:rsid w:val="00F302DC"/>
    <w:rsid w:val="00F31EDC"/>
    <w:rsid w:val="00F32232"/>
    <w:rsid w:val="00F34198"/>
    <w:rsid w:val="00F462B3"/>
    <w:rsid w:val="00F5664F"/>
    <w:rsid w:val="00F60C80"/>
    <w:rsid w:val="00F63C15"/>
    <w:rsid w:val="00F666C4"/>
    <w:rsid w:val="00F76AFC"/>
    <w:rsid w:val="00F775C8"/>
    <w:rsid w:val="00F80590"/>
    <w:rsid w:val="00FA2A14"/>
    <w:rsid w:val="00FA47C0"/>
    <w:rsid w:val="00FB5DD1"/>
    <w:rsid w:val="00FC2B5D"/>
    <w:rsid w:val="00FC6BC9"/>
    <w:rsid w:val="00FD6717"/>
    <w:rsid w:val="00FE31C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7615"/>
    <w:rPr>
      <w:rFonts w:ascii="Geomanist Light" w:hAnsi="Geomanist Light"/>
      <w:lang w:val="es-ES"/>
    </w:rPr>
  </w:style>
  <w:style w:type="paragraph" w:customStyle="1" w:styleId="Appelnotedebasde">
    <w:name w:val="Appel note de bas de..."/>
    <w:basedOn w:val="Normal"/>
    <w:link w:val="Refdenotaalpie"/>
    <w:uiPriority w:val="99"/>
    <w:rsid w:val="00EF2E3F"/>
    <w:pPr>
      <w:spacing w:line="240" w:lineRule="exact"/>
    </w:pPr>
    <w:rPr>
      <w:vertAlign w:val="superscript"/>
    </w:rPr>
  </w:style>
  <w:style w:type="character" w:customStyle="1" w:styleId="NormalWebCar">
    <w:name w:val="Normal (Web) Car"/>
    <w:link w:val="NormalWeb"/>
    <w:uiPriority w:val="99"/>
    <w:rsid w:val="00EF2E3F"/>
    <w:rPr>
      <w:rFonts w:ascii="Times New Roman" w:eastAsia="Times New Roman" w:hAnsi="Times New Roman" w:cs="Times New Roman"/>
      <w:sz w:val="24"/>
      <w:szCs w:val="24"/>
      <w:lang w:eastAsia="es-CO"/>
    </w:rPr>
  </w:style>
  <w:style w:type="character" w:customStyle="1" w:styleId="baj">
    <w:name w:val="b_aj"/>
    <w:basedOn w:val="Fuentedeprrafopredeter"/>
    <w:rsid w:val="00092DCC"/>
  </w:style>
  <w:style w:type="table" w:customStyle="1" w:styleId="Tablaconcuadrcula1">
    <w:name w:val="Tabla con cuadrícula1"/>
    <w:basedOn w:val="Tablanormal"/>
    <w:next w:val="Tablaconcuadrcula"/>
    <w:uiPriority w:val="39"/>
    <w:qFormat/>
    <w:rsid w:val="006638D4"/>
    <w:pPr>
      <w:spacing w:after="0" w:line="240" w:lineRule="auto"/>
    </w:pPr>
    <w:tblPr/>
  </w:style>
  <w:style w:type="table" w:customStyle="1" w:styleId="Tablaconcuadrcula11">
    <w:name w:val="Tabla con cuadrícula11"/>
    <w:basedOn w:val="Tablanormal"/>
    <w:next w:val="Tablaconcuadrcula"/>
    <w:uiPriority w:val="39"/>
    <w:qFormat/>
    <w:rsid w:val="00782142"/>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circular/circular-externa-006-de-2025"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sebashdezc@gmail.com"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D03173-9E34-4A08-BC2F-30708C43E48C}">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747D40FE-B337-4A0E-ABEE-B8C5442DA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34</TotalTime>
  <Pages>29</Pages>
  <Words>9515</Words>
  <Characters>52049</Characters>
  <Application>Microsoft Office Word</Application>
  <DocSecurity>0</DocSecurity>
  <Lines>963</Lines>
  <Paragraphs>183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11</cp:revision>
  <cp:lastPrinted>2023-01-10T21:18:00Z</cp:lastPrinted>
  <dcterms:created xsi:type="dcterms:W3CDTF">2025-12-05T16:58:00Z</dcterms:created>
  <dcterms:modified xsi:type="dcterms:W3CDTF">2025-12-09T16:22:00Z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