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864B4" w14:textId="257C5C14" w:rsidR="00A22876" w:rsidRPr="00A22876" w:rsidRDefault="00A22876" w:rsidP="00A22876">
      <w:pPr>
        <w:jc w:val="both"/>
        <w:rPr>
          <w:rFonts w:ascii="Verdana" w:hAnsi="Verdana" w:cs="Arial"/>
          <w:b/>
          <w:color w:val="000000" w:themeColor="text1"/>
          <w:lang w:val="es-ES_tradnl"/>
        </w:rPr>
      </w:pPr>
      <w:bookmarkStart w:id="0" w:name="_Hlk143780582"/>
      <w:r w:rsidRPr="00A22876">
        <w:rPr>
          <w:rFonts w:ascii="Verdana" w:hAnsi="Verdana" w:cs="Arial"/>
          <w:b/>
          <w:color w:val="000000" w:themeColor="text1"/>
          <w:lang w:val="es-ES_tradnl"/>
        </w:rPr>
        <w:t xml:space="preserve">LEY DE GARANTÍAS ELECTORALES ‒ Finalidad </w:t>
      </w:r>
    </w:p>
    <w:p w14:paraId="298B11A9" w14:textId="32581E28" w:rsidR="00A22876" w:rsidRDefault="00A22876" w:rsidP="00A22876">
      <w:pPr>
        <w:tabs>
          <w:tab w:val="left" w:pos="426"/>
        </w:tabs>
        <w:spacing w:after="120" w:line="276" w:lineRule="auto"/>
        <w:jc w:val="both"/>
        <w:rPr>
          <w:rFonts w:ascii="Verdana" w:eastAsia="Calibri" w:hAnsi="Verdana" w:cs="Arial"/>
          <w:lang w:val="es-ES_tradnl"/>
        </w:rPr>
      </w:pPr>
      <w:r>
        <w:rPr>
          <w:rFonts w:ascii="Verdana" w:eastAsia="Times New Roman" w:hAnsi="Verdana" w:cs="Arial"/>
          <w:lang w:val="es-MX" w:eastAsia="es-CO"/>
        </w:rPr>
        <w:t>L</w:t>
      </w:r>
      <w:r w:rsidRPr="00E2397D">
        <w:rPr>
          <w:rFonts w:ascii="Verdana" w:eastAsia="Times New Roman" w:hAnsi="Verdana" w:cs="Arial"/>
          <w:lang w:val="es-MX" w:eastAsia="es-CO"/>
        </w:rPr>
        <w:t>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p>
    <w:p w14:paraId="152B18E3" w14:textId="349B3136" w:rsidR="00A22876" w:rsidRDefault="00A22876" w:rsidP="00A22876">
      <w:pPr>
        <w:jc w:val="both"/>
        <w:rPr>
          <w:rFonts w:ascii="Verdana" w:hAnsi="Verdana" w:cs="Arial"/>
          <w:b/>
          <w:color w:val="000000" w:themeColor="text1"/>
          <w:lang w:val="es-ES_tradnl"/>
        </w:rPr>
      </w:pPr>
      <w:r w:rsidRPr="00A22876">
        <w:rPr>
          <w:rFonts w:ascii="Verdana" w:hAnsi="Verdana" w:cs="Arial"/>
          <w:b/>
          <w:color w:val="000000" w:themeColor="text1"/>
          <w:lang w:val="es-ES_tradnl"/>
        </w:rPr>
        <w:t xml:space="preserve">LEY DE GARANTÍAS ELECTORALES ‒ Tipos de restricciones </w:t>
      </w:r>
    </w:p>
    <w:p w14:paraId="40BBAC06" w14:textId="2F7AB6A3" w:rsidR="00A22876" w:rsidRPr="00A22876" w:rsidRDefault="00A22876" w:rsidP="00A22876">
      <w:pPr>
        <w:spacing w:after="120" w:line="276" w:lineRule="auto"/>
        <w:jc w:val="both"/>
        <w:rPr>
          <w:rFonts w:ascii="Verdana" w:eastAsia="Times New Roman" w:hAnsi="Verdana" w:cs="Arial"/>
          <w:lang w:val="es-MX" w:eastAsia="es-CO"/>
        </w:rPr>
      </w:pPr>
      <w:r w:rsidRPr="00E2397D">
        <w:rPr>
          <w:rFonts w:ascii="Verdana" w:eastAsia="Arial" w:hAnsi="Verdana" w:cs="Arial"/>
          <w:lang w:val="es-MX" w:eastAsia="es-ES" w:bidi="es-ES"/>
        </w:rPr>
        <w:t>s</w:t>
      </w:r>
      <w:r w:rsidRPr="00E2397D">
        <w:rPr>
          <w:rFonts w:ascii="Verdana" w:eastAsia="Times New Roman" w:hAnsi="Verdana" w:cs="Arial"/>
          <w:lang w:eastAsia="es-CO"/>
        </w:rPr>
        <w:t xml:space="preserve">e observa entonces que </w:t>
      </w:r>
      <w:r w:rsidRPr="00E2397D">
        <w:rPr>
          <w:rFonts w:ascii="Verdana" w:eastAsia="Times New Roman" w:hAnsi="Verdana" w:cs="Arial"/>
          <w:lang w:val="es-MX" w:eastAsia="es-CO"/>
        </w:rPr>
        <w:t xml:space="preserve">el parágrafo del artículo 38 de la Ley 996 de 2005 prohíbe a los Alcaldes, Gobernadores, Secretarios, Gerentes y Directores de las entidades </w:t>
      </w:r>
      <w:r>
        <w:rPr>
          <w:rFonts w:ascii="Verdana" w:eastAsia="Times New Roman" w:hAnsi="Verdana" w:cs="Arial"/>
          <w:lang w:val="es-MX" w:eastAsia="es-CO"/>
        </w:rPr>
        <w:t xml:space="preserve">descentralizadas </w:t>
      </w:r>
      <w:r w:rsidRPr="00E2397D">
        <w:rPr>
          <w:rFonts w:ascii="Verdana" w:eastAsia="Times New Roman" w:hAnsi="Verdana" w:cs="Arial"/>
          <w:lang w:val="es-MX" w:eastAsia="es-CO"/>
        </w:rPr>
        <w:t xml:space="preserve">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w:t>
      </w:r>
      <w:r>
        <w:rPr>
          <w:rFonts w:ascii="Verdana" w:eastAsia="Times New Roman" w:hAnsi="Verdana" w:cs="Arial"/>
          <w:lang w:val="es-MX" w:eastAsia="es-CO"/>
        </w:rPr>
        <w:t xml:space="preserve"> </w:t>
      </w:r>
      <w:r w:rsidRPr="00E2397D">
        <w:rPr>
          <w:rFonts w:ascii="Verdana" w:eastAsia="Times New Roman" w:hAnsi="Verdana" w:cs="Arial"/>
          <w:lang w:val="es-MX" w:eastAsia="es-CO"/>
        </w:rPr>
        <w:t xml:space="preserve">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67C89FDB" w14:textId="11BD4A15" w:rsidR="00A22876" w:rsidRDefault="00A22876" w:rsidP="00A22876">
      <w:pPr>
        <w:jc w:val="both"/>
        <w:rPr>
          <w:rFonts w:ascii="Verdana" w:eastAsia="Times New Roman" w:hAnsi="Verdana" w:cs="Arial"/>
          <w:b/>
          <w:bCs/>
          <w:lang w:eastAsia="es-ES_tradnl"/>
        </w:rPr>
      </w:pPr>
      <w:r w:rsidRPr="00A22876">
        <w:rPr>
          <w:rFonts w:ascii="Verdana" w:eastAsia="Times New Roman" w:hAnsi="Verdana" w:cs="Arial"/>
          <w:b/>
          <w:bCs/>
          <w:lang w:eastAsia="es-ES_tradnl"/>
        </w:rPr>
        <w:t>LEY DE GARANTÍAS ELECTORALES - Aplicación en contratos de colaboración y convenios de asociación</w:t>
      </w:r>
    </w:p>
    <w:p w14:paraId="25CFCA51" w14:textId="750C5BE0" w:rsidR="00A22876" w:rsidRPr="00A22876" w:rsidRDefault="00A22876" w:rsidP="00A22876">
      <w:pPr>
        <w:jc w:val="both"/>
        <w:rPr>
          <w:rFonts w:ascii="Verdana" w:hAnsi="Verdana" w:cs="Arial"/>
          <w:b/>
          <w:bCs/>
          <w:color w:val="000000" w:themeColor="text1"/>
          <w:lang w:val="es-ES_tradnl"/>
        </w:rPr>
      </w:pPr>
      <w:r>
        <w:rPr>
          <w:rFonts w:ascii="Verdana" w:eastAsia="Calibri" w:hAnsi="Verdana" w:cs="Arial"/>
          <w:color w:val="000000"/>
        </w:rPr>
        <w:t xml:space="preserve">los convenios de asociación </w:t>
      </w:r>
      <w:r w:rsidRPr="697BF333">
        <w:rPr>
          <w:rFonts w:ascii="Verdana" w:eastAsia="Calibri" w:hAnsi="Verdana" w:cs="Arial"/>
          <w:lang w:val="es-ES"/>
        </w:rPr>
        <w:t xml:space="preserve">regidos por el artículo 96 de la Ley 489 de 1998, así como por el artículo 5 del Decreto 092 de 2017, por regla general, también deben celebrarse previo desarrollo de un proceso competitivo, por lo que, en principio, su suscripción tampoco debería verse afectada por la restricción del artículo 33 de la Ley 996 de 2005. Esto a excepción de la posibilidad celebrar convenios de asociación de manera directa, en aquellos casos en los que una entidad sin ánimo de lucro aporte el 30% de los recursos en dinero requeridos, supuesto que, al excluir la pluralidad de oferentes, si entra dentro del ámbito de aplicación de la mencionada prohibición, de manera que no es posible su aplicación en vigencia de la restricción a la contratación directa.  </w:t>
      </w:r>
    </w:p>
    <w:p w14:paraId="78EA83E8" w14:textId="77777777" w:rsidR="00A22876" w:rsidRDefault="00A22876" w:rsidP="00C15139">
      <w:pPr>
        <w:spacing w:after="0"/>
        <w:rPr>
          <w:rFonts w:ascii="Verdana" w:hAnsi="Verdana"/>
        </w:rPr>
      </w:pPr>
    </w:p>
    <w:p w14:paraId="62A5D300" w14:textId="77777777" w:rsidR="00A22876" w:rsidRDefault="00A22876" w:rsidP="00C15139">
      <w:pPr>
        <w:spacing w:after="0"/>
        <w:rPr>
          <w:rFonts w:ascii="Verdana" w:hAnsi="Verdana"/>
        </w:rPr>
      </w:pPr>
    </w:p>
    <w:p w14:paraId="12443EE0" w14:textId="4D4B6E05" w:rsidR="00C15139" w:rsidRPr="0024624F" w:rsidRDefault="00A22876" w:rsidP="00C15139">
      <w:pPr>
        <w:spacing w:after="0"/>
        <w:rPr>
          <w:rFonts w:ascii="Verdana" w:hAnsi="Verdana"/>
        </w:rPr>
      </w:pPr>
      <w:r>
        <w:rPr>
          <w:rFonts w:ascii="Verdana" w:hAnsi="Verdana"/>
          <w:noProof/>
        </w:rPr>
        <w:lastRenderedPageBreak/>
        <w:drawing>
          <wp:anchor distT="0" distB="0" distL="114300" distR="114300" simplePos="0" relativeHeight="251658240" behindDoc="0" locked="0" layoutInCell="1" allowOverlap="1" wp14:anchorId="1BE6A93E" wp14:editId="596C4C4A">
            <wp:simplePos x="0" y="0"/>
            <wp:positionH relativeFrom="column">
              <wp:posOffset>3070004</wp:posOffset>
            </wp:positionH>
            <wp:positionV relativeFrom="paragraph">
              <wp:posOffset>64881</wp:posOffset>
            </wp:positionV>
            <wp:extent cx="2520950" cy="7493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520950" cy="749300"/>
                    </a:xfrm>
                    <a:prstGeom prst="rect">
                      <a:avLst/>
                    </a:prstGeom>
                  </pic:spPr>
                </pic:pic>
              </a:graphicData>
            </a:graphic>
            <wp14:sizeRelH relativeFrom="page">
              <wp14:pctWidth>0</wp14:pctWidth>
            </wp14:sizeRelH>
            <wp14:sizeRelV relativeFrom="page">
              <wp14:pctHeight>0</wp14:pctHeight>
            </wp14:sizeRelV>
          </wp:anchor>
        </w:drawing>
      </w:r>
      <w:r w:rsidR="00C15139" w:rsidRPr="0024624F">
        <w:rPr>
          <w:rFonts w:ascii="Verdana" w:hAnsi="Verdana"/>
        </w:rPr>
        <w:t xml:space="preserve">Bogotá D.C., </w:t>
      </w:r>
      <w:r>
        <w:rPr>
          <w:rFonts w:ascii="Verdana" w:hAnsi="Verdana"/>
        </w:rPr>
        <w:t>11 Diciembre 2025</w:t>
      </w:r>
      <w:r w:rsidR="00C15139" w:rsidRPr="000E2B93">
        <w:rPr>
          <w:rFonts w:ascii="Verdana" w:hAnsi="Verdana"/>
        </w:rPr>
        <w:tab/>
      </w:r>
      <w:r w:rsidR="00C15139" w:rsidRPr="000E2B93">
        <w:rPr>
          <w:rFonts w:ascii="Verdana" w:hAnsi="Verdana"/>
        </w:rPr>
        <w:br/>
      </w:r>
      <w:r w:rsidR="00C15139" w:rsidRPr="0024624F">
        <w:rPr>
          <w:rFonts w:ascii="Verdana" w:hAnsi="Verdana"/>
        </w:rPr>
        <w:tab/>
      </w:r>
    </w:p>
    <w:bookmarkEnd w:id="0"/>
    <w:p w14:paraId="4C301F8E" w14:textId="77777777" w:rsidR="003B5C8D" w:rsidRPr="0051487B" w:rsidRDefault="003B5C8D" w:rsidP="003B5C8D">
      <w:pPr>
        <w:spacing w:after="0" w:line="240" w:lineRule="auto"/>
        <w:jc w:val="both"/>
        <w:rPr>
          <w:rFonts w:ascii="Verdana" w:eastAsia="Calibri" w:hAnsi="Verdana" w:cs="Arial"/>
          <w:lang w:val="de-DE" w:eastAsia="es-ES"/>
        </w:rPr>
      </w:pPr>
      <w:r w:rsidRPr="0051487B">
        <w:rPr>
          <w:rFonts w:ascii="Verdana" w:eastAsia="Calibri" w:hAnsi="Verdana" w:cs="Arial"/>
          <w:lang w:val="de-DE" w:eastAsia="es-ES"/>
        </w:rPr>
        <w:t>Señor</w:t>
      </w:r>
      <w:r>
        <w:rPr>
          <w:rFonts w:ascii="Verdana" w:eastAsia="Calibri" w:hAnsi="Verdana" w:cs="Arial"/>
          <w:lang w:val="de-DE" w:eastAsia="es-ES"/>
        </w:rPr>
        <w:t>a</w:t>
      </w:r>
    </w:p>
    <w:p w14:paraId="6D375776" w14:textId="77777777" w:rsidR="003B5C8D" w:rsidRPr="0051487B" w:rsidRDefault="003B5C8D" w:rsidP="003B5C8D">
      <w:pPr>
        <w:spacing w:after="0" w:line="240" w:lineRule="auto"/>
        <w:rPr>
          <w:rFonts w:ascii="Verdana" w:eastAsia="Calibri" w:hAnsi="Verdana" w:cs="Arial"/>
          <w:b/>
          <w:lang w:val="de-DE" w:eastAsia="es-ES"/>
        </w:rPr>
      </w:pPr>
      <w:r>
        <w:rPr>
          <w:rFonts w:ascii="Verdana" w:eastAsia="Calibri" w:hAnsi="Verdana" w:cs="Arial"/>
          <w:b/>
          <w:lang w:val="de-DE" w:eastAsia="es-ES"/>
        </w:rPr>
        <w:t>Andrea Stephania Leyva Villegas</w:t>
      </w:r>
    </w:p>
    <w:p w14:paraId="7F2331A4" w14:textId="77777777" w:rsidR="003B5C8D" w:rsidRPr="0051487B" w:rsidRDefault="00BF652E" w:rsidP="003B5C8D">
      <w:pPr>
        <w:spacing w:after="0" w:line="240" w:lineRule="auto"/>
        <w:rPr>
          <w:rFonts w:ascii="Verdana" w:hAnsi="Verdana" w:cs="ArialMT"/>
          <w:lang w:val="de-DE"/>
        </w:rPr>
      </w:pPr>
      <w:hyperlink r:id="rId11" w:history="1">
        <w:r w:rsidR="003B5C8D" w:rsidRPr="00471BA5">
          <w:rPr>
            <w:rStyle w:val="Hipervnculo"/>
            <w:rFonts w:ascii="Verdana" w:hAnsi="Verdana" w:cs="ArialMT"/>
            <w:lang w:val="de-DE"/>
          </w:rPr>
          <w:t>leyvavillegasandrea@gmail.com</w:t>
        </w:r>
      </w:hyperlink>
      <w:r w:rsidR="003B5C8D">
        <w:rPr>
          <w:rFonts w:ascii="Verdana" w:hAnsi="Verdana" w:cs="ArialMT"/>
          <w:lang w:val="de-DE"/>
        </w:rPr>
        <w:t xml:space="preserve"> </w:t>
      </w:r>
      <w:r w:rsidR="003B5C8D" w:rsidRPr="0051487B">
        <w:rPr>
          <w:rFonts w:ascii="Verdana" w:hAnsi="Verdana" w:cs="ArialMT"/>
          <w:lang w:val="de-DE"/>
        </w:rPr>
        <w:t xml:space="preserve">   </w:t>
      </w:r>
    </w:p>
    <w:p w14:paraId="04345073" w14:textId="79758512" w:rsidR="003B5C8D" w:rsidRPr="00C53B42" w:rsidRDefault="00902D11" w:rsidP="003B5C8D">
      <w:pPr>
        <w:spacing w:after="0" w:line="240" w:lineRule="auto"/>
        <w:rPr>
          <w:rFonts w:ascii="Verdana" w:hAnsi="Verdana" w:cs="ArialMT"/>
        </w:rPr>
      </w:pPr>
      <w:r>
        <w:rPr>
          <w:rFonts w:ascii="Verdana" w:eastAsia="Calibri" w:hAnsi="Verdana" w:cs="Arial"/>
          <w:lang w:val="es-ES" w:eastAsia="es-ES"/>
        </w:rPr>
        <w:t>Cali, Valle del Cauca</w:t>
      </w:r>
    </w:p>
    <w:p w14:paraId="65FF0698" w14:textId="77777777" w:rsidR="003B5C8D" w:rsidRPr="00C53B42" w:rsidRDefault="003B5C8D" w:rsidP="003B5C8D">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75"/>
        <w:gridCol w:w="6614"/>
      </w:tblGrid>
      <w:tr w:rsidR="003B5C8D" w:rsidRPr="00C53B42" w14:paraId="44359D03" w14:textId="77777777" w:rsidTr="0014503A">
        <w:trPr>
          <w:trHeight w:val="218"/>
        </w:trPr>
        <w:tc>
          <w:tcPr>
            <w:tcW w:w="2175" w:type="dxa"/>
          </w:tcPr>
          <w:p w14:paraId="03ACE59D" w14:textId="77777777" w:rsidR="003B5C8D" w:rsidRPr="00C53B42" w:rsidRDefault="003B5C8D" w:rsidP="0014503A">
            <w:pPr>
              <w:jc w:val="both"/>
              <w:rPr>
                <w:rFonts w:ascii="Verdana" w:eastAsia="Calibri" w:hAnsi="Verdana" w:cs="Arial"/>
                <w:b/>
                <w:bCs/>
                <w:color w:val="7030A0"/>
                <w:lang w:val="es-ES_tradnl" w:eastAsia="es-ES_tradnl"/>
              </w:rPr>
            </w:pPr>
          </w:p>
        </w:tc>
        <w:tc>
          <w:tcPr>
            <w:tcW w:w="6614" w:type="dxa"/>
            <w:hideMark/>
          </w:tcPr>
          <w:p w14:paraId="1AF17D32" w14:textId="77777777" w:rsidR="003B5C8D" w:rsidRDefault="003B5C8D" w:rsidP="0014503A">
            <w:pPr>
              <w:jc w:val="both"/>
              <w:rPr>
                <w:rFonts w:ascii="Verdana" w:eastAsia="Calibri" w:hAnsi="Verdana" w:cs="Arial"/>
                <w:b/>
                <w:bCs/>
                <w:lang w:val="es-ES" w:eastAsia="es-ES"/>
              </w:rPr>
            </w:pPr>
            <w:r w:rsidRPr="00C53B42">
              <w:rPr>
                <w:rFonts w:ascii="Verdana" w:eastAsia="Calibri" w:hAnsi="Verdana" w:cs="Arial"/>
                <w:b/>
                <w:bCs/>
                <w:lang w:val="es-ES" w:eastAsia="es-ES"/>
              </w:rPr>
              <w:t>Concepto C-</w:t>
            </w:r>
            <w:r>
              <w:rPr>
                <w:rFonts w:ascii="Verdana" w:eastAsia="Calibri" w:hAnsi="Verdana" w:cs="Arial"/>
                <w:b/>
                <w:bCs/>
                <w:lang w:val="es-ES" w:eastAsia="es-ES"/>
              </w:rPr>
              <w:t>1599</w:t>
            </w:r>
            <w:r w:rsidRPr="00C53B42">
              <w:rPr>
                <w:rFonts w:ascii="Verdana" w:eastAsia="Calibri" w:hAnsi="Verdana" w:cs="Arial"/>
                <w:b/>
                <w:bCs/>
                <w:lang w:val="es-ES" w:eastAsia="es-ES"/>
              </w:rPr>
              <w:t xml:space="preserve"> de 2025</w:t>
            </w:r>
          </w:p>
          <w:p w14:paraId="3D5CB3BE" w14:textId="77777777" w:rsidR="003B5C8D" w:rsidRPr="00C53B42" w:rsidRDefault="003B5C8D" w:rsidP="0014503A">
            <w:pPr>
              <w:jc w:val="both"/>
              <w:rPr>
                <w:rFonts w:ascii="Verdana" w:eastAsia="Calibri" w:hAnsi="Verdana" w:cs="Arial"/>
                <w:b/>
                <w:bCs/>
                <w:lang w:val="es-ES" w:eastAsia="es-ES"/>
              </w:rPr>
            </w:pPr>
          </w:p>
          <w:p w14:paraId="28684BED" w14:textId="77777777" w:rsidR="003B5C8D" w:rsidRPr="00C53B42" w:rsidRDefault="003B5C8D" w:rsidP="0014503A">
            <w:pPr>
              <w:jc w:val="both"/>
              <w:rPr>
                <w:rFonts w:ascii="Verdana" w:eastAsia="Calibri" w:hAnsi="Verdana" w:cs="Arial"/>
                <w:b/>
                <w:bCs/>
                <w:lang w:val="es-ES" w:eastAsia="es-ES"/>
              </w:rPr>
            </w:pPr>
          </w:p>
        </w:tc>
      </w:tr>
      <w:tr w:rsidR="003B5C8D" w:rsidRPr="00C53B42" w14:paraId="45C4C219" w14:textId="77777777" w:rsidTr="0014503A">
        <w:trPr>
          <w:trHeight w:val="884"/>
        </w:trPr>
        <w:tc>
          <w:tcPr>
            <w:tcW w:w="2175" w:type="dxa"/>
            <w:hideMark/>
          </w:tcPr>
          <w:p w14:paraId="57D554BB" w14:textId="77777777" w:rsidR="003B5C8D" w:rsidRPr="00C53B42" w:rsidRDefault="003B5C8D" w:rsidP="0014503A">
            <w:pPr>
              <w:jc w:val="both"/>
              <w:rPr>
                <w:rFonts w:ascii="Verdana" w:eastAsia="Calibri" w:hAnsi="Verdana" w:cs="Arial"/>
                <w:color w:val="000000"/>
                <w:lang w:val="es-ES_tradnl" w:eastAsia="es-ES_tradnl"/>
              </w:rPr>
            </w:pPr>
            <w:r w:rsidRPr="00C53B42">
              <w:rPr>
                <w:rFonts w:ascii="Verdana" w:eastAsia="Calibri" w:hAnsi="Verdana" w:cs="Arial"/>
                <w:b/>
                <w:color w:val="000000"/>
                <w:lang w:val="es-ES_tradnl" w:eastAsia="es-ES_tradnl"/>
              </w:rPr>
              <w:t>Temas:</w:t>
            </w:r>
            <w:r w:rsidRPr="00C53B42">
              <w:rPr>
                <w:rFonts w:ascii="Verdana" w:eastAsia="Calibri" w:hAnsi="Verdana" w:cs="Arial"/>
                <w:color w:val="000000"/>
                <w:lang w:val="es-ES_tradnl" w:eastAsia="es-ES_tradnl"/>
              </w:rPr>
              <w:t xml:space="preserve">                   </w:t>
            </w:r>
          </w:p>
        </w:tc>
        <w:tc>
          <w:tcPr>
            <w:tcW w:w="6614" w:type="dxa"/>
            <w:hideMark/>
          </w:tcPr>
          <w:p w14:paraId="2E205F34" w14:textId="77777777" w:rsidR="003B5C8D" w:rsidRDefault="003B5C8D" w:rsidP="0014503A">
            <w:pPr>
              <w:jc w:val="both"/>
              <w:rPr>
                <w:rFonts w:ascii="Verdana" w:hAnsi="Verdana" w:cs="Arial"/>
                <w:bCs/>
                <w:color w:val="000000" w:themeColor="text1"/>
                <w:lang w:val="es-ES_tradnl"/>
              </w:rPr>
            </w:pPr>
            <w:r w:rsidRPr="00C53B42">
              <w:rPr>
                <w:rFonts w:ascii="Verdana" w:hAnsi="Verdana" w:cs="Arial"/>
                <w:bCs/>
                <w:color w:val="000000" w:themeColor="text1"/>
                <w:lang w:val="es-ES_tradnl"/>
              </w:rPr>
              <w:t xml:space="preserve">LEY DE </w:t>
            </w:r>
            <w:r w:rsidRPr="00430973">
              <w:rPr>
                <w:rFonts w:ascii="Verdana" w:hAnsi="Verdana" w:cs="Arial"/>
                <w:bCs/>
                <w:color w:val="000000" w:themeColor="text1"/>
                <w:lang w:val="es-ES_tradnl"/>
              </w:rPr>
              <w:t>GARANTÍAS ELECTORALES ‒ Finalidad / LEY DE GARANTÍAS ELECTORALES ‒ Tipos de restricciones</w:t>
            </w:r>
            <w:r>
              <w:rPr>
                <w:rFonts w:ascii="Verdana" w:hAnsi="Verdana" w:cs="Arial"/>
                <w:bCs/>
                <w:color w:val="000000" w:themeColor="text1"/>
                <w:lang w:val="es-ES_tradnl"/>
              </w:rPr>
              <w:t xml:space="preserve"> / </w:t>
            </w:r>
            <w:r>
              <w:rPr>
                <w:rFonts w:ascii="Verdana" w:eastAsia="Times New Roman" w:hAnsi="Verdana" w:cs="Arial"/>
                <w:lang w:eastAsia="es-ES_tradnl"/>
              </w:rPr>
              <w:t>LEY DE GARANTÍAS ELECTORALES - Aplicación en contratos de colaboración y convenios de asociación</w:t>
            </w:r>
          </w:p>
          <w:p w14:paraId="2AF11C7E" w14:textId="77777777" w:rsidR="003B5C8D" w:rsidRDefault="003B5C8D" w:rsidP="0014503A">
            <w:pPr>
              <w:jc w:val="both"/>
              <w:rPr>
                <w:rFonts w:ascii="Verdana" w:hAnsi="Verdana" w:cs="Arial"/>
                <w:bCs/>
                <w:color w:val="000000" w:themeColor="text1"/>
                <w:lang w:val="es-ES_tradnl"/>
              </w:rPr>
            </w:pPr>
          </w:p>
          <w:p w14:paraId="7EDED600" w14:textId="77777777" w:rsidR="003B5C8D" w:rsidRPr="00C53B42" w:rsidRDefault="003B5C8D" w:rsidP="0014503A">
            <w:pPr>
              <w:jc w:val="both"/>
              <w:rPr>
                <w:rFonts w:ascii="Verdana" w:eastAsia="Calibri" w:hAnsi="Verdana" w:cs="Arial"/>
                <w:lang w:val="es-ES" w:eastAsia="es-ES"/>
              </w:rPr>
            </w:pPr>
          </w:p>
        </w:tc>
      </w:tr>
      <w:tr w:rsidR="003B5C8D" w14:paraId="3640470D" w14:textId="77777777" w:rsidTr="0014503A">
        <w:trPr>
          <w:trHeight w:val="360"/>
        </w:trPr>
        <w:tc>
          <w:tcPr>
            <w:tcW w:w="2175" w:type="dxa"/>
            <w:hideMark/>
          </w:tcPr>
          <w:p w14:paraId="28571BEA" w14:textId="77777777" w:rsidR="003B5C8D" w:rsidRPr="00C53B42" w:rsidRDefault="003B5C8D" w:rsidP="0014503A">
            <w:pPr>
              <w:jc w:val="both"/>
              <w:rPr>
                <w:rFonts w:ascii="Verdana" w:eastAsia="Calibri" w:hAnsi="Verdana" w:cs="Arial"/>
                <w:b/>
                <w:color w:val="7030A0"/>
                <w:lang w:val="es-ES_tradnl" w:eastAsia="es-ES_tradnl"/>
              </w:rPr>
            </w:pPr>
            <w:r w:rsidRPr="00C53B42">
              <w:rPr>
                <w:rFonts w:ascii="Verdana" w:eastAsia="Calibri" w:hAnsi="Verdana" w:cs="Arial"/>
                <w:b/>
                <w:lang w:val="es-ES_tradnl" w:eastAsia="es-ES_tradnl"/>
              </w:rPr>
              <w:t>Radicación:</w:t>
            </w:r>
            <w:r w:rsidRPr="00C53B42">
              <w:rPr>
                <w:rFonts w:ascii="Verdana" w:eastAsia="Calibri" w:hAnsi="Verdana" w:cs="Arial"/>
                <w:lang w:val="es-ES_tradnl" w:eastAsia="es-ES_tradnl"/>
              </w:rPr>
              <w:t xml:space="preserve">               </w:t>
            </w:r>
          </w:p>
        </w:tc>
        <w:tc>
          <w:tcPr>
            <w:tcW w:w="6614" w:type="dxa"/>
          </w:tcPr>
          <w:p w14:paraId="30D6A9E3" w14:textId="77777777" w:rsidR="003B5C8D" w:rsidRPr="00C53B42" w:rsidRDefault="003B5C8D" w:rsidP="0014503A">
            <w:pPr>
              <w:jc w:val="both"/>
              <w:rPr>
                <w:rFonts w:ascii="Verdana" w:eastAsia="Calibri" w:hAnsi="Verdana" w:cs="Arial"/>
                <w:lang w:val="es-ES_tradnl" w:eastAsia="es-ES_tradnl"/>
              </w:rPr>
            </w:pPr>
            <w:r w:rsidRPr="00C53B42">
              <w:rPr>
                <w:rFonts w:ascii="Verdana" w:eastAsia="Calibri" w:hAnsi="Verdana" w:cs="Arial"/>
                <w:lang w:val="es-ES_tradnl" w:eastAsia="es-ES_tradnl"/>
              </w:rPr>
              <w:t>Respuesta a consulta con radicado No.</w:t>
            </w:r>
            <w:r>
              <w:rPr>
                <w:rFonts w:ascii="Verdana" w:eastAsia="Calibri" w:hAnsi="Verdana" w:cs="Arial"/>
                <w:lang w:val="es-ES_tradnl" w:eastAsia="es-ES_tradnl"/>
              </w:rPr>
              <w:t xml:space="preserve"> </w:t>
            </w:r>
            <w:r w:rsidRPr="00374855">
              <w:rPr>
                <w:rFonts w:ascii="Verdana" w:eastAsia="Calibri" w:hAnsi="Verdana" w:cs="Arial"/>
                <w:lang w:val="es-ES_tradnl" w:eastAsia="es-ES_tradnl"/>
              </w:rPr>
              <w:t>1_2025_10_29_012217</w:t>
            </w:r>
          </w:p>
        </w:tc>
      </w:tr>
    </w:tbl>
    <w:p w14:paraId="5AF2928A" w14:textId="77777777" w:rsidR="003B5C8D" w:rsidRDefault="003B5C8D" w:rsidP="003B5C8D">
      <w:pPr>
        <w:spacing w:after="0" w:line="240" w:lineRule="auto"/>
        <w:jc w:val="both"/>
        <w:rPr>
          <w:rFonts w:ascii="Verdana" w:eastAsia="Calibri" w:hAnsi="Verdana" w:cs="Arial"/>
          <w:color w:val="000000"/>
          <w:lang w:val="es-ES_tradnl" w:eastAsia="es-ES_tradnl"/>
        </w:rPr>
      </w:pPr>
    </w:p>
    <w:p w14:paraId="26ECA9A7" w14:textId="77777777" w:rsidR="003B5C8D" w:rsidRDefault="003B5C8D" w:rsidP="003B5C8D">
      <w:pPr>
        <w:spacing w:after="0" w:line="240" w:lineRule="auto"/>
        <w:jc w:val="both"/>
        <w:rPr>
          <w:rFonts w:ascii="Verdana" w:eastAsia="Calibri" w:hAnsi="Verdana" w:cs="Arial"/>
          <w:color w:val="000000"/>
          <w:lang w:val="es-ES_tradnl" w:eastAsia="es-ES_tradnl"/>
        </w:rPr>
      </w:pPr>
    </w:p>
    <w:p w14:paraId="60352643" w14:textId="77777777" w:rsidR="003B5C8D" w:rsidRDefault="003B5C8D" w:rsidP="003B5C8D">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Estimada señora Leyva,</w:t>
      </w:r>
    </w:p>
    <w:p w14:paraId="7209B3D3" w14:textId="77777777" w:rsidR="003B5C8D" w:rsidRDefault="003B5C8D" w:rsidP="003B5C8D">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9449D89" w14:textId="77777777" w:rsidR="003B5C8D" w:rsidRDefault="003B5C8D" w:rsidP="003B5C8D">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del 29 de octubre de 2025, en la cual manifiesta lo siguiente: </w:t>
      </w:r>
    </w:p>
    <w:p w14:paraId="585C8296" w14:textId="77777777" w:rsidR="003B5C8D" w:rsidRDefault="003B5C8D" w:rsidP="003B5C8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00A8B08" w14:textId="77777777" w:rsidR="003B5C8D" w:rsidRPr="0009275E" w:rsidRDefault="003B5C8D" w:rsidP="003B5C8D">
      <w:pPr>
        <w:autoSpaceDE w:val="0"/>
        <w:autoSpaceDN w:val="0"/>
        <w:adjustRightInd w:val="0"/>
        <w:spacing w:after="0" w:line="240" w:lineRule="auto"/>
        <w:ind w:left="709" w:right="709"/>
        <w:jc w:val="both"/>
        <w:rPr>
          <w:rFonts w:ascii="Verdana" w:hAnsi="Verdana"/>
          <w:sz w:val="20"/>
          <w:szCs w:val="20"/>
        </w:rPr>
      </w:pPr>
      <w:r w:rsidRPr="0009275E">
        <w:rPr>
          <w:rFonts w:ascii="Verdana" w:eastAsia="Century Gothic" w:hAnsi="Verdana" w:cs="Century Gothic"/>
          <w:sz w:val="20"/>
          <w:szCs w:val="20"/>
          <w:lang w:val="es-ES"/>
        </w:rPr>
        <w:t>“</w:t>
      </w:r>
      <w:r w:rsidRPr="0009275E">
        <w:rPr>
          <w:rFonts w:ascii="Verdana" w:hAnsi="Verdana"/>
          <w:sz w:val="20"/>
          <w:szCs w:val="20"/>
        </w:rPr>
        <w:t xml:space="preserve">Conforme a las restricciones para la celebración de contratos y convenios interadministrativos con ocasión a la Ley 996 de 2005, quisiera saber: </w:t>
      </w:r>
    </w:p>
    <w:p w14:paraId="5F84AA3D" w14:textId="77777777" w:rsidR="003B5C8D" w:rsidRPr="0009275E" w:rsidRDefault="003B5C8D" w:rsidP="003B5C8D">
      <w:pPr>
        <w:autoSpaceDE w:val="0"/>
        <w:autoSpaceDN w:val="0"/>
        <w:adjustRightInd w:val="0"/>
        <w:spacing w:after="0" w:line="240" w:lineRule="auto"/>
        <w:ind w:left="709" w:right="709"/>
        <w:jc w:val="both"/>
        <w:rPr>
          <w:rFonts w:ascii="Verdana" w:hAnsi="Verdana"/>
          <w:sz w:val="20"/>
          <w:szCs w:val="20"/>
        </w:rPr>
      </w:pPr>
      <w:r w:rsidRPr="0009275E">
        <w:rPr>
          <w:rFonts w:ascii="Verdana" w:hAnsi="Verdana"/>
          <w:sz w:val="20"/>
          <w:szCs w:val="20"/>
        </w:rPr>
        <w:t xml:space="preserve">1) Puede una entidad pública suscribir contratos interadministrativos posterior al 07 de noviembre de 2025, basado es las restricciones de la Ley 996 de 2005? </w:t>
      </w:r>
    </w:p>
    <w:p w14:paraId="7F83DB92" w14:textId="77777777" w:rsidR="003B5C8D" w:rsidRPr="0009275E" w:rsidRDefault="003B5C8D" w:rsidP="003B5C8D">
      <w:pPr>
        <w:autoSpaceDE w:val="0"/>
        <w:autoSpaceDN w:val="0"/>
        <w:adjustRightInd w:val="0"/>
        <w:spacing w:after="0" w:line="240" w:lineRule="auto"/>
        <w:ind w:left="709" w:right="709"/>
        <w:jc w:val="both"/>
        <w:rPr>
          <w:rFonts w:ascii="Verdana" w:hAnsi="Verdana"/>
          <w:sz w:val="20"/>
          <w:szCs w:val="20"/>
        </w:rPr>
      </w:pPr>
      <w:r w:rsidRPr="0009275E">
        <w:rPr>
          <w:rFonts w:ascii="Verdana" w:hAnsi="Verdana"/>
          <w:sz w:val="20"/>
          <w:szCs w:val="20"/>
        </w:rPr>
        <w:t xml:space="preserve">2) Al adelantar un proceso competitivo, entiéndase proceso de selección a través de las modalidades de selección distintas a la Contratación Directa, entiéndase: Licitación Pública, Concurso de Méritos, Selección Abreviada, Mínima Cuantía, qué hago cuando el adjudicatario resulta ser una Entidad Pública y se encuentra vigente la restricciones respecto de la suscripción de convenios y contratos interadministrativos? </w:t>
      </w:r>
    </w:p>
    <w:p w14:paraId="008B6216" w14:textId="77777777" w:rsidR="003B5C8D" w:rsidRPr="0009275E" w:rsidRDefault="003B5C8D" w:rsidP="003B5C8D">
      <w:pPr>
        <w:autoSpaceDE w:val="0"/>
        <w:autoSpaceDN w:val="0"/>
        <w:adjustRightInd w:val="0"/>
        <w:spacing w:after="0" w:line="240" w:lineRule="auto"/>
        <w:ind w:left="709" w:right="709"/>
        <w:jc w:val="both"/>
        <w:rPr>
          <w:rFonts w:ascii="Verdana" w:eastAsia="Century Gothic" w:hAnsi="Verdana" w:cs="Century Gothic"/>
          <w:sz w:val="20"/>
          <w:szCs w:val="20"/>
          <w:lang w:val="es-ES"/>
        </w:rPr>
      </w:pPr>
      <w:r w:rsidRPr="0009275E">
        <w:rPr>
          <w:rFonts w:ascii="Verdana" w:hAnsi="Verdana"/>
          <w:sz w:val="20"/>
          <w:szCs w:val="20"/>
        </w:rPr>
        <w:t>3) A la modalidad de contratación directa prevista en el Decreto 092 de 2017, se le aplica la restricción con ocasión adelantar procesos por contratación directa según la Ley 996 de 2005?</w:t>
      </w:r>
      <w:r w:rsidRPr="0009275E">
        <w:rPr>
          <w:rFonts w:ascii="Verdana" w:eastAsia="Century Gothic" w:hAnsi="Verdana" w:cs="Century Gothic"/>
          <w:sz w:val="20"/>
          <w:szCs w:val="20"/>
          <w:lang w:val="es-ES"/>
        </w:rPr>
        <w:t>”</w:t>
      </w:r>
    </w:p>
    <w:p w14:paraId="7E3E84C9" w14:textId="77777777" w:rsidR="003B5C8D" w:rsidRPr="00924340" w:rsidRDefault="003B5C8D" w:rsidP="003B5C8D">
      <w:pPr>
        <w:autoSpaceDE w:val="0"/>
        <w:autoSpaceDN w:val="0"/>
        <w:adjustRightInd w:val="0"/>
        <w:spacing w:after="0" w:line="276" w:lineRule="auto"/>
        <w:ind w:left="851" w:right="616"/>
        <w:jc w:val="both"/>
        <w:rPr>
          <w:rFonts w:ascii="Verdana" w:eastAsia="Century Gothic" w:hAnsi="Verdana" w:cs="Century Gothic"/>
          <w:b/>
        </w:rPr>
      </w:pPr>
    </w:p>
    <w:p w14:paraId="3F7905F6" w14:textId="77777777" w:rsidR="003B5C8D" w:rsidRDefault="003B5C8D" w:rsidP="003B5C8D">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20E685D0" w14:textId="77777777" w:rsidR="003B5C8D" w:rsidRDefault="003B5C8D" w:rsidP="003B5C8D">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del caso en concreto planteado, pero señalando algunas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46A82F10" w14:textId="77777777" w:rsidR="003B5C8D" w:rsidRDefault="003B5C8D" w:rsidP="003B5C8D">
      <w:pPr>
        <w:spacing w:after="0" w:line="276" w:lineRule="auto"/>
        <w:ind w:firstLine="709"/>
        <w:jc w:val="both"/>
        <w:rPr>
          <w:rFonts w:ascii="Verdana" w:eastAsia="Calibri" w:hAnsi="Verdana" w:cs="Arial"/>
          <w:color w:val="000000"/>
          <w:lang w:val="es-ES" w:eastAsia="es-ES"/>
        </w:rPr>
      </w:pPr>
    </w:p>
    <w:p w14:paraId="3D2262FD" w14:textId="77777777" w:rsidR="003B5C8D" w:rsidRDefault="003B5C8D" w:rsidP="003B5C8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6B3C4625" w14:textId="77777777" w:rsidR="003B5C8D" w:rsidRDefault="003B5C8D" w:rsidP="003B5C8D">
      <w:pPr>
        <w:tabs>
          <w:tab w:val="left" w:pos="426"/>
        </w:tabs>
        <w:spacing w:after="0" w:line="276" w:lineRule="auto"/>
        <w:jc w:val="both"/>
        <w:rPr>
          <w:rFonts w:ascii="Verdana" w:eastAsia="Century Gothic" w:hAnsi="Verdana" w:cs="Century Gothic"/>
          <w:lang w:val="es-ES"/>
        </w:rPr>
      </w:pPr>
    </w:p>
    <w:p w14:paraId="025BE92A" w14:textId="4806FC00" w:rsidR="003B5C8D" w:rsidRDefault="003B5C8D" w:rsidP="003B5C8D">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su solicitud, esta Agencia resolverá el siguiente problema jurídico: i) </w:t>
      </w:r>
      <w:r w:rsidRPr="005649AA">
        <w:rPr>
          <w:rFonts w:ascii="Verdana" w:eastAsia="Century Gothic" w:hAnsi="Verdana" w:cs="Century Gothic"/>
        </w:rPr>
        <w:t>¿</w:t>
      </w:r>
      <w:r w:rsidR="00CD58ED">
        <w:rPr>
          <w:rFonts w:ascii="Verdana" w:eastAsia="Century Gothic" w:hAnsi="Verdana" w:cs="Century Gothic"/>
        </w:rPr>
        <w:t>L</w:t>
      </w:r>
      <w:r w:rsidRPr="004E1038">
        <w:rPr>
          <w:rFonts w:ascii="Verdana" w:eastAsia="Century Gothic" w:hAnsi="Verdana" w:cs="Century Gothic"/>
        </w:rPr>
        <w:t>a restricción contenida en el</w:t>
      </w:r>
      <w:r w:rsidRPr="004E1038">
        <w:rPr>
          <w:rFonts w:ascii="Verdana" w:eastAsia="Century Gothic" w:hAnsi="Verdana" w:cs="Century Gothic"/>
          <w:lang w:val="es-ES"/>
        </w:rPr>
        <w:t xml:space="preserve"> parágrafo del artículo 38 de la Ley 996 de 2005 aplica a</w:t>
      </w:r>
      <w:r>
        <w:rPr>
          <w:rFonts w:ascii="Verdana" w:eastAsia="Century Gothic" w:hAnsi="Verdana" w:cs="Century Gothic"/>
          <w:lang w:val="es-ES"/>
        </w:rPr>
        <w:t xml:space="preserve"> contratos y</w:t>
      </w:r>
      <w:r w:rsidRPr="004E1038">
        <w:rPr>
          <w:rFonts w:ascii="Verdana" w:eastAsia="Century Gothic" w:hAnsi="Verdana" w:cs="Century Gothic"/>
          <w:lang w:val="es-ES"/>
        </w:rPr>
        <w:t xml:space="preserve"> convenios interadministrativos</w:t>
      </w:r>
      <w:r w:rsidRPr="004E1038">
        <w:rPr>
          <w:rFonts w:ascii="Verdana" w:eastAsia="Century Gothic" w:hAnsi="Verdana" w:cs="Century Gothic"/>
        </w:rPr>
        <w:t>?</w:t>
      </w:r>
      <w:r>
        <w:rPr>
          <w:rFonts w:ascii="Verdana" w:eastAsia="Century Gothic" w:hAnsi="Verdana" w:cs="Century Gothic"/>
        </w:rPr>
        <w:t xml:space="preserve"> y ii) ¿</w:t>
      </w:r>
      <w:r w:rsidR="00CD58ED">
        <w:rPr>
          <w:rFonts w:ascii="Verdana" w:eastAsia="Calibri" w:hAnsi="Verdana" w:cs="Arial"/>
          <w:color w:val="000000"/>
          <w:lang w:eastAsia="es-ES"/>
        </w:rPr>
        <w:t>L</w:t>
      </w:r>
      <w:r w:rsidRPr="000D3A6E">
        <w:rPr>
          <w:rFonts w:ascii="Verdana" w:eastAsia="Calibri" w:hAnsi="Verdana" w:cs="Arial"/>
          <w:color w:val="000000"/>
          <w:lang w:eastAsia="es-ES"/>
        </w:rPr>
        <w:t xml:space="preserve">a </w:t>
      </w:r>
      <w:r>
        <w:rPr>
          <w:rFonts w:ascii="Verdana" w:eastAsia="Calibri" w:hAnsi="Verdana" w:cs="Arial"/>
          <w:color w:val="000000"/>
          <w:lang w:eastAsia="es-ES"/>
        </w:rPr>
        <w:t>restricción a la contratación directa establecida en el artículo 33 de la Ley 996 de 2005 aplica a los convenios de asociación del</w:t>
      </w:r>
      <w:r w:rsidRPr="000D3A6E">
        <w:rPr>
          <w:rFonts w:ascii="Verdana" w:eastAsia="Century Gothic" w:hAnsi="Verdana" w:cs="Century Gothic"/>
        </w:rPr>
        <w:t xml:space="preserve"> artículo 5 del Decreto 092 de 2017</w:t>
      </w:r>
      <w:r>
        <w:rPr>
          <w:rFonts w:ascii="Verdana" w:eastAsia="Century Gothic" w:hAnsi="Verdana" w:cs="Century Gothic"/>
        </w:rPr>
        <w:t>?</w:t>
      </w:r>
    </w:p>
    <w:p w14:paraId="1B0C9D24" w14:textId="77777777" w:rsidR="003B5C8D" w:rsidRDefault="003B5C8D" w:rsidP="003B5C8D">
      <w:pPr>
        <w:spacing w:after="0" w:line="276" w:lineRule="auto"/>
        <w:jc w:val="both"/>
        <w:rPr>
          <w:rFonts w:ascii="Verdana" w:eastAsia="Calibri" w:hAnsi="Verdana" w:cs="Arial"/>
          <w:color w:val="7030A0"/>
          <w:lang w:val="es-ES"/>
        </w:rPr>
      </w:pPr>
    </w:p>
    <w:p w14:paraId="4DF5405A" w14:textId="77777777" w:rsidR="003B5C8D" w:rsidRDefault="003B5C8D" w:rsidP="003B5C8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54B2981B" w14:textId="77777777" w:rsidR="003B5C8D" w:rsidRDefault="003B5C8D" w:rsidP="003B5C8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B5C8D" w:rsidRPr="00DE5508" w14:paraId="586029BD" w14:textId="77777777" w:rsidTr="0014503A">
        <w:tc>
          <w:tcPr>
            <w:tcW w:w="8828" w:type="dxa"/>
            <w:tcBorders>
              <w:top w:val="dotted" w:sz="4" w:space="0" w:color="auto"/>
              <w:left w:val="dotted" w:sz="4" w:space="0" w:color="auto"/>
              <w:bottom w:val="dotted" w:sz="4" w:space="0" w:color="auto"/>
              <w:right w:val="dotted" w:sz="4" w:space="0" w:color="auto"/>
            </w:tcBorders>
          </w:tcPr>
          <w:p w14:paraId="628234B9" w14:textId="77777777" w:rsidR="003B5C8D" w:rsidRPr="00374855" w:rsidRDefault="003B5C8D" w:rsidP="003B5C8D">
            <w:pPr>
              <w:pStyle w:val="Prrafodelista"/>
              <w:numPr>
                <w:ilvl w:val="0"/>
                <w:numId w:val="18"/>
              </w:numPr>
              <w:spacing w:after="120" w:line="276" w:lineRule="auto"/>
              <w:ind w:left="31" w:firstLine="0"/>
              <w:jc w:val="both"/>
              <w:rPr>
                <w:rFonts w:ascii="Verdana" w:eastAsia="Arial" w:hAnsi="Verdana" w:cs="Arial"/>
                <w:color w:val="000000"/>
              </w:rPr>
            </w:pPr>
            <w:r w:rsidRPr="00374855">
              <w:rPr>
                <w:rFonts w:ascii="Verdana" w:hAnsi="Verdana" w:cs="BCDHEE+Verdana"/>
                <w:color w:val="000000"/>
              </w:rPr>
              <w:t xml:space="preserve">El parágrafo del artículo 38 de la Ley 996 de 2005 prohíbe a los gobernadores, alcaldes municipales o distritales, secretarios, gerentes y directores de entidades descentralizadas del orden municipal, departamental o distrital </w:t>
            </w:r>
            <w:r w:rsidRPr="00374855">
              <w:rPr>
                <w:rFonts w:ascii="Verdana" w:eastAsia="Arial" w:hAnsi="Verdana" w:cs="Arial"/>
                <w:color w:val="000000"/>
              </w:rPr>
              <w:t xml:space="preserve">“[…] celebrar convenios interadministrativos para la ejecución de recursos públicos, ni participar, promover y destinar recursos públicos de las </w:t>
            </w:r>
            <w:r w:rsidRPr="00374855">
              <w:rPr>
                <w:rFonts w:ascii="Verdana" w:eastAsia="Arial" w:hAnsi="Verdana" w:cs="Arial"/>
                <w:color w:val="000000"/>
              </w:rPr>
              <w:lastRenderedPageBreak/>
              <w:t xml:space="preserve">entidades a su cargo, como tampoco de las que participen como miembros de sus juntas directivas, en o para reuniones de carácter proselitista”. </w:t>
            </w:r>
          </w:p>
          <w:p w14:paraId="382D9325" w14:textId="77777777" w:rsidR="003B5C8D" w:rsidRDefault="003B5C8D" w:rsidP="0014503A">
            <w:pPr>
              <w:spacing w:after="120" w:line="276" w:lineRule="auto"/>
              <w:ind w:firstLine="709"/>
              <w:jc w:val="both"/>
              <w:rPr>
                <w:rFonts w:ascii="Verdana" w:eastAsia="Times New Roman" w:hAnsi="Verdana" w:cs="Arial"/>
                <w:lang w:val="es-MX" w:eastAsia="es-CO"/>
              </w:rPr>
            </w:pPr>
            <w:r w:rsidRPr="00E2397D">
              <w:rPr>
                <w:rFonts w:ascii="Verdana" w:eastAsia="Arial" w:hAnsi="Verdana" w:cs="Arial"/>
                <w:lang w:val="es-MX" w:eastAsia="es-ES" w:bidi="es-ES"/>
              </w:rPr>
              <w:t>De esta manera, s</w:t>
            </w:r>
            <w:r w:rsidRPr="00E2397D">
              <w:rPr>
                <w:rFonts w:ascii="Verdana" w:eastAsia="Times New Roman" w:hAnsi="Verdana" w:cs="Arial"/>
                <w:lang w:eastAsia="es-CO"/>
              </w:rPr>
              <w:t xml:space="preserve">e observa entonces que </w:t>
            </w:r>
            <w:r w:rsidRPr="00E2397D">
              <w:rPr>
                <w:rFonts w:ascii="Verdana" w:eastAsia="Times New Roman" w:hAnsi="Verdana" w:cs="Arial"/>
                <w:lang w:val="es-MX" w:eastAsia="es-CO"/>
              </w:rPr>
              <w:t xml:space="preserve">el parágrafo del artículo 38 de la Ley 996 de 2005 prohíbe a los Alcaldes, Gobernadores, Secretarios, Gerentes y Directores de las entidades </w:t>
            </w:r>
            <w:r>
              <w:rPr>
                <w:rFonts w:ascii="Verdana" w:eastAsia="Times New Roman" w:hAnsi="Verdana" w:cs="Arial"/>
                <w:lang w:val="es-MX" w:eastAsia="es-CO"/>
              </w:rPr>
              <w:t xml:space="preserve">descentralizadas </w:t>
            </w:r>
            <w:r w:rsidRPr="00E2397D">
              <w:rPr>
                <w:rFonts w:ascii="Verdana" w:eastAsia="Times New Roman" w:hAnsi="Verdana" w:cs="Arial"/>
                <w:lang w:val="es-MX" w:eastAsia="es-CO"/>
              </w:rPr>
              <w:t xml:space="preserve">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w:t>
            </w:r>
            <w:r>
              <w:rPr>
                <w:rFonts w:ascii="Verdana" w:eastAsia="Times New Roman" w:hAnsi="Verdana" w:cs="Arial"/>
                <w:lang w:val="es-MX" w:eastAsia="es-CO"/>
              </w:rPr>
              <w:t xml:space="preserve"> </w:t>
            </w:r>
            <w:r w:rsidRPr="00E2397D">
              <w:rPr>
                <w:rFonts w:ascii="Verdana" w:eastAsia="Times New Roman" w:hAnsi="Verdana" w:cs="Arial"/>
                <w:lang w:val="es-MX" w:eastAsia="es-CO"/>
              </w:rPr>
              <w:t xml:space="preserve">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4772C889" w14:textId="77777777" w:rsidR="003B5C8D" w:rsidRDefault="003B5C8D" w:rsidP="0014503A">
            <w:pPr>
              <w:spacing w:before="120" w:line="276" w:lineRule="auto"/>
              <w:ind w:firstLine="708"/>
              <w:jc w:val="both"/>
              <w:rPr>
                <w:rFonts w:ascii="Verdana" w:eastAsia="Times New Roman" w:hAnsi="Verdana" w:cs="Arial"/>
                <w:lang w:eastAsia="es-CO"/>
              </w:rPr>
            </w:pPr>
            <w:r w:rsidRPr="00BC3A80">
              <w:rPr>
                <w:rFonts w:ascii="Verdana" w:eastAsia="Times New Roman" w:hAnsi="Verdana" w:cs="Arial"/>
                <w:lang w:val="es-MX" w:eastAsia="es-CO"/>
              </w:rPr>
              <w:t>Respecto del alcance de esta prohibición la Circular Externa No. 006 de 2025 expedida por la ANCP -CCE, en los literales ii) y iv) del numeral 2</w:t>
            </w:r>
            <w:r w:rsidRPr="00BC3A80">
              <w:rPr>
                <w:rFonts w:ascii="Verdana" w:eastAsia="Times New Roman" w:hAnsi="Verdana" w:cs="Arial"/>
                <w:lang w:eastAsia="es-CO"/>
              </w:rPr>
              <w:t>,</w:t>
            </w:r>
            <w:r w:rsidRPr="00BC3A80">
              <w:rPr>
                <w:rFonts w:ascii="Verdana" w:eastAsia="Times New Roman" w:hAnsi="Verdana" w:cs="Arial"/>
                <w:lang w:val="es-MX" w:eastAsia="es-CO"/>
              </w:rPr>
              <w:t xml:space="preserve"> indica que el </w:t>
            </w:r>
            <w:r w:rsidRPr="00BC3A80">
              <w:rPr>
                <w:rFonts w:ascii="Verdana" w:eastAsia="Times New Roman" w:hAnsi="Verdana" w:cs="Arial"/>
                <w:lang w:eastAsia="es-CO"/>
              </w:rPr>
              <w:t xml:space="preserve">parágrafo del artículo 38 de la Ley 996 de 2005 cobija expresamente a los </w:t>
            </w:r>
            <w:r w:rsidRPr="00BC3A80">
              <w:rPr>
                <w:rFonts w:ascii="Verdana" w:eastAsia="Times New Roman" w:hAnsi="Verdana" w:cs="Arial"/>
                <w:i/>
                <w:iCs/>
                <w:lang w:eastAsia="es-CO"/>
              </w:rPr>
              <w:t>convenios interadministrativos</w:t>
            </w:r>
            <w:r w:rsidRPr="00BC3A80">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BC3A80">
              <w:rPr>
                <w:rFonts w:ascii="Verdana" w:eastAsia="Times New Roman" w:hAnsi="Verdana" w:cs="Arial"/>
                <w:i/>
                <w:iCs/>
                <w:lang w:eastAsia="es-CO"/>
              </w:rPr>
              <w:t>“aunque se configure alguno de los supuestos de excepción que señaló el inciso final del artículo 33”.</w:t>
            </w:r>
            <w:r w:rsidRPr="00BC3A80">
              <w:rPr>
                <w:rFonts w:ascii="Verdana" w:eastAsia="Times New Roman" w:hAnsi="Verdana" w:cs="Arial"/>
                <w:lang w:eastAsia="es-CO"/>
              </w:rPr>
              <w:t xml:space="preserve"> </w:t>
            </w:r>
          </w:p>
          <w:p w14:paraId="1983FE4C" w14:textId="77777777" w:rsidR="003B5C8D" w:rsidRPr="00BC3A80" w:rsidRDefault="003B5C8D" w:rsidP="0014503A">
            <w:pPr>
              <w:spacing w:before="120" w:line="276" w:lineRule="auto"/>
              <w:ind w:firstLine="708"/>
              <w:jc w:val="both"/>
              <w:rPr>
                <w:rFonts w:ascii="Verdana" w:eastAsia="Times New Roman" w:hAnsi="Verdana" w:cs="Arial"/>
                <w:lang w:eastAsia="es-CO"/>
              </w:rPr>
            </w:pPr>
            <w:r w:rsidRPr="00BC3A80">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BC3A80">
              <w:rPr>
                <w:rFonts w:ascii="Verdana" w:eastAsia="Times New Roman" w:hAnsi="Verdana" w:cs="Arial"/>
                <w:i/>
                <w:iCs/>
                <w:lang w:eastAsia="es-CO"/>
              </w:rPr>
              <w:t>convenios interadministrativos</w:t>
            </w:r>
            <w:r w:rsidRPr="00BC3A80">
              <w:rPr>
                <w:rFonts w:ascii="Verdana" w:eastAsia="Times New Roman" w:hAnsi="Verdana" w:cs="Arial"/>
                <w:lang w:eastAsia="es-CO"/>
              </w:rPr>
              <w:t xml:space="preserve"> en los que se contemple la </w:t>
            </w:r>
            <w:r w:rsidRPr="00BC3A80">
              <w:rPr>
                <w:rFonts w:ascii="Verdana" w:eastAsia="Times New Roman" w:hAnsi="Verdana" w:cs="Arial"/>
                <w:i/>
                <w:iCs/>
                <w:lang w:eastAsia="es-CO"/>
              </w:rPr>
              <w:t>ejecución de recursos públicos</w:t>
            </w:r>
            <w:r w:rsidRPr="00BC3A80">
              <w:rPr>
                <w:rFonts w:ascii="Verdana" w:eastAsia="Times New Roman" w:hAnsi="Verdana" w:cs="Arial"/>
                <w:lang w:eastAsia="es-CO"/>
              </w:rPr>
              <w:t xml:space="preserve">. Esto significa que la prohibición no resulta aplicable a </w:t>
            </w:r>
            <w:r w:rsidRPr="00BC3A80">
              <w:rPr>
                <w:rFonts w:ascii="Verdana" w:eastAsia="Times New Roman" w:hAnsi="Verdana" w:cs="Arial"/>
                <w:i/>
                <w:iCs/>
                <w:lang w:eastAsia="es-CO"/>
              </w:rPr>
              <w:t>convenios interadministrativos a título gratuito,</w:t>
            </w:r>
            <w:r w:rsidRPr="00BC3A80">
              <w:rPr>
                <w:rFonts w:ascii="Verdana" w:eastAsia="Times New Roman" w:hAnsi="Verdana" w:cs="Arial"/>
                <w:lang w:eastAsia="es-CO"/>
              </w:rPr>
              <w:t xml:space="preserve"> los cuales pueden celebrarse válidamente durante la vigencia de la mencionada restricción. </w:t>
            </w:r>
          </w:p>
          <w:p w14:paraId="77BF6ADE" w14:textId="77777777" w:rsidR="003B5C8D" w:rsidRDefault="003B5C8D" w:rsidP="0014503A">
            <w:pPr>
              <w:spacing w:before="120" w:line="276" w:lineRule="auto"/>
              <w:ind w:firstLine="708"/>
              <w:jc w:val="both"/>
              <w:rPr>
                <w:rFonts w:ascii="Verdana" w:eastAsia="Arial" w:hAnsi="Verdana" w:cs="Arial"/>
                <w:color w:val="000000"/>
              </w:rPr>
            </w:pPr>
            <w:r>
              <w:rPr>
                <w:rFonts w:ascii="Verdana" w:eastAsia="Times New Roman" w:hAnsi="Verdana" w:cs="Arial"/>
                <w:lang w:eastAsia="es-CO"/>
              </w:rPr>
              <w:t>Por último, se resalta que a</w:t>
            </w:r>
            <w:r w:rsidRPr="00BC3A80">
              <w:rPr>
                <w:rFonts w:ascii="Verdana" w:eastAsia="Times New Roman" w:hAnsi="Verdana" w:cs="Arial"/>
                <w:lang w:eastAsia="es-CO"/>
              </w:rPr>
              <w:t xml:space="preserve"> la luz de lo expuesto por el Consejo de Estado en los autos del 4 de octubre de 2024 y 6 de noviembre de 2025,</w:t>
            </w:r>
            <w:r>
              <w:rPr>
                <w:rFonts w:ascii="Verdana" w:eastAsia="Times New Roman" w:hAnsi="Verdana" w:cs="Arial"/>
                <w:lang w:eastAsia="es-CO"/>
              </w:rPr>
              <w:t xml:space="preserve"> y en la Sentencia del 17 de octubre de 2025,</w:t>
            </w:r>
            <w:r w:rsidRPr="00BC3A80">
              <w:rPr>
                <w:rFonts w:ascii="Verdana" w:eastAsia="Times New Roman" w:hAnsi="Verdana" w:cs="Arial"/>
                <w:lang w:eastAsia="es-CO"/>
              </w:rPr>
              <w:t xml:space="preserve"> no resultaría aplicable la prohibición del parágrafo del artículo 38 de la Ley de Garantías Electorales a los </w:t>
            </w:r>
            <w:r w:rsidRPr="00BC3A80">
              <w:rPr>
                <w:rFonts w:ascii="Verdana" w:eastAsia="Times New Roman" w:hAnsi="Verdana" w:cs="Arial"/>
                <w:i/>
                <w:iCs/>
                <w:lang w:eastAsia="es-CO"/>
              </w:rPr>
              <w:t>contratos interadministrativos</w:t>
            </w:r>
            <w:r>
              <w:rPr>
                <w:rFonts w:ascii="Verdana" w:eastAsia="Times New Roman" w:hAnsi="Verdana" w:cs="Arial"/>
                <w:lang w:eastAsia="es-CO"/>
              </w:rPr>
              <w:t xml:space="preserve"> sino únicamente a los </w:t>
            </w:r>
            <w:r w:rsidRPr="002A503A">
              <w:rPr>
                <w:rFonts w:ascii="Verdana" w:eastAsia="Times New Roman" w:hAnsi="Verdana" w:cs="Arial"/>
                <w:i/>
                <w:iCs/>
                <w:lang w:eastAsia="es-CO"/>
              </w:rPr>
              <w:t>convenios interadministrativos</w:t>
            </w:r>
            <w:r>
              <w:rPr>
                <w:rFonts w:ascii="Verdana" w:eastAsia="Times New Roman" w:hAnsi="Verdana" w:cs="Arial"/>
                <w:lang w:eastAsia="es-CO"/>
              </w:rPr>
              <w:t>.</w:t>
            </w:r>
          </w:p>
          <w:p w14:paraId="0573CEDF" w14:textId="77777777" w:rsidR="003B5C8D" w:rsidRDefault="003B5C8D" w:rsidP="0014503A">
            <w:pPr>
              <w:spacing w:after="120" w:line="276" w:lineRule="auto"/>
              <w:jc w:val="both"/>
              <w:rPr>
                <w:rFonts w:ascii="Verdana" w:hAnsi="Verdana" w:cs="BCDHEE+Verdana"/>
                <w:color w:val="000000"/>
              </w:rPr>
            </w:pPr>
          </w:p>
          <w:p w14:paraId="46D3FD2E" w14:textId="4EFE54D4" w:rsidR="003B5C8D" w:rsidRDefault="003B5C8D" w:rsidP="00407E09">
            <w:pPr>
              <w:spacing w:after="120" w:line="276" w:lineRule="auto"/>
              <w:jc w:val="both"/>
              <w:rPr>
                <w:rFonts w:ascii="Verdana" w:eastAsia="Times New Roman" w:hAnsi="Verdana" w:cs="Open Sans"/>
                <w:lang w:eastAsia="es-CO"/>
              </w:rPr>
            </w:pPr>
            <w:r>
              <w:rPr>
                <w:rFonts w:ascii="Verdana" w:hAnsi="Verdana" w:cs="BCDHEE+Verdana"/>
                <w:color w:val="000000"/>
              </w:rPr>
              <w:lastRenderedPageBreak/>
              <w:t xml:space="preserve">ii. </w:t>
            </w:r>
            <w:r w:rsidR="00407E09">
              <w:rPr>
                <w:rFonts w:ascii="Verdana" w:eastAsia="Times New Roman" w:hAnsi="Verdana" w:cs="Open Sans"/>
                <w:lang w:eastAsia="es-CO"/>
              </w:rPr>
              <w:t>E</w:t>
            </w:r>
            <w:r w:rsidRPr="00B3605D">
              <w:rPr>
                <w:rFonts w:ascii="Verdana" w:eastAsia="Times New Roman" w:hAnsi="Verdana" w:cs="Open Sans"/>
                <w:lang w:eastAsia="es-CO"/>
              </w:rPr>
              <w:t xml:space="preserve">l artículo 33 de la Ley 996 de 2205 prohíbe la contratación directa por parte de todos los entes estatales durante los cuatro </w:t>
            </w:r>
            <w:r>
              <w:rPr>
                <w:rFonts w:ascii="Verdana" w:eastAsia="Times New Roman" w:hAnsi="Verdana" w:cs="Open Sans"/>
                <w:lang w:eastAsia="es-CO"/>
              </w:rPr>
              <w:t>(4)</w:t>
            </w:r>
            <w:r w:rsidRPr="00B3605D">
              <w:rPr>
                <w:rFonts w:ascii="Verdana" w:eastAsia="Times New Roman" w:hAnsi="Verdana" w:cs="Open Sans"/>
                <w:lang w:eastAsia="es-CO"/>
              </w:rPr>
              <w:t xml:space="preserve"> meses anteriores a las elecciones presidenciales y dispone las excepciones a dicha prohibición. </w:t>
            </w:r>
            <w:r>
              <w:rPr>
                <w:rFonts w:ascii="Verdana" w:eastAsia="Times New Roman" w:hAnsi="Verdana" w:cs="Open Sans"/>
                <w:lang w:eastAsia="es-CO"/>
              </w:rPr>
              <w:t>Así, su ámbito de prohibición está delimitado por la expresión “</w:t>
            </w:r>
            <w:r w:rsidRPr="006A640E">
              <w:rPr>
                <w:rFonts w:ascii="Verdana" w:eastAsia="Times New Roman" w:hAnsi="Verdana" w:cs="Open Sans"/>
                <w:lang w:eastAsia="es-CO"/>
              </w:rPr>
              <w:t>queda prohibida la contratación directa</w:t>
            </w:r>
            <w:r>
              <w:rPr>
                <w:rFonts w:ascii="Verdana" w:eastAsia="Times New Roman" w:hAnsi="Verdana" w:cs="Open Sans"/>
                <w:lang w:eastAsia="es-CO"/>
              </w:rPr>
              <w:t xml:space="preserve">” y </w:t>
            </w:r>
            <w:r w:rsidRPr="006A640E">
              <w:rPr>
                <w:rFonts w:ascii="Verdana" w:eastAsia="Times New Roman" w:hAnsi="Verdana" w:cs="Open Sans"/>
                <w:lang w:eastAsia="es-CO"/>
              </w:rPr>
              <w:t>para los efectos de la Ley de Garantías</w:t>
            </w:r>
            <w:r>
              <w:rPr>
                <w:rFonts w:ascii="Verdana" w:eastAsia="Times New Roman" w:hAnsi="Verdana" w:cs="Open Sans"/>
                <w:lang w:eastAsia="es-CO"/>
              </w:rPr>
              <w:t xml:space="preserve"> </w:t>
            </w:r>
            <w:r w:rsidRPr="006A640E">
              <w:rPr>
                <w:rFonts w:ascii="Verdana" w:eastAsia="Times New Roman" w:hAnsi="Verdana" w:cs="Open Sans"/>
                <w:lang w:eastAsia="es-CO"/>
              </w:rPr>
              <w:t>Electorales y, en particular, para la prohibición o restricción temporal contenida en su</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artículo 33, </w:t>
            </w:r>
            <w:r>
              <w:rPr>
                <w:rFonts w:ascii="Verdana" w:eastAsia="Times New Roman" w:hAnsi="Verdana" w:cs="Open Sans"/>
                <w:lang w:eastAsia="es-CO"/>
              </w:rPr>
              <w:t>“</w:t>
            </w:r>
            <w:r w:rsidRPr="006A640E">
              <w:rPr>
                <w:rFonts w:ascii="Verdana" w:eastAsia="Times New Roman" w:hAnsi="Verdana" w:cs="Open Sans"/>
                <w:lang w:eastAsia="es-CO"/>
              </w:rPr>
              <w:t>contratación directa</w:t>
            </w:r>
            <w:r>
              <w:rPr>
                <w:rFonts w:ascii="Verdana" w:eastAsia="Times New Roman" w:hAnsi="Verdana" w:cs="Open Sans"/>
                <w:lang w:eastAsia="es-CO"/>
              </w:rPr>
              <w:t>”</w:t>
            </w:r>
            <w:r w:rsidRPr="006A640E">
              <w:rPr>
                <w:rFonts w:ascii="Verdana" w:eastAsia="Times New Roman" w:hAnsi="Verdana" w:cs="Open Sans"/>
                <w:lang w:eastAsia="es-CO"/>
              </w:rPr>
              <w:t xml:space="preserve"> es cualquier sistema de selección o procedimiento</w:t>
            </w:r>
            <w:r>
              <w:rPr>
                <w:rFonts w:ascii="Verdana" w:eastAsia="Times New Roman" w:hAnsi="Verdana" w:cs="Open Sans"/>
                <w:lang w:eastAsia="es-CO"/>
              </w:rPr>
              <w:t xml:space="preserve"> </w:t>
            </w:r>
            <w:r w:rsidRPr="006A640E">
              <w:rPr>
                <w:rFonts w:ascii="Verdana" w:eastAsia="Times New Roman" w:hAnsi="Verdana" w:cs="Open Sans"/>
                <w:lang w:eastAsia="es-CO"/>
              </w:rPr>
              <w:t>de contratación utilizado por las entidades estatales que no incluya la convocatoria</w:t>
            </w:r>
            <w:r>
              <w:rPr>
                <w:rFonts w:ascii="Verdana" w:eastAsia="Times New Roman" w:hAnsi="Verdana" w:cs="Open Sans"/>
                <w:lang w:eastAsia="es-CO"/>
              </w:rPr>
              <w:t xml:space="preserve"> </w:t>
            </w:r>
            <w:r w:rsidRPr="006A640E">
              <w:rPr>
                <w:rFonts w:ascii="Verdana" w:eastAsia="Times New Roman" w:hAnsi="Verdana" w:cs="Open Sans"/>
                <w:lang w:eastAsia="es-CO"/>
              </w:rPr>
              <w:t>pública en alguna de sus etapas, ni permita la participación de una pluralidad de</w:t>
            </w:r>
            <w:r>
              <w:rPr>
                <w:rFonts w:ascii="Verdana" w:eastAsia="Times New Roman" w:hAnsi="Verdana" w:cs="Open Sans"/>
                <w:lang w:eastAsia="es-CO"/>
              </w:rPr>
              <w:t xml:space="preserve"> </w:t>
            </w:r>
            <w:r w:rsidRPr="006A640E">
              <w:rPr>
                <w:rFonts w:ascii="Verdana" w:eastAsia="Times New Roman" w:hAnsi="Verdana" w:cs="Open Sans"/>
                <w:lang w:eastAsia="es-CO"/>
              </w:rPr>
              <w:t>oferentes</w:t>
            </w:r>
            <w:r>
              <w:rPr>
                <w:rStyle w:val="Refdenotaalpie"/>
                <w:rFonts w:ascii="Verdana" w:eastAsia="Times New Roman" w:hAnsi="Verdana" w:cs="Open Sans"/>
                <w:lang w:eastAsia="es-CO"/>
              </w:rPr>
              <w:footnoteReference w:id="2"/>
            </w:r>
            <w:r>
              <w:rPr>
                <w:rFonts w:ascii="Verdana" w:eastAsia="Times New Roman" w:hAnsi="Verdana" w:cs="Open Sans"/>
                <w:lang w:eastAsia="es-CO"/>
              </w:rPr>
              <w:t>.</w:t>
            </w:r>
          </w:p>
          <w:p w14:paraId="4DA4A214" w14:textId="77777777" w:rsidR="003B5C8D" w:rsidRDefault="003B5C8D" w:rsidP="0014503A">
            <w:pPr>
              <w:spacing w:after="120" w:line="276" w:lineRule="auto"/>
              <w:ind w:firstLine="740"/>
              <w:jc w:val="both"/>
              <w:rPr>
                <w:rFonts w:ascii="Verdana" w:eastAsia="Times New Roman" w:hAnsi="Verdana" w:cs="Open Sans"/>
                <w:lang w:eastAsia="es-CO"/>
              </w:rPr>
            </w:pPr>
            <w:r w:rsidRPr="00A545DE">
              <w:rPr>
                <w:rFonts w:ascii="Verdana" w:eastAsia="Times New Roman" w:hAnsi="Verdana" w:cs="Open Sans"/>
                <w:lang w:eastAsia="es-CO"/>
              </w:rPr>
              <w:t>De lo anterior se desprende que la restricción aplica, sin perjuicio de las excepciones establecidas en la misma ley, para celebrar cualquier contrato de</w:t>
            </w:r>
            <w:r w:rsidRPr="006A640E">
              <w:rPr>
                <w:rFonts w:ascii="Verdana" w:eastAsia="Times New Roman" w:hAnsi="Verdana" w:cs="Open Sans"/>
                <w:lang w:eastAsia="es-CO"/>
              </w:rPr>
              <w:t xml:space="preserve"> forma</w:t>
            </w:r>
            <w:r>
              <w:rPr>
                <w:rFonts w:ascii="Verdana" w:eastAsia="Times New Roman" w:hAnsi="Verdana" w:cs="Open Sans"/>
                <w:lang w:eastAsia="es-CO"/>
              </w:rPr>
              <w:t xml:space="preserve"> </w:t>
            </w:r>
            <w:r w:rsidRPr="006A640E">
              <w:rPr>
                <w:rFonts w:ascii="Verdana" w:eastAsia="Times New Roman" w:hAnsi="Verdana" w:cs="Open Sans"/>
                <w:lang w:eastAsia="es-CO"/>
              </w:rPr>
              <w:t>directa</w:t>
            </w:r>
            <w:r>
              <w:rPr>
                <w:rFonts w:ascii="Verdana" w:eastAsia="Times New Roman" w:hAnsi="Verdana" w:cs="Open Sans"/>
                <w:lang w:eastAsia="es-CO"/>
              </w:rPr>
              <w:t xml:space="preserve">, esto es, </w:t>
            </w:r>
            <w:r w:rsidRPr="006A640E">
              <w:rPr>
                <w:rFonts w:ascii="Verdana" w:eastAsia="Times New Roman" w:hAnsi="Verdana" w:cs="Open Sans"/>
                <w:lang w:eastAsia="es-CO"/>
              </w:rPr>
              <w:t>sin que exista un proceso abierto y competitivo. Por tanto, no son</w:t>
            </w:r>
            <w:r>
              <w:rPr>
                <w:rFonts w:ascii="Verdana" w:eastAsia="Times New Roman" w:hAnsi="Verdana" w:cs="Open Sans"/>
                <w:lang w:eastAsia="es-CO"/>
              </w:rPr>
              <w:t xml:space="preserve"> </w:t>
            </w:r>
            <w:r w:rsidRPr="006A640E">
              <w:rPr>
                <w:rFonts w:ascii="Verdana" w:eastAsia="Times New Roman" w:hAnsi="Verdana" w:cs="Open Sans"/>
                <w:lang w:eastAsia="es-CO"/>
              </w:rPr>
              <w:t>materia de la prohibición las demás modalidades de selección previstas en la Ley</w:t>
            </w:r>
            <w:r>
              <w:rPr>
                <w:rFonts w:ascii="Verdana" w:eastAsia="Times New Roman" w:hAnsi="Verdana" w:cs="Open Sans"/>
                <w:lang w:eastAsia="es-CO"/>
              </w:rPr>
              <w:t xml:space="preserve"> </w:t>
            </w:r>
            <w:r w:rsidRPr="006A640E">
              <w:rPr>
                <w:rFonts w:ascii="Verdana" w:eastAsia="Times New Roman" w:hAnsi="Verdana" w:cs="Open Sans"/>
                <w:lang w:eastAsia="es-CO"/>
              </w:rPr>
              <w:t>1150 de 2007, es decir, la licitación pública, el concurso de méritos, la selección</w:t>
            </w:r>
            <w:r>
              <w:rPr>
                <w:rFonts w:ascii="Verdana" w:eastAsia="Times New Roman" w:hAnsi="Verdana" w:cs="Open Sans"/>
                <w:lang w:eastAsia="es-CO"/>
              </w:rPr>
              <w:t xml:space="preserve"> </w:t>
            </w:r>
            <w:r w:rsidRPr="006A640E">
              <w:rPr>
                <w:rFonts w:ascii="Verdana" w:eastAsia="Times New Roman" w:hAnsi="Verdana" w:cs="Open Sans"/>
                <w:lang w:eastAsia="es-CO"/>
              </w:rPr>
              <w:t>abreviada y la contratación de mínima cuantía, razón por la cual en el período</w:t>
            </w:r>
            <w:r>
              <w:rPr>
                <w:rFonts w:ascii="Verdana" w:eastAsia="Times New Roman" w:hAnsi="Verdana" w:cs="Open Sans"/>
                <w:lang w:eastAsia="es-CO"/>
              </w:rPr>
              <w:t xml:space="preserve"> </w:t>
            </w:r>
            <w:r w:rsidRPr="006A640E">
              <w:rPr>
                <w:rFonts w:ascii="Verdana" w:eastAsia="Times New Roman" w:hAnsi="Verdana" w:cs="Open Sans"/>
                <w:lang w:eastAsia="es-CO"/>
              </w:rPr>
              <w:t>preelectoral de que trata la disposición las entidades públicas pueden seguir</w:t>
            </w:r>
            <w:r>
              <w:rPr>
                <w:rFonts w:ascii="Verdana" w:eastAsia="Times New Roman" w:hAnsi="Verdana" w:cs="Open Sans"/>
                <w:lang w:eastAsia="es-CO"/>
              </w:rPr>
              <w:t xml:space="preserve"> </w:t>
            </w:r>
            <w:r w:rsidRPr="006A640E">
              <w:rPr>
                <w:rFonts w:ascii="Verdana" w:eastAsia="Times New Roman" w:hAnsi="Verdana" w:cs="Open Sans"/>
                <w:lang w:eastAsia="es-CO"/>
              </w:rPr>
              <w:t>contratando bajo estos sistemas.</w:t>
            </w:r>
          </w:p>
          <w:p w14:paraId="3FEAC756" w14:textId="77777777" w:rsidR="003B5C8D" w:rsidRDefault="003B5C8D" w:rsidP="0014503A">
            <w:pPr>
              <w:spacing w:before="120" w:after="120" w:line="276" w:lineRule="auto"/>
              <w:ind w:firstLine="709"/>
              <w:jc w:val="both"/>
              <w:rPr>
                <w:rFonts w:ascii="Verdana" w:eastAsia="Calibri" w:hAnsi="Verdana" w:cs="Arial"/>
                <w:lang w:val="es-ES"/>
              </w:rPr>
            </w:pPr>
            <w:r>
              <w:rPr>
                <w:rFonts w:ascii="Verdana" w:eastAsia="Times New Roman" w:hAnsi="Verdana" w:cs="Arial"/>
                <w:lang w:val="es-MX" w:eastAsia="es-CO"/>
              </w:rPr>
              <w:t>Ahora bien, para dar respuesta al problema jurídico planteado, debe advertirse que e</w:t>
            </w:r>
            <w:r w:rsidRPr="00377ED6">
              <w:rPr>
                <w:rFonts w:ascii="Verdana" w:eastAsia="Calibri" w:hAnsi="Verdana" w:cs="Arial"/>
                <w:lang w:val="es-ES"/>
              </w:rPr>
              <w:t xml:space="preserv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ii) los convenios de asociación, para el desarrollo conjunto de actividades relacionadas con las funciones de las entidades estatales, en desarrollo del artículo 96 de la Ley 489 de 1998. </w:t>
            </w:r>
          </w:p>
          <w:p w14:paraId="2CEE0190" w14:textId="77777777" w:rsidR="003B5C8D" w:rsidRDefault="003B5C8D" w:rsidP="0014503A">
            <w:pPr>
              <w:spacing w:before="120" w:after="120" w:line="276" w:lineRule="auto"/>
              <w:ind w:firstLine="709"/>
              <w:jc w:val="both"/>
              <w:rPr>
                <w:rFonts w:ascii="Verdana" w:eastAsia="Calibri" w:hAnsi="Verdana" w:cs="Arial"/>
                <w:lang w:val="es-ES"/>
              </w:rPr>
            </w:pPr>
            <w:r>
              <w:rPr>
                <w:rFonts w:ascii="Verdana" w:eastAsia="Calibri" w:hAnsi="Verdana" w:cs="Arial"/>
                <w:lang w:val="es-ES"/>
              </w:rPr>
              <w:t xml:space="preserve">Para celebrar el primer tipo de contratos, </w:t>
            </w:r>
            <w:r w:rsidRPr="00377ED6">
              <w:rPr>
                <w:rFonts w:ascii="Verdana" w:eastAsia="Calibri" w:hAnsi="Verdana" w:cs="Arial"/>
                <w:lang w:val="es-ES"/>
              </w:rPr>
              <w:t xml:space="preserve">según lo establece el artículo 3 del Decreto 092 de 2017, la entidad debe adelantar un proceso competitivo para seleccionar la entidad sin ánimo de lucro </w:t>
            </w:r>
            <w:r>
              <w:rPr>
                <w:rFonts w:ascii="Verdana" w:eastAsia="Calibri" w:hAnsi="Verdana" w:cs="Arial"/>
                <w:lang w:val="es-ES"/>
              </w:rPr>
              <w:t xml:space="preserve">que ejecutará el contrato. De acuerdo con esto, la celebración de los contratos los que se refiere el artículo 355 superior, regidos por los artículos 2, 3 y 4 del Decreto 092 de 2017, no se </w:t>
            </w:r>
            <w:r>
              <w:rPr>
                <w:rFonts w:ascii="Verdana" w:eastAsia="Calibri" w:hAnsi="Verdana" w:cs="Arial"/>
                <w:lang w:val="es-ES"/>
              </w:rPr>
              <w:lastRenderedPageBreak/>
              <w:t xml:space="preserve">afecta por la restricción del artículo 33 de la Ley 996 de 2005, en la medida en que su suscripción debe darse previo desarrollo de proceso competitivo.  </w:t>
            </w:r>
          </w:p>
          <w:p w14:paraId="41BECA8D" w14:textId="3E38C4EC" w:rsidR="003B5C8D" w:rsidRDefault="003B5C8D" w:rsidP="0014503A">
            <w:pPr>
              <w:spacing w:before="120" w:after="120" w:line="276" w:lineRule="auto"/>
              <w:ind w:firstLine="709"/>
              <w:jc w:val="both"/>
              <w:rPr>
                <w:rFonts w:ascii="Verdana" w:eastAsia="Calibri" w:hAnsi="Verdana" w:cs="Arial"/>
                <w:lang w:val="es-ES"/>
              </w:rPr>
            </w:pPr>
            <w:r w:rsidRPr="697BF333">
              <w:rPr>
                <w:rFonts w:ascii="Verdana" w:eastAsia="Calibri" w:hAnsi="Verdana" w:cs="Arial"/>
                <w:lang w:val="es-ES"/>
              </w:rPr>
              <w:t xml:space="preserve">De otro lado, la celebración de los </w:t>
            </w:r>
            <w:r w:rsidRPr="697BF333">
              <w:rPr>
                <w:rFonts w:ascii="Verdana" w:eastAsia="Calibri" w:hAnsi="Verdana" w:cs="Arial"/>
                <w:i/>
                <w:lang w:val="es-ES"/>
              </w:rPr>
              <w:t xml:space="preserve">convenios de asociación </w:t>
            </w:r>
            <w:r w:rsidRPr="697BF333">
              <w:rPr>
                <w:rFonts w:ascii="Verdana" w:eastAsia="Calibri" w:hAnsi="Verdana" w:cs="Arial"/>
                <w:lang w:val="es-ES"/>
              </w:rPr>
              <w:t>regidos por el artículo 96 de la Ley 489 de 1998, así como por el artículo 5 del Decreto 092 de 2017, por regla general, también deben celebrarse previo desarrollo de un proceso competitivo, por lo que, en principio, su suscripción tampoco debería verse afectada por la restricción del artículo 33 de la Ley 996 de 2005. Esto</w:t>
            </w:r>
            <w:r w:rsidR="00407E09">
              <w:rPr>
                <w:rFonts w:ascii="Verdana" w:eastAsia="Calibri" w:hAnsi="Verdana" w:cs="Arial"/>
                <w:lang w:val="es-ES"/>
              </w:rPr>
              <w:t>,</w:t>
            </w:r>
            <w:r w:rsidRPr="697BF333">
              <w:rPr>
                <w:rFonts w:ascii="Verdana" w:eastAsia="Calibri" w:hAnsi="Verdana" w:cs="Arial"/>
                <w:lang w:val="es-ES"/>
              </w:rPr>
              <w:t xml:space="preserve"> a excepción de la posibilidad celebrar convenios de asociación de manera directa, en aquellos casos en los que una entidad sin ánimo de lucro aporte el 30% de los recursos en dinero requeridos, supuesto que, al excluir la pluralidad de oferentes, si entra dentro del ámbito de aplicación de la mencionada prohibición, de manera que no es posible su aplicación en vigencia de la restricción a la contratación directa.  </w:t>
            </w:r>
          </w:p>
          <w:p w14:paraId="4F6D69E0" w14:textId="77777777" w:rsidR="003B5C8D" w:rsidRPr="00374855" w:rsidRDefault="003B5C8D" w:rsidP="0014503A">
            <w:pPr>
              <w:spacing w:after="120" w:line="276" w:lineRule="auto"/>
              <w:ind w:firstLine="740"/>
              <w:jc w:val="both"/>
              <w:rPr>
                <w:rFonts w:ascii="Verdana" w:hAnsi="Verdana" w:cs="BCDHEE+Verdana"/>
                <w:color w:val="000000"/>
              </w:rPr>
            </w:pPr>
            <w:r>
              <w:rPr>
                <w:rFonts w:ascii="Verdana" w:eastAsia="Times New Roman" w:hAnsi="Verdana" w:cs="Arial"/>
                <w:lang w:val="es-MX" w:eastAsia="x-none"/>
              </w:rPr>
              <w:t>Sin perjuicio de lo anterior</w:t>
            </w:r>
            <w:r w:rsidRPr="00F02C5A">
              <w:rPr>
                <w:rFonts w:ascii="Verdana" w:eastAsia="Times New Roman" w:hAnsi="Verdana" w:cs="Arial"/>
                <w:lang w:val="es-MX" w:eastAsia="x-none"/>
              </w:rPr>
              <w:t xml:space="preserve">, la restricción prevista en </w:t>
            </w:r>
            <w:r>
              <w:rPr>
                <w:rFonts w:ascii="Verdana" w:eastAsia="Times New Roman" w:hAnsi="Verdana" w:cs="Arial"/>
                <w:lang w:val="es-MX" w:eastAsia="x-none"/>
              </w:rPr>
              <w:t xml:space="preserve">el artículo 33 de la </w:t>
            </w:r>
            <w:r w:rsidRPr="00F02C5A">
              <w:rPr>
                <w:rFonts w:ascii="Verdana" w:eastAsia="Times New Roman" w:hAnsi="Verdana" w:cs="Arial"/>
                <w:lang w:val="es-MX" w:eastAsia="x-none"/>
              </w:rPr>
              <w:t>Ley de Garantías Electorales</w:t>
            </w:r>
            <w:r>
              <w:rPr>
                <w:rFonts w:ascii="Verdana" w:eastAsia="Times New Roman" w:hAnsi="Verdana" w:cs="Arial"/>
                <w:lang w:val="es-MX" w:eastAsia="x-none"/>
              </w:rPr>
              <w:t xml:space="preserve"> contempla algunas excepciones</w:t>
            </w:r>
            <w:r w:rsidRPr="00F02C5A">
              <w:rPr>
                <w:rFonts w:ascii="Verdana" w:eastAsia="Times New Roman" w:hAnsi="Verdana" w:cs="Arial"/>
                <w:lang w:val="es-MX" w:eastAsia="x-none"/>
              </w:rPr>
              <w:t xml:space="preserve">, con fundamento en las cuales podrán las entidades públicas adelantar procedimientos de </w:t>
            </w:r>
            <w:r>
              <w:rPr>
                <w:rFonts w:ascii="Verdana" w:eastAsia="Times New Roman" w:hAnsi="Verdana" w:cs="Arial"/>
                <w:lang w:val="es-MX" w:eastAsia="x-none"/>
              </w:rPr>
              <w:t>contratación</w:t>
            </w:r>
            <w:r w:rsidRPr="00F02C5A">
              <w:rPr>
                <w:rFonts w:ascii="Verdana" w:eastAsia="Times New Roman" w:hAnsi="Verdana" w:cs="Arial"/>
                <w:lang w:val="es-MX" w:eastAsia="x-none"/>
              </w:rPr>
              <w:t xml:space="preserve"> directa en períodos previos a la contienda electoral por la Presidencia, </w:t>
            </w:r>
            <w:r>
              <w:rPr>
                <w:rFonts w:ascii="Verdana" w:eastAsia="Times New Roman" w:hAnsi="Verdana" w:cs="Arial"/>
                <w:lang w:val="es-MX" w:eastAsia="x-none"/>
              </w:rPr>
              <w:t xml:space="preserve">siempre que se subsuma en los supuestos contemplados de </w:t>
            </w:r>
            <w:r w:rsidRPr="00F02C5A">
              <w:rPr>
                <w:rFonts w:ascii="Verdana" w:eastAsia="Times New Roman" w:hAnsi="Verdana" w:cs="Arial"/>
                <w:lang w:val="es-MX" w:eastAsia="x-none"/>
              </w:rPr>
              <w:t>manera taxativa en el inciso final del citado artículo 33 de la Ley 996 de 2005.</w:t>
            </w:r>
            <w:r>
              <w:rPr>
                <w:rFonts w:ascii="Verdana" w:eastAsia="Times New Roman" w:hAnsi="Verdana" w:cs="Arial"/>
                <w:lang w:val="es-MX" w:eastAsia="x-none"/>
              </w:rPr>
              <w:t xml:space="preserve"> Por lo tanto, será</w:t>
            </w:r>
            <w:r w:rsidRPr="00F02C5A">
              <w:rPr>
                <w:rFonts w:ascii="Verdana" w:eastAsia="Times New Roman" w:hAnsi="Verdana" w:cs="Arial"/>
                <w:lang w:val="es-MX" w:eastAsia="es-CO"/>
              </w:rPr>
              <w:t xml:space="preserve">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33838A5F" w14:textId="77777777" w:rsidR="003B5C8D" w:rsidRPr="00DE5508" w:rsidRDefault="003B5C8D" w:rsidP="0014503A">
            <w:pPr>
              <w:spacing w:after="120" w:line="276" w:lineRule="auto"/>
              <w:ind w:firstLine="709"/>
              <w:jc w:val="both"/>
              <w:rPr>
                <w:rFonts w:ascii="Verdana" w:hAnsi="Verdana"/>
              </w:rPr>
            </w:pPr>
            <w:r w:rsidRPr="00DE5508">
              <w:rPr>
                <w:rFonts w:ascii="Verdana" w:hAnsi="Verdana"/>
              </w:rPr>
              <w:t>Dentro de este marco, corresponde a cada entidad pública, en ejercicio de su competencia y previa valoración de los elementos fácticos y jurídicos, así como de las disposiciones legales mencionadas, determinar su gestión contractual durante la aplicación de las restricciones de la Ley de Garantías Electorales.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7C2E1F95" w14:textId="77777777" w:rsidR="003B5C8D" w:rsidRPr="00DE5508" w:rsidRDefault="003B5C8D" w:rsidP="003B5C8D">
      <w:pPr>
        <w:tabs>
          <w:tab w:val="left" w:pos="142"/>
          <w:tab w:val="left" w:pos="284"/>
        </w:tabs>
        <w:spacing w:after="0" w:line="276" w:lineRule="auto"/>
        <w:jc w:val="both"/>
        <w:rPr>
          <w:rFonts w:ascii="Verdana" w:eastAsia="Century Gothic" w:hAnsi="Verdana" w:cs="Century Gothic"/>
          <w:b/>
          <w:bCs/>
          <w:lang w:val="es-ES"/>
        </w:rPr>
      </w:pPr>
    </w:p>
    <w:p w14:paraId="107E94DD" w14:textId="77777777" w:rsidR="003B5C8D" w:rsidRDefault="003B5C8D" w:rsidP="003B5C8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lastRenderedPageBreak/>
        <w:t>Razones de la respuesta:</w:t>
      </w:r>
    </w:p>
    <w:p w14:paraId="63218DF7" w14:textId="77777777" w:rsidR="003B5C8D" w:rsidRDefault="003B5C8D" w:rsidP="003B5C8D">
      <w:pPr>
        <w:spacing w:after="0" w:line="276" w:lineRule="auto"/>
        <w:jc w:val="both"/>
        <w:rPr>
          <w:rFonts w:ascii="Verdana" w:eastAsia="Calibri" w:hAnsi="Verdana" w:cs="Arial"/>
          <w:color w:val="7030A0"/>
          <w:lang w:val="es-ES"/>
        </w:rPr>
      </w:pPr>
    </w:p>
    <w:p w14:paraId="195038F7" w14:textId="77777777" w:rsidR="003B5C8D" w:rsidRDefault="003B5C8D" w:rsidP="003B5C8D">
      <w:pPr>
        <w:spacing w:after="0" w:line="276" w:lineRule="auto"/>
        <w:jc w:val="both"/>
        <w:rPr>
          <w:rFonts w:ascii="Verdana" w:eastAsia="Calibri" w:hAnsi="Verdana" w:cs="Arial"/>
          <w:lang w:val="es-ES"/>
        </w:rPr>
      </w:pPr>
      <w:r>
        <w:rPr>
          <w:rFonts w:ascii="Verdana" w:eastAsia="Calibri" w:hAnsi="Verdana" w:cs="Arial"/>
          <w:lang w:val="es-ES"/>
        </w:rPr>
        <w:t xml:space="preserve">Lo anterior se sustenta en las siguientes consideraciones: </w:t>
      </w:r>
    </w:p>
    <w:p w14:paraId="35A6155A" w14:textId="77777777" w:rsidR="003B5C8D" w:rsidRDefault="003B5C8D" w:rsidP="003B5C8D">
      <w:pPr>
        <w:widowControl w:val="0"/>
        <w:autoSpaceDE w:val="0"/>
        <w:autoSpaceDN w:val="0"/>
        <w:spacing w:after="0" w:line="276" w:lineRule="auto"/>
        <w:ind w:right="176"/>
        <w:jc w:val="both"/>
        <w:rPr>
          <w:rFonts w:ascii="Verdana" w:eastAsia="Calibri" w:hAnsi="Verdana" w:cs="Arial"/>
          <w:lang w:val="es-ES"/>
        </w:rPr>
      </w:pPr>
    </w:p>
    <w:p w14:paraId="3F8DEB52" w14:textId="77777777" w:rsidR="003B5C8D" w:rsidRDefault="003B5C8D" w:rsidP="003B5C8D">
      <w:pPr>
        <w:tabs>
          <w:tab w:val="left" w:pos="426"/>
        </w:tabs>
        <w:spacing w:after="120" w:line="276" w:lineRule="auto"/>
        <w:jc w:val="both"/>
        <w:rPr>
          <w:rFonts w:ascii="Verdana" w:eastAsia="Calibri" w:hAnsi="Verdana" w:cs="Arial"/>
          <w:lang w:val="es-ES_tradnl"/>
        </w:rPr>
      </w:pPr>
      <w:r>
        <w:rPr>
          <w:rFonts w:ascii="Verdana" w:eastAsia="Times New Roman" w:hAnsi="Verdana" w:cs="Arial"/>
          <w:lang w:val="es-MX" w:eastAsia="es-CO"/>
        </w:rPr>
        <w:t>L</w:t>
      </w:r>
      <w:r w:rsidRPr="00E2397D">
        <w:rPr>
          <w:rFonts w:ascii="Verdana" w:eastAsia="Times New Roman" w:hAnsi="Verdana" w:cs="Arial"/>
          <w:lang w:val="es-MX" w:eastAsia="es-CO"/>
        </w:rPr>
        <w:t>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3"/>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p>
    <w:p w14:paraId="42898986" w14:textId="77777777" w:rsidR="003B5C8D" w:rsidRPr="006B14B5" w:rsidRDefault="003B5C8D" w:rsidP="003B5C8D">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316DA043" w14:textId="77777777" w:rsidR="003B5C8D" w:rsidRPr="00E2397D" w:rsidRDefault="003B5C8D" w:rsidP="003B5C8D">
      <w:pPr>
        <w:spacing w:after="0" w:line="276" w:lineRule="auto"/>
        <w:ind w:right="709"/>
        <w:contextualSpacing/>
        <w:jc w:val="both"/>
        <w:rPr>
          <w:rFonts w:ascii="Verdana" w:eastAsia="Times New Roman" w:hAnsi="Verdana" w:cs="Arial"/>
          <w:lang w:val="es-ES" w:eastAsia="es-CO"/>
        </w:rPr>
      </w:pPr>
    </w:p>
    <w:p w14:paraId="55AA0839" w14:textId="77777777" w:rsidR="003B5C8D" w:rsidRPr="00E2397D" w:rsidRDefault="003B5C8D" w:rsidP="003B5C8D">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770A6365" w14:textId="77777777" w:rsidR="003B5C8D" w:rsidRPr="00E2397D" w:rsidRDefault="003B5C8D" w:rsidP="003B5C8D">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64942116" w14:textId="77777777" w:rsidR="003B5C8D" w:rsidRPr="00E2397D" w:rsidRDefault="003B5C8D" w:rsidP="003B5C8D">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4"/>
      </w:r>
    </w:p>
    <w:p w14:paraId="21C62B86" w14:textId="77777777" w:rsidR="003B5C8D" w:rsidRPr="00E2397D" w:rsidRDefault="003B5C8D" w:rsidP="003B5C8D">
      <w:pPr>
        <w:spacing w:after="0" w:line="276" w:lineRule="auto"/>
        <w:ind w:firstLine="709"/>
        <w:jc w:val="both"/>
        <w:rPr>
          <w:rFonts w:ascii="Verdana" w:eastAsia="Times New Roman" w:hAnsi="Verdana" w:cs="Arial"/>
          <w:lang w:val="es-MX" w:eastAsia="es-CO"/>
        </w:rPr>
      </w:pPr>
    </w:p>
    <w:p w14:paraId="4A80880C" w14:textId="77777777" w:rsidR="003B5C8D" w:rsidRPr="00E2397D" w:rsidRDefault="003B5C8D" w:rsidP="003B5C8D">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w:t>
      </w:r>
      <w:r w:rsidRPr="00E2397D">
        <w:rPr>
          <w:rFonts w:ascii="Verdana" w:eastAsia="Times New Roman" w:hAnsi="Verdana" w:cs="Arial"/>
          <w:lang w:val="es-MX" w:eastAsia="es-CO"/>
        </w:rPr>
        <w:lastRenderedPageBreak/>
        <w:t>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3FF0226E" w14:textId="77777777" w:rsidR="003B5C8D" w:rsidRPr="00886C02" w:rsidRDefault="003B5C8D" w:rsidP="003B5C8D">
      <w:pPr>
        <w:spacing w:after="0" w:line="276" w:lineRule="auto"/>
        <w:ind w:firstLine="709"/>
        <w:jc w:val="both"/>
        <w:rPr>
          <w:rFonts w:ascii="Verdana" w:eastAsia="Times New Roman" w:hAnsi="Verdana" w:cs="Arial"/>
          <w:lang w:val="es-MX" w:eastAsia="es-CO"/>
        </w:rPr>
      </w:pPr>
    </w:p>
    <w:p w14:paraId="7A65A947" w14:textId="77777777" w:rsidR="003B5C8D" w:rsidRPr="00E2397D" w:rsidRDefault="003B5C8D" w:rsidP="003B5C8D">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291C0866" w14:textId="77777777" w:rsidR="003B5C8D" w:rsidRPr="00E2397D" w:rsidRDefault="003B5C8D" w:rsidP="003B5C8D">
      <w:pPr>
        <w:spacing w:after="0" w:line="240" w:lineRule="auto"/>
        <w:ind w:right="709"/>
        <w:contextualSpacing/>
        <w:jc w:val="both"/>
        <w:rPr>
          <w:rFonts w:ascii="Verdana" w:eastAsia="Times New Roman" w:hAnsi="Verdana" w:cs="Arial"/>
          <w:lang w:val="es-MX" w:eastAsia="es-CO"/>
        </w:rPr>
      </w:pPr>
    </w:p>
    <w:p w14:paraId="337AF16B" w14:textId="77777777" w:rsidR="003B5C8D" w:rsidRPr="00E2397D" w:rsidRDefault="003B5C8D" w:rsidP="003B5C8D">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5"/>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6"/>
      </w:r>
      <w:r w:rsidRPr="00E2397D">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7"/>
      </w:r>
      <w:r w:rsidRPr="00E2397D">
        <w:rPr>
          <w:rFonts w:ascii="Verdana" w:eastAsia="Times New Roman" w:hAnsi="Verdana" w:cs="Arial"/>
          <w:sz w:val="20"/>
          <w:szCs w:val="20"/>
          <w:lang w:val="es-MX" w:eastAsia="es-CO"/>
        </w:rPr>
        <w:t>.</w:t>
      </w:r>
    </w:p>
    <w:p w14:paraId="0E8C70D6" w14:textId="77777777" w:rsidR="003B5C8D" w:rsidRPr="00E2397D" w:rsidRDefault="003B5C8D" w:rsidP="003B5C8D">
      <w:pPr>
        <w:spacing w:after="0" w:line="276" w:lineRule="auto"/>
        <w:jc w:val="both"/>
        <w:rPr>
          <w:rFonts w:ascii="Verdana" w:eastAsia="Calibri" w:hAnsi="Verdana" w:cs="Arial"/>
          <w:bCs/>
          <w:lang w:val="es-ES_tradnl"/>
        </w:rPr>
      </w:pPr>
    </w:p>
    <w:p w14:paraId="3CD188DA" w14:textId="77777777" w:rsidR="003B5C8D" w:rsidRPr="00B3605D" w:rsidRDefault="003B5C8D" w:rsidP="003B5C8D">
      <w:pPr>
        <w:spacing w:after="120" w:line="276" w:lineRule="auto"/>
        <w:ind w:firstLine="709"/>
        <w:jc w:val="both"/>
        <w:rPr>
          <w:rFonts w:ascii="Verdana" w:eastAsia="Arial" w:hAnsi="Verdana" w:cs="Arial"/>
          <w:lang w:val="es-ES" w:eastAsia="es-ES" w:bidi="es-ES"/>
        </w:rPr>
      </w:pPr>
      <w:r w:rsidRPr="00B3605D">
        <w:rPr>
          <w:rFonts w:ascii="Verdana" w:eastAsia="Times New Roman" w:hAnsi="Verdana" w:cs="Arial"/>
          <w:lang w:val="es-MX" w:eastAsia="es-CO"/>
        </w:rPr>
        <w:t>De</w:t>
      </w:r>
      <w:r w:rsidRPr="00B3605D">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w:t>
      </w:r>
      <w:r w:rsidRPr="00B3605D">
        <w:rPr>
          <w:rFonts w:ascii="Verdana" w:eastAsia="Arial" w:hAnsi="Verdana" w:cs="Arial"/>
          <w:lang w:val="es-ES" w:eastAsia="es-ES" w:bidi="es-ES"/>
        </w:rPr>
        <w:lastRenderedPageBreak/>
        <w:t xml:space="preserve">siquiera sospecha de que, por ese medio, en los periodos previos a la contienda electoral, se altere las condiciones de igualdad entre los candidatos. </w:t>
      </w:r>
    </w:p>
    <w:p w14:paraId="4D7BD522" w14:textId="77777777" w:rsidR="003B5C8D" w:rsidRPr="00D61E29" w:rsidRDefault="003B5C8D" w:rsidP="003B5C8D">
      <w:pPr>
        <w:spacing w:after="0" w:line="276" w:lineRule="auto"/>
        <w:ind w:firstLine="708"/>
        <w:jc w:val="both"/>
        <w:rPr>
          <w:rFonts w:ascii="Verdana" w:eastAsia="Times New Roman" w:hAnsi="Verdana" w:cs="Open Sans"/>
          <w:lang w:eastAsia="es-CO"/>
        </w:rPr>
      </w:pPr>
      <w:r>
        <w:rPr>
          <w:rFonts w:ascii="Verdana" w:eastAsia="Times New Roman" w:hAnsi="Verdana" w:cs="Open Sans"/>
          <w:iCs/>
          <w:lang w:val="es-ES" w:eastAsia="es-CO"/>
        </w:rPr>
        <w:t xml:space="preserve">Para resolver el primer problema jurídico de esta consulta, es necesario analizar </w:t>
      </w:r>
      <w:r w:rsidRPr="00D61E29">
        <w:rPr>
          <w:rFonts w:ascii="Verdana" w:eastAsia="Times New Roman" w:hAnsi="Verdana" w:cs="Open Sans"/>
          <w:lang w:eastAsia="es-CO"/>
        </w:rPr>
        <w:t xml:space="preserve">el parágrafo del artículo 38 </w:t>
      </w:r>
      <w:r>
        <w:rPr>
          <w:rFonts w:ascii="Verdana" w:eastAsia="Times New Roman" w:hAnsi="Verdana" w:cs="Open Sans"/>
          <w:lang w:eastAsia="es-CO"/>
        </w:rPr>
        <w:t xml:space="preserve">de la Ley de Garantía Electorales que </w:t>
      </w:r>
      <w:r w:rsidRPr="00D61E29">
        <w:rPr>
          <w:rFonts w:ascii="Verdana" w:eastAsia="Calibri" w:hAnsi="Verdana" w:cs="Arial"/>
        </w:rPr>
        <w:t>prevé una restricción, aplicable respecto de cualquier tipo de contienda electoral, como sigue:</w:t>
      </w:r>
    </w:p>
    <w:p w14:paraId="22AC4D33" w14:textId="77777777" w:rsidR="003B5C8D" w:rsidRDefault="003B5C8D" w:rsidP="003B5C8D">
      <w:pPr>
        <w:pStyle w:val="NormalWeb"/>
        <w:spacing w:before="0" w:beforeAutospacing="0" w:after="0" w:afterAutospacing="0" w:line="276" w:lineRule="auto"/>
        <w:ind w:left="709" w:right="616"/>
        <w:jc w:val="both"/>
        <w:rPr>
          <w:rStyle w:val="baj"/>
          <w:rFonts w:ascii="Verdana" w:eastAsiaTheme="minorHAnsi" w:hAnsi="Verdana" w:cs="Open Sans"/>
          <w:b/>
          <w:sz w:val="20"/>
          <w:szCs w:val="20"/>
          <w:lang w:eastAsia="en-US"/>
        </w:rPr>
      </w:pPr>
    </w:p>
    <w:p w14:paraId="471A5AD2" w14:textId="77777777" w:rsidR="003B5C8D" w:rsidRPr="00D61E29" w:rsidRDefault="003B5C8D" w:rsidP="003B5C8D">
      <w:pPr>
        <w:pStyle w:val="NormalWeb"/>
        <w:spacing w:before="0" w:beforeAutospacing="0" w:after="0" w:afterAutospacing="0"/>
        <w:ind w:left="709" w:right="709"/>
        <w:jc w:val="both"/>
        <w:rPr>
          <w:rFonts w:ascii="Verdana" w:hAnsi="Verdana" w:cs="Open Sans"/>
          <w:sz w:val="20"/>
          <w:szCs w:val="20"/>
        </w:rPr>
      </w:pPr>
      <w:r>
        <w:rPr>
          <w:rStyle w:val="baj"/>
          <w:rFonts w:ascii="Verdana" w:hAnsi="Verdana" w:cs="Open Sans"/>
          <w:b/>
          <w:bCs/>
          <w:sz w:val="20"/>
          <w:szCs w:val="20"/>
        </w:rPr>
        <w:t>“</w:t>
      </w:r>
      <w:r w:rsidRPr="00D61E29">
        <w:rPr>
          <w:rStyle w:val="baj"/>
          <w:rFonts w:ascii="Verdana" w:hAnsi="Verdana" w:cs="Open Sans"/>
          <w:b/>
          <w:bCs/>
          <w:sz w:val="20"/>
          <w:szCs w:val="20"/>
        </w:rPr>
        <w:t>PARÁGRAFO.</w:t>
      </w:r>
      <w:r w:rsidRPr="00D61E29">
        <w:rPr>
          <w:rFonts w:ascii="Verdana" w:hAnsi="Verdana" w:cs="Open Sans"/>
          <w:sz w:val="20"/>
          <w:szCs w:val="20"/>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591AF418" w14:textId="77777777" w:rsidR="003B5C8D" w:rsidRPr="00D61E29" w:rsidRDefault="003B5C8D" w:rsidP="003B5C8D">
      <w:pPr>
        <w:pStyle w:val="NormalWeb"/>
        <w:spacing w:before="0" w:beforeAutospacing="0" w:after="0" w:afterAutospacing="0"/>
        <w:ind w:left="709" w:right="709"/>
        <w:jc w:val="both"/>
        <w:rPr>
          <w:rFonts w:ascii="Verdana" w:hAnsi="Verdana" w:cs="Open Sans"/>
          <w:sz w:val="20"/>
          <w:szCs w:val="20"/>
        </w:rPr>
      </w:pPr>
    </w:p>
    <w:p w14:paraId="7A131355" w14:textId="77777777" w:rsidR="003B5C8D" w:rsidRPr="00D61E29" w:rsidRDefault="003B5C8D" w:rsidP="003B5C8D">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Tampoco podrán inaugurar obras públicas o dar inicio a programas de carácter social en reuniones o eventos en los que participen candidatos a la Presidencia y Vicepresidencia de la República, el Congreso de la República, gobernaciones departamentales, asambleas departamentales, alcaldías y concejos municipales o distritales. Tampoco podrán hacerlo cuando participen voceros de los candidatos.</w:t>
      </w:r>
    </w:p>
    <w:p w14:paraId="48D9A32F" w14:textId="77777777" w:rsidR="003B5C8D" w:rsidRDefault="003B5C8D" w:rsidP="003B5C8D">
      <w:pPr>
        <w:pStyle w:val="NormalWeb"/>
        <w:spacing w:before="0" w:beforeAutospacing="0" w:after="0" w:afterAutospacing="0"/>
        <w:ind w:left="709" w:right="709"/>
        <w:jc w:val="both"/>
        <w:rPr>
          <w:rFonts w:ascii="Verdana" w:hAnsi="Verdana" w:cs="Open Sans"/>
          <w:sz w:val="20"/>
          <w:szCs w:val="20"/>
        </w:rPr>
      </w:pPr>
    </w:p>
    <w:p w14:paraId="60560CED" w14:textId="77777777" w:rsidR="003B5C8D" w:rsidRPr="00D61E29" w:rsidRDefault="003B5C8D" w:rsidP="003B5C8D">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No podrán autorizar la utilización de inmuebles o bienes muebles de carácter público para actividades proselitistas, ni para facilitar el alojamiento, ni el transporte de electores de candidatos a cargos de elección popular. Tampoco podrán hacerlo cuando participen voceros de los candidatos.</w:t>
      </w:r>
    </w:p>
    <w:p w14:paraId="603ACB8B" w14:textId="77777777" w:rsidR="003B5C8D" w:rsidRDefault="003B5C8D" w:rsidP="003B5C8D">
      <w:pPr>
        <w:pStyle w:val="NormalWeb"/>
        <w:spacing w:before="0" w:beforeAutospacing="0" w:after="0" w:afterAutospacing="0"/>
        <w:ind w:left="709" w:right="709"/>
        <w:jc w:val="both"/>
        <w:rPr>
          <w:rFonts w:ascii="Verdana" w:hAnsi="Verdana" w:cs="Open Sans"/>
          <w:sz w:val="20"/>
          <w:szCs w:val="20"/>
        </w:rPr>
      </w:pPr>
    </w:p>
    <w:p w14:paraId="4A9F7F78" w14:textId="77777777" w:rsidR="003B5C8D" w:rsidRPr="00D61E29" w:rsidRDefault="003B5C8D" w:rsidP="003B5C8D">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La nómina del respectivo ente territorial o entidad no se podrá modificar dentro de los cuatro (4) meses anteriores a las elecciones a cargos de elección popular, salvo que se trate de provisión de cargos por faltas definitivas, con ocasión de muerte o renuncia irrevocable del cargo correspondiente debidamente aceptada, y en los casos de aplicación de las normas de carrera administrativa</w:t>
      </w:r>
      <w:r>
        <w:rPr>
          <w:rFonts w:ascii="Verdana" w:hAnsi="Verdana" w:cs="Open Sans"/>
          <w:sz w:val="20"/>
          <w:szCs w:val="20"/>
        </w:rPr>
        <w:t>”</w:t>
      </w:r>
      <w:r w:rsidRPr="00D61E29">
        <w:rPr>
          <w:rFonts w:ascii="Verdana" w:hAnsi="Verdana" w:cs="Open Sans"/>
          <w:sz w:val="20"/>
          <w:szCs w:val="20"/>
        </w:rPr>
        <w:t>.</w:t>
      </w:r>
    </w:p>
    <w:p w14:paraId="63E9EE9E" w14:textId="77777777" w:rsidR="003B5C8D" w:rsidRDefault="003B5C8D" w:rsidP="003B5C8D">
      <w:pPr>
        <w:widowControl w:val="0"/>
        <w:autoSpaceDE w:val="0"/>
        <w:autoSpaceDN w:val="0"/>
        <w:spacing w:after="0" w:line="276" w:lineRule="auto"/>
        <w:ind w:right="113"/>
        <w:contextualSpacing/>
        <w:jc w:val="both"/>
      </w:pPr>
    </w:p>
    <w:p w14:paraId="2073FCF1" w14:textId="77777777" w:rsidR="003B5C8D" w:rsidRDefault="003B5C8D" w:rsidP="003B5C8D">
      <w:pPr>
        <w:spacing w:after="120" w:line="276" w:lineRule="auto"/>
        <w:ind w:firstLine="709"/>
        <w:jc w:val="both"/>
        <w:rPr>
          <w:rFonts w:ascii="Verdana" w:eastAsia="Times New Roman" w:hAnsi="Verdana" w:cs="Arial"/>
          <w:lang w:val="es-MX" w:eastAsia="es-CO"/>
        </w:rPr>
      </w:pPr>
      <w:r w:rsidRPr="00E2397D">
        <w:rPr>
          <w:rFonts w:ascii="Verdana" w:eastAsia="Arial" w:hAnsi="Verdana" w:cs="Arial"/>
          <w:lang w:val="es-MX" w:eastAsia="es-ES" w:bidi="es-ES"/>
        </w:rPr>
        <w:t>De esta manera, s</w:t>
      </w:r>
      <w:r w:rsidRPr="00E2397D">
        <w:rPr>
          <w:rFonts w:ascii="Verdana" w:eastAsia="Times New Roman" w:hAnsi="Verdana" w:cs="Arial"/>
          <w:lang w:eastAsia="es-CO"/>
        </w:rPr>
        <w:t xml:space="preserve">e observa entonces </w:t>
      </w:r>
      <w:bookmarkStart w:id="1" w:name="_Hlk207205098"/>
      <w:r w:rsidRPr="00E2397D">
        <w:rPr>
          <w:rFonts w:ascii="Verdana" w:eastAsia="Times New Roman" w:hAnsi="Verdana" w:cs="Arial"/>
          <w:lang w:eastAsia="es-CO"/>
        </w:rPr>
        <w:t xml:space="preserve">que </w:t>
      </w:r>
      <w:r w:rsidRPr="00E2397D">
        <w:rPr>
          <w:rFonts w:ascii="Verdana" w:eastAsia="Times New Roman" w:hAnsi="Verdana" w:cs="Arial"/>
          <w:lang w:val="es-MX" w:eastAsia="es-CO"/>
        </w:rPr>
        <w:t xml:space="preserve">el parágrafo del artículo 38 de la Ley 996 de 2005 prohíbe a los Alcaldes, Gobernadores, Secretarios, Gerentes y Directores de las entidades </w:t>
      </w:r>
      <w:r>
        <w:rPr>
          <w:rFonts w:ascii="Verdana" w:eastAsia="Times New Roman" w:hAnsi="Verdana" w:cs="Arial"/>
          <w:lang w:val="es-MX" w:eastAsia="es-CO"/>
        </w:rPr>
        <w:t xml:space="preserve">descentralizadas </w:t>
      </w:r>
      <w:r w:rsidRPr="00E2397D">
        <w:rPr>
          <w:rFonts w:ascii="Verdana" w:eastAsia="Times New Roman" w:hAnsi="Verdana" w:cs="Arial"/>
          <w:lang w:val="es-MX" w:eastAsia="es-CO"/>
        </w:rPr>
        <w:t xml:space="preserve">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w:t>
      </w:r>
      <w:r>
        <w:rPr>
          <w:rFonts w:ascii="Verdana" w:eastAsia="Times New Roman" w:hAnsi="Verdana" w:cs="Arial"/>
          <w:lang w:val="es-MX" w:eastAsia="es-CO"/>
        </w:rPr>
        <w:t xml:space="preserve"> </w:t>
      </w:r>
      <w:r w:rsidRPr="00E2397D">
        <w:rPr>
          <w:rFonts w:ascii="Verdana" w:eastAsia="Times New Roman" w:hAnsi="Verdana" w:cs="Arial"/>
          <w:lang w:val="es-MX" w:eastAsia="es-CO"/>
        </w:rPr>
        <w:lastRenderedPageBreak/>
        <w:t xml:space="preserve">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bookmarkEnd w:id="1"/>
    </w:p>
    <w:p w14:paraId="1CBB5F5A" w14:textId="77777777" w:rsidR="003B5C8D" w:rsidRPr="00BC3A80" w:rsidRDefault="003B5C8D" w:rsidP="003B5C8D">
      <w:pPr>
        <w:spacing w:before="120" w:after="0" w:line="276" w:lineRule="auto"/>
        <w:ind w:firstLine="708"/>
        <w:jc w:val="both"/>
        <w:rPr>
          <w:rFonts w:ascii="Verdana" w:eastAsia="Times New Roman" w:hAnsi="Verdana" w:cs="Arial"/>
          <w:lang w:eastAsia="es-CO"/>
        </w:rPr>
      </w:pPr>
      <w:r w:rsidRPr="00BC3A80">
        <w:rPr>
          <w:rFonts w:ascii="Verdana" w:eastAsia="Times New Roman" w:hAnsi="Verdana" w:cs="Arial"/>
          <w:lang w:val="es-MX" w:eastAsia="es-CO"/>
        </w:rPr>
        <w:t>Respecto del alcance de esta prohibición la Circular Externa No. 006 de 2025 expedida por la ANCP -CCE, en los literales ii) y iv) del numeral 2</w:t>
      </w:r>
      <w:r w:rsidRPr="00BC3A80">
        <w:rPr>
          <w:rFonts w:ascii="Verdana" w:eastAsia="Times New Roman" w:hAnsi="Verdana" w:cs="Arial"/>
          <w:lang w:eastAsia="es-CO"/>
        </w:rPr>
        <w:t>,</w:t>
      </w:r>
      <w:r w:rsidRPr="00BC3A80">
        <w:rPr>
          <w:rFonts w:ascii="Verdana" w:eastAsia="Times New Roman" w:hAnsi="Verdana" w:cs="Arial"/>
          <w:lang w:val="es-MX" w:eastAsia="es-CO"/>
        </w:rPr>
        <w:t xml:space="preserve"> indica que el </w:t>
      </w:r>
      <w:r w:rsidRPr="00BC3A80">
        <w:rPr>
          <w:rFonts w:ascii="Verdana" w:eastAsia="Times New Roman" w:hAnsi="Verdana" w:cs="Arial"/>
          <w:lang w:eastAsia="es-CO"/>
        </w:rPr>
        <w:t xml:space="preserve">parágrafo del artículo 38 de la Ley 996 de 2005 cobija expresamente a los </w:t>
      </w:r>
      <w:r w:rsidRPr="00BC3A80">
        <w:rPr>
          <w:rFonts w:ascii="Verdana" w:eastAsia="Times New Roman" w:hAnsi="Verdana" w:cs="Arial"/>
          <w:i/>
          <w:iCs/>
          <w:lang w:eastAsia="es-CO"/>
        </w:rPr>
        <w:t>convenios interadministrativos</w:t>
      </w:r>
      <w:r w:rsidRPr="00BC3A80">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BC3A80">
        <w:rPr>
          <w:rFonts w:ascii="Verdana" w:eastAsia="Times New Roman" w:hAnsi="Verdana" w:cs="Arial"/>
          <w:i/>
          <w:iCs/>
          <w:lang w:eastAsia="es-CO"/>
        </w:rPr>
        <w:t>“aunque se configure alguno de los supuestos de excepción que señaló el inciso final del artículo 33”.</w:t>
      </w:r>
      <w:r w:rsidRPr="00BC3A80">
        <w:rPr>
          <w:rFonts w:ascii="Verdana" w:eastAsia="Times New Roman" w:hAnsi="Verdana" w:cs="Arial"/>
          <w:lang w:eastAsia="es-CO"/>
        </w:rPr>
        <w:t xml:space="preserve"> </w:t>
      </w:r>
    </w:p>
    <w:p w14:paraId="5B45C334" w14:textId="77777777" w:rsidR="003B5C8D" w:rsidRPr="00BC3A80" w:rsidRDefault="003B5C8D" w:rsidP="003B5C8D">
      <w:pPr>
        <w:spacing w:before="120" w:after="0" w:line="276" w:lineRule="auto"/>
        <w:ind w:firstLine="708"/>
        <w:jc w:val="both"/>
        <w:rPr>
          <w:rFonts w:ascii="Verdana" w:eastAsia="Times New Roman" w:hAnsi="Verdana" w:cs="Arial"/>
          <w:lang w:eastAsia="es-CO"/>
        </w:rPr>
      </w:pPr>
      <w:r w:rsidRPr="00BC3A80">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BC3A80">
        <w:rPr>
          <w:rFonts w:ascii="Verdana" w:eastAsia="Times New Roman" w:hAnsi="Verdana" w:cs="Arial"/>
          <w:i/>
          <w:iCs/>
          <w:lang w:eastAsia="es-CO"/>
        </w:rPr>
        <w:t>convenios interadministrativos</w:t>
      </w:r>
      <w:r w:rsidRPr="00BC3A80">
        <w:rPr>
          <w:rFonts w:ascii="Verdana" w:eastAsia="Times New Roman" w:hAnsi="Verdana" w:cs="Arial"/>
          <w:lang w:eastAsia="es-CO"/>
        </w:rPr>
        <w:t xml:space="preserve"> en los que se contemple la </w:t>
      </w:r>
      <w:r w:rsidRPr="00BC3A80">
        <w:rPr>
          <w:rFonts w:ascii="Verdana" w:eastAsia="Times New Roman" w:hAnsi="Verdana" w:cs="Arial"/>
          <w:i/>
          <w:iCs/>
          <w:lang w:eastAsia="es-CO"/>
        </w:rPr>
        <w:t>ejecución de recursos públicos</w:t>
      </w:r>
      <w:r w:rsidRPr="00BC3A80">
        <w:rPr>
          <w:rFonts w:ascii="Verdana" w:eastAsia="Times New Roman" w:hAnsi="Verdana" w:cs="Arial"/>
          <w:lang w:eastAsia="es-CO"/>
        </w:rPr>
        <w:t xml:space="preserve">. Esto significa que la prohibición no resulta aplicable a </w:t>
      </w:r>
      <w:r w:rsidRPr="00BC3A80">
        <w:rPr>
          <w:rFonts w:ascii="Verdana" w:eastAsia="Times New Roman" w:hAnsi="Verdana" w:cs="Arial"/>
          <w:i/>
          <w:iCs/>
          <w:lang w:eastAsia="es-CO"/>
        </w:rPr>
        <w:t>convenios interadministrativos a título gratuito,</w:t>
      </w:r>
      <w:r w:rsidRPr="00BC3A80">
        <w:rPr>
          <w:rFonts w:ascii="Verdana" w:eastAsia="Times New Roman" w:hAnsi="Verdana" w:cs="Arial"/>
          <w:lang w:eastAsia="es-CO"/>
        </w:rPr>
        <w:t xml:space="preserve"> los cuales pueden celebrarse válidamente durante la vigencia de la mencionada restricción. </w:t>
      </w:r>
    </w:p>
    <w:p w14:paraId="1E5E94FC" w14:textId="77777777" w:rsidR="003B5C8D" w:rsidRPr="00BC3A80" w:rsidRDefault="003B5C8D" w:rsidP="003B5C8D">
      <w:pPr>
        <w:spacing w:before="120" w:after="0" w:line="276" w:lineRule="auto"/>
        <w:ind w:firstLine="708"/>
        <w:jc w:val="both"/>
        <w:rPr>
          <w:rFonts w:ascii="Verdana" w:eastAsia="Times New Roman" w:hAnsi="Verdana" w:cs="Arial"/>
          <w:lang w:eastAsia="es-CO"/>
        </w:rPr>
      </w:pPr>
      <w:r w:rsidRPr="00BC3A80">
        <w:rPr>
          <w:rFonts w:ascii="Verdana" w:eastAsia="Times New Roman" w:hAnsi="Verdana" w:cs="Arial"/>
          <w:lang w:eastAsia="es-CO"/>
        </w:rPr>
        <w:t xml:space="preserve">De esta manera, conforme a lo dispuesto en la Circular referida, si se suscriben </w:t>
      </w:r>
      <w:r w:rsidRPr="00BC3A80">
        <w:rPr>
          <w:rFonts w:ascii="Verdana" w:eastAsia="Times New Roman" w:hAnsi="Verdana" w:cs="Arial"/>
          <w:i/>
          <w:iCs/>
          <w:lang w:eastAsia="es-CO"/>
        </w:rPr>
        <w:t>convenios interadministrativos para la ejecución de recursos públicos</w:t>
      </w:r>
      <w:r w:rsidRPr="00BC3A80">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BC3A80">
        <w:rPr>
          <w:rFonts w:ascii="Verdana" w:eastAsia="Times New Roman" w:hAnsi="Verdana" w:cs="Arial"/>
          <w:i/>
          <w:iCs/>
          <w:lang w:eastAsia="es-CO"/>
        </w:rPr>
        <w:t>ibidem</w:t>
      </w:r>
      <w:r w:rsidRPr="00BC3A80">
        <w:rPr>
          <w:rFonts w:ascii="Verdana" w:eastAsia="Times New Roman" w:hAnsi="Verdana" w:cs="Arial"/>
          <w:lang w:eastAsia="es-CO"/>
        </w:rPr>
        <w:t>, independientemente de que se configure alguno de los supuestos de excepción que señaló el inciso final del artículo 33, es decir, que se trate de:</w:t>
      </w:r>
      <w:r w:rsidRPr="00BC3A80">
        <w:rPr>
          <w:rFonts w:ascii="Verdana" w:hAnsi="Verdana" w:cs="Arial"/>
          <w:bCs/>
          <w:lang w:val="es-MX" w:eastAsia="x-none"/>
        </w:rPr>
        <w:t xml:space="preserve">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BC3A80">
        <w:rPr>
          <w:rFonts w:ascii="Verdana" w:hAnsi="Verdana" w:cs="Arial"/>
          <w:bCs/>
          <w:lang w:val="es-MX" w:eastAsia="es-CO"/>
        </w:rPr>
        <w:t xml:space="preserve"> </w:t>
      </w:r>
      <w:r w:rsidRPr="00BC3A80">
        <w:rPr>
          <w:rFonts w:ascii="Verdana" w:eastAsia="Times New Roman" w:hAnsi="Verdana" w:cs="Arial"/>
          <w:lang w:eastAsia="es-CO"/>
        </w:rPr>
        <w:t xml:space="preserve">  </w:t>
      </w:r>
    </w:p>
    <w:p w14:paraId="2D863B06" w14:textId="77777777" w:rsidR="003B5C8D" w:rsidRPr="00BC3A80" w:rsidRDefault="003B5C8D" w:rsidP="003B5C8D">
      <w:pPr>
        <w:spacing w:before="120" w:after="0" w:line="276" w:lineRule="auto"/>
        <w:ind w:firstLine="708"/>
        <w:jc w:val="both"/>
        <w:rPr>
          <w:rFonts w:ascii="Verdana" w:eastAsia="Times New Roman" w:hAnsi="Verdana" w:cs="Arial"/>
          <w:lang w:eastAsia="es-CO"/>
        </w:rPr>
      </w:pPr>
      <w:r w:rsidRPr="00BC3A80">
        <w:rPr>
          <w:rFonts w:ascii="Verdana" w:eastAsia="Times New Roman" w:hAnsi="Verdana" w:cs="Arial"/>
          <w:lang w:eastAsia="es-CO"/>
        </w:rPr>
        <w:t xml:space="preserve">En este punto, vale la pena destacar que </w:t>
      </w:r>
      <w:r w:rsidRPr="00BC3A80">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BC3A80">
        <w:rPr>
          <w:rFonts w:ascii="Verdana" w:hAnsi="Verdana" w:cs="Arial"/>
        </w:rPr>
        <w:t xml:space="preserve">numeral 16.2 de la Circular Externa </w:t>
      </w:r>
      <w:r w:rsidRPr="00BC3A80">
        <w:rPr>
          <w:rFonts w:ascii="Verdana" w:hAnsi="Verdana" w:cs="Arial"/>
        </w:rPr>
        <w:lastRenderedPageBreak/>
        <w:t>Única de 2022 expedida por la Agencia Nacional de Contratación Pública -Colombia Compra Eficiente-, concretamente, respecto de los siguientes apartes normativos</w:t>
      </w:r>
      <w:r w:rsidRPr="00BC3A80">
        <w:rPr>
          <w:rFonts w:ascii="Verdana" w:hAnsi="Verdana" w:cs="Arial"/>
          <w:vertAlign w:val="superscript"/>
        </w:rPr>
        <w:footnoteReference w:id="8"/>
      </w:r>
      <w:r w:rsidRPr="00BC3A80">
        <w:rPr>
          <w:rFonts w:ascii="Verdana" w:hAnsi="Verdana" w:cs="Arial"/>
        </w:rPr>
        <w:t>:</w:t>
      </w:r>
      <w:r w:rsidRPr="00BC3A80">
        <w:rPr>
          <w:rFonts w:cs="Arial"/>
        </w:rPr>
        <w:t xml:space="preserve"> </w:t>
      </w:r>
    </w:p>
    <w:p w14:paraId="119326DB" w14:textId="77777777" w:rsidR="003B5C8D" w:rsidRPr="00BC3A80" w:rsidRDefault="003B5C8D" w:rsidP="003B5C8D">
      <w:pPr>
        <w:spacing w:after="0" w:line="276" w:lineRule="auto"/>
        <w:ind w:firstLine="709"/>
        <w:jc w:val="both"/>
        <w:rPr>
          <w:rFonts w:cs="Arial"/>
        </w:rPr>
      </w:pPr>
    </w:p>
    <w:p w14:paraId="55465295" w14:textId="77777777" w:rsidR="003B5C8D" w:rsidRPr="00BC3A80" w:rsidRDefault="003B5C8D" w:rsidP="003B5C8D">
      <w:pPr>
        <w:spacing w:after="0" w:line="240" w:lineRule="auto"/>
        <w:ind w:left="709" w:right="709"/>
        <w:jc w:val="both"/>
        <w:rPr>
          <w:rFonts w:ascii="Verdana" w:hAnsi="Verdana" w:cs="Arial"/>
          <w:sz w:val="20"/>
          <w:szCs w:val="20"/>
        </w:rPr>
      </w:pPr>
      <w:r w:rsidRPr="00BC3A80">
        <w:rPr>
          <w:rFonts w:ascii="Verdana" w:hAnsi="Verdana" w:cs="Arial"/>
          <w:sz w:val="20"/>
          <w:szCs w:val="20"/>
          <w:lang w:val="es-MX"/>
        </w:rPr>
        <w:t>i)</w:t>
      </w:r>
      <w:r w:rsidRPr="00BC3A80">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05DB12B9" w14:textId="77777777" w:rsidR="003B5C8D" w:rsidRPr="00BC3A80" w:rsidRDefault="003B5C8D" w:rsidP="003B5C8D">
      <w:pPr>
        <w:spacing w:after="0" w:line="240" w:lineRule="auto"/>
        <w:ind w:left="709" w:right="709"/>
        <w:jc w:val="both"/>
        <w:rPr>
          <w:rFonts w:ascii="Verdana" w:hAnsi="Verdana" w:cs="Arial"/>
          <w:sz w:val="20"/>
          <w:szCs w:val="20"/>
        </w:rPr>
      </w:pPr>
    </w:p>
    <w:p w14:paraId="4069E899" w14:textId="77777777" w:rsidR="003B5C8D" w:rsidRPr="00BC3A80" w:rsidRDefault="003B5C8D" w:rsidP="003B5C8D">
      <w:pPr>
        <w:spacing w:after="0" w:line="240" w:lineRule="auto"/>
        <w:ind w:left="709" w:right="709"/>
        <w:jc w:val="both"/>
        <w:rPr>
          <w:rFonts w:ascii="Verdana" w:hAnsi="Verdana" w:cs="Arial"/>
          <w:sz w:val="20"/>
          <w:szCs w:val="20"/>
        </w:rPr>
      </w:pPr>
      <w:r w:rsidRPr="00BC3A80">
        <w:rPr>
          <w:rFonts w:ascii="Verdana" w:hAnsi="Verdana" w:cs="Arial"/>
          <w:sz w:val="20"/>
          <w:szCs w:val="20"/>
        </w:rPr>
        <w:t xml:space="preserve">ii)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3A0D018F" w14:textId="77777777" w:rsidR="003B5C8D" w:rsidRPr="00BC3A80" w:rsidRDefault="003B5C8D" w:rsidP="003B5C8D">
      <w:pPr>
        <w:spacing w:after="0" w:line="276" w:lineRule="auto"/>
        <w:ind w:left="709" w:right="709"/>
        <w:jc w:val="both"/>
        <w:rPr>
          <w:rFonts w:ascii="Verdana" w:hAnsi="Verdana" w:cs="Arial"/>
        </w:rPr>
      </w:pPr>
    </w:p>
    <w:p w14:paraId="2001ABD5" w14:textId="77777777" w:rsidR="003B5C8D" w:rsidRPr="00BC3A80" w:rsidRDefault="003B5C8D" w:rsidP="003B5C8D">
      <w:pPr>
        <w:spacing w:after="120" w:line="276" w:lineRule="auto"/>
        <w:ind w:firstLine="709"/>
        <w:jc w:val="both"/>
        <w:rPr>
          <w:rFonts w:ascii="Verdana" w:eastAsia="Arial" w:hAnsi="Verdana" w:cs="Arial"/>
          <w:i/>
          <w:iCs/>
          <w:lang w:eastAsia="es-ES" w:bidi="es-ES"/>
        </w:rPr>
      </w:pPr>
      <w:r w:rsidRPr="00BC3A80">
        <w:rPr>
          <w:rFonts w:ascii="Verdana" w:eastAsia="Arial" w:hAnsi="Verdana" w:cs="Arial"/>
          <w:lang w:val="es-MX" w:eastAsia="es-ES" w:bidi="es-ES"/>
        </w:rPr>
        <w:t xml:space="preserve">De conformidad con los argumentos de dicha providencia, se parte de la distinción entre los conceptos </w:t>
      </w:r>
      <w:r w:rsidRPr="00BC3A80">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BC3A80">
        <w:rPr>
          <w:rFonts w:ascii="Times New Roman" w:hAnsi="Times New Roman"/>
          <w:sz w:val="24"/>
          <w:szCs w:val="24"/>
          <w:lang w:eastAsia="es-CO"/>
        </w:rPr>
        <w:t xml:space="preserve"> </w:t>
      </w:r>
      <w:r w:rsidRPr="00BC3A80">
        <w:rPr>
          <w:rFonts w:ascii="Verdana" w:eastAsia="Arial" w:hAnsi="Verdana" w:cs="Arial"/>
          <w:lang w:eastAsia="es-ES" w:bidi="es-ES"/>
        </w:rPr>
        <w:t xml:space="preserve">En este sentido, en relación con el parágrafo del artículo 38 de la Ley 996 de 2005 concluyó que </w:t>
      </w:r>
      <w:r w:rsidRPr="00BC3A80">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BC3A80">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BC3A80">
        <w:rPr>
          <w:rFonts w:ascii="Verdana" w:eastAsia="Arial" w:hAnsi="Verdana" w:cs="Arial"/>
          <w:i/>
          <w:iCs/>
          <w:lang w:eastAsia="es-ES" w:bidi="es-ES"/>
        </w:rPr>
        <w:t>“con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w:t>
      </w:r>
      <w:r>
        <w:rPr>
          <w:rFonts w:ascii="Verdana" w:eastAsia="Arial" w:hAnsi="Verdana" w:cs="Arial"/>
          <w:i/>
          <w:iCs/>
          <w:lang w:eastAsia="es-ES" w:bidi="es-ES"/>
        </w:rPr>
        <w:t>”</w:t>
      </w:r>
      <w:r w:rsidRPr="00BC3A80">
        <w:rPr>
          <w:rFonts w:ascii="Verdana" w:eastAsia="Arial" w:hAnsi="Verdana" w:cs="Arial"/>
          <w:i/>
          <w:iCs/>
          <w:lang w:eastAsia="es-ES" w:bidi="es-ES"/>
        </w:rPr>
        <w:t xml:space="preserve">. </w:t>
      </w:r>
    </w:p>
    <w:p w14:paraId="7B29DEE5" w14:textId="77777777" w:rsidR="003B5C8D" w:rsidRDefault="003B5C8D" w:rsidP="003B5C8D">
      <w:pPr>
        <w:spacing w:after="120" w:line="276" w:lineRule="auto"/>
        <w:ind w:firstLine="709"/>
        <w:jc w:val="both"/>
        <w:rPr>
          <w:rFonts w:ascii="Verdana" w:eastAsia="Arial" w:hAnsi="Verdana" w:cs="Arial"/>
          <w:lang w:eastAsia="es-ES" w:bidi="es-ES"/>
        </w:rPr>
      </w:pPr>
      <w:r w:rsidRPr="00BC3A80">
        <w:rPr>
          <w:rFonts w:ascii="Verdana" w:eastAsia="Arial" w:hAnsi="Verdana" w:cs="Arial"/>
          <w:lang w:eastAsia="es-ES" w:bidi="es-ES"/>
        </w:rPr>
        <w:lastRenderedPageBreak/>
        <w:t>De igual manera, mediante auto del 6 de noviembre de 2025, el Consejo de Estado, Subsección A de la Sección Tercera, decretó</w:t>
      </w:r>
      <w:r w:rsidRPr="00BC3A80">
        <w:rPr>
          <w:rFonts w:ascii="Verdana" w:eastAsia="Arial" w:hAnsi="Verdana" w:cs="Arial"/>
          <w:b/>
          <w:bCs/>
          <w:lang w:eastAsia="es-ES" w:bidi="es-ES"/>
        </w:rPr>
        <w:t xml:space="preserve"> </w:t>
      </w:r>
      <w:r w:rsidRPr="00BC3A80">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BC3A80">
        <w:rPr>
          <w:rFonts w:ascii="Verdana" w:eastAsia="Arial" w:hAnsi="Verdana" w:cs="Arial"/>
          <w:vertAlign w:val="superscript"/>
          <w:lang w:eastAsia="es-ES" w:bidi="es-ES"/>
        </w:rPr>
        <w:footnoteReference w:id="9"/>
      </w:r>
      <w:r w:rsidRPr="00BC3A80">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w:t>
      </w:r>
      <w:r>
        <w:rPr>
          <w:rFonts w:ascii="Verdana" w:eastAsia="Arial" w:hAnsi="Verdana" w:cs="Arial"/>
          <w:lang w:eastAsia="es-ES" w:bidi="es-ES"/>
        </w:rPr>
        <w:t>de</w:t>
      </w:r>
      <w:r w:rsidRPr="00BC3A80">
        <w:rPr>
          <w:rFonts w:ascii="Verdana" w:eastAsia="Arial" w:hAnsi="Verdana" w:cs="Arial"/>
          <w:lang w:eastAsia="es-ES" w:bidi="es-ES"/>
        </w:rPr>
        <w:t xml:space="preserve"> manera que se excluye la analogía legis o iuris y la interpretación extensiva y reiteró los argumentos sobre la diferencia entre contratos y convenios interadministrativos. </w:t>
      </w:r>
    </w:p>
    <w:p w14:paraId="1058F333" w14:textId="77777777" w:rsidR="003B5C8D" w:rsidRDefault="003B5C8D" w:rsidP="003B5C8D">
      <w:pPr>
        <w:spacing w:after="120" w:line="276" w:lineRule="auto"/>
        <w:ind w:firstLine="709"/>
        <w:jc w:val="both"/>
        <w:rPr>
          <w:rFonts w:ascii="Verdana" w:eastAsia="Arial" w:hAnsi="Verdana" w:cs="Arial"/>
          <w:lang w:eastAsia="es-ES" w:bidi="es-ES"/>
        </w:rPr>
      </w:pPr>
      <w:r>
        <w:rPr>
          <w:rFonts w:ascii="Verdana" w:eastAsia="Arial" w:hAnsi="Verdana" w:cs="Arial"/>
          <w:lang w:eastAsia="es-ES" w:bidi="es-ES"/>
        </w:rPr>
        <w:t>En línea con lo anterior, el Consejo de Estado</w:t>
      </w:r>
      <w:r>
        <w:rPr>
          <w:rStyle w:val="Refdenotaalpie"/>
          <w:rFonts w:ascii="Verdana" w:eastAsia="Arial" w:hAnsi="Verdana" w:cs="Arial"/>
          <w:lang w:eastAsia="es-ES" w:bidi="es-ES"/>
        </w:rPr>
        <w:footnoteReference w:id="10"/>
      </w:r>
      <w:r>
        <w:rPr>
          <w:rFonts w:ascii="Verdana" w:eastAsia="Arial" w:hAnsi="Verdana" w:cs="Arial"/>
          <w:lang w:eastAsia="es-ES" w:bidi="es-ES"/>
        </w:rPr>
        <w:t xml:space="preserve">, Sección Tercera – Subsección B, en Sentencia del 17 de octubre de 2025, declaró la nulidad parcial </w:t>
      </w:r>
      <w:r w:rsidRPr="002A503A">
        <w:t xml:space="preserve"> </w:t>
      </w:r>
      <w:r w:rsidRPr="002A503A">
        <w:rPr>
          <w:rFonts w:ascii="Verdana" w:eastAsia="Arial" w:hAnsi="Verdana" w:cs="Arial"/>
          <w:lang w:eastAsia="es-ES" w:bidi="es-ES"/>
        </w:rPr>
        <w:t xml:space="preserve">del numeral 16.2 de la Circular Externa Única de 2022 expedida por la Agencia Nacional de Contratación Pública -Colombia Compra Eficiente-, concretamente, de los siguientes apartes normativos: </w:t>
      </w:r>
    </w:p>
    <w:p w14:paraId="3F76B6AE" w14:textId="77777777" w:rsidR="003B5C8D" w:rsidRPr="002A503A" w:rsidRDefault="003B5C8D" w:rsidP="003B5C8D">
      <w:pPr>
        <w:spacing w:after="120" w:line="276" w:lineRule="auto"/>
        <w:ind w:left="708" w:firstLine="709"/>
        <w:jc w:val="both"/>
        <w:rPr>
          <w:rFonts w:ascii="Verdana" w:eastAsia="Arial" w:hAnsi="Verdana" w:cs="Arial"/>
          <w:sz w:val="20"/>
          <w:szCs w:val="20"/>
          <w:lang w:eastAsia="es-ES" w:bidi="es-ES"/>
        </w:rPr>
      </w:pPr>
      <w:r w:rsidRPr="002A503A">
        <w:rPr>
          <w:rFonts w:ascii="Verdana" w:eastAsia="Arial" w:hAnsi="Verdana" w:cs="Arial"/>
          <w:sz w:val="20"/>
          <w:szCs w:val="20"/>
          <w:lang w:eastAsia="es-ES" w:bidi="es-ES"/>
        </w:rPr>
        <w:t xml:space="preserve">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w:t>
      </w:r>
      <w:r w:rsidRPr="002A503A">
        <w:rPr>
          <w:rFonts w:ascii="Verdana" w:eastAsia="Arial" w:hAnsi="Verdana" w:cs="Arial"/>
          <w:sz w:val="20"/>
          <w:szCs w:val="20"/>
          <w:lang w:eastAsia="es-ES" w:bidi="es-ES"/>
        </w:rPr>
        <w:lastRenderedPageBreak/>
        <w:t>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484B122B" w14:textId="77777777" w:rsidR="003B5C8D" w:rsidRPr="00B04FA0" w:rsidRDefault="003B5C8D" w:rsidP="003B5C8D">
      <w:pPr>
        <w:spacing w:after="120" w:line="276" w:lineRule="auto"/>
        <w:ind w:firstLine="709"/>
        <w:jc w:val="both"/>
        <w:rPr>
          <w:rFonts w:ascii="Verdana" w:eastAsia="Times New Roman" w:hAnsi="Verdana" w:cs="Arial"/>
          <w:lang w:eastAsia="es-CO"/>
        </w:rPr>
      </w:pPr>
      <w:r w:rsidRPr="00BC3A80">
        <w:rPr>
          <w:rFonts w:ascii="Verdana" w:eastAsia="Times New Roman" w:hAnsi="Verdana" w:cs="Arial"/>
          <w:lang w:eastAsia="es-CO"/>
        </w:rPr>
        <w:t>Así las cosas, a la luz de lo expuesto por el Consejo de Estado en los autos del 4 de octubre de 2024 y 6 de noviembre de 2025,</w:t>
      </w:r>
      <w:r>
        <w:rPr>
          <w:rFonts w:ascii="Verdana" w:eastAsia="Times New Roman" w:hAnsi="Verdana" w:cs="Arial"/>
          <w:lang w:eastAsia="es-CO"/>
        </w:rPr>
        <w:t xml:space="preserve"> y en la Sentencia del 17 de octubre de 2025,</w:t>
      </w:r>
      <w:r w:rsidRPr="00BC3A80">
        <w:rPr>
          <w:rFonts w:ascii="Verdana" w:eastAsia="Times New Roman" w:hAnsi="Verdana" w:cs="Arial"/>
          <w:lang w:eastAsia="es-CO"/>
        </w:rPr>
        <w:t xml:space="preserve"> no resultaría aplicable la prohibición del parágrafo del artículo 38 de la Ley de Garantías Electorales a los </w:t>
      </w:r>
      <w:r w:rsidRPr="00BC3A80">
        <w:rPr>
          <w:rFonts w:ascii="Verdana" w:eastAsia="Times New Roman" w:hAnsi="Verdana" w:cs="Arial"/>
          <w:i/>
          <w:iCs/>
          <w:lang w:eastAsia="es-CO"/>
        </w:rPr>
        <w:t>contratos interadministrativos</w:t>
      </w:r>
      <w:r>
        <w:rPr>
          <w:rFonts w:ascii="Verdana" w:eastAsia="Times New Roman" w:hAnsi="Verdana" w:cs="Arial"/>
          <w:lang w:eastAsia="es-CO"/>
        </w:rPr>
        <w:t xml:space="preserve"> sino únicamente a los </w:t>
      </w:r>
      <w:r w:rsidRPr="002A503A">
        <w:rPr>
          <w:rFonts w:ascii="Verdana" w:eastAsia="Times New Roman" w:hAnsi="Verdana" w:cs="Arial"/>
          <w:i/>
          <w:iCs/>
          <w:lang w:eastAsia="es-CO"/>
        </w:rPr>
        <w:t>convenios interadministrativos</w:t>
      </w:r>
      <w:r>
        <w:rPr>
          <w:rFonts w:ascii="Verdana" w:eastAsia="Times New Roman" w:hAnsi="Verdana" w:cs="Arial"/>
          <w:lang w:eastAsia="es-CO"/>
        </w:rPr>
        <w:t>.</w:t>
      </w:r>
      <w:r w:rsidRPr="00BC3A80">
        <w:rPr>
          <w:rFonts w:ascii="Verdana" w:eastAsia="Times New Roman" w:hAnsi="Verdana" w:cs="Arial"/>
          <w:lang w:eastAsia="es-CO"/>
        </w:rPr>
        <w:t xml:space="preserve"> </w:t>
      </w:r>
    </w:p>
    <w:p w14:paraId="0304D71D" w14:textId="77777777" w:rsidR="003B5C8D" w:rsidRDefault="003B5C8D" w:rsidP="003B5C8D">
      <w:pPr>
        <w:autoSpaceDE w:val="0"/>
        <w:autoSpaceDN w:val="0"/>
        <w:adjustRightInd w:val="0"/>
        <w:spacing w:after="120" w:line="240" w:lineRule="auto"/>
        <w:ind w:firstLine="708"/>
        <w:jc w:val="both"/>
        <w:rPr>
          <w:rFonts w:ascii="Verdana" w:hAnsi="Verdana" w:cs="BCDHEE+Verdana"/>
          <w:color w:val="000000"/>
        </w:rPr>
      </w:pPr>
      <w:r w:rsidRPr="00947721">
        <w:rPr>
          <w:rFonts w:ascii="Verdana" w:hAnsi="Verdana" w:cs="BCDHEE+Verdana"/>
          <w:color w:val="000000"/>
        </w:rPr>
        <w:t>Finalmente, sobre las fechas en que aplica la Ley de garantías, se debe tener en cuenta que el Consejo Nacional Electoral mediante Resolución No. 2581 del 5 de marzo de 2025 fijó el calendario electoral para las elecciones al Congreso de la República que serán el 8 de marzo de 2026</w:t>
      </w:r>
      <w:r>
        <w:rPr>
          <w:rFonts w:ascii="Verdana" w:hAnsi="Verdana" w:cs="BCDHEE+Verdana"/>
          <w:color w:val="000000"/>
        </w:rPr>
        <w:t>. E</w:t>
      </w:r>
      <w:r w:rsidRPr="00947721">
        <w:rPr>
          <w:rFonts w:ascii="Verdana" w:hAnsi="Verdana" w:cs="BCDHEE+Verdana"/>
          <w:color w:val="000000"/>
        </w:rPr>
        <w:t>n esa medida, de acuerdo con el artículo 38 de la Ley 996 de 2005, la restricción inici</w:t>
      </w:r>
      <w:r>
        <w:rPr>
          <w:rFonts w:ascii="Verdana" w:hAnsi="Verdana" w:cs="BCDHEE+Verdana"/>
          <w:color w:val="000000"/>
        </w:rPr>
        <w:t>ó</w:t>
      </w:r>
      <w:r w:rsidRPr="00947721">
        <w:rPr>
          <w:rFonts w:ascii="Verdana" w:hAnsi="Verdana" w:cs="BCDHEE+Verdana"/>
          <w:color w:val="000000"/>
        </w:rPr>
        <w:t xml:space="preserve"> el 8 de noviembre de 2025, es decir, </w:t>
      </w:r>
      <w:r>
        <w:rPr>
          <w:rFonts w:ascii="Verdana" w:hAnsi="Verdana" w:cs="BCDHEE+Verdana"/>
          <w:color w:val="000000"/>
        </w:rPr>
        <w:t>cuatro (</w:t>
      </w:r>
      <w:r w:rsidRPr="00947721">
        <w:rPr>
          <w:rFonts w:ascii="Verdana" w:hAnsi="Verdana" w:cs="BCDHEE+Verdana"/>
          <w:color w:val="000000"/>
        </w:rPr>
        <w:t>4</w:t>
      </w:r>
      <w:r>
        <w:rPr>
          <w:rFonts w:ascii="Verdana" w:hAnsi="Verdana" w:cs="BCDHEE+Verdana"/>
          <w:color w:val="000000"/>
        </w:rPr>
        <w:t>)</w:t>
      </w:r>
      <w:r w:rsidRPr="00947721">
        <w:rPr>
          <w:rFonts w:ascii="Verdana" w:hAnsi="Verdana" w:cs="BCDHEE+Verdana"/>
          <w:color w:val="000000"/>
        </w:rPr>
        <w:t xml:space="preserve"> meses antes de la fecha de las elecciones, y las restricciones que se aplican son que prohíbe a los gobernadores, alcaldes municipales o distritales, secretarios, gerentes y directores de entidades descentralizadas del orden municipal, departamental o distrital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w:t>
      </w:r>
    </w:p>
    <w:p w14:paraId="6BBD1EB1" w14:textId="77777777" w:rsidR="003B5C8D" w:rsidRDefault="003B5C8D" w:rsidP="003B5C8D">
      <w:pPr>
        <w:pStyle w:val="Prrafodelista"/>
        <w:spacing w:after="0" w:line="276" w:lineRule="auto"/>
        <w:ind w:left="0" w:firstLine="567"/>
        <w:jc w:val="both"/>
        <w:rPr>
          <w:rFonts w:ascii="Verdana" w:hAnsi="Verdana" w:cs="BCDHEE+Verdana"/>
          <w:color w:val="000000"/>
        </w:rPr>
      </w:pPr>
      <w:r>
        <w:rPr>
          <w:rFonts w:ascii="Verdana" w:hAnsi="Verdana" w:cs="BCDHEE+Verdana"/>
          <w:color w:val="000000"/>
        </w:rPr>
        <w:t>En relación con el segundo problema jurídico, la restricción a la contratación directa se encuentra en el articulo 33 de la Ley 996 de 2005, como sigue:</w:t>
      </w:r>
    </w:p>
    <w:p w14:paraId="514F5E1E" w14:textId="77777777" w:rsidR="003B5C8D" w:rsidRPr="00A545DE" w:rsidRDefault="003B5C8D" w:rsidP="003B5C8D">
      <w:pPr>
        <w:pStyle w:val="Prrafodelista"/>
        <w:spacing w:after="0" w:line="276" w:lineRule="auto"/>
        <w:ind w:left="1080"/>
        <w:jc w:val="both"/>
        <w:rPr>
          <w:rFonts w:ascii="Verdana" w:eastAsia="Arial" w:hAnsi="Verdana" w:cs="Arial"/>
          <w:lang w:eastAsia="es-ES" w:bidi="es-ES"/>
        </w:rPr>
      </w:pPr>
    </w:p>
    <w:p w14:paraId="6CDA925E" w14:textId="77777777" w:rsidR="003B5C8D" w:rsidRPr="00FC54ED" w:rsidRDefault="003B5C8D" w:rsidP="003B5C8D">
      <w:pPr>
        <w:spacing w:after="0" w:line="240" w:lineRule="auto"/>
        <w:ind w:left="708" w:right="703"/>
        <w:jc w:val="both"/>
        <w:rPr>
          <w:rFonts w:ascii="Verdana" w:eastAsia="Times New Roman" w:hAnsi="Verdana" w:cs="Open Sans"/>
          <w:sz w:val="20"/>
          <w:szCs w:val="20"/>
          <w:lang w:eastAsia="es-CO"/>
        </w:rPr>
      </w:pPr>
      <w:bookmarkStart w:id="2" w:name="33"/>
      <w:r>
        <w:rPr>
          <w:rFonts w:ascii="Verdana" w:eastAsia="Times New Roman" w:hAnsi="Verdana" w:cs="Open Sans"/>
          <w:b/>
          <w:bCs/>
          <w:sz w:val="20"/>
          <w:szCs w:val="20"/>
          <w:lang w:eastAsia="es-CO"/>
        </w:rPr>
        <w:t>“</w:t>
      </w:r>
      <w:r w:rsidRPr="00FC54ED">
        <w:rPr>
          <w:rFonts w:ascii="Verdana" w:eastAsia="Times New Roman" w:hAnsi="Verdana" w:cs="Open Sans"/>
          <w:b/>
          <w:bCs/>
          <w:sz w:val="20"/>
          <w:szCs w:val="20"/>
          <w:lang w:eastAsia="es-CO"/>
        </w:rPr>
        <w:t>ARTÍCULO 33. RESTRICCIONES A LA CONTRATACIÓN PÚBLICA.</w:t>
      </w:r>
      <w:bookmarkEnd w:id="2"/>
      <w:r w:rsidRPr="00FC54ED">
        <w:rPr>
          <w:rFonts w:ascii="Verdana" w:eastAsia="Times New Roman" w:hAnsi="Verdana" w:cs="Open Sans"/>
          <w:sz w:val="20"/>
          <w:szCs w:val="20"/>
          <w:lang w:eastAsia="es-CO"/>
        </w:rPr>
        <w:t>  Durante los cuatro (4) meses anteriores a la elección presidencial y hasta la realización de la elección en la segunda vuelta, si fuere el caso, queda prohibida la contratación directa por parte de todos los entes del Estado.</w:t>
      </w:r>
    </w:p>
    <w:p w14:paraId="182E0874" w14:textId="77777777" w:rsidR="003B5C8D" w:rsidRPr="00FC54ED" w:rsidRDefault="003B5C8D" w:rsidP="003B5C8D">
      <w:pPr>
        <w:spacing w:after="0" w:line="240" w:lineRule="auto"/>
        <w:ind w:left="708" w:right="703"/>
        <w:jc w:val="both"/>
        <w:rPr>
          <w:rFonts w:ascii="Verdana" w:eastAsia="Times New Roman" w:hAnsi="Verdana" w:cs="Open Sans"/>
          <w:sz w:val="20"/>
          <w:szCs w:val="20"/>
          <w:lang w:eastAsia="es-CO"/>
        </w:rPr>
      </w:pPr>
    </w:p>
    <w:p w14:paraId="3906F79F" w14:textId="77777777" w:rsidR="003B5C8D" w:rsidRPr="00B3605D" w:rsidRDefault="003B5C8D" w:rsidP="003B5C8D">
      <w:pPr>
        <w:spacing w:after="0" w:line="240" w:lineRule="auto"/>
        <w:ind w:left="708" w:right="703"/>
        <w:jc w:val="both"/>
        <w:rPr>
          <w:rFonts w:ascii="Verdana" w:eastAsia="Times New Roman" w:hAnsi="Verdana" w:cs="Open Sans"/>
          <w:sz w:val="20"/>
          <w:szCs w:val="20"/>
          <w:lang w:eastAsia="es-CO"/>
        </w:rPr>
      </w:pPr>
      <w:r w:rsidRPr="00FC54ED">
        <w:rPr>
          <w:rFonts w:ascii="Verdana" w:eastAsia="Times New Roman" w:hAnsi="Verdana" w:cs="Open Sans"/>
          <w:sz w:val="20"/>
          <w:szCs w:val="20"/>
          <w:lang w:eastAsia="es-CO"/>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Times New Roman" w:hAnsi="Verdana" w:cs="Open Sans"/>
          <w:sz w:val="20"/>
          <w:szCs w:val="20"/>
          <w:lang w:eastAsia="es-CO"/>
        </w:rPr>
        <w:t>”</w:t>
      </w:r>
      <w:r w:rsidRPr="00FC54ED">
        <w:rPr>
          <w:rFonts w:ascii="Verdana" w:eastAsia="Times New Roman" w:hAnsi="Verdana" w:cs="Open Sans"/>
          <w:sz w:val="20"/>
          <w:szCs w:val="20"/>
          <w:lang w:eastAsia="es-CO"/>
        </w:rPr>
        <w:t>.</w:t>
      </w:r>
    </w:p>
    <w:p w14:paraId="5B56726A" w14:textId="77777777" w:rsidR="003B5C8D" w:rsidRDefault="003B5C8D" w:rsidP="003B5C8D">
      <w:pPr>
        <w:spacing w:after="0" w:line="276" w:lineRule="auto"/>
        <w:ind w:right="618" w:firstLine="708"/>
        <w:jc w:val="both"/>
        <w:rPr>
          <w:rFonts w:ascii="Verdana" w:eastAsia="Times New Roman" w:hAnsi="Verdana" w:cs="Open Sans"/>
          <w:lang w:eastAsia="es-CO"/>
        </w:rPr>
      </w:pPr>
    </w:p>
    <w:p w14:paraId="1E703CAE" w14:textId="77777777" w:rsidR="003B5C8D" w:rsidRDefault="003B5C8D" w:rsidP="003B5C8D">
      <w:pPr>
        <w:spacing w:after="120" w:line="276" w:lineRule="auto"/>
        <w:ind w:firstLine="708"/>
        <w:jc w:val="both"/>
        <w:rPr>
          <w:rFonts w:ascii="Verdana" w:eastAsia="Times New Roman" w:hAnsi="Verdana" w:cs="Open Sans"/>
          <w:lang w:eastAsia="es-CO"/>
        </w:rPr>
      </w:pPr>
      <w:r w:rsidRPr="00B3605D">
        <w:rPr>
          <w:rFonts w:ascii="Verdana" w:eastAsia="Times New Roman" w:hAnsi="Verdana" w:cs="Open Sans"/>
          <w:lang w:eastAsia="es-CO"/>
        </w:rPr>
        <w:t xml:space="preserve">Como se puede observar, el artículo 33 de la Ley 996 de 2205 prohíbe la contratación directa por parte de todos los entes estatales durante los cuatro </w:t>
      </w:r>
      <w:r>
        <w:rPr>
          <w:rFonts w:ascii="Verdana" w:eastAsia="Times New Roman" w:hAnsi="Verdana" w:cs="Open Sans"/>
          <w:lang w:eastAsia="es-CO"/>
        </w:rPr>
        <w:t>(4)</w:t>
      </w:r>
      <w:r w:rsidRPr="00B3605D">
        <w:rPr>
          <w:rFonts w:ascii="Verdana" w:eastAsia="Times New Roman" w:hAnsi="Verdana" w:cs="Open Sans"/>
          <w:lang w:eastAsia="es-CO"/>
        </w:rPr>
        <w:t xml:space="preserve"> meses anteriores a las elecciones presidenciales y dispone las excepciones a dicha prohibición. </w:t>
      </w:r>
      <w:r>
        <w:rPr>
          <w:rFonts w:ascii="Verdana" w:eastAsia="Times New Roman" w:hAnsi="Verdana" w:cs="Open Sans"/>
          <w:lang w:eastAsia="es-CO"/>
        </w:rPr>
        <w:t>Así, su ámbito de prohibición está delimitado por la expresión “</w:t>
      </w:r>
      <w:r w:rsidRPr="006A640E">
        <w:rPr>
          <w:rFonts w:ascii="Verdana" w:eastAsia="Times New Roman" w:hAnsi="Verdana" w:cs="Open Sans"/>
          <w:lang w:eastAsia="es-CO"/>
        </w:rPr>
        <w:t>queda prohibida la contratación directa</w:t>
      </w:r>
      <w:r>
        <w:rPr>
          <w:rFonts w:ascii="Verdana" w:eastAsia="Times New Roman" w:hAnsi="Verdana" w:cs="Open Sans"/>
          <w:lang w:eastAsia="es-CO"/>
        </w:rPr>
        <w:t xml:space="preserve">” y </w:t>
      </w:r>
      <w:r w:rsidRPr="006A640E">
        <w:rPr>
          <w:rFonts w:ascii="Verdana" w:eastAsia="Times New Roman" w:hAnsi="Verdana" w:cs="Open Sans"/>
          <w:lang w:eastAsia="es-CO"/>
        </w:rPr>
        <w:t>para los efectos de la Ley de Garantías</w:t>
      </w:r>
      <w:r>
        <w:rPr>
          <w:rFonts w:ascii="Verdana" w:eastAsia="Times New Roman" w:hAnsi="Verdana" w:cs="Open Sans"/>
          <w:lang w:eastAsia="es-CO"/>
        </w:rPr>
        <w:t xml:space="preserve"> </w:t>
      </w:r>
      <w:r w:rsidRPr="006A640E">
        <w:rPr>
          <w:rFonts w:ascii="Verdana" w:eastAsia="Times New Roman" w:hAnsi="Verdana" w:cs="Open Sans"/>
          <w:lang w:eastAsia="es-CO"/>
        </w:rPr>
        <w:t>Electorales y, en particular, para la prohibición o restricción temporal contenida en su</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artículo 33, </w:t>
      </w:r>
      <w:r>
        <w:rPr>
          <w:rFonts w:ascii="Verdana" w:eastAsia="Times New Roman" w:hAnsi="Verdana" w:cs="Open Sans"/>
          <w:lang w:eastAsia="es-CO"/>
        </w:rPr>
        <w:t>“</w:t>
      </w:r>
      <w:r w:rsidRPr="006A640E">
        <w:rPr>
          <w:rFonts w:ascii="Verdana" w:eastAsia="Times New Roman" w:hAnsi="Verdana" w:cs="Open Sans"/>
          <w:lang w:eastAsia="es-CO"/>
        </w:rPr>
        <w:t>contratación directa</w:t>
      </w:r>
      <w:r>
        <w:rPr>
          <w:rFonts w:ascii="Verdana" w:eastAsia="Times New Roman" w:hAnsi="Verdana" w:cs="Open Sans"/>
          <w:lang w:eastAsia="es-CO"/>
        </w:rPr>
        <w:t>”</w:t>
      </w:r>
      <w:r w:rsidRPr="006A640E">
        <w:rPr>
          <w:rFonts w:ascii="Verdana" w:eastAsia="Times New Roman" w:hAnsi="Verdana" w:cs="Open Sans"/>
          <w:lang w:eastAsia="es-CO"/>
        </w:rPr>
        <w:t xml:space="preserve"> es cualquier sistema de selección o procedimiento</w:t>
      </w:r>
      <w:r>
        <w:rPr>
          <w:rFonts w:ascii="Verdana" w:eastAsia="Times New Roman" w:hAnsi="Verdana" w:cs="Open Sans"/>
          <w:lang w:eastAsia="es-CO"/>
        </w:rPr>
        <w:t xml:space="preserve"> </w:t>
      </w:r>
      <w:r w:rsidRPr="006A640E">
        <w:rPr>
          <w:rFonts w:ascii="Verdana" w:eastAsia="Times New Roman" w:hAnsi="Verdana" w:cs="Open Sans"/>
          <w:lang w:eastAsia="es-CO"/>
        </w:rPr>
        <w:t>de contratación utilizado por las entidades estatales que no incluya la convocatoria</w:t>
      </w:r>
      <w:r>
        <w:rPr>
          <w:rFonts w:ascii="Verdana" w:eastAsia="Times New Roman" w:hAnsi="Verdana" w:cs="Open Sans"/>
          <w:lang w:eastAsia="es-CO"/>
        </w:rPr>
        <w:t xml:space="preserve"> </w:t>
      </w:r>
      <w:r w:rsidRPr="006A640E">
        <w:rPr>
          <w:rFonts w:ascii="Verdana" w:eastAsia="Times New Roman" w:hAnsi="Verdana" w:cs="Open Sans"/>
          <w:lang w:eastAsia="es-CO"/>
        </w:rPr>
        <w:t>pública en alguna de sus etapas, ni permita la participación de una pluralidad de</w:t>
      </w:r>
      <w:r>
        <w:rPr>
          <w:rFonts w:ascii="Verdana" w:eastAsia="Times New Roman" w:hAnsi="Verdana" w:cs="Open Sans"/>
          <w:lang w:eastAsia="es-CO"/>
        </w:rPr>
        <w:t xml:space="preserve"> </w:t>
      </w:r>
      <w:r w:rsidRPr="006A640E">
        <w:rPr>
          <w:rFonts w:ascii="Verdana" w:eastAsia="Times New Roman" w:hAnsi="Verdana" w:cs="Open Sans"/>
          <w:lang w:eastAsia="es-CO"/>
        </w:rPr>
        <w:t>oferentes</w:t>
      </w:r>
      <w:r>
        <w:rPr>
          <w:rStyle w:val="Refdenotaalpie"/>
          <w:rFonts w:ascii="Verdana" w:eastAsia="Times New Roman" w:hAnsi="Verdana" w:cs="Open Sans"/>
          <w:lang w:eastAsia="es-CO"/>
        </w:rPr>
        <w:footnoteReference w:id="11"/>
      </w:r>
      <w:r>
        <w:rPr>
          <w:rFonts w:ascii="Verdana" w:eastAsia="Times New Roman" w:hAnsi="Verdana" w:cs="Open Sans"/>
          <w:lang w:eastAsia="es-CO"/>
        </w:rPr>
        <w:t>.</w:t>
      </w:r>
    </w:p>
    <w:p w14:paraId="52D48F77" w14:textId="77777777" w:rsidR="003B5C8D" w:rsidRDefault="003B5C8D" w:rsidP="003B5C8D">
      <w:pPr>
        <w:spacing w:after="120" w:line="276" w:lineRule="auto"/>
        <w:ind w:firstLine="708"/>
        <w:jc w:val="both"/>
        <w:rPr>
          <w:rFonts w:ascii="Verdana" w:hAnsi="Verdana"/>
        </w:rPr>
      </w:pPr>
      <w:r>
        <w:rPr>
          <w:rFonts w:ascii="Verdana" w:eastAsia="Times New Roman" w:hAnsi="Verdana" w:cs="Open Sans"/>
          <w:lang w:eastAsia="es-CO"/>
        </w:rPr>
        <w:t>Por s</w:t>
      </w:r>
      <w:r w:rsidRPr="00D44FF2">
        <w:rPr>
          <w:rFonts w:ascii="Verdana" w:eastAsia="Times New Roman" w:hAnsi="Verdana" w:cs="Open Sans"/>
          <w:lang w:eastAsia="es-CO"/>
        </w:rPr>
        <w:t xml:space="preserve">u parte, </w:t>
      </w:r>
      <w:r w:rsidRPr="00D44FF2">
        <w:rPr>
          <w:rFonts w:ascii="Verdana" w:hAnsi="Verdana"/>
        </w:rPr>
        <w:t xml:space="preserve">los destinatarios de la prohibición están expresamente señalados como </w:t>
      </w:r>
      <w:r>
        <w:rPr>
          <w:rFonts w:ascii="Verdana" w:hAnsi="Verdana"/>
        </w:rPr>
        <w:t>“</w:t>
      </w:r>
      <w:r w:rsidRPr="00D44FF2">
        <w:rPr>
          <w:rFonts w:ascii="Verdana" w:hAnsi="Verdana"/>
        </w:rPr>
        <w:t>todos los entes del Estado</w:t>
      </w:r>
      <w:r>
        <w:rPr>
          <w:rFonts w:ascii="Verdana" w:hAnsi="Verdana"/>
        </w:rPr>
        <w:t>”</w:t>
      </w:r>
      <w:r w:rsidRPr="00D44FF2">
        <w:rPr>
          <w:rFonts w:ascii="Verdana" w:hAnsi="Verdana"/>
        </w:rPr>
        <w:t xml:space="preserve">, expresión que contempla a los diferentes organismos o entidades autorizadas por la ley para suscribir contratos. En efecto, tal como lo ha sostenido el Consejo de Estado, el vocablo </w:t>
      </w:r>
      <w:r>
        <w:rPr>
          <w:rFonts w:ascii="Verdana" w:hAnsi="Verdana"/>
        </w:rPr>
        <w:t>“</w:t>
      </w:r>
      <w:r w:rsidRPr="00D44FF2">
        <w:rPr>
          <w:rFonts w:ascii="Verdana" w:hAnsi="Verdana"/>
        </w:rPr>
        <w:t>todos</w:t>
      </w:r>
      <w:r>
        <w:rPr>
          <w:rFonts w:ascii="Verdana" w:hAnsi="Verdana"/>
        </w:rPr>
        <w:t>”</w:t>
      </w:r>
      <w:r w:rsidRPr="00D44FF2">
        <w:rPr>
          <w:rFonts w:ascii="Verdana" w:hAnsi="Verdana"/>
        </w:rPr>
        <w:t xml:space="preserve">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Pr>
          <w:rFonts w:ascii="Verdana" w:hAnsi="Verdana"/>
        </w:rPr>
        <w:t xml:space="preserve"> </w:t>
      </w:r>
    </w:p>
    <w:p w14:paraId="3F90A12C" w14:textId="77777777" w:rsidR="003B5C8D" w:rsidRDefault="003B5C8D" w:rsidP="003B5C8D">
      <w:pPr>
        <w:spacing w:after="120" w:line="276" w:lineRule="auto"/>
        <w:ind w:firstLine="708"/>
        <w:jc w:val="both"/>
        <w:rPr>
          <w:rFonts w:ascii="Verdana" w:eastAsia="Times New Roman" w:hAnsi="Verdana" w:cs="Open Sans"/>
          <w:lang w:eastAsia="es-CO"/>
        </w:rPr>
      </w:pPr>
      <w:r w:rsidRPr="00A545DE">
        <w:rPr>
          <w:rFonts w:ascii="Verdana" w:eastAsia="Times New Roman" w:hAnsi="Verdana" w:cs="Open Sans"/>
          <w:lang w:eastAsia="es-CO"/>
        </w:rPr>
        <w:t>De lo anterior se desprende que la restricción aplica, sin perjuicio de las excepciones establecidas en la misma ley, para celebrar cualquier contrato de</w:t>
      </w:r>
      <w:r w:rsidRPr="006A640E">
        <w:rPr>
          <w:rFonts w:ascii="Verdana" w:eastAsia="Times New Roman" w:hAnsi="Verdana" w:cs="Open Sans"/>
          <w:lang w:eastAsia="es-CO"/>
        </w:rPr>
        <w:t xml:space="preserve"> forma</w:t>
      </w:r>
      <w:r>
        <w:rPr>
          <w:rFonts w:ascii="Verdana" w:eastAsia="Times New Roman" w:hAnsi="Verdana" w:cs="Open Sans"/>
          <w:lang w:eastAsia="es-CO"/>
        </w:rPr>
        <w:t xml:space="preserve"> </w:t>
      </w:r>
      <w:r w:rsidRPr="006A640E">
        <w:rPr>
          <w:rFonts w:ascii="Verdana" w:eastAsia="Times New Roman" w:hAnsi="Verdana" w:cs="Open Sans"/>
          <w:lang w:eastAsia="es-CO"/>
        </w:rPr>
        <w:t>directa</w:t>
      </w:r>
      <w:r>
        <w:rPr>
          <w:rFonts w:ascii="Verdana" w:eastAsia="Times New Roman" w:hAnsi="Verdana" w:cs="Open Sans"/>
          <w:lang w:eastAsia="es-CO"/>
        </w:rPr>
        <w:t xml:space="preserve">, esto es, </w:t>
      </w:r>
      <w:r w:rsidRPr="006A640E">
        <w:rPr>
          <w:rFonts w:ascii="Verdana" w:eastAsia="Times New Roman" w:hAnsi="Verdana" w:cs="Open Sans"/>
          <w:lang w:eastAsia="es-CO"/>
        </w:rPr>
        <w:t>sin que exista un proceso abierto y competitivo. Por tanto, no son</w:t>
      </w:r>
      <w:r>
        <w:rPr>
          <w:rFonts w:ascii="Verdana" w:eastAsia="Times New Roman" w:hAnsi="Verdana" w:cs="Open Sans"/>
          <w:lang w:eastAsia="es-CO"/>
        </w:rPr>
        <w:t xml:space="preserve"> </w:t>
      </w:r>
      <w:r w:rsidRPr="006A640E">
        <w:rPr>
          <w:rFonts w:ascii="Verdana" w:eastAsia="Times New Roman" w:hAnsi="Verdana" w:cs="Open Sans"/>
          <w:lang w:eastAsia="es-CO"/>
        </w:rPr>
        <w:t>materia de la prohibición las demás modalidades de selección previstas en la Ley</w:t>
      </w:r>
      <w:r>
        <w:rPr>
          <w:rFonts w:ascii="Verdana" w:eastAsia="Times New Roman" w:hAnsi="Verdana" w:cs="Open Sans"/>
          <w:lang w:eastAsia="es-CO"/>
        </w:rPr>
        <w:t xml:space="preserve"> </w:t>
      </w:r>
      <w:r w:rsidRPr="006A640E">
        <w:rPr>
          <w:rFonts w:ascii="Verdana" w:eastAsia="Times New Roman" w:hAnsi="Verdana" w:cs="Open Sans"/>
          <w:lang w:eastAsia="es-CO"/>
        </w:rPr>
        <w:t>1150 de 2007, es decir, la licitación pública, el concurso de méritos, la selección</w:t>
      </w:r>
      <w:r>
        <w:rPr>
          <w:rFonts w:ascii="Verdana" w:eastAsia="Times New Roman" w:hAnsi="Verdana" w:cs="Open Sans"/>
          <w:lang w:eastAsia="es-CO"/>
        </w:rPr>
        <w:t xml:space="preserve"> </w:t>
      </w:r>
      <w:r w:rsidRPr="006A640E">
        <w:rPr>
          <w:rFonts w:ascii="Verdana" w:eastAsia="Times New Roman" w:hAnsi="Verdana" w:cs="Open Sans"/>
          <w:lang w:eastAsia="es-CO"/>
        </w:rPr>
        <w:t>abreviada y la contratación de mínima cuantía, razón por la cual en el período</w:t>
      </w:r>
      <w:r>
        <w:rPr>
          <w:rFonts w:ascii="Verdana" w:eastAsia="Times New Roman" w:hAnsi="Verdana" w:cs="Open Sans"/>
          <w:lang w:eastAsia="es-CO"/>
        </w:rPr>
        <w:t xml:space="preserve"> </w:t>
      </w:r>
      <w:r w:rsidRPr="006A640E">
        <w:rPr>
          <w:rFonts w:ascii="Verdana" w:eastAsia="Times New Roman" w:hAnsi="Verdana" w:cs="Open Sans"/>
          <w:lang w:eastAsia="es-CO"/>
        </w:rPr>
        <w:t>preelectoral de que trata la disposición las entidades públicas pueden seguir</w:t>
      </w:r>
      <w:r>
        <w:rPr>
          <w:rFonts w:ascii="Verdana" w:eastAsia="Times New Roman" w:hAnsi="Verdana" w:cs="Open Sans"/>
          <w:lang w:eastAsia="es-CO"/>
        </w:rPr>
        <w:t xml:space="preserve"> </w:t>
      </w:r>
      <w:r w:rsidRPr="006A640E">
        <w:rPr>
          <w:rFonts w:ascii="Verdana" w:eastAsia="Times New Roman" w:hAnsi="Verdana" w:cs="Open Sans"/>
          <w:lang w:eastAsia="es-CO"/>
        </w:rPr>
        <w:t>contratando bajo estos sistemas.</w:t>
      </w:r>
    </w:p>
    <w:p w14:paraId="2A83DFC4" w14:textId="77777777" w:rsidR="003B5C8D" w:rsidRDefault="003B5C8D" w:rsidP="003B5C8D">
      <w:pPr>
        <w:spacing w:after="0" w:line="276" w:lineRule="auto"/>
        <w:ind w:firstLine="708"/>
        <w:jc w:val="both"/>
        <w:rPr>
          <w:rFonts w:ascii="Verdana" w:hAnsi="Verdana"/>
        </w:rPr>
      </w:pPr>
      <w:r w:rsidRPr="006A640E">
        <w:rPr>
          <w:rFonts w:ascii="Verdana" w:hAnsi="Verdana"/>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w:t>
      </w:r>
      <w:r w:rsidRPr="006A640E">
        <w:rPr>
          <w:rFonts w:ascii="Verdana" w:hAnsi="Verdana"/>
        </w:rPr>
        <w:lastRenderedPageBreak/>
        <w:t>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Pr>
          <w:rFonts w:ascii="Verdana" w:hAnsi="Verdana"/>
        </w:rPr>
        <w:t>.</w:t>
      </w:r>
    </w:p>
    <w:p w14:paraId="202C2052" w14:textId="77777777" w:rsidR="003B5C8D" w:rsidRPr="00A90DCC" w:rsidRDefault="003B5C8D" w:rsidP="003B5C8D">
      <w:pPr>
        <w:spacing w:before="120" w:after="120" w:line="276" w:lineRule="auto"/>
        <w:ind w:firstLine="709"/>
        <w:jc w:val="both"/>
        <w:rPr>
          <w:rFonts w:ascii="Verdana" w:eastAsia="Calibri" w:hAnsi="Verdana" w:cs="Arial"/>
          <w:lang w:val="es-ES"/>
        </w:rPr>
      </w:pPr>
      <w:r>
        <w:rPr>
          <w:rFonts w:ascii="Verdana" w:eastAsia="Times New Roman" w:hAnsi="Verdana" w:cs="Arial"/>
          <w:bCs/>
          <w:lang w:eastAsia="es-CO"/>
        </w:rPr>
        <w:t xml:space="preserve">Ahora bien, para dar respuesta al problema jurídico planteado, </w:t>
      </w:r>
      <w:r w:rsidRPr="00A90DCC">
        <w:rPr>
          <w:rFonts w:ascii="Verdana" w:eastAsia="Times New Roman" w:hAnsi="Verdana" w:cs="Arial"/>
          <w:bCs/>
          <w:lang w:eastAsia="es-CO"/>
        </w:rPr>
        <w:t xml:space="preserve">es necesario poner en contexto los contratos del artículo 355 de la Constitución Política y los convenios de asociación </w:t>
      </w:r>
      <w:r w:rsidRPr="00A90DCC">
        <w:rPr>
          <w:rFonts w:ascii="Verdana" w:eastAsia="Calibri" w:hAnsi="Verdana" w:cs="Arial"/>
          <w:lang w:val="es-ES"/>
        </w:rPr>
        <w:t>del artículo 96 de la Ley 489 de 19</w:t>
      </w:r>
      <w:r w:rsidRPr="00377ED6">
        <w:rPr>
          <w:rFonts w:ascii="Verdana" w:eastAsia="Calibri" w:hAnsi="Verdana" w:cs="Arial"/>
          <w:lang w:val="es-ES"/>
        </w:rPr>
        <w:t>98</w:t>
      </w:r>
      <w:r>
        <w:rPr>
          <w:rFonts w:ascii="Verdana" w:eastAsia="Calibri" w:hAnsi="Verdana" w:cs="Arial"/>
          <w:lang w:val="es-ES"/>
        </w:rPr>
        <w:t>, con el fin de determinar si a este tipo de negocios jurídicos le es aplicable el artículo 33 de la Ley 996 de 2005.</w:t>
      </w:r>
      <w:r w:rsidRPr="00377ED6">
        <w:rPr>
          <w:rFonts w:ascii="Verdana" w:eastAsia="Calibri" w:hAnsi="Verdana" w:cs="Arial"/>
          <w:lang w:val="es-ES"/>
        </w:rPr>
        <w:t xml:space="preserve"> </w:t>
      </w:r>
    </w:p>
    <w:p w14:paraId="57E0B384" w14:textId="77777777" w:rsidR="003B5C8D" w:rsidRPr="00377ED6" w:rsidRDefault="003B5C8D" w:rsidP="003B5C8D">
      <w:pPr>
        <w:spacing w:before="120" w:after="120" w:line="276" w:lineRule="auto"/>
        <w:ind w:firstLine="709"/>
        <w:jc w:val="both"/>
        <w:rPr>
          <w:rFonts w:ascii="Verdana" w:eastAsia="Calibri" w:hAnsi="Verdana" w:cs="Arial"/>
          <w:lang w:val="es-ES"/>
        </w:rPr>
      </w:pPr>
      <w:bookmarkStart w:id="3" w:name="_Hlk38819155"/>
      <w:r w:rsidRPr="00377ED6">
        <w:rPr>
          <w:rFonts w:ascii="Verdana" w:eastAsia="Calibri" w:hAnsi="Verdana" w:cs="Arial"/>
          <w:lang w:val="es-ES"/>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ii) los convenios de asociación, para el desarrollo conjunto de actividades relacionadas con las funciones de las entidades estatales, en desarrollo del artículo 96 de la Ley 489 de 1998. </w:t>
      </w:r>
      <w:bookmarkEnd w:id="3"/>
    </w:p>
    <w:p w14:paraId="6253C4F7" w14:textId="77777777" w:rsidR="003B5C8D" w:rsidRDefault="003B5C8D" w:rsidP="003B5C8D">
      <w:pPr>
        <w:spacing w:before="120" w:after="120" w:line="276" w:lineRule="auto"/>
        <w:ind w:firstLine="709"/>
        <w:jc w:val="both"/>
        <w:rPr>
          <w:rFonts w:ascii="Verdana" w:eastAsia="Calibri" w:hAnsi="Verdana" w:cs="Arial"/>
          <w:lang w:val="es-ES"/>
        </w:rPr>
      </w:pPr>
      <w:bookmarkStart w:id="4" w:name="_Hlk95756032"/>
      <w:r w:rsidRPr="00377ED6">
        <w:rPr>
          <w:rFonts w:ascii="Verdana" w:eastAsia="Calibri" w:hAnsi="Verdana" w:cs="Arial"/>
          <w:lang w:val="es-ES"/>
        </w:rPr>
        <w:t xml:space="preserve">Los </w:t>
      </w:r>
      <w:r w:rsidRPr="00377ED6">
        <w:rPr>
          <w:rFonts w:ascii="Verdana" w:eastAsia="Calibri" w:hAnsi="Verdana" w:cs="Arial"/>
          <w:i/>
          <w:iCs/>
          <w:lang w:val="es-ES"/>
        </w:rPr>
        <w:t>contratos del artículo 355 de la Constitución Política</w:t>
      </w:r>
      <w:r w:rsidRPr="00377ED6">
        <w:rPr>
          <w:rFonts w:ascii="Verdana" w:eastAsia="Calibri" w:hAnsi="Verdana"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w:t>
      </w:r>
    </w:p>
    <w:p w14:paraId="42B814CB" w14:textId="77777777" w:rsidR="003B5C8D" w:rsidRDefault="003B5C8D" w:rsidP="003B5C8D">
      <w:pPr>
        <w:spacing w:before="120" w:after="120" w:line="276" w:lineRule="auto"/>
        <w:ind w:firstLine="709"/>
        <w:jc w:val="both"/>
        <w:rPr>
          <w:rFonts w:ascii="Verdana" w:eastAsia="Calibri" w:hAnsi="Verdana" w:cs="Arial"/>
          <w:lang w:val="es-ES"/>
        </w:rPr>
      </w:pPr>
      <w:r w:rsidRPr="00377ED6">
        <w:rPr>
          <w:rFonts w:ascii="Verdana" w:eastAsia="Calibri" w:hAnsi="Verdana" w:cs="Arial"/>
          <w:lang w:val="es-ES"/>
        </w:rPr>
        <w:t xml:space="preserve">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este dirigida al beneficio de la población en general, ya que cuando se adquieren bienes o servicios o se ejecutan obras en una relación </w:t>
      </w:r>
      <w:r w:rsidRPr="00377ED6">
        <w:rPr>
          <w:rFonts w:ascii="Verdana" w:eastAsia="Calibri" w:hAnsi="Verdana" w:cs="Arial"/>
          <w:lang w:val="es-ES"/>
        </w:rPr>
        <w:lastRenderedPageBreak/>
        <w:t>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p w14:paraId="2B027A27" w14:textId="77777777" w:rsidR="003B5C8D" w:rsidRDefault="003B5C8D" w:rsidP="003B5C8D">
      <w:pPr>
        <w:spacing w:before="120" w:line="276" w:lineRule="auto"/>
        <w:ind w:firstLine="708"/>
        <w:jc w:val="both"/>
        <w:rPr>
          <w:rFonts w:ascii="Verdana" w:eastAsia="Calibri" w:hAnsi="Verdana" w:cs="Arial"/>
          <w:lang w:val="es-ES"/>
        </w:rPr>
      </w:pPr>
      <w:r w:rsidRPr="5F8BC1B5">
        <w:rPr>
          <w:rFonts w:ascii="Verdana" w:eastAsia="Calibri" w:hAnsi="Verdana" w:cs="Arial"/>
          <w:lang w:val="es-ES"/>
        </w:rPr>
        <w:t xml:space="preserve">Ahora bien, por disposición del artículo 4 del Decreto </w:t>
      </w:r>
      <w:r>
        <w:rPr>
          <w:rFonts w:ascii="Verdana" w:eastAsia="Calibri" w:hAnsi="Verdana" w:cs="Arial"/>
          <w:lang w:val="es-ES"/>
        </w:rPr>
        <w:t>0</w:t>
      </w:r>
      <w:r w:rsidRPr="5F8BC1B5">
        <w:rPr>
          <w:rFonts w:ascii="Verdana" w:eastAsia="Calibri" w:hAnsi="Verdana" w:cs="Arial"/>
          <w:lang w:val="es-ES"/>
        </w:rPr>
        <w:t xml:space="preserve">92 de 2017, las entidades estatales deberán adelantar procesos competitivos cuando en el marco de planeación se evidencie que el programa o actividad que se requiere desarrollar es ofrecido por más de una ESAL. Para tales casos el referido artículo establece que, en el desarrollo de los respectivos procedimientos, la entidad estatal deberá garantizar las siguientes fases: (i) definición y publicación de los indicadores de idoneidad, experiencia, eficacia, eficiencia, economía y de manejo del Riesgo y los criterios de ponderación para comparar las ofertas; (ii) definición de un plazo razonable para que las entidades privadas sin ánimo de lucro de reconocida idoneidad presenten a la Entidad Estatal sus ofertas y los documentos que acrediten su idoneidad, y (iii) evaluación de las ofertas por parte de la Entidad Estatal teniendo en cuenta los criterios definidos para el efecto. </w:t>
      </w:r>
    </w:p>
    <w:p w14:paraId="1914EBCF" w14:textId="77777777" w:rsidR="003B5C8D" w:rsidRDefault="003B5C8D" w:rsidP="003B5C8D">
      <w:pPr>
        <w:spacing w:before="120" w:after="120" w:line="276" w:lineRule="auto"/>
        <w:ind w:firstLine="709"/>
        <w:jc w:val="both"/>
        <w:rPr>
          <w:rFonts w:ascii="Verdana" w:eastAsia="Calibri" w:hAnsi="Verdana" w:cs="Arial"/>
          <w:lang w:val="es-ES"/>
        </w:rPr>
      </w:pPr>
      <w:r>
        <w:rPr>
          <w:rFonts w:ascii="Verdana" w:eastAsia="Calibri" w:hAnsi="Verdana" w:cs="Arial"/>
          <w:lang w:val="es-ES"/>
        </w:rPr>
        <w:t xml:space="preserve">De acuerdo con esto, la celebración de los contratos los que se refiere el artículo 355 superior, regidos por los artículos 2, 3 y 4 del Decreto 092 de 2017, no se afecta por la restricción del artículo 33 de la Ley 996 de 2005, en la medida en que su suscripción debe darse previo desarrollo de proceso competitivo.  </w:t>
      </w:r>
    </w:p>
    <w:bookmarkEnd w:id="4"/>
    <w:p w14:paraId="52A71C2B" w14:textId="77777777" w:rsidR="003B5C8D" w:rsidRPr="00377ED6" w:rsidRDefault="003B5C8D" w:rsidP="003B5C8D">
      <w:pPr>
        <w:spacing w:before="120" w:after="120" w:line="276" w:lineRule="auto"/>
        <w:ind w:firstLine="709"/>
        <w:jc w:val="both"/>
        <w:rPr>
          <w:rFonts w:ascii="Verdana" w:eastAsia="Calibri" w:hAnsi="Verdana" w:cs="Arial"/>
          <w:bCs/>
          <w:lang w:val="es-ES_tradnl"/>
        </w:rPr>
      </w:pPr>
      <w:r w:rsidRPr="00377ED6">
        <w:rPr>
          <w:rFonts w:ascii="Verdana" w:eastAsia="Calibri" w:hAnsi="Verdana" w:cs="Arial"/>
          <w:bCs/>
          <w:lang w:val="es-ES_tradnl"/>
        </w:rPr>
        <w:t xml:space="preserve">De otro lado, </w:t>
      </w:r>
      <w:r>
        <w:rPr>
          <w:rFonts w:ascii="Verdana" w:eastAsia="Calibri" w:hAnsi="Verdana" w:cs="Arial"/>
          <w:bCs/>
          <w:lang w:val="es-ES_tradnl"/>
        </w:rPr>
        <w:t xml:space="preserve">la celebración de </w:t>
      </w:r>
      <w:r w:rsidRPr="00377ED6">
        <w:rPr>
          <w:rFonts w:ascii="Verdana" w:eastAsia="Calibri" w:hAnsi="Verdana" w:cs="Arial"/>
          <w:bCs/>
          <w:lang w:val="es-ES_tradnl"/>
        </w:rPr>
        <w:t xml:space="preserve">los </w:t>
      </w:r>
      <w:r w:rsidRPr="00377ED6">
        <w:rPr>
          <w:rFonts w:ascii="Verdana" w:eastAsia="Calibri" w:hAnsi="Verdana" w:cs="Arial"/>
          <w:bCs/>
          <w:i/>
          <w:lang w:val="es-ES_tradnl"/>
        </w:rPr>
        <w:t>convenios de asociación</w:t>
      </w:r>
      <w:r w:rsidRPr="00377ED6">
        <w:rPr>
          <w:rFonts w:ascii="Verdana" w:eastAsia="Calibri" w:hAnsi="Verdana" w:cs="Arial"/>
          <w:bCs/>
          <w:lang w:val="es-ES_tradnl"/>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377ED6">
        <w:rPr>
          <w:rFonts w:ascii="Verdana" w:hAnsi="Verdana" w:cs="Arial"/>
          <w:vertAlign w:val="superscript"/>
        </w:rPr>
        <w:footnoteReference w:id="12"/>
      </w:r>
      <w:r w:rsidRPr="00377ED6">
        <w:rPr>
          <w:rFonts w:ascii="Verdana" w:eastAsia="Calibri" w:hAnsi="Verdana" w:cs="Arial"/>
          <w:bCs/>
          <w:lang w:val="es-ES_tradnl"/>
        </w:rPr>
        <w:t xml:space="preserve">. En estos convenios existen aportes dirigidos, especialmente, a lograr la ejecución del convenio. De todos modos, la entidad deberá adelantar un proceso competitivo, </w:t>
      </w:r>
      <w:r w:rsidRPr="00B47839">
        <w:rPr>
          <w:rFonts w:ascii="Verdana" w:eastAsia="Calibri" w:hAnsi="Verdana" w:cs="Arial"/>
          <w:bCs/>
          <w:lang w:val="es-ES_tradnl"/>
        </w:rPr>
        <w:t>salvo cuando la ESAL comprometa recursos en dinero para la ejecución de estas actividades, en una proporción no inferior al 30% del valor total del convenio.</w:t>
      </w:r>
      <w:r>
        <w:rPr>
          <w:rFonts w:ascii="Verdana" w:eastAsia="Calibri" w:hAnsi="Verdana" w:cs="Arial"/>
          <w:bCs/>
          <w:lang w:val="es-ES_tradnl"/>
        </w:rPr>
        <w:t xml:space="preserve"> </w:t>
      </w:r>
      <w:r w:rsidRPr="00377ED6">
        <w:rPr>
          <w:rFonts w:ascii="Verdana" w:eastAsia="Calibri" w:hAnsi="Verdana" w:cs="Arial"/>
          <w:bCs/>
          <w:lang w:val="es-ES_tradnl"/>
        </w:rPr>
        <w:t xml:space="preserve">El convenio de asociación no es conmutativo, y por tanto, la entidad no instruye al contratista </w:t>
      </w:r>
      <w:r w:rsidRPr="00377ED6">
        <w:rPr>
          <w:rFonts w:ascii="Verdana" w:eastAsia="Calibri" w:hAnsi="Verdana" w:cs="Arial"/>
          <w:bCs/>
          <w:lang w:val="es-ES_tradnl"/>
        </w:rPr>
        <w:lastRenderedPageBreak/>
        <w:t>para desarrollar los programas o actividades previstas, sino que se asocia con él para el cumplimiento de objetivos comunes</w:t>
      </w:r>
      <w:r w:rsidRPr="00377ED6">
        <w:rPr>
          <w:rFonts w:ascii="Verdana" w:hAnsi="Verdana" w:cs="Arial"/>
          <w:vertAlign w:val="superscript"/>
        </w:rPr>
        <w:footnoteReference w:id="13"/>
      </w:r>
      <w:r w:rsidRPr="00377ED6">
        <w:rPr>
          <w:rFonts w:ascii="Verdana" w:eastAsia="Calibri" w:hAnsi="Verdana" w:cs="Arial"/>
          <w:bCs/>
          <w:lang w:val="es-ES_tradnl"/>
        </w:rPr>
        <w:t>.</w:t>
      </w:r>
    </w:p>
    <w:p w14:paraId="6FF091C2" w14:textId="77777777" w:rsidR="003B5C8D" w:rsidRPr="00377ED6" w:rsidRDefault="003B5C8D" w:rsidP="003B5C8D">
      <w:pPr>
        <w:spacing w:before="120" w:after="120" w:line="276" w:lineRule="auto"/>
        <w:ind w:firstLine="709"/>
        <w:jc w:val="both"/>
        <w:rPr>
          <w:rFonts w:ascii="Verdana" w:eastAsia="Calibri" w:hAnsi="Verdana" w:cs="Arial"/>
          <w:bCs/>
        </w:rPr>
      </w:pPr>
      <w:r w:rsidRPr="00377ED6">
        <w:rPr>
          <w:rFonts w:ascii="Verdana" w:eastAsia="Calibri" w:hAnsi="Verdana" w:cs="Arial"/>
          <w:bCs/>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377ED6">
        <w:rPr>
          <w:rFonts w:ascii="Verdana" w:eastAsia="Calibri" w:hAnsi="Verdana" w:cs="Arial"/>
          <w:bCs/>
        </w:rPr>
        <w:t>.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asegurarse de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7B14AE24" w14:textId="77777777" w:rsidR="003B5C8D" w:rsidRPr="00377ED6" w:rsidRDefault="003B5C8D" w:rsidP="003B5C8D">
      <w:pPr>
        <w:spacing w:before="120" w:after="120" w:line="276" w:lineRule="auto"/>
        <w:ind w:firstLine="709"/>
        <w:jc w:val="both"/>
        <w:rPr>
          <w:rFonts w:ascii="Verdana" w:hAnsi="Verdana"/>
        </w:rPr>
      </w:pPr>
      <w:r w:rsidRPr="00377ED6">
        <w:rPr>
          <w:rFonts w:ascii="Verdana" w:hAnsi="Verdana" w:cs="Arial"/>
          <w:color w:val="000000" w:themeColor="text1"/>
        </w:rPr>
        <w:t xml:space="preserve">La noción “seleccionar de forma objetiva”, contenida en la disposición </w:t>
      </w:r>
      <w:r w:rsidRPr="00377ED6">
        <w:rPr>
          <w:rFonts w:ascii="Verdana" w:hAnsi="Verdana" w:cs="Arial"/>
          <w:i/>
          <w:iCs/>
          <w:color w:val="000000" w:themeColor="text1"/>
        </w:rPr>
        <w:t xml:space="preserve">sub examine </w:t>
      </w:r>
      <w:r w:rsidRPr="00377ED6">
        <w:rPr>
          <w:rFonts w:ascii="Verdana" w:hAnsi="Verdana" w:cs="Arial"/>
          <w:color w:val="000000" w:themeColor="text1"/>
        </w:rPr>
        <w:t>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ello, la entidad puede tomar la decisión de acudir a los procesos de selección de contratistas que establece el Estatuto General de Contratación de la Administración Pública o, incluso, al trámite que regula el inciso 2 del artículo 2 del Decreto 092 de 2017.</w:t>
      </w:r>
    </w:p>
    <w:p w14:paraId="6369A638" w14:textId="77777777" w:rsidR="003B5C8D" w:rsidRPr="00377ED6" w:rsidRDefault="003B5C8D" w:rsidP="003B5C8D">
      <w:pPr>
        <w:spacing w:after="0" w:line="276" w:lineRule="auto"/>
        <w:ind w:firstLine="708"/>
        <w:jc w:val="both"/>
        <w:rPr>
          <w:rFonts w:ascii="Verdana" w:hAnsi="Verdana" w:cs="Arial"/>
          <w:color w:val="000000" w:themeColor="text1"/>
          <w:lang w:val="es-MX"/>
        </w:rPr>
      </w:pPr>
      <w:r w:rsidRPr="00377ED6">
        <w:rPr>
          <w:rFonts w:ascii="Verdana" w:hAnsi="Verdana" w:cs="Arial"/>
          <w:color w:val="000000" w:themeColor="text1"/>
          <w:lang w:val="es-MX"/>
        </w:rPr>
        <w:t>Es importante aclarar que los negocios jurídicos que regula el Decreto 092 de 2017 “</w:t>
      </w:r>
      <w:r>
        <w:rPr>
          <w:rFonts w:ascii="Verdana" w:hAnsi="Verdana" w:cs="Arial"/>
          <w:color w:val="000000" w:themeColor="text1"/>
          <w:lang w:val="es-MX"/>
        </w:rPr>
        <w:t xml:space="preserve">(…) </w:t>
      </w:r>
      <w:r w:rsidRPr="00377ED6">
        <w:rPr>
          <w:rFonts w:ascii="Verdana" w:hAnsi="Verdana" w:cs="Arial"/>
          <w:color w:val="000000" w:themeColor="text1"/>
          <w:lang w:val="es-MX"/>
        </w:rPr>
        <w:t xml:space="preserve">son esencialmente distintos a los contratos para la adquisición y </w:t>
      </w:r>
      <w:r w:rsidRPr="00377ED6">
        <w:rPr>
          <w:rFonts w:ascii="Verdana" w:hAnsi="Verdana" w:cs="Arial"/>
          <w:color w:val="000000" w:themeColor="text1"/>
          <w:lang w:val="es-MX"/>
        </w:rPr>
        <w:lastRenderedPageBreak/>
        <w:t>aprovisionamiento de bienes, obras o servicios regulados por el estatuto de contratación y</w:t>
      </w:r>
      <w:r>
        <w:rPr>
          <w:rFonts w:ascii="Verdana" w:hAnsi="Verdana" w:cs="Arial"/>
          <w:color w:val="000000" w:themeColor="text1"/>
          <w:lang w:val="es-MX"/>
        </w:rPr>
        <w:t xml:space="preserve"> </w:t>
      </w:r>
      <w:r w:rsidRPr="00377ED6">
        <w:rPr>
          <w:rFonts w:ascii="Verdana" w:hAnsi="Verdana" w:cs="Arial"/>
          <w:color w:val="000000" w:themeColor="text1"/>
          <w:lang w:val="es-MX"/>
        </w:rPr>
        <w:t xml:space="preserve">[como tal,] no hacen parte del sistema de compra pública. </w:t>
      </w:r>
      <w:r>
        <w:rPr>
          <w:rFonts w:ascii="Verdana" w:hAnsi="Verdana" w:cs="Arial"/>
          <w:color w:val="000000" w:themeColor="text1"/>
          <w:lang w:val="es-MX"/>
        </w:rPr>
        <w:t xml:space="preserve">(…) </w:t>
      </w:r>
      <w:r w:rsidRPr="00377ED6">
        <w:rPr>
          <w:rFonts w:ascii="Verdana" w:hAnsi="Verdana" w:cs="Arial"/>
          <w:color w:val="000000" w:themeColor="text1"/>
          <w:lang w:val="es-MX"/>
        </w:rPr>
        <w:t>De acuerdo con lo anterior, si la entidad estatal adquiere o se abastece de un bien, obra o servicio en un contrato conmutativo en el cual el proveedor es una [ESAL], debe aplicar el régimen contenido en las Leyes 80 de 1993 y 1150 de 2007, y no el Decreto 092 de 2017”</w:t>
      </w:r>
      <w:r w:rsidRPr="00377ED6">
        <w:rPr>
          <w:rFonts w:ascii="Verdana" w:hAnsi="Verdana" w:cs="Arial"/>
          <w:color w:val="000000" w:themeColor="text1"/>
          <w:vertAlign w:val="superscript"/>
          <w:lang w:val="es-MX"/>
        </w:rPr>
        <w:footnoteReference w:id="14"/>
      </w:r>
      <w:r w:rsidRPr="00377ED6">
        <w:rPr>
          <w:rFonts w:ascii="Verdana" w:hAnsi="Verdana" w:cs="Arial"/>
          <w:color w:val="000000" w:themeColor="text1"/>
          <w:lang w:val="es-MX"/>
        </w:rPr>
        <w:t>. Así lo consideró la Sala de Consulta y Servicio Civil del Consejo de Estado:</w:t>
      </w:r>
    </w:p>
    <w:p w14:paraId="671A9805" w14:textId="77777777" w:rsidR="003B5C8D" w:rsidRPr="00377ED6" w:rsidRDefault="003B5C8D" w:rsidP="003B5C8D">
      <w:pPr>
        <w:spacing w:after="0" w:line="276" w:lineRule="auto"/>
        <w:jc w:val="both"/>
        <w:rPr>
          <w:rFonts w:ascii="Verdana" w:hAnsi="Verdana" w:cs="Arial"/>
          <w:color w:val="000000" w:themeColor="text1"/>
          <w:lang w:val="es-MX"/>
        </w:rPr>
      </w:pPr>
    </w:p>
    <w:p w14:paraId="0246E451" w14:textId="77777777" w:rsidR="003B5C8D" w:rsidRPr="003E7CD1" w:rsidRDefault="003B5C8D" w:rsidP="003B5C8D">
      <w:pPr>
        <w:spacing w:line="240" w:lineRule="auto"/>
        <w:ind w:left="709" w:right="709"/>
        <w:jc w:val="both"/>
        <w:rPr>
          <w:rFonts w:ascii="Verdana" w:eastAsia="Calibri" w:hAnsi="Verdana" w:cs="Arial"/>
          <w:color w:val="000000" w:themeColor="text1"/>
          <w:sz w:val="20"/>
          <w:szCs w:val="20"/>
        </w:rPr>
      </w:pPr>
      <w:r w:rsidRPr="003E7CD1">
        <w:rPr>
          <w:rFonts w:ascii="Verdana" w:eastAsia="Calibri" w:hAnsi="Verdana" w:cs="Arial"/>
          <w:color w:val="000000" w:themeColor="text1"/>
          <w:sz w:val="20"/>
          <w:szCs w:val="20"/>
        </w:rPr>
        <w:t>“Como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14:paraId="74B1AB80" w14:textId="77777777" w:rsidR="003B5C8D" w:rsidRPr="003E7CD1" w:rsidRDefault="003B5C8D" w:rsidP="003B5C8D">
      <w:pPr>
        <w:spacing w:after="0" w:line="240" w:lineRule="auto"/>
        <w:ind w:left="708" w:right="709"/>
        <w:jc w:val="both"/>
        <w:rPr>
          <w:rFonts w:ascii="Verdana" w:eastAsia="Calibri" w:hAnsi="Verdana" w:cs="Arial"/>
          <w:color w:val="000000" w:themeColor="text1"/>
          <w:sz w:val="20"/>
          <w:szCs w:val="20"/>
        </w:rPr>
      </w:pPr>
      <w:r w:rsidRPr="003E7CD1">
        <w:rPr>
          <w:rFonts w:ascii="Verdana" w:eastAsia="Calibri" w:hAnsi="Verdana" w:cs="Arial"/>
          <w:color w:val="000000" w:themeColor="text1"/>
          <w:sz w:val="20"/>
          <w:szCs w:val="20"/>
        </w:rPr>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r w:rsidRPr="003E7CD1">
        <w:rPr>
          <w:rFonts w:ascii="Verdana" w:hAnsi="Verdana" w:cs="Arial"/>
          <w:color w:val="000000" w:themeColor="text1"/>
          <w:sz w:val="20"/>
          <w:szCs w:val="20"/>
          <w:vertAlign w:val="superscript"/>
        </w:rPr>
        <w:t xml:space="preserve"> </w:t>
      </w:r>
      <w:r w:rsidRPr="003E7CD1">
        <w:rPr>
          <w:rFonts w:ascii="Verdana" w:hAnsi="Verdana" w:cs="Arial"/>
          <w:color w:val="000000" w:themeColor="text1"/>
          <w:sz w:val="20"/>
          <w:szCs w:val="20"/>
          <w:vertAlign w:val="superscript"/>
        </w:rPr>
        <w:footnoteReference w:id="15"/>
      </w:r>
      <w:r w:rsidRPr="003E7CD1">
        <w:rPr>
          <w:rFonts w:ascii="Verdana" w:eastAsia="Calibri" w:hAnsi="Verdana" w:cs="Arial"/>
          <w:color w:val="000000" w:themeColor="text1"/>
          <w:sz w:val="20"/>
          <w:szCs w:val="20"/>
        </w:rPr>
        <w:t>.</w:t>
      </w:r>
    </w:p>
    <w:p w14:paraId="5F0D308E" w14:textId="77777777" w:rsidR="003B5C8D" w:rsidRPr="00377ED6" w:rsidRDefault="003B5C8D" w:rsidP="003B5C8D">
      <w:pPr>
        <w:spacing w:after="0" w:line="276" w:lineRule="auto"/>
        <w:ind w:firstLine="708"/>
        <w:jc w:val="both"/>
        <w:rPr>
          <w:rFonts w:ascii="Verdana" w:eastAsia="Calibri" w:hAnsi="Verdana" w:cs="Arial"/>
          <w:color w:val="000000" w:themeColor="text1"/>
        </w:rPr>
      </w:pPr>
      <w:bookmarkStart w:id="5" w:name="_Hlk95756200"/>
    </w:p>
    <w:p w14:paraId="180CAD73" w14:textId="77777777" w:rsidR="003B5C8D" w:rsidRPr="00377ED6" w:rsidRDefault="003B5C8D" w:rsidP="003B5C8D">
      <w:pPr>
        <w:spacing w:after="0" w:line="276" w:lineRule="auto"/>
        <w:ind w:firstLine="708"/>
        <w:jc w:val="both"/>
        <w:rPr>
          <w:rFonts w:ascii="Verdana" w:eastAsia="Calibri" w:hAnsi="Verdana" w:cs="Arial"/>
          <w:color w:val="000000" w:themeColor="text1"/>
        </w:rPr>
      </w:pPr>
      <w:r w:rsidRPr="00377ED6">
        <w:rPr>
          <w:rFonts w:ascii="Verdana" w:eastAsia="Calibri" w:hAnsi="Verdana" w:cs="Arial"/>
          <w:color w:val="000000" w:themeColor="text1"/>
        </w:rPr>
        <w:t xml:space="preserve">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w:t>
      </w:r>
      <w:bookmarkEnd w:id="5"/>
      <w:r w:rsidRPr="00377ED6">
        <w:rPr>
          <w:rFonts w:ascii="Verdana" w:eastAsia="Calibri" w:hAnsi="Verdana" w:cs="Arial"/>
          <w:color w:val="000000" w:themeColor="text1"/>
        </w:rPr>
        <w:t>Así lo reconoció la Corte Constitucional en la sentencia C-287 del 18 de abril de 2012, en la que sostuvo lo siguiente:</w:t>
      </w:r>
    </w:p>
    <w:p w14:paraId="3966E3E7" w14:textId="77777777" w:rsidR="003B5C8D" w:rsidRPr="00377ED6" w:rsidRDefault="003B5C8D" w:rsidP="003B5C8D">
      <w:pPr>
        <w:spacing w:after="0" w:line="240" w:lineRule="auto"/>
        <w:ind w:firstLine="709"/>
        <w:jc w:val="both"/>
        <w:rPr>
          <w:rFonts w:ascii="Verdana" w:eastAsia="Calibri" w:hAnsi="Verdana" w:cs="Arial"/>
          <w:color w:val="000000" w:themeColor="text1"/>
        </w:rPr>
      </w:pPr>
    </w:p>
    <w:p w14:paraId="3B41E791" w14:textId="77777777" w:rsidR="003B5C8D" w:rsidRPr="003E7CD1" w:rsidRDefault="003B5C8D" w:rsidP="003B5C8D">
      <w:pPr>
        <w:spacing w:line="240" w:lineRule="auto"/>
        <w:ind w:left="709" w:right="709"/>
        <w:jc w:val="both"/>
        <w:rPr>
          <w:rFonts w:ascii="Verdana" w:eastAsia="Calibri" w:hAnsi="Verdana" w:cs="Arial"/>
          <w:color w:val="000000" w:themeColor="text1"/>
          <w:sz w:val="20"/>
          <w:szCs w:val="20"/>
        </w:rPr>
      </w:pPr>
      <w:r w:rsidRPr="003E7CD1">
        <w:rPr>
          <w:rFonts w:ascii="Verdana" w:eastAsia="Calibri" w:hAnsi="Verdana" w:cs="Arial"/>
          <w:color w:val="000000" w:themeColor="text1"/>
          <w:sz w:val="20"/>
          <w:szCs w:val="20"/>
        </w:rPr>
        <w:lastRenderedPageBreak/>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6A5D6690" w14:textId="77777777" w:rsidR="003B5C8D" w:rsidRPr="003E7CD1" w:rsidRDefault="003B5C8D" w:rsidP="003B5C8D">
      <w:pPr>
        <w:spacing w:after="0" w:line="240" w:lineRule="auto"/>
        <w:ind w:left="709" w:right="709"/>
        <w:jc w:val="both"/>
        <w:rPr>
          <w:rFonts w:ascii="Verdana" w:eastAsia="Calibri" w:hAnsi="Verdana" w:cs="Arial"/>
          <w:color w:val="000000" w:themeColor="text1"/>
          <w:sz w:val="20"/>
          <w:szCs w:val="20"/>
        </w:rPr>
      </w:pPr>
      <w:r w:rsidRPr="003E7CD1">
        <w:rPr>
          <w:rFonts w:ascii="Verdana" w:eastAsia="Calibri" w:hAnsi="Verdana" w:cs="Arial"/>
          <w:i/>
          <w:iCs/>
          <w:color w:val="000000" w:themeColor="text1"/>
          <w:sz w:val="20"/>
          <w:szCs w:val="20"/>
        </w:rPr>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3E7CD1">
        <w:rPr>
          <w:rFonts w:ascii="Verdana" w:eastAsia="Calibri" w:hAnsi="Verdana" w:cs="Arial"/>
          <w:color w:val="000000" w:themeColor="text1"/>
          <w:sz w:val="20"/>
          <w:szCs w:val="20"/>
        </w:rPr>
        <w:t>.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 (Cursivas propias)</w:t>
      </w:r>
    </w:p>
    <w:p w14:paraId="1C3487B1" w14:textId="77777777" w:rsidR="003B5C8D" w:rsidRPr="00377ED6" w:rsidRDefault="003B5C8D" w:rsidP="003B5C8D">
      <w:pPr>
        <w:spacing w:after="0" w:line="276" w:lineRule="auto"/>
        <w:ind w:firstLine="709"/>
        <w:jc w:val="both"/>
        <w:rPr>
          <w:rFonts w:ascii="Verdana" w:eastAsia="Calibri" w:hAnsi="Verdana" w:cs="Arial"/>
          <w:color w:val="000000" w:themeColor="text1"/>
        </w:rPr>
      </w:pPr>
    </w:p>
    <w:p w14:paraId="264661ED" w14:textId="77777777" w:rsidR="003B5C8D" w:rsidRPr="00377ED6" w:rsidRDefault="003B5C8D" w:rsidP="003B5C8D">
      <w:pPr>
        <w:spacing w:after="120" w:line="276" w:lineRule="auto"/>
        <w:ind w:firstLine="709"/>
        <w:jc w:val="both"/>
        <w:rPr>
          <w:rFonts w:ascii="Verdana" w:eastAsia="Calibri" w:hAnsi="Verdana" w:cs="Arial"/>
          <w:color w:val="000000" w:themeColor="text1"/>
        </w:rPr>
      </w:pPr>
      <w:r w:rsidRPr="00377ED6">
        <w:rPr>
          <w:rFonts w:ascii="Verdana" w:eastAsia="Calibri" w:hAnsi="Verdana" w:cs="Arial"/>
          <w:color w:val="000000" w:themeColor="text1"/>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14:paraId="752785A7" w14:textId="77777777" w:rsidR="003B5C8D" w:rsidRPr="00377ED6" w:rsidRDefault="003B5C8D" w:rsidP="003B5C8D">
      <w:pPr>
        <w:spacing w:line="276" w:lineRule="auto"/>
        <w:ind w:firstLine="709"/>
        <w:jc w:val="both"/>
        <w:rPr>
          <w:rFonts w:ascii="Verdana" w:eastAsia="Calibri" w:hAnsi="Verdana" w:cs="Arial"/>
          <w:color w:val="000000" w:themeColor="text1"/>
        </w:rPr>
      </w:pPr>
      <w:r w:rsidRPr="00377ED6">
        <w:rPr>
          <w:rFonts w:ascii="Verdana" w:hAnsi="Verdana" w:cs="Arial"/>
          <w:color w:val="000000" w:themeColor="text1"/>
        </w:rPr>
        <w:t xml:space="preserve">Es importante tener en cuenta que la contratación con entidades sin ánimo de lucro se rige por el Decreto 092 de 2017, salvo lo que ha sido objeto de suspensión provisional por parte del Consejo de Estado. Por lo tanto, las entidades públicas que desean celebrar </w:t>
      </w:r>
      <w:r w:rsidRPr="00377ED6">
        <w:rPr>
          <w:rFonts w:ascii="Verdana" w:hAnsi="Verdana" w:cs="Arial"/>
          <w:i/>
          <w:iCs/>
          <w:color w:val="000000" w:themeColor="text1"/>
        </w:rPr>
        <w:t>contratos del artículo 355 de la Constitución Política</w:t>
      </w:r>
      <w:r w:rsidRPr="00377ED6">
        <w:rPr>
          <w:rFonts w:ascii="Verdana" w:hAnsi="Verdana" w:cs="Arial"/>
          <w:color w:val="000000" w:themeColor="text1"/>
        </w:rPr>
        <w:t xml:space="preserve"> deberán contratar con ESAL de reconocida idoneidad realizando un proceso competitivo, y teniendo en cuenta lo siguiente: i) no debe condicionarse el proceso de contratación a la inexistencia de oferta en el mercado de bienes y servicios; ii) tampoco debe condicionarse a que la contratación con las ESAL garantice la optimización de los recursos públicos en términos de eficiencia, eficacia, economía y manejo del riesgo; iii) el objeto del </w:t>
      </w:r>
      <w:r w:rsidRPr="00377ED6">
        <w:rPr>
          <w:rFonts w:ascii="Verdana" w:hAnsi="Verdana" w:cs="Arial"/>
          <w:color w:val="000000" w:themeColor="text1"/>
        </w:rPr>
        <w:lastRenderedPageBreak/>
        <w:t>contrato debe estar acorde con el plan nacional o seccional de desarrollo; iv)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debe establecer una relación conmutativa en el cual haya una contraprestación directa a favor de la entidad, ni instrucciones precisas dadas por esta al contratista para cumplir con el objeto del contrato.</w:t>
      </w:r>
    </w:p>
    <w:p w14:paraId="083F5F97" w14:textId="77777777" w:rsidR="003B5C8D" w:rsidRDefault="003B5C8D" w:rsidP="003B5C8D">
      <w:pPr>
        <w:spacing w:after="120" w:line="276" w:lineRule="auto"/>
        <w:ind w:firstLine="709"/>
        <w:jc w:val="both"/>
        <w:rPr>
          <w:rFonts w:ascii="Verdana" w:eastAsia="Calibri" w:hAnsi="Verdana" w:cs="Arial"/>
          <w:color w:val="000000"/>
        </w:rPr>
      </w:pPr>
      <w:r>
        <w:rPr>
          <w:rFonts w:ascii="Verdana" w:eastAsia="Calibri" w:hAnsi="Verdana" w:cs="Arial"/>
          <w:color w:val="000000" w:themeColor="text1"/>
        </w:rPr>
        <w:t>De esta manera</w:t>
      </w:r>
      <w:r w:rsidRPr="00377ED6">
        <w:rPr>
          <w:rFonts w:ascii="Verdana" w:eastAsia="Calibri" w:hAnsi="Verdana" w:cs="Arial"/>
          <w:color w:val="000000" w:themeColor="text1"/>
        </w:rPr>
        <w:t xml:space="preserve">, si se pretende realizar un </w:t>
      </w:r>
      <w:r w:rsidRPr="00377ED6">
        <w:rPr>
          <w:rFonts w:ascii="Verdana" w:eastAsia="Calibri" w:hAnsi="Verdana" w:cs="Arial"/>
          <w:i/>
          <w:iCs/>
          <w:color w:val="000000" w:themeColor="text1"/>
        </w:rPr>
        <w:t>convenio de asociación</w:t>
      </w:r>
      <w:r w:rsidRPr="00377ED6">
        <w:rPr>
          <w:rFonts w:ascii="Verdana" w:eastAsia="Calibri" w:hAnsi="Verdana" w:cs="Arial"/>
          <w:color w:val="000000" w:themeColor="text1"/>
        </w:rPr>
        <w:t xml:space="preserve"> con ESAL de reconocida idoneidad para el cumplimiento de las funciones que la ley les asigna a las entidades públicas, deberá aplicarse lo dispuesto en el artículo 5 del Decreto 092 de 2017. </w:t>
      </w:r>
      <w:r>
        <w:rPr>
          <w:rFonts w:ascii="Verdana" w:eastAsia="Calibri" w:hAnsi="Verdana" w:cs="Arial"/>
          <w:color w:val="000000" w:themeColor="text1"/>
        </w:rPr>
        <w:t>Por lo tanto</w:t>
      </w:r>
      <w:r w:rsidRPr="00377ED6">
        <w:rPr>
          <w:rFonts w:ascii="Verdana" w:eastAsia="Calibri" w:hAnsi="Verdana" w:cs="Arial"/>
          <w:color w:val="000000" w:themeColor="text1"/>
        </w:rPr>
        <w:t>, deben estar sujetos a competencia, salvo en aquellos casos en que una entidad sin ánimo de lucro comprometa recursos en dinero por un valor igual o superior al 30% del valor total del convenio</w:t>
      </w:r>
      <w:r w:rsidRPr="00377ED6">
        <w:rPr>
          <w:rFonts w:ascii="Verdana" w:hAnsi="Verdana" w:cs="Arial"/>
          <w:color w:val="000000" w:themeColor="text1"/>
          <w:vertAlign w:val="superscript"/>
        </w:rPr>
        <w:footnoteReference w:id="16"/>
      </w:r>
      <w:r w:rsidRPr="00377ED6">
        <w:rPr>
          <w:rFonts w:ascii="Verdana" w:eastAsia="Calibri" w:hAnsi="Verdana" w:cs="Arial"/>
          <w:color w:val="000000" w:themeColor="text1"/>
        </w:rPr>
        <w:t xml:space="preserve">, y siempre que la entidad estatal verifique previamente que no existe ninguna otra entidad sin ánimo de lucro que ofrezca aportes iguales o superiores al 30%. </w:t>
      </w:r>
      <w:r>
        <w:rPr>
          <w:rFonts w:ascii="Verdana" w:eastAsia="Calibri" w:hAnsi="Verdana" w:cs="Arial"/>
          <w:color w:val="000000" w:themeColor="text1"/>
        </w:rPr>
        <w:t xml:space="preserve">En ese orden, en vigencia de la </w:t>
      </w:r>
      <w:r w:rsidRPr="00377ED6">
        <w:rPr>
          <w:rFonts w:ascii="Verdana" w:eastAsia="Calibri" w:hAnsi="Verdana" w:cs="Arial"/>
          <w:color w:val="000000"/>
        </w:rPr>
        <w:t>restricci</w:t>
      </w:r>
      <w:r>
        <w:rPr>
          <w:rFonts w:ascii="Verdana" w:eastAsia="Calibri" w:hAnsi="Verdana" w:cs="Arial"/>
          <w:color w:val="000000"/>
        </w:rPr>
        <w:t>ón</w:t>
      </w:r>
      <w:r w:rsidRPr="00377ED6">
        <w:rPr>
          <w:rFonts w:ascii="Verdana" w:eastAsia="Calibri" w:hAnsi="Verdana" w:cs="Arial"/>
          <w:color w:val="000000"/>
        </w:rPr>
        <w:t xml:space="preserve"> prevista en el artículo 33 de la Ley de Garantías</w:t>
      </w:r>
      <w:r>
        <w:rPr>
          <w:rFonts w:ascii="Verdana" w:eastAsia="Calibri" w:hAnsi="Verdana" w:cs="Arial"/>
          <w:color w:val="000000"/>
        </w:rPr>
        <w:t xml:space="preserve"> Electorales, según el artículo 5 del Decreto 092 de 2017, solo podrán celebrarse convenios previo desarrollo de proceso competitivo.</w:t>
      </w:r>
    </w:p>
    <w:p w14:paraId="0242EA84" w14:textId="77777777" w:rsidR="003B5C8D" w:rsidRDefault="003B5C8D" w:rsidP="003B5C8D">
      <w:pPr>
        <w:spacing w:before="120" w:after="120" w:line="276" w:lineRule="auto"/>
        <w:ind w:firstLine="709"/>
        <w:jc w:val="both"/>
        <w:rPr>
          <w:rFonts w:ascii="Verdana" w:eastAsia="Calibri" w:hAnsi="Verdana" w:cs="Arial"/>
          <w:lang w:val="es-ES"/>
        </w:rPr>
      </w:pPr>
      <w:r>
        <w:rPr>
          <w:rFonts w:ascii="Verdana" w:eastAsia="Calibri" w:hAnsi="Verdana" w:cs="Arial"/>
          <w:color w:val="000000"/>
        </w:rPr>
        <w:t xml:space="preserve">En otras palabras, los convenios de asociación </w:t>
      </w:r>
      <w:r w:rsidRPr="697BF333">
        <w:rPr>
          <w:rFonts w:ascii="Verdana" w:eastAsia="Calibri" w:hAnsi="Verdana" w:cs="Arial"/>
          <w:lang w:val="es-ES"/>
        </w:rPr>
        <w:t xml:space="preserve">regidos por el artículo 96 de la Ley 489 de 1998, así como por el artículo 5 del Decreto 092 de 2017, por regla general, también deben celebrarse previo desarrollo de un proceso competitivo, por lo que, en principio, su suscripción tampoco debería verse afectada por la restricción del artículo 33 de la Ley 996 de 2005. Esto a excepción de la posibilidad celebrar convenios de asociación de manera directa, en aquellos casos en los que una entidad sin ánimo de lucro aporte el 30% de los recursos en dinero requeridos, supuesto que, al excluir la pluralidad de oferentes, si entra dentro del ámbito de aplicación de la mencionada prohibición, de manera que no es posible su aplicación en vigencia de la restricción a la contratación directa.  </w:t>
      </w:r>
    </w:p>
    <w:p w14:paraId="5C2B8871" w14:textId="77777777" w:rsidR="003B5C8D" w:rsidRPr="008179F0" w:rsidRDefault="003B5C8D" w:rsidP="003B5C8D">
      <w:pPr>
        <w:ind w:firstLine="709"/>
        <w:jc w:val="both"/>
      </w:pPr>
      <w:r>
        <w:rPr>
          <w:rFonts w:ascii="Verdana" w:eastAsia="Times New Roman" w:hAnsi="Verdana" w:cs="Arial"/>
          <w:lang w:val="es-MX" w:eastAsia="x-none"/>
        </w:rPr>
        <w:lastRenderedPageBreak/>
        <w:t>Sin perjuicio de lo anterior</w:t>
      </w:r>
      <w:r w:rsidRPr="00F02C5A">
        <w:rPr>
          <w:rFonts w:ascii="Verdana" w:eastAsia="Times New Roman" w:hAnsi="Verdana" w:cs="Arial"/>
          <w:lang w:val="es-MX" w:eastAsia="x-none"/>
        </w:rPr>
        <w:t xml:space="preserve">, la restricción prevista en </w:t>
      </w:r>
      <w:r>
        <w:rPr>
          <w:rFonts w:ascii="Verdana" w:eastAsia="Times New Roman" w:hAnsi="Verdana" w:cs="Arial"/>
          <w:lang w:val="es-MX" w:eastAsia="x-none"/>
        </w:rPr>
        <w:t xml:space="preserve">el artículo 33 de la </w:t>
      </w:r>
      <w:r w:rsidRPr="00F02C5A">
        <w:rPr>
          <w:rFonts w:ascii="Verdana" w:eastAsia="Times New Roman" w:hAnsi="Verdana" w:cs="Arial"/>
          <w:lang w:val="es-MX" w:eastAsia="x-none"/>
        </w:rPr>
        <w:t>Ley de Garantías Electorales</w:t>
      </w:r>
      <w:r>
        <w:rPr>
          <w:rFonts w:ascii="Verdana" w:eastAsia="Times New Roman" w:hAnsi="Verdana" w:cs="Arial"/>
          <w:lang w:val="es-MX" w:eastAsia="x-none"/>
        </w:rPr>
        <w:t xml:space="preserve"> contempla algunas excepciones</w:t>
      </w:r>
      <w:r w:rsidRPr="00F02C5A">
        <w:rPr>
          <w:rFonts w:ascii="Verdana" w:eastAsia="Times New Roman" w:hAnsi="Verdana" w:cs="Arial"/>
          <w:lang w:val="es-MX" w:eastAsia="x-none"/>
        </w:rPr>
        <w:t xml:space="preserve">, con fundamento en las cuales podrán las entidades públicas adelantar procedimientos de </w:t>
      </w:r>
      <w:r>
        <w:rPr>
          <w:rFonts w:ascii="Verdana" w:eastAsia="Times New Roman" w:hAnsi="Verdana" w:cs="Arial"/>
          <w:lang w:val="es-MX" w:eastAsia="x-none"/>
        </w:rPr>
        <w:t>contratación</w:t>
      </w:r>
      <w:r w:rsidRPr="00F02C5A">
        <w:rPr>
          <w:rFonts w:ascii="Verdana" w:eastAsia="Times New Roman" w:hAnsi="Verdana" w:cs="Arial"/>
          <w:lang w:val="es-MX" w:eastAsia="x-none"/>
        </w:rPr>
        <w:t xml:space="preserve"> directa en períodos previos a la contienda electoral por la Presidencia, </w:t>
      </w:r>
      <w:r>
        <w:rPr>
          <w:rFonts w:ascii="Verdana" w:eastAsia="Times New Roman" w:hAnsi="Verdana" w:cs="Arial"/>
          <w:lang w:val="es-MX" w:eastAsia="x-none"/>
        </w:rPr>
        <w:t xml:space="preserve">siempre que se subsuma en los supuestos contemplados de </w:t>
      </w:r>
      <w:r w:rsidRPr="00F02C5A">
        <w:rPr>
          <w:rFonts w:ascii="Verdana" w:eastAsia="Times New Roman" w:hAnsi="Verdana" w:cs="Arial"/>
          <w:lang w:val="es-MX" w:eastAsia="x-none"/>
        </w:rPr>
        <w:t>manera taxativa en el inciso final del citado artículo 33 de la Ley 996 de 2005.</w:t>
      </w:r>
      <w:r>
        <w:rPr>
          <w:rFonts w:ascii="Verdana" w:eastAsia="Times New Roman" w:hAnsi="Verdana" w:cs="Arial"/>
          <w:lang w:val="es-MX" w:eastAsia="x-none"/>
        </w:rPr>
        <w:t xml:space="preserve"> Por lo tanto, será</w:t>
      </w:r>
      <w:r w:rsidRPr="00F02C5A">
        <w:rPr>
          <w:rFonts w:ascii="Verdana" w:eastAsia="Times New Roman" w:hAnsi="Verdana" w:cs="Arial"/>
          <w:lang w:val="es-MX" w:eastAsia="es-CO"/>
        </w:rPr>
        <w:t xml:space="preserve">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0D1E43A1" w14:textId="77777777" w:rsidR="003B5C8D" w:rsidRPr="00E61635" w:rsidRDefault="003B5C8D" w:rsidP="003B5C8D">
      <w:pPr>
        <w:widowControl w:val="0"/>
        <w:autoSpaceDE w:val="0"/>
        <w:autoSpaceDN w:val="0"/>
        <w:spacing w:after="0" w:line="276" w:lineRule="auto"/>
        <w:ind w:right="176" w:firstLine="708"/>
        <w:jc w:val="both"/>
        <w:rPr>
          <w:rFonts w:ascii="Verdana" w:hAnsi="Verdana"/>
        </w:rPr>
      </w:pPr>
      <w:r w:rsidRPr="00E61635">
        <w:rPr>
          <w:rFonts w:ascii="Verdana" w:hAnsi="Verdana"/>
        </w:rPr>
        <w:t xml:space="preserve">Dentro de este marco, corresponde a cada </w:t>
      </w:r>
      <w:r w:rsidRPr="005F3B31">
        <w:rPr>
          <w:rFonts w:ascii="Verdana" w:hAnsi="Verdana"/>
        </w:rPr>
        <w:t>entidad pública</w:t>
      </w:r>
      <w:r w:rsidRPr="00E61635">
        <w:rPr>
          <w:rFonts w:ascii="Verdana" w:hAnsi="Verdana"/>
        </w:rPr>
        <w:t>, en ejercicio de su competencia y previa valoración de los elementos fácticos y jurídicos, así como de las disposiciones legales mencionadas,</w:t>
      </w:r>
      <w:r>
        <w:rPr>
          <w:rFonts w:ascii="Verdana" w:hAnsi="Verdana"/>
        </w:rPr>
        <w:t xml:space="preserve"> determinar su gestión contractual durante la aplicación de las restricciones de la Ley de Garantías Electorales. </w:t>
      </w:r>
      <w:r w:rsidRPr="00E61635">
        <w:rPr>
          <w:rFonts w:ascii="Verdana" w:hAnsi="Verdana"/>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D15232C" w14:textId="77777777" w:rsidR="003B5C8D" w:rsidRDefault="003B5C8D" w:rsidP="003B5C8D">
      <w:pPr>
        <w:widowControl w:val="0"/>
        <w:autoSpaceDE w:val="0"/>
        <w:autoSpaceDN w:val="0"/>
        <w:spacing w:after="0" w:line="276" w:lineRule="auto"/>
        <w:jc w:val="both"/>
        <w:rPr>
          <w:rFonts w:ascii="Verdana" w:hAnsi="Verdana" w:cs="Arial"/>
        </w:rPr>
      </w:pPr>
    </w:p>
    <w:p w14:paraId="0EF324DB" w14:textId="77777777" w:rsidR="003B5C8D" w:rsidRDefault="003B5C8D" w:rsidP="003B5C8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Referencias normativas, jurisprudenciales y otras fuentes:</w:t>
      </w:r>
    </w:p>
    <w:p w14:paraId="20D99F2E" w14:textId="77777777" w:rsidR="003B5C8D" w:rsidRDefault="003B5C8D" w:rsidP="003B5C8D">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3B5C8D" w14:paraId="5627E53E" w14:textId="77777777" w:rsidTr="0014503A">
        <w:trPr>
          <w:trHeight w:val="870"/>
        </w:trPr>
        <w:tc>
          <w:tcPr>
            <w:tcW w:w="8647" w:type="dxa"/>
            <w:tcBorders>
              <w:top w:val="dotted" w:sz="4" w:space="0" w:color="auto"/>
              <w:left w:val="dotted" w:sz="4" w:space="0" w:color="auto"/>
              <w:bottom w:val="dotted" w:sz="4" w:space="0" w:color="auto"/>
              <w:right w:val="dotted" w:sz="4" w:space="0" w:color="auto"/>
            </w:tcBorders>
            <w:hideMark/>
          </w:tcPr>
          <w:p w14:paraId="57BC7556" w14:textId="77777777" w:rsidR="003B5C8D" w:rsidRPr="0009275E" w:rsidRDefault="003B5C8D" w:rsidP="0014503A">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DF1048">
              <w:rPr>
                <w:rFonts w:ascii="Verdana" w:eastAsia="Arial MT" w:hAnsi="Verdana" w:cs="Arial"/>
                <w:bCs/>
                <w:lang w:val="es-ES" w:eastAsia="es-ES" w:bidi="es-ES"/>
              </w:rPr>
              <w:t>Ley 996 de 2005: artículos 33 y 38 parágrafo.</w:t>
            </w:r>
          </w:p>
          <w:p w14:paraId="73EE44F9" w14:textId="77777777" w:rsidR="003B5C8D" w:rsidRPr="00B3605D" w:rsidRDefault="003B5C8D" w:rsidP="0014503A">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Pr>
                <w:rFonts w:ascii="Verdana" w:eastAsia="Arial MT" w:hAnsi="Verdana" w:cs="Arial"/>
                <w:bCs/>
                <w:lang w:val="es-ES" w:eastAsia="es-ES" w:bidi="es-ES"/>
              </w:rPr>
              <w:t xml:space="preserve">Decreto 092 de 2017: artículos 3, 4 y 5 </w:t>
            </w:r>
          </w:p>
          <w:p w14:paraId="16D8F168" w14:textId="77777777" w:rsidR="003B5C8D" w:rsidRPr="00274DBA" w:rsidRDefault="003B5C8D" w:rsidP="0014503A">
            <w:pPr>
              <w:widowControl w:val="0"/>
              <w:numPr>
                <w:ilvl w:val="0"/>
                <w:numId w:val="17"/>
              </w:numPr>
              <w:autoSpaceDE w:val="0"/>
              <w:autoSpaceDN w:val="0"/>
              <w:spacing w:after="120" w:line="276" w:lineRule="auto"/>
              <w:jc w:val="both"/>
              <w:rPr>
                <w:rFonts w:ascii="Verdana" w:eastAsia="Calibri" w:hAnsi="Verdana" w:cs="Arial"/>
                <w:lang w:val="es-ES"/>
              </w:rPr>
            </w:pPr>
            <w:r w:rsidRPr="00274DBA">
              <w:rPr>
                <w:rFonts w:ascii="Verdana" w:eastAsia="Calibri" w:hAnsi="Verdana" w:cs="Arial"/>
                <w:lang w:val="pt-BR"/>
              </w:rPr>
              <w:t xml:space="preserve">Corte Constitucional. Sentencia C -1153 de 2005. </w:t>
            </w:r>
            <w:r w:rsidRPr="00274DBA">
              <w:rPr>
                <w:rFonts w:ascii="Verdana" w:eastAsia="Calibri" w:hAnsi="Verdana" w:cs="Arial"/>
                <w:lang w:val="es-ES"/>
              </w:rPr>
              <w:t xml:space="preserve">M.P. Marco Gerardo Monroy Cabra. </w:t>
            </w:r>
          </w:p>
          <w:p w14:paraId="1BB1DA75" w14:textId="77777777" w:rsidR="003B5C8D" w:rsidRDefault="003B5C8D" w:rsidP="0014503A">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B3605D">
              <w:rPr>
                <w:rFonts w:ascii="Verdana" w:eastAsia="Arial MT" w:hAnsi="Verdana" w:cs="Arial"/>
                <w:lang w:val="es-ES" w:eastAsia="es-ES" w:bidi="es-ES"/>
              </w:rPr>
              <w:t xml:space="preserve">Consejo de Estado, Sala de Consulta y Servicio Civil de fecha 24 de julio de 2013, Rad. 2166, C. P. Álvaro Namén Vargas.  </w:t>
            </w:r>
          </w:p>
          <w:p w14:paraId="11166C69" w14:textId="77777777" w:rsidR="003B5C8D" w:rsidRPr="0009275E" w:rsidRDefault="003B5C8D" w:rsidP="0014503A">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60146E">
              <w:rPr>
                <w:rFonts w:ascii="Verdana" w:hAnsi="Verdana"/>
                <w:lang w:val="es-ES"/>
              </w:rPr>
              <w:t>Consejo de Estado. Sala de Consulta y Servicio Civil. Concepto del 12 de junio de 2018. Exp. 2371. C.P. Oscar Darío Amaya Navas</w:t>
            </w:r>
          </w:p>
          <w:p w14:paraId="2449AA93" w14:textId="77777777" w:rsidR="003B5C8D" w:rsidRPr="0060146E" w:rsidRDefault="003B5C8D" w:rsidP="0014503A">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09275E">
              <w:rPr>
                <w:rFonts w:ascii="Verdana" w:eastAsia="Arial MT" w:hAnsi="Verdana" w:cs="Arial"/>
                <w:lang w:val="es-ES" w:eastAsia="es-ES" w:bidi="es-ES"/>
              </w:rPr>
              <w:t>Consejo de Estado, Sección Tercera. Sentencia del 17 de octubre de 2025. Exp. 70.313. C.P: Fredy Ibarra Martínez</w:t>
            </w:r>
          </w:p>
          <w:p w14:paraId="3921863F" w14:textId="77777777" w:rsidR="003B5C8D" w:rsidRPr="006A640E" w:rsidRDefault="003B5C8D" w:rsidP="0014503A">
            <w:pPr>
              <w:widowControl w:val="0"/>
              <w:autoSpaceDE w:val="0"/>
              <w:autoSpaceDN w:val="0"/>
              <w:spacing w:after="120" w:line="276" w:lineRule="auto"/>
              <w:ind w:left="360"/>
              <w:jc w:val="both"/>
              <w:rPr>
                <w:rFonts w:ascii="Verdana" w:eastAsia="Arial MT" w:hAnsi="Verdana" w:cs="Arial"/>
                <w:lang w:val="es-ES" w:eastAsia="es-ES" w:bidi="es-ES"/>
              </w:rPr>
            </w:pPr>
          </w:p>
        </w:tc>
      </w:tr>
    </w:tbl>
    <w:p w14:paraId="53926ADE" w14:textId="77777777" w:rsidR="003B5C8D" w:rsidRDefault="003B5C8D" w:rsidP="003B5C8D">
      <w:pPr>
        <w:widowControl w:val="0"/>
        <w:autoSpaceDE w:val="0"/>
        <w:autoSpaceDN w:val="0"/>
        <w:spacing w:after="0" w:line="276" w:lineRule="auto"/>
        <w:jc w:val="both"/>
        <w:rPr>
          <w:rFonts w:ascii="Verdana" w:hAnsi="Verdana" w:cs="Arial"/>
        </w:rPr>
      </w:pPr>
    </w:p>
    <w:p w14:paraId="331A9D57" w14:textId="77777777" w:rsidR="003B5C8D" w:rsidRDefault="003B5C8D" w:rsidP="003B5C8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p>
    <w:p w14:paraId="1F12F284" w14:textId="77777777" w:rsidR="003B5C8D" w:rsidRDefault="003B5C8D" w:rsidP="003B5C8D">
      <w:pPr>
        <w:widowControl w:val="0"/>
        <w:autoSpaceDE w:val="0"/>
        <w:autoSpaceDN w:val="0"/>
        <w:spacing w:after="0" w:line="276" w:lineRule="auto"/>
        <w:jc w:val="both"/>
        <w:rPr>
          <w:rFonts w:ascii="Verdana" w:hAnsi="Verdana" w:cs="Arial"/>
        </w:rPr>
      </w:pPr>
    </w:p>
    <w:p w14:paraId="34EE789D" w14:textId="77777777" w:rsidR="003B5C8D" w:rsidRPr="00FE3C84" w:rsidRDefault="003B5C8D" w:rsidP="003B5C8D">
      <w:pPr>
        <w:widowControl w:val="0"/>
        <w:autoSpaceDE w:val="0"/>
        <w:autoSpaceDN w:val="0"/>
        <w:spacing w:after="0" w:line="276" w:lineRule="auto"/>
        <w:jc w:val="both"/>
        <w:rPr>
          <w:rStyle w:val="normaltextrun"/>
          <w:rFonts w:ascii="Verdana" w:hAnsi="Verdana"/>
          <w:color w:val="FF0000"/>
          <w:shd w:val="clear" w:color="auto" w:fill="FFFFFF"/>
          <w:lang w:val="es-ES"/>
        </w:rPr>
      </w:pPr>
      <w:r>
        <w:rPr>
          <w:rStyle w:val="normaltextrun"/>
          <w:rFonts w:ascii="Verdana" w:hAnsi="Verdana" w:cs="Arial"/>
          <w:shd w:val="clear" w:color="auto" w:fill="FFFFFF"/>
          <w:lang w:val="es-ES"/>
        </w:rPr>
        <w:t>Sobre la aplicación de la Ley de Garantías Electorales</w:t>
      </w:r>
      <w:r w:rsidRPr="00AD7D4E">
        <w:rPr>
          <w:rStyle w:val="normaltextrun"/>
          <w:rFonts w:ascii="Verdana" w:hAnsi="Verdana" w:cs="Arial"/>
          <w:shd w:val="clear" w:color="auto" w:fill="FFFFFF"/>
          <w:lang w:val="es-ES"/>
        </w:rPr>
        <w:t>, esta Subdirección se ha pronunciado en los conceptos</w:t>
      </w:r>
      <w:r>
        <w:rPr>
          <w:rStyle w:val="normaltextrun"/>
          <w:rFonts w:ascii="Verdana" w:hAnsi="Verdana" w:cs="Arial"/>
          <w:shd w:val="clear" w:color="auto" w:fill="FFFFFF"/>
          <w:lang w:val="es-ES"/>
        </w:rPr>
        <w:t xml:space="preserve"> </w:t>
      </w:r>
      <w:r w:rsidRPr="00CF7C16">
        <w:rPr>
          <w:rFonts w:ascii="Verdana" w:hAnsi="Verdana" w:cs="Arial"/>
          <w:shd w:val="clear" w:color="auto" w:fill="FFFFFF"/>
          <w:lang w:val="es-ES"/>
        </w:rPr>
        <w:t xml:space="preserve">C-636 del 16 de noviembre de 2021, 681 del 7 de diciembre de 2021, C-686 del 21 de diciembre de 2021, </w:t>
      </w:r>
      <w:r>
        <w:rPr>
          <w:rFonts w:ascii="Verdana" w:hAnsi="Verdana" w:cs="Arial"/>
          <w:shd w:val="clear" w:color="auto" w:fill="FFFFFF"/>
          <w:lang w:val="es-ES"/>
        </w:rPr>
        <w:t xml:space="preserve">C-1179 del 8 de abril de 2022, </w:t>
      </w:r>
      <w:r w:rsidRPr="00CF7C16">
        <w:rPr>
          <w:rFonts w:ascii="Verdana" w:hAnsi="Verdana" w:cs="Arial"/>
          <w:shd w:val="clear" w:color="auto" w:fill="FFFFFF"/>
          <w:lang w:val="es-ES"/>
        </w:rPr>
        <w:t xml:space="preserve">C-697 del 3 de enero de 2022, </w:t>
      </w:r>
      <w:r>
        <w:rPr>
          <w:rStyle w:val="normaltextrun"/>
          <w:rFonts w:ascii="Verdana" w:hAnsi="Verdana" w:cs="Arial"/>
          <w:shd w:val="clear" w:color="auto" w:fill="FFFFFF"/>
          <w:lang w:val="es-ES"/>
        </w:rPr>
        <w:t xml:space="preserve">C-329 del 24 de mayo de 2022, </w:t>
      </w:r>
      <w:r w:rsidRPr="00CF7C16">
        <w:rPr>
          <w:rFonts w:ascii="Verdana" w:hAnsi="Verdana" w:cs="Arial"/>
          <w:shd w:val="clear" w:color="auto" w:fill="FFFFFF"/>
          <w:lang w:val="es-ES"/>
        </w:rPr>
        <w:t>C-180 del 21 de marzo de 2025, C-317 del 25 de abril de 2025, C-510 del 4 de junio de 2025,</w:t>
      </w:r>
      <w:r>
        <w:rPr>
          <w:rFonts w:ascii="Verdana" w:hAnsi="Verdana" w:cs="Arial"/>
          <w:shd w:val="clear" w:color="auto" w:fill="FFFFFF"/>
          <w:lang w:val="es-ES"/>
        </w:rPr>
        <w:t xml:space="preserve"> C-856 del 11 de agosto de 2025,</w:t>
      </w:r>
      <w:r w:rsidRPr="00CF7C16">
        <w:rPr>
          <w:rFonts w:ascii="Verdana" w:hAnsi="Verdana" w:cs="Arial"/>
          <w:shd w:val="clear" w:color="auto" w:fill="FFFFFF"/>
          <w:lang w:val="es-ES"/>
        </w:rPr>
        <w:t xml:space="preserve"> </w:t>
      </w:r>
      <w:r>
        <w:rPr>
          <w:rFonts w:ascii="Verdana" w:hAnsi="Verdana" w:cs="Arial"/>
          <w:shd w:val="clear" w:color="auto" w:fill="FFFFFF"/>
          <w:lang w:val="es-ES"/>
        </w:rPr>
        <w:t xml:space="preserve">C-1186 de 2025, C-1568 del 14 de noviembre de 2025, </w:t>
      </w:r>
      <w:r w:rsidRPr="00CF7C16">
        <w:rPr>
          <w:rFonts w:ascii="Verdana" w:hAnsi="Verdana" w:cs="Arial"/>
          <w:shd w:val="clear" w:color="auto" w:fill="FFFFFF"/>
          <w:lang w:val="es-ES"/>
        </w:rPr>
        <w:t>entre otros.</w:t>
      </w:r>
      <w:r>
        <w:rPr>
          <w:rStyle w:val="normaltextrun"/>
          <w:rFonts w:ascii="Verdana" w:hAnsi="Verdana" w:cs="Arial"/>
          <w:shd w:val="clear" w:color="auto" w:fill="FFFFFF"/>
          <w:lang w:val="es-ES"/>
        </w:rPr>
        <w:t xml:space="preserve"> Es</w:t>
      </w:r>
      <w:r>
        <w:rPr>
          <w:rFonts w:ascii="Verdana" w:hAnsi="Verdana"/>
        </w:rPr>
        <w:t>tos y otros conceptos se encuentran disponibles para consulta en el Sistema de relatoría de la Agencia, al cual se puede acceder a través del siguiente enlace:</w:t>
      </w:r>
      <w:r>
        <w:rPr>
          <w:rStyle w:val="normaltextrun"/>
          <w:rFonts w:ascii="Verdana" w:hAnsi="Verdana" w:cs="Arial"/>
          <w:shd w:val="clear" w:color="auto" w:fill="FFFFFF"/>
          <w:lang w:val="es-ES"/>
        </w:rPr>
        <w:t xml:space="preserve"> </w:t>
      </w:r>
      <w:hyperlink r:id="rId12" w:history="1">
        <w:r w:rsidRPr="00B778BC">
          <w:rPr>
            <w:rStyle w:val="Hipervnculo"/>
            <w:rFonts w:ascii="Verdana" w:hAnsi="Verdana" w:cs="Arial"/>
            <w:shd w:val="clear" w:color="auto" w:fill="FFFFFF"/>
            <w:lang w:val="es-ES"/>
          </w:rPr>
          <w:t>https://relatoria.colombiacompra.gov.co/busqueda/conceptos</w:t>
        </w:r>
      </w:hyperlink>
      <w:r w:rsidRPr="00B778BC">
        <w:rPr>
          <w:rStyle w:val="normaltextrun"/>
          <w:rFonts w:ascii="Verdana" w:hAnsi="Verdana" w:cs="Arial"/>
          <w:color w:val="FF0000"/>
          <w:shd w:val="clear" w:color="auto" w:fill="FFFFFF"/>
          <w:lang w:val="es-ES"/>
        </w:rPr>
        <w:t xml:space="preserve">. </w:t>
      </w:r>
    </w:p>
    <w:p w14:paraId="3B95DD87" w14:textId="77777777" w:rsidR="003B5C8D" w:rsidRDefault="003B5C8D" w:rsidP="003B5C8D">
      <w:pPr>
        <w:spacing w:after="0" w:line="276" w:lineRule="auto"/>
        <w:jc w:val="both"/>
        <w:rPr>
          <w:rFonts w:ascii="Verdana" w:hAnsi="Verdana"/>
        </w:rPr>
      </w:pPr>
    </w:p>
    <w:p w14:paraId="7F604A3F" w14:textId="77777777" w:rsidR="003B5C8D" w:rsidRDefault="003B5C8D" w:rsidP="003B5C8D">
      <w:pPr>
        <w:spacing w:after="0" w:line="276" w:lineRule="auto"/>
        <w:jc w:val="both"/>
        <w:rPr>
          <w:rFonts w:ascii="Verdana" w:hAnsi="Verdana"/>
        </w:rPr>
      </w:pPr>
      <w:r>
        <w:rPr>
          <w:rFonts w:ascii="Verdana" w:hAnsi="Verdana"/>
        </w:rPr>
        <w:t xml:space="preserve">Por último, lo invitamos a seguirnos en las redes sociales en las cuales se difunde información institucional: </w:t>
      </w:r>
    </w:p>
    <w:p w14:paraId="2C0D5AA9" w14:textId="77777777" w:rsidR="003B5C8D" w:rsidRDefault="003B5C8D" w:rsidP="003B5C8D">
      <w:pPr>
        <w:spacing w:after="0" w:line="276" w:lineRule="auto"/>
        <w:jc w:val="both"/>
        <w:rPr>
          <w:rFonts w:ascii="Verdana" w:hAnsi="Verdana"/>
        </w:rPr>
      </w:pPr>
    </w:p>
    <w:p w14:paraId="175BBDF8" w14:textId="77777777" w:rsidR="003B5C8D" w:rsidRDefault="003B5C8D" w:rsidP="003B5C8D">
      <w:pPr>
        <w:spacing w:after="0" w:line="276" w:lineRule="auto"/>
        <w:jc w:val="both"/>
        <w:rPr>
          <w:rFonts w:ascii="Verdana" w:hAnsi="Verdana"/>
        </w:rPr>
      </w:pPr>
      <w:r>
        <w:rPr>
          <w:rFonts w:ascii="Verdana" w:hAnsi="Verdana"/>
        </w:rPr>
        <w:t xml:space="preserve">Twitter: </w:t>
      </w:r>
      <w:r>
        <w:rPr>
          <w:rStyle w:val="Hipervnculo"/>
          <w:rFonts w:ascii="Verdana" w:hAnsi="Verdana"/>
          <w:color w:val="4472C4" w:themeColor="accent1"/>
        </w:rPr>
        <w:t>@colombiacompra</w:t>
      </w:r>
      <w:r>
        <w:rPr>
          <w:rFonts w:ascii="Verdana" w:hAnsi="Verdana"/>
          <w:color w:val="4472C4" w:themeColor="accent1"/>
        </w:rPr>
        <w:t xml:space="preserve"> </w:t>
      </w:r>
    </w:p>
    <w:p w14:paraId="35938BE4" w14:textId="77777777" w:rsidR="003B5C8D" w:rsidRDefault="003B5C8D" w:rsidP="003B5C8D">
      <w:pPr>
        <w:spacing w:after="0" w:line="276" w:lineRule="auto"/>
        <w:jc w:val="both"/>
        <w:rPr>
          <w:rFonts w:ascii="Verdana" w:hAnsi="Verdana"/>
        </w:rPr>
      </w:pPr>
      <w:r>
        <w:rPr>
          <w:rFonts w:ascii="Verdana" w:hAnsi="Verdana"/>
        </w:rPr>
        <w:t xml:space="preserve">Facebook: </w:t>
      </w:r>
      <w:r>
        <w:rPr>
          <w:rStyle w:val="Hipervnculo"/>
          <w:rFonts w:ascii="Verdana" w:hAnsi="Verdana"/>
          <w:color w:val="4472C4" w:themeColor="accent1"/>
        </w:rPr>
        <w:t>ColombiaCompraEficiente</w:t>
      </w:r>
    </w:p>
    <w:p w14:paraId="786A7787" w14:textId="77777777" w:rsidR="003B5C8D" w:rsidRDefault="003B5C8D" w:rsidP="003B5C8D">
      <w:pPr>
        <w:spacing w:after="0" w:line="276" w:lineRule="auto"/>
        <w:jc w:val="both"/>
        <w:rPr>
          <w:rFonts w:ascii="Verdana" w:hAnsi="Verdana"/>
        </w:rPr>
      </w:pPr>
      <w:r>
        <w:rPr>
          <w:rFonts w:ascii="Verdana" w:hAnsi="Verdana"/>
        </w:rPr>
        <w:t xml:space="preserve">LinkedIn: </w:t>
      </w:r>
      <w:r>
        <w:rPr>
          <w:rStyle w:val="Hipervnculo"/>
          <w:rFonts w:ascii="Verdana" w:hAnsi="Verdana"/>
          <w:color w:val="4472C4" w:themeColor="accent1"/>
        </w:rPr>
        <w:t>Agencia Nacional de Contratación Pública - Colombia Compra Eficiente</w:t>
      </w:r>
      <w:r>
        <w:rPr>
          <w:rFonts w:ascii="Verdana" w:hAnsi="Verdana"/>
          <w:color w:val="4472C4" w:themeColor="accent1"/>
        </w:rPr>
        <w:t xml:space="preserve"> </w:t>
      </w:r>
      <w:r>
        <w:rPr>
          <w:rFonts w:ascii="Verdana" w:hAnsi="Verdana"/>
        </w:rPr>
        <w:t xml:space="preserve">Instagram: </w:t>
      </w:r>
      <w:r>
        <w:rPr>
          <w:rStyle w:val="Hipervnculo"/>
          <w:rFonts w:ascii="Verdana" w:hAnsi="Verdana"/>
          <w:color w:val="4472C4" w:themeColor="accent1"/>
        </w:rPr>
        <w:t>@colombiacompraeficiente_cce</w:t>
      </w:r>
    </w:p>
    <w:p w14:paraId="27785DBF" w14:textId="77777777" w:rsidR="003B5C8D" w:rsidRDefault="003B5C8D" w:rsidP="003B5C8D">
      <w:pPr>
        <w:widowControl w:val="0"/>
        <w:autoSpaceDE w:val="0"/>
        <w:autoSpaceDN w:val="0"/>
        <w:spacing w:after="0" w:line="276" w:lineRule="auto"/>
        <w:jc w:val="both"/>
        <w:rPr>
          <w:rFonts w:ascii="Verdana" w:hAnsi="Verdana" w:cs="Arial"/>
        </w:rPr>
      </w:pPr>
    </w:p>
    <w:p w14:paraId="4FB12AD9" w14:textId="77777777" w:rsidR="003B5C8D" w:rsidRDefault="003B5C8D" w:rsidP="003B5C8D">
      <w:pPr>
        <w:widowControl w:val="0"/>
        <w:autoSpaceDE w:val="0"/>
        <w:autoSpaceDN w:val="0"/>
        <w:spacing w:after="0" w:line="276" w:lineRule="auto"/>
        <w:jc w:val="both"/>
        <w:rPr>
          <w:rFonts w:ascii="Verdana" w:hAnsi="Verdana" w:cs="Arial"/>
          <w:lang w:val="es-ES_tradnl"/>
        </w:rPr>
      </w:pPr>
      <w:r>
        <w:rPr>
          <w:rFonts w:ascii="Verdana" w:hAnsi="Verdana" w:cs="Arial"/>
        </w:rPr>
        <w:t xml:space="preserve">Este concepto tiene el alcance previsto en el artículo 28 del Código de Procedimiento Administrativo y de lo Contencioso Administrativo </w:t>
      </w:r>
      <w:r>
        <w:rPr>
          <w:rFonts w:ascii="Verdana" w:hAnsi="Verdana" w:cs="Arial"/>
          <w:lang w:val="es-ES_tradnl"/>
        </w:rPr>
        <w:t>y las expresiones aquí utilizadas con mayúscula inicial deben ser entendidas con el significado que les otorga el artículo 2.2.1.1.1.3.1. del Decreto 1082 de 2015.</w:t>
      </w:r>
    </w:p>
    <w:p w14:paraId="5AC5A517" w14:textId="77777777" w:rsidR="003B5C8D" w:rsidRDefault="003B5C8D" w:rsidP="003B5C8D">
      <w:pPr>
        <w:widowControl w:val="0"/>
        <w:autoSpaceDE w:val="0"/>
        <w:autoSpaceDN w:val="0"/>
        <w:spacing w:after="0" w:line="276" w:lineRule="auto"/>
        <w:jc w:val="both"/>
        <w:rPr>
          <w:rFonts w:ascii="Verdana" w:hAnsi="Verdana" w:cs="Arial"/>
        </w:rPr>
      </w:pPr>
    </w:p>
    <w:p w14:paraId="6B5B5086" w14:textId="77777777" w:rsidR="003B5C8D" w:rsidRDefault="003B5C8D" w:rsidP="003B5C8D">
      <w:pPr>
        <w:spacing w:after="0" w:line="276" w:lineRule="auto"/>
        <w:rPr>
          <w:rFonts w:ascii="Verdana" w:hAnsi="Verdana" w:cs="Arial"/>
          <w:lang w:eastAsia="es-CO"/>
        </w:rPr>
      </w:pPr>
      <w:r>
        <w:rPr>
          <w:rFonts w:ascii="Verdana" w:eastAsia="Times New Roman" w:hAnsi="Verdana" w:cs="Arial"/>
          <w:lang w:eastAsia="es-CO"/>
        </w:rPr>
        <w:t>Atentamente,</w:t>
      </w:r>
      <w:r>
        <w:rPr>
          <w:rFonts w:ascii="Verdana" w:hAnsi="Verdana" w:cs="Arial"/>
          <w:lang w:eastAsia="es-CO"/>
        </w:rPr>
        <w:t xml:space="preserve"> </w:t>
      </w:r>
    </w:p>
    <w:p w14:paraId="292D1779" w14:textId="2A4ED7BD" w:rsidR="003B5C8D" w:rsidRDefault="00A22876" w:rsidP="003B5C8D">
      <w:pPr>
        <w:spacing w:after="0" w:line="276" w:lineRule="auto"/>
        <w:jc w:val="center"/>
      </w:pPr>
      <w:r>
        <w:rPr>
          <w:noProof/>
        </w:rPr>
        <w:drawing>
          <wp:inline distT="0" distB="0" distL="0" distR="0" wp14:anchorId="2DB731B2" wp14:editId="67FA50CE">
            <wp:extent cx="3768725" cy="1399540"/>
            <wp:effectExtent l="0" t="0" r="3175" b="0"/>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B5C8D" w14:paraId="02CFC229" w14:textId="77777777" w:rsidTr="0014503A">
        <w:trPr>
          <w:trHeight w:val="315"/>
        </w:trPr>
        <w:tc>
          <w:tcPr>
            <w:tcW w:w="893" w:type="dxa"/>
            <w:vAlign w:val="center"/>
            <w:hideMark/>
          </w:tcPr>
          <w:p w14:paraId="41EA3AEC" w14:textId="77777777" w:rsidR="003B5C8D" w:rsidRDefault="003B5C8D" w:rsidP="0014503A">
            <w:pPr>
              <w:spacing w:after="255"/>
              <w:contextualSpacing/>
              <w:rPr>
                <w:rFonts w:ascii="Verdana" w:hAnsi="Verdana" w:cs="Arial"/>
                <w:sz w:val="16"/>
                <w:szCs w:val="16"/>
                <w:lang w:val="es-ES" w:eastAsia="es-ES"/>
              </w:rPr>
            </w:pPr>
            <w:r>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1E351E4" w14:textId="77777777" w:rsidR="003B5C8D" w:rsidRDefault="003B5C8D" w:rsidP="0014503A">
            <w:pPr>
              <w:spacing w:after="255"/>
              <w:contextualSpacing/>
              <w:rPr>
                <w:rFonts w:ascii="Verdana" w:eastAsia="Arial" w:hAnsi="Verdana" w:cs="Arial"/>
                <w:sz w:val="16"/>
                <w:szCs w:val="16"/>
              </w:rPr>
            </w:pPr>
            <w:r>
              <w:rPr>
                <w:rStyle w:val="normaltextrun"/>
                <w:rFonts w:ascii="Verdana" w:hAnsi="Verdana"/>
                <w:sz w:val="16"/>
                <w:szCs w:val="16"/>
              </w:rPr>
              <w:t>Catalina Cubides Estupiñan</w:t>
            </w:r>
          </w:p>
          <w:p w14:paraId="18C96FB9" w14:textId="77777777" w:rsidR="003B5C8D" w:rsidRDefault="003B5C8D" w:rsidP="0014503A">
            <w:pPr>
              <w:spacing w:after="255"/>
              <w:contextualSpacing/>
              <w:rPr>
                <w:rFonts w:ascii="Verdana" w:eastAsia="Arial" w:hAnsi="Verdana" w:cs="Arial"/>
                <w:sz w:val="16"/>
                <w:szCs w:val="16"/>
              </w:rPr>
            </w:pPr>
            <w:r>
              <w:rPr>
                <w:rStyle w:val="normaltextrun"/>
                <w:rFonts w:ascii="Verdana" w:eastAsia="Arial" w:hAnsi="Verdana" w:cs="Arial"/>
                <w:sz w:val="16"/>
                <w:szCs w:val="16"/>
              </w:rPr>
              <w:lastRenderedPageBreak/>
              <w:t>C</w:t>
            </w:r>
            <w:r>
              <w:rPr>
                <w:rStyle w:val="normaltextrun"/>
                <w:rFonts w:ascii="Verdana" w:eastAsia="Arial" w:hAnsi="Verdana"/>
                <w:sz w:val="16"/>
                <w:szCs w:val="16"/>
              </w:rPr>
              <w:t>ontratista d</w:t>
            </w:r>
            <w:r>
              <w:rPr>
                <w:rStyle w:val="normaltextrun"/>
                <w:rFonts w:ascii="Verdana" w:eastAsia="Arial" w:hAnsi="Verdana" w:cs="Arial"/>
                <w:sz w:val="16"/>
                <w:szCs w:val="16"/>
              </w:rPr>
              <w:t>e la Subdirección de Gestión Contractual</w:t>
            </w:r>
          </w:p>
        </w:tc>
      </w:tr>
      <w:tr w:rsidR="003B5C8D" w14:paraId="15A050EB" w14:textId="77777777" w:rsidTr="0014503A">
        <w:trPr>
          <w:trHeight w:val="330"/>
        </w:trPr>
        <w:tc>
          <w:tcPr>
            <w:tcW w:w="893" w:type="dxa"/>
            <w:vAlign w:val="center"/>
            <w:hideMark/>
          </w:tcPr>
          <w:p w14:paraId="775849FA" w14:textId="77777777" w:rsidR="003B5C8D" w:rsidRDefault="003B5C8D" w:rsidP="0014503A">
            <w:pPr>
              <w:spacing w:after="255"/>
              <w:contextualSpacing/>
              <w:rPr>
                <w:rFonts w:ascii="Verdana" w:hAnsi="Verdana" w:cs="Arial"/>
                <w:sz w:val="16"/>
                <w:szCs w:val="16"/>
                <w:lang w:val="es-ES" w:eastAsia="es-ES"/>
              </w:rPr>
            </w:pPr>
            <w:r>
              <w:rPr>
                <w:rFonts w:ascii="Verdana" w:hAnsi="Verdana" w:cs="Arial"/>
                <w:sz w:val="16"/>
                <w:szCs w:val="16"/>
                <w:lang w:val="es-ES" w:eastAsia="es-ES"/>
              </w:rPr>
              <w:lastRenderedPageBreak/>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11AE6AC" w14:textId="77777777" w:rsidR="003B5C8D" w:rsidRDefault="003B5C8D" w:rsidP="0014503A">
            <w:pPr>
              <w:pStyle w:val="paragraph"/>
              <w:spacing w:before="0" w:beforeAutospacing="0" w:after="0" w:afterAutospacing="0"/>
              <w:contextualSpacing/>
              <w:textAlignment w:val="baseline"/>
              <w:rPr>
                <w:rFonts w:ascii="Verdana" w:hAnsi="Verdana" w:cs="Segoe UI"/>
                <w:sz w:val="16"/>
                <w:szCs w:val="16"/>
                <w:lang w:eastAsia="es-ES_tradnl"/>
              </w:rPr>
            </w:pPr>
            <w:r>
              <w:rPr>
                <w:rFonts w:ascii="Verdana" w:hAnsi="Verdana" w:cs="Segoe UI"/>
                <w:sz w:val="16"/>
                <w:szCs w:val="16"/>
              </w:rPr>
              <w:t>Diana Lucía Saavedra Castañeda</w:t>
            </w:r>
          </w:p>
          <w:p w14:paraId="50101FC9" w14:textId="77777777" w:rsidR="003B5C8D" w:rsidRDefault="003B5C8D" w:rsidP="0014503A">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 de la Subdirección de Gestión Contractual</w:t>
            </w:r>
            <w:r>
              <w:rPr>
                <w:rStyle w:val="eop"/>
                <w:rFonts w:ascii="Verdana" w:hAnsi="Verdana" w:cs="Arial"/>
                <w:sz w:val="16"/>
                <w:szCs w:val="16"/>
              </w:rPr>
              <w:t> </w:t>
            </w:r>
          </w:p>
        </w:tc>
      </w:tr>
      <w:tr w:rsidR="003B5C8D" w14:paraId="10471800" w14:textId="77777777" w:rsidTr="0014503A">
        <w:trPr>
          <w:trHeight w:val="300"/>
        </w:trPr>
        <w:tc>
          <w:tcPr>
            <w:tcW w:w="893" w:type="dxa"/>
            <w:vAlign w:val="center"/>
            <w:hideMark/>
          </w:tcPr>
          <w:p w14:paraId="424CF441" w14:textId="77777777" w:rsidR="003B5C8D" w:rsidRDefault="003B5C8D" w:rsidP="0014503A">
            <w:pPr>
              <w:spacing w:after="255"/>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D4333E3" w14:textId="77777777" w:rsidR="003B5C8D" w:rsidRDefault="003B5C8D" w:rsidP="0014503A">
            <w:pPr>
              <w:spacing w:after="255"/>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Carolina Quintero Gacharná</w:t>
            </w:r>
          </w:p>
          <w:p w14:paraId="362A4FE0" w14:textId="77777777" w:rsidR="003B5C8D" w:rsidRDefault="003B5C8D" w:rsidP="0014503A">
            <w:pPr>
              <w:spacing w:after="255"/>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Gestión Contractual ANCP – CCE </w:t>
            </w:r>
          </w:p>
        </w:tc>
      </w:tr>
    </w:tbl>
    <w:p w14:paraId="12706064" w14:textId="77777777" w:rsidR="003B5C8D" w:rsidRPr="001249F1" w:rsidRDefault="003B5C8D" w:rsidP="003B5C8D"/>
    <w:p w14:paraId="7C2E8C21" w14:textId="77777777" w:rsidR="003B5C8D" w:rsidRPr="0044528D" w:rsidRDefault="003B5C8D" w:rsidP="003B5C8D">
      <w:pPr>
        <w:spacing w:after="0"/>
        <w:rPr>
          <w:rFonts w:ascii="Verdana" w:eastAsia="Times New Roman" w:hAnsi="Verdana" w:cs="Segoe UI"/>
          <w:b/>
          <w:bCs/>
          <w:color w:val="46589C"/>
          <w:lang w:val="es-ES" w:eastAsia="es-CO"/>
        </w:rPr>
      </w:pPr>
    </w:p>
    <w:p w14:paraId="20C2C9D9" w14:textId="77777777" w:rsidR="003B5C8D" w:rsidRPr="00046945" w:rsidRDefault="003B5C8D" w:rsidP="003B5C8D">
      <w:pPr>
        <w:spacing w:after="0"/>
        <w:rPr>
          <w:rFonts w:ascii="Verdana" w:eastAsia="Times New Roman" w:hAnsi="Verdana" w:cs="Segoe UI"/>
          <w:sz w:val="18"/>
          <w:szCs w:val="18"/>
          <w:lang w:eastAsia="es-CO"/>
        </w:rPr>
      </w:pPr>
    </w:p>
    <w:p w14:paraId="6BC6470C" w14:textId="77777777" w:rsidR="003B5C8D" w:rsidRPr="0044528D" w:rsidRDefault="003B5C8D" w:rsidP="003B5C8D">
      <w:pPr>
        <w:spacing w:after="0"/>
        <w:rPr>
          <w:rFonts w:ascii="Verdana" w:hAnsi="Verdana"/>
        </w:rPr>
      </w:pPr>
    </w:p>
    <w:p w14:paraId="30A0808F" w14:textId="77777777" w:rsidR="003B5C8D" w:rsidRPr="0015699B" w:rsidRDefault="003B5C8D" w:rsidP="003B5C8D">
      <w:pPr>
        <w:spacing w:after="0"/>
        <w:rPr>
          <w:rFonts w:ascii="Verdana" w:eastAsia="Times New Roman" w:hAnsi="Verdana" w:cs="Segoe UI"/>
          <w:lang w:eastAsia="es-CO"/>
        </w:rPr>
      </w:pPr>
    </w:p>
    <w:p w14:paraId="0F293BF4" w14:textId="4D2CC9ED" w:rsidR="00127233" w:rsidRPr="0015699B" w:rsidRDefault="00127233" w:rsidP="003B5C8D">
      <w:pPr>
        <w:spacing w:after="0"/>
        <w:rPr>
          <w:rFonts w:ascii="Verdana" w:eastAsia="Times New Roman" w:hAnsi="Verdana" w:cs="Segoe UI"/>
          <w:lang w:eastAsia="es-CO"/>
        </w:rPr>
      </w:pPr>
    </w:p>
    <w:sectPr w:rsidR="00127233" w:rsidRPr="0015699B"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1F8E3" w14:textId="77777777" w:rsidR="00BF652E" w:rsidRDefault="00BF652E" w:rsidP="004A1847">
      <w:pPr>
        <w:spacing w:after="0" w:line="240" w:lineRule="auto"/>
      </w:pPr>
      <w:r>
        <w:separator/>
      </w:r>
    </w:p>
  </w:endnote>
  <w:endnote w:type="continuationSeparator" w:id="0">
    <w:p w14:paraId="3A037D9C" w14:textId="77777777" w:rsidR="00BF652E" w:rsidRDefault="00BF652E" w:rsidP="004A1847">
      <w:pPr>
        <w:spacing w:after="0" w:line="240" w:lineRule="auto"/>
      </w:pPr>
      <w:r>
        <w:continuationSeparator/>
      </w:r>
    </w:p>
  </w:endnote>
  <w:endnote w:type="continuationNotice" w:id="1">
    <w:p w14:paraId="378D510F" w14:textId="77777777" w:rsidR="00BF652E" w:rsidRDefault="00BF65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CDHEE+Verdana">
    <w:altName w:val="Verdana"/>
    <w:panose1 w:val="00000000000000000000"/>
    <w:charset w:val="00"/>
    <w:family w:val="swiss"/>
    <w:notTrueType/>
    <w:pitch w:val="default"/>
    <w:sig w:usb0="00000003" w:usb1="00000000" w:usb2="00000000" w:usb3="00000000" w:csb0="00000001"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766DC" w14:textId="77777777" w:rsidR="00BF652E" w:rsidRDefault="00BF652E" w:rsidP="004A1847">
      <w:pPr>
        <w:spacing w:after="0" w:line="240" w:lineRule="auto"/>
      </w:pPr>
      <w:r>
        <w:separator/>
      </w:r>
    </w:p>
  </w:footnote>
  <w:footnote w:type="continuationSeparator" w:id="0">
    <w:p w14:paraId="7D77A1BD" w14:textId="77777777" w:rsidR="00BF652E" w:rsidRDefault="00BF652E" w:rsidP="004A1847">
      <w:pPr>
        <w:spacing w:after="0" w:line="240" w:lineRule="auto"/>
      </w:pPr>
      <w:r>
        <w:continuationSeparator/>
      </w:r>
    </w:p>
  </w:footnote>
  <w:footnote w:type="continuationNotice" w:id="1">
    <w:p w14:paraId="106074DD" w14:textId="77777777" w:rsidR="00BF652E" w:rsidRDefault="00BF652E">
      <w:pPr>
        <w:spacing w:after="0" w:line="240" w:lineRule="auto"/>
      </w:pPr>
    </w:p>
  </w:footnote>
  <w:footnote w:id="2">
    <w:p w14:paraId="76E48329" w14:textId="77777777" w:rsidR="003B5C8D" w:rsidRPr="00C05384" w:rsidRDefault="003B5C8D" w:rsidP="003B5C8D">
      <w:pPr>
        <w:pStyle w:val="Textonotapie"/>
        <w:ind w:firstLine="709"/>
        <w:jc w:val="both"/>
        <w:rPr>
          <w:rFonts w:ascii="Verdana" w:hAnsi="Verdana"/>
          <w:sz w:val="16"/>
          <w:szCs w:val="16"/>
          <w:lang w:val="es-ES"/>
        </w:rPr>
      </w:pPr>
      <w:r w:rsidRPr="00C05384">
        <w:rPr>
          <w:rStyle w:val="Refdenotaalpie"/>
          <w:rFonts w:ascii="Verdana" w:hAnsi="Verdana"/>
          <w:sz w:val="16"/>
          <w:szCs w:val="16"/>
        </w:rPr>
        <w:footnoteRef/>
      </w:r>
      <w:r w:rsidRPr="00C05384">
        <w:rPr>
          <w:rFonts w:ascii="Verdana" w:hAnsi="Verdana"/>
          <w:sz w:val="16"/>
          <w:szCs w:val="16"/>
        </w:rPr>
        <w:t xml:space="preserve"> Consejo de Estado. Sala de Consulta y Servicio Civil. Concepto del 08 de mayo de 2018. Exp. 2.382. C.P. Álvaro Namén Vargas.</w:t>
      </w:r>
    </w:p>
  </w:footnote>
  <w:footnote w:id="3">
    <w:p w14:paraId="3788B4FB" w14:textId="77777777" w:rsidR="003B5C8D" w:rsidRPr="00C05384" w:rsidRDefault="003B5C8D" w:rsidP="003B5C8D">
      <w:pPr>
        <w:pStyle w:val="Textonotapie"/>
        <w:contextualSpacing/>
        <w:jc w:val="both"/>
        <w:rPr>
          <w:rFonts w:ascii="Verdana" w:hAnsi="Verdana" w:cs="Arial"/>
          <w:sz w:val="16"/>
          <w:szCs w:val="16"/>
        </w:rPr>
      </w:pPr>
      <w:r>
        <w:rPr>
          <w:rFonts w:ascii="Verdana" w:hAnsi="Verdana" w:cs="Arial"/>
          <w:sz w:val="16"/>
          <w:szCs w:val="16"/>
        </w:rPr>
        <w:tab/>
      </w:r>
      <w:r w:rsidRPr="00C05384">
        <w:rPr>
          <w:rStyle w:val="Refdenotaalpie"/>
          <w:rFonts w:ascii="Verdana" w:hAnsi="Verdana" w:cs="Arial"/>
          <w:sz w:val="16"/>
          <w:szCs w:val="16"/>
        </w:rPr>
        <w:footnoteRef/>
      </w:r>
      <w:r w:rsidRPr="00C05384">
        <w:rPr>
          <w:rFonts w:ascii="Verdana" w:hAnsi="Verdana" w:cs="Arial"/>
          <w:sz w:val="16"/>
          <w:szCs w:val="16"/>
        </w:rPr>
        <w:t xml:space="preserve"> Gaceta del Congreso de la República No. 71 del 2005.</w:t>
      </w:r>
    </w:p>
  </w:footnote>
  <w:footnote w:id="4">
    <w:p w14:paraId="1293C90B" w14:textId="77777777" w:rsidR="003B5C8D" w:rsidRPr="00C05384" w:rsidRDefault="003B5C8D" w:rsidP="003B5C8D">
      <w:pPr>
        <w:pStyle w:val="Textonotapie"/>
        <w:ind w:firstLine="709"/>
        <w:contextualSpacing/>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 C- 1153 de 2005, M.P. Marco Gerardo Monroy Cabra.</w:t>
      </w:r>
    </w:p>
  </w:footnote>
  <w:footnote w:id="5">
    <w:p w14:paraId="4A9465E4" w14:textId="77777777" w:rsidR="003B5C8D" w:rsidRPr="00C05384" w:rsidRDefault="003B5C8D" w:rsidP="003B5C8D">
      <w:pPr>
        <w:pStyle w:val="Textonotapie"/>
        <w:ind w:firstLine="709"/>
        <w:contextualSpacing/>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3A15ACD4" w14:textId="77777777" w:rsidR="003B5C8D" w:rsidRPr="00C05384" w:rsidRDefault="003B5C8D" w:rsidP="003B5C8D">
      <w:pPr>
        <w:pStyle w:val="Textonotapie"/>
        <w:ind w:firstLine="709"/>
        <w:contextualSpacing/>
        <w:jc w:val="both"/>
        <w:rPr>
          <w:rFonts w:ascii="Verdana" w:hAnsi="Verdana" w:cs="Arial"/>
          <w:sz w:val="16"/>
          <w:szCs w:val="16"/>
          <w:lang w:val="es-CO"/>
        </w:rPr>
      </w:pPr>
      <w:r w:rsidRPr="00C05384">
        <w:rPr>
          <w:rStyle w:val="Refdenotaalpie"/>
          <w:rFonts w:ascii="Verdana" w:hAnsi="Verdana" w:cs="Arial"/>
          <w:sz w:val="16"/>
          <w:szCs w:val="16"/>
        </w:rPr>
        <w:footnoteRef/>
      </w:r>
      <w:r w:rsidRPr="00C05384">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6C94020D" w14:textId="77777777" w:rsidR="003B5C8D" w:rsidRPr="00C05384" w:rsidRDefault="003B5C8D" w:rsidP="003B5C8D">
      <w:pPr>
        <w:pStyle w:val="Textonotapie"/>
        <w:ind w:firstLine="709"/>
        <w:contextualSpacing/>
        <w:jc w:val="both"/>
        <w:rPr>
          <w:rFonts w:ascii="Verdana" w:hAnsi="Verdana" w:cs="Arial"/>
          <w:sz w:val="16"/>
          <w:szCs w:val="16"/>
        </w:rPr>
      </w:pPr>
      <w:r w:rsidRPr="00C05384">
        <w:rPr>
          <w:rStyle w:val="Refdenotaalpie"/>
          <w:rFonts w:ascii="Verdana" w:hAnsi="Verdana" w:cs="Arial"/>
          <w:sz w:val="16"/>
          <w:szCs w:val="16"/>
        </w:rPr>
        <w:footnoteRef/>
      </w:r>
      <w:r w:rsidRPr="00C05384">
        <w:rPr>
          <w:rFonts w:ascii="Verdana" w:hAnsi="Verdana" w:cs="Arial"/>
          <w:sz w:val="16"/>
          <w:szCs w:val="16"/>
        </w:rPr>
        <w:t xml:space="preserve"> Consejo de Estado, Sala de Consulta y Servicio Civil de fecha 24 de julio de 2013, Rad. 2166, C. P. Álvaro Namén Vargas.  </w:t>
      </w:r>
    </w:p>
  </w:footnote>
  <w:footnote w:id="8">
    <w:p w14:paraId="051FA00B" w14:textId="77777777" w:rsidR="003B5C8D" w:rsidRPr="00E657A2" w:rsidRDefault="003B5C8D" w:rsidP="003B5C8D">
      <w:pPr>
        <w:pStyle w:val="Textonotapie"/>
        <w:ind w:firstLine="709"/>
        <w:jc w:val="both"/>
        <w:rPr>
          <w:rFonts w:ascii="Verdana" w:hAnsi="Verdana" w:cs="Arial"/>
          <w:sz w:val="16"/>
          <w:szCs w:val="16"/>
          <w:lang w:val="es-CO"/>
        </w:rPr>
      </w:pPr>
      <w:r w:rsidRPr="00E657A2">
        <w:rPr>
          <w:rStyle w:val="Refdenotaalpie"/>
          <w:rFonts w:ascii="Verdana" w:hAnsi="Verdana"/>
          <w:sz w:val="16"/>
          <w:szCs w:val="16"/>
        </w:rPr>
        <w:footnoteRef/>
      </w:r>
      <w:r w:rsidRPr="00E657A2">
        <w:rPr>
          <w:rFonts w:ascii="Verdana" w:hAnsi="Verdana"/>
          <w:sz w:val="16"/>
          <w:szCs w:val="16"/>
          <w:lang w:val="es-CO"/>
        </w:rPr>
        <w:t xml:space="preserve"> Consejo de Estado, Sección Tercera. Auto del 4 de octubre de 2024. Exp. 70.313. C.P: Fredy Ibarra Martínez</w:t>
      </w:r>
    </w:p>
  </w:footnote>
  <w:footnote w:id="9">
    <w:p w14:paraId="294B6817" w14:textId="77777777" w:rsidR="003B5C8D" w:rsidRPr="00E657A2" w:rsidRDefault="003B5C8D" w:rsidP="003B5C8D">
      <w:pPr>
        <w:pStyle w:val="Textonotapie"/>
        <w:ind w:firstLine="709"/>
        <w:jc w:val="both"/>
        <w:rPr>
          <w:rFonts w:ascii="Verdana" w:hAnsi="Verdana"/>
          <w:sz w:val="16"/>
          <w:szCs w:val="16"/>
          <w:lang w:val="es-CO"/>
        </w:rPr>
      </w:pPr>
      <w:r w:rsidRPr="00E657A2">
        <w:rPr>
          <w:rStyle w:val="Refdenotaalpie"/>
          <w:sz w:val="16"/>
          <w:szCs w:val="16"/>
        </w:rPr>
        <w:footnoteRef/>
      </w:r>
      <w:r w:rsidRPr="00E657A2">
        <w:rPr>
          <w:sz w:val="16"/>
          <w:szCs w:val="16"/>
        </w:rPr>
        <w:t xml:space="preserve"> L</w:t>
      </w:r>
      <w:r w:rsidRPr="00E657A2">
        <w:rPr>
          <w:rFonts w:ascii="Verdana" w:hAnsi="Verdana"/>
          <w:sz w:val="16"/>
          <w:szCs w:val="16"/>
        </w:rPr>
        <w:t>a parte resolutiva del auto dispone lo siguiente; “</w:t>
      </w:r>
      <w:r w:rsidRPr="00E657A2">
        <w:rPr>
          <w:rFonts w:ascii="Verdana" w:hAnsi="Verdana"/>
          <w:b/>
          <w:bCs/>
          <w:sz w:val="16"/>
          <w:szCs w:val="16"/>
          <w:lang w:val="es-CO"/>
        </w:rPr>
        <w:t xml:space="preserve">PRIMERO: DECRETAR </w:t>
      </w:r>
      <w:r w:rsidRPr="00E657A2">
        <w:rPr>
          <w:rFonts w:ascii="Verdana" w:hAnsi="Verdana"/>
          <w:sz w:val="16"/>
          <w:szCs w:val="16"/>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E657A2">
        <w:rPr>
          <w:rFonts w:ascii="Verdana" w:hAnsi="Verdana"/>
          <w:i/>
          <w:iCs/>
          <w:sz w:val="16"/>
          <w:szCs w:val="16"/>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E657A2">
        <w:rPr>
          <w:rFonts w:ascii="Verdana" w:hAnsi="Verdana"/>
          <w:sz w:val="16"/>
          <w:szCs w:val="16"/>
          <w:lang w:val="es-CO"/>
        </w:rPr>
        <w:t xml:space="preserve">, por las razones expuestas en precedencia. </w:t>
      </w:r>
    </w:p>
    <w:p w14:paraId="4CE506A2" w14:textId="77777777" w:rsidR="003B5C8D" w:rsidRPr="00E657A2" w:rsidRDefault="003B5C8D" w:rsidP="003B5C8D">
      <w:pPr>
        <w:pStyle w:val="Textonotapie"/>
        <w:ind w:firstLine="709"/>
        <w:jc w:val="both"/>
        <w:rPr>
          <w:rFonts w:ascii="Verdana" w:hAnsi="Verdana" w:cs="Arial"/>
          <w:sz w:val="16"/>
          <w:szCs w:val="16"/>
          <w:lang w:val="es-CO"/>
        </w:rPr>
      </w:pPr>
      <w:r w:rsidRPr="00E657A2">
        <w:rPr>
          <w:rFonts w:ascii="Verdana" w:hAnsi="Verdana"/>
          <w:b/>
          <w:bCs/>
          <w:sz w:val="16"/>
          <w:szCs w:val="16"/>
          <w:lang w:val="es-CO"/>
        </w:rPr>
        <w:t xml:space="preserve">SEGUNDO: DECRETAR </w:t>
      </w:r>
      <w:r w:rsidRPr="00E657A2">
        <w:rPr>
          <w:rFonts w:ascii="Verdana" w:hAnsi="Verdana"/>
          <w:sz w:val="16"/>
          <w:szCs w:val="16"/>
          <w:lang w:val="es-CO"/>
        </w:rPr>
        <w:t>la suspensión provisional de la expresión “</w:t>
      </w:r>
      <w:r w:rsidRPr="00E657A2">
        <w:rPr>
          <w:rFonts w:ascii="Verdana" w:hAnsi="Verdana"/>
          <w:i/>
          <w:iCs/>
          <w:sz w:val="16"/>
          <w:szCs w:val="16"/>
          <w:lang w:val="es-CO"/>
        </w:rPr>
        <w:t>contratos</w:t>
      </w:r>
      <w:r w:rsidRPr="00E657A2">
        <w:rPr>
          <w:rFonts w:ascii="Verdana" w:hAnsi="Verdana"/>
          <w:sz w:val="16"/>
          <w:szCs w:val="16"/>
          <w:lang w:val="es-CO"/>
        </w:rPr>
        <w:t xml:space="preserve">” y del párrafo </w:t>
      </w:r>
      <w:r w:rsidRPr="00E657A2">
        <w:rPr>
          <w:rFonts w:ascii="Verdana" w:hAnsi="Verdana"/>
          <w:i/>
          <w:iCs/>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E657A2">
        <w:rPr>
          <w:rFonts w:ascii="Verdana" w:hAnsi="Verdana"/>
          <w:sz w:val="16"/>
          <w:szCs w:val="16"/>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Florez. </w:t>
      </w:r>
    </w:p>
  </w:footnote>
  <w:footnote w:id="10">
    <w:p w14:paraId="093C4B3F" w14:textId="77777777" w:rsidR="003B5C8D" w:rsidRPr="002A503A" w:rsidRDefault="003B5C8D" w:rsidP="003B5C8D">
      <w:pPr>
        <w:pStyle w:val="Textonotapie"/>
        <w:rPr>
          <w:lang w:val="es-ES"/>
        </w:rPr>
      </w:pPr>
      <w:r>
        <w:rPr>
          <w:rStyle w:val="Refdenotaalpie"/>
        </w:rPr>
        <w:footnoteRef/>
      </w:r>
      <w:r>
        <w:t xml:space="preserve"> </w:t>
      </w:r>
      <w:r w:rsidRPr="00E657A2">
        <w:rPr>
          <w:rFonts w:ascii="Verdana" w:hAnsi="Verdana"/>
          <w:sz w:val="16"/>
          <w:szCs w:val="16"/>
          <w:lang w:val="es-CO"/>
        </w:rPr>
        <w:t xml:space="preserve">Consejo de Estado, Sección Tercera. </w:t>
      </w:r>
      <w:r>
        <w:rPr>
          <w:rFonts w:ascii="Verdana" w:hAnsi="Verdana"/>
          <w:sz w:val="16"/>
          <w:szCs w:val="16"/>
          <w:lang w:val="es-CO"/>
        </w:rPr>
        <w:t>Sentencia</w:t>
      </w:r>
      <w:r w:rsidRPr="00E657A2">
        <w:rPr>
          <w:rFonts w:ascii="Verdana" w:hAnsi="Verdana"/>
          <w:sz w:val="16"/>
          <w:szCs w:val="16"/>
          <w:lang w:val="es-CO"/>
        </w:rPr>
        <w:t xml:space="preserve"> del </w:t>
      </w:r>
      <w:r>
        <w:rPr>
          <w:rFonts w:ascii="Verdana" w:hAnsi="Verdana"/>
          <w:sz w:val="16"/>
          <w:szCs w:val="16"/>
          <w:lang w:val="es-CO"/>
        </w:rPr>
        <w:t>17</w:t>
      </w:r>
      <w:r w:rsidRPr="00E657A2">
        <w:rPr>
          <w:rFonts w:ascii="Verdana" w:hAnsi="Verdana"/>
          <w:sz w:val="16"/>
          <w:szCs w:val="16"/>
          <w:lang w:val="es-CO"/>
        </w:rPr>
        <w:t xml:space="preserve"> de octubre de 202</w:t>
      </w:r>
      <w:r>
        <w:rPr>
          <w:rFonts w:ascii="Verdana" w:hAnsi="Verdana"/>
          <w:sz w:val="16"/>
          <w:szCs w:val="16"/>
          <w:lang w:val="es-CO"/>
        </w:rPr>
        <w:t>5</w:t>
      </w:r>
      <w:r w:rsidRPr="00E657A2">
        <w:rPr>
          <w:rFonts w:ascii="Verdana" w:hAnsi="Verdana"/>
          <w:sz w:val="16"/>
          <w:szCs w:val="16"/>
          <w:lang w:val="es-CO"/>
        </w:rPr>
        <w:t>. Exp. 70.313. C.P: Fredy Ibarra Martínez</w:t>
      </w:r>
    </w:p>
  </w:footnote>
  <w:footnote w:id="11">
    <w:p w14:paraId="691F73EB" w14:textId="77777777" w:rsidR="003B5C8D" w:rsidRPr="00C05384" w:rsidRDefault="003B5C8D" w:rsidP="003B5C8D">
      <w:pPr>
        <w:pStyle w:val="Textonotapie"/>
        <w:ind w:firstLine="709"/>
        <w:jc w:val="both"/>
        <w:rPr>
          <w:rFonts w:ascii="Verdana" w:hAnsi="Verdana"/>
          <w:sz w:val="16"/>
          <w:szCs w:val="16"/>
          <w:lang w:val="es-ES"/>
        </w:rPr>
      </w:pPr>
      <w:r w:rsidRPr="00C05384">
        <w:rPr>
          <w:rStyle w:val="Refdenotaalpie"/>
          <w:rFonts w:ascii="Verdana" w:hAnsi="Verdana"/>
          <w:sz w:val="16"/>
          <w:szCs w:val="16"/>
        </w:rPr>
        <w:footnoteRef/>
      </w:r>
      <w:r w:rsidRPr="00C05384">
        <w:rPr>
          <w:rFonts w:ascii="Verdana" w:hAnsi="Verdana"/>
          <w:sz w:val="16"/>
          <w:szCs w:val="16"/>
        </w:rPr>
        <w:t xml:space="preserve"> Consejo de Estado. Sala de Consulta y Servicio Civil. Concepto del 08 de mayo de 2018. Exp. 2.382. C.P. Álvaro Namén Vargas.</w:t>
      </w:r>
    </w:p>
  </w:footnote>
  <w:footnote w:id="12">
    <w:p w14:paraId="76AEFBDF" w14:textId="77777777" w:rsidR="003B5C8D" w:rsidRPr="00B47839" w:rsidRDefault="003B5C8D" w:rsidP="003B5C8D">
      <w:pPr>
        <w:pStyle w:val="Textonotapie"/>
        <w:ind w:firstLine="708"/>
        <w:jc w:val="both"/>
        <w:rPr>
          <w:rFonts w:ascii="Verdana" w:hAnsi="Verdana" w:cs="Arial"/>
          <w:sz w:val="16"/>
          <w:szCs w:val="16"/>
        </w:rPr>
      </w:pPr>
      <w:r w:rsidRPr="00B47839">
        <w:rPr>
          <w:rStyle w:val="Refdenotaalpie"/>
          <w:rFonts w:ascii="Verdana" w:hAnsi="Verdana" w:cs="Arial"/>
          <w:sz w:val="16"/>
          <w:szCs w:val="16"/>
        </w:rPr>
        <w:footnoteRef/>
      </w:r>
      <w:r w:rsidRPr="00B47839">
        <w:rPr>
          <w:rFonts w:ascii="Verdana" w:hAnsi="Verdana" w:cs="Arial"/>
          <w:sz w:val="16"/>
          <w:szCs w:val="16"/>
        </w:rPr>
        <w:t xml:space="preserve"> Concepto del 3 de septiembre de 2019, con radicado No. 2201913000006512.</w:t>
      </w:r>
    </w:p>
    <w:p w14:paraId="3201A3BB" w14:textId="77777777" w:rsidR="003B5C8D" w:rsidRPr="00B47839" w:rsidRDefault="003B5C8D" w:rsidP="003B5C8D">
      <w:pPr>
        <w:pStyle w:val="Textonotapie"/>
        <w:ind w:firstLine="708"/>
        <w:jc w:val="both"/>
        <w:rPr>
          <w:rFonts w:ascii="Verdana" w:hAnsi="Verdana" w:cs="Arial"/>
          <w:sz w:val="16"/>
          <w:szCs w:val="16"/>
        </w:rPr>
      </w:pPr>
    </w:p>
  </w:footnote>
  <w:footnote w:id="13">
    <w:p w14:paraId="03F31162" w14:textId="77777777" w:rsidR="003B5C8D" w:rsidRPr="00B47839" w:rsidRDefault="003B5C8D" w:rsidP="003B5C8D">
      <w:pPr>
        <w:pStyle w:val="Textonotapie"/>
        <w:ind w:firstLine="708"/>
        <w:jc w:val="both"/>
        <w:rPr>
          <w:rFonts w:ascii="Verdana" w:hAnsi="Verdana" w:cs="Arial"/>
          <w:sz w:val="16"/>
          <w:szCs w:val="16"/>
        </w:rPr>
      </w:pPr>
      <w:r w:rsidRPr="00B47839">
        <w:rPr>
          <w:rStyle w:val="Refdenotaalpie"/>
          <w:rFonts w:ascii="Verdana" w:hAnsi="Verdana" w:cs="Arial"/>
          <w:sz w:val="16"/>
          <w:szCs w:val="16"/>
        </w:rPr>
        <w:footnoteRef/>
      </w:r>
      <w:r w:rsidRPr="00B47839">
        <w:rPr>
          <w:rFonts w:ascii="Verdana" w:hAnsi="Verdana" w:cs="Arial"/>
          <w:sz w:val="16"/>
          <w:szCs w:val="16"/>
        </w:rPr>
        <w:t xml:space="preserve"> Sobre la naturaleza de los convenios de asociación, se reitera lo expuesto en el concepto del 19 de noviembre de 2019, con radicado No. 2201913000008611.</w:t>
      </w:r>
    </w:p>
  </w:footnote>
  <w:footnote w:id="14">
    <w:p w14:paraId="1EEE84EA" w14:textId="77777777" w:rsidR="003B5C8D" w:rsidRPr="00B47839" w:rsidRDefault="003B5C8D" w:rsidP="003B5C8D">
      <w:pPr>
        <w:pStyle w:val="Textonotapie"/>
        <w:ind w:firstLine="708"/>
        <w:jc w:val="both"/>
        <w:rPr>
          <w:rFonts w:ascii="Verdana" w:hAnsi="Verdana" w:cs="Arial"/>
          <w:color w:val="000000" w:themeColor="text1"/>
          <w:sz w:val="16"/>
          <w:szCs w:val="16"/>
        </w:rPr>
      </w:pPr>
      <w:r w:rsidRPr="00B47839">
        <w:rPr>
          <w:rStyle w:val="Refdenotaalpie"/>
          <w:rFonts w:ascii="Verdana" w:hAnsi="Verdana" w:cs="Arial"/>
          <w:color w:val="000000" w:themeColor="text1"/>
          <w:sz w:val="16"/>
          <w:szCs w:val="16"/>
        </w:rPr>
        <w:footnoteRef/>
      </w:r>
      <w:r w:rsidRPr="00B47839">
        <w:rPr>
          <w:rFonts w:ascii="Verdana" w:hAnsi="Verdana" w:cs="Arial"/>
          <w:color w:val="000000" w:themeColor="text1"/>
          <w:sz w:val="16"/>
          <w:szCs w:val="16"/>
        </w:rPr>
        <w:t xml:space="preserve"> Cfr. Concepto del 21 de agosto de 2019, dictado dentro del radicado No. 2201913000006047.</w:t>
      </w:r>
    </w:p>
    <w:p w14:paraId="3F6DD435" w14:textId="77777777" w:rsidR="003B5C8D" w:rsidRPr="00B47839" w:rsidRDefault="003B5C8D" w:rsidP="003B5C8D">
      <w:pPr>
        <w:pStyle w:val="Textonotapie"/>
        <w:ind w:firstLine="708"/>
        <w:jc w:val="both"/>
        <w:rPr>
          <w:rFonts w:ascii="Verdana" w:hAnsi="Verdana" w:cs="Arial"/>
          <w:color w:val="000000" w:themeColor="text1"/>
          <w:sz w:val="16"/>
          <w:szCs w:val="16"/>
        </w:rPr>
      </w:pPr>
    </w:p>
  </w:footnote>
  <w:footnote w:id="15">
    <w:p w14:paraId="7372CEDE" w14:textId="77777777" w:rsidR="003B5C8D" w:rsidRPr="00B47839" w:rsidRDefault="003B5C8D" w:rsidP="003B5C8D">
      <w:pPr>
        <w:pStyle w:val="Textonotapie"/>
        <w:ind w:firstLine="708"/>
        <w:jc w:val="both"/>
        <w:rPr>
          <w:rFonts w:ascii="Verdana" w:hAnsi="Verdana" w:cs="Arial"/>
          <w:color w:val="000000" w:themeColor="text1"/>
          <w:sz w:val="16"/>
          <w:szCs w:val="16"/>
          <w:lang w:val="es-ES"/>
        </w:rPr>
      </w:pPr>
      <w:r w:rsidRPr="00B47839">
        <w:rPr>
          <w:rStyle w:val="Refdenotaalpie"/>
          <w:rFonts w:ascii="Verdana" w:hAnsi="Verdana" w:cs="Arial"/>
          <w:color w:val="000000" w:themeColor="text1"/>
          <w:sz w:val="16"/>
          <w:szCs w:val="16"/>
        </w:rPr>
        <w:footnoteRef/>
      </w:r>
      <w:r w:rsidRPr="00B47839">
        <w:rPr>
          <w:rFonts w:ascii="Verdana" w:hAnsi="Verdana" w:cs="Arial"/>
          <w:color w:val="000000" w:themeColor="text1"/>
          <w:sz w:val="16"/>
          <w:szCs w:val="16"/>
        </w:rPr>
        <w:t xml:space="preserve"> Concepto del 24 de febrero de 2005. Radicado:1626, C.P. Gloria Duque Hernández.</w:t>
      </w:r>
    </w:p>
  </w:footnote>
  <w:footnote w:id="16">
    <w:p w14:paraId="1676FDC8" w14:textId="77777777" w:rsidR="003B5C8D" w:rsidRPr="00B47839" w:rsidRDefault="003B5C8D" w:rsidP="003B5C8D">
      <w:pPr>
        <w:pStyle w:val="Textonotapie"/>
        <w:ind w:firstLine="708"/>
        <w:jc w:val="both"/>
        <w:rPr>
          <w:rFonts w:ascii="Verdana" w:hAnsi="Verdana" w:cs="Arial"/>
          <w:color w:val="000000" w:themeColor="text1"/>
          <w:sz w:val="16"/>
          <w:szCs w:val="16"/>
        </w:rPr>
      </w:pPr>
      <w:r w:rsidRPr="00B47839">
        <w:rPr>
          <w:rStyle w:val="Refdenotaalpie"/>
          <w:rFonts w:ascii="Verdana" w:hAnsi="Verdana" w:cs="Arial"/>
          <w:color w:val="000000" w:themeColor="text1"/>
          <w:sz w:val="16"/>
          <w:szCs w:val="16"/>
        </w:rPr>
        <w:footnoteRef/>
      </w:r>
      <w:r w:rsidRPr="00B47839">
        <w:rPr>
          <w:rFonts w:ascii="Verdana" w:hAnsi="Verdana" w:cs="Arial"/>
          <w:color w:val="000000" w:themeColor="text1"/>
          <w:sz w:val="16"/>
          <w:szCs w:val="16"/>
        </w:rPr>
        <w:t xml:space="preserve"> Decreto 092 de 2017,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8"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E3A25A8"/>
    <w:multiLevelType w:val="hybridMultilevel"/>
    <w:tmpl w:val="0862EA26"/>
    <w:lvl w:ilvl="0" w:tplc="6A9A2EF6">
      <w:start w:val="1"/>
      <w:numFmt w:val="lowerRoman"/>
      <w:lvlText w:val="%1."/>
      <w:lvlJc w:val="left"/>
      <w:pPr>
        <w:ind w:left="1080" w:hanging="720"/>
      </w:pPr>
      <w:rPr>
        <w:rFonts w:eastAsiaTheme="minorHAnsi" w:cs="BCDHEE+Verdana"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4"/>
  </w:num>
  <w:num w:numId="7">
    <w:abstractNumId w:val="6"/>
  </w:num>
  <w:num w:numId="8">
    <w:abstractNumId w:val="13"/>
  </w:num>
  <w:num w:numId="9">
    <w:abstractNumId w:val="8"/>
  </w:num>
  <w:num w:numId="10">
    <w:abstractNumId w:val="12"/>
  </w:num>
  <w:num w:numId="11">
    <w:abstractNumId w:val="9"/>
  </w:num>
  <w:num w:numId="12">
    <w:abstractNumId w:val="1"/>
  </w:num>
  <w:num w:numId="13">
    <w:abstractNumId w:val="4"/>
  </w:num>
  <w:num w:numId="14">
    <w:abstractNumId w:val="15"/>
  </w:num>
  <w:num w:numId="15">
    <w:abstractNumId w:val="11"/>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B5C8D"/>
    <w:rsid w:val="003D0F4D"/>
    <w:rsid w:val="003D5B0D"/>
    <w:rsid w:val="003E0499"/>
    <w:rsid w:val="003E4F80"/>
    <w:rsid w:val="003E6439"/>
    <w:rsid w:val="003F3941"/>
    <w:rsid w:val="00406575"/>
    <w:rsid w:val="00407E09"/>
    <w:rsid w:val="00414C74"/>
    <w:rsid w:val="0042722E"/>
    <w:rsid w:val="0044528D"/>
    <w:rsid w:val="00466E39"/>
    <w:rsid w:val="00487F73"/>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02D11"/>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2876"/>
    <w:rsid w:val="00A23AF9"/>
    <w:rsid w:val="00A33C78"/>
    <w:rsid w:val="00AB0ADB"/>
    <w:rsid w:val="00AE77EA"/>
    <w:rsid w:val="00B00C0E"/>
    <w:rsid w:val="00B01B1A"/>
    <w:rsid w:val="00B0381D"/>
    <w:rsid w:val="00B44A47"/>
    <w:rsid w:val="00B72CD3"/>
    <w:rsid w:val="00B72FFF"/>
    <w:rsid w:val="00BC3D36"/>
    <w:rsid w:val="00BD54A6"/>
    <w:rsid w:val="00BD7F72"/>
    <w:rsid w:val="00BF652E"/>
    <w:rsid w:val="00BF7425"/>
    <w:rsid w:val="00C04FB3"/>
    <w:rsid w:val="00C11D8B"/>
    <w:rsid w:val="00C15139"/>
    <w:rsid w:val="00C330EB"/>
    <w:rsid w:val="00C50D69"/>
    <w:rsid w:val="00C5365C"/>
    <w:rsid w:val="00C754BE"/>
    <w:rsid w:val="00C76B1C"/>
    <w:rsid w:val="00C925AC"/>
    <w:rsid w:val="00CB6357"/>
    <w:rsid w:val="00CC1B26"/>
    <w:rsid w:val="00CD58ED"/>
    <w:rsid w:val="00D361FD"/>
    <w:rsid w:val="00D423A2"/>
    <w:rsid w:val="00D44E26"/>
    <w:rsid w:val="00D520D8"/>
    <w:rsid w:val="00D63AC2"/>
    <w:rsid w:val="00D7383B"/>
    <w:rsid w:val="00D7788A"/>
    <w:rsid w:val="00DA231B"/>
    <w:rsid w:val="00DC39FC"/>
    <w:rsid w:val="00DF4135"/>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D6D66"/>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B5C8D"/>
    <w:rPr>
      <w:rFonts w:ascii="Geomanist Light" w:hAnsi="Geomanist Light"/>
      <w:lang w:val="es-ES"/>
    </w:rPr>
  </w:style>
  <w:style w:type="paragraph" w:customStyle="1" w:styleId="Appelnotedebasde">
    <w:name w:val="Appel note de bas de..."/>
    <w:basedOn w:val="Normal"/>
    <w:link w:val="Refdenotaalpie"/>
    <w:uiPriority w:val="99"/>
    <w:rsid w:val="003B5C8D"/>
    <w:pPr>
      <w:spacing w:line="240" w:lineRule="exact"/>
    </w:pPr>
    <w:rPr>
      <w:vertAlign w:val="superscript"/>
    </w:rPr>
  </w:style>
  <w:style w:type="character" w:customStyle="1" w:styleId="baj">
    <w:name w:val="b_aj"/>
    <w:basedOn w:val="Fuentedeprrafopredeter"/>
    <w:rsid w:val="003B5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eyvavillegasandrea@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tmp"/><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customXml/itemProps2.xml><?xml version="1.0" encoding="utf-8"?>
<ds:datastoreItem xmlns:ds="http://schemas.openxmlformats.org/officeDocument/2006/customXml" ds:itemID="{F36BAAC9-5298-456A-8863-E74E3A94967A}"/>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23</Pages>
  <Words>7809</Words>
  <Characters>42950</Characters>
  <Application>Microsoft Office Word</Application>
  <DocSecurity>0</DocSecurity>
  <Lines>357</Lines>
  <Paragraphs>101</Paragraphs>
  <ScaleCrop>false</ScaleCrop>
  <Company/>
  <LinksUpToDate>false</LinksUpToDate>
  <CharactersWithSpaces>50658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3</cp:revision>
  <cp:lastPrinted>2023-01-10T21:18:00Z</cp:lastPrinted>
  <dcterms:created xsi:type="dcterms:W3CDTF">2025-12-11T12:42:00Z</dcterms:created>
  <dcterms:modified xsi:type="dcterms:W3CDTF">2025-12-23T12:07:00Z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