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F6834" w14:textId="77777777" w:rsidR="005E6A25" w:rsidRPr="000239A6" w:rsidRDefault="005E6A25" w:rsidP="005E6A25">
      <w:pPr>
        <w:spacing w:after="0" w:line="240" w:lineRule="auto"/>
        <w:contextualSpacing/>
        <w:jc w:val="both"/>
        <w:rPr>
          <w:rFonts w:ascii="Verdana" w:eastAsia="Calibri" w:hAnsi="Verdana" w:cs="Arial"/>
          <w:b/>
          <w:bCs/>
          <w:sz w:val="20"/>
          <w:szCs w:val="20"/>
          <w:lang w:val="es-MX" w:eastAsia="es-ES_tradnl"/>
          <w14:ligatures w14:val="standardContextual"/>
        </w:rPr>
      </w:pPr>
    </w:p>
    <w:p w14:paraId="721D4AB6" w14:textId="77777777" w:rsidR="005E6A25" w:rsidRPr="000239A6" w:rsidRDefault="005E6A25" w:rsidP="005E6A25">
      <w:pPr>
        <w:spacing w:after="0" w:line="240" w:lineRule="auto"/>
        <w:contextualSpacing/>
        <w:jc w:val="both"/>
        <w:rPr>
          <w:rFonts w:ascii="Verdana" w:eastAsia="Calibri" w:hAnsi="Verdana" w:cs="Arial"/>
          <w:b/>
          <w:bCs/>
          <w:lang w:val="es-MX" w:eastAsia="es-ES_tradnl"/>
          <w14:ligatures w14:val="standardContextual"/>
        </w:rPr>
      </w:pPr>
      <w:r w:rsidRPr="000239A6">
        <w:rPr>
          <w:rFonts w:ascii="Verdana" w:eastAsia="Calibri" w:hAnsi="Verdana" w:cs="Arial"/>
          <w:b/>
          <w:bCs/>
          <w:lang w:val="es-MX" w:eastAsia="es-ES_tradnl"/>
          <w14:ligatures w14:val="standardContextual"/>
        </w:rPr>
        <w:t>DETERMINACIÓN DEL VALOR DEL CONTRATO – Etapa de planeación – Metodologías – Factores que inciden</w:t>
      </w:r>
    </w:p>
    <w:p w14:paraId="68C80E51" w14:textId="77777777" w:rsidR="005E6A25" w:rsidRPr="000239A6" w:rsidRDefault="005E6A25" w:rsidP="005E6A25">
      <w:pPr>
        <w:spacing w:after="0" w:line="240" w:lineRule="auto"/>
        <w:contextualSpacing/>
        <w:jc w:val="both"/>
        <w:rPr>
          <w:rFonts w:ascii="Verdana" w:eastAsia="Calibri" w:hAnsi="Verdana" w:cs="Arial"/>
          <w:b/>
          <w:bCs/>
          <w:sz w:val="20"/>
          <w:szCs w:val="20"/>
          <w:lang w:val="es-MX" w:eastAsia="es-ES_tradnl"/>
          <w14:ligatures w14:val="standardContextual"/>
        </w:rPr>
      </w:pPr>
    </w:p>
    <w:p w14:paraId="5DDA3056" w14:textId="77777777" w:rsidR="005E6A25" w:rsidRPr="000239A6" w:rsidRDefault="005E6A25" w:rsidP="005E6A25">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0239A6">
        <w:rPr>
          <w:rFonts w:ascii="Verdana" w:eastAsia="Times New Roman" w:hAnsi="Verdana" w:cs="Arial"/>
          <w:noProof/>
          <w:sz w:val="20"/>
          <w:szCs w:val="20"/>
          <w:lang w:val="es-ES_tradnl" w:eastAsia="es-ES_tradnl"/>
          <w14:ligatures w14:val="standardContextua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epara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14:paraId="167D3733" w14:textId="77777777" w:rsidR="005E6A25" w:rsidRPr="000239A6" w:rsidRDefault="005E6A25" w:rsidP="005E6A25">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5CBB5ED7" w14:textId="77777777" w:rsidR="005E6A25" w:rsidRPr="000239A6" w:rsidRDefault="005E6A25" w:rsidP="005E6A25">
      <w:pPr>
        <w:spacing w:after="0" w:line="240" w:lineRule="auto"/>
        <w:contextualSpacing/>
        <w:jc w:val="both"/>
        <w:rPr>
          <w:rFonts w:ascii="Verdana" w:eastAsia="Calibri" w:hAnsi="Verdana" w:cs="Arial"/>
          <w:b/>
          <w:bCs/>
          <w:lang w:val="es-MX" w:eastAsia="es-ES_tradnl"/>
          <w14:ligatures w14:val="standardContextual"/>
        </w:rPr>
      </w:pPr>
      <w:r w:rsidRPr="000239A6">
        <w:rPr>
          <w:rFonts w:ascii="Verdana" w:eastAsia="Calibri" w:hAnsi="Verdana" w:cs="Arial"/>
          <w:b/>
          <w:bCs/>
          <w:lang w:val="es-MX" w:eastAsia="es-ES_tradnl"/>
          <w14:ligatures w14:val="standardContextual"/>
        </w:rPr>
        <w:t>SISTEMA DE FACTOR MULTIPLICADOR – Noción – Costos directos – Imputables al contrato</w:t>
      </w:r>
    </w:p>
    <w:p w14:paraId="1B324A9B" w14:textId="77777777" w:rsidR="005E6A25" w:rsidRPr="000239A6" w:rsidRDefault="005E6A25" w:rsidP="005E6A25">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7364D062" w14:textId="77777777" w:rsidR="005E6A25" w:rsidRPr="000239A6" w:rsidRDefault="005E6A25" w:rsidP="005E6A25">
      <w:pPr>
        <w:spacing w:after="0" w:line="240" w:lineRule="auto"/>
        <w:jc w:val="both"/>
        <w:rPr>
          <w:rFonts w:ascii="Verdana" w:eastAsia="Geomanist Light" w:hAnsi="Verdana" w:cs="Arial"/>
          <w:sz w:val="20"/>
          <w:szCs w:val="20"/>
          <w:lang w:val="es-MX"/>
        </w:rPr>
      </w:pPr>
      <w:r w:rsidRPr="000239A6">
        <w:rPr>
          <w:rFonts w:ascii="Verdana" w:eastAsia="Times New Roman" w:hAnsi="Verdana" w:cs="Arial"/>
          <w:noProof/>
          <w:sz w:val="20"/>
          <w:szCs w:val="20"/>
          <w:lang w:val="es-ES_tradnl" w:eastAsia="es-ES_tradnl"/>
          <w14:ligatures w14:val="standardContextual"/>
        </w:rPr>
        <w:t>[…] el factor multiplicador es una metodología permite imputar al contrato los costos directos asociados a prestaciones laborales y sociales del personal vinculado con carácter exclusivo al proyecto, la utilidad del ingeniero y los costos de administración asociados al personal, afectando el valor parcial de la oferta por un factor multiplicador .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7D9B22A7" w14:textId="77777777" w:rsidR="005E6A25" w:rsidRPr="000239A6" w:rsidRDefault="005E6A25" w:rsidP="005E6A25">
      <w:pPr>
        <w:spacing w:after="0" w:line="240" w:lineRule="auto"/>
        <w:rPr>
          <w:rFonts w:ascii="Verdana" w:eastAsia="Geomanist Light" w:hAnsi="Verdana" w:cs="Arial"/>
          <w:sz w:val="20"/>
          <w:szCs w:val="20"/>
          <w:lang w:val="es-MX"/>
        </w:rPr>
      </w:pPr>
    </w:p>
    <w:p w14:paraId="438D65D1" w14:textId="77777777" w:rsidR="005E6A25" w:rsidRPr="000239A6" w:rsidRDefault="005E6A25" w:rsidP="005E6A25">
      <w:pPr>
        <w:spacing w:after="0" w:line="240" w:lineRule="auto"/>
        <w:jc w:val="both"/>
        <w:rPr>
          <w:rFonts w:ascii="Verdana" w:eastAsia="Calibri" w:hAnsi="Verdana" w:cs="Arial"/>
          <w:b/>
          <w:bCs/>
          <w:lang w:val="es-ES" w:eastAsia="es-ES"/>
        </w:rPr>
      </w:pPr>
      <w:r w:rsidRPr="000239A6">
        <w:rPr>
          <w:rFonts w:ascii="Verdana" w:eastAsia="Calibri" w:hAnsi="Verdana" w:cs="Arial"/>
          <w:b/>
          <w:bCs/>
        </w:rPr>
        <w:t>FACTOR MULTIPLICADOR – Costos – Determinación</w:t>
      </w:r>
    </w:p>
    <w:p w14:paraId="2287D43A" w14:textId="77777777" w:rsidR="005E6A25" w:rsidRDefault="005E6A25" w:rsidP="005E6A25">
      <w:pPr>
        <w:spacing w:after="0" w:line="240" w:lineRule="auto"/>
        <w:jc w:val="both"/>
        <w:rPr>
          <w:rFonts w:ascii="Verdana" w:eastAsia="Geomanist Light" w:hAnsi="Verdana" w:cs="Arial"/>
          <w:sz w:val="20"/>
          <w:szCs w:val="20"/>
          <w:lang w:val="es-MX"/>
        </w:rPr>
      </w:pPr>
    </w:p>
    <w:p w14:paraId="4FE56B9E" w14:textId="77777777" w:rsidR="005E6A25" w:rsidRPr="000239A6" w:rsidRDefault="005E6A25" w:rsidP="005E6A25">
      <w:pPr>
        <w:spacing w:after="0" w:line="240" w:lineRule="auto"/>
        <w:jc w:val="both"/>
        <w:rPr>
          <w:rFonts w:ascii="Verdana" w:eastAsia="Geomanist Light" w:hAnsi="Verdana" w:cs="Arial"/>
          <w:sz w:val="20"/>
          <w:szCs w:val="20"/>
          <w:lang w:val="es-MX"/>
        </w:rPr>
      </w:pPr>
      <w:r>
        <w:rPr>
          <w:rFonts w:ascii="Verdana" w:eastAsia="Calibri" w:hAnsi="Verdana" w:cs="Arial"/>
          <w:color w:val="000000"/>
          <w:sz w:val="20"/>
          <w:szCs w:val="20"/>
          <w:lang w:val="es-MX"/>
        </w:rPr>
        <w:t>S</w:t>
      </w:r>
      <w:r w:rsidRPr="000239A6">
        <w:rPr>
          <w:rFonts w:ascii="Verdana" w:eastAsia="Calibri" w:hAnsi="Verdana" w:cs="Arial"/>
          <w:color w:val="000000"/>
          <w:sz w:val="20"/>
          <w:szCs w:val="20"/>
        </w:rPr>
        <w:t xml:space="preserve">i el factor multiplicador se usa para determinar costos, el contratista debe demostrar el gasto de cada componente. Si ciertos costos no se generan (por ejemplo, si el personal no requiere prestaciones), el contrato debería modificarse para reducir el % correspondiente. Si la interventoría presentó un informe de proyección de gastos, pero este no fue parte del contrato, la entidad aún puede exigirle soportes de gastos reales. Si los costos directos (ejemplo: nómina, laboratorios) son menores a lo presupuestado, </w:t>
      </w:r>
      <w:r w:rsidRPr="000239A6">
        <w:rPr>
          <w:rFonts w:ascii="Verdana" w:eastAsia="Calibri" w:hAnsi="Verdana" w:cs="Arial"/>
          <w:color w:val="000000"/>
          <w:sz w:val="20"/>
          <w:szCs w:val="20"/>
        </w:rPr>
        <w:lastRenderedPageBreak/>
        <w:t xml:space="preserve">el saldo no ejecutado debería liberarse y no ser facturado sin justificación. En conclusión, los valores facturados deben corresponder a costos reales soportados. </w:t>
      </w:r>
    </w:p>
    <w:p w14:paraId="54DDF450" w14:textId="77777777" w:rsidR="005E6A25" w:rsidRPr="000239A6" w:rsidRDefault="005E6A25" w:rsidP="005E6A25">
      <w:pPr>
        <w:spacing w:after="0" w:line="240" w:lineRule="auto"/>
        <w:rPr>
          <w:rFonts w:ascii="Verdana" w:eastAsia="Geomanist Light" w:hAnsi="Verdana" w:cs="Arial"/>
          <w:sz w:val="20"/>
          <w:szCs w:val="20"/>
          <w:lang w:val="es-MX"/>
        </w:rPr>
      </w:pPr>
    </w:p>
    <w:p w14:paraId="61F27EA5" w14:textId="77777777" w:rsidR="005E6A25" w:rsidRPr="000239A6" w:rsidRDefault="005E6A25" w:rsidP="005E6A25">
      <w:pPr>
        <w:spacing w:after="0" w:line="240" w:lineRule="auto"/>
        <w:jc w:val="both"/>
        <w:rPr>
          <w:rFonts w:ascii="Verdana" w:eastAsia="Calibri" w:hAnsi="Verdana" w:cs="Arial"/>
          <w:b/>
          <w:bCs/>
          <w:lang w:val="es-ES" w:eastAsia="es-ES"/>
        </w:rPr>
      </w:pPr>
      <w:r>
        <w:rPr>
          <w:rFonts w:ascii="Verdana" w:eastAsia="Calibri" w:hAnsi="Verdana" w:cs="Arial"/>
          <w:b/>
          <w:bCs/>
        </w:rPr>
        <w:t>REESTRUCTURACIÓN</w:t>
      </w:r>
      <w:r w:rsidRPr="000239A6">
        <w:rPr>
          <w:rFonts w:ascii="Verdana" w:eastAsia="Calibri" w:hAnsi="Verdana" w:cs="Arial"/>
          <w:b/>
          <w:bCs/>
        </w:rPr>
        <w:t xml:space="preserve"> – </w:t>
      </w:r>
      <w:r>
        <w:rPr>
          <w:rFonts w:ascii="Verdana" w:eastAsia="Calibri" w:hAnsi="Verdana" w:cs="Arial"/>
          <w:b/>
          <w:bCs/>
        </w:rPr>
        <w:t>Factor multiplicador</w:t>
      </w:r>
      <w:r w:rsidRPr="000239A6">
        <w:rPr>
          <w:rFonts w:ascii="Verdana" w:eastAsia="Calibri" w:hAnsi="Verdana" w:cs="Arial"/>
          <w:b/>
          <w:bCs/>
        </w:rPr>
        <w:t xml:space="preserve"> – </w:t>
      </w:r>
      <w:r>
        <w:rPr>
          <w:rFonts w:ascii="Verdana" w:eastAsia="Calibri" w:hAnsi="Verdana" w:cs="Arial"/>
          <w:b/>
          <w:bCs/>
        </w:rPr>
        <w:t xml:space="preserve">Ausencia de obligatoriedad – Principio de planeación y buena fe </w:t>
      </w:r>
    </w:p>
    <w:p w14:paraId="2EF17B20" w14:textId="77777777" w:rsidR="005E6A25" w:rsidRDefault="005E6A25" w:rsidP="005E6A25">
      <w:pPr>
        <w:spacing w:after="0" w:line="240" w:lineRule="auto"/>
        <w:jc w:val="both"/>
        <w:rPr>
          <w:rFonts w:ascii="Verdana" w:eastAsia="Geomanist Light" w:hAnsi="Verdana" w:cs="Arial"/>
          <w:sz w:val="20"/>
          <w:szCs w:val="20"/>
          <w:lang w:val="es-MX"/>
        </w:rPr>
      </w:pPr>
    </w:p>
    <w:p w14:paraId="010D45C8" w14:textId="77777777" w:rsidR="005E6A25" w:rsidRDefault="005E6A25" w:rsidP="005E6A25">
      <w:pPr>
        <w:spacing w:after="0" w:line="240" w:lineRule="auto"/>
        <w:jc w:val="both"/>
        <w:rPr>
          <w:rFonts w:ascii="Verdana" w:eastAsia="Calibri" w:hAnsi="Verdana" w:cs="Arial"/>
          <w:color w:val="000000"/>
          <w:sz w:val="20"/>
          <w:szCs w:val="20"/>
          <w:lang w:val="es-MX"/>
        </w:rPr>
      </w:pPr>
      <w:r>
        <w:rPr>
          <w:rFonts w:ascii="Verdana" w:eastAsia="Calibri" w:hAnsi="Verdana" w:cs="Arial"/>
          <w:color w:val="000000"/>
          <w:sz w:val="20"/>
          <w:szCs w:val="20"/>
          <w:lang w:val="es-MX"/>
        </w:rPr>
        <w:t>E</w:t>
      </w:r>
      <w:r w:rsidRPr="001467C7">
        <w:rPr>
          <w:rFonts w:ascii="Verdana" w:eastAsia="Calibri" w:hAnsi="Verdana" w:cs="Arial"/>
          <w:color w:val="000000"/>
          <w:sz w:val="20"/>
          <w:szCs w:val="20"/>
          <w:lang w:val="es-MX"/>
        </w:rPr>
        <w:t>l deber de planeación no es privativo de las entidades públicas, por lo que también se extiende a los interesados en el proceso de selección. Al respecto, la Subsección A de la Sección Tercera del Consejo de Estado –en Sentencia del 21 de febrero de 2025, Exp. 71583, con ponencia del Consejero Fernando Alexei Pardo Flórez– explica que “El deber de planeación, y las cargas de advertencia y previsión, propias de la autonomía privada de la voluntad, impiden que la contratista obtenga reconocimientos económicos derivados de fallas en la estructuración del negocio que debieron ser advertidas desde la fase de formación del acuerdo de voluntades […]”.</w:t>
      </w:r>
    </w:p>
    <w:p w14:paraId="753AC43F" w14:textId="77777777" w:rsidR="005E6A25" w:rsidRPr="001467C7" w:rsidRDefault="005E6A25" w:rsidP="005E6A25">
      <w:pPr>
        <w:spacing w:after="0" w:line="240" w:lineRule="auto"/>
        <w:jc w:val="both"/>
        <w:rPr>
          <w:rFonts w:ascii="Verdana" w:eastAsia="Calibri" w:hAnsi="Verdana" w:cs="Arial"/>
          <w:color w:val="000000"/>
          <w:sz w:val="20"/>
          <w:szCs w:val="20"/>
          <w:lang w:val="es-MX"/>
        </w:rPr>
      </w:pPr>
    </w:p>
    <w:p w14:paraId="6A87A6BD" w14:textId="77777777" w:rsidR="005E6A25" w:rsidRDefault="005E6A25" w:rsidP="005E6A25">
      <w:pPr>
        <w:spacing w:after="0" w:line="240" w:lineRule="auto"/>
        <w:jc w:val="both"/>
        <w:rPr>
          <w:rFonts w:ascii="Verdana" w:eastAsia="Calibri" w:hAnsi="Verdana" w:cs="Arial"/>
          <w:color w:val="000000"/>
          <w:sz w:val="20"/>
          <w:szCs w:val="20"/>
          <w:lang w:val="es-MX"/>
        </w:rPr>
      </w:pPr>
      <w:r w:rsidRPr="001467C7">
        <w:rPr>
          <w:rFonts w:ascii="Verdana" w:eastAsia="Calibri" w:hAnsi="Verdana" w:cs="Arial"/>
          <w:color w:val="000000"/>
          <w:sz w:val="20"/>
          <w:szCs w:val="20"/>
          <w:lang w:val="es-MX"/>
        </w:rPr>
        <w:t>Es decir, si existían inquietudes sobre los componentes del factor multiplicador, los interesados tuvieron la oportunidad de formular observaciones para aclarar sus dudas. En este sentido, el artículo 24.2 del Estatuto General de Contratación de la Administración Pública dispone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Así, los proponentes pueden observar tanto el proyecto de pliego como el pliego de condiciones definitivo con el propósito de esclarecer aspectos del proceso.</w:t>
      </w:r>
    </w:p>
    <w:p w14:paraId="71147DA5" w14:textId="77777777" w:rsidR="005E6A25" w:rsidRPr="001467C7" w:rsidRDefault="005E6A25" w:rsidP="005E6A25">
      <w:pPr>
        <w:spacing w:after="0" w:line="240" w:lineRule="auto"/>
        <w:jc w:val="both"/>
        <w:rPr>
          <w:rFonts w:ascii="Verdana" w:eastAsia="Calibri" w:hAnsi="Verdana" w:cs="Arial"/>
          <w:color w:val="000000"/>
          <w:sz w:val="20"/>
          <w:szCs w:val="20"/>
          <w:lang w:val="es-MX"/>
        </w:rPr>
      </w:pPr>
    </w:p>
    <w:p w14:paraId="3A250CBE" w14:textId="77777777" w:rsidR="005E6A25" w:rsidRDefault="005E6A25" w:rsidP="005E6A25">
      <w:pPr>
        <w:spacing w:after="0" w:line="240" w:lineRule="auto"/>
        <w:jc w:val="both"/>
        <w:rPr>
          <w:rFonts w:ascii="Verdana" w:eastAsia="Calibri" w:hAnsi="Verdana" w:cs="Arial"/>
          <w:color w:val="000000"/>
          <w:sz w:val="20"/>
          <w:szCs w:val="20"/>
          <w:lang w:val="es-MX"/>
        </w:rPr>
      </w:pPr>
      <w:r w:rsidRPr="001467C7">
        <w:rPr>
          <w:rFonts w:ascii="Verdana" w:eastAsia="Calibri" w:hAnsi="Verdana" w:cs="Arial"/>
          <w:color w:val="000000"/>
          <w:sz w:val="20"/>
          <w:szCs w:val="20"/>
          <w:lang w:val="es-MX"/>
        </w:rPr>
        <w:t>En este contexto, bajo el criterio de que “nadie puede beneficiarse de su propia culpa”, se restringe a los contratistas la posibilidad de solicitar reconocimientos económicos derivados de fallas de planeación que debieron advertir a la entidad contratante antes del perfeccionamiento del contrato. Si bien el parágrafo del artículo 40 de la Ley 80 de 1993 dispone que “Los contratos no podrán adicionarse en más del cincuenta por ciento (50%) de su valor inicial, expresado éste en salarios mínimos legales mensuales”, el Estado no se encuentra obligado a reestructurar el porcentaje ni los componentes del factor multiplicador, pues las modificaciones contractuales no son un derecho del contratista.</w:t>
      </w:r>
    </w:p>
    <w:p w14:paraId="3A669AC8" w14:textId="77777777" w:rsidR="005E6A25" w:rsidRDefault="005E6A25" w:rsidP="005E6A25">
      <w:pPr>
        <w:spacing w:after="0" w:line="240" w:lineRule="auto"/>
        <w:rPr>
          <w:rFonts w:ascii="Verdana" w:eastAsia="Calibri" w:hAnsi="Verdana" w:cs="Arial"/>
          <w:color w:val="000000"/>
          <w:sz w:val="20"/>
          <w:szCs w:val="20"/>
          <w:lang w:val="es-MX"/>
        </w:rPr>
      </w:pPr>
    </w:p>
    <w:p w14:paraId="0D4CC89F" w14:textId="77777777" w:rsidR="005E6A25" w:rsidRDefault="005E6A25" w:rsidP="005E6A25">
      <w:pPr>
        <w:spacing w:after="0" w:line="240" w:lineRule="auto"/>
        <w:rPr>
          <w:rFonts w:ascii="Verdana" w:eastAsia="Calibri" w:hAnsi="Verdana" w:cs="Arial"/>
          <w:color w:val="000000"/>
          <w:sz w:val="20"/>
          <w:szCs w:val="20"/>
          <w:lang w:val="es-MX"/>
        </w:rPr>
      </w:pPr>
    </w:p>
    <w:p w14:paraId="55B926B2" w14:textId="77777777" w:rsidR="005E6A25" w:rsidRDefault="005E6A25" w:rsidP="005E6A25">
      <w:pPr>
        <w:spacing w:after="0" w:line="240" w:lineRule="auto"/>
        <w:rPr>
          <w:rFonts w:ascii="Verdana" w:eastAsia="Calibri" w:hAnsi="Verdana" w:cs="Arial"/>
          <w:color w:val="000000"/>
          <w:sz w:val="20"/>
          <w:szCs w:val="20"/>
          <w:lang w:val="es-MX"/>
        </w:rPr>
      </w:pPr>
    </w:p>
    <w:p w14:paraId="3B0E5793" w14:textId="77777777" w:rsidR="005E6A25" w:rsidRDefault="005E6A25" w:rsidP="005E6A25">
      <w:pPr>
        <w:spacing w:after="0" w:line="240" w:lineRule="auto"/>
        <w:rPr>
          <w:rFonts w:ascii="Verdana" w:eastAsia="Calibri" w:hAnsi="Verdana" w:cs="Arial"/>
          <w:color w:val="000000"/>
          <w:sz w:val="20"/>
          <w:szCs w:val="20"/>
          <w:lang w:val="es-MX"/>
        </w:rPr>
      </w:pPr>
    </w:p>
    <w:p w14:paraId="3042853C" w14:textId="77777777" w:rsidR="005E6A25" w:rsidRDefault="005E6A25" w:rsidP="005E6A25">
      <w:pPr>
        <w:spacing w:after="0" w:line="240" w:lineRule="auto"/>
        <w:rPr>
          <w:rFonts w:ascii="Verdana" w:eastAsia="Calibri" w:hAnsi="Verdana" w:cs="Arial"/>
          <w:color w:val="000000"/>
          <w:sz w:val="20"/>
          <w:szCs w:val="20"/>
          <w:lang w:val="es-MX"/>
        </w:rPr>
      </w:pPr>
    </w:p>
    <w:p w14:paraId="02FE18AE" w14:textId="77777777" w:rsidR="005E6A25" w:rsidRDefault="005E6A25" w:rsidP="005E6A25">
      <w:pPr>
        <w:spacing w:after="0" w:line="240" w:lineRule="auto"/>
        <w:rPr>
          <w:rFonts w:ascii="Verdana" w:eastAsia="Calibri" w:hAnsi="Verdana" w:cs="Arial"/>
          <w:color w:val="000000"/>
          <w:sz w:val="20"/>
          <w:szCs w:val="20"/>
          <w:lang w:val="es-MX"/>
        </w:rPr>
      </w:pPr>
    </w:p>
    <w:p w14:paraId="6905826E" w14:textId="77777777" w:rsidR="005E6A25" w:rsidRDefault="005E6A25" w:rsidP="005E6A25">
      <w:pPr>
        <w:spacing w:after="0" w:line="240" w:lineRule="auto"/>
        <w:rPr>
          <w:rFonts w:ascii="Verdana" w:eastAsia="Calibri" w:hAnsi="Verdana" w:cs="Arial"/>
          <w:color w:val="000000"/>
          <w:sz w:val="20"/>
          <w:szCs w:val="20"/>
          <w:lang w:val="es-MX"/>
        </w:rPr>
      </w:pPr>
    </w:p>
    <w:p w14:paraId="1369B126" w14:textId="77777777" w:rsidR="005E6A25" w:rsidRDefault="005E6A25" w:rsidP="005E6A25">
      <w:pPr>
        <w:spacing w:after="0" w:line="240" w:lineRule="auto"/>
        <w:rPr>
          <w:rFonts w:ascii="Verdana" w:eastAsia="Calibri" w:hAnsi="Verdana" w:cs="Arial"/>
          <w:color w:val="000000"/>
          <w:sz w:val="20"/>
          <w:szCs w:val="20"/>
          <w:lang w:val="es-MX"/>
        </w:rPr>
      </w:pPr>
    </w:p>
    <w:p w14:paraId="58BDBA99" w14:textId="77777777" w:rsidR="005E6A25" w:rsidRDefault="005E6A25" w:rsidP="005E6A25">
      <w:pPr>
        <w:spacing w:after="0" w:line="240" w:lineRule="auto"/>
        <w:rPr>
          <w:rFonts w:ascii="Verdana" w:eastAsia="Calibri" w:hAnsi="Verdana" w:cs="Arial"/>
          <w:color w:val="000000"/>
          <w:sz w:val="20"/>
          <w:szCs w:val="20"/>
          <w:lang w:val="es-MX"/>
        </w:rPr>
      </w:pPr>
    </w:p>
    <w:p w14:paraId="456DD325" w14:textId="77777777" w:rsidR="005E6A25" w:rsidRDefault="005E6A25" w:rsidP="00367F09">
      <w:pPr>
        <w:spacing w:after="0" w:line="240" w:lineRule="auto"/>
        <w:rPr>
          <w:rFonts w:ascii="Verdana" w:eastAsia="Calibri" w:hAnsi="Verdana" w:cs="Arial"/>
          <w:color w:val="000000"/>
          <w:sz w:val="20"/>
          <w:szCs w:val="20"/>
          <w:lang w:val="es-MX"/>
        </w:rPr>
      </w:pPr>
    </w:p>
    <w:p w14:paraId="0C1416CC" w14:textId="77777777" w:rsidR="005E6A25" w:rsidRDefault="005E6A25" w:rsidP="00367F09">
      <w:pPr>
        <w:spacing w:after="0" w:line="240" w:lineRule="auto"/>
        <w:rPr>
          <w:rFonts w:ascii="Verdana" w:eastAsia="Geomanist Light" w:hAnsi="Verdana" w:cs="Arial"/>
          <w:color w:val="000000" w:themeColor="text1"/>
          <w:lang w:val="es-MX"/>
        </w:rPr>
      </w:pPr>
    </w:p>
    <w:p w14:paraId="5DACBBC4" w14:textId="7F3E1762" w:rsidR="00367F09" w:rsidRPr="00593A5F" w:rsidRDefault="00367F09" w:rsidP="00367F0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76615A" w:rsidRPr="0076615A">
        <w:rPr>
          <w:rFonts w:ascii="Verdana" w:eastAsia="Geomanist Light" w:hAnsi="Verdana" w:cs="Arial"/>
          <w:color w:val="000000" w:themeColor="text1"/>
          <w:lang w:val="es-MX"/>
        </w:rPr>
        <w:t>22 de Diciembre de 2025</w:t>
      </w:r>
    </w:p>
    <w:p w14:paraId="46AC330E" w14:textId="77777777" w:rsidR="00367F09" w:rsidRDefault="00367F09" w:rsidP="00367F09">
      <w:pPr>
        <w:spacing w:after="0" w:line="240" w:lineRule="auto"/>
        <w:jc w:val="both"/>
        <w:rPr>
          <w:rFonts w:ascii="Verdana" w:eastAsia="Calibri" w:hAnsi="Verdana" w:cs="Arial"/>
          <w:color w:val="000000"/>
          <w:lang w:val="es-ES"/>
        </w:rPr>
      </w:pPr>
    </w:p>
    <w:p w14:paraId="257A7804" w14:textId="530015DE" w:rsidR="0076615A" w:rsidRDefault="0076615A" w:rsidP="0076615A">
      <w:pPr>
        <w:spacing w:after="0" w:line="240" w:lineRule="auto"/>
        <w:jc w:val="right"/>
        <w:rPr>
          <w:rFonts w:ascii="Verdana" w:eastAsia="Calibri" w:hAnsi="Verdana" w:cs="Arial"/>
          <w:color w:val="000000"/>
          <w:lang w:val="es-ES"/>
        </w:rPr>
      </w:pPr>
      <w:r w:rsidRPr="0076615A">
        <w:rPr>
          <w:rFonts w:ascii="Verdana" w:eastAsia="Calibri" w:hAnsi="Verdana" w:cs="Arial"/>
          <w:noProof/>
          <w:color w:val="000000"/>
          <w:lang w:val="es-ES"/>
        </w:rPr>
        <w:drawing>
          <wp:inline distT="0" distB="0" distL="0" distR="0" wp14:anchorId="4553C8C7" wp14:editId="3A4A600C">
            <wp:extent cx="3238500" cy="901700"/>
            <wp:effectExtent l="0" t="0" r="0" b="0"/>
            <wp:docPr id="4014618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461847" name=""/>
                    <pic:cNvPicPr/>
                  </pic:nvPicPr>
                  <pic:blipFill>
                    <a:blip r:embed="rId10"/>
                    <a:stretch>
                      <a:fillRect/>
                    </a:stretch>
                  </pic:blipFill>
                  <pic:spPr>
                    <a:xfrm>
                      <a:off x="0" y="0"/>
                      <a:ext cx="3238500" cy="901700"/>
                    </a:xfrm>
                    <a:prstGeom prst="rect">
                      <a:avLst/>
                    </a:prstGeom>
                  </pic:spPr>
                </pic:pic>
              </a:graphicData>
            </a:graphic>
          </wp:inline>
        </w:drawing>
      </w:r>
    </w:p>
    <w:p w14:paraId="572F8CA8" w14:textId="77777777" w:rsidR="00367F09" w:rsidRPr="00593A5F" w:rsidRDefault="00367F09" w:rsidP="00367F09">
      <w:pPr>
        <w:spacing w:after="0" w:line="240" w:lineRule="auto"/>
        <w:jc w:val="both"/>
        <w:rPr>
          <w:rFonts w:ascii="Verdana" w:eastAsia="Calibri" w:hAnsi="Verdana" w:cs="Arial"/>
          <w:color w:val="000000"/>
          <w:lang w:val="es-ES"/>
        </w:rPr>
      </w:pPr>
    </w:p>
    <w:p w14:paraId="5633EA70" w14:textId="77777777" w:rsidR="00367F09" w:rsidRPr="00B96799" w:rsidRDefault="00367F09" w:rsidP="00367F09">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20B5A9A0" w14:textId="77777777" w:rsidR="00367F09" w:rsidRPr="0085423D" w:rsidRDefault="00367F09" w:rsidP="00367F09">
      <w:pPr>
        <w:spacing w:after="0" w:line="240" w:lineRule="auto"/>
        <w:rPr>
          <w:rFonts w:ascii="Verdana" w:eastAsia="Calibri" w:hAnsi="Verdana" w:cs="Arial"/>
          <w:b/>
          <w:lang w:val="es-ES_tradnl" w:eastAsia="es-ES_tradnl"/>
        </w:rPr>
      </w:pPr>
      <w:r w:rsidRPr="00DD3241">
        <w:rPr>
          <w:rFonts w:ascii="Verdana" w:eastAsia="Calibri" w:hAnsi="Verdana" w:cs="Arial"/>
          <w:b/>
          <w:lang w:val="es-ES_tradnl" w:eastAsia="es-ES_tradnl"/>
        </w:rPr>
        <w:t>José Gregorio Gil Vanegas</w:t>
      </w:r>
      <w:r>
        <w:rPr>
          <w:rFonts w:ascii="Verdana" w:eastAsia="Calibri" w:hAnsi="Verdana" w:cs="Arial"/>
          <w:b/>
          <w:lang w:val="es-ES_tradnl" w:eastAsia="es-ES_tradnl"/>
        </w:rPr>
        <w:t xml:space="preserve"> </w:t>
      </w:r>
    </w:p>
    <w:p w14:paraId="743917EB" w14:textId="77777777" w:rsidR="00367F09" w:rsidRPr="00B40A30" w:rsidRDefault="00367F09" w:rsidP="00367F09">
      <w:pPr>
        <w:spacing w:after="0" w:line="240" w:lineRule="auto"/>
        <w:rPr>
          <w:rFonts w:ascii="Verdana" w:eastAsia="Calibri" w:hAnsi="Verdana" w:cs="Arial"/>
          <w:lang w:val="es-ES" w:eastAsia="es-ES"/>
        </w:rPr>
      </w:pPr>
      <w:hyperlink r:id="rId11" w:history="1">
        <w:r w:rsidRPr="00737FDD">
          <w:rPr>
            <w:rStyle w:val="Hipervnculo"/>
            <w:rFonts w:ascii="Verdana" w:hAnsi="Verdana"/>
          </w:rPr>
          <w:t>gregoriogil96@gmail.com</w:t>
        </w:r>
      </w:hyperlink>
      <w:r>
        <w:rPr>
          <w:rFonts w:ascii="Verdana" w:hAnsi="Verdana"/>
        </w:rPr>
        <w:t xml:space="preserve"> </w:t>
      </w:r>
      <w:r w:rsidRPr="00B40A30">
        <w:rPr>
          <w:rFonts w:ascii="Verdana" w:hAnsi="Verdana"/>
        </w:rPr>
        <w:t xml:space="preserve">              </w:t>
      </w:r>
      <w:r w:rsidRPr="00B40A30">
        <w:rPr>
          <w:rFonts w:ascii="Verdana" w:eastAsia="Calibri" w:hAnsi="Verdana" w:cs="Arial"/>
          <w:lang w:val="es-ES" w:eastAsia="es-ES"/>
        </w:rPr>
        <w:t xml:space="preserve">    </w:t>
      </w:r>
    </w:p>
    <w:p w14:paraId="4D57866F" w14:textId="77777777" w:rsidR="00367F09" w:rsidRDefault="00367F09" w:rsidP="00367F09">
      <w:pPr>
        <w:spacing w:after="0" w:line="240" w:lineRule="auto"/>
        <w:rPr>
          <w:rFonts w:ascii="Verdana" w:eastAsia="Calibri" w:hAnsi="Verdana" w:cs="Arial"/>
          <w:lang w:val="es-ES" w:eastAsia="es-ES"/>
        </w:rPr>
      </w:pPr>
      <w:r>
        <w:rPr>
          <w:rFonts w:ascii="Verdana" w:eastAsia="Calibri" w:hAnsi="Verdana" w:cs="Arial"/>
          <w:lang w:val="es-ES" w:eastAsia="es-ES"/>
        </w:rPr>
        <w:t xml:space="preserve">Florencia, Caquetá </w:t>
      </w:r>
    </w:p>
    <w:p w14:paraId="31CD381A" w14:textId="77777777" w:rsidR="00367F09" w:rsidRPr="00593A5F" w:rsidRDefault="00367F09" w:rsidP="00367F09">
      <w:pPr>
        <w:spacing w:after="0" w:line="240" w:lineRule="auto"/>
        <w:rPr>
          <w:rFonts w:ascii="Verdana" w:eastAsia="Calibri" w:hAnsi="Verdana" w:cs="Arial"/>
          <w:b/>
          <w:bCs/>
          <w:color w:val="000000"/>
          <w:lang w:val="es-ES_tradnl" w:eastAsia="es-ES_tradnl"/>
        </w:rPr>
      </w:pPr>
    </w:p>
    <w:p w14:paraId="28EE06E0" w14:textId="77777777" w:rsidR="00367F09" w:rsidRPr="00593A5F" w:rsidRDefault="00367F09" w:rsidP="00367F0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67F09" w:rsidRPr="00593A5F" w14:paraId="6FE71B9E" w14:textId="77777777" w:rsidTr="003D216B">
        <w:trPr>
          <w:trHeight w:val="884"/>
        </w:trPr>
        <w:tc>
          <w:tcPr>
            <w:tcW w:w="2689" w:type="dxa"/>
          </w:tcPr>
          <w:p w14:paraId="4E8A9983" w14:textId="77777777" w:rsidR="00367F09" w:rsidRPr="00C00976" w:rsidRDefault="00367F09" w:rsidP="003D216B">
            <w:pPr>
              <w:jc w:val="both"/>
              <w:rPr>
                <w:rFonts w:ascii="Verdana" w:eastAsia="Calibri" w:hAnsi="Verdana" w:cs="Arial"/>
                <w:b/>
                <w:bCs/>
                <w:color w:val="7030A0"/>
                <w:lang w:val="es-ES_tradnl" w:eastAsia="es-ES_tradnl"/>
              </w:rPr>
            </w:pPr>
          </w:p>
        </w:tc>
        <w:tc>
          <w:tcPr>
            <w:tcW w:w="6100" w:type="dxa"/>
          </w:tcPr>
          <w:p w14:paraId="36302423" w14:textId="77777777" w:rsidR="00367F09" w:rsidRPr="00C00976" w:rsidRDefault="00367F09" w:rsidP="003D216B">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1613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367F09" w:rsidRPr="00593A5F" w14:paraId="4DBEAF3C" w14:textId="77777777" w:rsidTr="003D216B">
        <w:trPr>
          <w:trHeight w:val="884"/>
        </w:trPr>
        <w:tc>
          <w:tcPr>
            <w:tcW w:w="2689" w:type="dxa"/>
          </w:tcPr>
          <w:p w14:paraId="101B727D" w14:textId="77777777" w:rsidR="00367F09" w:rsidRPr="00593A5F" w:rsidRDefault="00367F09" w:rsidP="003D216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803E314" w14:textId="77777777" w:rsidR="00367F09" w:rsidRPr="00A11406" w:rsidRDefault="00367F09" w:rsidP="003D216B">
            <w:pPr>
              <w:spacing w:line="276" w:lineRule="auto"/>
              <w:jc w:val="both"/>
              <w:rPr>
                <w:rFonts w:ascii="Verdana" w:eastAsia="Calibri" w:hAnsi="Verdana" w:cs="Arial"/>
                <w:lang w:val="es-ES" w:eastAsia="es-ES"/>
              </w:rPr>
            </w:pPr>
            <w:r w:rsidRPr="000239A6">
              <w:rPr>
                <w:rFonts w:ascii="Verdana" w:eastAsia="Calibri" w:hAnsi="Verdana" w:cs="Arial"/>
                <w:lang w:val="es-ES" w:eastAsia="es-ES"/>
              </w:rPr>
              <w:t>DETERMINACIÓN DEL VALOR DEL CONTRATO – Etapa de planeación – Metodologías – Factores que inciden</w:t>
            </w:r>
            <w:r>
              <w:rPr>
                <w:rFonts w:ascii="Verdana" w:eastAsia="Calibri" w:hAnsi="Verdana" w:cs="Arial"/>
                <w:lang w:val="es-ES" w:eastAsia="es-ES"/>
              </w:rPr>
              <w:t xml:space="preserve"> / </w:t>
            </w:r>
            <w:r w:rsidRPr="000239A6">
              <w:rPr>
                <w:rFonts w:ascii="Verdana" w:eastAsia="Calibri" w:hAnsi="Verdana" w:cs="Arial"/>
                <w:lang w:val="es-ES" w:eastAsia="es-ES"/>
              </w:rPr>
              <w:t>SISTEMA DE FACTOR MULTIPLICADOR – Noción – Costos directos – Imputables al contrato</w:t>
            </w:r>
            <w:r>
              <w:rPr>
                <w:rFonts w:ascii="Verdana" w:eastAsia="Calibri" w:hAnsi="Verdana" w:cs="Arial"/>
                <w:lang w:val="es-ES" w:eastAsia="es-ES"/>
              </w:rPr>
              <w:t xml:space="preserve"> / </w:t>
            </w:r>
            <w:r w:rsidRPr="000239A6">
              <w:rPr>
                <w:rFonts w:ascii="Verdana" w:eastAsia="Calibri" w:hAnsi="Verdana" w:cs="Arial"/>
                <w:lang w:val="es-ES" w:eastAsia="es-ES"/>
              </w:rPr>
              <w:t>FACTOR MULTIPLICADOR – Costos – Determinación</w:t>
            </w:r>
            <w:r>
              <w:rPr>
                <w:rFonts w:ascii="Verdana" w:eastAsia="Calibri" w:hAnsi="Verdana" w:cs="Arial"/>
                <w:lang w:val="es-ES" w:eastAsia="es-ES"/>
              </w:rPr>
              <w:t xml:space="preserve"> / </w:t>
            </w:r>
            <w:r w:rsidRPr="001467C7">
              <w:rPr>
                <w:rFonts w:ascii="Verdana" w:eastAsia="Calibri" w:hAnsi="Verdana" w:cs="Arial"/>
                <w:lang w:val="es-ES" w:eastAsia="es-ES"/>
              </w:rPr>
              <w:t>REESTRUCTURACIÓN – Factor multiplicador – Ausencia de obligatoriedad – Principio de planeación y buena fe</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182B3C8D" w14:textId="77777777" w:rsidR="00367F09" w:rsidRPr="00593A5F" w:rsidRDefault="00367F09" w:rsidP="003D216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367F09" w:rsidRPr="008E6AD9" w14:paraId="1FCFFE6F" w14:textId="77777777" w:rsidTr="003D216B">
        <w:tc>
          <w:tcPr>
            <w:tcW w:w="2689" w:type="dxa"/>
          </w:tcPr>
          <w:p w14:paraId="27556B9D" w14:textId="77777777" w:rsidR="00367F09" w:rsidRPr="008E6AD9" w:rsidRDefault="00367F09" w:rsidP="003D216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30E1F35" w14:textId="77777777" w:rsidR="00367F09" w:rsidRPr="00B92340" w:rsidRDefault="00367F09" w:rsidP="003D216B">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8F7B63">
              <w:rPr>
                <w:rFonts w:ascii="Verdana" w:eastAsia="Calibri" w:hAnsi="Verdana" w:cs="Arial"/>
                <w:lang w:val="es-ES_tradnl" w:eastAsia="es-ES_tradnl"/>
              </w:rPr>
              <w:t>1_2025_12_12_013918</w:t>
            </w:r>
            <w:r>
              <w:rPr>
                <w:rFonts w:ascii="Verdana" w:eastAsia="Calibri" w:hAnsi="Verdana" w:cs="Arial"/>
                <w:lang w:val="es-ES_tradnl" w:eastAsia="es-ES_tradnl"/>
              </w:rPr>
              <w:t xml:space="preserve">                                   </w:t>
            </w:r>
          </w:p>
        </w:tc>
      </w:tr>
    </w:tbl>
    <w:p w14:paraId="0960BB6C" w14:textId="77777777" w:rsidR="00367F09" w:rsidRPr="00593A5F" w:rsidRDefault="00367F09" w:rsidP="00367F09">
      <w:pPr>
        <w:spacing w:after="0" w:line="240" w:lineRule="auto"/>
        <w:jc w:val="both"/>
        <w:rPr>
          <w:rFonts w:ascii="Verdana" w:eastAsia="Calibri" w:hAnsi="Verdana" w:cs="Arial"/>
          <w:color w:val="000000"/>
          <w:lang w:val="es-ES_tradnl" w:eastAsia="es-ES_tradnl"/>
        </w:rPr>
      </w:pPr>
    </w:p>
    <w:p w14:paraId="5F02E291" w14:textId="77777777" w:rsidR="00367F09" w:rsidRPr="00593A5F" w:rsidRDefault="00367F09" w:rsidP="00367F09">
      <w:pPr>
        <w:spacing w:after="0" w:line="240" w:lineRule="auto"/>
        <w:jc w:val="both"/>
        <w:rPr>
          <w:rFonts w:ascii="Verdana" w:eastAsia="Calibri" w:hAnsi="Verdana" w:cs="Arial"/>
          <w:color w:val="000000"/>
          <w:lang w:val="es-ES_tradnl" w:eastAsia="es-ES_tradnl"/>
        </w:rPr>
      </w:pPr>
    </w:p>
    <w:p w14:paraId="0CBAC7B2" w14:textId="77777777" w:rsidR="00367F09" w:rsidRPr="008E6AD9" w:rsidRDefault="00367F09" w:rsidP="00367F0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8F7B63">
        <w:rPr>
          <w:rFonts w:ascii="Verdana" w:eastAsia="Calibri" w:hAnsi="Verdana" w:cs="Arial"/>
          <w:lang w:val="es-ES" w:eastAsia="es-ES"/>
        </w:rPr>
        <w:t>Gil Vanegas</w:t>
      </w:r>
      <w:r w:rsidRPr="008E6AD9">
        <w:rPr>
          <w:rFonts w:ascii="Verdana" w:eastAsia="Calibri" w:hAnsi="Verdana" w:cs="Arial"/>
          <w:lang w:val="es-ES" w:eastAsia="es-ES"/>
        </w:rPr>
        <w:t xml:space="preserve">: </w:t>
      </w:r>
    </w:p>
    <w:p w14:paraId="748BA42B" w14:textId="77777777" w:rsidR="00367F09" w:rsidRDefault="00367F09" w:rsidP="00367F0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C2601C7" w14:textId="77777777" w:rsidR="00367F09" w:rsidRPr="00593A5F" w:rsidRDefault="00367F09" w:rsidP="00367F0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12 de diciembre de 2025, donde pregunta lo siguiente</w:t>
      </w:r>
      <w:r w:rsidRPr="008E6AD9">
        <w:rPr>
          <w:rFonts w:ascii="Verdana" w:eastAsia="Calibri" w:hAnsi="Verdana" w:cs="Arial"/>
          <w:lang w:val="es-ES" w:eastAsia="es-ES"/>
        </w:rPr>
        <w:t xml:space="preserve">: </w:t>
      </w:r>
    </w:p>
    <w:p w14:paraId="491F0862" w14:textId="77777777" w:rsidR="00367F09" w:rsidRPr="00272A7B" w:rsidRDefault="00367F09" w:rsidP="00367F09">
      <w:pPr>
        <w:pStyle w:val="Prrafodelista"/>
        <w:tabs>
          <w:tab w:val="left" w:pos="142"/>
          <w:tab w:val="left" w:pos="284"/>
        </w:tabs>
        <w:spacing w:after="0" w:line="276" w:lineRule="auto"/>
        <w:ind w:left="0"/>
        <w:jc w:val="both"/>
        <w:rPr>
          <w:rFonts w:ascii="Verdana" w:eastAsia="Century Gothic" w:hAnsi="Verdana" w:cs="Century Gothic"/>
          <w:b/>
          <w:bCs/>
        </w:rPr>
      </w:pPr>
    </w:p>
    <w:p w14:paraId="46917051" w14:textId="77777777" w:rsidR="00367F09" w:rsidRPr="001904AF" w:rsidRDefault="00367F09" w:rsidP="00367F09">
      <w:pPr>
        <w:spacing w:after="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lastRenderedPageBreak/>
        <w:t>“</w:t>
      </w:r>
      <w:bookmarkEnd w:id="0"/>
      <w:r w:rsidRPr="002E2EAE">
        <w:rPr>
          <w:rFonts w:ascii="Verdana" w:eastAsia="Century Gothic" w:hAnsi="Verdana" w:cs="Century Gothic"/>
          <w:sz w:val="20"/>
          <w:szCs w:val="20"/>
          <w:lang w:val="es-ES"/>
        </w:rPr>
        <w:t>Deseo consultar sobre el factor multiplicador, cuando estamos en la etapa de ejecución contractual y el contratista de interventoría solicita un ajuste del factor multiplicador, pues en su propuesta consideró gastos como por ejemplo valores en seguridad social a los que estaba exonerado, personal no facturado y para el tema de las estampillas consideró un 1% cuando sus gastos reales en este último fueron un 13% más, sin embargo, las estampillas ya existían antes de la convocatoria, no fueron sobrevinientes ni imprevisibles, ni cambiaron su valor, solo que al calcular el factor multiplicador no lo contemplaron, entonces la consulta es, ¿estando en ejecución contractual, es posible modificar el factor multiplicador para que esos gatos reales que ha tenido el contratista puedan ser cobrados, o al ser la propuesta algo inmodificable en principio, ya es un riesgo que asume el contratista?</w:t>
      </w:r>
      <w:r w:rsidRPr="001904AF">
        <w:rPr>
          <w:rFonts w:ascii="Verdana" w:eastAsia="Century Gothic" w:hAnsi="Verdana" w:cs="Century Gothic"/>
          <w:sz w:val="20"/>
          <w:szCs w:val="20"/>
          <w:lang w:val="es-ES"/>
        </w:rPr>
        <w:t>”.</w:t>
      </w:r>
    </w:p>
    <w:p w14:paraId="548EAFA9" w14:textId="77777777" w:rsidR="00367F09" w:rsidRPr="008E6AD9" w:rsidRDefault="00367F09" w:rsidP="00367F09">
      <w:pPr>
        <w:pStyle w:val="Prrafodelista"/>
        <w:tabs>
          <w:tab w:val="left" w:pos="142"/>
          <w:tab w:val="left" w:pos="284"/>
        </w:tabs>
        <w:spacing w:after="0" w:line="276" w:lineRule="auto"/>
        <w:ind w:left="0"/>
        <w:jc w:val="both"/>
        <w:rPr>
          <w:rFonts w:ascii="Verdana" w:eastAsia="Century Gothic" w:hAnsi="Verdana" w:cs="Century Gothic"/>
          <w:b/>
          <w:bCs/>
        </w:rPr>
      </w:pPr>
    </w:p>
    <w:p w14:paraId="00F5D73E" w14:textId="77777777" w:rsidR="00367F09" w:rsidRPr="00A652FF" w:rsidRDefault="00367F09" w:rsidP="00367F0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24F07C3" w14:textId="77777777" w:rsidR="00367F09" w:rsidRDefault="00367F09" w:rsidP="00367F0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CE9C46B" w14:textId="77777777" w:rsidR="00367F09" w:rsidRPr="00593A5F" w:rsidRDefault="00367F09" w:rsidP="00367F09">
      <w:pPr>
        <w:spacing w:after="0" w:line="276" w:lineRule="auto"/>
        <w:ind w:firstLine="709"/>
        <w:jc w:val="both"/>
        <w:rPr>
          <w:rFonts w:ascii="Verdana" w:eastAsia="Calibri" w:hAnsi="Verdana" w:cs="Arial"/>
          <w:color w:val="000000"/>
          <w:lang w:val="es-ES" w:eastAsia="es-ES"/>
        </w:rPr>
      </w:pPr>
    </w:p>
    <w:p w14:paraId="0F211690" w14:textId="77777777" w:rsidR="00367F09" w:rsidRPr="00593A5F" w:rsidRDefault="00367F09" w:rsidP="00367F0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36B560D" w14:textId="77777777" w:rsidR="00367F09" w:rsidRPr="00593A5F" w:rsidRDefault="00367F09" w:rsidP="00367F09">
      <w:pPr>
        <w:tabs>
          <w:tab w:val="left" w:pos="426"/>
        </w:tabs>
        <w:spacing w:after="0" w:line="276" w:lineRule="auto"/>
        <w:jc w:val="both"/>
        <w:rPr>
          <w:rFonts w:ascii="Verdana" w:eastAsia="Century Gothic" w:hAnsi="Verdana" w:cs="Century Gothic"/>
          <w:lang w:val="es-ES"/>
        </w:rPr>
      </w:pPr>
    </w:p>
    <w:p w14:paraId="47D0EBFE" w14:textId="77777777" w:rsidR="00367F09" w:rsidRPr="00593A5F" w:rsidRDefault="00367F09" w:rsidP="00367F09">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D85592">
        <w:rPr>
          <w:rFonts w:ascii="Verdana" w:eastAsia="Century Gothic" w:hAnsi="Verdana" w:cs="Century Gothic"/>
        </w:rPr>
        <w:t xml:space="preserve">¿cuál es el marco normativo </w:t>
      </w:r>
      <w:r>
        <w:rPr>
          <w:rFonts w:ascii="Verdana" w:eastAsia="Century Gothic" w:hAnsi="Verdana" w:cs="Century Gothic"/>
        </w:rPr>
        <w:t>y el alcance del factor multiplicador en el sistema de compras públicas</w:t>
      </w:r>
      <w:r w:rsidRPr="00D85592">
        <w:rPr>
          <w:rFonts w:ascii="Verdana" w:eastAsia="Century Gothic" w:hAnsi="Verdana" w:cs="Century Gothic"/>
        </w:rPr>
        <w:t>?</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34FA3CC0" w14:textId="77777777" w:rsidR="00367F09" w:rsidRPr="004B140F" w:rsidRDefault="00367F09" w:rsidP="00367F09">
      <w:pPr>
        <w:spacing w:after="0" w:line="276" w:lineRule="auto"/>
        <w:jc w:val="both"/>
        <w:rPr>
          <w:rFonts w:ascii="Verdana" w:eastAsia="Calibri" w:hAnsi="Verdana" w:cs="Arial"/>
          <w:color w:val="7030A0"/>
        </w:rPr>
      </w:pPr>
    </w:p>
    <w:p w14:paraId="7EF9648B" w14:textId="77777777" w:rsidR="00367F09" w:rsidRPr="00593A5F" w:rsidRDefault="00367F09" w:rsidP="00367F0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0931DAF" w14:textId="77777777" w:rsidR="00367F09" w:rsidRPr="00593A5F" w:rsidRDefault="00367F09" w:rsidP="00367F0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67F09" w:rsidRPr="00593A5F" w14:paraId="7A145543" w14:textId="77777777" w:rsidTr="003D216B">
        <w:trPr>
          <w:jc w:val="center"/>
        </w:trPr>
        <w:tc>
          <w:tcPr>
            <w:tcW w:w="8828" w:type="dxa"/>
          </w:tcPr>
          <w:p w14:paraId="66E69FB5" w14:textId="77777777" w:rsidR="00367F09" w:rsidRPr="00F848A6" w:rsidRDefault="00367F09" w:rsidP="003D216B">
            <w:pPr>
              <w:spacing w:after="120" w:line="276" w:lineRule="auto"/>
              <w:jc w:val="both"/>
              <w:rPr>
                <w:rFonts w:ascii="Verdana" w:eastAsia="Times New Roman" w:hAnsi="Verdana" w:cs="Arial"/>
                <w:lang w:val="es-MX" w:eastAsia="es-CO"/>
              </w:rPr>
            </w:pPr>
            <w:bookmarkStart w:id="1"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d</w:t>
            </w:r>
            <w:r w:rsidRPr="001467C7">
              <w:rPr>
                <w:rFonts w:ascii="Verdana" w:eastAsia="Arial" w:hAnsi="Verdana" w:cs="Arial"/>
                <w:lang w:val="es-MX" w:eastAsia="es-ES" w:bidi="es-ES"/>
              </w:rPr>
              <w:t>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Pr>
                <w:rFonts w:ascii="Verdana" w:eastAsia="Arial" w:hAnsi="Verdana" w:cs="Arial"/>
                <w:lang w:val="es-MX" w:eastAsia="es-ES" w:bidi="es-ES"/>
              </w:rPr>
              <w:t>.</w:t>
            </w:r>
          </w:p>
          <w:p w14:paraId="3889DA7D" w14:textId="77777777" w:rsidR="00367F09" w:rsidRDefault="00367F09" w:rsidP="003D216B">
            <w:pPr>
              <w:spacing w:after="120" w:line="276" w:lineRule="auto"/>
              <w:ind w:firstLine="737"/>
              <w:jc w:val="both"/>
              <w:rPr>
                <w:rFonts w:ascii="Verdana" w:hAnsi="Verdana" w:cs="Arial"/>
              </w:rPr>
            </w:pPr>
            <w:r>
              <w:rPr>
                <w:rFonts w:ascii="Verdana" w:hAnsi="Verdana" w:cs="Arial"/>
                <w:lang w:val="es-ES_tradnl"/>
              </w:rPr>
              <w:t>P</w:t>
            </w:r>
            <w:r w:rsidRPr="00705972">
              <w:rPr>
                <w:rFonts w:ascii="Verdana" w:hAnsi="Verdana" w:cs="Arial"/>
                <w:lang w:val="es-ES_tradnl"/>
              </w:rPr>
              <w:t xml:space="preserve">ara efectos de la consultorías e interventorías, </w:t>
            </w:r>
            <w:r w:rsidRPr="00705972">
              <w:rPr>
                <w:rFonts w:ascii="Verdana" w:hAnsi="Verdana" w:cs="Arial"/>
              </w:rPr>
              <w:t>el factor</w:t>
            </w:r>
            <w:r w:rsidRPr="004F607E">
              <w:rPr>
                <w:rFonts w:ascii="Verdana" w:hAnsi="Verdana" w:cs="Arial"/>
              </w:rPr>
              <w:t xml:space="preserve"> multiplicador es una metodología permite imputar al contrato los costos directos</w:t>
            </w:r>
            <w:r>
              <w:rPr>
                <w:rFonts w:ascii="Verdana" w:hAnsi="Verdana" w:cs="Arial"/>
              </w:rPr>
              <w:t xml:space="preserve"> </w:t>
            </w:r>
            <w:r w:rsidRPr="00167C84">
              <w:rPr>
                <w:rFonts w:ascii="Verdana" w:hAnsi="Verdana" w:cs="Arial"/>
              </w:rPr>
              <w:t xml:space="preserve">asociados a </w:t>
            </w:r>
            <w:r>
              <w:rPr>
                <w:rFonts w:ascii="Verdana" w:hAnsi="Verdana" w:cs="Arial"/>
              </w:rPr>
              <w:t>prestaciones laborales y sociales</w:t>
            </w:r>
            <w:r w:rsidRPr="00167C84">
              <w:rPr>
                <w:rFonts w:ascii="Verdana" w:hAnsi="Verdana" w:cs="Arial"/>
              </w:rPr>
              <w:t xml:space="preserve"> del personal vinculado con carácter exclusivo al proyecto, la utilidad del ingeniero y los costos</w:t>
            </w:r>
            <w:r>
              <w:rPr>
                <w:rFonts w:ascii="Verdana" w:hAnsi="Verdana" w:cs="Arial"/>
              </w:rPr>
              <w:t xml:space="preserve"> </w:t>
            </w:r>
            <w:r w:rsidRPr="00167C84">
              <w:rPr>
                <w:rFonts w:ascii="Verdana" w:hAnsi="Verdana" w:cs="Arial"/>
              </w:rPr>
              <w:t>de administración</w:t>
            </w:r>
            <w:r>
              <w:rPr>
                <w:rFonts w:ascii="Verdana" w:hAnsi="Verdana" w:cs="Arial"/>
              </w:rPr>
              <w:t xml:space="preserve"> asociados al personal</w:t>
            </w:r>
            <w:r w:rsidRPr="00167C84">
              <w:rPr>
                <w:rFonts w:ascii="Verdana" w:hAnsi="Verdana" w:cs="Arial"/>
              </w:rPr>
              <w:t>, afectando el valor parcial de la oferta por un factor multiplicador.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w:t>
            </w:r>
            <w:r>
              <w:rPr>
                <w:rFonts w:ascii="Verdana" w:hAnsi="Verdana" w:cs="Arial"/>
              </w:rPr>
              <w:t>.</w:t>
            </w:r>
            <w:r w:rsidRPr="00167C84">
              <w:rPr>
                <w:rFonts w:ascii="Verdana" w:hAnsi="Verdana" w:cs="Arial"/>
              </w:rPr>
              <w:t>, cuya discriminación se exige de manera separada de los costos de personal, para ser sumados al valor resultante la aplicación del factor multiplicador.</w:t>
            </w:r>
          </w:p>
          <w:p w14:paraId="1B8FD14B" w14:textId="77777777" w:rsidR="00367F09" w:rsidRDefault="00367F09" w:rsidP="003D216B">
            <w:pPr>
              <w:spacing w:after="120" w:line="276" w:lineRule="auto"/>
              <w:ind w:firstLine="709"/>
              <w:jc w:val="both"/>
              <w:rPr>
                <w:rFonts w:ascii="Verdana" w:hAnsi="Verdana" w:cs="Arial"/>
                <w:bCs/>
                <w:lang w:val="es-ES_tradnl"/>
              </w:rPr>
            </w:pPr>
            <w:r>
              <w:rPr>
                <w:rFonts w:ascii="Verdana" w:hAnsi="Verdana" w:cs="Arial"/>
                <w:bCs/>
                <w:lang w:val="es-ES_tradnl"/>
              </w:rPr>
              <w:t xml:space="preserve">Por lo demás, </w:t>
            </w:r>
            <w:r w:rsidRPr="00166E46">
              <w:rPr>
                <w:rFonts w:ascii="Verdana" w:hAnsi="Verdana" w:cs="Arial"/>
                <w:bCs/>
                <w:lang w:val="es-ES_tradnl"/>
              </w:rPr>
              <w:t xml:space="preserve">es necesario tener en cuenta que el deber de planeación no es privativo de las entidades públicas, por lo que también se extiende </w:t>
            </w:r>
            <w:r>
              <w:rPr>
                <w:rFonts w:ascii="Verdana" w:hAnsi="Verdana" w:cs="Arial"/>
                <w:bCs/>
                <w:lang w:val="es-ES_tradnl"/>
              </w:rPr>
              <w:t>a los interesados en el proceso de selección</w:t>
            </w:r>
            <w:r w:rsidRPr="00166E46">
              <w:rPr>
                <w:rFonts w:ascii="Verdana" w:hAnsi="Verdana" w:cs="Arial"/>
                <w:bCs/>
                <w:lang w:val="es-ES_tradnl"/>
              </w:rPr>
              <w:t xml:space="preserve">. </w:t>
            </w:r>
            <w:r>
              <w:rPr>
                <w:rFonts w:ascii="Verdana" w:hAnsi="Verdana" w:cs="Arial"/>
                <w:bCs/>
                <w:lang w:val="es-ES_tradnl"/>
              </w:rPr>
              <w:t>Al respecto</w:t>
            </w:r>
            <w:r w:rsidRPr="00166E46">
              <w:rPr>
                <w:rFonts w:ascii="Verdana" w:hAnsi="Verdana" w:cs="Arial"/>
                <w:bCs/>
                <w:lang w:val="es-ES_tradnl"/>
              </w:rPr>
              <w:t xml:space="preserve">, la Subsección A de la Sección Tercera del Consejo de Estado –en Sentencia del 21 de febrero de 2025, </w:t>
            </w:r>
            <w:proofErr w:type="spellStart"/>
            <w:r w:rsidRPr="00166E46">
              <w:rPr>
                <w:rFonts w:ascii="Verdana" w:hAnsi="Verdana" w:cs="Arial"/>
                <w:bCs/>
                <w:lang w:val="es-ES_tradnl"/>
              </w:rPr>
              <w:t>Exp</w:t>
            </w:r>
            <w:proofErr w:type="spellEnd"/>
            <w:r w:rsidRPr="00166E46">
              <w:rPr>
                <w:rFonts w:ascii="Verdana" w:hAnsi="Verdana" w:cs="Arial"/>
                <w:bCs/>
                <w:lang w:val="es-ES_tradnl"/>
              </w:rPr>
              <w:t xml:space="preserve">. 71583, con ponencia del </w:t>
            </w:r>
            <w:proofErr w:type="gramStart"/>
            <w:r w:rsidRPr="00166E46">
              <w:rPr>
                <w:rFonts w:ascii="Verdana" w:hAnsi="Verdana" w:cs="Arial"/>
                <w:bCs/>
                <w:lang w:val="es-ES_tradnl"/>
              </w:rPr>
              <w:t>Consejero</w:t>
            </w:r>
            <w:proofErr w:type="gramEnd"/>
            <w:r w:rsidRPr="00166E46">
              <w:rPr>
                <w:rFonts w:ascii="Verdana" w:hAnsi="Verdana" w:cs="Arial"/>
                <w:bCs/>
                <w:lang w:val="es-ES_tradnl"/>
              </w:rPr>
              <w:t xml:space="preserve"> Fernando Alexei Pardo Flórez– explica que “El deber de planeación, y las cargas de advertencia y previsión, propias de la autonomía privada de la voluntad, impiden que la contratista obtenga reconocimientos económicos derivados de fallas en la estructuración del negocio que debieron ser advertidas desde la fase de formación del acuerdo de voluntades […]”.</w:t>
            </w:r>
          </w:p>
          <w:p w14:paraId="775CE297" w14:textId="77777777" w:rsidR="00367F09" w:rsidRDefault="00367F09" w:rsidP="003D216B">
            <w:pPr>
              <w:spacing w:after="120" w:line="276" w:lineRule="auto"/>
              <w:ind w:firstLine="709"/>
              <w:jc w:val="both"/>
              <w:rPr>
                <w:rFonts w:ascii="Verdana" w:hAnsi="Verdana" w:cs="Arial"/>
                <w:bCs/>
                <w:lang w:val="es-ES_tradnl"/>
              </w:rPr>
            </w:pPr>
            <w:r>
              <w:rPr>
                <w:rFonts w:ascii="Verdana" w:hAnsi="Verdana" w:cs="Arial"/>
                <w:bCs/>
                <w:lang w:val="es-ES_tradnl"/>
              </w:rPr>
              <w:lastRenderedPageBreak/>
              <w:t xml:space="preserve">Es decir, si existían inquietudes sobre los componentes del factor multiplicador, </w:t>
            </w:r>
            <w:r w:rsidRPr="000A30A6">
              <w:rPr>
                <w:rFonts w:ascii="Verdana" w:hAnsi="Verdana" w:cs="Arial"/>
                <w:bCs/>
                <w:lang w:val="es-ES_tradnl"/>
              </w:rPr>
              <w:t xml:space="preserve">los interesados </w:t>
            </w:r>
            <w:r>
              <w:rPr>
                <w:rFonts w:ascii="Verdana" w:hAnsi="Verdana" w:cs="Arial"/>
                <w:bCs/>
                <w:lang w:val="es-ES_tradnl"/>
              </w:rPr>
              <w:t>tuvieron la oportunidad de</w:t>
            </w:r>
            <w:r w:rsidRPr="000A30A6">
              <w:rPr>
                <w:rFonts w:ascii="Verdana" w:hAnsi="Verdana" w:cs="Arial"/>
                <w:bCs/>
                <w:lang w:val="es-ES_tradnl"/>
              </w:rPr>
              <w:t xml:space="preserve"> formular observaciones para aclarar sus </w:t>
            </w:r>
            <w:r>
              <w:rPr>
                <w:rFonts w:ascii="Verdana" w:hAnsi="Verdana" w:cs="Arial"/>
                <w:bCs/>
                <w:lang w:val="es-ES_tradnl"/>
              </w:rPr>
              <w:t>dudas</w:t>
            </w:r>
            <w:r w:rsidRPr="000A30A6">
              <w:rPr>
                <w:rFonts w:ascii="Verdana" w:hAnsi="Verdana" w:cs="Arial"/>
                <w:bCs/>
                <w:lang w:val="es-ES_tradnl"/>
              </w:rPr>
              <w:t>. En este sentido, el artículo 24.2 del Estatuto General de Contratación de la Administración Pública dispone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Así, los proponentes pueden observar tanto el proyecto de pliego como el pliego de condiciones definitivo con el propósito de esclarecer aspectos del proceso.</w:t>
            </w:r>
          </w:p>
          <w:p w14:paraId="416DAB79" w14:textId="77777777" w:rsidR="00367F09" w:rsidRPr="001467C7" w:rsidRDefault="00367F09" w:rsidP="003D216B">
            <w:pPr>
              <w:spacing w:after="120" w:line="276" w:lineRule="auto"/>
              <w:ind w:firstLine="709"/>
              <w:jc w:val="both"/>
              <w:rPr>
                <w:rFonts w:ascii="Verdana" w:hAnsi="Verdana" w:cs="Arial"/>
                <w:lang w:val="es-MX"/>
              </w:rPr>
            </w:pPr>
            <w:r w:rsidRPr="000A30A6">
              <w:rPr>
                <w:rFonts w:ascii="Verdana" w:hAnsi="Verdana" w:cs="Arial"/>
                <w:lang w:val="es-MX"/>
              </w:rPr>
              <w:t>En este contexto, bajo el criterio de que “nadie puede ben</w:t>
            </w:r>
            <w:r>
              <w:rPr>
                <w:rFonts w:ascii="Verdana" w:hAnsi="Verdana" w:cs="Arial"/>
                <w:lang w:val="es-MX"/>
              </w:rPr>
              <w:t>e</w:t>
            </w:r>
            <w:r w:rsidRPr="000A30A6">
              <w:rPr>
                <w:rFonts w:ascii="Verdana" w:hAnsi="Verdana" w:cs="Arial"/>
                <w:lang w:val="es-MX"/>
              </w:rPr>
              <w:t xml:space="preserve">ficiarse de su propia culpa”, </w:t>
            </w:r>
            <w:r>
              <w:rPr>
                <w:rFonts w:ascii="Verdana" w:hAnsi="Verdana" w:cs="Arial"/>
                <w:lang w:val="es-MX"/>
              </w:rPr>
              <w:t>se restringe a los contratistas la posibilidad de solicitar</w:t>
            </w:r>
            <w:r w:rsidRPr="000A30A6">
              <w:rPr>
                <w:rFonts w:ascii="Verdana" w:hAnsi="Verdana" w:cs="Arial"/>
                <w:lang w:val="es-MX"/>
              </w:rPr>
              <w:t xml:space="preserve"> reconocimientos económicos</w:t>
            </w:r>
            <w:r>
              <w:rPr>
                <w:rFonts w:ascii="Verdana" w:hAnsi="Verdana" w:cs="Arial"/>
                <w:lang w:val="es-MX"/>
              </w:rPr>
              <w:t xml:space="preserve"> derivados</w:t>
            </w:r>
            <w:r w:rsidRPr="000A30A6">
              <w:rPr>
                <w:rFonts w:ascii="Verdana" w:hAnsi="Verdana" w:cs="Arial"/>
                <w:lang w:val="es-MX"/>
              </w:rPr>
              <w:t xml:space="preserve"> de fallas de planeación que debi</w:t>
            </w:r>
            <w:r>
              <w:rPr>
                <w:rFonts w:ascii="Verdana" w:hAnsi="Verdana" w:cs="Arial"/>
                <w:lang w:val="es-MX"/>
              </w:rPr>
              <w:t>eron</w:t>
            </w:r>
            <w:r w:rsidRPr="000A30A6">
              <w:rPr>
                <w:rFonts w:ascii="Verdana" w:hAnsi="Verdana" w:cs="Arial"/>
                <w:lang w:val="es-MX"/>
              </w:rPr>
              <w:t xml:space="preserve"> advertir </w:t>
            </w:r>
            <w:r>
              <w:rPr>
                <w:rFonts w:ascii="Verdana" w:hAnsi="Verdana" w:cs="Arial"/>
                <w:lang w:val="es-MX"/>
              </w:rPr>
              <w:t xml:space="preserve">a la entidad contratante </w:t>
            </w:r>
            <w:r w:rsidRPr="000A30A6">
              <w:rPr>
                <w:rFonts w:ascii="Verdana" w:hAnsi="Verdana" w:cs="Arial"/>
                <w:lang w:val="es-MX"/>
              </w:rPr>
              <w:t>antes del perfeccionamiento del contrato.</w:t>
            </w:r>
            <w:r>
              <w:rPr>
                <w:rFonts w:ascii="Verdana" w:hAnsi="Verdana" w:cs="Arial"/>
                <w:lang w:val="es-MX"/>
              </w:rPr>
              <w:t xml:space="preserve"> Si bien el parágrafo del artículo 40 de la Ley 80 de 1993 dispone que “</w:t>
            </w:r>
            <w:r w:rsidRPr="00E93FA0">
              <w:rPr>
                <w:rFonts w:ascii="Verdana" w:hAnsi="Verdana" w:cs="Arial"/>
                <w:lang w:val="es-MX"/>
              </w:rPr>
              <w:t>Los contratos no podrán adicionarse en más del cincuenta por ciento (50%) de su valor inicial, expresado éste en salarios mínimos legales mensuales</w:t>
            </w:r>
            <w:r>
              <w:rPr>
                <w:rFonts w:ascii="Verdana" w:hAnsi="Verdana" w:cs="Arial"/>
                <w:lang w:val="es-MX"/>
              </w:rPr>
              <w:t xml:space="preserve">”, el Estado no se encuentra obligado a reestructurar el porcentaje ni los componentes del factor multiplicador, pues las modificaciones contractuales no son un derecho del contratista. </w:t>
            </w:r>
          </w:p>
          <w:p w14:paraId="27581B19" w14:textId="77777777" w:rsidR="00367F09" w:rsidRPr="001941FD" w:rsidRDefault="00367F09" w:rsidP="003D216B">
            <w:pPr>
              <w:spacing w:line="276" w:lineRule="auto"/>
              <w:ind w:right="51" w:firstLine="737"/>
              <w:jc w:val="both"/>
              <w:rPr>
                <w:rFonts w:ascii="Verdana" w:eastAsia="Calibri" w:hAnsi="Verdana" w:cs="Arial"/>
                <w:bCs/>
                <w:color w:val="000000" w:themeColor="text1"/>
              </w:rPr>
            </w:pPr>
            <w:r w:rsidRPr="00007D0A">
              <w:rPr>
                <w:rStyle w:val="s15"/>
                <w:rFonts w:ascii="Verdana" w:hAnsi="Verdana"/>
                <w:color w:val="000000"/>
              </w:rPr>
              <w:t xml:space="preserve">Al margen de la explicación </w:t>
            </w:r>
            <w:r>
              <w:rPr>
                <w:rStyle w:val="s15"/>
                <w:rFonts w:ascii="Verdana" w:hAnsi="Verdana"/>
                <w:color w:val="000000"/>
              </w:rPr>
              <w:t>precedente,</w:t>
            </w:r>
            <w:r w:rsidRPr="00007D0A">
              <w:rPr>
                <w:rStyle w:val="s15"/>
                <w:rFonts w:ascii="Verdana" w:hAnsi="Verdana"/>
                <w:color w:val="000000"/>
              </w:rPr>
              <w:t xml:space="preserve"> debe advertirse que el análisis requerido para resolver problemas específicos en torno a la gestión contractual de las entidades públicas debe ser realizado por quienes tengan interés en ello, de acuerdo con lo explicado </w:t>
            </w:r>
            <w:r>
              <w:rPr>
                <w:rStyle w:val="s15"/>
                <w:rFonts w:ascii="Verdana" w:hAnsi="Verdana"/>
                <w:color w:val="000000"/>
              </w:rPr>
              <w:t>en la</w:t>
            </w:r>
            <w:r w:rsidRPr="00007D0A">
              <w:rPr>
                <w:rStyle w:val="s15"/>
                <w:rFonts w:ascii="Verdana" w:hAnsi="Verdana"/>
                <w:color w:val="000000"/>
              </w:rPr>
              <w:t xml:space="preserve">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7917DA9B" w14:textId="77777777" w:rsidR="00367F09" w:rsidRPr="00593A5F" w:rsidRDefault="00367F09" w:rsidP="00367F09">
      <w:pPr>
        <w:tabs>
          <w:tab w:val="left" w:pos="142"/>
          <w:tab w:val="left" w:pos="284"/>
        </w:tabs>
        <w:spacing w:after="0" w:line="276" w:lineRule="auto"/>
        <w:jc w:val="both"/>
        <w:rPr>
          <w:rFonts w:ascii="Verdana" w:eastAsia="Century Gothic" w:hAnsi="Verdana" w:cs="Century Gothic"/>
          <w:b/>
          <w:bCs/>
          <w:lang w:val="es-ES"/>
        </w:rPr>
      </w:pPr>
    </w:p>
    <w:bookmarkEnd w:id="1"/>
    <w:p w14:paraId="232A6279" w14:textId="77777777" w:rsidR="00367F09" w:rsidRPr="00593A5F" w:rsidRDefault="00367F09" w:rsidP="00367F0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C1080AB" w14:textId="77777777" w:rsidR="00367F09" w:rsidRPr="00593A5F" w:rsidRDefault="00367F09" w:rsidP="00367F09">
      <w:pPr>
        <w:spacing w:after="0" w:line="276" w:lineRule="auto"/>
        <w:jc w:val="both"/>
        <w:rPr>
          <w:rFonts w:ascii="Verdana" w:eastAsia="Calibri" w:hAnsi="Verdana" w:cs="Arial"/>
          <w:color w:val="7030A0"/>
          <w:lang w:val="es-ES"/>
        </w:rPr>
      </w:pPr>
    </w:p>
    <w:p w14:paraId="1024E941" w14:textId="77777777" w:rsidR="00367F09" w:rsidRDefault="00367F09" w:rsidP="00367F0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31520E0" w14:textId="77777777" w:rsidR="00367F09" w:rsidRPr="00415608" w:rsidRDefault="00367F09" w:rsidP="00367F09">
      <w:pPr>
        <w:spacing w:after="0" w:line="276" w:lineRule="auto"/>
        <w:jc w:val="both"/>
        <w:rPr>
          <w:rFonts w:ascii="Verdana" w:eastAsia="Calibri" w:hAnsi="Verdana" w:cs="Arial"/>
          <w:lang w:val="es-ES"/>
        </w:rPr>
      </w:pPr>
    </w:p>
    <w:p w14:paraId="0C9B2F68" w14:textId="77777777" w:rsidR="00367F09" w:rsidRPr="000D4C3B" w:rsidRDefault="00367F09" w:rsidP="00367F09">
      <w:pPr>
        <w:spacing w:after="120" w:line="276" w:lineRule="auto"/>
        <w:jc w:val="both"/>
        <w:rPr>
          <w:rFonts w:ascii="Verdana" w:hAnsi="Verdana" w:cs="Arial"/>
          <w:bCs/>
          <w:lang w:val="es-ES_tradnl"/>
        </w:rPr>
      </w:pPr>
      <w:r w:rsidRPr="000D4C3B">
        <w:rPr>
          <w:rFonts w:ascii="Verdana" w:hAnsi="Verdana" w:cs="Arial"/>
          <w:bCs/>
          <w:lang w:val="es-ES_tradnl"/>
        </w:rPr>
        <w:lastRenderedPageBreak/>
        <w:t xml:space="preserve">Como es sabido, uno de los elementos más comunes en los contratos estatales es el </w:t>
      </w:r>
      <w:r w:rsidRPr="000D4C3B">
        <w:rPr>
          <w:rFonts w:ascii="Verdana" w:hAnsi="Verdana" w:cs="Arial"/>
          <w:bCs/>
          <w:i/>
          <w:iCs/>
          <w:lang w:val="es-ES_tradnl"/>
        </w:rPr>
        <w:t>precio</w:t>
      </w:r>
      <w:r w:rsidRPr="000D4C3B">
        <w:rPr>
          <w:rFonts w:ascii="Verdana" w:hAnsi="Verdana" w:cs="Arial"/>
          <w:bCs/>
          <w:lang w:val="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38767030" w14:textId="77777777" w:rsidR="00367F09" w:rsidRPr="000D4C3B" w:rsidRDefault="00367F09" w:rsidP="00367F09">
      <w:pPr>
        <w:spacing w:before="120" w:after="120" w:line="276" w:lineRule="auto"/>
        <w:ind w:firstLine="709"/>
        <w:jc w:val="both"/>
        <w:rPr>
          <w:rFonts w:ascii="Verdana" w:hAnsi="Verdana" w:cs="Arial"/>
          <w:bCs/>
          <w:lang w:val="es-ES_tradnl"/>
        </w:rPr>
      </w:pPr>
      <w:r w:rsidRPr="000D4C3B">
        <w:rPr>
          <w:rFonts w:ascii="Verdana" w:hAnsi="Verdana" w:cs="Arial"/>
          <w:bCs/>
          <w:lang w:val="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0D4C3B">
        <w:rPr>
          <w:rStyle w:val="Refdenotaalpie"/>
          <w:rFonts w:ascii="Verdana" w:hAnsi="Verdana" w:cs="Arial"/>
          <w:bCs/>
          <w:lang w:val="es-ES_tradnl"/>
        </w:rPr>
        <w:footnoteReference w:id="1"/>
      </w:r>
      <w:r w:rsidRPr="000D4C3B">
        <w:rPr>
          <w:rFonts w:ascii="Verdana" w:hAnsi="Verdana" w:cs="Arial"/>
          <w:bCs/>
          <w:lang w:val="es-ES_tradnl"/>
        </w:rPr>
        <w:t>.</w:t>
      </w:r>
    </w:p>
    <w:p w14:paraId="32BABF40" w14:textId="77777777" w:rsidR="00367F09" w:rsidRPr="000D4C3B" w:rsidRDefault="00367F09" w:rsidP="00367F09">
      <w:pPr>
        <w:spacing w:before="120" w:after="120" w:line="276" w:lineRule="auto"/>
        <w:ind w:firstLine="709"/>
        <w:jc w:val="both"/>
        <w:rPr>
          <w:rFonts w:ascii="Verdana" w:hAnsi="Verdana" w:cs="Arial"/>
          <w:bCs/>
          <w:lang w:val="es-ES_tradnl"/>
        </w:rPr>
      </w:pPr>
      <w:r w:rsidRPr="000D4C3B">
        <w:rPr>
          <w:rFonts w:ascii="Verdana" w:hAnsi="Verdana" w:cs="Arial"/>
          <w:bCs/>
          <w:lang w:val="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0D4C3B">
        <w:rPr>
          <w:rFonts w:ascii="Verdana" w:hAnsi="Verdana" w:cs="Arial"/>
          <w:bCs/>
          <w:lang w:val="es-ES_tradnl"/>
        </w:rPr>
        <w:lastRenderedPageBreak/>
        <w:t>ii</w:t>
      </w:r>
      <w:proofErr w:type="spellEnd"/>
      <w:r w:rsidRPr="000D4C3B">
        <w:rPr>
          <w:rFonts w:ascii="Verdana" w:hAnsi="Verdana" w:cs="Arial"/>
          <w:bCs/>
          <w:lang w:val="es-ES_tradnl"/>
        </w:rPr>
        <w:t xml:space="preserve">) el precio global –que equivale al monto total, sin discriminar unidades–, y </w:t>
      </w:r>
      <w:proofErr w:type="spellStart"/>
      <w:r w:rsidRPr="000D4C3B">
        <w:rPr>
          <w:rFonts w:ascii="Verdana" w:hAnsi="Verdana" w:cs="Arial"/>
          <w:bCs/>
          <w:lang w:val="es-ES_tradnl"/>
        </w:rPr>
        <w:t>iii</w:t>
      </w:r>
      <w:proofErr w:type="spellEnd"/>
      <w:r w:rsidRPr="000D4C3B">
        <w:rPr>
          <w:rFonts w:ascii="Verdana" w:hAnsi="Verdana" w:cs="Arial"/>
          <w:bCs/>
          <w:lang w:val="es-ES_tradnl"/>
        </w:rPr>
        <w:t>) la administración delegada de recursos –en la que se distinguen los costos de inversión de los honorarios del administrador–.</w:t>
      </w:r>
    </w:p>
    <w:p w14:paraId="4147BD9C" w14:textId="77777777" w:rsidR="00367F09" w:rsidRDefault="00367F09" w:rsidP="00367F09">
      <w:pPr>
        <w:spacing w:line="276" w:lineRule="auto"/>
        <w:ind w:firstLine="709"/>
        <w:jc w:val="both"/>
        <w:rPr>
          <w:rFonts w:ascii="Verdana" w:hAnsi="Verdana" w:cs="Arial"/>
          <w:sz w:val="21"/>
          <w:szCs w:val="21"/>
          <w:lang w:val="es-ES_tradnl"/>
        </w:rPr>
      </w:pPr>
      <w:r w:rsidRPr="000D4C3B">
        <w:rPr>
          <w:rFonts w:ascii="Verdana" w:hAnsi="Verdana" w:cs="Arial"/>
          <w:bCs/>
          <w:lang w:val="es-ES_tradnl"/>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0D4C3B">
        <w:rPr>
          <w:rFonts w:ascii="Verdana" w:hAnsi="Verdana" w:cs="Arial"/>
          <w:bCs/>
          <w:i/>
          <w:iCs/>
          <w:lang w:val="es-ES_tradnl"/>
        </w:rPr>
        <w:t>ítems</w:t>
      </w:r>
      <w:r w:rsidRPr="000D4C3B">
        <w:rPr>
          <w:rFonts w:ascii="Verdana" w:hAnsi="Verdana" w:cs="Arial"/>
          <w:bCs/>
          <w:lang w:val="es-ES_tradnl"/>
        </w:rPr>
        <w:t xml:space="preserve"> según su unidad de medida, los costos indirectos se suelen abreviar en las variables que integran el acrónimo AIU –Administración, Imprevistos y Utilidad–, que se calcula como un porcentaje aplicado a los costos indirectos</w:t>
      </w:r>
      <w:r w:rsidRPr="000D4C3B">
        <w:rPr>
          <w:rStyle w:val="Refdenotaalpie"/>
          <w:rFonts w:ascii="Verdana" w:hAnsi="Verdana" w:cs="Arial"/>
          <w:sz w:val="21"/>
          <w:szCs w:val="21"/>
          <w:lang w:val="es-ES_tradnl"/>
        </w:rPr>
        <w:footnoteReference w:id="2"/>
      </w:r>
      <w:r w:rsidRPr="000D4C3B">
        <w:rPr>
          <w:rFonts w:ascii="Verdana" w:hAnsi="Verdana" w:cs="Arial"/>
          <w:sz w:val="21"/>
          <w:szCs w:val="21"/>
          <w:lang w:val="es-ES_tradnl"/>
        </w:rPr>
        <w:t>.</w:t>
      </w:r>
    </w:p>
    <w:p w14:paraId="7841EED2" w14:textId="77777777" w:rsidR="00367F09" w:rsidRDefault="00367F09" w:rsidP="00367F09">
      <w:pPr>
        <w:spacing w:after="120" w:line="276" w:lineRule="auto"/>
        <w:ind w:firstLine="709"/>
        <w:jc w:val="both"/>
        <w:rPr>
          <w:rFonts w:ascii="Verdana" w:hAnsi="Verdana" w:cs="Arial"/>
        </w:rPr>
      </w:pPr>
      <w:r>
        <w:rPr>
          <w:rFonts w:ascii="Verdana" w:hAnsi="Verdana" w:cs="Arial"/>
          <w:lang w:val="es-ES_tradnl"/>
        </w:rPr>
        <w:t>De igual forma, p</w:t>
      </w:r>
      <w:r w:rsidRPr="00705972">
        <w:rPr>
          <w:rFonts w:ascii="Verdana" w:hAnsi="Verdana" w:cs="Arial"/>
          <w:lang w:val="es-ES_tradnl"/>
        </w:rPr>
        <w:t xml:space="preserve">ara efectos de la consultorías e interventorías, </w:t>
      </w:r>
      <w:r w:rsidRPr="00705972">
        <w:rPr>
          <w:rFonts w:ascii="Verdana" w:hAnsi="Verdana" w:cs="Arial"/>
        </w:rPr>
        <w:t>el factor</w:t>
      </w:r>
      <w:r w:rsidRPr="004F607E">
        <w:rPr>
          <w:rFonts w:ascii="Verdana" w:hAnsi="Verdana" w:cs="Arial"/>
        </w:rPr>
        <w:t xml:space="preserve"> multiplicador es una metodología permite imputar al contrato los costos directos</w:t>
      </w:r>
      <w:r>
        <w:rPr>
          <w:rFonts w:ascii="Verdana" w:hAnsi="Verdana" w:cs="Arial"/>
        </w:rPr>
        <w:t xml:space="preserve"> </w:t>
      </w:r>
      <w:r w:rsidRPr="00167C84">
        <w:rPr>
          <w:rFonts w:ascii="Verdana" w:hAnsi="Verdana" w:cs="Arial"/>
        </w:rPr>
        <w:t xml:space="preserve">asociados a </w:t>
      </w:r>
      <w:r>
        <w:rPr>
          <w:rFonts w:ascii="Verdana" w:hAnsi="Verdana" w:cs="Arial"/>
        </w:rPr>
        <w:t>prestaciones laborales y sociales</w:t>
      </w:r>
      <w:r w:rsidRPr="00167C84">
        <w:rPr>
          <w:rFonts w:ascii="Verdana" w:hAnsi="Verdana" w:cs="Arial"/>
        </w:rPr>
        <w:t xml:space="preserve"> del personal vinculado con carácter exclusivo al proyecto, la utilidad del ingeniero y los costos</w:t>
      </w:r>
      <w:r>
        <w:rPr>
          <w:rFonts w:ascii="Verdana" w:hAnsi="Verdana" w:cs="Arial"/>
        </w:rPr>
        <w:t xml:space="preserve"> </w:t>
      </w:r>
      <w:r w:rsidRPr="00167C84">
        <w:rPr>
          <w:rFonts w:ascii="Verdana" w:hAnsi="Verdana" w:cs="Arial"/>
        </w:rPr>
        <w:t>de administración</w:t>
      </w:r>
      <w:r>
        <w:rPr>
          <w:rFonts w:ascii="Verdana" w:hAnsi="Verdana" w:cs="Arial"/>
        </w:rPr>
        <w:t xml:space="preserve"> asociados al personal</w:t>
      </w:r>
      <w:r w:rsidRPr="00167C84">
        <w:rPr>
          <w:rFonts w:ascii="Verdana" w:hAnsi="Verdana" w:cs="Arial"/>
        </w:rPr>
        <w:t>, afectando el valor parcial de la oferta por un factor multiplicador</w:t>
      </w:r>
      <w:r w:rsidRPr="00167C84">
        <w:rPr>
          <w:rStyle w:val="Refdenotaalpie"/>
          <w:rFonts w:ascii="Verdana" w:hAnsi="Verdana" w:cs="Arial"/>
        </w:rPr>
        <w:footnoteReference w:id="3"/>
      </w:r>
      <w:r w:rsidRPr="00167C84">
        <w:rPr>
          <w:rFonts w:ascii="Verdana" w:hAnsi="Verdana" w:cs="Arial"/>
        </w:rPr>
        <w:t>.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w:t>
      </w:r>
      <w:r>
        <w:rPr>
          <w:rFonts w:ascii="Verdana" w:hAnsi="Verdana" w:cs="Arial"/>
        </w:rPr>
        <w:t>.</w:t>
      </w:r>
      <w:r w:rsidRPr="00167C84">
        <w:rPr>
          <w:rFonts w:ascii="Verdana" w:hAnsi="Verdana" w:cs="Arial"/>
        </w:rPr>
        <w:t xml:space="preserve">, cuya discriminación se exige de manera separada de los costos de </w:t>
      </w:r>
      <w:r w:rsidRPr="00167C84">
        <w:rPr>
          <w:rFonts w:ascii="Verdana" w:hAnsi="Verdana" w:cs="Arial"/>
        </w:rPr>
        <w:lastRenderedPageBreak/>
        <w:t xml:space="preserve">personal, para ser sumados al valor resultante la aplicación del factor multiplicador. </w:t>
      </w:r>
    </w:p>
    <w:p w14:paraId="1473F6BD" w14:textId="77777777" w:rsidR="00367F09" w:rsidRPr="00DF05AC" w:rsidRDefault="00367F09" w:rsidP="00367F09">
      <w:pPr>
        <w:spacing w:after="120" w:line="276" w:lineRule="auto"/>
        <w:ind w:firstLine="709"/>
        <w:jc w:val="both"/>
        <w:textAlignment w:val="baseline"/>
        <w:rPr>
          <w:rFonts w:ascii="Verdana" w:eastAsia="Times New Roman" w:hAnsi="Verdana" w:cs="Arial"/>
          <w:bCs/>
          <w:lang w:val="es-ES_tradnl" w:eastAsia="es-CO"/>
        </w:rPr>
      </w:pPr>
      <w:r w:rsidRPr="00DF05AC">
        <w:rPr>
          <w:rFonts w:ascii="Verdana" w:eastAsia="Times New Roman" w:hAnsi="Verdana" w:cs="Arial"/>
          <w:lang w:eastAsia="es-CO"/>
        </w:rPr>
        <w:t>En ese contexto, las metodologías señaladas están asociadas, por un lado, a la estimación del valor del contrato por parte de la Entidad Estatal en el marco de lo requerido por la planeación correspondiente, y por otro lado, a la determinación del precio del contrato en el marco del proceso de selección, en la medida en que se tornan relevantes para la presentación de la oferta económica. Sin embargo, debe advertirse que ni en el sistema de precios unitario ni el factor multiplicador son asuntos expresamente regulados en el conjunto de las disposiciones legales y reglamentarias que integran la normativa contractual del Estado. La justificación de estas formas de establecer o cotizar el precio procede, incluso, de la formación universitaria que reciben los ingenieros, a quienes se les enseña esta metodología para elaborar las ofertas. En ese sentido, estas metodologías para la configuración del precio del contrato, determinantes para la elaboración de la propuesta económica, no proceden de la ley ni del reglamento, sino de la costumbre</w:t>
      </w:r>
      <w:r w:rsidRPr="00DF05AC">
        <w:rPr>
          <w:rFonts w:ascii="Verdana" w:eastAsia="Times New Roman" w:hAnsi="Verdana" w:cs="Arial"/>
          <w:vertAlign w:val="superscript"/>
          <w:lang w:val="es-ES_tradnl" w:eastAsia="es-CO"/>
        </w:rPr>
        <w:footnoteReference w:id="4"/>
      </w:r>
      <w:r w:rsidRPr="00DF05AC">
        <w:rPr>
          <w:rFonts w:ascii="Verdana" w:eastAsia="Times New Roman" w:hAnsi="Verdana" w:cs="Arial"/>
          <w:bCs/>
          <w:lang w:val="es-ES_tradnl" w:eastAsia="es-CO"/>
        </w:rPr>
        <w:t>.</w:t>
      </w:r>
    </w:p>
    <w:p w14:paraId="3FCD5B4B" w14:textId="77777777" w:rsidR="00367F09" w:rsidRDefault="00367F09" w:rsidP="00367F09">
      <w:pPr>
        <w:spacing w:after="120" w:line="276" w:lineRule="auto"/>
        <w:ind w:firstLine="709"/>
        <w:jc w:val="both"/>
        <w:rPr>
          <w:rFonts w:ascii="Verdana" w:hAnsi="Verdana" w:cs="Arial"/>
          <w:lang w:val="es-ES_tradnl"/>
        </w:rPr>
      </w:pPr>
      <w:r w:rsidRPr="006E75FD">
        <w:rPr>
          <w:rFonts w:ascii="Verdana" w:hAnsi="Verdana" w:cs="Arial"/>
          <w:lang w:val="es-ES_tradnl"/>
        </w:rPr>
        <w:t>Pese a que el Estatuto General de Contratación de la Administración Pública, en adelante EGCAP, no establece una regulación integral o detallada conforme a la cual se debe dar la estructuración del valor del contrato cuando se usa el sistema de precios unitarios, el Decreto 1082 de 2015 impone taxativamente una carga justificativa para las entidades que utilicen dicho sistema. Al respecto, el artículo 2.2.1.1.2.1.1 del Decreto 1082 de 2015 que regula el contenido del estudio del sector, indica en su numeral 4 que: “Cuando el valor del contrato esté determinado por precios unitarios, la Entidad Estatal debe incluir la forma como los calculó y soportar sus cálculos presupuestales en la estimación de aquello”. En todo caso, esta Agencia estima que, si bien el factor multiplicador no está mencionado en el referido artículo, ello no implica que la entidad esté exenta del deber de incluir en los estudios previos, la razón por la cual determinó la viabilidad o conveniencia de usar tal metodología para estimar el valor del contrato, esto, independientemente del método que haya utilizado para calcularlo.</w:t>
      </w:r>
    </w:p>
    <w:p w14:paraId="443433A6" w14:textId="77777777" w:rsidR="00367F09" w:rsidRPr="00DF05AC" w:rsidRDefault="00367F09" w:rsidP="00367F09">
      <w:pPr>
        <w:spacing w:after="120" w:line="276" w:lineRule="auto"/>
        <w:ind w:firstLine="709"/>
        <w:jc w:val="both"/>
        <w:rPr>
          <w:rFonts w:ascii="Verdana" w:hAnsi="Verdana" w:cs="Arial"/>
          <w:lang w:val="es-ES_tradnl"/>
        </w:rPr>
      </w:pPr>
      <w:r>
        <w:rPr>
          <w:rFonts w:ascii="Verdana" w:hAnsi="Verdana" w:cs="Arial"/>
          <w:lang w:val="es-ES_tradnl"/>
        </w:rPr>
        <w:t>E</w:t>
      </w:r>
      <w:r w:rsidRPr="00143443">
        <w:rPr>
          <w:rFonts w:ascii="Verdana" w:hAnsi="Verdana" w:cs="Arial"/>
          <w:lang w:val="es-ES_tradnl"/>
        </w:rPr>
        <w:t xml:space="preserve">l principal sustento para que las Entidades Estatales sujetas al EGCAP, como las excluidas de este, aplique las referidas metodologías, es la autonomía </w:t>
      </w:r>
      <w:r w:rsidRPr="00143443">
        <w:rPr>
          <w:rFonts w:ascii="Verdana" w:hAnsi="Verdana" w:cs="Arial"/>
          <w:lang w:val="es-ES_tradnl"/>
        </w:rPr>
        <w:lastRenderedPageBreak/>
        <w:t xml:space="preserve">de la que gozan para la estructuración de las condiciones del negocio jurídico, determinando el sistema más apropiado para satisfacer los fines de la contratación, respetando los límites previstos en el ordenamiento. </w:t>
      </w:r>
      <w:r w:rsidRPr="000D4C3B">
        <w:rPr>
          <w:rFonts w:ascii="Verdana" w:hAnsi="Verdana" w:cs="Arial"/>
          <w:bCs/>
          <w:lang w:val="es-ES_tradnl"/>
        </w:rPr>
        <w:t>Para las entidades que se rigen por el Estatuto General de Contratación de la Administración Pública, tal autonomía está reconocida en los artículos 13, 32 y 40 de la Ley 80 de 1993.</w:t>
      </w:r>
      <w:r>
        <w:rPr>
          <w:rFonts w:ascii="Verdana" w:hAnsi="Verdana" w:cs="Arial"/>
          <w:bCs/>
          <w:lang w:val="es-ES_tradnl"/>
        </w:rPr>
        <w:t xml:space="preserve"> </w:t>
      </w:r>
      <w:r w:rsidRPr="00143443">
        <w:rPr>
          <w:rFonts w:ascii="Verdana" w:hAnsi="Verdana" w:cs="Arial"/>
          <w:lang w:val="es-ES_tradnl"/>
        </w:rPr>
        <w:t>De ahí que, las entidades cuenten con la discrecionalidad para disponer en los documentos del proceso, la aplicación de metodologías como las explicadas, siempre que resulten adecuadas y proporcionales al objeto del contrato.</w:t>
      </w:r>
    </w:p>
    <w:p w14:paraId="21AE3442" w14:textId="77777777" w:rsidR="00367F09" w:rsidRDefault="00367F09" w:rsidP="00367F09">
      <w:pPr>
        <w:spacing w:after="120" w:line="276" w:lineRule="auto"/>
        <w:ind w:firstLine="709"/>
        <w:jc w:val="both"/>
        <w:rPr>
          <w:rFonts w:ascii="Verdana" w:hAnsi="Verdana" w:cs="Arial"/>
        </w:rPr>
      </w:pPr>
      <w:r w:rsidRPr="00143443">
        <w:rPr>
          <w:rFonts w:ascii="Verdana" w:hAnsi="Verdana" w:cs="Arial"/>
        </w:rPr>
        <w:t>En es</w:t>
      </w:r>
      <w:r>
        <w:rPr>
          <w:rFonts w:ascii="Verdana" w:hAnsi="Verdana" w:cs="Arial"/>
        </w:rPr>
        <w:t>te</w:t>
      </w:r>
      <w:r w:rsidRPr="00143443">
        <w:rPr>
          <w:rFonts w:ascii="Verdana" w:hAnsi="Verdana" w:cs="Arial"/>
        </w:rPr>
        <w:t xml:space="preserve"> orden</w:t>
      </w:r>
      <w:r>
        <w:rPr>
          <w:rFonts w:ascii="Verdana" w:hAnsi="Verdana" w:cs="Arial"/>
        </w:rPr>
        <w:t xml:space="preserve"> de ideas</w:t>
      </w:r>
      <w:r w:rsidRPr="00143443">
        <w:rPr>
          <w:rFonts w:ascii="Verdana" w:hAnsi="Verdana" w:cs="Arial"/>
        </w:rPr>
        <w:t>, ante la ausencia de un marco normativo particularmente aplicable a las referidas metodologías, corresponderá a las Entidades Estatales establecer las reglas para su aplicación, con el propósito de dar a conocer los aspectos que deben tenerse en cuenta a la hora de configurar las ofertas. A partir de tales reglas, la entidad podrá exigir el desglose de determinados factores imputables a costos directos de cierta forma, realizar una tasación del AIU o el factor multiplicador, y en general, establecer parámetros que garanticen el desarrollo de principios de la función administrativa y de la gestión fiscal, dentro de los cuales se encuentra el principio de economía, postulado este, que exige la optimización de los recursos públicos.</w:t>
      </w:r>
    </w:p>
    <w:p w14:paraId="3317905C" w14:textId="77777777" w:rsidR="00367F09" w:rsidRPr="00143443" w:rsidRDefault="00367F09" w:rsidP="00367F09">
      <w:pPr>
        <w:spacing w:after="120" w:line="276" w:lineRule="auto"/>
        <w:ind w:firstLine="709"/>
        <w:jc w:val="both"/>
        <w:rPr>
          <w:rFonts w:ascii="Verdana" w:hAnsi="Verdana" w:cs="Arial"/>
          <w:bCs/>
          <w:lang w:val="es-ES_tradnl"/>
        </w:rPr>
      </w:pPr>
      <w:r w:rsidRPr="00143443">
        <w:rPr>
          <w:rFonts w:ascii="Verdana" w:hAnsi="Verdana" w:cs="Arial"/>
          <w:bCs/>
          <w:lang w:val="es-ES_tradnl"/>
        </w:rPr>
        <w:t>Bajo esta órbita, se aclara que los proponentes al momento de estructurar sus ofertas tienen la obligación, respecto del proceso de selección, de conocer las normas que lo rigen, sus características, condiciones de ejecución del contrato y riesgos previsibles. Esto, en razón a que, mediante la presentación de la oferta se pone en contexto a la entidad contratante frente a una serie de documentos que en conjunto conforman un acervo probatorio, de los requisitos que se pretenden hacer valer y que permiten determinar, entre varias ofertas, la que represente la mejor condición de elegibilidad.</w:t>
      </w:r>
    </w:p>
    <w:p w14:paraId="2A09DEBB" w14:textId="77777777" w:rsidR="00367F09" w:rsidRPr="00143443" w:rsidRDefault="00367F09" w:rsidP="00367F09">
      <w:pPr>
        <w:spacing w:after="120" w:line="276" w:lineRule="auto"/>
        <w:ind w:firstLine="709"/>
        <w:jc w:val="both"/>
        <w:rPr>
          <w:rFonts w:ascii="Verdana" w:hAnsi="Verdana" w:cs="Arial"/>
          <w:bCs/>
          <w:lang w:val="es-ES_tradnl"/>
        </w:rPr>
      </w:pPr>
      <w:r w:rsidRPr="00143443">
        <w:rPr>
          <w:rFonts w:ascii="Verdana" w:hAnsi="Verdana" w:cs="Arial"/>
          <w:bCs/>
          <w:lang w:val="es-ES_tradnl"/>
        </w:rPr>
        <w:t xml:space="preserve">Los requisitos de los proponentes, que se hacen valer por medio de la oferta en su integridad, pueden ser entendidos en tres cales: i) </w:t>
      </w:r>
      <w:r w:rsidRPr="00143443">
        <w:rPr>
          <w:rFonts w:ascii="Verdana" w:hAnsi="Verdana" w:cs="Arial"/>
          <w:bCs/>
          <w:i/>
          <w:iCs/>
          <w:lang w:val="es-ES_tradnl"/>
        </w:rPr>
        <w:t xml:space="preserve">subjetivos, </w:t>
      </w:r>
      <w:r w:rsidRPr="00143443">
        <w:rPr>
          <w:rFonts w:ascii="Verdana" w:hAnsi="Verdana" w:cs="Arial"/>
          <w:bCs/>
          <w:lang w:val="es-ES_tradnl"/>
        </w:rPr>
        <w:t xml:space="preserve">que atienden a las calidades, capacidades, idoneidad y condiciones de los oferentes; </w:t>
      </w:r>
      <w:proofErr w:type="spellStart"/>
      <w:r w:rsidRPr="00143443">
        <w:rPr>
          <w:rFonts w:ascii="Verdana" w:hAnsi="Verdana" w:cs="Arial"/>
          <w:bCs/>
          <w:lang w:val="es-ES_tradnl"/>
        </w:rPr>
        <w:t>ii</w:t>
      </w:r>
      <w:proofErr w:type="spellEnd"/>
      <w:r w:rsidRPr="00143443">
        <w:rPr>
          <w:rFonts w:ascii="Verdana" w:hAnsi="Verdana" w:cs="Arial"/>
          <w:bCs/>
          <w:lang w:val="es-ES_tradnl"/>
        </w:rPr>
        <w:t xml:space="preserve">) </w:t>
      </w:r>
      <w:r w:rsidRPr="00143443">
        <w:rPr>
          <w:rFonts w:ascii="Verdana" w:hAnsi="Verdana" w:cs="Arial"/>
          <w:bCs/>
          <w:i/>
          <w:iCs/>
          <w:lang w:val="es-ES_tradnl"/>
        </w:rPr>
        <w:t xml:space="preserve">objetivos </w:t>
      </w:r>
      <w:r w:rsidRPr="00143443">
        <w:rPr>
          <w:rFonts w:ascii="Verdana" w:hAnsi="Verdana" w:cs="Arial"/>
          <w:bCs/>
          <w:lang w:val="es-ES_tradnl"/>
        </w:rPr>
        <w:t xml:space="preserve">que se refieren a aspectos técnicos, económicos, presupuestales, etc., que permiten ponderar las ofertas en su real y efectiva dimensión; y </w:t>
      </w:r>
      <w:proofErr w:type="spellStart"/>
      <w:r w:rsidRPr="00143443">
        <w:rPr>
          <w:rFonts w:ascii="Verdana" w:hAnsi="Verdana" w:cs="Arial"/>
          <w:bCs/>
          <w:lang w:val="es-ES_tradnl"/>
        </w:rPr>
        <w:t>iii</w:t>
      </w:r>
      <w:proofErr w:type="spellEnd"/>
      <w:r w:rsidRPr="00143443">
        <w:rPr>
          <w:rFonts w:ascii="Verdana" w:hAnsi="Verdana" w:cs="Arial"/>
          <w:bCs/>
          <w:lang w:val="es-ES_tradnl"/>
        </w:rPr>
        <w:t xml:space="preserve">) </w:t>
      </w:r>
      <w:r w:rsidRPr="00143443">
        <w:rPr>
          <w:rFonts w:ascii="Verdana" w:hAnsi="Verdana" w:cs="Arial"/>
          <w:bCs/>
          <w:i/>
          <w:iCs/>
          <w:lang w:val="es-ES_tradnl"/>
        </w:rPr>
        <w:t xml:space="preserve">formales </w:t>
      </w:r>
      <w:r w:rsidRPr="00143443">
        <w:rPr>
          <w:rFonts w:ascii="Verdana" w:hAnsi="Verdana" w:cs="Arial"/>
          <w:bCs/>
          <w:lang w:val="es-ES_tradnl"/>
        </w:rPr>
        <w:t xml:space="preserve">que se atienden a la instrumentalización y protocolización de los actos jurídicos, tanto de la propuesta como del contrato estatal. </w:t>
      </w:r>
    </w:p>
    <w:p w14:paraId="57B28672" w14:textId="77777777" w:rsidR="00367F09" w:rsidRDefault="00367F09" w:rsidP="00367F09">
      <w:pPr>
        <w:spacing w:after="120" w:line="276" w:lineRule="auto"/>
        <w:ind w:firstLine="709"/>
        <w:jc w:val="both"/>
        <w:rPr>
          <w:rFonts w:ascii="Verdana" w:hAnsi="Verdana" w:cs="Arial"/>
          <w:lang w:val="es-ES"/>
        </w:rPr>
      </w:pPr>
      <w:r w:rsidRPr="00143443">
        <w:rPr>
          <w:rFonts w:ascii="Verdana" w:hAnsi="Verdana" w:cs="Arial"/>
          <w:lang w:val="es-ES"/>
        </w:rPr>
        <w:lastRenderedPageBreak/>
        <w:t>Ahora bien, desde luego que los costos asociados al personal requerido para ejecutar el contrato son un aspecto que entran a determinar su precio, por lo que son un tema para considerar al hacer el ofrecimiento económico en la etapa de presentación de ofertas, con sujeción al mecanismo para determinar el precio que regule la entidad en el pliego de condiciones. En ese sentido, cuando una entidad incorpora el mecanismo del factor multiplicador debe incluir las reglas para que estos sean considerados por los proponentes, de suerte que incluyan los costos asociados al personal para la ejecución del contrato en concordancia con el equipo de trabajo exigido, el cual debe atender unas condiciones y perfiles específicos establecidos en los Documentos del Proceso. Las reglas que discrecionalmente deben establecer las entidades estatales en los pliegos de condiciones para regular los mencionados aspectos son las que en últimas determinan que tipo de contratación de personal es la que corresponde realizar al contratista para ejecutar el proyecto, así como la posibilidad de que los costos de dicha contratación</w:t>
      </w:r>
      <w:r>
        <w:rPr>
          <w:rFonts w:ascii="Verdana" w:hAnsi="Verdana" w:cs="Arial"/>
          <w:lang w:val="es-ES"/>
        </w:rPr>
        <w:t xml:space="preserve"> </w:t>
      </w:r>
      <w:r w:rsidRPr="00143443">
        <w:rPr>
          <w:rFonts w:ascii="Verdana" w:hAnsi="Verdana" w:cs="Arial"/>
          <w:lang w:val="es-ES"/>
        </w:rPr>
        <w:t xml:space="preserve">–ya sea laboral o por prestación de servicios–, se incorporen al precio del contrato, por la vía del factor multiplicador aplicado para hacer la oferta económica. </w:t>
      </w:r>
    </w:p>
    <w:p w14:paraId="76DCAD6F" w14:textId="77777777" w:rsidR="00367F09" w:rsidRPr="00143443" w:rsidRDefault="00367F09" w:rsidP="00367F09">
      <w:pPr>
        <w:spacing w:after="120" w:line="276" w:lineRule="auto"/>
        <w:ind w:firstLine="709"/>
        <w:jc w:val="both"/>
        <w:rPr>
          <w:rFonts w:ascii="Verdana" w:hAnsi="Verdana" w:cs="Arial"/>
          <w:lang w:val="es-ES"/>
        </w:rPr>
      </w:pPr>
      <w:r>
        <w:rPr>
          <w:rFonts w:ascii="Verdana" w:hAnsi="Verdana" w:cs="Arial"/>
          <w:lang w:val="es-ES"/>
        </w:rPr>
        <w:t>S</w:t>
      </w:r>
      <w:r w:rsidRPr="00A76060">
        <w:rPr>
          <w:rFonts w:ascii="Verdana" w:hAnsi="Verdana" w:cs="Arial"/>
          <w:lang w:val="es-ES"/>
        </w:rPr>
        <w:t>i el factor multiplicador se usa para determinar costos, el contratista debe demostrar el gasto de cada componente. Si ciertos costos no se generan (por ejemplo, si el personal no requiere prestaciones), el contrato debería modificarse para reducir el % correspondiente. Si la interventoría presentó un informe de proyección de gastos, pero este no fue parte del contrato, la entidad aún puede exigirle soportes de gastos reales. Si los costos directos (ejemplo: nómina, laboratorios) son menores a lo presupuestado, el saldo no ejecutado debería liberarse y no ser facturado sin justificación. En conclusión, los valores facturados deben corresponder a costos reales soportados.</w:t>
      </w:r>
    </w:p>
    <w:p w14:paraId="0AF67C5B" w14:textId="77777777" w:rsidR="00367F09" w:rsidRDefault="00367F09" w:rsidP="00367F09">
      <w:pPr>
        <w:spacing w:after="120" w:line="276" w:lineRule="auto"/>
        <w:ind w:firstLine="709"/>
        <w:jc w:val="both"/>
        <w:rPr>
          <w:rFonts w:ascii="Verdana" w:hAnsi="Verdana" w:cs="Arial"/>
          <w:bCs/>
          <w:lang w:val="es-ES_tradnl"/>
        </w:rPr>
      </w:pPr>
      <w:r>
        <w:rPr>
          <w:rFonts w:ascii="Verdana" w:hAnsi="Verdana" w:cs="Arial"/>
          <w:bCs/>
          <w:lang w:val="es-ES_tradnl"/>
        </w:rPr>
        <w:t>De esta manera</w:t>
      </w:r>
      <w:r w:rsidRPr="00143443">
        <w:rPr>
          <w:rFonts w:ascii="Verdana" w:hAnsi="Verdana" w:cs="Arial"/>
          <w:bCs/>
          <w:lang w:val="es-ES_tradnl"/>
        </w:rPr>
        <w:t>, cuando la Entidad Estatal haga uso del factor multiplicador, debe asegurarse de ejercer una buena vigilancia de la ejecución contractual, con el fin de poder realizar adecuadamente la auditoría de los costos del contrato para apagar sólo aquello que se hayan causado efectivamente. Por tanto, podrán verificarse los soportes contables, administrativos y financieros de la ejecución, ya que la Entidad Estatal sólo debe pagar aquellos costos que hubieran sido pagados por el contratista so pena de que se configure un enriquecimiento sin causa de su parte.</w:t>
      </w:r>
    </w:p>
    <w:p w14:paraId="2D0D5A4B" w14:textId="77777777" w:rsidR="00367F09" w:rsidRDefault="00367F09" w:rsidP="00367F09">
      <w:pPr>
        <w:spacing w:after="120" w:line="276" w:lineRule="auto"/>
        <w:ind w:firstLine="709"/>
        <w:jc w:val="both"/>
        <w:rPr>
          <w:rFonts w:ascii="Verdana" w:hAnsi="Verdana" w:cs="Arial"/>
          <w:bCs/>
          <w:lang w:val="es-ES_tradnl"/>
        </w:rPr>
      </w:pPr>
      <w:r>
        <w:rPr>
          <w:rFonts w:ascii="Verdana" w:hAnsi="Verdana" w:cs="Arial"/>
          <w:bCs/>
          <w:lang w:val="es-ES_tradnl"/>
        </w:rPr>
        <w:lastRenderedPageBreak/>
        <w:t xml:space="preserve">Por lo demás, </w:t>
      </w:r>
      <w:r w:rsidRPr="00166E46">
        <w:rPr>
          <w:rFonts w:ascii="Verdana" w:hAnsi="Verdana" w:cs="Arial"/>
          <w:bCs/>
          <w:lang w:val="es-ES_tradnl"/>
        </w:rPr>
        <w:t xml:space="preserve">es necesario tener en cuenta que el deber de planeación no es privativo de las entidades públicas, por lo que también se extiende </w:t>
      </w:r>
      <w:r>
        <w:rPr>
          <w:rFonts w:ascii="Verdana" w:hAnsi="Verdana" w:cs="Arial"/>
          <w:bCs/>
          <w:lang w:val="es-ES_tradnl"/>
        </w:rPr>
        <w:t>a los interesados en el proceso de selección</w:t>
      </w:r>
      <w:r w:rsidRPr="00166E46">
        <w:rPr>
          <w:rFonts w:ascii="Verdana" w:hAnsi="Verdana" w:cs="Arial"/>
          <w:bCs/>
          <w:lang w:val="es-ES_tradnl"/>
        </w:rPr>
        <w:t xml:space="preserve">. </w:t>
      </w:r>
      <w:r>
        <w:rPr>
          <w:rFonts w:ascii="Verdana" w:hAnsi="Verdana" w:cs="Arial"/>
          <w:bCs/>
          <w:lang w:val="es-ES_tradnl"/>
        </w:rPr>
        <w:t>Al respecto</w:t>
      </w:r>
      <w:r w:rsidRPr="00166E46">
        <w:rPr>
          <w:rFonts w:ascii="Verdana" w:hAnsi="Verdana" w:cs="Arial"/>
          <w:bCs/>
          <w:lang w:val="es-ES_tradnl"/>
        </w:rPr>
        <w:t xml:space="preserve">, la Subsección A de la Sección Tercera del Consejo de Estado –en Sentencia del 21 de febrero de 2025, </w:t>
      </w:r>
      <w:proofErr w:type="spellStart"/>
      <w:r w:rsidRPr="00166E46">
        <w:rPr>
          <w:rFonts w:ascii="Verdana" w:hAnsi="Verdana" w:cs="Arial"/>
          <w:bCs/>
          <w:lang w:val="es-ES_tradnl"/>
        </w:rPr>
        <w:t>Exp</w:t>
      </w:r>
      <w:proofErr w:type="spellEnd"/>
      <w:r w:rsidRPr="00166E46">
        <w:rPr>
          <w:rFonts w:ascii="Verdana" w:hAnsi="Verdana" w:cs="Arial"/>
          <w:bCs/>
          <w:lang w:val="es-ES_tradnl"/>
        </w:rPr>
        <w:t xml:space="preserve">. 71583, con ponencia del </w:t>
      </w:r>
      <w:proofErr w:type="gramStart"/>
      <w:r w:rsidRPr="00166E46">
        <w:rPr>
          <w:rFonts w:ascii="Verdana" w:hAnsi="Verdana" w:cs="Arial"/>
          <w:bCs/>
          <w:lang w:val="es-ES_tradnl"/>
        </w:rPr>
        <w:t>Consejero</w:t>
      </w:r>
      <w:proofErr w:type="gramEnd"/>
      <w:r w:rsidRPr="00166E46">
        <w:rPr>
          <w:rFonts w:ascii="Verdana" w:hAnsi="Verdana" w:cs="Arial"/>
          <w:bCs/>
          <w:lang w:val="es-ES_tradnl"/>
        </w:rPr>
        <w:t xml:space="preserve"> Fernando Alexei Pardo Flórez– explica que “El deber de planeación, y las cargas de advertencia y previsión, propias de la autonomía privada de la voluntad, impiden que la contratista obtenga reconocimientos económicos derivados de fallas en la estructuración del negocio que debieron ser advertidas desde la fase de formación del acuerdo de voluntades […]”.</w:t>
      </w:r>
    </w:p>
    <w:p w14:paraId="744DC1AA" w14:textId="77777777" w:rsidR="00367F09" w:rsidRDefault="00367F09" w:rsidP="00367F09">
      <w:pPr>
        <w:spacing w:after="120" w:line="276" w:lineRule="auto"/>
        <w:ind w:firstLine="709"/>
        <w:jc w:val="both"/>
        <w:rPr>
          <w:rFonts w:ascii="Verdana" w:hAnsi="Verdana" w:cs="Arial"/>
          <w:bCs/>
          <w:lang w:val="es-ES_tradnl"/>
        </w:rPr>
      </w:pPr>
      <w:r>
        <w:rPr>
          <w:rFonts w:ascii="Verdana" w:hAnsi="Verdana" w:cs="Arial"/>
          <w:bCs/>
          <w:lang w:val="es-ES_tradnl"/>
        </w:rPr>
        <w:t xml:space="preserve">Es decir, si existían inquietudes sobre los componentes del factor multiplicador, </w:t>
      </w:r>
      <w:r w:rsidRPr="000A30A6">
        <w:rPr>
          <w:rFonts w:ascii="Verdana" w:hAnsi="Verdana" w:cs="Arial"/>
          <w:bCs/>
          <w:lang w:val="es-ES_tradnl"/>
        </w:rPr>
        <w:t xml:space="preserve">los interesados </w:t>
      </w:r>
      <w:r>
        <w:rPr>
          <w:rFonts w:ascii="Verdana" w:hAnsi="Verdana" w:cs="Arial"/>
          <w:bCs/>
          <w:lang w:val="es-ES_tradnl"/>
        </w:rPr>
        <w:t>tuvieron la oportunidad de</w:t>
      </w:r>
      <w:r w:rsidRPr="000A30A6">
        <w:rPr>
          <w:rFonts w:ascii="Verdana" w:hAnsi="Verdana" w:cs="Arial"/>
          <w:bCs/>
          <w:lang w:val="es-ES_tradnl"/>
        </w:rPr>
        <w:t xml:space="preserve"> formular observaciones para aclarar sus </w:t>
      </w:r>
      <w:r>
        <w:rPr>
          <w:rFonts w:ascii="Verdana" w:hAnsi="Verdana" w:cs="Arial"/>
          <w:bCs/>
          <w:lang w:val="es-ES_tradnl"/>
        </w:rPr>
        <w:t>dudas</w:t>
      </w:r>
      <w:r w:rsidRPr="000A30A6">
        <w:rPr>
          <w:rFonts w:ascii="Verdana" w:hAnsi="Verdana" w:cs="Arial"/>
          <w:bCs/>
          <w:lang w:val="es-ES_tradnl"/>
        </w:rPr>
        <w:t>. En este sentido, el artículo 24.2 del Estatuto General de Contratación de la Administración Pública dispone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Así, los proponentes pueden observar tanto el proyecto de pliego como el pliego de condiciones definitivo con el propósito de esclarecer aspectos del proceso.</w:t>
      </w:r>
    </w:p>
    <w:p w14:paraId="660B8F77" w14:textId="77777777" w:rsidR="00367F09" w:rsidRPr="000A30A6" w:rsidRDefault="00367F09" w:rsidP="00367F09">
      <w:pPr>
        <w:spacing w:after="120" w:line="276" w:lineRule="auto"/>
        <w:ind w:firstLine="709"/>
        <w:jc w:val="both"/>
        <w:rPr>
          <w:rFonts w:ascii="Verdana" w:hAnsi="Verdana" w:cs="Arial"/>
          <w:lang w:val="es-MX"/>
        </w:rPr>
      </w:pPr>
      <w:r w:rsidRPr="000A30A6">
        <w:rPr>
          <w:rFonts w:ascii="Verdana" w:hAnsi="Verdana" w:cs="Arial"/>
          <w:lang w:val="es-MX"/>
        </w:rPr>
        <w:t>En este contexto, bajo el criterio de que “nadie puede ben</w:t>
      </w:r>
      <w:r>
        <w:rPr>
          <w:rFonts w:ascii="Verdana" w:hAnsi="Verdana" w:cs="Arial"/>
          <w:lang w:val="es-MX"/>
        </w:rPr>
        <w:t>e</w:t>
      </w:r>
      <w:r w:rsidRPr="000A30A6">
        <w:rPr>
          <w:rFonts w:ascii="Verdana" w:hAnsi="Verdana" w:cs="Arial"/>
          <w:lang w:val="es-MX"/>
        </w:rPr>
        <w:t xml:space="preserve">ficiarse de su propia culpa”, </w:t>
      </w:r>
      <w:r>
        <w:rPr>
          <w:rFonts w:ascii="Verdana" w:hAnsi="Verdana" w:cs="Arial"/>
          <w:lang w:val="es-MX"/>
        </w:rPr>
        <w:t>se restringe a los contratistas la posibilidad de solicitar</w:t>
      </w:r>
      <w:r w:rsidRPr="000A30A6">
        <w:rPr>
          <w:rFonts w:ascii="Verdana" w:hAnsi="Verdana" w:cs="Arial"/>
          <w:lang w:val="es-MX"/>
        </w:rPr>
        <w:t xml:space="preserve"> reconocimientos económicos</w:t>
      </w:r>
      <w:r>
        <w:rPr>
          <w:rFonts w:ascii="Verdana" w:hAnsi="Verdana" w:cs="Arial"/>
          <w:lang w:val="es-MX"/>
        </w:rPr>
        <w:t xml:space="preserve"> derivados</w:t>
      </w:r>
      <w:r w:rsidRPr="000A30A6">
        <w:rPr>
          <w:rFonts w:ascii="Verdana" w:hAnsi="Verdana" w:cs="Arial"/>
          <w:lang w:val="es-MX"/>
        </w:rPr>
        <w:t xml:space="preserve"> de fallas de planeación que debi</w:t>
      </w:r>
      <w:r>
        <w:rPr>
          <w:rFonts w:ascii="Verdana" w:hAnsi="Verdana" w:cs="Arial"/>
          <w:lang w:val="es-MX"/>
        </w:rPr>
        <w:t>eron</w:t>
      </w:r>
      <w:r w:rsidRPr="000A30A6">
        <w:rPr>
          <w:rFonts w:ascii="Verdana" w:hAnsi="Verdana" w:cs="Arial"/>
          <w:lang w:val="es-MX"/>
        </w:rPr>
        <w:t xml:space="preserve"> advertir </w:t>
      </w:r>
      <w:r>
        <w:rPr>
          <w:rFonts w:ascii="Verdana" w:hAnsi="Verdana" w:cs="Arial"/>
          <w:lang w:val="es-MX"/>
        </w:rPr>
        <w:t xml:space="preserve">a la entidad contratante </w:t>
      </w:r>
      <w:r w:rsidRPr="000A30A6">
        <w:rPr>
          <w:rFonts w:ascii="Verdana" w:hAnsi="Verdana" w:cs="Arial"/>
          <w:lang w:val="es-MX"/>
        </w:rPr>
        <w:t>antes del perfeccionamiento del contrato.</w:t>
      </w:r>
      <w:r>
        <w:rPr>
          <w:rFonts w:ascii="Verdana" w:hAnsi="Verdana" w:cs="Arial"/>
          <w:lang w:val="es-MX"/>
        </w:rPr>
        <w:t xml:space="preserve"> Si bien el parágrafo del artículo 40 de la Ley 80 de 1993 dispone que “</w:t>
      </w:r>
      <w:r w:rsidRPr="00E93FA0">
        <w:rPr>
          <w:rFonts w:ascii="Verdana" w:hAnsi="Verdana" w:cs="Arial"/>
          <w:lang w:val="es-MX"/>
        </w:rPr>
        <w:t>Los contratos no podrán adicionarse en más del cincuenta por ciento (50%) de su valor inicial, expresado éste en salarios mínimos legales mensuales</w:t>
      </w:r>
      <w:r>
        <w:rPr>
          <w:rFonts w:ascii="Verdana" w:hAnsi="Verdana" w:cs="Arial"/>
          <w:lang w:val="es-MX"/>
        </w:rPr>
        <w:t xml:space="preserve">”, el Estado no se encuentra obligado a reestructurar el porcentaje ni los componentes del factor multiplicador, pues las modificaciones contractuales no son un derecho del contratista. </w:t>
      </w:r>
    </w:p>
    <w:p w14:paraId="648BBA0B" w14:textId="77777777" w:rsidR="00367F09" w:rsidRPr="003A380F" w:rsidRDefault="00367F09" w:rsidP="00367F09">
      <w:pPr>
        <w:spacing w:after="12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Al margen de la explicación precedente</w:t>
      </w:r>
      <w:r>
        <w:rPr>
          <w:rFonts w:ascii="Verdana" w:eastAsia="Calibri" w:hAnsi="Verdana" w:cs="Arial"/>
          <w:bCs/>
          <w:color w:val="000000" w:themeColor="text1"/>
        </w:rPr>
        <w:t>,</w:t>
      </w:r>
      <w:r w:rsidRPr="003A380F">
        <w:rPr>
          <w:rFonts w:ascii="Verdana" w:eastAsia="Calibri" w:hAnsi="Verdana" w:cs="Arial"/>
          <w:bCs/>
          <w:color w:val="000000" w:themeColor="text1"/>
        </w:rPr>
        <w:t xml:space="preserve"> debe advertirse que el análisis requerido para resolver problemas específicos en torno a la gestión contractual de las entidades públicas debe ser realizado por quienes tengan interés en ello, de acuerdo con lo explicado </w:t>
      </w:r>
      <w:r>
        <w:rPr>
          <w:rFonts w:ascii="Verdana" w:eastAsia="Calibri" w:hAnsi="Verdana" w:cs="Arial"/>
          <w:bCs/>
          <w:color w:val="000000" w:themeColor="text1"/>
        </w:rPr>
        <w:t>en la</w:t>
      </w:r>
      <w:r w:rsidRPr="003A380F">
        <w:rPr>
          <w:rFonts w:ascii="Verdana" w:eastAsia="Calibri" w:hAnsi="Verdana" w:cs="Arial"/>
          <w:bCs/>
          <w:color w:val="000000" w:themeColor="text1"/>
        </w:rPr>
        <w:t xml:space="preserve"> aclaración preliminar del presente oficio.</w:t>
      </w:r>
      <w:r>
        <w:rPr>
          <w:rFonts w:ascii="Verdana" w:eastAsia="Calibri" w:hAnsi="Verdana" w:cs="Arial"/>
          <w:bCs/>
          <w:color w:val="000000" w:themeColor="text1"/>
        </w:rPr>
        <w:t xml:space="preserve"> </w:t>
      </w:r>
      <w:r w:rsidRPr="003A380F">
        <w:rPr>
          <w:rFonts w:ascii="Verdana" w:eastAsia="Calibri" w:hAnsi="Verdana" w:cs="Arial"/>
          <w:bCs/>
          <w:color w:val="000000" w:themeColor="text1"/>
        </w:rPr>
        <w:t xml:space="preserve">De esta manera, las afirmaciones aquí realizadas no pueden ser interpretadas como </w:t>
      </w:r>
      <w:r w:rsidRPr="003A380F">
        <w:rPr>
          <w:rFonts w:ascii="Verdana" w:eastAsia="Calibri" w:hAnsi="Verdana" w:cs="Arial"/>
          <w:bCs/>
          <w:color w:val="000000" w:themeColor="text1"/>
        </w:rPr>
        <w:lastRenderedPageBreak/>
        <w:t>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F6D34D3" w14:textId="77777777" w:rsidR="00367F09" w:rsidRPr="00185EE9" w:rsidRDefault="00367F09" w:rsidP="00367F09">
      <w:pPr>
        <w:spacing w:after="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7B907404" w14:textId="77777777" w:rsidR="00367F09" w:rsidRPr="00182C89" w:rsidRDefault="00367F09" w:rsidP="00367F09">
      <w:pPr>
        <w:tabs>
          <w:tab w:val="left" w:pos="709"/>
        </w:tabs>
        <w:spacing w:after="0" w:line="276" w:lineRule="auto"/>
        <w:jc w:val="both"/>
        <w:rPr>
          <w:rFonts w:ascii="Verdana" w:eastAsia="Calibri" w:hAnsi="Verdana" w:cs="Arial"/>
          <w:color w:val="000000" w:themeColor="text1"/>
        </w:rPr>
      </w:pPr>
    </w:p>
    <w:p w14:paraId="6FBFB6D6" w14:textId="77777777" w:rsidR="00367F09" w:rsidRPr="00593A5F" w:rsidRDefault="00367F09" w:rsidP="00367F0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8D61379" w14:textId="77777777" w:rsidR="00367F09" w:rsidRPr="00593A5F" w:rsidRDefault="00367F09" w:rsidP="00367F0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67F09" w:rsidRPr="002407CE" w14:paraId="5D46982A" w14:textId="77777777" w:rsidTr="003D216B">
        <w:trPr>
          <w:trHeight w:val="870"/>
          <w:jc w:val="center"/>
        </w:trPr>
        <w:tc>
          <w:tcPr>
            <w:tcW w:w="8647" w:type="dxa"/>
          </w:tcPr>
          <w:p w14:paraId="37B5D9CE" w14:textId="77777777" w:rsidR="00367F09" w:rsidRPr="00D85592" w:rsidRDefault="00367F09" w:rsidP="003D216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85592">
              <w:rPr>
                <w:rFonts w:ascii="Verdana" w:hAnsi="Verdana" w:cs="Arial"/>
              </w:rPr>
              <w:t xml:space="preserve">Ley 80 de 1993, artículos </w:t>
            </w:r>
            <w:r>
              <w:rPr>
                <w:rFonts w:ascii="Verdana" w:hAnsi="Verdana" w:cs="Arial"/>
              </w:rPr>
              <w:t>13, 24, 32 y 40</w:t>
            </w:r>
            <w:r w:rsidRPr="00D85592">
              <w:rPr>
                <w:rFonts w:ascii="Verdana" w:hAnsi="Verdana" w:cs="Arial"/>
              </w:rPr>
              <w:t>.</w:t>
            </w:r>
          </w:p>
          <w:p w14:paraId="56718D4D" w14:textId="77777777" w:rsidR="00367F09" w:rsidRPr="00F803DB" w:rsidRDefault="00367F09" w:rsidP="003D216B">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sidRPr="00D85592">
              <w:rPr>
                <w:rFonts w:ascii="Verdana" w:hAnsi="Verdana" w:cs="Arial"/>
                <w:color w:val="000000" w:themeColor="text1"/>
                <w:lang w:val="es-ES_tradnl"/>
              </w:rPr>
              <w:t>Decreto 1082 de 2015</w:t>
            </w:r>
            <w:r>
              <w:rPr>
                <w:rFonts w:ascii="Verdana" w:hAnsi="Verdana" w:cs="Arial"/>
                <w:color w:val="000000" w:themeColor="text1"/>
                <w:lang w:val="es-ES_tradnl"/>
              </w:rPr>
              <w:t>,</w:t>
            </w:r>
            <w:r w:rsidRPr="00D85592">
              <w:rPr>
                <w:rFonts w:ascii="Verdana" w:hAnsi="Verdana" w:cs="Arial"/>
                <w:color w:val="000000" w:themeColor="text1"/>
                <w:lang w:val="es-ES_tradnl"/>
              </w:rPr>
              <w:t xml:space="preserve"> artículo 2.2.1.1.2.1.1</w:t>
            </w:r>
            <w:r>
              <w:rPr>
                <w:rFonts w:ascii="Verdana" w:hAnsi="Verdana" w:cs="Arial"/>
                <w:color w:val="000000" w:themeColor="text1"/>
                <w:lang w:val="es-ES_tradnl"/>
              </w:rPr>
              <w:t>.</w:t>
            </w:r>
          </w:p>
        </w:tc>
      </w:tr>
    </w:tbl>
    <w:p w14:paraId="78487140" w14:textId="77777777" w:rsidR="00367F09" w:rsidRPr="002407CE" w:rsidRDefault="00367F09" w:rsidP="00367F09">
      <w:pPr>
        <w:widowControl w:val="0"/>
        <w:autoSpaceDE w:val="0"/>
        <w:autoSpaceDN w:val="0"/>
        <w:spacing w:after="0" w:line="276" w:lineRule="auto"/>
        <w:jc w:val="both"/>
        <w:rPr>
          <w:rFonts w:ascii="Verdana" w:hAnsi="Verdana" w:cs="Arial"/>
        </w:rPr>
      </w:pPr>
    </w:p>
    <w:p w14:paraId="0E2D96F8" w14:textId="77777777" w:rsidR="00367F09" w:rsidRPr="00593A5F" w:rsidRDefault="00367F09" w:rsidP="00367F0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6055F2B" w14:textId="77777777" w:rsidR="00367F09" w:rsidRPr="00593A5F" w:rsidRDefault="00367F09" w:rsidP="00367F09">
      <w:pPr>
        <w:widowControl w:val="0"/>
        <w:autoSpaceDE w:val="0"/>
        <w:autoSpaceDN w:val="0"/>
        <w:spacing w:after="0" w:line="276" w:lineRule="auto"/>
        <w:jc w:val="both"/>
        <w:rPr>
          <w:rFonts w:ascii="Verdana" w:hAnsi="Verdana" w:cs="Arial"/>
        </w:rPr>
      </w:pPr>
    </w:p>
    <w:p w14:paraId="1720BB82" w14:textId="77777777" w:rsidR="00367F09" w:rsidRPr="00ED0098" w:rsidRDefault="00367F09" w:rsidP="00367F09">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Esta Subdirección</w:t>
      </w:r>
      <w:r w:rsidRPr="00D85592">
        <w:rPr>
          <w:rFonts w:ascii="Verdana" w:hAnsi="Verdana" w:cs="Arial"/>
          <w:shd w:val="clear" w:color="auto" w:fill="FFFFFF"/>
        </w:rPr>
        <w:t xml:space="preserve"> se ha pronunciado en varias ocasiones sobre </w:t>
      </w:r>
      <w:r>
        <w:rPr>
          <w:rFonts w:ascii="Verdana" w:hAnsi="Verdana" w:cs="Arial"/>
          <w:shd w:val="clear" w:color="auto" w:fill="FFFFFF"/>
        </w:rPr>
        <w:t>la determinación del precio en los contratos estatales</w:t>
      </w:r>
      <w:r w:rsidRPr="00D85592">
        <w:rPr>
          <w:rFonts w:ascii="Verdana" w:hAnsi="Verdana" w:cs="Arial"/>
          <w:shd w:val="clear" w:color="auto" w:fill="FFFFFF"/>
        </w:rPr>
        <w:t xml:space="preserve">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w:t>
      </w:r>
      <w:r>
        <w:rPr>
          <w:rFonts w:ascii="Verdana" w:hAnsi="Verdana" w:cs="Arial"/>
          <w:shd w:val="clear" w:color="auto" w:fill="FFFFFF"/>
        </w:rPr>
        <w:t>C-</w:t>
      </w:r>
      <w:r w:rsidRPr="00D85592">
        <w:rPr>
          <w:rFonts w:ascii="Verdana" w:hAnsi="Verdana" w:cs="Arial"/>
          <w:shd w:val="clear" w:color="auto" w:fill="FFFFFF"/>
        </w:rPr>
        <w:t xml:space="preserve">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w:t>
      </w:r>
      <w:r w:rsidRPr="00D85592">
        <w:rPr>
          <w:rFonts w:ascii="Verdana" w:hAnsi="Verdana" w:cs="Arial"/>
          <w:shd w:val="clear" w:color="auto" w:fill="FFFFFF"/>
        </w:rPr>
        <w:lastRenderedPageBreak/>
        <w:t>del 9 de diciembre de 2022, C-914 del 27 de diciembre de 2022, C-361 de septiembre de 2023, C-401 del 27 de septiembre de 2023 y C-455 del 18 de septiembre de 2024, C-248 del 3 de abril de 2025</w:t>
      </w:r>
      <w:r>
        <w:rPr>
          <w:rFonts w:ascii="Verdana" w:hAnsi="Verdana" w:cs="Arial"/>
          <w:shd w:val="clear" w:color="auto" w:fill="FFFFFF"/>
        </w:rPr>
        <w:t>,</w:t>
      </w:r>
      <w:r w:rsidRPr="00D85592">
        <w:rPr>
          <w:rFonts w:ascii="Verdana" w:hAnsi="Verdana" w:cs="Arial"/>
          <w:shd w:val="clear" w:color="auto" w:fill="FFFFFF"/>
        </w:rPr>
        <w:t xml:space="preserve"> C-460 del 18 de junio de 2025</w:t>
      </w:r>
      <w:r>
        <w:rPr>
          <w:rFonts w:ascii="Verdana" w:hAnsi="Verdana" w:cs="Arial"/>
          <w:shd w:val="clear" w:color="auto" w:fill="FFFFFF"/>
        </w:rPr>
        <w:t xml:space="preserve"> y C-1797 del 16 de diciembre de 2025</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DC61742" w14:textId="77777777" w:rsidR="00367F09" w:rsidRPr="00096788" w:rsidRDefault="00367F09" w:rsidP="00367F09">
      <w:pPr>
        <w:widowControl w:val="0"/>
        <w:autoSpaceDE w:val="0"/>
        <w:autoSpaceDN w:val="0"/>
        <w:spacing w:after="0" w:line="276" w:lineRule="auto"/>
        <w:jc w:val="both"/>
        <w:rPr>
          <w:rFonts w:ascii="Verdana" w:hAnsi="Verdana" w:cs="Arial"/>
          <w:color w:val="000000" w:themeColor="text1"/>
          <w:shd w:val="clear" w:color="auto" w:fill="FFFFFF"/>
        </w:rPr>
      </w:pPr>
    </w:p>
    <w:p w14:paraId="13771F30" w14:textId="77777777" w:rsidR="00367F09" w:rsidRPr="00E440FD" w:rsidRDefault="00367F09" w:rsidP="00367F09">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5BF4309B" w14:textId="77777777" w:rsidR="00367F09" w:rsidRDefault="00367F09" w:rsidP="00367F09">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4A73EC">
        <w:rPr>
          <w:rFonts w:ascii="Verdana" w:hAnsi="Verdana" w:cs="Arial"/>
          <w:color w:val="000000" w:themeColor="text1"/>
          <w:shd w:val="clear" w:color="auto" w:fill="FFFFFF"/>
          <w:lang w:val="es-ES_tradnl"/>
        </w:rPr>
        <w:t xml:space="preserve"> </w:t>
      </w:r>
    </w:p>
    <w:p w14:paraId="41F97EAE" w14:textId="77777777" w:rsidR="00367F09" w:rsidRPr="00116940" w:rsidRDefault="00367F09" w:rsidP="00367F09">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1B7DA0EB" w14:textId="77777777" w:rsidR="00367F09" w:rsidRPr="00116940" w:rsidRDefault="00367F09" w:rsidP="00367F09">
      <w:pPr>
        <w:spacing w:after="0"/>
        <w:jc w:val="both"/>
        <w:rPr>
          <w:rFonts w:ascii="Verdana" w:hAnsi="Verdana"/>
        </w:rPr>
      </w:pPr>
    </w:p>
    <w:p w14:paraId="3D932AB1" w14:textId="77777777" w:rsidR="00367F09" w:rsidRPr="00116940" w:rsidRDefault="00367F09" w:rsidP="00367F09">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51D9A18A" w14:textId="77777777" w:rsidR="00367F09" w:rsidRPr="00116940" w:rsidRDefault="00367F09" w:rsidP="00367F09">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251711C9" w14:textId="77777777" w:rsidR="00367F09" w:rsidRPr="00116940" w:rsidRDefault="00367F09" w:rsidP="00367F0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4">
        <w:r w:rsidRPr="00116940">
          <w:rPr>
            <w:rStyle w:val="Hipervnculo"/>
            <w:rFonts w:ascii="Verdana" w:eastAsia="Verdana" w:hAnsi="Verdana" w:cs="Verdana"/>
            <w:lang w:val="es-MX"/>
          </w:rPr>
          <w:t>ventanilladeradicacion@colombiacompra.gov.co</w:t>
        </w:r>
      </w:hyperlink>
    </w:p>
    <w:p w14:paraId="01122005" w14:textId="77777777" w:rsidR="00367F09" w:rsidRPr="00116940" w:rsidRDefault="00367F09" w:rsidP="00367F0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5">
        <w:r w:rsidRPr="00116940">
          <w:rPr>
            <w:rStyle w:val="Hipervnculo"/>
            <w:rFonts w:ascii="Verdana" w:eastAsia="Verdana" w:hAnsi="Verdana" w:cs="Verdana"/>
            <w:lang w:val="es-MX"/>
          </w:rPr>
          <w:t>https://www.colombiacompra.gov.co/pqrsd/informacion-importante-antes-de-formular-una-pqrsd</w:t>
        </w:r>
      </w:hyperlink>
    </w:p>
    <w:p w14:paraId="2F6304AF" w14:textId="77777777" w:rsidR="00367F09" w:rsidRPr="00116940" w:rsidRDefault="00367F09" w:rsidP="00367F09">
      <w:pPr>
        <w:spacing w:after="0" w:line="240" w:lineRule="auto"/>
        <w:ind w:left="720"/>
        <w:jc w:val="both"/>
        <w:rPr>
          <w:rFonts w:ascii="Verdana" w:hAnsi="Verdana"/>
        </w:rPr>
      </w:pPr>
    </w:p>
    <w:p w14:paraId="04B76F24" w14:textId="77777777" w:rsidR="00367F09" w:rsidRPr="00116940" w:rsidRDefault="00367F09" w:rsidP="00367F09">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6"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0C2F7496" w14:textId="77777777" w:rsidR="00367F09" w:rsidRPr="00116940" w:rsidRDefault="00367F09" w:rsidP="00367F09">
      <w:pPr>
        <w:spacing w:after="0" w:line="240" w:lineRule="auto"/>
        <w:rPr>
          <w:rFonts w:ascii="Verdana" w:hAnsi="Verdana"/>
        </w:rPr>
      </w:pPr>
    </w:p>
    <w:p w14:paraId="139858AD" w14:textId="77777777" w:rsidR="00367F09" w:rsidRPr="00116940" w:rsidRDefault="00367F09" w:rsidP="00367F09">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68EAD31" w14:textId="77777777" w:rsidR="00367F09" w:rsidRPr="00116940" w:rsidRDefault="00367F09" w:rsidP="00367F09">
      <w:pPr>
        <w:spacing w:after="0" w:line="240" w:lineRule="auto"/>
        <w:jc w:val="both"/>
        <w:rPr>
          <w:rFonts w:ascii="Verdana" w:hAnsi="Verdana"/>
        </w:rPr>
      </w:pPr>
    </w:p>
    <w:p w14:paraId="3A9705CF" w14:textId="77777777" w:rsidR="00367F09" w:rsidRPr="00116940" w:rsidRDefault="00367F09" w:rsidP="00367F09">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EC69FA1" w14:textId="77777777" w:rsidR="00367F09" w:rsidRPr="00116940" w:rsidRDefault="00367F09" w:rsidP="00367F09">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4E6BDA1" w14:textId="77777777" w:rsidR="00367F09" w:rsidRPr="00116940" w:rsidRDefault="00367F09" w:rsidP="00367F09">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30590AC" w14:textId="77777777" w:rsidR="00367F09" w:rsidRPr="009C4035" w:rsidRDefault="00367F09" w:rsidP="00367F09">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578BDF63" w14:textId="77777777" w:rsidR="00367F09" w:rsidRPr="00593A5F" w:rsidRDefault="00367F09" w:rsidP="00367F0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C05CF0E" w14:textId="77777777" w:rsidR="00367F09" w:rsidRPr="00593A5F" w:rsidRDefault="00367F09" w:rsidP="00367F09">
      <w:pPr>
        <w:widowControl w:val="0"/>
        <w:autoSpaceDE w:val="0"/>
        <w:autoSpaceDN w:val="0"/>
        <w:spacing w:after="0" w:line="276" w:lineRule="auto"/>
        <w:jc w:val="both"/>
        <w:rPr>
          <w:rFonts w:ascii="Verdana" w:hAnsi="Verdana" w:cs="Arial"/>
        </w:rPr>
      </w:pPr>
    </w:p>
    <w:p w14:paraId="75E509C0" w14:textId="77777777" w:rsidR="00367F09" w:rsidRPr="00593A5F" w:rsidRDefault="00367F09" w:rsidP="00367F0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EB3F765" w14:textId="2684F2A0" w:rsidR="00367F09" w:rsidRPr="00593A5F" w:rsidRDefault="0076615A" w:rsidP="00367F09">
      <w:pPr>
        <w:spacing w:line="276" w:lineRule="auto"/>
        <w:jc w:val="center"/>
        <w:rPr>
          <w:rFonts w:ascii="Verdana" w:hAnsi="Verdana" w:cs="Arial"/>
          <w:color w:val="000000"/>
          <w:lang w:val="es-ES_tradnl" w:eastAsia="es-CO"/>
        </w:rPr>
      </w:pPr>
      <w:r>
        <w:rPr>
          <w:noProof/>
        </w:rPr>
        <w:drawing>
          <wp:inline distT="0" distB="0" distL="0" distR="0" wp14:anchorId="555CA790" wp14:editId="5E951C12">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67F09" w:rsidRPr="00593A5F" w14:paraId="5684427C" w14:textId="77777777" w:rsidTr="003D216B">
        <w:trPr>
          <w:trHeight w:val="315"/>
        </w:trPr>
        <w:tc>
          <w:tcPr>
            <w:tcW w:w="893" w:type="dxa"/>
            <w:vAlign w:val="center"/>
            <w:hideMark/>
          </w:tcPr>
          <w:p w14:paraId="0926C612" w14:textId="77777777" w:rsidR="00367F09" w:rsidRPr="003751C7" w:rsidRDefault="00367F09" w:rsidP="003D216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F895511" w14:textId="77777777" w:rsidR="00367F09" w:rsidRPr="00254A7A" w:rsidRDefault="00367F09" w:rsidP="003D216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2912D51" w14:textId="77777777" w:rsidR="00367F09" w:rsidRPr="00254A7A" w:rsidRDefault="00367F09" w:rsidP="003D216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367F09" w:rsidRPr="00593A5F" w14:paraId="75B5FECC" w14:textId="77777777" w:rsidTr="003D216B">
        <w:trPr>
          <w:trHeight w:val="330"/>
        </w:trPr>
        <w:tc>
          <w:tcPr>
            <w:tcW w:w="893" w:type="dxa"/>
            <w:vAlign w:val="center"/>
            <w:hideMark/>
          </w:tcPr>
          <w:p w14:paraId="2AF76285" w14:textId="77777777" w:rsidR="00367F09" w:rsidRPr="003751C7" w:rsidRDefault="00367F09" w:rsidP="003D216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F8B4920" w14:textId="77777777" w:rsidR="00367F09" w:rsidRPr="00FE00BE" w:rsidRDefault="00367F09" w:rsidP="003D216B">
            <w:pPr>
              <w:pStyle w:val="paragraph"/>
              <w:spacing w:after="0"/>
              <w:contextualSpacing/>
              <w:textAlignment w:val="baseline"/>
              <w:rPr>
                <w:rStyle w:val="normaltextrun"/>
                <w:rFonts w:ascii="Verdana" w:hAnsi="Verdana" w:cs="Arial"/>
                <w:sz w:val="16"/>
                <w:szCs w:val="16"/>
                <w:lang w:val="es-ES_tradnl"/>
              </w:rPr>
            </w:pPr>
            <w:r w:rsidRPr="00FE00BE">
              <w:rPr>
                <w:rStyle w:val="normaltextrun"/>
                <w:rFonts w:ascii="Verdana" w:hAnsi="Verdana" w:cs="Arial"/>
                <w:sz w:val="16"/>
                <w:szCs w:val="16"/>
                <w:lang w:val="es-ES_tradnl"/>
              </w:rPr>
              <w:t>Alejandro Sarmiento Cantillo</w:t>
            </w:r>
          </w:p>
          <w:p w14:paraId="4D815566" w14:textId="77777777" w:rsidR="00367F09" w:rsidRPr="00FE00BE" w:rsidRDefault="00367F09" w:rsidP="003D216B">
            <w:pPr>
              <w:pStyle w:val="paragraph"/>
              <w:spacing w:before="0" w:beforeAutospacing="0" w:after="0" w:afterAutospacing="0"/>
              <w:contextualSpacing/>
              <w:textAlignment w:val="baseline"/>
              <w:rPr>
                <w:rFonts w:ascii="Verdana" w:hAnsi="Verdana" w:cs="Segoe UI"/>
                <w:sz w:val="16"/>
                <w:szCs w:val="16"/>
                <w:lang w:val="es-ES_tradnl"/>
              </w:rPr>
            </w:pPr>
            <w:r w:rsidRPr="00FE00BE">
              <w:rPr>
                <w:rStyle w:val="normaltextrun"/>
                <w:rFonts w:ascii="Verdana" w:hAnsi="Verdana" w:cs="Arial"/>
                <w:sz w:val="16"/>
                <w:szCs w:val="16"/>
                <w:lang w:val="es-ES_tradnl"/>
              </w:rPr>
              <w:t>Gestor T1 ‒ 15 de la Subdirección de Gestión Contractual</w:t>
            </w:r>
          </w:p>
        </w:tc>
      </w:tr>
      <w:tr w:rsidR="00367F09" w:rsidRPr="00593A5F" w14:paraId="19E56A91" w14:textId="77777777" w:rsidTr="003D216B">
        <w:trPr>
          <w:trHeight w:val="300"/>
        </w:trPr>
        <w:tc>
          <w:tcPr>
            <w:tcW w:w="893" w:type="dxa"/>
            <w:vAlign w:val="center"/>
          </w:tcPr>
          <w:p w14:paraId="61FCC2A8" w14:textId="77777777" w:rsidR="00367F09" w:rsidRPr="003751C7" w:rsidRDefault="00367F09" w:rsidP="003D216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8C48C1C" w14:textId="77777777" w:rsidR="00367F09" w:rsidRPr="00FE00BE" w:rsidRDefault="00367F09" w:rsidP="003D216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673FE948" w14:textId="77777777" w:rsidR="00367F09" w:rsidRPr="00FE00BE" w:rsidRDefault="00367F09" w:rsidP="003D216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1135F660" w14:textId="77777777" w:rsidR="00367F09" w:rsidRPr="00543BFE" w:rsidRDefault="00367F09" w:rsidP="00367F09"/>
    <w:p w14:paraId="0F293BF4" w14:textId="3F723E13" w:rsidR="00127233" w:rsidRPr="00E4261E" w:rsidRDefault="00127233" w:rsidP="00E4261E"/>
    <w:sectPr w:rsidR="00127233" w:rsidRPr="00E4261E"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EA82B" w14:textId="77777777" w:rsidR="00CC6F16" w:rsidRDefault="00CC6F16" w:rsidP="004A1847">
      <w:pPr>
        <w:spacing w:after="0" w:line="240" w:lineRule="auto"/>
      </w:pPr>
      <w:r>
        <w:separator/>
      </w:r>
    </w:p>
  </w:endnote>
  <w:endnote w:type="continuationSeparator" w:id="0">
    <w:p w14:paraId="52BE6324" w14:textId="77777777" w:rsidR="00CC6F16" w:rsidRDefault="00CC6F1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DE6CD" w14:textId="77777777" w:rsidR="00CC6F16" w:rsidRDefault="00CC6F16" w:rsidP="004A1847">
      <w:pPr>
        <w:spacing w:after="0" w:line="240" w:lineRule="auto"/>
      </w:pPr>
      <w:r>
        <w:separator/>
      </w:r>
    </w:p>
  </w:footnote>
  <w:footnote w:type="continuationSeparator" w:id="0">
    <w:p w14:paraId="3C753A0B" w14:textId="77777777" w:rsidR="00CC6F16" w:rsidRDefault="00CC6F16" w:rsidP="004A1847">
      <w:pPr>
        <w:spacing w:after="0" w:line="240" w:lineRule="auto"/>
      </w:pPr>
      <w:r>
        <w:continuationSeparator/>
      </w:r>
    </w:p>
  </w:footnote>
  <w:footnote w:id="1">
    <w:p w14:paraId="25BC6532" w14:textId="77777777" w:rsidR="00367F09" w:rsidRPr="00DF05AC" w:rsidRDefault="00367F09" w:rsidP="00367F09">
      <w:pPr>
        <w:pStyle w:val="Textonotapie"/>
        <w:ind w:firstLine="709"/>
        <w:jc w:val="both"/>
        <w:rPr>
          <w:rFonts w:ascii="Verdana" w:hAnsi="Verdana" w:cs="Arial"/>
          <w:sz w:val="16"/>
          <w:szCs w:val="16"/>
          <w:lang w:val="es-ES"/>
        </w:rPr>
      </w:pPr>
      <w:r w:rsidRPr="00DF05AC">
        <w:rPr>
          <w:rStyle w:val="Refdenotaalpie"/>
          <w:rFonts w:ascii="Verdana" w:hAnsi="Verdana" w:cs="Arial"/>
          <w:sz w:val="16"/>
          <w:szCs w:val="16"/>
        </w:rPr>
        <w:footnoteRef/>
      </w:r>
      <w:r w:rsidRPr="00DF05AC">
        <w:rPr>
          <w:rFonts w:ascii="Verdana" w:hAnsi="Verdana" w:cs="Arial"/>
          <w:sz w:val="16"/>
          <w:szCs w:val="16"/>
        </w:rPr>
        <w:t xml:space="preserve"> </w:t>
      </w:r>
      <w:r w:rsidRPr="00DF05AC">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4782E32A" w14:textId="77777777" w:rsidR="00367F09" w:rsidRPr="00DF05AC" w:rsidRDefault="00367F09" w:rsidP="00367F09">
      <w:pPr>
        <w:pStyle w:val="Textonotapie"/>
        <w:ind w:firstLine="709"/>
        <w:jc w:val="both"/>
        <w:rPr>
          <w:rFonts w:ascii="Verdana" w:hAnsi="Verdana" w:cs="Arial"/>
          <w:sz w:val="16"/>
          <w:szCs w:val="16"/>
          <w:lang w:val="es-ES"/>
        </w:rPr>
      </w:pPr>
      <w:r w:rsidRPr="00DF05AC">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DF05AC">
        <w:rPr>
          <w:rFonts w:ascii="Verdana" w:hAnsi="Verdana" w:cs="Arial"/>
          <w:i/>
          <w:iCs/>
          <w:sz w:val="16"/>
          <w:szCs w:val="16"/>
          <w:lang w:val="es-ES"/>
        </w:rPr>
        <w:t>costos directos</w:t>
      </w:r>
      <w:r w:rsidRPr="00DF05AC">
        <w:rPr>
          <w:rFonts w:ascii="Verdana" w:hAnsi="Verdana" w:cs="Arial"/>
          <w:sz w:val="16"/>
          <w:szCs w:val="16"/>
          <w:lang w:val="es-ES"/>
        </w:rPr>
        <w:t xml:space="preserve"> y los</w:t>
      </w:r>
      <w:r w:rsidRPr="00DF05AC">
        <w:rPr>
          <w:rFonts w:ascii="Verdana" w:hAnsi="Verdana" w:cs="Arial"/>
          <w:i/>
          <w:iCs/>
          <w:sz w:val="16"/>
          <w:szCs w:val="16"/>
          <w:lang w:val="es-ES"/>
        </w:rPr>
        <w:t xml:space="preserve"> costos indirectos</w:t>
      </w:r>
      <w:r w:rsidRPr="00DF05AC">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DF05AC">
        <w:rPr>
          <w:rFonts w:ascii="Verdana" w:hAnsi="Verdana" w:cs="Arial"/>
          <w:i/>
          <w:iCs/>
          <w:sz w:val="16"/>
          <w:szCs w:val="16"/>
          <w:lang w:val="es-ES"/>
        </w:rPr>
        <w:t>ítems</w:t>
      </w:r>
      <w:r w:rsidRPr="00DF05AC">
        <w:rPr>
          <w:rFonts w:ascii="Verdana" w:hAnsi="Verdana" w:cs="Arial"/>
          <w:sz w:val="16"/>
          <w:szCs w:val="16"/>
          <w:lang w:val="es-ES"/>
        </w:rPr>
        <w:t xml:space="preserve"> que componen el contrato–. Los costos </w:t>
      </w:r>
      <w:r w:rsidRPr="00DF05AC">
        <w:rPr>
          <w:rFonts w:ascii="Verdana" w:hAnsi="Verdana" w:cs="Arial"/>
          <w:i/>
          <w:iCs/>
          <w:sz w:val="16"/>
          <w:szCs w:val="16"/>
          <w:lang w:val="es-ES"/>
        </w:rPr>
        <w:t>indirectos</w:t>
      </w:r>
      <w:r w:rsidRPr="00DF05AC">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2">
    <w:p w14:paraId="03519E59" w14:textId="77777777" w:rsidR="00367F09" w:rsidRPr="00DF05AC" w:rsidRDefault="00367F09" w:rsidP="00367F09">
      <w:pPr>
        <w:pStyle w:val="Textonotapie"/>
        <w:ind w:firstLine="709"/>
        <w:jc w:val="both"/>
        <w:rPr>
          <w:rFonts w:ascii="Verdana" w:hAnsi="Verdana" w:cs="Arial"/>
          <w:sz w:val="16"/>
          <w:szCs w:val="16"/>
          <w:lang w:val="es-ES"/>
        </w:rPr>
      </w:pPr>
      <w:r w:rsidRPr="00DF05AC">
        <w:rPr>
          <w:rStyle w:val="Refdenotaalpie"/>
          <w:rFonts w:ascii="Verdana" w:hAnsi="Verdana" w:cs="Arial"/>
          <w:sz w:val="16"/>
          <w:szCs w:val="16"/>
        </w:rPr>
        <w:footnoteRef/>
      </w:r>
      <w:r w:rsidRPr="00DF05AC">
        <w:rPr>
          <w:rFonts w:ascii="Verdana" w:hAnsi="Verdana" w:cs="Arial"/>
          <w:sz w:val="16"/>
          <w:szCs w:val="16"/>
        </w:rPr>
        <w:t xml:space="preserve"> Consejo de Estado. Sección Tercera. Subsección B. Sentencia del 14 de octubre de 2011. Exp. 20811, C.P. Ruth Stella Correa Palacio.</w:t>
      </w:r>
    </w:p>
  </w:footnote>
  <w:footnote w:id="3">
    <w:p w14:paraId="6D3478DF" w14:textId="77777777" w:rsidR="00367F09" w:rsidRPr="00DF05AC" w:rsidRDefault="00367F09" w:rsidP="00367F09">
      <w:pPr>
        <w:pStyle w:val="Textonotapie"/>
        <w:ind w:firstLine="708"/>
        <w:jc w:val="both"/>
        <w:rPr>
          <w:rFonts w:ascii="Verdana" w:hAnsi="Verdana" w:cs="Arial"/>
          <w:sz w:val="16"/>
          <w:szCs w:val="16"/>
          <w:lang w:val="es-ES"/>
        </w:rPr>
      </w:pPr>
      <w:r w:rsidRPr="00DF05AC">
        <w:rPr>
          <w:rStyle w:val="Refdenotaalpie"/>
          <w:rFonts w:ascii="Verdana" w:hAnsi="Verdana" w:cs="Arial"/>
          <w:sz w:val="16"/>
          <w:szCs w:val="16"/>
        </w:rPr>
        <w:footnoteRef/>
      </w:r>
      <w:r w:rsidRPr="00DF05AC">
        <w:rPr>
          <w:rFonts w:ascii="Verdana" w:hAnsi="Verdana" w:cs="Arial"/>
          <w:sz w:val="16"/>
          <w:szCs w:val="16"/>
        </w:rPr>
        <w:t xml:space="preserve"> Frente a ello, esta Agencia en respuesta a consulta del 27 de septiembre de 2017, indicó, </w:t>
      </w:r>
      <w:r w:rsidRPr="00DF05AC">
        <w:rPr>
          <w:rFonts w:ascii="Verdana" w:eastAsia="Calibri" w:hAnsi="Verdana" w:cs="Arial"/>
          <w:sz w:val="16"/>
          <w:szCs w:val="16"/>
        </w:rPr>
        <w:t>“</w:t>
      </w:r>
      <w:r w:rsidRPr="00DF05AC">
        <w:rPr>
          <w:rFonts w:ascii="Verdana" w:hAnsi="Verdana" w:cs="Arial"/>
          <w:sz w:val="16"/>
          <w:szCs w:val="16"/>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DF05AC">
        <w:rPr>
          <w:rFonts w:ascii="Verdana" w:eastAsia="Calibri" w:hAnsi="Verdana" w:cs="Arial"/>
          <w:sz w:val="16"/>
          <w:szCs w:val="16"/>
        </w:rPr>
        <w:t>”</w:t>
      </w:r>
      <w:r w:rsidRPr="00DF05AC">
        <w:rPr>
          <w:rFonts w:ascii="Verdana" w:hAnsi="Verdana" w:cs="Arial"/>
          <w:sz w:val="16"/>
          <w:szCs w:val="16"/>
        </w:rPr>
        <w:t xml:space="preserve"> </w:t>
      </w:r>
      <w:r w:rsidRPr="00DF05AC">
        <w:rPr>
          <w:rFonts w:ascii="Verdana" w:hAnsi="Verdana" w:cs="Arial"/>
          <w:sz w:val="16"/>
          <w:szCs w:val="16"/>
          <w:lang w:val="es-ES"/>
        </w:rPr>
        <w:t>Radicación: Respuesta a consulta #4201714000006240 Temas: Contrato de consultoría Tipo de asunto consultado: Cómo se aplica y evalúa el factor multiplicador.</w:t>
      </w:r>
    </w:p>
  </w:footnote>
  <w:footnote w:id="4">
    <w:p w14:paraId="110DFA3A" w14:textId="77777777" w:rsidR="00367F09" w:rsidRPr="00DF05AC" w:rsidRDefault="00367F09" w:rsidP="00367F09">
      <w:pPr>
        <w:pStyle w:val="Textonotapie"/>
        <w:ind w:firstLine="708"/>
        <w:jc w:val="both"/>
        <w:rPr>
          <w:rFonts w:ascii="Verdana" w:hAnsi="Verdana" w:cs="Arial"/>
          <w:sz w:val="16"/>
          <w:szCs w:val="16"/>
          <w:lang w:val="es-ES"/>
        </w:rPr>
      </w:pPr>
      <w:r w:rsidRPr="00DF05AC">
        <w:rPr>
          <w:rStyle w:val="Refdenotaalpie"/>
          <w:rFonts w:ascii="Verdana" w:hAnsi="Verdana" w:cs="Arial"/>
          <w:sz w:val="16"/>
          <w:szCs w:val="16"/>
        </w:rPr>
        <w:footnoteRef/>
      </w:r>
      <w:r w:rsidRPr="00DF05AC">
        <w:rPr>
          <w:rFonts w:ascii="Verdana" w:hAnsi="Verdana" w:cs="Arial"/>
          <w:sz w:val="16"/>
          <w:szCs w:val="16"/>
        </w:rPr>
        <w:t xml:space="preserve"> </w:t>
      </w:r>
      <w:r w:rsidRPr="00DF05AC">
        <w:rPr>
          <w:rFonts w:ascii="Verdana" w:hAnsi="Verdana" w:cs="Arial"/>
          <w:sz w:val="16"/>
          <w:szCs w:val="16"/>
          <w:lang w:val="es-ES"/>
        </w:rPr>
        <w:t>MARÍN</w:t>
      </w:r>
      <w:r>
        <w:rPr>
          <w:rFonts w:ascii="Verdana" w:hAnsi="Verdana" w:cs="Arial"/>
          <w:sz w:val="16"/>
          <w:szCs w:val="16"/>
          <w:lang w:val="es-ES"/>
        </w:rPr>
        <w:t xml:space="preserve"> </w:t>
      </w:r>
      <w:r w:rsidRPr="00C37D4D">
        <w:rPr>
          <w:rFonts w:ascii="Verdana" w:hAnsi="Verdana" w:cs="Arial"/>
          <w:sz w:val="16"/>
          <w:szCs w:val="16"/>
          <w:lang w:val="es-ES"/>
        </w:rPr>
        <w:t>CORTÉS</w:t>
      </w:r>
      <w:r w:rsidRPr="00DF05AC">
        <w:rPr>
          <w:rFonts w:ascii="Verdana" w:hAnsi="Verdana" w:cs="Arial"/>
          <w:sz w:val="16"/>
          <w:szCs w:val="16"/>
          <w:lang w:val="es-ES"/>
        </w:rPr>
        <w:t>, Op. Cit., pp. 64-65.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30AC"/>
    <w:rsid w:val="000A683E"/>
    <w:rsid w:val="000B19B9"/>
    <w:rsid w:val="000D0334"/>
    <w:rsid w:val="000D5DA7"/>
    <w:rsid w:val="000F6486"/>
    <w:rsid w:val="00116940"/>
    <w:rsid w:val="00125105"/>
    <w:rsid w:val="001252E3"/>
    <w:rsid w:val="00127233"/>
    <w:rsid w:val="00145CD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7F09"/>
    <w:rsid w:val="00374F5E"/>
    <w:rsid w:val="00377E3E"/>
    <w:rsid w:val="003A779E"/>
    <w:rsid w:val="003D0F4D"/>
    <w:rsid w:val="003D5B0D"/>
    <w:rsid w:val="003E0499"/>
    <w:rsid w:val="003E4F80"/>
    <w:rsid w:val="003E6439"/>
    <w:rsid w:val="003F00B2"/>
    <w:rsid w:val="003F3941"/>
    <w:rsid w:val="00406575"/>
    <w:rsid w:val="00414C74"/>
    <w:rsid w:val="0042722E"/>
    <w:rsid w:val="0044528D"/>
    <w:rsid w:val="00466E39"/>
    <w:rsid w:val="004A1847"/>
    <w:rsid w:val="004A305D"/>
    <w:rsid w:val="004F21C4"/>
    <w:rsid w:val="004F2FE8"/>
    <w:rsid w:val="004F685F"/>
    <w:rsid w:val="00510B8A"/>
    <w:rsid w:val="005566E8"/>
    <w:rsid w:val="00574867"/>
    <w:rsid w:val="00591460"/>
    <w:rsid w:val="005A65E0"/>
    <w:rsid w:val="005C3777"/>
    <w:rsid w:val="005C5CDC"/>
    <w:rsid w:val="005D476C"/>
    <w:rsid w:val="005E6A25"/>
    <w:rsid w:val="006200BF"/>
    <w:rsid w:val="006219F8"/>
    <w:rsid w:val="006302F7"/>
    <w:rsid w:val="00646B9F"/>
    <w:rsid w:val="00665D70"/>
    <w:rsid w:val="006900D9"/>
    <w:rsid w:val="00706C16"/>
    <w:rsid w:val="007340C3"/>
    <w:rsid w:val="0075235A"/>
    <w:rsid w:val="00756841"/>
    <w:rsid w:val="007649AB"/>
    <w:rsid w:val="0076615A"/>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CD"/>
    <w:rsid w:val="009419F9"/>
    <w:rsid w:val="0095685E"/>
    <w:rsid w:val="00961B09"/>
    <w:rsid w:val="00965334"/>
    <w:rsid w:val="0097093E"/>
    <w:rsid w:val="009A0DFA"/>
    <w:rsid w:val="009A1C6F"/>
    <w:rsid w:val="009B2D26"/>
    <w:rsid w:val="009C3285"/>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26C4A"/>
    <w:rsid w:val="00C330EB"/>
    <w:rsid w:val="00C50D69"/>
    <w:rsid w:val="00C5365C"/>
    <w:rsid w:val="00C754BE"/>
    <w:rsid w:val="00C76B1C"/>
    <w:rsid w:val="00C925AC"/>
    <w:rsid w:val="00CB6357"/>
    <w:rsid w:val="00CC1B26"/>
    <w:rsid w:val="00CC6F16"/>
    <w:rsid w:val="00D361FD"/>
    <w:rsid w:val="00D423A2"/>
    <w:rsid w:val="00D44E26"/>
    <w:rsid w:val="00D520D8"/>
    <w:rsid w:val="00D63AC2"/>
    <w:rsid w:val="00D7383B"/>
    <w:rsid w:val="00D7788A"/>
    <w:rsid w:val="00DA231B"/>
    <w:rsid w:val="00DC1E7D"/>
    <w:rsid w:val="00DC39FC"/>
    <w:rsid w:val="00DF5254"/>
    <w:rsid w:val="00E02524"/>
    <w:rsid w:val="00E16408"/>
    <w:rsid w:val="00E20894"/>
    <w:rsid w:val="00E245AB"/>
    <w:rsid w:val="00E2764C"/>
    <w:rsid w:val="00E27F2E"/>
    <w:rsid w:val="00E4261E"/>
    <w:rsid w:val="00E50AFE"/>
    <w:rsid w:val="00E73AA1"/>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67F0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67F09"/>
    <w:rPr>
      <w:rFonts w:ascii="Geomanist Light" w:hAnsi="Geomanist Light"/>
      <w:lang w:val="es-ES"/>
    </w:rPr>
  </w:style>
  <w:style w:type="character" w:customStyle="1" w:styleId="s15">
    <w:name w:val="s15"/>
    <w:basedOn w:val="Fuentedeprrafopredeter"/>
    <w:rsid w:val="00367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regoriogil96@gmail.com"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6F2C29-C022-49E6-BC3A-114313DB5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25</TotalTime>
  <Pages>15</Pages>
  <Words>5161</Words>
  <Characters>28439</Characters>
  <Application>Microsoft Office Word</Application>
  <DocSecurity>0</DocSecurity>
  <Lines>546</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2025-12-21T00:54:00Z</dcterms:created>
  <dcterms:modified xsi:type="dcterms:W3CDTF">2025-12-22T16:17:00Z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