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F23FF" w14:textId="77777777" w:rsidR="00EC4B47" w:rsidRPr="0090232F" w:rsidRDefault="00EC4B47" w:rsidP="00FF1E32">
      <w:pPr>
        <w:spacing w:after="0" w:line="240" w:lineRule="auto"/>
        <w:jc w:val="both"/>
        <w:rPr>
          <w:rFonts w:ascii="Verdana" w:hAnsi="Verdana" w:cs="Arial"/>
          <w:b/>
          <w:lang w:val="es-MX"/>
        </w:rPr>
      </w:pPr>
      <w:bookmarkStart w:id="0" w:name="_Hlk143780582"/>
      <w:r w:rsidRPr="0090232F">
        <w:rPr>
          <w:rFonts w:ascii="Verdana" w:hAnsi="Verdana" w:cs="Arial"/>
          <w:b/>
          <w:lang w:val="es-MX"/>
        </w:rPr>
        <w:t xml:space="preserve">INHABILIDADES E INCOMPATIBILIDADES ─ Definición ─ fundamento – clases </w:t>
      </w:r>
    </w:p>
    <w:p w14:paraId="1044ABAE" w14:textId="77777777" w:rsidR="00EC4B47" w:rsidRPr="0090232F" w:rsidRDefault="00EC4B47" w:rsidP="00FF1E32">
      <w:pPr>
        <w:spacing w:after="0" w:line="240" w:lineRule="auto"/>
        <w:jc w:val="both"/>
        <w:rPr>
          <w:rFonts w:ascii="Verdana" w:hAnsi="Verdana" w:cs="Arial"/>
          <w:b/>
          <w:lang w:val="es-MX"/>
        </w:rPr>
      </w:pPr>
    </w:p>
    <w:p w14:paraId="357AF4F9" w14:textId="77777777" w:rsidR="00EC4B47" w:rsidRPr="0090232F" w:rsidRDefault="00EC4B47" w:rsidP="00FF1E32">
      <w:pPr>
        <w:spacing w:after="0" w:line="240" w:lineRule="auto"/>
        <w:jc w:val="both"/>
        <w:rPr>
          <w:rFonts w:ascii="Verdana" w:hAnsi="Verdana" w:cs="Arial"/>
          <w:sz w:val="20"/>
          <w:lang w:val="es-MX"/>
        </w:rPr>
      </w:pPr>
      <w:r w:rsidRPr="0090232F">
        <w:rPr>
          <w:rFonts w:ascii="Verdana" w:hAnsi="Verdana" w:cs="Arial"/>
          <w:sz w:val="20"/>
          <w:lang w:val="es-MX"/>
        </w:rPr>
        <w:t>Las inhabilidades e incompatibilidades pueden enfocarse en varios asuntos: en primer lugar, se encuentran las inhabilidades e incompatibilidades que impiden que u</w:t>
      </w:r>
      <w:r w:rsidRPr="0090232F">
        <w:rPr>
          <w:rFonts w:ascii="Verdana" w:hAnsi="Verdana" w:cs="Arial"/>
          <w:sz w:val="20"/>
        </w:rPr>
        <w:t xml:space="preserve">na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90232F">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4914C83A" w14:textId="77777777" w:rsidR="00EC4B47" w:rsidRPr="0090232F" w:rsidRDefault="00EC4B47" w:rsidP="00FF1E32">
      <w:pPr>
        <w:spacing w:after="0" w:line="240" w:lineRule="auto"/>
        <w:jc w:val="both"/>
        <w:rPr>
          <w:rFonts w:ascii="Verdana" w:hAnsi="Verdana" w:cs="Arial"/>
          <w:b/>
          <w:lang w:val="es-MX"/>
        </w:rPr>
      </w:pPr>
    </w:p>
    <w:p w14:paraId="3D5235C2" w14:textId="77777777" w:rsidR="00EC4B47" w:rsidRPr="0090232F" w:rsidRDefault="00EC4B47" w:rsidP="00FF1E32">
      <w:pPr>
        <w:spacing w:after="0" w:line="240" w:lineRule="auto"/>
        <w:jc w:val="both"/>
        <w:rPr>
          <w:rFonts w:ascii="Verdana" w:hAnsi="Verdana" w:cs="Arial"/>
          <w:b/>
          <w:lang w:val="es-MX"/>
        </w:rPr>
      </w:pPr>
      <w:r w:rsidRPr="0090232F">
        <w:rPr>
          <w:rFonts w:ascii="Verdana" w:hAnsi="Verdana" w:cs="Arial"/>
          <w:b/>
          <w:lang w:val="es-MX"/>
        </w:rPr>
        <w:t xml:space="preserve">INHABILIDADES E INCOMPATIBILIDADES - Finalidad ─ Limitación capacidad contractual </w:t>
      </w:r>
    </w:p>
    <w:p w14:paraId="15E52168" w14:textId="77777777" w:rsidR="00EC4B47" w:rsidRPr="0090232F" w:rsidRDefault="00EC4B47" w:rsidP="00FF1E32">
      <w:pPr>
        <w:spacing w:after="0" w:line="240" w:lineRule="auto"/>
        <w:jc w:val="both"/>
        <w:rPr>
          <w:rFonts w:ascii="Verdana" w:hAnsi="Verdana" w:cs="Arial"/>
          <w:b/>
          <w:lang w:val="es-MX"/>
        </w:rPr>
      </w:pPr>
    </w:p>
    <w:p w14:paraId="123F42AA" w14:textId="77777777" w:rsidR="00EC4B47" w:rsidRPr="0090232F" w:rsidRDefault="00EC4B47" w:rsidP="00FF1E32">
      <w:pPr>
        <w:spacing w:after="0" w:line="240" w:lineRule="auto"/>
        <w:jc w:val="both"/>
        <w:rPr>
          <w:rFonts w:ascii="Verdana" w:eastAsia="Calibri" w:hAnsi="Verdana" w:cs="Arial"/>
          <w:sz w:val="20"/>
          <w:lang w:val="es-MX"/>
        </w:rPr>
      </w:pPr>
      <w:r w:rsidRPr="0090232F">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1FED29DC" w14:textId="77777777" w:rsidR="00EC4B47" w:rsidRPr="0090232F" w:rsidRDefault="00EC4B47" w:rsidP="00FF1E32">
      <w:pPr>
        <w:spacing w:after="0" w:line="240" w:lineRule="auto"/>
        <w:jc w:val="both"/>
        <w:rPr>
          <w:rFonts w:ascii="Verdana" w:hAnsi="Verdana" w:cs="Arial"/>
          <w:b/>
          <w:lang w:val="es-MX"/>
        </w:rPr>
      </w:pPr>
    </w:p>
    <w:p w14:paraId="686B95F1" w14:textId="77777777" w:rsidR="00EC4B47" w:rsidRPr="0090232F" w:rsidRDefault="00EC4B47" w:rsidP="00FF1E32">
      <w:pPr>
        <w:spacing w:after="0" w:line="240" w:lineRule="auto"/>
        <w:jc w:val="both"/>
        <w:rPr>
          <w:rFonts w:ascii="Verdana" w:hAnsi="Verdana" w:cs="Arial"/>
          <w:b/>
          <w:lang w:val="es-ES_tradnl"/>
        </w:rPr>
      </w:pPr>
      <w:r w:rsidRPr="0090232F">
        <w:rPr>
          <w:rFonts w:ascii="Verdana" w:hAnsi="Verdana" w:cs="Arial"/>
          <w:b/>
          <w:lang w:val="es-ES_tradnl"/>
        </w:rPr>
        <w:t>INHABILIDADES – Taxatividad – Principio de legalidad – Interpretación restrictiva</w:t>
      </w:r>
      <w:r w:rsidRPr="0090232F" w:rsidDel="00A75E55">
        <w:rPr>
          <w:rFonts w:ascii="Verdana" w:hAnsi="Verdana" w:cs="Arial"/>
          <w:b/>
          <w:lang w:val="es-ES_tradnl"/>
        </w:rPr>
        <w:t xml:space="preserve"> </w:t>
      </w:r>
    </w:p>
    <w:p w14:paraId="02642129" w14:textId="77777777" w:rsidR="00EC4B47" w:rsidRPr="0090232F" w:rsidRDefault="00EC4B47" w:rsidP="00FF1E32">
      <w:pPr>
        <w:spacing w:after="0" w:line="240" w:lineRule="auto"/>
        <w:jc w:val="both"/>
        <w:rPr>
          <w:rFonts w:ascii="Verdana" w:hAnsi="Verdana" w:cs="Arial"/>
          <w:b/>
          <w:lang w:val="es-ES_tradnl"/>
        </w:rPr>
      </w:pPr>
    </w:p>
    <w:p w14:paraId="5658D6DE" w14:textId="77777777" w:rsidR="00EC4B47" w:rsidRPr="0090232F" w:rsidRDefault="00EC4B47" w:rsidP="00FF1E32">
      <w:pPr>
        <w:spacing w:after="0" w:line="240" w:lineRule="auto"/>
        <w:jc w:val="both"/>
        <w:rPr>
          <w:rFonts w:ascii="Verdana" w:hAnsi="Verdana" w:cs="Arial"/>
          <w:sz w:val="20"/>
          <w:lang w:val="es-ES_tradnl"/>
        </w:rPr>
      </w:pPr>
      <w:r w:rsidRPr="0090232F">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90232F">
        <w:rPr>
          <w:rFonts w:ascii="Verdana" w:hAnsi="Verdana" w:cs="Arial"/>
          <w:i/>
          <w:iCs/>
          <w:sz w:val="20"/>
          <w:lang w:val="es-ES_tradnl"/>
        </w:rPr>
        <w:t xml:space="preserve">restrictiva, </w:t>
      </w:r>
      <w:r w:rsidRPr="0090232F">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2937EC9A" w14:textId="77777777" w:rsidR="00EC4B47" w:rsidRPr="0090232F" w:rsidRDefault="00EC4B47" w:rsidP="00FF1E32">
      <w:pPr>
        <w:spacing w:after="0" w:line="240" w:lineRule="auto"/>
        <w:jc w:val="both"/>
        <w:rPr>
          <w:rFonts w:ascii="Verdana" w:hAnsi="Verdana" w:cs="Arial"/>
          <w:sz w:val="20"/>
          <w:lang w:val="es-ES_tradnl"/>
        </w:rPr>
      </w:pPr>
    </w:p>
    <w:p w14:paraId="617C9447" w14:textId="77777777" w:rsidR="00EC4B47" w:rsidRPr="0090232F" w:rsidRDefault="00EC4B47" w:rsidP="00FF1E32">
      <w:pPr>
        <w:spacing w:after="0" w:line="240" w:lineRule="auto"/>
        <w:jc w:val="both"/>
        <w:rPr>
          <w:rFonts w:ascii="Verdana" w:hAnsi="Verdana" w:cs="Arial"/>
          <w:sz w:val="20"/>
          <w:lang w:val="es-ES_tradnl"/>
        </w:rPr>
      </w:pPr>
      <w:r w:rsidRPr="0090232F">
        <w:rPr>
          <w:rFonts w:ascii="Verdana" w:hAnsi="Verdana" w:cs="Arial"/>
          <w:sz w:val="20"/>
          <w:lang w:val="es-ES_tradnl"/>
        </w:rPr>
        <w:lastRenderedPageBreak/>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p>
    <w:p w14:paraId="03515AD0" w14:textId="77777777" w:rsidR="00EC4B47" w:rsidRPr="0090232F" w:rsidRDefault="00EC4B47" w:rsidP="00FF1E32">
      <w:pPr>
        <w:spacing w:after="0" w:line="240" w:lineRule="auto"/>
        <w:jc w:val="both"/>
        <w:rPr>
          <w:rFonts w:ascii="Verdana" w:hAnsi="Verdana"/>
          <w:b/>
        </w:rPr>
      </w:pPr>
    </w:p>
    <w:p w14:paraId="52104845" w14:textId="77777777" w:rsidR="00EC4B47" w:rsidRPr="00EC4B47" w:rsidRDefault="00EC4B47" w:rsidP="00FF1E32">
      <w:pPr>
        <w:spacing w:after="0" w:line="240" w:lineRule="auto"/>
        <w:jc w:val="both"/>
        <w:rPr>
          <w:rFonts w:ascii="Verdana" w:hAnsi="Verdana" w:cs="Arial"/>
          <w:b/>
          <w:lang w:val="es-ES_tradnl"/>
        </w:rPr>
      </w:pPr>
      <w:r w:rsidRPr="00EC4B47">
        <w:rPr>
          <w:rFonts w:ascii="Verdana" w:hAnsi="Verdana" w:cs="Arial"/>
          <w:b/>
          <w:lang w:val="es-ES_tradnl"/>
        </w:rPr>
        <w:t>INHABILIDADES E INCOMPATIBILIDADES – Ley 80 de 1993 – Ley 617 de 2000 – N</w:t>
      </w:r>
      <w:r w:rsidRPr="00EC4B47">
        <w:rPr>
          <w:rFonts w:ascii="Verdana" w:hAnsi="Verdana" w:cs="Arial"/>
          <w:b/>
          <w:lang w:val="es-ES_tradnl"/>
        </w:rPr>
        <w:t xml:space="preserve">orma general – Norma especial </w:t>
      </w:r>
    </w:p>
    <w:p w14:paraId="4860D973" w14:textId="2818F6B5" w:rsidR="00EC4B47" w:rsidRDefault="00EC4B47" w:rsidP="00FF1E32">
      <w:pPr>
        <w:spacing w:after="0" w:line="240" w:lineRule="auto"/>
        <w:jc w:val="both"/>
        <w:rPr>
          <w:rFonts w:ascii="Verdana" w:hAnsi="Verdana" w:cs="Arial"/>
          <w:b/>
          <w:lang w:val="es-ES_tradnl"/>
        </w:rPr>
      </w:pPr>
    </w:p>
    <w:p w14:paraId="1782FD08" w14:textId="04A1EED0" w:rsidR="00EC4B47" w:rsidRDefault="00EC4B47" w:rsidP="00FF1E32">
      <w:pPr>
        <w:spacing w:after="0" w:line="240" w:lineRule="auto"/>
        <w:jc w:val="both"/>
        <w:rPr>
          <w:rFonts w:ascii="Verdana" w:hAnsi="Verdana" w:cs="Arial"/>
          <w:sz w:val="20"/>
          <w:lang w:val="es-ES_tradnl"/>
        </w:rPr>
      </w:pPr>
      <w:r w:rsidRPr="00EC4B47">
        <w:rPr>
          <w:rFonts w:ascii="Verdana" w:hAnsi="Verdana" w:cs="Arial"/>
          <w:sz w:val="20"/>
          <w:lang w:val="es-ES_tradnl"/>
        </w:rPr>
        <w:t xml:space="preserve">Antes del 9 de octubre de 2000, la prohibición aplicable sería la del artículo 8, literal b) del numeral 2, de la Ley 80 de 1993, pues es </w:t>
      </w:r>
      <w:r w:rsidRPr="00EC4B47">
        <w:rPr>
          <w:rFonts w:ascii="Verdana" w:hAnsi="Verdana" w:cs="Arial"/>
          <w:i/>
          <w:iCs/>
          <w:sz w:val="20"/>
          <w:lang w:val="es-ES_tradnl"/>
        </w:rPr>
        <w:t>regla general</w:t>
      </w:r>
      <w:r w:rsidRPr="00EC4B47">
        <w:rPr>
          <w:rFonts w:ascii="Verdana" w:hAnsi="Verdana" w:cs="Arial"/>
          <w:sz w:val="20"/>
          <w:lang w:val="es-ES_tradnl"/>
        </w:rPr>
        <w:t xml:space="preserve"> en materia de inhabilidades e incompatibilidades para la contratación de las entidades sometidas a la Ley 80 de 1993. Sin embargo, con el artículo 49 de la Ley 617 surge una </w:t>
      </w:r>
      <w:r w:rsidRPr="00EC4B47">
        <w:rPr>
          <w:rFonts w:ascii="Verdana" w:hAnsi="Verdana" w:cs="Arial"/>
          <w:i/>
          <w:iCs/>
          <w:sz w:val="20"/>
          <w:lang w:val="es-ES_tradnl"/>
        </w:rPr>
        <w:t>regla especial</w:t>
      </w:r>
      <w:r w:rsidRPr="00EC4B47">
        <w:rPr>
          <w:rFonts w:ascii="Verdana" w:hAnsi="Verdana" w:cs="Arial"/>
          <w:sz w:val="20"/>
          <w:lang w:val="es-ES_tradnl"/>
        </w:rPr>
        <w:t>, la cual se ratifica en las modificaciones posteriores del artículo 1º de las Leyes 821 de 2003, 1148 de 2007 y 1296 de 2009. Según esta regla, aunque los alcaldes sea funcionarios del nivel directivo para los efectos del artículo 8, literal b) del numeral 2, de la Ley 80 de 1993,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w:t>
      </w:r>
    </w:p>
    <w:p w14:paraId="53535BC8" w14:textId="2F8E1BF5" w:rsidR="00FF1E32" w:rsidRDefault="00FF1E32" w:rsidP="00FF1E32">
      <w:pPr>
        <w:spacing w:after="0" w:line="240" w:lineRule="auto"/>
        <w:jc w:val="both"/>
        <w:rPr>
          <w:rFonts w:ascii="Verdana" w:hAnsi="Verdana" w:cs="Arial"/>
          <w:sz w:val="20"/>
          <w:lang w:val="es-ES_tradnl"/>
        </w:rPr>
      </w:pPr>
    </w:p>
    <w:p w14:paraId="7F4DDD1F" w14:textId="50E35E34" w:rsidR="00FF1E32" w:rsidRPr="00FF1E32" w:rsidRDefault="00FF1E32" w:rsidP="00FF1E32">
      <w:pPr>
        <w:spacing w:after="0" w:line="240" w:lineRule="auto"/>
        <w:jc w:val="both"/>
        <w:rPr>
          <w:rFonts w:ascii="Verdana" w:hAnsi="Verdana" w:cs="Arial"/>
          <w:sz w:val="20"/>
          <w:lang w:val="es-ES"/>
        </w:rPr>
      </w:pPr>
      <w:r w:rsidRPr="00FF1E32">
        <w:rPr>
          <w:rFonts w:ascii="Verdana" w:hAnsi="Verdana" w:cs="Arial"/>
          <w:sz w:val="20"/>
          <w:lang w:val="es-ES"/>
        </w:rPr>
        <w:t xml:space="preserve">Por ello, considerando que la </w:t>
      </w:r>
      <w:r w:rsidRPr="00FF1E32">
        <w:rPr>
          <w:rFonts w:ascii="Verdana" w:hAnsi="Verdana" w:cs="Arial"/>
          <w:i/>
          <w:iCs/>
          <w:sz w:val="20"/>
          <w:lang w:val="es-ES"/>
        </w:rPr>
        <w:t>regla especial</w:t>
      </w:r>
      <w:r w:rsidRPr="00FF1E32">
        <w:rPr>
          <w:rFonts w:ascii="Verdana" w:hAnsi="Verdana" w:cs="Arial"/>
          <w:sz w:val="20"/>
          <w:lang w:val="es-ES"/>
        </w:rPr>
        <w:t xml:space="preserve"> es posterior, el efecto que produce es el de limitar los efectos de la </w:t>
      </w:r>
      <w:r w:rsidRPr="00FF1E32">
        <w:rPr>
          <w:rFonts w:ascii="Verdana" w:hAnsi="Verdana" w:cs="Arial"/>
          <w:i/>
          <w:iCs/>
          <w:sz w:val="20"/>
          <w:lang w:val="es-ES"/>
        </w:rPr>
        <w:t>regla general</w:t>
      </w:r>
      <w:r w:rsidRPr="00FF1E32">
        <w:rPr>
          <w:rFonts w:ascii="Verdana" w:hAnsi="Verdana" w:cs="Arial"/>
          <w:sz w:val="20"/>
          <w:lang w:val="es-ES"/>
        </w:rPr>
        <w:t xml:space="preserve"> anterior a los casos que no riñan con la primera. Desde esta perspectiva, el criterio de </w:t>
      </w:r>
      <w:r w:rsidRPr="00FF1E32">
        <w:rPr>
          <w:rFonts w:ascii="Verdana" w:hAnsi="Verdana" w:cs="Arial"/>
          <w:i/>
          <w:iCs/>
          <w:sz w:val="20"/>
          <w:lang w:val="es-ES"/>
        </w:rPr>
        <w:t>lex posterior</w:t>
      </w:r>
      <w:r w:rsidRPr="00FF1E32">
        <w:rPr>
          <w:rFonts w:ascii="Verdana" w:hAnsi="Verdana" w:cs="Arial"/>
          <w:sz w:val="20"/>
          <w:lang w:val="es-ES"/>
        </w:rPr>
        <w:t xml:space="preserve"> es un argumento adicional para sostener la prevalencia del artículo 49, inciso tercero, de la Ley 617 de 2000 sobre el artículo 8, literal b) del numeral 2, de la Ley 80 de 1993. Esto en la medida que el artículo 2 de la Ley 153 de 1887 dispone que “La ley posterior prevalece sobre la ley anterior. En caso de que una ley posterior sea contraria a otra anterior, y ambas preexistentes al hecho que se juzga, se aplicará la ley posterior”.</w:t>
      </w:r>
    </w:p>
    <w:p w14:paraId="60BD3413" w14:textId="1B9A5CD4" w:rsidR="00EC4B47" w:rsidRPr="00EC4B47" w:rsidRDefault="00EC4B47" w:rsidP="00FF1E32">
      <w:pPr>
        <w:spacing w:after="0" w:line="240" w:lineRule="auto"/>
        <w:jc w:val="both"/>
        <w:rPr>
          <w:rFonts w:ascii="Verdana" w:hAnsi="Verdana" w:cs="Arial"/>
          <w:b/>
          <w:lang w:val="es-ES_tradnl"/>
        </w:rPr>
      </w:pPr>
    </w:p>
    <w:p w14:paraId="13C860F8" w14:textId="77777777" w:rsidR="00EC4B47" w:rsidRPr="00EC4B47" w:rsidRDefault="00EC4B47" w:rsidP="00FF1E32">
      <w:pPr>
        <w:spacing w:after="0" w:line="240" w:lineRule="auto"/>
        <w:jc w:val="both"/>
        <w:rPr>
          <w:rFonts w:ascii="Verdana" w:hAnsi="Verdana" w:cs="Arial"/>
          <w:b/>
          <w:lang w:val="es-ES_tradnl"/>
        </w:rPr>
      </w:pPr>
      <w:r w:rsidRPr="00EC4B47">
        <w:rPr>
          <w:rFonts w:ascii="Verdana" w:hAnsi="Verdana" w:cs="Arial"/>
          <w:b/>
          <w:lang w:val="es-ES_tradnl"/>
        </w:rPr>
        <w:t>LEY 617 DE 2000 – Contratación directa e indirecta – inciso tercero del artículo 49 – Alcance – constitucionalidad condicionada</w:t>
      </w:r>
      <w:r w:rsidRPr="00EC4B47">
        <w:rPr>
          <w:rFonts w:ascii="Verdana" w:hAnsi="Verdana" w:cs="Arial"/>
          <w:b/>
          <w:lang w:val="es-ES_tradnl"/>
        </w:rPr>
        <w:t xml:space="preserve"> </w:t>
      </w:r>
    </w:p>
    <w:p w14:paraId="5518DD29" w14:textId="4C26DCC7" w:rsidR="00EC4B47" w:rsidRPr="00EC4B47" w:rsidRDefault="00EC4B47" w:rsidP="00FF1E32">
      <w:pPr>
        <w:spacing w:after="0" w:line="240" w:lineRule="auto"/>
        <w:jc w:val="both"/>
        <w:rPr>
          <w:rFonts w:ascii="Verdana" w:hAnsi="Verdana" w:cs="Arial"/>
          <w:sz w:val="20"/>
          <w:lang w:val="es-ES_tradnl"/>
        </w:rPr>
      </w:pPr>
    </w:p>
    <w:p w14:paraId="00052914" w14:textId="77777777" w:rsidR="00FF1E32" w:rsidRDefault="00EC4B47" w:rsidP="00FF1E32">
      <w:pPr>
        <w:spacing w:after="0" w:line="240" w:lineRule="auto"/>
        <w:jc w:val="both"/>
        <w:rPr>
          <w:rFonts w:ascii="Verdana" w:hAnsi="Verdana" w:cs="Arial"/>
          <w:bCs/>
          <w:sz w:val="20"/>
        </w:rPr>
      </w:pPr>
      <w:r>
        <w:rPr>
          <w:rFonts w:ascii="Verdana" w:hAnsi="Verdana" w:cs="Arial"/>
          <w:sz w:val="20"/>
          <w:lang w:val="es-ES_tradnl"/>
        </w:rPr>
        <w:t>[…]</w:t>
      </w:r>
      <w:r w:rsidRPr="00EC4B47">
        <w:rPr>
          <w:rFonts w:ascii="Verdana" w:hAnsi="Verdana" w:cs="Arial"/>
          <w:sz w:val="20"/>
          <w:lang w:val="es-ES_tradnl"/>
        </w:rPr>
        <w:t>el artículo 49, inciso tercero, de la Ley 617 de 2000, modificado por las Leyes 821 de 2003, 1148 de 2007 y 1296 de 2009, establece claramente la prohibición que los gobernadores, diputados, alcaldes y concejales celebren contratos para beneficiar a sus parientes hasta el cuarto grado de consanguinidad (</w:t>
      </w:r>
      <w:r w:rsidRPr="00EC4B47">
        <w:rPr>
          <w:rFonts w:ascii="Verdana" w:hAnsi="Verdana" w:cs="Arial"/>
          <w:sz w:val="20"/>
        </w:rPr>
        <w:t xml:space="preserve">el </w:t>
      </w:r>
      <w:r w:rsidRPr="00EC4B47">
        <w:rPr>
          <w:rFonts w:ascii="Verdana" w:hAnsi="Verdana" w:cs="Arial"/>
          <w:bCs/>
          <w:sz w:val="20"/>
        </w:rPr>
        <w:t>primer grado</w:t>
      </w:r>
      <w:r w:rsidRPr="00EC4B47">
        <w:rPr>
          <w:rFonts w:ascii="Verdana" w:hAnsi="Verdana" w:cs="Arial"/>
          <w:sz w:val="20"/>
        </w:rPr>
        <w:t xml:space="preserve"> son padres e hijos; el </w:t>
      </w:r>
      <w:r w:rsidRPr="00EC4B47">
        <w:rPr>
          <w:rFonts w:ascii="Verdana" w:hAnsi="Verdana" w:cs="Arial"/>
          <w:bCs/>
          <w:sz w:val="20"/>
        </w:rPr>
        <w:t>segundo</w:t>
      </w:r>
      <w:r w:rsidRPr="00EC4B47">
        <w:rPr>
          <w:rFonts w:ascii="Verdana" w:hAnsi="Verdana" w:cs="Arial"/>
          <w:sz w:val="20"/>
        </w:rPr>
        <w:t xml:space="preserve"> son hermanos, abuelos y nietos; el </w:t>
      </w:r>
      <w:r w:rsidRPr="00EC4B47">
        <w:rPr>
          <w:rFonts w:ascii="Verdana" w:hAnsi="Verdana" w:cs="Arial"/>
          <w:bCs/>
          <w:sz w:val="20"/>
        </w:rPr>
        <w:t xml:space="preserve">tercero </w:t>
      </w:r>
      <w:r w:rsidRPr="00EC4B47">
        <w:rPr>
          <w:rFonts w:ascii="Verdana" w:hAnsi="Verdana" w:cs="Arial"/>
          <w:sz w:val="20"/>
        </w:rPr>
        <w:t>incluye tíos, sobrinos, bisabuelos y bisnietos; y el </w:t>
      </w:r>
      <w:r w:rsidRPr="00EC4B47">
        <w:rPr>
          <w:rFonts w:ascii="Verdana" w:hAnsi="Verdana" w:cs="Arial"/>
          <w:bCs/>
          <w:sz w:val="20"/>
        </w:rPr>
        <w:t>cuarto</w:t>
      </w:r>
      <w:r w:rsidRPr="00EC4B47">
        <w:rPr>
          <w:rFonts w:ascii="Verdana" w:hAnsi="Verdana" w:cs="Arial"/>
          <w:sz w:val="20"/>
        </w:rPr>
        <w:t> son primos hermanos y tíos abuelos)</w:t>
      </w:r>
      <w:r w:rsidRPr="00EC4B47">
        <w:rPr>
          <w:rFonts w:ascii="Verdana" w:hAnsi="Verdana" w:cs="Arial"/>
          <w:sz w:val="20"/>
          <w:lang w:val="es-ES_tradnl"/>
        </w:rPr>
        <w:t xml:space="preserve">, segundo de afinidad </w:t>
      </w:r>
      <w:r w:rsidRPr="00EC4B47">
        <w:rPr>
          <w:rFonts w:ascii="Verdana" w:hAnsi="Verdana" w:cs="Arial"/>
          <w:sz w:val="20"/>
        </w:rPr>
        <w:t xml:space="preserve"> (suegros, hijos de la cónyuge, abuelos del cónyuge, nietos del cónyuge, cuñados)</w:t>
      </w:r>
      <w:r w:rsidRPr="00EC4B47">
        <w:rPr>
          <w:rFonts w:ascii="Verdana" w:hAnsi="Verdana" w:cs="Arial"/>
          <w:sz w:val="20"/>
          <w:lang w:val="es-ES_tradnl"/>
        </w:rPr>
        <w:t xml:space="preserve">, primera de civil, cónyuges y compañeros permanentes, directa o indirectamente. Dado que pueden actuar en calidad socios o representantes legales de la empresa que contrata </w:t>
      </w:r>
      <w:r w:rsidRPr="00EC4B47">
        <w:rPr>
          <w:rFonts w:ascii="Verdana" w:hAnsi="Verdana" w:cs="Arial"/>
          <w:sz w:val="20"/>
          <w:lang w:val="es-ES_tradnl"/>
        </w:rPr>
        <w:lastRenderedPageBreak/>
        <w:t xml:space="preserve">con el departamento, distrito o municipio, o con sus entidades descentralizadas, la incompatibilidad aplica a quienes tengan ambas calidades. Esto en la medida que, conforme a lo explicado en este concepto, la norma prohíbe toda forma de gestión contractual directa o indirecta, esto es, encubierta realizada subrepticiamente a través de terceras personas, salvo </w:t>
      </w:r>
      <w:r w:rsidRPr="00EC4B47">
        <w:rPr>
          <w:rFonts w:ascii="Verdana" w:hAnsi="Verdana" w:cs="Arial"/>
          <w:bCs/>
          <w:sz w:val="20"/>
        </w:rPr>
        <w:t xml:space="preserve">a aquellos contratos por medio de los cuales la administración ofrece, en igualdad de condiciones, a todos los ciudadanos y personas, un determinado bien o servicio, en desarrollo de sus funciones constitucionales y legales, tal y como sucede por ejemplo, con la prestación de los servicios públicos, pues en tal caso la incompatibilidad es irrazonable, de acuerdo a lo expresado por la Corte Constitucional en las sentencias precitadas. </w:t>
      </w:r>
    </w:p>
    <w:p w14:paraId="1687AA71" w14:textId="0499169D" w:rsidR="00EC4B47" w:rsidRPr="00EC4B47" w:rsidRDefault="00EC4B47" w:rsidP="00FF1E32">
      <w:pPr>
        <w:spacing w:after="0" w:line="240" w:lineRule="auto"/>
        <w:jc w:val="both"/>
        <w:rPr>
          <w:rFonts w:ascii="Verdana" w:hAnsi="Verdana" w:cs="Arial"/>
          <w:sz w:val="20"/>
          <w:lang w:val="es-ES_tradnl"/>
        </w:rPr>
      </w:pPr>
      <w:r w:rsidRPr="00EC4B47">
        <w:rPr>
          <w:rFonts w:ascii="Verdana" w:hAnsi="Verdana" w:cs="Arial"/>
          <w:sz w:val="20"/>
          <w:lang w:val="es-ES_tradnl"/>
        </w:rPr>
        <w:t xml:space="preserve"> </w:t>
      </w:r>
    </w:p>
    <w:p w14:paraId="6DA26832" w14:textId="77777777" w:rsidR="00EC4B47" w:rsidRPr="00EC4B47" w:rsidRDefault="00EC4B47" w:rsidP="00FF1E32">
      <w:pPr>
        <w:spacing w:after="0" w:line="240" w:lineRule="auto"/>
        <w:jc w:val="both"/>
        <w:rPr>
          <w:rFonts w:ascii="Verdana" w:hAnsi="Verdana" w:cs="Arial"/>
          <w:sz w:val="20"/>
          <w:lang w:val="es-ES_tradnl"/>
        </w:rPr>
      </w:pPr>
      <w:r w:rsidRPr="00EC4B47">
        <w:rPr>
          <w:rFonts w:ascii="Verdana" w:hAnsi="Verdana" w:cs="Arial"/>
          <w:sz w:val="20"/>
          <w:lang w:val="es-ES_tradnl"/>
        </w:rPr>
        <w:t>Ahora bien, frente a esa incompatibilidad con mayor razón no es posible “ejecutarlo” porque se trata de una etapa posterior a su “celebración” o “suscripción”, y por tanto, es aplicable lo dispuesto en el artículo 9 de la Ley 80 de 1993, cuyo tenor literal dispone: “Si llegare a sobrevenir inhabilidad o incompatibilidad en el contratista, este cederá el contrato previa autorización escrita de la entidad contratante o, si ello no fuere posible, renunciará a su ejecución”, excepto en aquellos</w:t>
      </w:r>
      <w:r w:rsidRPr="00EC4B47">
        <w:rPr>
          <w:rFonts w:ascii="Verdana" w:hAnsi="Verdana" w:cs="Arial"/>
          <w:bCs/>
          <w:sz w:val="20"/>
        </w:rPr>
        <w:t xml:space="preserve">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dicho evento la inhabilidad es irrazonable, de acuerdo </w:t>
      </w:r>
      <w:r w:rsidRPr="00EC4B47">
        <w:rPr>
          <w:rFonts w:ascii="Verdana" w:hAnsi="Verdana" w:cs="Arial"/>
          <w:sz w:val="20"/>
          <w:lang w:val="es-ES_tradnl"/>
        </w:rPr>
        <w:t>el alcance dado al inciso tercero del artículo 49 de la Ley 617 de 2000 por parte de la Corte Constitucional, sin perjuicio de las demás excepciones a las inhabilidades dispuestas por lo la ley.</w:t>
      </w:r>
    </w:p>
    <w:p w14:paraId="09F093B7" w14:textId="77777777" w:rsidR="00EC4B47" w:rsidRPr="00EC4B47" w:rsidRDefault="00EC4B47" w:rsidP="00FF1E32">
      <w:pPr>
        <w:spacing w:after="0" w:line="240" w:lineRule="auto"/>
        <w:jc w:val="both"/>
        <w:rPr>
          <w:rFonts w:ascii="Verdana" w:hAnsi="Verdana" w:cs="Arial"/>
          <w:b/>
          <w:lang w:val="es-ES_tradnl"/>
        </w:rPr>
      </w:pPr>
    </w:p>
    <w:p w14:paraId="5ADAA5B6" w14:textId="6F20AA46" w:rsidR="00EC4B47" w:rsidRPr="00EC4B47" w:rsidRDefault="00EC4B47" w:rsidP="00FF1E32">
      <w:pPr>
        <w:spacing w:after="0" w:line="240" w:lineRule="auto"/>
        <w:jc w:val="both"/>
        <w:rPr>
          <w:rFonts w:ascii="Verdana" w:hAnsi="Verdana" w:cs="Arial"/>
          <w:b/>
          <w:lang w:val="es-ES_tradnl"/>
        </w:rPr>
      </w:pPr>
      <w:r w:rsidRPr="00EC4B47">
        <w:rPr>
          <w:rFonts w:ascii="Verdana" w:hAnsi="Verdana" w:cs="Arial"/>
          <w:b/>
          <w:lang w:val="es-ES_tradnl"/>
        </w:rPr>
        <w:t>LEY 617 DE 2000 – Período de la restricción – Artículo 36.</w:t>
      </w:r>
    </w:p>
    <w:p w14:paraId="53312F5F" w14:textId="460019E3" w:rsidR="00EC4B47" w:rsidRDefault="00EC4B47" w:rsidP="00FF1E32">
      <w:pPr>
        <w:spacing w:after="0" w:line="240" w:lineRule="auto"/>
        <w:rPr>
          <w:rFonts w:ascii="Verdana" w:hAnsi="Verdana" w:cs="Arial"/>
          <w:lang w:val="es-ES_tradnl"/>
        </w:rPr>
      </w:pPr>
    </w:p>
    <w:p w14:paraId="7EF0B77A" w14:textId="284B6D6F" w:rsidR="00EC4B47" w:rsidRDefault="00EC4B47" w:rsidP="00FF1E32">
      <w:pPr>
        <w:spacing w:after="0" w:line="240" w:lineRule="auto"/>
        <w:jc w:val="both"/>
        <w:rPr>
          <w:rFonts w:ascii="Verdana" w:hAnsi="Verdana"/>
          <w:sz w:val="20"/>
          <w:lang w:val="es-ES_tradnl"/>
        </w:rPr>
      </w:pPr>
      <w:r w:rsidRPr="00EC4B47">
        <w:rPr>
          <w:rFonts w:ascii="Verdana" w:hAnsi="Verdana"/>
          <w:sz w:val="20"/>
          <w:lang w:val="es-ES_tradnl"/>
        </w:rPr>
        <w:t xml:space="preserve">Es importante señalar que las incompatibilidades previamente mencionadas tienen vigencia durante todo el período constitucional para el cual fueron elegidos los diputados. En caso de renuncia, dichas incompatibilidades se mantienen por seis (6) meses posteriores a su aceptación, siempre que el tiempo restante del período sea superior a ese lapso. De igual manera, quien sea llamado a ocupar el cargo de diputado quedará sujeto al mismo régimen de incompatibilidades desde el momento de su posesión. </w:t>
      </w:r>
    </w:p>
    <w:p w14:paraId="70B1F6D1" w14:textId="77777777" w:rsidR="00EC4B47" w:rsidRPr="00EC4B47" w:rsidRDefault="00EC4B47" w:rsidP="00FF1E32">
      <w:pPr>
        <w:spacing w:after="0" w:line="240" w:lineRule="auto"/>
        <w:jc w:val="both"/>
        <w:rPr>
          <w:rFonts w:ascii="Verdana" w:hAnsi="Verdana"/>
          <w:sz w:val="20"/>
          <w:lang w:val="es-ES_tradnl"/>
        </w:rPr>
      </w:pPr>
    </w:p>
    <w:p w14:paraId="73BBB8CE" w14:textId="77777777" w:rsidR="00EC4B47" w:rsidRPr="00EC4B47" w:rsidRDefault="00EC4B47" w:rsidP="00FF1E32">
      <w:pPr>
        <w:spacing w:after="0" w:line="240" w:lineRule="auto"/>
        <w:jc w:val="both"/>
        <w:rPr>
          <w:rFonts w:ascii="Verdana" w:hAnsi="Verdana"/>
          <w:sz w:val="20"/>
          <w:lang w:val="es-ES_tradnl"/>
        </w:rPr>
      </w:pPr>
      <w:r w:rsidRPr="00EC4B47">
        <w:rPr>
          <w:rFonts w:ascii="Verdana" w:hAnsi="Verdana"/>
          <w:sz w:val="20"/>
          <w:lang w:val="es-ES_tradnl"/>
        </w:rPr>
        <w:t>Así pues, la incompatibilidad no surge en el momento de la elección del diputado, sino durante el período institucional para el cual fue elegido. Esto significa que el simple hecho de resultar electo no activa de inmediato las restricciones; estas se hacen efectivas únicamente cuando inicia el ejercicio del cargo dentro del período constitucional correspondiente. De esta manera, se garantiza que las limitaciones se apliquen en el marco temporal en el que el diputado ejerce funciones públicas y puede verse expuesto a conflictos de interés. En consecuencia, las incompatibilidades se entienden como un régimen ligado al ejercicio del cargo y no al acto electoral en sí mismo. Por ello, incluso si un diputado renuncia, las restricciones continúan vigentes por un tiempo determinado, pues lo que se protege es la transparencia y la imparcialidad durante el período institucional.</w:t>
      </w:r>
    </w:p>
    <w:p w14:paraId="31267E31" w14:textId="294F356A" w:rsidR="00FF1E32" w:rsidRPr="00EC4B47" w:rsidRDefault="00FF1E32" w:rsidP="003356D7">
      <w:pPr>
        <w:spacing w:after="0"/>
        <w:rPr>
          <w:rFonts w:ascii="Verdana" w:hAnsi="Verdana"/>
          <w:lang w:val="es-ES_tradnl"/>
        </w:rPr>
      </w:pPr>
    </w:p>
    <w:p w14:paraId="412D8229" w14:textId="594E34AD" w:rsidR="003356D7" w:rsidRPr="008D01FC" w:rsidRDefault="00FF1E32" w:rsidP="003356D7">
      <w:pPr>
        <w:spacing w:after="0"/>
        <w:rPr>
          <w:rFonts w:ascii="Verdana" w:hAnsi="Verdana"/>
        </w:rPr>
      </w:pPr>
      <w:r w:rsidRPr="00FF1E32">
        <w:rPr>
          <w:rFonts w:ascii="Verdana" w:hAnsi="Verdana"/>
          <w:noProof/>
          <w:lang w:val="en-US"/>
        </w:rPr>
        <w:lastRenderedPageBreak/>
        <w:drawing>
          <wp:anchor distT="0" distB="0" distL="114300" distR="114300" simplePos="0" relativeHeight="251658240" behindDoc="0" locked="0" layoutInCell="1" allowOverlap="1" wp14:anchorId="6311DF65" wp14:editId="0B6AD43C">
            <wp:simplePos x="0" y="0"/>
            <wp:positionH relativeFrom="margin">
              <wp:align>right</wp:align>
            </wp:positionH>
            <wp:positionV relativeFrom="paragraph">
              <wp:posOffset>258445</wp:posOffset>
            </wp:positionV>
            <wp:extent cx="3048000" cy="84201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842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56D7" w:rsidRPr="0024624F">
        <w:rPr>
          <w:rFonts w:ascii="Verdana" w:hAnsi="Verdana"/>
        </w:rPr>
        <w:t>Bogotá D.C.,</w:t>
      </w:r>
      <w:r w:rsidR="00EC4B47">
        <w:rPr>
          <w:rFonts w:ascii="Verdana" w:hAnsi="Verdana"/>
        </w:rPr>
        <w:t xml:space="preserve"> 26 de diciembre de 2025</w:t>
      </w:r>
      <w:r w:rsidR="003356D7" w:rsidRPr="000E2B93">
        <w:rPr>
          <w:rFonts w:ascii="Verdana" w:hAnsi="Verdana"/>
        </w:rPr>
        <w:tab/>
      </w:r>
      <w:r w:rsidR="003356D7" w:rsidRPr="000E2B93">
        <w:rPr>
          <w:rFonts w:ascii="Verdana" w:hAnsi="Verdana"/>
        </w:rPr>
        <w:br/>
      </w:r>
    </w:p>
    <w:p w14:paraId="09E7245B" w14:textId="5C343125" w:rsidR="003356D7" w:rsidRPr="00CD4831" w:rsidRDefault="003356D7" w:rsidP="003356D7">
      <w:pPr>
        <w:spacing w:after="0" w:line="240" w:lineRule="auto"/>
        <w:rPr>
          <w:rFonts w:ascii="Verdana" w:hAnsi="Verdana"/>
        </w:rPr>
      </w:pPr>
    </w:p>
    <w:p w14:paraId="036A7926" w14:textId="77777777" w:rsidR="003356D7" w:rsidRPr="00195947" w:rsidRDefault="003356D7" w:rsidP="003356D7">
      <w:pPr>
        <w:spacing w:after="0" w:line="240" w:lineRule="auto"/>
        <w:rPr>
          <w:rFonts w:ascii="Verdana" w:eastAsia="Calibri" w:hAnsi="Verdana" w:cs="Times New Roman"/>
          <w:lang w:val="es-MX"/>
        </w:rPr>
      </w:pPr>
      <w:r w:rsidRPr="00195947">
        <w:rPr>
          <w:rFonts w:ascii="Verdana" w:eastAsia="Calibri" w:hAnsi="Verdana" w:cs="Times New Roman"/>
          <w:lang w:val="es-MX"/>
        </w:rPr>
        <w:t>Señor</w:t>
      </w:r>
    </w:p>
    <w:p w14:paraId="26B6623A" w14:textId="77777777" w:rsidR="003356D7" w:rsidRPr="008128AC" w:rsidRDefault="003356D7" w:rsidP="003356D7">
      <w:pPr>
        <w:spacing w:after="0" w:line="240" w:lineRule="auto"/>
        <w:rPr>
          <w:rFonts w:ascii="Verdana" w:eastAsia="Calibri" w:hAnsi="Verdana" w:cs="Times New Roman"/>
          <w:b/>
        </w:rPr>
      </w:pPr>
      <w:r w:rsidRPr="008128AC">
        <w:rPr>
          <w:rFonts w:ascii="Verdana" w:eastAsia="Calibri" w:hAnsi="Verdana" w:cs="Times New Roman"/>
          <w:b/>
        </w:rPr>
        <w:t>Fulberto Guevara</w:t>
      </w:r>
    </w:p>
    <w:p w14:paraId="3DE3001F" w14:textId="77777777" w:rsidR="003356D7" w:rsidRPr="008634E6" w:rsidRDefault="00EA6B67" w:rsidP="003356D7">
      <w:pPr>
        <w:spacing w:after="0" w:line="240" w:lineRule="auto"/>
        <w:rPr>
          <w:rFonts w:ascii="Verdana" w:hAnsi="Verdana"/>
        </w:rPr>
      </w:pPr>
      <w:hyperlink r:id="rId12" w:history="1">
        <w:r w:rsidR="003356D7" w:rsidRPr="008634E6">
          <w:rPr>
            <w:rStyle w:val="Hipervnculo"/>
            <w:rFonts w:ascii="Verdana" w:hAnsi="Verdana"/>
          </w:rPr>
          <w:t>despacho@vichada.gov.co</w:t>
        </w:r>
      </w:hyperlink>
      <w:r w:rsidR="003356D7" w:rsidRPr="008634E6">
        <w:rPr>
          <w:rFonts w:ascii="Verdana" w:hAnsi="Verdana"/>
        </w:rPr>
        <w:t xml:space="preserve"> </w:t>
      </w:r>
    </w:p>
    <w:p w14:paraId="48886FD1" w14:textId="77777777" w:rsidR="003356D7" w:rsidRPr="00195947" w:rsidRDefault="003356D7" w:rsidP="003356D7">
      <w:pPr>
        <w:spacing w:after="0" w:line="240" w:lineRule="auto"/>
        <w:rPr>
          <w:rFonts w:ascii="Verdana" w:eastAsia="Calibri" w:hAnsi="Verdana" w:cs="Times New Roman"/>
        </w:rPr>
      </w:pPr>
      <w:r>
        <w:rPr>
          <w:rFonts w:ascii="Verdana" w:eastAsia="Calibri" w:hAnsi="Verdana" w:cs="Times New Roman"/>
        </w:rPr>
        <w:t>Puerto Carreño, Vichada</w:t>
      </w:r>
    </w:p>
    <w:p w14:paraId="35367480" w14:textId="77777777" w:rsidR="003356D7" w:rsidRPr="00CD4831" w:rsidRDefault="003356D7" w:rsidP="003356D7">
      <w:pPr>
        <w:spacing w:after="0" w:line="240" w:lineRule="auto"/>
        <w:rPr>
          <w:rFonts w:ascii="Verdana" w:eastAsia="Calibri" w:hAnsi="Verdana" w:cs="Times New Roman"/>
        </w:rPr>
      </w:pPr>
    </w:p>
    <w:p w14:paraId="05202899" w14:textId="77777777" w:rsidR="003356D7" w:rsidRPr="0060163E" w:rsidRDefault="003356D7" w:rsidP="003356D7">
      <w:pPr>
        <w:spacing w:after="0" w:line="240" w:lineRule="auto"/>
        <w:rPr>
          <w:rFonts w:ascii="Verdana" w:eastAsia="Calibri" w:hAnsi="Verdana" w:cs="Times New Roman"/>
        </w:rPr>
      </w:pPr>
    </w:p>
    <w:p w14:paraId="3DC21DBE" w14:textId="77777777" w:rsidR="003356D7" w:rsidRPr="0060163E" w:rsidRDefault="003356D7" w:rsidP="003356D7">
      <w:pPr>
        <w:spacing w:after="0" w:line="240" w:lineRule="auto"/>
        <w:rPr>
          <w:rFonts w:ascii="Verdana" w:eastAsia="Calibri" w:hAnsi="Verdana" w:cs="Times New Roman"/>
          <w:b/>
          <w:bCs/>
          <w:lang w:val="es-ES"/>
        </w:rPr>
      </w:pPr>
      <w:r w:rsidRPr="0060163E">
        <w:rPr>
          <w:rFonts w:ascii="Verdana" w:eastAsia="Calibri" w:hAnsi="Verdana" w:cs="Times New Roman"/>
          <w:b/>
          <w:bCs/>
        </w:rPr>
        <w:t xml:space="preserve">                                    </w:t>
      </w:r>
      <w:r>
        <w:rPr>
          <w:rFonts w:ascii="Verdana" w:eastAsia="Calibri" w:hAnsi="Verdana" w:cs="Times New Roman"/>
          <w:b/>
          <w:bCs/>
          <w:lang w:val="es-ES"/>
        </w:rPr>
        <w:t>Concepto C– 1626</w:t>
      </w:r>
      <w:r w:rsidRPr="0060163E">
        <w:rPr>
          <w:rFonts w:ascii="Verdana" w:eastAsia="Calibri" w:hAnsi="Verdana" w:cs="Times New Roman"/>
          <w:b/>
          <w:bCs/>
          <w:lang w:val="es-ES"/>
        </w:rPr>
        <w:t xml:space="preserve"> de 2025</w:t>
      </w:r>
    </w:p>
    <w:p w14:paraId="5AFBE9A6" w14:textId="77777777" w:rsidR="003356D7" w:rsidRPr="0060163E" w:rsidRDefault="003356D7" w:rsidP="003356D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356D7" w:rsidRPr="0060163E" w14:paraId="24B2E364" w14:textId="77777777" w:rsidTr="000F7FDB">
        <w:trPr>
          <w:trHeight w:val="884"/>
        </w:trPr>
        <w:tc>
          <w:tcPr>
            <w:tcW w:w="2685" w:type="dxa"/>
            <w:hideMark/>
          </w:tcPr>
          <w:p w14:paraId="0D3F672A" w14:textId="77777777" w:rsidR="003356D7" w:rsidRPr="0060163E" w:rsidRDefault="003356D7" w:rsidP="000F7FDB">
            <w:pPr>
              <w:rPr>
                <w:rFonts w:ascii="Verdana" w:hAnsi="Verdana"/>
                <w:b/>
                <w:bCs/>
                <w:lang w:val="es-ES_tradnl"/>
              </w:rPr>
            </w:pPr>
            <w:r w:rsidRPr="0060163E">
              <w:rPr>
                <w:rFonts w:ascii="Verdana" w:hAnsi="Verdana"/>
                <w:b/>
                <w:bCs/>
                <w:lang w:val="es-ES_tradnl"/>
              </w:rPr>
              <w:t xml:space="preserve">Temas:                   </w:t>
            </w:r>
          </w:p>
        </w:tc>
        <w:tc>
          <w:tcPr>
            <w:tcW w:w="6241" w:type="dxa"/>
            <w:hideMark/>
          </w:tcPr>
          <w:p w14:paraId="54657246" w14:textId="77777777" w:rsidR="003356D7" w:rsidRPr="006D2BEC" w:rsidRDefault="003356D7" w:rsidP="000F7FDB">
            <w:pPr>
              <w:spacing w:line="276" w:lineRule="auto"/>
              <w:jc w:val="both"/>
              <w:rPr>
                <w:rFonts w:ascii="Verdana" w:hAnsi="Verdana" w:cs="Arial"/>
                <w:lang w:val="es-MX"/>
              </w:rPr>
            </w:pPr>
            <w:r w:rsidRPr="006D2BEC">
              <w:rPr>
                <w:rFonts w:ascii="Verdana" w:hAnsi="Verdana" w:cs="Arial"/>
                <w:lang w:val="es-MX"/>
              </w:rPr>
              <w:t>INHABILIDADES E INCOMPATIBILIDADES ─</w:t>
            </w:r>
            <w:bookmarkStart w:id="1" w:name="_GoBack"/>
            <w:bookmarkEnd w:id="1"/>
            <w:r w:rsidRPr="006D2BEC">
              <w:rPr>
                <w:rFonts w:ascii="Verdana" w:hAnsi="Verdana" w:cs="Arial"/>
                <w:lang w:val="es-MX"/>
              </w:rPr>
              <w:t xml:space="preserve"> Definición ─ fundamento – clases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sidRPr="008634E6">
              <w:rPr>
                <w:rFonts w:ascii="Verdana" w:hAnsi="Verdana" w:cs="Arial"/>
                <w:lang w:val="es-ES_tradnl"/>
              </w:rPr>
              <w:t>INHABILIDADES E INCOMPATIBILIDADES – Ley 80 de 1993 – Ley 617 de 2000 – Norma general – Norma especial / LEY 617 DE 2000 – Contratación directa e indirecta – inciso tercero del artículo 49 – Alcance – constitucionalidad condicionada</w:t>
            </w:r>
            <w:r>
              <w:rPr>
                <w:rFonts w:ascii="Verdana" w:hAnsi="Verdana" w:cs="Arial"/>
                <w:lang w:val="es-ES_tradnl"/>
              </w:rPr>
              <w:t xml:space="preserve"> / LEY 617 DE 2000 – Período de la restricción – Artículo 36</w:t>
            </w:r>
            <w:r w:rsidRPr="008634E6">
              <w:rPr>
                <w:rFonts w:ascii="Verdana" w:hAnsi="Verdana" w:cs="Arial"/>
                <w:lang w:val="es-ES_tradnl"/>
              </w:rPr>
              <w:t>.</w:t>
            </w:r>
          </w:p>
          <w:p w14:paraId="52DDD43A" w14:textId="77777777" w:rsidR="003356D7" w:rsidRPr="0020737F" w:rsidRDefault="003356D7" w:rsidP="000F7FDB">
            <w:pPr>
              <w:jc w:val="both"/>
              <w:rPr>
                <w:rFonts w:ascii="Verdana" w:hAnsi="Verdana" w:cs="Arial"/>
                <w:lang w:val="es-MX"/>
              </w:rPr>
            </w:pPr>
          </w:p>
        </w:tc>
        <w:tc>
          <w:tcPr>
            <w:tcW w:w="6237" w:type="dxa"/>
          </w:tcPr>
          <w:p w14:paraId="23238505" w14:textId="77777777" w:rsidR="003356D7" w:rsidRPr="006D2BEC" w:rsidRDefault="003356D7" w:rsidP="000F7FDB">
            <w:pPr>
              <w:rPr>
                <w:rFonts w:ascii="Verdana" w:hAnsi="Verdana"/>
              </w:rPr>
            </w:pPr>
          </w:p>
        </w:tc>
      </w:tr>
      <w:tr w:rsidR="003356D7" w:rsidRPr="0060163E" w14:paraId="5E199F97" w14:textId="77777777" w:rsidTr="000F7FDB">
        <w:tc>
          <w:tcPr>
            <w:tcW w:w="2685" w:type="dxa"/>
          </w:tcPr>
          <w:p w14:paraId="7DCA2D3F" w14:textId="77777777" w:rsidR="003356D7" w:rsidRPr="0060163E" w:rsidRDefault="003356D7" w:rsidP="000F7FDB">
            <w:pPr>
              <w:rPr>
                <w:rFonts w:ascii="Verdana" w:hAnsi="Verdana"/>
                <w:lang w:val="es-ES_tradnl"/>
              </w:rPr>
            </w:pPr>
          </w:p>
          <w:p w14:paraId="5036B363" w14:textId="77777777" w:rsidR="003356D7" w:rsidRPr="0060163E" w:rsidRDefault="003356D7" w:rsidP="000F7FDB">
            <w:pPr>
              <w:rPr>
                <w:rFonts w:ascii="Verdana" w:hAnsi="Verdana"/>
                <w:b/>
                <w:bCs/>
                <w:lang w:val="es-ES_tradnl"/>
              </w:rPr>
            </w:pPr>
            <w:r w:rsidRPr="0060163E">
              <w:rPr>
                <w:rFonts w:ascii="Verdana" w:hAnsi="Verdana"/>
                <w:b/>
                <w:bCs/>
                <w:lang w:val="es-ES_tradnl"/>
              </w:rPr>
              <w:t xml:space="preserve">Radicación:               </w:t>
            </w:r>
          </w:p>
        </w:tc>
        <w:tc>
          <w:tcPr>
            <w:tcW w:w="6241" w:type="dxa"/>
          </w:tcPr>
          <w:p w14:paraId="5D8CAD36" w14:textId="77777777" w:rsidR="003356D7" w:rsidRPr="0060163E" w:rsidRDefault="003356D7" w:rsidP="000F7FDB">
            <w:pPr>
              <w:jc w:val="both"/>
              <w:rPr>
                <w:rFonts w:ascii="Verdana" w:hAnsi="Verdana"/>
                <w:lang w:val="es-ES_tradnl"/>
              </w:rPr>
            </w:pPr>
          </w:p>
          <w:p w14:paraId="78DDDF0F" w14:textId="77777777" w:rsidR="003356D7" w:rsidRDefault="003356D7" w:rsidP="000F7FDB">
            <w:pPr>
              <w:jc w:val="both"/>
              <w:rPr>
                <w:rFonts w:ascii="Verdana" w:hAnsi="Verdana"/>
              </w:rPr>
            </w:pPr>
            <w:r w:rsidRPr="0060163E">
              <w:rPr>
                <w:rFonts w:ascii="Verdana" w:hAnsi="Verdana"/>
                <w:lang w:val="es-ES_tradnl"/>
              </w:rPr>
              <w:t>Respue</w:t>
            </w:r>
            <w:r>
              <w:rPr>
                <w:rFonts w:ascii="Verdana" w:hAnsi="Verdana"/>
                <w:lang w:val="es-ES_tradnl"/>
              </w:rPr>
              <w:t xml:space="preserve">sta a consulta con radicado </w:t>
            </w:r>
            <w:r w:rsidRPr="00195947">
              <w:rPr>
                <w:rFonts w:ascii="Verdana" w:hAnsi="Verdana"/>
              </w:rPr>
              <w:t>1_2025_11_28_013444</w:t>
            </w:r>
          </w:p>
          <w:p w14:paraId="72C3389C" w14:textId="77777777" w:rsidR="003356D7" w:rsidRPr="0060163E" w:rsidRDefault="003356D7" w:rsidP="000F7FDB">
            <w:pPr>
              <w:jc w:val="both"/>
              <w:rPr>
                <w:rFonts w:ascii="Verdana" w:hAnsi="Verdana"/>
              </w:rPr>
            </w:pPr>
          </w:p>
        </w:tc>
        <w:tc>
          <w:tcPr>
            <w:tcW w:w="6237" w:type="dxa"/>
          </w:tcPr>
          <w:p w14:paraId="465FA3BF" w14:textId="77777777" w:rsidR="003356D7" w:rsidRPr="0060163E" w:rsidRDefault="003356D7" w:rsidP="000F7FDB">
            <w:pPr>
              <w:rPr>
                <w:rFonts w:ascii="Verdana" w:hAnsi="Verdana"/>
                <w:lang w:val="es-ES_tradnl"/>
              </w:rPr>
            </w:pPr>
          </w:p>
        </w:tc>
      </w:tr>
      <w:tr w:rsidR="003356D7" w:rsidRPr="0060163E" w14:paraId="1DF9C022" w14:textId="77777777" w:rsidTr="000F7FDB">
        <w:tc>
          <w:tcPr>
            <w:tcW w:w="2685" w:type="dxa"/>
          </w:tcPr>
          <w:p w14:paraId="180C4F75" w14:textId="77777777" w:rsidR="003356D7" w:rsidRPr="0060163E" w:rsidRDefault="003356D7" w:rsidP="000F7FDB">
            <w:pPr>
              <w:rPr>
                <w:rFonts w:ascii="Verdana" w:hAnsi="Verdana"/>
                <w:lang w:val="es-ES_tradnl"/>
              </w:rPr>
            </w:pPr>
          </w:p>
        </w:tc>
        <w:tc>
          <w:tcPr>
            <w:tcW w:w="6241" w:type="dxa"/>
          </w:tcPr>
          <w:p w14:paraId="2B50E8B0" w14:textId="77777777" w:rsidR="003356D7" w:rsidRPr="0060163E" w:rsidRDefault="003356D7" w:rsidP="000F7FDB">
            <w:pPr>
              <w:jc w:val="both"/>
              <w:rPr>
                <w:rFonts w:ascii="Verdana" w:hAnsi="Verdana"/>
                <w:lang w:val="es-ES_tradnl"/>
              </w:rPr>
            </w:pPr>
          </w:p>
        </w:tc>
        <w:tc>
          <w:tcPr>
            <w:tcW w:w="6237" w:type="dxa"/>
          </w:tcPr>
          <w:p w14:paraId="59FB6FB8" w14:textId="77777777" w:rsidR="003356D7" w:rsidRPr="0060163E" w:rsidRDefault="003356D7" w:rsidP="000F7FDB">
            <w:pPr>
              <w:rPr>
                <w:rFonts w:ascii="Verdana" w:hAnsi="Verdana"/>
                <w:lang w:val="es-ES_tradnl"/>
              </w:rPr>
            </w:pPr>
          </w:p>
        </w:tc>
      </w:tr>
    </w:tbl>
    <w:p w14:paraId="114CAD79" w14:textId="77777777" w:rsidR="003356D7" w:rsidRPr="0060163E" w:rsidRDefault="003356D7" w:rsidP="003356D7">
      <w:pPr>
        <w:spacing w:after="0" w:line="256" w:lineRule="auto"/>
        <w:rPr>
          <w:rFonts w:ascii="Verdana" w:eastAsia="Calibri" w:hAnsi="Verdana" w:cs="Times New Roman"/>
          <w:lang w:val="es-ES"/>
        </w:rPr>
      </w:pPr>
      <w:r>
        <w:rPr>
          <w:rFonts w:ascii="Verdana" w:eastAsia="Calibri" w:hAnsi="Verdana" w:cs="Times New Roman"/>
          <w:lang w:val="es-ES"/>
        </w:rPr>
        <w:t>Estimado Señor Guevara:</w:t>
      </w:r>
    </w:p>
    <w:p w14:paraId="45A7BB9F" w14:textId="77777777" w:rsidR="003356D7" w:rsidRPr="0060163E" w:rsidRDefault="003356D7" w:rsidP="003356D7">
      <w:pPr>
        <w:spacing w:after="0" w:line="276" w:lineRule="auto"/>
        <w:rPr>
          <w:rFonts w:ascii="Verdana" w:eastAsia="Calibri" w:hAnsi="Verdana" w:cs="Times New Roman"/>
          <w:lang w:val="es-ES"/>
        </w:rPr>
      </w:pPr>
    </w:p>
    <w:p w14:paraId="4ED5933C" w14:textId="77777777" w:rsidR="003356D7" w:rsidRPr="008211D2" w:rsidRDefault="003356D7" w:rsidP="003356D7">
      <w:pPr>
        <w:spacing w:after="0" w:line="276" w:lineRule="auto"/>
        <w:jc w:val="both"/>
        <w:rPr>
          <w:rFonts w:ascii="Verdana" w:eastAsia="Calibri" w:hAnsi="Verdana" w:cs="Times New Roman"/>
          <w:bCs/>
          <w:lang w:val="es-ES" w:bidi="es-ES"/>
        </w:rPr>
      </w:pPr>
      <w:r w:rsidRPr="008211D2">
        <w:rPr>
          <w:rFonts w:ascii="Verdana" w:eastAsia="Calibri" w:hAnsi="Verdana" w:cs="Times New Roman"/>
          <w:bCs/>
          <w:lang w:val="es-ES" w:bidi="es-ES"/>
        </w:rPr>
        <w:t xml:space="preserve">En ejercicio de la competencia otorgada por los artículos 3, numeral 5º, y 11, numeral 8º, del Decreto Ley 4170 de 2011, </w:t>
      </w:r>
      <w:r w:rsidRPr="008211D2">
        <w:rPr>
          <w:rFonts w:ascii="Verdana" w:eastAsia="Calibri" w:hAnsi="Verdana" w:cs="Times New Roman"/>
          <w:bCs/>
        </w:rPr>
        <w:t xml:space="preserve">así como lo establecido por la Resolución 469 de 2025 expedida por esta Entidad, </w:t>
      </w:r>
      <w:r w:rsidRPr="008211D2">
        <w:rPr>
          <w:rFonts w:ascii="Verdana" w:eastAsia="Calibri" w:hAnsi="Verdana" w:cs="Times New Roman"/>
          <w:bCs/>
          <w:lang w:val="es-ES" w:bidi="es-ES"/>
        </w:rPr>
        <w:t>la Agencia Nacional de Contratación Pública – Colombia Compra Eficiente– responde la sol</w:t>
      </w:r>
      <w:r>
        <w:rPr>
          <w:rFonts w:ascii="Verdana" w:eastAsia="Calibri" w:hAnsi="Verdana" w:cs="Times New Roman"/>
          <w:bCs/>
          <w:lang w:val="es-ES" w:bidi="es-ES"/>
        </w:rPr>
        <w:t>icitud de consulta de su competencia presentada el 28 de noviembre de 2025</w:t>
      </w:r>
      <w:r w:rsidRPr="008211D2">
        <w:rPr>
          <w:rFonts w:ascii="Verdana" w:eastAsia="Calibri" w:hAnsi="Verdana" w:cs="Times New Roman"/>
          <w:bCs/>
          <w:lang w:val="es-ES" w:bidi="es-ES"/>
        </w:rPr>
        <w:t xml:space="preserve">, en la cual manifiesta: </w:t>
      </w:r>
    </w:p>
    <w:p w14:paraId="727E41C8" w14:textId="77777777" w:rsidR="003356D7" w:rsidRPr="0060163E" w:rsidRDefault="003356D7" w:rsidP="003356D7">
      <w:pPr>
        <w:spacing w:after="0" w:line="276" w:lineRule="auto"/>
        <w:jc w:val="both"/>
        <w:rPr>
          <w:rFonts w:ascii="Verdana" w:eastAsia="Calibri" w:hAnsi="Verdana" w:cs="Times New Roman"/>
          <w:lang w:val="es-ES"/>
        </w:rPr>
      </w:pPr>
    </w:p>
    <w:p w14:paraId="70AE7F74" w14:textId="77777777" w:rsidR="003356D7" w:rsidRPr="00CF38CE" w:rsidRDefault="003356D7" w:rsidP="003356D7">
      <w:pPr>
        <w:spacing w:after="0"/>
        <w:ind w:left="709" w:right="709"/>
        <w:jc w:val="both"/>
        <w:rPr>
          <w:rFonts w:ascii="Verdana" w:eastAsia="Calibri" w:hAnsi="Verdana" w:cs="Times New Roman"/>
          <w:bCs/>
          <w:sz w:val="20"/>
          <w:szCs w:val="20"/>
        </w:rPr>
      </w:pPr>
      <w:r w:rsidRPr="00506C86">
        <w:rPr>
          <w:rFonts w:ascii="Verdana" w:eastAsia="Calibri" w:hAnsi="Verdana" w:cs="Times New Roman"/>
          <w:bCs/>
          <w:sz w:val="20"/>
          <w:szCs w:val="20"/>
        </w:rPr>
        <w:lastRenderedPageBreak/>
        <w:t>“</w:t>
      </w:r>
      <w:r w:rsidRPr="00CF38CE">
        <w:rPr>
          <w:rFonts w:ascii="Verdana" w:eastAsia="Calibri" w:hAnsi="Verdana" w:cs="Times New Roman"/>
          <w:bCs/>
          <w:sz w:val="20"/>
          <w:szCs w:val="20"/>
        </w:rPr>
        <w:t xml:space="preserve">2. ¿Se configura inhabilidad o incompatibilidad para que el gobernador de un Departamento pueda vincular mediante contrato de prestación de servicios profesionales y/o de apoyo a la gestión en la gobernación (Departamento) o alguna de sus entidades descentralizadas a un hijo, hermano, sobrino o primo de un diputado electo en el respectivo departamento? </w:t>
      </w:r>
    </w:p>
    <w:p w14:paraId="715C7142" w14:textId="77777777" w:rsidR="003356D7" w:rsidRPr="00CD4831" w:rsidRDefault="003356D7" w:rsidP="003356D7">
      <w:pPr>
        <w:spacing w:after="0"/>
        <w:ind w:left="709" w:right="709"/>
        <w:jc w:val="both"/>
        <w:rPr>
          <w:rFonts w:ascii="Verdana" w:eastAsia="Calibri" w:hAnsi="Verdana" w:cs="Times New Roman"/>
          <w:bCs/>
          <w:sz w:val="20"/>
          <w:szCs w:val="20"/>
        </w:rPr>
      </w:pPr>
      <w:r w:rsidRPr="00CF38CE">
        <w:rPr>
          <w:rFonts w:ascii="Verdana" w:eastAsia="Calibri" w:hAnsi="Verdana" w:cs="Times New Roman"/>
          <w:bCs/>
          <w:sz w:val="20"/>
          <w:szCs w:val="20"/>
        </w:rPr>
        <w:t>3. ¿Hasta qué grado de parentesco por consanguinidad, afinidad y civil se configura inhabilidad o incompatibilidad legal para que los familiares de un diputado celebren contratos de prestación de servicios profesionales y/o de apoyo a la gestión, con la Gobernación(Departamento) o con cualquiera de las entidades descentralizadas de la respectiva entidad territorial el que aquel fue</w:t>
      </w:r>
      <w:r>
        <w:rPr>
          <w:rFonts w:ascii="Verdana" w:eastAsia="Calibri" w:hAnsi="Verdana" w:cs="Times New Roman"/>
          <w:bCs/>
          <w:sz w:val="20"/>
          <w:szCs w:val="20"/>
        </w:rPr>
        <w:t xml:space="preserve"> elegido”</w:t>
      </w:r>
      <w:r w:rsidRPr="00CD4831">
        <w:rPr>
          <w:rFonts w:ascii="Verdana" w:eastAsia="Calibri" w:hAnsi="Verdana" w:cs="Times New Roman"/>
          <w:bCs/>
          <w:sz w:val="20"/>
          <w:szCs w:val="20"/>
        </w:rPr>
        <w:t>.</w:t>
      </w:r>
    </w:p>
    <w:p w14:paraId="0271F561" w14:textId="77777777" w:rsidR="003356D7" w:rsidRPr="008211D2" w:rsidRDefault="003356D7" w:rsidP="003356D7">
      <w:pPr>
        <w:spacing w:after="0" w:line="240" w:lineRule="auto"/>
        <w:ind w:right="709"/>
        <w:jc w:val="both"/>
        <w:rPr>
          <w:rFonts w:ascii="Verdana" w:eastAsia="Calibri" w:hAnsi="Verdana" w:cs="Times New Roman"/>
          <w:bCs/>
          <w:i/>
          <w:iCs/>
          <w:sz w:val="20"/>
          <w:szCs w:val="20"/>
        </w:rPr>
      </w:pPr>
    </w:p>
    <w:p w14:paraId="68DF3C37" w14:textId="77777777" w:rsidR="003356D7" w:rsidRPr="0060163E" w:rsidRDefault="003356D7" w:rsidP="003356D7">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715E9BD" w14:textId="77777777" w:rsidR="003356D7" w:rsidRDefault="003356D7" w:rsidP="003356D7">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w:t>
      </w:r>
      <w:r>
        <w:rPr>
          <w:rFonts w:ascii="Verdana" w:eastAsia="Calibri" w:hAnsi="Verdana" w:cs="Times New Roman"/>
          <w:lang w:val="es-ES"/>
        </w:rPr>
        <w:t xml:space="preserve">s con el problema jurídico de su consulta. </w:t>
      </w:r>
    </w:p>
    <w:p w14:paraId="7EB4EDBE" w14:textId="77777777" w:rsidR="003356D7" w:rsidRPr="0060163E" w:rsidRDefault="003356D7" w:rsidP="003356D7">
      <w:pPr>
        <w:spacing w:after="0" w:line="276" w:lineRule="auto"/>
        <w:ind w:firstLine="708"/>
        <w:jc w:val="both"/>
        <w:rPr>
          <w:rFonts w:ascii="Verdana" w:eastAsia="Calibri" w:hAnsi="Verdana" w:cs="Times New Roman"/>
          <w:lang w:val="es-ES"/>
        </w:rPr>
      </w:pPr>
    </w:p>
    <w:p w14:paraId="7E119C6A" w14:textId="77777777" w:rsidR="003356D7" w:rsidRPr="0060163E" w:rsidRDefault="003356D7" w:rsidP="003356D7">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04AA7B3C" w14:textId="77777777" w:rsidR="003356D7" w:rsidRPr="0060163E" w:rsidRDefault="003356D7" w:rsidP="003356D7">
      <w:pPr>
        <w:spacing w:after="0" w:line="276" w:lineRule="auto"/>
        <w:rPr>
          <w:rFonts w:ascii="Verdana" w:eastAsia="Calibri" w:hAnsi="Verdana" w:cs="Times New Roman"/>
        </w:rPr>
      </w:pPr>
    </w:p>
    <w:p w14:paraId="1B464F7E" w14:textId="77777777" w:rsidR="003356D7" w:rsidRPr="00BF497E" w:rsidRDefault="003356D7" w:rsidP="003356D7">
      <w:pPr>
        <w:spacing w:after="0" w:line="276" w:lineRule="auto"/>
        <w:jc w:val="both"/>
        <w:rPr>
          <w:rFonts w:ascii="Verdana" w:eastAsia="Calibri" w:hAnsi="Verdana" w:cs="Times New Roman"/>
        </w:rPr>
      </w:pPr>
      <w:r w:rsidRPr="0060163E">
        <w:rPr>
          <w:rFonts w:ascii="Verdana" w:eastAsia="Calibri" w:hAnsi="Verdana" w:cs="Times New Roman"/>
        </w:rPr>
        <w:t xml:space="preserve">De acuerdo con el contenido de su solicitud, </w:t>
      </w:r>
      <w:r>
        <w:rPr>
          <w:rFonts w:ascii="Verdana" w:eastAsia="Calibri" w:hAnsi="Verdana" w:cs="Times New Roman"/>
        </w:rPr>
        <w:t xml:space="preserve">esta Agencia procede a resolver el siguiente problema jurídico: </w:t>
      </w:r>
      <w:r w:rsidRPr="00393D3A">
        <w:rPr>
          <w:rFonts w:ascii="Verdana" w:eastAsia="Calibri" w:hAnsi="Verdana" w:cs="Times New Roman"/>
        </w:rPr>
        <w:t xml:space="preserve">¿Cuál es el grado de parentesco por </w:t>
      </w:r>
      <w:r w:rsidRPr="00393D3A">
        <w:rPr>
          <w:rFonts w:ascii="Verdana" w:eastAsia="Calibri" w:hAnsi="Verdana" w:cs="Times New Roman"/>
        </w:rPr>
        <w:lastRenderedPageBreak/>
        <w:t>consanguinidad, afinidad o civil que genera inhabilidad o incompatibilidad para que los familiares de un diputado puedan celebrar contratos de prestación de servicios profesionales o de apoyo a la gestión con la gobernación o con las entidades descentralizadas del respectivo departamento</w:t>
      </w:r>
      <w:r>
        <w:rPr>
          <w:rFonts w:ascii="Verdana" w:eastAsia="Calibri" w:hAnsi="Verdana" w:cs="Times New Roman"/>
        </w:rPr>
        <w:t xml:space="preserve"> y si sus efectos se aplican de inmediato cuando los diputados son electos</w:t>
      </w:r>
      <w:r w:rsidRPr="00393D3A">
        <w:rPr>
          <w:rFonts w:ascii="Verdana" w:eastAsia="Calibri" w:hAnsi="Verdana" w:cs="Times New Roman"/>
        </w:rPr>
        <w:t>?</w:t>
      </w:r>
    </w:p>
    <w:p w14:paraId="73644C11" w14:textId="77777777" w:rsidR="003356D7" w:rsidRPr="0060163E" w:rsidRDefault="003356D7" w:rsidP="003356D7">
      <w:pPr>
        <w:spacing w:after="0" w:line="276" w:lineRule="auto"/>
        <w:rPr>
          <w:rFonts w:ascii="Verdana" w:eastAsia="Calibri" w:hAnsi="Verdana" w:cs="Times New Roman"/>
        </w:rPr>
      </w:pPr>
    </w:p>
    <w:p w14:paraId="69C72A53" w14:textId="77777777" w:rsidR="003356D7" w:rsidRPr="0060163E" w:rsidRDefault="003356D7" w:rsidP="003356D7">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 </w:t>
      </w:r>
      <w:r w:rsidRPr="0060163E">
        <w:rPr>
          <w:rFonts w:ascii="Verdana" w:eastAsia="Calibri" w:hAnsi="Verdana" w:cs="Times New Roman"/>
          <w:b/>
          <w:bCs/>
          <w:lang w:val="es-ES"/>
        </w:rPr>
        <w:t>Respuesta:</w:t>
      </w:r>
    </w:p>
    <w:p w14:paraId="18AF9FA0" w14:textId="77777777" w:rsidR="003356D7" w:rsidRPr="0060163E" w:rsidRDefault="003356D7" w:rsidP="003356D7">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356D7" w:rsidRPr="0060163E" w14:paraId="50E8BC85" w14:textId="77777777" w:rsidTr="000F7FDB">
        <w:trPr>
          <w:trHeight w:val="870"/>
          <w:jc w:val="center"/>
        </w:trPr>
        <w:tc>
          <w:tcPr>
            <w:tcW w:w="8647" w:type="dxa"/>
          </w:tcPr>
          <w:p w14:paraId="248B7F10" w14:textId="77777777" w:rsidR="003356D7" w:rsidRPr="0060163E" w:rsidRDefault="003356D7" w:rsidP="000F7FDB">
            <w:pPr>
              <w:spacing w:after="120" w:line="276" w:lineRule="auto"/>
              <w:jc w:val="both"/>
              <w:rPr>
                <w:rFonts w:ascii="Verdana" w:eastAsia="Calibri" w:hAnsi="Verdana" w:cs="Arial"/>
                <w:lang w:val="es-ES_tradnl"/>
              </w:rPr>
            </w:pPr>
            <w:r>
              <w:rPr>
                <w:rFonts w:ascii="Verdana" w:eastAsia="Calibri" w:hAnsi="Verdana" w:cs="Arial"/>
                <w:lang w:val="es-ES_tradnl"/>
              </w:rPr>
              <w:t xml:space="preserve">Conforme el problema jurídico, objeto de consulta, </w:t>
            </w:r>
            <w:r w:rsidRPr="0060163E">
              <w:rPr>
                <w:rFonts w:ascii="Verdana" w:eastAsia="Calibri" w:hAnsi="Verdana" w:cs="Arial"/>
                <w:lang w:val="es-ES_tradnl"/>
              </w:rPr>
              <w:t>el artículo 49, inciso tercero, de la Ley 617 de 2000, modificado por las Leyes 821 de 2003, 1148 de 2007 y 1296 de 2009, establece claramente la prohibición que los gobernadores, diputados, alcaldes y concejales celebren contratos para beneficiar a sus parientes hasta el cuarto grado de consanguinidad</w:t>
            </w:r>
            <w:r>
              <w:rPr>
                <w:rFonts w:ascii="Verdana" w:eastAsia="Calibri" w:hAnsi="Verdana" w:cs="Arial"/>
                <w:lang w:val="es-ES_tradnl"/>
              </w:rPr>
              <w:t xml:space="preserve"> (</w:t>
            </w:r>
            <w:r>
              <w:rPr>
                <w:rFonts w:ascii="Verdana" w:eastAsia="Calibri" w:hAnsi="Verdana" w:cs="Arial"/>
              </w:rPr>
              <w:t xml:space="preserve">el </w:t>
            </w:r>
            <w:r w:rsidRPr="00A42FB0">
              <w:rPr>
                <w:rFonts w:ascii="Verdana" w:eastAsia="Calibri" w:hAnsi="Verdana" w:cs="Arial"/>
                <w:bCs/>
              </w:rPr>
              <w:t>primer grado</w:t>
            </w:r>
            <w:r>
              <w:rPr>
                <w:rFonts w:ascii="Verdana" w:eastAsia="Calibri" w:hAnsi="Verdana" w:cs="Arial"/>
              </w:rPr>
              <w:t xml:space="preserve"> </w:t>
            </w:r>
            <w:r w:rsidRPr="00A42FB0">
              <w:rPr>
                <w:rFonts w:ascii="Verdana" w:eastAsia="Calibri" w:hAnsi="Verdana" w:cs="Arial"/>
              </w:rPr>
              <w:t>son padres e hijos; el </w:t>
            </w:r>
            <w:r w:rsidRPr="00A42FB0">
              <w:rPr>
                <w:rFonts w:ascii="Verdana" w:eastAsia="Calibri" w:hAnsi="Verdana" w:cs="Arial"/>
                <w:bCs/>
              </w:rPr>
              <w:t>segundo</w:t>
            </w:r>
            <w:r w:rsidRPr="00A42FB0">
              <w:rPr>
                <w:rFonts w:ascii="Verdana" w:eastAsia="Calibri" w:hAnsi="Verdana" w:cs="Arial"/>
              </w:rPr>
              <w:t> son</w:t>
            </w:r>
            <w:r>
              <w:rPr>
                <w:rFonts w:ascii="Verdana" w:eastAsia="Calibri" w:hAnsi="Verdana" w:cs="Arial"/>
              </w:rPr>
              <w:t xml:space="preserve"> hermanos, abuelos y nietos; el </w:t>
            </w:r>
            <w:r w:rsidRPr="00A42FB0">
              <w:rPr>
                <w:rFonts w:ascii="Verdana" w:eastAsia="Calibri" w:hAnsi="Verdana" w:cs="Arial"/>
                <w:bCs/>
              </w:rPr>
              <w:t>tercero</w:t>
            </w:r>
            <w:r>
              <w:rPr>
                <w:rFonts w:ascii="Verdana" w:eastAsia="Calibri" w:hAnsi="Verdana" w:cs="Arial"/>
                <w:bCs/>
              </w:rPr>
              <w:t xml:space="preserve"> </w:t>
            </w:r>
            <w:r w:rsidRPr="00A42FB0">
              <w:rPr>
                <w:rFonts w:ascii="Verdana" w:eastAsia="Calibri" w:hAnsi="Verdana" w:cs="Arial"/>
              </w:rPr>
              <w:t>incluye tíos, sobrinos, bisabuelos y bisnietos; y el </w:t>
            </w:r>
            <w:r w:rsidRPr="00A42FB0">
              <w:rPr>
                <w:rFonts w:ascii="Verdana" w:eastAsia="Calibri" w:hAnsi="Verdana" w:cs="Arial"/>
                <w:bCs/>
              </w:rPr>
              <w:t>cuarto</w:t>
            </w:r>
            <w:r w:rsidRPr="00A42FB0">
              <w:rPr>
                <w:rFonts w:ascii="Verdana" w:eastAsia="Calibri" w:hAnsi="Verdana" w:cs="Arial"/>
              </w:rPr>
              <w:t> son primos hermanos y tíos abuelos</w:t>
            </w:r>
            <w:r>
              <w:rPr>
                <w:rFonts w:ascii="Verdana" w:eastAsia="Calibri" w:hAnsi="Verdana" w:cs="Arial"/>
              </w:rPr>
              <w:t>)</w:t>
            </w:r>
            <w:r w:rsidRPr="0060163E">
              <w:rPr>
                <w:rFonts w:ascii="Verdana" w:eastAsia="Calibri" w:hAnsi="Verdana" w:cs="Arial"/>
                <w:lang w:val="es-ES_tradnl"/>
              </w:rPr>
              <w:t>, segundo de afinidad</w:t>
            </w:r>
            <w:r>
              <w:rPr>
                <w:rFonts w:ascii="Verdana" w:eastAsia="Calibri" w:hAnsi="Verdana" w:cs="Arial"/>
                <w:lang w:val="es-ES_tradnl"/>
              </w:rPr>
              <w:t xml:space="preserve"> </w:t>
            </w:r>
            <w:r>
              <w:rPr>
                <w:rFonts w:ascii="Verdana" w:eastAsia="Calibri" w:hAnsi="Verdana" w:cs="Arial"/>
              </w:rPr>
              <w:t xml:space="preserve"> (</w:t>
            </w:r>
            <w:r w:rsidRPr="00010788">
              <w:rPr>
                <w:rFonts w:ascii="Verdana" w:eastAsia="Calibri" w:hAnsi="Verdana" w:cs="Arial"/>
              </w:rPr>
              <w:t>suegros</w:t>
            </w:r>
            <w:r>
              <w:rPr>
                <w:rFonts w:ascii="Verdana" w:eastAsia="Calibri" w:hAnsi="Verdana" w:cs="Arial"/>
              </w:rPr>
              <w:t>, hijos de la cónyuge, abuelos del cónyuge, nietos del cónyuge, cuñados</w:t>
            </w:r>
            <w:r w:rsidRPr="00010788">
              <w:rPr>
                <w:rFonts w:ascii="Verdana" w:eastAsia="Calibri" w:hAnsi="Verdana" w:cs="Arial"/>
              </w:rPr>
              <w:t>)</w:t>
            </w:r>
            <w:r w:rsidRPr="0060163E">
              <w:rPr>
                <w:rFonts w:ascii="Verdana" w:eastAsia="Calibri" w:hAnsi="Verdana" w:cs="Arial"/>
                <w:lang w:val="es-ES_tradnl"/>
              </w:rPr>
              <w:t>, primera de civil, cónyuges y compañeros permanentes, directa o indirectamente. Dado que pueden actuar en calidad socios o representantes legales de la empresa que contrata con el departamento, distrito o municipio, o con sus entidades descentralizadas, la in</w:t>
            </w:r>
            <w:r>
              <w:rPr>
                <w:rFonts w:ascii="Verdana" w:eastAsia="Calibri" w:hAnsi="Verdana" w:cs="Arial"/>
                <w:lang w:val="es-ES_tradnl"/>
              </w:rPr>
              <w:t>compatibilidad</w:t>
            </w:r>
            <w:r w:rsidRPr="0060163E">
              <w:rPr>
                <w:rFonts w:ascii="Verdana" w:eastAsia="Calibri" w:hAnsi="Verdana" w:cs="Arial"/>
                <w:lang w:val="es-ES_tradnl"/>
              </w:rPr>
              <w:t xml:space="preserve"> aplica a quienes tengan ambas calidades. Esto en la medida que, conforme a lo explicado en este concepto, la norma prohíbe toda forma de gestión contractual directa o indirecta, esto es, encubierta realizada subrepticiamente a través de terceras personas, salvo </w:t>
            </w:r>
            <w:r w:rsidRPr="0060163E">
              <w:rPr>
                <w:rFonts w:ascii="Verdana" w:eastAsia="Calibri" w:hAnsi="Verdana" w:cs="Arial"/>
                <w:bCs/>
              </w:rPr>
              <w:t>a aquellos contratos por medio de los cuales la administración ofrece, en igualdad de condiciones, a todos los ciudadanos y personas, un determinado bien o servicio, en desarrollo de sus funciones constitucionales y legales, tal y como sucede por ejemplo, con la prestación de los servicios públicos,</w:t>
            </w:r>
            <w:r>
              <w:rPr>
                <w:rFonts w:ascii="Verdana" w:eastAsia="Calibri" w:hAnsi="Verdana" w:cs="Arial"/>
                <w:bCs/>
              </w:rPr>
              <w:t xml:space="preserve"> pues en tal caso la incompatibilidad</w:t>
            </w:r>
            <w:r w:rsidRPr="0060163E">
              <w:rPr>
                <w:rFonts w:ascii="Verdana" w:eastAsia="Calibri" w:hAnsi="Verdana" w:cs="Arial"/>
                <w:bCs/>
              </w:rPr>
              <w:t xml:space="preserve"> es irrazonable, de acuerdo a lo expresado por la Corte Constitucio</w:t>
            </w:r>
            <w:r>
              <w:rPr>
                <w:rFonts w:ascii="Verdana" w:eastAsia="Calibri" w:hAnsi="Verdana" w:cs="Arial"/>
                <w:bCs/>
              </w:rPr>
              <w:t>nal en las sentencias precitadas en las razones de la respuesta</w:t>
            </w:r>
            <w:r w:rsidRPr="0060163E">
              <w:rPr>
                <w:rFonts w:ascii="Verdana" w:eastAsia="Calibri" w:hAnsi="Verdana" w:cs="Arial"/>
                <w:bCs/>
              </w:rPr>
              <w:t xml:space="preserve">. </w:t>
            </w:r>
            <w:r w:rsidRPr="0060163E">
              <w:rPr>
                <w:rFonts w:ascii="Verdana" w:eastAsia="Calibri" w:hAnsi="Verdana" w:cs="Arial"/>
                <w:lang w:val="es-ES_tradnl"/>
              </w:rPr>
              <w:t xml:space="preserve"> </w:t>
            </w:r>
          </w:p>
          <w:p w14:paraId="16965CA9" w14:textId="77777777" w:rsidR="003356D7" w:rsidRDefault="003356D7" w:rsidP="000F7FDB">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Ahor</w:t>
            </w:r>
            <w:r>
              <w:rPr>
                <w:rFonts w:ascii="Verdana" w:eastAsia="Calibri" w:hAnsi="Verdana" w:cs="Arial"/>
                <w:lang w:val="es-ES_tradnl"/>
              </w:rPr>
              <w:t>a bien, frente a esa incompatibilidad</w:t>
            </w:r>
            <w:r w:rsidRPr="0060163E">
              <w:rPr>
                <w:rFonts w:ascii="Verdana" w:eastAsia="Calibri" w:hAnsi="Verdana" w:cs="Arial"/>
                <w:lang w:val="es-ES_tradnl"/>
              </w:rPr>
              <w:t xml:space="preserve"> con mayor razón no es posible “ejecutarlo” porque se trata de una etapa posterior a su “celebración” o “suscripción”, y por tanto, es aplicable lo dispuesto en el artículo 9 de la Ley 80 de 1993, cuyo tenor literal dispone: “Si llegare a sobrevenir </w:t>
            </w:r>
            <w:r w:rsidRPr="0060163E">
              <w:rPr>
                <w:rFonts w:ascii="Verdana" w:eastAsia="Calibri" w:hAnsi="Verdana" w:cs="Arial"/>
                <w:lang w:val="es-ES_tradnl"/>
              </w:rPr>
              <w:lastRenderedPageBreak/>
              <w:t>inhabilidad o incompatibilidad en el contratista, este cederá el contrato previa autorización escrita de la entidad contratante o, si ello no fuere posible, renunciará a su ejecución”, excepto en aquellos</w:t>
            </w:r>
            <w:r w:rsidRPr="0060163E">
              <w:rPr>
                <w:rFonts w:ascii="Verdana" w:eastAsia="Calibri" w:hAnsi="Verdana" w:cs="Arial"/>
                <w:bCs/>
              </w:rPr>
              <w:t xml:space="preserve">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dicho evento la inhabilidad es irrazonable, de acuerdo </w:t>
            </w:r>
            <w:r w:rsidRPr="0060163E">
              <w:rPr>
                <w:rFonts w:ascii="Verdana" w:eastAsia="Calibri" w:hAnsi="Verdana" w:cs="Arial"/>
                <w:lang w:val="es-ES_tradnl"/>
              </w:rPr>
              <w:t>el alcance dado al inciso tercero del artículo 49 de la Ley 617 de 2000 por parte de la Corte Constitucional, sin perjuicio de las demás excepciones a las inhabilidades dispuestas por lo la ley.</w:t>
            </w:r>
          </w:p>
          <w:p w14:paraId="216D7CB0" w14:textId="77777777" w:rsidR="003356D7" w:rsidRDefault="003356D7" w:rsidP="000F7FDB">
            <w:pPr>
              <w:spacing w:after="120" w:line="276" w:lineRule="auto"/>
              <w:ind w:firstLine="709"/>
              <w:jc w:val="both"/>
              <w:rPr>
                <w:rFonts w:ascii="Verdana" w:eastAsia="Calibri" w:hAnsi="Verdana" w:cs="Arial"/>
                <w:lang w:val="es-ES_tradnl"/>
              </w:rPr>
            </w:pPr>
            <w:r>
              <w:rPr>
                <w:rFonts w:ascii="Verdana" w:eastAsia="Calibri" w:hAnsi="Verdana" w:cs="Arial"/>
                <w:lang w:val="es-ES_tradnl"/>
              </w:rPr>
              <w:t>E</w:t>
            </w:r>
            <w:r w:rsidRPr="000E53BB">
              <w:rPr>
                <w:rFonts w:ascii="Verdana" w:eastAsia="Calibri" w:hAnsi="Verdana" w:cs="Arial"/>
                <w:lang w:val="es-ES_tradnl"/>
              </w:rPr>
              <w:t>s importante señalar que las incompatibilidades previamente mencionadas tienen vigencia durante todo el período constitucional para el cual fueron elegidos</w:t>
            </w:r>
            <w:r>
              <w:rPr>
                <w:rFonts w:ascii="Verdana" w:eastAsia="Calibri" w:hAnsi="Verdana" w:cs="Arial"/>
                <w:lang w:val="es-ES_tradnl"/>
              </w:rPr>
              <w:t xml:space="preserve"> los diputados</w:t>
            </w:r>
            <w:r w:rsidRPr="000E53BB">
              <w:rPr>
                <w:rFonts w:ascii="Verdana" w:eastAsia="Calibri" w:hAnsi="Verdana" w:cs="Arial"/>
                <w:lang w:val="es-ES_tradnl"/>
              </w:rPr>
              <w:t>. En caso de renuncia, dichas incompatibilidades se mantienen por seis (6) meses posteriores a su aceptación, siempre que el tiempo restante del período sea superior a ese lapso. De igual manera, quien sea llamado a ocupar el cargo de diputado quedará sujeto al mismo régimen de incompatibilidades desde el momento de su posesión.</w:t>
            </w:r>
            <w:r>
              <w:rPr>
                <w:rFonts w:ascii="Verdana" w:eastAsia="Calibri" w:hAnsi="Verdana" w:cs="Arial"/>
                <w:lang w:val="es-ES_tradnl"/>
              </w:rPr>
              <w:t xml:space="preserve"> </w:t>
            </w:r>
          </w:p>
          <w:p w14:paraId="005535BF" w14:textId="77777777" w:rsidR="003356D7" w:rsidRDefault="003356D7" w:rsidP="000F7FDB">
            <w:pPr>
              <w:spacing w:after="120" w:line="276" w:lineRule="auto"/>
              <w:ind w:firstLine="709"/>
              <w:jc w:val="both"/>
              <w:rPr>
                <w:rFonts w:ascii="Verdana" w:eastAsia="Calibri" w:hAnsi="Verdana" w:cs="Arial"/>
                <w:bCs/>
                <w:color w:val="000000" w:themeColor="text1"/>
              </w:rPr>
            </w:pPr>
            <w:r>
              <w:rPr>
                <w:rFonts w:ascii="Verdana" w:eastAsia="Calibri" w:hAnsi="Verdana" w:cs="Arial"/>
                <w:lang w:val="es-ES_tradnl"/>
              </w:rPr>
              <w:t>Así pues, l</w:t>
            </w:r>
            <w:r w:rsidRPr="000E53BB">
              <w:rPr>
                <w:rFonts w:ascii="Verdana" w:eastAsia="Calibri" w:hAnsi="Verdana" w:cs="Arial"/>
                <w:lang w:val="es-ES_tradnl"/>
              </w:rPr>
              <w:t>a incompatibilidad no surge en el momento de la elección del diputado, sino durante el período institucional para el cual fue elegido. Esto significa que el simple hecho de resultar electo no activa de inmediato las restricciones; estas se hacen efectivas únicamente cuando inicia el ejercicio del cargo dentro del período constitucional correspondiente. De esta manera, se garantiza que las limitaciones se apliquen en el marco temporal en el que el diputado ejerce funciones públicas y puede verse ex</w:t>
            </w:r>
            <w:r>
              <w:rPr>
                <w:rFonts w:ascii="Verdana" w:eastAsia="Calibri" w:hAnsi="Verdana" w:cs="Arial"/>
                <w:lang w:val="es-ES_tradnl"/>
              </w:rPr>
              <w:t xml:space="preserve">puesto a conflictos de interés. </w:t>
            </w:r>
            <w:r w:rsidRPr="000E53BB">
              <w:rPr>
                <w:rFonts w:ascii="Verdana" w:eastAsia="Calibri" w:hAnsi="Verdana" w:cs="Arial"/>
                <w:lang w:val="es-ES_tradnl"/>
              </w:rPr>
              <w:t>En consecuencia, las incompatibilidades se entienden como un régimen ligado al ejercicio del cargo y no al acto electoral en sí mismo. Por ello, incluso si un diputado renuncia, las restricciones continúan vigentes por un tiempo determinado, pues lo que se protege es la transparencia y la imparcialidad durante el período institucional.</w:t>
            </w:r>
            <w:r w:rsidRPr="00DB2A80">
              <w:rPr>
                <w:rFonts w:ascii="Verdana" w:eastAsia="Calibri" w:hAnsi="Verdana" w:cs="Arial"/>
                <w:bCs/>
                <w:color w:val="000000" w:themeColor="text1"/>
              </w:rPr>
              <w:t xml:space="preserve"> </w:t>
            </w:r>
          </w:p>
          <w:p w14:paraId="5FFB90A4" w14:textId="77777777" w:rsidR="003356D7" w:rsidRPr="0020737F" w:rsidRDefault="003356D7" w:rsidP="000F7FDB">
            <w:pPr>
              <w:spacing w:line="276" w:lineRule="auto"/>
              <w:ind w:firstLine="708"/>
              <w:jc w:val="both"/>
              <w:rPr>
                <w:rFonts w:ascii="Verdana" w:eastAsia="Calibri" w:hAnsi="Verdana" w:cs="Arial"/>
                <w:bCs/>
                <w:color w:val="000000" w:themeColor="text1"/>
              </w:rPr>
            </w:pPr>
            <w:r w:rsidRPr="00DB2A80">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el consultante </w:t>
            </w:r>
            <w:r w:rsidRPr="00DB2A80">
              <w:rPr>
                <w:rFonts w:ascii="Verdana" w:eastAsia="Calibri" w:hAnsi="Verdana" w:cs="Arial"/>
                <w:bCs/>
                <w:color w:val="000000" w:themeColor="text1"/>
              </w:rPr>
              <w:t xml:space="preserve">definirá en cada caso concreto lo relacionado con el tema objeto de consulta. Al tratarse de un análisis que debe realizarse en el procedimiento contractual específico, la Agencia no </w:t>
            </w:r>
            <w:r w:rsidRPr="00DB2A80">
              <w:rPr>
                <w:rFonts w:ascii="Verdana" w:eastAsia="Calibri" w:hAnsi="Verdana" w:cs="Arial"/>
                <w:bCs/>
                <w:color w:val="000000" w:themeColor="text1"/>
              </w:rPr>
              <w:lastRenderedPageBreak/>
              <w:t xml:space="preserve">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0B95137C" w14:textId="77777777" w:rsidR="003356D7" w:rsidRDefault="003356D7" w:rsidP="003356D7">
      <w:pPr>
        <w:spacing w:after="0" w:line="276" w:lineRule="auto"/>
        <w:contextualSpacing/>
        <w:rPr>
          <w:rFonts w:ascii="Verdana" w:eastAsia="Calibri" w:hAnsi="Verdana" w:cs="Times New Roman"/>
          <w:b/>
          <w:bCs/>
          <w:lang w:val="es-ES"/>
        </w:rPr>
      </w:pPr>
    </w:p>
    <w:p w14:paraId="7119355D" w14:textId="77777777" w:rsidR="003356D7" w:rsidRPr="0060163E" w:rsidRDefault="003356D7" w:rsidP="003356D7">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III. </w:t>
      </w:r>
      <w:r w:rsidRPr="0060163E">
        <w:rPr>
          <w:rFonts w:ascii="Verdana" w:eastAsia="Calibri" w:hAnsi="Verdana" w:cs="Times New Roman"/>
          <w:b/>
          <w:bCs/>
          <w:lang w:val="es-ES"/>
        </w:rPr>
        <w:t>Razones de la respuesta:</w:t>
      </w:r>
    </w:p>
    <w:p w14:paraId="6F212F43" w14:textId="77777777" w:rsidR="003356D7" w:rsidRPr="0060163E" w:rsidRDefault="003356D7" w:rsidP="003356D7">
      <w:pPr>
        <w:spacing w:after="0" w:line="276" w:lineRule="auto"/>
        <w:rPr>
          <w:rFonts w:ascii="Verdana" w:eastAsia="Calibri" w:hAnsi="Verdana" w:cs="Times New Roman"/>
          <w:b/>
          <w:bCs/>
          <w:lang w:val="es-ES"/>
        </w:rPr>
      </w:pPr>
    </w:p>
    <w:p w14:paraId="671F0E8E" w14:textId="77777777" w:rsidR="003356D7" w:rsidRPr="0060163E" w:rsidRDefault="003356D7" w:rsidP="003356D7">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2D7E491C" w14:textId="77777777" w:rsidR="003356D7" w:rsidRPr="0060163E" w:rsidRDefault="003356D7" w:rsidP="003356D7">
      <w:pPr>
        <w:spacing w:after="0" w:line="276" w:lineRule="auto"/>
        <w:jc w:val="both"/>
        <w:rPr>
          <w:rFonts w:ascii="Verdana" w:eastAsia="Calibri" w:hAnsi="Verdana" w:cs="Arial"/>
          <w:lang w:val="es-MX"/>
        </w:rPr>
      </w:pPr>
    </w:p>
    <w:p w14:paraId="60C783BF" w14:textId="77777777" w:rsidR="003356D7" w:rsidRDefault="003356D7" w:rsidP="003356D7">
      <w:pPr>
        <w:spacing w:after="0" w:line="276" w:lineRule="auto"/>
        <w:jc w:val="both"/>
        <w:rPr>
          <w:rFonts w:ascii="Verdana" w:eastAsia="Calibri" w:hAnsi="Verdana" w:cs="Arial"/>
          <w:lang w:val="es-MX"/>
        </w:rPr>
      </w:pPr>
      <w:r w:rsidRPr="0060163E">
        <w:rPr>
          <w:rFonts w:ascii="Verdana" w:eastAsia="Calibri" w:hAnsi="Verdana" w:cs="Arial"/>
          <w:lang w:val="es-MX"/>
        </w:rPr>
        <w:t>i)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611628A7" w14:textId="77777777" w:rsidR="003356D7" w:rsidRDefault="003356D7" w:rsidP="003356D7">
      <w:pPr>
        <w:spacing w:after="0" w:line="276" w:lineRule="auto"/>
        <w:jc w:val="both"/>
        <w:rPr>
          <w:rFonts w:ascii="Verdana" w:eastAsia="Calibri" w:hAnsi="Verdana" w:cs="Arial"/>
          <w:lang w:val="es-MX"/>
        </w:rPr>
      </w:pPr>
    </w:p>
    <w:p w14:paraId="2A226895" w14:textId="77777777" w:rsidR="003356D7" w:rsidRDefault="003356D7" w:rsidP="003356D7">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1"/>
      </w:r>
      <w:r w:rsidRPr="000B4D9F">
        <w:rPr>
          <w:rFonts w:ascii="Verdana" w:eastAsia="Calibri" w:hAnsi="Verdana" w:cs="Arial"/>
          <w:bCs/>
          <w:iCs/>
          <w:sz w:val="21"/>
          <w:szCs w:val="21"/>
          <w:lang w:val="es-ES"/>
        </w:rPr>
        <w:t>.</w:t>
      </w:r>
    </w:p>
    <w:p w14:paraId="0512F4C6" w14:textId="77777777" w:rsidR="003356D7" w:rsidRPr="000B4D9F" w:rsidRDefault="003356D7" w:rsidP="003356D7">
      <w:pPr>
        <w:spacing w:after="0" w:line="240" w:lineRule="auto"/>
        <w:ind w:left="709" w:right="709"/>
        <w:jc w:val="both"/>
        <w:rPr>
          <w:rFonts w:ascii="Verdana" w:eastAsia="Calibri" w:hAnsi="Verdana" w:cs="Arial"/>
          <w:bCs/>
          <w:iCs/>
          <w:sz w:val="21"/>
          <w:szCs w:val="21"/>
          <w:lang w:val="es-ES_tradnl"/>
        </w:rPr>
      </w:pPr>
    </w:p>
    <w:p w14:paraId="4344FED6" w14:textId="77777777" w:rsidR="003356D7" w:rsidRDefault="003356D7" w:rsidP="003356D7">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r w:rsidRPr="007218AE">
        <w:rPr>
          <w:rFonts w:ascii="Verdana" w:eastAsia="Calibri" w:hAnsi="Verdana" w:cs="Arial"/>
        </w:rPr>
        <w:t xml:space="preserve">na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w:t>
      </w:r>
      <w:r>
        <w:rPr>
          <w:rFonts w:ascii="Verdana" w:eastAsia="Calibri" w:hAnsi="Verdana" w:cs="Arial"/>
        </w:rPr>
        <w:lastRenderedPageBreak/>
        <w:t xml:space="preserve">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48F12657" w14:textId="77777777" w:rsidR="003356D7" w:rsidRPr="0060163E" w:rsidRDefault="003356D7" w:rsidP="003356D7">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2"/>
      </w:r>
    </w:p>
    <w:p w14:paraId="6658C633" w14:textId="77777777" w:rsidR="003356D7" w:rsidRPr="0060163E" w:rsidRDefault="003356D7" w:rsidP="003356D7">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76B87042" w14:textId="77777777" w:rsidR="003356D7" w:rsidRPr="0060163E" w:rsidRDefault="003356D7" w:rsidP="003356D7">
      <w:pPr>
        <w:spacing w:after="0" w:line="276" w:lineRule="auto"/>
        <w:jc w:val="both"/>
        <w:rPr>
          <w:rFonts w:ascii="Verdana" w:eastAsia="Calibri" w:hAnsi="Verdana" w:cs="Arial"/>
          <w:lang w:val="es-MX"/>
        </w:rPr>
      </w:pPr>
    </w:p>
    <w:p w14:paraId="1CB79D19" w14:textId="77777777" w:rsidR="003356D7" w:rsidRPr="0045272C" w:rsidRDefault="003356D7" w:rsidP="003356D7">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B128B24" w14:textId="77777777" w:rsidR="003356D7" w:rsidRPr="0045272C" w:rsidRDefault="003356D7" w:rsidP="003356D7">
      <w:pPr>
        <w:shd w:val="clear" w:color="auto" w:fill="FFFFFF"/>
        <w:spacing w:after="0" w:line="240" w:lineRule="auto"/>
        <w:ind w:left="709" w:right="709"/>
        <w:jc w:val="both"/>
        <w:rPr>
          <w:rFonts w:ascii="Verdana" w:eastAsia="Calibri" w:hAnsi="Verdana" w:cs="Arial"/>
          <w:sz w:val="20"/>
          <w:szCs w:val="20"/>
          <w:lang w:val="es-ES"/>
        </w:rPr>
      </w:pPr>
    </w:p>
    <w:p w14:paraId="2170D3B9" w14:textId="77777777" w:rsidR="003356D7" w:rsidRPr="0045272C" w:rsidRDefault="003356D7" w:rsidP="003356D7">
      <w:pPr>
        <w:shd w:val="clear" w:color="auto" w:fill="FFFFFF"/>
        <w:spacing w:after="0" w:line="240" w:lineRule="auto"/>
        <w:ind w:left="709" w:right="709"/>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Adicionalmente, toda vez que la Jurisprudencia Constitucional se ha referido a la protección del Interés General como causa que legitima la </w:t>
      </w:r>
      <w:r w:rsidRPr="0045272C">
        <w:rPr>
          <w:rFonts w:ascii="Verdana" w:eastAsia="Calibri" w:hAnsi="Verdana" w:cs="Arial"/>
          <w:sz w:val="20"/>
          <w:szCs w:val="20"/>
          <w:lang w:val="es-ES"/>
        </w:rPr>
        <w:lastRenderedPageBreak/>
        <w:t>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5272C">
        <w:rPr>
          <w:rFonts w:ascii="Verdana" w:eastAsia="Calibri" w:hAnsi="Verdana" w:cs="Arial"/>
          <w:sz w:val="20"/>
          <w:szCs w:val="20"/>
          <w:vertAlign w:val="superscript"/>
          <w:lang w:val="es-ES"/>
        </w:rPr>
        <w:footnoteReference w:id="3"/>
      </w:r>
    </w:p>
    <w:p w14:paraId="00772C6A" w14:textId="77777777" w:rsidR="003356D7" w:rsidRPr="0045272C" w:rsidRDefault="003356D7" w:rsidP="003356D7">
      <w:pPr>
        <w:shd w:val="clear" w:color="auto" w:fill="FFFFFF"/>
        <w:spacing w:after="0" w:line="240" w:lineRule="auto"/>
        <w:ind w:left="709" w:right="709"/>
        <w:jc w:val="both"/>
        <w:rPr>
          <w:rFonts w:ascii="Verdana" w:eastAsia="Calibri" w:hAnsi="Verdana" w:cs="Arial"/>
          <w:sz w:val="20"/>
          <w:szCs w:val="20"/>
          <w:lang w:val="es-ES"/>
        </w:rPr>
      </w:pPr>
    </w:p>
    <w:p w14:paraId="76EF8791" w14:textId="77777777" w:rsidR="003356D7" w:rsidRPr="0060163E" w:rsidRDefault="003356D7" w:rsidP="003356D7">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5E30B432" w14:textId="77777777" w:rsidR="003356D7" w:rsidRPr="004218E1" w:rsidRDefault="003356D7" w:rsidP="003356D7">
      <w:pPr>
        <w:spacing w:after="0" w:line="276" w:lineRule="auto"/>
        <w:rPr>
          <w:rFonts w:ascii="Verdana" w:eastAsia="Times New Roman" w:hAnsi="Verdana" w:cs="Arial"/>
          <w:sz w:val="21"/>
          <w:szCs w:val="21"/>
          <w:shd w:val="clear" w:color="auto" w:fill="FFFFFF"/>
          <w:lang w:eastAsia="es-ES_tradnl"/>
        </w:rPr>
      </w:pPr>
    </w:p>
    <w:p w14:paraId="0D7DC48C" w14:textId="77777777" w:rsidR="003356D7" w:rsidRPr="0045272C" w:rsidRDefault="003356D7" w:rsidP="003356D7">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2CE9F54B" w14:textId="77777777" w:rsidR="003356D7" w:rsidRPr="0045272C" w:rsidRDefault="003356D7" w:rsidP="003356D7">
      <w:pPr>
        <w:spacing w:after="0" w:line="240" w:lineRule="auto"/>
        <w:ind w:left="709" w:right="709"/>
        <w:jc w:val="both"/>
        <w:rPr>
          <w:rFonts w:ascii="Verdana" w:eastAsia="Calibri" w:hAnsi="Verdana" w:cs="Arial"/>
          <w:sz w:val="20"/>
          <w:szCs w:val="20"/>
          <w:lang w:val="es-MX"/>
        </w:rPr>
      </w:pPr>
    </w:p>
    <w:p w14:paraId="26740E32" w14:textId="77777777" w:rsidR="003356D7" w:rsidRPr="0045272C" w:rsidRDefault="003356D7" w:rsidP="003356D7">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w:t>
      </w:r>
      <w:r w:rsidRPr="0045272C">
        <w:rPr>
          <w:rFonts w:ascii="Verdana" w:eastAsia="Calibri" w:hAnsi="Verdana" w:cs="Arial"/>
          <w:sz w:val="20"/>
          <w:szCs w:val="20"/>
          <w:lang w:val="es-MX"/>
        </w:rPr>
        <w:lastRenderedPageBreak/>
        <w:t>a la igualdad y el reconocimiento de la personalidad jurídica de las personas que resultan rechazadas del ámbito contractual del Estado”</w:t>
      </w:r>
      <w:r w:rsidRPr="0045272C">
        <w:rPr>
          <w:rFonts w:ascii="Verdana" w:eastAsia="Calibri" w:hAnsi="Verdana" w:cs="Arial"/>
          <w:sz w:val="20"/>
          <w:szCs w:val="20"/>
          <w:vertAlign w:val="superscript"/>
          <w:lang w:val="es-MX"/>
        </w:rPr>
        <w:footnoteReference w:id="4"/>
      </w:r>
      <w:r w:rsidRPr="0045272C">
        <w:rPr>
          <w:rFonts w:ascii="Verdana" w:eastAsia="Calibri" w:hAnsi="Verdana" w:cs="Arial"/>
          <w:sz w:val="20"/>
          <w:szCs w:val="20"/>
          <w:lang w:val="es-MX"/>
        </w:rPr>
        <w:t xml:space="preserve">. </w:t>
      </w:r>
    </w:p>
    <w:p w14:paraId="4D5166BC" w14:textId="77777777" w:rsidR="003356D7" w:rsidRPr="0045272C" w:rsidRDefault="003356D7" w:rsidP="003356D7">
      <w:pPr>
        <w:spacing w:after="0" w:line="276" w:lineRule="auto"/>
        <w:ind w:right="709"/>
        <w:jc w:val="both"/>
        <w:rPr>
          <w:rFonts w:ascii="Verdana" w:eastAsia="Calibri" w:hAnsi="Verdana" w:cs="Arial"/>
          <w:sz w:val="20"/>
          <w:szCs w:val="20"/>
          <w:lang w:val="es-MX"/>
        </w:rPr>
      </w:pPr>
    </w:p>
    <w:p w14:paraId="46DF1A94" w14:textId="77777777" w:rsidR="003356D7" w:rsidRPr="0060163E" w:rsidRDefault="003356D7" w:rsidP="003356D7">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780B8943" w14:textId="77777777" w:rsidR="003356D7" w:rsidRPr="0060163E" w:rsidRDefault="003356D7" w:rsidP="003356D7">
      <w:pPr>
        <w:tabs>
          <w:tab w:val="left" w:pos="1532"/>
        </w:tabs>
        <w:spacing w:after="0" w:line="276" w:lineRule="auto"/>
        <w:jc w:val="both"/>
        <w:rPr>
          <w:rFonts w:ascii="Verdana" w:eastAsia="Calibri" w:hAnsi="Verdana" w:cs="Arial"/>
          <w:lang w:val="es-MX"/>
        </w:rPr>
      </w:pPr>
    </w:p>
    <w:p w14:paraId="6D9DC5F3" w14:textId="77777777" w:rsidR="003356D7" w:rsidRPr="0045272C" w:rsidRDefault="003356D7" w:rsidP="003356D7">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58BFE9CC" w14:textId="77777777" w:rsidR="003356D7" w:rsidRPr="0045272C" w:rsidRDefault="003356D7" w:rsidP="003356D7">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 xml:space="preserve">[…] </w:t>
      </w:r>
    </w:p>
    <w:p w14:paraId="55790DF3" w14:textId="77777777" w:rsidR="003356D7" w:rsidRPr="0045272C" w:rsidRDefault="003356D7" w:rsidP="003356D7">
      <w:pPr>
        <w:spacing w:after="0" w:line="240" w:lineRule="auto"/>
        <w:ind w:left="709" w:right="709"/>
        <w:jc w:val="both"/>
        <w:rPr>
          <w:rFonts w:ascii="Verdana" w:eastAsia="Calibri" w:hAnsi="Verdana" w:cs="Arial"/>
          <w:sz w:val="20"/>
          <w:szCs w:val="20"/>
          <w:lang w:val="es-MX"/>
        </w:rPr>
      </w:pPr>
      <w:r w:rsidRPr="0045272C">
        <w:rPr>
          <w:rFonts w:ascii="Verdana" w:eastAsia="Calibri" w:hAnsi="Verdana" w:cs="Arial"/>
          <w:sz w:val="20"/>
          <w:szCs w:val="20"/>
          <w:lang w:val="es-MX"/>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45272C">
        <w:rPr>
          <w:rFonts w:ascii="Verdana" w:eastAsia="Calibri" w:hAnsi="Verdana" w:cs="Arial"/>
          <w:sz w:val="20"/>
          <w:szCs w:val="20"/>
          <w:vertAlign w:val="superscript"/>
          <w:lang w:val="es-MX"/>
        </w:rPr>
        <w:footnoteReference w:id="5"/>
      </w:r>
      <w:r w:rsidRPr="0045272C">
        <w:rPr>
          <w:rFonts w:ascii="Verdana" w:eastAsia="Calibri" w:hAnsi="Verdana" w:cs="Arial"/>
          <w:sz w:val="20"/>
          <w:szCs w:val="20"/>
          <w:lang w:val="es-MX"/>
        </w:rPr>
        <w:t>.</w:t>
      </w:r>
    </w:p>
    <w:p w14:paraId="20191120" w14:textId="77777777" w:rsidR="003356D7" w:rsidRPr="0045272C" w:rsidRDefault="003356D7" w:rsidP="003356D7">
      <w:pPr>
        <w:spacing w:after="0" w:line="276" w:lineRule="auto"/>
        <w:ind w:left="709" w:right="709"/>
        <w:jc w:val="both"/>
        <w:rPr>
          <w:rFonts w:ascii="Verdana" w:eastAsia="Calibri" w:hAnsi="Verdana" w:cs="Arial"/>
          <w:sz w:val="20"/>
          <w:szCs w:val="20"/>
          <w:lang w:val="es-MX"/>
        </w:rPr>
      </w:pPr>
    </w:p>
    <w:p w14:paraId="7CB2B709" w14:textId="77777777" w:rsidR="003356D7" w:rsidRPr="0060163E" w:rsidRDefault="003356D7" w:rsidP="003356D7">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6"/>
      </w:r>
      <w:r w:rsidRPr="0060163E">
        <w:rPr>
          <w:rFonts w:ascii="Verdana" w:eastAsia="Calibri" w:hAnsi="Verdana" w:cs="Arial"/>
          <w:lang w:val="es-MX"/>
        </w:rPr>
        <w:t>.</w:t>
      </w:r>
    </w:p>
    <w:p w14:paraId="6F24E03C" w14:textId="77777777" w:rsidR="003356D7" w:rsidRPr="0060163E" w:rsidRDefault="003356D7" w:rsidP="003356D7">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lastRenderedPageBreak/>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7"/>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74BB4352" w14:textId="77777777" w:rsidR="003356D7" w:rsidRPr="0060163E" w:rsidRDefault="003356D7" w:rsidP="003356D7">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4F12A5C9" w14:textId="77777777" w:rsidR="003356D7" w:rsidRPr="0060163E" w:rsidRDefault="003356D7" w:rsidP="003356D7">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8"/>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w:t>
      </w:r>
      <w:r w:rsidRPr="0060163E">
        <w:rPr>
          <w:rFonts w:ascii="Verdana" w:eastAsia="Calibri" w:hAnsi="Verdana" w:cs="Arial"/>
          <w:lang w:val="es-ES_tradnl"/>
        </w:rPr>
        <w:lastRenderedPageBreak/>
        <w:t xml:space="preserve">libre concurrencia y el ejercicio de la profesión u oficio. Tal ha sido la postura al interior de la jurisprudencia, tanto de la Corte Constitucional como de la Sección Tercera del Consejo de Estado. </w:t>
      </w:r>
    </w:p>
    <w:p w14:paraId="196EF9BF" w14:textId="77777777" w:rsidR="003356D7" w:rsidRPr="0060163E" w:rsidRDefault="003356D7" w:rsidP="003356D7">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9"/>
      </w:r>
      <w:r w:rsidRPr="0060163E">
        <w:rPr>
          <w:rFonts w:ascii="Verdana" w:eastAsia="Calibri" w:hAnsi="Verdana" w:cs="Arial"/>
          <w:lang w:val="es-ES_tradnl"/>
        </w:rPr>
        <w:t xml:space="preserve">. </w:t>
      </w:r>
    </w:p>
    <w:p w14:paraId="516FD32D" w14:textId="77777777" w:rsidR="003356D7" w:rsidRPr="0060163E" w:rsidRDefault="003356D7" w:rsidP="003356D7">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En tal sentido, la Sección Tercera ha señalado que:</w:t>
      </w:r>
    </w:p>
    <w:p w14:paraId="4A05476E" w14:textId="77777777" w:rsidR="003356D7" w:rsidRPr="0060163E" w:rsidRDefault="003356D7" w:rsidP="003356D7">
      <w:pPr>
        <w:spacing w:after="0" w:line="276" w:lineRule="auto"/>
        <w:ind w:firstLine="709"/>
        <w:jc w:val="both"/>
        <w:rPr>
          <w:rFonts w:ascii="Verdana" w:eastAsia="Calibri" w:hAnsi="Verdana" w:cs="Arial"/>
          <w:lang w:val="es-ES_tradnl"/>
        </w:rPr>
      </w:pPr>
    </w:p>
    <w:p w14:paraId="479217E2" w14:textId="77777777" w:rsidR="003356D7" w:rsidRPr="0045272C" w:rsidRDefault="003356D7" w:rsidP="003356D7">
      <w:pPr>
        <w:spacing w:after="0" w:line="240" w:lineRule="auto"/>
        <w:ind w:left="709" w:right="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5272C">
        <w:rPr>
          <w:rFonts w:ascii="Verdana" w:eastAsia="Calibri" w:hAnsi="Verdana" w:cs="Arial"/>
          <w:sz w:val="20"/>
          <w:szCs w:val="20"/>
          <w:vertAlign w:val="superscript"/>
          <w:lang w:val="es-ES_tradnl"/>
        </w:rPr>
        <w:footnoteReference w:id="11"/>
      </w:r>
      <w:r w:rsidRPr="0045272C">
        <w:rPr>
          <w:rFonts w:ascii="Verdana" w:eastAsia="Calibri" w:hAnsi="Verdana" w:cs="Arial"/>
          <w:sz w:val="20"/>
          <w:szCs w:val="20"/>
          <w:lang w:val="es-ES_tradnl"/>
        </w:rPr>
        <w:t>.</w:t>
      </w:r>
    </w:p>
    <w:p w14:paraId="4AAB1989" w14:textId="77777777" w:rsidR="003356D7" w:rsidRPr="0045272C" w:rsidRDefault="003356D7" w:rsidP="003356D7">
      <w:pPr>
        <w:spacing w:after="0" w:line="240" w:lineRule="auto"/>
        <w:ind w:firstLine="709"/>
        <w:jc w:val="both"/>
        <w:rPr>
          <w:rFonts w:ascii="Verdana" w:eastAsia="Calibri" w:hAnsi="Verdana" w:cs="Arial"/>
          <w:sz w:val="20"/>
          <w:szCs w:val="20"/>
          <w:lang w:val="es-ES_tradnl"/>
        </w:rPr>
      </w:pPr>
    </w:p>
    <w:p w14:paraId="20FF6DD8" w14:textId="77777777" w:rsidR="003356D7" w:rsidRPr="0045272C" w:rsidRDefault="003356D7" w:rsidP="003356D7">
      <w:pPr>
        <w:spacing w:after="0" w:line="240" w:lineRule="auto"/>
        <w:ind w:firstLine="709"/>
        <w:jc w:val="both"/>
        <w:rPr>
          <w:rFonts w:ascii="Verdana" w:eastAsia="Calibri" w:hAnsi="Verdana" w:cs="Arial"/>
          <w:sz w:val="20"/>
          <w:szCs w:val="20"/>
          <w:lang w:val="es-ES_tradnl"/>
        </w:rPr>
      </w:pPr>
      <w:r w:rsidRPr="0045272C">
        <w:rPr>
          <w:rFonts w:ascii="Verdana" w:eastAsia="Calibri" w:hAnsi="Verdana" w:cs="Arial"/>
          <w:sz w:val="20"/>
          <w:szCs w:val="20"/>
          <w:lang w:val="es-ES_tradnl"/>
        </w:rPr>
        <w:t>También ha dicho que:</w:t>
      </w:r>
    </w:p>
    <w:p w14:paraId="0225BF7B" w14:textId="77777777" w:rsidR="003356D7" w:rsidRPr="0045272C" w:rsidRDefault="003356D7" w:rsidP="003356D7">
      <w:pPr>
        <w:spacing w:after="0" w:line="240" w:lineRule="auto"/>
        <w:ind w:left="709" w:right="616"/>
        <w:jc w:val="both"/>
        <w:rPr>
          <w:rFonts w:ascii="Verdana" w:eastAsia="Calibri" w:hAnsi="Verdana" w:cs="Arial"/>
          <w:sz w:val="20"/>
          <w:szCs w:val="20"/>
          <w:lang w:val="es-ES"/>
        </w:rPr>
      </w:pPr>
      <w:r w:rsidRPr="0045272C">
        <w:rPr>
          <w:rFonts w:ascii="Verdana" w:eastAsia="Calibri" w:hAnsi="Verdana" w:cs="Arial"/>
          <w:sz w:val="20"/>
          <w:szCs w:val="20"/>
          <w:lang w:val="es-ES"/>
        </w:rPr>
        <w:t xml:space="preserve">[…] la aplicación de estos preceptos exige una interpretación restrictiva, dado que según el principio hermenéutico </w:t>
      </w:r>
      <w:r w:rsidRPr="0045272C">
        <w:rPr>
          <w:rFonts w:ascii="Verdana" w:eastAsia="Calibri" w:hAnsi="Verdana" w:cs="Arial"/>
          <w:i/>
          <w:iCs/>
          <w:sz w:val="20"/>
          <w:szCs w:val="20"/>
          <w:lang w:val="es-ES"/>
        </w:rPr>
        <w:t>pro libertate</w:t>
      </w:r>
      <w:r w:rsidRPr="0045272C">
        <w:rPr>
          <w:rFonts w:ascii="Verdana" w:eastAsia="Calibri" w:hAnsi="Verdana" w:cs="Arial"/>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w:t>
      </w:r>
      <w:r w:rsidRPr="0045272C">
        <w:rPr>
          <w:rFonts w:ascii="Verdana" w:eastAsia="Calibri" w:hAnsi="Verdana" w:cs="Arial"/>
          <w:sz w:val="20"/>
          <w:szCs w:val="20"/>
          <w:lang w:val="es-ES"/>
        </w:rPr>
        <w:lastRenderedPageBreak/>
        <w:t>de las mismas, pues de hacerlo se vulnerarían los derechos fundamentales al debido proceso (art. 29 CN) y a la igualdad (art. 13 Ibid.); […]”</w:t>
      </w:r>
      <w:r w:rsidRPr="0045272C">
        <w:rPr>
          <w:rFonts w:ascii="Verdana" w:eastAsia="Calibri" w:hAnsi="Verdana" w:cs="Arial"/>
          <w:sz w:val="20"/>
          <w:szCs w:val="20"/>
          <w:vertAlign w:val="superscript"/>
          <w:lang w:val="es-ES"/>
        </w:rPr>
        <w:footnoteReference w:id="12"/>
      </w:r>
      <w:r w:rsidRPr="0045272C">
        <w:rPr>
          <w:rFonts w:ascii="Verdana" w:eastAsia="Calibri" w:hAnsi="Verdana" w:cs="Arial"/>
          <w:sz w:val="20"/>
          <w:szCs w:val="20"/>
          <w:lang w:val="es-ES"/>
        </w:rPr>
        <w:t>.</w:t>
      </w:r>
    </w:p>
    <w:p w14:paraId="7D2F7426" w14:textId="77777777" w:rsidR="003356D7" w:rsidRPr="0045272C" w:rsidRDefault="003356D7" w:rsidP="003356D7">
      <w:pPr>
        <w:spacing w:after="0" w:line="276" w:lineRule="auto"/>
        <w:jc w:val="both"/>
        <w:rPr>
          <w:rFonts w:ascii="Verdana" w:eastAsia="Arial" w:hAnsi="Verdana" w:cs="Arial"/>
          <w:color w:val="000000"/>
          <w:sz w:val="20"/>
          <w:szCs w:val="20"/>
          <w:lang w:val="es-ES_tradnl"/>
        </w:rPr>
      </w:pPr>
    </w:p>
    <w:p w14:paraId="2087C4EE" w14:textId="77777777" w:rsidR="003356D7" w:rsidRPr="0060163E" w:rsidRDefault="003356D7" w:rsidP="003356D7">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pro libertate</w:t>
      </w:r>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3"/>
      </w:r>
    </w:p>
    <w:p w14:paraId="139A90E4" w14:textId="77777777" w:rsidR="003356D7" w:rsidRPr="0060163E" w:rsidRDefault="003356D7" w:rsidP="003356D7">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4"/>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5"/>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2BB537AC" w14:textId="77777777" w:rsidR="003356D7" w:rsidRPr="00FF2FD4" w:rsidRDefault="003356D7" w:rsidP="003356D7">
      <w:pPr>
        <w:spacing w:after="0" w:line="276" w:lineRule="auto"/>
        <w:jc w:val="both"/>
        <w:rPr>
          <w:rFonts w:ascii="Verdana" w:eastAsia="Calibri" w:hAnsi="Verdana" w:cs="Arial"/>
          <w:b/>
          <w:lang w:val="es-ES_tradnl"/>
        </w:rPr>
      </w:pPr>
    </w:p>
    <w:p w14:paraId="622587D7" w14:textId="77777777" w:rsidR="003356D7" w:rsidRPr="0060163E" w:rsidRDefault="003356D7" w:rsidP="003356D7">
      <w:pPr>
        <w:spacing w:after="120" w:line="276" w:lineRule="auto"/>
        <w:jc w:val="both"/>
        <w:rPr>
          <w:rFonts w:ascii="Verdana" w:eastAsia="Calibri" w:hAnsi="Verdana" w:cs="Arial"/>
          <w:lang w:val="es-ES"/>
        </w:rPr>
      </w:pPr>
      <w:r>
        <w:rPr>
          <w:rFonts w:ascii="Verdana" w:eastAsia="Calibri" w:hAnsi="Verdana" w:cs="Arial"/>
          <w:lang w:val="es-ES"/>
        </w:rPr>
        <w:lastRenderedPageBreak/>
        <w:t>ii.</w:t>
      </w:r>
      <w:bookmarkStart w:id="2" w:name="_Hlk213782318"/>
      <w:r w:rsidRPr="0060163E">
        <w:rPr>
          <w:rFonts w:ascii="Verdana" w:eastAsia="Calibri" w:hAnsi="Verdana" w:cs="Arial"/>
          <w:b/>
          <w:bCs/>
          <w:lang w:val="es-ES"/>
        </w:rPr>
        <w:t xml:space="preserve"> </w:t>
      </w:r>
      <w:r w:rsidRPr="0060163E">
        <w:rPr>
          <w:rFonts w:ascii="Verdana" w:eastAsia="Calibri" w:hAnsi="Verdana" w:cs="Arial"/>
          <w:lang w:val="es-ES"/>
        </w:rPr>
        <w:t xml:space="preserve">Conforme al artículo 8, literal b) del numeral 2°, de la Ley 80 de 1993,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54D93273" w14:textId="77777777" w:rsidR="003356D7" w:rsidRPr="0060163E" w:rsidRDefault="003356D7" w:rsidP="003356D7">
      <w:pPr>
        <w:spacing w:after="120" w:line="276" w:lineRule="auto"/>
        <w:ind w:firstLine="708"/>
        <w:jc w:val="both"/>
        <w:rPr>
          <w:rFonts w:ascii="Verdana" w:eastAsia="Calibri" w:hAnsi="Verdana" w:cs="Arial"/>
          <w:lang w:val="es-ES_tradnl"/>
        </w:rPr>
      </w:pPr>
      <w:r w:rsidRPr="0060163E">
        <w:rPr>
          <w:rFonts w:ascii="Verdana" w:eastAsia="Calibri" w:hAnsi="Verdana" w:cs="Arial"/>
          <w:lang w:val="es-ES_tradnl"/>
        </w:rPr>
        <w:t>De acuerdo con lo explicado por la Corte Constitucional en la Sentencia C-429 de 1997, protege el principio de moralidad administrativa, ya que “[…]</w:t>
      </w:r>
      <w:r w:rsidRPr="0060163E">
        <w:rPr>
          <w:rFonts w:ascii="Verdana" w:eastAsia="Calibri" w:hAnsi="Verdana" w:cs="Times New Roman"/>
          <w:lang w:val="es-MX"/>
        </w:rPr>
        <w:t xml:space="preserve"> </w:t>
      </w:r>
      <w:r w:rsidRPr="0060163E">
        <w:rPr>
          <w:rFonts w:ascii="Verdana" w:eastAsia="Calibri" w:hAnsi="Verdana" w:cs="Arial"/>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p>
    <w:p w14:paraId="2B713C79" w14:textId="77777777" w:rsidR="003356D7" w:rsidRPr="0060163E" w:rsidRDefault="003356D7" w:rsidP="003356D7">
      <w:pPr>
        <w:spacing w:after="120" w:line="276" w:lineRule="auto"/>
        <w:ind w:firstLine="709"/>
        <w:jc w:val="both"/>
        <w:rPr>
          <w:rFonts w:ascii="Verdana" w:eastAsia="Calibri" w:hAnsi="Verdana" w:cs="Arial"/>
          <w:color w:val="000000"/>
          <w:lang w:val="es-MX"/>
        </w:rPr>
      </w:pPr>
      <w:r w:rsidRPr="0060163E">
        <w:rPr>
          <w:rFonts w:ascii="Verdana" w:eastAsia="Calibri" w:hAnsi="Verdana" w:cs="Arial"/>
          <w:lang w:val="es-ES_tradnl"/>
        </w:rPr>
        <w:t xml:space="preserve">Como se observa, la restricción aplica a los parientes de los servidores públicos de los niveles directivo, asesor, ejecutivo. Para estos efectos, </w:t>
      </w:r>
      <w:r w:rsidRPr="0060163E">
        <w:rPr>
          <w:rFonts w:ascii="Verdana" w:eastAsia="Calibri" w:hAnsi="Verdana" w:cs="Arial"/>
          <w:color w:val="000000"/>
          <w:lang w:val="es-MX"/>
        </w:rPr>
        <w:t>es necesario remitirse a la normativa que rige la función pública, la cual clasifica los cargos públicos de acuerdo con su nivel jerárquico dentro la administración del orden nacional y territorial. No obstante, de acuerdo con los Decretos 770 y 785 de 2005, que regulan las funciones y requisitos de los empleos públicos de entidades del orden nacional y territorial, respectivamente, señalan como responsabilidad del Gobierno nacional la modificación de las plantas de personal para que se elimine el nivel “ejecutivo</w:t>
      </w:r>
      <w:r w:rsidRPr="0060163E">
        <w:rPr>
          <w:rFonts w:ascii="Verdana" w:eastAsia="Calibri" w:hAnsi="Verdana" w:cs="Arial"/>
          <w:color w:val="000000"/>
          <w:lang w:val="es-ES"/>
        </w:rPr>
        <w:t>”</w:t>
      </w:r>
      <w:r w:rsidRPr="0060163E">
        <w:rPr>
          <w:rFonts w:ascii="Verdana" w:eastAsia="Calibri" w:hAnsi="Verdana" w:cs="Arial"/>
          <w:color w:val="000000"/>
          <w:lang w:val="es-MX"/>
        </w:rPr>
        <w:t xml:space="preserve"> y se utilicen los niveles jerárquicos señalados por los Decretos, dentro de los cuales figuran el nivel “directivo” y “asesor”, entre otros</w:t>
      </w:r>
      <w:r w:rsidRPr="0060163E">
        <w:rPr>
          <w:rFonts w:ascii="Verdana" w:eastAsia="Calibri" w:hAnsi="Verdana" w:cs="Arial"/>
          <w:color w:val="000000"/>
          <w:vertAlign w:val="superscript"/>
          <w:lang w:val="es-MX"/>
        </w:rPr>
        <w:footnoteReference w:id="16"/>
      </w:r>
      <w:r w:rsidRPr="0060163E">
        <w:rPr>
          <w:rFonts w:ascii="Verdana" w:eastAsia="Calibri" w:hAnsi="Verdana" w:cs="Arial"/>
          <w:color w:val="000000"/>
          <w:lang w:val="es-MX"/>
        </w:rPr>
        <w:t>.</w:t>
      </w:r>
    </w:p>
    <w:p w14:paraId="3229A781" w14:textId="77777777" w:rsidR="003356D7" w:rsidRPr="0060163E" w:rsidRDefault="003356D7" w:rsidP="003356D7">
      <w:pPr>
        <w:spacing w:after="120" w:line="276" w:lineRule="auto"/>
        <w:ind w:firstLine="709"/>
        <w:jc w:val="both"/>
        <w:rPr>
          <w:rFonts w:ascii="Verdana" w:eastAsia="Calibri" w:hAnsi="Verdana" w:cs="Arial"/>
          <w:color w:val="000000"/>
          <w:lang w:val="es-MX"/>
        </w:rPr>
      </w:pPr>
      <w:r w:rsidRPr="0060163E">
        <w:rPr>
          <w:rFonts w:ascii="Verdana" w:eastAsia="Calibri" w:hAnsi="Verdana" w:cs="Arial"/>
          <w:color w:val="000000"/>
          <w:lang w:val="es-MX"/>
        </w:rPr>
        <w:lastRenderedPageBreak/>
        <w:t>Las definiciones del nivel “directivo” y del nivel “asesor”, en los Decretos citados, están claramente diferenciadas, por lo cual el nivel directivo no es equivalente al nivel asesor, son diferentes y comprenden funciones generales que no se asimilan entre sí, y se dividen de acuerdo con lo requerido para cada cargo</w:t>
      </w:r>
      <w:r w:rsidRPr="0060163E">
        <w:rPr>
          <w:rFonts w:ascii="Verdana" w:eastAsia="Calibri" w:hAnsi="Verdana" w:cs="Arial"/>
          <w:color w:val="000000"/>
          <w:vertAlign w:val="superscript"/>
          <w:lang w:val="es-MX"/>
        </w:rPr>
        <w:footnoteReference w:id="17"/>
      </w:r>
      <w:r w:rsidRPr="0060163E">
        <w:rPr>
          <w:rFonts w:ascii="Verdana" w:eastAsia="Calibri" w:hAnsi="Verdana" w:cs="Arial"/>
          <w:color w:val="000000"/>
          <w:lang w:val="es-MX"/>
        </w:rPr>
        <w:t>.</w:t>
      </w:r>
    </w:p>
    <w:p w14:paraId="030BC686" w14:textId="77777777" w:rsidR="003356D7" w:rsidRPr="0060163E" w:rsidRDefault="003356D7" w:rsidP="003356D7">
      <w:pPr>
        <w:spacing w:before="120" w:after="120" w:line="276" w:lineRule="auto"/>
        <w:ind w:firstLine="708"/>
        <w:jc w:val="both"/>
        <w:rPr>
          <w:rFonts w:ascii="Verdana" w:eastAsia="Calibri" w:hAnsi="Verdana" w:cs="Arial"/>
          <w:color w:val="000000"/>
          <w:lang w:val="es-MX"/>
        </w:rPr>
      </w:pPr>
      <w:r w:rsidRPr="0060163E">
        <w:rPr>
          <w:rFonts w:ascii="Verdana" w:eastAsia="Calibri" w:hAnsi="Verdana" w:cs="Arial"/>
          <w:color w:val="000000"/>
          <w:lang w:val="es-MX"/>
        </w:rPr>
        <w:t xml:space="preserve">En esta medida, considerando las modificaciones introducidas por normas posteriores, ha desaparecido la referencia al nivel ejecutivo dentro de las plantas de cargos de las entidades públicas. Por tanto, la restricción prevista </w:t>
      </w:r>
      <w:r w:rsidRPr="0060163E">
        <w:rPr>
          <w:rFonts w:ascii="Verdana" w:eastAsia="Calibri" w:hAnsi="Verdana" w:cs="Arial"/>
          <w:lang w:val="es-ES_tradnl"/>
        </w:rPr>
        <w:t>en el artículo 8, literal b) del numeral 2, de la Ley 80 de 1993 se aplica especialmente a los parientes de los servidores públicos de los niveles directivo y asesor.</w:t>
      </w:r>
      <w:r w:rsidRPr="0060163E">
        <w:rPr>
          <w:rFonts w:ascii="Verdana" w:eastAsia="Calibri" w:hAnsi="Verdana" w:cs="Arial"/>
          <w:color w:val="000000"/>
          <w:lang w:val="es-MX"/>
        </w:rPr>
        <w:t xml:space="preserve"> </w:t>
      </w:r>
    </w:p>
    <w:p w14:paraId="75CBC12B" w14:textId="77777777" w:rsidR="003356D7" w:rsidRPr="0060163E" w:rsidRDefault="003356D7" w:rsidP="003356D7">
      <w:pPr>
        <w:spacing w:after="120" w:line="276" w:lineRule="auto"/>
        <w:ind w:firstLine="709"/>
        <w:jc w:val="both"/>
        <w:rPr>
          <w:rFonts w:ascii="Verdana" w:eastAsia="Calibri" w:hAnsi="Verdana" w:cs="Arial"/>
          <w:lang w:val="es-ES_tradnl"/>
        </w:rPr>
      </w:pPr>
      <w:r w:rsidRPr="0060163E">
        <w:rPr>
          <w:rFonts w:ascii="Verdana" w:eastAsia="Calibri" w:hAnsi="Verdana" w:cs="Arial"/>
          <w:color w:val="000000"/>
          <w:lang w:val="es-MX"/>
        </w:rPr>
        <w:t xml:space="preserve">Igualmente, esta inhabilidad aplica a los familiares de </w:t>
      </w:r>
      <w:r w:rsidRPr="0060163E">
        <w:rPr>
          <w:rFonts w:ascii="Verdana" w:eastAsia="Calibri" w:hAnsi="Verdana" w:cs="Arial"/>
          <w:lang w:val="es-ES_tradnl"/>
        </w:rPr>
        <w:t xml:space="preserve">los miembros de la junta o consejo directivo. Teniendo en cuenta que el artículo 4 de los Decretos 770 y 785 de 2005 dispone que el nivel directivo “Comprende los empleos a los cuales corresponden funciones de Dirección General, de formulación de políticas institucionales y de adopción de planes, programas y proyectos”. La Corte </w:t>
      </w:r>
      <w:r w:rsidRPr="0060163E">
        <w:rPr>
          <w:rFonts w:ascii="Verdana" w:eastAsia="Calibri" w:hAnsi="Verdana" w:cs="Arial"/>
          <w:lang w:val="es-ES_tradnl"/>
        </w:rPr>
        <w:lastRenderedPageBreak/>
        <w:t>Constitucional en la decisión anteriormente citada explica que los miembros de las juntas o consejos directivos de establecimientos públicos, sociedades comerciales del Estado, empresas industriales y comerciales del Estado y sociedades de economía mixta, pertenecen a esta categoría de empleos. Además, también aplica a los parientes de las personas que ejerzan el control interno o fiscal de la entidad contratante</w:t>
      </w:r>
      <w:r w:rsidRPr="0060163E">
        <w:rPr>
          <w:rFonts w:ascii="Verdana" w:eastAsia="Calibri" w:hAnsi="Verdana" w:cs="Arial"/>
          <w:vertAlign w:val="superscript"/>
          <w:lang w:val="es-ES_tradnl"/>
        </w:rPr>
        <w:footnoteReference w:id="18"/>
      </w:r>
      <w:r w:rsidRPr="0060163E">
        <w:rPr>
          <w:rFonts w:ascii="Verdana" w:eastAsia="Calibri" w:hAnsi="Verdana" w:cs="Arial"/>
          <w:lang w:val="es-ES_tradnl"/>
        </w:rPr>
        <w:t>.</w:t>
      </w:r>
    </w:p>
    <w:p w14:paraId="24BE7B32" w14:textId="77777777" w:rsidR="003356D7" w:rsidRPr="0060163E" w:rsidRDefault="003356D7" w:rsidP="003356D7">
      <w:pPr>
        <w:spacing w:before="120" w:after="120" w:line="276" w:lineRule="auto"/>
        <w:ind w:firstLine="708"/>
        <w:jc w:val="both"/>
        <w:rPr>
          <w:rFonts w:ascii="Verdana" w:eastAsia="Calibri" w:hAnsi="Verdana" w:cs="Arial"/>
          <w:lang w:val="es-ES_tradnl"/>
        </w:rPr>
      </w:pPr>
      <w:r w:rsidRPr="0060163E">
        <w:rPr>
          <w:rFonts w:ascii="Verdana" w:eastAsia="Calibri" w:hAnsi="Verdana" w:cs="Arial"/>
          <w:color w:val="000000"/>
          <w:lang w:val="es-MX"/>
        </w:rPr>
        <w:t xml:space="preserve">Naturalmente, la restricción no aplica a todos los familiares sino a los parientes “[…] </w:t>
      </w:r>
      <w:r w:rsidRPr="0060163E">
        <w:rPr>
          <w:rFonts w:ascii="Verdana" w:eastAsia="Calibri" w:hAnsi="Verdana" w:cs="Arial"/>
          <w:lang w:val="es-ES_tradnl"/>
        </w:rPr>
        <w:t xml:space="preserve">hasta el segundo grado de consanguinidad, segundo de afinidad o primero civil […]”. De acuerdo con el objeto de la consulta, el parentesco por consanguinidad para la prohibición se restringe a los padres, hijos, abuelos, nietos y hermanos conforme a las definiciones de los artículos 35 y siguientes del Código Civil. Lo anterior, sin que pueda extenderse del tercer grado de consanguinidad en adelante, ya que no es posible la interpretación extensiva. </w:t>
      </w:r>
    </w:p>
    <w:p w14:paraId="3A88FF36" w14:textId="77777777" w:rsidR="003356D7" w:rsidRPr="0060163E" w:rsidRDefault="003356D7" w:rsidP="003356D7">
      <w:pPr>
        <w:spacing w:after="120" w:line="276" w:lineRule="auto"/>
        <w:ind w:firstLine="709"/>
        <w:jc w:val="both"/>
        <w:rPr>
          <w:rFonts w:ascii="Verdana" w:eastAsia="Calibri" w:hAnsi="Verdana" w:cs="Arial"/>
          <w:lang w:val="es-ES_tradnl"/>
        </w:rPr>
      </w:pPr>
      <w:r>
        <w:rPr>
          <w:rFonts w:ascii="Verdana" w:eastAsia="Calibri" w:hAnsi="Verdana" w:cs="Arial"/>
          <w:lang w:val="es-ES_tradnl"/>
        </w:rPr>
        <w:t>Esta restricción</w:t>
      </w:r>
      <w:r w:rsidRPr="0060163E">
        <w:rPr>
          <w:rFonts w:ascii="Verdana" w:eastAsia="Calibri" w:hAnsi="Verdana" w:cs="Arial"/>
          <w:lang w:val="es-ES_tradnl"/>
        </w:rPr>
        <w:t xml:space="preserve"> es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tanto para las entidades sometidas al EGCAP como a las del régimen exceptuado</w:t>
      </w:r>
      <w:r w:rsidRPr="0060163E">
        <w:rPr>
          <w:rFonts w:ascii="Verdana" w:eastAsia="Calibri" w:hAnsi="Verdana" w:cs="Arial"/>
          <w:vertAlign w:val="superscript"/>
          <w:lang w:val="es-ES_tradnl"/>
        </w:rPr>
        <w:footnoteReference w:id="19"/>
      </w:r>
      <w:r w:rsidRPr="0060163E">
        <w:rPr>
          <w:rFonts w:ascii="Verdana" w:eastAsia="Calibri" w:hAnsi="Verdana" w:cs="Arial"/>
          <w:lang w:val="es-ES_tradnl"/>
        </w:rPr>
        <w:t xml:space="preserve">. No obstante, considerando que –conforme al artículo 8, literal a) del numeral 1, de la Ley 80 de 1993– las personas que se hallen inhabilitadas para contratar por la Constitución y las leyes no pueden participar en procedimientos de selección ni celebrar contratos, el inciso tercero del artículo 49 de la Ley 617 de 2000 –modificado por las Leyes 821 de 2003, 1148 de 2007 y 1296 de 2009– introduce una </w:t>
      </w:r>
      <w:r w:rsidRPr="0060163E">
        <w:rPr>
          <w:rFonts w:ascii="Verdana" w:eastAsia="Calibri" w:hAnsi="Verdana" w:cs="Arial"/>
          <w:i/>
          <w:iCs/>
          <w:lang w:val="es-ES_tradnl"/>
        </w:rPr>
        <w:t>regla especial</w:t>
      </w:r>
      <w:r w:rsidRPr="0060163E">
        <w:rPr>
          <w:rFonts w:ascii="Verdana" w:eastAsia="Calibri" w:hAnsi="Verdana" w:cs="Arial"/>
          <w:lang w:val="es-ES_tradnl"/>
        </w:rPr>
        <w:t xml:space="preserve"> que restringe la contratación de las gobernaciones, asambleas, alcaldías y concejos. Conforme a esta restricción, “Los cónyuges o compañeros permanentes de los </w:t>
      </w:r>
      <w:r w:rsidRPr="0060163E">
        <w:rPr>
          <w:rFonts w:ascii="Verdana" w:eastAsia="Calibri" w:hAnsi="Verdana" w:cs="Arial"/>
          <w:lang w:val="es-ES_tradnl"/>
        </w:rPr>
        <w:lastRenderedPageBreak/>
        <w:t>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w:t>
      </w:r>
      <w:r w:rsidRPr="0060163E">
        <w:rPr>
          <w:rFonts w:ascii="Verdana" w:eastAsia="Calibri" w:hAnsi="Verdana" w:cs="Arial"/>
          <w:vertAlign w:val="superscript"/>
          <w:lang w:val="es-ES_tradnl"/>
        </w:rPr>
        <w:footnoteReference w:id="20"/>
      </w:r>
      <w:r w:rsidRPr="0060163E">
        <w:rPr>
          <w:rFonts w:ascii="Verdana" w:eastAsia="Calibri" w:hAnsi="Verdana" w:cs="Arial"/>
          <w:lang w:val="es-ES_tradnl"/>
        </w:rPr>
        <w:t>.</w:t>
      </w:r>
    </w:p>
    <w:p w14:paraId="34B3907C" w14:textId="77777777" w:rsidR="003356D7" w:rsidRPr="0060163E" w:rsidRDefault="003356D7" w:rsidP="003356D7">
      <w:pPr>
        <w:spacing w:before="120" w:after="120" w:line="276" w:lineRule="auto"/>
        <w:ind w:firstLine="708"/>
        <w:jc w:val="both"/>
        <w:rPr>
          <w:rFonts w:ascii="Verdana" w:eastAsia="Calibri" w:hAnsi="Verdana" w:cs="Arial"/>
          <w:color w:val="000000"/>
          <w:lang w:val="es-MX"/>
        </w:rPr>
      </w:pPr>
      <w:r w:rsidRPr="0060163E">
        <w:rPr>
          <w:rFonts w:ascii="Verdana" w:eastAsia="Calibri" w:hAnsi="Verdana" w:cs="Arial"/>
          <w:lang w:val="es-ES_tradnl"/>
        </w:rPr>
        <w:t xml:space="preserve">Esta prohibición de contratación directa e indirecta es una redacción común en otras inhabilidades e incompatibilidades. Por ejemplo, el inciso primero del artículo 127 superior dispone que “Los servidores públicos no podrán celebrar, por sí o por interpuesta persona, o en representación de otro, contrato alguno con entidades públicas o con personas privadas que manejen o administren recursos públicos, salvo las excepciones legales”. Igualmente, el inciso primero del literal f) numeral 2 del artículo 8 de la Ley 80 de 1993 prescribe que no podrán participar en procesos de selección ni celebrar contratos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w:t>
      </w:r>
    </w:p>
    <w:p w14:paraId="67BAC507" w14:textId="77777777" w:rsidR="003356D7" w:rsidRPr="0060163E" w:rsidRDefault="003356D7" w:rsidP="003356D7">
      <w:pPr>
        <w:spacing w:before="120" w:after="120" w:line="276" w:lineRule="auto"/>
        <w:ind w:firstLine="708"/>
        <w:jc w:val="both"/>
        <w:rPr>
          <w:rFonts w:ascii="Verdana" w:eastAsia="Calibri" w:hAnsi="Verdana" w:cs="Arial"/>
          <w:color w:val="000000"/>
          <w:lang w:val="es-MX"/>
        </w:rPr>
      </w:pPr>
      <w:r w:rsidRPr="0060163E">
        <w:rPr>
          <w:rFonts w:ascii="Verdana" w:eastAsia="Calibri" w:hAnsi="Verdana" w:cs="Arial"/>
          <w:color w:val="000000"/>
          <w:lang w:val="es-MX"/>
        </w:rPr>
        <w:t xml:space="preserve">Lo importante es que la regla </w:t>
      </w:r>
      <w:r w:rsidRPr="0060163E">
        <w:rPr>
          <w:rFonts w:ascii="Verdana" w:eastAsia="Calibri" w:hAnsi="Verdana" w:cs="Arial"/>
          <w:lang w:val="es-ES_tradnl"/>
        </w:rPr>
        <w:t>del artículo 49, inciso tercero, de la Ley 617 de 2000</w:t>
      </w:r>
      <w:r w:rsidRPr="0060163E">
        <w:rPr>
          <w:rFonts w:ascii="Verdana" w:eastAsia="Calibri" w:hAnsi="Verdana" w:cs="Arial"/>
          <w:color w:val="000000"/>
          <w:lang w:val="es-MX"/>
        </w:rPr>
        <w:t xml:space="preserve"> aplica a una porción de entidades y funcionarios cuyos contratos se someten a la Ley 80 de 1993. En efecto, conforme al literal a) del artículo 2.1 del Estatuto General de Contratación, los departamentos y los municipios se consideran entidades estatales para efectos de este régimen contractual. Esto es congruente con el literal a) del artículo 2.2 </w:t>
      </w:r>
      <w:r w:rsidRPr="0060163E">
        <w:rPr>
          <w:rFonts w:ascii="Verdana" w:eastAsia="Calibri" w:hAnsi="Verdana" w:cs="Arial"/>
          <w:i/>
          <w:iCs/>
          <w:color w:val="000000"/>
          <w:lang w:val="es-MX"/>
        </w:rPr>
        <w:t>ibidem</w:t>
      </w:r>
      <w:r w:rsidRPr="0060163E">
        <w:rPr>
          <w:rFonts w:ascii="Verdana" w:eastAsia="Calibri" w:hAnsi="Verdana" w:cs="Arial"/>
          <w:color w:val="000000"/>
          <w:lang w:val="es-MX"/>
        </w:rPr>
        <w:t xml:space="preserve"> al definir los servidores públicos como “Las personas naturales que prestan sus servicios dependientes a los organismos y entidades de que trata este artículo”, como es el caso de los gobernadores y los alcaldes.</w:t>
      </w:r>
    </w:p>
    <w:p w14:paraId="03259189" w14:textId="77777777" w:rsidR="003356D7" w:rsidRPr="0060163E" w:rsidRDefault="003356D7" w:rsidP="003356D7">
      <w:pPr>
        <w:spacing w:before="120" w:after="120" w:line="276" w:lineRule="auto"/>
        <w:ind w:firstLine="708"/>
        <w:jc w:val="both"/>
        <w:rPr>
          <w:rFonts w:ascii="Verdana" w:eastAsia="Calibri" w:hAnsi="Verdana" w:cs="Arial"/>
          <w:color w:val="000000"/>
          <w:lang w:val="es-MX"/>
        </w:rPr>
      </w:pPr>
      <w:r w:rsidRPr="0060163E">
        <w:rPr>
          <w:rFonts w:ascii="Verdana" w:eastAsia="Calibri" w:hAnsi="Verdana" w:cs="Arial"/>
          <w:color w:val="000000"/>
          <w:lang w:val="es-MX"/>
        </w:rPr>
        <w:t xml:space="preserve">Por lo demás, aunque el artículo 2.1 de la Ley 80 de 1993 no se refiere explícitamente a los concejos municipales ni a las asambleas departamentales, estos organismos también se sujetan al Estatuto General de Contratación. Lo </w:t>
      </w:r>
      <w:r w:rsidRPr="0060163E">
        <w:rPr>
          <w:rFonts w:ascii="Verdana" w:eastAsia="Calibri" w:hAnsi="Verdana" w:cs="Arial"/>
          <w:color w:val="000000"/>
          <w:lang w:val="es-MX"/>
        </w:rPr>
        <w:lastRenderedPageBreak/>
        <w:t>anterior en la medida que el literal b) de la norma citada también califica como como entidades estatales a “[…] los organismos o dependencias del Estado a los que la ley otorgue capacidad para celebrar contratos”</w:t>
      </w:r>
      <w:r w:rsidRPr="0060163E">
        <w:rPr>
          <w:rFonts w:ascii="Verdana" w:eastAsia="Calibri" w:hAnsi="Verdana" w:cs="Arial"/>
          <w:color w:val="000000"/>
          <w:vertAlign w:val="superscript"/>
          <w:lang w:val="es-MX"/>
        </w:rPr>
        <w:footnoteReference w:id="21"/>
      </w:r>
      <w:r w:rsidRPr="0060163E">
        <w:rPr>
          <w:rFonts w:ascii="Verdana" w:eastAsia="Calibri" w:hAnsi="Verdana" w:cs="Arial"/>
          <w:color w:val="000000"/>
          <w:lang w:val="es-MX"/>
        </w:rPr>
        <w:t xml:space="preserve">. Lo mismo sucede con la calificación de los concejales y los diputados como servidores públicos, pues el literal b) del artículo 2.2 del Estatuto General asigna esta calidad a los “Los miembros de las corporaciones públicas que tengan capacidad para celebrar contratos en representación de éstas”.  </w:t>
      </w:r>
    </w:p>
    <w:p w14:paraId="534CEF23" w14:textId="77777777" w:rsidR="003356D7" w:rsidRPr="0060163E" w:rsidRDefault="003356D7" w:rsidP="003356D7">
      <w:pPr>
        <w:spacing w:before="120" w:after="120" w:line="276" w:lineRule="auto"/>
        <w:ind w:firstLine="708"/>
        <w:jc w:val="both"/>
        <w:rPr>
          <w:rFonts w:ascii="Verdana" w:eastAsia="Calibri" w:hAnsi="Verdana" w:cs="Arial"/>
          <w:lang w:val="es-ES_tradnl"/>
        </w:rPr>
      </w:pPr>
      <w:r w:rsidRPr="0060163E">
        <w:rPr>
          <w:rFonts w:ascii="Verdana" w:eastAsia="Calibri" w:hAnsi="Verdana" w:cs="Arial"/>
          <w:color w:val="000000"/>
          <w:lang w:val="es-MX"/>
        </w:rPr>
        <w:t xml:space="preserve">En principio, todas las entidades y funcionarios del artículo 2 de la Ley 80 de 1993 se rigen por las causales de inhabilidad del artículo 8 </w:t>
      </w:r>
      <w:r w:rsidRPr="0060163E">
        <w:rPr>
          <w:rFonts w:ascii="Verdana" w:eastAsia="Calibri" w:hAnsi="Verdana" w:cs="Arial"/>
          <w:i/>
          <w:iCs/>
          <w:color w:val="000000"/>
          <w:lang w:val="es-MX"/>
        </w:rPr>
        <w:t>ibidem</w:t>
      </w:r>
      <w:r w:rsidRPr="0060163E">
        <w:rPr>
          <w:rFonts w:ascii="Verdana" w:eastAsia="Calibri" w:hAnsi="Verdana" w:cs="Arial"/>
          <w:color w:val="000000"/>
          <w:lang w:val="es-MX"/>
        </w:rPr>
        <w:t xml:space="preserve">, incluyendo la del literal b) del numeral 2 explicada </w:t>
      </w:r>
      <w:r w:rsidRPr="0060163E">
        <w:rPr>
          <w:rFonts w:ascii="Verdana" w:eastAsia="Calibri" w:hAnsi="Verdana" w:cs="Arial"/>
          <w:i/>
          <w:iCs/>
          <w:color w:val="000000"/>
          <w:lang w:val="es-MX"/>
        </w:rPr>
        <w:t>ut supra</w:t>
      </w:r>
      <w:r w:rsidRPr="0060163E">
        <w:rPr>
          <w:rFonts w:ascii="Verdana" w:eastAsia="Calibri" w:hAnsi="Verdana" w:cs="Arial"/>
          <w:color w:val="000000"/>
          <w:lang w:val="es-MX"/>
        </w:rPr>
        <w:t>. No obstante, la prohibición d</w:t>
      </w:r>
      <w:r w:rsidRPr="0060163E">
        <w:rPr>
          <w:rFonts w:ascii="Verdana" w:eastAsia="Calibri" w:hAnsi="Verdana" w:cs="Arial"/>
          <w:lang w:val="es-ES_tradnl"/>
        </w:rPr>
        <w:t xml:space="preserve">el citado inciso tercero del artículo 49 de la Ley 617 de 2000 constituye una </w:t>
      </w:r>
      <w:r w:rsidRPr="0060163E">
        <w:rPr>
          <w:rFonts w:ascii="Verdana" w:eastAsia="Calibri" w:hAnsi="Verdana" w:cs="Arial"/>
          <w:i/>
          <w:iCs/>
          <w:lang w:val="es-ES_tradnl"/>
        </w:rPr>
        <w:t>regla especial</w:t>
      </w:r>
      <w:r w:rsidRPr="0060163E">
        <w:rPr>
          <w:rFonts w:ascii="Verdana" w:eastAsia="Calibri" w:hAnsi="Verdana" w:cs="Arial"/>
          <w:lang w:val="es-ES_tradnl"/>
        </w:rPr>
        <w:t xml:space="preserve"> que restringe la capacidad de contractual de las personas más allegadas a los gobernadores, diputados, alcaldes y concejales, una parte de los funcionarios sometidos al EGCAP.</w:t>
      </w:r>
    </w:p>
    <w:p w14:paraId="497EFEAA" w14:textId="77777777" w:rsidR="003356D7" w:rsidRPr="0060163E" w:rsidRDefault="003356D7" w:rsidP="003356D7">
      <w:pPr>
        <w:spacing w:after="120" w:line="276" w:lineRule="auto"/>
        <w:ind w:firstLine="709"/>
        <w:jc w:val="both"/>
        <w:rPr>
          <w:rFonts w:ascii="Verdana" w:eastAsia="Calibri" w:hAnsi="Verdana" w:cs="Arial"/>
          <w:color w:val="000000"/>
          <w:lang w:val="es-ES"/>
        </w:rPr>
      </w:pPr>
      <w:r w:rsidRPr="0060163E">
        <w:rPr>
          <w:rFonts w:ascii="Verdana" w:eastAsia="Calibri" w:hAnsi="Verdana" w:cs="Arial"/>
          <w:color w:val="000000" w:themeColor="text1"/>
          <w:lang w:val="es-ES"/>
        </w:rPr>
        <w:t xml:space="preserve">De forma enunciativa, existen semejanzas y diferencias entre el artículo 8, literal b) del numeral 2, de la Ley 80 de 1993 y el artículo 49, inciso tercero, de la Ley 617 de 2000. En lo que respecta a las semejanzas, ambas normas prohíben la “celebración” o “suscripción” de contratos con las personas mencionadas en ellas. Estas expresiones son sinónimas, pues –en los términos del art. 41, inciso primero y cuarto, de la Ley 80 de 1993, así como del art. 2, literal d) del numeral 5, de la Ley 1150 de 2007– con el perfeccionamiento del contrato estatal se adquiere la calidad proscrita. Incluso, mucho menos es </w:t>
      </w:r>
      <w:r w:rsidRPr="0060163E">
        <w:rPr>
          <w:rFonts w:ascii="Verdana" w:eastAsia="Calibri" w:hAnsi="Verdana" w:cs="Arial"/>
          <w:color w:val="000000" w:themeColor="text1"/>
          <w:lang w:val="es-ES"/>
        </w:rPr>
        <w:lastRenderedPageBreak/>
        <w:t>posible “ejecutarlo” porque se trata de una etapa posterior a su “celebración” o “suscripción”. Por ello, en caso de que la inhabilidad se configure después de agotado el procedimiento de selección y el perfeccionamiento del contrato, el inciso primero del artículo 9 de la Ley 80 de 1993 dispone que “Si llegare a sobrevenir inhabilidad o incompatibilidad en el contratista, este cederá el contrato previa autorización escrita de la entidad contratante o, si ello no fuere posible, renunciará a su ejecución”.</w:t>
      </w:r>
    </w:p>
    <w:p w14:paraId="27FC8E49" w14:textId="77777777" w:rsidR="003356D7" w:rsidRPr="0060163E" w:rsidRDefault="003356D7" w:rsidP="003356D7">
      <w:pPr>
        <w:spacing w:after="120" w:line="276" w:lineRule="auto"/>
        <w:ind w:firstLine="709"/>
        <w:jc w:val="both"/>
        <w:rPr>
          <w:rFonts w:ascii="Verdana" w:eastAsia="Calibri" w:hAnsi="Verdana" w:cs="Arial"/>
          <w:color w:val="000000"/>
          <w:lang w:val="es-ES_tradnl"/>
        </w:rPr>
      </w:pPr>
      <w:r w:rsidRPr="0060163E">
        <w:rPr>
          <w:rFonts w:ascii="Verdana" w:eastAsia="Calibri" w:hAnsi="Verdana" w:cs="Arial"/>
          <w:color w:val="000000"/>
          <w:lang w:val="es-ES_tradnl"/>
        </w:rPr>
        <w:t>La prohibición del artículo 49, inciso tercero, de la Ley 617 de 2000 aplica a los cónyuges o compañeros permanentes de los gobernadores, diputados, alcaldes o concejales, así como a sus parientes dentro del cuarto grado de consanguinidad, segundo de afinidad o primero civil, quienes no podrán celebrar contratos directa ni indirectamente con el departamento, distrito o municipio, o con sus entidades descentralizadas.</w:t>
      </w:r>
    </w:p>
    <w:p w14:paraId="1EEB47C9" w14:textId="77777777" w:rsidR="003356D7" w:rsidRPr="0060163E" w:rsidRDefault="003356D7" w:rsidP="003356D7">
      <w:pPr>
        <w:spacing w:before="120" w:after="120" w:line="276" w:lineRule="auto"/>
        <w:ind w:firstLine="708"/>
        <w:jc w:val="both"/>
        <w:rPr>
          <w:rFonts w:ascii="Verdana" w:eastAsia="Calibri" w:hAnsi="Verdana" w:cs="Arial"/>
          <w:lang w:val="es-ES"/>
        </w:rPr>
      </w:pPr>
      <w:r w:rsidRPr="0060163E">
        <w:rPr>
          <w:rFonts w:ascii="Verdana" w:eastAsia="Calibri" w:hAnsi="Verdana" w:cs="Arial"/>
          <w:lang w:val="es-ES"/>
        </w:rPr>
        <w:t>Dentro de este contexto, para efectos de la consulta, el problema jurídico consiste e</w:t>
      </w:r>
      <w:r>
        <w:rPr>
          <w:rFonts w:ascii="Verdana" w:eastAsia="Calibri" w:hAnsi="Verdana" w:cs="Arial"/>
          <w:lang w:val="es-ES"/>
        </w:rPr>
        <w:t>n determinar el alcance de la restricción</w:t>
      </w:r>
      <w:r w:rsidRPr="0060163E">
        <w:rPr>
          <w:rFonts w:ascii="Verdana" w:eastAsia="Calibri" w:hAnsi="Verdana" w:cs="Arial"/>
          <w:lang w:val="es-ES"/>
        </w:rPr>
        <w:t xml:space="preserve"> dispuesta en la Ley 617 en torno a los concejales. Esto considerando, por un lado, que la referencia a estos funcionarios está expresamente prevista en el artículo 49, inciso tercero, de la Ley 617 de 2000 y, por otro, que estos también son funcionarios del nivel directivo dentro del supuesto del artículo 8, literal b) del numeral 2, de la Ley 80 de 1993.   </w:t>
      </w:r>
    </w:p>
    <w:p w14:paraId="432DA583" w14:textId="77777777" w:rsidR="003356D7" w:rsidRPr="0060163E" w:rsidRDefault="003356D7" w:rsidP="003356D7">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Antes del 9 de octubre de 2000, la prohibición aplicable sería la del artículo 8, literal b) del numeral 2, de la Ley 80 de 1993, pues es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en materia de inhabilidades e incompatibilidades para la contratación de las entidades sometidas a la Ley 80 de 1993. Sin embargo, con el artículo 49 de la Ley 617 surge una </w:t>
      </w:r>
      <w:r w:rsidRPr="0060163E">
        <w:rPr>
          <w:rFonts w:ascii="Verdana" w:eastAsia="Calibri" w:hAnsi="Verdana" w:cs="Arial"/>
          <w:i/>
          <w:iCs/>
          <w:lang w:val="es-ES_tradnl"/>
        </w:rPr>
        <w:t>regla especial</w:t>
      </w:r>
      <w:r w:rsidRPr="0060163E">
        <w:rPr>
          <w:rFonts w:ascii="Verdana" w:eastAsia="Calibri" w:hAnsi="Verdana" w:cs="Arial"/>
          <w:lang w:val="es-ES_tradnl"/>
        </w:rPr>
        <w:t xml:space="preserve">, la cual se ratifica en las modificaciones posteriores del artículo 1º de las Leyes 821 de 2003, 1148 de 2007 y 1296 de 2009. Según esta regla, aunque los alcaldes sea funcionarios del nivel directivo para los efectos del artículo 8, literal b) del numeral 2, de la Ley 80 de 1993, los cónyuges o compañeros permanentes de los gobernadores, diputados, alcaldes o concejales, así como a sus parientes dentro del cuarto grado de consanguinidad, segundo de afinidad o primero civil, no pueden celebrar contratos directa ni </w:t>
      </w:r>
      <w:r w:rsidRPr="0060163E">
        <w:rPr>
          <w:rFonts w:ascii="Verdana" w:eastAsia="Calibri" w:hAnsi="Verdana" w:cs="Arial"/>
          <w:lang w:val="es-ES_tradnl"/>
        </w:rPr>
        <w:lastRenderedPageBreak/>
        <w:t>indirectamente con el departamento, distrito o municipio, o con sus entidades descentralizadas</w:t>
      </w:r>
      <w:r w:rsidRPr="0060163E">
        <w:rPr>
          <w:rFonts w:ascii="Verdana" w:eastAsia="Calibri" w:hAnsi="Verdana" w:cs="Arial"/>
          <w:vertAlign w:val="superscript"/>
          <w:lang w:val="es-ES_tradnl"/>
        </w:rPr>
        <w:footnoteReference w:id="22"/>
      </w:r>
      <w:r w:rsidRPr="0060163E">
        <w:rPr>
          <w:rFonts w:ascii="Verdana" w:eastAsia="Calibri" w:hAnsi="Verdana" w:cs="Arial"/>
          <w:lang w:val="es-ES_tradnl"/>
        </w:rPr>
        <w:t>.</w:t>
      </w:r>
    </w:p>
    <w:p w14:paraId="493374F8" w14:textId="77777777" w:rsidR="003356D7" w:rsidRPr="0060163E" w:rsidRDefault="003356D7" w:rsidP="003356D7">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Dado que existe un conflicto entre la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y la </w:t>
      </w:r>
      <w:r w:rsidRPr="0060163E">
        <w:rPr>
          <w:rFonts w:ascii="Verdana" w:eastAsia="Calibri" w:hAnsi="Verdana" w:cs="Arial"/>
          <w:i/>
          <w:iCs/>
          <w:lang w:val="es-ES_tradnl"/>
        </w:rPr>
        <w:t>regla especial</w:t>
      </w:r>
      <w:r w:rsidRPr="0060163E">
        <w:rPr>
          <w:rFonts w:ascii="Verdana" w:eastAsia="Calibri" w:hAnsi="Verdana" w:cs="Arial"/>
          <w:lang w:val="es-ES_tradnl"/>
        </w:rPr>
        <w:t xml:space="preserve">, es necesario resolver el problema con fundamento en el artículo 5.1 de la Ley 57 de 1887. Según esta norma, “[…] Si en los Códigos que se adoptan se hallaren algunas disposiciones incompatibles entre sí […] </w:t>
      </w:r>
      <w:r w:rsidRPr="0060163E">
        <w:rPr>
          <w:rFonts w:ascii="Verdana" w:eastAsia="Calibri" w:hAnsi="Verdana" w:cs="Arial"/>
          <w:i/>
          <w:iCs/>
          <w:lang w:val="es-ES_tradnl"/>
        </w:rPr>
        <w:t>La disposición relativa a un asunto especial prefiere a la que tenga carácter general</w:t>
      </w:r>
      <w:r w:rsidRPr="0060163E">
        <w:rPr>
          <w:rFonts w:ascii="Verdana" w:eastAsia="Calibri" w:hAnsi="Verdana" w:cs="Arial"/>
          <w:lang w:val="es-ES_tradnl"/>
        </w:rPr>
        <w:t xml:space="preserve"> […]” (Énfasis fuera de texto). Por tanto, prevalece el artículo 49, inciso tercero, de la Ley 617 de 2000 –</w:t>
      </w:r>
      <w:r w:rsidRPr="0060163E">
        <w:rPr>
          <w:rFonts w:ascii="Verdana" w:eastAsia="Calibri" w:hAnsi="Verdana" w:cs="Arial"/>
          <w:i/>
          <w:iCs/>
          <w:lang w:val="es-ES_tradnl"/>
        </w:rPr>
        <w:t>regla especial</w:t>
      </w:r>
      <w:r w:rsidRPr="0060163E">
        <w:rPr>
          <w:rFonts w:ascii="Verdana" w:eastAsia="Calibri" w:hAnsi="Verdana" w:cs="Arial"/>
          <w:lang w:val="es-ES_tradnl"/>
        </w:rPr>
        <w:t>– sobre el artículo 8, literal b) del numeral 2, de la Ley 80 de 1993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Esto no significa que la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desaparezca definitivamente del ordenamiento jurídico; todo lo contrario, esta aplica en todos los supuestos que regula, con excepción de los previstos en la </w:t>
      </w:r>
      <w:r w:rsidRPr="0060163E">
        <w:rPr>
          <w:rFonts w:ascii="Verdana" w:eastAsia="Calibri" w:hAnsi="Verdana" w:cs="Arial"/>
          <w:i/>
          <w:iCs/>
          <w:lang w:val="es-ES_tradnl"/>
        </w:rPr>
        <w:t>regla especial</w:t>
      </w:r>
      <w:r>
        <w:rPr>
          <w:rFonts w:ascii="Verdana" w:eastAsia="Calibri" w:hAnsi="Verdana" w:cs="Arial"/>
          <w:lang w:val="es-ES_tradnl"/>
        </w:rPr>
        <w:t>. De esta manera, la incompatibilidad</w:t>
      </w:r>
      <w:r w:rsidRPr="0060163E">
        <w:rPr>
          <w:rFonts w:ascii="Verdana" w:eastAsia="Calibri" w:hAnsi="Verdana" w:cs="Arial"/>
          <w:lang w:val="es-ES_tradnl"/>
        </w:rPr>
        <w:t xml:space="preserve"> del artículo 8, literal b) del numeral 2, de la Ley 80 de 1993 aplica a los funcionarios del nivel directivo de todas las entidades del Estado, excluidas las gobernaciones, asambleas, alcaldías y concejos que se rigen por la restricción del artículo 49, inciso tercero, de la Ley 617 de 2000, pues se trata de una antinomia “total – parcial”</w:t>
      </w:r>
      <w:r w:rsidRPr="0060163E">
        <w:rPr>
          <w:rFonts w:ascii="Verdana" w:eastAsia="Calibri" w:hAnsi="Verdana" w:cs="Arial"/>
          <w:vertAlign w:val="superscript"/>
          <w:lang w:val="es-ES_tradnl"/>
        </w:rPr>
        <w:footnoteReference w:id="23"/>
      </w:r>
      <w:r w:rsidRPr="0060163E">
        <w:rPr>
          <w:rFonts w:ascii="Verdana" w:eastAsia="Calibri" w:hAnsi="Verdana" w:cs="Arial"/>
          <w:lang w:val="es-ES_tradnl"/>
        </w:rPr>
        <w:t>.</w:t>
      </w:r>
    </w:p>
    <w:p w14:paraId="561B3AE3" w14:textId="77777777" w:rsidR="003356D7" w:rsidRPr="0060163E" w:rsidRDefault="003356D7" w:rsidP="003356D7">
      <w:pPr>
        <w:spacing w:before="120" w:after="120" w:line="276" w:lineRule="auto"/>
        <w:ind w:firstLine="708"/>
        <w:jc w:val="both"/>
        <w:rPr>
          <w:rFonts w:ascii="Verdana" w:eastAsia="Calibri" w:hAnsi="Verdana" w:cs="Arial"/>
          <w:lang w:val="es-ES"/>
        </w:rPr>
      </w:pPr>
      <w:r w:rsidRPr="0060163E">
        <w:rPr>
          <w:rFonts w:ascii="Verdana" w:eastAsia="Calibri" w:hAnsi="Verdana" w:cs="Arial"/>
          <w:lang w:val="es-ES"/>
        </w:rPr>
        <w:t xml:space="preserve">Por ello, considerando que la </w:t>
      </w:r>
      <w:r w:rsidRPr="0060163E">
        <w:rPr>
          <w:rFonts w:ascii="Verdana" w:eastAsia="Calibri" w:hAnsi="Verdana" w:cs="Arial"/>
          <w:i/>
          <w:iCs/>
          <w:lang w:val="es-ES"/>
        </w:rPr>
        <w:t>regla especial</w:t>
      </w:r>
      <w:r w:rsidRPr="0060163E">
        <w:rPr>
          <w:rFonts w:ascii="Verdana" w:eastAsia="Calibri" w:hAnsi="Verdana" w:cs="Arial"/>
          <w:lang w:val="es-ES"/>
        </w:rPr>
        <w:t xml:space="preserve"> es posterior, el efecto que produce es el de limitar los efectos de la </w:t>
      </w:r>
      <w:r w:rsidRPr="0060163E">
        <w:rPr>
          <w:rFonts w:ascii="Verdana" w:eastAsia="Calibri" w:hAnsi="Verdana" w:cs="Arial"/>
          <w:i/>
          <w:iCs/>
          <w:lang w:val="es-ES"/>
        </w:rPr>
        <w:t>regla general</w:t>
      </w:r>
      <w:r w:rsidRPr="0060163E">
        <w:rPr>
          <w:rFonts w:ascii="Verdana" w:eastAsia="Calibri" w:hAnsi="Verdana" w:cs="Arial"/>
          <w:lang w:val="es-ES"/>
        </w:rPr>
        <w:t xml:space="preserve"> anterior a los casos que no riñan con la primera</w:t>
      </w:r>
      <w:r w:rsidRPr="0060163E">
        <w:rPr>
          <w:rFonts w:ascii="Verdana" w:eastAsia="Calibri" w:hAnsi="Verdana" w:cs="Arial"/>
          <w:vertAlign w:val="superscript"/>
          <w:lang w:val="es-ES"/>
        </w:rPr>
        <w:footnoteReference w:id="24"/>
      </w:r>
      <w:r w:rsidRPr="0060163E">
        <w:rPr>
          <w:rFonts w:ascii="Verdana" w:eastAsia="Calibri" w:hAnsi="Verdana" w:cs="Arial"/>
          <w:lang w:val="es-ES"/>
        </w:rPr>
        <w:t xml:space="preserve">. Desde esta perspectiva, el criterio de </w:t>
      </w:r>
      <w:r w:rsidRPr="0060163E">
        <w:rPr>
          <w:rFonts w:ascii="Verdana" w:eastAsia="Calibri" w:hAnsi="Verdana" w:cs="Arial"/>
          <w:i/>
          <w:iCs/>
          <w:lang w:val="es-ES"/>
        </w:rPr>
        <w:t>lex posterior</w:t>
      </w:r>
      <w:r w:rsidRPr="0060163E">
        <w:rPr>
          <w:rFonts w:ascii="Verdana" w:eastAsia="Calibri" w:hAnsi="Verdana" w:cs="Arial"/>
          <w:lang w:val="es-ES"/>
        </w:rPr>
        <w:t xml:space="preserve"> es un argumento adicional para sostener la prevalencia del artículo 49, inciso </w:t>
      </w:r>
      <w:r w:rsidRPr="0060163E">
        <w:rPr>
          <w:rFonts w:ascii="Verdana" w:eastAsia="Calibri" w:hAnsi="Verdana" w:cs="Arial"/>
          <w:lang w:val="es-ES"/>
        </w:rPr>
        <w:lastRenderedPageBreak/>
        <w:t>tercero, de la Ley 617 de 2000 sobre el artículo 8, literal b) del numeral 2, de la Ley 80 de 1993. Esto en la medida que el artículo 2 de la Ley 153 de 1887 dispone que “La ley posterior prevalece sobre la ley anterior. En caso de que una ley posterior sea contraria a otra anterior, y ambas preexistentes al hecho que se juzga, se aplicará la ley posterior”.</w:t>
      </w:r>
    </w:p>
    <w:p w14:paraId="6DAF0CC6" w14:textId="77777777" w:rsidR="003356D7" w:rsidRPr="0060163E" w:rsidRDefault="003356D7" w:rsidP="003356D7">
      <w:pPr>
        <w:spacing w:before="120" w:after="120" w:line="276" w:lineRule="auto"/>
        <w:ind w:firstLine="708"/>
        <w:jc w:val="both"/>
        <w:rPr>
          <w:rFonts w:ascii="Verdana" w:eastAsia="Calibri" w:hAnsi="Verdana" w:cs="Arial"/>
        </w:rPr>
      </w:pPr>
      <w:r>
        <w:rPr>
          <w:rFonts w:ascii="Verdana" w:eastAsia="Calibri" w:hAnsi="Verdana" w:cs="Arial"/>
          <w:lang w:val="es-ES_tradnl"/>
        </w:rPr>
        <w:t xml:space="preserve">En tal sentido, prevalece la prohibición </w:t>
      </w:r>
      <w:r w:rsidRPr="0060163E">
        <w:rPr>
          <w:rFonts w:ascii="Verdana" w:eastAsia="Calibri" w:hAnsi="Verdana" w:cs="Arial"/>
          <w:lang w:val="es-ES_tradnl"/>
        </w:rPr>
        <w:t xml:space="preserve">dispuesta en el inciso tercero del artículo 49 de la Ley 617 de 2000 que establece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 En otras palabras, </w:t>
      </w:r>
      <w:r w:rsidRPr="0060163E">
        <w:rPr>
          <w:rFonts w:ascii="Verdana" w:eastAsia="Times New Roman" w:hAnsi="Verdana" w:cs="Arial"/>
        </w:rPr>
        <w:t>los cónyuges o compañeros permanentes de los concejales de un municipio y sus parientes dentro del cuarto grado de consanguinidad, primero de afinidad, o único civil no podrán ser contratistas en las entidades del respectivo municipio, ni directa, ni indirectamente, por medio de empresas o sociedades.</w:t>
      </w:r>
    </w:p>
    <w:p w14:paraId="6F8A00DD" w14:textId="77777777" w:rsidR="003356D7" w:rsidRPr="0060163E" w:rsidRDefault="003356D7" w:rsidP="003356D7">
      <w:pPr>
        <w:spacing w:after="120" w:line="276" w:lineRule="auto"/>
        <w:ind w:firstLine="708"/>
        <w:jc w:val="both"/>
        <w:rPr>
          <w:rFonts w:ascii="Verdana" w:eastAsia="Calibri" w:hAnsi="Verdana" w:cs="Arial"/>
          <w:lang w:val="es-ES_tradnl"/>
        </w:rPr>
      </w:pPr>
      <w:r w:rsidRPr="0060163E">
        <w:rPr>
          <w:rFonts w:ascii="Verdana" w:eastAsia="Calibri" w:hAnsi="Verdana" w:cs="Arial"/>
          <w:lang w:val="es-ES_tradnl"/>
        </w:rPr>
        <w:t>La expresión “no puede celebrar contratos de forma directa o indirecta” es importante para comprender dicha inhabilidad, pues, aunque, el artículo 49 de la Ley 617 de 2000 no define su alcance, es posible acercarse a su definición a través de las pautas hermenéuticas del artículo 28 del Código Civil, pues “</w:t>
      </w:r>
      <w:r w:rsidRPr="0060163E">
        <w:rPr>
          <w:rFonts w:ascii="Verdana" w:eastAsia="Calibri" w:hAnsi="Verdana" w:cs="Arial"/>
          <w:i/>
          <w:iCs/>
          <w:lang w:val="es-ES_tradnl"/>
        </w:rPr>
        <w:t>Las palabras de la ley se entenderán en su sentido natural y obvio, según el uso general de las mismas palabras</w:t>
      </w:r>
      <w:r w:rsidRPr="0060163E">
        <w:rPr>
          <w:rFonts w:ascii="Verdana" w:eastAsia="Calibri" w:hAnsi="Verdana" w:cs="Arial"/>
          <w:lang w:val="es-ES_tradnl"/>
        </w:rPr>
        <w:t xml:space="preserve">; pero cuando el legislador las haya definido expresamente para ciertas materias, se les dará en éstas su significado legal” (Énfasis fuera de texto). De esta manera, el diccionario de la Real Academia Española define la palabra “directo” aludiendo a aquello “Que va de una parte a otra sin detenerse en los puntos intermedios”. Por oposición, define la palabra “indirecto” como aquello que “Que no va rectamente a un fin, aunque se encamine a él”. </w:t>
      </w:r>
    </w:p>
    <w:p w14:paraId="1C4FFEB8" w14:textId="77777777" w:rsidR="003356D7" w:rsidRPr="0060163E" w:rsidRDefault="003356D7" w:rsidP="003356D7">
      <w:pPr>
        <w:spacing w:after="120" w:line="276" w:lineRule="auto"/>
        <w:ind w:firstLine="708"/>
        <w:jc w:val="both"/>
        <w:rPr>
          <w:rFonts w:ascii="Verdana" w:eastAsia="Calibri" w:hAnsi="Verdana" w:cs="Arial"/>
          <w:lang w:val="es-ES"/>
        </w:rPr>
      </w:pPr>
      <w:r w:rsidRPr="0060163E">
        <w:rPr>
          <w:rFonts w:ascii="Verdana" w:eastAsia="Calibri" w:hAnsi="Verdana" w:cs="Arial"/>
          <w:lang w:val="es-ES"/>
        </w:rPr>
        <w:t xml:space="preserve">Aplicadas las definiciones a los contratos, estos serán celebrados directa o indirectamente dependiendo si existe o no un intermediario. Si la participación corresponde al mismo interesado estando dentro de las restricciones del artículo 49, inciso tercero, de la Ley 617 de 2000, esta será directa. Por el contrario, si la intervención del mismo sujeto se presenta de forma encubierta o subrepticia, es decir, a través de terceras personas, esta será indirecta. De esta manera, la </w:t>
      </w:r>
      <w:r w:rsidRPr="0060163E">
        <w:rPr>
          <w:rFonts w:ascii="Verdana" w:eastAsia="Calibri" w:hAnsi="Verdana" w:cs="Arial"/>
          <w:lang w:val="es-ES"/>
        </w:rPr>
        <w:lastRenderedPageBreak/>
        <w:t xml:space="preserve">norma citada prohíbe que los parientes, cónyuges y compañeros permanentes de los gobernadores, diputados, alcaldes y concejales, participen en la celebración y ejecución de contratos con el departamento, distrito o municipio, o de sus entidades descentralizadas, bien sea que intervengan a nombre propio o a través de terceros.  </w:t>
      </w:r>
    </w:p>
    <w:p w14:paraId="43EBA9FE" w14:textId="77777777" w:rsidR="003356D7" w:rsidRPr="0060163E" w:rsidRDefault="003356D7" w:rsidP="003356D7">
      <w:pPr>
        <w:spacing w:after="120" w:line="276" w:lineRule="auto"/>
        <w:ind w:firstLine="708"/>
        <w:jc w:val="both"/>
        <w:rPr>
          <w:rFonts w:ascii="Verdana" w:eastAsia="Calibri" w:hAnsi="Verdana" w:cs="Arial"/>
          <w:lang w:val="es-ES_tradnl"/>
        </w:rPr>
      </w:pPr>
      <w:r w:rsidRPr="0060163E">
        <w:rPr>
          <w:rFonts w:ascii="Verdana" w:eastAsia="Calibri" w:hAnsi="Verdana" w:cs="Arial"/>
          <w:lang w:val="es-ES_tradnl"/>
        </w:rPr>
        <w:t xml:space="preserve">Existe </w:t>
      </w:r>
      <w:r w:rsidRPr="0060163E">
        <w:rPr>
          <w:rFonts w:ascii="Verdana" w:eastAsia="Calibri" w:hAnsi="Verdana" w:cs="Arial"/>
          <w:i/>
          <w:iCs/>
          <w:lang w:val="es-ES_tradnl"/>
        </w:rPr>
        <w:t>intervención a nombre propio</w:t>
      </w:r>
      <w:r w:rsidRPr="0060163E">
        <w:rPr>
          <w:rFonts w:ascii="Verdana" w:eastAsia="Calibri" w:hAnsi="Verdana" w:cs="Arial"/>
          <w:lang w:val="es-ES_tradnl"/>
        </w:rPr>
        <w:t xml:space="preserve"> cuando la persona afectada por la restricción del artículo 49, inciso tercero, de la Ley 617 de 2000 pretende participar en la celebración y ejecución del contrato por sí mismo o a través de un representante facultado para el efecto. El primer supuesto no genera dificultad alguna, pues presupone la participación directa del inhabilitado. No obstante, a pesar de que en la segunda hipótesis existe intermediación de un tercero, es necesario tener en cuenta que el artículo 1505 del Código Civil –aplicable a los contratos estatales de las entidades sometidas al Estatuto General de Contratación por remisión de los art. 13, 32 y 40 de la Ley 80 de 1993– dispone que “Lo que una persona ejecuta a nombre de otra, estando facultada por ella o por la ley para representarla, produce respecto del representado iguales efectos que si hubiese contratado él mismo”. Esta norma crea una ficción legal, por la cual la intervención del representante equivale a la que realizaría directamente el mismo representado.</w:t>
      </w:r>
    </w:p>
    <w:p w14:paraId="42E5443F" w14:textId="77777777" w:rsidR="003356D7" w:rsidRPr="0060163E" w:rsidRDefault="003356D7" w:rsidP="003356D7">
      <w:pPr>
        <w:spacing w:after="0" w:line="276" w:lineRule="auto"/>
        <w:ind w:firstLine="708"/>
        <w:jc w:val="both"/>
        <w:rPr>
          <w:rFonts w:ascii="Verdana" w:eastAsia="Calibri" w:hAnsi="Verdana" w:cs="Arial"/>
          <w:lang w:val="es-ES"/>
        </w:rPr>
      </w:pPr>
      <w:r w:rsidRPr="0060163E">
        <w:rPr>
          <w:rFonts w:ascii="Verdana" w:eastAsia="Calibri" w:hAnsi="Verdana" w:cs="Arial"/>
          <w:lang w:val="es-ES"/>
        </w:rPr>
        <w:t xml:space="preserve">En contraste, existe </w:t>
      </w:r>
      <w:r w:rsidRPr="0060163E">
        <w:rPr>
          <w:rFonts w:ascii="Verdana" w:eastAsia="Calibri" w:hAnsi="Verdana" w:cs="Arial"/>
          <w:i/>
          <w:iCs/>
          <w:lang w:val="es-ES"/>
        </w:rPr>
        <w:t>intervención a través de terceros</w:t>
      </w:r>
      <w:r w:rsidRPr="0060163E">
        <w:rPr>
          <w:rFonts w:ascii="Verdana" w:eastAsia="Calibri" w:hAnsi="Verdana" w:cs="Arial"/>
          <w:lang w:val="es-ES"/>
        </w:rPr>
        <w:t xml:space="preserve"> cuando la persona afectada por la restricción del artículo 49, inciso tercero, de la Ley 617 de 2000 pretende participar en la celebración y ejecución del contrato a través de “mandatos ocultos” o en calidad de socio o representante legal de una persona jurídica, sin perjuicio de otras modalidades de participación subrepticia por parte del sujeto inhabilitado</w:t>
      </w:r>
      <w:r w:rsidRPr="0060163E">
        <w:rPr>
          <w:rFonts w:ascii="Verdana" w:eastAsia="Calibri" w:hAnsi="Verdana" w:cs="Arial"/>
          <w:vertAlign w:val="superscript"/>
          <w:lang w:val="es-ES"/>
        </w:rPr>
        <w:footnoteReference w:id="25"/>
      </w:r>
      <w:r w:rsidRPr="0060163E">
        <w:rPr>
          <w:rFonts w:ascii="Verdana" w:eastAsia="Calibri" w:hAnsi="Verdana" w:cs="Arial"/>
          <w:lang w:val="es-ES"/>
        </w:rPr>
        <w:t xml:space="preserve">. En lo que respecta al primer supuesto, es necesario considerar que el mandato no es esencialmente representativo, por lo cual el mandatario no está obligado a expresar que actúa en nombre del mandante. A esto se refiere el artículo 2177 del Código Civil cuando dispone que “El </w:t>
      </w:r>
      <w:r w:rsidRPr="0060163E">
        <w:rPr>
          <w:rFonts w:ascii="Verdana" w:eastAsia="Calibri" w:hAnsi="Verdana" w:cs="Arial"/>
          <w:lang w:val="es-ES"/>
        </w:rPr>
        <w:lastRenderedPageBreak/>
        <w:t xml:space="preserve">mandatario puede, en el ejercicio de su cargo, contestar (sic) a su propio nombre o al del mandante; si contrata a su propio nombre no obliga respecto de terceros al mandante”. De esta manera, la jurisprudencia explica que: </w:t>
      </w:r>
    </w:p>
    <w:p w14:paraId="70780FF5" w14:textId="77777777" w:rsidR="003356D7" w:rsidRPr="0060163E" w:rsidRDefault="003356D7" w:rsidP="003356D7">
      <w:pPr>
        <w:spacing w:after="0" w:line="276" w:lineRule="auto"/>
        <w:ind w:firstLine="708"/>
        <w:jc w:val="both"/>
        <w:rPr>
          <w:rFonts w:ascii="Verdana" w:eastAsia="Calibri" w:hAnsi="Verdana" w:cs="Arial"/>
          <w:lang w:val="es-ES_tradnl"/>
        </w:rPr>
      </w:pPr>
    </w:p>
    <w:p w14:paraId="4909197F" w14:textId="77777777" w:rsidR="003356D7" w:rsidRPr="0060163E" w:rsidRDefault="003356D7" w:rsidP="003356D7">
      <w:pPr>
        <w:spacing w:after="0" w:line="240" w:lineRule="auto"/>
        <w:ind w:left="709" w:right="709"/>
        <w:jc w:val="both"/>
        <w:rPr>
          <w:rFonts w:ascii="Verdana" w:eastAsia="Calibri" w:hAnsi="Verdana" w:cs="Arial"/>
          <w:sz w:val="20"/>
          <w:szCs w:val="20"/>
          <w:lang w:val="es-ES"/>
        </w:rPr>
      </w:pPr>
      <w:r w:rsidRPr="0060163E">
        <w:rPr>
          <w:rFonts w:ascii="Verdana" w:eastAsia="Calibri" w:hAnsi="Verdana" w:cs="Arial"/>
          <w:sz w:val="20"/>
          <w:szCs w:val="20"/>
          <w:lang w:val="es-ES"/>
        </w:rPr>
        <w:t>Cuando el mandato no es representativo, el mandatario es, ante los terceros con quienes contrata, el titular de los derechos y obligaciones que se derivan de los contratos. No pueden ser obligados a tener al mandate como parte del pacto, puesto que, no habiendo representación, es el mandatario quien en éste es realmente parte. Los efectos del mandato se reducen entonces a los que todo contrato produce, que para el caso son: el mandatario queda obligado a transferir al mandante todo el beneficio que de los negocios con terceros derive (artículos 2182 y 2183 del Código Civil); y el mandante, por su parte, debe proveer al mandatario de todo lo necesario para la ejecución del encargo y reembolsarle los gastos razonables que la comisión le imponga (art. 2184 ibidem)</w:t>
      </w:r>
      <w:r w:rsidRPr="0060163E">
        <w:rPr>
          <w:rFonts w:ascii="Verdana" w:eastAsia="Calibri" w:hAnsi="Verdana" w:cs="Arial"/>
          <w:sz w:val="20"/>
          <w:szCs w:val="20"/>
          <w:vertAlign w:val="superscript"/>
          <w:lang w:val="es-ES"/>
        </w:rPr>
        <w:footnoteReference w:id="26"/>
      </w:r>
    </w:p>
    <w:p w14:paraId="7D2401C3" w14:textId="77777777" w:rsidR="003356D7" w:rsidRPr="0060163E" w:rsidRDefault="003356D7" w:rsidP="003356D7">
      <w:pPr>
        <w:spacing w:after="120" w:line="276" w:lineRule="auto"/>
        <w:ind w:firstLine="708"/>
        <w:jc w:val="both"/>
        <w:rPr>
          <w:rFonts w:ascii="Verdana" w:eastAsia="Calibri" w:hAnsi="Verdana" w:cs="Arial"/>
          <w:lang w:val="es-ES_tradnl"/>
        </w:rPr>
      </w:pPr>
    </w:p>
    <w:p w14:paraId="696493DE" w14:textId="77777777" w:rsidR="003356D7" w:rsidRPr="0060163E" w:rsidRDefault="003356D7" w:rsidP="003356D7">
      <w:pPr>
        <w:spacing w:after="120" w:line="276" w:lineRule="auto"/>
        <w:ind w:firstLine="708"/>
        <w:jc w:val="both"/>
        <w:rPr>
          <w:rFonts w:ascii="Verdana" w:eastAsia="Calibri" w:hAnsi="Verdana" w:cs="Arial"/>
          <w:lang w:val="es-ES"/>
        </w:rPr>
      </w:pPr>
      <w:r w:rsidRPr="0060163E">
        <w:rPr>
          <w:rFonts w:ascii="Verdana" w:eastAsia="Calibri" w:hAnsi="Verdana" w:cs="Arial"/>
          <w:lang w:val="es-ES"/>
        </w:rPr>
        <w:t>El artículo 2177 del Código Civil permite que terceros intervengan en el negocio jurídico con el contratante, sin que este último conozca que existe otro sujeto que se beneficia indirectamente de la gestión de los primeros. En este caso, “Han solido distinguir la doctrina y la jurisprudencia foráneas entre interposición real e interposición ficticia o simulada de persona; esta última, cuando el agente no es más que alguien que presta el nombre (</w:t>
      </w:r>
      <w:r w:rsidRPr="0060163E">
        <w:rPr>
          <w:rFonts w:ascii="Verdana" w:eastAsia="Calibri" w:hAnsi="Verdana" w:cs="Arial"/>
          <w:i/>
          <w:iCs/>
          <w:lang w:val="es-ES"/>
        </w:rPr>
        <w:t>nomen commodat</w:t>
      </w:r>
      <w:r w:rsidRPr="0060163E">
        <w:rPr>
          <w:rFonts w:ascii="Verdana" w:eastAsia="Calibri" w:hAnsi="Verdana" w:cs="Arial"/>
          <w:lang w:val="es-ES"/>
        </w:rPr>
        <w:t>): el contrato se celebra en verdad con el contratante real y no con el ficticio, que no cumple otra función que la de figurar […]”</w:t>
      </w:r>
      <w:r w:rsidRPr="0060163E">
        <w:rPr>
          <w:rFonts w:ascii="Verdana" w:eastAsia="Calibri" w:hAnsi="Verdana" w:cs="Arial"/>
          <w:vertAlign w:val="superscript"/>
          <w:lang w:val="es-ES"/>
        </w:rPr>
        <w:footnoteReference w:id="27"/>
      </w:r>
      <w:r w:rsidRPr="0060163E">
        <w:rPr>
          <w:rFonts w:ascii="Verdana" w:eastAsia="Calibri" w:hAnsi="Verdana" w:cs="Arial"/>
          <w:lang w:val="es-ES"/>
        </w:rPr>
        <w:t xml:space="preserve">. Por tanto, el artículo </w:t>
      </w:r>
      <w:r w:rsidRPr="0060163E">
        <w:rPr>
          <w:rFonts w:ascii="Verdana" w:eastAsia="Calibri" w:hAnsi="Verdana" w:cs="Arial"/>
          <w:lang w:val="es-ES"/>
        </w:rPr>
        <w:lastRenderedPageBreak/>
        <w:t xml:space="preserve">49, inciso tercero, de la Ley 617 de 2000 prohíbe que los sujetos inhabilitados se beneficien del contrato estatal a través de intermediarios, quienes participan en su celebración y ejecución para ocultar la gestión realizada por los parientes, cónyuges y compañeros permanentes de los gobernadores, diputados, alcaldes y concejales. </w:t>
      </w:r>
    </w:p>
    <w:p w14:paraId="52899991" w14:textId="77777777" w:rsidR="003356D7" w:rsidRPr="0060163E" w:rsidRDefault="003356D7" w:rsidP="003356D7">
      <w:pPr>
        <w:spacing w:after="120" w:line="276" w:lineRule="auto"/>
        <w:ind w:firstLine="709"/>
        <w:jc w:val="both"/>
        <w:rPr>
          <w:rFonts w:ascii="Verdana" w:eastAsia="Calibri" w:hAnsi="Verdana" w:cs="Arial"/>
          <w:lang w:val="es-ES"/>
        </w:rPr>
      </w:pPr>
      <w:r w:rsidRPr="0060163E">
        <w:rPr>
          <w:rFonts w:ascii="Verdana" w:eastAsia="Calibri" w:hAnsi="Verdana" w:cs="Arial"/>
          <w:lang w:val="es-ES"/>
        </w:rPr>
        <w:t xml:space="preserve">Pese a lo anterior, las personas sujetas a la </w:t>
      </w:r>
      <w:r>
        <w:rPr>
          <w:rFonts w:ascii="Verdana" w:eastAsia="Calibri" w:hAnsi="Verdana" w:cs="Arial"/>
          <w:lang w:val="es-ES"/>
        </w:rPr>
        <w:t xml:space="preserve">incompatibilidad </w:t>
      </w:r>
      <w:r w:rsidRPr="0060163E">
        <w:rPr>
          <w:rFonts w:ascii="Verdana" w:eastAsia="Calibri" w:hAnsi="Verdana" w:cs="Arial"/>
          <w:lang w:val="es-ES"/>
        </w:rPr>
        <w:t xml:space="preserve">del artículo 49, inciso tercero, de la Ley 617 de 2000 también pueden beneficiarse indirectamente en calidad de socios o representantes legales de las personas jurídicas que contratan con el departamento, distrito o municipio, o sus entidades descentralizadas. Aunque el artículo 98, inciso segundo, del Código de Comercio dispone que las sociedades forman una persona jurídica independiente, la participación en los derechos de propiedad o en el direccionamiento estratégico por parte de los sujetos pasivos de la prohibición citada también es una forma de gestión contractual encubierta, la cual está prohibida. </w:t>
      </w:r>
    </w:p>
    <w:p w14:paraId="03D53B6D" w14:textId="77777777" w:rsidR="003356D7" w:rsidRPr="0060163E" w:rsidRDefault="003356D7" w:rsidP="003356D7">
      <w:pPr>
        <w:spacing w:after="0" w:line="276" w:lineRule="auto"/>
        <w:ind w:firstLine="708"/>
        <w:jc w:val="both"/>
        <w:rPr>
          <w:rFonts w:ascii="Verdana" w:eastAsia="Calibri" w:hAnsi="Verdana" w:cs="Arial"/>
          <w:lang w:val="es-ES_tradnl"/>
        </w:rPr>
      </w:pPr>
      <w:r w:rsidRPr="0060163E">
        <w:rPr>
          <w:rFonts w:ascii="Verdana" w:eastAsia="Calibri" w:hAnsi="Verdana" w:cs="Arial"/>
          <w:lang w:val="es-ES_tradnl"/>
        </w:rPr>
        <w:t>Por tanto, los gobernadores, diputados, alcaldes y concejales no pueden celebrar contratos para beneficiar indirectamente a sus parientes, cónyuges y compañeros permanentes cuando son representantes legales de la sociedad, pues la actuación pondría en riesgo el principio de objetividad, igualdad y moralidad administrativa. Cuando estos tengan la calidad de socios, es necesario analizar caso por caso variables adicionales como el tipo societario, su porcentaje de participación, entre otros. De forma meramente ilustrativa, el riesgo para el interés general es dudoso si el socio tiene una participación accionaria ínfima en una sociedad anónima abierta. En un sentido similar, la jurisprudencia también explica que:</w:t>
      </w:r>
    </w:p>
    <w:p w14:paraId="26557FB8" w14:textId="77777777" w:rsidR="003356D7" w:rsidRPr="0060163E" w:rsidRDefault="003356D7" w:rsidP="003356D7">
      <w:pPr>
        <w:spacing w:after="0" w:line="276" w:lineRule="auto"/>
        <w:ind w:firstLine="708"/>
        <w:jc w:val="both"/>
        <w:rPr>
          <w:rFonts w:ascii="Verdana" w:eastAsia="Calibri" w:hAnsi="Verdana" w:cs="Arial"/>
          <w:lang w:val="es-ES_tradnl"/>
        </w:rPr>
      </w:pPr>
    </w:p>
    <w:p w14:paraId="39117562" w14:textId="77777777" w:rsidR="003356D7" w:rsidRPr="0060163E" w:rsidRDefault="003356D7" w:rsidP="003356D7">
      <w:pPr>
        <w:spacing w:after="120" w:line="240" w:lineRule="auto"/>
        <w:ind w:left="709" w:right="709"/>
        <w:jc w:val="both"/>
        <w:rPr>
          <w:rFonts w:ascii="Verdana" w:eastAsia="Calibri" w:hAnsi="Verdana" w:cs="Arial"/>
          <w:sz w:val="20"/>
          <w:szCs w:val="20"/>
          <w:lang w:val="es-ES"/>
        </w:rPr>
      </w:pPr>
      <w:r w:rsidRPr="0060163E">
        <w:rPr>
          <w:rFonts w:ascii="Verdana" w:eastAsia="Calibri" w:hAnsi="Verdana" w:cs="Arial"/>
          <w:sz w:val="20"/>
          <w:szCs w:val="20"/>
          <w:lang w:val="es-ES"/>
        </w:rPr>
        <w:t>[…] el contrato por interpuesta persona se configura mediante sociedades de personas de las que sea socio quien interviene en la negociación, de tal manera que la interpuesta persona es la propia sociedad. En otras palabras, la celebración de contratos bajo esta modalidad implica que quien aparece como contratista, aunque formalmente, aparentemente, figure como tal, en realidad, no es la persona que lo celebra y ejecuta.</w:t>
      </w:r>
    </w:p>
    <w:p w14:paraId="6DD10BA3" w14:textId="77777777" w:rsidR="003356D7" w:rsidRPr="0060163E" w:rsidRDefault="003356D7" w:rsidP="003356D7">
      <w:pPr>
        <w:spacing w:after="120" w:line="240" w:lineRule="auto"/>
        <w:ind w:left="709" w:right="709"/>
        <w:jc w:val="both"/>
        <w:rPr>
          <w:rFonts w:ascii="Verdana" w:eastAsia="Calibri" w:hAnsi="Verdana" w:cs="Arial"/>
          <w:sz w:val="20"/>
          <w:szCs w:val="20"/>
          <w:lang w:val="es-ES_tradnl"/>
        </w:rPr>
      </w:pPr>
      <w:r w:rsidRPr="0060163E">
        <w:rPr>
          <w:rFonts w:ascii="Verdana" w:eastAsia="Calibri" w:hAnsi="Verdana" w:cs="Arial"/>
          <w:sz w:val="20"/>
          <w:szCs w:val="20"/>
          <w:lang w:val="es-ES_tradnl"/>
        </w:rPr>
        <w:lastRenderedPageBreak/>
        <w:t>Tal figura constituye un medio para obtener beneficios que de otra manera no podrían obtenerse o para eludir las inhabilidades o incompatibilidades en las que pueda estar incursa una persona determinada</w:t>
      </w:r>
      <w:r w:rsidRPr="0060163E">
        <w:rPr>
          <w:rFonts w:ascii="Verdana" w:eastAsia="Calibri" w:hAnsi="Verdana" w:cs="Arial"/>
          <w:sz w:val="20"/>
          <w:szCs w:val="20"/>
          <w:vertAlign w:val="superscript"/>
          <w:lang w:val="es-ES_tradnl"/>
        </w:rPr>
        <w:footnoteReference w:id="28"/>
      </w:r>
      <w:r w:rsidRPr="0060163E">
        <w:rPr>
          <w:rFonts w:ascii="Verdana" w:eastAsia="Calibri" w:hAnsi="Verdana" w:cs="Arial"/>
          <w:sz w:val="20"/>
          <w:szCs w:val="20"/>
          <w:lang w:val="es-ES_tradnl"/>
        </w:rPr>
        <w:t>.</w:t>
      </w:r>
    </w:p>
    <w:p w14:paraId="07B860A8" w14:textId="77777777" w:rsidR="003356D7" w:rsidRPr="0060163E" w:rsidRDefault="003356D7" w:rsidP="003356D7">
      <w:pPr>
        <w:spacing w:after="0" w:line="240" w:lineRule="auto"/>
        <w:ind w:firstLine="708"/>
        <w:jc w:val="both"/>
        <w:rPr>
          <w:rFonts w:ascii="Verdana" w:eastAsia="Calibri" w:hAnsi="Verdana" w:cs="Arial"/>
          <w:sz w:val="20"/>
          <w:szCs w:val="20"/>
          <w:lang w:val="es-ES_tradnl"/>
        </w:rPr>
      </w:pPr>
      <w:r w:rsidRPr="0060163E">
        <w:rPr>
          <w:rFonts w:ascii="Verdana" w:eastAsia="Calibri" w:hAnsi="Verdana" w:cs="Arial"/>
          <w:sz w:val="20"/>
          <w:szCs w:val="20"/>
          <w:lang w:val="es-ES_tradnl"/>
        </w:rPr>
        <w:t>Igualmente, considera que:</w:t>
      </w:r>
    </w:p>
    <w:p w14:paraId="4760CAFF" w14:textId="77777777" w:rsidR="003356D7" w:rsidRPr="0060163E" w:rsidRDefault="003356D7" w:rsidP="003356D7">
      <w:pPr>
        <w:spacing w:after="0" w:line="240" w:lineRule="auto"/>
        <w:ind w:firstLine="708"/>
        <w:jc w:val="both"/>
        <w:rPr>
          <w:rFonts w:ascii="Verdana" w:eastAsia="Calibri" w:hAnsi="Verdana" w:cs="Arial"/>
          <w:sz w:val="20"/>
          <w:szCs w:val="20"/>
          <w:lang w:val="es-ES_tradnl"/>
        </w:rPr>
      </w:pPr>
    </w:p>
    <w:p w14:paraId="67587ACA" w14:textId="77777777" w:rsidR="003356D7" w:rsidRPr="0060163E" w:rsidRDefault="003356D7" w:rsidP="003356D7">
      <w:pPr>
        <w:spacing w:after="120" w:line="240" w:lineRule="auto"/>
        <w:ind w:left="709" w:right="709"/>
        <w:jc w:val="both"/>
        <w:rPr>
          <w:rFonts w:ascii="Verdana" w:eastAsia="Arial MT" w:hAnsi="Verdana" w:cs="Arial"/>
          <w:sz w:val="20"/>
          <w:szCs w:val="20"/>
          <w:lang w:val="es-ES"/>
        </w:rPr>
      </w:pPr>
      <w:r w:rsidRPr="0060163E">
        <w:rPr>
          <w:rFonts w:ascii="Verdana" w:eastAsia="Arial MT" w:hAnsi="Verdana" w:cs="Arial"/>
          <w:sz w:val="20"/>
          <w:szCs w:val="20"/>
          <w:lang w:val="es-ES"/>
        </w:rPr>
        <w:t>[…] como determinante en la actuación por interpuesta persona es no solo la real y activa participación, en este caso, del miembro de Junta Directiva, sino “el poder decisorio en la gestión social y de igual manera, la utilidad que a ese socio le reportaría su intervención, dado el interés económico que por sus acciones tiene en la sociedad.” (Sala Plena de lo Contencioso Administrativo, sentencia de 11/11/1997, exp. AC-5061, reiterada en sentencia de 4/09/2003, exp. 2002-00993, Consejero ponente doctor Manuel S. Urueta Ayola). En este caso, el interés económico del demandado en la mencionada sociedad es mínimo, si se tiene en cuenta que sus acciones representan un 5% en el total del capital autorizado que, es de mil millones de pesos dividido en acciones de $1000 cada una; y de esos mil millones de acciones posee únicamente 43.159, lo que impide considerar a la Sala que en razón de tal interés se vio movido a actuar por interpuesta persona</w:t>
      </w:r>
      <w:r w:rsidRPr="0060163E">
        <w:rPr>
          <w:rFonts w:ascii="Verdana" w:eastAsia="Arial MT" w:hAnsi="Verdana" w:cs="Arial"/>
          <w:sz w:val="20"/>
          <w:szCs w:val="20"/>
          <w:vertAlign w:val="superscript"/>
          <w:lang w:val="es-ES"/>
        </w:rPr>
        <w:footnoteReference w:id="29"/>
      </w:r>
      <w:r w:rsidRPr="0060163E">
        <w:rPr>
          <w:rFonts w:ascii="Verdana" w:eastAsia="Arial MT" w:hAnsi="Verdana" w:cs="Arial"/>
          <w:sz w:val="20"/>
          <w:szCs w:val="20"/>
          <w:lang w:val="es-ES"/>
        </w:rPr>
        <w:t>.</w:t>
      </w:r>
    </w:p>
    <w:p w14:paraId="486B95A3" w14:textId="77777777" w:rsidR="003356D7" w:rsidRPr="0060163E" w:rsidRDefault="003356D7" w:rsidP="003356D7">
      <w:pPr>
        <w:spacing w:after="0" w:line="240" w:lineRule="auto"/>
        <w:ind w:right="709"/>
        <w:jc w:val="both"/>
        <w:rPr>
          <w:rFonts w:ascii="Verdana" w:eastAsia="Calibri" w:hAnsi="Verdana" w:cs="Arial"/>
          <w:sz w:val="21"/>
          <w:szCs w:val="21"/>
          <w:lang w:val="es-ES_tradnl"/>
        </w:rPr>
      </w:pPr>
    </w:p>
    <w:p w14:paraId="62586A86" w14:textId="77777777" w:rsidR="003356D7" w:rsidRPr="0060163E" w:rsidRDefault="003356D7" w:rsidP="003356D7">
      <w:pPr>
        <w:spacing w:after="120" w:line="276" w:lineRule="auto"/>
        <w:ind w:firstLine="708"/>
        <w:jc w:val="both"/>
        <w:rPr>
          <w:rFonts w:ascii="Verdana" w:eastAsia="Calibri" w:hAnsi="Verdana" w:cs="Arial"/>
          <w:lang w:val="es-ES"/>
        </w:rPr>
      </w:pPr>
      <w:r w:rsidRPr="0060163E">
        <w:rPr>
          <w:rFonts w:ascii="Verdana" w:eastAsia="Calibri" w:hAnsi="Verdana" w:cs="Arial"/>
          <w:lang w:val="es-ES"/>
        </w:rPr>
        <w:t xml:space="preserve">En este contexto, cuando el artículo 49, inciso tercero, de la Ley 617 de 2000 prohíbe celebración indirecta significa que los sujetos de la inhabilidad no pueden actuar subrepticiamente, a través de terceras personas, en la contratación realizada por los departamentos, distritos o municipios, así como de sus entidades descentralizadas, cuando son parientes, cónyuges y compañeros permanentes de los gobernadores, diputados, alcaldes y concejales. Estos supuestos corresponden a los explicados anteriormente, así como a todas aquellas hipótesis de participación encubierta por parte de los sujetos inhabilitados, los cuales deberá analizar la entidad contratante en cada proceso de selección.   </w:t>
      </w:r>
    </w:p>
    <w:p w14:paraId="74FB8E7D" w14:textId="77777777" w:rsidR="003356D7" w:rsidRPr="0060163E" w:rsidRDefault="003356D7" w:rsidP="003356D7">
      <w:pPr>
        <w:spacing w:after="0" w:line="276" w:lineRule="auto"/>
        <w:ind w:firstLine="708"/>
        <w:jc w:val="both"/>
        <w:rPr>
          <w:rFonts w:ascii="Verdana" w:eastAsia="Calibri" w:hAnsi="Verdana" w:cs="Arial"/>
          <w:lang w:val="es-ES"/>
        </w:rPr>
      </w:pPr>
      <w:r w:rsidRPr="0060163E">
        <w:rPr>
          <w:rFonts w:ascii="Verdana" w:eastAsia="Calibri" w:hAnsi="Verdana" w:cs="Arial"/>
          <w:lang w:val="es-ES"/>
        </w:rPr>
        <w:t xml:space="preserve">Al declarar la exequibilidad condicionada el inciso tercero del artículo 49 de la Ley 617 de 2000, modificado por el artículo 1° de la Ley 823 de 2003 en el entendido que se aplica únicamente dentro del ámbito territorial de competencia del respectivo gobernador, alcalde o miembros de juntas administradoras locales, municipales y distritales, la Corte Constitucional </w:t>
      </w:r>
      <w:r w:rsidRPr="0060163E">
        <w:rPr>
          <w:rFonts w:ascii="Verdana" w:eastAsia="Calibri" w:hAnsi="Verdana" w:cs="Arial"/>
          <w:lang w:val="es-ES"/>
        </w:rPr>
        <w:lastRenderedPageBreak/>
        <w:t>considera que las normas sobre la inhabilidad para ser directa o indirectamente contratistas del respectivo departamento, distrito o municipio o de sus entidades descentralizadas, hacen parte del ámbito de configuración legislativa del artículo 150, inciso final, de la Constitución Política, pues compete al Congreso de la República expedir el estatuto general de contratación de la administración pública. Por lo demás, agrega que la inhabilidad coadyuba al logro de objetivos constitucionalmente relevantes, ya que:</w:t>
      </w:r>
    </w:p>
    <w:p w14:paraId="71963C41" w14:textId="77777777" w:rsidR="003356D7" w:rsidRPr="0060163E" w:rsidRDefault="003356D7" w:rsidP="003356D7">
      <w:pPr>
        <w:spacing w:after="0" w:line="276" w:lineRule="auto"/>
        <w:ind w:firstLine="708"/>
        <w:jc w:val="both"/>
        <w:rPr>
          <w:rFonts w:ascii="Verdana" w:eastAsia="Calibri" w:hAnsi="Verdana" w:cs="Arial"/>
          <w:lang w:val="es-ES_tradnl"/>
        </w:rPr>
      </w:pPr>
    </w:p>
    <w:p w14:paraId="2B928AB7" w14:textId="77777777" w:rsidR="003356D7" w:rsidRPr="0060163E" w:rsidRDefault="003356D7" w:rsidP="003356D7">
      <w:pPr>
        <w:spacing w:after="0" w:line="240" w:lineRule="auto"/>
        <w:ind w:left="709" w:right="709"/>
        <w:jc w:val="both"/>
        <w:rPr>
          <w:rFonts w:ascii="Verdana" w:eastAsia="Calibri" w:hAnsi="Verdana" w:cs="Arial"/>
          <w:sz w:val="20"/>
          <w:szCs w:val="20"/>
          <w:lang w:val="es-ES_tradnl"/>
        </w:rPr>
      </w:pPr>
      <w:r w:rsidRPr="0060163E">
        <w:rPr>
          <w:rFonts w:ascii="Verdana" w:eastAsia="Calibri" w:hAnsi="Verdana" w:cs="Arial"/>
          <w:sz w:val="20"/>
          <w:szCs w:val="20"/>
          <w:lang w:val="es-MX"/>
        </w:rPr>
        <w:t>Estas medidas constituyen […] un desarrollo legislativo razonable y proporcionado, como instrumento necesario e idóneo para el logro de los principios rectores de la actuación administrativa y garantizar que las actuaciones públicas estén despojadas de propósitos o intenciones ajenos al servicio público y al interés general. Lo que buscan las disposiciones demandadas es evitar, entre otros efectos, la injerencia indebida de los miembros de las corporaciones públicas en la gestión pública del orden territorial y a favor de sus allegados […]. De tal suerte que las inhabilidades en referencia constituyen una garantía de imparcialidad, transparencia y moralidad de la gestión pública en los departamentos, distritos y municipios</w:t>
      </w:r>
      <w:r w:rsidRPr="0060163E">
        <w:rPr>
          <w:rFonts w:ascii="Verdana" w:eastAsia="Calibri" w:hAnsi="Verdana" w:cs="Arial"/>
          <w:sz w:val="20"/>
          <w:szCs w:val="20"/>
          <w:vertAlign w:val="superscript"/>
          <w:lang w:val="es-MX"/>
        </w:rPr>
        <w:footnoteReference w:id="30"/>
      </w:r>
    </w:p>
    <w:p w14:paraId="2FE0671F" w14:textId="77777777" w:rsidR="003356D7" w:rsidRPr="0060163E" w:rsidRDefault="003356D7" w:rsidP="003356D7">
      <w:pPr>
        <w:spacing w:after="0" w:line="240" w:lineRule="auto"/>
        <w:ind w:right="709"/>
        <w:jc w:val="both"/>
        <w:rPr>
          <w:rFonts w:ascii="Verdana" w:eastAsia="Calibri" w:hAnsi="Verdana" w:cs="Arial"/>
          <w:color w:val="000000"/>
          <w:lang w:val="es-ES_tradnl"/>
        </w:rPr>
      </w:pPr>
    </w:p>
    <w:p w14:paraId="4EE0E588" w14:textId="77777777" w:rsidR="003356D7" w:rsidRPr="0060163E" w:rsidRDefault="003356D7" w:rsidP="003356D7">
      <w:pPr>
        <w:spacing w:after="0" w:line="276" w:lineRule="auto"/>
        <w:ind w:firstLine="708"/>
        <w:jc w:val="both"/>
        <w:rPr>
          <w:rFonts w:ascii="Verdana" w:eastAsia="Times New Roman" w:hAnsi="Verdana" w:cs="Times New Roman"/>
          <w:color w:val="000000"/>
          <w:lang w:eastAsia="es-CO"/>
        </w:rPr>
      </w:pPr>
      <w:r w:rsidRPr="0060163E">
        <w:rPr>
          <w:rFonts w:ascii="Verdana" w:eastAsia="Calibri" w:hAnsi="Verdana" w:cs="Arial"/>
          <w:lang w:val="es-ES_tradnl"/>
        </w:rPr>
        <w:t>Posteriormente, el inciso tercero del artículo 49 de la Ley 617 de 2000 también fue objeto de control de constitucionalidad en la Sentencia C-087 de 2024, en el que se demanda la siguiente expresión: “</w:t>
      </w:r>
      <w:r w:rsidRPr="0060163E">
        <w:rPr>
          <w:rFonts w:ascii="Verdana" w:eastAsia="Times New Roman" w:hAnsi="Verdana" w:cs="Times New Roman"/>
          <w:color w:val="000000"/>
          <w:lang w:eastAsia="es-CO"/>
        </w:rPr>
        <w:t>sus parientes dentro del cuarto grado de consanguinidad”, por considerarse que hay un desconocimiento de los artículos 13 y 333 de la Constitución, al someter a los parientes de los gobernadores, diputados, alcaldes y concejales a una situación de desigualdad constitucionalmente ilegítima, ya que, si se contrasta las inhabilidades que la ley ha dispuesto para parientes de otros servidores públicos la prohibición únicamente se extiende hasta el segundo grado de consanguinidad. Al respecto, la Corte declara la constitucionalidad simple de esta expresión</w:t>
      </w:r>
      <w:r w:rsidRPr="0060163E">
        <w:rPr>
          <w:rFonts w:ascii="Verdana" w:eastAsia="Times New Roman" w:hAnsi="Verdana" w:cs="Times New Roman"/>
          <w:color w:val="000000"/>
          <w:vertAlign w:val="superscript"/>
          <w:lang w:eastAsia="es-CO"/>
        </w:rPr>
        <w:footnoteReference w:id="31"/>
      </w:r>
      <w:r w:rsidRPr="0060163E">
        <w:rPr>
          <w:rFonts w:ascii="Verdana" w:eastAsia="Times New Roman" w:hAnsi="Verdana" w:cs="Times New Roman"/>
          <w:color w:val="000000"/>
          <w:lang w:eastAsia="es-CO"/>
        </w:rPr>
        <w:t>, manifestando:</w:t>
      </w:r>
    </w:p>
    <w:p w14:paraId="24D26102" w14:textId="77777777" w:rsidR="003356D7" w:rsidRPr="0060163E" w:rsidRDefault="003356D7" w:rsidP="003356D7">
      <w:pPr>
        <w:spacing w:after="0" w:line="276" w:lineRule="auto"/>
        <w:ind w:firstLine="708"/>
        <w:jc w:val="both"/>
        <w:rPr>
          <w:rFonts w:ascii="Verdana" w:eastAsia="Times New Roman" w:hAnsi="Verdana" w:cs="Times New Roman"/>
          <w:color w:val="000000"/>
          <w:lang w:eastAsia="es-CO"/>
        </w:rPr>
      </w:pPr>
    </w:p>
    <w:p w14:paraId="35E051F5" w14:textId="77777777" w:rsidR="003356D7" w:rsidRPr="0060163E" w:rsidRDefault="003356D7" w:rsidP="003356D7">
      <w:pPr>
        <w:spacing w:after="0" w:line="240" w:lineRule="auto"/>
        <w:ind w:left="709" w:right="709"/>
        <w:jc w:val="both"/>
        <w:rPr>
          <w:rFonts w:ascii="Verdana" w:eastAsia="Times New Roman" w:hAnsi="Verdana" w:cs="Times New Roman"/>
          <w:color w:val="000000"/>
          <w:sz w:val="20"/>
          <w:szCs w:val="20"/>
          <w:lang w:eastAsia="es-CO"/>
        </w:rPr>
      </w:pPr>
      <w:r w:rsidRPr="0060163E">
        <w:rPr>
          <w:rFonts w:ascii="Verdana" w:eastAsia="Times New Roman" w:hAnsi="Verdana" w:cs="Times New Roman"/>
          <w:color w:val="000000"/>
          <w:sz w:val="20"/>
          <w:szCs w:val="20"/>
          <w:lang w:eastAsia="es-CO"/>
        </w:rPr>
        <w:t>A partir de las razones que se acaban de señalar, e</w:t>
      </w:r>
      <w:r w:rsidRPr="0060163E">
        <w:rPr>
          <w:rFonts w:ascii="Verdana" w:eastAsia="Times New Roman" w:hAnsi="Verdana" w:cs="Times New Roman"/>
          <w:iCs/>
          <w:color w:val="000000"/>
          <w:sz w:val="20"/>
          <w:szCs w:val="20"/>
          <w:lang w:val="es-ES" w:eastAsia="es-CO"/>
        </w:rPr>
        <w:t xml:space="preserve">l tratamiento distinto que contiene la disposición demandada está constitucionalmente justificado y supera las exigencias de un juicio integrado de igualdad, de intensidad </w:t>
      </w:r>
      <w:r w:rsidRPr="0060163E">
        <w:rPr>
          <w:rFonts w:ascii="Verdana" w:eastAsia="Times New Roman" w:hAnsi="Verdana" w:cs="Times New Roman"/>
          <w:i/>
          <w:color w:val="000000"/>
          <w:sz w:val="20"/>
          <w:szCs w:val="20"/>
          <w:lang w:val="es-ES" w:eastAsia="es-CO"/>
        </w:rPr>
        <w:t>leve</w:t>
      </w:r>
      <w:r w:rsidRPr="0060163E">
        <w:rPr>
          <w:rFonts w:ascii="Verdana" w:eastAsia="Times New Roman" w:hAnsi="Verdana" w:cs="Times New Roman"/>
          <w:iCs/>
          <w:color w:val="000000"/>
          <w:sz w:val="20"/>
          <w:szCs w:val="20"/>
          <w:lang w:val="es-ES" w:eastAsia="es-CO"/>
        </w:rPr>
        <w:t>.</w:t>
      </w:r>
      <w:r w:rsidRPr="0060163E">
        <w:rPr>
          <w:rFonts w:ascii="Verdana" w:eastAsia="Times New Roman" w:hAnsi="Verdana" w:cs="Times New Roman"/>
          <w:color w:val="000000"/>
          <w:sz w:val="20"/>
          <w:szCs w:val="20"/>
          <w:lang w:val="es-ES" w:eastAsia="es-CO"/>
        </w:rPr>
        <w:t xml:space="preserve"> Por tal razón, la Sala declarará la exequibilidad simple del inciso tercero del </w:t>
      </w:r>
      <w:r w:rsidRPr="0060163E">
        <w:rPr>
          <w:rFonts w:ascii="Verdana" w:eastAsia="Times New Roman" w:hAnsi="Verdana" w:cs="Times New Roman"/>
          <w:color w:val="000000"/>
          <w:sz w:val="20"/>
          <w:szCs w:val="20"/>
          <w:lang w:val="es-ES_tradnl" w:eastAsia="es-CO"/>
        </w:rPr>
        <w:t>artículo 49 de la Ley 617 de 200</w:t>
      </w:r>
      <w:r w:rsidRPr="0060163E">
        <w:rPr>
          <w:rFonts w:ascii="Verdana" w:eastAsia="Times New Roman" w:hAnsi="Verdana" w:cs="Times New Roman"/>
          <w:color w:val="000000"/>
          <w:sz w:val="20"/>
          <w:szCs w:val="20"/>
          <w:lang w:eastAsia="es-CO"/>
        </w:rPr>
        <w:t xml:space="preserve">0, </w:t>
      </w:r>
      <w:r w:rsidRPr="0060163E">
        <w:rPr>
          <w:rFonts w:ascii="Verdana" w:eastAsia="Times New Roman" w:hAnsi="Verdana" w:cs="Times New Roman"/>
          <w:color w:val="000000"/>
          <w:sz w:val="20"/>
          <w:szCs w:val="20"/>
          <w:lang w:val="es-ES_tradnl" w:eastAsia="es-CO"/>
        </w:rPr>
        <w:t>en los términos en que fue modificado por el artículo 1 de la Ley 1296 de 2009</w:t>
      </w:r>
      <w:r w:rsidRPr="0060163E">
        <w:rPr>
          <w:rFonts w:ascii="Verdana" w:eastAsia="Times New Roman" w:hAnsi="Verdana" w:cs="Times New Roman"/>
          <w:color w:val="000000"/>
          <w:sz w:val="20"/>
          <w:szCs w:val="20"/>
          <w:lang w:eastAsia="es-CO"/>
        </w:rPr>
        <w:t xml:space="preserve">. En todo caso, </w:t>
      </w:r>
      <w:r w:rsidRPr="0060163E">
        <w:rPr>
          <w:rFonts w:ascii="Verdana" w:eastAsia="Times New Roman" w:hAnsi="Verdana" w:cs="Times New Roman"/>
          <w:color w:val="000000"/>
          <w:sz w:val="20"/>
          <w:szCs w:val="20"/>
          <w:lang w:eastAsia="es-CO"/>
        </w:rPr>
        <w:lastRenderedPageBreak/>
        <w:t xml:space="preserve">reiterará las precisiones que, en relación con el alcance de la disposición que es objeto de cuestionamiento, realizó la Sala en la Sentencia C-348 de 2004, a partir de los fundamentos de la Sentencia C-618 de 1997, y que fueron reiteradas en los siguientes términos en la Sentencia C-106 de 2018, razones que también integran el fundamento del </w:t>
      </w:r>
      <w:r w:rsidRPr="0060163E">
        <w:rPr>
          <w:rFonts w:ascii="Verdana" w:eastAsia="Times New Roman" w:hAnsi="Verdana" w:cs="Times New Roman"/>
          <w:i/>
          <w:iCs/>
          <w:color w:val="000000"/>
          <w:sz w:val="20"/>
          <w:szCs w:val="20"/>
          <w:lang w:eastAsia="es-CO"/>
        </w:rPr>
        <w:t>decisum</w:t>
      </w:r>
      <w:r w:rsidRPr="0060163E">
        <w:rPr>
          <w:rFonts w:ascii="Verdana" w:eastAsia="Times New Roman" w:hAnsi="Verdana" w:cs="Times New Roman"/>
          <w:color w:val="000000"/>
          <w:sz w:val="20"/>
          <w:szCs w:val="20"/>
          <w:lang w:eastAsia="es-CO"/>
        </w:rPr>
        <w:t xml:space="preserve"> de esta providencia:</w:t>
      </w:r>
    </w:p>
    <w:p w14:paraId="79B501BC" w14:textId="77777777" w:rsidR="003356D7" w:rsidRPr="0060163E" w:rsidRDefault="003356D7" w:rsidP="003356D7">
      <w:pPr>
        <w:spacing w:after="0" w:line="240" w:lineRule="auto"/>
        <w:ind w:left="709" w:right="709" w:firstLine="708"/>
        <w:jc w:val="both"/>
        <w:rPr>
          <w:rFonts w:ascii="Verdana" w:eastAsia="Times New Roman" w:hAnsi="Verdana" w:cs="Times New Roman"/>
          <w:color w:val="000000"/>
          <w:sz w:val="20"/>
          <w:szCs w:val="20"/>
          <w:lang w:eastAsia="es-CO"/>
        </w:rPr>
      </w:pPr>
    </w:p>
    <w:p w14:paraId="3010926B" w14:textId="77777777" w:rsidR="003356D7" w:rsidRPr="0060163E" w:rsidRDefault="003356D7" w:rsidP="003356D7">
      <w:pPr>
        <w:spacing w:after="0" w:line="240" w:lineRule="auto"/>
        <w:ind w:left="709" w:right="709"/>
        <w:jc w:val="both"/>
        <w:rPr>
          <w:rFonts w:ascii="Verdana" w:eastAsia="Times New Roman" w:hAnsi="Verdana" w:cs="Times New Roman"/>
          <w:color w:val="000000"/>
          <w:sz w:val="20"/>
          <w:szCs w:val="20"/>
          <w:lang w:eastAsia="es-CO"/>
        </w:rPr>
      </w:pPr>
      <w:r w:rsidRPr="0060163E">
        <w:rPr>
          <w:rFonts w:ascii="Verdana" w:eastAsia="Times New Roman" w:hAnsi="Verdana" w:cs="Times New Roman"/>
          <w:color w:val="000000"/>
          <w:sz w:val="20"/>
          <w:szCs w:val="20"/>
          <w:lang w:eastAsia="es-CO"/>
        </w:rPr>
        <w:t>“[…] para garantizar la proporcionalidad, dicho fallo [hace referencia a la Sentencia C-348 de 2004] condicionó la exequibilidad de la norma [el artículo 49 de la Ley 617 de 2000] en el entendido de que</w:t>
      </w:r>
      <w:r w:rsidRPr="0060163E">
        <w:rPr>
          <w:rFonts w:ascii="Verdana" w:eastAsia="Times New Roman" w:hAnsi="Verdana" w:cs="Times New Roman"/>
          <w:bCs/>
          <w:i/>
          <w:color w:val="000000"/>
          <w:sz w:val="20"/>
          <w:szCs w:val="20"/>
          <w:lang w:eastAsia="es-CO"/>
        </w:rPr>
        <w:t xml:space="preserve"> ‘las prohibiciones allí previstas surtan efectos únicamente dentro del ámbito territorial de competencias del respectivo diputado o concejal’. </w:t>
      </w:r>
      <w:r w:rsidRPr="0060163E">
        <w:rPr>
          <w:rFonts w:ascii="Verdana" w:eastAsia="Times New Roman" w:hAnsi="Verdana" w:cs="Times New Roman"/>
          <w:bCs/>
          <w:color w:val="000000"/>
          <w:sz w:val="20"/>
          <w:szCs w:val="20"/>
          <w:lang w:eastAsia="es-CO"/>
        </w:rPr>
        <w:t>Además, decidió que ‘</w:t>
      </w:r>
      <w:r w:rsidRPr="0060163E">
        <w:rPr>
          <w:rFonts w:ascii="Verdana" w:eastAsia="Times New Roman" w:hAnsi="Verdana" w:cs="Times New Roman"/>
          <w:bCs/>
          <w:i/>
          <w:color w:val="000000"/>
          <w:sz w:val="20"/>
          <w:szCs w:val="20"/>
          <w:lang w:eastAsia="es-CO"/>
        </w:rPr>
        <w:t xml:space="preserve">para evitar alcances irrazonables de las disposiciones acusadas, en el mismo sentido de lo señalado en la sentencia C-618 de 1997 </w:t>
      </w:r>
      <w:r w:rsidRPr="0060163E">
        <w:rPr>
          <w:rFonts w:ascii="Verdana" w:eastAsia="Times New Roman" w:hAnsi="Verdana" w:cs="Times New Roman"/>
          <w:bCs/>
          <w:color w:val="000000"/>
          <w:sz w:val="20"/>
          <w:szCs w:val="20"/>
          <w:lang w:eastAsia="es-CO"/>
        </w:rPr>
        <w:t>(…),</w:t>
      </w:r>
      <w:r w:rsidRPr="0060163E">
        <w:rPr>
          <w:rFonts w:ascii="Verdana" w:eastAsia="Times New Roman" w:hAnsi="Verdana" w:cs="Times New Roman"/>
          <w:bCs/>
          <w:i/>
          <w:color w:val="000000"/>
          <w:sz w:val="20"/>
          <w:szCs w:val="20"/>
          <w:lang w:eastAsia="es-CO"/>
        </w:rPr>
        <w:t xml:space="preserve"> ‘la Corte entiende que la disposición acusada no se aplica a aquellos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tal caso la inhabilidad sería totalmente irrazonable’</w:t>
      </w:r>
      <w:r w:rsidRPr="0060163E">
        <w:rPr>
          <w:rFonts w:ascii="Verdana" w:eastAsia="Times New Roman" w:hAnsi="Verdana" w:cs="Times New Roman"/>
          <w:bCs/>
          <w:color w:val="000000"/>
          <w:sz w:val="20"/>
          <w:szCs w:val="20"/>
          <w:vertAlign w:val="superscript"/>
          <w:lang w:eastAsia="es-CO"/>
        </w:rPr>
        <w:footnoteReference w:id="32"/>
      </w:r>
      <w:r w:rsidRPr="0060163E">
        <w:rPr>
          <w:rFonts w:ascii="Verdana" w:eastAsia="Times New Roman" w:hAnsi="Verdana" w:cs="Times New Roman"/>
          <w:bCs/>
          <w:color w:val="000000"/>
          <w:sz w:val="20"/>
          <w:szCs w:val="20"/>
          <w:lang w:eastAsia="es-CO"/>
        </w:rPr>
        <w:t>. Dichas precisiones constitucionales introducidas por la sentencia C-348 de 2004 siguen surtiendo efectos, a pesar que [sic] la misma norma se encuentra ahora en una disposición diferente</w:t>
      </w:r>
      <w:r w:rsidRPr="0060163E">
        <w:rPr>
          <w:rFonts w:ascii="Verdana" w:eastAsia="Times New Roman" w:hAnsi="Verdana" w:cs="Times New Roman"/>
          <w:bCs/>
          <w:color w:val="000000"/>
          <w:sz w:val="20"/>
          <w:szCs w:val="20"/>
          <w:vertAlign w:val="superscript"/>
          <w:lang w:eastAsia="es-CO"/>
        </w:rPr>
        <w:footnoteReference w:id="33"/>
      </w:r>
      <w:r w:rsidRPr="0060163E">
        <w:rPr>
          <w:rFonts w:ascii="Verdana" w:eastAsia="Times New Roman" w:hAnsi="Verdana" w:cs="Times New Roman"/>
          <w:bCs/>
          <w:color w:val="000000"/>
          <w:sz w:val="20"/>
          <w:szCs w:val="20"/>
          <w:lang w:eastAsia="es-CO"/>
        </w:rPr>
        <w:t>. Por lo tanto, no se hace necesario reiterar dichos condicionamientos, en la parte resolutiva de la presente sentencia” (cursivas del texto original).</w:t>
      </w:r>
    </w:p>
    <w:p w14:paraId="06CDD5F0" w14:textId="77777777" w:rsidR="003356D7" w:rsidRPr="0060163E" w:rsidRDefault="003356D7" w:rsidP="003356D7">
      <w:pPr>
        <w:spacing w:after="0" w:line="276" w:lineRule="auto"/>
        <w:ind w:firstLine="708"/>
        <w:jc w:val="both"/>
        <w:rPr>
          <w:rFonts w:ascii="Verdana" w:eastAsia="Calibri" w:hAnsi="Verdana" w:cs="Arial"/>
          <w:lang w:val="es-ES_tradnl"/>
        </w:rPr>
      </w:pPr>
    </w:p>
    <w:p w14:paraId="2194FB1B" w14:textId="77777777" w:rsidR="003356D7" w:rsidRPr="0060163E" w:rsidRDefault="003356D7" w:rsidP="003356D7">
      <w:pPr>
        <w:spacing w:after="120" w:line="276" w:lineRule="auto"/>
        <w:ind w:firstLine="709"/>
        <w:jc w:val="both"/>
        <w:rPr>
          <w:rFonts w:ascii="Verdana" w:eastAsia="Calibri" w:hAnsi="Verdana" w:cs="Arial"/>
          <w:lang w:val="es-ES_tradnl"/>
        </w:rPr>
      </w:pPr>
      <w:r>
        <w:rPr>
          <w:rFonts w:ascii="Verdana" w:eastAsia="Calibri" w:hAnsi="Verdana" w:cs="Arial"/>
          <w:lang w:val="es-ES_tradnl"/>
        </w:rPr>
        <w:t>Se encuentra que e</w:t>
      </w:r>
      <w:r w:rsidRPr="0060163E">
        <w:rPr>
          <w:rFonts w:ascii="Verdana" w:eastAsia="Calibri" w:hAnsi="Verdana" w:cs="Arial"/>
          <w:lang w:val="es-ES_tradnl"/>
        </w:rPr>
        <w:t>l artículo 49, inciso tercero, de la Ley 617 de 2000, modificado por las Leyes 821 de 2003, 1148 de 2007 y 1296 de 2009, establece claramente la prohibición que los gobernadores, diputados, alcaldes y concejales celebren contratos para beneficiar a sus parientes hasta el cuarto grado de consanguinidad</w:t>
      </w:r>
      <w:r>
        <w:rPr>
          <w:rFonts w:ascii="Verdana" w:eastAsia="Calibri" w:hAnsi="Verdana" w:cs="Arial"/>
          <w:lang w:val="es-ES_tradnl"/>
        </w:rPr>
        <w:t xml:space="preserve"> (</w:t>
      </w:r>
      <w:r>
        <w:rPr>
          <w:rFonts w:ascii="Verdana" w:eastAsia="Calibri" w:hAnsi="Verdana" w:cs="Arial"/>
        </w:rPr>
        <w:t xml:space="preserve">el </w:t>
      </w:r>
      <w:r w:rsidRPr="00A42FB0">
        <w:rPr>
          <w:rFonts w:ascii="Verdana" w:eastAsia="Calibri" w:hAnsi="Verdana" w:cs="Arial"/>
          <w:bCs/>
        </w:rPr>
        <w:t>primer grado</w:t>
      </w:r>
      <w:r>
        <w:rPr>
          <w:rFonts w:ascii="Verdana" w:eastAsia="Calibri" w:hAnsi="Verdana" w:cs="Arial"/>
        </w:rPr>
        <w:t xml:space="preserve"> </w:t>
      </w:r>
      <w:r w:rsidRPr="00A42FB0">
        <w:rPr>
          <w:rFonts w:ascii="Verdana" w:eastAsia="Calibri" w:hAnsi="Verdana" w:cs="Arial"/>
        </w:rPr>
        <w:t>son padres e hijos; el </w:t>
      </w:r>
      <w:r w:rsidRPr="00A42FB0">
        <w:rPr>
          <w:rFonts w:ascii="Verdana" w:eastAsia="Calibri" w:hAnsi="Verdana" w:cs="Arial"/>
          <w:bCs/>
        </w:rPr>
        <w:t>segundo</w:t>
      </w:r>
      <w:r w:rsidRPr="00A42FB0">
        <w:rPr>
          <w:rFonts w:ascii="Verdana" w:eastAsia="Calibri" w:hAnsi="Verdana" w:cs="Arial"/>
        </w:rPr>
        <w:t> son</w:t>
      </w:r>
      <w:r>
        <w:rPr>
          <w:rFonts w:ascii="Verdana" w:eastAsia="Calibri" w:hAnsi="Verdana" w:cs="Arial"/>
        </w:rPr>
        <w:t xml:space="preserve"> hermanos, abuelos y nietos; el </w:t>
      </w:r>
      <w:r w:rsidRPr="00A42FB0">
        <w:rPr>
          <w:rFonts w:ascii="Verdana" w:eastAsia="Calibri" w:hAnsi="Verdana" w:cs="Arial"/>
          <w:bCs/>
        </w:rPr>
        <w:t>tercero</w:t>
      </w:r>
      <w:r>
        <w:rPr>
          <w:rFonts w:ascii="Verdana" w:eastAsia="Calibri" w:hAnsi="Verdana" w:cs="Arial"/>
          <w:bCs/>
        </w:rPr>
        <w:t xml:space="preserve"> </w:t>
      </w:r>
      <w:r w:rsidRPr="00A42FB0">
        <w:rPr>
          <w:rFonts w:ascii="Verdana" w:eastAsia="Calibri" w:hAnsi="Verdana" w:cs="Arial"/>
        </w:rPr>
        <w:t>incluye tíos, sobrinos, bisabuelos y bisnietos; y el </w:t>
      </w:r>
      <w:r w:rsidRPr="00A42FB0">
        <w:rPr>
          <w:rFonts w:ascii="Verdana" w:eastAsia="Calibri" w:hAnsi="Verdana" w:cs="Arial"/>
          <w:bCs/>
        </w:rPr>
        <w:t>cuarto</w:t>
      </w:r>
      <w:r w:rsidRPr="00A42FB0">
        <w:rPr>
          <w:rFonts w:ascii="Verdana" w:eastAsia="Calibri" w:hAnsi="Verdana" w:cs="Arial"/>
        </w:rPr>
        <w:t> son primos hermanos y tíos abuelos</w:t>
      </w:r>
      <w:r>
        <w:rPr>
          <w:rFonts w:ascii="Verdana" w:eastAsia="Calibri" w:hAnsi="Verdana" w:cs="Arial"/>
        </w:rPr>
        <w:t>)</w:t>
      </w:r>
      <w:r w:rsidRPr="0060163E">
        <w:rPr>
          <w:rFonts w:ascii="Verdana" w:eastAsia="Calibri" w:hAnsi="Verdana" w:cs="Arial"/>
          <w:lang w:val="es-ES_tradnl"/>
        </w:rPr>
        <w:t>, segundo de afinidad</w:t>
      </w:r>
      <w:r>
        <w:rPr>
          <w:rFonts w:ascii="Verdana" w:eastAsia="Calibri" w:hAnsi="Verdana" w:cs="Arial"/>
          <w:lang w:val="es-ES_tradnl"/>
        </w:rPr>
        <w:t xml:space="preserve"> </w:t>
      </w:r>
      <w:r>
        <w:rPr>
          <w:rFonts w:ascii="Verdana" w:eastAsia="Calibri" w:hAnsi="Verdana" w:cs="Arial"/>
        </w:rPr>
        <w:t xml:space="preserve"> (</w:t>
      </w:r>
      <w:r w:rsidRPr="00010788">
        <w:rPr>
          <w:rFonts w:ascii="Verdana" w:eastAsia="Calibri" w:hAnsi="Verdana" w:cs="Arial"/>
        </w:rPr>
        <w:t>suegros</w:t>
      </w:r>
      <w:r>
        <w:rPr>
          <w:rFonts w:ascii="Verdana" w:eastAsia="Calibri" w:hAnsi="Verdana" w:cs="Arial"/>
        </w:rPr>
        <w:t>, hijos de la cónyuge, abuelos del cónyuge, nietos del cónyuge, cuñados</w:t>
      </w:r>
      <w:r w:rsidRPr="00010788">
        <w:rPr>
          <w:rFonts w:ascii="Verdana" w:eastAsia="Calibri" w:hAnsi="Verdana" w:cs="Arial"/>
        </w:rPr>
        <w:t>)</w:t>
      </w:r>
      <w:r w:rsidRPr="0060163E">
        <w:rPr>
          <w:rFonts w:ascii="Verdana" w:eastAsia="Calibri" w:hAnsi="Verdana" w:cs="Arial"/>
          <w:lang w:val="es-ES_tradnl"/>
        </w:rPr>
        <w:t xml:space="preserve">, primera de civil, cónyuges y compañeros permanentes, directa o indirectamente. Dado que pueden actuar en calidad socios o representantes legales de la empresa que contrata con el departamento, distrito o municipio, o con sus entidades </w:t>
      </w:r>
      <w:r w:rsidRPr="0060163E">
        <w:rPr>
          <w:rFonts w:ascii="Verdana" w:eastAsia="Calibri" w:hAnsi="Verdana" w:cs="Arial"/>
          <w:lang w:val="es-ES_tradnl"/>
        </w:rPr>
        <w:lastRenderedPageBreak/>
        <w:t>descentralizadas, la in</w:t>
      </w:r>
      <w:r>
        <w:rPr>
          <w:rFonts w:ascii="Verdana" w:eastAsia="Calibri" w:hAnsi="Verdana" w:cs="Arial"/>
          <w:lang w:val="es-ES_tradnl"/>
        </w:rPr>
        <w:t>compatibilidad</w:t>
      </w:r>
      <w:r w:rsidRPr="0060163E">
        <w:rPr>
          <w:rFonts w:ascii="Verdana" w:eastAsia="Calibri" w:hAnsi="Verdana" w:cs="Arial"/>
          <w:lang w:val="es-ES_tradnl"/>
        </w:rPr>
        <w:t xml:space="preserve"> aplica a quienes tengan ambas calidades. Esto en la medida que, conforme a lo explicado en este concepto, la norma prohíbe toda forma de gestión contractual directa o indirecta, esto es, encubierta realizada subrepticiamente a través de terceras personas, salvo </w:t>
      </w:r>
      <w:r w:rsidRPr="0060163E">
        <w:rPr>
          <w:rFonts w:ascii="Verdana" w:eastAsia="Calibri" w:hAnsi="Verdana" w:cs="Arial"/>
          <w:bCs/>
        </w:rPr>
        <w:t>a aquellos contratos por medio de los cuales la administración ofrece, en igualdad de condiciones, a todos los ciudadanos y personas, un determinado bien o servicio, en desarrollo de sus funciones constitucionales y legales, tal y como sucede por ejemplo, con la prestación de los servicios públicos,</w:t>
      </w:r>
      <w:r>
        <w:rPr>
          <w:rFonts w:ascii="Verdana" w:eastAsia="Calibri" w:hAnsi="Verdana" w:cs="Arial"/>
          <w:bCs/>
        </w:rPr>
        <w:t xml:space="preserve"> pues en tal caso la incompatibilidad</w:t>
      </w:r>
      <w:r w:rsidRPr="0060163E">
        <w:rPr>
          <w:rFonts w:ascii="Verdana" w:eastAsia="Calibri" w:hAnsi="Verdana" w:cs="Arial"/>
          <w:bCs/>
        </w:rPr>
        <w:t xml:space="preserve"> es irrazonable, de acuerdo a lo expresado por la Corte Constitucional en las sentencias precitadas. </w:t>
      </w:r>
      <w:r w:rsidRPr="0060163E">
        <w:rPr>
          <w:rFonts w:ascii="Verdana" w:eastAsia="Calibri" w:hAnsi="Verdana" w:cs="Arial"/>
          <w:lang w:val="es-ES_tradnl"/>
        </w:rPr>
        <w:t xml:space="preserve"> </w:t>
      </w:r>
    </w:p>
    <w:p w14:paraId="6B720702" w14:textId="77777777" w:rsidR="003356D7" w:rsidRDefault="003356D7" w:rsidP="003356D7">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Ahor</w:t>
      </w:r>
      <w:r>
        <w:rPr>
          <w:rFonts w:ascii="Verdana" w:eastAsia="Calibri" w:hAnsi="Verdana" w:cs="Arial"/>
          <w:lang w:val="es-ES_tradnl"/>
        </w:rPr>
        <w:t>a bien, frente a esa incompatibilidad</w:t>
      </w:r>
      <w:r w:rsidRPr="0060163E">
        <w:rPr>
          <w:rFonts w:ascii="Verdana" w:eastAsia="Calibri" w:hAnsi="Verdana" w:cs="Arial"/>
          <w:lang w:val="es-ES_tradnl"/>
        </w:rPr>
        <w:t xml:space="preserve"> con mayor razón no es posible “ejecutarlo” porque se trata de una etapa posterior a su “celebración” o “suscripción”, y por tanto, es aplicable lo dispuesto en el artículo 9 de la Ley 80 de 1993, cuyo tenor literal dispone: “Si llegare a sobrevenir inhabilidad o incompatibilidad en el contratista, este cederá el contrato previa autorización escrita de la entidad contratante o, si ello no fuere posible, renunciará a su ejecución”, excepto en aquellos</w:t>
      </w:r>
      <w:r w:rsidRPr="0060163E">
        <w:rPr>
          <w:rFonts w:ascii="Verdana" w:eastAsia="Calibri" w:hAnsi="Verdana" w:cs="Arial"/>
          <w:bCs/>
        </w:rPr>
        <w:t xml:space="preserve">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dicho evento la inhabilidad es irrazonable, de acuerdo </w:t>
      </w:r>
      <w:r w:rsidRPr="0060163E">
        <w:rPr>
          <w:rFonts w:ascii="Verdana" w:eastAsia="Calibri" w:hAnsi="Verdana" w:cs="Arial"/>
          <w:lang w:val="es-ES_tradnl"/>
        </w:rPr>
        <w:t>el alcance dado al inciso tercero del artículo 49 de la Ley 617 de 2000 por parte de la Corte Constitucional, sin perjuicio de las demás excepciones a las inhabilidades dispuestas por lo la ley.</w:t>
      </w:r>
    </w:p>
    <w:p w14:paraId="1083CD84" w14:textId="77777777" w:rsidR="003356D7" w:rsidRDefault="003356D7" w:rsidP="003356D7">
      <w:pPr>
        <w:spacing w:after="120" w:line="276" w:lineRule="auto"/>
        <w:ind w:firstLine="709"/>
        <w:jc w:val="both"/>
        <w:rPr>
          <w:rFonts w:ascii="Verdana" w:eastAsia="Calibri" w:hAnsi="Verdana" w:cs="Arial"/>
          <w:lang w:val="es-ES_tradnl"/>
        </w:rPr>
      </w:pPr>
      <w:r>
        <w:rPr>
          <w:rFonts w:ascii="Verdana" w:eastAsia="Calibri" w:hAnsi="Verdana" w:cs="Arial"/>
          <w:lang w:val="es-ES_tradnl"/>
        </w:rPr>
        <w:t>E</w:t>
      </w:r>
      <w:r w:rsidRPr="000E53BB">
        <w:rPr>
          <w:rFonts w:ascii="Verdana" w:eastAsia="Calibri" w:hAnsi="Verdana" w:cs="Arial"/>
          <w:lang w:val="es-ES_tradnl"/>
        </w:rPr>
        <w:t>s importante señalar que las incompatibilidades previamente mencionadas tienen vigencia durante todo el período constitucional para el cual fueron elegidos</w:t>
      </w:r>
      <w:r>
        <w:rPr>
          <w:rFonts w:ascii="Verdana" w:eastAsia="Calibri" w:hAnsi="Verdana" w:cs="Arial"/>
          <w:lang w:val="es-ES_tradnl"/>
        </w:rPr>
        <w:t xml:space="preserve"> los diputados</w:t>
      </w:r>
      <w:r w:rsidRPr="000E53BB">
        <w:rPr>
          <w:rFonts w:ascii="Verdana" w:eastAsia="Calibri" w:hAnsi="Verdana" w:cs="Arial"/>
          <w:lang w:val="es-ES_tradnl"/>
        </w:rPr>
        <w:t>. En caso de renuncia, dichas incompatibilidades se mantienen por seis (6) meses posteriores a su aceptación, siempre que el tiempo restante del período sea superior a ese lapso. De igual manera, quien sea llamado a ocupar el cargo de diputado quedará sujeto al mismo régimen de incompatibilidades desde el momento de su posesión.</w:t>
      </w:r>
      <w:r>
        <w:rPr>
          <w:rFonts w:ascii="Verdana" w:eastAsia="Calibri" w:hAnsi="Verdana" w:cs="Arial"/>
          <w:lang w:val="es-ES_tradnl"/>
        </w:rPr>
        <w:t xml:space="preserve"> </w:t>
      </w:r>
    </w:p>
    <w:p w14:paraId="2B70091C" w14:textId="77777777" w:rsidR="003356D7" w:rsidRPr="000E53BB" w:rsidRDefault="003356D7" w:rsidP="003356D7">
      <w:pPr>
        <w:spacing w:after="120" w:line="276" w:lineRule="auto"/>
        <w:ind w:firstLine="709"/>
        <w:jc w:val="both"/>
        <w:rPr>
          <w:rFonts w:ascii="Verdana" w:eastAsia="Calibri" w:hAnsi="Verdana" w:cs="Arial"/>
          <w:lang w:val="es-ES_tradnl"/>
        </w:rPr>
      </w:pPr>
      <w:r>
        <w:rPr>
          <w:rFonts w:ascii="Verdana" w:eastAsia="Calibri" w:hAnsi="Verdana" w:cs="Arial"/>
          <w:lang w:val="es-ES_tradnl"/>
        </w:rPr>
        <w:t>Así pues, l</w:t>
      </w:r>
      <w:r w:rsidRPr="000E53BB">
        <w:rPr>
          <w:rFonts w:ascii="Verdana" w:eastAsia="Calibri" w:hAnsi="Verdana" w:cs="Arial"/>
          <w:lang w:val="es-ES_tradnl"/>
        </w:rPr>
        <w:t xml:space="preserve">a incompatibilidad no surge en el momento de la elección del diputado, sino durante el período institucional para el cual fue elegido. Esto significa que el simple hecho de resultar electo no activa de inmediato las </w:t>
      </w:r>
      <w:r w:rsidRPr="000E53BB">
        <w:rPr>
          <w:rFonts w:ascii="Verdana" w:eastAsia="Calibri" w:hAnsi="Verdana" w:cs="Arial"/>
          <w:lang w:val="es-ES_tradnl"/>
        </w:rPr>
        <w:lastRenderedPageBreak/>
        <w:t>restricciones; estas se hacen efectivas únicamente cuando inicia el ejercicio del cargo dentro del período constitucional correspondiente. De esta manera, se garantiza que las limitaciones se apliquen en el marco temporal en el que el diputado ejerce funciones públicas y puede verse ex</w:t>
      </w:r>
      <w:r>
        <w:rPr>
          <w:rFonts w:ascii="Verdana" w:eastAsia="Calibri" w:hAnsi="Verdana" w:cs="Arial"/>
          <w:lang w:val="es-ES_tradnl"/>
        </w:rPr>
        <w:t xml:space="preserve">puesto a conflictos de interés. </w:t>
      </w:r>
      <w:r w:rsidRPr="000E53BB">
        <w:rPr>
          <w:rFonts w:ascii="Verdana" w:eastAsia="Calibri" w:hAnsi="Verdana" w:cs="Arial"/>
          <w:lang w:val="es-ES_tradnl"/>
        </w:rPr>
        <w:t>En consecuencia, las incompatibilidades se entienden como un régimen ligado al ejercicio del cargo y no al acto electoral en sí mismo. Por ello, incluso si un diputado renuncia, las restricciones continúan vigentes por un tiempo determinado, pues lo que se protege es la transparencia y la imparcialidad durante el período institucional.</w:t>
      </w:r>
    </w:p>
    <w:bookmarkEnd w:id="2"/>
    <w:p w14:paraId="041A4DF1" w14:textId="77777777" w:rsidR="003356D7" w:rsidRPr="000E53BB" w:rsidRDefault="003356D7" w:rsidP="003356D7">
      <w:pPr>
        <w:spacing w:after="0" w:line="276" w:lineRule="auto"/>
        <w:jc w:val="both"/>
        <w:rPr>
          <w:rFonts w:ascii="Verdana" w:eastAsia="Times New Roman" w:hAnsi="Verdana" w:cs="Arial"/>
          <w:color w:val="000000"/>
          <w:lang w:val="es-ES_tradnl" w:eastAsia="es-ES"/>
        </w:rPr>
      </w:pPr>
    </w:p>
    <w:p w14:paraId="002CD711" w14:textId="77777777" w:rsidR="003356D7" w:rsidRPr="00DB2A80" w:rsidRDefault="003356D7" w:rsidP="003356D7">
      <w:pPr>
        <w:spacing w:after="120" w:line="276" w:lineRule="auto"/>
        <w:jc w:val="both"/>
        <w:rPr>
          <w:rFonts w:ascii="Verdana" w:hAnsi="Verdana"/>
        </w:rPr>
      </w:pPr>
      <w:r>
        <w:rPr>
          <w:rFonts w:ascii="Verdana" w:eastAsia="Arial" w:hAnsi="Verdana" w:cs="Arial"/>
          <w:lang w:val="es-ES_tradnl"/>
        </w:rPr>
        <w:t xml:space="preserve">iii. </w:t>
      </w:r>
      <w:r w:rsidRPr="00DB2A80">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34369B6" w14:textId="77777777" w:rsidR="003356D7" w:rsidRPr="00DB2A80" w:rsidRDefault="003356D7" w:rsidP="003356D7">
      <w:pPr>
        <w:spacing w:after="0" w:line="276" w:lineRule="auto"/>
        <w:ind w:firstLine="708"/>
        <w:jc w:val="both"/>
        <w:rPr>
          <w:rFonts w:ascii="Verdana" w:eastAsia="Calibri" w:hAnsi="Verdana" w:cs="Arial"/>
          <w:bCs/>
          <w:color w:val="000000" w:themeColor="text1"/>
        </w:rPr>
      </w:pPr>
      <w:r w:rsidRPr="00DB2A80">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el consultante </w:t>
      </w:r>
      <w:r w:rsidRPr="00DB2A80">
        <w:rPr>
          <w:rFonts w:ascii="Verdana" w:eastAsia="Calibri" w:hAnsi="Verdana" w:cs="Arial"/>
          <w:bCs/>
          <w:color w:val="000000" w:themeColor="text1"/>
        </w:rPr>
        <w:t xml:space="preserve">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C3B5058" w14:textId="77777777" w:rsidR="003356D7" w:rsidRPr="00DB2A80" w:rsidRDefault="003356D7" w:rsidP="003356D7">
      <w:pPr>
        <w:spacing w:after="0" w:line="276" w:lineRule="auto"/>
        <w:jc w:val="both"/>
        <w:rPr>
          <w:rFonts w:ascii="Verdana" w:eastAsia="Arial" w:hAnsi="Verdana" w:cs="Arial"/>
        </w:rPr>
      </w:pPr>
    </w:p>
    <w:p w14:paraId="6A863767" w14:textId="77777777" w:rsidR="003356D7" w:rsidRPr="0060163E" w:rsidRDefault="003356D7" w:rsidP="003356D7">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IV. Referencias normativas</w:t>
      </w:r>
    </w:p>
    <w:p w14:paraId="3A0858CA" w14:textId="77777777" w:rsidR="003356D7" w:rsidRPr="0060163E" w:rsidRDefault="003356D7" w:rsidP="003356D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356D7" w:rsidRPr="0060163E" w14:paraId="1B5A7352" w14:textId="77777777" w:rsidTr="000F7FDB">
        <w:trPr>
          <w:trHeight w:val="487"/>
          <w:jc w:val="center"/>
        </w:trPr>
        <w:tc>
          <w:tcPr>
            <w:tcW w:w="8647" w:type="dxa"/>
          </w:tcPr>
          <w:p w14:paraId="6D430636" w14:textId="77777777" w:rsidR="003356D7" w:rsidRDefault="003356D7" w:rsidP="003356D7">
            <w:pPr>
              <w:numPr>
                <w:ilvl w:val="0"/>
                <w:numId w:val="19"/>
              </w:numPr>
              <w:spacing w:before="120" w:after="120" w:line="276" w:lineRule="auto"/>
              <w:ind w:left="726" w:hanging="357"/>
              <w:jc w:val="both"/>
              <w:rPr>
                <w:rFonts w:ascii="Verdana" w:hAnsi="Verdana" w:cs="Arial"/>
                <w:lang w:val="es-ES"/>
              </w:rPr>
            </w:pPr>
            <w:r>
              <w:rPr>
                <w:rFonts w:ascii="Verdana" w:hAnsi="Verdana" w:cs="Arial"/>
                <w:lang w:val="es-ES"/>
              </w:rPr>
              <w:t xml:space="preserve">Código Civil, artículos 1505, 2177, 2182 y 2183. </w:t>
            </w:r>
          </w:p>
          <w:p w14:paraId="3F5234BC" w14:textId="77777777" w:rsidR="003356D7" w:rsidRPr="0060163E" w:rsidRDefault="003356D7" w:rsidP="003356D7">
            <w:pPr>
              <w:numPr>
                <w:ilvl w:val="0"/>
                <w:numId w:val="19"/>
              </w:numPr>
              <w:spacing w:before="120" w:after="120" w:line="276" w:lineRule="auto"/>
              <w:ind w:left="726" w:hanging="357"/>
              <w:jc w:val="both"/>
              <w:rPr>
                <w:rFonts w:ascii="Verdana" w:hAnsi="Verdana" w:cs="Arial"/>
                <w:lang w:val="es-ES"/>
              </w:rPr>
            </w:pPr>
            <w:r>
              <w:rPr>
                <w:rFonts w:ascii="Verdana" w:hAnsi="Verdana" w:cs="Arial"/>
                <w:lang w:val="es-ES"/>
              </w:rPr>
              <w:lastRenderedPageBreak/>
              <w:t>Ley 80 de 1993, artículos 8,</w:t>
            </w:r>
            <w:r w:rsidRPr="0060163E">
              <w:rPr>
                <w:rFonts w:ascii="Verdana" w:hAnsi="Verdana" w:cs="Arial"/>
                <w:lang w:val="es-ES"/>
              </w:rPr>
              <w:t xml:space="preserve"> 9</w:t>
            </w:r>
            <w:r>
              <w:rPr>
                <w:rFonts w:ascii="Verdana" w:hAnsi="Verdana" w:cs="Arial"/>
                <w:lang w:val="es-ES"/>
              </w:rPr>
              <w:t>, 13,32 y 40</w:t>
            </w:r>
            <w:r w:rsidRPr="0060163E">
              <w:rPr>
                <w:rFonts w:ascii="Verdana" w:hAnsi="Verdana" w:cs="Arial"/>
                <w:lang w:val="es-ES"/>
              </w:rPr>
              <w:t xml:space="preserve"> </w:t>
            </w:r>
          </w:p>
          <w:p w14:paraId="4FBDF886" w14:textId="77777777" w:rsidR="003356D7" w:rsidRPr="0060163E" w:rsidRDefault="003356D7" w:rsidP="003356D7">
            <w:pPr>
              <w:numPr>
                <w:ilvl w:val="0"/>
                <w:numId w:val="19"/>
              </w:numPr>
              <w:spacing w:before="120" w:after="120" w:line="276" w:lineRule="auto"/>
              <w:ind w:left="726" w:hanging="357"/>
              <w:jc w:val="both"/>
              <w:rPr>
                <w:rFonts w:ascii="Verdana" w:hAnsi="Verdana" w:cs="Arial"/>
                <w:lang w:val="es-ES"/>
              </w:rPr>
            </w:pPr>
            <w:r w:rsidRPr="0060163E">
              <w:rPr>
                <w:rFonts w:ascii="Verdana" w:hAnsi="Verdana" w:cs="Arial"/>
                <w:lang w:val="es-ES"/>
              </w:rPr>
              <w:t xml:space="preserve">Decreto 770 de 2005, artículos 4 y 33 </w:t>
            </w:r>
          </w:p>
          <w:p w14:paraId="45F3F98E" w14:textId="77777777" w:rsidR="003356D7" w:rsidRPr="0060163E" w:rsidRDefault="003356D7" w:rsidP="003356D7">
            <w:pPr>
              <w:numPr>
                <w:ilvl w:val="0"/>
                <w:numId w:val="19"/>
              </w:numPr>
              <w:spacing w:before="120" w:after="120" w:line="276" w:lineRule="auto"/>
              <w:ind w:left="726" w:hanging="357"/>
              <w:jc w:val="both"/>
              <w:rPr>
                <w:rFonts w:ascii="Verdana" w:hAnsi="Verdana" w:cs="Arial"/>
                <w:lang w:val="es-ES"/>
              </w:rPr>
            </w:pPr>
            <w:r w:rsidRPr="0060163E">
              <w:rPr>
                <w:rFonts w:ascii="Verdana" w:hAnsi="Verdana" w:cs="Arial"/>
                <w:lang w:val="es-ES"/>
              </w:rPr>
              <w:t xml:space="preserve">Decreto 785, artículos 3 y 4. </w:t>
            </w:r>
          </w:p>
          <w:p w14:paraId="3BB9A45D" w14:textId="77777777" w:rsidR="003356D7" w:rsidRPr="0060163E" w:rsidRDefault="003356D7" w:rsidP="003356D7">
            <w:pPr>
              <w:numPr>
                <w:ilvl w:val="0"/>
                <w:numId w:val="19"/>
              </w:numPr>
              <w:spacing w:before="120" w:after="120" w:line="276" w:lineRule="auto"/>
              <w:ind w:left="726" w:hanging="357"/>
              <w:jc w:val="both"/>
              <w:rPr>
                <w:rFonts w:ascii="Verdana" w:hAnsi="Verdana" w:cs="Arial"/>
                <w:lang w:val="es-ES"/>
              </w:rPr>
            </w:pPr>
            <w:r>
              <w:rPr>
                <w:rFonts w:ascii="Verdana" w:hAnsi="Verdana" w:cs="Arial"/>
                <w:lang w:val="es-ES"/>
              </w:rPr>
              <w:t xml:space="preserve">Ley 617 de 2010, artículos 36 y </w:t>
            </w:r>
            <w:r w:rsidRPr="0060163E">
              <w:rPr>
                <w:rFonts w:ascii="Verdana" w:hAnsi="Verdana" w:cs="Arial"/>
                <w:lang w:val="es-ES"/>
              </w:rPr>
              <w:t xml:space="preserve">49. </w:t>
            </w:r>
          </w:p>
          <w:p w14:paraId="5BE34D37" w14:textId="77777777" w:rsidR="003356D7" w:rsidRPr="0060163E" w:rsidRDefault="003356D7" w:rsidP="003356D7">
            <w:pPr>
              <w:numPr>
                <w:ilvl w:val="0"/>
                <w:numId w:val="19"/>
              </w:numPr>
              <w:spacing w:before="120" w:after="120" w:line="276" w:lineRule="auto"/>
              <w:ind w:left="726" w:hanging="357"/>
              <w:jc w:val="both"/>
              <w:rPr>
                <w:rFonts w:ascii="Verdana" w:hAnsi="Verdana" w:cs="Arial"/>
                <w:lang w:val="es-ES"/>
              </w:rPr>
            </w:pPr>
            <w:r w:rsidRPr="0060163E">
              <w:rPr>
                <w:rFonts w:ascii="Verdana" w:hAnsi="Verdana" w:cs="Arial"/>
                <w:lang w:val="es-ES"/>
              </w:rPr>
              <w:t xml:space="preserve">Ley 821 de 2003, artículo 1. </w:t>
            </w:r>
          </w:p>
          <w:p w14:paraId="3A16111F" w14:textId="77777777" w:rsidR="003356D7" w:rsidRPr="0060163E" w:rsidRDefault="003356D7" w:rsidP="003356D7">
            <w:pPr>
              <w:numPr>
                <w:ilvl w:val="0"/>
                <w:numId w:val="19"/>
              </w:numPr>
              <w:spacing w:before="120" w:after="120" w:line="276" w:lineRule="auto"/>
              <w:ind w:left="726" w:hanging="357"/>
              <w:jc w:val="both"/>
              <w:rPr>
                <w:rFonts w:ascii="Verdana" w:hAnsi="Verdana" w:cs="Arial"/>
                <w:lang w:val="es-ES"/>
              </w:rPr>
            </w:pPr>
            <w:r w:rsidRPr="0060163E">
              <w:rPr>
                <w:rFonts w:ascii="Verdana" w:hAnsi="Verdana" w:cs="Arial"/>
                <w:lang w:val="es-ES"/>
              </w:rPr>
              <w:t xml:space="preserve">Ley 1148 de 2007, artículo 1. </w:t>
            </w:r>
          </w:p>
          <w:p w14:paraId="7B9B9971" w14:textId="77777777" w:rsidR="003356D7" w:rsidRPr="00A42FB0" w:rsidRDefault="003356D7" w:rsidP="003356D7">
            <w:pPr>
              <w:numPr>
                <w:ilvl w:val="0"/>
                <w:numId w:val="19"/>
              </w:numPr>
              <w:spacing w:before="120" w:after="120" w:line="276" w:lineRule="auto"/>
              <w:ind w:left="726" w:hanging="357"/>
              <w:jc w:val="both"/>
              <w:rPr>
                <w:rFonts w:ascii="Verdana" w:hAnsi="Verdana" w:cs="Arial"/>
                <w:lang w:val="es-ES"/>
              </w:rPr>
            </w:pPr>
            <w:r w:rsidRPr="0060163E">
              <w:rPr>
                <w:rFonts w:ascii="Verdana" w:hAnsi="Verdana" w:cs="Arial"/>
                <w:lang w:val="es-ES"/>
              </w:rPr>
              <w:t xml:space="preserve">Ley 1296 de 2009, artículo 1. </w:t>
            </w:r>
          </w:p>
        </w:tc>
      </w:tr>
    </w:tbl>
    <w:p w14:paraId="7806E096" w14:textId="77777777" w:rsidR="003356D7" w:rsidRPr="0060163E" w:rsidRDefault="003356D7" w:rsidP="003356D7">
      <w:pPr>
        <w:spacing w:after="0" w:line="276" w:lineRule="auto"/>
        <w:ind w:left="360"/>
        <w:contextualSpacing/>
        <w:rPr>
          <w:rFonts w:ascii="Verdana" w:eastAsia="Calibri" w:hAnsi="Verdana" w:cs="Times New Roman"/>
          <w:b/>
          <w:bCs/>
          <w:lang w:val="es-ES"/>
        </w:rPr>
      </w:pPr>
    </w:p>
    <w:p w14:paraId="3AE2C57E" w14:textId="77777777" w:rsidR="003356D7" w:rsidRPr="0060163E" w:rsidRDefault="003356D7" w:rsidP="003356D7">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28BF34F0" w14:textId="77777777" w:rsidR="003356D7" w:rsidRPr="0060163E" w:rsidRDefault="003356D7" w:rsidP="003356D7">
      <w:pPr>
        <w:spacing w:after="0" w:line="276" w:lineRule="auto"/>
        <w:rPr>
          <w:rFonts w:ascii="Verdana" w:eastAsia="Calibri" w:hAnsi="Verdana" w:cs="Times New Roman"/>
          <w:lang w:val="es-ES"/>
        </w:rPr>
      </w:pPr>
    </w:p>
    <w:p w14:paraId="4A5E9D93" w14:textId="77777777" w:rsidR="003356D7" w:rsidRPr="00913D97" w:rsidRDefault="003356D7" w:rsidP="003356D7">
      <w:pPr>
        <w:widowControl w:val="0"/>
        <w:autoSpaceDE w:val="0"/>
        <w:autoSpaceDN w:val="0"/>
        <w:spacing w:after="0" w:line="276" w:lineRule="auto"/>
        <w:jc w:val="both"/>
        <w:rPr>
          <w:rFonts w:ascii="Verdana" w:hAnsi="Verdana" w:cs="Arial"/>
          <w:shd w:val="clear" w:color="auto" w:fill="FFFFFF"/>
          <w:lang w:val="es-ES"/>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 xml:space="preserve">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w:t>
      </w:r>
      <w:r w:rsidRPr="0060163E">
        <w:rPr>
          <w:rFonts w:ascii="Verdana" w:hAnsi="Verdana" w:cs="Arial"/>
          <w:shd w:val="clear" w:color="auto" w:fill="FFFFFF"/>
          <w:lang w:val="es-ES"/>
        </w:rPr>
        <w:lastRenderedPageBreak/>
        <w:t>C-172 de 25 de julio de 2024, C-271 del 22 de julio de 2024, C-904 del 9 de diciembre de 2024,</w:t>
      </w:r>
      <w:r>
        <w:rPr>
          <w:rFonts w:ascii="Verdana" w:hAnsi="Verdana" w:cs="Arial"/>
          <w:shd w:val="clear" w:color="auto" w:fill="FFFFFF"/>
          <w:lang w:val="es-ES"/>
        </w:rPr>
        <w:t xml:space="preserve"> C-170 del 19 de marzo de 2025, C-392 del 8 de mayo de 2025, C-632 del 2 de julio de 2025, C-710 del 15 de julio de 2025, </w:t>
      </w:r>
      <w:r w:rsidRPr="00913D97">
        <w:rPr>
          <w:rFonts w:ascii="Verdana" w:hAnsi="Verdana" w:cs="Arial"/>
          <w:shd w:val="clear" w:color="auto" w:fill="FFFFFF"/>
          <w:lang w:val="es-ES"/>
        </w:rPr>
        <w:t xml:space="preserve">C-731 del 21 de agosto de 2025, </w:t>
      </w:r>
      <w:r>
        <w:rPr>
          <w:rFonts w:ascii="Verdana" w:hAnsi="Verdana" w:cs="Arial"/>
          <w:shd w:val="clear" w:color="auto" w:fill="FFFFFF"/>
          <w:lang w:val="es-ES"/>
        </w:rPr>
        <w:t xml:space="preserve">C-1058 del 5 de septiembre de 2025, C-1388 del 30 de octubre de 2025, </w:t>
      </w:r>
      <w:r w:rsidRPr="00640340">
        <w:rPr>
          <w:rFonts w:ascii="Verdana" w:hAnsi="Verdana" w:cs="Arial"/>
          <w:shd w:val="clear" w:color="auto" w:fill="FFFFFF"/>
          <w:lang w:val="es-ES"/>
        </w:rPr>
        <w:t xml:space="preserve">entre otros. </w:t>
      </w:r>
      <w:r>
        <w:rPr>
          <w:rFonts w:ascii="Verdana" w:hAnsi="Verdana" w:cs="Arial"/>
          <w:shd w:val="clear" w:color="auto" w:fill="FFFFFF"/>
          <w:lang w:val="es-ES"/>
        </w:rPr>
        <w:t xml:space="preserve">En cuanto a los conflictos de interés sobre el ejercicio de profesiones de la ingeniería y la arquitectura, se destacan los Conceptos C-710 del 15 de julio de 2025, C-1058 del 5 de septiembre de 2025, C-1388 del 30 de octubre de 2025, entre otros. En torno a las inhabilidades e incompatibilidades el artículo 49 de la Ley 617 de 2000 se destaca los conceptos C- 293 del 28 de agosto de 2021, C-201 del 26 de marzo de 2025, C-1092 del 12 de septiembre de 2025, C-1111 del 11 de septiembre de 2025, entre otros. </w:t>
      </w: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3"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2ACFE7B2" w14:textId="77777777" w:rsidR="003356D7" w:rsidRPr="0060163E" w:rsidRDefault="003356D7" w:rsidP="003356D7">
      <w:pPr>
        <w:spacing w:after="0" w:line="276" w:lineRule="auto"/>
        <w:jc w:val="both"/>
        <w:rPr>
          <w:rFonts w:ascii="Verdana" w:hAnsi="Verdana"/>
        </w:rPr>
      </w:pPr>
    </w:p>
    <w:p w14:paraId="04F86299" w14:textId="77777777" w:rsidR="003356D7" w:rsidRPr="00DB2A80" w:rsidRDefault="003356D7" w:rsidP="003356D7">
      <w:pPr>
        <w:spacing w:after="0" w:line="256" w:lineRule="auto"/>
        <w:jc w:val="both"/>
        <w:rPr>
          <w:rFonts w:ascii="Verdana" w:eastAsia="Calibri" w:hAnsi="Verdana" w:cs="Times New Roman"/>
        </w:rPr>
      </w:pPr>
      <w:r w:rsidRPr="00DB2A80">
        <w:rPr>
          <w:rFonts w:ascii="Verdana" w:eastAsia="Calibri" w:hAnsi="Verdana" w:cs="Times New Roman"/>
        </w:rPr>
        <w:t xml:space="preserve">Te informamos que ya se encuentra disponible la </w:t>
      </w:r>
      <w:r w:rsidRPr="00DB2A80">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DB2A80">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47EB2D45" w14:textId="77777777" w:rsidR="003356D7" w:rsidRPr="00DB2A80" w:rsidRDefault="003356D7" w:rsidP="003356D7">
      <w:pPr>
        <w:spacing w:after="0" w:line="256" w:lineRule="auto"/>
        <w:jc w:val="both"/>
        <w:rPr>
          <w:rFonts w:ascii="Verdana" w:eastAsia="Calibri" w:hAnsi="Verdana" w:cs="Times New Roman"/>
        </w:rPr>
      </w:pPr>
    </w:p>
    <w:p w14:paraId="243497EB" w14:textId="77777777" w:rsidR="003356D7" w:rsidRPr="00DB2A80" w:rsidRDefault="003356D7" w:rsidP="003356D7">
      <w:pPr>
        <w:spacing w:after="0" w:line="256" w:lineRule="auto"/>
        <w:jc w:val="both"/>
        <w:rPr>
          <w:rFonts w:ascii="Verdana" w:eastAsia="Calibri" w:hAnsi="Verdana" w:cs="Times New Roman"/>
          <w:bCs/>
          <w:lang w:val="es-ES_tradnl"/>
        </w:rPr>
      </w:pPr>
      <w:r w:rsidRPr="00DB2A8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B4E2C6" w14:textId="77777777" w:rsidR="003356D7" w:rsidRPr="00DB2A80" w:rsidRDefault="003356D7" w:rsidP="003356D7">
      <w:pPr>
        <w:spacing w:after="0" w:line="256" w:lineRule="auto"/>
        <w:jc w:val="both"/>
        <w:rPr>
          <w:rFonts w:ascii="Verdana" w:eastAsia="Calibri" w:hAnsi="Verdana" w:cs="Times New Roman"/>
        </w:rPr>
      </w:pPr>
    </w:p>
    <w:p w14:paraId="066C7597" w14:textId="77777777" w:rsidR="003356D7" w:rsidRPr="00DB2A80" w:rsidRDefault="003356D7" w:rsidP="003356D7">
      <w:pPr>
        <w:spacing w:after="0" w:line="256" w:lineRule="auto"/>
        <w:jc w:val="both"/>
        <w:rPr>
          <w:rFonts w:ascii="Verdana" w:eastAsia="Calibri" w:hAnsi="Verdana" w:cs="Times New Roman"/>
        </w:rPr>
      </w:pPr>
      <w:r w:rsidRPr="00DB2A80">
        <w:rPr>
          <w:rFonts w:ascii="Verdana" w:eastAsia="Calibri" w:hAnsi="Verdana" w:cs="Times New Roman"/>
        </w:rPr>
        <w:t>Atentamente,</w:t>
      </w:r>
    </w:p>
    <w:p w14:paraId="09E7C30D" w14:textId="77777777" w:rsidR="003356D7" w:rsidRDefault="003356D7" w:rsidP="003356D7">
      <w:pPr>
        <w:spacing w:after="0" w:line="256" w:lineRule="auto"/>
        <w:rPr>
          <w:rFonts w:ascii="Century Gothic" w:hAnsi="Century Gothic"/>
          <w:noProof/>
          <w:lang w:val="en-US"/>
        </w:rPr>
      </w:pPr>
    </w:p>
    <w:p w14:paraId="1B328F1C" w14:textId="6649B88E" w:rsidR="003356D7" w:rsidRDefault="00EC4B47" w:rsidP="003356D7">
      <w:pPr>
        <w:spacing w:after="0" w:line="256" w:lineRule="auto"/>
        <w:jc w:val="center"/>
        <w:rPr>
          <w:rFonts w:ascii="Century Gothic" w:hAnsi="Century Gothic"/>
          <w:noProof/>
          <w:lang w:val="en-US"/>
        </w:rPr>
      </w:pPr>
      <w:r w:rsidRPr="002C3AD6">
        <w:rPr>
          <w:rFonts w:ascii="Century Gothic" w:hAnsi="Century Gothic"/>
          <w:noProof/>
          <w:lang w:val="en-US"/>
        </w:rPr>
        <w:lastRenderedPageBreak/>
        <w:drawing>
          <wp:inline distT="0" distB="0" distL="0" distR="0" wp14:anchorId="353A16A6" wp14:editId="1083A9D6">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7DA8E049" w14:textId="77777777" w:rsidR="003356D7" w:rsidRPr="00DB2A80" w:rsidRDefault="003356D7" w:rsidP="003356D7">
      <w:pPr>
        <w:spacing w:after="0" w:line="256" w:lineRule="auto"/>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356D7" w:rsidRPr="00DB2A80" w14:paraId="422DC802" w14:textId="77777777" w:rsidTr="000F7FDB">
        <w:trPr>
          <w:trHeight w:val="409"/>
        </w:trPr>
        <w:tc>
          <w:tcPr>
            <w:tcW w:w="817" w:type="dxa"/>
            <w:tcBorders>
              <w:top w:val="nil"/>
              <w:left w:val="nil"/>
              <w:bottom w:val="nil"/>
              <w:right w:val="nil"/>
            </w:tcBorders>
            <w:vAlign w:val="center"/>
            <w:hideMark/>
          </w:tcPr>
          <w:p w14:paraId="52B15CC9"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941660E"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José Luis Sánchez Cardona</w:t>
            </w:r>
          </w:p>
          <w:p w14:paraId="5CF51B86"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Contratista de la Subdirección de Gestión Contractual</w:t>
            </w:r>
          </w:p>
        </w:tc>
      </w:tr>
      <w:tr w:rsidR="003356D7" w:rsidRPr="00DB2A80" w14:paraId="1A0532D0" w14:textId="77777777" w:rsidTr="000F7FDB">
        <w:trPr>
          <w:trHeight w:val="409"/>
        </w:trPr>
        <w:tc>
          <w:tcPr>
            <w:tcW w:w="817" w:type="dxa"/>
            <w:tcBorders>
              <w:top w:val="nil"/>
              <w:left w:val="nil"/>
              <w:bottom w:val="nil"/>
              <w:right w:val="nil"/>
            </w:tcBorders>
            <w:vAlign w:val="center"/>
            <w:hideMark/>
          </w:tcPr>
          <w:p w14:paraId="715ED6E1"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E6673FE"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Alejandro Sarmiento Cantillo</w:t>
            </w:r>
          </w:p>
          <w:p w14:paraId="1B7CB3AA"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Gestor T1-15 de la Subdirección de Gestión Contractual </w:t>
            </w:r>
          </w:p>
        </w:tc>
      </w:tr>
      <w:tr w:rsidR="003356D7" w:rsidRPr="00DB2A80" w14:paraId="3E281BAC" w14:textId="77777777" w:rsidTr="000F7FDB">
        <w:trPr>
          <w:trHeight w:val="389"/>
        </w:trPr>
        <w:tc>
          <w:tcPr>
            <w:tcW w:w="817" w:type="dxa"/>
            <w:tcBorders>
              <w:top w:val="nil"/>
              <w:left w:val="nil"/>
              <w:bottom w:val="nil"/>
              <w:right w:val="nil"/>
            </w:tcBorders>
            <w:vAlign w:val="center"/>
            <w:hideMark/>
          </w:tcPr>
          <w:p w14:paraId="547B15ED"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1050010"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Carolina Quintero Gacharná</w:t>
            </w:r>
          </w:p>
          <w:p w14:paraId="07E02CEC" w14:textId="77777777" w:rsidR="003356D7" w:rsidRPr="00DB2A80" w:rsidRDefault="003356D7" w:rsidP="000F7FDB">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Subdirectora de Gestión Contractual ANCP – CCE</w:t>
            </w:r>
          </w:p>
        </w:tc>
      </w:tr>
    </w:tbl>
    <w:p w14:paraId="23BA6955" w14:textId="77777777" w:rsidR="003356D7" w:rsidRPr="0024624F" w:rsidRDefault="003356D7" w:rsidP="003356D7">
      <w:pPr>
        <w:spacing w:after="0"/>
        <w:rPr>
          <w:rFonts w:ascii="Verdana" w:hAnsi="Verdana"/>
        </w:rPr>
      </w:pPr>
    </w:p>
    <w:bookmarkEnd w:id="0"/>
    <w:p w14:paraId="5D64733D" w14:textId="0836FC1C" w:rsidR="007A1830" w:rsidRPr="003356D7" w:rsidRDefault="007A1830" w:rsidP="003356D7"/>
    <w:sectPr w:rsidR="007A1830" w:rsidRPr="003356D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2AC6C" w14:textId="77777777" w:rsidR="00EA6B67" w:rsidRDefault="00EA6B67" w:rsidP="004A1847">
      <w:pPr>
        <w:spacing w:after="0" w:line="240" w:lineRule="auto"/>
      </w:pPr>
      <w:r>
        <w:separator/>
      </w:r>
    </w:p>
  </w:endnote>
  <w:endnote w:type="continuationSeparator" w:id="0">
    <w:p w14:paraId="5142F76F" w14:textId="77777777" w:rsidR="00EA6B67" w:rsidRDefault="00EA6B6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A1847" w:rsidRDefault="004A1847">
    <w:pPr>
      <w:pStyle w:val="Piedepgina"/>
    </w:pPr>
  </w:p>
  <w:p w14:paraId="594D6D9F" w14:textId="135F68DE"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FF1E32" w:rsidRPr="00FF1E32">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31A76" w:rsidRDefault="00A31A76">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06152" w14:textId="77777777" w:rsidR="00EA6B67" w:rsidRDefault="00EA6B67" w:rsidP="004A1847">
      <w:pPr>
        <w:spacing w:after="0" w:line="240" w:lineRule="auto"/>
      </w:pPr>
      <w:r>
        <w:separator/>
      </w:r>
    </w:p>
  </w:footnote>
  <w:footnote w:type="continuationSeparator" w:id="0">
    <w:p w14:paraId="05B24E8B" w14:textId="77777777" w:rsidR="00EA6B67" w:rsidRDefault="00EA6B67" w:rsidP="004A1847">
      <w:pPr>
        <w:spacing w:after="0" w:line="240" w:lineRule="auto"/>
      </w:pPr>
      <w:r>
        <w:continuationSeparator/>
      </w:r>
    </w:p>
  </w:footnote>
  <w:footnote w:id="1">
    <w:p w14:paraId="4D5A3000" w14:textId="77777777" w:rsidR="003356D7" w:rsidRPr="00EC4B47" w:rsidRDefault="003356D7" w:rsidP="003356D7">
      <w:pPr>
        <w:pStyle w:val="Textonotapie"/>
        <w:ind w:firstLine="708"/>
        <w:jc w:val="both"/>
        <w:rPr>
          <w:rFonts w:ascii="Verdana" w:hAnsi="Verdana"/>
          <w:sz w:val="16"/>
          <w:szCs w:val="16"/>
        </w:rPr>
      </w:pPr>
      <w:r w:rsidRPr="00EC4B47">
        <w:rPr>
          <w:rFonts w:ascii="Verdana" w:hAnsi="Verdana"/>
          <w:sz w:val="16"/>
          <w:szCs w:val="16"/>
          <w:vertAlign w:val="superscript"/>
        </w:rPr>
        <w:footnoteRef/>
      </w:r>
      <w:r w:rsidRPr="00EC4B47">
        <w:rPr>
          <w:rFonts w:ascii="Verdana" w:hAnsi="Verdana"/>
          <w:sz w:val="16"/>
          <w:szCs w:val="16"/>
        </w:rPr>
        <w:t xml:space="preserve"> Corte Constitucional. Sentencia C-181 de 1997. M.P. Fabio Morón Díaz. Ver también las Sentencias C-540 de 2001, C-893 de 2003 y C-903 de 2008, entre otras.</w:t>
      </w:r>
    </w:p>
  </w:footnote>
  <w:footnote w:id="2">
    <w:p w14:paraId="17F048F1" w14:textId="77777777" w:rsidR="003356D7" w:rsidRPr="00EC4B47" w:rsidRDefault="003356D7" w:rsidP="003356D7">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Corte Constitucional. Sentencia C-1016 de 2012. M.P. Jorge Iván Palacio.</w:t>
      </w:r>
    </w:p>
  </w:footnote>
  <w:footnote w:id="3">
    <w:p w14:paraId="782B1053" w14:textId="77777777" w:rsidR="003356D7" w:rsidRPr="00EC4B47" w:rsidRDefault="003356D7" w:rsidP="003356D7">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rPr>
        <w:t xml:space="preserve"> Consejo de Estado. Sección Tercera. Subsección A. Sentencia del 13 de noviembre de 2013. </w:t>
      </w:r>
      <w:r w:rsidRPr="00EC4B47">
        <w:rPr>
          <w:rFonts w:ascii="Verdana" w:hAnsi="Verdana"/>
          <w:sz w:val="16"/>
          <w:szCs w:val="16"/>
          <w:lang w:val="pt-BR"/>
        </w:rPr>
        <w:t xml:space="preserve">Rad. 25.646. C.P. Mauricio Fajardo Gómez.  </w:t>
      </w:r>
    </w:p>
  </w:footnote>
  <w:footnote w:id="4">
    <w:p w14:paraId="271E4AFF" w14:textId="77777777" w:rsidR="003356D7" w:rsidRPr="00EC4B47" w:rsidRDefault="003356D7" w:rsidP="003356D7">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Corte Constitucional. Sentencia C-415 de 1994. M.P. Eduardo Cifuentes Muñoz.</w:t>
      </w:r>
    </w:p>
  </w:footnote>
  <w:footnote w:id="5">
    <w:p w14:paraId="502FE271" w14:textId="77777777" w:rsidR="003356D7" w:rsidRPr="00EC4B47" w:rsidRDefault="003356D7" w:rsidP="003356D7">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Ibídem.</w:t>
      </w:r>
    </w:p>
  </w:footnote>
  <w:footnote w:id="6">
    <w:p w14:paraId="580EDFAB" w14:textId="77777777" w:rsidR="003356D7" w:rsidRPr="00EC4B47" w:rsidRDefault="003356D7" w:rsidP="003356D7">
      <w:pPr>
        <w:pStyle w:val="Textonotapie"/>
        <w:ind w:firstLine="708"/>
        <w:jc w:val="both"/>
        <w:rPr>
          <w:rFonts w:ascii="Verdana" w:hAnsi="Verdana"/>
          <w:sz w:val="16"/>
          <w:szCs w:val="16"/>
          <w:lang w:val="es-CO"/>
        </w:rPr>
      </w:pPr>
      <w:r w:rsidRPr="00EC4B47">
        <w:rPr>
          <w:rStyle w:val="Refdenotaalpie"/>
          <w:rFonts w:ascii="Verdana" w:hAnsi="Verdana"/>
          <w:sz w:val="16"/>
          <w:szCs w:val="16"/>
        </w:rPr>
        <w:footnoteRef/>
      </w:r>
      <w:r w:rsidRPr="00EC4B47">
        <w:rPr>
          <w:rFonts w:ascii="Verdana" w:hAnsi="Verdana"/>
          <w:sz w:val="16"/>
          <w:szCs w:val="16"/>
          <w:lang w:val="pt-BR"/>
        </w:rPr>
        <w:t xml:space="preserve"> Corte Constitucional. </w:t>
      </w:r>
      <w:r w:rsidRPr="00EC4B47">
        <w:rPr>
          <w:rFonts w:ascii="Verdana" w:hAnsi="Verdana"/>
          <w:sz w:val="16"/>
          <w:szCs w:val="16"/>
        </w:rPr>
        <w:t xml:space="preserve">Sentencia C-780 de 2001. </w:t>
      </w:r>
      <w:r w:rsidRPr="00EC4B47">
        <w:rPr>
          <w:rFonts w:ascii="Verdana" w:hAnsi="Verdana"/>
          <w:sz w:val="16"/>
          <w:szCs w:val="16"/>
          <w:lang w:val="es-CO"/>
        </w:rPr>
        <w:t xml:space="preserve">M.P. Jaime Córdoba Triviño. </w:t>
      </w:r>
    </w:p>
    <w:p w14:paraId="4DA77C0F" w14:textId="77777777" w:rsidR="003356D7" w:rsidRPr="00EC4B47" w:rsidRDefault="003356D7" w:rsidP="003356D7">
      <w:pPr>
        <w:pStyle w:val="Textonotapie"/>
        <w:ind w:firstLine="708"/>
        <w:jc w:val="both"/>
        <w:rPr>
          <w:rFonts w:ascii="Verdana" w:hAnsi="Verdana"/>
          <w:sz w:val="16"/>
          <w:szCs w:val="16"/>
          <w:lang w:val="es-CO"/>
        </w:rPr>
      </w:pPr>
    </w:p>
  </w:footnote>
  <w:footnote w:id="7">
    <w:p w14:paraId="2D4F3C98" w14:textId="77777777" w:rsidR="003356D7" w:rsidRPr="00EC4B47" w:rsidRDefault="003356D7" w:rsidP="003356D7">
      <w:pPr>
        <w:pStyle w:val="NormalWeb"/>
        <w:spacing w:before="0" w:beforeAutospacing="0" w:after="0" w:afterAutospacing="0"/>
        <w:ind w:firstLine="708"/>
        <w:jc w:val="both"/>
        <w:rPr>
          <w:rFonts w:ascii="Verdana" w:eastAsia="Calibri" w:hAnsi="Verdana" w:cs="Arial"/>
          <w:sz w:val="16"/>
          <w:szCs w:val="16"/>
          <w:lang w:val="es-ES" w:eastAsia="en-US"/>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eastAsia="Calibri" w:hAnsi="Verdana" w:cs="Arial"/>
          <w:sz w:val="16"/>
          <w:szCs w:val="16"/>
          <w:lang w:val="es-ES" w:eastAsia="en-US"/>
        </w:rPr>
        <w:t>Ley 80 de 1993: “Artículo 8: 1o. Son inhábiles para participar en licitaciones o concursos y para celebrar contratos con las entidades estatales: </w:t>
      </w:r>
    </w:p>
    <w:p w14:paraId="53D45155"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a) Las personas que se hallen inhabilitadas para contratar por la Constitución y las leyes. </w:t>
      </w:r>
    </w:p>
    <w:p w14:paraId="134119FA"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b) Quienes participaron en las licitaciones o concursos o celebraron los contratos de que trata el literal anterior estando inhabilitados. </w:t>
      </w:r>
    </w:p>
    <w:p w14:paraId="438E351B"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c) Quienes dieron lugar a la declaratoria de caducidad. </w:t>
      </w:r>
    </w:p>
    <w:p w14:paraId="419829DF"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d) Quienes en sentencia judicial hayan sido condenados a la pena accesoria de interdicción de derechos y funciones públicas y quienes hayan sido sancionados disciplinariamente con destitución. </w:t>
      </w:r>
    </w:p>
    <w:p w14:paraId="058B1A6B"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e) Quienes sin justa causa se abstengan de suscribir el contrato estatal adjudicado. </w:t>
      </w:r>
    </w:p>
    <w:p w14:paraId="44813C82"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f) Los servidores públicos. </w:t>
      </w:r>
    </w:p>
    <w:p w14:paraId="2CFB2590"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39DCD317" w14:textId="77777777" w:rsidR="003356D7" w:rsidRPr="00EC4B47" w:rsidRDefault="003356D7" w:rsidP="003356D7">
      <w:pPr>
        <w:pStyle w:val="NormalWeb"/>
        <w:spacing w:before="0" w:beforeAutospacing="0" w:after="0" w:afterAutospacing="0"/>
        <w:ind w:firstLine="708"/>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679AE1A9"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i) Los socios de sociedades de personas a las cuales se haya declarado la caducidad, así como las sociedades de personas de las que aquellos formen parte con posterioridad a dicha declaratoria. </w:t>
      </w:r>
    </w:p>
    <w:p w14:paraId="3BCFF519"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33FA9EB8"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30A7BC21"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EC4B47">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EC4B47">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EC4B47">
        <w:rPr>
          <w:rFonts w:ascii="Verdana" w:eastAsia="Calibri" w:hAnsi="Verdana" w:cs="Arial"/>
          <w:sz w:val="16"/>
          <w:szCs w:val="16"/>
          <w:lang w:val="es-ES" w:eastAsia="en-US"/>
        </w:rPr>
        <w:softHyphen/>
        <w:t>nería jurídica en los términos de ley, o cuyos representantes legales, ad</w:t>
      </w:r>
      <w:r w:rsidRPr="00EC4B47">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EC4B47">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2DE91C2D"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w:t>
      </w:r>
    </w:p>
    <w:p w14:paraId="62EAAA2F" w14:textId="77777777" w:rsidR="003356D7" w:rsidRPr="00EC4B47" w:rsidRDefault="003356D7" w:rsidP="003356D7">
      <w:pPr>
        <w:pStyle w:val="NormalWeb"/>
        <w:spacing w:before="0" w:beforeAutospacing="0" w:after="0" w:afterAutospacing="0"/>
        <w:ind w:firstLine="708"/>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2o. Tampoco podrán participar en licitaciones o concursos ni celebrar contratos estatales con la entidad respectiva: </w:t>
      </w:r>
    </w:p>
    <w:p w14:paraId="5F8FC3FC"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295E7E81"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2927DA2E"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78E9DCD7"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3ECA24E8" w14:textId="77777777" w:rsidR="003356D7" w:rsidRPr="00EC4B47" w:rsidRDefault="003356D7" w:rsidP="003356D7">
      <w:pPr>
        <w:pStyle w:val="NormalWeb"/>
        <w:spacing w:before="0" w:beforeAutospacing="0" w:after="0" w:afterAutospacing="0"/>
        <w:jc w:val="both"/>
        <w:rPr>
          <w:rFonts w:ascii="Verdana" w:eastAsia="Calibri" w:hAnsi="Verdana" w:cs="Arial"/>
          <w:sz w:val="16"/>
          <w:szCs w:val="16"/>
          <w:lang w:val="es-ES" w:eastAsia="en-US"/>
        </w:rPr>
      </w:pPr>
      <w:r w:rsidRPr="00EC4B47">
        <w:rPr>
          <w:rFonts w:ascii="Verdana" w:eastAsia="Calibri" w:hAnsi="Verdana" w:cs="Arial"/>
          <w:sz w:val="16"/>
          <w:szCs w:val="16"/>
          <w:lang w:val="es-ES" w:eastAsia="en-US"/>
        </w:rPr>
        <w:t>  </w:t>
      </w:r>
      <w:r w:rsidRPr="00EC4B47">
        <w:rPr>
          <w:rFonts w:ascii="Verdana" w:eastAsia="Calibri" w:hAnsi="Verdana" w:cs="Arial"/>
          <w:sz w:val="16"/>
          <w:szCs w:val="16"/>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6BF6BB69" w14:textId="77777777" w:rsidR="003356D7" w:rsidRPr="00EC4B47" w:rsidRDefault="003356D7" w:rsidP="003356D7">
      <w:pPr>
        <w:pStyle w:val="NormalWeb"/>
        <w:spacing w:before="0" w:beforeAutospacing="0" w:after="0" w:afterAutospacing="0"/>
        <w:ind w:firstLine="708"/>
        <w:jc w:val="both"/>
        <w:rPr>
          <w:rFonts w:ascii="Verdana" w:eastAsia="Calibri" w:hAnsi="Verdana" w:cs="Arial"/>
          <w:sz w:val="16"/>
          <w:szCs w:val="16"/>
          <w:lang w:val="pt-BR" w:eastAsia="en-US"/>
        </w:rPr>
      </w:pPr>
      <w:r w:rsidRPr="00EC4B47">
        <w:rPr>
          <w:rFonts w:ascii="Verdana" w:eastAsia="Calibri" w:hAnsi="Verdana" w:cs="Arial"/>
          <w:sz w:val="16"/>
          <w:szCs w:val="16"/>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EC4B47">
        <w:rPr>
          <w:rFonts w:ascii="Verdana" w:eastAsia="Calibri" w:hAnsi="Verdana" w:cs="Arial"/>
          <w:sz w:val="16"/>
          <w:szCs w:val="16"/>
          <w:lang w:val="pt-BR" w:eastAsia="en-US"/>
        </w:rPr>
        <w:t xml:space="preserve">(…). </w:t>
      </w:r>
    </w:p>
    <w:p w14:paraId="738090E5" w14:textId="77777777" w:rsidR="003356D7" w:rsidRPr="00EC4B47" w:rsidRDefault="003356D7" w:rsidP="003356D7">
      <w:pPr>
        <w:pStyle w:val="NormalWeb"/>
        <w:spacing w:before="0" w:beforeAutospacing="0" w:after="0" w:afterAutospacing="0"/>
        <w:ind w:firstLine="708"/>
        <w:jc w:val="both"/>
        <w:rPr>
          <w:rFonts w:ascii="Verdana" w:eastAsia="Calibri" w:hAnsi="Verdana" w:cs="Arial"/>
          <w:sz w:val="16"/>
          <w:szCs w:val="16"/>
          <w:lang w:val="pt-BR" w:eastAsia="en-US"/>
        </w:rPr>
      </w:pPr>
    </w:p>
  </w:footnote>
  <w:footnote w:id="8">
    <w:p w14:paraId="264394CF" w14:textId="77777777" w:rsidR="003356D7" w:rsidRPr="00EC4B47" w:rsidRDefault="003356D7" w:rsidP="003356D7">
      <w:pPr>
        <w:pStyle w:val="Textonotapie"/>
        <w:ind w:firstLine="708"/>
        <w:jc w:val="both"/>
        <w:rPr>
          <w:rFonts w:ascii="Verdana" w:hAnsi="Verdana"/>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sz w:val="16"/>
          <w:szCs w:val="16"/>
          <w:lang w:val="pt-BR"/>
        </w:rPr>
        <w:t>Ibídem. p. 69.</w:t>
      </w:r>
    </w:p>
  </w:footnote>
  <w:footnote w:id="9">
    <w:p w14:paraId="09B0872B" w14:textId="77777777" w:rsidR="003356D7" w:rsidRPr="00EC4B47" w:rsidRDefault="003356D7" w:rsidP="003356D7">
      <w:pPr>
        <w:pStyle w:val="Textonotapie"/>
        <w:ind w:firstLine="708"/>
        <w:jc w:val="both"/>
        <w:rPr>
          <w:rFonts w:ascii="Verdana" w:hAnsi="Verdana" w:cs="Arial"/>
          <w:sz w:val="16"/>
          <w:szCs w:val="16"/>
          <w:lang w:val="es-ES"/>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sz w:val="16"/>
          <w:szCs w:val="16"/>
          <w:lang w:val="pt-BR"/>
        </w:rPr>
        <w:t xml:space="preserve">Corte Constitucional. Sentencia T-1039 de 2006. M.P. Humberto Sierra Porto. </w:t>
      </w:r>
      <w:r w:rsidRPr="00EC4B47">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footnote>
  <w:footnote w:id="10">
    <w:p w14:paraId="543E386A" w14:textId="77777777" w:rsidR="003356D7" w:rsidRPr="00EC4B47" w:rsidRDefault="003356D7" w:rsidP="003356D7">
      <w:pPr>
        <w:pStyle w:val="Textonotapie"/>
        <w:ind w:firstLine="708"/>
        <w:jc w:val="both"/>
        <w:rPr>
          <w:rFonts w:ascii="Verdana" w:hAnsi="Verdana" w:cs="Arial"/>
          <w:sz w:val="16"/>
          <w:szCs w:val="16"/>
          <w:lang w:val="es-ES"/>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lang w:val="es-ES"/>
        </w:rPr>
        <w:t>Consejo de Estado. Sala de Consulta y Servicio Civil. Concepto del 30 de abril de 2015. Exp. 2251. C.P. Álvaro Namén Vargas.</w:t>
      </w:r>
    </w:p>
  </w:footnote>
  <w:footnote w:id="11">
    <w:p w14:paraId="72071265"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Tercera. Subsección A. Sentencia del 24 de junio de 2015. Exp. 40.635. C.P. Hernán Andrade Rincón (E).</w:t>
      </w:r>
    </w:p>
  </w:footnote>
  <w:footnote w:id="12">
    <w:p w14:paraId="1459AF5F" w14:textId="77777777" w:rsidR="003356D7" w:rsidRPr="00EC4B47" w:rsidRDefault="003356D7" w:rsidP="003356D7">
      <w:pPr>
        <w:pStyle w:val="Textonotapie"/>
        <w:ind w:firstLine="708"/>
        <w:jc w:val="both"/>
        <w:rPr>
          <w:rFonts w:ascii="Verdana" w:hAnsi="Verdana"/>
          <w:sz w:val="16"/>
          <w:szCs w:val="16"/>
          <w:lang w:val="es-ES_tradnl"/>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Tercera. Subsección C. Sentencia del 22 de mayo de 2013. Rad. 24.057. C.P. Olga Mélida Valle De De La Hoz.</w:t>
      </w:r>
    </w:p>
  </w:footnote>
  <w:footnote w:id="13">
    <w:p w14:paraId="4FA97A98" w14:textId="77777777" w:rsidR="003356D7" w:rsidRPr="00EC4B47" w:rsidRDefault="003356D7" w:rsidP="003356D7">
      <w:pPr>
        <w:pStyle w:val="Textonotapie"/>
        <w:ind w:firstLine="708"/>
        <w:jc w:val="both"/>
        <w:rPr>
          <w:rFonts w:ascii="Verdana" w:hAnsi="Verdana" w:cs="Arial"/>
          <w:sz w:val="16"/>
          <w:szCs w:val="16"/>
          <w:lang w:val="pt-BR"/>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sz w:val="16"/>
          <w:szCs w:val="16"/>
          <w:lang w:val="pt-BR"/>
        </w:rPr>
        <w:t>Corte Constitucional. Sentencia C-415 de 1994. M.P. Eduardo Cifuentes Muñoz.</w:t>
      </w:r>
    </w:p>
  </w:footnote>
  <w:footnote w:id="14">
    <w:p w14:paraId="33D10411" w14:textId="77777777" w:rsidR="003356D7" w:rsidRPr="00EC4B47" w:rsidRDefault="003356D7" w:rsidP="003356D7">
      <w:pPr>
        <w:pStyle w:val="Textonotapie"/>
        <w:ind w:firstLine="708"/>
        <w:jc w:val="both"/>
        <w:rPr>
          <w:rFonts w:ascii="Verdana" w:hAnsi="Verdana" w:cs="Arial"/>
          <w:color w:val="000000"/>
          <w:sz w:val="16"/>
          <w:szCs w:val="16"/>
        </w:rPr>
      </w:pPr>
      <w:r w:rsidRPr="00EC4B47">
        <w:rPr>
          <w:rStyle w:val="Refdenotaalpie"/>
          <w:rFonts w:ascii="Verdana" w:hAnsi="Verdana"/>
          <w:sz w:val="16"/>
          <w:szCs w:val="16"/>
        </w:rPr>
        <w:footnoteRef/>
      </w:r>
      <w:r w:rsidRPr="00EC4B47">
        <w:rPr>
          <w:rFonts w:ascii="Verdana" w:hAnsi="Verdana"/>
          <w:sz w:val="16"/>
          <w:szCs w:val="16"/>
          <w:lang w:val="pt-BR"/>
        </w:rPr>
        <w:t xml:space="preserve"> </w:t>
      </w:r>
      <w:r w:rsidRPr="00EC4B47">
        <w:rPr>
          <w:rFonts w:ascii="Verdana" w:hAnsi="Verdana" w:cs="Arial"/>
          <w:color w:val="000000"/>
          <w:sz w:val="16"/>
          <w:szCs w:val="16"/>
          <w:lang w:val="pt-BR"/>
        </w:rPr>
        <w:t xml:space="preserve">Consejo de Estado. Sala de lo contencioso administrativo. Sentencia del 12 de diciembre de 2014. Exp. 26496. C.P. Ramiro Pazos Guerrero. </w:t>
      </w:r>
      <w:r w:rsidRPr="00EC4B47">
        <w:rPr>
          <w:rFonts w:ascii="Verdana" w:hAnsi="Verdana" w:cs="Arial"/>
          <w:color w:val="000000"/>
          <w:sz w:val="16"/>
          <w:szCs w:val="16"/>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15">
    <w:p w14:paraId="7495DAC3" w14:textId="77777777" w:rsidR="003356D7" w:rsidRPr="00EC4B47" w:rsidRDefault="003356D7" w:rsidP="003356D7">
      <w:pPr>
        <w:pStyle w:val="Textonotapie"/>
        <w:ind w:firstLine="708"/>
        <w:jc w:val="both"/>
        <w:rPr>
          <w:rFonts w:ascii="Verdana" w:hAnsi="Verdana"/>
          <w:sz w:val="16"/>
          <w:szCs w:val="16"/>
          <w:lang w:val="es-ES_tradnl"/>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color w:val="000000"/>
          <w:sz w:val="16"/>
          <w:szCs w:val="16"/>
        </w:rPr>
        <w:t>Consejo de Estado. Sala de Consulta y Servicio Civil. Concepto del 29 de abril de 1998. Rad. 1097. C.P. Augusto Trejos Jaramillo.</w:t>
      </w:r>
    </w:p>
  </w:footnote>
  <w:footnote w:id="16">
    <w:p w14:paraId="33F65BD5" w14:textId="77777777" w:rsidR="003356D7" w:rsidRPr="00EC4B47" w:rsidRDefault="003356D7" w:rsidP="003356D7">
      <w:pPr>
        <w:pStyle w:val="Textonotapie"/>
        <w:ind w:firstLine="708"/>
        <w:jc w:val="both"/>
        <w:rPr>
          <w:rFonts w:ascii="Verdana" w:hAnsi="Verdana" w:cs="Arial"/>
          <w:color w:val="000000"/>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color w:val="000000"/>
          <w:sz w:val="16"/>
          <w:szCs w:val="16"/>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0D2DD0ED"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w:t>
      </w:r>
    </w:p>
    <w:p w14:paraId="31B4BFB5"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7E2B51A6"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5EE857C5"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La aplicación de las equivalencias relacionadas con la nomenclatura de empleos, en ningún caso conllevará incrementos salariales».</w:t>
      </w:r>
    </w:p>
    <w:p w14:paraId="127C142F"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Decreto 785 de 2005: </w:t>
      </w:r>
      <w:r w:rsidRPr="00EC4B47">
        <w:rPr>
          <w:rFonts w:ascii="Verdana" w:hAnsi="Verdana" w:cs="Arial"/>
          <w:color w:val="000000"/>
          <w:sz w:val="16"/>
          <w:szCs w:val="16"/>
        </w:rPr>
        <w:t>«</w:t>
      </w:r>
      <w:r w:rsidRPr="00EC4B47">
        <w:rPr>
          <w:rFonts w:ascii="Verdana" w:hAnsi="Verdana" w:cs="Arial"/>
          <w:color w:val="000000"/>
          <w:sz w:val="16"/>
          <w:szCs w:val="16"/>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3D1F0CF7"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w:t>
      </w:r>
    </w:p>
    <w:p w14:paraId="6B413AEA"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407E2562"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Hasta que dichas modificaciones se realicen continuarán vigentes las siguientes denominaciones de empleo correspondientes al nivel ejecutivo, así: </w:t>
      </w:r>
    </w:p>
    <w:p w14:paraId="426CFC8A"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w:t>
      </w:r>
    </w:p>
    <w:p w14:paraId="6A210F19"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footnote>
  <w:footnote w:id="17">
    <w:p w14:paraId="114D318A" w14:textId="77777777" w:rsidR="003356D7" w:rsidRPr="00EC4B47" w:rsidRDefault="003356D7" w:rsidP="003356D7">
      <w:pPr>
        <w:pStyle w:val="Textonotapie"/>
        <w:ind w:firstLine="708"/>
        <w:jc w:val="both"/>
        <w:rPr>
          <w:rFonts w:ascii="Verdana" w:hAnsi="Verdana" w:cs="Arial"/>
          <w:color w:val="000000"/>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color w:val="000000"/>
          <w:sz w:val="16"/>
          <w:szCs w:val="16"/>
        </w:rPr>
        <w:t xml:space="preserve">Decreto 770 de 2005: «Artículo 4. Naturaleza general de las funciones. A los empleos agrupados en los niveles jerárquicos de que trata el artículo anterior, les corresponden las siguientes funciones generales: </w:t>
      </w:r>
    </w:p>
    <w:p w14:paraId="59722D7C" w14:textId="77777777" w:rsidR="003356D7" w:rsidRPr="00EC4B47" w:rsidRDefault="003356D7" w:rsidP="003356D7">
      <w:pPr>
        <w:pStyle w:val="Textonotapie"/>
        <w:ind w:firstLine="708"/>
        <w:jc w:val="both"/>
        <w:rPr>
          <w:rFonts w:ascii="Verdana" w:hAnsi="Verdana" w:cs="Arial"/>
          <w:color w:val="000000"/>
          <w:sz w:val="16"/>
          <w:szCs w:val="16"/>
        </w:rPr>
      </w:pPr>
      <w:r w:rsidRPr="00EC4B47">
        <w:rPr>
          <w:rFonts w:ascii="Verdana" w:hAnsi="Verdana" w:cs="Arial"/>
          <w:color w:val="000000"/>
          <w:sz w:val="16"/>
          <w:szCs w:val="16"/>
        </w:rPr>
        <w:t>4.1 Nivel Directivo. Comprende los empleos a los cuales corresponden funciones de dirección general, de formulación de políticas institucionales y de adopción de planes, programas y proyectos.</w:t>
      </w:r>
    </w:p>
    <w:p w14:paraId="0C47CA49" w14:textId="77777777" w:rsidR="003356D7" w:rsidRPr="00EC4B47" w:rsidRDefault="003356D7" w:rsidP="003356D7">
      <w:pPr>
        <w:pStyle w:val="Textonotapie"/>
        <w:ind w:firstLine="708"/>
        <w:jc w:val="both"/>
        <w:rPr>
          <w:rFonts w:ascii="Verdana" w:hAnsi="Verdana" w:cs="Arial"/>
          <w:color w:val="000000"/>
          <w:sz w:val="16"/>
          <w:szCs w:val="16"/>
        </w:rPr>
      </w:pPr>
      <w:r w:rsidRPr="00EC4B47">
        <w:rPr>
          <w:rFonts w:ascii="Verdana" w:hAnsi="Verdana" w:cs="Arial"/>
          <w:color w:val="000000"/>
          <w:sz w:val="16"/>
          <w:szCs w:val="16"/>
        </w:rPr>
        <w:t>4.2 Nivel Asesor. Agrupa los empleos cuyas funciones consisten en asistir, aconsejar y asesorar directamente a los empleados públicos de la alta dirección de la rama ejecutiva del orden nacional</w:t>
      </w:r>
      <w:r w:rsidRPr="00EC4B47">
        <w:rPr>
          <w:rFonts w:ascii="Verdana" w:hAnsi="Verdana" w:cs="Arial"/>
          <w:color w:val="000000"/>
          <w:sz w:val="16"/>
          <w:szCs w:val="16"/>
          <w:lang w:val="es-ES"/>
        </w:rPr>
        <w:t>»</w:t>
      </w:r>
    </w:p>
    <w:p w14:paraId="39281D00"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Decreto 785 de 2005: «Artículo 4. Naturaleza general de las funciones. A los empleos agrupados en los niveles jerárquicos de que trata el artículo anterior, les corresponden las siguientes funciones generales: </w:t>
      </w:r>
    </w:p>
    <w:p w14:paraId="52ED519B"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 xml:space="preserve">4.1. Nivel Directivo. Comprende los empleos a los cuales corresponden funciones de Dirección General, de formulación de políticas institucionales y de adopción de planes, programas y proyectos.  </w:t>
      </w:r>
    </w:p>
    <w:p w14:paraId="75608185" w14:textId="77777777" w:rsidR="003356D7" w:rsidRPr="00EC4B47" w:rsidRDefault="003356D7" w:rsidP="003356D7">
      <w:pPr>
        <w:pStyle w:val="Textonotapie"/>
        <w:ind w:firstLine="708"/>
        <w:jc w:val="both"/>
        <w:rPr>
          <w:rFonts w:ascii="Verdana" w:hAnsi="Verdana" w:cs="Arial"/>
          <w:color w:val="000000"/>
          <w:sz w:val="16"/>
          <w:szCs w:val="16"/>
          <w:lang w:val="es-ES"/>
        </w:rPr>
      </w:pPr>
      <w:r w:rsidRPr="00EC4B47">
        <w:rPr>
          <w:rFonts w:ascii="Verdana" w:hAnsi="Verdana" w:cs="Arial"/>
          <w:color w:val="000000"/>
          <w:sz w:val="16"/>
          <w:szCs w:val="16"/>
          <w:lang w:val="es-ES"/>
        </w:rPr>
        <w:t>4.2.  Nivel Asesor. Agrupa los empleos cuyas funciones consisten en asistir, aconsejar y asesorar directamente a los empleados públicos de la alta dirección territorial».</w:t>
      </w:r>
    </w:p>
    <w:p w14:paraId="1255BFD5" w14:textId="77777777" w:rsidR="003356D7" w:rsidRPr="00EC4B47" w:rsidRDefault="003356D7" w:rsidP="003356D7">
      <w:pPr>
        <w:pStyle w:val="Textonotapie"/>
        <w:jc w:val="both"/>
        <w:rPr>
          <w:rFonts w:ascii="Verdana" w:hAnsi="Verdana"/>
          <w:sz w:val="16"/>
          <w:szCs w:val="16"/>
          <w:lang w:val="es-ES"/>
        </w:rPr>
      </w:pPr>
    </w:p>
  </w:footnote>
  <w:footnote w:id="18">
    <w:p w14:paraId="7EAD133C"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Para la doctrina, “En lo que respecta a los funcionarios que ejercen el control fiscal, en nuestra opinión, la disposición resulta inaplicable. En momentos en que se expidió el estatuto de contratación, por virtud de la legislación vigente en materia de régimen fiscal, la mayoría de entes descentralizados contaban con una oficina delegada de la Contraloría en la misma sede de la entidad vigilada que se encargaba de realizar las funciones de control respecto de ella. Usualmente participaba en la toma de decisiones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footnote>
  <w:footnote w:id="19">
    <w:p w14:paraId="50C7E23A"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El artículo 13 de la Ley 1150 de 2007 dispone que “</w:t>
      </w:r>
      <w:r w:rsidRPr="00EC4B47">
        <w:rPr>
          <w:rFonts w:ascii="Verdana" w:hAnsi="Verdana" w:cs="Arial"/>
          <w:sz w:val="16"/>
          <w:szCs w:val="16"/>
          <w:lang w:val="es-CO"/>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r w:rsidRPr="00EC4B47">
        <w:rPr>
          <w:rFonts w:ascii="Verdana" w:hAnsi="Verdana" w:cs="Arial"/>
          <w:sz w:val="16"/>
          <w:szCs w:val="16"/>
        </w:rPr>
        <w:t>”.</w:t>
      </w:r>
    </w:p>
  </w:footnote>
  <w:footnote w:id="20">
    <w:p w14:paraId="1F3EA79C"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Los efectos de esta restricción deben armonizarse con el parágrafo tercero del artículo 49 de la Ley 617 de 2000, el cual dispone que “Tratándose de concejales de municipios de cuarta, quinta y sexta categoría, las prohibiciones establecidas en el presente artículo se aplicarán únicamente para los cónyuges o compañeros permanentes y parientes hasta el segundo grado de consanguinidad, primero de afinidad o único civil”.</w:t>
      </w:r>
    </w:p>
    <w:p w14:paraId="41B0CBA9" w14:textId="77777777" w:rsidR="003356D7" w:rsidRPr="00EC4B47" w:rsidRDefault="003356D7" w:rsidP="003356D7">
      <w:pPr>
        <w:pStyle w:val="Textonotapie"/>
        <w:jc w:val="both"/>
        <w:rPr>
          <w:rFonts w:ascii="Verdana" w:hAnsi="Verdana"/>
          <w:sz w:val="16"/>
          <w:szCs w:val="16"/>
          <w:lang w:val="es-ES_tradnl"/>
        </w:rPr>
      </w:pPr>
    </w:p>
  </w:footnote>
  <w:footnote w:id="21">
    <w:p w14:paraId="3681F0E1"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Teniendo en cuenta que el artículo 352 superior dispone que la Ley Orgánica del Presupuesto regulará la capacidad de los organismos y entidades estatales para contratar, la competencia contractual de los concejos y las asambleas deriva del artículo 110 del Decreto 111 de 1996, modificada por el artículo 124 de la Ley 1957 de 2019. La norma dispone lo siguiente: </w:t>
      </w:r>
    </w:p>
    <w:p w14:paraId="3202C374" w14:textId="77777777" w:rsidR="003356D7" w:rsidRPr="00EC4B47" w:rsidRDefault="003356D7" w:rsidP="003356D7">
      <w:pPr>
        <w:pStyle w:val="Textonotapie"/>
        <w:ind w:firstLine="708"/>
        <w:jc w:val="both"/>
        <w:rPr>
          <w:rFonts w:ascii="Verdana" w:hAnsi="Verdana" w:cs="Arial"/>
          <w:sz w:val="16"/>
          <w:szCs w:val="16"/>
        </w:rPr>
      </w:pPr>
      <w:r w:rsidRPr="00EC4B47">
        <w:rPr>
          <w:rFonts w:ascii="Verdana" w:hAnsi="Verdana" w:cs="Arial"/>
          <w:sz w:val="16"/>
          <w:szCs w:val="16"/>
        </w:rPr>
        <w:t xml:space="preserve">“Los órganos que son una sección en el Presupuesto General de la Nación, </w:t>
      </w:r>
      <w:r w:rsidRPr="00EC4B47">
        <w:rPr>
          <w:rFonts w:ascii="Verdana" w:hAnsi="Verdana" w:cs="Arial"/>
          <w:i/>
          <w:iCs/>
          <w:sz w:val="16"/>
          <w:szCs w:val="16"/>
        </w:rPr>
        <w:t>tendrán la capacidad de contratar</w:t>
      </w:r>
      <w:r w:rsidRPr="00EC4B47">
        <w:rPr>
          <w:rFonts w:ascii="Verdana" w:hAnsi="Verdana" w:cs="Arial"/>
          <w:sz w:val="16"/>
          <w:szCs w:val="16"/>
        </w:rPr>
        <w:t xml:space="preserve"> 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EC4B47">
        <w:rPr>
          <w:rFonts w:ascii="Verdana" w:hAnsi="Verdana" w:cs="Arial"/>
          <w:i/>
          <w:iCs/>
          <w:sz w:val="16"/>
          <w:szCs w:val="16"/>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EC4B47">
        <w:rPr>
          <w:rFonts w:ascii="Verdana" w:hAnsi="Verdana" w:cs="Arial"/>
          <w:sz w:val="16"/>
          <w:szCs w:val="16"/>
        </w:rPr>
        <w:t xml:space="preserve">. </w:t>
      </w:r>
    </w:p>
    <w:p w14:paraId="2F10F935" w14:textId="77777777" w:rsidR="003356D7" w:rsidRPr="00EC4B47" w:rsidRDefault="003356D7" w:rsidP="003356D7">
      <w:pPr>
        <w:pStyle w:val="Textonotapie"/>
        <w:ind w:firstLine="708"/>
        <w:jc w:val="both"/>
        <w:rPr>
          <w:rFonts w:ascii="Verdana" w:hAnsi="Verdana" w:cs="Arial"/>
          <w:sz w:val="16"/>
          <w:szCs w:val="16"/>
        </w:rPr>
      </w:pPr>
      <w:r w:rsidRPr="00EC4B47">
        <w:rPr>
          <w:rFonts w:ascii="Verdana" w:hAnsi="Verdana" w:cs="Arial"/>
          <w:sz w:val="16"/>
          <w:szCs w:val="16"/>
        </w:rPr>
        <w:t xml:space="preserve">[…] </w:t>
      </w:r>
    </w:p>
    <w:p w14:paraId="39352558" w14:textId="77777777" w:rsidR="003356D7" w:rsidRPr="00EC4B47" w:rsidRDefault="003356D7" w:rsidP="003356D7">
      <w:pPr>
        <w:pStyle w:val="Textonotapie"/>
        <w:ind w:firstLine="708"/>
        <w:jc w:val="both"/>
        <w:rPr>
          <w:rFonts w:ascii="Verdana" w:hAnsi="Verdana" w:cs="Arial"/>
          <w:sz w:val="16"/>
          <w:szCs w:val="16"/>
        </w:rPr>
      </w:pPr>
      <w:r w:rsidRPr="00EC4B47">
        <w:rPr>
          <w:rFonts w:ascii="Verdana" w:hAnsi="Verdana" w:cs="Arial"/>
          <w:sz w:val="16"/>
          <w:szCs w:val="16"/>
        </w:rPr>
        <w:t xml:space="preserve">En los mismos términos y condiciones tendrán estas capacidades las Superintendencias, Unidades Administrativas Especiales, las Entidades Territoriales, </w:t>
      </w:r>
      <w:r w:rsidRPr="00EC4B47">
        <w:rPr>
          <w:rFonts w:ascii="Verdana" w:hAnsi="Verdana" w:cs="Arial"/>
          <w:i/>
          <w:iCs/>
          <w:sz w:val="16"/>
          <w:szCs w:val="16"/>
        </w:rPr>
        <w:t>Asambleas y Concejos</w:t>
      </w:r>
      <w:r w:rsidRPr="00EC4B47">
        <w:rPr>
          <w:rFonts w:ascii="Verdana" w:hAnsi="Verdana" w:cs="Arial"/>
          <w:sz w:val="16"/>
          <w:szCs w:val="16"/>
        </w:rPr>
        <w:t xml:space="preserve">, las Contralorías y Personerías Territoriales y todos los demás órganos estatales de cualquier nivel que tengan personería jurídica. </w:t>
      </w:r>
    </w:p>
    <w:p w14:paraId="46E6788F" w14:textId="77777777" w:rsidR="003356D7" w:rsidRPr="00EC4B47" w:rsidRDefault="003356D7" w:rsidP="003356D7">
      <w:pPr>
        <w:pStyle w:val="Textonotapie"/>
        <w:ind w:firstLine="708"/>
        <w:jc w:val="both"/>
        <w:rPr>
          <w:rFonts w:ascii="Verdana" w:hAnsi="Verdana" w:cs="Arial"/>
          <w:sz w:val="16"/>
          <w:szCs w:val="16"/>
          <w:lang w:val="es-ES"/>
        </w:rPr>
      </w:pPr>
      <w:r w:rsidRPr="00EC4B47">
        <w:rPr>
          <w:rFonts w:ascii="Verdana" w:hAnsi="Verdana" w:cs="Arial"/>
          <w:sz w:val="16"/>
          <w:szCs w:val="16"/>
        </w:rPr>
        <w:t xml:space="preserve">En todo caso, el Presidente de la República podrá celebrar contratos a nombre de la Nación” (Énfasis fuera de texto).  </w:t>
      </w:r>
    </w:p>
    <w:p w14:paraId="12ABECC1" w14:textId="77777777" w:rsidR="003356D7" w:rsidRPr="00EC4B47" w:rsidRDefault="003356D7" w:rsidP="003356D7">
      <w:pPr>
        <w:pStyle w:val="Textonotapie"/>
        <w:jc w:val="both"/>
        <w:rPr>
          <w:rFonts w:ascii="Verdana" w:hAnsi="Verdana"/>
          <w:sz w:val="16"/>
          <w:szCs w:val="16"/>
          <w:lang w:val="es-ES"/>
        </w:rPr>
      </w:pPr>
    </w:p>
  </w:footnote>
  <w:footnote w:id="22">
    <w:p w14:paraId="68A663AE" w14:textId="77777777" w:rsidR="003356D7" w:rsidRPr="00EC4B47" w:rsidRDefault="003356D7" w:rsidP="003356D7">
      <w:pPr>
        <w:pStyle w:val="Textonotapie"/>
        <w:ind w:firstLine="708"/>
        <w:jc w:val="both"/>
        <w:rPr>
          <w:rFonts w:ascii="Verdana" w:hAnsi="Verdana"/>
          <w:sz w:val="16"/>
          <w:szCs w:val="16"/>
          <w:lang w:val="es-ES_tradnl"/>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De esta manera, la doctrina anota que «[…] Los conceptos de “regla general” y “regla particular” son correlativas. Una regla es particular en relación con otra si hecho condicionante es un caso particular del hecho condicionante de la otra regla […]» (Cfr. ROSS, Alf. Sobre el derecho y la justicia. Quinta edición. Buenos Aires: EUDEBA, 1994. p. 125).</w:t>
      </w:r>
    </w:p>
  </w:footnote>
  <w:footnote w:id="23">
    <w:p w14:paraId="524AF38F"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En efecto, “Si de las dos normas incompatibles una tiene un ámbito de validez igual al de la otra, pero más restringido o, en otras palabras, su ámbito de validez es en parte igual y en parte diverso con relación a la otra, hay una antinomia total de la primera respecto a la segunda, y solo parcial de la segunda respecto a la primera, lo que podemos denominar total-parcial. La primera norma no puede aplicarse en ningún caso sin entrar el conflicto con la segunda, la segunda tiene un ámbito de aplicación que no entra en conflicto con la primera […]” (Cfr. BOBBIO, Norberto. Teoría general del derecho. Tercera edición. Bogotá: Temis, 2012. p. 193).  </w:t>
      </w:r>
    </w:p>
  </w:footnote>
  <w:footnote w:id="24">
    <w:p w14:paraId="206E9DA0"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DÍEZ-PICAZO, Luis María. La derogación de las leyes. Madrid: Editorial Civitas, 1990. pp. 351 y ss. Este problema es diferente al que surge entre la “ley especial anterior» y la «regla general posterior», pues en estos casos «[…] la preferencia por la norma especial sobre la norma posterior no puede tener jamás un valor absoluto, porque razones de orden teleológico pueden impeler a dar prioridad a la </w:t>
      </w:r>
      <w:r w:rsidRPr="00EC4B47">
        <w:rPr>
          <w:rFonts w:ascii="Verdana" w:hAnsi="Verdana" w:cs="Arial"/>
          <w:i/>
          <w:iCs/>
          <w:sz w:val="16"/>
          <w:szCs w:val="16"/>
        </w:rPr>
        <w:t>lex posterior generalis</w:t>
      </w:r>
      <w:r w:rsidRPr="00EC4B47">
        <w:rPr>
          <w:rFonts w:ascii="Verdana" w:hAnsi="Verdana" w:cs="Arial"/>
          <w:sz w:val="16"/>
          <w:szCs w:val="16"/>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EC4B47">
        <w:rPr>
          <w:rFonts w:ascii="Verdana" w:hAnsi="Verdana" w:cs="Arial"/>
          <w:i/>
          <w:iCs/>
          <w:sz w:val="16"/>
          <w:szCs w:val="16"/>
        </w:rPr>
        <w:t>lex posterior generalis non derogat legi priori speciali</w:t>
      </w:r>
      <w:r w:rsidRPr="00EC4B47">
        <w:rPr>
          <w:rFonts w:ascii="Verdana" w:hAnsi="Verdana" w:cs="Arial"/>
          <w:sz w:val="16"/>
          <w:szCs w:val="16"/>
        </w:rPr>
        <w:t xml:space="preserve"> opera como una mera presunción hermenéutica, que puede ser destruida por una clara </w:t>
      </w:r>
      <w:r w:rsidRPr="00EC4B47">
        <w:rPr>
          <w:rFonts w:ascii="Verdana" w:hAnsi="Verdana" w:cs="Arial"/>
          <w:i/>
          <w:iCs/>
          <w:sz w:val="16"/>
          <w:szCs w:val="16"/>
        </w:rPr>
        <w:t>voluntas legis</w:t>
      </w:r>
      <w:r w:rsidRPr="00EC4B47">
        <w:rPr>
          <w:rFonts w:ascii="Verdana" w:hAnsi="Verdana" w:cs="Arial"/>
          <w:sz w:val="16"/>
          <w:szCs w:val="16"/>
        </w:rPr>
        <w:t xml:space="preserve"> de sentido contrario (</w:t>
      </w:r>
      <w:r w:rsidRPr="00EC4B47">
        <w:rPr>
          <w:rFonts w:ascii="Verdana" w:hAnsi="Verdana" w:cs="Arial"/>
          <w:i/>
          <w:iCs/>
          <w:sz w:val="16"/>
          <w:szCs w:val="16"/>
        </w:rPr>
        <w:t>Ibidem</w:t>
      </w:r>
      <w:r w:rsidRPr="00EC4B47">
        <w:rPr>
          <w:rFonts w:ascii="Verdana" w:hAnsi="Verdana" w:cs="Arial"/>
          <w:sz w:val="16"/>
          <w:szCs w:val="16"/>
        </w:rPr>
        <w:t>. p. 363).</w:t>
      </w:r>
    </w:p>
  </w:footnote>
  <w:footnote w:id="25">
    <w:p w14:paraId="4EA1D373"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Estos casos de participación subrepticia de terceros guardan similitud con la teoría del fraude simulatorio relacionado con la identidad de las partes. Al respecto, la doctrina explica lo siguiente: “[…] la declaración pública acerca de la naturaleza del negocio y de sus condiciones corresponde a una intensión real; pero, de ordinario, para eludir las prohibiciones legales tocantes con la capacidad de las partes, se recurre a una operación triangular, mediante la interposición de un testaferro u hombre de paja, quien sin tener interés en el negocio, se presta a desviar los efectos de este, primeramente hacia sí, para luego trasladárselos, mediante otro acto, a quien verdaderamente está llamado a recibirlos […]” (Cfr. OSPINA FERNÁNDEZ, Guillermo y OSPINA ACOSTA, Eduardo. Teoría general del contrato y del negocio jurídico. Quinta edición. Bogotá: Temis, 1998. p. 113).  </w:t>
      </w:r>
    </w:p>
  </w:footnote>
  <w:footnote w:id="26">
    <w:p w14:paraId="3139B1D4"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Corte Suprema de Justicia. Sala de Casación Civil. Sentencia del 17 de mayo de 1976. M.P. Humberto Murcia Ballén. Publicada en la Gaceta Judicial. Tomo CLII. Nº 2393. p. 153. En el mismo sentido, la doctrina explica que «Lo que verdaderamente ocurre en el estado actual del derecho es que la ley presume que por el solo hecho de celebrarse el contrato de mandato queda autorizado el mandatario para desempeñar su cometido en representación del mandante. Esto con el objeto de simplificar la labor del mandatario, quien obrando de este modo no se obliga personalmente respecto de los terceros con quienes contrata, ni al término de su gestión se verá en la necesidad de traspasar al mandante los créditos derivados del negocio realizado por su cuenta. </w:t>
      </w:r>
      <w:r w:rsidRPr="00EC4B47">
        <w:rPr>
          <w:rFonts w:ascii="Verdana" w:hAnsi="Verdana" w:cs="Arial"/>
          <w:i/>
          <w:iCs/>
          <w:sz w:val="16"/>
          <w:szCs w:val="16"/>
        </w:rPr>
        <w:t>Pero nada obsta a que el mandatario desestime esa facultad y contrate a su propio nombre, ni a que así lo estipulen expresamente el mandante y el mandatario en el mismo contrato de mandato o posteriormente, en cuyo caso el mandatario ejecutará el negocio por cuenta del mandante, pero en su propio nombre, y entonces, terminada la gestión deberá traspasar al mandante los créditos y las obligaciones adquiridos y contraídas, de que se hará responsable el mandante</w:t>
      </w:r>
      <w:r w:rsidRPr="00EC4B47">
        <w:rPr>
          <w:rFonts w:ascii="Verdana" w:hAnsi="Verdana" w:cs="Arial"/>
          <w:sz w:val="16"/>
          <w:szCs w:val="16"/>
        </w:rPr>
        <w:t xml:space="preserve"> […]» (Cfr. STITCHKIN BRANOVER, David. El mandato civil. Quinta edición. Santiago: Editorial Jurídica de Chile, 2009. p. 31). </w:t>
      </w:r>
    </w:p>
  </w:footnote>
  <w:footnote w:id="27">
    <w:p w14:paraId="0D67DDB2"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HINESTROSA, Fernando. La representación. Bogotá: Universidad Externando de Colombia, 2008. pp. 377-378. En este contexto, “[…] el mandato no es representativo, porque puede darse en el evento de que el mandatario oculte la calidad con que actúe frente a terceros, o sea que, obrando para el mandante, no indique su condición de mandatario, lo que se conoce ordinariamente como representación indirecta o mediata, en contraposición a la directa o inmediata en donde la calidad de mandatario es puesta de presente al ejecutar el acto jurídico […]” (Cfr. BONIVENTO FERNÁNDEZ, Alejandro. Los principales contratos civiles y su paralelo con los comerciales. Decimosexta edición. Bogotá: Librería Ediciones del Profesional LTDA, 2004. pp. 592-593).   </w:t>
      </w:r>
    </w:p>
  </w:footnote>
  <w:footnote w:id="28">
    <w:p w14:paraId="64B0BAAC"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Quinta. Sentencia del 19 de enero de 2006. Rad. 3875. C.P. Darío Quiñones Pinilla.</w:t>
      </w:r>
    </w:p>
  </w:footnote>
  <w:footnote w:id="29">
    <w:p w14:paraId="6AF63D7C" w14:textId="77777777" w:rsidR="003356D7" w:rsidRPr="00EC4B47" w:rsidRDefault="003356D7" w:rsidP="003356D7">
      <w:pPr>
        <w:pStyle w:val="Textonotapie"/>
        <w:ind w:firstLine="708"/>
        <w:jc w:val="both"/>
        <w:rPr>
          <w:rFonts w:ascii="Verdana" w:hAnsi="Verdana" w:cs="Arial"/>
          <w:sz w:val="16"/>
          <w:szCs w:val="16"/>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Consejo de Estado. Sección Primera. Sentencia del 3 de julio de 2014. Exp. 17001-23-33-000-2013-00145-01 (PI). C.P. María Claudia Rojas Lasso.</w:t>
      </w:r>
    </w:p>
  </w:footnote>
  <w:footnote w:id="30">
    <w:p w14:paraId="03A1B88F" w14:textId="77777777" w:rsidR="003356D7" w:rsidRPr="00EC4B47" w:rsidRDefault="003356D7" w:rsidP="003356D7">
      <w:pPr>
        <w:pStyle w:val="Textonotapie"/>
        <w:ind w:firstLine="708"/>
        <w:rPr>
          <w:rFonts w:ascii="Verdana" w:hAnsi="Verdana"/>
          <w:sz w:val="16"/>
          <w:szCs w:val="16"/>
          <w:lang w:val="es-CO"/>
        </w:rPr>
      </w:pPr>
      <w:r w:rsidRPr="00EC4B47">
        <w:rPr>
          <w:rStyle w:val="Refdenotaalpie"/>
          <w:rFonts w:ascii="Verdana" w:hAnsi="Verdana"/>
          <w:sz w:val="16"/>
          <w:szCs w:val="16"/>
        </w:rPr>
        <w:footnoteRef/>
      </w:r>
      <w:r w:rsidRPr="00EC4B47">
        <w:rPr>
          <w:rFonts w:ascii="Verdana" w:hAnsi="Verdana"/>
          <w:sz w:val="16"/>
          <w:szCs w:val="16"/>
        </w:rPr>
        <w:t xml:space="preserve"> </w:t>
      </w:r>
      <w:r w:rsidRPr="00EC4B47">
        <w:rPr>
          <w:rFonts w:ascii="Verdana" w:hAnsi="Verdana" w:cs="Arial"/>
          <w:sz w:val="16"/>
          <w:szCs w:val="16"/>
        </w:rPr>
        <w:t xml:space="preserve">Corte Constitucional. Sentencia C-348 de 2004. </w:t>
      </w:r>
      <w:r w:rsidRPr="00EC4B47">
        <w:rPr>
          <w:rFonts w:ascii="Verdana" w:hAnsi="Verdana" w:cs="Arial"/>
          <w:sz w:val="16"/>
          <w:szCs w:val="16"/>
          <w:lang w:val="es-CO"/>
        </w:rPr>
        <w:t>M.P. Jaime Córdoba Triviño.</w:t>
      </w:r>
    </w:p>
  </w:footnote>
  <w:footnote w:id="31">
    <w:p w14:paraId="6E31F8D3" w14:textId="77777777" w:rsidR="003356D7" w:rsidRPr="00EC4B47" w:rsidRDefault="003356D7" w:rsidP="003356D7">
      <w:pPr>
        <w:pStyle w:val="Textonotapie"/>
        <w:ind w:firstLine="708"/>
        <w:rPr>
          <w:rFonts w:ascii="Verdana" w:hAnsi="Verdana"/>
          <w:sz w:val="16"/>
          <w:szCs w:val="16"/>
          <w:lang w:val="es-ES"/>
        </w:rPr>
      </w:pPr>
      <w:r w:rsidRPr="00EC4B47">
        <w:rPr>
          <w:rStyle w:val="Refdenotaalpie"/>
          <w:rFonts w:ascii="Verdana" w:hAnsi="Verdana"/>
          <w:sz w:val="16"/>
          <w:szCs w:val="16"/>
        </w:rPr>
        <w:footnoteRef/>
      </w:r>
      <w:r w:rsidRPr="00EC4B47">
        <w:rPr>
          <w:rFonts w:ascii="Verdana" w:hAnsi="Verdana"/>
          <w:sz w:val="16"/>
          <w:szCs w:val="16"/>
        </w:rPr>
        <w:t xml:space="preserve"> Corte Constitucional. Sentencia C-087 de 2024. M.P. Antonio José Lizarazo Ocampo. </w:t>
      </w:r>
    </w:p>
  </w:footnote>
  <w:footnote w:id="32">
    <w:p w14:paraId="0E239D4F" w14:textId="77777777" w:rsidR="003356D7" w:rsidRPr="00EC4B47" w:rsidRDefault="003356D7" w:rsidP="003356D7">
      <w:pPr>
        <w:pStyle w:val="Textonotapie"/>
        <w:ind w:right="-235" w:firstLine="708"/>
        <w:jc w:val="both"/>
        <w:rPr>
          <w:rFonts w:ascii="Verdana" w:hAnsi="Verdana"/>
          <w:sz w:val="16"/>
          <w:szCs w:val="16"/>
        </w:rPr>
      </w:pPr>
      <w:r w:rsidRPr="00EC4B47">
        <w:rPr>
          <w:rStyle w:val="Refdenotaalpie"/>
          <w:rFonts w:ascii="Verdana" w:hAnsi="Verdana"/>
          <w:sz w:val="16"/>
          <w:szCs w:val="16"/>
        </w:rPr>
        <w:footnoteRef/>
      </w:r>
      <w:r w:rsidRPr="00EC4B47">
        <w:rPr>
          <w:rFonts w:ascii="Verdana" w:hAnsi="Verdana"/>
          <w:sz w:val="16"/>
          <w:szCs w:val="16"/>
        </w:rPr>
        <w:t xml:space="preserve"> “Corte Constitucional. Sentencia C-348 de 2004. M.P. Jaime Córdoba Triviño. </w:t>
      </w:r>
    </w:p>
  </w:footnote>
  <w:footnote w:id="33">
    <w:p w14:paraId="07568D7C" w14:textId="77777777" w:rsidR="003356D7" w:rsidRPr="00C23857" w:rsidRDefault="003356D7" w:rsidP="003356D7">
      <w:pPr>
        <w:pStyle w:val="Textonotapie"/>
        <w:ind w:right="-234" w:firstLine="708"/>
        <w:jc w:val="both"/>
        <w:rPr>
          <w:rFonts w:ascii="Verdana" w:hAnsi="Verdana"/>
          <w:sz w:val="6"/>
          <w:szCs w:val="6"/>
        </w:rPr>
      </w:pPr>
      <w:r w:rsidRPr="00EC4B47">
        <w:rPr>
          <w:rStyle w:val="Refdenotaalpie"/>
          <w:rFonts w:ascii="Verdana" w:hAnsi="Verdana"/>
          <w:sz w:val="16"/>
          <w:szCs w:val="16"/>
        </w:rPr>
        <w:footnoteRef/>
      </w:r>
      <w:r w:rsidRPr="00EC4B47">
        <w:rPr>
          <w:rFonts w:ascii="Verdana" w:hAnsi="Verdana"/>
          <w:sz w:val="16"/>
          <w:szCs w:val="16"/>
        </w:rPr>
        <w:t xml:space="preserve"> “Al momento de proferir la sentencia C-348/04, la norma en cuestión se encontraba en el inciso tercero del </w:t>
      </w:r>
      <w:r w:rsidRPr="00EC4B47">
        <w:rPr>
          <w:rFonts w:ascii="Verdana" w:hAnsi="Verdana"/>
          <w:bCs/>
          <w:sz w:val="16"/>
          <w:szCs w:val="16"/>
        </w:rPr>
        <w:t>artículo 49 de la Ley 617 de 2000, reformado por el artículo 1 de la Ley 821 de 2003. Actualmente, la norma se encuentra en el inciso tercero del artículo 1 de la Ley 1148 de 2007, modificado por el artículo 1 de la Ley 1296 de 2009)”.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pt;height:1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7"/>
  </w:num>
  <w:num w:numId="8">
    <w:abstractNumId w:val="14"/>
  </w:num>
  <w:num w:numId="9">
    <w:abstractNumId w:val="9"/>
  </w:num>
  <w:num w:numId="10">
    <w:abstractNumId w:val="13"/>
  </w:num>
  <w:num w:numId="11">
    <w:abstractNumId w:val="10"/>
  </w:num>
  <w:num w:numId="12">
    <w:abstractNumId w:val="1"/>
  </w:num>
  <w:num w:numId="13">
    <w:abstractNumId w:val="4"/>
  </w:num>
  <w:num w:numId="14">
    <w:abstractNumId w:val="16"/>
  </w:num>
  <w:num w:numId="15">
    <w:abstractNumId w:val="12"/>
  </w:num>
  <w:num w:numId="16">
    <w:abstractNumId w:val="5"/>
  </w:num>
  <w:num w:numId="17">
    <w:abstractNumId w:val="11"/>
  </w:num>
  <w:num w:numId="18">
    <w:abstractNumId w:val="17"/>
  </w:num>
  <w:num w:numId="19">
    <w:abstractNumId w:val="3"/>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5281"/>
    <w:rsid w:val="00010788"/>
    <w:rsid w:val="00016F78"/>
    <w:rsid w:val="00046945"/>
    <w:rsid w:val="00061B2A"/>
    <w:rsid w:val="00064323"/>
    <w:rsid w:val="000711CF"/>
    <w:rsid w:val="00082362"/>
    <w:rsid w:val="000A683E"/>
    <w:rsid w:val="000B19B9"/>
    <w:rsid w:val="000D0334"/>
    <w:rsid w:val="000D5DA7"/>
    <w:rsid w:val="000E53BB"/>
    <w:rsid w:val="000F6486"/>
    <w:rsid w:val="00104066"/>
    <w:rsid w:val="00105C57"/>
    <w:rsid w:val="00116940"/>
    <w:rsid w:val="00125105"/>
    <w:rsid w:val="00127233"/>
    <w:rsid w:val="001328F3"/>
    <w:rsid w:val="0015699B"/>
    <w:rsid w:val="00195947"/>
    <w:rsid w:val="001A33BF"/>
    <w:rsid w:val="001E2E05"/>
    <w:rsid w:val="001E4177"/>
    <w:rsid w:val="001F0B24"/>
    <w:rsid w:val="001F7DC6"/>
    <w:rsid w:val="0020737F"/>
    <w:rsid w:val="0022400B"/>
    <w:rsid w:val="0023251A"/>
    <w:rsid w:val="002421BB"/>
    <w:rsid w:val="0025796E"/>
    <w:rsid w:val="00266878"/>
    <w:rsid w:val="002707A2"/>
    <w:rsid w:val="00273BF5"/>
    <w:rsid w:val="0028778F"/>
    <w:rsid w:val="002951A0"/>
    <w:rsid w:val="002962BC"/>
    <w:rsid w:val="002A093D"/>
    <w:rsid w:val="002A0DD0"/>
    <w:rsid w:val="002A49AC"/>
    <w:rsid w:val="002A64FD"/>
    <w:rsid w:val="002B730F"/>
    <w:rsid w:val="002C7A84"/>
    <w:rsid w:val="002E2BF8"/>
    <w:rsid w:val="002E4FD9"/>
    <w:rsid w:val="00300D50"/>
    <w:rsid w:val="0030657A"/>
    <w:rsid w:val="00316053"/>
    <w:rsid w:val="00322A85"/>
    <w:rsid w:val="00324168"/>
    <w:rsid w:val="00330834"/>
    <w:rsid w:val="003356D7"/>
    <w:rsid w:val="003448F4"/>
    <w:rsid w:val="00374F5E"/>
    <w:rsid w:val="00377E3E"/>
    <w:rsid w:val="00381BAB"/>
    <w:rsid w:val="00393D3A"/>
    <w:rsid w:val="003A779E"/>
    <w:rsid w:val="003D0F4D"/>
    <w:rsid w:val="003D5B0D"/>
    <w:rsid w:val="003E0499"/>
    <w:rsid w:val="003E4F80"/>
    <w:rsid w:val="003E6439"/>
    <w:rsid w:val="003F3941"/>
    <w:rsid w:val="00406575"/>
    <w:rsid w:val="004140B3"/>
    <w:rsid w:val="00414C74"/>
    <w:rsid w:val="0042722E"/>
    <w:rsid w:val="0044528D"/>
    <w:rsid w:val="004555EA"/>
    <w:rsid w:val="00466E39"/>
    <w:rsid w:val="00494F04"/>
    <w:rsid w:val="004A1847"/>
    <w:rsid w:val="004A305D"/>
    <w:rsid w:val="004B3DAC"/>
    <w:rsid w:val="004F21C4"/>
    <w:rsid w:val="004F685F"/>
    <w:rsid w:val="00500267"/>
    <w:rsid w:val="005566E8"/>
    <w:rsid w:val="0056432D"/>
    <w:rsid w:val="00574867"/>
    <w:rsid w:val="00591460"/>
    <w:rsid w:val="005A65E0"/>
    <w:rsid w:val="005C0881"/>
    <w:rsid w:val="005C3777"/>
    <w:rsid w:val="005C5CDC"/>
    <w:rsid w:val="005D476C"/>
    <w:rsid w:val="005F20A4"/>
    <w:rsid w:val="00603C5B"/>
    <w:rsid w:val="006200BF"/>
    <w:rsid w:val="0062143E"/>
    <w:rsid w:val="006219F8"/>
    <w:rsid w:val="006302F7"/>
    <w:rsid w:val="0063497B"/>
    <w:rsid w:val="00646B9F"/>
    <w:rsid w:val="00665D70"/>
    <w:rsid w:val="00684F67"/>
    <w:rsid w:val="006900D9"/>
    <w:rsid w:val="006A2BE4"/>
    <w:rsid w:val="006B6864"/>
    <w:rsid w:val="007025D7"/>
    <w:rsid w:val="00706C16"/>
    <w:rsid w:val="00731F30"/>
    <w:rsid w:val="007340C3"/>
    <w:rsid w:val="007401B3"/>
    <w:rsid w:val="0075235A"/>
    <w:rsid w:val="00756841"/>
    <w:rsid w:val="007649AB"/>
    <w:rsid w:val="00771D0C"/>
    <w:rsid w:val="007833AC"/>
    <w:rsid w:val="00795086"/>
    <w:rsid w:val="007A1830"/>
    <w:rsid w:val="007B268C"/>
    <w:rsid w:val="007B7171"/>
    <w:rsid w:val="007C0C0F"/>
    <w:rsid w:val="007C3DC2"/>
    <w:rsid w:val="007D3058"/>
    <w:rsid w:val="007E5497"/>
    <w:rsid w:val="00806F5F"/>
    <w:rsid w:val="00807C82"/>
    <w:rsid w:val="008128AC"/>
    <w:rsid w:val="00820278"/>
    <w:rsid w:val="008258C9"/>
    <w:rsid w:val="00844AE9"/>
    <w:rsid w:val="008634E6"/>
    <w:rsid w:val="0086382A"/>
    <w:rsid w:val="00867F95"/>
    <w:rsid w:val="008843B6"/>
    <w:rsid w:val="00891928"/>
    <w:rsid w:val="008A446D"/>
    <w:rsid w:val="008B25F1"/>
    <w:rsid w:val="008D180B"/>
    <w:rsid w:val="008D23D0"/>
    <w:rsid w:val="008F0EA7"/>
    <w:rsid w:val="008F17DC"/>
    <w:rsid w:val="008F4334"/>
    <w:rsid w:val="008F6705"/>
    <w:rsid w:val="00923EEF"/>
    <w:rsid w:val="009419F9"/>
    <w:rsid w:val="00950B6F"/>
    <w:rsid w:val="0095685E"/>
    <w:rsid w:val="00961B09"/>
    <w:rsid w:val="00965334"/>
    <w:rsid w:val="0097093E"/>
    <w:rsid w:val="009A0486"/>
    <w:rsid w:val="009A0DFA"/>
    <w:rsid w:val="009B2D26"/>
    <w:rsid w:val="009C71FA"/>
    <w:rsid w:val="009C72E7"/>
    <w:rsid w:val="009C7F7E"/>
    <w:rsid w:val="009D3058"/>
    <w:rsid w:val="009E751E"/>
    <w:rsid w:val="009F3A13"/>
    <w:rsid w:val="00A00167"/>
    <w:rsid w:val="00A0334B"/>
    <w:rsid w:val="00A122D3"/>
    <w:rsid w:val="00A14468"/>
    <w:rsid w:val="00A17F13"/>
    <w:rsid w:val="00A20739"/>
    <w:rsid w:val="00A23AF9"/>
    <w:rsid w:val="00A31A76"/>
    <w:rsid w:val="00A33C78"/>
    <w:rsid w:val="00A42FB0"/>
    <w:rsid w:val="00A73F45"/>
    <w:rsid w:val="00A87F3B"/>
    <w:rsid w:val="00AB0ADB"/>
    <w:rsid w:val="00B00C0E"/>
    <w:rsid w:val="00B01B1A"/>
    <w:rsid w:val="00B44A47"/>
    <w:rsid w:val="00B54271"/>
    <w:rsid w:val="00B72CD3"/>
    <w:rsid w:val="00B72FFF"/>
    <w:rsid w:val="00B74092"/>
    <w:rsid w:val="00BC3D36"/>
    <w:rsid w:val="00BC70CB"/>
    <w:rsid w:val="00BD54A6"/>
    <w:rsid w:val="00BD7F72"/>
    <w:rsid w:val="00BF3C9E"/>
    <w:rsid w:val="00BF5C08"/>
    <w:rsid w:val="00BF7425"/>
    <w:rsid w:val="00C04FB3"/>
    <w:rsid w:val="00C11D8B"/>
    <w:rsid w:val="00C330EB"/>
    <w:rsid w:val="00C50D69"/>
    <w:rsid w:val="00C5365C"/>
    <w:rsid w:val="00C70A41"/>
    <w:rsid w:val="00C754BE"/>
    <w:rsid w:val="00C76B1C"/>
    <w:rsid w:val="00C925AC"/>
    <w:rsid w:val="00CB6357"/>
    <w:rsid w:val="00CC1B26"/>
    <w:rsid w:val="00CD4831"/>
    <w:rsid w:val="00CF38CE"/>
    <w:rsid w:val="00D06146"/>
    <w:rsid w:val="00D0699E"/>
    <w:rsid w:val="00D334DD"/>
    <w:rsid w:val="00D361FD"/>
    <w:rsid w:val="00D423A2"/>
    <w:rsid w:val="00D44E26"/>
    <w:rsid w:val="00D520D8"/>
    <w:rsid w:val="00D62B9C"/>
    <w:rsid w:val="00D63AC2"/>
    <w:rsid w:val="00D70B23"/>
    <w:rsid w:val="00D7383B"/>
    <w:rsid w:val="00D75B24"/>
    <w:rsid w:val="00D7788A"/>
    <w:rsid w:val="00D86E98"/>
    <w:rsid w:val="00DA231B"/>
    <w:rsid w:val="00DC39FC"/>
    <w:rsid w:val="00DC7CCB"/>
    <w:rsid w:val="00DF5254"/>
    <w:rsid w:val="00E02524"/>
    <w:rsid w:val="00E16408"/>
    <w:rsid w:val="00E20894"/>
    <w:rsid w:val="00E245AB"/>
    <w:rsid w:val="00E2764C"/>
    <w:rsid w:val="00E27F2E"/>
    <w:rsid w:val="00E41358"/>
    <w:rsid w:val="00E50AFE"/>
    <w:rsid w:val="00E75C92"/>
    <w:rsid w:val="00E771DC"/>
    <w:rsid w:val="00E8772A"/>
    <w:rsid w:val="00E90F6B"/>
    <w:rsid w:val="00E92C27"/>
    <w:rsid w:val="00EA0E3D"/>
    <w:rsid w:val="00EA6B67"/>
    <w:rsid w:val="00EC38A7"/>
    <w:rsid w:val="00EC4B47"/>
    <w:rsid w:val="00EE1AA8"/>
    <w:rsid w:val="00EF5E13"/>
    <w:rsid w:val="00EF647F"/>
    <w:rsid w:val="00F23FEA"/>
    <w:rsid w:val="00F27B7B"/>
    <w:rsid w:val="00F31EDC"/>
    <w:rsid w:val="00F462B3"/>
    <w:rsid w:val="00F5664F"/>
    <w:rsid w:val="00F666C4"/>
    <w:rsid w:val="00F76AFC"/>
    <w:rsid w:val="00F948E6"/>
    <w:rsid w:val="00FA47C0"/>
    <w:rsid w:val="00FB5DD1"/>
    <w:rsid w:val="00FC2B5D"/>
    <w:rsid w:val="00FD520C"/>
    <w:rsid w:val="00FF1449"/>
    <w:rsid w:val="00FF1E32"/>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6D7"/>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character" w:customStyle="1" w:styleId="NormalWebCar">
    <w:name w:val="Normal (Web) Car"/>
    <w:link w:val="NormalWeb"/>
    <w:uiPriority w:val="99"/>
    <w:locked/>
    <w:rsid w:val="00273BF5"/>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273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273B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27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9945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14203613">
      <w:bodyDiv w:val="1"/>
      <w:marLeft w:val="0"/>
      <w:marRight w:val="0"/>
      <w:marTop w:val="0"/>
      <w:marBottom w:val="0"/>
      <w:divBdr>
        <w:top w:val="none" w:sz="0" w:space="0" w:color="auto"/>
        <w:left w:val="none" w:sz="0" w:space="0" w:color="auto"/>
        <w:bottom w:val="none" w:sz="0" w:space="0" w:color="auto"/>
        <w:right w:val="none" w:sz="0" w:space="0" w:color="auto"/>
      </w:divBdr>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spacho@vichad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71977-D87B-4BFB-9A1B-2C10AC97E62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1E6EABF-1D60-499C-99FC-D9359C94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10417</Words>
  <Characters>59378</Characters>
  <Application>Microsoft Office Word</Application>
  <DocSecurity>0</DocSecurity>
  <Lines>494</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2025-12-26T21:09:00Z</dcterms:created>
  <dcterms:modified xsi:type="dcterms:W3CDTF">2025-12-26T21:09:00Z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