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22A1" w:rsidRPr="00DB06FE" w:rsidRDefault="007622A1" w:rsidP="007622A1">
      <w:pPr>
        <w:spacing w:after="0" w:line="240" w:lineRule="auto"/>
        <w:jc w:val="both"/>
        <w:rPr>
          <w:rFonts w:ascii="Verdana" w:eastAsia="Calibri" w:hAnsi="Verdana" w:cs="Arial"/>
          <w:b/>
          <w:bCs/>
          <w:color w:val="000000" w:themeColor="text1"/>
          <w:lang w:val="es-ES_tradnl"/>
        </w:rPr>
      </w:pPr>
      <w:r w:rsidRPr="00DB06FE">
        <w:rPr>
          <w:rFonts w:ascii="Verdana" w:eastAsia="Calibri" w:hAnsi="Verdana" w:cs="Arial"/>
          <w:b/>
          <w:bCs/>
          <w:color w:val="000000" w:themeColor="text1"/>
          <w:lang w:val="es-ES_tradnl"/>
        </w:rPr>
        <w:t xml:space="preserve">PRECIO – Concepto – Estructuración </w:t>
      </w:r>
    </w:p>
    <w:p w:rsidR="007622A1" w:rsidRPr="00DB06FE" w:rsidRDefault="007622A1" w:rsidP="007622A1">
      <w:pPr>
        <w:spacing w:after="0" w:line="240" w:lineRule="auto"/>
        <w:jc w:val="both"/>
        <w:rPr>
          <w:rFonts w:ascii="Verdana" w:eastAsia="Calibri" w:hAnsi="Verdana" w:cs="Arial"/>
          <w:b/>
          <w:bCs/>
          <w:color w:val="000000" w:themeColor="text1"/>
          <w:sz w:val="20"/>
          <w:szCs w:val="20"/>
          <w:lang w:val="es-MX"/>
        </w:rPr>
      </w:pPr>
    </w:p>
    <w:p w:rsidR="007622A1" w:rsidRPr="00DB06FE" w:rsidRDefault="007622A1" w:rsidP="007622A1">
      <w:pPr>
        <w:spacing w:after="0" w:line="240" w:lineRule="auto"/>
        <w:jc w:val="both"/>
        <w:rPr>
          <w:rFonts w:ascii="Verdana" w:eastAsia="Calibri" w:hAnsi="Verdana" w:cs="Arial"/>
          <w:color w:val="000000" w:themeColor="text1"/>
          <w:sz w:val="20"/>
          <w:szCs w:val="20"/>
        </w:rPr>
      </w:pPr>
      <w:r w:rsidRPr="00DB06FE">
        <w:rPr>
          <w:rFonts w:ascii="Verdana" w:eastAsia="Calibri" w:hAnsi="Verdana" w:cs="Arial"/>
          <w:color w:val="000000" w:themeColor="text1"/>
          <w:sz w:val="20"/>
          <w:szCs w:val="20"/>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rsidR="007622A1" w:rsidRPr="00DB06FE" w:rsidRDefault="007622A1" w:rsidP="007622A1">
      <w:pPr>
        <w:spacing w:after="0" w:line="240" w:lineRule="auto"/>
        <w:jc w:val="both"/>
        <w:rPr>
          <w:rFonts w:ascii="Verdana" w:eastAsia="Calibri" w:hAnsi="Verdana" w:cs="Arial"/>
          <w:color w:val="000000" w:themeColor="text1"/>
          <w:sz w:val="20"/>
          <w:szCs w:val="20"/>
        </w:rPr>
      </w:pPr>
    </w:p>
    <w:p w:rsidR="007622A1" w:rsidRPr="00DB06FE" w:rsidRDefault="007622A1" w:rsidP="007622A1">
      <w:pPr>
        <w:spacing w:after="0" w:line="240" w:lineRule="auto"/>
        <w:jc w:val="both"/>
        <w:rPr>
          <w:rFonts w:ascii="Verdana" w:eastAsia="Calibri" w:hAnsi="Verdana" w:cs="Arial"/>
          <w:color w:val="000000" w:themeColor="text1"/>
          <w:sz w:val="20"/>
          <w:szCs w:val="20"/>
        </w:rPr>
      </w:pPr>
      <w:r w:rsidRPr="00DB06FE">
        <w:rPr>
          <w:rFonts w:ascii="Verdana" w:eastAsia="Calibri" w:hAnsi="Verdana" w:cs="Arial"/>
          <w:color w:val="000000" w:themeColor="text1"/>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rsidR="007622A1" w:rsidRPr="00DB06FE" w:rsidRDefault="007622A1" w:rsidP="007622A1">
      <w:pPr>
        <w:jc w:val="both"/>
        <w:rPr>
          <w:rFonts w:ascii="Verdana" w:eastAsia="Calibri" w:hAnsi="Verdana" w:cs="Arial"/>
          <w:sz w:val="20"/>
          <w:szCs w:val="20"/>
        </w:rPr>
      </w:pPr>
    </w:p>
    <w:p w:rsidR="007622A1" w:rsidRPr="00DB06FE" w:rsidRDefault="007622A1" w:rsidP="007622A1">
      <w:pPr>
        <w:jc w:val="both"/>
        <w:rPr>
          <w:rFonts w:ascii="Verdana" w:eastAsia="Calibri" w:hAnsi="Verdana" w:cs="Arial"/>
          <w:sz w:val="20"/>
          <w:szCs w:val="20"/>
          <w:lang w:val="es-ES_tradnl"/>
        </w:rPr>
      </w:pPr>
      <w:r w:rsidRPr="00DB06FE">
        <w:rPr>
          <w:rFonts w:ascii="Verdana" w:eastAsia="Calibri" w:hAnsi="Verdana" w:cs="Arial"/>
          <w:sz w:val="20"/>
          <w:szCs w:val="20"/>
          <w:lang w:val="es-ES_tradnl"/>
        </w:rPr>
        <w:t xml:space="preserve">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 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w:t>
      </w:r>
      <w:r w:rsidRPr="00DB06FE">
        <w:rPr>
          <w:rFonts w:ascii="Verdana" w:eastAsia="Calibri" w:hAnsi="Verdana" w:cs="Arial"/>
          <w:sz w:val="20"/>
          <w:szCs w:val="20"/>
          <w:lang w:val="es-ES_tradnl"/>
        </w:rPr>
        <w:lastRenderedPageBreak/>
        <w:t>serán pactadas, tanto para la entidad contratante como para el contratista que proveerá el bien, obra o servicio.</w:t>
      </w:r>
    </w:p>
    <w:p w:rsidR="007622A1" w:rsidRPr="00DB06FE" w:rsidRDefault="007622A1" w:rsidP="007622A1">
      <w:pPr>
        <w:spacing w:after="0"/>
        <w:rPr>
          <w:rFonts w:ascii="Verdana" w:eastAsia="Calibri" w:hAnsi="Verdana" w:cs="Arial"/>
          <w:b/>
          <w:bCs/>
          <w:lang w:val="es-ES_tradnl" w:eastAsia="es-ES"/>
        </w:rPr>
      </w:pPr>
    </w:p>
    <w:p w:rsidR="007622A1" w:rsidRPr="00DB06FE" w:rsidRDefault="007622A1" w:rsidP="007622A1">
      <w:pPr>
        <w:spacing w:after="0" w:line="240" w:lineRule="auto"/>
        <w:jc w:val="both"/>
        <w:rPr>
          <w:rFonts w:ascii="Verdana" w:eastAsia="Calibri" w:hAnsi="Verdana" w:cs="Arial"/>
          <w:b/>
          <w:bCs/>
          <w:color w:val="000000" w:themeColor="text1"/>
          <w:lang w:val="es-ES"/>
        </w:rPr>
      </w:pPr>
      <w:r w:rsidRPr="00DB06FE">
        <w:rPr>
          <w:rFonts w:ascii="Verdana" w:eastAsia="Calibri" w:hAnsi="Verdana" w:cs="Arial"/>
          <w:b/>
          <w:bCs/>
          <w:color w:val="000000" w:themeColor="text1"/>
          <w:lang w:val="es-ES"/>
        </w:rPr>
        <w:t xml:space="preserve">CONTRATO POR MONTO AGOTABLE </w:t>
      </w:r>
      <w:r w:rsidRPr="00DB06FE">
        <w:rPr>
          <w:rFonts w:ascii="Verdana" w:eastAsia="Calibri" w:hAnsi="Verdana" w:cs="Arial"/>
          <w:b/>
          <w:bCs/>
          <w:color w:val="000000" w:themeColor="text1"/>
        </w:rPr>
        <w:t xml:space="preserve">– </w:t>
      </w:r>
      <w:r w:rsidRPr="00DB06FE">
        <w:rPr>
          <w:rFonts w:ascii="Verdana" w:eastAsia="Calibri" w:hAnsi="Verdana" w:cs="Arial"/>
          <w:b/>
          <w:bCs/>
          <w:color w:val="000000" w:themeColor="text1"/>
          <w:lang w:val="es-ES"/>
        </w:rPr>
        <w:t xml:space="preserve">Forma de Pago – Legalidad – Contrato típico o atípico – Inexistencia </w:t>
      </w:r>
    </w:p>
    <w:p w:rsidR="007622A1" w:rsidRPr="00DB06FE" w:rsidRDefault="007622A1" w:rsidP="007622A1">
      <w:pPr>
        <w:spacing w:after="0" w:line="240" w:lineRule="auto"/>
        <w:jc w:val="both"/>
        <w:rPr>
          <w:rFonts w:ascii="Verdana" w:eastAsia="Calibri" w:hAnsi="Verdana" w:cs="Arial"/>
          <w:b/>
          <w:bCs/>
          <w:color w:val="000000" w:themeColor="text1"/>
          <w:sz w:val="20"/>
          <w:szCs w:val="20"/>
          <w:lang w:val="es-ES"/>
        </w:rPr>
      </w:pPr>
    </w:p>
    <w:p w:rsidR="007622A1" w:rsidRPr="00DB06FE" w:rsidRDefault="007622A1" w:rsidP="007622A1">
      <w:pPr>
        <w:spacing w:after="0" w:line="240" w:lineRule="auto"/>
        <w:jc w:val="both"/>
        <w:rPr>
          <w:rFonts w:ascii="Verdana" w:eastAsia="Calibri" w:hAnsi="Verdana" w:cs="Arial"/>
          <w:color w:val="000000" w:themeColor="text1"/>
          <w:sz w:val="20"/>
          <w:szCs w:val="20"/>
          <w:lang w:val="es-ES"/>
        </w:rPr>
      </w:pPr>
      <w:r w:rsidRPr="00DB06FE">
        <w:rPr>
          <w:rFonts w:ascii="Verdana" w:eastAsia="Calibri" w:hAnsi="Verdana" w:cs="Arial"/>
          <w:color w:val="000000" w:themeColor="text1"/>
          <w:sz w:val="20"/>
          <w:szCs w:val="20"/>
          <w:lang w:val="es-ES"/>
        </w:rPr>
        <w:t xml:space="preserve">La figura del “contrato por monto agotable” no existe en las leyes civiles y comerciales ni en el EGCAP como una figura contractual típica ni atípica, pues 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En este contexto, se encuentra más relacionada con el establecimiento de la forma de pago. </w:t>
      </w:r>
      <w:r w:rsidRPr="00DB06FE">
        <w:rPr>
          <w:rFonts w:ascii="Verdana" w:eastAsia="Calibri" w:hAnsi="Verdana" w:cs="Arial"/>
          <w:bCs/>
          <w:color w:val="000000" w:themeColor="text1"/>
          <w:sz w:val="20"/>
          <w:szCs w:val="20"/>
          <w:lang w:val="es-ES_tradnl"/>
        </w:rPr>
        <w:t xml:space="preserve">Sin perjuicio de lo anterior,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w:t>
      </w:r>
    </w:p>
    <w:p w:rsidR="007622A1" w:rsidRPr="00DB06FE" w:rsidRDefault="007622A1" w:rsidP="007622A1">
      <w:pPr>
        <w:spacing w:after="0" w:line="240" w:lineRule="auto"/>
        <w:jc w:val="both"/>
        <w:rPr>
          <w:rFonts w:ascii="Verdana" w:eastAsia="Calibri" w:hAnsi="Verdana" w:cs="Arial"/>
          <w:b/>
          <w:bCs/>
          <w:color w:val="000000" w:themeColor="text1"/>
          <w:sz w:val="20"/>
          <w:szCs w:val="20"/>
          <w:lang w:val="es-ES"/>
        </w:rPr>
      </w:pPr>
    </w:p>
    <w:p w:rsidR="007622A1" w:rsidRPr="00DB06FE" w:rsidRDefault="007622A1" w:rsidP="007622A1">
      <w:pPr>
        <w:spacing w:after="0" w:line="240" w:lineRule="auto"/>
        <w:jc w:val="both"/>
        <w:rPr>
          <w:rFonts w:ascii="Verdana" w:eastAsia="Calibri" w:hAnsi="Verdana" w:cs="Arial"/>
          <w:b/>
          <w:bCs/>
          <w:color w:val="000000" w:themeColor="text1"/>
        </w:rPr>
      </w:pPr>
      <w:r w:rsidRPr="00DB06FE">
        <w:rPr>
          <w:rFonts w:ascii="Verdana" w:eastAsia="Calibri" w:hAnsi="Verdana" w:cs="Arial"/>
          <w:b/>
          <w:bCs/>
          <w:color w:val="000000" w:themeColor="text1"/>
          <w:lang w:val="es-ES"/>
        </w:rPr>
        <w:t xml:space="preserve">FORMA DE PAGO </w:t>
      </w:r>
      <w:r w:rsidRPr="00DB06FE">
        <w:rPr>
          <w:rFonts w:ascii="Verdana" w:eastAsia="Calibri" w:hAnsi="Verdana" w:cs="Arial"/>
          <w:b/>
          <w:bCs/>
          <w:color w:val="000000" w:themeColor="text1"/>
        </w:rPr>
        <w:t xml:space="preserve">– </w:t>
      </w:r>
      <w:r w:rsidRPr="00DB06FE">
        <w:rPr>
          <w:rFonts w:ascii="Verdana" w:eastAsia="Calibri" w:hAnsi="Verdana" w:cs="Arial"/>
          <w:b/>
          <w:bCs/>
          <w:color w:val="000000" w:themeColor="text1"/>
          <w:lang w:val="es-ES"/>
        </w:rPr>
        <w:t>Contrato de suministro – Contrato de obra – Presupuesto limitativo</w:t>
      </w:r>
      <w:r w:rsidRPr="00DB06FE">
        <w:rPr>
          <w:rFonts w:ascii="Verdana" w:eastAsia="Calibri" w:hAnsi="Verdana" w:cs="Arial"/>
          <w:b/>
          <w:bCs/>
          <w:color w:val="000000" w:themeColor="text1"/>
        </w:rPr>
        <w:t xml:space="preserve"> </w:t>
      </w:r>
    </w:p>
    <w:p w:rsidR="007622A1" w:rsidRPr="00DB06FE" w:rsidRDefault="007622A1" w:rsidP="007622A1">
      <w:pPr>
        <w:spacing w:after="0" w:line="240" w:lineRule="auto"/>
        <w:jc w:val="both"/>
        <w:rPr>
          <w:rFonts w:ascii="Verdana" w:eastAsia="Calibri" w:hAnsi="Verdana" w:cs="Arial"/>
          <w:b/>
          <w:bCs/>
          <w:color w:val="000000" w:themeColor="text1"/>
          <w:sz w:val="20"/>
          <w:szCs w:val="20"/>
        </w:rPr>
      </w:pPr>
    </w:p>
    <w:p w:rsidR="007622A1" w:rsidRPr="00DB06FE" w:rsidRDefault="007622A1" w:rsidP="007622A1">
      <w:pPr>
        <w:spacing w:after="0" w:line="240" w:lineRule="auto"/>
        <w:jc w:val="both"/>
        <w:rPr>
          <w:rFonts w:ascii="Verdana" w:eastAsia="Calibri" w:hAnsi="Verdana" w:cs="Arial"/>
          <w:color w:val="000000" w:themeColor="text1"/>
          <w:sz w:val="20"/>
          <w:szCs w:val="20"/>
          <w:lang w:val="es-ES"/>
        </w:rPr>
      </w:pPr>
      <w:r w:rsidRPr="00DB06FE">
        <w:rPr>
          <w:rFonts w:ascii="Verdana" w:eastAsia="Calibri" w:hAnsi="Verdana" w:cs="Arial"/>
          <w:color w:val="000000" w:themeColor="text1"/>
          <w:sz w:val="20"/>
          <w:szCs w:val="20"/>
          <w:lang w:val="es-ES"/>
        </w:rPr>
        <w:t xml:space="preserve">Existen contratos de suministro donde el contratista se obliga a entregar los bienes por un precio unitario, sin que la cuantía se defina exactamente al tiempo de celebrar el contrato, ya que las entregas estas subordinadas a las necesidades de la entidad. Así las cosas, “En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 Una situación similar se presenta en algunos contratos de obra a precios unitarios donde, pese a que se encuentra establecido los ítems y el valor de cada uno de ellos, las cantidades definitivas dependen de lo efectivamente ejecutado al finalizar el plazo. En este sistema las partes establecen una suma fija por cada unidad de los trabajos que debe ejecutar el contratista, por lo que el precio –a diferencia del ajuste alzado o la suma cerrada– no se determina por la totalidad de la obra, sino por cada parte, unidad o medida. En este caso, también se requiere establecer un tope máximo para la adelantar las obras, ya que “[…] el precio total depende del conjunto de trabajos ejecutados según el presupuesto, pudiendo por tanto variar por nuevos trabajos adicionales […]”. Por lo demás, a pesar de que el precio del contrato se fije por un monto agotable, este no deja de pertenecer a la tipología del artículo 32.1 del Estatuto General de Contratación de la Administración Pública, especialmente, cuando –conforme al tenor literal de la norma– la obra pública existe cualquiera que sea la modalidad de ejecución y pago.   </w:t>
      </w:r>
    </w:p>
    <w:p w:rsidR="007622A1" w:rsidRPr="00DB06FE" w:rsidRDefault="007622A1" w:rsidP="007622A1">
      <w:pPr>
        <w:spacing w:after="0" w:line="240" w:lineRule="auto"/>
        <w:jc w:val="both"/>
        <w:rPr>
          <w:rFonts w:ascii="Verdana" w:eastAsia="Calibri" w:hAnsi="Verdana" w:cs="Arial"/>
          <w:color w:val="000000" w:themeColor="text1"/>
          <w:sz w:val="20"/>
          <w:szCs w:val="20"/>
          <w:lang w:val="es-ES"/>
        </w:rPr>
      </w:pPr>
      <w:r w:rsidRPr="00DB06FE">
        <w:rPr>
          <w:rFonts w:ascii="Verdana" w:eastAsia="Calibri" w:hAnsi="Verdana" w:cs="Arial"/>
          <w:color w:val="000000" w:themeColor="text1"/>
          <w:sz w:val="20"/>
          <w:szCs w:val="20"/>
          <w:lang w:val="es-ES"/>
        </w:rPr>
        <w:t xml:space="preserve"> </w:t>
      </w:r>
    </w:p>
    <w:p w:rsidR="007622A1" w:rsidRPr="00DB06FE" w:rsidRDefault="007622A1" w:rsidP="007622A1">
      <w:pPr>
        <w:spacing w:after="0"/>
        <w:rPr>
          <w:rFonts w:ascii="Verdana" w:hAnsi="Verdana"/>
          <w:b/>
          <w:bCs/>
          <w:lang w:val="es-ES"/>
        </w:rPr>
      </w:pPr>
    </w:p>
    <w:p w:rsidR="007622A1" w:rsidRDefault="007622A1" w:rsidP="007622A1">
      <w:pPr>
        <w:spacing w:after="0"/>
        <w:rPr>
          <w:rFonts w:ascii="Verdana" w:hAnsi="Verdana"/>
        </w:rPr>
      </w:pPr>
    </w:p>
    <w:p w:rsidR="00D904A7" w:rsidRDefault="00D904A7" w:rsidP="007622A1">
      <w:pPr>
        <w:spacing w:after="0"/>
        <w:rPr>
          <w:rFonts w:ascii="Verdana" w:hAnsi="Verdana"/>
        </w:rPr>
      </w:pPr>
    </w:p>
    <w:p w:rsidR="00D904A7" w:rsidRPr="00DB06FE" w:rsidRDefault="00D904A7" w:rsidP="007622A1">
      <w:pPr>
        <w:spacing w:after="0"/>
        <w:rPr>
          <w:rFonts w:ascii="Verdana" w:hAnsi="Verdana"/>
        </w:rPr>
      </w:pPr>
    </w:p>
    <w:p w:rsidR="007622A1" w:rsidRPr="00DB06FE" w:rsidRDefault="007622A1" w:rsidP="007622A1">
      <w:pPr>
        <w:spacing w:after="0"/>
        <w:rPr>
          <w:rFonts w:ascii="Verdana" w:hAnsi="Verdana"/>
        </w:rPr>
      </w:pPr>
      <w:r w:rsidRPr="00DB06FE">
        <w:rPr>
          <w:rFonts w:ascii="Verdana" w:hAnsi="Verdana"/>
        </w:rPr>
        <w:t>Bogotá D.C., [Día] [</w:t>
      </w:r>
      <w:proofErr w:type="spellStart"/>
      <w:r w:rsidRPr="00DB06FE">
        <w:rPr>
          <w:rFonts w:ascii="Verdana" w:hAnsi="Verdana"/>
        </w:rPr>
        <w:t>Mes.NombreCapitalizado</w:t>
      </w:r>
      <w:proofErr w:type="spellEnd"/>
      <w:r w:rsidRPr="00DB06FE">
        <w:rPr>
          <w:rFonts w:ascii="Verdana" w:hAnsi="Verdana"/>
        </w:rPr>
        <w:t>] [Año]</w:t>
      </w:r>
    </w:p>
    <w:p w:rsidR="007622A1" w:rsidRPr="00DB06FE" w:rsidRDefault="00D904A7" w:rsidP="007622A1">
      <w:pPr>
        <w:spacing w:after="0"/>
        <w:rPr>
          <w:rFonts w:ascii="Verdana" w:hAnsi="Verdana"/>
        </w:rPr>
      </w:pPr>
      <w:r w:rsidRPr="00D904A7">
        <w:rPr>
          <w:rFonts w:ascii="Verdana" w:hAnsi="Verdana"/>
        </w:rPr>
        <w:drawing>
          <wp:anchor distT="0" distB="0" distL="114300" distR="114300" simplePos="0" relativeHeight="251658240" behindDoc="1" locked="0" layoutInCell="1" allowOverlap="1" wp14:anchorId="20EECB59">
            <wp:simplePos x="0" y="0"/>
            <wp:positionH relativeFrom="column">
              <wp:posOffset>3408680</wp:posOffset>
            </wp:positionH>
            <wp:positionV relativeFrom="paragraph">
              <wp:posOffset>34429</wp:posOffset>
            </wp:positionV>
            <wp:extent cx="3216666" cy="894576"/>
            <wp:effectExtent l="0" t="0" r="0" b="0"/>
            <wp:wrapNone/>
            <wp:docPr id="10145691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69128" name=""/>
                    <pic:cNvPicPr/>
                  </pic:nvPicPr>
                  <pic:blipFill>
                    <a:blip r:embed="rId7">
                      <a:extLst>
                        <a:ext uri="{28A0092B-C50C-407E-A947-70E740481C1C}">
                          <a14:useLocalDpi xmlns:a14="http://schemas.microsoft.com/office/drawing/2010/main" val="0"/>
                        </a:ext>
                      </a:extLst>
                    </a:blip>
                    <a:stretch>
                      <a:fillRect/>
                    </a:stretch>
                  </pic:blipFill>
                  <pic:spPr>
                    <a:xfrm>
                      <a:off x="0" y="0"/>
                      <a:ext cx="3236673" cy="900140"/>
                    </a:xfrm>
                    <a:prstGeom prst="rect">
                      <a:avLst/>
                    </a:prstGeom>
                  </pic:spPr>
                </pic:pic>
              </a:graphicData>
            </a:graphic>
            <wp14:sizeRelH relativeFrom="page">
              <wp14:pctWidth>0</wp14:pctWidth>
            </wp14:sizeRelH>
            <wp14:sizeRelV relativeFrom="page">
              <wp14:pctHeight>0</wp14:pctHeight>
            </wp14:sizeRelV>
          </wp:anchor>
        </w:drawing>
      </w:r>
    </w:p>
    <w:p w:rsidR="007622A1" w:rsidRPr="00DB06FE" w:rsidRDefault="007622A1" w:rsidP="007622A1">
      <w:pPr>
        <w:spacing w:after="0"/>
        <w:rPr>
          <w:rFonts w:ascii="Verdana" w:hAnsi="Verdana"/>
        </w:rPr>
      </w:pPr>
    </w:p>
    <w:p w:rsidR="007622A1" w:rsidRPr="00DB06FE" w:rsidRDefault="007622A1" w:rsidP="007622A1">
      <w:pPr>
        <w:spacing w:after="0" w:line="276" w:lineRule="auto"/>
        <w:rPr>
          <w:rFonts w:ascii="Verdana" w:hAnsi="Verdana"/>
        </w:rPr>
      </w:pPr>
    </w:p>
    <w:p w:rsidR="007622A1" w:rsidRPr="00DB06FE" w:rsidRDefault="007622A1" w:rsidP="007622A1">
      <w:pPr>
        <w:spacing w:after="0" w:line="276" w:lineRule="auto"/>
        <w:rPr>
          <w:rFonts w:ascii="Verdana" w:eastAsia="Calibri" w:hAnsi="Verdana" w:cs="Arial"/>
          <w:lang w:val="es-ES"/>
        </w:rPr>
      </w:pPr>
    </w:p>
    <w:p w:rsidR="007622A1" w:rsidRPr="00DB06FE" w:rsidRDefault="007622A1" w:rsidP="007622A1">
      <w:pPr>
        <w:spacing w:after="0" w:line="240" w:lineRule="auto"/>
        <w:jc w:val="both"/>
        <w:rPr>
          <w:rFonts w:ascii="Verdana" w:eastAsia="Calibri" w:hAnsi="Verdana" w:cs="Arial"/>
          <w:lang w:val="es-ES" w:eastAsia="es-ES"/>
        </w:rPr>
      </w:pPr>
      <w:r w:rsidRPr="00DB06FE">
        <w:rPr>
          <w:rFonts w:ascii="Verdana" w:eastAsia="Calibri" w:hAnsi="Verdana" w:cs="Arial"/>
          <w:lang w:val="es-ES" w:eastAsia="es-ES"/>
        </w:rPr>
        <w:t>Señor</w:t>
      </w:r>
    </w:p>
    <w:p w:rsidR="007622A1" w:rsidRPr="00D93DDE" w:rsidRDefault="007622A1" w:rsidP="007622A1">
      <w:pPr>
        <w:spacing w:after="0" w:line="240" w:lineRule="auto"/>
        <w:jc w:val="both"/>
        <w:rPr>
          <w:rFonts w:ascii="Verdana" w:eastAsia="Calibri" w:hAnsi="Verdana" w:cs="Arial"/>
          <w:b/>
          <w:bCs/>
          <w:lang w:eastAsia="es-ES"/>
        </w:rPr>
      </w:pPr>
      <w:r w:rsidRPr="00D93DDE">
        <w:rPr>
          <w:rFonts w:ascii="Verdana" w:eastAsia="Calibri" w:hAnsi="Verdana" w:cs="Arial"/>
          <w:b/>
          <w:bCs/>
          <w:lang w:eastAsia="es-ES"/>
        </w:rPr>
        <w:t>John Alexander Mantilla Mesa</w:t>
      </w:r>
    </w:p>
    <w:p w:rsidR="007622A1" w:rsidRPr="00DB06FE" w:rsidRDefault="00000000" w:rsidP="007622A1">
      <w:pPr>
        <w:spacing w:after="0" w:line="240" w:lineRule="auto"/>
        <w:jc w:val="both"/>
        <w:rPr>
          <w:rFonts w:ascii="Verdana" w:hAnsi="Verdana"/>
        </w:rPr>
      </w:pPr>
      <w:hyperlink r:id="rId8" w:history="1">
        <w:r w:rsidR="007622A1" w:rsidRPr="00DB06FE">
          <w:rPr>
            <w:rStyle w:val="Hipervnculo"/>
            <w:rFonts w:ascii="Verdana" w:hAnsi="Verdana"/>
          </w:rPr>
          <w:t>johnmantilla12@hotmail.com</w:t>
        </w:r>
      </w:hyperlink>
    </w:p>
    <w:p w:rsidR="007622A1" w:rsidRPr="00DB06FE" w:rsidRDefault="007622A1" w:rsidP="007622A1">
      <w:pPr>
        <w:spacing w:after="0" w:line="240" w:lineRule="auto"/>
        <w:jc w:val="both"/>
        <w:rPr>
          <w:rFonts w:ascii="Verdana" w:eastAsia="Calibri" w:hAnsi="Verdana" w:cs="Arial"/>
          <w:szCs w:val="24"/>
          <w:lang w:val="es-ES_tradnl" w:eastAsia="es-ES_tradnl"/>
        </w:rPr>
      </w:pPr>
      <w:r w:rsidRPr="00DB06FE">
        <w:rPr>
          <w:rFonts w:ascii="Verdana" w:eastAsia="Calibri" w:hAnsi="Verdana" w:cs="Arial"/>
          <w:szCs w:val="24"/>
          <w:lang w:val="es-ES_tradnl" w:eastAsia="es-ES_tradnl"/>
        </w:rPr>
        <w:t xml:space="preserve">Cali – Valle </w:t>
      </w:r>
    </w:p>
    <w:p w:rsidR="007622A1" w:rsidRPr="00DB06FE" w:rsidRDefault="007622A1" w:rsidP="007622A1">
      <w:pPr>
        <w:spacing w:after="0" w:line="240" w:lineRule="auto"/>
        <w:rPr>
          <w:rFonts w:ascii="Verdana" w:eastAsia="Calibri" w:hAnsi="Verdana" w:cs="Arial"/>
          <w:szCs w:val="24"/>
          <w:lang w:val="es-ES_tradnl" w:eastAsia="es-ES_tradnl"/>
        </w:rPr>
      </w:pPr>
    </w:p>
    <w:p w:rsidR="007622A1" w:rsidRPr="00DB06FE" w:rsidRDefault="007622A1" w:rsidP="007622A1">
      <w:pPr>
        <w:spacing w:after="0" w:line="240" w:lineRule="auto"/>
        <w:ind w:left="2694"/>
        <w:rPr>
          <w:rFonts w:ascii="Verdana" w:eastAsia="Calibri" w:hAnsi="Verdana" w:cs="Arial"/>
          <w:b/>
          <w:bCs/>
          <w:lang w:val="es-ES" w:eastAsia="es-ES"/>
        </w:rPr>
      </w:pPr>
      <w:r w:rsidRPr="00DB06FE">
        <w:rPr>
          <w:rFonts w:ascii="Verdana" w:eastAsia="Calibri" w:hAnsi="Verdana" w:cs="Arial"/>
          <w:b/>
          <w:bCs/>
          <w:lang w:val="es-ES" w:eastAsia="es-ES"/>
        </w:rPr>
        <w:t>Concepto C-163 de 2024</w:t>
      </w:r>
    </w:p>
    <w:p w:rsidR="007622A1" w:rsidRPr="00DB06FE" w:rsidRDefault="007622A1" w:rsidP="007622A1">
      <w:pPr>
        <w:spacing w:after="0" w:line="240" w:lineRule="auto"/>
        <w:ind w:left="2694"/>
        <w:rPr>
          <w:rFonts w:ascii="Verdana" w:eastAsia="Calibri" w:hAnsi="Verdana" w:cs="Arial"/>
          <w:szCs w:val="24"/>
          <w:lang w:val="es-ES_tradnl" w:eastAsia="es-ES_tradnl"/>
        </w:rPr>
      </w:pPr>
    </w:p>
    <w:p w:rsidR="007622A1" w:rsidRPr="00DB06FE" w:rsidRDefault="007622A1" w:rsidP="007622A1">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7622A1" w:rsidRPr="00DB06FE" w:rsidTr="00F567E8">
        <w:trPr>
          <w:trHeight w:val="884"/>
        </w:trPr>
        <w:tc>
          <w:tcPr>
            <w:tcW w:w="2689" w:type="dxa"/>
          </w:tcPr>
          <w:p w:rsidR="007622A1" w:rsidRPr="00DB06FE" w:rsidRDefault="007622A1" w:rsidP="00F567E8">
            <w:pPr>
              <w:jc w:val="both"/>
              <w:rPr>
                <w:rFonts w:ascii="Verdana" w:eastAsia="Calibri" w:hAnsi="Verdana" w:cs="Arial"/>
                <w:szCs w:val="24"/>
                <w:lang w:val="es-ES_tradnl" w:eastAsia="es-ES_tradnl"/>
              </w:rPr>
            </w:pPr>
            <w:r w:rsidRPr="00DB06FE">
              <w:rPr>
                <w:rFonts w:ascii="Verdana" w:eastAsia="Calibri" w:hAnsi="Verdana" w:cs="Arial"/>
                <w:szCs w:val="24"/>
                <w:lang w:val="es-ES_tradnl" w:eastAsia="es-ES_tradnl"/>
              </w:rPr>
              <w:t xml:space="preserve">Temas:                   </w:t>
            </w:r>
          </w:p>
        </w:tc>
        <w:tc>
          <w:tcPr>
            <w:tcW w:w="6237" w:type="dxa"/>
          </w:tcPr>
          <w:p w:rsidR="007622A1" w:rsidRPr="00DB06FE" w:rsidRDefault="007622A1" w:rsidP="00F567E8">
            <w:pPr>
              <w:spacing w:after="120"/>
              <w:contextualSpacing/>
              <w:jc w:val="both"/>
              <w:rPr>
                <w:rFonts w:ascii="Verdana" w:eastAsia="Calibri" w:hAnsi="Verdana" w:cs="Arial"/>
                <w:bCs/>
                <w:lang w:val="es-ES" w:eastAsia="es-ES_tradnl"/>
              </w:rPr>
            </w:pPr>
            <w:r w:rsidRPr="00DB06FE">
              <w:rPr>
                <w:rFonts w:ascii="Verdana" w:eastAsia="Calibri" w:hAnsi="Verdana" w:cs="Arial"/>
                <w:bCs/>
                <w:lang w:val="es-MX" w:eastAsia="es-ES_tradnl"/>
              </w:rPr>
              <w:t xml:space="preserve">PRECIO – Concepto – Estructuración </w:t>
            </w:r>
            <w:r w:rsidRPr="00DB06FE">
              <w:rPr>
                <w:rFonts w:ascii="Verdana" w:eastAsia="Calibri" w:hAnsi="Verdana" w:cs="Arial"/>
                <w:bCs/>
                <w:lang w:val="es-ES_tradnl" w:eastAsia="es-ES_tradnl"/>
              </w:rPr>
              <w:t xml:space="preserve">/ </w:t>
            </w:r>
            <w:r w:rsidRPr="00DB06FE">
              <w:rPr>
                <w:rFonts w:ascii="Verdana" w:eastAsia="Calibri" w:hAnsi="Verdana" w:cs="Arial"/>
                <w:bCs/>
                <w:lang w:val="es-ES" w:eastAsia="es-ES_tradnl"/>
              </w:rPr>
              <w:t>TIPOLOGÍA CONTRACTUAL – Escogencia del tipo de contrato / CONTRATO POR MONTO AGOTABLE – Forma de Pago – Legalidad – Contrato típico o atípico – Inexistencia</w:t>
            </w:r>
            <w:r w:rsidRPr="00DB06FE">
              <w:rPr>
                <w:rFonts w:ascii="Verdana" w:eastAsia="Calibri" w:hAnsi="Verdana" w:cs="Arial"/>
                <w:bCs/>
                <w:lang w:eastAsia="es-ES_tradnl"/>
              </w:rPr>
              <w:t xml:space="preserve"> / </w:t>
            </w:r>
            <w:r w:rsidRPr="00DB06FE">
              <w:rPr>
                <w:rFonts w:ascii="Verdana" w:eastAsia="Calibri" w:hAnsi="Verdana" w:cs="Arial"/>
                <w:bCs/>
                <w:lang w:val="es-ES" w:eastAsia="es-ES_tradnl"/>
              </w:rPr>
              <w:t xml:space="preserve">FORMA DE PAGO – Contrato de suministro – Contrato de obra – Presupuesto limitativo </w:t>
            </w:r>
          </w:p>
          <w:p w:rsidR="007622A1" w:rsidRPr="00DB06FE" w:rsidRDefault="007622A1" w:rsidP="00F567E8">
            <w:pPr>
              <w:jc w:val="both"/>
              <w:rPr>
                <w:rFonts w:ascii="Verdana" w:eastAsia="Calibri" w:hAnsi="Verdana" w:cs="Arial"/>
                <w:lang w:val="es-ES" w:eastAsia="es-ES"/>
              </w:rPr>
            </w:pPr>
          </w:p>
        </w:tc>
        <w:tc>
          <w:tcPr>
            <w:tcW w:w="6237" w:type="dxa"/>
          </w:tcPr>
          <w:p w:rsidR="007622A1" w:rsidRPr="00DB06FE" w:rsidRDefault="007622A1" w:rsidP="00F567E8">
            <w:pPr>
              <w:jc w:val="both"/>
              <w:rPr>
                <w:rFonts w:ascii="Verdana" w:hAnsi="Verdana" w:cs="Arial"/>
                <w:lang w:val="es-ES"/>
              </w:rPr>
            </w:pPr>
          </w:p>
        </w:tc>
      </w:tr>
      <w:tr w:rsidR="007622A1" w:rsidRPr="00DB06FE" w:rsidTr="00F567E8">
        <w:tc>
          <w:tcPr>
            <w:tcW w:w="2689" w:type="dxa"/>
          </w:tcPr>
          <w:p w:rsidR="007622A1" w:rsidRPr="00DB06FE" w:rsidRDefault="007622A1" w:rsidP="00F567E8">
            <w:pPr>
              <w:spacing w:before="120"/>
              <w:jc w:val="both"/>
              <w:rPr>
                <w:rFonts w:ascii="Verdana" w:eastAsia="Calibri" w:hAnsi="Verdana" w:cs="Arial"/>
                <w:szCs w:val="24"/>
                <w:lang w:val="es-ES_tradnl" w:eastAsia="es-ES_tradnl"/>
              </w:rPr>
            </w:pPr>
            <w:r w:rsidRPr="00DB06FE">
              <w:rPr>
                <w:rFonts w:ascii="Verdana" w:eastAsia="Calibri" w:hAnsi="Verdana" w:cs="Arial"/>
                <w:szCs w:val="24"/>
                <w:lang w:val="es-ES_tradnl" w:eastAsia="es-ES_tradnl"/>
              </w:rPr>
              <w:t xml:space="preserve">Radicación:               </w:t>
            </w:r>
          </w:p>
        </w:tc>
        <w:tc>
          <w:tcPr>
            <w:tcW w:w="6237" w:type="dxa"/>
          </w:tcPr>
          <w:p w:rsidR="007622A1" w:rsidRPr="00DB06FE" w:rsidRDefault="007622A1" w:rsidP="00F567E8">
            <w:pPr>
              <w:spacing w:before="120"/>
              <w:jc w:val="both"/>
              <w:rPr>
                <w:rFonts w:ascii="Verdana" w:eastAsia="Calibri" w:hAnsi="Verdana" w:cs="Arial"/>
                <w:szCs w:val="24"/>
                <w:lang w:val="es-ES_tradnl" w:eastAsia="es-ES_tradnl"/>
              </w:rPr>
            </w:pPr>
            <w:r w:rsidRPr="00DB06FE">
              <w:rPr>
                <w:rFonts w:ascii="Verdana" w:eastAsia="Calibri" w:hAnsi="Verdana" w:cs="Arial"/>
                <w:szCs w:val="24"/>
                <w:lang w:val="es-ES_tradnl" w:eastAsia="es-ES_tradnl"/>
              </w:rPr>
              <w:t>Respuesta a consulta con radicado No. P20240704006753</w:t>
            </w:r>
          </w:p>
        </w:tc>
        <w:tc>
          <w:tcPr>
            <w:tcW w:w="6237" w:type="dxa"/>
          </w:tcPr>
          <w:p w:rsidR="007622A1" w:rsidRPr="00DB06FE" w:rsidRDefault="007622A1" w:rsidP="00F567E8">
            <w:pPr>
              <w:spacing w:before="120"/>
              <w:jc w:val="both"/>
              <w:rPr>
                <w:rFonts w:ascii="Verdana" w:eastAsia="Calibri" w:hAnsi="Verdana" w:cs="Arial"/>
                <w:szCs w:val="24"/>
                <w:lang w:val="es-ES_tradnl" w:eastAsia="es-ES_tradnl"/>
              </w:rPr>
            </w:pPr>
          </w:p>
        </w:tc>
      </w:tr>
    </w:tbl>
    <w:p w:rsidR="007622A1" w:rsidRPr="00DB06FE" w:rsidRDefault="007622A1" w:rsidP="007622A1">
      <w:pPr>
        <w:spacing w:after="0" w:line="240" w:lineRule="auto"/>
        <w:jc w:val="both"/>
        <w:rPr>
          <w:rFonts w:ascii="Verdana" w:eastAsia="Calibri" w:hAnsi="Verdana" w:cs="Arial"/>
          <w:szCs w:val="24"/>
          <w:lang w:val="es-ES_tradnl" w:eastAsia="es-ES_tradnl"/>
        </w:rPr>
      </w:pPr>
    </w:p>
    <w:p w:rsidR="007622A1" w:rsidRPr="00DB06FE" w:rsidRDefault="007622A1" w:rsidP="007622A1">
      <w:pPr>
        <w:spacing w:after="0" w:line="240" w:lineRule="auto"/>
        <w:jc w:val="both"/>
        <w:rPr>
          <w:rFonts w:ascii="Verdana" w:eastAsia="Calibri" w:hAnsi="Verdana" w:cs="Arial"/>
          <w:szCs w:val="24"/>
          <w:lang w:val="es-ES_tradnl" w:eastAsia="es-ES_tradnl"/>
        </w:rPr>
      </w:pPr>
    </w:p>
    <w:p w:rsidR="007622A1" w:rsidRPr="00DB06FE" w:rsidRDefault="007622A1" w:rsidP="007622A1">
      <w:pPr>
        <w:spacing w:after="0" w:line="240" w:lineRule="auto"/>
        <w:jc w:val="both"/>
        <w:rPr>
          <w:rFonts w:ascii="Verdana" w:eastAsia="Calibri" w:hAnsi="Verdana" w:cs="Arial"/>
          <w:lang w:val="es-ES" w:eastAsia="es-ES"/>
        </w:rPr>
      </w:pPr>
      <w:r w:rsidRPr="00DB06FE">
        <w:rPr>
          <w:rFonts w:ascii="Verdana" w:eastAsia="Calibri" w:hAnsi="Verdana" w:cs="Arial"/>
          <w:lang w:val="es-ES" w:eastAsia="es-ES"/>
        </w:rPr>
        <w:t xml:space="preserve">Estimada señor Mantilla: </w:t>
      </w:r>
    </w:p>
    <w:p w:rsidR="007622A1" w:rsidRPr="00DB06FE" w:rsidRDefault="007622A1" w:rsidP="007622A1">
      <w:pPr>
        <w:spacing w:after="0" w:line="240" w:lineRule="auto"/>
        <w:jc w:val="both"/>
        <w:rPr>
          <w:rFonts w:ascii="Verdana" w:eastAsia="Calibri" w:hAnsi="Verdana" w:cs="Arial"/>
          <w:lang w:val="es-ES" w:eastAsia="es-ES"/>
        </w:rPr>
      </w:pPr>
    </w:p>
    <w:p w:rsidR="007622A1" w:rsidRPr="00DB06FE" w:rsidRDefault="007622A1" w:rsidP="007622A1">
      <w:pPr>
        <w:spacing w:after="0" w:line="240" w:lineRule="auto"/>
        <w:jc w:val="both"/>
        <w:rPr>
          <w:rFonts w:ascii="Verdana" w:eastAsia="Calibri" w:hAnsi="Verdana" w:cs="Arial"/>
          <w:szCs w:val="24"/>
          <w:lang w:val="es-ES_tradnl" w:eastAsia="es-ES_tradnl"/>
        </w:rPr>
      </w:pPr>
    </w:p>
    <w:p w:rsidR="007622A1" w:rsidRPr="00DB06FE" w:rsidRDefault="007622A1" w:rsidP="007622A1">
      <w:pPr>
        <w:spacing w:after="120" w:line="276" w:lineRule="auto"/>
        <w:jc w:val="both"/>
        <w:rPr>
          <w:rFonts w:ascii="Verdana" w:eastAsia="Calibri" w:hAnsi="Verdana" w:cs="Arial"/>
          <w:lang w:val="es-ES" w:eastAsia="es-ES"/>
        </w:rPr>
      </w:pPr>
      <w:r w:rsidRPr="00DB06FE">
        <w:rPr>
          <w:rFonts w:ascii="Verdana" w:eastAsia="Calibri" w:hAnsi="Verdana" w:cs="Arial"/>
          <w:lang w:val="es-ES" w:eastAsia="es-ES"/>
        </w:rPr>
        <w:t>En ejercicio de la competencia otorgada por los artículos 3, numeral 5º, y 11, numeral 8º, del Decreto Ley 4170 de 2011,</w:t>
      </w:r>
      <w:r w:rsidRPr="00DB06FE">
        <w:rPr>
          <w:rFonts w:ascii="Verdana" w:eastAsia="Arial MT" w:hAnsi="Verdana" w:cs="Arial MT"/>
          <w:lang w:val="es-ES" w:eastAsia="es-ES"/>
        </w:rPr>
        <w:t xml:space="preserve"> </w:t>
      </w:r>
      <w:r w:rsidRPr="00DB06FE">
        <w:rPr>
          <w:rFonts w:ascii="Verdana" w:eastAsia="Calibri" w:hAnsi="Verdana" w:cs="Arial"/>
          <w:lang w:val="es-ES" w:eastAsia="es-ES"/>
        </w:rPr>
        <w:t>la Agencia Nacional de Contratación Pública – Colombia Compra Eficiente– responde sus solicitudes del 4 de julio de 2024. En las cuales manifiesta lo siguiente:</w:t>
      </w:r>
    </w:p>
    <w:p w:rsidR="007622A1" w:rsidRPr="00DB06FE" w:rsidRDefault="007622A1" w:rsidP="007622A1">
      <w:pPr>
        <w:spacing w:after="120" w:line="276" w:lineRule="auto"/>
        <w:jc w:val="both"/>
        <w:rPr>
          <w:rFonts w:ascii="Verdana" w:eastAsia="Calibri" w:hAnsi="Verdana" w:cs="Arial"/>
          <w:sz w:val="21"/>
          <w:szCs w:val="21"/>
          <w:lang w:val="es-ES" w:eastAsia="es-ES"/>
        </w:rPr>
      </w:pPr>
    </w:p>
    <w:p w:rsidR="007622A1" w:rsidRPr="00DB06FE" w:rsidRDefault="007622A1" w:rsidP="007622A1">
      <w:pPr>
        <w:spacing w:after="0" w:line="240" w:lineRule="auto"/>
        <w:ind w:left="709" w:right="709"/>
        <w:jc w:val="both"/>
        <w:rPr>
          <w:rFonts w:ascii="Verdana" w:eastAsia="Calibri" w:hAnsi="Verdana" w:cs="Arial"/>
          <w:sz w:val="21"/>
          <w:szCs w:val="21"/>
          <w:lang w:val="es-ES" w:eastAsia="es-ES"/>
        </w:rPr>
      </w:pPr>
      <w:r w:rsidRPr="00DB06FE">
        <w:rPr>
          <w:rFonts w:ascii="Verdana" w:eastAsia="Calibri" w:hAnsi="Verdana" w:cs="Arial"/>
          <w:sz w:val="21"/>
          <w:szCs w:val="21"/>
          <w:lang w:val="es-ES" w:eastAsia="es-ES"/>
        </w:rPr>
        <w:t xml:space="preserve">“Una entidad estatal en un contrato de obra donde se han establecido precios unitarios de los posibles servicios a ejecutar, para la </w:t>
      </w:r>
      <w:proofErr w:type="spellStart"/>
      <w:r w:rsidRPr="00DB06FE">
        <w:rPr>
          <w:rFonts w:ascii="Verdana" w:eastAsia="Calibri" w:hAnsi="Verdana" w:cs="Arial"/>
          <w:sz w:val="21"/>
          <w:szCs w:val="21"/>
          <w:lang w:val="es-ES" w:eastAsia="es-ES"/>
        </w:rPr>
        <w:t>ejecucion</w:t>
      </w:r>
      <w:proofErr w:type="spellEnd"/>
      <w:r w:rsidRPr="00DB06FE">
        <w:rPr>
          <w:rFonts w:ascii="Verdana" w:eastAsia="Calibri" w:hAnsi="Verdana" w:cs="Arial"/>
          <w:sz w:val="21"/>
          <w:szCs w:val="21"/>
          <w:lang w:val="es-ES" w:eastAsia="es-ES"/>
        </w:rPr>
        <w:t xml:space="preserve">, ¿puede pactarse que para la forma de pago se </w:t>
      </w:r>
      <w:proofErr w:type="spellStart"/>
      <w:r w:rsidRPr="00DB06FE">
        <w:rPr>
          <w:rFonts w:ascii="Verdana" w:eastAsia="Calibri" w:hAnsi="Verdana" w:cs="Arial"/>
          <w:sz w:val="21"/>
          <w:szCs w:val="21"/>
          <w:lang w:val="es-ES" w:eastAsia="es-ES"/>
        </w:rPr>
        <w:t>hara</w:t>
      </w:r>
      <w:proofErr w:type="spellEnd"/>
      <w:r w:rsidRPr="00DB06FE">
        <w:rPr>
          <w:rFonts w:ascii="Verdana" w:eastAsia="Calibri" w:hAnsi="Verdana" w:cs="Arial"/>
          <w:sz w:val="21"/>
          <w:szCs w:val="21"/>
          <w:lang w:val="es-ES" w:eastAsia="es-ES"/>
        </w:rPr>
        <w:t xml:space="preserve"> mediante "consumo" es decir, de conformidad con lo que el contratista vaya ejecutando hasta agotar el presupuesto asignado por el municipio? ¿Puede establecerse como precio </w:t>
      </w:r>
      <w:r w:rsidRPr="00DB06FE">
        <w:rPr>
          <w:rFonts w:ascii="Verdana" w:eastAsia="Calibri" w:hAnsi="Verdana" w:cs="Arial"/>
          <w:sz w:val="21"/>
          <w:szCs w:val="21"/>
          <w:lang w:val="es-ES" w:eastAsia="es-ES"/>
        </w:rPr>
        <w:lastRenderedPageBreak/>
        <w:t xml:space="preserve">del contrato la totalidad del recurso disponible, aun, cuando los precios unitarios establecidos para cada </w:t>
      </w:r>
      <w:proofErr w:type="spellStart"/>
      <w:r w:rsidRPr="00DB06FE">
        <w:rPr>
          <w:rFonts w:ascii="Verdana" w:eastAsia="Calibri" w:hAnsi="Verdana" w:cs="Arial"/>
          <w:sz w:val="21"/>
          <w:szCs w:val="21"/>
          <w:lang w:val="es-ES" w:eastAsia="es-ES"/>
        </w:rPr>
        <w:t>item</w:t>
      </w:r>
      <w:proofErr w:type="spellEnd"/>
      <w:r w:rsidRPr="00DB06FE">
        <w:rPr>
          <w:rFonts w:ascii="Verdana" w:eastAsia="Calibri" w:hAnsi="Verdana" w:cs="Arial"/>
          <w:sz w:val="21"/>
          <w:szCs w:val="21"/>
          <w:lang w:val="es-ES" w:eastAsia="es-ES"/>
        </w:rPr>
        <w:t xml:space="preserve"> suman menor valor?”</w:t>
      </w:r>
    </w:p>
    <w:p w:rsidR="007622A1" w:rsidRPr="00DB06FE" w:rsidRDefault="007622A1" w:rsidP="007622A1">
      <w:pPr>
        <w:spacing w:after="0" w:line="240" w:lineRule="auto"/>
        <w:ind w:left="709" w:right="709"/>
        <w:jc w:val="both"/>
        <w:rPr>
          <w:rFonts w:ascii="Verdana" w:eastAsia="Calibri" w:hAnsi="Verdana" w:cs="Arial"/>
          <w:sz w:val="20"/>
          <w:szCs w:val="20"/>
          <w:lang w:val="es-ES" w:eastAsia="es-ES"/>
        </w:rPr>
      </w:pPr>
    </w:p>
    <w:p w:rsidR="007622A1" w:rsidRPr="00DB06FE" w:rsidRDefault="007622A1" w:rsidP="007622A1">
      <w:pPr>
        <w:spacing w:after="0" w:line="240" w:lineRule="auto"/>
        <w:ind w:left="709" w:right="709"/>
        <w:jc w:val="both"/>
        <w:rPr>
          <w:rFonts w:ascii="Verdana" w:eastAsia="Calibri" w:hAnsi="Verdana" w:cs="Arial"/>
          <w:lang w:val="es-ES_tradnl" w:eastAsia="es-ES_tradnl"/>
        </w:rPr>
      </w:pPr>
    </w:p>
    <w:p w:rsidR="007622A1" w:rsidRPr="00DB06FE" w:rsidRDefault="007622A1" w:rsidP="007622A1">
      <w:pPr>
        <w:spacing w:after="120" w:line="276" w:lineRule="auto"/>
        <w:jc w:val="both"/>
        <w:rPr>
          <w:rFonts w:ascii="Verdana" w:eastAsia="Calibri" w:hAnsi="Verdana" w:cs="Arial"/>
          <w:lang w:val="es-ES" w:eastAsia="es-ES"/>
        </w:rPr>
      </w:pPr>
      <w:r w:rsidRPr="00DB06FE">
        <w:rPr>
          <w:rFonts w:ascii="Verdana" w:eastAsia="Calibri" w:hAnsi="Verdana" w:cs="Arial"/>
          <w:lang w:val="es-ES_tradnl" w:eastAsia="es-ES_tradnl"/>
        </w:rPr>
        <w:tab/>
      </w:r>
      <w:r w:rsidRPr="00DB06F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06FE">
        <w:rPr>
          <w:rFonts w:ascii="Verdana" w:eastAsia="Calibri" w:hAnsi="Verdana" w:cs="Arial"/>
          <w:lang w:val="es-ES" w:eastAsia="es-ES"/>
        </w:rPr>
        <w:tab/>
      </w:r>
    </w:p>
    <w:p w:rsidR="007622A1" w:rsidRPr="00DB06FE" w:rsidRDefault="007622A1" w:rsidP="007622A1">
      <w:pPr>
        <w:spacing w:after="0" w:line="276" w:lineRule="auto"/>
        <w:ind w:firstLine="708"/>
        <w:jc w:val="both"/>
        <w:rPr>
          <w:rFonts w:ascii="Verdana" w:eastAsia="Calibri" w:hAnsi="Verdana" w:cs="Arial"/>
          <w:lang w:val="es-ES" w:eastAsia="es-ES"/>
        </w:rPr>
      </w:pPr>
      <w:r w:rsidRPr="00DB06F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007622A1" w:rsidRPr="00DB06FE" w:rsidRDefault="007622A1" w:rsidP="007622A1">
      <w:pPr>
        <w:spacing w:after="0" w:line="276" w:lineRule="auto"/>
        <w:ind w:firstLine="708"/>
        <w:jc w:val="both"/>
        <w:rPr>
          <w:rFonts w:ascii="Verdana" w:eastAsia="Calibri" w:hAnsi="Verdana" w:cs="Arial"/>
          <w:lang w:val="es-ES" w:eastAsia="es-ES"/>
        </w:rPr>
      </w:pPr>
    </w:p>
    <w:p w:rsidR="007622A1" w:rsidRPr="00DB06FE" w:rsidRDefault="007622A1" w:rsidP="007622A1">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DB06FE">
        <w:rPr>
          <w:rFonts w:ascii="Verdana" w:eastAsia="Century Gothic" w:hAnsi="Verdana" w:cs="Century Gothic"/>
          <w:b/>
          <w:bCs/>
        </w:rPr>
        <w:t>Problema planteado:</w:t>
      </w:r>
    </w:p>
    <w:p w:rsidR="007622A1" w:rsidRPr="00DB06FE" w:rsidRDefault="007622A1" w:rsidP="007622A1">
      <w:pPr>
        <w:spacing w:after="120" w:line="276" w:lineRule="auto"/>
        <w:jc w:val="both"/>
        <w:rPr>
          <w:rFonts w:ascii="Verdana" w:eastAsia="Century Gothic" w:hAnsi="Verdana" w:cs="Century Gothic"/>
        </w:rPr>
      </w:pPr>
    </w:p>
    <w:p w:rsidR="007622A1" w:rsidRPr="00DB06FE" w:rsidRDefault="007622A1" w:rsidP="007622A1">
      <w:pPr>
        <w:spacing w:after="120" w:line="276" w:lineRule="auto"/>
        <w:jc w:val="both"/>
        <w:rPr>
          <w:rFonts w:ascii="Verdana" w:hAnsi="Verdana" w:cs="Arial"/>
          <w:bCs/>
          <w:lang w:val="es-ES_tradnl"/>
        </w:rPr>
      </w:pPr>
      <w:r w:rsidRPr="00DB06FE">
        <w:rPr>
          <w:rFonts w:ascii="Verdana" w:eastAsia="Century Gothic" w:hAnsi="Verdana" w:cs="Century Gothic"/>
        </w:rPr>
        <w:t xml:space="preserve">De acuerdo con el contenido de su solicitud, esta Agencia resolverá el siguiente problema jurídico: ¿Es admisible que una Entidad regulada por el </w:t>
      </w:r>
      <w:r w:rsidRPr="00DB06FE">
        <w:rPr>
          <w:rFonts w:ascii="Verdana" w:hAnsi="Verdana" w:cs="Arial"/>
          <w:lang w:val="es-ES"/>
        </w:rPr>
        <w:t>Estatuto General de Contratación de la Administración Pública</w:t>
      </w:r>
      <w:r w:rsidRPr="00DB06FE">
        <w:rPr>
          <w:rFonts w:ascii="Verdana" w:eastAsia="Century Gothic" w:hAnsi="Verdana" w:cs="Century Gothic"/>
          <w:lang w:val="es-ES"/>
        </w:rPr>
        <w:t xml:space="preserve">, </w:t>
      </w:r>
      <w:r w:rsidRPr="00DB06FE">
        <w:rPr>
          <w:rFonts w:ascii="Verdana" w:eastAsia="Century Gothic" w:hAnsi="Verdana" w:cs="Century Gothic"/>
        </w:rPr>
        <w:t xml:space="preserve">estructure en la forma de pago de un contrato, que se realizará a través de precios unitarios, según demanda de obras, bienes o servicios  </w:t>
      </w:r>
      <w:r w:rsidRPr="00DB06FE">
        <w:rPr>
          <w:rFonts w:ascii="Verdana" w:hAnsi="Verdana" w:cs="Arial"/>
          <w:bCs/>
          <w:lang w:val="es-ES_tradnl"/>
        </w:rPr>
        <w:t>requeridos por la entidad contratante durante el plazo de ejecución del mismo, sin exceder el presupuesto oficial?</w:t>
      </w:r>
    </w:p>
    <w:p w:rsidR="007622A1" w:rsidRPr="00DB06FE" w:rsidRDefault="007622A1" w:rsidP="007622A1">
      <w:pPr>
        <w:spacing w:after="120" w:line="276" w:lineRule="auto"/>
        <w:jc w:val="both"/>
        <w:rPr>
          <w:rFonts w:ascii="Verdana" w:eastAsia="Century Gothic" w:hAnsi="Verdana" w:cs="Century Gothic"/>
        </w:rPr>
      </w:pPr>
    </w:p>
    <w:p w:rsidR="007622A1" w:rsidRPr="00DB06FE" w:rsidRDefault="007622A1" w:rsidP="007622A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06FE">
        <w:rPr>
          <w:rFonts w:ascii="Verdana" w:eastAsia="Century Gothic" w:hAnsi="Verdana" w:cs="Century Gothic"/>
          <w:b/>
          <w:bCs/>
        </w:rPr>
        <w:t>Respuesta:</w:t>
      </w:r>
    </w:p>
    <w:p w:rsidR="007622A1" w:rsidRPr="00DB06FE" w:rsidRDefault="007622A1" w:rsidP="007622A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rsidR="007622A1" w:rsidRPr="00DB06FE" w:rsidRDefault="007622A1" w:rsidP="007622A1">
      <w:pPr>
        <w:spacing w:after="0" w:line="276" w:lineRule="auto"/>
        <w:jc w:val="both"/>
        <w:rPr>
          <w:rFonts w:ascii="Verdana" w:hAnsi="Verdana" w:cs="Arial"/>
          <w:bCs/>
          <w:lang w:val="es-ES_tradnl"/>
        </w:rPr>
      </w:pPr>
      <w:r w:rsidRPr="00DB06FE">
        <w:rPr>
          <w:rFonts w:ascii="Verdana" w:hAnsi="Verdana" w:cs="Arial"/>
          <w:bCs/>
          <w:lang w:val="es-ES_tradnl"/>
        </w:rPr>
        <w:t xml:space="preserve">La estructuración del precio del contrato y la forma de pago a precios unitarios, según la demanda de obras, bienes o servicios requeridos por la entidad contratante durante el plazo del contrato, sin exceder el presupuesto oficial, es una modalidad de pacto </w:t>
      </w:r>
      <w:r w:rsidRPr="00DB06FE">
        <w:rPr>
          <w:rFonts w:ascii="Verdana" w:hAnsi="Verdana" w:cs="Arial"/>
          <w:bCs/>
          <w:lang w:val="es-ES_tradnl"/>
        </w:rPr>
        <w:lastRenderedPageBreak/>
        <w:t xml:space="preserve">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     </w:t>
      </w:r>
    </w:p>
    <w:p w:rsidR="007622A1" w:rsidRPr="00DB06FE" w:rsidRDefault="007622A1" w:rsidP="007622A1">
      <w:pPr>
        <w:spacing w:before="120" w:after="120" w:line="276" w:lineRule="auto"/>
        <w:jc w:val="both"/>
        <w:rPr>
          <w:rFonts w:ascii="Verdana" w:eastAsia="Arial" w:hAnsi="Verdana" w:cs="Arial"/>
          <w:lang w:val="es-ES_tradnl"/>
        </w:rPr>
      </w:pPr>
    </w:p>
    <w:p w:rsidR="007622A1" w:rsidRPr="00DB06FE" w:rsidRDefault="007622A1" w:rsidP="007622A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06FE">
        <w:rPr>
          <w:rFonts w:ascii="Verdana" w:eastAsia="Century Gothic" w:hAnsi="Verdana" w:cs="Century Gothic"/>
          <w:b/>
          <w:bCs/>
        </w:rPr>
        <w:t>Razones de la respuesta:</w:t>
      </w:r>
    </w:p>
    <w:p w:rsidR="007622A1" w:rsidRPr="00DB06FE" w:rsidRDefault="007622A1" w:rsidP="007622A1">
      <w:pPr>
        <w:spacing w:after="0" w:line="276" w:lineRule="auto"/>
        <w:jc w:val="both"/>
        <w:rPr>
          <w:rFonts w:ascii="Verdana" w:eastAsia="Calibri" w:hAnsi="Verdana" w:cs="Arial"/>
          <w:color w:val="7030A0"/>
          <w:lang w:val="es-ES"/>
        </w:rPr>
      </w:pPr>
    </w:p>
    <w:p w:rsidR="007622A1" w:rsidRPr="00DB06FE" w:rsidRDefault="007622A1" w:rsidP="007622A1">
      <w:pPr>
        <w:spacing w:after="0" w:line="276" w:lineRule="auto"/>
        <w:jc w:val="both"/>
        <w:rPr>
          <w:rFonts w:ascii="Verdana" w:eastAsia="Calibri" w:hAnsi="Verdana" w:cs="Arial"/>
          <w:lang w:val="es-ES"/>
        </w:rPr>
      </w:pPr>
      <w:r w:rsidRPr="00DB06FE">
        <w:rPr>
          <w:rFonts w:ascii="Verdana" w:eastAsia="Calibri" w:hAnsi="Verdana" w:cs="Arial"/>
          <w:lang w:val="es-ES"/>
        </w:rPr>
        <w:t xml:space="preserve">Lo anterior se sustenta en las siguientes consideraciones: </w:t>
      </w:r>
    </w:p>
    <w:p w:rsidR="007622A1" w:rsidRDefault="007622A1" w:rsidP="007622A1">
      <w:pPr>
        <w:spacing w:after="0" w:line="276" w:lineRule="auto"/>
        <w:jc w:val="both"/>
        <w:rPr>
          <w:rFonts w:ascii="Verdana" w:hAnsi="Verdana" w:cs="Arial"/>
          <w:lang w:val="es-ES" w:eastAsia="es-CO"/>
        </w:rPr>
      </w:pPr>
    </w:p>
    <w:p w:rsidR="007622A1" w:rsidRPr="00452069" w:rsidRDefault="007622A1" w:rsidP="007622A1">
      <w:pPr>
        <w:pStyle w:val="Prrafodelista"/>
        <w:numPr>
          <w:ilvl w:val="0"/>
          <w:numId w:val="6"/>
        </w:numPr>
        <w:spacing w:after="0" w:line="276" w:lineRule="auto"/>
        <w:ind w:left="284"/>
        <w:jc w:val="both"/>
        <w:rPr>
          <w:rFonts w:ascii="Verdana" w:eastAsia="Calibri" w:hAnsi="Verdana" w:cs="Arial"/>
          <w:lang w:val="es-MX"/>
        </w:rPr>
      </w:pPr>
      <w:r w:rsidRPr="00452069">
        <w:rPr>
          <w:rFonts w:ascii="Verdana" w:eastAsia="Calibri" w:hAnsi="Verdana" w:cs="Arial"/>
          <w:lang w:val="es-MX"/>
        </w:rPr>
        <w:t>El precio es el “valor pecuniario en que se estima algo”</w:t>
      </w:r>
      <w:r w:rsidRPr="00DB06FE">
        <w:rPr>
          <w:rStyle w:val="Refdenotaalpie"/>
          <w:rFonts w:ascii="Verdana" w:eastAsia="Calibri" w:hAnsi="Verdana" w:cs="Arial"/>
          <w:lang w:val="es-MX"/>
        </w:rPr>
        <w:footnoteReference w:id="1"/>
      </w:r>
      <w:r w:rsidRPr="00452069">
        <w:rPr>
          <w:rFonts w:ascii="Verdana" w:eastAsia="Calibri" w:hAnsi="Verdana" w:cs="Arial"/>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rsidR="007622A1" w:rsidRPr="00DB06FE" w:rsidRDefault="007622A1" w:rsidP="007622A1">
      <w:pPr>
        <w:spacing w:after="0"/>
        <w:jc w:val="both"/>
        <w:rPr>
          <w:rFonts w:ascii="Verdana" w:eastAsia="Calibri" w:hAnsi="Verdana" w:cs="Arial"/>
          <w:lang w:val="es-MX"/>
        </w:rPr>
      </w:pPr>
      <w:r w:rsidRPr="00DB06FE">
        <w:rPr>
          <w:rFonts w:ascii="Verdana" w:eastAsia="Calibri" w:hAnsi="Verdana" w:cs="Arial"/>
          <w:lang w:val="es-MX"/>
        </w:rPr>
        <w:t xml:space="preserve"> </w:t>
      </w:r>
    </w:p>
    <w:p w:rsidR="007622A1" w:rsidRPr="00DB06FE" w:rsidRDefault="007622A1" w:rsidP="007622A1">
      <w:pPr>
        <w:spacing w:after="120" w:line="240" w:lineRule="auto"/>
        <w:ind w:left="709" w:right="709"/>
        <w:jc w:val="both"/>
        <w:rPr>
          <w:rFonts w:ascii="Verdana" w:eastAsia="Calibri" w:hAnsi="Verdana" w:cs="Arial"/>
          <w:sz w:val="21"/>
          <w:szCs w:val="21"/>
          <w:lang w:val="es-MX"/>
        </w:rPr>
      </w:pPr>
      <w:r w:rsidRPr="00DB06FE">
        <w:rPr>
          <w:rFonts w:ascii="Verdana" w:eastAsia="Calibri" w:hAnsi="Verdana"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rsidR="007622A1" w:rsidRPr="00DB06FE" w:rsidRDefault="007622A1" w:rsidP="007622A1">
      <w:pPr>
        <w:spacing w:after="0" w:line="240" w:lineRule="auto"/>
        <w:ind w:left="709" w:right="709"/>
        <w:jc w:val="both"/>
        <w:rPr>
          <w:rFonts w:ascii="Verdana" w:eastAsia="Calibri" w:hAnsi="Verdana" w:cs="Arial"/>
          <w:sz w:val="21"/>
          <w:szCs w:val="21"/>
          <w:lang w:val="es-MX"/>
        </w:rPr>
      </w:pPr>
      <w:r w:rsidRPr="00DB06FE">
        <w:rPr>
          <w:rFonts w:ascii="Verdana" w:eastAsia="Calibri" w:hAnsi="Verdana"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p>
    <w:p w:rsidR="007622A1" w:rsidRDefault="007622A1" w:rsidP="007622A1">
      <w:pPr>
        <w:spacing w:after="120" w:line="276" w:lineRule="auto"/>
        <w:jc w:val="both"/>
        <w:rPr>
          <w:rFonts w:ascii="Verdana" w:hAnsi="Verdana" w:cs="Arial"/>
          <w:bCs/>
          <w:lang w:val="es-ES_tradnl"/>
        </w:rPr>
      </w:pPr>
      <w:bookmarkStart w:id="0" w:name="_Hlk131175734"/>
    </w:p>
    <w:p w:rsidR="007622A1" w:rsidRPr="00452069" w:rsidRDefault="007622A1" w:rsidP="007622A1">
      <w:pPr>
        <w:pStyle w:val="Prrafodelista"/>
        <w:numPr>
          <w:ilvl w:val="0"/>
          <w:numId w:val="6"/>
        </w:numPr>
        <w:spacing w:after="120" w:line="276" w:lineRule="auto"/>
        <w:ind w:left="284"/>
        <w:jc w:val="both"/>
        <w:rPr>
          <w:rFonts w:ascii="Verdana" w:hAnsi="Verdana" w:cs="Arial"/>
          <w:bCs/>
          <w:lang w:val="es-ES"/>
        </w:rPr>
      </w:pPr>
      <w:r w:rsidRPr="00452069">
        <w:rPr>
          <w:rFonts w:ascii="Verdana" w:hAnsi="Verdana" w:cs="Arial"/>
          <w:bCs/>
          <w:lang w:val="es-ES_tradnl"/>
        </w:rPr>
        <w:t xml:space="preserve">Como es sabido, uno de los elementos de los contratos estatales es el precio, que por lo general se identifica con el valor del contrato. Aunque no todo contrato lo </w:t>
      </w:r>
      <w:r w:rsidRPr="00452069">
        <w:rPr>
          <w:rFonts w:ascii="Verdana" w:hAnsi="Verdana" w:cs="Arial"/>
          <w:bCs/>
          <w:lang w:val="es-ES_tradnl"/>
        </w:rPr>
        <w:lastRenderedPageBreak/>
        <w:t>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sidRPr="00DB06FE">
        <w:rPr>
          <w:rStyle w:val="Refdenotaalpie"/>
          <w:rFonts w:ascii="Verdana" w:hAnsi="Verdana" w:cs="Arial"/>
          <w:bCs/>
          <w:lang w:val="es-ES_tradnl"/>
        </w:rPr>
        <w:footnoteReference w:id="2"/>
      </w:r>
      <w:r w:rsidRPr="00452069">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DB06FE">
        <w:rPr>
          <w:rStyle w:val="Refdenotaalpie"/>
          <w:rFonts w:ascii="Verdana" w:hAnsi="Verdana" w:cs="Arial"/>
          <w:bCs/>
          <w:lang w:val="es-ES_tradnl"/>
        </w:rPr>
        <w:footnoteReference w:id="3"/>
      </w:r>
      <w:r w:rsidRPr="00452069">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DB06FE">
        <w:rPr>
          <w:rStyle w:val="Refdenotaalpie"/>
          <w:rFonts w:ascii="Verdana" w:hAnsi="Verdana" w:cs="Arial"/>
          <w:bCs/>
          <w:lang w:val="es-ES_tradnl"/>
        </w:rPr>
        <w:footnoteReference w:id="4"/>
      </w:r>
      <w:r w:rsidRPr="00452069">
        <w:rPr>
          <w:rFonts w:ascii="Verdana" w:hAnsi="Verdana" w:cs="Arial"/>
          <w:bCs/>
          <w:lang w:val="es-ES_tradnl"/>
        </w:rPr>
        <w:t>.</w:t>
      </w:r>
    </w:p>
    <w:p w:rsidR="007622A1" w:rsidRPr="00452069" w:rsidRDefault="007622A1" w:rsidP="007622A1">
      <w:pPr>
        <w:pStyle w:val="Prrafodelista"/>
        <w:spacing w:after="120" w:line="276" w:lineRule="auto"/>
        <w:ind w:left="284"/>
        <w:jc w:val="both"/>
        <w:rPr>
          <w:rFonts w:ascii="Verdana" w:hAnsi="Verdana" w:cs="Arial"/>
          <w:bCs/>
          <w:lang w:val="es-ES"/>
        </w:rPr>
      </w:pPr>
    </w:p>
    <w:p w:rsidR="007622A1" w:rsidRDefault="007622A1" w:rsidP="007622A1">
      <w:pPr>
        <w:pStyle w:val="Prrafodelista"/>
        <w:numPr>
          <w:ilvl w:val="0"/>
          <w:numId w:val="6"/>
        </w:numPr>
        <w:spacing w:before="120" w:after="120" w:line="276" w:lineRule="auto"/>
        <w:ind w:left="284"/>
        <w:jc w:val="both"/>
        <w:rPr>
          <w:rFonts w:ascii="Verdana" w:hAnsi="Verdana" w:cs="Arial"/>
        </w:rPr>
      </w:pPr>
      <w:bookmarkStart w:id="1" w:name="_Hlk131175799"/>
      <w:bookmarkEnd w:id="0"/>
      <w:r w:rsidRPr="00452069">
        <w:rPr>
          <w:rFonts w:ascii="Verdana" w:hAnsi="Verdana" w:cs="Arial"/>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DB06FE">
        <w:rPr>
          <w:rStyle w:val="Refdenotaalpie"/>
          <w:rFonts w:ascii="Verdana" w:hAnsi="Verdana" w:cs="Arial"/>
          <w:lang w:val="es-ES"/>
        </w:rPr>
        <w:footnoteReference w:id="5"/>
      </w:r>
      <w:r w:rsidRPr="00452069">
        <w:rPr>
          <w:rFonts w:ascii="Verdana" w:hAnsi="Verdana" w:cs="Arial"/>
          <w:lang w:val="es-ES"/>
        </w:rPr>
        <w:t xml:space="preserve">. No hay, pues, </w:t>
      </w:r>
      <w:r w:rsidRPr="00452069">
        <w:rPr>
          <w:rFonts w:ascii="Verdana" w:hAnsi="Verdana" w:cs="Arial"/>
          <w:lang w:val="es-ES"/>
        </w:rPr>
        <w:lastRenderedPageBreak/>
        <w:t xml:space="preserve">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452069">
        <w:rPr>
          <w:rFonts w:ascii="Verdana" w:hAnsi="Verdana" w:cs="Arial"/>
          <w:lang w:val="es-ES"/>
        </w:rPr>
        <w:t>ii</w:t>
      </w:r>
      <w:proofErr w:type="spellEnd"/>
      <w:r w:rsidRPr="00452069">
        <w:rPr>
          <w:rFonts w:ascii="Verdana" w:hAnsi="Verdana" w:cs="Arial"/>
          <w:lang w:val="es-ES"/>
        </w:rPr>
        <w:t xml:space="preserve">) el precio global –que equivale al monto total, sin discriminar unidades–, y </w:t>
      </w:r>
      <w:proofErr w:type="spellStart"/>
      <w:r w:rsidRPr="00452069">
        <w:rPr>
          <w:rFonts w:ascii="Verdana" w:hAnsi="Verdana" w:cs="Arial"/>
          <w:lang w:val="es-ES"/>
        </w:rPr>
        <w:t>iii</w:t>
      </w:r>
      <w:proofErr w:type="spellEnd"/>
      <w:r w:rsidRPr="00452069">
        <w:rPr>
          <w:rFonts w:ascii="Verdana" w:hAnsi="Verdana" w:cs="Arial"/>
          <w:lang w:val="es-ES"/>
        </w:rPr>
        <w:t>) la administración delegada de recursos –en la que se distinguen los costos de inversión de los honorarios del administrador–.</w:t>
      </w:r>
      <w:bookmarkEnd w:id="1"/>
    </w:p>
    <w:p w:rsidR="007622A1" w:rsidRDefault="007622A1" w:rsidP="007622A1">
      <w:pPr>
        <w:pStyle w:val="Prrafodelista"/>
        <w:spacing w:before="120" w:after="120" w:line="276" w:lineRule="auto"/>
        <w:ind w:left="284"/>
        <w:jc w:val="both"/>
        <w:rPr>
          <w:rFonts w:ascii="Verdana" w:hAnsi="Verdana" w:cs="Arial"/>
        </w:rPr>
      </w:pPr>
    </w:p>
    <w:p w:rsidR="007622A1" w:rsidRPr="00452069" w:rsidRDefault="007622A1" w:rsidP="007622A1">
      <w:pPr>
        <w:pStyle w:val="Prrafodelista"/>
        <w:numPr>
          <w:ilvl w:val="0"/>
          <w:numId w:val="6"/>
        </w:numPr>
        <w:spacing w:before="120" w:after="120" w:line="276" w:lineRule="auto"/>
        <w:ind w:left="284"/>
        <w:jc w:val="both"/>
        <w:rPr>
          <w:rFonts w:ascii="Verdana" w:hAnsi="Verdana" w:cs="Arial"/>
          <w:lang w:val="es-ES"/>
        </w:rPr>
      </w:pPr>
      <w:r w:rsidRPr="00452069">
        <w:rPr>
          <w:rFonts w:ascii="Verdana" w:hAnsi="Verdana" w:cs="Arial"/>
          <w:bCs/>
          <w:lang w:val="es-ES_tradnl"/>
        </w:rPr>
        <w:t xml:space="preserve">Pues bien, en algunos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452069">
        <w:rPr>
          <w:rFonts w:ascii="Verdana" w:hAnsi="Verdana" w:cs="Arial"/>
          <w:bCs/>
          <w:i/>
          <w:iCs/>
          <w:lang w:val="es-ES_tradnl"/>
        </w:rPr>
        <w:t>ítems</w:t>
      </w:r>
      <w:r w:rsidRPr="00452069">
        <w:rPr>
          <w:rFonts w:ascii="Verdana" w:hAnsi="Verdana" w:cs="Arial"/>
          <w:bCs/>
          <w:lang w:val="es-ES_tradnl"/>
        </w:rPr>
        <w:t xml:space="preserve"> según su unidad de medida y cantidades, los costos indirectos se suelen abreviar en las variables que integran el acrónimo AIU –Administración, Imprevistos y Utilidad–, que se calcula como un porcentaje aplicado a los costos directos. </w:t>
      </w:r>
      <w:r w:rsidRPr="00452069">
        <w:rPr>
          <w:rFonts w:ascii="Verdana" w:hAnsi="Verdana" w:cs="Arial"/>
          <w:lang w:val="es-ES_tradnl"/>
        </w:rPr>
        <w:t xml:space="preserve">De acuerdo con la Sección Tercera del Consejo de Estado, el AIU, concepto de común utilización en los contratos de tracto sucesivo –entre ellos, los contratos de obra– </w:t>
      </w:r>
      <w:r w:rsidRPr="00452069">
        <w:rPr>
          <w:rFonts w:ascii="Verdana" w:hAnsi="Verdana" w:cs="Arial"/>
          <w:lang w:val="es-ES_tradnl"/>
        </w:rPr>
        <w:lastRenderedPageBreak/>
        <w:t xml:space="preserve">no cuenta con una definición normativa, pero hay elementos que permiten precisar su alcance, así: </w:t>
      </w:r>
    </w:p>
    <w:p w:rsidR="007622A1" w:rsidRPr="00DB06FE" w:rsidRDefault="007622A1" w:rsidP="007622A1">
      <w:pPr>
        <w:spacing w:after="0" w:line="276" w:lineRule="auto"/>
        <w:ind w:left="709"/>
        <w:jc w:val="both"/>
        <w:rPr>
          <w:rFonts w:ascii="Verdana" w:hAnsi="Verdana" w:cs="Arial"/>
          <w:lang w:val="es-ES_tradnl"/>
        </w:rPr>
      </w:pPr>
    </w:p>
    <w:p w:rsidR="007622A1" w:rsidRPr="00DB06FE" w:rsidRDefault="007622A1" w:rsidP="007622A1">
      <w:pPr>
        <w:spacing w:after="120" w:line="240" w:lineRule="auto"/>
        <w:ind w:left="709" w:right="709"/>
        <w:jc w:val="both"/>
        <w:rPr>
          <w:rFonts w:ascii="Verdana" w:hAnsi="Verdana" w:cs="Arial"/>
          <w:sz w:val="21"/>
          <w:szCs w:val="21"/>
          <w:lang w:val="es-ES_tradnl"/>
        </w:rPr>
      </w:pPr>
      <w:r w:rsidRPr="00DB06FE">
        <w:rPr>
          <w:rFonts w:ascii="Verdana" w:hAnsi="Verdana" w:cs="Arial"/>
          <w:sz w:val="21"/>
          <w:szCs w:val="21"/>
          <w:lang w:val="es-ES_tradnl"/>
        </w:rPr>
        <w:t xml:space="preserve">“[…] el AIU propuesto para el contrato, corresponde a: </w:t>
      </w:r>
    </w:p>
    <w:p w:rsidR="007622A1" w:rsidRPr="00DB06FE" w:rsidRDefault="007622A1" w:rsidP="007622A1">
      <w:pPr>
        <w:spacing w:after="120" w:line="240" w:lineRule="auto"/>
        <w:ind w:left="709" w:right="709"/>
        <w:jc w:val="both"/>
        <w:rPr>
          <w:rFonts w:ascii="Verdana" w:hAnsi="Verdana" w:cs="Arial"/>
          <w:sz w:val="21"/>
          <w:szCs w:val="21"/>
          <w:lang w:val="es-ES_tradnl"/>
        </w:rPr>
      </w:pPr>
      <w:r w:rsidRPr="00DB06FE">
        <w:rPr>
          <w:rFonts w:ascii="Verdana" w:hAnsi="Verdana" w:cs="Arial"/>
          <w:sz w:val="21"/>
          <w:szCs w:val="21"/>
          <w:lang w:val="es-ES_tradnl"/>
        </w:rPr>
        <w:t xml:space="preserve">i) los costos de administración o costos indirectos para la operación del contrato, tales como los gastos de disponibilidad de la organización del contratista, esto es: A; </w:t>
      </w:r>
    </w:p>
    <w:p w:rsidR="007622A1" w:rsidRPr="00DB06FE" w:rsidRDefault="007622A1" w:rsidP="007622A1">
      <w:pPr>
        <w:spacing w:after="120" w:line="240" w:lineRule="auto"/>
        <w:ind w:left="709" w:right="709"/>
        <w:jc w:val="both"/>
        <w:rPr>
          <w:rFonts w:ascii="Verdana" w:hAnsi="Verdana" w:cs="Arial"/>
          <w:sz w:val="21"/>
          <w:szCs w:val="21"/>
          <w:lang w:val="es-ES"/>
        </w:rPr>
      </w:pPr>
      <w:proofErr w:type="spellStart"/>
      <w:r w:rsidRPr="00DB06FE">
        <w:rPr>
          <w:rFonts w:ascii="Verdana" w:hAnsi="Verdana" w:cs="Arial"/>
          <w:sz w:val="21"/>
          <w:szCs w:val="21"/>
          <w:lang w:val="es-ES"/>
        </w:rPr>
        <w:t>ii</w:t>
      </w:r>
      <w:proofErr w:type="spellEnd"/>
      <w:r w:rsidRPr="00DB06FE">
        <w:rPr>
          <w:rFonts w:ascii="Verdana" w:hAnsi="Verdana" w:cs="Arial"/>
          <w:sz w:val="21"/>
          <w:szCs w:val="21"/>
          <w:lang w:val="es-ES"/>
        </w:rPr>
        <w:t xml:space="preserve">) los imprevistos, que es el porcentaje destinado a cubrir los gastos con los que no se contaba y que se presenten durante la ejecución del contrato, esto es, el </w:t>
      </w:r>
      <w:proofErr w:type="spellStart"/>
      <w:r w:rsidRPr="00DB06FE">
        <w:rPr>
          <w:rFonts w:ascii="Verdana" w:hAnsi="Verdana" w:cs="Arial"/>
          <w:sz w:val="21"/>
          <w:szCs w:val="21"/>
          <w:lang w:val="es-ES"/>
        </w:rPr>
        <w:t>álea</w:t>
      </w:r>
      <w:proofErr w:type="spellEnd"/>
      <w:r w:rsidRPr="00DB06FE">
        <w:rPr>
          <w:rFonts w:ascii="Verdana" w:hAnsi="Verdana" w:cs="Arial"/>
          <w:sz w:val="21"/>
          <w:szCs w:val="21"/>
          <w:lang w:val="es-ES"/>
        </w:rPr>
        <w:t xml:space="preserve"> normal del contrato: I; </w:t>
      </w:r>
    </w:p>
    <w:p w:rsidR="007622A1" w:rsidRPr="00DB06FE" w:rsidRDefault="007622A1" w:rsidP="007622A1">
      <w:pPr>
        <w:spacing w:after="120" w:line="240" w:lineRule="auto"/>
        <w:ind w:left="709" w:right="709"/>
        <w:jc w:val="both"/>
        <w:rPr>
          <w:rFonts w:ascii="Verdana" w:hAnsi="Verdana" w:cs="Arial"/>
          <w:sz w:val="21"/>
          <w:szCs w:val="21"/>
          <w:lang w:val="es-ES"/>
        </w:rPr>
      </w:pPr>
      <w:proofErr w:type="spellStart"/>
      <w:r w:rsidRPr="00DB06FE">
        <w:rPr>
          <w:rFonts w:ascii="Verdana" w:hAnsi="Verdana" w:cs="Arial"/>
          <w:sz w:val="21"/>
          <w:szCs w:val="21"/>
          <w:lang w:val="es-ES"/>
        </w:rPr>
        <w:t>iii</w:t>
      </w:r>
      <w:proofErr w:type="spellEnd"/>
      <w:r w:rsidRPr="00DB06FE">
        <w:rPr>
          <w:rFonts w:ascii="Verdana" w:hAnsi="Verdana" w:cs="Arial"/>
          <w:sz w:val="21"/>
          <w:szCs w:val="21"/>
          <w:lang w:val="es-ES"/>
        </w:rPr>
        <w:t xml:space="preserve">) la utilidad o el beneficio económico que pretende percibir el contratista por la ejecución del contrato, esto es: U. </w:t>
      </w:r>
    </w:p>
    <w:p w:rsidR="007622A1" w:rsidRPr="00DB06FE" w:rsidRDefault="007622A1" w:rsidP="007622A1">
      <w:pPr>
        <w:spacing w:after="0" w:line="240" w:lineRule="auto"/>
        <w:ind w:left="709" w:right="709"/>
        <w:jc w:val="both"/>
        <w:rPr>
          <w:rFonts w:ascii="Verdana" w:hAnsi="Verdana" w:cs="Arial"/>
          <w:sz w:val="21"/>
          <w:szCs w:val="21"/>
          <w:lang w:val="es-ES_tradnl"/>
        </w:rPr>
      </w:pPr>
      <w:r w:rsidRPr="00DB06FE">
        <w:rPr>
          <w:rFonts w:ascii="Verdana" w:hAnsi="Verdana"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DB06FE">
        <w:rPr>
          <w:rStyle w:val="Refdenotaalpie"/>
          <w:rFonts w:ascii="Verdana" w:hAnsi="Verdana" w:cs="Arial"/>
          <w:sz w:val="21"/>
          <w:szCs w:val="21"/>
          <w:lang w:val="es-ES_tradnl"/>
        </w:rPr>
        <w:footnoteReference w:id="6"/>
      </w:r>
      <w:r w:rsidRPr="00DB06FE">
        <w:rPr>
          <w:rFonts w:ascii="Verdana" w:hAnsi="Verdana" w:cs="Arial"/>
          <w:sz w:val="21"/>
          <w:szCs w:val="21"/>
          <w:lang w:val="es-ES_tradnl"/>
        </w:rPr>
        <w:t>.</w:t>
      </w:r>
    </w:p>
    <w:p w:rsidR="007622A1" w:rsidRPr="00DB06FE" w:rsidRDefault="007622A1" w:rsidP="007622A1">
      <w:pPr>
        <w:spacing w:after="0" w:line="276" w:lineRule="auto"/>
        <w:ind w:firstLine="709"/>
        <w:jc w:val="both"/>
        <w:rPr>
          <w:rFonts w:ascii="Verdana" w:hAnsi="Verdana" w:cs="Arial"/>
          <w:lang w:val="es-ES_tradnl"/>
        </w:rPr>
      </w:pPr>
    </w:p>
    <w:p w:rsidR="007622A1" w:rsidRPr="00DB06FE" w:rsidRDefault="007622A1" w:rsidP="007622A1">
      <w:pPr>
        <w:spacing w:line="276" w:lineRule="auto"/>
        <w:jc w:val="both"/>
        <w:rPr>
          <w:rFonts w:ascii="Verdana" w:hAnsi="Verdana" w:cs="Arial"/>
          <w:lang w:val="es-ES"/>
        </w:rPr>
      </w:pPr>
      <w:r w:rsidRPr="00DB06FE">
        <w:rPr>
          <w:rFonts w:ascii="Verdana" w:hAnsi="Verdana" w:cs="Arial"/>
          <w:lang w:val="es-ES"/>
        </w:rPr>
        <w:t>Por su parte, la Sala de Consulta y Servicio Civil del Consejo de Estado sostuvo en Concepto del 5 de septiembre de 2018</w:t>
      </w:r>
      <w:r w:rsidRPr="00DB06FE">
        <w:rPr>
          <w:rStyle w:val="Refdenotaalpie"/>
          <w:rFonts w:ascii="Verdana" w:hAnsi="Verdana" w:cs="Arial"/>
          <w:lang w:val="es-ES"/>
        </w:rPr>
        <w:footnoteReference w:id="7"/>
      </w:r>
      <w:r w:rsidRPr="00DB06FE">
        <w:rPr>
          <w:rFonts w:ascii="Verdana" w:hAnsi="Verdana" w:cs="Arial"/>
          <w:lang w:val="es-ES"/>
        </w:rPr>
        <w:t xml:space="preserve"> que “el concepto del A.I.U. comprende la Administración (costos indirectos) imprevistos y utilidades, y en algunos contratos este valor aparece cuantificado en forma independiente al valor de la obra y como un porcentaje de la misma</w:t>
      </w:r>
      <w:r w:rsidRPr="00DB06FE">
        <w:rPr>
          <w:rStyle w:val="Refdenotaalpie"/>
          <w:rFonts w:ascii="Verdana" w:hAnsi="Verdana" w:cs="Arial"/>
          <w:lang w:val="es-ES"/>
        </w:rPr>
        <w:footnoteReference w:id="8"/>
      </w:r>
      <w:r w:rsidRPr="00DB06FE">
        <w:rPr>
          <w:rFonts w:ascii="Verdana" w:hAnsi="Verdana" w:cs="Arial"/>
          <w:lang w:val="es-ES"/>
        </w:rPr>
        <w:t>, sin perjuicio que en otros contratos este valor no aparezca discriminado y se incorpore en el valor de los precios unitarios”</w:t>
      </w:r>
      <w:r w:rsidRPr="00DB06FE">
        <w:rPr>
          <w:rStyle w:val="Refdenotaalpie"/>
          <w:rFonts w:ascii="Verdana" w:hAnsi="Verdana" w:cs="Arial"/>
          <w:lang w:val="es-ES"/>
        </w:rPr>
        <w:footnoteReference w:id="9"/>
      </w:r>
      <w:r w:rsidRPr="00DB06FE">
        <w:rPr>
          <w:rFonts w:ascii="Verdana" w:hAnsi="Verdana" w:cs="Arial"/>
          <w:lang w:val="es-ES"/>
        </w:rPr>
        <w:t xml:space="preserve">. </w:t>
      </w:r>
    </w:p>
    <w:p w:rsidR="007622A1" w:rsidRPr="00DB06FE" w:rsidRDefault="007622A1" w:rsidP="007622A1">
      <w:pPr>
        <w:spacing w:before="120" w:after="120" w:line="276" w:lineRule="auto"/>
        <w:jc w:val="both"/>
        <w:rPr>
          <w:rFonts w:ascii="Verdana" w:hAnsi="Verdana" w:cs="Arial"/>
          <w:bCs/>
          <w:lang w:val="es-ES_tradnl"/>
        </w:rPr>
      </w:pPr>
      <w:r w:rsidRPr="00DB06FE">
        <w:rPr>
          <w:rFonts w:ascii="Verdana" w:hAnsi="Verdana" w:cs="Arial"/>
          <w:bCs/>
          <w:lang w:val="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DB06FE">
        <w:rPr>
          <w:rStyle w:val="Refdenotaalpie"/>
          <w:rFonts w:ascii="Verdana" w:hAnsi="Verdana" w:cs="Arial"/>
          <w:bCs/>
          <w:lang w:val="es-ES_tradnl"/>
        </w:rPr>
        <w:footnoteReference w:id="10"/>
      </w:r>
      <w:r w:rsidRPr="00DB06FE">
        <w:rPr>
          <w:rFonts w:ascii="Verdana" w:hAnsi="Verdana" w:cs="Arial"/>
          <w:bCs/>
          <w:lang w:val="es-ES_tradnl"/>
        </w:rPr>
        <w:t xml:space="preserve">. De otro lado, en principio quien define el valor de cada </w:t>
      </w:r>
      <w:r w:rsidRPr="00DB06FE">
        <w:rPr>
          <w:rFonts w:ascii="Verdana" w:hAnsi="Verdana" w:cs="Arial"/>
          <w:bCs/>
          <w:i/>
          <w:iCs/>
          <w:lang w:val="es-ES_tradnl"/>
        </w:rPr>
        <w:t>letra</w:t>
      </w:r>
      <w:r w:rsidRPr="00DB06FE">
        <w:rPr>
          <w:rFonts w:ascii="Verdana" w:hAnsi="Verdana" w:cs="Arial"/>
          <w:bCs/>
          <w:lang w:val="es-ES_tradnl"/>
        </w:rPr>
        <w:t xml:space="preserve"> –AIU– es el proponente, pues goza de libertad empresarial para hacerlo en la elaboración de su oferta</w:t>
      </w:r>
      <w:r w:rsidRPr="00DB06FE">
        <w:rPr>
          <w:rStyle w:val="Refdenotaalpie"/>
          <w:rFonts w:ascii="Verdana" w:hAnsi="Verdana" w:cs="Arial"/>
          <w:bCs/>
          <w:lang w:val="es-ES_tradnl"/>
        </w:rPr>
        <w:footnoteReference w:id="11"/>
      </w:r>
      <w:r w:rsidRPr="00DB06FE">
        <w:rPr>
          <w:rFonts w:ascii="Verdana" w:hAnsi="Verdana" w:cs="Arial"/>
          <w:bCs/>
          <w:lang w:val="es-ES_tradnl"/>
        </w:rPr>
        <w:t>.</w:t>
      </w:r>
    </w:p>
    <w:p w:rsidR="007622A1" w:rsidRPr="00452069" w:rsidRDefault="007622A1" w:rsidP="007622A1">
      <w:pPr>
        <w:pStyle w:val="Prrafodelista"/>
        <w:numPr>
          <w:ilvl w:val="0"/>
          <w:numId w:val="7"/>
        </w:numPr>
        <w:spacing w:before="120" w:after="0" w:line="276" w:lineRule="auto"/>
        <w:ind w:left="0" w:firstLine="360"/>
        <w:jc w:val="both"/>
        <w:rPr>
          <w:rFonts w:ascii="Verdana" w:hAnsi="Verdana" w:cs="Arial"/>
          <w:lang w:val="es-ES"/>
        </w:rPr>
      </w:pPr>
      <w:r w:rsidRPr="00452069">
        <w:rPr>
          <w:rFonts w:ascii="Verdana" w:hAnsi="Verdana" w:cs="Arial"/>
          <w:lang w:val="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lo son, por ejemplo, los contratos de suministro y obra, respectivamente. Por ende, la decisión de incluir o no  el AIU en el precio unitario de los bienes o servicios ofrecidos,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el cual exige la optimización de los recursos públicos.</w:t>
      </w:r>
    </w:p>
    <w:p w:rsidR="007622A1" w:rsidRPr="00DB06FE" w:rsidRDefault="007622A1" w:rsidP="007622A1">
      <w:pPr>
        <w:spacing w:after="0" w:line="276" w:lineRule="auto"/>
        <w:jc w:val="both"/>
        <w:rPr>
          <w:rFonts w:ascii="Verdana" w:hAnsi="Verdana" w:cs="Arial"/>
          <w:bCs/>
          <w:lang w:val="es-ES_tradnl"/>
        </w:rPr>
      </w:pPr>
    </w:p>
    <w:p w:rsidR="007622A1" w:rsidRPr="00452069" w:rsidRDefault="007622A1" w:rsidP="007622A1">
      <w:pPr>
        <w:pStyle w:val="Prrafodelista"/>
        <w:numPr>
          <w:ilvl w:val="0"/>
          <w:numId w:val="7"/>
        </w:numPr>
        <w:tabs>
          <w:tab w:val="left" w:pos="0"/>
        </w:tabs>
        <w:spacing w:line="276" w:lineRule="auto"/>
        <w:ind w:left="0" w:firstLine="360"/>
        <w:jc w:val="both"/>
        <w:rPr>
          <w:rFonts w:ascii="Verdana" w:eastAsia="Calibri" w:hAnsi="Verdana" w:cs="Arial"/>
          <w:lang w:val="es-MX"/>
        </w:rPr>
      </w:pPr>
      <w:r w:rsidRPr="00452069">
        <w:rPr>
          <w:rFonts w:ascii="Verdana" w:eastAsia="Calibri" w:hAnsi="Verdana" w:cs="Arial"/>
          <w:lang w:val="es-MX"/>
        </w:rPr>
        <w:t xml:space="preserve">En la etapa precontractual de la contratación estatal, cuando la Administración está elaborando los estudios previos, para lograr con éxito el proceso de contratación que requiere para satisfacer una necesidad de bienes, obras o servicios con la </w:t>
      </w:r>
      <w:r w:rsidRPr="00452069">
        <w:rPr>
          <w:rFonts w:ascii="Verdana" w:eastAsia="Calibri" w:hAnsi="Verdana" w:cs="Arial"/>
          <w:lang w:val="es-MX"/>
        </w:rPr>
        <w:lastRenderedPageBreak/>
        <w:t xml:space="preserve">finalidad de cumplir los cometidos estatales, debe analizarse, según el objeto a contratar, cuál es el tipo de contrato, las obligaciones y prestaciones a pactar que mejor satisfagan los intereses de la Administración como entidad contratante. </w:t>
      </w:r>
      <w:r w:rsidRPr="00452069">
        <w:rPr>
          <w:rFonts w:ascii="Verdana" w:hAnsi="Verdana"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rsidR="007622A1" w:rsidRDefault="007622A1" w:rsidP="007622A1">
      <w:pPr>
        <w:pStyle w:val="Prrafodelista"/>
        <w:spacing w:after="120" w:line="276" w:lineRule="auto"/>
        <w:ind w:left="360"/>
        <w:jc w:val="both"/>
        <w:rPr>
          <w:rFonts w:ascii="Verdana" w:hAnsi="Verdana" w:cs="Arial"/>
          <w:bCs/>
        </w:rPr>
      </w:pPr>
    </w:p>
    <w:p w:rsidR="007622A1" w:rsidRPr="00452069" w:rsidRDefault="007622A1" w:rsidP="007622A1">
      <w:pPr>
        <w:pStyle w:val="Prrafodelista"/>
        <w:numPr>
          <w:ilvl w:val="0"/>
          <w:numId w:val="7"/>
        </w:numPr>
        <w:spacing w:after="120" w:line="276" w:lineRule="auto"/>
        <w:ind w:left="0" w:firstLine="360"/>
        <w:jc w:val="both"/>
        <w:rPr>
          <w:rFonts w:ascii="Verdana" w:hAnsi="Verdana" w:cs="Arial"/>
          <w:bCs/>
        </w:rPr>
      </w:pPr>
      <w:r w:rsidRPr="00452069">
        <w:rPr>
          <w:rFonts w:ascii="Verdana" w:hAnsi="Verdana" w:cs="Arial"/>
          <w:bCs/>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DB06FE">
        <w:rPr>
          <w:rStyle w:val="Refdenotaalpie"/>
          <w:rFonts w:ascii="Verdana" w:hAnsi="Verdana" w:cs="Arial"/>
          <w:bCs/>
        </w:rPr>
        <w:footnoteReference w:id="12"/>
      </w:r>
      <w:r w:rsidRPr="00452069">
        <w:rPr>
          <w:rFonts w:ascii="Verdana" w:hAnsi="Verdana" w:cs="Arial"/>
          <w:bCs/>
        </w:rPr>
        <w:t xml:space="preserve"> en la legislación civil y comercial de derecho privado</w:t>
      </w:r>
      <w:r w:rsidRPr="00DB06FE">
        <w:rPr>
          <w:rStyle w:val="Refdenotaalpie"/>
          <w:rFonts w:ascii="Verdana" w:hAnsi="Verdana" w:cs="Arial"/>
          <w:bCs/>
        </w:rPr>
        <w:footnoteReference w:id="13"/>
      </w:r>
      <w:r w:rsidRPr="00452069">
        <w:rPr>
          <w:rFonts w:ascii="Verdana" w:hAnsi="Verdana" w:cs="Arial"/>
          <w:bCs/>
        </w:rPr>
        <w:t xml:space="preserve"> o en el Estatuto General de Contratación Pública</w:t>
      </w:r>
      <w:r w:rsidRPr="00DB06FE">
        <w:rPr>
          <w:rStyle w:val="Refdenotaalpie"/>
          <w:rFonts w:ascii="Verdana" w:hAnsi="Verdana" w:cs="Arial"/>
          <w:bCs/>
        </w:rPr>
        <w:footnoteReference w:id="14"/>
      </w:r>
      <w:r w:rsidRPr="00452069">
        <w:rPr>
          <w:rFonts w:ascii="Verdana" w:hAnsi="Verdana"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DB06FE">
        <w:rPr>
          <w:rStyle w:val="Refdenotaalpie"/>
          <w:rFonts w:ascii="Verdana" w:hAnsi="Verdana" w:cs="Arial"/>
          <w:bCs/>
        </w:rPr>
        <w:footnoteReference w:id="15"/>
      </w:r>
      <w:r w:rsidRPr="00452069">
        <w:rPr>
          <w:rFonts w:ascii="Verdana" w:hAnsi="Verdana" w:cs="Arial"/>
          <w:bCs/>
        </w:rPr>
        <w:t>.</w:t>
      </w:r>
    </w:p>
    <w:p w:rsidR="007622A1" w:rsidRPr="00DB06FE" w:rsidRDefault="007622A1" w:rsidP="007622A1">
      <w:pPr>
        <w:pStyle w:val="Sinespaciado"/>
        <w:spacing w:before="120" w:line="276" w:lineRule="auto"/>
        <w:ind w:firstLine="709"/>
        <w:jc w:val="both"/>
        <w:rPr>
          <w:rFonts w:ascii="Verdana" w:hAnsi="Verdana" w:cs="Arial"/>
          <w:color w:val="000000" w:themeColor="text1"/>
          <w:sz w:val="22"/>
        </w:rPr>
      </w:pPr>
      <w:r w:rsidRPr="00DB06FE">
        <w:rPr>
          <w:rFonts w:ascii="Verdana" w:hAnsi="Verdana" w:cs="Arial"/>
          <w:bCs/>
          <w:sz w:val="22"/>
        </w:rPr>
        <w:t xml:space="preserve">La doctrina reconoce este fenómeno entendiendo que </w:t>
      </w:r>
      <w:r w:rsidRPr="00DB06FE">
        <w:rPr>
          <w:rFonts w:ascii="Verdana" w:hAnsi="Verdana" w:cs="Arial"/>
          <w:bCs/>
          <w:sz w:val="22"/>
          <w:lang w:val="es-ES_tradnl"/>
        </w:rPr>
        <w:t>“</w:t>
      </w:r>
      <w:r w:rsidRPr="00DB06FE">
        <w:rPr>
          <w:rFonts w:ascii="Verdana" w:hAnsi="Verdana"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DB06FE">
        <w:rPr>
          <w:rFonts w:ascii="Verdana" w:hAnsi="Verdana" w:cs="Arial"/>
          <w:bCs/>
          <w:sz w:val="22"/>
          <w:lang w:val="es-ES_tradnl"/>
        </w:rPr>
        <w:t>”</w:t>
      </w:r>
      <w:r w:rsidRPr="00DB06FE">
        <w:rPr>
          <w:rStyle w:val="Refdenotaalpie"/>
          <w:rFonts w:ascii="Verdana" w:hAnsi="Verdana" w:cs="Arial"/>
          <w:bCs/>
          <w:sz w:val="22"/>
          <w:lang w:val="es-ES_tradnl"/>
        </w:rPr>
        <w:footnoteReference w:id="16"/>
      </w:r>
      <w:r w:rsidRPr="00DB06FE">
        <w:rPr>
          <w:rFonts w:ascii="Verdana" w:hAnsi="Verdana" w:cs="Arial"/>
          <w:bCs/>
          <w:sz w:val="22"/>
          <w:lang w:val="es-ES_tradnl"/>
        </w:rPr>
        <w:t xml:space="preserve">. Asimismo, cuando se está ante </w:t>
      </w:r>
      <w:r w:rsidRPr="00DB06FE">
        <w:rPr>
          <w:rFonts w:ascii="Verdana" w:hAnsi="Verdana" w:cs="Arial"/>
          <w:color w:val="000000" w:themeColor="text1"/>
          <w:sz w:val="22"/>
        </w:rPr>
        <w:t>la existencia de un contrato complejo</w:t>
      </w:r>
      <w:r w:rsidRPr="00DB06FE">
        <w:rPr>
          <w:rStyle w:val="Refdenotaalpie"/>
          <w:rFonts w:ascii="Verdana" w:hAnsi="Verdana" w:cs="Arial"/>
          <w:color w:val="000000" w:themeColor="text1"/>
          <w:sz w:val="22"/>
        </w:rPr>
        <w:footnoteReference w:id="17"/>
      </w:r>
      <w:r w:rsidRPr="00DB06FE">
        <w:rPr>
          <w:rFonts w:ascii="Verdana" w:hAnsi="Verdana" w:cs="Arial"/>
          <w:color w:val="000000" w:themeColor="text1"/>
          <w:sz w:val="22"/>
        </w:rPr>
        <w:t xml:space="preserve">, porque la voluntad de </w:t>
      </w:r>
      <w:r w:rsidRPr="00DB06FE">
        <w:rPr>
          <w:rFonts w:ascii="Verdana" w:hAnsi="Verdana" w:cs="Arial"/>
          <w:color w:val="000000" w:themeColor="text1"/>
          <w:sz w:val="22"/>
        </w:rPr>
        <w:lastRenderedPageBreak/>
        <w:t>las partes involucra diversas estipulaciones que por lo general son propios de varios tipos contractuales, se dificulta definir el criterio interpretativo para disciplinar el contrato. No obstante, surge la necesidad de desentrañar dicha voluntad de los contratantes y, para el efecto, puede acudirse a la siguiente solución planteada por la Corte Suprema de Justicia, en sentencia de casación del 31 de mayo de 1938:</w:t>
      </w:r>
    </w:p>
    <w:p w:rsidR="007622A1" w:rsidRPr="00DB06FE" w:rsidRDefault="007622A1" w:rsidP="007622A1">
      <w:pPr>
        <w:pStyle w:val="Sinespaciado"/>
        <w:spacing w:line="276" w:lineRule="auto"/>
        <w:jc w:val="both"/>
        <w:rPr>
          <w:rFonts w:ascii="Verdana" w:hAnsi="Verdana" w:cs="Arial"/>
          <w:color w:val="000000" w:themeColor="text1"/>
          <w:sz w:val="22"/>
        </w:rPr>
      </w:pPr>
    </w:p>
    <w:p w:rsidR="007622A1" w:rsidRPr="00DB06FE" w:rsidRDefault="007622A1" w:rsidP="007622A1">
      <w:pPr>
        <w:pStyle w:val="Sinespaciado"/>
        <w:ind w:left="709" w:right="709"/>
        <w:jc w:val="both"/>
        <w:rPr>
          <w:rFonts w:ascii="Verdana" w:hAnsi="Verdana" w:cs="Arial"/>
          <w:color w:val="000000" w:themeColor="text1"/>
          <w:sz w:val="21"/>
          <w:szCs w:val="21"/>
        </w:rPr>
      </w:pPr>
      <w:r w:rsidRPr="00DB06FE">
        <w:rPr>
          <w:rFonts w:ascii="Verdana" w:hAnsi="Verdana" w:cs="Arial"/>
          <w:color w:val="000000" w:themeColor="text1"/>
          <w:sz w:val="21"/>
          <w:szCs w:val="21"/>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r w:rsidRPr="00DB06FE">
        <w:rPr>
          <w:rStyle w:val="Refdenotaalpie"/>
          <w:rFonts w:ascii="Verdana" w:hAnsi="Verdana" w:cs="Arial"/>
          <w:color w:val="000000" w:themeColor="text1"/>
          <w:sz w:val="22"/>
        </w:rPr>
        <w:footnoteReference w:id="18"/>
      </w:r>
      <w:r w:rsidRPr="00DB06FE">
        <w:rPr>
          <w:rFonts w:ascii="Verdana" w:hAnsi="Verdana" w:cs="Arial"/>
          <w:color w:val="000000" w:themeColor="text1"/>
          <w:sz w:val="21"/>
          <w:szCs w:val="21"/>
        </w:rPr>
        <w:t>.</w:t>
      </w:r>
    </w:p>
    <w:p w:rsidR="007622A1" w:rsidRPr="00DB06FE" w:rsidRDefault="007622A1" w:rsidP="007622A1">
      <w:pPr>
        <w:pStyle w:val="Sinespaciado"/>
        <w:spacing w:line="276" w:lineRule="auto"/>
        <w:ind w:left="709" w:right="709"/>
        <w:jc w:val="both"/>
        <w:rPr>
          <w:rFonts w:ascii="Verdana" w:hAnsi="Verdana" w:cs="Arial"/>
          <w:color w:val="000000" w:themeColor="text1"/>
          <w:sz w:val="21"/>
          <w:szCs w:val="21"/>
        </w:rPr>
      </w:pPr>
    </w:p>
    <w:p w:rsidR="007622A1" w:rsidRPr="00DB06FE" w:rsidRDefault="007622A1" w:rsidP="007622A1">
      <w:pPr>
        <w:pStyle w:val="Sinespaciado"/>
        <w:spacing w:line="276" w:lineRule="auto"/>
        <w:jc w:val="both"/>
        <w:rPr>
          <w:rFonts w:ascii="Verdana" w:hAnsi="Verdana" w:cs="Arial"/>
          <w:color w:val="000000" w:themeColor="text1"/>
          <w:sz w:val="22"/>
        </w:rPr>
      </w:pPr>
      <w:r w:rsidRPr="00DB06FE">
        <w:rPr>
          <w:rFonts w:ascii="Verdana" w:hAnsi="Verdana" w:cs="Arial"/>
          <w:color w:val="000000" w:themeColor="text1"/>
          <w:sz w:val="22"/>
        </w:rPr>
        <w:t>Por su parte, el Consejo de Estado también ha entendido que los contratos estatales pueden calificarse como contratos mixtos cuando involucran prestaciones de igual connotación y, en reciente pronunciamiento, proferido con ocasión de una consulta relacionada con la causación de la estampilla prouniversidades por la suscripción de contratos de suministro de materiales, personal y mantenimientos para las sedes de una entidad, consideró lo siguiente frente a la interpretación de estos contratos:</w:t>
      </w:r>
    </w:p>
    <w:p w:rsidR="007622A1" w:rsidRPr="00DB06FE" w:rsidRDefault="007622A1" w:rsidP="007622A1">
      <w:pPr>
        <w:pStyle w:val="Sinespaciado"/>
        <w:spacing w:line="276" w:lineRule="auto"/>
        <w:jc w:val="both"/>
        <w:rPr>
          <w:rFonts w:ascii="Verdana" w:hAnsi="Verdana" w:cs="Arial"/>
          <w:color w:val="000000" w:themeColor="text1"/>
          <w:sz w:val="22"/>
        </w:rPr>
      </w:pPr>
    </w:p>
    <w:p w:rsidR="007622A1" w:rsidRPr="00DB06FE" w:rsidRDefault="007622A1" w:rsidP="007622A1">
      <w:pPr>
        <w:pStyle w:val="Sinespaciado"/>
        <w:widowControl w:val="0"/>
        <w:autoSpaceDE w:val="0"/>
        <w:autoSpaceDN w:val="0"/>
        <w:ind w:left="709" w:right="709"/>
        <w:jc w:val="both"/>
        <w:rPr>
          <w:rFonts w:ascii="Verdana" w:hAnsi="Verdana" w:cs="Arial"/>
          <w:color w:val="000000" w:themeColor="text1"/>
          <w:sz w:val="21"/>
          <w:szCs w:val="21"/>
        </w:rPr>
      </w:pPr>
      <w:r w:rsidRPr="00DB06FE">
        <w:rPr>
          <w:rFonts w:ascii="Verdana" w:hAnsi="Verdana" w:cs="Arial"/>
          <w:color w:val="000000" w:themeColor="text1"/>
          <w:sz w:val="21"/>
          <w:szCs w:val="21"/>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p>
    <w:p w:rsidR="007622A1" w:rsidRPr="00DB06FE" w:rsidRDefault="007622A1" w:rsidP="007622A1">
      <w:pPr>
        <w:pStyle w:val="Sinespaciado"/>
        <w:ind w:left="709" w:right="709"/>
        <w:jc w:val="both"/>
        <w:rPr>
          <w:rFonts w:ascii="Verdana" w:hAnsi="Verdana" w:cs="Arial"/>
          <w:color w:val="000000" w:themeColor="text1"/>
          <w:sz w:val="21"/>
          <w:szCs w:val="21"/>
        </w:rPr>
      </w:pPr>
      <w:r w:rsidRPr="00DB06FE">
        <w:rPr>
          <w:rFonts w:ascii="Verdana" w:hAnsi="Verdana" w:cs="Arial"/>
          <w:color w:val="000000" w:themeColor="text1"/>
          <w:sz w:val="21"/>
          <w:szCs w:val="21"/>
        </w:rPr>
        <w:t>[…]</w:t>
      </w:r>
    </w:p>
    <w:p w:rsidR="007622A1" w:rsidRPr="00DB06FE" w:rsidRDefault="007622A1" w:rsidP="007622A1">
      <w:pPr>
        <w:pStyle w:val="Sinespaciado"/>
        <w:widowControl w:val="0"/>
        <w:autoSpaceDE w:val="0"/>
        <w:autoSpaceDN w:val="0"/>
        <w:spacing w:before="120"/>
        <w:ind w:left="709" w:right="709"/>
        <w:jc w:val="both"/>
        <w:rPr>
          <w:rFonts w:ascii="Verdana" w:hAnsi="Verdana" w:cs="Arial"/>
          <w:color w:val="000000" w:themeColor="text1"/>
          <w:sz w:val="21"/>
          <w:szCs w:val="21"/>
        </w:rPr>
      </w:pPr>
      <w:r w:rsidRPr="00DB06FE">
        <w:rPr>
          <w:rFonts w:ascii="Verdana" w:hAnsi="Verdana" w:cs="Arial"/>
          <w:color w:val="000000" w:themeColor="text1"/>
          <w:sz w:val="21"/>
          <w:szCs w:val="21"/>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rsidR="007622A1" w:rsidRPr="00DB06FE" w:rsidRDefault="007622A1" w:rsidP="007622A1">
      <w:pPr>
        <w:pStyle w:val="Sinespaciado"/>
        <w:widowControl w:val="0"/>
        <w:autoSpaceDE w:val="0"/>
        <w:autoSpaceDN w:val="0"/>
        <w:spacing w:before="120"/>
        <w:ind w:left="709" w:right="709"/>
        <w:jc w:val="both"/>
        <w:rPr>
          <w:rFonts w:ascii="Verdana" w:hAnsi="Verdana" w:cs="Arial"/>
          <w:color w:val="000000" w:themeColor="text1"/>
          <w:sz w:val="21"/>
          <w:szCs w:val="21"/>
        </w:rPr>
      </w:pPr>
      <w:r w:rsidRPr="00DB06FE">
        <w:rPr>
          <w:rFonts w:ascii="Verdana" w:hAnsi="Verdana" w:cs="Arial"/>
          <w:color w:val="000000" w:themeColor="text1"/>
          <w:sz w:val="21"/>
          <w:szCs w:val="21"/>
        </w:rPr>
        <w:t xml:space="preserve">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w:t>
      </w:r>
      <w:r w:rsidRPr="00DB06FE">
        <w:rPr>
          <w:rFonts w:ascii="Verdana" w:hAnsi="Verdana" w:cs="Arial"/>
          <w:color w:val="000000" w:themeColor="text1"/>
          <w:sz w:val="21"/>
          <w:szCs w:val="21"/>
        </w:rPr>
        <w:lastRenderedPageBreak/>
        <w:t>capacitación de asesoría de la entidad en el uso de los mismos”</w:t>
      </w:r>
      <w:r w:rsidRPr="00DB06FE">
        <w:rPr>
          <w:rStyle w:val="Refdenotaalpie"/>
          <w:rFonts w:ascii="Verdana" w:hAnsi="Verdana" w:cs="Arial"/>
          <w:color w:val="000000" w:themeColor="text1"/>
          <w:sz w:val="22"/>
        </w:rPr>
        <w:footnoteReference w:id="19"/>
      </w:r>
      <w:r w:rsidRPr="00DB06FE">
        <w:rPr>
          <w:rFonts w:ascii="Verdana" w:hAnsi="Verdana" w:cs="Arial"/>
          <w:color w:val="000000" w:themeColor="text1"/>
          <w:sz w:val="21"/>
          <w:szCs w:val="21"/>
        </w:rPr>
        <w:t>.</w:t>
      </w:r>
    </w:p>
    <w:p w:rsidR="007622A1" w:rsidRPr="00DB06FE" w:rsidRDefault="007622A1" w:rsidP="007622A1">
      <w:pPr>
        <w:pStyle w:val="Sinespaciado"/>
        <w:widowControl w:val="0"/>
        <w:autoSpaceDE w:val="0"/>
        <w:autoSpaceDN w:val="0"/>
        <w:ind w:right="709"/>
        <w:jc w:val="both"/>
        <w:rPr>
          <w:rFonts w:ascii="Verdana" w:hAnsi="Verdana" w:cs="Arial"/>
          <w:color w:val="000000" w:themeColor="text1"/>
          <w:sz w:val="22"/>
        </w:rPr>
      </w:pPr>
    </w:p>
    <w:p w:rsidR="007622A1" w:rsidRPr="00DB06FE" w:rsidRDefault="007622A1" w:rsidP="007622A1">
      <w:pPr>
        <w:spacing w:after="120" w:line="276" w:lineRule="auto"/>
        <w:jc w:val="both"/>
        <w:rPr>
          <w:rFonts w:ascii="Verdana" w:hAnsi="Verdana" w:cs="Arial"/>
          <w:color w:val="000000" w:themeColor="text1"/>
        </w:rPr>
      </w:pPr>
      <w:r w:rsidRPr="00DB06FE">
        <w:rPr>
          <w:rFonts w:ascii="Verdana" w:hAnsi="Verdana" w:cs="Arial"/>
          <w:color w:val="000000" w:themeColor="text1"/>
        </w:rPr>
        <w:t xml:space="preserve">Resulta del caso precisar que la tipología contractual incide en aspectos como el proceso de selección que debe realizarse, los requisitos habilitantes o ponderables a incorporar en el pliego de condiciones para seleccionar de manera objetiva la mejor oferta; y si debe o no exigirse el Registro Único de Proponentes –RUP–, entre otras cuestiones importantes para el proceso de contratación. Precisado lo anterior, respecto el objeto de la consulta, es pertinente reflexionar sobre dos (2) de los contratos típicos que pueden utilizar las entidades estatales para satisfacer necesidades: el contrato de suministro y el de obra. </w:t>
      </w:r>
    </w:p>
    <w:p w:rsidR="007622A1" w:rsidRPr="00452069" w:rsidRDefault="007622A1" w:rsidP="007622A1">
      <w:pPr>
        <w:pStyle w:val="Prrafodelista"/>
        <w:numPr>
          <w:ilvl w:val="0"/>
          <w:numId w:val="8"/>
        </w:numPr>
        <w:spacing w:after="120" w:line="276" w:lineRule="auto"/>
        <w:ind w:left="0" w:firstLine="567"/>
        <w:jc w:val="both"/>
        <w:rPr>
          <w:rFonts w:ascii="Verdana" w:hAnsi="Verdana" w:cs="Arial"/>
          <w:color w:val="000000" w:themeColor="text1"/>
        </w:rPr>
      </w:pPr>
      <w:r w:rsidRPr="00452069">
        <w:rPr>
          <w:rFonts w:ascii="Verdana" w:hAnsi="Verdana" w:cs="Arial"/>
          <w:color w:val="000000" w:themeColor="text1"/>
        </w:rPr>
        <w:t xml:space="preserve">Por un lado, el término suministro proviene del latín </w:t>
      </w:r>
      <w:r w:rsidRPr="00452069">
        <w:rPr>
          <w:rFonts w:ascii="Verdana" w:hAnsi="Verdana" w:cs="Arial"/>
          <w:i/>
          <w:iCs/>
          <w:color w:val="000000" w:themeColor="text1"/>
        </w:rPr>
        <w:t>subministrare</w:t>
      </w:r>
      <w:r w:rsidRPr="00452069">
        <w:rPr>
          <w:rFonts w:ascii="Verdana" w:hAnsi="Verdana" w:cs="Arial"/>
          <w:color w:val="000000" w:themeColor="text1"/>
        </w:rPr>
        <w:t xml:space="preserve"> que significa proveer a uno algo que necesita. En la actualidad el contrato de suministro tiene una función económica</w:t>
      </w:r>
      <w:r w:rsidRPr="00DB06FE">
        <w:rPr>
          <w:rStyle w:val="Refdenotaalpie"/>
          <w:rFonts w:ascii="Verdana" w:hAnsi="Verdana" w:cs="Arial"/>
          <w:color w:val="000000" w:themeColor="text1"/>
        </w:rPr>
        <w:footnoteReference w:id="20"/>
      </w:r>
      <w:r w:rsidRPr="00452069">
        <w:rPr>
          <w:rFonts w:ascii="Verdana" w:hAnsi="Verdana"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Pr="00452069">
        <w:rPr>
          <w:rFonts w:ascii="Verdana" w:hAnsi="Verdana" w:cs="Arial"/>
          <w:bCs/>
          <w:lang w:val="es-ES_tradnl"/>
        </w:rPr>
        <w:t>“</w:t>
      </w:r>
      <w:r w:rsidRPr="00452069">
        <w:rPr>
          <w:rFonts w:ascii="Verdana" w:hAnsi="Verdana" w:cs="Arial"/>
          <w:color w:val="000000" w:themeColor="text1"/>
        </w:rPr>
        <w:t>por el cual una parte se obliga, a cambio de una contraprestación, a cumplir en favor de otra, en forma independiente, prestaciones periódicas o continuadas de cosas o servicios</w:t>
      </w:r>
      <w:r w:rsidRPr="00452069">
        <w:rPr>
          <w:rFonts w:ascii="Verdana" w:hAnsi="Verdana" w:cs="Arial"/>
          <w:bCs/>
          <w:lang w:val="es-ES_tradnl"/>
        </w:rPr>
        <w:t>”.</w:t>
      </w:r>
      <w:r w:rsidRPr="00452069">
        <w:rPr>
          <w:rFonts w:ascii="Verdana" w:hAnsi="Verdana" w:cs="Arial"/>
          <w:color w:val="000000" w:themeColor="text1"/>
        </w:rPr>
        <w:t xml:space="preserve"> </w:t>
      </w:r>
    </w:p>
    <w:p w:rsidR="007622A1" w:rsidRPr="00DB06FE" w:rsidRDefault="007622A1" w:rsidP="007622A1">
      <w:pPr>
        <w:spacing w:after="120" w:line="276" w:lineRule="auto"/>
        <w:ind w:firstLine="708"/>
        <w:jc w:val="both"/>
        <w:rPr>
          <w:rFonts w:ascii="Verdana" w:hAnsi="Verdana" w:cs="Arial"/>
          <w:color w:val="000000" w:themeColor="text1"/>
        </w:rPr>
      </w:pPr>
      <w:r w:rsidRPr="00DB06FE">
        <w:rPr>
          <w:rFonts w:ascii="Verdana" w:hAnsi="Verdana" w:cs="Arial"/>
          <w:color w:val="000000" w:themeColor="text1"/>
        </w:rPr>
        <w:t xml:space="preserve">El contrato de suministro reúne las siguientes características: i) es bilateral y conmutativo, ya que crea obligaciones recíprocas para las dos partes del contrato llamadas a reportar beneficios equivalentes para ambos; </w:t>
      </w:r>
      <w:proofErr w:type="spellStart"/>
      <w:r w:rsidRPr="00DB06FE">
        <w:rPr>
          <w:rFonts w:ascii="Verdana" w:hAnsi="Verdana" w:cs="Arial"/>
          <w:color w:val="000000" w:themeColor="text1"/>
        </w:rPr>
        <w:t>ii</w:t>
      </w:r>
      <w:proofErr w:type="spellEnd"/>
      <w:r w:rsidRPr="00DB06FE">
        <w:rPr>
          <w:rFonts w:ascii="Verdana" w:hAnsi="Verdana" w:cs="Arial"/>
          <w:color w:val="000000" w:themeColor="text1"/>
        </w:rPr>
        <w:t xml:space="preserve">) es oneroso, pues genera un lucro, utilidad o beneficio para ambas partes; </w:t>
      </w:r>
      <w:proofErr w:type="spellStart"/>
      <w:r w:rsidRPr="00DB06FE">
        <w:rPr>
          <w:rFonts w:ascii="Verdana" w:hAnsi="Verdana" w:cs="Arial"/>
          <w:color w:val="000000" w:themeColor="text1"/>
        </w:rPr>
        <w:t>iii</w:t>
      </w:r>
      <w:proofErr w:type="spellEnd"/>
      <w:r w:rsidRPr="00DB06FE">
        <w:rPr>
          <w:rFonts w:ascii="Verdana" w:hAnsi="Verdana" w:cs="Arial"/>
          <w:color w:val="000000" w:themeColor="text1"/>
        </w:rPr>
        <w:t xml:space="preserve">) es por regla general consensual, dado que en derecho privado nace con el solo acuerdo de voluntades sobre el objeto –no lo es en contratación estatal, donde es solemne–; </w:t>
      </w:r>
      <w:proofErr w:type="spellStart"/>
      <w:r w:rsidRPr="00DB06FE">
        <w:rPr>
          <w:rFonts w:ascii="Verdana" w:hAnsi="Verdana" w:cs="Arial"/>
          <w:color w:val="000000" w:themeColor="text1"/>
        </w:rPr>
        <w:t>iv</w:t>
      </w:r>
      <w:proofErr w:type="spellEnd"/>
      <w:r w:rsidRPr="00DB06FE">
        <w:rPr>
          <w:rFonts w:ascii="Verdana" w:hAnsi="Verdana" w:cs="Arial"/>
          <w:color w:val="000000" w:themeColor="text1"/>
        </w:rPr>
        <w:t xml:space="preserve">) es de tracto sucesivo, porque la ejecución de las prestaciones se realiza de manera periódica o continua a través del tiempo; v) es principal, porque existe por </w:t>
      </w:r>
      <w:proofErr w:type="spellStart"/>
      <w:r w:rsidRPr="00DB06FE">
        <w:rPr>
          <w:rFonts w:ascii="Verdana" w:hAnsi="Verdana" w:cs="Arial"/>
          <w:color w:val="000000" w:themeColor="text1"/>
        </w:rPr>
        <w:t>si</w:t>
      </w:r>
      <w:proofErr w:type="spellEnd"/>
      <w:r w:rsidRPr="00DB06FE">
        <w:rPr>
          <w:rFonts w:ascii="Verdana" w:hAnsi="Verdana" w:cs="Arial"/>
          <w:color w:val="000000" w:themeColor="text1"/>
        </w:rPr>
        <w:t xml:space="preserve"> solo independientemente de otros contratos; vi) es nominado y típico, dado que cuenta con definición  y regulación legal en los artículos 968 y siguientes del Código de Comercio; y </w:t>
      </w:r>
      <w:proofErr w:type="spellStart"/>
      <w:r w:rsidRPr="00DB06FE">
        <w:rPr>
          <w:rFonts w:ascii="Verdana" w:hAnsi="Verdana" w:cs="Arial"/>
          <w:color w:val="000000" w:themeColor="text1"/>
        </w:rPr>
        <w:t>vii</w:t>
      </w:r>
      <w:proofErr w:type="spellEnd"/>
      <w:r w:rsidRPr="00DB06FE">
        <w:rPr>
          <w:rFonts w:ascii="Verdana" w:hAnsi="Verdana" w:cs="Arial"/>
          <w:color w:val="000000" w:themeColor="text1"/>
        </w:rPr>
        <w:t xml:space="preserve">) en estos </w:t>
      </w:r>
      <w:r w:rsidRPr="00DB06FE">
        <w:rPr>
          <w:rFonts w:ascii="Verdana" w:hAnsi="Verdana" w:cs="Arial"/>
          <w:color w:val="000000" w:themeColor="text1"/>
        </w:rPr>
        <w:lastRenderedPageBreak/>
        <w:t>contratos estatales es potestativa la inclusión de cláusulas excepcionales, de conformidad con el artículo 14 de la Ley 80 de 1993.</w:t>
      </w:r>
    </w:p>
    <w:p w:rsidR="007622A1" w:rsidRPr="00DB06FE" w:rsidRDefault="007622A1" w:rsidP="007622A1">
      <w:pPr>
        <w:spacing w:after="120" w:line="276" w:lineRule="auto"/>
        <w:ind w:firstLine="708"/>
        <w:jc w:val="both"/>
        <w:rPr>
          <w:rFonts w:ascii="Verdana" w:hAnsi="Verdana" w:cs="Arial"/>
        </w:rPr>
      </w:pPr>
      <w:r w:rsidRPr="00DB06FE">
        <w:rPr>
          <w:rFonts w:ascii="Verdana" w:hAnsi="Verdana" w:cs="Arial"/>
        </w:rPr>
        <w:t xml:space="preserve">En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w:t>
      </w:r>
      <w:proofErr w:type="spellStart"/>
      <w:r w:rsidRPr="00DB06FE">
        <w:rPr>
          <w:rFonts w:ascii="Verdana" w:hAnsi="Verdana" w:cs="Arial"/>
        </w:rPr>
        <w:t>suministrante</w:t>
      </w:r>
      <w:proofErr w:type="spellEnd"/>
      <w:r w:rsidRPr="00DB06FE">
        <w:rPr>
          <w:rFonts w:ascii="Verdana" w:hAnsi="Verdana" w:cs="Arial"/>
        </w:rPr>
        <w:t>. Quien se beneficia de las prestaciones ejecutadas y queda a cambio obligado a pagar el precio se denomina consumidor, suministrado, beneficiario o cliente</w:t>
      </w:r>
      <w:r w:rsidRPr="00DB06FE">
        <w:rPr>
          <w:rStyle w:val="Refdenotaalpie"/>
          <w:rFonts w:ascii="Verdana" w:hAnsi="Verdana" w:cs="Arial"/>
        </w:rPr>
        <w:footnoteReference w:id="21"/>
      </w:r>
      <w:r w:rsidRPr="00DB06FE">
        <w:rPr>
          <w:rFonts w:ascii="Verdana" w:hAnsi="Verdana" w:cs="Arial"/>
        </w:rPr>
        <w:t xml:space="preserve">. Este contrato guarda cercanía con otros tipos contractuales. No obstante, su característica identificadora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w:t>
      </w:r>
      <w:proofErr w:type="spellStart"/>
      <w:r w:rsidRPr="00DB06FE">
        <w:rPr>
          <w:rFonts w:ascii="Verdana" w:hAnsi="Verdana" w:cs="Arial"/>
        </w:rPr>
        <w:t>C.Co</w:t>
      </w:r>
      <w:proofErr w:type="spellEnd"/>
      <w:r w:rsidRPr="00DB06FE">
        <w:rPr>
          <w:rFonts w:ascii="Verdana" w:hAnsi="Verdana" w:cs="Arial"/>
        </w:rPr>
        <w:t>)”</w:t>
      </w:r>
      <w:r w:rsidRPr="00DB06FE">
        <w:rPr>
          <w:rStyle w:val="Refdenotaalpie"/>
          <w:rFonts w:ascii="Verdana" w:hAnsi="Verdana" w:cs="Arial"/>
        </w:rPr>
        <w:footnoteReference w:id="22"/>
      </w:r>
      <w:r w:rsidRPr="00DB06FE">
        <w:rPr>
          <w:rFonts w:ascii="Verdana" w:hAnsi="Verdana" w:cs="Arial"/>
        </w:rPr>
        <w:t>.</w:t>
      </w:r>
    </w:p>
    <w:p w:rsidR="007622A1" w:rsidRPr="00452069" w:rsidRDefault="007622A1" w:rsidP="007622A1">
      <w:pPr>
        <w:pStyle w:val="Prrafodelista"/>
        <w:widowControl w:val="0"/>
        <w:numPr>
          <w:ilvl w:val="0"/>
          <w:numId w:val="8"/>
        </w:numPr>
        <w:autoSpaceDE w:val="0"/>
        <w:autoSpaceDN w:val="0"/>
        <w:spacing w:line="276" w:lineRule="auto"/>
        <w:ind w:left="0" w:firstLine="567"/>
        <w:jc w:val="both"/>
        <w:rPr>
          <w:rFonts w:ascii="Verdana" w:eastAsia="Calibri" w:hAnsi="Verdana" w:cs="Arial"/>
          <w:color w:val="000000"/>
          <w:lang w:val="es-ES" w:eastAsia="es-ES" w:bidi="es-ES"/>
        </w:rPr>
      </w:pPr>
      <w:r w:rsidRPr="00452069">
        <w:rPr>
          <w:rFonts w:ascii="Verdana" w:hAnsi="Verdana" w:cs="Arial"/>
          <w:lang w:val="es-ES"/>
        </w:rPr>
        <w:t xml:space="preserve">Por otra parte, </w:t>
      </w:r>
      <w:r w:rsidRPr="00452069">
        <w:rPr>
          <w:rFonts w:ascii="Verdana" w:eastAsia="Calibri" w:hAnsi="Verdana" w:cs="Arial"/>
          <w:color w:val="000000" w:themeColor="text1"/>
          <w:lang w:val="es-ES" w:eastAsia="es-ES" w:bidi="es-ES"/>
        </w:rPr>
        <w:t xml:space="preserve">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rsidR="007622A1" w:rsidRPr="00DB06FE" w:rsidRDefault="007622A1" w:rsidP="007622A1">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00DB06FE">
        <w:rPr>
          <w:rFonts w:ascii="Verdana" w:eastAsia="Calibri" w:hAnsi="Verdana" w:cs="Arial"/>
          <w:color w:val="000000" w:themeColor="text1"/>
          <w:lang w:val="es-ES" w:eastAsia="es-ES" w:bidi="es-ES"/>
        </w:rPr>
        <w:t xml:space="preserve">En efecto, </w:t>
      </w:r>
      <w:bookmarkStart w:id="2" w:name="_Hlk81432298"/>
      <w:r w:rsidRPr="00DB06FE">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w:t>
      </w:r>
      <w:r w:rsidRPr="00DB06FE">
        <w:rPr>
          <w:rFonts w:ascii="Verdana" w:eastAsia="Calibri" w:hAnsi="Verdana" w:cs="Arial"/>
          <w:color w:val="000000" w:themeColor="text1"/>
          <w:lang w:val="es-ES" w:eastAsia="es-ES" w:bidi="es-ES"/>
        </w:rPr>
        <w:lastRenderedPageBreak/>
        <w:t xml:space="preserve">los contratos de construcción y de arquitectura, es claro que la realización de trabajos materiales recae tanto sobre bienes muebles como inmuebles. </w:t>
      </w:r>
      <w:bookmarkEnd w:id="2"/>
      <w:r w:rsidRPr="00DB06FE">
        <w:rPr>
          <w:rFonts w:ascii="Verdana" w:eastAsia="Calibri" w:hAnsi="Verdana" w:cs="Arial"/>
          <w:color w:val="000000" w:themeColor="text1"/>
          <w:lang w:val="es-ES" w:eastAsia="es-ES" w:bidi="es-ES"/>
        </w:rPr>
        <w:t>Así, la doctrina considera que:</w:t>
      </w:r>
    </w:p>
    <w:p w:rsidR="007622A1" w:rsidRPr="00DB06FE" w:rsidRDefault="007622A1" w:rsidP="007622A1">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rsidR="007622A1" w:rsidRPr="00DB06FE" w:rsidRDefault="007622A1" w:rsidP="007622A1">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DB06FE">
        <w:rPr>
          <w:rFonts w:ascii="Verdana" w:eastAsia="Calibri" w:hAnsi="Verdana"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rsidR="007622A1" w:rsidRPr="00DB06FE" w:rsidRDefault="007622A1" w:rsidP="007622A1">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DB06FE">
        <w:rPr>
          <w:rFonts w:ascii="Verdana" w:eastAsia="Calibri" w:hAnsi="Verdana"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DB06FE">
        <w:rPr>
          <w:rFonts w:ascii="Verdana" w:eastAsia="Calibri" w:hAnsi="Verdana" w:cs="Arial"/>
          <w:color w:val="000000"/>
          <w:sz w:val="21"/>
          <w:szCs w:val="21"/>
          <w:vertAlign w:val="superscript"/>
          <w:lang w:val="es-ES_tradnl" w:eastAsia="es-ES" w:bidi="es-ES"/>
        </w:rPr>
        <w:footnoteReference w:id="23"/>
      </w:r>
      <w:r w:rsidRPr="00DB06FE">
        <w:rPr>
          <w:rFonts w:ascii="Verdana" w:eastAsia="Calibri" w:hAnsi="Verdana" w:cs="Arial"/>
          <w:color w:val="000000"/>
          <w:sz w:val="21"/>
          <w:szCs w:val="21"/>
          <w:lang w:val="es-ES_tradnl" w:eastAsia="es-ES" w:bidi="es-ES"/>
        </w:rPr>
        <w:t xml:space="preserve">.  </w:t>
      </w:r>
    </w:p>
    <w:p w:rsidR="007622A1" w:rsidRPr="00DB06FE" w:rsidRDefault="007622A1" w:rsidP="007622A1">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DB06FE">
        <w:rPr>
          <w:rFonts w:ascii="Verdana" w:eastAsia="Calibri" w:hAnsi="Verdana" w:cs="Arial"/>
          <w:color w:val="000000"/>
          <w:sz w:val="21"/>
          <w:szCs w:val="21"/>
          <w:lang w:val="es-ES_tradnl" w:eastAsia="es-ES" w:bidi="es-ES"/>
        </w:rPr>
        <w:t xml:space="preserve">    </w:t>
      </w:r>
    </w:p>
    <w:p w:rsidR="007622A1" w:rsidRPr="00DB06FE" w:rsidRDefault="007622A1" w:rsidP="007622A1">
      <w:pPr>
        <w:widowControl w:val="0"/>
        <w:autoSpaceDE w:val="0"/>
        <w:autoSpaceDN w:val="0"/>
        <w:spacing w:after="0" w:line="276" w:lineRule="auto"/>
        <w:ind w:firstLine="708"/>
        <w:jc w:val="both"/>
        <w:rPr>
          <w:rFonts w:ascii="Verdana" w:eastAsia="Calibri" w:hAnsi="Verdana" w:cs="Arial"/>
          <w:color w:val="000000"/>
          <w:lang w:val="es-ES_tradnl" w:eastAsia="es-ES" w:bidi="es-ES"/>
        </w:rPr>
      </w:pPr>
      <w:bookmarkStart w:id="3" w:name="_Hlk35420344"/>
      <w:r w:rsidRPr="00DB06FE">
        <w:rPr>
          <w:rFonts w:ascii="Verdana" w:eastAsia="Calibri" w:hAnsi="Verdana" w:cs="Arial"/>
          <w:color w:val="000000"/>
          <w:lang w:val="es-ES_tradnl" w:eastAsia="es-ES" w:bidi="es-ES"/>
        </w:rPr>
        <w:t xml:space="preserve">En </w:t>
      </w:r>
      <w:r w:rsidRPr="00DB06FE">
        <w:rPr>
          <w:rFonts w:ascii="Verdana" w:eastAsia="Calibri" w:hAnsi="Verdana" w:cs="Arial"/>
          <w:i/>
          <w:iCs/>
          <w:color w:val="000000"/>
          <w:lang w:val="es-ES_tradnl" w:eastAsia="es-ES" w:bidi="es-ES"/>
        </w:rPr>
        <w:t>sentido amplio</w:t>
      </w:r>
      <w:r w:rsidRPr="00DB06FE">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4" w:name="_Hlk81428563"/>
      <w:r w:rsidRPr="00DB06FE">
        <w:rPr>
          <w:rFonts w:ascii="Verdana" w:eastAsia="Calibri" w:hAnsi="Verdana" w:cs="Arial"/>
          <w:color w:val="000000"/>
          <w:lang w:val="es-ES_tradnl" w:eastAsia="es-ES" w:bidi="es-ES"/>
        </w:rPr>
        <w:t xml:space="preserve">el numeral 1 del artículo 32 de la Ley 80 de 1993 opta por un </w:t>
      </w:r>
      <w:r w:rsidRPr="00DB06FE">
        <w:rPr>
          <w:rFonts w:ascii="Verdana" w:eastAsia="Calibri" w:hAnsi="Verdana" w:cs="Arial"/>
          <w:i/>
          <w:iCs/>
          <w:color w:val="000000"/>
          <w:lang w:val="es-ES_tradnl" w:eastAsia="es-ES" w:bidi="es-ES"/>
        </w:rPr>
        <w:t>sentido restringido</w:t>
      </w:r>
      <w:r w:rsidRPr="00DB06FE">
        <w:rPr>
          <w:rFonts w:ascii="Verdana" w:eastAsia="Calibri" w:hAnsi="Verdana" w:cs="Arial"/>
          <w:color w:val="00000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r w:rsidRPr="00DB06FE">
        <w:rPr>
          <w:rStyle w:val="Refdenotaalpie"/>
          <w:rFonts w:ascii="Verdana" w:eastAsia="Calibri" w:hAnsi="Verdana" w:cs="Arial"/>
          <w:color w:val="000000"/>
          <w:lang w:val="es-ES_tradnl" w:eastAsia="es-ES" w:bidi="es-ES"/>
        </w:rPr>
        <w:footnoteReference w:id="24"/>
      </w:r>
      <w:r w:rsidRPr="00DB06FE">
        <w:rPr>
          <w:rFonts w:ascii="Verdana" w:eastAsia="Calibri" w:hAnsi="Verdana" w:cs="Arial"/>
          <w:color w:val="000000"/>
          <w:lang w:val="es-ES_tradnl" w:eastAsia="es-ES" w:bidi="es-ES"/>
        </w:rPr>
        <w:t xml:space="preserve">.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w:t>
      </w:r>
      <w:r w:rsidRPr="00DB06FE">
        <w:rPr>
          <w:rFonts w:ascii="Verdana" w:eastAsia="Calibri" w:hAnsi="Verdana" w:cs="Arial"/>
          <w:color w:val="000000"/>
          <w:lang w:val="es-ES_tradnl" w:eastAsia="es-ES" w:bidi="es-ES"/>
        </w:rPr>
        <w:lastRenderedPageBreak/>
        <w:t>instalación, conservación, mantenimiento, reparación y demolición de esos mismos</w:t>
      </w:r>
      <w:bookmarkEnd w:id="3"/>
      <w:bookmarkEnd w:id="4"/>
      <w:r w:rsidRPr="00DB06FE">
        <w:rPr>
          <w:rFonts w:ascii="Verdana" w:eastAsia="Calibri" w:hAnsi="Verdana" w:cs="Arial"/>
          <w:color w:val="000000"/>
          <w:vertAlign w:val="superscript"/>
          <w:lang w:val="es-ES_tradnl" w:eastAsia="es-ES" w:bidi="es-ES"/>
        </w:rPr>
        <w:footnoteReference w:id="25"/>
      </w:r>
      <w:r w:rsidRPr="00DB06FE">
        <w:rPr>
          <w:rFonts w:ascii="Verdana" w:eastAsia="Calibri" w:hAnsi="Verdana" w:cs="Arial"/>
          <w:color w:val="000000"/>
          <w:lang w:val="es-ES_tradnl" w:eastAsia="es-ES" w:bidi="es-ES"/>
        </w:rPr>
        <w:t>. De esta manera:</w:t>
      </w:r>
    </w:p>
    <w:p w:rsidR="007622A1" w:rsidRPr="00DB06FE" w:rsidRDefault="007622A1" w:rsidP="007622A1">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rsidR="007622A1" w:rsidRPr="00DB06FE" w:rsidRDefault="007622A1" w:rsidP="007622A1">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DB06FE">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rsidR="007622A1" w:rsidRPr="00DB06FE" w:rsidRDefault="007622A1" w:rsidP="007622A1">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DB06FE">
        <w:rPr>
          <w:rFonts w:ascii="Verdana" w:eastAsia="Calibri" w:hAnsi="Verdana"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DB06FE">
        <w:rPr>
          <w:rFonts w:ascii="Verdana" w:eastAsia="Calibri" w:hAnsi="Verdana" w:cs="Arial"/>
          <w:color w:val="000000"/>
          <w:sz w:val="21"/>
          <w:szCs w:val="21"/>
          <w:vertAlign w:val="superscript"/>
          <w:lang w:val="es-ES_tradnl" w:eastAsia="es-ES" w:bidi="es-ES"/>
        </w:rPr>
        <w:footnoteReference w:id="26"/>
      </w:r>
      <w:r w:rsidRPr="00DB06FE">
        <w:rPr>
          <w:rFonts w:ascii="Verdana" w:eastAsia="Calibri" w:hAnsi="Verdana" w:cs="Arial"/>
          <w:color w:val="000000"/>
          <w:sz w:val="21"/>
          <w:szCs w:val="21"/>
          <w:lang w:val="es-ES_tradnl" w:eastAsia="es-ES" w:bidi="es-ES"/>
        </w:rPr>
        <w:t>.</w:t>
      </w:r>
    </w:p>
    <w:p w:rsidR="007622A1" w:rsidRPr="00DB06FE" w:rsidRDefault="007622A1" w:rsidP="007622A1">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rsidR="007622A1" w:rsidRPr="00DB06FE" w:rsidRDefault="007622A1" w:rsidP="007622A1">
      <w:pPr>
        <w:widowControl w:val="0"/>
        <w:autoSpaceDE w:val="0"/>
        <w:autoSpaceDN w:val="0"/>
        <w:spacing w:after="120" w:line="276" w:lineRule="auto"/>
        <w:ind w:firstLine="708"/>
        <w:jc w:val="both"/>
        <w:rPr>
          <w:rFonts w:ascii="Verdana" w:eastAsia="Calibri" w:hAnsi="Verdana" w:cs="Arial"/>
          <w:color w:val="000000"/>
          <w:lang w:val="es-ES_tradnl" w:eastAsia="es-ES" w:bidi="es-ES"/>
        </w:rPr>
      </w:pPr>
      <w:r w:rsidRPr="00DB06FE">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rsidR="007622A1" w:rsidRPr="00DB06FE" w:rsidRDefault="007622A1" w:rsidP="007622A1">
      <w:pPr>
        <w:spacing w:after="0" w:line="276" w:lineRule="auto"/>
        <w:ind w:firstLine="708"/>
        <w:jc w:val="both"/>
        <w:rPr>
          <w:rFonts w:ascii="Verdana" w:hAnsi="Verdana" w:cs="Arial"/>
          <w:bCs/>
          <w:lang w:val="es-ES_tradnl"/>
        </w:rPr>
      </w:pPr>
      <w:r w:rsidRPr="00DB06FE">
        <w:rPr>
          <w:rFonts w:ascii="Verdana" w:hAnsi="Verdana" w:cs="Arial"/>
          <w:bCs/>
          <w:lang w:val="es-ES_tradnl"/>
        </w:rPr>
        <w:t xml:space="preserve">Teniendo en cuenta lo anterior, lo que el peticionario denomina como </w:t>
      </w:r>
      <w:bookmarkStart w:id="5" w:name="_Hlk131153031"/>
      <w:r w:rsidRPr="00DB06FE">
        <w:rPr>
          <w:rFonts w:ascii="Verdana" w:hAnsi="Verdana" w:cs="Arial"/>
          <w:bCs/>
          <w:i/>
          <w:iCs/>
          <w:lang w:val="es-ES_tradnl"/>
        </w:rPr>
        <w:t>“contrato por monto agotable”</w:t>
      </w:r>
      <w:bookmarkEnd w:id="5"/>
      <w:r w:rsidRPr="00DB06FE">
        <w:rPr>
          <w:rFonts w:ascii="Verdana" w:hAnsi="Verdana" w:cs="Arial"/>
          <w:bCs/>
          <w:i/>
          <w:iCs/>
          <w:lang w:val="es-ES_tradnl"/>
        </w:rPr>
        <w:t xml:space="preserve">, </w:t>
      </w:r>
      <w:r w:rsidRPr="00DB06FE">
        <w:rPr>
          <w:rFonts w:ascii="Verdana" w:hAnsi="Verdana" w:cs="Arial"/>
          <w:bCs/>
          <w:lang w:val="es-ES_tradnl"/>
        </w:rPr>
        <w:t xml:space="preserve">en realidad 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Lo anterior, en vista de que la figura del “contrato por monto agotable” no existe en las leyes civiles y comerciales ni en el EGCAP como una figura contractual típica ni atípica. En este contexto, se encuentra más relacionada con el establecimiento de la forma de pago. Como explica </w:t>
      </w:r>
      <w:r w:rsidRPr="00DB06FE">
        <w:rPr>
          <w:rFonts w:ascii="Verdana" w:hAnsi="Verdana" w:cs="Arial"/>
          <w:bCs/>
          <w:lang w:val="es-ES_tradnl"/>
        </w:rPr>
        <w:lastRenderedPageBreak/>
        <w:t xml:space="preserve">la doctrina, existen </w:t>
      </w:r>
      <w:r w:rsidRPr="00DB06FE">
        <w:rPr>
          <w:rFonts w:ascii="Verdana" w:hAnsi="Verdana" w:cs="Arial"/>
          <w:bCs/>
          <w:i/>
          <w:iCs/>
          <w:lang w:val="es-ES_tradnl"/>
        </w:rPr>
        <w:t>contratos de suministro</w:t>
      </w:r>
      <w:r w:rsidRPr="00DB06FE">
        <w:rPr>
          <w:rFonts w:ascii="Verdana" w:hAnsi="Verdana" w:cs="Arial"/>
          <w:bCs/>
          <w:lang w:val="es-ES_tradnl"/>
        </w:rPr>
        <w:t xml:space="preserve"> donde el contratista se obliga a entregar los bienes por un precio unitario, sin que la cuantía se defina exactamente al tiempo de celebrar el contrato, ya que las entregas estas subordinadas a las necesidades de la entidad:</w:t>
      </w:r>
    </w:p>
    <w:p w:rsidR="007622A1" w:rsidRPr="00DB06FE" w:rsidRDefault="007622A1" w:rsidP="007622A1">
      <w:pPr>
        <w:spacing w:after="0" w:line="276" w:lineRule="auto"/>
        <w:ind w:firstLine="708"/>
        <w:jc w:val="both"/>
        <w:rPr>
          <w:rFonts w:ascii="Verdana" w:hAnsi="Verdana" w:cs="Arial"/>
          <w:bCs/>
          <w:lang w:val="es-ES_tradnl"/>
        </w:rPr>
      </w:pPr>
    </w:p>
    <w:p w:rsidR="007622A1" w:rsidRPr="00DB06FE" w:rsidRDefault="007622A1" w:rsidP="007622A1">
      <w:pPr>
        <w:spacing w:after="0" w:line="240" w:lineRule="auto"/>
        <w:ind w:left="709" w:right="709"/>
        <w:jc w:val="both"/>
        <w:rPr>
          <w:rFonts w:ascii="Verdana" w:hAnsi="Verdana" w:cs="Arial"/>
          <w:bCs/>
          <w:sz w:val="21"/>
          <w:szCs w:val="21"/>
          <w:lang w:val="es-ES_tradnl"/>
        </w:rPr>
      </w:pPr>
      <w:r w:rsidRPr="00DB06FE">
        <w:rPr>
          <w:rFonts w:ascii="Verdana" w:hAnsi="Verdana" w:cs="Arial"/>
          <w:bCs/>
          <w:sz w:val="21"/>
          <w:szCs w:val="21"/>
          <w:lang w:val="es-ES_tradnl"/>
        </w:rPr>
        <w:t>“Esta modalidad de suministro, conocida como contrato de suministro de tracto sucesivo por precio unitario, se caracteriza por la indeterminación relativa del objeto del contrato y, por lo tanto, del precio, ya que están identificados el producto a suministrar y el precio unitario del mismo, pero no el número de unidades que deberán entregarse a la entidad contratante al amparo del contrato, lo que implica que no se conozca con exactitud, tampoco, el precio global que deberá abonarse al contratista.</w:t>
      </w:r>
    </w:p>
    <w:p w:rsidR="007622A1" w:rsidRPr="00DB06FE" w:rsidRDefault="007622A1" w:rsidP="007622A1">
      <w:pPr>
        <w:spacing w:after="120" w:line="240" w:lineRule="auto"/>
        <w:ind w:left="709" w:right="709"/>
        <w:jc w:val="both"/>
        <w:rPr>
          <w:rFonts w:ascii="Verdana" w:hAnsi="Verdana" w:cs="Arial"/>
          <w:bCs/>
          <w:sz w:val="21"/>
          <w:szCs w:val="21"/>
          <w:lang w:val="es-ES_tradnl"/>
        </w:rPr>
      </w:pPr>
      <w:r w:rsidRPr="00DB06FE">
        <w:rPr>
          <w:rFonts w:ascii="Verdana" w:hAnsi="Verdana" w:cs="Arial"/>
          <w:bCs/>
          <w:sz w:val="21"/>
          <w:szCs w:val="21"/>
          <w:lang w:val="es-ES_tradnl"/>
        </w:rPr>
        <w:t>[…]</w:t>
      </w:r>
    </w:p>
    <w:p w:rsidR="007622A1" w:rsidRPr="00DB06FE" w:rsidRDefault="007622A1" w:rsidP="007622A1">
      <w:pPr>
        <w:spacing w:after="0" w:line="240" w:lineRule="auto"/>
        <w:ind w:left="709" w:right="709"/>
        <w:jc w:val="both"/>
        <w:rPr>
          <w:rFonts w:ascii="Verdana" w:hAnsi="Verdana" w:cs="Arial"/>
          <w:bCs/>
          <w:sz w:val="21"/>
          <w:szCs w:val="21"/>
          <w:lang w:val="es-ES_tradnl"/>
        </w:rPr>
      </w:pPr>
      <w:bookmarkStart w:id="6" w:name="_Hlk131174588"/>
      <w:r w:rsidRPr="00DB06FE">
        <w:rPr>
          <w:rFonts w:ascii="Verdana" w:hAnsi="Verdana" w:cs="Arial"/>
          <w:bCs/>
          <w:i/>
          <w:iCs/>
          <w:sz w:val="21"/>
          <w:szCs w:val="21"/>
          <w:lang w:val="es-ES_tradnl"/>
        </w:rPr>
        <w:t>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r w:rsidRPr="00DB06FE">
        <w:rPr>
          <w:rFonts w:ascii="Verdana" w:hAnsi="Verdana" w:cs="Arial"/>
          <w:bCs/>
          <w:sz w:val="21"/>
          <w:szCs w:val="21"/>
          <w:lang w:val="es-ES_tradnl"/>
        </w:rPr>
        <w:t xml:space="preserve"> </w:t>
      </w:r>
      <w:bookmarkEnd w:id="6"/>
      <w:r w:rsidRPr="00DB06FE">
        <w:rPr>
          <w:rFonts w:ascii="Verdana" w:hAnsi="Verdana" w:cs="Arial"/>
          <w:bCs/>
          <w:sz w:val="21"/>
          <w:szCs w:val="21"/>
          <w:lang w:val="es-ES_tradnl"/>
        </w:rPr>
        <w:t>[…] Es muy importante destacar que por vía de modificación del contrato no pueden establecerse nuevos precios unitarios no previstos inicialmente, por lo que […] se trata de prever la ampliación del número de unidades a suministrar, manteniéndose el precio unitario pactado originalmente”</w:t>
      </w:r>
      <w:r w:rsidRPr="00DB06FE">
        <w:rPr>
          <w:rStyle w:val="Refdenotaalpie"/>
          <w:rFonts w:ascii="Verdana" w:hAnsi="Verdana" w:cs="Arial"/>
          <w:bCs/>
          <w:sz w:val="21"/>
          <w:szCs w:val="21"/>
          <w:lang w:val="es-ES_tradnl"/>
        </w:rPr>
        <w:footnoteReference w:id="27"/>
      </w:r>
      <w:r w:rsidRPr="00DB06FE">
        <w:rPr>
          <w:rFonts w:ascii="Verdana" w:hAnsi="Verdana" w:cs="Arial"/>
          <w:bCs/>
          <w:sz w:val="21"/>
          <w:szCs w:val="21"/>
          <w:lang w:val="es-ES_tradnl"/>
        </w:rPr>
        <w:t xml:space="preserve">. (Énfasis fuera de texto)           </w:t>
      </w:r>
    </w:p>
    <w:p w:rsidR="007622A1" w:rsidRPr="00DB06FE" w:rsidRDefault="007622A1" w:rsidP="007622A1">
      <w:pPr>
        <w:spacing w:after="0" w:line="276" w:lineRule="auto"/>
        <w:ind w:left="709" w:right="709"/>
        <w:jc w:val="both"/>
        <w:rPr>
          <w:rFonts w:ascii="Verdana" w:hAnsi="Verdana" w:cs="Arial"/>
          <w:bCs/>
          <w:lang w:val="es-ES_tradnl"/>
        </w:rPr>
      </w:pPr>
    </w:p>
    <w:p w:rsidR="007622A1" w:rsidRPr="00DB06FE" w:rsidRDefault="007622A1" w:rsidP="007622A1">
      <w:pPr>
        <w:spacing w:after="120" w:line="276" w:lineRule="auto"/>
        <w:ind w:firstLine="708"/>
        <w:jc w:val="both"/>
        <w:rPr>
          <w:rFonts w:ascii="Verdana" w:hAnsi="Verdana" w:cs="Arial"/>
          <w:bCs/>
          <w:lang w:val="es-ES_tradnl"/>
        </w:rPr>
      </w:pPr>
      <w:r w:rsidRPr="00DB06FE">
        <w:rPr>
          <w:rFonts w:ascii="Verdana" w:hAnsi="Verdana" w:cs="Arial"/>
          <w:bCs/>
          <w:lang w:val="es-ES_tradnl"/>
        </w:rPr>
        <w:t xml:space="preserve">Una situación similar se presenta en algunos </w:t>
      </w:r>
      <w:r w:rsidRPr="00DB06FE">
        <w:rPr>
          <w:rFonts w:ascii="Verdana" w:hAnsi="Verdana" w:cs="Arial"/>
          <w:bCs/>
          <w:i/>
          <w:iCs/>
          <w:lang w:val="es-ES_tradnl"/>
        </w:rPr>
        <w:t>contratos de obra</w:t>
      </w:r>
      <w:r w:rsidRPr="00DB06FE">
        <w:rPr>
          <w:rFonts w:ascii="Verdana" w:hAnsi="Verdana" w:cs="Arial"/>
          <w:bCs/>
          <w:lang w:val="es-ES_tradnl"/>
        </w:rPr>
        <w:t xml:space="preserve"> a precios unitarios donde, pese a que se encuentra establecido los ítems y el valor de cada uno de ellos, las cantidades definitivas dependen de lo efectivamente ejecutado al finalizar el plazo</w:t>
      </w:r>
      <w:r w:rsidRPr="00DB06FE">
        <w:rPr>
          <w:rStyle w:val="Refdenotaalpie"/>
          <w:rFonts w:ascii="Verdana" w:hAnsi="Verdana" w:cs="Arial"/>
          <w:bCs/>
          <w:lang w:val="es-ES_tradnl"/>
        </w:rPr>
        <w:footnoteReference w:id="28"/>
      </w:r>
      <w:r w:rsidRPr="00DB06FE">
        <w:rPr>
          <w:rFonts w:ascii="Verdana" w:hAnsi="Verdana" w:cs="Arial"/>
          <w:bCs/>
          <w:lang w:val="es-ES_tradnl"/>
        </w:rPr>
        <w:t xml:space="preserve">. En este sistema las partes establecen una suma fija por cada unidad de los trabajos que debe ejecutar el contratista, por lo que el precio –a diferencia del ajuste alzado o la suma cerrada– no se determina por la totalidad de la obra, sino por cada parte, unidad o medida. Para la doctrina, “Se trata de un sistema flexible en el precio y en la obra, por cuanto ambos solo van a queda definitivamente determinados al momento de la conclusión de las obras, circunstancia en la que recién podrán conocerse con exactitud la cantidad de unidades ejecutadas por el constructor y, del </w:t>
      </w:r>
      <w:r w:rsidRPr="00DB06FE">
        <w:rPr>
          <w:rFonts w:ascii="Verdana" w:hAnsi="Verdana" w:cs="Arial"/>
          <w:bCs/>
          <w:lang w:val="es-ES_tradnl"/>
        </w:rPr>
        <w:lastRenderedPageBreak/>
        <w:t>mismo modo, el precio definitivo a ser pagado por el comitente”</w:t>
      </w:r>
      <w:r w:rsidRPr="00DB06FE">
        <w:rPr>
          <w:rStyle w:val="Refdenotaalpie"/>
          <w:rFonts w:ascii="Verdana" w:hAnsi="Verdana" w:cs="Arial"/>
          <w:bCs/>
          <w:lang w:val="es-ES_tradnl"/>
        </w:rPr>
        <w:footnoteReference w:id="29"/>
      </w:r>
      <w:r w:rsidRPr="00DB06FE">
        <w:rPr>
          <w:rFonts w:ascii="Verdana" w:hAnsi="Verdana" w:cs="Arial"/>
          <w:bCs/>
          <w:lang w:val="es-ES_tradnl"/>
        </w:rPr>
        <w:t>. En este caso, también se requiere establecer un tope máximo para la adelantar las obras, ya que “[…] el precio total depende del conjunto de trabajos ejecutados según el presupuesto, pudiendo por tanto variar por nuevos trabajos adicionales […]”</w:t>
      </w:r>
      <w:r w:rsidRPr="00DB06FE">
        <w:rPr>
          <w:rStyle w:val="Refdenotaalpie"/>
          <w:rFonts w:ascii="Verdana" w:hAnsi="Verdana" w:cs="Arial"/>
          <w:bCs/>
          <w:lang w:val="es-ES_tradnl"/>
        </w:rPr>
        <w:footnoteReference w:id="30"/>
      </w:r>
      <w:r w:rsidRPr="00DB06FE">
        <w:rPr>
          <w:rFonts w:ascii="Verdana" w:hAnsi="Verdana" w:cs="Arial"/>
          <w:bCs/>
          <w:lang w:val="es-ES_tradnl"/>
        </w:rPr>
        <w:t xml:space="preserve">. Por lo demás, a pesar de que el precio del contrato se fije por un monto agotable, este no deja de pertenecer a la tipología del artículo 32.1 del Estatuto General de Contratación de la Administración Pública, especialmente, cuando –conforme al tenor literal de la norma– la obra pública existe </w:t>
      </w:r>
      <w:r w:rsidRPr="00DB06FE">
        <w:rPr>
          <w:rFonts w:ascii="Verdana" w:eastAsia="Calibri" w:hAnsi="Verdana" w:cs="Arial"/>
          <w:color w:val="000000"/>
          <w:lang w:val="es-ES_tradnl" w:eastAsia="es-ES" w:bidi="es-ES"/>
        </w:rPr>
        <w:t>cualquiera que sea la modalidad de ejecución y pago.</w:t>
      </w:r>
      <w:r w:rsidRPr="00DB06FE">
        <w:rPr>
          <w:rFonts w:ascii="Verdana" w:hAnsi="Verdana" w:cs="Arial"/>
          <w:bCs/>
          <w:lang w:val="es-ES_tradnl"/>
        </w:rPr>
        <w:t xml:space="preserve">      </w:t>
      </w:r>
    </w:p>
    <w:p w:rsidR="007622A1" w:rsidRPr="00DB06FE" w:rsidRDefault="007622A1" w:rsidP="007622A1">
      <w:pPr>
        <w:spacing w:after="120" w:line="276" w:lineRule="auto"/>
        <w:ind w:firstLine="708"/>
        <w:jc w:val="both"/>
        <w:rPr>
          <w:rFonts w:ascii="Verdana" w:hAnsi="Verdana" w:cs="Arial"/>
          <w:bCs/>
          <w:lang w:val="es-ES_tradnl"/>
        </w:rPr>
      </w:pPr>
      <w:r w:rsidRPr="00DB06FE">
        <w:rPr>
          <w:rFonts w:ascii="Verdana" w:hAnsi="Verdana" w:cs="Arial"/>
          <w:bCs/>
          <w:lang w:val="es-ES_tradnl"/>
        </w:rPr>
        <w:t xml:space="preserve">Sin perjuicio de lo anterior,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   </w:t>
      </w:r>
    </w:p>
    <w:p w:rsidR="007622A1" w:rsidRPr="00DB06FE" w:rsidRDefault="007622A1" w:rsidP="007622A1">
      <w:pPr>
        <w:spacing w:after="0" w:line="276" w:lineRule="auto"/>
        <w:ind w:firstLine="708"/>
        <w:jc w:val="both"/>
        <w:rPr>
          <w:rFonts w:ascii="Verdana" w:hAnsi="Verdana" w:cs="Arial"/>
          <w:bCs/>
          <w:lang w:val="es-ES_tradnl"/>
        </w:rPr>
      </w:pPr>
      <w:r w:rsidRPr="00DB06FE">
        <w:rPr>
          <w:rFonts w:ascii="Verdana" w:hAnsi="Verdana" w:cs="Arial"/>
          <w:bCs/>
          <w:lang w:val="es-ES_tradnl"/>
        </w:rPr>
        <w:t>De acuerdo con la explicación precedente, el denominado “contrato por monto agotable” no es una forma de contratación típica ni atípica en el ordenamiento colombiano, pues –aunque no esté expresamente regulado– corresponde una las formas en que puede pactarse el pago en los contratos a precios unitarios. Si bien es usual en algunos contratos de obra y suministro, nada obsta para que –de acuerdo con los estudios previos– se incluya en otras tipologías contractuales cuando la Administración lo estime conveniente y necesario, pues “</w:t>
      </w:r>
      <w:r w:rsidRPr="00DB06FE">
        <w:rPr>
          <w:rFonts w:ascii="Verdana" w:hAnsi="Verdana" w:cs="Arial"/>
          <w:bCs/>
        </w:rPr>
        <w:t xml:space="preserve">Las entidades podrán </w:t>
      </w:r>
      <w:r w:rsidRPr="00DB06FE">
        <w:rPr>
          <w:rFonts w:ascii="Verdana" w:hAnsi="Verdana" w:cs="Arial"/>
          <w:bCs/>
        </w:rPr>
        <w:lastRenderedPageBreak/>
        <w:t>celebrar los contratos y acuerdos que permitan la autonomía de la voluntad y requieran el cumplimiento de los fines estatales” y, por tanto,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r w:rsidRPr="00DB06FE">
        <w:rPr>
          <w:rFonts w:ascii="Verdana" w:hAnsi="Verdana" w:cs="Arial"/>
          <w:bCs/>
          <w:lang w:val="es-ES_tradnl"/>
        </w:rPr>
        <w:t>artículo 40 de la Ley 80 de 1993)</w:t>
      </w:r>
      <w:r w:rsidRPr="00DB06FE">
        <w:rPr>
          <w:rFonts w:ascii="Verdana" w:hAnsi="Verdana" w:cs="Arial"/>
          <w:bCs/>
        </w:rPr>
        <w:t xml:space="preserve">. Por ello, dado que el contrato objeto de consulta carece de autonomía normativa como contrato atípico no existe registro de las necesidades, entidades o cuantías solicitadas en la consulta, pues no es un parámetro válido para la búsqueda en SECOP.  </w:t>
      </w:r>
    </w:p>
    <w:p w:rsidR="007622A1" w:rsidRPr="00DB06FE" w:rsidRDefault="007622A1" w:rsidP="007622A1">
      <w:pPr>
        <w:spacing w:after="120" w:line="276" w:lineRule="auto"/>
        <w:jc w:val="both"/>
        <w:rPr>
          <w:rFonts w:ascii="Verdana" w:hAnsi="Verdana" w:cs="Arial"/>
          <w:noProof/>
          <w:lang w:val="es-ES_tradnl"/>
        </w:rPr>
      </w:pPr>
    </w:p>
    <w:p w:rsidR="007622A1" w:rsidRPr="00DB06FE" w:rsidRDefault="007622A1" w:rsidP="007622A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06FE">
        <w:rPr>
          <w:rFonts w:ascii="Verdana" w:eastAsia="Century Gothic" w:hAnsi="Verdana" w:cs="Century Gothic"/>
          <w:b/>
          <w:bCs/>
        </w:rPr>
        <w:t>Referencias normativas, jurisprudenciales y otras fuentes:</w:t>
      </w:r>
    </w:p>
    <w:p w:rsidR="007622A1" w:rsidRPr="00DB06FE" w:rsidRDefault="007622A1" w:rsidP="007622A1">
      <w:pPr>
        <w:spacing w:after="120" w:line="276" w:lineRule="auto"/>
        <w:ind w:right="709" w:firstLine="709"/>
        <w:jc w:val="both"/>
        <w:rPr>
          <w:rFonts w:ascii="Verdana" w:hAnsi="Verdana" w:cs="Arial"/>
          <w:noProof/>
          <w:lang w:val="es-ES"/>
        </w:rPr>
      </w:pPr>
    </w:p>
    <w:p w:rsidR="007622A1" w:rsidRPr="00DB06FE" w:rsidRDefault="007622A1" w:rsidP="007622A1">
      <w:pPr>
        <w:pStyle w:val="Prrafodelista"/>
        <w:numPr>
          <w:ilvl w:val="0"/>
          <w:numId w:val="2"/>
        </w:numPr>
        <w:spacing w:after="120" w:line="276" w:lineRule="auto"/>
        <w:ind w:right="709"/>
        <w:jc w:val="both"/>
        <w:rPr>
          <w:rFonts w:ascii="Verdana" w:hAnsi="Verdana" w:cs="Arial"/>
          <w:noProof/>
          <w:lang w:val="es-ES_tradnl"/>
        </w:rPr>
      </w:pPr>
      <w:r>
        <w:rPr>
          <w:rFonts w:ascii="Verdana" w:eastAsia="Calibri" w:hAnsi="Verdana" w:cs="Arial"/>
          <w:bCs/>
          <w:lang w:val="es-MX"/>
        </w:rPr>
        <w:t xml:space="preserve">Artículo </w:t>
      </w:r>
      <w:r w:rsidRPr="00DB06FE">
        <w:rPr>
          <w:rFonts w:ascii="Verdana" w:hAnsi="Verdana" w:cs="Arial"/>
          <w:bCs/>
        </w:rPr>
        <w:t>13</w:t>
      </w:r>
      <w:r>
        <w:rPr>
          <w:rFonts w:ascii="Verdana" w:hAnsi="Verdana" w:cs="Arial"/>
          <w:bCs/>
        </w:rPr>
        <w:t xml:space="preserve">, </w:t>
      </w:r>
      <w:r w:rsidRPr="00DB06FE">
        <w:rPr>
          <w:rFonts w:ascii="Verdana" w:hAnsi="Verdana" w:cs="Arial"/>
          <w:bCs/>
        </w:rPr>
        <w:t>32</w:t>
      </w:r>
      <w:r>
        <w:rPr>
          <w:rFonts w:ascii="Verdana" w:eastAsia="Calibri" w:hAnsi="Verdana" w:cs="Arial"/>
          <w:bCs/>
          <w:lang w:val="es-MX"/>
        </w:rPr>
        <w:t xml:space="preserve"> y 40 de </w:t>
      </w:r>
      <w:r w:rsidRPr="00DB06FE">
        <w:rPr>
          <w:rFonts w:ascii="Verdana" w:eastAsia="Calibri" w:hAnsi="Verdana" w:cs="Arial"/>
          <w:color w:val="000000"/>
          <w:lang w:val="es-ES_tradnl"/>
        </w:rPr>
        <w:t xml:space="preserve">Ley 80 de 1993 </w:t>
      </w:r>
      <w:r w:rsidRPr="00DB06FE">
        <w:rPr>
          <w:rFonts w:ascii="Verdana" w:hAnsi="Verdana" w:cs="Arial"/>
          <w:noProof/>
          <w:lang w:val="es-ES_tradnl"/>
        </w:rPr>
        <w:t xml:space="preserve">Disponible en: </w:t>
      </w:r>
      <w:hyperlink r:id="rId9" w:history="1">
        <w:r w:rsidRPr="00DB06FE">
          <w:rPr>
            <w:rStyle w:val="Hipervnculo"/>
            <w:rFonts w:ascii="Verdana" w:hAnsi="Verdana" w:cs="Arial"/>
            <w:noProof/>
            <w:lang w:val="es-ES_tradnl"/>
          </w:rPr>
          <w:t>https://relatoria.colombiacompra.gov.co/normativa/ley-1882-de-2018/</w:t>
        </w:r>
      </w:hyperlink>
      <w:r w:rsidRPr="00DB06FE">
        <w:rPr>
          <w:rFonts w:ascii="Verdana" w:hAnsi="Verdana" w:cs="Arial"/>
          <w:noProof/>
          <w:lang w:val="es-ES_tradnl"/>
        </w:rPr>
        <w:t xml:space="preserve"> </w:t>
      </w:r>
    </w:p>
    <w:p w:rsidR="007622A1" w:rsidRPr="007247DF" w:rsidRDefault="007622A1" w:rsidP="007622A1">
      <w:pPr>
        <w:pStyle w:val="Prrafodelista"/>
        <w:numPr>
          <w:ilvl w:val="0"/>
          <w:numId w:val="2"/>
        </w:numPr>
        <w:spacing w:after="120" w:line="276" w:lineRule="auto"/>
        <w:ind w:right="709"/>
        <w:jc w:val="both"/>
        <w:rPr>
          <w:rFonts w:ascii="Verdana" w:hAnsi="Verdana" w:cs="Arial"/>
          <w:noProof/>
          <w:lang w:val="es-ES_tradnl"/>
        </w:rPr>
      </w:pPr>
      <w:r w:rsidRPr="00DB06FE">
        <w:rPr>
          <w:rFonts w:ascii="Verdana" w:hAnsi="Verdana" w:cs="Arial"/>
        </w:rPr>
        <w:t xml:space="preserve">Jurisprudencia del Consejo de Estado. </w:t>
      </w:r>
    </w:p>
    <w:p w:rsidR="007622A1" w:rsidRPr="007247DF" w:rsidRDefault="007622A1" w:rsidP="007622A1">
      <w:pPr>
        <w:pStyle w:val="Prrafodelista"/>
        <w:numPr>
          <w:ilvl w:val="0"/>
          <w:numId w:val="3"/>
        </w:numPr>
        <w:spacing w:after="120" w:line="276" w:lineRule="auto"/>
        <w:ind w:right="709"/>
        <w:jc w:val="both"/>
        <w:rPr>
          <w:rFonts w:ascii="Verdana" w:hAnsi="Verdana" w:cs="Arial"/>
          <w:noProof/>
          <w:lang w:val="es-ES_tradnl"/>
        </w:rPr>
      </w:pPr>
      <w:r w:rsidRPr="007247DF">
        <w:rPr>
          <w:rFonts w:ascii="Verdana" w:hAnsi="Verdana" w:cs="Arial"/>
          <w:noProof/>
          <w:lang w:val="es-ES_tradnl"/>
        </w:rPr>
        <w:t>Consejo de Estado. Sección Tercera. Subsección B. Sentencia del 14 de octubre de 2011. Exp. 20811, C.P. Ruth Stella Correa Palacio.</w:t>
      </w:r>
    </w:p>
    <w:p w:rsidR="007622A1" w:rsidRDefault="007622A1" w:rsidP="007622A1">
      <w:pPr>
        <w:pStyle w:val="Prrafodelista"/>
        <w:numPr>
          <w:ilvl w:val="0"/>
          <w:numId w:val="3"/>
        </w:numPr>
        <w:spacing w:after="120" w:line="276" w:lineRule="auto"/>
        <w:ind w:right="709"/>
        <w:jc w:val="both"/>
        <w:rPr>
          <w:rFonts w:ascii="Verdana" w:hAnsi="Verdana" w:cs="Arial"/>
          <w:noProof/>
          <w:lang w:val="es-ES_tradnl"/>
        </w:rPr>
      </w:pPr>
      <w:r w:rsidRPr="007247DF">
        <w:rPr>
          <w:rFonts w:ascii="Verdana" w:hAnsi="Verdana" w:cs="Arial"/>
          <w:noProof/>
          <w:lang w:val="es-ES_tradnl"/>
        </w:rPr>
        <w:t xml:space="preserve">Consejo de Estado. Sala de Consulta y Servicio Civil. Concepto del 5 de septiembre de 2018, radicado No. 11001-03-06-000-2018-00124-00 C.P. Édgar González </w:t>
      </w:r>
    </w:p>
    <w:p w:rsidR="007622A1" w:rsidRPr="007247DF" w:rsidRDefault="007622A1" w:rsidP="007622A1">
      <w:pPr>
        <w:pStyle w:val="Prrafodelista"/>
        <w:numPr>
          <w:ilvl w:val="0"/>
          <w:numId w:val="3"/>
        </w:numPr>
        <w:spacing w:after="120" w:line="276" w:lineRule="auto"/>
        <w:ind w:right="709"/>
        <w:jc w:val="both"/>
        <w:rPr>
          <w:rFonts w:ascii="Verdana" w:hAnsi="Verdana" w:cs="Arial"/>
          <w:noProof/>
          <w:lang w:val="es-ES_tradnl"/>
        </w:rPr>
      </w:pPr>
      <w:r w:rsidRPr="007247DF">
        <w:rPr>
          <w:rFonts w:ascii="Verdana" w:hAnsi="Verdana" w:cs="Arial"/>
          <w:noProof/>
          <w:lang w:val="es-ES_tradnl"/>
        </w:rPr>
        <w:t>Consejo de Estado. Sección Tercera. Subsección A</w:t>
      </w:r>
      <w:r w:rsidRPr="007247DF">
        <w:rPr>
          <w:rFonts w:ascii="Verdana" w:hAnsi="Verdana" w:cs="Arial"/>
        </w:rPr>
        <w:t xml:space="preserve"> sentencia de 19 de julio de 2018, M.P. Marta Nubia Velázquez Rico, Rad. 2013-01826(57.576) </w:t>
      </w:r>
      <w:r w:rsidRPr="007247DF">
        <w:rPr>
          <w:rFonts w:ascii="Verdana" w:hAnsi="Verdana" w:cs="Arial"/>
          <w:noProof/>
          <w:lang w:val="es-ES_tradnl"/>
        </w:rPr>
        <w:t xml:space="preserve">López. </w:t>
      </w:r>
      <w:r w:rsidRPr="007247DF">
        <w:rPr>
          <w:rFonts w:ascii="Verdana" w:hAnsi="Verdana" w:cs="Arial"/>
          <w:lang w:val="es-ES_tradnl"/>
        </w:rPr>
        <w:t xml:space="preserve">Disponible </w:t>
      </w:r>
      <w:r w:rsidRPr="007247DF">
        <w:rPr>
          <w:rFonts w:ascii="Verdana" w:hAnsi="Verdana" w:cs="Arial"/>
        </w:rPr>
        <w:t xml:space="preserve">en: </w:t>
      </w:r>
      <w:r w:rsidRPr="007247DF">
        <w:rPr>
          <w:rFonts w:ascii="Verdana" w:hAnsi="Verdana" w:cs="Arial"/>
          <w:noProof/>
          <w:lang w:val="es-ES_tradnl"/>
        </w:rPr>
        <w:t xml:space="preserve"> </w:t>
      </w:r>
      <w:hyperlink r:id="rId10" w:history="1">
        <w:r w:rsidRPr="007247DF">
          <w:rPr>
            <w:rStyle w:val="Hipervnculo"/>
            <w:rFonts w:ascii="Verdana" w:hAnsi="Verdana" w:cs="Arial"/>
            <w:noProof/>
            <w:lang w:val="es-ES_tradnl"/>
          </w:rPr>
          <w:t>https://relatoria.colombiacompra.gov.co/providencias-consejo-de-estado/</w:t>
        </w:r>
      </w:hyperlink>
      <w:r w:rsidRPr="007247DF">
        <w:rPr>
          <w:rFonts w:ascii="Verdana" w:hAnsi="Verdana" w:cs="Arial"/>
          <w:noProof/>
          <w:lang w:val="es-ES_tradnl"/>
        </w:rPr>
        <w:t xml:space="preserve"> </w:t>
      </w:r>
    </w:p>
    <w:p w:rsidR="007622A1" w:rsidRPr="00DB06FE" w:rsidRDefault="007622A1" w:rsidP="007622A1">
      <w:pPr>
        <w:spacing w:after="120" w:line="276" w:lineRule="auto"/>
        <w:jc w:val="both"/>
        <w:rPr>
          <w:rFonts w:ascii="Verdana" w:eastAsia="Times New Roman" w:hAnsi="Verdana" w:cs="Arial"/>
          <w:i/>
          <w:lang w:val="es-ES_tradnl" w:eastAsia="es-ES"/>
        </w:rPr>
      </w:pPr>
    </w:p>
    <w:p w:rsidR="007622A1" w:rsidRPr="00DB06FE" w:rsidRDefault="007622A1" w:rsidP="007622A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B06FE">
        <w:rPr>
          <w:rFonts w:ascii="Verdana" w:eastAsia="Century Gothic" w:hAnsi="Verdana" w:cs="Century Gothic"/>
          <w:b/>
          <w:bCs/>
        </w:rPr>
        <w:t>Doctrina de la Agencia Nacional de Contratación Pública:</w:t>
      </w:r>
    </w:p>
    <w:p w:rsidR="007622A1" w:rsidRPr="00DB06FE" w:rsidRDefault="007622A1" w:rsidP="007622A1">
      <w:pPr>
        <w:spacing w:after="120" w:line="276" w:lineRule="auto"/>
        <w:jc w:val="both"/>
        <w:rPr>
          <w:rFonts w:ascii="Verdana" w:hAnsi="Verdana" w:cs="Arial"/>
          <w:color w:val="000000" w:themeColor="text1"/>
          <w:lang w:val="es-ES"/>
        </w:rPr>
      </w:pPr>
    </w:p>
    <w:p w:rsidR="007622A1" w:rsidRPr="00DB06FE" w:rsidRDefault="007622A1" w:rsidP="007622A1">
      <w:pPr>
        <w:pStyle w:val="Textonotapie"/>
        <w:jc w:val="both"/>
        <w:rPr>
          <w:rFonts w:ascii="Verdana" w:hAnsi="Verdana" w:cs="Arial"/>
          <w:sz w:val="22"/>
          <w:szCs w:val="22"/>
          <w:shd w:val="clear" w:color="auto" w:fill="E6E6E6"/>
        </w:rPr>
      </w:pPr>
      <w:r w:rsidRPr="00DB06FE">
        <w:rPr>
          <w:rFonts w:ascii="Verdana" w:eastAsia="Calibri" w:hAnsi="Verdana" w:cs="Arial"/>
          <w:sz w:val="22"/>
          <w:szCs w:val="22"/>
          <w:lang w:val="es-ES" w:eastAsia="es-ES"/>
        </w:rPr>
        <w:t xml:space="preserve">Sobre </w:t>
      </w:r>
      <w:r w:rsidRPr="00DB06FE">
        <w:rPr>
          <w:rFonts w:ascii="Verdana" w:eastAsia="Calibri" w:hAnsi="Verdana" w:cs="Arial"/>
          <w:color w:val="000000" w:themeColor="text1"/>
          <w:sz w:val="22"/>
          <w:szCs w:val="22"/>
          <w:lang w:val="es-ES"/>
        </w:rPr>
        <w:t>el régimen del precio en la contratación estatal y los contratos por bolsa o a monto agotable</w:t>
      </w:r>
      <w:r w:rsidRPr="00DB06FE">
        <w:rPr>
          <w:rFonts w:ascii="Verdana" w:eastAsia="Calibri" w:hAnsi="Verdana" w:cs="Arial"/>
          <w:color w:val="000000"/>
          <w:sz w:val="22"/>
          <w:szCs w:val="22"/>
          <w:lang w:val="es-ES_tradnl"/>
        </w:rPr>
        <w:t xml:space="preserve">, </w:t>
      </w:r>
      <w:r w:rsidRPr="00DB06FE">
        <w:rPr>
          <w:rStyle w:val="normaltextrun"/>
          <w:rFonts w:ascii="Verdana" w:hAnsi="Verdana" w:cs="Arial"/>
          <w:sz w:val="22"/>
          <w:szCs w:val="22"/>
          <w:shd w:val="clear" w:color="auto" w:fill="FFFFFF"/>
          <w:lang w:val="es-ES"/>
        </w:rPr>
        <w:t xml:space="preserve">se pronunció esta Subdirección </w:t>
      </w:r>
      <w:r w:rsidRPr="00DB06FE">
        <w:rPr>
          <w:rFonts w:ascii="Verdana" w:eastAsia="Calibri" w:hAnsi="Verdana" w:cs="Arial"/>
          <w:sz w:val="22"/>
          <w:szCs w:val="22"/>
          <w:lang w:val="es-ES"/>
        </w:rPr>
        <w:t xml:space="preserve">en los conceptos </w:t>
      </w:r>
      <w:r w:rsidRPr="00DB06FE">
        <w:rPr>
          <w:rFonts w:ascii="Verdana" w:eastAsia="Calibri" w:hAnsi="Verdana" w:cs="Arial"/>
          <w:color w:val="000000" w:themeColor="text1"/>
          <w:sz w:val="22"/>
          <w:szCs w:val="22"/>
        </w:rPr>
        <w:t xml:space="preserve">4201912000007092 del 29 de noviembre de 2019, 2201913000008566 del 18 de noviembre de 2019, 4201913000007822 de 27 de diciembre de 2019, C-037 del 28 de enero de 2020, C-191 del 16 de marzo de 2020 y C-211 del 8 de abril de 2020, C-469 del 27 de </w:t>
      </w:r>
      <w:r w:rsidRPr="00DB06FE">
        <w:rPr>
          <w:rFonts w:ascii="Verdana" w:eastAsia="Calibri" w:hAnsi="Verdana" w:cs="Arial"/>
          <w:color w:val="000000" w:themeColor="text1"/>
          <w:sz w:val="22"/>
          <w:szCs w:val="22"/>
        </w:rPr>
        <w:lastRenderedPageBreak/>
        <w:t>septiembre de 2020, C-480 del 16 de septiembre de 2020, C-059 del 10 de marzo de 2021, C-613 del 6 de octubre de 2022, C-716 del 15 de noviembre de 2022</w:t>
      </w:r>
      <w:r w:rsidRPr="00DB06FE">
        <w:rPr>
          <w:rFonts w:ascii="Verdana" w:eastAsia="Calibri" w:hAnsi="Verdana" w:cs="Arial"/>
          <w:color w:val="000000" w:themeColor="text1"/>
          <w:sz w:val="22"/>
          <w:szCs w:val="22"/>
          <w:lang w:val="es-ES"/>
        </w:rPr>
        <w:t xml:space="preserve">, C-017 del 22 de febrero de 2022 y C-104 del 27 de abril de 2023, </w:t>
      </w:r>
      <w:r w:rsidRPr="00DB06FE">
        <w:rPr>
          <w:rStyle w:val="normaltextrun"/>
          <w:rFonts w:ascii="Verdana" w:hAnsi="Verdana" w:cs="Arial"/>
          <w:sz w:val="22"/>
          <w:szCs w:val="22"/>
          <w:shd w:val="clear" w:color="auto" w:fill="FFFFFF"/>
          <w:lang w:val="es-ES"/>
        </w:rPr>
        <w:t>Es</w:t>
      </w:r>
      <w:r w:rsidRPr="00DB06FE">
        <w:rPr>
          <w:rFonts w:ascii="Verdana" w:hAnsi="Verdana"/>
          <w:sz w:val="22"/>
          <w:szCs w:val="22"/>
        </w:rPr>
        <w:t xml:space="preserve">tos y otros conceptos se encuentran disponibles para consulta en el Sistema de relatoría de la Agencia, al cual se puede acceder a través del siguiente enlace: </w:t>
      </w:r>
      <w:r>
        <w:fldChar w:fldCharType="begin"/>
      </w:r>
      <w:r>
        <w:instrText>HYPERLINK "https://relatoria.colombiacompra.gov.co/busqueda/conceptos"</w:instrText>
      </w:r>
      <w:r>
        <w:fldChar w:fldCharType="separate"/>
      </w:r>
      <w:r w:rsidRPr="00DB06FE">
        <w:rPr>
          <w:rStyle w:val="Hipervnculo"/>
          <w:rFonts w:ascii="Verdana" w:hAnsi="Verdana" w:cs="Arial"/>
        </w:rPr>
        <w:t>https://relatoria.colombiacompra.gov.co/busqueda/conceptos</w:t>
      </w:r>
      <w:r>
        <w:rPr>
          <w:rStyle w:val="Hipervnculo"/>
          <w:rFonts w:ascii="Verdana" w:hAnsi="Verdana" w:cs="Arial"/>
          <w:sz w:val="22"/>
          <w:szCs w:val="22"/>
        </w:rPr>
        <w:fldChar w:fldCharType="end"/>
      </w:r>
      <w:r w:rsidRPr="00DB06FE">
        <w:rPr>
          <w:rStyle w:val="Hipervnculo"/>
          <w:rFonts w:ascii="Verdana" w:hAnsi="Verdana" w:cs="Arial"/>
        </w:rPr>
        <w:t xml:space="preserve">. </w:t>
      </w:r>
      <w:r w:rsidRPr="00DB06FE">
        <w:rPr>
          <w:rFonts w:ascii="Verdana" w:hAnsi="Verdana" w:cs="Arial"/>
          <w:sz w:val="22"/>
          <w:szCs w:val="22"/>
          <w:shd w:val="clear" w:color="auto" w:fill="E6E6E6"/>
        </w:rPr>
        <w:t xml:space="preserve"> </w:t>
      </w:r>
    </w:p>
    <w:p w:rsidR="007622A1" w:rsidRPr="00DB06FE" w:rsidRDefault="007622A1" w:rsidP="007622A1">
      <w:pPr>
        <w:spacing w:after="120" w:line="276" w:lineRule="auto"/>
        <w:jc w:val="both"/>
        <w:rPr>
          <w:rFonts w:ascii="Verdana" w:hAnsi="Verdana" w:cs="Arial"/>
          <w:lang w:val="es-ES"/>
        </w:rPr>
      </w:pPr>
    </w:p>
    <w:p w:rsidR="007622A1" w:rsidRPr="00DB06FE" w:rsidRDefault="007622A1" w:rsidP="007622A1">
      <w:pPr>
        <w:spacing w:after="0" w:line="240" w:lineRule="auto"/>
        <w:jc w:val="both"/>
        <w:rPr>
          <w:rFonts w:ascii="Verdana" w:hAnsi="Verdana"/>
        </w:rPr>
      </w:pPr>
      <w:r w:rsidRPr="00DB06FE">
        <w:rPr>
          <w:rFonts w:ascii="Verdana" w:hAnsi="Verdana"/>
        </w:rPr>
        <w:t xml:space="preserve">Por último, lo invitamos a seguirnos en las redes sociales en las cuales se difunde información institucional: </w:t>
      </w:r>
    </w:p>
    <w:p w:rsidR="007622A1" w:rsidRPr="00DB06FE" w:rsidRDefault="007622A1" w:rsidP="007622A1">
      <w:pPr>
        <w:spacing w:after="0" w:line="240" w:lineRule="auto"/>
        <w:jc w:val="both"/>
        <w:rPr>
          <w:rFonts w:ascii="Verdana" w:hAnsi="Verdana"/>
        </w:rPr>
      </w:pPr>
    </w:p>
    <w:p w:rsidR="007622A1" w:rsidRPr="00DB06FE" w:rsidRDefault="007622A1" w:rsidP="007622A1">
      <w:pPr>
        <w:spacing w:after="0" w:line="240" w:lineRule="auto"/>
        <w:jc w:val="both"/>
        <w:rPr>
          <w:rFonts w:ascii="Verdana" w:hAnsi="Verdana"/>
        </w:rPr>
      </w:pPr>
      <w:r w:rsidRPr="00DB06FE">
        <w:rPr>
          <w:rFonts w:ascii="Verdana" w:hAnsi="Verdana"/>
        </w:rPr>
        <w:t xml:space="preserve">Twitter: </w:t>
      </w:r>
      <w:r w:rsidRPr="00DB06FE">
        <w:rPr>
          <w:rStyle w:val="Hipervnculo"/>
          <w:rFonts w:ascii="Verdana" w:hAnsi="Verdana"/>
          <w:color w:val="4472C4" w:themeColor="accent1"/>
        </w:rPr>
        <w:t>@colombiacompra</w:t>
      </w:r>
      <w:r w:rsidRPr="00DB06FE">
        <w:rPr>
          <w:rFonts w:ascii="Verdana" w:hAnsi="Verdana"/>
          <w:color w:val="4472C4" w:themeColor="accent1"/>
        </w:rPr>
        <w:t xml:space="preserve"> </w:t>
      </w:r>
    </w:p>
    <w:p w:rsidR="007622A1" w:rsidRPr="00DB06FE" w:rsidRDefault="007622A1" w:rsidP="007622A1">
      <w:pPr>
        <w:spacing w:after="0" w:line="240" w:lineRule="auto"/>
        <w:jc w:val="both"/>
        <w:rPr>
          <w:rFonts w:ascii="Verdana" w:hAnsi="Verdana"/>
        </w:rPr>
      </w:pPr>
      <w:r w:rsidRPr="00DB06FE">
        <w:rPr>
          <w:rFonts w:ascii="Verdana" w:hAnsi="Verdana"/>
        </w:rPr>
        <w:t xml:space="preserve">Facebook: </w:t>
      </w:r>
      <w:proofErr w:type="spellStart"/>
      <w:r w:rsidRPr="00DB06FE">
        <w:rPr>
          <w:rStyle w:val="Hipervnculo"/>
          <w:rFonts w:ascii="Verdana" w:hAnsi="Verdana"/>
          <w:color w:val="4472C4" w:themeColor="accent1"/>
        </w:rPr>
        <w:t>ColombiaCompraEficiente</w:t>
      </w:r>
      <w:proofErr w:type="spellEnd"/>
    </w:p>
    <w:p w:rsidR="007622A1" w:rsidRPr="00DB06FE" w:rsidRDefault="007622A1" w:rsidP="007622A1">
      <w:pPr>
        <w:spacing w:after="0" w:line="240" w:lineRule="auto"/>
        <w:jc w:val="both"/>
        <w:rPr>
          <w:rFonts w:ascii="Verdana" w:hAnsi="Verdana"/>
        </w:rPr>
      </w:pPr>
      <w:r w:rsidRPr="00DB06FE">
        <w:rPr>
          <w:rFonts w:ascii="Verdana" w:hAnsi="Verdana"/>
        </w:rPr>
        <w:t xml:space="preserve">LinkedIn: </w:t>
      </w:r>
      <w:r w:rsidRPr="00DB06FE">
        <w:rPr>
          <w:rStyle w:val="Hipervnculo"/>
          <w:rFonts w:ascii="Verdana" w:hAnsi="Verdana"/>
          <w:color w:val="4472C4" w:themeColor="accent1"/>
        </w:rPr>
        <w:t>Agencia Nacional de Contratación Pública - Colombia Compra Eficiente</w:t>
      </w:r>
      <w:r w:rsidRPr="00DB06FE">
        <w:rPr>
          <w:rFonts w:ascii="Verdana" w:hAnsi="Verdana"/>
          <w:color w:val="4472C4" w:themeColor="accent1"/>
        </w:rPr>
        <w:t xml:space="preserve"> </w:t>
      </w:r>
      <w:r w:rsidRPr="00DB06FE">
        <w:rPr>
          <w:rFonts w:ascii="Verdana" w:hAnsi="Verdana"/>
        </w:rPr>
        <w:t xml:space="preserve">Instagram: </w:t>
      </w:r>
      <w:r w:rsidRPr="00DB06FE">
        <w:rPr>
          <w:rStyle w:val="Hipervnculo"/>
          <w:rFonts w:ascii="Verdana" w:hAnsi="Verdana"/>
          <w:color w:val="4472C4" w:themeColor="accent1"/>
        </w:rPr>
        <w:t>@colombiacompraeficiente_cce</w:t>
      </w:r>
    </w:p>
    <w:p w:rsidR="007622A1" w:rsidRPr="00DB06FE" w:rsidRDefault="007622A1" w:rsidP="007622A1">
      <w:pPr>
        <w:spacing w:after="120" w:line="276" w:lineRule="auto"/>
        <w:jc w:val="both"/>
        <w:rPr>
          <w:rFonts w:ascii="Verdana" w:hAnsi="Verdana" w:cs="Arial"/>
          <w:lang w:val="es-ES"/>
        </w:rPr>
      </w:pPr>
    </w:p>
    <w:p w:rsidR="007622A1" w:rsidRPr="00DB06FE" w:rsidRDefault="007622A1" w:rsidP="007622A1">
      <w:pPr>
        <w:spacing w:after="120" w:line="276" w:lineRule="auto"/>
        <w:jc w:val="both"/>
        <w:rPr>
          <w:rFonts w:ascii="Verdana" w:hAnsi="Verdana" w:cs="Arial"/>
          <w:color w:val="000000" w:themeColor="text1"/>
          <w:lang w:val="es-ES_tradnl"/>
        </w:rPr>
      </w:pPr>
      <w:r w:rsidRPr="00DB06FE">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007622A1" w:rsidRPr="00DB06FE" w:rsidRDefault="007622A1" w:rsidP="007622A1">
      <w:pPr>
        <w:spacing w:after="120" w:line="276" w:lineRule="auto"/>
        <w:jc w:val="both"/>
        <w:rPr>
          <w:rFonts w:ascii="Verdana" w:eastAsia="Times New Roman" w:hAnsi="Verdana" w:cs="Arial"/>
          <w:i/>
          <w:lang w:val="es-ES" w:eastAsia="es-ES"/>
        </w:rPr>
      </w:pPr>
    </w:p>
    <w:p w:rsidR="007622A1" w:rsidRPr="00DB06FE" w:rsidRDefault="007622A1" w:rsidP="007622A1">
      <w:pPr>
        <w:spacing w:after="0" w:line="240" w:lineRule="auto"/>
        <w:rPr>
          <w:rFonts w:ascii="Verdana" w:eastAsia="Times New Roman" w:hAnsi="Verdana" w:cs="Arial"/>
          <w:lang w:eastAsia="es-CO"/>
        </w:rPr>
      </w:pPr>
      <w:r w:rsidRPr="00DB06FE">
        <w:rPr>
          <w:rFonts w:ascii="Verdana" w:eastAsia="Times New Roman" w:hAnsi="Verdana" w:cs="Arial"/>
          <w:lang w:eastAsia="es-CO"/>
        </w:rPr>
        <w:t>Atentamente,</w:t>
      </w:r>
    </w:p>
    <w:p w:rsidR="007622A1" w:rsidRPr="00DB06FE" w:rsidRDefault="007622A1" w:rsidP="007622A1">
      <w:pPr>
        <w:spacing w:after="0" w:line="276" w:lineRule="auto"/>
        <w:jc w:val="center"/>
        <w:rPr>
          <w:rFonts w:ascii="Verdana" w:eastAsia="Times New Roman" w:hAnsi="Verdana" w:cs="Arial"/>
          <w:color w:val="000000"/>
          <w:lang w:val="es-ES_tradnl" w:eastAsia="es-CO"/>
        </w:rPr>
      </w:pPr>
    </w:p>
    <w:p w:rsidR="007622A1" w:rsidRPr="00DB06FE" w:rsidRDefault="00D904A7" w:rsidP="007622A1">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1650582C" wp14:editId="23534C8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p w:rsidR="007622A1" w:rsidRPr="00DB06FE" w:rsidRDefault="007622A1" w:rsidP="007622A1">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622A1" w:rsidRPr="00DB06FE" w:rsidTr="00F567E8">
        <w:trPr>
          <w:trHeight w:val="409"/>
        </w:trPr>
        <w:tc>
          <w:tcPr>
            <w:tcW w:w="817" w:type="dxa"/>
            <w:tcBorders>
              <w:top w:val="nil"/>
              <w:left w:val="nil"/>
              <w:bottom w:val="nil"/>
              <w:right w:val="nil"/>
            </w:tcBorders>
            <w:vAlign w:val="center"/>
            <w:hideMark/>
          </w:tcPr>
          <w:p w:rsidR="007622A1" w:rsidRPr="00DB06FE" w:rsidRDefault="007622A1" w:rsidP="00F567E8">
            <w:pPr>
              <w:spacing w:after="0" w:line="240" w:lineRule="auto"/>
              <w:jc w:val="both"/>
              <w:rPr>
                <w:rFonts w:ascii="Verdana" w:hAnsi="Verdana" w:cs="Arial"/>
                <w:sz w:val="16"/>
                <w:szCs w:val="16"/>
              </w:rPr>
            </w:pPr>
            <w:r w:rsidRPr="00DB06F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rsidR="007622A1" w:rsidRPr="00DB06FE" w:rsidRDefault="007622A1" w:rsidP="00F567E8">
            <w:pPr>
              <w:spacing w:after="0" w:line="240" w:lineRule="auto"/>
              <w:jc w:val="both"/>
              <w:rPr>
                <w:rFonts w:ascii="Verdana" w:hAnsi="Verdana" w:cs="Arial"/>
                <w:sz w:val="16"/>
                <w:szCs w:val="16"/>
              </w:rPr>
            </w:pPr>
            <w:proofErr w:type="spellStart"/>
            <w:r w:rsidRPr="00DB06FE">
              <w:rPr>
                <w:rFonts w:ascii="Verdana" w:hAnsi="Verdana" w:cs="Arial"/>
                <w:sz w:val="16"/>
                <w:szCs w:val="16"/>
              </w:rPr>
              <w:t>Jhonattan</w:t>
            </w:r>
            <w:proofErr w:type="spellEnd"/>
            <w:r w:rsidRPr="00DB06FE">
              <w:rPr>
                <w:rFonts w:ascii="Verdana" w:hAnsi="Verdana" w:cs="Arial"/>
                <w:sz w:val="16"/>
                <w:szCs w:val="16"/>
              </w:rPr>
              <w:t xml:space="preserve"> </w:t>
            </w:r>
            <w:proofErr w:type="spellStart"/>
            <w:r w:rsidRPr="00DB06FE">
              <w:rPr>
                <w:rFonts w:ascii="Verdana" w:hAnsi="Verdana" w:cs="Arial"/>
                <w:sz w:val="16"/>
                <w:szCs w:val="16"/>
              </w:rPr>
              <w:t>Gualdrón</w:t>
            </w:r>
            <w:proofErr w:type="spellEnd"/>
            <w:r w:rsidRPr="00DB06FE">
              <w:rPr>
                <w:rFonts w:ascii="Verdana" w:hAnsi="Verdana" w:cs="Arial"/>
                <w:sz w:val="16"/>
                <w:szCs w:val="16"/>
              </w:rPr>
              <w:t xml:space="preserve"> Salazar</w:t>
            </w:r>
          </w:p>
          <w:p w:rsidR="007622A1" w:rsidRPr="00DB06FE" w:rsidRDefault="007622A1" w:rsidP="00F567E8">
            <w:pPr>
              <w:spacing w:after="0" w:line="240" w:lineRule="auto"/>
              <w:jc w:val="both"/>
              <w:rPr>
                <w:rFonts w:ascii="Verdana" w:hAnsi="Verdana" w:cs="Arial"/>
                <w:sz w:val="16"/>
                <w:szCs w:val="16"/>
              </w:rPr>
            </w:pPr>
            <w:r w:rsidRPr="00DB06FE">
              <w:rPr>
                <w:rFonts w:ascii="Verdana" w:hAnsi="Verdana" w:cs="Arial"/>
                <w:sz w:val="16"/>
                <w:szCs w:val="16"/>
              </w:rPr>
              <w:t>Contratista de la Subdirección de Gestión Contractual</w:t>
            </w:r>
          </w:p>
        </w:tc>
      </w:tr>
      <w:tr w:rsidR="007622A1" w:rsidRPr="00DB06FE" w:rsidTr="00F567E8">
        <w:trPr>
          <w:trHeight w:val="409"/>
        </w:trPr>
        <w:tc>
          <w:tcPr>
            <w:tcW w:w="817" w:type="dxa"/>
            <w:tcBorders>
              <w:top w:val="nil"/>
              <w:left w:val="nil"/>
              <w:right w:val="nil"/>
            </w:tcBorders>
            <w:vAlign w:val="center"/>
          </w:tcPr>
          <w:p w:rsidR="007622A1" w:rsidRPr="00DB06FE" w:rsidRDefault="007622A1" w:rsidP="00F567E8">
            <w:pPr>
              <w:spacing w:after="0"/>
              <w:jc w:val="both"/>
              <w:rPr>
                <w:rFonts w:ascii="Verdana" w:hAnsi="Verdana" w:cs="Arial"/>
                <w:sz w:val="16"/>
                <w:szCs w:val="16"/>
              </w:rPr>
            </w:pPr>
            <w:r w:rsidRPr="00DB06FE">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rsidR="007622A1" w:rsidRPr="00DB06FE" w:rsidRDefault="007622A1" w:rsidP="00F567E8">
            <w:pPr>
              <w:spacing w:after="0"/>
              <w:rPr>
                <w:rFonts w:ascii="Verdana" w:eastAsia="Arial" w:hAnsi="Verdana" w:cs="Arial"/>
                <w:color w:val="000000" w:themeColor="text1"/>
                <w:sz w:val="16"/>
                <w:szCs w:val="16"/>
              </w:rPr>
            </w:pPr>
            <w:r w:rsidRPr="00DB06FE">
              <w:rPr>
                <w:rStyle w:val="normaltextrun"/>
                <w:rFonts w:ascii="Verdana" w:eastAsia="Arial" w:hAnsi="Verdana" w:cs="Arial"/>
                <w:color w:val="000000" w:themeColor="text1"/>
                <w:sz w:val="16"/>
                <w:szCs w:val="16"/>
              </w:rPr>
              <w:t xml:space="preserve">Juan David </w:t>
            </w:r>
            <w:proofErr w:type="spellStart"/>
            <w:r w:rsidRPr="00DB06FE">
              <w:rPr>
                <w:rStyle w:val="normaltextrun"/>
                <w:rFonts w:ascii="Verdana" w:eastAsia="Arial" w:hAnsi="Verdana" w:cs="Arial"/>
                <w:color w:val="000000" w:themeColor="text1"/>
                <w:sz w:val="16"/>
                <w:szCs w:val="16"/>
              </w:rPr>
              <w:t>Cardenas</w:t>
            </w:r>
            <w:proofErr w:type="spellEnd"/>
          </w:p>
          <w:p w:rsidR="007622A1" w:rsidRPr="00DB06FE" w:rsidRDefault="007622A1" w:rsidP="00F567E8">
            <w:pPr>
              <w:spacing w:after="0" w:line="240" w:lineRule="auto"/>
              <w:jc w:val="both"/>
              <w:rPr>
                <w:rFonts w:ascii="Verdana" w:hAnsi="Verdana" w:cs="Arial"/>
                <w:sz w:val="16"/>
                <w:szCs w:val="16"/>
              </w:rPr>
            </w:pPr>
            <w:r w:rsidRPr="00DB06FE">
              <w:rPr>
                <w:rStyle w:val="normaltextrun"/>
                <w:rFonts w:ascii="Verdana" w:eastAsia="Arial" w:hAnsi="Verdana" w:cs="Arial"/>
                <w:color w:val="000000" w:themeColor="text1"/>
                <w:sz w:val="16"/>
                <w:szCs w:val="16"/>
              </w:rPr>
              <w:t>Contratista de la Subdirección de Gestión Contractual </w:t>
            </w:r>
          </w:p>
        </w:tc>
      </w:tr>
      <w:tr w:rsidR="007622A1" w:rsidRPr="00DB06FE" w:rsidTr="00F567E8">
        <w:trPr>
          <w:trHeight w:val="389"/>
        </w:trPr>
        <w:tc>
          <w:tcPr>
            <w:tcW w:w="817" w:type="dxa"/>
            <w:tcBorders>
              <w:top w:val="nil"/>
              <w:left w:val="nil"/>
              <w:bottom w:val="nil"/>
              <w:right w:val="nil"/>
            </w:tcBorders>
            <w:vAlign w:val="center"/>
            <w:hideMark/>
          </w:tcPr>
          <w:p w:rsidR="007622A1" w:rsidRPr="00DB06FE" w:rsidRDefault="007622A1" w:rsidP="00F567E8">
            <w:pPr>
              <w:spacing w:after="0" w:line="240" w:lineRule="auto"/>
              <w:jc w:val="both"/>
              <w:rPr>
                <w:rFonts w:ascii="Verdana" w:hAnsi="Verdana" w:cs="Arial"/>
                <w:sz w:val="16"/>
                <w:szCs w:val="16"/>
              </w:rPr>
            </w:pPr>
            <w:r w:rsidRPr="00DB06F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rsidR="007622A1" w:rsidRPr="00DB06FE" w:rsidRDefault="007622A1" w:rsidP="00F567E8">
            <w:pPr>
              <w:spacing w:after="0"/>
              <w:rPr>
                <w:rFonts w:ascii="Verdana" w:eastAsia="Calibri" w:hAnsi="Verdana" w:cs="Arial"/>
                <w:sz w:val="16"/>
                <w:szCs w:val="16"/>
                <w:lang w:val="pt-BR" w:eastAsia="es-ES"/>
              </w:rPr>
            </w:pPr>
            <w:r w:rsidRPr="00DB06FE">
              <w:rPr>
                <w:rFonts w:ascii="Verdana" w:eastAsia="Calibri" w:hAnsi="Verdana" w:cs="Arial"/>
                <w:sz w:val="16"/>
                <w:szCs w:val="16"/>
                <w:lang w:val="pt-BR" w:eastAsia="es-ES"/>
              </w:rPr>
              <w:t xml:space="preserve">Carolina Quintero </w:t>
            </w:r>
            <w:proofErr w:type="spellStart"/>
            <w:r w:rsidRPr="00DB06FE">
              <w:rPr>
                <w:rFonts w:ascii="Verdana" w:eastAsia="Calibri" w:hAnsi="Verdana" w:cs="Arial"/>
                <w:sz w:val="16"/>
                <w:szCs w:val="16"/>
                <w:lang w:val="pt-BR" w:eastAsia="es-ES"/>
              </w:rPr>
              <w:t>Gacharná</w:t>
            </w:r>
            <w:proofErr w:type="spellEnd"/>
          </w:p>
          <w:p w:rsidR="007622A1" w:rsidRPr="00DB06FE" w:rsidRDefault="007622A1" w:rsidP="00F567E8">
            <w:pPr>
              <w:spacing w:after="0" w:line="240" w:lineRule="auto"/>
              <w:jc w:val="both"/>
              <w:rPr>
                <w:rFonts w:ascii="Verdana" w:hAnsi="Verdana" w:cs="Arial"/>
                <w:sz w:val="16"/>
                <w:szCs w:val="16"/>
              </w:rPr>
            </w:pPr>
            <w:r w:rsidRPr="00DB06FE">
              <w:rPr>
                <w:rFonts w:ascii="Verdana" w:hAnsi="Verdana" w:cs="Arial"/>
                <w:sz w:val="16"/>
                <w:szCs w:val="16"/>
              </w:rPr>
              <w:t>Subdirectora de Gestión Contractual ANCP – CCE</w:t>
            </w:r>
          </w:p>
        </w:tc>
      </w:tr>
    </w:tbl>
    <w:p w:rsidR="007622A1" w:rsidRPr="00DB06FE" w:rsidRDefault="007622A1" w:rsidP="007622A1">
      <w:pPr>
        <w:pStyle w:val="Default"/>
        <w:tabs>
          <w:tab w:val="left" w:pos="2864"/>
        </w:tabs>
        <w:jc w:val="both"/>
        <w:rPr>
          <w:rFonts w:ascii="Verdana" w:hAnsi="Verdana"/>
          <w:sz w:val="22"/>
          <w:szCs w:val="22"/>
          <w:lang w:val="es-ES"/>
        </w:rPr>
      </w:pPr>
    </w:p>
    <w:p w:rsidR="007622A1" w:rsidRPr="00DB06FE" w:rsidRDefault="007622A1" w:rsidP="007622A1">
      <w:pPr>
        <w:spacing w:after="0"/>
        <w:rPr>
          <w:rFonts w:ascii="Verdana" w:hAnsi="Verdana"/>
          <w:lang w:val="es-ES"/>
        </w:rPr>
      </w:pPr>
    </w:p>
    <w:p w:rsidR="007622A1" w:rsidRPr="00DB06FE" w:rsidRDefault="007622A1" w:rsidP="007622A1">
      <w:pPr>
        <w:rPr>
          <w:rFonts w:ascii="Verdana" w:hAnsi="Verdana"/>
          <w:lang w:val="es-ES"/>
        </w:rPr>
      </w:pPr>
    </w:p>
    <w:p w:rsidR="007622A1" w:rsidRPr="00DB06FE" w:rsidRDefault="007622A1" w:rsidP="007622A1">
      <w:pPr>
        <w:rPr>
          <w:rFonts w:ascii="Verdana" w:hAnsi="Verdana"/>
          <w:lang w:val="es-ES"/>
        </w:rPr>
      </w:pPr>
    </w:p>
    <w:p w:rsidR="007622A1" w:rsidRPr="00DB06FE" w:rsidRDefault="007622A1" w:rsidP="007622A1">
      <w:pPr>
        <w:rPr>
          <w:rFonts w:ascii="Verdana" w:hAnsi="Verdana"/>
          <w:lang w:val="es-ES"/>
        </w:rPr>
      </w:pPr>
    </w:p>
    <w:p w:rsidR="007622A1" w:rsidRPr="00D93DDE" w:rsidRDefault="007622A1" w:rsidP="007622A1">
      <w:pPr>
        <w:rPr>
          <w:lang w:val="es-ES"/>
        </w:rPr>
      </w:pPr>
    </w:p>
    <w:p w:rsidR="00536CDF" w:rsidRPr="007622A1" w:rsidRDefault="00536CDF" w:rsidP="007622A1">
      <w:pPr>
        <w:rPr>
          <w:lang w:val="es-ES"/>
        </w:rPr>
      </w:pPr>
    </w:p>
    <w:sectPr w:rsidR="00536CDF" w:rsidRPr="007622A1" w:rsidSect="00A211EE">
      <w:headerReference w:type="default" r:id="rId12"/>
      <w:footerReference w:type="default" r:id="rId13"/>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28BD" w:rsidRDefault="008928BD" w:rsidP="00EC5DC1">
      <w:pPr>
        <w:spacing w:after="0" w:line="240" w:lineRule="auto"/>
      </w:pPr>
      <w:r>
        <w:separator/>
      </w:r>
    </w:p>
  </w:endnote>
  <w:endnote w:type="continuationSeparator" w:id="0">
    <w:p w:rsidR="008928BD" w:rsidRDefault="008928BD" w:rsidP="00EC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36CDF" w:rsidRDefault="00536CDF" w:rsidP="00A211EE">
    <w:pPr>
      <w:spacing w:after="0"/>
      <w:rPr>
        <w:rFonts w:ascii="Verdana" w:hAnsi="Verdana"/>
        <w:b/>
        <w:bCs/>
        <w:sz w:val="20"/>
        <w:szCs w:val="20"/>
      </w:rPr>
    </w:pPr>
  </w:p>
  <w:p w:rsidR="00536CDF" w:rsidRPr="00174B77" w:rsidRDefault="00000000"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536CDF" w:rsidRDefault="00000000" w:rsidP="00A211EE">
    <w:pPr>
      <w:spacing w:after="0"/>
      <w:jc w:val="both"/>
      <w:rPr>
        <w:rFonts w:ascii="Verdana" w:hAnsi="Verdana"/>
        <w:sz w:val="18"/>
        <w:szCs w:val="18"/>
      </w:rPr>
    </w:pPr>
    <w:r w:rsidRPr="00E41027">
      <w:rPr>
        <w:rFonts w:ascii="Verdana" w:hAnsi="Verdana"/>
        <w:sz w:val="18"/>
        <w:szCs w:val="18"/>
      </w:rPr>
      <w:t>Dirección: Carrera 7 # 26 – 20 - Bogotá, Colombia</w:t>
    </w:r>
  </w:p>
  <w:p w:rsidR="00536CDF" w:rsidRPr="00E41027" w:rsidRDefault="00000000" w:rsidP="00A211EE">
    <w:pPr>
      <w:spacing w:after="0"/>
      <w:jc w:val="both"/>
      <w:rPr>
        <w:rFonts w:ascii="Verdana" w:hAnsi="Verdana"/>
        <w:sz w:val="18"/>
        <w:szCs w:val="18"/>
      </w:rPr>
    </w:pPr>
    <w:r w:rsidRPr="00E41027">
      <w:rPr>
        <w:rFonts w:ascii="Verdana" w:hAnsi="Verdana"/>
        <w:sz w:val="18"/>
        <w:szCs w:val="18"/>
      </w:rPr>
      <w:t>Mesa de servicio: (+57) 601 7456788</w:t>
    </w:r>
  </w:p>
  <w:p w:rsidR="00536CDF" w:rsidRPr="00A211EE" w:rsidRDefault="00000000"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rsidR="00536CDF" w:rsidRDefault="00536CDF"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28BD" w:rsidRDefault="008928BD" w:rsidP="00EC5DC1">
      <w:pPr>
        <w:spacing w:after="0" w:line="240" w:lineRule="auto"/>
      </w:pPr>
      <w:r>
        <w:separator/>
      </w:r>
    </w:p>
  </w:footnote>
  <w:footnote w:type="continuationSeparator" w:id="0">
    <w:p w:rsidR="008928BD" w:rsidRDefault="008928BD" w:rsidP="00EC5DC1">
      <w:pPr>
        <w:spacing w:after="0" w:line="240" w:lineRule="auto"/>
      </w:pPr>
      <w:r>
        <w:continuationSeparator/>
      </w:r>
    </w:p>
  </w:footnote>
  <w:footnote w:id="1">
    <w:p w:rsidR="007622A1" w:rsidRDefault="007622A1" w:rsidP="007622A1">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Diccionario de la Lengua Española.</w:t>
      </w:r>
    </w:p>
    <w:p w:rsidR="007622A1" w:rsidRPr="00D977D2" w:rsidRDefault="007622A1" w:rsidP="007622A1">
      <w:pPr>
        <w:pStyle w:val="Textonotapie"/>
        <w:ind w:firstLine="708"/>
        <w:jc w:val="both"/>
        <w:rPr>
          <w:rFonts w:ascii="Arial" w:hAnsi="Arial" w:cs="Arial"/>
          <w:sz w:val="18"/>
          <w:szCs w:val="18"/>
          <w:lang w:val="es-ES"/>
        </w:rPr>
      </w:pPr>
    </w:p>
  </w:footnote>
  <w:footnote w:id="2">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P. 268).     </w:t>
      </w:r>
    </w:p>
    <w:p w:rsidR="007622A1" w:rsidRPr="00D977D2" w:rsidRDefault="007622A1" w:rsidP="007622A1">
      <w:pPr>
        <w:pStyle w:val="Textonotapie"/>
        <w:ind w:firstLine="708"/>
        <w:jc w:val="both"/>
        <w:rPr>
          <w:rFonts w:ascii="Arial" w:hAnsi="Arial" w:cs="Arial"/>
          <w:sz w:val="18"/>
          <w:szCs w:val="18"/>
        </w:rPr>
      </w:pPr>
    </w:p>
  </w:footnote>
  <w:footnote w:id="3">
    <w:p w:rsidR="007622A1" w:rsidRPr="00D977D2" w:rsidRDefault="007622A1" w:rsidP="007622A1">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 xml:space="preserve">MARÍN CORTÉS, Fabián G. El precio. Ed. Librería Jurídica Sánchez R. Ltda. y Centro de Estudios de Derecho Administrativo, Medellín, 2012, p. 60. </w:t>
      </w:r>
    </w:p>
  </w:footnote>
  <w:footnote w:id="4">
    <w:p w:rsidR="007622A1" w:rsidRPr="00D977D2"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Consejo de Estado, Sección Tercera, Subsección A sentencia de 19 de julio de 2018, M.P. Marta Nubia Velázquez Rico, Rad. 2013-01826(57.576)</w:t>
      </w:r>
      <w:r w:rsidRPr="00D977D2">
        <w:rPr>
          <w:rFonts w:ascii="Arial" w:hAnsi="Arial" w:cs="Arial"/>
          <w:sz w:val="18"/>
          <w:szCs w:val="18"/>
        </w:rPr>
        <w:t xml:space="preserve"> </w:t>
      </w:r>
    </w:p>
  </w:footnote>
  <w:footnote w:id="5">
    <w:p w:rsidR="007622A1" w:rsidRPr="00D977D2" w:rsidRDefault="007622A1" w:rsidP="007622A1">
      <w:pPr>
        <w:pStyle w:val="Textonotapie"/>
        <w:ind w:firstLine="709"/>
        <w:jc w:val="both"/>
        <w:rPr>
          <w:rFonts w:ascii="Arial" w:hAnsi="Arial" w:cs="Arial"/>
          <w:sz w:val="18"/>
          <w:szCs w:val="18"/>
        </w:rPr>
      </w:pPr>
    </w:p>
    <w:p w:rsidR="007622A1" w:rsidRPr="00D977D2" w:rsidRDefault="007622A1" w:rsidP="007622A1">
      <w:pPr>
        <w:pStyle w:val="Textonotapie"/>
        <w:ind w:firstLine="709"/>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007622A1" w:rsidRPr="00D977D2" w:rsidRDefault="007622A1" w:rsidP="007622A1">
      <w:pPr>
        <w:pStyle w:val="Textonotapie"/>
        <w:ind w:firstLine="709"/>
        <w:jc w:val="both"/>
        <w:rPr>
          <w:rFonts w:ascii="Arial" w:hAnsi="Arial" w:cs="Arial"/>
          <w:sz w:val="18"/>
          <w:szCs w:val="18"/>
          <w:lang w:val="es-ES"/>
        </w:rPr>
      </w:pPr>
      <w:r w:rsidRPr="00D977D2">
        <w:rPr>
          <w:rFonts w:ascii="Arial" w:hAnsi="Arial" w:cs="Arial"/>
          <w:sz w:val="18"/>
          <w:szCs w:val="18"/>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977D2">
        <w:rPr>
          <w:rFonts w:ascii="Arial" w:hAnsi="Arial" w:cs="Arial"/>
          <w:i/>
          <w:iCs/>
          <w:sz w:val="18"/>
          <w:szCs w:val="18"/>
          <w:lang w:val="es-ES"/>
        </w:rPr>
        <w:t>costos directos</w:t>
      </w:r>
      <w:r w:rsidRPr="00D977D2">
        <w:rPr>
          <w:rFonts w:ascii="Arial" w:hAnsi="Arial" w:cs="Arial"/>
          <w:sz w:val="18"/>
          <w:szCs w:val="18"/>
          <w:lang w:val="es-ES"/>
        </w:rPr>
        <w:t xml:space="preserve"> y los</w:t>
      </w:r>
      <w:r w:rsidRPr="00D977D2">
        <w:rPr>
          <w:rFonts w:ascii="Arial" w:hAnsi="Arial" w:cs="Arial"/>
          <w:i/>
          <w:iCs/>
          <w:sz w:val="18"/>
          <w:szCs w:val="18"/>
          <w:lang w:val="es-ES"/>
        </w:rPr>
        <w:t xml:space="preserve"> costos indirectos</w:t>
      </w:r>
      <w:r w:rsidRPr="00D977D2">
        <w:rPr>
          <w:rFonts w:ascii="Arial" w:hAnsi="Arial" w:cs="Arial"/>
          <w:sz w:val="18"/>
          <w:szCs w:val="18"/>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977D2">
        <w:rPr>
          <w:rFonts w:ascii="Arial" w:hAnsi="Arial" w:cs="Arial"/>
          <w:i/>
          <w:iCs/>
          <w:sz w:val="18"/>
          <w:szCs w:val="18"/>
          <w:lang w:val="es-ES"/>
        </w:rPr>
        <w:t>ítems</w:t>
      </w:r>
      <w:r w:rsidRPr="00D977D2">
        <w:rPr>
          <w:rFonts w:ascii="Arial" w:hAnsi="Arial" w:cs="Arial"/>
          <w:sz w:val="18"/>
          <w:szCs w:val="18"/>
          <w:lang w:val="es-ES"/>
        </w:rPr>
        <w:t xml:space="preserve"> que componen el contrato–. Los costos </w:t>
      </w:r>
      <w:r w:rsidRPr="00D977D2">
        <w:rPr>
          <w:rFonts w:ascii="Arial" w:hAnsi="Arial" w:cs="Arial"/>
          <w:i/>
          <w:iCs/>
          <w:sz w:val="18"/>
          <w:szCs w:val="18"/>
          <w:lang w:val="es-ES"/>
        </w:rPr>
        <w:t>indirectos</w:t>
      </w:r>
      <w:r w:rsidRPr="00D977D2">
        <w:rPr>
          <w:rFonts w:ascii="Arial" w:hAnsi="Arial" w:cs="Arial"/>
          <w:sz w:val="18"/>
          <w:szCs w:val="18"/>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6">
    <w:p w:rsidR="007622A1"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Consejo de Estado. Sección Tercera. Subsección B. Sentencia del 14 de octubre de 2011. Exp. 20811, C.P. Ruth Stella Correa Palacio.</w:t>
      </w:r>
    </w:p>
    <w:p w:rsidR="007622A1" w:rsidRPr="00D977D2" w:rsidRDefault="007622A1" w:rsidP="007622A1">
      <w:pPr>
        <w:pStyle w:val="Textonotapie"/>
        <w:ind w:firstLine="708"/>
        <w:jc w:val="both"/>
        <w:rPr>
          <w:rFonts w:ascii="Arial" w:hAnsi="Arial" w:cs="Arial"/>
          <w:sz w:val="18"/>
          <w:szCs w:val="18"/>
        </w:rPr>
      </w:pPr>
    </w:p>
  </w:footnote>
  <w:footnote w:id="7">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Consejo de Estado. Sala de Consulta y Servicio Civil. Concepto del 5 de septiembre de 2018, radicado No. 11001-03-06-000-2018-00124-00 C.P. Édgar González López.</w:t>
      </w:r>
    </w:p>
  </w:footnote>
  <w:footnote w:id="8">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9">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eastAsia="Times New Roman" w:hAnsi="Arial" w:cs="Arial"/>
          <w:sz w:val="18"/>
          <w:szCs w:val="18"/>
          <w:lang w:eastAsia="es-ES"/>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D977D2">
        <w:rPr>
          <w:rFonts w:ascii="Arial" w:hAnsi="Arial" w:cs="Arial"/>
          <w:sz w:val="18"/>
          <w:szCs w:val="18"/>
        </w:rPr>
        <w:t>” (</w:t>
      </w:r>
      <w:r w:rsidRPr="00D977D2">
        <w:rPr>
          <w:rFonts w:ascii="Arial" w:hAnsi="Arial" w:cs="Arial"/>
          <w:sz w:val="18"/>
          <w:szCs w:val="18"/>
          <w:lang w:val="es-CO"/>
        </w:rPr>
        <w:t>Consejo de Estado. Sección Tercera. Consejero Ponente: Ramiro Saavedra Becerra. Sentencia del 28 de agosto de 2003. Radicado: 17.554).</w:t>
      </w:r>
      <w:r w:rsidRPr="00D977D2">
        <w:rPr>
          <w:rFonts w:ascii="Arial" w:hAnsi="Arial" w:cs="Arial"/>
          <w:sz w:val="18"/>
          <w:szCs w:val="18"/>
        </w:rPr>
        <w:t xml:space="preserve"> </w:t>
      </w:r>
    </w:p>
  </w:footnote>
  <w:footnote w:id="10">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MARÍN CORTÉS, Op. Cit., pp. 64-65.</w:t>
      </w:r>
    </w:p>
  </w:footnote>
  <w:footnote w:id="11">
    <w:p w:rsidR="007622A1" w:rsidRDefault="007622A1" w:rsidP="007622A1">
      <w:pPr>
        <w:pStyle w:val="Textonotapie"/>
        <w:ind w:firstLine="709"/>
        <w:jc w:val="both"/>
        <w:rPr>
          <w:rFonts w:ascii="Arial" w:hAnsi="Arial" w:cs="Arial"/>
          <w:sz w:val="18"/>
          <w:szCs w:val="18"/>
        </w:rPr>
      </w:pPr>
    </w:p>
    <w:p w:rsidR="007622A1" w:rsidRPr="00D977D2" w:rsidRDefault="007622A1" w:rsidP="007622A1">
      <w:pPr>
        <w:pStyle w:val="Textonotapie"/>
        <w:ind w:firstLine="709"/>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Ibíd., p. 66.</w:t>
      </w:r>
    </w:p>
  </w:footnote>
  <w:footnote w:id="12">
    <w:p w:rsidR="007622A1"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Que tienen una definición y regulación establecida en la ley. </w:t>
      </w:r>
    </w:p>
    <w:p w:rsidR="007622A1" w:rsidRPr="00D977D2" w:rsidRDefault="007622A1" w:rsidP="007622A1">
      <w:pPr>
        <w:pStyle w:val="Textonotapie"/>
        <w:ind w:firstLine="708"/>
        <w:jc w:val="both"/>
        <w:rPr>
          <w:rFonts w:ascii="Arial" w:hAnsi="Arial" w:cs="Arial"/>
          <w:sz w:val="18"/>
          <w:szCs w:val="18"/>
        </w:rPr>
      </w:pPr>
    </w:p>
  </w:footnote>
  <w:footnote w:id="13">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compraventa, suministro, depósito, seguro, arrendamiento, mutuo, mandato etc. </w:t>
      </w:r>
    </w:p>
  </w:footnote>
  <w:footnote w:id="14">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obra pública, prestación de servicios, consultoría, concesión, fiducia pública y encargo fiduciario. </w:t>
      </w:r>
    </w:p>
  </w:footnote>
  <w:footnote w:id="15">
    <w:p w:rsidR="007622A1"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OSPINA MENA, Jesús Marino. Régimen de la Contratación Estatal. Un salto a la contratación liquida, Ed 1ª Dike, 2020, Bogotá, p. 164. </w:t>
      </w:r>
    </w:p>
    <w:p w:rsidR="007622A1" w:rsidRPr="00D977D2" w:rsidRDefault="007622A1" w:rsidP="007622A1">
      <w:pPr>
        <w:pStyle w:val="Textonotapie"/>
        <w:ind w:firstLine="708"/>
        <w:jc w:val="both"/>
        <w:rPr>
          <w:rFonts w:ascii="Arial" w:hAnsi="Arial" w:cs="Arial"/>
          <w:sz w:val="18"/>
          <w:szCs w:val="18"/>
        </w:rPr>
      </w:pPr>
    </w:p>
  </w:footnote>
  <w:footnote w:id="16">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Style w:val="Refdenotaalpie"/>
          <w:rFonts w:ascii="Arial" w:hAnsi="Arial" w:cs="Arial"/>
          <w:sz w:val="18"/>
          <w:szCs w:val="18"/>
        </w:rPr>
        <w:t xml:space="preserve"> </w:t>
      </w:r>
      <w:r w:rsidRPr="00D977D2">
        <w:rPr>
          <w:rFonts w:ascii="Arial" w:hAnsi="Arial" w:cs="Arial"/>
          <w:sz w:val="18"/>
          <w:szCs w:val="18"/>
        </w:rPr>
        <w:t>ARRUBLA PAUCAR, Jaime. Contratos Mercantiles, Tomo III, Contratos Atípicos, 8 Ed, Legis, 2015, p. 23.</w:t>
      </w:r>
    </w:p>
  </w:footnote>
  <w:footnote w:id="17">
    <w:p w:rsidR="007622A1" w:rsidRDefault="007622A1" w:rsidP="007622A1">
      <w:pPr>
        <w:pStyle w:val="Textonotapie"/>
        <w:ind w:firstLine="708"/>
        <w:jc w:val="both"/>
        <w:rPr>
          <w:rFonts w:ascii="Arial" w:hAnsi="Arial" w:cs="Arial"/>
          <w:color w:val="000000" w:themeColor="text1"/>
          <w:sz w:val="18"/>
          <w:szCs w:val="18"/>
        </w:rPr>
      </w:pPr>
    </w:p>
    <w:p w:rsidR="007622A1" w:rsidRPr="00D977D2" w:rsidRDefault="007622A1" w:rsidP="007622A1">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NARVAEZ GARCÍA, José Ignacio, Derecho mercantil colombiano. Obligaciones y contratos mercantiles. 2 Ed. Bogotá: Legis, 2002. p.67.</w:t>
      </w:r>
    </w:p>
  </w:footnote>
  <w:footnote w:id="18">
    <w:p w:rsidR="007622A1" w:rsidRDefault="007622A1" w:rsidP="007622A1">
      <w:pPr>
        <w:pStyle w:val="Textonotapie"/>
        <w:ind w:firstLine="708"/>
        <w:jc w:val="both"/>
        <w:rPr>
          <w:rFonts w:ascii="Arial" w:hAnsi="Arial" w:cs="Arial"/>
          <w:color w:val="000000" w:themeColor="text1"/>
          <w:sz w:val="18"/>
          <w:szCs w:val="18"/>
        </w:rPr>
      </w:pPr>
    </w:p>
    <w:p w:rsidR="007622A1" w:rsidRPr="00D977D2" w:rsidRDefault="007622A1" w:rsidP="007622A1">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Gaceta Judicial T.XLVIII, p.50. Citada por: SUAREZ BELTRÁN, Gonzalo. Estudios de derecho contractual público. Bogotá: Legis, 2014. p. 239.</w:t>
      </w:r>
    </w:p>
  </w:footnote>
  <w:footnote w:id="19">
    <w:p w:rsidR="007622A1" w:rsidRPr="00D977D2" w:rsidRDefault="007622A1" w:rsidP="007622A1">
      <w:pPr>
        <w:pStyle w:val="Textonotapie"/>
        <w:ind w:firstLine="708"/>
        <w:jc w:val="both"/>
        <w:rPr>
          <w:rFonts w:ascii="Arial" w:hAnsi="Arial" w:cs="Arial"/>
          <w:color w:val="000000" w:themeColor="text1"/>
          <w:sz w:val="18"/>
          <w:szCs w:val="18"/>
          <w:lang w:val="es-CO"/>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1625A4">
        <w:rPr>
          <w:rFonts w:ascii="Arial" w:hAnsi="Arial" w:cs="Arial"/>
          <w:iCs/>
          <w:color w:val="000000" w:themeColor="text1"/>
          <w:sz w:val="18"/>
          <w:szCs w:val="18"/>
        </w:rPr>
        <w:t>CONSEJO DE ESTADO</w:t>
      </w:r>
      <w:r w:rsidRPr="00D977D2">
        <w:rPr>
          <w:rFonts w:ascii="Arial" w:hAnsi="Arial" w:cs="Arial"/>
          <w:iCs/>
          <w:color w:val="000000" w:themeColor="text1"/>
          <w:sz w:val="18"/>
          <w:szCs w:val="18"/>
        </w:rPr>
        <w:t>. Sala de Consulta y Servicio Civil. Concepto</w:t>
      </w:r>
      <w:r w:rsidRPr="00D977D2">
        <w:rPr>
          <w:rFonts w:ascii="Arial" w:hAnsi="Arial" w:cs="Arial"/>
          <w:bCs/>
          <w:color w:val="000000" w:themeColor="text1"/>
          <w:sz w:val="18"/>
          <w:szCs w:val="18"/>
        </w:rPr>
        <w:t xml:space="preserve"> </w:t>
      </w:r>
      <w:r w:rsidRPr="00D977D2">
        <w:rPr>
          <w:rFonts w:ascii="Arial" w:hAnsi="Arial" w:cs="Arial"/>
          <w:iCs/>
          <w:color w:val="000000" w:themeColor="text1"/>
          <w:sz w:val="18"/>
          <w:szCs w:val="18"/>
        </w:rPr>
        <w:t>del 5 de septiembre de 2018. Exp. 2.386. C.P. Edgar González López. Este concepto reitera pronunciamientos anteriores relacionados con la estampilla pro-universidades, tales como: Conceptos 2.229 de 2015, 2.271 de 2016, 2.229 de 2017, 2.324 de 2017.</w:t>
      </w:r>
    </w:p>
  </w:footnote>
  <w:footnote w:id="20">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NOSSA PEÑA, Lisandro. De los contratos mercantiles, Universidad Católica de Colombia, 2 Ed, 2006, p. 279.</w:t>
      </w:r>
    </w:p>
  </w:footnote>
  <w:footnote w:id="21">
    <w:p w:rsidR="007622A1" w:rsidRPr="00D977D2" w:rsidRDefault="007622A1" w:rsidP="007622A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LAFONT PIANETTA, Pedro. Manual de contratos, Tomo I, Ediciones Librería del Profesional, 1 Ed, 2001, p.110. </w:t>
      </w:r>
    </w:p>
  </w:footnote>
  <w:footnote w:id="22">
    <w:p w:rsidR="007622A1" w:rsidRPr="00D977D2" w:rsidRDefault="007622A1" w:rsidP="007622A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Ibídem, p. 114. </w:t>
      </w:r>
    </w:p>
  </w:footnote>
  <w:footnote w:id="23">
    <w:p w:rsidR="007622A1" w:rsidRPr="00D977D2" w:rsidRDefault="007622A1" w:rsidP="007622A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ALESSANDRI RODRÍGUEZ, Arturo. De los contratos. Santiago de Chile: Editorial Jurídica EDIAR-CONOCSUR LTDA, 1988. p. 182. </w:t>
      </w:r>
    </w:p>
  </w:footnote>
  <w:footnote w:id="24">
    <w:p w:rsidR="007622A1" w:rsidRDefault="007622A1" w:rsidP="007622A1">
      <w:pPr>
        <w:pStyle w:val="Textonotapie"/>
        <w:ind w:firstLine="708"/>
        <w:jc w:val="both"/>
        <w:rPr>
          <w:rFonts w:ascii="Arial" w:hAnsi="Arial" w:cs="Arial"/>
          <w:sz w:val="18"/>
          <w:szCs w:val="18"/>
          <w:lang w:val="es-ES_tradnl"/>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rsidR="007622A1" w:rsidRPr="00D977D2" w:rsidRDefault="007622A1" w:rsidP="007622A1">
      <w:pPr>
        <w:pStyle w:val="Textonotapie"/>
        <w:ind w:firstLine="708"/>
        <w:jc w:val="both"/>
        <w:rPr>
          <w:rFonts w:ascii="Arial" w:hAnsi="Arial" w:cs="Arial"/>
          <w:sz w:val="18"/>
          <w:szCs w:val="18"/>
          <w:lang w:val="es-ES_tradnl"/>
        </w:rPr>
      </w:pPr>
    </w:p>
  </w:footnote>
  <w:footnote w:id="25">
    <w:p w:rsidR="007622A1" w:rsidRDefault="007622A1" w:rsidP="007622A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OSPINA MENA, Jesús Marino. Régimen de la Contratación Estatal. Un salto a la contratación liquida. Bogotá: Dike, 2020. p. 168.</w:t>
      </w:r>
    </w:p>
    <w:p w:rsidR="007622A1" w:rsidRPr="00D977D2" w:rsidRDefault="007622A1" w:rsidP="007622A1">
      <w:pPr>
        <w:pStyle w:val="Textonotapie"/>
        <w:ind w:firstLine="709"/>
        <w:jc w:val="both"/>
        <w:rPr>
          <w:rFonts w:ascii="Arial" w:hAnsi="Arial" w:cs="Arial"/>
          <w:color w:val="000000"/>
          <w:sz w:val="18"/>
          <w:szCs w:val="18"/>
        </w:rPr>
      </w:pPr>
    </w:p>
  </w:footnote>
  <w:footnote w:id="26">
    <w:p w:rsidR="007622A1" w:rsidRDefault="007622A1" w:rsidP="007622A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w:t>
      </w:r>
      <w:r w:rsidRPr="001625A4">
        <w:rPr>
          <w:rFonts w:ascii="Arial" w:hAnsi="Arial" w:cs="Arial"/>
          <w:color w:val="000000"/>
          <w:sz w:val="18"/>
          <w:szCs w:val="18"/>
        </w:rPr>
        <w:t>CONSEJO DE ESTADO</w:t>
      </w:r>
      <w:r w:rsidRPr="00D977D2">
        <w:rPr>
          <w:rFonts w:ascii="Arial" w:hAnsi="Arial" w:cs="Arial"/>
          <w:color w:val="000000"/>
          <w:sz w:val="18"/>
          <w:szCs w:val="18"/>
        </w:rPr>
        <w:t>. Sala de Consulta y Servicio Civil. Concepto del 5 de septiembre de 2018. Rad. 2.386. C.P. Edgar González López.</w:t>
      </w:r>
    </w:p>
    <w:p w:rsidR="007622A1" w:rsidRPr="00D977D2" w:rsidRDefault="007622A1" w:rsidP="007622A1">
      <w:pPr>
        <w:pStyle w:val="Textonotapie"/>
        <w:ind w:firstLine="709"/>
        <w:jc w:val="both"/>
        <w:rPr>
          <w:rFonts w:ascii="Arial" w:hAnsi="Arial" w:cs="Arial"/>
          <w:color w:val="000000"/>
          <w:sz w:val="18"/>
          <w:szCs w:val="18"/>
        </w:rPr>
      </w:pPr>
    </w:p>
  </w:footnote>
  <w:footnote w:id="27">
    <w:p w:rsidR="007622A1" w:rsidRDefault="007622A1" w:rsidP="007622A1">
      <w:pPr>
        <w:pStyle w:val="Textonotapie"/>
        <w:ind w:firstLine="708"/>
        <w:jc w:val="both"/>
        <w:rPr>
          <w:rFonts w:ascii="Arial" w:hAnsi="Arial" w:cs="Arial"/>
          <w:sz w:val="18"/>
          <w:szCs w:val="18"/>
          <w:lang w:val="es-CO"/>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CO"/>
        </w:rPr>
        <w:t>MELÓN PARDO, Carlos. El contrato de suministro. En: Tratado de los contratos del sector público. Tomo III. Valencia: Tirant lo Blanch, 2018. pp. 2620-2621. Esto también concuerda con la regla del numeral 2 del artículo 969 del Código de Comercio, pues “Para establecer la cuantía del suministro si las partes no lo hubieren fijado en cantidad determinada o señalado las bases para determinarla, se aplicarán las siguientes reglas: […] Si las partes han fijado solamente un límite máximo corresponderá al consumidor determinar la cuantía, sin exceder dicho máximo […]”.</w:t>
      </w:r>
    </w:p>
    <w:p w:rsidR="007622A1" w:rsidRPr="00D977D2" w:rsidRDefault="007622A1" w:rsidP="007622A1">
      <w:pPr>
        <w:pStyle w:val="Textonotapie"/>
        <w:ind w:firstLine="708"/>
        <w:jc w:val="both"/>
        <w:rPr>
          <w:rFonts w:ascii="Arial" w:hAnsi="Arial" w:cs="Arial"/>
          <w:sz w:val="18"/>
          <w:szCs w:val="18"/>
        </w:rPr>
      </w:pPr>
    </w:p>
  </w:footnote>
  <w:footnote w:id="28">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Cfr. </w:t>
      </w:r>
      <w:r w:rsidRPr="001625A4">
        <w:rPr>
          <w:rFonts w:ascii="Arial" w:hAnsi="Arial" w:cs="Arial"/>
          <w:sz w:val="18"/>
          <w:szCs w:val="18"/>
        </w:rPr>
        <w:t>MARTÍNEZ MAS</w:t>
      </w:r>
      <w:r w:rsidRPr="00D977D2">
        <w:rPr>
          <w:rFonts w:ascii="Arial" w:hAnsi="Arial" w:cs="Arial"/>
          <w:sz w:val="18"/>
          <w:szCs w:val="18"/>
        </w:rPr>
        <w:t>, Francisco. La terminación, entrega, recepción, y liquidación en el contrato de obra. Madrid: Dykinson, 2001. pp. 176-177.</w:t>
      </w:r>
    </w:p>
  </w:footnote>
  <w:footnote w:id="29">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PODETTI, Humberto. El contrato de construcción. Buenos Aires: Astrea, 2004. </w:t>
      </w:r>
      <w:r w:rsidRPr="001625A4">
        <w:rPr>
          <w:rFonts w:ascii="Arial" w:hAnsi="Arial" w:cs="Arial"/>
          <w:sz w:val="18"/>
          <w:szCs w:val="18"/>
        </w:rPr>
        <w:t>P</w:t>
      </w:r>
      <w:r w:rsidRPr="00D977D2">
        <w:rPr>
          <w:rFonts w:ascii="Arial" w:hAnsi="Arial" w:cs="Arial"/>
          <w:sz w:val="18"/>
          <w:szCs w:val="18"/>
        </w:rPr>
        <w:t>p. 254-255.</w:t>
      </w:r>
    </w:p>
  </w:footnote>
  <w:footnote w:id="30">
    <w:p w:rsidR="007622A1" w:rsidRDefault="007622A1" w:rsidP="007622A1">
      <w:pPr>
        <w:pStyle w:val="Textonotapie"/>
        <w:ind w:firstLine="708"/>
        <w:jc w:val="both"/>
        <w:rPr>
          <w:rFonts w:ascii="Arial" w:hAnsi="Arial" w:cs="Arial"/>
          <w:sz w:val="18"/>
          <w:szCs w:val="18"/>
        </w:rPr>
      </w:pPr>
    </w:p>
    <w:p w:rsidR="007622A1" w:rsidRPr="00D977D2" w:rsidRDefault="007622A1" w:rsidP="007622A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PLANIOL, Marcel &amp; RIPERT, Jeorge. Tratado práctico de derecho civil francés. Tomo XI. La Habana: Cultural SA, 1940. p. 163.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36CDF"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A345C52" wp14:editId="45C6AD4D">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1F33205" wp14:editId="19D2DBD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536CDF" w:rsidRDefault="00536CDF" w:rsidP="00A211EE">
    <w:pPr>
      <w:pStyle w:val="Encabezado"/>
      <w:jc w:val="center"/>
    </w:pPr>
  </w:p>
  <w:p w:rsidR="00536CDF" w:rsidRDefault="00536CDF">
    <w:pPr>
      <w:pStyle w:val="Encabezado"/>
    </w:pPr>
  </w:p>
  <w:p w:rsidR="00536CDF" w:rsidRDefault="00536CDF" w:rsidP="00A211EE">
    <w:pPr>
      <w:spacing w:after="0"/>
      <w:rPr>
        <w:rFonts w:ascii="Verdana" w:hAnsi="Verdana"/>
        <w:b/>
        <w:bCs/>
        <w:sz w:val="24"/>
        <w:szCs w:val="24"/>
      </w:rPr>
    </w:pPr>
  </w:p>
  <w:p w:rsidR="00536CDF" w:rsidRDefault="00000000" w:rsidP="00A211EE">
    <w:pPr>
      <w:spacing w:after="0"/>
      <w:rPr>
        <w:rFonts w:ascii="Verdana" w:hAnsi="Verdana"/>
        <w:b/>
        <w:bCs/>
        <w:sz w:val="24"/>
        <w:szCs w:val="24"/>
      </w:rPr>
    </w:pPr>
    <w:r w:rsidRPr="00A211EE">
      <w:rPr>
        <w:rFonts w:ascii="Verdana" w:hAnsi="Verdana"/>
        <w:b/>
        <w:bCs/>
        <w:sz w:val="24"/>
        <w:szCs w:val="24"/>
      </w:rPr>
      <w:t>FORMATO PQRSD</w:t>
    </w:r>
  </w:p>
  <w:p w:rsidR="00536CDF" w:rsidRPr="00A211EE" w:rsidRDefault="00536CDF"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9A0292"/>
    <w:multiLevelType w:val="hybridMultilevel"/>
    <w:tmpl w:val="B602E8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A265D1D"/>
    <w:multiLevelType w:val="multilevel"/>
    <w:tmpl w:val="442CD38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F7A6BA1"/>
    <w:multiLevelType w:val="hybridMultilevel"/>
    <w:tmpl w:val="A8C87CF0"/>
    <w:lvl w:ilvl="0" w:tplc="25BE362E">
      <w:numFmt w:val="bullet"/>
      <w:lvlText w:val="•"/>
      <w:lvlJc w:val="left"/>
      <w:pPr>
        <w:ind w:left="1440" w:hanging="360"/>
      </w:pPr>
      <w:rPr>
        <w:rFonts w:hint="default"/>
        <w:lang w:val="es-ES" w:eastAsia="en-US" w:bidi="ar-SA"/>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3415C76"/>
    <w:multiLevelType w:val="hybridMultilevel"/>
    <w:tmpl w:val="9C8C101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341274352">
    <w:abstractNumId w:val="0"/>
  </w:num>
  <w:num w:numId="2" w16cid:durableId="784039179">
    <w:abstractNumId w:val="6"/>
  </w:num>
  <w:num w:numId="3" w16cid:durableId="450248607">
    <w:abstractNumId w:val="5"/>
  </w:num>
  <w:num w:numId="4" w16cid:durableId="660700943">
    <w:abstractNumId w:val="3"/>
  </w:num>
  <w:num w:numId="5" w16cid:durableId="398868489">
    <w:abstractNumId w:val="2"/>
  </w:num>
  <w:num w:numId="6" w16cid:durableId="1974678414">
    <w:abstractNumId w:val="1"/>
  </w:num>
  <w:num w:numId="7" w16cid:durableId="1523519647">
    <w:abstractNumId w:val="4"/>
  </w:num>
  <w:num w:numId="8" w16cid:durableId="12109180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C1"/>
    <w:rsid w:val="00001412"/>
    <w:rsid w:val="00095903"/>
    <w:rsid w:val="002005BE"/>
    <w:rsid w:val="00206879"/>
    <w:rsid w:val="002870A5"/>
    <w:rsid w:val="003F22A4"/>
    <w:rsid w:val="0043496D"/>
    <w:rsid w:val="00536CDF"/>
    <w:rsid w:val="006113E1"/>
    <w:rsid w:val="007622A1"/>
    <w:rsid w:val="007E5F77"/>
    <w:rsid w:val="008928BD"/>
    <w:rsid w:val="009C5D1A"/>
    <w:rsid w:val="00B77912"/>
    <w:rsid w:val="00B92F35"/>
    <w:rsid w:val="00C76BC7"/>
    <w:rsid w:val="00D904A7"/>
    <w:rsid w:val="00DA7907"/>
    <w:rsid w:val="00DB06FE"/>
    <w:rsid w:val="00EC5DC1"/>
    <w:rsid w:val="00F74D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B3B0"/>
  <w15:chartTrackingRefBased/>
  <w15:docId w15:val="{06BA1932-508B-734C-ABEE-51D7C994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DC1"/>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C5D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C5DC1"/>
    <w:rPr>
      <w:kern w:val="0"/>
      <w:sz w:val="22"/>
      <w:szCs w:val="22"/>
      <w14:ligatures w14:val="none"/>
    </w:rPr>
  </w:style>
  <w:style w:type="paragraph" w:styleId="Piedepgina">
    <w:name w:val="footer"/>
    <w:basedOn w:val="Normal"/>
    <w:link w:val="PiedepginaCar"/>
    <w:uiPriority w:val="99"/>
    <w:unhideWhenUsed/>
    <w:rsid w:val="00EC5D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5DC1"/>
    <w:rPr>
      <w:kern w:val="0"/>
      <w:sz w:val="22"/>
      <w:szCs w:val="22"/>
      <w14:ligatures w14:val="none"/>
    </w:rPr>
  </w:style>
  <w:style w:type="paragraph" w:customStyle="1" w:styleId="Default">
    <w:name w:val="Default"/>
    <w:rsid w:val="00EC5DC1"/>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C5DC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C5DC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C5DC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C5DC1"/>
    <w:rPr>
      <w:vertAlign w:val="superscript"/>
    </w:rPr>
  </w:style>
  <w:style w:type="character" w:customStyle="1" w:styleId="normaltextrun">
    <w:name w:val="normaltextrun"/>
    <w:basedOn w:val="Fuentedeprrafopredeter"/>
    <w:uiPriority w:val="1"/>
    <w:rsid w:val="00EC5DC1"/>
  </w:style>
  <w:style w:type="table" w:styleId="Tablaconcuadrcula">
    <w:name w:val="Table Grid"/>
    <w:basedOn w:val="Tablanormal"/>
    <w:uiPriority w:val="39"/>
    <w:qFormat/>
    <w:rsid w:val="00EC5DC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C5DC1"/>
    <w:rPr>
      <w:color w:val="0000FF"/>
      <w:u w:val="single"/>
    </w:rPr>
  </w:style>
  <w:style w:type="paragraph" w:customStyle="1" w:styleId="Appelnotedebasde">
    <w:name w:val="Appel note de bas de..."/>
    <w:basedOn w:val="Normal"/>
    <w:link w:val="Refdenotaalpie"/>
    <w:uiPriority w:val="99"/>
    <w:rsid w:val="00EC5DC1"/>
    <w:pPr>
      <w:spacing w:line="240" w:lineRule="exact"/>
    </w:pPr>
    <w:rPr>
      <w:kern w:val="2"/>
      <w:sz w:val="24"/>
      <w:szCs w:val="24"/>
      <w:vertAlign w:val="superscript"/>
      <w14:ligatures w14:val="standardContextual"/>
    </w:rPr>
  </w:style>
  <w:style w:type="paragraph" w:styleId="NormalWeb">
    <w:name w:val="Normal (Web)"/>
    <w:basedOn w:val="Normal"/>
    <w:link w:val="NormalWebCar"/>
    <w:uiPriority w:val="99"/>
    <w:unhideWhenUsed/>
    <w:rsid w:val="00EC5DC1"/>
    <w:pPr>
      <w:spacing w:line="256" w:lineRule="auto"/>
    </w:pPr>
    <w:rPr>
      <w:rFonts w:ascii="Times New Roman" w:hAnsi="Times New Roman" w:cs="Times New Roman"/>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C5DC1"/>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5DC1"/>
    <w:rPr>
      <w:kern w:val="0"/>
      <w:sz w:val="22"/>
      <w:szCs w:val="22"/>
      <w14:ligatures w14:val="none"/>
    </w:rPr>
  </w:style>
  <w:style w:type="character" w:customStyle="1" w:styleId="NormalWebCar">
    <w:name w:val="Normal (Web) Car"/>
    <w:link w:val="NormalWeb"/>
    <w:uiPriority w:val="99"/>
    <w:rsid w:val="00EC5DC1"/>
    <w:rPr>
      <w:rFonts w:ascii="Times New Roman" w:hAnsi="Times New Roman" w:cs="Times New Roman"/>
      <w:kern w:val="0"/>
      <w14:ligatures w14:val="none"/>
    </w:rPr>
  </w:style>
  <w:style w:type="character" w:styleId="Mencinsinresolver">
    <w:name w:val="Unresolved Mention"/>
    <w:basedOn w:val="Fuentedeprrafopredeter"/>
    <w:uiPriority w:val="99"/>
    <w:semiHidden/>
    <w:unhideWhenUsed/>
    <w:rsid w:val="00095903"/>
    <w:rPr>
      <w:color w:val="605E5C"/>
      <w:shd w:val="clear" w:color="auto" w:fill="E1DFDD"/>
    </w:rPr>
  </w:style>
  <w:style w:type="paragraph" w:styleId="Textoindependiente">
    <w:name w:val="Body Text"/>
    <w:basedOn w:val="Normal"/>
    <w:link w:val="TextoindependienteCar"/>
    <w:uiPriority w:val="99"/>
    <w:unhideWhenUsed/>
    <w:rsid w:val="00B7791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77912"/>
    <w:rPr>
      <w:rFonts w:eastAsiaTheme="minorEastAsia"/>
      <w:kern w:val="0"/>
      <w:sz w:val="22"/>
      <w:szCs w:val="22"/>
      <w:lang w:eastAsia="es-CO"/>
      <w14:ligatures w14:val="none"/>
    </w:rPr>
  </w:style>
  <w:style w:type="paragraph" w:styleId="Sinespaciado">
    <w:name w:val="No Spacing"/>
    <w:aliases w:val="No Indent"/>
    <w:uiPriority w:val="3"/>
    <w:qFormat/>
    <w:rsid w:val="00B77912"/>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mantilla12@hot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latoria.colombiacompra.gov.co/providencias-consejo-de-estado/" TargetMode="External"/><Relationship Id="rId4" Type="http://schemas.openxmlformats.org/officeDocument/2006/relationships/webSettings" Target="webSettings.xml"/><Relationship Id="rId9" Type="http://schemas.openxmlformats.org/officeDocument/2006/relationships/hyperlink" Target="https://relatoria.colombiacompra.gov.co/normativa/ley-1882-de-201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5BA131-4681-4C1F-9A46-9A9A8C1FE38C}"/>
</file>

<file path=customXml/itemProps2.xml><?xml version="1.0" encoding="utf-8"?>
<ds:datastoreItem xmlns:ds="http://schemas.openxmlformats.org/officeDocument/2006/customXml" ds:itemID="{07D9D04E-9B9E-4519-88FC-F82FC71FBE23}"/>
</file>

<file path=customXml/itemProps3.xml><?xml version="1.0" encoding="utf-8"?>
<ds:datastoreItem xmlns:ds="http://schemas.openxmlformats.org/officeDocument/2006/customXml" ds:itemID="{18DE0DB6-BFF2-4753-9189-CCD9FFB28F64}"/>
</file>

<file path=docProps/app.xml><?xml version="1.0" encoding="utf-8"?>
<Properties xmlns="http://schemas.openxmlformats.org/officeDocument/2006/extended-properties" xmlns:vt="http://schemas.openxmlformats.org/officeDocument/2006/docPropsVTypes">
  <Template>Normal.dotm</Template>
  <TotalTime>4</TotalTime>
  <Pages>20</Pages>
  <Words>6496</Words>
  <Characters>35729</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Jhonattan Gualdron Salazar</cp:lastModifiedBy>
  <cp:revision>4</cp:revision>
  <dcterms:created xsi:type="dcterms:W3CDTF">2024-08-04T12:50:00Z</dcterms:created>
  <dcterms:modified xsi:type="dcterms:W3CDTF">2024-08-16T16:01:00Z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