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6FA6A" w14:textId="77777777" w:rsidR="000B2E9C" w:rsidRPr="005C223A" w:rsidRDefault="000B2E9C" w:rsidP="000B2E9C">
      <w:pPr>
        <w:spacing w:after="0"/>
        <w:rPr>
          <w:rFonts w:ascii="Verdana" w:hAnsi="Verdana"/>
          <w:sz w:val="20"/>
          <w:szCs w:val="20"/>
        </w:rPr>
      </w:pPr>
      <w:bookmarkStart w:id="0" w:name="_Hlk143780582"/>
      <w:r w:rsidRPr="005C223A">
        <w:rPr>
          <w:rFonts w:ascii="Verdana" w:hAnsi="Verdana"/>
          <w:b/>
          <w:bCs/>
          <w:color w:val="000000"/>
          <w:sz w:val="20"/>
          <w:szCs w:val="20"/>
        </w:rPr>
        <w:t xml:space="preserve">DOCUMENTOS TIPO – Fundamento normativo – Obligatoriedad </w:t>
      </w:r>
    </w:p>
    <w:p w14:paraId="44516729" w14:textId="77777777" w:rsidR="000B2E9C" w:rsidRPr="005C223A" w:rsidRDefault="000B2E9C" w:rsidP="000B2E9C">
      <w:pPr>
        <w:spacing w:after="0" w:line="276" w:lineRule="auto"/>
        <w:jc w:val="both"/>
        <w:rPr>
          <w:rFonts w:ascii="Verdana" w:eastAsia="Calibri" w:hAnsi="Verdana" w:cs="Arial"/>
          <w:b/>
          <w:bCs/>
          <w:sz w:val="20"/>
          <w:szCs w:val="20"/>
          <w:lang w:val="es-ES_tradnl"/>
        </w:rPr>
      </w:pPr>
    </w:p>
    <w:p w14:paraId="01EF61A5" w14:textId="77777777" w:rsidR="000B2E9C" w:rsidRPr="005C223A" w:rsidRDefault="000B2E9C" w:rsidP="000B2E9C">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5C223A">
        <w:rPr>
          <w:rFonts w:ascii="Verdana" w:eastAsia="Times New Roman" w:hAnsi="Verdana" w:cs="Arial"/>
          <w:kern w:val="2"/>
          <w:sz w:val="20"/>
          <w:szCs w:val="20"/>
          <w:shd w:val="clear" w:color="auto" w:fill="FFFFFF"/>
          <w:lang w:val="es-ES_tradnl" w:eastAsia="es-ES_tradnl"/>
          <w14:ligatures w14:val="standardContextual"/>
        </w:rPr>
        <w:t xml:space="preserve">Los documentos tipo expedidos por la Agencia Nacional de Contratación Pública </w:t>
      </w:r>
      <w:r w:rsidRPr="005C223A">
        <w:rPr>
          <w:rFonts w:ascii="Verdana" w:eastAsia="Times New Roman" w:hAnsi="Verdana" w:cs="Arial"/>
          <w:kern w:val="2"/>
          <w:sz w:val="20"/>
          <w:szCs w:val="20"/>
          <w:shd w:val="clear" w:color="auto" w:fill="FFFFFF"/>
          <w:lang w:val="es-ES_tradnl" w:eastAsia="es-ES_tradnl"/>
          <w14:ligatures w14:val="standardContextual"/>
        </w:rPr>
        <w:sym w:font="Symbol" w:char="F02D"/>
      </w:r>
      <w:r w:rsidRPr="005C223A">
        <w:rPr>
          <w:rFonts w:ascii="Verdana" w:eastAsia="Times New Roman" w:hAnsi="Verdana" w:cs="Arial"/>
          <w:kern w:val="2"/>
          <w:sz w:val="20"/>
          <w:szCs w:val="20"/>
          <w:shd w:val="clear" w:color="auto" w:fill="FFFFFF"/>
          <w:lang w:val="es-ES_tradnl" w:eastAsia="es-ES_tradnl"/>
          <w14:ligatures w14:val="standardContextua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5781B0EF" w14:textId="77777777" w:rsidR="000B2E9C" w:rsidRPr="005C223A" w:rsidRDefault="000B2E9C" w:rsidP="000B2E9C">
      <w:pPr>
        <w:spacing w:after="0" w:line="276" w:lineRule="auto"/>
        <w:jc w:val="both"/>
        <w:rPr>
          <w:rFonts w:ascii="Verdana" w:eastAsia="Calibri" w:hAnsi="Verdana" w:cs="Arial"/>
          <w:b/>
          <w:bCs/>
          <w:sz w:val="20"/>
          <w:szCs w:val="20"/>
          <w:lang w:val="es-ES_tradnl"/>
        </w:rPr>
      </w:pPr>
    </w:p>
    <w:p w14:paraId="256DB14C" w14:textId="77777777" w:rsidR="000B2E9C" w:rsidRPr="005C223A" w:rsidRDefault="000B2E9C" w:rsidP="000B2E9C">
      <w:pPr>
        <w:spacing w:after="0" w:line="276" w:lineRule="auto"/>
        <w:jc w:val="both"/>
        <w:rPr>
          <w:rFonts w:ascii="Verdana" w:eastAsia="Geomanist Light" w:hAnsi="Verdana" w:cs="Arial"/>
          <w:b/>
          <w:bCs/>
          <w:sz w:val="20"/>
          <w:szCs w:val="20"/>
          <w:lang w:val="es-ES_tradnl"/>
        </w:rPr>
      </w:pPr>
      <w:r w:rsidRPr="005C223A">
        <w:rPr>
          <w:rFonts w:ascii="Verdana" w:eastAsia="Calibri" w:hAnsi="Verdana" w:cs="Arial"/>
          <w:b/>
          <w:bCs/>
          <w:sz w:val="20"/>
          <w:szCs w:val="20"/>
          <w:lang w:val="es-ES_tradnl"/>
        </w:rPr>
        <w:t>DOCUMENTOS TIPO – Inalterabilidad</w:t>
      </w:r>
    </w:p>
    <w:p w14:paraId="7C376D5F" w14:textId="77777777" w:rsidR="000B2E9C" w:rsidRPr="005C223A" w:rsidRDefault="000B2E9C" w:rsidP="000B2E9C">
      <w:pPr>
        <w:spacing w:after="0" w:line="276" w:lineRule="auto"/>
        <w:jc w:val="both"/>
        <w:rPr>
          <w:rFonts w:ascii="Verdana" w:eastAsia="Geomanist Light" w:hAnsi="Verdana" w:cs="Arial"/>
          <w:sz w:val="20"/>
          <w:szCs w:val="20"/>
          <w:lang w:val="es-ES_tradnl"/>
        </w:rPr>
      </w:pPr>
    </w:p>
    <w:p w14:paraId="756BE1A0" w14:textId="77777777" w:rsidR="000B2E9C" w:rsidRPr="005C223A" w:rsidRDefault="000B2E9C" w:rsidP="000B2E9C">
      <w:pPr>
        <w:spacing w:after="0" w:line="240" w:lineRule="auto"/>
        <w:jc w:val="both"/>
        <w:rPr>
          <w:rFonts w:ascii="Verdana" w:eastAsia="Geomanist Light" w:hAnsi="Verdana" w:cs="Arial"/>
          <w:sz w:val="20"/>
          <w:szCs w:val="20"/>
          <w:lang w:val="es-ES_tradnl"/>
        </w:rPr>
      </w:pPr>
      <w:r w:rsidRPr="005C223A">
        <w:rPr>
          <w:rFonts w:ascii="Verdana" w:eastAsia="Calibri" w:hAnsi="Verdana" w:cs="Arial"/>
          <w:sz w:val="20"/>
          <w:szCs w:val="20"/>
        </w:rPr>
        <w:t>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los Documentos Tipo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w:t>
      </w:r>
    </w:p>
    <w:p w14:paraId="46BBAABD" w14:textId="77777777" w:rsidR="000B2E9C" w:rsidRPr="005C223A" w:rsidRDefault="000B2E9C" w:rsidP="000B2E9C">
      <w:pPr>
        <w:spacing w:after="0" w:line="276" w:lineRule="auto"/>
        <w:jc w:val="both"/>
        <w:rPr>
          <w:rFonts w:ascii="Verdana" w:eastAsia="Geomanist Light" w:hAnsi="Verdana" w:cs="Arial"/>
          <w:sz w:val="20"/>
          <w:szCs w:val="20"/>
          <w:lang w:val="es-ES_tradnl"/>
        </w:rPr>
      </w:pPr>
    </w:p>
    <w:p w14:paraId="2891F8FE" w14:textId="77777777" w:rsidR="000B2E9C" w:rsidRPr="005C223A" w:rsidRDefault="000B2E9C" w:rsidP="000B2E9C">
      <w:pPr>
        <w:shd w:val="clear" w:color="auto" w:fill="FFFFFF"/>
        <w:spacing w:after="0" w:line="276" w:lineRule="auto"/>
        <w:jc w:val="both"/>
        <w:rPr>
          <w:rFonts w:ascii="Verdana" w:eastAsia="Calibri" w:hAnsi="Verdana" w:cs="Arial"/>
          <w:b/>
          <w:color w:val="000000"/>
          <w:sz w:val="20"/>
          <w:szCs w:val="20"/>
          <w:lang w:eastAsia="es-ES_tradnl"/>
        </w:rPr>
      </w:pPr>
      <w:r w:rsidRPr="005C223A">
        <w:rPr>
          <w:rFonts w:ascii="Verdana" w:eastAsia="Calibri" w:hAnsi="Verdana" w:cs="Arial"/>
          <w:b/>
          <w:color w:val="000000"/>
          <w:sz w:val="20"/>
          <w:szCs w:val="20"/>
          <w:lang w:eastAsia="es-ES_tradnl"/>
        </w:rPr>
        <w:t>DOCUMENTOS TIPO − Matriz 1 – Experiencia − Aplicación</w:t>
      </w:r>
    </w:p>
    <w:p w14:paraId="0309E412" w14:textId="77777777" w:rsidR="000B2E9C" w:rsidRPr="005C223A" w:rsidRDefault="000B2E9C" w:rsidP="000B2E9C">
      <w:pPr>
        <w:spacing w:after="0" w:line="276" w:lineRule="auto"/>
        <w:ind w:right="51"/>
        <w:jc w:val="both"/>
        <w:rPr>
          <w:rFonts w:ascii="Verdana" w:eastAsia="Calibri" w:hAnsi="Verdana" w:cs="Arial"/>
          <w:sz w:val="20"/>
          <w:szCs w:val="20"/>
          <w:lang w:val="es-MX"/>
        </w:rPr>
      </w:pPr>
    </w:p>
    <w:p w14:paraId="2D7F3811" w14:textId="77777777" w:rsidR="000B2E9C" w:rsidRPr="005C223A" w:rsidRDefault="000B2E9C" w:rsidP="000B2E9C">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5C223A">
        <w:rPr>
          <w:rFonts w:ascii="Verdana" w:eastAsia="Times New Roman" w:hAnsi="Verdana" w:cs="Arial"/>
          <w:kern w:val="2"/>
          <w:sz w:val="20"/>
          <w:szCs w:val="20"/>
          <w:shd w:val="clear" w:color="auto" w:fill="FFFFFF"/>
          <w:lang w:val="es-ES_tradnl" w:eastAsia="es-ES_tradnl"/>
          <w14:ligatures w14:val="standardContextual"/>
        </w:rPr>
        <w:t>(…) 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 adoptados por esta Agencia.</w:t>
      </w:r>
    </w:p>
    <w:p w14:paraId="0496C07E" w14:textId="77777777" w:rsidR="000B2E9C" w:rsidRPr="005C223A" w:rsidRDefault="000B2E9C" w:rsidP="000B2E9C">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p>
    <w:p w14:paraId="266363DD" w14:textId="77777777" w:rsidR="000B2E9C" w:rsidRPr="005C223A" w:rsidRDefault="000B2E9C" w:rsidP="000B2E9C">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5C223A">
        <w:rPr>
          <w:rFonts w:ascii="Verdana" w:eastAsia="Times New Roman" w:hAnsi="Verdana" w:cs="Arial"/>
          <w:kern w:val="2"/>
          <w:sz w:val="20"/>
          <w:szCs w:val="20"/>
          <w:shd w:val="clear" w:color="auto" w:fill="FFFFFF"/>
          <w:lang w:val="es-ES_tradnl" w:eastAsia="es-ES_tradnl"/>
          <w14:ligatures w14:val="standardContextual"/>
        </w:rPr>
        <w:t>Conforme a lo anterior, 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4DFAD0B4" w14:textId="77777777" w:rsidR="000B2E9C" w:rsidRPr="005C223A" w:rsidRDefault="000B2E9C" w:rsidP="000B2E9C">
      <w:pPr>
        <w:spacing w:after="0" w:line="240" w:lineRule="auto"/>
        <w:rPr>
          <w:rFonts w:ascii="Verdana" w:eastAsia="Geomanist Light" w:hAnsi="Verdana" w:cs="Arial"/>
          <w:sz w:val="20"/>
          <w:szCs w:val="20"/>
          <w:lang w:val="es-MX"/>
        </w:rPr>
      </w:pPr>
    </w:p>
    <w:p w14:paraId="2A2564CE" w14:textId="77777777" w:rsidR="000B2E9C" w:rsidRPr="005C223A" w:rsidRDefault="000B2E9C" w:rsidP="000B2E9C">
      <w:pPr>
        <w:spacing w:after="0" w:line="240" w:lineRule="auto"/>
        <w:rPr>
          <w:rFonts w:ascii="Verdana" w:eastAsia="Calibri" w:hAnsi="Verdana" w:cs="Arial"/>
          <w:b/>
          <w:color w:val="000000"/>
          <w:sz w:val="20"/>
          <w:szCs w:val="20"/>
          <w:lang w:eastAsia="es-ES_tradnl"/>
        </w:rPr>
      </w:pPr>
      <w:r w:rsidRPr="005C223A">
        <w:rPr>
          <w:rFonts w:ascii="Verdana" w:eastAsia="Calibri" w:hAnsi="Verdana" w:cs="Arial"/>
          <w:b/>
          <w:color w:val="000000"/>
          <w:sz w:val="20"/>
          <w:szCs w:val="20"/>
          <w:lang w:eastAsia="es-ES_tradnl"/>
        </w:rPr>
        <w:t>DOCUMENTOS TIPO − Matriz 1 – Infraestructura eléctrica – Alumbrado solar</w:t>
      </w:r>
    </w:p>
    <w:p w14:paraId="7798FD63" w14:textId="77777777" w:rsidR="000B2E9C" w:rsidRPr="005C223A" w:rsidRDefault="000B2E9C" w:rsidP="000B2E9C">
      <w:pPr>
        <w:spacing w:after="0" w:line="240" w:lineRule="auto"/>
        <w:rPr>
          <w:rFonts w:ascii="Verdana" w:eastAsia="Calibri" w:hAnsi="Verdana" w:cs="Arial"/>
          <w:b/>
          <w:color w:val="000000"/>
          <w:sz w:val="20"/>
          <w:szCs w:val="20"/>
          <w:lang w:eastAsia="es-ES_tradnl"/>
        </w:rPr>
      </w:pPr>
    </w:p>
    <w:p w14:paraId="433DB4E7" w14:textId="77777777" w:rsidR="000B2E9C" w:rsidRPr="005C223A" w:rsidRDefault="000B2E9C" w:rsidP="000B2E9C">
      <w:pPr>
        <w:snapToGrid w:val="0"/>
        <w:spacing w:after="0" w:line="276"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5C223A">
        <w:rPr>
          <w:rFonts w:ascii="Verdana" w:eastAsia="Times New Roman" w:hAnsi="Verdana" w:cs="Arial"/>
          <w:kern w:val="2"/>
          <w:sz w:val="20"/>
          <w:szCs w:val="20"/>
          <w:shd w:val="clear" w:color="auto" w:fill="FFFFFF"/>
          <w:lang w:val="es-ES_tradnl" w:eastAsia="es-ES_tradnl"/>
          <w14:ligatures w14:val="standardContextual"/>
        </w:rPr>
        <w:t xml:space="preserve">En relación con la actividad “infraestructura eléctrica” la Matriz 1, de los documentos tipo de licitación de obra pública de infraestructura de transporte – versión 4, establece </w:t>
      </w:r>
      <w:r w:rsidRPr="005C223A">
        <w:rPr>
          <w:rFonts w:ascii="Verdana" w:eastAsia="Times New Roman" w:hAnsi="Verdana" w:cs="Arial"/>
          <w:kern w:val="2"/>
          <w:sz w:val="20"/>
          <w:szCs w:val="20"/>
          <w:shd w:val="clear" w:color="auto" w:fill="FFFFFF"/>
          <w:lang w:val="es-ES_tradnl" w:eastAsia="es-ES_tradnl"/>
          <w14:ligatures w14:val="standardContextual"/>
        </w:rPr>
        <w:lastRenderedPageBreak/>
        <w:t xml:space="preserve">la siguiente actividad para obras en vías primarias y secundarias: “1.9. PROYECTOS DE INSTALACION O MANTENIMIENTO CORRECTIVO O MANTENIMIENTO PREVENTIVO O AMPLIACIÓN DE INFRAESTRUCTURA ELECTRICA ASOCIADA A LA INFRAESTRUCTURA DE TRANSPORTE EN VIAS PRIMARIAS O SECUNDARIAS” </w:t>
      </w:r>
    </w:p>
    <w:p w14:paraId="3151D829" w14:textId="77777777" w:rsidR="000B2E9C" w:rsidRPr="005C223A" w:rsidRDefault="000B2E9C" w:rsidP="000B2E9C">
      <w:pPr>
        <w:pStyle w:val="Prrafodelista"/>
        <w:spacing w:after="0"/>
        <w:contextualSpacing w:val="0"/>
        <w:rPr>
          <w:rFonts w:ascii="Verdana" w:eastAsia="Times New Roman" w:hAnsi="Verdana" w:cs="Arial"/>
          <w:kern w:val="2"/>
          <w:sz w:val="20"/>
          <w:szCs w:val="20"/>
          <w:shd w:val="clear" w:color="auto" w:fill="FFFFFF"/>
          <w:lang w:val="es-ES_tradnl" w:eastAsia="es-ES_tradnl"/>
          <w14:ligatures w14:val="standardContextual"/>
        </w:rPr>
      </w:pPr>
    </w:p>
    <w:p w14:paraId="2BDE795C" w14:textId="77777777" w:rsidR="000B2E9C" w:rsidRPr="005C223A" w:rsidRDefault="000B2E9C" w:rsidP="000B2E9C">
      <w:pPr>
        <w:snapToGrid w:val="0"/>
        <w:spacing w:after="0" w:line="276"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5C223A">
        <w:rPr>
          <w:rFonts w:ascii="Verdana" w:eastAsia="Times New Roman" w:hAnsi="Verdana" w:cs="Arial"/>
          <w:kern w:val="2"/>
          <w:sz w:val="20"/>
          <w:szCs w:val="20"/>
          <w:shd w:val="clear" w:color="auto" w:fill="FFFFFF"/>
          <w:lang w:val="es-ES_tradnl" w:eastAsia="es-ES_tradnl"/>
          <w14:ligatures w14:val="standardContextual"/>
        </w:rPr>
        <w:t>Para determinar el alcance de la actividad señalada, debe indicarse que, por “infraestructura eléctrica” se entiende al conjunto de instalaciones, equipos y sistemas encargados de generar, transmitir, distribuir y controlar la energía eléctrica.</w:t>
      </w:r>
    </w:p>
    <w:p w14:paraId="10E27772" w14:textId="77777777" w:rsidR="000B2E9C" w:rsidRPr="005C223A" w:rsidRDefault="000B2E9C" w:rsidP="000B2E9C">
      <w:pPr>
        <w:pStyle w:val="Prrafodelista"/>
        <w:spacing w:after="0"/>
        <w:contextualSpacing w:val="0"/>
        <w:rPr>
          <w:rFonts w:ascii="Verdana" w:eastAsia="Times New Roman" w:hAnsi="Verdana" w:cs="Arial"/>
          <w:kern w:val="2"/>
          <w:sz w:val="20"/>
          <w:szCs w:val="20"/>
          <w:shd w:val="clear" w:color="auto" w:fill="FFFFFF"/>
          <w:lang w:val="es-ES_tradnl" w:eastAsia="es-ES_tradnl"/>
          <w14:ligatures w14:val="standardContextual"/>
        </w:rPr>
      </w:pPr>
    </w:p>
    <w:p w14:paraId="5B0D0CA8" w14:textId="77777777" w:rsidR="000B2E9C" w:rsidRPr="005C223A" w:rsidRDefault="000B2E9C" w:rsidP="000B2E9C">
      <w:pPr>
        <w:snapToGrid w:val="0"/>
        <w:spacing w:after="0" w:line="276"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5C223A">
        <w:rPr>
          <w:rFonts w:ascii="Verdana" w:eastAsia="Times New Roman" w:hAnsi="Verdana" w:cs="Arial"/>
          <w:kern w:val="2"/>
          <w:sz w:val="20"/>
          <w:szCs w:val="20"/>
          <w:shd w:val="clear" w:color="auto" w:fill="FFFFFF"/>
          <w:lang w:val="es-ES_tradnl" w:eastAsia="es-ES_tradnl"/>
          <w14:ligatures w14:val="standardContextual"/>
        </w:rPr>
        <w:t>Una red de alumbrado público compuesta por paneles solares o por un kit solar, podría considerarse una infraestructura eléctrica, aunque se diferencia de las infraestructuras eléctricas.</w:t>
      </w:r>
    </w:p>
    <w:p w14:paraId="1EAB645F" w14:textId="77777777" w:rsidR="000B2E9C" w:rsidRPr="005C223A" w:rsidRDefault="000B2E9C" w:rsidP="000B2E9C">
      <w:pPr>
        <w:snapToGrid w:val="0"/>
        <w:spacing w:after="0" w:line="276" w:lineRule="auto"/>
        <w:ind w:left="720"/>
        <w:jc w:val="both"/>
        <w:rPr>
          <w:rFonts w:ascii="Verdana" w:eastAsia="Times New Roman" w:hAnsi="Verdana" w:cs="Arial"/>
          <w:kern w:val="2"/>
          <w:sz w:val="20"/>
          <w:szCs w:val="20"/>
          <w:shd w:val="clear" w:color="auto" w:fill="FFFFFF"/>
          <w:lang w:val="es-ES_tradnl" w:eastAsia="es-ES_tradnl"/>
          <w14:ligatures w14:val="standardContextual"/>
        </w:rPr>
      </w:pPr>
    </w:p>
    <w:p w14:paraId="30365419" w14:textId="77777777" w:rsidR="000B2E9C" w:rsidRPr="005C223A" w:rsidRDefault="000B2E9C" w:rsidP="000B2E9C">
      <w:pPr>
        <w:snapToGrid w:val="0"/>
        <w:spacing w:after="0" w:line="276"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5C223A">
        <w:rPr>
          <w:rFonts w:ascii="Verdana" w:eastAsia="Times New Roman" w:hAnsi="Verdana" w:cs="Arial"/>
          <w:kern w:val="2"/>
          <w:sz w:val="20"/>
          <w:szCs w:val="20"/>
          <w:shd w:val="clear" w:color="auto" w:fill="FFFFFF"/>
          <w:lang w:val="es-ES_tradnl" w:eastAsia="es-ES_tradnl"/>
          <w14:ligatures w14:val="standardContextual"/>
        </w:rPr>
        <w:t>Este tipo de red solar tiene la ventaja de ser independiente de la red eléctrica convencional y es más sostenible. Sin embargo, aunque el sistema de alumbrado público solar no esté completamente vinculado a una red eléctrica tradicional de distribución, -en principio- sí forma parte de las infraestructuras eléctricas, especialmente en un contexto de transición hacia energías renovables y sostenibles.</w:t>
      </w:r>
    </w:p>
    <w:p w14:paraId="2F4516C7" w14:textId="77777777" w:rsidR="000B2E9C" w:rsidRPr="007D7985" w:rsidRDefault="000B2E9C" w:rsidP="000B2E9C">
      <w:pPr>
        <w:spacing w:after="0" w:line="240" w:lineRule="auto"/>
        <w:rPr>
          <w:rFonts w:ascii="Verdana" w:eastAsia="Geomanist Light" w:hAnsi="Verdana" w:cs="Arial"/>
          <w:lang w:val="es-MX"/>
        </w:rPr>
      </w:pPr>
    </w:p>
    <w:p w14:paraId="0887A604" w14:textId="77777777" w:rsidR="000B2E9C" w:rsidRDefault="000B2E9C" w:rsidP="000B2E9C">
      <w:pPr>
        <w:spacing w:after="0" w:line="240" w:lineRule="auto"/>
        <w:rPr>
          <w:rFonts w:ascii="Verdana" w:eastAsia="Geomanist Light" w:hAnsi="Verdana" w:cs="Arial"/>
          <w:lang w:val="es-MX"/>
        </w:rPr>
      </w:pPr>
    </w:p>
    <w:p w14:paraId="56F89323" w14:textId="77777777" w:rsidR="000B2E9C" w:rsidRDefault="000B2E9C" w:rsidP="000B2E9C">
      <w:pPr>
        <w:spacing w:after="0" w:line="240" w:lineRule="auto"/>
        <w:rPr>
          <w:rFonts w:ascii="Verdana" w:eastAsia="Geomanist Light" w:hAnsi="Verdana" w:cs="Arial"/>
          <w:lang w:val="es-MX"/>
        </w:rPr>
      </w:pPr>
    </w:p>
    <w:p w14:paraId="19317B96" w14:textId="77777777" w:rsidR="000B2E9C" w:rsidRDefault="000B2E9C" w:rsidP="000B2E9C">
      <w:pPr>
        <w:spacing w:after="0" w:line="240" w:lineRule="auto"/>
        <w:rPr>
          <w:rFonts w:ascii="Verdana" w:eastAsia="Geomanist Light" w:hAnsi="Verdana" w:cs="Arial"/>
          <w:lang w:val="es-MX"/>
        </w:rPr>
      </w:pPr>
    </w:p>
    <w:p w14:paraId="1A5EE31D" w14:textId="77777777" w:rsidR="000B2E9C" w:rsidRDefault="000B2E9C" w:rsidP="000B2E9C">
      <w:pPr>
        <w:spacing w:after="0" w:line="240" w:lineRule="auto"/>
        <w:rPr>
          <w:rFonts w:ascii="Verdana" w:eastAsia="Geomanist Light" w:hAnsi="Verdana" w:cs="Arial"/>
          <w:lang w:val="es-MX"/>
        </w:rPr>
      </w:pPr>
    </w:p>
    <w:p w14:paraId="453B9D29" w14:textId="77777777" w:rsidR="000B2E9C" w:rsidRDefault="000B2E9C" w:rsidP="000B2E9C">
      <w:pPr>
        <w:spacing w:after="0" w:line="240" w:lineRule="auto"/>
        <w:rPr>
          <w:rFonts w:ascii="Verdana" w:eastAsia="Geomanist Light" w:hAnsi="Verdana" w:cs="Arial"/>
          <w:lang w:val="es-MX"/>
        </w:rPr>
      </w:pPr>
    </w:p>
    <w:p w14:paraId="1B090EA1" w14:textId="77777777" w:rsidR="000B2E9C" w:rsidRDefault="000B2E9C" w:rsidP="000B2E9C">
      <w:pPr>
        <w:spacing w:after="0" w:line="240" w:lineRule="auto"/>
        <w:rPr>
          <w:rFonts w:ascii="Verdana" w:eastAsia="Geomanist Light" w:hAnsi="Verdana" w:cs="Arial"/>
          <w:lang w:val="es-MX"/>
        </w:rPr>
      </w:pPr>
    </w:p>
    <w:p w14:paraId="4582FD12" w14:textId="77777777" w:rsidR="000B2E9C" w:rsidRDefault="000B2E9C" w:rsidP="000B2E9C">
      <w:pPr>
        <w:spacing w:after="0" w:line="240" w:lineRule="auto"/>
        <w:rPr>
          <w:rFonts w:ascii="Verdana" w:eastAsia="Geomanist Light" w:hAnsi="Verdana" w:cs="Arial"/>
          <w:lang w:val="es-MX"/>
        </w:rPr>
      </w:pPr>
    </w:p>
    <w:p w14:paraId="4D33796C" w14:textId="77777777" w:rsidR="000B2E9C" w:rsidRDefault="000B2E9C" w:rsidP="000B2E9C">
      <w:pPr>
        <w:spacing w:after="0" w:line="240" w:lineRule="auto"/>
        <w:rPr>
          <w:rFonts w:ascii="Verdana" w:eastAsia="Geomanist Light" w:hAnsi="Verdana" w:cs="Arial"/>
          <w:lang w:val="es-MX"/>
        </w:rPr>
      </w:pPr>
    </w:p>
    <w:p w14:paraId="4AC614ED" w14:textId="77777777" w:rsidR="000B2E9C" w:rsidRDefault="000B2E9C" w:rsidP="000B2E9C">
      <w:pPr>
        <w:spacing w:after="0" w:line="240" w:lineRule="auto"/>
        <w:rPr>
          <w:rFonts w:ascii="Verdana" w:eastAsia="Geomanist Light" w:hAnsi="Verdana" w:cs="Arial"/>
          <w:lang w:val="es-MX"/>
        </w:rPr>
      </w:pPr>
    </w:p>
    <w:p w14:paraId="2C1DA922" w14:textId="77777777" w:rsidR="000B2E9C" w:rsidRDefault="000B2E9C" w:rsidP="000B2E9C">
      <w:pPr>
        <w:spacing w:after="0" w:line="240" w:lineRule="auto"/>
        <w:rPr>
          <w:rFonts w:ascii="Verdana" w:eastAsia="Geomanist Light" w:hAnsi="Verdana" w:cs="Arial"/>
          <w:lang w:val="es-MX"/>
        </w:rPr>
      </w:pPr>
    </w:p>
    <w:p w14:paraId="08EE3973" w14:textId="77777777" w:rsidR="000B2E9C" w:rsidRDefault="000B2E9C" w:rsidP="000B2E9C">
      <w:pPr>
        <w:spacing w:after="0" w:line="240" w:lineRule="auto"/>
        <w:rPr>
          <w:rFonts w:ascii="Verdana" w:eastAsia="Geomanist Light" w:hAnsi="Verdana" w:cs="Arial"/>
          <w:lang w:val="es-MX"/>
        </w:rPr>
      </w:pPr>
    </w:p>
    <w:p w14:paraId="361E97D1" w14:textId="77777777" w:rsidR="000B2E9C" w:rsidRDefault="000B2E9C" w:rsidP="000B2E9C">
      <w:pPr>
        <w:spacing w:after="0" w:line="240" w:lineRule="auto"/>
        <w:rPr>
          <w:rFonts w:ascii="Verdana" w:eastAsia="Geomanist Light" w:hAnsi="Verdana" w:cs="Arial"/>
          <w:lang w:val="es-MX"/>
        </w:rPr>
      </w:pPr>
    </w:p>
    <w:p w14:paraId="4EB2F8C1" w14:textId="77777777" w:rsidR="000B2E9C" w:rsidRDefault="000B2E9C" w:rsidP="000B2E9C">
      <w:pPr>
        <w:spacing w:after="0" w:line="240" w:lineRule="auto"/>
        <w:rPr>
          <w:rFonts w:ascii="Verdana" w:eastAsia="Geomanist Light" w:hAnsi="Verdana" w:cs="Arial"/>
          <w:lang w:val="es-MX"/>
        </w:rPr>
      </w:pPr>
    </w:p>
    <w:p w14:paraId="42FDD70F" w14:textId="77777777" w:rsidR="000B2E9C" w:rsidRDefault="000B2E9C" w:rsidP="000B2E9C">
      <w:pPr>
        <w:spacing w:after="0" w:line="240" w:lineRule="auto"/>
        <w:rPr>
          <w:rFonts w:ascii="Verdana" w:eastAsia="Geomanist Light" w:hAnsi="Verdana" w:cs="Arial"/>
          <w:lang w:val="es-MX"/>
        </w:rPr>
      </w:pPr>
    </w:p>
    <w:p w14:paraId="1F303736" w14:textId="77777777" w:rsidR="000B2E9C" w:rsidRDefault="000B2E9C" w:rsidP="000B2E9C">
      <w:pPr>
        <w:spacing w:after="0" w:line="240" w:lineRule="auto"/>
        <w:rPr>
          <w:rFonts w:ascii="Verdana" w:eastAsia="Geomanist Light" w:hAnsi="Verdana" w:cs="Arial"/>
          <w:lang w:val="es-MX"/>
        </w:rPr>
      </w:pPr>
    </w:p>
    <w:p w14:paraId="17C2E784" w14:textId="77777777" w:rsidR="000B2E9C" w:rsidRDefault="000B2E9C" w:rsidP="000B2E9C">
      <w:pPr>
        <w:spacing w:after="0" w:line="240" w:lineRule="auto"/>
        <w:rPr>
          <w:rFonts w:ascii="Verdana" w:eastAsia="Geomanist Light" w:hAnsi="Verdana" w:cs="Arial"/>
          <w:lang w:val="es-MX"/>
        </w:rPr>
      </w:pPr>
    </w:p>
    <w:p w14:paraId="2B385EB6" w14:textId="77777777" w:rsidR="000B2E9C" w:rsidRDefault="000B2E9C" w:rsidP="000B2E9C">
      <w:pPr>
        <w:spacing w:after="0" w:line="240" w:lineRule="auto"/>
        <w:rPr>
          <w:rFonts w:ascii="Verdana" w:eastAsia="Geomanist Light" w:hAnsi="Verdana" w:cs="Arial"/>
          <w:lang w:val="es-MX"/>
        </w:rPr>
      </w:pPr>
    </w:p>
    <w:p w14:paraId="2C9648F4" w14:textId="77777777" w:rsidR="000B2E9C" w:rsidRDefault="000B2E9C" w:rsidP="000B2E9C">
      <w:pPr>
        <w:spacing w:after="0" w:line="240" w:lineRule="auto"/>
        <w:rPr>
          <w:rFonts w:ascii="Verdana" w:eastAsia="Geomanist Light" w:hAnsi="Verdana" w:cs="Arial"/>
          <w:lang w:val="es-MX"/>
        </w:rPr>
      </w:pPr>
    </w:p>
    <w:p w14:paraId="1C799481" w14:textId="77777777" w:rsidR="000B2E9C" w:rsidRDefault="000B2E9C" w:rsidP="000B2E9C">
      <w:pPr>
        <w:spacing w:after="0" w:line="240" w:lineRule="auto"/>
        <w:rPr>
          <w:rFonts w:ascii="Verdana" w:eastAsia="Geomanist Light" w:hAnsi="Verdana" w:cs="Arial"/>
          <w:lang w:val="es-MX"/>
        </w:rPr>
      </w:pPr>
    </w:p>
    <w:p w14:paraId="7F42E6DC" w14:textId="77777777" w:rsidR="000B2E9C" w:rsidRDefault="000B2E9C" w:rsidP="000B2E9C">
      <w:pPr>
        <w:spacing w:after="0" w:line="240" w:lineRule="auto"/>
        <w:rPr>
          <w:rFonts w:ascii="Verdana" w:eastAsia="Geomanist Light" w:hAnsi="Verdana" w:cs="Arial"/>
          <w:lang w:val="es-MX"/>
        </w:rPr>
      </w:pPr>
    </w:p>
    <w:p w14:paraId="449F897F" w14:textId="77777777" w:rsidR="000B2E9C" w:rsidRDefault="000B2E9C" w:rsidP="000B2E9C">
      <w:pPr>
        <w:spacing w:after="0" w:line="240" w:lineRule="auto"/>
        <w:rPr>
          <w:rFonts w:ascii="Verdana" w:eastAsia="Geomanist Light" w:hAnsi="Verdana" w:cs="Arial"/>
          <w:lang w:val="es-MX"/>
        </w:rPr>
      </w:pPr>
    </w:p>
    <w:p w14:paraId="376AA57A" w14:textId="77777777" w:rsidR="000B2E9C" w:rsidRDefault="000B2E9C" w:rsidP="000B2E9C">
      <w:pPr>
        <w:spacing w:after="0" w:line="240" w:lineRule="auto"/>
        <w:rPr>
          <w:rFonts w:ascii="Verdana" w:eastAsia="Geomanist Light" w:hAnsi="Verdana" w:cs="Arial"/>
          <w:lang w:val="es-MX"/>
        </w:rPr>
      </w:pPr>
    </w:p>
    <w:p w14:paraId="115B1915" w14:textId="77777777" w:rsidR="000B2E9C" w:rsidRDefault="000B2E9C" w:rsidP="000B2E9C">
      <w:pPr>
        <w:spacing w:after="0" w:line="240" w:lineRule="auto"/>
        <w:rPr>
          <w:rFonts w:ascii="Verdana" w:eastAsia="Geomanist Light" w:hAnsi="Verdana" w:cs="Arial"/>
          <w:lang w:val="es-MX"/>
        </w:rPr>
      </w:pPr>
    </w:p>
    <w:p w14:paraId="6EDDF359" w14:textId="77777777" w:rsidR="000B2E9C" w:rsidRDefault="000B2E9C" w:rsidP="000B2E9C">
      <w:pPr>
        <w:spacing w:after="0" w:line="240" w:lineRule="auto"/>
        <w:rPr>
          <w:rFonts w:ascii="Verdana" w:eastAsia="Geomanist Light" w:hAnsi="Verdana" w:cs="Arial"/>
          <w:lang w:val="es-MX"/>
        </w:rPr>
      </w:pPr>
    </w:p>
    <w:p w14:paraId="53CD8A6D" w14:textId="77777777" w:rsidR="000B2E9C" w:rsidRDefault="000B2E9C" w:rsidP="000B2E9C">
      <w:pPr>
        <w:spacing w:after="0" w:line="240" w:lineRule="auto"/>
        <w:rPr>
          <w:rFonts w:ascii="Verdana" w:eastAsia="Geomanist Light" w:hAnsi="Verdana" w:cs="Arial"/>
          <w:lang w:val="es-MX"/>
        </w:rPr>
      </w:pPr>
    </w:p>
    <w:p w14:paraId="0F44636C" w14:textId="7A202478" w:rsidR="000B2E9C" w:rsidRDefault="00461F37" w:rsidP="000B2E9C">
      <w:pPr>
        <w:spacing w:after="0" w:line="240" w:lineRule="auto"/>
        <w:rPr>
          <w:rFonts w:ascii="Verdana" w:eastAsia="Geomanist Light" w:hAnsi="Verdana" w:cs="Arial"/>
          <w:lang w:val="es-MX"/>
        </w:rPr>
      </w:pPr>
      <w:r w:rsidRPr="00461F37">
        <w:rPr>
          <w:rFonts w:ascii="Verdana" w:eastAsia="Calibri" w:hAnsi="Verdana" w:cs="Arial"/>
          <w:noProof/>
          <w:lang w:val="es-MX" w:eastAsia="es-ES"/>
        </w:rPr>
        <w:drawing>
          <wp:anchor distT="0" distB="0" distL="114300" distR="114300" simplePos="0" relativeHeight="251658240" behindDoc="0" locked="0" layoutInCell="1" allowOverlap="1" wp14:anchorId="53B25F39" wp14:editId="5E236C73">
            <wp:simplePos x="0" y="0"/>
            <wp:positionH relativeFrom="column">
              <wp:posOffset>3110865</wp:posOffset>
            </wp:positionH>
            <wp:positionV relativeFrom="paragraph">
              <wp:posOffset>-143510</wp:posOffset>
            </wp:positionV>
            <wp:extent cx="3119438" cy="938513"/>
            <wp:effectExtent l="0" t="0" r="5080" b="0"/>
            <wp:wrapNone/>
            <wp:docPr id="271741611" name="Imagen 1" descr="Texto, Chat o mensaje de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741611" name="Imagen 1" descr="Texto, Chat o mensaje de texto"/>
                    <pic:cNvPicPr/>
                  </pic:nvPicPr>
                  <pic:blipFill>
                    <a:blip r:embed="rId10">
                      <a:extLst>
                        <a:ext uri="{28A0092B-C50C-407E-A947-70E740481C1C}">
                          <a14:useLocalDpi xmlns:a14="http://schemas.microsoft.com/office/drawing/2010/main" val="0"/>
                        </a:ext>
                      </a:extLst>
                    </a:blip>
                    <a:stretch>
                      <a:fillRect/>
                    </a:stretch>
                  </pic:blipFill>
                  <pic:spPr>
                    <a:xfrm>
                      <a:off x="0" y="0"/>
                      <a:ext cx="3125574" cy="940359"/>
                    </a:xfrm>
                    <a:prstGeom prst="rect">
                      <a:avLst/>
                    </a:prstGeom>
                  </pic:spPr>
                </pic:pic>
              </a:graphicData>
            </a:graphic>
            <wp14:sizeRelH relativeFrom="page">
              <wp14:pctWidth>0</wp14:pctWidth>
            </wp14:sizeRelH>
            <wp14:sizeRelV relativeFrom="page">
              <wp14:pctHeight>0</wp14:pctHeight>
            </wp14:sizeRelV>
          </wp:anchor>
        </w:drawing>
      </w:r>
      <w:r w:rsidR="000B2E9C" w:rsidRPr="009322DA">
        <w:rPr>
          <w:rFonts w:ascii="Verdana" w:eastAsia="Geomanist Light" w:hAnsi="Verdana" w:cs="Arial"/>
          <w:lang w:val="es-MX"/>
        </w:rPr>
        <w:t>Bogotá D.C., </w:t>
      </w:r>
      <w:r>
        <w:rPr>
          <w:rFonts w:ascii="Verdana" w:eastAsia="Geomanist Light" w:hAnsi="Verdana" w:cs="Arial"/>
          <w:lang w:val="es-MX"/>
        </w:rPr>
        <w:t xml:space="preserve">26 de febrero de 2025 </w:t>
      </w:r>
    </w:p>
    <w:p w14:paraId="53E3CE53" w14:textId="625F3925" w:rsidR="00461F37" w:rsidRDefault="00461F37" w:rsidP="000B2E9C">
      <w:pPr>
        <w:spacing w:after="0" w:line="240" w:lineRule="auto"/>
        <w:rPr>
          <w:rFonts w:ascii="Verdana" w:eastAsia="Calibri" w:hAnsi="Verdana" w:cs="Arial"/>
          <w:lang w:val="es-MX" w:eastAsia="es-ES"/>
        </w:rPr>
      </w:pPr>
    </w:p>
    <w:p w14:paraId="4DA6E852" w14:textId="77777777" w:rsidR="000B2E9C" w:rsidRDefault="000B2E9C" w:rsidP="000B2E9C">
      <w:pPr>
        <w:spacing w:after="0" w:line="240" w:lineRule="auto"/>
        <w:rPr>
          <w:rFonts w:ascii="Verdana" w:eastAsia="Calibri" w:hAnsi="Verdana" w:cs="Arial"/>
          <w:lang w:val="es-MX" w:eastAsia="es-ES"/>
        </w:rPr>
      </w:pPr>
    </w:p>
    <w:p w14:paraId="172B7393" w14:textId="77777777" w:rsidR="000B2E9C" w:rsidRDefault="000B2E9C" w:rsidP="000B2E9C">
      <w:pPr>
        <w:spacing w:after="0" w:line="240" w:lineRule="auto"/>
        <w:rPr>
          <w:rFonts w:ascii="Verdana" w:eastAsia="Calibri" w:hAnsi="Verdana" w:cs="Arial"/>
          <w:lang w:val="es-MX" w:eastAsia="es-ES"/>
        </w:rPr>
      </w:pPr>
    </w:p>
    <w:p w14:paraId="78FD8373" w14:textId="77777777" w:rsidR="000B2E9C" w:rsidRPr="00172312" w:rsidRDefault="000B2E9C" w:rsidP="000B2E9C">
      <w:pPr>
        <w:spacing w:after="0" w:line="240" w:lineRule="auto"/>
        <w:rPr>
          <w:rFonts w:ascii="Verdana" w:hAnsi="Verdana"/>
        </w:rPr>
      </w:pPr>
      <w:r w:rsidRPr="00F95ECD">
        <w:rPr>
          <w:rFonts w:ascii="Verdana" w:eastAsia="Calibri" w:hAnsi="Verdana" w:cs="Arial"/>
          <w:lang w:val="es-ES" w:eastAsia="es-ES"/>
        </w:rPr>
        <w:t>Señor</w:t>
      </w:r>
    </w:p>
    <w:p w14:paraId="30A8C3B2" w14:textId="77777777" w:rsidR="000B2E9C" w:rsidRPr="00655054" w:rsidRDefault="000B2E9C" w:rsidP="000B2E9C">
      <w:pPr>
        <w:spacing w:after="0" w:line="240" w:lineRule="auto"/>
        <w:rPr>
          <w:rFonts w:ascii="Verdana" w:eastAsia="Calibri" w:hAnsi="Verdana" w:cs="Arial"/>
          <w:b/>
          <w:lang w:eastAsia="es-ES_tradnl"/>
        </w:rPr>
      </w:pPr>
      <w:r>
        <w:rPr>
          <w:rFonts w:ascii="Verdana" w:eastAsia="Calibri" w:hAnsi="Verdana" w:cs="Arial"/>
          <w:b/>
          <w:bCs/>
          <w:lang w:eastAsia="es-ES_tradnl"/>
        </w:rPr>
        <w:t xml:space="preserve">Oscar Alfonso Gómez Rodríguez </w:t>
      </w:r>
      <w:r w:rsidRPr="00655054">
        <w:rPr>
          <w:rFonts w:ascii="Verdana" w:eastAsia="Calibri" w:hAnsi="Verdana" w:cs="Arial"/>
          <w:b/>
          <w:bCs/>
          <w:lang w:eastAsia="es-ES_tradnl"/>
        </w:rPr>
        <w:t> </w:t>
      </w:r>
    </w:p>
    <w:p w14:paraId="55685350" w14:textId="77777777" w:rsidR="000B2E9C" w:rsidRPr="00F95ECD" w:rsidRDefault="000B2E9C" w:rsidP="000B2E9C">
      <w:pPr>
        <w:spacing w:after="0" w:line="240" w:lineRule="auto"/>
        <w:rPr>
          <w:rFonts w:ascii="Verdana" w:eastAsia="Calibri" w:hAnsi="Verdana" w:cs="Arial"/>
          <w:b/>
          <w:bCs/>
          <w:lang w:val="es-ES" w:eastAsia="es-ES"/>
        </w:rPr>
      </w:pPr>
      <w:r w:rsidRPr="00F95ECD">
        <w:rPr>
          <w:rFonts w:ascii="Verdana" w:eastAsia="Calibri" w:hAnsi="Verdana" w:cs="Arial"/>
          <w:lang w:val="es-ES" w:eastAsia="es-ES"/>
        </w:rPr>
        <w:t xml:space="preserve">Bogotá D.C. </w:t>
      </w:r>
    </w:p>
    <w:p w14:paraId="1E510120" w14:textId="77777777" w:rsidR="000B2E9C" w:rsidRDefault="000B2E9C" w:rsidP="000B2E9C">
      <w:pPr>
        <w:spacing w:after="0" w:line="240" w:lineRule="auto"/>
        <w:rPr>
          <w:rFonts w:ascii="Verdana" w:eastAsia="Calibri" w:hAnsi="Verdana" w:cs="Arial"/>
          <w:b/>
          <w:bCs/>
          <w:lang w:val="es-ES_tradnl" w:eastAsia="es-ES_tradnl"/>
        </w:rPr>
      </w:pPr>
    </w:p>
    <w:p w14:paraId="24A4F308" w14:textId="77777777" w:rsidR="000B2E9C" w:rsidRPr="00F95ECD" w:rsidRDefault="000B2E9C" w:rsidP="000B2E9C">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B2E9C" w:rsidRPr="00F95ECD" w14:paraId="4BFBE4D6" w14:textId="77777777" w:rsidTr="00217517">
        <w:trPr>
          <w:trHeight w:val="229"/>
        </w:trPr>
        <w:tc>
          <w:tcPr>
            <w:tcW w:w="2689" w:type="dxa"/>
          </w:tcPr>
          <w:p w14:paraId="670C3B8B" w14:textId="77777777" w:rsidR="000B2E9C" w:rsidRPr="00F95ECD" w:rsidRDefault="000B2E9C" w:rsidP="00217517">
            <w:pPr>
              <w:jc w:val="both"/>
              <w:rPr>
                <w:rFonts w:ascii="Verdana" w:eastAsia="Calibri" w:hAnsi="Verdana" w:cs="Arial"/>
                <w:b/>
                <w:bCs/>
                <w:lang w:val="es-ES_tradnl" w:eastAsia="es-ES_tradnl"/>
              </w:rPr>
            </w:pPr>
          </w:p>
        </w:tc>
        <w:tc>
          <w:tcPr>
            <w:tcW w:w="6100" w:type="dxa"/>
          </w:tcPr>
          <w:p w14:paraId="5B5521D4" w14:textId="77777777" w:rsidR="000B2E9C" w:rsidRPr="00F95ECD" w:rsidRDefault="000B2E9C" w:rsidP="00217517">
            <w:pPr>
              <w:jc w:val="both"/>
              <w:rPr>
                <w:rFonts w:ascii="Verdana" w:eastAsia="Calibri" w:hAnsi="Verdana" w:cs="Arial"/>
                <w:b/>
                <w:bCs/>
                <w:lang w:val="es-ES" w:eastAsia="es-ES"/>
              </w:rPr>
            </w:pPr>
            <w:r w:rsidRPr="00F95ECD">
              <w:rPr>
                <w:rFonts w:ascii="Verdana" w:eastAsia="Calibri" w:hAnsi="Verdana" w:cs="Arial"/>
                <w:b/>
                <w:bCs/>
                <w:lang w:val="es-ES" w:eastAsia="es-ES"/>
              </w:rPr>
              <w:t>Concepto C</w:t>
            </w:r>
            <w:r>
              <w:rPr>
                <w:rFonts w:ascii="Verdana" w:eastAsia="Calibri" w:hAnsi="Verdana" w:cs="Arial"/>
                <w:b/>
                <w:bCs/>
                <w:lang w:val="es-ES" w:eastAsia="es-ES"/>
              </w:rPr>
              <w:t>-163</w:t>
            </w:r>
            <w:r w:rsidRPr="00F95ECD">
              <w:rPr>
                <w:rFonts w:ascii="Verdana" w:eastAsia="Calibri" w:hAnsi="Verdana" w:cs="Arial"/>
                <w:b/>
                <w:bCs/>
                <w:lang w:val="es-ES" w:eastAsia="es-ES"/>
              </w:rPr>
              <w:t xml:space="preserve"> de 202</w:t>
            </w:r>
            <w:r>
              <w:rPr>
                <w:rFonts w:ascii="Verdana" w:eastAsia="Calibri" w:hAnsi="Verdana" w:cs="Arial"/>
                <w:b/>
                <w:bCs/>
                <w:lang w:val="es-ES" w:eastAsia="es-ES"/>
              </w:rPr>
              <w:t>5</w:t>
            </w:r>
          </w:p>
          <w:p w14:paraId="6BFFB627" w14:textId="77777777" w:rsidR="000B2E9C" w:rsidRPr="00F95ECD" w:rsidRDefault="000B2E9C" w:rsidP="00217517">
            <w:pPr>
              <w:jc w:val="both"/>
              <w:rPr>
                <w:rFonts w:ascii="Verdana" w:eastAsia="Calibri" w:hAnsi="Verdana" w:cs="Arial"/>
                <w:b/>
                <w:bCs/>
                <w:lang w:val="es-ES" w:eastAsia="es-ES"/>
              </w:rPr>
            </w:pPr>
          </w:p>
        </w:tc>
      </w:tr>
      <w:tr w:rsidR="000B2E9C" w:rsidRPr="00F95ECD" w14:paraId="60D01F1D" w14:textId="77777777" w:rsidTr="00217517">
        <w:trPr>
          <w:trHeight w:val="884"/>
        </w:trPr>
        <w:tc>
          <w:tcPr>
            <w:tcW w:w="2689" w:type="dxa"/>
          </w:tcPr>
          <w:p w14:paraId="1986CA86" w14:textId="77777777" w:rsidR="000B2E9C" w:rsidRPr="00E11D8A" w:rsidRDefault="000B2E9C" w:rsidP="00217517">
            <w:pPr>
              <w:jc w:val="both"/>
              <w:rPr>
                <w:rFonts w:ascii="Verdana" w:eastAsia="Calibri" w:hAnsi="Verdana" w:cs="Arial"/>
                <w:lang w:val="es-ES_tradnl" w:eastAsia="es-ES_tradnl"/>
              </w:rPr>
            </w:pPr>
            <w:r w:rsidRPr="00E11D8A">
              <w:rPr>
                <w:rFonts w:ascii="Verdana" w:eastAsia="Calibri" w:hAnsi="Verdana" w:cs="Arial"/>
                <w:b/>
                <w:lang w:val="es-ES_tradnl" w:eastAsia="es-ES_tradnl"/>
              </w:rPr>
              <w:t>Temas:</w:t>
            </w:r>
            <w:r w:rsidRPr="00E11D8A">
              <w:rPr>
                <w:rFonts w:ascii="Verdana" w:eastAsia="Calibri" w:hAnsi="Verdana" w:cs="Arial"/>
                <w:lang w:val="es-ES_tradnl" w:eastAsia="es-ES_tradnl"/>
              </w:rPr>
              <w:t xml:space="preserve">                   </w:t>
            </w:r>
          </w:p>
        </w:tc>
        <w:tc>
          <w:tcPr>
            <w:tcW w:w="6100" w:type="dxa"/>
          </w:tcPr>
          <w:p w14:paraId="631435EB" w14:textId="77777777" w:rsidR="000B2E9C" w:rsidRPr="00E11D8A" w:rsidRDefault="000B2E9C" w:rsidP="00217517">
            <w:pPr>
              <w:spacing w:line="276" w:lineRule="auto"/>
              <w:jc w:val="both"/>
              <w:rPr>
                <w:rFonts w:ascii="Verdana" w:eastAsia="Geomanist Light" w:hAnsi="Verdana" w:cs="Arial"/>
                <w:bCs/>
                <w:lang w:val="es-ES_tradnl"/>
              </w:rPr>
            </w:pPr>
            <w:r w:rsidRPr="00E11D8A">
              <w:rPr>
                <w:rFonts w:ascii="Verdana" w:eastAsia="Calibri" w:hAnsi="Verdana" w:cs="Arial"/>
                <w:bCs/>
                <w:lang w:val="es-ES_tradnl" w:eastAsia="es-ES_tradnl"/>
              </w:rPr>
              <w:t xml:space="preserve">DOCUMENTOS TIPO – Fundamento normativo – Obligatoriedad / </w:t>
            </w:r>
            <w:r w:rsidRPr="00E11D8A">
              <w:rPr>
                <w:rFonts w:ascii="Verdana" w:eastAsia="Calibri" w:hAnsi="Verdana" w:cs="Arial"/>
                <w:bCs/>
                <w:lang w:val="es-ES_tradnl"/>
              </w:rPr>
              <w:t xml:space="preserve">DOCUMENTOS TIPO – Inalterabilidad / </w:t>
            </w:r>
            <w:r w:rsidRPr="00E11D8A">
              <w:rPr>
                <w:rFonts w:ascii="Verdana" w:eastAsia="Calibri" w:hAnsi="Verdana" w:cs="Arial"/>
                <w:bCs/>
                <w:color w:val="000000"/>
                <w:lang w:eastAsia="es-ES_tradnl"/>
              </w:rPr>
              <w:t>DOCUMENTOS TIPO − Matriz 1 – Experiencia − Aplicación</w:t>
            </w:r>
          </w:p>
          <w:p w14:paraId="19655DE7" w14:textId="77777777" w:rsidR="000B2E9C" w:rsidRPr="00E11D8A" w:rsidRDefault="000B2E9C" w:rsidP="00217517">
            <w:pPr>
              <w:jc w:val="both"/>
              <w:rPr>
                <w:rFonts w:ascii="Verdana" w:eastAsia="Calibri" w:hAnsi="Verdana" w:cs="Arial"/>
                <w:lang w:val="es-ES" w:eastAsia="es-ES"/>
              </w:rPr>
            </w:pPr>
          </w:p>
        </w:tc>
      </w:tr>
      <w:tr w:rsidR="000B2E9C" w:rsidRPr="00F95ECD" w14:paraId="1BE36459" w14:textId="77777777" w:rsidTr="00217517">
        <w:tc>
          <w:tcPr>
            <w:tcW w:w="2689" w:type="dxa"/>
          </w:tcPr>
          <w:p w14:paraId="2B467E38" w14:textId="77777777" w:rsidR="000B2E9C" w:rsidRPr="00F95ECD" w:rsidRDefault="000B2E9C" w:rsidP="00217517">
            <w:pPr>
              <w:jc w:val="both"/>
              <w:rPr>
                <w:rFonts w:ascii="Verdana" w:eastAsia="Calibri" w:hAnsi="Verdana" w:cs="Arial"/>
                <w:b/>
                <w:lang w:val="es-ES_tradnl" w:eastAsia="es-ES_tradnl"/>
              </w:rPr>
            </w:pPr>
            <w:r w:rsidRPr="00F95ECD">
              <w:rPr>
                <w:rFonts w:ascii="Verdana" w:eastAsia="Calibri" w:hAnsi="Verdana" w:cs="Arial"/>
                <w:b/>
                <w:lang w:val="es-ES_tradnl" w:eastAsia="es-ES_tradnl"/>
              </w:rPr>
              <w:t>Radicación:</w:t>
            </w:r>
            <w:r w:rsidRPr="00F95ECD">
              <w:rPr>
                <w:rFonts w:ascii="Verdana" w:eastAsia="Calibri" w:hAnsi="Verdana" w:cs="Arial"/>
                <w:lang w:val="es-ES_tradnl" w:eastAsia="es-ES_tradnl"/>
              </w:rPr>
              <w:t xml:space="preserve">               </w:t>
            </w:r>
          </w:p>
        </w:tc>
        <w:tc>
          <w:tcPr>
            <w:tcW w:w="6100" w:type="dxa"/>
          </w:tcPr>
          <w:p w14:paraId="4A64E649" w14:textId="77777777" w:rsidR="000B2E9C" w:rsidRPr="00F95ECD" w:rsidRDefault="000B2E9C" w:rsidP="00217517">
            <w:pPr>
              <w:ind w:left="708" w:hanging="708"/>
              <w:jc w:val="both"/>
              <w:rPr>
                <w:rFonts w:ascii="Verdana" w:eastAsia="Calibri" w:hAnsi="Verdana" w:cs="Arial"/>
                <w:lang w:val="es-ES_tradnl" w:eastAsia="es-ES_tradnl"/>
              </w:rPr>
            </w:pPr>
            <w:r w:rsidRPr="00F95ECD">
              <w:rPr>
                <w:rFonts w:ascii="Verdana" w:eastAsia="Calibri" w:hAnsi="Verdana" w:cs="Arial"/>
                <w:lang w:val="es-ES_tradnl" w:eastAsia="es-ES_tradnl"/>
              </w:rPr>
              <w:t>Respuesta a consulta con radicado No.</w:t>
            </w:r>
            <w:r>
              <w:rPr>
                <w:rFonts w:ascii="Verdana" w:eastAsia="Calibri" w:hAnsi="Verdana" w:cs="Arial"/>
                <w:lang w:val="es-ES_tradnl" w:eastAsia="es-ES_tradnl"/>
              </w:rPr>
              <w:t xml:space="preserve"> </w:t>
            </w:r>
            <w:r w:rsidRPr="00E65ABF">
              <w:rPr>
                <w:rFonts w:ascii="Verdana" w:eastAsia="Calibri" w:hAnsi="Verdana" w:cs="Arial"/>
                <w:lang w:val="es-ES_tradnl" w:eastAsia="es-ES_tradnl"/>
              </w:rPr>
              <w:t>P20250211001254</w:t>
            </w:r>
          </w:p>
        </w:tc>
      </w:tr>
    </w:tbl>
    <w:p w14:paraId="7D8D7E66" w14:textId="77777777" w:rsidR="000B2E9C" w:rsidRPr="00F95ECD" w:rsidRDefault="000B2E9C" w:rsidP="000B2E9C">
      <w:pPr>
        <w:spacing w:after="0" w:line="240" w:lineRule="auto"/>
        <w:jc w:val="both"/>
        <w:rPr>
          <w:rFonts w:ascii="Verdana" w:eastAsia="Calibri" w:hAnsi="Verdana" w:cs="Arial"/>
          <w:lang w:val="es-ES_tradnl" w:eastAsia="es-ES_tradnl"/>
        </w:rPr>
      </w:pPr>
    </w:p>
    <w:p w14:paraId="3837079D" w14:textId="77777777" w:rsidR="000B2E9C" w:rsidRPr="00F95ECD" w:rsidRDefault="000B2E9C" w:rsidP="000B2E9C">
      <w:pPr>
        <w:spacing w:after="0" w:line="240" w:lineRule="auto"/>
        <w:jc w:val="both"/>
        <w:rPr>
          <w:rFonts w:ascii="Verdana" w:eastAsia="Calibri" w:hAnsi="Verdana" w:cs="Arial"/>
          <w:lang w:val="es-ES_tradnl" w:eastAsia="es-ES_tradnl"/>
        </w:rPr>
      </w:pPr>
    </w:p>
    <w:p w14:paraId="322BF5EA" w14:textId="77777777" w:rsidR="000B2E9C" w:rsidRPr="00655054" w:rsidRDefault="000B2E9C" w:rsidP="000B2E9C">
      <w:pPr>
        <w:spacing w:after="0" w:line="276" w:lineRule="auto"/>
        <w:jc w:val="both"/>
        <w:rPr>
          <w:rFonts w:ascii="Verdana" w:eastAsia="Calibri" w:hAnsi="Verdana" w:cs="Arial"/>
          <w:lang w:val="es-ES" w:eastAsia="es-ES"/>
        </w:rPr>
      </w:pPr>
      <w:r w:rsidRPr="00F95ECD">
        <w:rPr>
          <w:rFonts w:ascii="Verdana" w:eastAsia="Calibri" w:hAnsi="Verdana" w:cs="Arial"/>
          <w:lang w:val="es-ES" w:eastAsia="es-ES"/>
        </w:rPr>
        <w:t xml:space="preserve">Estimado señor </w:t>
      </w:r>
      <w:r>
        <w:rPr>
          <w:rFonts w:ascii="Verdana" w:eastAsia="Calibri" w:hAnsi="Verdana" w:cs="Arial"/>
          <w:lang w:eastAsia="es-ES_tradnl"/>
        </w:rPr>
        <w:t>Gómez Rodríguez</w:t>
      </w:r>
      <w:r w:rsidRPr="00655054">
        <w:rPr>
          <w:rFonts w:ascii="Verdana" w:eastAsia="Calibri" w:hAnsi="Verdana" w:cs="Arial"/>
          <w:lang w:val="es-ES" w:eastAsia="es-ES"/>
        </w:rPr>
        <w:t xml:space="preserve">: </w:t>
      </w:r>
    </w:p>
    <w:p w14:paraId="5B85F0B7" w14:textId="77777777" w:rsidR="000B2E9C" w:rsidRPr="00F95ECD" w:rsidRDefault="000B2E9C" w:rsidP="000B2E9C">
      <w:pPr>
        <w:tabs>
          <w:tab w:val="left" w:pos="3768"/>
        </w:tabs>
        <w:spacing w:after="0" w:line="276" w:lineRule="auto"/>
        <w:jc w:val="both"/>
        <w:rPr>
          <w:rFonts w:ascii="Verdana" w:eastAsia="Calibri" w:hAnsi="Verdana" w:cs="Arial"/>
          <w:lang w:val="es-ES" w:eastAsia="es-ES"/>
        </w:rPr>
      </w:pPr>
      <w:r w:rsidRPr="00F95ECD">
        <w:rPr>
          <w:rFonts w:ascii="Verdana" w:eastAsia="Calibri" w:hAnsi="Verdana" w:cs="Arial"/>
          <w:lang w:val="es-ES" w:eastAsia="es-ES"/>
        </w:rPr>
        <w:tab/>
      </w:r>
    </w:p>
    <w:p w14:paraId="3C708D19" w14:textId="77777777" w:rsidR="000B2E9C" w:rsidRPr="00F95ECD" w:rsidRDefault="000B2E9C" w:rsidP="000B2E9C">
      <w:pPr>
        <w:spacing w:after="0" w:line="276" w:lineRule="auto"/>
        <w:jc w:val="both"/>
        <w:rPr>
          <w:rFonts w:ascii="Verdana" w:eastAsia="Calibri" w:hAnsi="Verdana" w:cs="Arial"/>
          <w:lang w:val="es-ES" w:eastAsia="es-ES"/>
        </w:rPr>
      </w:pPr>
      <w:r w:rsidRPr="00F95ECD">
        <w:rPr>
          <w:rFonts w:ascii="Verdana" w:eastAsia="Calibri" w:hAnsi="Verdana" w:cs="Arial"/>
          <w:lang w:val="es-ES" w:eastAsia="es-ES"/>
        </w:rPr>
        <w:t>En ejercicio de la competencia otorgada por los artículos 3, numeral 5º, y 11, numeral 8º, del Decreto Ley 4170 de 2011,</w:t>
      </w:r>
      <w:r w:rsidRPr="00F95ECD">
        <w:rPr>
          <w:rFonts w:ascii="Verdana" w:eastAsia="Arial MT" w:hAnsi="Verdana" w:cs="Arial MT"/>
          <w:lang w:val="es-ES" w:eastAsia="es-ES"/>
        </w:rPr>
        <w:t xml:space="preserve"> </w:t>
      </w:r>
      <w:r w:rsidRPr="00F95ECD">
        <w:rPr>
          <w:rFonts w:ascii="Verdana" w:hAnsi="Verdana" w:cs="Arial"/>
        </w:rPr>
        <w:t xml:space="preserve">así como lo establecido en el artículo 4 de la Resolución 1707 de 2018 expedida por esta Entidad, </w:t>
      </w:r>
      <w:r w:rsidRPr="00F95ECD">
        <w:rPr>
          <w:rFonts w:ascii="Verdana" w:eastAsia="Calibri" w:hAnsi="Verdana" w:cs="Arial"/>
          <w:lang w:val="es-ES" w:eastAsia="es-ES"/>
        </w:rPr>
        <w:t>la Agencia Nacional de Contratación Pública – Colombia Compra Eficiente– responde su solicitud de consulta</w:t>
      </w:r>
      <w:r>
        <w:rPr>
          <w:rFonts w:ascii="Verdana" w:eastAsia="Calibri" w:hAnsi="Verdana" w:cs="Arial"/>
          <w:lang w:val="es-ES" w:eastAsia="es-ES"/>
        </w:rPr>
        <w:t xml:space="preserve"> del 11 de febrero de 2025,</w:t>
      </w:r>
      <w:r w:rsidRPr="00F95ECD">
        <w:rPr>
          <w:rFonts w:ascii="Verdana" w:eastAsia="Calibri" w:hAnsi="Verdana" w:cs="Arial"/>
          <w:lang w:val="es-ES" w:eastAsia="es-ES"/>
        </w:rPr>
        <w:t xml:space="preserve"> en la cual manifiesta lo siguiente: </w:t>
      </w:r>
    </w:p>
    <w:p w14:paraId="44E1D225" w14:textId="77777777" w:rsidR="000B2E9C" w:rsidRPr="00F95ECD" w:rsidRDefault="000B2E9C" w:rsidP="000B2E9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647BC05" w14:textId="77777777" w:rsidR="000B2E9C" w:rsidRPr="00DA0AAE" w:rsidRDefault="000B2E9C" w:rsidP="000B2E9C">
      <w:pPr>
        <w:spacing w:after="120" w:line="240" w:lineRule="auto"/>
        <w:ind w:left="709" w:right="709"/>
        <w:jc w:val="both"/>
        <w:rPr>
          <w:rFonts w:ascii="Verdana" w:eastAsia="Century Gothic" w:hAnsi="Verdana" w:cs="Century Gothic"/>
          <w:sz w:val="21"/>
          <w:szCs w:val="21"/>
          <w:lang w:val="es-ES"/>
        </w:rPr>
      </w:pPr>
      <w:bookmarkStart w:id="1" w:name="_Hlk95313578"/>
      <w:r w:rsidRPr="00DA0AAE">
        <w:rPr>
          <w:rFonts w:ascii="Verdana" w:eastAsia="Century Gothic" w:hAnsi="Verdana" w:cs="Century Gothic"/>
          <w:sz w:val="21"/>
          <w:szCs w:val="21"/>
          <w:lang w:val="es-ES"/>
        </w:rPr>
        <w:t>“</w:t>
      </w:r>
      <w:r w:rsidRPr="00DA0AAE">
        <w:rPr>
          <w:rFonts w:ascii="Verdana" w:hAnsi="Verdana"/>
          <w:sz w:val="21"/>
          <w:szCs w:val="21"/>
        </w:rPr>
        <w:t xml:space="preserve">Una vez revisada la matriz No. 1 de experiencia que hacen parte de los Documento tipo de licitación de obra pública de infraestructura de transporte - versión 4 adoptados mediante resolución No. 465 de 2024, se evidencia que para las obras en vías primarias o secundarias y obras en vías terciaria tanto para la complejidad baja, media y alta se tiene las siguientes actividades a contratar </w:t>
      </w:r>
      <w:proofErr w:type="gramStart"/>
      <w:r w:rsidRPr="00DA0AAE">
        <w:rPr>
          <w:rFonts w:ascii="Verdana" w:hAnsi="Verdana"/>
          <w:sz w:val="21"/>
          <w:szCs w:val="21"/>
        </w:rPr>
        <w:t>en relación a</w:t>
      </w:r>
      <w:proofErr w:type="gramEnd"/>
      <w:r w:rsidRPr="00DA0AAE">
        <w:rPr>
          <w:rFonts w:ascii="Verdana" w:hAnsi="Verdana"/>
          <w:sz w:val="21"/>
          <w:szCs w:val="21"/>
        </w:rPr>
        <w:t xml:space="preserve"> infraestructura eléctrica</w:t>
      </w:r>
      <w:r w:rsidRPr="00DA0AAE">
        <w:rPr>
          <w:rFonts w:ascii="Verdana" w:eastAsia="Century Gothic" w:hAnsi="Verdana" w:cs="Century Gothic"/>
          <w:sz w:val="21"/>
          <w:szCs w:val="21"/>
          <w:lang w:val="es-ES"/>
        </w:rPr>
        <w:t xml:space="preserve"> </w:t>
      </w:r>
      <w:bookmarkEnd w:id="1"/>
    </w:p>
    <w:p w14:paraId="2904D8D8" w14:textId="77777777" w:rsidR="000B2E9C" w:rsidRPr="00E65ABF" w:rsidRDefault="000B2E9C" w:rsidP="000B2E9C">
      <w:pPr>
        <w:spacing w:after="120" w:line="240" w:lineRule="auto"/>
        <w:ind w:left="709" w:right="709"/>
        <w:jc w:val="both"/>
        <w:rPr>
          <w:rFonts w:ascii="Verdana" w:eastAsia="Century Gothic" w:hAnsi="Verdana" w:cs="Century Gothic"/>
          <w:sz w:val="21"/>
          <w:szCs w:val="21"/>
          <w:lang w:val="es-ES"/>
        </w:rPr>
      </w:pPr>
      <w:r w:rsidRPr="00DA0AAE">
        <w:rPr>
          <w:rFonts w:ascii="Verdana" w:eastAsia="Century Gothic" w:hAnsi="Verdana" w:cs="Century Gothic"/>
          <w:sz w:val="21"/>
          <w:szCs w:val="21"/>
          <w:lang w:val="es-ES"/>
        </w:rPr>
        <w:lastRenderedPageBreak/>
        <w:t>(…)</w:t>
      </w:r>
    </w:p>
    <w:p w14:paraId="39FFA5D2" w14:textId="77777777" w:rsidR="000B2E9C" w:rsidRPr="00E65ABF" w:rsidRDefault="000B2E9C" w:rsidP="000B2E9C">
      <w:pPr>
        <w:numPr>
          <w:ilvl w:val="0"/>
          <w:numId w:val="21"/>
        </w:numPr>
        <w:spacing w:after="120" w:line="240" w:lineRule="auto"/>
        <w:ind w:left="709" w:hanging="284"/>
        <w:jc w:val="both"/>
        <w:rPr>
          <w:rFonts w:ascii="Verdana" w:eastAsia="Aptos" w:hAnsi="Verdana" w:cs="Times New Roman"/>
          <w:b/>
          <w:bCs/>
          <w:sz w:val="21"/>
          <w:szCs w:val="21"/>
          <w:u w:val="single"/>
        </w:rPr>
      </w:pPr>
      <w:r w:rsidRPr="00E65ABF">
        <w:rPr>
          <w:rFonts w:ascii="Verdana" w:eastAsia="Aptos" w:hAnsi="Verdana" w:cs="Times New Roman"/>
          <w:b/>
          <w:bCs/>
          <w:sz w:val="21"/>
          <w:szCs w:val="21"/>
          <w:u w:val="single"/>
        </w:rPr>
        <w:t>Naturaleza del Sistema de Alumbrado por Kit Solar:</w:t>
      </w:r>
    </w:p>
    <w:p w14:paraId="1F892A7B" w14:textId="77777777" w:rsidR="000B2E9C" w:rsidRPr="00E65ABF" w:rsidRDefault="000B2E9C" w:rsidP="000B2E9C">
      <w:pPr>
        <w:spacing w:after="120" w:line="240" w:lineRule="auto"/>
        <w:ind w:left="709"/>
        <w:jc w:val="both"/>
        <w:rPr>
          <w:rFonts w:ascii="Verdana" w:eastAsia="Aptos" w:hAnsi="Verdana" w:cs="Times New Roman"/>
          <w:sz w:val="21"/>
          <w:szCs w:val="21"/>
        </w:rPr>
      </w:pPr>
      <w:r w:rsidRPr="00E65ABF">
        <w:rPr>
          <w:rFonts w:ascii="Verdana" w:eastAsia="Aptos" w:hAnsi="Verdana" w:cs="Times New Roman"/>
          <w:sz w:val="21"/>
          <w:szCs w:val="21"/>
        </w:rPr>
        <w:t xml:space="preserve">El alumbrado público mediante luminarias LED integradas a </w:t>
      </w:r>
      <w:proofErr w:type="gramStart"/>
      <w:r w:rsidRPr="00E65ABF">
        <w:rPr>
          <w:rFonts w:ascii="Verdana" w:eastAsia="Aptos" w:hAnsi="Verdana" w:cs="Times New Roman"/>
          <w:sz w:val="21"/>
          <w:szCs w:val="21"/>
        </w:rPr>
        <w:t>paneles solares o kit solar</w:t>
      </w:r>
      <w:proofErr w:type="gramEnd"/>
      <w:r w:rsidRPr="00E65ABF">
        <w:rPr>
          <w:rFonts w:ascii="Verdana" w:eastAsia="Aptos" w:hAnsi="Verdana" w:cs="Times New Roman"/>
          <w:sz w:val="21"/>
          <w:szCs w:val="21"/>
        </w:rPr>
        <w:t xml:space="preserve"> constituye un sistema completamente autónomo. Esto implica que el sistema opera de forma independiente, sin estar conectado a la red eléctrica convencional. Los componentes típicos de un kit solar que son paneles fotovoltaicos, controlador de carga, baterías y, en algunos casos, inversores permiten la generación, almacenamiento y suministro de energía eléctrica para la iluminación, eliminando la necesidad de infraestructura complementaria.</w:t>
      </w:r>
    </w:p>
    <w:p w14:paraId="6C2F6535" w14:textId="77777777" w:rsidR="000B2E9C" w:rsidRPr="00E65ABF" w:rsidRDefault="000B2E9C" w:rsidP="000B2E9C">
      <w:pPr>
        <w:numPr>
          <w:ilvl w:val="0"/>
          <w:numId w:val="21"/>
        </w:numPr>
        <w:spacing w:after="120" w:line="240" w:lineRule="auto"/>
        <w:ind w:left="709" w:hanging="284"/>
        <w:jc w:val="both"/>
        <w:rPr>
          <w:rFonts w:ascii="Verdana" w:eastAsia="Aptos" w:hAnsi="Verdana" w:cs="Times New Roman"/>
          <w:b/>
          <w:bCs/>
          <w:sz w:val="21"/>
          <w:szCs w:val="21"/>
        </w:rPr>
      </w:pPr>
      <w:r w:rsidRPr="00E65ABF">
        <w:rPr>
          <w:rFonts w:ascii="Verdana" w:eastAsia="Aptos" w:hAnsi="Verdana" w:cs="Times New Roman"/>
          <w:b/>
          <w:bCs/>
          <w:sz w:val="21"/>
          <w:szCs w:val="21"/>
          <w:u w:val="single"/>
        </w:rPr>
        <w:t>Diferencias con el Alumbrado Público Convencional:</w:t>
      </w:r>
    </w:p>
    <w:p w14:paraId="714A88C1" w14:textId="77777777" w:rsidR="000B2E9C" w:rsidRPr="00E65ABF" w:rsidRDefault="000B2E9C" w:rsidP="000B2E9C">
      <w:pPr>
        <w:spacing w:after="120" w:line="240" w:lineRule="auto"/>
        <w:ind w:left="709"/>
        <w:jc w:val="both"/>
        <w:rPr>
          <w:rFonts w:ascii="Verdana" w:eastAsia="Aptos" w:hAnsi="Verdana" w:cs="Times New Roman"/>
          <w:b/>
          <w:bCs/>
          <w:sz w:val="21"/>
          <w:szCs w:val="21"/>
          <w:u w:val="single"/>
        </w:rPr>
      </w:pPr>
      <w:r w:rsidRPr="00E65ABF">
        <w:rPr>
          <w:rFonts w:ascii="Verdana" w:eastAsia="Aptos" w:hAnsi="Verdana" w:cs="Times New Roman"/>
          <w:b/>
          <w:bCs/>
          <w:sz w:val="21"/>
          <w:szCs w:val="21"/>
        </w:rPr>
        <w:t>Alumbrado por Kit Solar:</w:t>
      </w:r>
    </w:p>
    <w:p w14:paraId="536D4089" w14:textId="77777777" w:rsidR="000B2E9C" w:rsidRPr="00E65ABF" w:rsidRDefault="000B2E9C" w:rsidP="000B2E9C">
      <w:pPr>
        <w:spacing w:after="120" w:line="240" w:lineRule="auto"/>
        <w:ind w:left="709"/>
        <w:jc w:val="both"/>
        <w:rPr>
          <w:rFonts w:ascii="Verdana" w:eastAsia="Aptos" w:hAnsi="Verdana" w:cs="Times New Roman"/>
          <w:sz w:val="21"/>
          <w:szCs w:val="21"/>
        </w:rPr>
      </w:pPr>
      <w:r w:rsidRPr="00E65ABF">
        <w:rPr>
          <w:rFonts w:ascii="Verdana" w:eastAsia="Aptos" w:hAnsi="Verdana" w:cs="Times New Roman"/>
          <w:sz w:val="21"/>
          <w:szCs w:val="21"/>
          <w:u w:val="single"/>
        </w:rPr>
        <w:t>Autonomía:</w:t>
      </w:r>
      <w:r w:rsidRPr="00E65ABF">
        <w:rPr>
          <w:rFonts w:ascii="Verdana" w:eastAsia="Aptos" w:hAnsi="Verdana" w:cs="Times New Roman"/>
          <w:sz w:val="21"/>
          <w:szCs w:val="21"/>
        </w:rPr>
        <w:t xml:space="preserve"> Funciona de forma independiente, sin conexión a la red eléctrica.</w:t>
      </w:r>
    </w:p>
    <w:p w14:paraId="21519B51" w14:textId="77777777" w:rsidR="000B2E9C" w:rsidRPr="00E65ABF" w:rsidRDefault="000B2E9C" w:rsidP="000B2E9C">
      <w:pPr>
        <w:spacing w:after="120" w:line="240" w:lineRule="auto"/>
        <w:ind w:left="709"/>
        <w:jc w:val="both"/>
        <w:rPr>
          <w:rFonts w:ascii="Verdana" w:eastAsia="Aptos" w:hAnsi="Verdana" w:cs="Times New Roman"/>
          <w:sz w:val="21"/>
          <w:szCs w:val="21"/>
        </w:rPr>
      </w:pPr>
      <w:r w:rsidRPr="00E65ABF">
        <w:rPr>
          <w:rFonts w:ascii="Verdana" w:eastAsia="Aptos" w:hAnsi="Verdana" w:cs="Times New Roman"/>
          <w:sz w:val="21"/>
          <w:szCs w:val="21"/>
          <w:u w:val="single"/>
        </w:rPr>
        <w:t>Infraestructura Reducida:</w:t>
      </w:r>
      <w:r w:rsidRPr="00E65ABF">
        <w:rPr>
          <w:rFonts w:ascii="Verdana" w:eastAsia="Aptos" w:hAnsi="Verdana" w:cs="Times New Roman"/>
          <w:sz w:val="21"/>
          <w:szCs w:val="21"/>
        </w:rPr>
        <w:t xml:space="preserve"> No requiere cableado extenso, transformadores ni otros componentes asociados a la distribución centralizada de energía.</w:t>
      </w:r>
    </w:p>
    <w:p w14:paraId="52C03A35" w14:textId="77777777" w:rsidR="000B2E9C" w:rsidRPr="00E65ABF" w:rsidRDefault="000B2E9C" w:rsidP="000B2E9C">
      <w:pPr>
        <w:spacing w:after="120" w:line="240" w:lineRule="auto"/>
        <w:ind w:left="709"/>
        <w:jc w:val="both"/>
        <w:rPr>
          <w:rFonts w:ascii="Verdana" w:eastAsia="Aptos" w:hAnsi="Verdana" w:cs="Times New Roman"/>
          <w:sz w:val="21"/>
          <w:szCs w:val="21"/>
        </w:rPr>
      </w:pPr>
      <w:r w:rsidRPr="00E65ABF">
        <w:rPr>
          <w:rFonts w:ascii="Verdana" w:eastAsia="Aptos" w:hAnsi="Verdana" w:cs="Times New Roman"/>
          <w:sz w:val="21"/>
          <w:szCs w:val="21"/>
          <w:u w:val="single"/>
        </w:rPr>
        <w:t>Instalación Simplificada:</w:t>
      </w:r>
      <w:r w:rsidRPr="00E65ABF">
        <w:rPr>
          <w:rFonts w:ascii="Verdana" w:eastAsia="Aptos" w:hAnsi="Verdana" w:cs="Times New Roman"/>
          <w:sz w:val="21"/>
          <w:szCs w:val="21"/>
        </w:rPr>
        <w:t xml:space="preserve"> La implementación se centra en la integración de componentes solares y dispositivos LED, lo que optimiza el proceso de instalación y mantenimiento.</w:t>
      </w:r>
    </w:p>
    <w:p w14:paraId="3385DD8B" w14:textId="77777777" w:rsidR="000B2E9C" w:rsidRPr="00E65ABF" w:rsidRDefault="000B2E9C" w:rsidP="000B2E9C">
      <w:pPr>
        <w:spacing w:after="120" w:line="240" w:lineRule="auto"/>
        <w:ind w:left="709"/>
        <w:jc w:val="both"/>
        <w:rPr>
          <w:rFonts w:ascii="Verdana" w:eastAsia="Aptos" w:hAnsi="Verdana" w:cs="Times New Roman"/>
          <w:b/>
          <w:bCs/>
          <w:sz w:val="21"/>
          <w:szCs w:val="21"/>
        </w:rPr>
      </w:pPr>
      <w:r w:rsidRPr="00E65ABF">
        <w:rPr>
          <w:rFonts w:ascii="Verdana" w:eastAsia="Aptos" w:hAnsi="Verdana" w:cs="Times New Roman"/>
          <w:b/>
          <w:bCs/>
          <w:sz w:val="21"/>
          <w:szCs w:val="21"/>
        </w:rPr>
        <w:t>Alumbrado Público Convencional:</w:t>
      </w:r>
    </w:p>
    <w:p w14:paraId="3190F29E" w14:textId="77777777" w:rsidR="000B2E9C" w:rsidRPr="00E65ABF" w:rsidRDefault="000B2E9C" w:rsidP="000B2E9C">
      <w:pPr>
        <w:spacing w:after="120" w:line="240" w:lineRule="auto"/>
        <w:ind w:left="709"/>
        <w:jc w:val="both"/>
        <w:rPr>
          <w:rFonts w:ascii="Verdana" w:eastAsia="Aptos" w:hAnsi="Verdana" w:cs="Times New Roman"/>
          <w:sz w:val="21"/>
          <w:szCs w:val="21"/>
        </w:rPr>
      </w:pPr>
      <w:r w:rsidRPr="00E65ABF">
        <w:rPr>
          <w:rFonts w:ascii="Verdana" w:eastAsia="Aptos" w:hAnsi="Verdana" w:cs="Times New Roman"/>
          <w:sz w:val="21"/>
          <w:szCs w:val="21"/>
          <w:u w:val="single"/>
        </w:rPr>
        <w:t>Dependencia de la Red:</w:t>
      </w:r>
      <w:r w:rsidRPr="00E65ABF">
        <w:rPr>
          <w:rFonts w:ascii="Verdana" w:eastAsia="Aptos" w:hAnsi="Verdana" w:cs="Times New Roman"/>
          <w:sz w:val="21"/>
          <w:szCs w:val="21"/>
        </w:rPr>
        <w:t xml:space="preserve"> Se conecta a una red eléctrica centralizada para el suministro de energía.</w:t>
      </w:r>
    </w:p>
    <w:p w14:paraId="20B85810" w14:textId="77777777" w:rsidR="000B2E9C" w:rsidRPr="00E65ABF" w:rsidRDefault="000B2E9C" w:rsidP="000B2E9C">
      <w:pPr>
        <w:spacing w:after="120" w:line="240" w:lineRule="auto"/>
        <w:ind w:left="709"/>
        <w:jc w:val="both"/>
        <w:rPr>
          <w:rFonts w:ascii="Verdana" w:eastAsia="Aptos" w:hAnsi="Verdana" w:cs="Times New Roman"/>
          <w:sz w:val="21"/>
          <w:szCs w:val="21"/>
        </w:rPr>
      </w:pPr>
      <w:r w:rsidRPr="00E65ABF">
        <w:rPr>
          <w:rFonts w:ascii="Verdana" w:eastAsia="Aptos" w:hAnsi="Verdana" w:cs="Times New Roman"/>
          <w:sz w:val="21"/>
          <w:szCs w:val="21"/>
          <w:u w:val="single"/>
        </w:rPr>
        <w:t>Infraestructura Completa:</w:t>
      </w:r>
      <w:r w:rsidRPr="00E65ABF">
        <w:rPr>
          <w:rFonts w:ascii="Verdana" w:eastAsia="Aptos" w:hAnsi="Verdana" w:cs="Times New Roman"/>
          <w:sz w:val="21"/>
          <w:szCs w:val="21"/>
        </w:rPr>
        <w:t xml:space="preserve"> Requiere de postes, cableado subterráneo o aéreo, transformadores y otros elementos esenciales para una distribución segura y eficiente de la energía.</w:t>
      </w:r>
    </w:p>
    <w:p w14:paraId="5B172E49" w14:textId="77777777" w:rsidR="000B2E9C" w:rsidRPr="00E65ABF" w:rsidRDefault="000B2E9C" w:rsidP="000B2E9C">
      <w:pPr>
        <w:numPr>
          <w:ilvl w:val="0"/>
          <w:numId w:val="21"/>
        </w:numPr>
        <w:spacing w:after="120" w:line="240" w:lineRule="auto"/>
        <w:ind w:left="709" w:hanging="284"/>
        <w:jc w:val="both"/>
        <w:rPr>
          <w:rFonts w:ascii="Verdana" w:eastAsia="Aptos" w:hAnsi="Verdana" w:cs="Times New Roman"/>
          <w:b/>
          <w:bCs/>
          <w:sz w:val="21"/>
          <w:szCs w:val="21"/>
        </w:rPr>
      </w:pPr>
      <w:r w:rsidRPr="00E65ABF">
        <w:rPr>
          <w:rFonts w:ascii="Verdana" w:eastAsia="Aptos" w:hAnsi="Verdana" w:cs="Times New Roman"/>
          <w:b/>
          <w:bCs/>
          <w:sz w:val="21"/>
          <w:szCs w:val="21"/>
          <w:u w:val="single"/>
        </w:rPr>
        <w:t>Consulta a Colombia compra eficiente:</w:t>
      </w:r>
    </w:p>
    <w:p w14:paraId="23578382" w14:textId="77777777" w:rsidR="000B2E9C" w:rsidRPr="00E65ABF" w:rsidRDefault="000B2E9C" w:rsidP="000B2E9C">
      <w:pPr>
        <w:spacing w:after="120" w:line="240" w:lineRule="auto"/>
        <w:ind w:left="709"/>
        <w:jc w:val="both"/>
        <w:rPr>
          <w:rFonts w:ascii="Verdana" w:eastAsia="Aptos" w:hAnsi="Verdana" w:cs="Times New Roman"/>
          <w:sz w:val="21"/>
          <w:szCs w:val="21"/>
        </w:rPr>
      </w:pPr>
      <w:r w:rsidRPr="00E65ABF">
        <w:rPr>
          <w:rFonts w:ascii="Verdana" w:eastAsia="Aptos" w:hAnsi="Verdana" w:cs="Times New Roman"/>
          <w:sz w:val="21"/>
          <w:szCs w:val="21"/>
        </w:rPr>
        <w:t xml:space="preserve">Dado que el alumbrado público con </w:t>
      </w:r>
      <w:proofErr w:type="gramStart"/>
      <w:r w:rsidRPr="00E65ABF">
        <w:rPr>
          <w:rFonts w:ascii="Verdana" w:eastAsia="Aptos" w:hAnsi="Verdana" w:cs="Times New Roman"/>
          <w:sz w:val="21"/>
          <w:szCs w:val="21"/>
        </w:rPr>
        <w:t>kit solar o paneles solares</w:t>
      </w:r>
      <w:proofErr w:type="gramEnd"/>
      <w:r w:rsidRPr="00E65ABF">
        <w:rPr>
          <w:rFonts w:ascii="Verdana" w:eastAsia="Aptos" w:hAnsi="Verdana" w:cs="Times New Roman"/>
          <w:sz w:val="21"/>
          <w:szCs w:val="21"/>
        </w:rPr>
        <w:t xml:space="preserve"> es un sistema autónomo que no demanda la infraestructura adicional requerida en los sistemas convencionales, se evidencia la necesidad de analizar si este tipo de proyecto debe regirse por el marco contractual y documentación estándar (pliegos tipo de licitación de obra pública de infraestructura de transporte - versión 4) o si se debe desarrollar un marco específico que contemple sus particularidades técnicas y operativas.</w:t>
      </w:r>
    </w:p>
    <w:p w14:paraId="6F5CD5A9" w14:textId="77777777" w:rsidR="000B2E9C" w:rsidRPr="00E65ABF" w:rsidRDefault="000B2E9C" w:rsidP="000B2E9C">
      <w:pPr>
        <w:spacing w:after="120" w:line="240" w:lineRule="auto"/>
        <w:ind w:left="709"/>
        <w:jc w:val="both"/>
        <w:rPr>
          <w:rFonts w:ascii="Verdana" w:eastAsia="Aptos" w:hAnsi="Verdana" w:cs="Times New Roman"/>
          <w:sz w:val="21"/>
          <w:szCs w:val="21"/>
        </w:rPr>
      </w:pPr>
      <w:r w:rsidRPr="00E65ABF">
        <w:rPr>
          <w:rFonts w:ascii="Verdana" w:eastAsia="Aptos" w:hAnsi="Verdana" w:cs="Times New Roman"/>
          <w:sz w:val="21"/>
          <w:szCs w:val="21"/>
        </w:rPr>
        <w:t xml:space="preserve">Es por lo anterior, que se procede a realizar la siguiente consulta ¿se requiere implementar los pliegos tipo actualmente establecidos para licitaciones de licitación de obra pública de infraestructura de transporte - versión 4, o es pertinente desarrollar un marco contractual específico para proyectos de alumbrado público con kit solar, considerando su carácter autónomo y la </w:t>
      </w:r>
      <w:r w:rsidRPr="00E65ABF">
        <w:rPr>
          <w:rFonts w:ascii="Verdana" w:eastAsia="Aptos" w:hAnsi="Verdana" w:cs="Times New Roman"/>
          <w:sz w:val="21"/>
          <w:szCs w:val="21"/>
        </w:rPr>
        <w:lastRenderedPageBreak/>
        <w:t>ausencia de infraestructura complementaria como cableado y transformadores?</w:t>
      </w:r>
      <w:r w:rsidRPr="00DA0AAE">
        <w:rPr>
          <w:rFonts w:ascii="Verdana" w:eastAsia="Aptos" w:hAnsi="Verdana" w:cs="Times New Roman"/>
          <w:sz w:val="21"/>
          <w:szCs w:val="21"/>
        </w:rPr>
        <w:t xml:space="preserve">”. </w:t>
      </w:r>
    </w:p>
    <w:p w14:paraId="577DA084" w14:textId="77777777" w:rsidR="000B2E9C" w:rsidRDefault="000B2E9C" w:rsidP="000B2E9C">
      <w:pPr>
        <w:spacing w:after="0" w:line="276" w:lineRule="auto"/>
        <w:ind w:left="709" w:right="709"/>
        <w:jc w:val="both"/>
        <w:rPr>
          <w:rFonts w:ascii="Verdana" w:eastAsia="Century Gothic" w:hAnsi="Verdana" w:cs="Century Gothic"/>
          <w:sz w:val="20"/>
          <w:szCs w:val="20"/>
          <w:lang w:val="es-ES"/>
        </w:rPr>
      </w:pPr>
    </w:p>
    <w:p w14:paraId="0983C5FE" w14:textId="77777777" w:rsidR="000B2E9C" w:rsidRPr="00F95ECD" w:rsidRDefault="000B2E9C" w:rsidP="000B2E9C">
      <w:pPr>
        <w:spacing w:after="120" w:line="276" w:lineRule="auto"/>
        <w:jc w:val="both"/>
        <w:rPr>
          <w:rFonts w:ascii="Verdana" w:eastAsia="Calibri" w:hAnsi="Verdana" w:cs="Arial"/>
          <w:color w:val="000000"/>
          <w:lang w:val="es-ES_tradnl" w:eastAsia="es-ES_tradnl"/>
        </w:rPr>
      </w:pPr>
      <w:r>
        <w:rPr>
          <w:rFonts w:ascii="Verdana" w:hAnsi="Verdana" w:cs="Arial"/>
          <w:sz w:val="20"/>
          <w:szCs w:val="20"/>
          <w:shd w:val="clear" w:color="auto" w:fill="FFFFFF"/>
        </w:rPr>
        <w:tab/>
      </w:r>
      <w:r w:rsidRPr="00F95EC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color w:val="000000"/>
          <w:lang w:val="es-ES" w:eastAsia="es-ES"/>
        </w:rPr>
        <w:t xml:space="preserve">la Agencia Nacional de Contratación Pública – </w:t>
      </w:r>
      <w:r w:rsidRPr="00F95ECD">
        <w:rPr>
          <w:rFonts w:ascii="Verdana" w:eastAsia="Calibri" w:hAnsi="Verdana" w:cs="Arial"/>
          <w:color w:val="000000"/>
          <w:lang w:val="es-ES" w:eastAsia="es-ES"/>
        </w:rPr>
        <w:t>Colombia</w:t>
      </w:r>
      <w:r>
        <w:rPr>
          <w:rFonts w:ascii="Verdana" w:eastAsia="Calibri" w:hAnsi="Verdana" w:cs="Arial"/>
          <w:color w:val="000000"/>
          <w:lang w:val="es-ES" w:eastAsia="es-ES"/>
        </w:rPr>
        <w:t xml:space="preserve"> </w:t>
      </w:r>
      <w:r w:rsidRPr="00F95ECD">
        <w:rPr>
          <w:rFonts w:ascii="Verdana" w:eastAsia="Calibri" w:hAnsi="Verdana" w:cs="Arial"/>
          <w:color w:val="000000"/>
          <w:lang w:val="es-ES" w:eastAsia="es-ES"/>
        </w:rPr>
        <w:t xml:space="preserve">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95ECD">
        <w:rPr>
          <w:rFonts w:ascii="Verdana" w:eastAsia="Calibri" w:hAnsi="Verdana" w:cs="Arial"/>
          <w:color w:val="000000"/>
          <w:lang w:val="es-ES_tradnl" w:eastAsia="es-ES_tradnl"/>
        </w:rPr>
        <w:tab/>
      </w:r>
    </w:p>
    <w:p w14:paraId="1F4F532E" w14:textId="77777777" w:rsidR="000B2E9C" w:rsidRPr="00F95ECD" w:rsidRDefault="000B2E9C" w:rsidP="000B2E9C">
      <w:pPr>
        <w:spacing w:after="0" w:line="276" w:lineRule="auto"/>
        <w:ind w:firstLine="709"/>
        <w:jc w:val="both"/>
        <w:rPr>
          <w:rFonts w:ascii="Verdana" w:eastAsia="Calibri" w:hAnsi="Verdana" w:cs="Arial"/>
          <w:lang w:val="es-ES" w:eastAsia="es-ES"/>
        </w:rPr>
      </w:pPr>
      <w:r w:rsidRPr="00F95ECD">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señalando algu</w:t>
      </w:r>
      <w:r w:rsidRPr="00F95ECD">
        <w:rPr>
          <w:rFonts w:ascii="Verdana" w:eastAsia="Calibri" w:hAnsi="Verdana" w:cs="Arial"/>
          <w:lang w:val="es-ES" w:eastAsia="es-ES"/>
        </w:rPr>
        <w:t xml:space="preserve">nas consideraciones sobre las normas generales relacionadas con los problemas jurídicos de su consulta. </w:t>
      </w:r>
    </w:p>
    <w:p w14:paraId="4136BE23" w14:textId="77777777" w:rsidR="000B2E9C" w:rsidRPr="00F95ECD" w:rsidRDefault="000B2E9C" w:rsidP="000B2E9C">
      <w:pPr>
        <w:spacing w:after="0" w:line="276" w:lineRule="auto"/>
        <w:ind w:firstLine="709"/>
        <w:jc w:val="both"/>
        <w:rPr>
          <w:rFonts w:ascii="Verdana" w:eastAsia="Calibri" w:hAnsi="Verdana" w:cs="Arial"/>
          <w:lang w:val="es-ES" w:eastAsia="es-ES"/>
        </w:rPr>
      </w:pPr>
    </w:p>
    <w:p w14:paraId="6C2927EB" w14:textId="77777777" w:rsidR="000B2E9C" w:rsidRPr="00663F37" w:rsidRDefault="000B2E9C" w:rsidP="000B2E9C">
      <w:pPr>
        <w:pStyle w:val="Prrafodelista"/>
        <w:numPr>
          <w:ilvl w:val="0"/>
          <w:numId w:val="20"/>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63F37">
        <w:rPr>
          <w:rFonts w:ascii="Verdana" w:eastAsia="Century Gothic" w:hAnsi="Verdana" w:cs="Century Gothic"/>
          <w:b/>
          <w:bCs/>
        </w:rPr>
        <w:t>Problema planteado:</w:t>
      </w:r>
    </w:p>
    <w:p w14:paraId="01ED4F19" w14:textId="77777777" w:rsidR="000B2E9C" w:rsidRPr="00663F37" w:rsidRDefault="000B2E9C" w:rsidP="000B2E9C">
      <w:pPr>
        <w:tabs>
          <w:tab w:val="left" w:pos="426"/>
        </w:tabs>
        <w:spacing w:after="0" w:line="276" w:lineRule="auto"/>
        <w:jc w:val="both"/>
        <w:rPr>
          <w:rFonts w:ascii="Verdana" w:eastAsia="Century Gothic" w:hAnsi="Verdana" w:cs="Century Gothic"/>
          <w:lang w:val="es-ES"/>
        </w:rPr>
      </w:pPr>
    </w:p>
    <w:p w14:paraId="080014C7" w14:textId="77777777" w:rsidR="000B2E9C" w:rsidRPr="00F95ECD" w:rsidRDefault="000B2E9C" w:rsidP="000B2E9C">
      <w:pPr>
        <w:spacing w:after="0" w:line="276" w:lineRule="auto"/>
        <w:jc w:val="both"/>
        <w:rPr>
          <w:rFonts w:ascii="Verdana" w:eastAsia="Calibri" w:hAnsi="Verdana" w:cs="Arial"/>
          <w:bCs/>
          <w:lang w:val="es-ES_tradnl" w:eastAsia="es-ES_tradnl"/>
        </w:rPr>
      </w:pPr>
      <w:r w:rsidRPr="00663F37">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663F37">
        <w:rPr>
          <w:rFonts w:ascii="Verdana" w:eastAsia="Century Gothic" w:hAnsi="Verdana" w:cs="Century Gothic"/>
        </w:rPr>
        <w:t xml:space="preserve"> siguiente problema jurídico: </w:t>
      </w:r>
      <w:r>
        <w:rPr>
          <w:rFonts w:ascii="Verdana" w:eastAsia="Calibri" w:hAnsi="Verdana" w:cs="Arial"/>
          <w:bCs/>
          <w:lang w:val="es-ES_tradnl" w:eastAsia="es-ES_tradnl"/>
        </w:rPr>
        <w:t xml:space="preserve">¿Para adelantar un proceso de selección que tiene por objeto alumbrado público con </w:t>
      </w:r>
      <w:proofErr w:type="gramStart"/>
      <w:r>
        <w:rPr>
          <w:rFonts w:ascii="Verdana" w:eastAsia="Calibri" w:hAnsi="Verdana" w:cs="Arial"/>
          <w:bCs/>
          <w:lang w:val="es-ES_tradnl" w:eastAsia="es-ES_tradnl"/>
        </w:rPr>
        <w:t>kit solar o paneles solares</w:t>
      </w:r>
      <w:proofErr w:type="gramEnd"/>
      <w:r>
        <w:rPr>
          <w:rFonts w:ascii="Verdana" w:eastAsia="Calibri" w:hAnsi="Verdana" w:cs="Arial"/>
          <w:bCs/>
          <w:lang w:val="es-ES_tradnl" w:eastAsia="es-ES_tradnl"/>
        </w:rPr>
        <w:t>, deben utilizarse los documentos tipo de licitación de obra pública de infraestructura de transporte – versión 4, aplican?</w:t>
      </w:r>
      <w:r w:rsidRPr="00F95ECD">
        <w:rPr>
          <w:rFonts w:ascii="Verdana" w:eastAsia="Calibri" w:hAnsi="Verdana" w:cs="Arial"/>
          <w:bCs/>
          <w:lang w:val="es-ES_tradnl" w:eastAsia="es-ES_tradnl"/>
        </w:rPr>
        <w:t xml:space="preserve"> </w:t>
      </w:r>
    </w:p>
    <w:p w14:paraId="0629CD99" w14:textId="77777777" w:rsidR="000B2E9C" w:rsidRDefault="000B2E9C" w:rsidP="000B2E9C">
      <w:pPr>
        <w:spacing w:after="0" w:line="276" w:lineRule="auto"/>
        <w:jc w:val="both"/>
        <w:rPr>
          <w:rFonts w:ascii="Verdana" w:eastAsia="Century Gothic" w:hAnsi="Verdana" w:cs="Century Gothic"/>
        </w:rPr>
      </w:pPr>
    </w:p>
    <w:p w14:paraId="0CC10CA4" w14:textId="77777777" w:rsidR="000B2E9C" w:rsidRDefault="000B2E9C" w:rsidP="000B2E9C">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Respuesta</w:t>
      </w:r>
      <w:r>
        <w:rPr>
          <w:rFonts w:ascii="Verdana" w:eastAsia="Century Gothic" w:hAnsi="Verdana" w:cs="Century Gothic"/>
          <w:b/>
          <w:bCs/>
          <w:lang w:val="es-ES"/>
        </w:rPr>
        <w:t>s</w:t>
      </w:r>
      <w:r w:rsidRPr="009322DA">
        <w:rPr>
          <w:rFonts w:ascii="Verdana" w:eastAsia="Century Gothic" w:hAnsi="Verdana" w:cs="Century Gothic"/>
          <w:b/>
          <w:bCs/>
          <w:lang w:val="es-ES"/>
        </w:rPr>
        <w:t>:</w:t>
      </w:r>
    </w:p>
    <w:p w14:paraId="650E9E49" w14:textId="77777777" w:rsidR="000B2E9C" w:rsidRPr="009322DA" w:rsidRDefault="000B2E9C" w:rsidP="000B2E9C">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B2E9C" w:rsidRPr="009322DA" w14:paraId="74434FD0" w14:textId="77777777" w:rsidTr="00217517">
        <w:trPr>
          <w:trHeight w:val="4601"/>
        </w:trPr>
        <w:tc>
          <w:tcPr>
            <w:tcW w:w="8828" w:type="dxa"/>
            <w:tcBorders>
              <w:top w:val="dotted" w:sz="4" w:space="0" w:color="auto"/>
              <w:left w:val="dotted" w:sz="4" w:space="0" w:color="auto"/>
              <w:bottom w:val="dotted" w:sz="4" w:space="0" w:color="auto"/>
              <w:right w:val="dotted" w:sz="4" w:space="0" w:color="auto"/>
            </w:tcBorders>
          </w:tcPr>
          <w:p w14:paraId="7CDB3DFC" w14:textId="77777777" w:rsidR="000B2E9C" w:rsidRPr="00C853F8" w:rsidRDefault="000B2E9C" w:rsidP="00217517">
            <w:pPr>
              <w:spacing w:line="276" w:lineRule="auto"/>
              <w:jc w:val="both"/>
              <w:rPr>
                <w:rFonts w:ascii="Verdana" w:eastAsia="Calibri" w:hAnsi="Verdana" w:cs="Arial"/>
                <w:bCs/>
              </w:rPr>
            </w:pPr>
            <w:r w:rsidRPr="008E79FF">
              <w:rPr>
                <w:rFonts w:ascii="Verdana" w:eastAsia="Calibri" w:hAnsi="Verdana" w:cs="Arial"/>
                <w:bCs/>
                <w:lang w:val="es-ES"/>
              </w:rPr>
              <w:lastRenderedPageBreak/>
              <w:t xml:space="preserve">Para establecer si determinado objeto contractual se encuentra cobijado o no por los </w:t>
            </w:r>
            <w:r>
              <w:rPr>
                <w:rFonts w:ascii="Verdana" w:eastAsia="Calibri" w:hAnsi="Verdana" w:cs="Arial"/>
                <w:bCs/>
                <w:lang w:val="es-ES"/>
              </w:rPr>
              <w:t>d</w:t>
            </w:r>
            <w:r w:rsidRPr="008E79FF">
              <w:rPr>
                <w:rFonts w:ascii="Verdana" w:eastAsia="Calibri" w:hAnsi="Verdana" w:cs="Arial"/>
                <w:bCs/>
                <w:lang w:val="es-ES"/>
              </w:rPr>
              <w:t xml:space="preserve">ocumentos </w:t>
            </w:r>
            <w:r>
              <w:rPr>
                <w:rFonts w:ascii="Verdana" w:eastAsia="Calibri" w:hAnsi="Verdana" w:cs="Arial"/>
                <w:bCs/>
                <w:lang w:val="es-ES"/>
              </w:rPr>
              <w:t>t</w:t>
            </w:r>
            <w:r w:rsidRPr="008E79FF">
              <w:rPr>
                <w:rFonts w:ascii="Verdana" w:eastAsia="Calibri" w:hAnsi="Verdana" w:cs="Arial"/>
                <w:bCs/>
                <w:lang w:val="es-ES"/>
              </w:rPr>
              <w: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w:t>
            </w:r>
            <w:r>
              <w:rPr>
                <w:rFonts w:ascii="Verdana" w:eastAsia="Calibri" w:hAnsi="Verdana" w:cs="Arial"/>
                <w:bCs/>
                <w:lang w:val="es-ES"/>
              </w:rPr>
              <w:t xml:space="preserve"> expedidas por esta Agencia mediante las cuales se adoptan documentos tipo.</w:t>
            </w:r>
          </w:p>
          <w:p w14:paraId="01E5D78C" w14:textId="77777777" w:rsidR="000B2E9C" w:rsidRPr="009D0CB0" w:rsidRDefault="000B2E9C" w:rsidP="00217517">
            <w:pPr>
              <w:snapToGrid w:val="0"/>
              <w:spacing w:line="276" w:lineRule="auto"/>
              <w:ind w:left="720"/>
              <w:jc w:val="both"/>
              <w:rPr>
                <w:rFonts w:ascii="Verdana" w:eastAsia="Times New Roman" w:hAnsi="Verdana" w:cs="Arial"/>
                <w:kern w:val="2"/>
                <w:shd w:val="clear" w:color="auto" w:fill="FFFFFF"/>
                <w:lang w:val="es-ES_tradnl" w:eastAsia="es-ES_tradnl"/>
                <w14:ligatures w14:val="standardContextual"/>
              </w:rPr>
            </w:pPr>
          </w:p>
          <w:p w14:paraId="698AD805" w14:textId="77777777" w:rsidR="000B2E9C" w:rsidRPr="009D0CB0" w:rsidRDefault="000B2E9C" w:rsidP="00217517">
            <w:pPr>
              <w:snapToGrid w:val="0"/>
              <w:spacing w:line="276" w:lineRule="auto"/>
              <w:jc w:val="both"/>
              <w:rPr>
                <w:rFonts w:ascii="Verdana" w:eastAsia="Times New Roman" w:hAnsi="Verdana" w:cs="Arial"/>
                <w:kern w:val="2"/>
                <w:shd w:val="clear" w:color="auto" w:fill="FFFFFF"/>
                <w:lang w:val="es-ES_tradnl" w:eastAsia="es-ES_tradnl"/>
                <w14:ligatures w14:val="standardContextual"/>
              </w:rPr>
            </w:pPr>
            <w:r>
              <w:rPr>
                <w:rFonts w:ascii="Verdana" w:eastAsia="Times New Roman" w:hAnsi="Verdana" w:cs="Arial"/>
                <w:kern w:val="2"/>
                <w:shd w:val="clear" w:color="auto" w:fill="FFFFFF"/>
                <w:lang w:val="es-ES_tradnl" w:eastAsia="es-ES_tradnl"/>
                <w14:ligatures w14:val="standardContextual"/>
              </w:rPr>
              <w:t>L</w:t>
            </w:r>
            <w:r w:rsidRPr="009D0CB0">
              <w:rPr>
                <w:rFonts w:ascii="Verdana" w:eastAsia="Times New Roman" w:hAnsi="Verdana" w:cs="Arial"/>
                <w:kern w:val="2"/>
                <w:shd w:val="clear" w:color="auto" w:fill="FFFFFF"/>
                <w:lang w:val="es-ES_tradnl" w:eastAsia="es-ES_tradnl"/>
                <w14:ligatures w14:val="standardContextual"/>
              </w:rPr>
              <w:t>a Matriz 1, permite determinar el ámbito de aplicación de los documentos tipo respecto de objetos contractuales asociados, ya que son las actividades descritas en esta las que, obligatoriamente, deben contratarse aplicando documentos tipo.</w:t>
            </w:r>
          </w:p>
          <w:p w14:paraId="0E8E2092" w14:textId="77777777" w:rsidR="000B2E9C" w:rsidRDefault="000B2E9C" w:rsidP="00217517">
            <w:pPr>
              <w:snapToGrid w:val="0"/>
              <w:spacing w:line="276" w:lineRule="auto"/>
              <w:jc w:val="both"/>
              <w:rPr>
                <w:rFonts w:ascii="Verdana" w:eastAsia="Times New Roman" w:hAnsi="Verdana" w:cs="Arial"/>
                <w:kern w:val="2"/>
                <w:shd w:val="clear" w:color="auto" w:fill="FFFFFF"/>
                <w:lang w:val="es-ES_tradnl" w:eastAsia="es-ES_tradnl"/>
                <w14:ligatures w14:val="standardContextual"/>
              </w:rPr>
            </w:pPr>
          </w:p>
          <w:p w14:paraId="7D8448F7" w14:textId="77777777" w:rsidR="000B2E9C" w:rsidRDefault="000B2E9C" w:rsidP="00217517">
            <w:pPr>
              <w:snapToGrid w:val="0"/>
              <w:spacing w:line="276" w:lineRule="auto"/>
              <w:jc w:val="both"/>
              <w:rPr>
                <w:rFonts w:ascii="Verdana" w:eastAsia="Times New Roman" w:hAnsi="Verdana" w:cs="Arial"/>
                <w:kern w:val="2"/>
                <w:shd w:val="clear" w:color="auto" w:fill="FFFFFF"/>
                <w:lang w:val="es-ES_tradnl" w:eastAsia="es-ES_tradnl"/>
                <w14:ligatures w14:val="standardContextual"/>
              </w:rPr>
            </w:pPr>
            <w:r>
              <w:rPr>
                <w:rFonts w:ascii="Verdana" w:eastAsia="Times New Roman" w:hAnsi="Verdana" w:cs="Arial"/>
                <w:kern w:val="2"/>
                <w:shd w:val="clear" w:color="auto" w:fill="FFFFFF"/>
                <w:lang w:val="es-ES_tradnl" w:eastAsia="es-ES_tradnl"/>
                <w14:ligatures w14:val="standardContextual"/>
              </w:rPr>
              <w:t>En relación con la actividad “infraestructura eléctrica” la Matriz 1, de los documentos tipo de licitación de obra pública de infraestructura de transporte – versión 4, establece la siguiente actividad para obras en vías primarias y secundarias: “</w:t>
            </w:r>
            <w:r w:rsidRPr="00593544">
              <w:rPr>
                <w:rFonts w:ascii="Verdana" w:eastAsia="Times New Roman" w:hAnsi="Verdana" w:cs="Arial"/>
                <w:kern w:val="2"/>
                <w:shd w:val="clear" w:color="auto" w:fill="FFFFFF"/>
                <w:lang w:val="es-ES_tradnl" w:eastAsia="es-ES_tradnl"/>
                <w14:ligatures w14:val="standardContextual"/>
              </w:rPr>
              <w:t>1.9. PROYECTOS DE INSTALACION O MANTENIMIENTO CORRECTIVO O MANTENIMIENTO PREVENTIVO O AMPLIACIÓN DE INFRAESTRUCTURA ELECTRICA ASOCIADA A LA INFRAESTRUCTURA DE TRANSPORTE EN VIAS PRIMARIAS O SECUNDARIAS</w:t>
            </w:r>
            <w:r>
              <w:rPr>
                <w:rFonts w:ascii="Verdana" w:eastAsia="Times New Roman" w:hAnsi="Verdana" w:cs="Arial"/>
                <w:kern w:val="2"/>
                <w:shd w:val="clear" w:color="auto" w:fill="FFFFFF"/>
                <w:lang w:val="es-ES_tradnl" w:eastAsia="es-ES_tradnl"/>
                <w14:ligatures w14:val="standardContextual"/>
              </w:rPr>
              <w:t xml:space="preserve">” </w:t>
            </w:r>
          </w:p>
          <w:p w14:paraId="56F03A51" w14:textId="77777777" w:rsidR="000B2E9C" w:rsidRDefault="000B2E9C" w:rsidP="00217517">
            <w:pPr>
              <w:pStyle w:val="Prrafodelista"/>
              <w:contextualSpacing w:val="0"/>
              <w:rPr>
                <w:rFonts w:ascii="Verdana" w:eastAsia="Times New Roman" w:hAnsi="Verdana" w:cs="Arial"/>
                <w:kern w:val="2"/>
                <w:shd w:val="clear" w:color="auto" w:fill="FFFFFF"/>
                <w:lang w:val="es-ES_tradnl" w:eastAsia="es-ES_tradnl"/>
                <w14:ligatures w14:val="standardContextual"/>
              </w:rPr>
            </w:pPr>
          </w:p>
          <w:p w14:paraId="58FA28BD" w14:textId="77777777" w:rsidR="000B2E9C" w:rsidRDefault="000B2E9C" w:rsidP="00217517">
            <w:pPr>
              <w:snapToGrid w:val="0"/>
              <w:spacing w:line="276" w:lineRule="auto"/>
              <w:jc w:val="both"/>
              <w:rPr>
                <w:rFonts w:ascii="Verdana" w:eastAsia="Times New Roman" w:hAnsi="Verdana" w:cs="Arial"/>
                <w:kern w:val="2"/>
                <w:shd w:val="clear" w:color="auto" w:fill="FFFFFF"/>
                <w:lang w:val="es-ES_tradnl" w:eastAsia="es-ES_tradnl"/>
                <w14:ligatures w14:val="standardContextual"/>
              </w:rPr>
            </w:pPr>
            <w:r w:rsidRPr="0056513E">
              <w:rPr>
                <w:rFonts w:ascii="Verdana" w:eastAsia="Times New Roman" w:hAnsi="Verdana" w:cs="Arial"/>
                <w:kern w:val="2"/>
                <w:shd w:val="clear" w:color="auto" w:fill="FFFFFF"/>
                <w:lang w:val="es-ES_tradnl" w:eastAsia="es-ES_tradnl"/>
                <w14:ligatures w14:val="standardContextual"/>
              </w:rPr>
              <w:t xml:space="preserve">Para determinar el alcance de la actividad señalada, debe indicarse </w:t>
            </w:r>
            <w:r>
              <w:rPr>
                <w:rFonts w:ascii="Verdana" w:eastAsia="Times New Roman" w:hAnsi="Verdana" w:cs="Arial"/>
                <w:kern w:val="2"/>
                <w:shd w:val="clear" w:color="auto" w:fill="FFFFFF"/>
                <w:lang w:val="es-ES_tradnl" w:eastAsia="es-ES_tradnl"/>
                <w14:ligatures w14:val="standardContextual"/>
              </w:rPr>
              <w:t>que, por “infraestructura eléctrica” se entiende al conjunto de instalaciones, equipos y sistemas encargados de generar, transmitir, distribuir y controlar la energía eléctrica.</w:t>
            </w:r>
          </w:p>
          <w:p w14:paraId="0FF9C968" w14:textId="77777777" w:rsidR="000B2E9C" w:rsidRDefault="000B2E9C" w:rsidP="00217517">
            <w:pPr>
              <w:pStyle w:val="Prrafodelista"/>
              <w:contextualSpacing w:val="0"/>
              <w:rPr>
                <w:rFonts w:ascii="Verdana" w:eastAsia="Times New Roman" w:hAnsi="Verdana" w:cs="Arial"/>
                <w:kern w:val="2"/>
                <w:shd w:val="clear" w:color="auto" w:fill="FFFFFF"/>
                <w:lang w:val="es-ES_tradnl" w:eastAsia="es-ES_tradnl"/>
                <w14:ligatures w14:val="standardContextual"/>
              </w:rPr>
            </w:pPr>
          </w:p>
          <w:p w14:paraId="7CB06016" w14:textId="77777777" w:rsidR="000B2E9C" w:rsidRDefault="000B2E9C" w:rsidP="00217517">
            <w:pPr>
              <w:snapToGrid w:val="0"/>
              <w:spacing w:line="276" w:lineRule="auto"/>
              <w:jc w:val="both"/>
              <w:rPr>
                <w:rFonts w:ascii="Verdana" w:eastAsia="Times New Roman" w:hAnsi="Verdana" w:cs="Arial"/>
                <w:kern w:val="2"/>
                <w:shd w:val="clear" w:color="auto" w:fill="FFFFFF"/>
                <w:lang w:val="es-ES_tradnl" w:eastAsia="es-ES_tradnl"/>
                <w14:ligatures w14:val="standardContextual"/>
              </w:rPr>
            </w:pPr>
            <w:r>
              <w:rPr>
                <w:rFonts w:ascii="Verdana" w:eastAsia="Times New Roman" w:hAnsi="Verdana" w:cs="Arial"/>
                <w:kern w:val="2"/>
                <w:shd w:val="clear" w:color="auto" w:fill="FFFFFF"/>
                <w:lang w:val="es-ES_tradnl" w:eastAsia="es-ES_tradnl"/>
                <w14:ligatures w14:val="standardContextual"/>
              </w:rPr>
              <w:t>U</w:t>
            </w:r>
            <w:r w:rsidRPr="00A96673">
              <w:rPr>
                <w:rFonts w:ascii="Verdana" w:eastAsia="Times New Roman" w:hAnsi="Verdana" w:cs="Arial"/>
                <w:kern w:val="2"/>
                <w:shd w:val="clear" w:color="auto" w:fill="FFFFFF"/>
                <w:lang w:val="es-ES_tradnl" w:eastAsia="es-ES_tradnl"/>
                <w14:ligatures w14:val="standardContextual"/>
              </w:rPr>
              <w:t>na red de alumbrado público compuesta por paneles solares o por un kit solar, podría considerarse una infraestructura eléctrica, aunque se diferencia de las infraestructuras eléctricas</w:t>
            </w:r>
            <w:r>
              <w:rPr>
                <w:rFonts w:ascii="Verdana" w:eastAsia="Times New Roman" w:hAnsi="Verdana" w:cs="Arial"/>
                <w:kern w:val="2"/>
                <w:shd w:val="clear" w:color="auto" w:fill="FFFFFF"/>
                <w:lang w:val="es-ES_tradnl" w:eastAsia="es-ES_tradnl"/>
                <w14:ligatures w14:val="standardContextual"/>
              </w:rPr>
              <w:t>.</w:t>
            </w:r>
          </w:p>
          <w:p w14:paraId="15632CDF" w14:textId="77777777" w:rsidR="000B2E9C" w:rsidRDefault="000B2E9C" w:rsidP="00217517">
            <w:pPr>
              <w:snapToGrid w:val="0"/>
              <w:spacing w:line="276" w:lineRule="auto"/>
              <w:ind w:left="720"/>
              <w:jc w:val="both"/>
              <w:rPr>
                <w:rFonts w:ascii="Verdana" w:eastAsia="Times New Roman" w:hAnsi="Verdana" w:cs="Arial"/>
                <w:kern w:val="2"/>
                <w:shd w:val="clear" w:color="auto" w:fill="FFFFFF"/>
                <w:lang w:val="es-ES_tradnl" w:eastAsia="es-ES_tradnl"/>
                <w14:ligatures w14:val="standardContextual"/>
              </w:rPr>
            </w:pPr>
          </w:p>
          <w:p w14:paraId="18BD2AAD" w14:textId="77777777" w:rsidR="000B2E9C" w:rsidRPr="00E22D13" w:rsidRDefault="000B2E9C" w:rsidP="00217517">
            <w:pPr>
              <w:snapToGrid w:val="0"/>
              <w:spacing w:line="276" w:lineRule="auto"/>
              <w:jc w:val="both"/>
              <w:rPr>
                <w:rFonts w:ascii="Verdana" w:eastAsia="Times New Roman" w:hAnsi="Verdana" w:cs="Arial"/>
                <w:kern w:val="2"/>
                <w:shd w:val="clear" w:color="auto" w:fill="FFFFFF"/>
                <w:lang w:val="es-ES_tradnl" w:eastAsia="es-ES_tradnl"/>
                <w14:ligatures w14:val="standardContextual"/>
              </w:rPr>
            </w:pPr>
            <w:r w:rsidRPr="0066051B">
              <w:rPr>
                <w:rFonts w:ascii="Verdana" w:eastAsia="Times New Roman" w:hAnsi="Verdana" w:cs="Arial"/>
                <w:kern w:val="2"/>
                <w:shd w:val="clear" w:color="auto" w:fill="FFFFFF"/>
                <w:lang w:val="es-ES_tradnl" w:eastAsia="es-ES_tradnl"/>
                <w14:ligatures w14:val="standardContextual"/>
              </w:rPr>
              <w:t>Este tipo de red solar tiene la ventaja de ser independiente de la red eléctrica convencional y es más sostenible</w:t>
            </w:r>
            <w:r>
              <w:rPr>
                <w:rFonts w:ascii="Verdana" w:eastAsia="Times New Roman" w:hAnsi="Verdana" w:cs="Arial"/>
                <w:kern w:val="2"/>
                <w:shd w:val="clear" w:color="auto" w:fill="FFFFFF"/>
                <w:lang w:val="es-ES_tradnl" w:eastAsia="es-ES_tradnl"/>
                <w14:ligatures w14:val="standardContextual"/>
              </w:rPr>
              <w:t>. S</w:t>
            </w:r>
            <w:r w:rsidRPr="0066051B">
              <w:rPr>
                <w:rFonts w:ascii="Verdana" w:eastAsia="Times New Roman" w:hAnsi="Verdana" w:cs="Arial"/>
                <w:kern w:val="2"/>
                <w:shd w:val="clear" w:color="auto" w:fill="FFFFFF"/>
                <w:lang w:val="es-ES_tradnl" w:eastAsia="es-ES_tradnl"/>
                <w14:ligatures w14:val="standardContextual"/>
              </w:rPr>
              <w:t xml:space="preserve">in embargo, aunque el sistema de alumbrado público solar no esté completamente vinculado a una red eléctrica tradicional de distribución, </w:t>
            </w:r>
            <w:r>
              <w:rPr>
                <w:rFonts w:ascii="Verdana" w:eastAsia="Times New Roman" w:hAnsi="Verdana" w:cs="Arial"/>
                <w:kern w:val="2"/>
                <w:shd w:val="clear" w:color="auto" w:fill="FFFFFF"/>
                <w:lang w:val="es-ES_tradnl" w:eastAsia="es-ES_tradnl"/>
                <w14:ligatures w14:val="standardContextual"/>
              </w:rPr>
              <w:t xml:space="preserve">-en principio- </w:t>
            </w:r>
            <w:r w:rsidRPr="0066051B">
              <w:rPr>
                <w:rFonts w:ascii="Verdana" w:eastAsia="Times New Roman" w:hAnsi="Verdana" w:cs="Arial"/>
                <w:kern w:val="2"/>
                <w:shd w:val="clear" w:color="auto" w:fill="FFFFFF"/>
                <w:lang w:val="es-ES_tradnl" w:eastAsia="es-ES_tradnl"/>
                <w14:ligatures w14:val="standardContextual"/>
              </w:rPr>
              <w:t xml:space="preserve">sí forma parte de las infraestructuras </w:t>
            </w:r>
            <w:r w:rsidRPr="0066051B">
              <w:rPr>
                <w:rFonts w:ascii="Verdana" w:eastAsia="Times New Roman" w:hAnsi="Verdana" w:cs="Arial"/>
                <w:kern w:val="2"/>
                <w:shd w:val="clear" w:color="auto" w:fill="FFFFFF"/>
                <w:lang w:val="es-ES_tradnl" w:eastAsia="es-ES_tradnl"/>
                <w14:ligatures w14:val="standardContextual"/>
              </w:rPr>
              <w:lastRenderedPageBreak/>
              <w:t>eléctricas, especialmente en un contexto de transición hacia energías renovables y sostenibles.</w:t>
            </w:r>
          </w:p>
          <w:p w14:paraId="2C1AE326" w14:textId="77777777" w:rsidR="000B2E9C" w:rsidRDefault="000B2E9C" w:rsidP="00217517">
            <w:pPr>
              <w:snapToGrid w:val="0"/>
              <w:spacing w:line="276" w:lineRule="auto"/>
              <w:jc w:val="both"/>
              <w:rPr>
                <w:rFonts w:ascii="Calibri" w:eastAsia="Calibri" w:hAnsi="Calibri" w:cs="Times New Roman"/>
                <w:kern w:val="2"/>
                <w:sz w:val="24"/>
                <w:szCs w:val="24"/>
                <w14:ligatures w14:val="standardContextual"/>
              </w:rPr>
            </w:pPr>
            <w:r>
              <w:rPr>
                <w:rFonts w:ascii="Verdana" w:eastAsia="Times New Roman" w:hAnsi="Verdana" w:cs="Arial"/>
                <w:kern w:val="2"/>
                <w:shd w:val="clear" w:color="auto" w:fill="FFFFFF"/>
                <w:lang w:val="es-ES_tradnl" w:eastAsia="es-ES_tradnl"/>
                <w14:ligatures w14:val="standardContextual"/>
              </w:rPr>
              <w:t xml:space="preserve">Sí la entidad contratante bajo los parámetros indicados, y como estructuradora del proceso y conocedora de las particularidades del mismo, determina que, para el objeto a contratar “alumbrado público solar” aplican los documentos tipo de licitación de obra pública de infraestructura de transporte – versión 4, debe tener en cuenta las condiciones de experiencia general y especifica, además de notas contenidas en la actividad 1.9 de Matriz 1 – Experiencia de los documentos tipo de licitación de obra pública de infraestructura de transporte – versión 4. </w:t>
            </w:r>
          </w:p>
          <w:p w14:paraId="1E88FA67" w14:textId="77777777" w:rsidR="000B2E9C" w:rsidRPr="00AD2376" w:rsidRDefault="000B2E9C" w:rsidP="00217517">
            <w:pPr>
              <w:jc w:val="both"/>
              <w:rPr>
                <w:rFonts w:ascii="Verdana" w:hAnsi="Verdana"/>
              </w:rPr>
            </w:pPr>
          </w:p>
          <w:p w14:paraId="07FB13D8" w14:textId="77777777" w:rsidR="000B2E9C" w:rsidRDefault="000B2E9C" w:rsidP="00217517">
            <w:pPr>
              <w:snapToGrid w:val="0"/>
              <w:spacing w:line="276" w:lineRule="auto"/>
              <w:jc w:val="both"/>
              <w:rPr>
                <w:rFonts w:ascii="Verdana" w:hAnsi="Verdana"/>
              </w:rPr>
            </w:pPr>
            <w:r>
              <w:rPr>
                <w:rFonts w:ascii="Verdana" w:hAnsi="Verdana"/>
              </w:rPr>
              <w:t>S</w:t>
            </w:r>
            <w:r w:rsidRPr="00355617">
              <w:rPr>
                <w:rFonts w:ascii="Verdana" w:hAnsi="Verdana"/>
              </w:rPr>
              <w:t xml:space="preserve">i en el proceso de selección que adelanta la entidad, se requiere experiencia particular en actividades no contempladas en las matrices de experiencia, las </w:t>
            </w:r>
            <w:r>
              <w:rPr>
                <w:rFonts w:ascii="Verdana" w:hAnsi="Verdana"/>
              </w:rPr>
              <w:t>e</w:t>
            </w:r>
            <w:r w:rsidRPr="00355617">
              <w:rPr>
                <w:rFonts w:ascii="Verdana" w:hAnsi="Verdana"/>
              </w:rPr>
              <w:t xml:space="preserve">ntidades pueden recurrir a la opción planteada en el literal H del numeral 3.5.2. del documento base de infraestructura de </w:t>
            </w:r>
            <w:r>
              <w:rPr>
                <w:rFonts w:ascii="Verdana" w:hAnsi="Verdana"/>
              </w:rPr>
              <w:t>t</w:t>
            </w:r>
            <w:r w:rsidRPr="00355617">
              <w:rPr>
                <w:rFonts w:ascii="Verdana" w:hAnsi="Verdana"/>
              </w:rPr>
              <w:t>ransporte y lo contenido en el artículo 4 de las Resoluci</w:t>
            </w:r>
            <w:r>
              <w:rPr>
                <w:rFonts w:ascii="Verdana" w:hAnsi="Verdana"/>
              </w:rPr>
              <w:t>ón</w:t>
            </w:r>
            <w:r w:rsidRPr="00355617">
              <w:rPr>
                <w:rFonts w:ascii="Verdana" w:hAnsi="Verdana"/>
              </w:rPr>
              <w:t xml:space="preserve"> 465 de 2024</w:t>
            </w:r>
            <w:r w:rsidRPr="00355617">
              <w:t xml:space="preserve"> </w:t>
            </w:r>
            <w:r w:rsidRPr="00355617">
              <w:rPr>
                <w:rFonts w:ascii="Verdana" w:hAnsi="Verdana"/>
              </w:rPr>
              <w:t>que se refiere a los Bienes adicionales a la obra de infraestructura de transporte</w:t>
            </w:r>
          </w:p>
          <w:p w14:paraId="4634F174" w14:textId="77777777" w:rsidR="000B2E9C" w:rsidRPr="009D0CB0" w:rsidRDefault="000B2E9C" w:rsidP="00217517">
            <w:pPr>
              <w:snapToGrid w:val="0"/>
              <w:spacing w:line="276" w:lineRule="auto"/>
              <w:jc w:val="both"/>
              <w:rPr>
                <w:rFonts w:ascii="Verdana" w:eastAsia="Times New Roman" w:hAnsi="Verdana" w:cs="Arial"/>
                <w:kern w:val="2"/>
                <w:shd w:val="clear" w:color="auto" w:fill="FFFFFF"/>
                <w:lang w:val="es-ES_tradnl" w:eastAsia="es-ES_tradnl"/>
                <w14:ligatures w14:val="standardContextual"/>
              </w:rPr>
            </w:pPr>
          </w:p>
          <w:p w14:paraId="781FBA84" w14:textId="77777777" w:rsidR="000B2E9C" w:rsidRPr="00553C50" w:rsidRDefault="000B2E9C" w:rsidP="00217517">
            <w:pPr>
              <w:snapToGrid w:val="0"/>
              <w:spacing w:line="276" w:lineRule="auto"/>
              <w:jc w:val="both"/>
              <w:rPr>
                <w:rFonts w:ascii="Verdana" w:eastAsia="Times New Roman" w:hAnsi="Verdana" w:cs="Arial"/>
                <w:kern w:val="2"/>
                <w:shd w:val="clear" w:color="auto" w:fill="FFFFFF"/>
                <w:lang w:val="es-ES_tradnl" w:eastAsia="es-ES_tradnl"/>
                <w14:ligatures w14:val="standardContextual"/>
              </w:rPr>
            </w:pPr>
            <w:r w:rsidRPr="009D0CB0">
              <w:rPr>
                <w:rFonts w:ascii="Verdana" w:eastAsia="Times New Roman" w:hAnsi="Verdana" w:cs="Arial"/>
                <w:kern w:val="2"/>
                <w:shd w:val="clear" w:color="auto" w:fill="FFFFFF"/>
                <w:lang w:val="es-ES_tradnl" w:eastAsia="es-ES_tradnl"/>
                <w14:ligatures w14:val="standardContextual"/>
              </w:rPr>
              <w:t>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p>
        </w:tc>
      </w:tr>
    </w:tbl>
    <w:p w14:paraId="5559D420" w14:textId="77777777" w:rsidR="000B2E9C" w:rsidRPr="009322DA" w:rsidRDefault="000B2E9C" w:rsidP="000B2E9C">
      <w:pPr>
        <w:tabs>
          <w:tab w:val="left" w:pos="142"/>
          <w:tab w:val="left" w:pos="284"/>
        </w:tabs>
        <w:spacing w:after="0" w:line="276" w:lineRule="auto"/>
        <w:jc w:val="both"/>
        <w:rPr>
          <w:rFonts w:ascii="Verdana" w:eastAsia="Century Gothic" w:hAnsi="Verdana" w:cs="Century Gothic"/>
          <w:b/>
          <w:bCs/>
          <w:lang w:val="es-ES"/>
        </w:rPr>
      </w:pPr>
    </w:p>
    <w:p w14:paraId="722BA950" w14:textId="77777777" w:rsidR="000B2E9C" w:rsidRPr="009322DA" w:rsidRDefault="000B2E9C" w:rsidP="000B2E9C">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9322DA">
        <w:rPr>
          <w:rFonts w:ascii="Verdana" w:eastAsia="Century Gothic" w:hAnsi="Verdana" w:cs="Century Gothic"/>
          <w:b/>
          <w:bCs/>
          <w:lang w:val="es-ES"/>
        </w:rPr>
        <w:t>Razones de la respuesta:</w:t>
      </w:r>
    </w:p>
    <w:p w14:paraId="100B4C2A" w14:textId="77777777" w:rsidR="000B2E9C" w:rsidRPr="009322DA" w:rsidRDefault="000B2E9C" w:rsidP="000B2E9C">
      <w:pPr>
        <w:spacing w:after="0" w:line="276" w:lineRule="auto"/>
        <w:jc w:val="both"/>
        <w:rPr>
          <w:rFonts w:ascii="Verdana" w:eastAsia="Calibri" w:hAnsi="Verdana" w:cs="Arial"/>
          <w:lang w:val="es-ES"/>
        </w:rPr>
      </w:pPr>
    </w:p>
    <w:p w14:paraId="1C75A287" w14:textId="77777777" w:rsidR="000B2E9C" w:rsidRDefault="000B2E9C" w:rsidP="000B2E9C">
      <w:pPr>
        <w:spacing w:after="0" w:line="276" w:lineRule="auto"/>
        <w:jc w:val="both"/>
        <w:rPr>
          <w:rFonts w:ascii="Verdana" w:eastAsia="Calibri" w:hAnsi="Verdana" w:cs="Arial"/>
          <w:lang w:val="es-ES"/>
        </w:rPr>
      </w:pPr>
      <w:r w:rsidRPr="009322DA">
        <w:rPr>
          <w:rFonts w:ascii="Verdana" w:eastAsia="Calibri" w:hAnsi="Verdana" w:cs="Arial"/>
          <w:lang w:val="es-ES"/>
        </w:rPr>
        <w:t xml:space="preserve">Lo anterior se sustenta en las siguientes consideraciones: </w:t>
      </w:r>
    </w:p>
    <w:p w14:paraId="67E8E284" w14:textId="77777777" w:rsidR="000B2E9C" w:rsidRPr="00671E64" w:rsidRDefault="000B2E9C" w:rsidP="000B2E9C">
      <w:pPr>
        <w:spacing w:after="0" w:line="276" w:lineRule="auto"/>
        <w:jc w:val="both"/>
        <w:rPr>
          <w:rFonts w:ascii="Verdana" w:eastAsia="Calibri" w:hAnsi="Verdana" w:cs="Arial"/>
          <w:lang w:val="es-ES"/>
        </w:rPr>
      </w:pPr>
    </w:p>
    <w:p w14:paraId="6C46DB1C" w14:textId="77777777" w:rsidR="000B2E9C" w:rsidRDefault="000B2E9C" w:rsidP="000B2E9C">
      <w:pPr>
        <w:pStyle w:val="Prrafodelista"/>
        <w:numPr>
          <w:ilvl w:val="0"/>
          <w:numId w:val="17"/>
        </w:numPr>
        <w:spacing w:after="0" w:line="276" w:lineRule="auto"/>
        <w:contextualSpacing w:val="0"/>
        <w:jc w:val="both"/>
        <w:rPr>
          <w:rFonts w:ascii="Verdana" w:eastAsia="Calibri" w:hAnsi="Verdana" w:cs="Arial"/>
          <w:lang w:val="es-ES_tradnl" w:eastAsia="es-ES"/>
        </w:rPr>
      </w:pPr>
      <w:bookmarkStart w:id="2" w:name="_Hlk113022941"/>
      <w:r w:rsidRPr="00DA0AAE">
        <w:rPr>
          <w:rFonts w:ascii="Verdana" w:eastAsia="Calibri" w:hAnsi="Verdana" w:cs="Arial"/>
          <w:lang w:val="es-ES_tradnl" w:eastAsia="es-ES"/>
        </w:rPr>
        <w:t xml:space="preserve">La </w:t>
      </w:r>
      <w:bookmarkStart w:id="3" w:name="_Hlk176876754"/>
      <w:r w:rsidRPr="00DA0AAE">
        <w:rPr>
          <w:rFonts w:ascii="Verdana" w:eastAsia="Calibri" w:hAnsi="Verdana" w:cs="Arial"/>
          <w:lang w:val="es-ES_tradnl" w:eastAsia="es-ES"/>
        </w:rPr>
        <w:t xml:space="preserve">Ley 2022 de 2020, modificó el contenido del parágrafo 7 del artículo 2 de la Ley 1150 de 2007, que había sido adicionado por la Ley 1882 de </w:t>
      </w:r>
      <w:r w:rsidRPr="00DA0AAE">
        <w:rPr>
          <w:rFonts w:ascii="Verdana" w:eastAsia="Calibri" w:hAnsi="Verdana" w:cs="Arial"/>
          <w:lang w:val="es-ES_tradnl" w:eastAsia="es-ES"/>
        </w:rPr>
        <w:lastRenderedPageBreak/>
        <w:t>2018</w:t>
      </w:r>
      <w:bookmarkEnd w:id="3"/>
      <w:r w:rsidRPr="00F95ECD">
        <w:rPr>
          <w:vertAlign w:val="superscript"/>
          <w:lang w:val="es-ES_tradnl" w:eastAsia="es-ES"/>
        </w:rPr>
        <w:footnoteReference w:id="1"/>
      </w:r>
      <w:r w:rsidRPr="00DA0AAE">
        <w:rPr>
          <w:rFonts w:ascii="Verdana" w:eastAsia="Calibri" w:hAnsi="Verdana" w:cs="Arial"/>
          <w:lang w:val="es-ES_tradnl" w:eastAsia="es-ES"/>
        </w:rPr>
        <w:t xml:space="preserve">. Con esta modificación, si bien se mantuvo el mandato de aplicación obligatoria de los Documentos Tipo por parte de las entidades sometidas al </w:t>
      </w:r>
      <w:r w:rsidRPr="00DA0AAE">
        <w:rPr>
          <w:rFonts w:ascii="Verdana" w:eastAsia="Calibri" w:hAnsi="Verdana" w:cs="Arial"/>
          <w:bCs/>
          <w:lang w:val="es-ES_tradnl" w:eastAsia="es-ES_tradnl"/>
        </w:rPr>
        <w:t>EGCAP</w:t>
      </w:r>
      <w:r w:rsidRPr="00DA0AAE">
        <w:rPr>
          <w:rFonts w:ascii="Verdana" w:eastAsia="Calibri" w:hAnsi="Verdana" w:cs="Arial"/>
          <w:lang w:val="es-ES_tradnl" w:eastAsia="es-ES"/>
        </w:rPr>
        <w:t xml:space="preserve">, se atribuyó a la </w:t>
      </w:r>
      <w:r w:rsidRPr="00DA0AAE">
        <w:rPr>
          <w:rFonts w:ascii="Verdana" w:eastAsia="Calibri" w:hAnsi="Verdana" w:cs="Arial"/>
          <w:lang w:val="es-ES_tradnl" w:eastAsia="es-ES_tradnl"/>
        </w:rPr>
        <w:t xml:space="preserve">Agencia Nacional de Contratación Pública – Colombia Compra Eficiente la competencia para su expedición. </w:t>
      </w:r>
    </w:p>
    <w:p w14:paraId="7550B65B" w14:textId="77777777" w:rsidR="000B2E9C" w:rsidRPr="00DA0AAE" w:rsidRDefault="000B2E9C" w:rsidP="000B2E9C">
      <w:pPr>
        <w:pStyle w:val="Prrafodelista"/>
        <w:spacing w:before="120" w:after="120" w:line="276" w:lineRule="auto"/>
        <w:jc w:val="both"/>
        <w:rPr>
          <w:rFonts w:ascii="Verdana" w:eastAsia="Calibri" w:hAnsi="Verdana" w:cs="Arial"/>
          <w:lang w:val="es-ES_tradnl" w:eastAsia="es-ES"/>
        </w:rPr>
      </w:pPr>
    </w:p>
    <w:p w14:paraId="3470C48F" w14:textId="77777777" w:rsidR="000B2E9C" w:rsidRDefault="000B2E9C" w:rsidP="000B2E9C">
      <w:pPr>
        <w:pStyle w:val="Prrafodelista"/>
        <w:numPr>
          <w:ilvl w:val="0"/>
          <w:numId w:val="17"/>
        </w:numPr>
        <w:spacing w:after="0" w:line="276" w:lineRule="auto"/>
        <w:contextualSpacing w:val="0"/>
        <w:jc w:val="both"/>
        <w:rPr>
          <w:rFonts w:ascii="Verdana" w:hAnsi="Verdana" w:cs="Arial"/>
        </w:rPr>
      </w:pPr>
      <w:r w:rsidRPr="00DA0AAE">
        <w:rPr>
          <w:rFonts w:ascii="Verdana" w:hAnsi="Verdana" w:cs="Arial"/>
        </w:rPr>
        <w:t xml:space="preserve">Con sustento en esta competencia, esta Agencia ha expedido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w:t>
      </w:r>
      <w:r w:rsidRPr="00DA0AAE">
        <w:rPr>
          <w:rFonts w:ascii="Verdana" w:hAnsi="Verdana" w:cs="Arial"/>
        </w:rPr>
        <w:lastRenderedPageBreak/>
        <w:t>licitación pública, selección abreviada de menor cuantía, mínima cuantía, concurso de méritos y contratación directa.</w:t>
      </w:r>
    </w:p>
    <w:p w14:paraId="65317365" w14:textId="77777777" w:rsidR="000B2E9C" w:rsidRPr="00DA0AAE" w:rsidRDefault="000B2E9C" w:rsidP="000B2E9C">
      <w:pPr>
        <w:pStyle w:val="Prrafodelista"/>
        <w:rPr>
          <w:rFonts w:ascii="Verdana" w:hAnsi="Verdana" w:cs="Arial"/>
        </w:rPr>
      </w:pPr>
    </w:p>
    <w:p w14:paraId="3524D48A" w14:textId="77777777" w:rsidR="000B2E9C" w:rsidRDefault="000B2E9C" w:rsidP="000B2E9C">
      <w:pPr>
        <w:pStyle w:val="Prrafodelista"/>
        <w:numPr>
          <w:ilvl w:val="0"/>
          <w:numId w:val="17"/>
        </w:numPr>
        <w:snapToGrid w:val="0"/>
        <w:spacing w:after="0" w:line="276" w:lineRule="auto"/>
        <w:jc w:val="both"/>
        <w:rPr>
          <w:rFonts w:ascii="Verdana" w:eastAsia="Calibri" w:hAnsi="Verdana" w:cs="Arial"/>
          <w:kern w:val="2"/>
          <w14:ligatures w14:val="standardContextual"/>
        </w:rPr>
      </w:pPr>
      <w:r>
        <w:rPr>
          <w:rFonts w:ascii="Verdana" w:eastAsia="Calibri" w:hAnsi="Verdana" w:cs="Arial"/>
          <w:kern w:val="2"/>
          <w14:ligatures w14:val="standardContextual"/>
        </w:rPr>
        <w:t xml:space="preserve">Los documentos tipo de licitación de obra pública de infraestructura de transporte – Versión 3 fueron modificados después de surtir un procedimiento interno establecido por esta Agencia, en el que se recibieron y revisaron </w:t>
      </w:r>
      <w:r w:rsidRPr="00DA0AAE">
        <w:rPr>
          <w:rFonts w:ascii="Verdana" w:eastAsia="Calibri" w:hAnsi="Verdana" w:cs="Arial"/>
          <w:kern w:val="2"/>
          <w14:ligatures w14:val="standardContextual"/>
        </w:rPr>
        <w:t xml:space="preserve">los comentarios de todos los partícipes del sistema de la compra pública en el primero y parte del segundo semestre del año 2024. </w:t>
      </w:r>
      <w:r>
        <w:rPr>
          <w:rFonts w:ascii="Verdana" w:eastAsia="Calibri" w:hAnsi="Verdana" w:cs="Arial"/>
          <w:kern w:val="2"/>
          <w14:ligatures w14:val="standardContextual"/>
        </w:rPr>
        <w:t xml:space="preserve">Así mediante la Resolución 465 del 10 de septiembre de 2024 se adoptó la versión 4 de esos documentos tipo. </w:t>
      </w:r>
    </w:p>
    <w:p w14:paraId="60FA8CB8" w14:textId="77777777" w:rsidR="000B2E9C" w:rsidRPr="00DA0AAE" w:rsidRDefault="000B2E9C" w:rsidP="000B2E9C">
      <w:pPr>
        <w:spacing w:after="0" w:line="276" w:lineRule="auto"/>
        <w:jc w:val="both"/>
        <w:rPr>
          <w:rFonts w:ascii="Verdana" w:hAnsi="Verdana" w:cs="Arial"/>
          <w:lang w:val="es-ES"/>
        </w:rPr>
      </w:pPr>
    </w:p>
    <w:bookmarkEnd w:id="2"/>
    <w:p w14:paraId="06F55FD7" w14:textId="77777777" w:rsidR="000B2E9C" w:rsidRPr="00DA0AAE" w:rsidRDefault="000B2E9C" w:rsidP="000B2E9C">
      <w:pPr>
        <w:pStyle w:val="Prrafodelista"/>
        <w:numPr>
          <w:ilvl w:val="0"/>
          <w:numId w:val="17"/>
        </w:numPr>
        <w:spacing w:after="0" w:line="276" w:lineRule="auto"/>
        <w:contextualSpacing w:val="0"/>
        <w:jc w:val="both"/>
        <w:rPr>
          <w:rFonts w:ascii="Verdana" w:eastAsia="Calibri" w:hAnsi="Verdana" w:cs="Arial"/>
        </w:rPr>
      </w:pPr>
      <w:r w:rsidRPr="00DA0AAE">
        <w:rPr>
          <w:rFonts w:ascii="Verdana" w:eastAsia="Calibri" w:hAnsi="Verdana" w:cs="Arial"/>
          <w:lang w:eastAsia="es-ES_tradnl"/>
        </w:rPr>
        <w:t xml:space="preserve">De acuerdo con lo expuesto, </w:t>
      </w:r>
      <w:r w:rsidRPr="00DA0AAE">
        <w:rPr>
          <w:rFonts w:ascii="Verdana" w:eastAsia="Calibri" w:hAnsi="Verdana" w:cs="Arial"/>
          <w:bdr w:val="none" w:sz="0" w:space="0" w:color="auto" w:frame="1"/>
          <w:lang w:eastAsia="es-ES_tradnl"/>
        </w:rPr>
        <w:t xml:space="preserve">los Documentos Tipo adoptados son obligatorios para las Entidades Estatales regidas por el </w:t>
      </w:r>
      <w:r w:rsidRPr="00DA0AAE">
        <w:rPr>
          <w:rFonts w:ascii="Verdana" w:eastAsia="Calibri" w:hAnsi="Verdana" w:cs="Arial"/>
          <w:bCs/>
          <w:lang w:val="es-ES_tradnl" w:eastAsia="es-ES_tradnl"/>
        </w:rPr>
        <w:t>EGCAP</w:t>
      </w:r>
      <w:r w:rsidRPr="00DA0AAE">
        <w:rPr>
          <w:rFonts w:ascii="Verdana" w:eastAsia="Calibri" w:hAnsi="Verdana" w:cs="Arial"/>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w:t>
      </w:r>
      <w:r w:rsidRPr="00F95ECD">
        <w:rPr>
          <w:bdr w:val="none" w:sz="0" w:space="0" w:color="auto" w:frame="1"/>
          <w:vertAlign w:val="superscript"/>
          <w:lang w:eastAsia="es-ES_tradnl"/>
        </w:rPr>
        <w:footnoteReference w:id="2"/>
      </w:r>
      <w:r w:rsidRPr="00DA0AAE">
        <w:rPr>
          <w:rFonts w:ascii="Verdana" w:eastAsia="Calibri" w:hAnsi="Verdana" w:cs="Arial"/>
          <w:bdr w:val="none" w:sz="0" w:space="0" w:color="auto" w:frame="1"/>
          <w:lang w:eastAsia="es-ES_tradnl"/>
        </w:rPr>
        <w:t xml:space="preserve">. </w:t>
      </w:r>
      <w:r w:rsidRPr="00DA0AAE">
        <w:rPr>
          <w:rFonts w:ascii="Verdana" w:eastAsia="Calibri" w:hAnsi="Verdana" w:cs="Arial"/>
        </w:rPr>
        <w:t>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los Documentos Tipo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w:t>
      </w:r>
      <w:r w:rsidRPr="00DA0AAE">
        <w:rPr>
          <w:rFonts w:ascii="Verdana" w:hAnsi="Verdana" w:cs="Arial"/>
          <w:shd w:val="clear" w:color="auto" w:fill="FFFFFF"/>
        </w:rPr>
        <w:t>”</w:t>
      </w:r>
      <w:r>
        <w:rPr>
          <w:rStyle w:val="Refdenotaalpie"/>
          <w:rFonts w:ascii="Verdana" w:hAnsi="Verdana" w:cs="Times New Roman"/>
          <w:lang w:val="es-ES_tradnl"/>
        </w:rPr>
        <w:footnoteReference w:id="3"/>
      </w:r>
      <w:r w:rsidRPr="00DA0AAE">
        <w:rPr>
          <w:rFonts w:ascii="Verdana" w:hAnsi="Verdana" w:cs="Arial"/>
          <w:shd w:val="clear" w:color="auto" w:fill="FFFFFF"/>
        </w:rPr>
        <w:t>.</w:t>
      </w:r>
    </w:p>
    <w:p w14:paraId="0E6A6B4A" w14:textId="77777777" w:rsidR="000B2E9C" w:rsidRPr="008922FF" w:rsidRDefault="000B2E9C" w:rsidP="000B2E9C">
      <w:pPr>
        <w:snapToGrid w:val="0"/>
        <w:spacing w:after="0" w:line="276" w:lineRule="auto"/>
        <w:ind w:left="360"/>
        <w:contextualSpacing/>
        <w:jc w:val="both"/>
        <w:rPr>
          <w:rFonts w:ascii="Verdana" w:eastAsia="Times New Roman" w:hAnsi="Verdana" w:cs="Arial"/>
          <w:kern w:val="2"/>
          <w:shd w:val="clear" w:color="auto" w:fill="FFFFFF"/>
          <w:lang w:val="es-ES_tradnl" w:eastAsia="es-ES"/>
          <w14:ligatures w14:val="standardContextual"/>
        </w:rPr>
      </w:pPr>
    </w:p>
    <w:p w14:paraId="23A2A17E" w14:textId="77777777" w:rsidR="000B2E9C" w:rsidRPr="008922FF" w:rsidRDefault="000B2E9C" w:rsidP="000B2E9C">
      <w:pPr>
        <w:numPr>
          <w:ilvl w:val="0"/>
          <w:numId w:val="17"/>
        </w:numPr>
        <w:spacing w:after="0" w:line="276" w:lineRule="auto"/>
        <w:jc w:val="both"/>
        <w:rPr>
          <w:rFonts w:ascii="Verdana" w:eastAsia="Calibri" w:hAnsi="Verdana" w:cs="Arial"/>
          <w:bCs/>
        </w:rPr>
      </w:pPr>
      <w:r w:rsidRPr="008E79FF">
        <w:rPr>
          <w:rFonts w:ascii="Verdana" w:eastAsia="Calibri" w:hAnsi="Verdana" w:cs="Arial"/>
          <w:bCs/>
          <w:lang w:val="es-ES"/>
        </w:rPr>
        <w:t xml:space="preserve">Para establecer si determinado objeto contractual se encuentra cobijado o no por los </w:t>
      </w:r>
      <w:r>
        <w:rPr>
          <w:rFonts w:ascii="Verdana" w:eastAsia="Calibri" w:hAnsi="Verdana" w:cs="Arial"/>
          <w:bCs/>
          <w:lang w:val="es-ES"/>
        </w:rPr>
        <w:t>d</w:t>
      </w:r>
      <w:r w:rsidRPr="008E79FF">
        <w:rPr>
          <w:rFonts w:ascii="Verdana" w:eastAsia="Calibri" w:hAnsi="Verdana" w:cs="Arial"/>
          <w:bCs/>
          <w:lang w:val="es-ES"/>
        </w:rPr>
        <w:t xml:space="preserve">ocumentos </w:t>
      </w:r>
      <w:r>
        <w:rPr>
          <w:rFonts w:ascii="Verdana" w:eastAsia="Calibri" w:hAnsi="Verdana" w:cs="Arial"/>
          <w:bCs/>
          <w:lang w:val="es-ES"/>
        </w:rPr>
        <w:t>t</w:t>
      </w:r>
      <w:r w:rsidRPr="008E79FF">
        <w:rPr>
          <w:rFonts w:ascii="Verdana" w:eastAsia="Calibri" w:hAnsi="Verdana" w:cs="Arial"/>
          <w:bCs/>
          <w:lang w:val="es-ES"/>
        </w:rPr>
        <w:t xml:space="preserve">ipo, es necesario determinar si el mismo se enmarca en los tipos de infraestructura, modalidades de selección y tipos </w:t>
      </w:r>
      <w:r w:rsidRPr="008E79FF">
        <w:rPr>
          <w:rFonts w:ascii="Verdana" w:eastAsia="Calibri" w:hAnsi="Verdana" w:cs="Arial"/>
          <w:bCs/>
          <w:lang w:val="es-ES"/>
        </w:rPr>
        <w:lastRenderedPageBreak/>
        <w:t>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w:t>
      </w:r>
      <w:r>
        <w:rPr>
          <w:rFonts w:ascii="Verdana" w:eastAsia="Calibri" w:hAnsi="Verdana" w:cs="Arial"/>
          <w:bCs/>
          <w:lang w:val="es-ES"/>
        </w:rPr>
        <w:t xml:space="preserve"> expedidas por esta Agencia mediante las cuales se adoptan documentos tipo.</w:t>
      </w:r>
    </w:p>
    <w:p w14:paraId="311A2DAD" w14:textId="77777777" w:rsidR="000B2E9C" w:rsidRDefault="000B2E9C" w:rsidP="000B2E9C">
      <w:p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p>
    <w:p w14:paraId="54570396" w14:textId="77777777" w:rsidR="000B2E9C" w:rsidRDefault="000B2E9C" w:rsidP="000B2E9C">
      <w:pPr>
        <w:numPr>
          <w:ilvl w:val="0"/>
          <w:numId w:val="18"/>
        </w:numPr>
        <w:snapToGrid w:val="0"/>
        <w:spacing w:after="0" w:line="276" w:lineRule="auto"/>
        <w:ind w:left="720"/>
        <w:jc w:val="both"/>
        <w:rPr>
          <w:rFonts w:ascii="Verdana" w:eastAsia="Times New Roman" w:hAnsi="Verdana" w:cs="Arial"/>
          <w:kern w:val="2"/>
          <w:shd w:val="clear" w:color="auto" w:fill="FFFFFF"/>
          <w:lang w:val="es-ES_tradnl" w:eastAsia="es-ES_tradnl"/>
          <w14:ligatures w14:val="standardContextual"/>
        </w:rPr>
      </w:pPr>
      <w:r>
        <w:rPr>
          <w:rFonts w:ascii="Verdana" w:eastAsia="Times New Roman" w:hAnsi="Verdana" w:cs="Arial"/>
          <w:kern w:val="2"/>
          <w:shd w:val="clear" w:color="auto" w:fill="FFFFFF"/>
          <w:lang w:val="es-ES_tradnl" w:eastAsia="es-ES_tradnl"/>
          <w14:ligatures w14:val="standardContextual"/>
        </w:rPr>
        <w:t>U</w:t>
      </w:r>
      <w:r w:rsidRPr="009D0CB0">
        <w:rPr>
          <w:rFonts w:ascii="Verdana" w:eastAsia="Times New Roman" w:hAnsi="Verdana" w:cs="Arial"/>
          <w:kern w:val="2"/>
          <w:shd w:val="clear" w:color="auto" w:fill="FFFFFF"/>
          <w:lang w:val="es-ES_tradnl" w:eastAsia="es-ES_tradnl"/>
          <w14:ligatures w14:val="standardContextual"/>
        </w:rPr>
        <w:t xml:space="preserve">no de los elementos comunes a los diferentes documentos tipo es la </w:t>
      </w:r>
      <w:r>
        <w:rPr>
          <w:rFonts w:ascii="Verdana" w:eastAsia="Times New Roman" w:hAnsi="Verdana" w:cs="Arial"/>
          <w:kern w:val="2"/>
          <w:shd w:val="clear" w:color="auto" w:fill="FFFFFF"/>
          <w:lang w:val="es-ES_tradnl" w:eastAsia="es-ES_tradnl"/>
          <w14:ligatures w14:val="standardContextual"/>
        </w:rPr>
        <w:t>“</w:t>
      </w:r>
      <w:r w:rsidRPr="009D0CB0">
        <w:rPr>
          <w:rFonts w:ascii="Verdana" w:eastAsia="Times New Roman" w:hAnsi="Verdana" w:cs="Arial"/>
          <w:kern w:val="2"/>
          <w:shd w:val="clear" w:color="auto" w:fill="FFFFFF"/>
          <w:lang w:val="es-ES_tradnl" w:eastAsia="es-ES_tradnl"/>
          <w14:ligatures w14:val="standardContextual"/>
        </w:rPr>
        <w:t>Matriz 1 – Experiencia</w:t>
      </w:r>
      <w:r>
        <w:rPr>
          <w:rFonts w:ascii="Verdana" w:eastAsia="Times New Roman" w:hAnsi="Verdana" w:cs="Arial"/>
          <w:kern w:val="2"/>
          <w:shd w:val="clear" w:color="auto" w:fill="FFFFFF"/>
          <w:lang w:val="es-ES_tradnl" w:eastAsia="es-ES_tradnl"/>
          <w14:ligatures w14:val="standardContextual"/>
        </w:rPr>
        <w:t>”</w:t>
      </w:r>
      <w:r w:rsidRPr="009D0CB0">
        <w:rPr>
          <w:rFonts w:ascii="Verdana" w:eastAsia="Times New Roman" w:hAnsi="Verdana" w:cs="Arial"/>
          <w:kern w:val="2"/>
          <w:shd w:val="clear" w:color="auto" w:fill="FFFFFF"/>
          <w:lang w:val="es-ES_tradnl" w:eastAsia="es-ES_tradnl"/>
          <w14:ligatures w14:val="standardContextual"/>
        </w:rPr>
        <w:t xml:space="preserve"> –en adelante Matriz 1–. Esta consta de unas celdas en las que se describe la experiencia requerida en relación con el objeto a contratar, definiendo además qué tipo de actividades relacionadas con cada sector deben acogerse a los pliegos tipo. Por otro lado, encontramos el </w:t>
      </w:r>
      <w:r>
        <w:rPr>
          <w:rFonts w:ascii="Verdana" w:eastAsia="Times New Roman" w:hAnsi="Verdana" w:cs="Arial"/>
          <w:kern w:val="2"/>
          <w:shd w:val="clear" w:color="auto" w:fill="FFFFFF"/>
          <w:lang w:val="es-ES_tradnl" w:eastAsia="es-ES_tradnl"/>
          <w14:ligatures w14:val="standardContextual"/>
        </w:rPr>
        <w:t>“</w:t>
      </w:r>
      <w:r w:rsidRPr="009D0CB0">
        <w:rPr>
          <w:rFonts w:ascii="Verdana" w:eastAsia="Times New Roman" w:hAnsi="Verdana" w:cs="Arial"/>
          <w:kern w:val="2"/>
          <w:shd w:val="clear" w:color="auto" w:fill="FFFFFF"/>
          <w:lang w:val="es-ES_tradnl" w:eastAsia="es-ES_tradnl"/>
          <w14:ligatures w14:val="standardContextual"/>
        </w:rPr>
        <w:t>Anexo 3 – Glosario</w:t>
      </w:r>
      <w:r>
        <w:rPr>
          <w:rFonts w:ascii="Verdana" w:eastAsia="Times New Roman" w:hAnsi="Verdana" w:cs="Arial"/>
          <w:kern w:val="2"/>
          <w:shd w:val="clear" w:color="auto" w:fill="FFFFFF"/>
          <w:lang w:val="es-ES_tradnl" w:eastAsia="es-ES_tradnl"/>
          <w14:ligatures w14:val="standardContextual"/>
        </w:rPr>
        <w:t>”</w:t>
      </w:r>
      <w:r w:rsidRPr="009D0CB0">
        <w:rPr>
          <w:rFonts w:ascii="Verdana" w:eastAsia="Times New Roman" w:hAnsi="Verdana" w:cs="Arial"/>
          <w:kern w:val="2"/>
          <w:shd w:val="clear" w:color="auto" w:fill="FFFFFF"/>
          <w:lang w:val="es-ES_tradnl" w:eastAsia="es-ES_tradnl"/>
          <w14:ligatures w14:val="standardContextual"/>
        </w:rPr>
        <w:t>, el cual contiene las definiciones de los términos usados en los documentos del proceso. Utilizando estos dos documentos, la entidad estatal puede definir si el objeto a contratarse debe emplear los documentos tipo adoptados por esta Agencia.</w:t>
      </w:r>
    </w:p>
    <w:p w14:paraId="2931851C" w14:textId="77777777" w:rsidR="000B2E9C" w:rsidRPr="009D0CB0" w:rsidRDefault="000B2E9C" w:rsidP="000B2E9C">
      <w:pPr>
        <w:snapToGrid w:val="0"/>
        <w:spacing w:after="0" w:line="276" w:lineRule="auto"/>
        <w:ind w:left="720"/>
        <w:jc w:val="both"/>
        <w:rPr>
          <w:rFonts w:ascii="Verdana" w:eastAsia="Times New Roman" w:hAnsi="Verdana" w:cs="Arial"/>
          <w:kern w:val="2"/>
          <w:shd w:val="clear" w:color="auto" w:fill="FFFFFF"/>
          <w:lang w:val="es-ES_tradnl" w:eastAsia="es-ES_tradnl"/>
          <w14:ligatures w14:val="standardContextual"/>
        </w:rPr>
      </w:pPr>
    </w:p>
    <w:p w14:paraId="6BCC410F" w14:textId="77777777" w:rsidR="000B2E9C" w:rsidRDefault="000B2E9C" w:rsidP="000B2E9C">
      <w:pPr>
        <w:numPr>
          <w:ilvl w:val="0"/>
          <w:numId w:val="18"/>
        </w:numPr>
        <w:snapToGrid w:val="0"/>
        <w:spacing w:after="0" w:line="276" w:lineRule="auto"/>
        <w:ind w:left="720"/>
        <w:jc w:val="both"/>
        <w:rPr>
          <w:rFonts w:ascii="Verdana" w:eastAsia="Times New Roman" w:hAnsi="Verdana" w:cs="Arial"/>
          <w:kern w:val="2"/>
          <w:shd w:val="clear" w:color="auto" w:fill="FFFFFF"/>
          <w:lang w:val="es-ES_tradnl" w:eastAsia="es-ES_tradnl"/>
          <w14:ligatures w14:val="standardContextual"/>
        </w:rPr>
      </w:pPr>
      <w:r>
        <w:rPr>
          <w:rFonts w:ascii="Verdana" w:eastAsia="Times New Roman" w:hAnsi="Verdana" w:cs="Arial"/>
          <w:kern w:val="2"/>
          <w:shd w:val="clear" w:color="auto" w:fill="FFFFFF"/>
          <w:lang w:val="es-ES_tradnl" w:eastAsia="es-ES_tradnl"/>
          <w14:ligatures w14:val="standardContextual"/>
        </w:rPr>
        <w:t>L</w:t>
      </w:r>
      <w:r w:rsidRPr="009D0CB0">
        <w:rPr>
          <w:rFonts w:ascii="Verdana" w:eastAsia="Times New Roman" w:hAnsi="Verdana" w:cs="Arial"/>
          <w:kern w:val="2"/>
          <w:shd w:val="clear" w:color="auto" w:fill="FFFFFF"/>
          <w:lang w:val="es-ES_tradnl" w:eastAsia="es-ES_tradnl"/>
          <w14:ligatures w14:val="standardContextual"/>
        </w:rPr>
        <w:t>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15E8DE01" w14:textId="77777777" w:rsidR="000B2E9C" w:rsidRPr="009D0CB0" w:rsidRDefault="000B2E9C" w:rsidP="000B2E9C">
      <w:p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p>
    <w:p w14:paraId="21998217" w14:textId="77777777" w:rsidR="000B2E9C" w:rsidRDefault="000B2E9C" w:rsidP="000B2E9C">
      <w:pPr>
        <w:numPr>
          <w:ilvl w:val="0"/>
          <w:numId w:val="18"/>
        </w:numPr>
        <w:snapToGrid w:val="0"/>
        <w:spacing w:after="0" w:line="276" w:lineRule="auto"/>
        <w:ind w:left="720"/>
        <w:jc w:val="both"/>
        <w:rPr>
          <w:rFonts w:ascii="Verdana" w:eastAsia="Times New Roman" w:hAnsi="Verdana" w:cs="Arial"/>
          <w:kern w:val="2"/>
          <w:shd w:val="clear" w:color="auto" w:fill="FFFFFF"/>
          <w:lang w:val="es-ES_tradnl" w:eastAsia="es-ES_tradnl"/>
          <w14:ligatures w14:val="standardContextual"/>
        </w:rPr>
      </w:pPr>
      <w:r w:rsidRPr="009D0CB0">
        <w:rPr>
          <w:rFonts w:ascii="Verdana" w:eastAsia="Times New Roman" w:hAnsi="Verdana" w:cs="Arial"/>
          <w:kern w:val="2"/>
          <w:shd w:val="clear" w:color="auto" w:fill="FFFFFF"/>
          <w:lang w:val="es-ES_tradnl" w:eastAsia="es-ES_tradnl"/>
          <w14:ligatures w14:val="standardContextual"/>
        </w:rPr>
        <w:t xml:space="preserve">De esta manera,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De esta manera, si el objeto contractual a ejecutar se encuadra materialmente dentro de alguno de los tipos actividades concretas señaladas en cada una de las matrices de experiencia, se tendrán que aplicar los documentos tipo, mientras que en el caso contrario no será forzosa su aplicación. En este sentido, en los documentos base de los documentos tipo, se indica que la entidad establecerá las condiciones de experiencia, tanto general como específica </w:t>
      </w:r>
      <w:r w:rsidRPr="009D0CB0">
        <w:rPr>
          <w:rFonts w:ascii="Verdana" w:eastAsia="Times New Roman" w:hAnsi="Verdana" w:cs="Arial"/>
          <w:kern w:val="2"/>
          <w:shd w:val="clear" w:color="auto" w:fill="FFFFFF"/>
          <w:lang w:val="es-ES_tradnl" w:eastAsia="es-ES_tradnl"/>
          <w14:ligatures w14:val="standardContextual"/>
        </w:rPr>
        <w:lastRenderedPageBreak/>
        <w:t>en las actividades que van a contratar. En este contexto, la entidad no podrá incluir condiciones distintas a las previstas en la matriz de experiencia y, por tanto, deberá transcribir textualmente lo indicado en ésta.</w:t>
      </w:r>
    </w:p>
    <w:p w14:paraId="192068E6" w14:textId="77777777" w:rsidR="000B2E9C" w:rsidRDefault="000B2E9C" w:rsidP="000B2E9C">
      <w:pPr>
        <w:pStyle w:val="Prrafodelista"/>
        <w:spacing w:after="0"/>
        <w:contextualSpacing w:val="0"/>
        <w:rPr>
          <w:rFonts w:ascii="Verdana" w:eastAsia="Times New Roman" w:hAnsi="Verdana" w:cs="Arial"/>
          <w:kern w:val="2"/>
          <w:shd w:val="clear" w:color="auto" w:fill="FFFFFF"/>
          <w:lang w:val="es-ES_tradnl" w:eastAsia="es-ES_tradnl"/>
          <w14:ligatures w14:val="standardContextual"/>
        </w:rPr>
      </w:pPr>
    </w:p>
    <w:p w14:paraId="0B651068" w14:textId="77777777" w:rsidR="000B2E9C" w:rsidRDefault="000B2E9C" w:rsidP="000B2E9C">
      <w:pPr>
        <w:numPr>
          <w:ilvl w:val="0"/>
          <w:numId w:val="18"/>
        </w:numPr>
        <w:snapToGrid w:val="0"/>
        <w:spacing w:after="0" w:line="276" w:lineRule="auto"/>
        <w:ind w:left="720"/>
        <w:jc w:val="both"/>
        <w:rPr>
          <w:rFonts w:ascii="Verdana" w:eastAsia="Times New Roman" w:hAnsi="Verdana" w:cs="Arial"/>
          <w:kern w:val="2"/>
          <w:shd w:val="clear" w:color="auto" w:fill="FFFFFF"/>
          <w:lang w:val="es-ES_tradnl" w:eastAsia="es-ES_tradnl"/>
          <w14:ligatures w14:val="standardContextual"/>
        </w:rPr>
      </w:pPr>
      <w:r>
        <w:rPr>
          <w:rFonts w:ascii="Verdana" w:eastAsia="Times New Roman" w:hAnsi="Verdana" w:cs="Arial"/>
          <w:kern w:val="2"/>
          <w:shd w:val="clear" w:color="auto" w:fill="FFFFFF"/>
          <w:lang w:val="es-ES_tradnl" w:eastAsia="es-ES_tradnl"/>
          <w14:ligatures w14:val="standardContextual"/>
        </w:rPr>
        <w:t>En relación con la actividad “infraestructura eléctrica” la Matriz 1, de los documentos tipo de licitación de obra pública de infraestructura de transporte – versión 4, establece la siguiente actividad para obras en vías primarias y secundarias: “</w:t>
      </w:r>
      <w:r w:rsidRPr="00593544">
        <w:rPr>
          <w:rFonts w:ascii="Verdana" w:eastAsia="Times New Roman" w:hAnsi="Verdana" w:cs="Arial"/>
          <w:kern w:val="2"/>
          <w:shd w:val="clear" w:color="auto" w:fill="FFFFFF"/>
          <w:lang w:val="es-ES_tradnl" w:eastAsia="es-ES_tradnl"/>
          <w14:ligatures w14:val="standardContextual"/>
        </w:rPr>
        <w:t>1.9. PROYECTOS DE INSTALACION O MANTENIMIENTO CORRECTIVO O MANTENIMIENTO PREVENTIVO O AMPLIACIÓN DE INFRAESTRUCTURA ELECTRICA ASOCIADA A LA INFRAESTRUCTURA DE TRANSPORTE EN VIAS PRIMARIAS O SECUNDARIAS</w:t>
      </w:r>
      <w:r>
        <w:rPr>
          <w:rFonts w:ascii="Verdana" w:eastAsia="Times New Roman" w:hAnsi="Verdana" w:cs="Arial"/>
          <w:kern w:val="2"/>
          <w:shd w:val="clear" w:color="auto" w:fill="FFFFFF"/>
          <w:lang w:val="es-ES_tradnl" w:eastAsia="es-ES_tradnl"/>
          <w14:ligatures w14:val="standardContextual"/>
        </w:rPr>
        <w:t xml:space="preserve">”. Por su parte, en relación con obras en vías terciarias, se dispone la siguiente actividad sobre infraestructura eléctrica: “1.9 </w:t>
      </w:r>
      <w:r w:rsidRPr="00F84A35">
        <w:rPr>
          <w:rFonts w:ascii="Verdana" w:eastAsia="Times New Roman" w:hAnsi="Verdana" w:cs="Arial"/>
          <w:kern w:val="2"/>
          <w:shd w:val="clear" w:color="auto" w:fill="FFFFFF"/>
          <w:lang w:val="es-ES_tradnl" w:eastAsia="es-ES_tradnl"/>
          <w14:ligatures w14:val="standardContextual"/>
        </w:rPr>
        <w:t>PROYECTOS DE INSTALACION O MANTENIMIENTO CORRECTIVO O MANTENIMIENTO PREVENTIVO O AMPLIACIÓN DE INFRAESTRUCTURA ELECTRICA ASOCIADA A LA INFRAESTRUCTURA DE TRANSPORTE</w:t>
      </w:r>
      <w:r>
        <w:rPr>
          <w:rFonts w:ascii="Verdana" w:eastAsia="Times New Roman" w:hAnsi="Verdana" w:cs="Arial"/>
          <w:kern w:val="2"/>
          <w:shd w:val="clear" w:color="auto" w:fill="FFFFFF"/>
          <w:lang w:val="es-ES_tradnl" w:eastAsia="es-ES_tradnl"/>
          <w14:ligatures w14:val="standardContextual"/>
        </w:rPr>
        <w:t xml:space="preserve"> (…)”.   </w:t>
      </w:r>
    </w:p>
    <w:p w14:paraId="3F3318E2" w14:textId="77777777" w:rsidR="000B2E9C" w:rsidRDefault="000B2E9C" w:rsidP="000B2E9C">
      <w:pPr>
        <w:pStyle w:val="Prrafodelista"/>
        <w:spacing w:after="0"/>
        <w:contextualSpacing w:val="0"/>
        <w:rPr>
          <w:rFonts w:ascii="Verdana" w:eastAsia="Times New Roman" w:hAnsi="Verdana" w:cs="Arial"/>
          <w:kern w:val="2"/>
          <w:shd w:val="clear" w:color="auto" w:fill="FFFFFF"/>
          <w:lang w:val="es-ES_tradnl" w:eastAsia="es-ES_tradnl"/>
          <w14:ligatures w14:val="standardContextual"/>
        </w:rPr>
      </w:pPr>
    </w:p>
    <w:p w14:paraId="264E6B4C" w14:textId="77777777" w:rsidR="000B2E9C" w:rsidRDefault="000B2E9C" w:rsidP="000B2E9C">
      <w:pPr>
        <w:numPr>
          <w:ilvl w:val="0"/>
          <w:numId w:val="18"/>
        </w:numPr>
        <w:snapToGrid w:val="0"/>
        <w:spacing w:after="0" w:line="276" w:lineRule="auto"/>
        <w:ind w:left="720"/>
        <w:jc w:val="both"/>
        <w:rPr>
          <w:rFonts w:ascii="Verdana" w:eastAsia="Times New Roman" w:hAnsi="Verdana" w:cs="Arial"/>
          <w:kern w:val="2"/>
          <w:shd w:val="clear" w:color="auto" w:fill="FFFFFF"/>
          <w:lang w:val="es-ES_tradnl" w:eastAsia="es-ES_tradnl"/>
          <w14:ligatures w14:val="standardContextual"/>
        </w:rPr>
      </w:pPr>
      <w:r w:rsidRPr="0056513E">
        <w:rPr>
          <w:rFonts w:ascii="Verdana" w:eastAsia="Times New Roman" w:hAnsi="Verdana" w:cs="Arial"/>
          <w:kern w:val="2"/>
          <w:shd w:val="clear" w:color="auto" w:fill="FFFFFF"/>
          <w:lang w:val="es-ES_tradnl" w:eastAsia="es-ES_tradnl"/>
          <w14:ligatures w14:val="standardContextual"/>
        </w:rPr>
        <w:t xml:space="preserve">Para determinar el alcance de las actividades de la Matriz 1 señaladas, debe indicarse </w:t>
      </w:r>
      <w:r>
        <w:rPr>
          <w:rFonts w:ascii="Verdana" w:eastAsia="Times New Roman" w:hAnsi="Verdana" w:cs="Arial"/>
          <w:kern w:val="2"/>
          <w:shd w:val="clear" w:color="auto" w:fill="FFFFFF"/>
          <w:lang w:val="es-ES_tradnl" w:eastAsia="es-ES_tradnl"/>
          <w14:ligatures w14:val="standardContextual"/>
        </w:rPr>
        <w:t>que, por “infraestructura eléctrica” se entiende al conjunto de instalaciones, equipos y sistemas encargados de generar, transmitir, distribuir y controlar la energía eléctrica.</w:t>
      </w:r>
    </w:p>
    <w:p w14:paraId="29770A3E" w14:textId="77777777" w:rsidR="000B2E9C" w:rsidRDefault="000B2E9C" w:rsidP="000B2E9C">
      <w:pPr>
        <w:pStyle w:val="Prrafodelista"/>
        <w:spacing w:after="0"/>
        <w:contextualSpacing w:val="0"/>
        <w:rPr>
          <w:rFonts w:ascii="Verdana" w:eastAsia="Times New Roman" w:hAnsi="Verdana" w:cs="Arial"/>
          <w:kern w:val="2"/>
          <w:shd w:val="clear" w:color="auto" w:fill="FFFFFF"/>
          <w:lang w:val="es-ES_tradnl" w:eastAsia="es-ES_tradnl"/>
          <w14:ligatures w14:val="standardContextual"/>
        </w:rPr>
      </w:pPr>
    </w:p>
    <w:p w14:paraId="56D0B8E0" w14:textId="77777777" w:rsidR="000B2E9C" w:rsidRDefault="000B2E9C" w:rsidP="000B2E9C">
      <w:pPr>
        <w:numPr>
          <w:ilvl w:val="0"/>
          <w:numId w:val="18"/>
        </w:numPr>
        <w:snapToGrid w:val="0"/>
        <w:spacing w:after="0" w:line="276" w:lineRule="auto"/>
        <w:ind w:left="720"/>
        <w:jc w:val="both"/>
        <w:rPr>
          <w:rFonts w:ascii="Verdana" w:eastAsia="Times New Roman" w:hAnsi="Verdana" w:cs="Arial"/>
          <w:kern w:val="2"/>
          <w:shd w:val="clear" w:color="auto" w:fill="FFFFFF"/>
          <w:lang w:val="es-ES_tradnl" w:eastAsia="es-ES_tradnl"/>
          <w14:ligatures w14:val="standardContextual"/>
        </w:rPr>
      </w:pPr>
      <w:r>
        <w:rPr>
          <w:rFonts w:ascii="Verdana" w:eastAsia="Times New Roman" w:hAnsi="Verdana" w:cs="Arial"/>
          <w:kern w:val="2"/>
          <w:shd w:val="clear" w:color="auto" w:fill="FFFFFF"/>
          <w:lang w:val="es-ES_tradnl" w:eastAsia="es-ES_tradnl"/>
          <w14:ligatures w14:val="standardContextual"/>
        </w:rPr>
        <w:t>U</w:t>
      </w:r>
      <w:r w:rsidRPr="00A96673">
        <w:rPr>
          <w:rFonts w:ascii="Verdana" w:eastAsia="Times New Roman" w:hAnsi="Verdana" w:cs="Arial"/>
          <w:kern w:val="2"/>
          <w:shd w:val="clear" w:color="auto" w:fill="FFFFFF"/>
          <w:lang w:val="es-ES_tradnl" w:eastAsia="es-ES_tradnl"/>
          <w14:ligatures w14:val="standardContextual"/>
        </w:rPr>
        <w:t>na red de alumbrado público compuesta por paneles solares o por un kit solar, podría considerarse una infraestructura eléctrica, aunque se diferencia de las infraestructuras eléctricas</w:t>
      </w:r>
      <w:r>
        <w:rPr>
          <w:rFonts w:ascii="Verdana" w:eastAsia="Times New Roman" w:hAnsi="Verdana" w:cs="Arial"/>
          <w:kern w:val="2"/>
          <w:shd w:val="clear" w:color="auto" w:fill="FFFFFF"/>
          <w:lang w:val="es-ES_tradnl" w:eastAsia="es-ES_tradnl"/>
          <w14:ligatures w14:val="standardContextual"/>
        </w:rPr>
        <w:t>, entre otros,</w:t>
      </w:r>
      <w:r w:rsidRPr="00A96673">
        <w:rPr>
          <w:rFonts w:ascii="Verdana" w:eastAsia="Times New Roman" w:hAnsi="Verdana" w:cs="Arial"/>
          <w:kern w:val="2"/>
          <w:shd w:val="clear" w:color="auto" w:fill="FFFFFF"/>
          <w:lang w:val="es-ES_tradnl" w:eastAsia="es-ES_tradnl"/>
          <w14:ligatures w14:val="standardContextual"/>
        </w:rPr>
        <w:t xml:space="preserve"> </w:t>
      </w:r>
      <w:r>
        <w:rPr>
          <w:rFonts w:ascii="Verdana" w:eastAsia="Times New Roman" w:hAnsi="Verdana" w:cs="Arial"/>
          <w:kern w:val="2"/>
          <w:shd w:val="clear" w:color="auto" w:fill="FFFFFF"/>
          <w:lang w:val="es-ES_tradnl" w:eastAsia="es-ES_tradnl"/>
          <w14:ligatures w14:val="standardContextual"/>
        </w:rPr>
        <w:t xml:space="preserve">en temas </w:t>
      </w:r>
      <w:r w:rsidRPr="00A96673">
        <w:rPr>
          <w:rFonts w:ascii="Verdana" w:eastAsia="Times New Roman" w:hAnsi="Verdana" w:cs="Arial"/>
          <w:kern w:val="2"/>
          <w:shd w:val="clear" w:color="auto" w:fill="FFFFFF"/>
          <w:lang w:val="es-ES_tradnl" w:eastAsia="es-ES_tradnl"/>
          <w14:ligatures w14:val="standardContextual"/>
        </w:rPr>
        <w:t>tales como: autonomía, infraestructura reducida e instalación simplificada, pero, sigue siendo un sistema que involucra la generación, la distribución y el uso de electricidad.</w:t>
      </w:r>
    </w:p>
    <w:p w14:paraId="205146BD" w14:textId="77777777" w:rsidR="000B2E9C" w:rsidRDefault="000B2E9C" w:rsidP="000B2E9C">
      <w:pPr>
        <w:snapToGrid w:val="0"/>
        <w:spacing w:after="0" w:line="276" w:lineRule="auto"/>
        <w:ind w:left="720"/>
        <w:jc w:val="both"/>
        <w:rPr>
          <w:rFonts w:ascii="Verdana" w:eastAsia="Times New Roman" w:hAnsi="Verdana" w:cs="Arial"/>
          <w:kern w:val="2"/>
          <w:shd w:val="clear" w:color="auto" w:fill="FFFFFF"/>
          <w:lang w:val="es-ES_tradnl" w:eastAsia="es-ES_tradnl"/>
          <w14:ligatures w14:val="standardContextual"/>
        </w:rPr>
      </w:pPr>
    </w:p>
    <w:p w14:paraId="69138092" w14:textId="77777777" w:rsidR="000B2E9C" w:rsidRDefault="000B2E9C" w:rsidP="000B2E9C">
      <w:pPr>
        <w:numPr>
          <w:ilvl w:val="0"/>
          <w:numId w:val="18"/>
        </w:numPr>
        <w:snapToGrid w:val="0"/>
        <w:spacing w:after="0" w:line="276" w:lineRule="auto"/>
        <w:ind w:left="720"/>
        <w:jc w:val="both"/>
        <w:rPr>
          <w:rFonts w:ascii="Verdana" w:eastAsia="Times New Roman" w:hAnsi="Verdana" w:cs="Arial"/>
          <w:kern w:val="2"/>
          <w:shd w:val="clear" w:color="auto" w:fill="FFFFFF"/>
          <w:lang w:val="es-ES_tradnl" w:eastAsia="es-ES_tradnl"/>
          <w14:ligatures w14:val="standardContextual"/>
        </w:rPr>
      </w:pPr>
      <w:r w:rsidRPr="0066051B">
        <w:rPr>
          <w:rFonts w:ascii="Verdana" w:eastAsia="Times New Roman" w:hAnsi="Verdana" w:cs="Arial"/>
          <w:kern w:val="2"/>
          <w:shd w:val="clear" w:color="auto" w:fill="FFFFFF"/>
          <w:lang w:val="es-ES_tradnl" w:eastAsia="es-ES_tradnl"/>
          <w14:ligatures w14:val="standardContextual"/>
        </w:rPr>
        <w:t>Este tipo de red solar tiene la ventaja de ser independiente de la red eléctrica convencional y es más sostenible</w:t>
      </w:r>
      <w:r>
        <w:rPr>
          <w:rFonts w:ascii="Verdana" w:eastAsia="Times New Roman" w:hAnsi="Verdana" w:cs="Arial"/>
          <w:kern w:val="2"/>
          <w:shd w:val="clear" w:color="auto" w:fill="FFFFFF"/>
          <w:lang w:val="es-ES_tradnl" w:eastAsia="es-ES_tradnl"/>
          <w14:ligatures w14:val="standardContextual"/>
        </w:rPr>
        <w:t>. S</w:t>
      </w:r>
      <w:r w:rsidRPr="0066051B">
        <w:rPr>
          <w:rFonts w:ascii="Verdana" w:eastAsia="Times New Roman" w:hAnsi="Verdana" w:cs="Arial"/>
          <w:kern w:val="2"/>
          <w:shd w:val="clear" w:color="auto" w:fill="FFFFFF"/>
          <w:lang w:val="es-ES_tradnl" w:eastAsia="es-ES_tradnl"/>
          <w14:ligatures w14:val="standardContextual"/>
        </w:rPr>
        <w:t xml:space="preserve">in embargo, aunque el sistema de alumbrado público solar no esté completamente vinculado a una red eléctrica tradicional de distribución, </w:t>
      </w:r>
      <w:r>
        <w:rPr>
          <w:rFonts w:ascii="Verdana" w:eastAsia="Times New Roman" w:hAnsi="Verdana" w:cs="Arial"/>
          <w:kern w:val="2"/>
          <w:shd w:val="clear" w:color="auto" w:fill="FFFFFF"/>
          <w:lang w:val="es-ES_tradnl" w:eastAsia="es-ES_tradnl"/>
          <w14:ligatures w14:val="standardContextual"/>
        </w:rPr>
        <w:t xml:space="preserve">-en principio- </w:t>
      </w:r>
      <w:r w:rsidRPr="0066051B">
        <w:rPr>
          <w:rFonts w:ascii="Verdana" w:eastAsia="Times New Roman" w:hAnsi="Verdana" w:cs="Arial"/>
          <w:kern w:val="2"/>
          <w:shd w:val="clear" w:color="auto" w:fill="FFFFFF"/>
          <w:lang w:val="es-ES_tradnl" w:eastAsia="es-ES_tradnl"/>
          <w14:ligatures w14:val="standardContextual"/>
        </w:rPr>
        <w:t>sí forma parte de las infraestructuras eléctricas, especialmente en un contexto de transición hacia energías renovables y sostenibles.</w:t>
      </w:r>
    </w:p>
    <w:p w14:paraId="2C385EEC" w14:textId="77777777" w:rsidR="000B2E9C" w:rsidRDefault="000B2E9C" w:rsidP="000B2E9C">
      <w:pPr>
        <w:pStyle w:val="Prrafodelista"/>
        <w:spacing w:after="0"/>
        <w:contextualSpacing w:val="0"/>
        <w:rPr>
          <w:rFonts w:ascii="Verdana" w:eastAsia="Times New Roman" w:hAnsi="Verdana" w:cs="Arial"/>
          <w:kern w:val="2"/>
          <w:shd w:val="clear" w:color="auto" w:fill="FFFFFF"/>
          <w:lang w:val="es-ES_tradnl" w:eastAsia="es-ES_tradnl"/>
          <w14:ligatures w14:val="standardContextual"/>
        </w:rPr>
      </w:pPr>
    </w:p>
    <w:p w14:paraId="099E3D35" w14:textId="77777777" w:rsidR="000B2E9C" w:rsidRDefault="000B2E9C" w:rsidP="000B2E9C">
      <w:pPr>
        <w:numPr>
          <w:ilvl w:val="0"/>
          <w:numId w:val="18"/>
        </w:numPr>
        <w:snapToGrid w:val="0"/>
        <w:spacing w:after="0" w:line="276" w:lineRule="auto"/>
        <w:ind w:left="720"/>
        <w:jc w:val="both"/>
        <w:rPr>
          <w:rFonts w:ascii="Verdana" w:eastAsia="Times New Roman" w:hAnsi="Verdana" w:cs="Arial"/>
          <w:kern w:val="2"/>
          <w:shd w:val="clear" w:color="auto" w:fill="FFFFFF"/>
          <w:lang w:val="es-ES_tradnl" w:eastAsia="es-ES_tradnl"/>
          <w14:ligatures w14:val="standardContextual"/>
        </w:rPr>
      </w:pPr>
      <w:r>
        <w:rPr>
          <w:rFonts w:ascii="Verdana" w:eastAsia="Times New Roman" w:hAnsi="Verdana" w:cs="Arial"/>
          <w:kern w:val="2"/>
          <w:shd w:val="clear" w:color="auto" w:fill="FFFFFF"/>
          <w:lang w:val="es-ES_tradnl" w:eastAsia="es-ES_tradnl"/>
          <w14:ligatures w14:val="standardContextual"/>
        </w:rPr>
        <w:t>Sí la entidad contratante bajo los parámetros indicados, y como estructuradora del proceso y conocedora de las particularidades del mismo, determina que, para el objeto a contratar “alumbrado público solar” aplican los documentos tipo de licitación de obra pública de infraestructura de transporte – versión 4, debe tener en cuenta las condiciones de experiencia general y especifica, además de las siguientes notas contenidas en la actividad 1.9 de Matriz 1 – Experiencia de los documentos tipo de licitación de obra pública de infraestructura social:</w:t>
      </w:r>
    </w:p>
    <w:p w14:paraId="169ED9F2" w14:textId="77777777" w:rsidR="000B2E9C" w:rsidRDefault="000B2E9C" w:rsidP="000B2E9C">
      <w:pPr>
        <w:snapToGrid w:val="0"/>
        <w:spacing w:after="0" w:line="276" w:lineRule="auto"/>
        <w:ind w:left="709" w:right="709"/>
        <w:jc w:val="both"/>
        <w:rPr>
          <w:rFonts w:ascii="Verdana" w:eastAsia="Times New Roman" w:hAnsi="Verdana" w:cs="Arial"/>
          <w:kern w:val="2"/>
          <w:shd w:val="clear" w:color="auto" w:fill="FFFFFF"/>
          <w:lang w:val="es-ES_tradnl" w:eastAsia="es-ES_tradnl"/>
          <w14:ligatures w14:val="standardContextual"/>
        </w:rPr>
      </w:pPr>
    </w:p>
    <w:p w14:paraId="671BDB86" w14:textId="77777777" w:rsidR="000B2E9C" w:rsidRPr="00096F3D" w:rsidRDefault="000B2E9C" w:rsidP="000B2E9C">
      <w:pPr>
        <w:numPr>
          <w:ilvl w:val="0"/>
          <w:numId w:val="22"/>
        </w:numPr>
        <w:spacing w:after="120" w:line="240" w:lineRule="auto"/>
        <w:ind w:left="1097" w:right="709"/>
        <w:contextualSpacing/>
        <w:rPr>
          <w:rFonts w:ascii="Verdana" w:eastAsia="Calibri" w:hAnsi="Verdana" w:cs="Times New Roman"/>
          <w:kern w:val="2"/>
          <w:sz w:val="21"/>
          <w:szCs w:val="21"/>
          <w14:ligatures w14:val="standardContextual"/>
        </w:rPr>
      </w:pPr>
      <w:r w:rsidRPr="00096F3D">
        <w:rPr>
          <w:rFonts w:ascii="Calibri" w:eastAsia="Calibri" w:hAnsi="Calibri" w:cs="Times New Roman"/>
          <w:kern w:val="2"/>
          <w:sz w:val="24"/>
          <w:szCs w:val="24"/>
          <w14:ligatures w14:val="standardContextual"/>
        </w:rPr>
        <w:t>Para la</w:t>
      </w:r>
      <w:r w:rsidRPr="00096F3D">
        <w:rPr>
          <w:rFonts w:ascii="Calibri" w:eastAsia="Calibri" w:hAnsi="Calibri" w:cs="Times New Roman"/>
          <w:kern w:val="2"/>
          <w:sz w:val="24"/>
          <w:szCs w:val="24"/>
          <w:u w:val="single"/>
          <w14:ligatures w14:val="standardContextual"/>
        </w:rPr>
        <w:t xml:space="preserve"> Experiencia</w:t>
      </w:r>
      <w:r w:rsidRPr="00096F3D">
        <w:rPr>
          <w:rFonts w:ascii="Verdana" w:eastAsia="Calibri" w:hAnsi="Verdana" w:cs="Times New Roman"/>
          <w:kern w:val="2"/>
          <w:sz w:val="21"/>
          <w:szCs w:val="21"/>
          <w:u w:val="single"/>
          <w14:ligatures w14:val="standardContextual"/>
        </w:rPr>
        <w:t xml:space="preserve"> General:</w:t>
      </w:r>
    </w:p>
    <w:p w14:paraId="32C18FE1" w14:textId="77777777" w:rsidR="000B2E9C" w:rsidRPr="00096F3D" w:rsidRDefault="000B2E9C" w:rsidP="000B2E9C">
      <w:pPr>
        <w:spacing w:after="120" w:line="240" w:lineRule="auto"/>
        <w:ind w:left="709" w:right="709"/>
        <w:contextualSpacing/>
        <w:rPr>
          <w:rFonts w:ascii="Verdana" w:eastAsia="Calibri" w:hAnsi="Verdana" w:cs="Times New Roman"/>
          <w:kern w:val="2"/>
          <w:sz w:val="21"/>
          <w:szCs w:val="21"/>
          <w14:ligatures w14:val="standardContextual"/>
        </w:rPr>
      </w:pPr>
    </w:p>
    <w:p w14:paraId="46B9694E" w14:textId="77777777" w:rsidR="000B2E9C" w:rsidRPr="00096F3D" w:rsidRDefault="000B2E9C" w:rsidP="000B2E9C">
      <w:pPr>
        <w:spacing w:after="120" w:line="240" w:lineRule="auto"/>
        <w:ind w:left="709" w:right="709"/>
        <w:jc w:val="both"/>
        <w:rPr>
          <w:rFonts w:ascii="Verdana" w:eastAsia="Calibri" w:hAnsi="Verdana" w:cs="Times New Roman"/>
          <w:kern w:val="2"/>
          <w:sz w:val="21"/>
          <w:szCs w:val="21"/>
          <w14:ligatures w14:val="standardContextual"/>
        </w:rPr>
      </w:pPr>
      <w:r w:rsidRPr="00096F3D">
        <w:rPr>
          <w:rFonts w:ascii="Verdana" w:eastAsia="Calibri" w:hAnsi="Verdana" w:cs="Times New Roman"/>
          <w:kern w:val="2"/>
          <w:sz w:val="21"/>
          <w:szCs w:val="21"/>
          <w14:ligatures w14:val="standardContextual"/>
        </w:rPr>
        <w:t>“</w:t>
      </w:r>
      <w:proofErr w:type="gramStart"/>
      <w:r w:rsidRPr="00096F3D">
        <w:rPr>
          <w:rFonts w:ascii="Verdana" w:eastAsia="Calibri" w:hAnsi="Verdana" w:cs="Times New Roman"/>
          <w:kern w:val="2"/>
          <w:sz w:val="21"/>
          <w:szCs w:val="21"/>
          <w14:ligatures w14:val="standardContextual"/>
        </w:rPr>
        <w:t>INSTALACION  O</w:t>
      </w:r>
      <w:proofErr w:type="gramEnd"/>
      <w:r w:rsidRPr="00096F3D">
        <w:rPr>
          <w:rFonts w:ascii="Verdana" w:eastAsia="Calibri" w:hAnsi="Verdana" w:cs="Times New Roman"/>
          <w:kern w:val="2"/>
          <w:sz w:val="21"/>
          <w:szCs w:val="21"/>
          <w14:ligatures w14:val="standardContextual"/>
        </w:rPr>
        <w:t xml:space="preserve"> MANTENIMIENTO CORRECTIVO O MANTENIMIENTO PREVENTIVO  O  AMPLIACIÓN  DE </w:t>
      </w:r>
      <w:r w:rsidRPr="00096F3D">
        <w:rPr>
          <w:rFonts w:ascii="Verdana" w:eastAsia="Calibri" w:hAnsi="Verdana" w:cs="Times New Roman"/>
          <w:b/>
          <w:bCs/>
          <w:kern w:val="2"/>
          <w:sz w:val="21"/>
          <w:szCs w:val="21"/>
          <w:u w:val="single"/>
          <w14:ligatures w14:val="standardContextual"/>
        </w:rPr>
        <w:t>INFRAESTRUCTURA ELECTRICA</w:t>
      </w:r>
      <w:r w:rsidRPr="00096F3D">
        <w:rPr>
          <w:rFonts w:ascii="Verdana" w:eastAsia="Calibri" w:hAnsi="Verdana" w:cs="Times New Roman"/>
          <w:kern w:val="2"/>
          <w:sz w:val="21"/>
          <w:szCs w:val="21"/>
          <w14:ligatures w14:val="standardContextual"/>
        </w:rPr>
        <w:t xml:space="preserve"> ASOCIADA A LA INFRAESTRUCTURA DE TRANSPORTE.”</w:t>
      </w:r>
    </w:p>
    <w:p w14:paraId="5209A283" w14:textId="77777777" w:rsidR="000B2E9C" w:rsidRPr="00096F3D" w:rsidRDefault="000B2E9C" w:rsidP="000B2E9C">
      <w:pPr>
        <w:numPr>
          <w:ilvl w:val="0"/>
          <w:numId w:val="22"/>
        </w:numPr>
        <w:spacing w:after="120" w:line="240" w:lineRule="auto"/>
        <w:ind w:left="1040" w:right="709"/>
        <w:jc w:val="both"/>
        <w:rPr>
          <w:rFonts w:ascii="Verdana" w:eastAsia="Calibri" w:hAnsi="Verdana" w:cs="Times New Roman"/>
          <w:kern w:val="2"/>
          <w:sz w:val="21"/>
          <w:szCs w:val="21"/>
          <w14:ligatures w14:val="standardContextual"/>
        </w:rPr>
      </w:pPr>
      <w:r w:rsidRPr="00096F3D">
        <w:rPr>
          <w:rFonts w:ascii="Verdana" w:eastAsia="Calibri" w:hAnsi="Verdana" w:cs="Times New Roman"/>
          <w:kern w:val="2"/>
          <w:sz w:val="21"/>
          <w:szCs w:val="21"/>
          <w14:ligatures w14:val="standardContextual"/>
        </w:rPr>
        <w:t xml:space="preserve">Para la </w:t>
      </w:r>
      <w:r w:rsidRPr="00096F3D">
        <w:rPr>
          <w:rFonts w:ascii="Verdana" w:eastAsia="Calibri" w:hAnsi="Verdana" w:cs="Times New Roman"/>
          <w:kern w:val="2"/>
          <w:sz w:val="21"/>
          <w:szCs w:val="21"/>
          <w:u w:val="single"/>
          <w14:ligatures w14:val="standardContextual"/>
        </w:rPr>
        <w:t>Experiencia Específica:</w:t>
      </w:r>
    </w:p>
    <w:p w14:paraId="56AC58E0" w14:textId="77777777" w:rsidR="000B2E9C" w:rsidRPr="00096F3D" w:rsidRDefault="000B2E9C" w:rsidP="000B2E9C">
      <w:pPr>
        <w:spacing w:after="120" w:line="240" w:lineRule="auto"/>
        <w:ind w:left="709" w:right="709"/>
        <w:jc w:val="both"/>
        <w:rPr>
          <w:rFonts w:ascii="Verdana" w:eastAsia="Calibri" w:hAnsi="Verdana" w:cs="Times New Roman"/>
          <w:kern w:val="2"/>
          <w:sz w:val="21"/>
          <w:szCs w:val="21"/>
          <w14:ligatures w14:val="standardContextual"/>
        </w:rPr>
      </w:pPr>
      <w:r w:rsidRPr="00096F3D">
        <w:rPr>
          <w:rFonts w:ascii="Verdana" w:eastAsia="Calibri" w:hAnsi="Verdana" w:cs="Times New Roman"/>
          <w:kern w:val="2"/>
          <w:sz w:val="21"/>
          <w:szCs w:val="21"/>
          <w14:ligatures w14:val="standardContextual"/>
        </w:rPr>
        <w:t>“Por lo menos uno (1) de los contratos válidos aportados como experiencia general sea de un valor correspondiente a por lo menos el 50% del valor de PRESUPUESTO OFICIAL (PO) del presente proceso de contratación.”</w:t>
      </w:r>
    </w:p>
    <w:p w14:paraId="2CDA68AF" w14:textId="77777777" w:rsidR="000B2E9C" w:rsidRPr="00096F3D" w:rsidRDefault="000B2E9C" w:rsidP="000B2E9C">
      <w:pPr>
        <w:spacing w:after="120" w:line="240" w:lineRule="auto"/>
        <w:ind w:left="709" w:right="709"/>
        <w:jc w:val="both"/>
        <w:rPr>
          <w:rFonts w:ascii="Verdana" w:eastAsia="Calibri" w:hAnsi="Verdana" w:cs="Times New Roman"/>
          <w:kern w:val="2"/>
          <w:sz w:val="21"/>
          <w:szCs w:val="21"/>
          <w14:ligatures w14:val="standardContextual"/>
        </w:rPr>
      </w:pPr>
      <w:r w:rsidRPr="00096F3D">
        <w:rPr>
          <w:rFonts w:ascii="Verdana" w:eastAsia="Calibri" w:hAnsi="Verdana" w:cs="Times New Roman"/>
          <w:kern w:val="2"/>
          <w:sz w:val="21"/>
          <w:szCs w:val="21"/>
          <w14:ligatures w14:val="standardContextual"/>
        </w:rPr>
        <w:t>Y de manera adicional, se incluyen las siguientes notas:</w:t>
      </w:r>
    </w:p>
    <w:p w14:paraId="51EEDD36" w14:textId="77777777" w:rsidR="000B2E9C" w:rsidRPr="00096F3D" w:rsidRDefault="000B2E9C" w:rsidP="000B2E9C">
      <w:pPr>
        <w:spacing w:after="120" w:line="240" w:lineRule="auto"/>
        <w:ind w:left="709" w:right="709"/>
        <w:jc w:val="both"/>
        <w:rPr>
          <w:rFonts w:ascii="Verdana" w:eastAsia="Calibri" w:hAnsi="Verdana" w:cs="Times New Roman"/>
          <w:kern w:val="2"/>
          <w:sz w:val="21"/>
          <w:szCs w:val="21"/>
          <w14:ligatures w14:val="standardContextual"/>
        </w:rPr>
      </w:pPr>
      <w:r w:rsidRPr="00096F3D">
        <w:rPr>
          <w:rFonts w:ascii="Verdana" w:eastAsia="Calibri" w:hAnsi="Verdana" w:cs="Times New Roman"/>
          <w:kern w:val="2"/>
          <w:sz w:val="21"/>
          <w:szCs w:val="21"/>
          <w14:ligatures w14:val="standardContextual"/>
        </w:rPr>
        <w:t>Nota 1: La Entidad Para la Experiencia Especifica, de acuerdo con el alcance del proyecto objeto de selección, indicará si se requiere experiencia en manejo de redes de Alta, Media o Baja Tensión.</w:t>
      </w:r>
    </w:p>
    <w:p w14:paraId="53A94013" w14:textId="77777777" w:rsidR="000B2E9C" w:rsidRDefault="000B2E9C" w:rsidP="000B2E9C">
      <w:pPr>
        <w:spacing w:after="0" w:line="240" w:lineRule="auto"/>
        <w:ind w:left="709" w:right="709"/>
        <w:jc w:val="both"/>
        <w:rPr>
          <w:rFonts w:ascii="Calibri" w:eastAsia="Calibri" w:hAnsi="Calibri" w:cs="Times New Roman"/>
          <w:kern w:val="2"/>
          <w:sz w:val="24"/>
          <w:szCs w:val="24"/>
          <w14:ligatures w14:val="standardContextual"/>
        </w:rPr>
      </w:pPr>
      <w:r w:rsidRPr="00096F3D">
        <w:rPr>
          <w:rFonts w:ascii="Verdana" w:eastAsia="Calibri" w:hAnsi="Verdana" w:cs="Times New Roman"/>
          <w:kern w:val="2"/>
          <w:sz w:val="21"/>
          <w:szCs w:val="21"/>
          <w14:ligatures w14:val="standardContextual"/>
        </w:rPr>
        <w:t>Nota2: Las redes eléctricas en vías generalmente incluyen postes de luz, luminarias, cableado subterráneo o aéreo, transformadores y otros componentes necesarios</w:t>
      </w:r>
      <w:r w:rsidRPr="00096F3D">
        <w:rPr>
          <w:rFonts w:ascii="Calibri" w:eastAsia="Calibri" w:hAnsi="Calibri" w:cs="Times New Roman"/>
          <w:kern w:val="2"/>
          <w:sz w:val="24"/>
          <w:szCs w:val="24"/>
          <w14:ligatures w14:val="standardContextual"/>
        </w:rPr>
        <w:t xml:space="preserve"> para la distribución de la energía eléctrica de manera segura y eficiente</w:t>
      </w:r>
      <w:r>
        <w:rPr>
          <w:rFonts w:ascii="Calibri" w:eastAsia="Calibri" w:hAnsi="Calibri" w:cs="Times New Roman"/>
          <w:kern w:val="2"/>
          <w:sz w:val="24"/>
          <w:szCs w:val="24"/>
          <w14:ligatures w14:val="standardContextual"/>
        </w:rPr>
        <w:t>”</w:t>
      </w:r>
      <w:r w:rsidRPr="00096F3D">
        <w:rPr>
          <w:rFonts w:ascii="Calibri" w:eastAsia="Calibri" w:hAnsi="Calibri" w:cs="Times New Roman"/>
          <w:kern w:val="2"/>
          <w:sz w:val="24"/>
          <w:szCs w:val="24"/>
          <w14:ligatures w14:val="standardContextual"/>
        </w:rPr>
        <w:t>.</w:t>
      </w:r>
    </w:p>
    <w:p w14:paraId="1F0C027B" w14:textId="77777777" w:rsidR="000B2E9C" w:rsidRPr="00096F3D" w:rsidRDefault="000B2E9C" w:rsidP="000B2E9C">
      <w:pPr>
        <w:spacing w:after="0" w:line="240" w:lineRule="auto"/>
        <w:ind w:left="709" w:right="709"/>
        <w:jc w:val="both"/>
        <w:rPr>
          <w:rFonts w:ascii="Calibri" w:eastAsia="Calibri" w:hAnsi="Calibri" w:cs="Times New Roman"/>
          <w:kern w:val="2"/>
          <w:sz w:val="24"/>
          <w:szCs w:val="24"/>
          <w14:ligatures w14:val="standardContextual"/>
        </w:rPr>
      </w:pPr>
    </w:p>
    <w:p w14:paraId="2AC7D98A" w14:textId="77777777" w:rsidR="000B2E9C" w:rsidRDefault="000B2E9C" w:rsidP="000B2E9C">
      <w:pPr>
        <w:pStyle w:val="Prrafodelista"/>
        <w:numPr>
          <w:ilvl w:val="0"/>
          <w:numId w:val="18"/>
        </w:numPr>
        <w:spacing w:after="0"/>
        <w:ind w:hanging="357"/>
        <w:contextualSpacing w:val="0"/>
        <w:jc w:val="both"/>
        <w:rPr>
          <w:rFonts w:ascii="Verdana" w:hAnsi="Verdana"/>
        </w:rPr>
      </w:pPr>
      <w:r>
        <w:rPr>
          <w:rFonts w:ascii="Verdana" w:hAnsi="Verdana"/>
        </w:rPr>
        <w:t>La</w:t>
      </w:r>
      <w:r w:rsidRPr="002665C9">
        <w:rPr>
          <w:rFonts w:ascii="Verdana" w:hAnsi="Verdana"/>
        </w:rPr>
        <w:t xml:space="preserve"> primera nota, se refie</w:t>
      </w:r>
      <w:r>
        <w:rPr>
          <w:rFonts w:ascii="Verdana" w:hAnsi="Verdana"/>
        </w:rPr>
        <w:t>re</w:t>
      </w:r>
      <w:r w:rsidRPr="002665C9">
        <w:rPr>
          <w:rFonts w:ascii="Verdana" w:hAnsi="Verdana"/>
        </w:rPr>
        <w:t xml:space="preserve"> a </w:t>
      </w:r>
      <w:r>
        <w:rPr>
          <w:rFonts w:ascii="Verdana" w:hAnsi="Verdana"/>
        </w:rPr>
        <w:t>consideraciones</w:t>
      </w:r>
      <w:r w:rsidRPr="002665C9">
        <w:rPr>
          <w:rFonts w:ascii="Verdana" w:hAnsi="Verdana"/>
        </w:rPr>
        <w:t xml:space="preserve"> puntuales relacionados con el manejo de redes de Alta, Media o Baja Tensión</w:t>
      </w:r>
      <w:r>
        <w:rPr>
          <w:rFonts w:ascii="Verdana" w:hAnsi="Verdana"/>
        </w:rPr>
        <w:t>.</w:t>
      </w:r>
      <w:r w:rsidRPr="002665C9">
        <w:rPr>
          <w:rFonts w:ascii="Verdana" w:hAnsi="Verdana"/>
        </w:rPr>
        <w:t xml:space="preserve"> </w:t>
      </w:r>
      <w:r>
        <w:rPr>
          <w:rFonts w:ascii="Verdana" w:hAnsi="Verdana"/>
        </w:rPr>
        <w:t>En esta,</w:t>
      </w:r>
      <w:r w:rsidRPr="002665C9">
        <w:rPr>
          <w:rFonts w:ascii="Verdana" w:hAnsi="Verdana"/>
        </w:rPr>
        <w:t xml:space="preserve"> señala que es la </w:t>
      </w:r>
      <w:r>
        <w:rPr>
          <w:rFonts w:ascii="Verdana" w:hAnsi="Verdana"/>
        </w:rPr>
        <w:t>e</w:t>
      </w:r>
      <w:r w:rsidRPr="002665C9">
        <w:rPr>
          <w:rFonts w:ascii="Verdana" w:hAnsi="Verdana"/>
        </w:rPr>
        <w:t>ntidad la que</w:t>
      </w:r>
      <w:r>
        <w:rPr>
          <w:rFonts w:ascii="Verdana" w:hAnsi="Verdana"/>
        </w:rPr>
        <w:t xml:space="preserve"> determinará</w:t>
      </w:r>
      <w:r w:rsidRPr="002665C9">
        <w:rPr>
          <w:rFonts w:ascii="Verdana" w:hAnsi="Verdana"/>
        </w:rPr>
        <w:t xml:space="preserve"> la pertinencia de este tipo de experiencia, que para el caso de los sistemas de “</w:t>
      </w:r>
      <w:r w:rsidRPr="002665C9">
        <w:rPr>
          <w:rFonts w:ascii="Verdana" w:hAnsi="Verdana"/>
          <w:i/>
          <w:iCs/>
        </w:rPr>
        <w:t xml:space="preserve">alumbrado público con </w:t>
      </w:r>
      <w:proofErr w:type="gramStart"/>
      <w:r w:rsidRPr="002665C9">
        <w:rPr>
          <w:rFonts w:ascii="Verdana" w:hAnsi="Verdana"/>
          <w:i/>
          <w:iCs/>
        </w:rPr>
        <w:t>kit solar o paneles solares</w:t>
      </w:r>
      <w:proofErr w:type="gramEnd"/>
      <w:r w:rsidRPr="002665C9">
        <w:rPr>
          <w:rFonts w:ascii="Verdana" w:hAnsi="Verdana"/>
          <w:i/>
          <w:iCs/>
        </w:rPr>
        <w:t xml:space="preserve">” </w:t>
      </w:r>
      <w:r w:rsidRPr="002665C9">
        <w:rPr>
          <w:rFonts w:ascii="Verdana" w:hAnsi="Verdana"/>
        </w:rPr>
        <w:t>no aplicarían.</w:t>
      </w:r>
      <w:r>
        <w:rPr>
          <w:rFonts w:ascii="Verdana" w:hAnsi="Verdana"/>
        </w:rPr>
        <w:t xml:space="preserve"> Por otra parte, debe indicarse que</w:t>
      </w:r>
      <w:r w:rsidRPr="00641571">
        <w:rPr>
          <w:rFonts w:ascii="Verdana" w:hAnsi="Verdana"/>
        </w:rPr>
        <w:t xml:space="preserve">, si bien la Nota 2, hace referencia a que </w:t>
      </w:r>
      <w:r>
        <w:rPr>
          <w:rFonts w:ascii="Verdana" w:hAnsi="Verdana"/>
        </w:rPr>
        <w:t xml:space="preserve">en </w:t>
      </w:r>
      <w:r w:rsidRPr="00641571">
        <w:rPr>
          <w:rFonts w:ascii="Verdana" w:hAnsi="Verdana"/>
        </w:rPr>
        <w:t xml:space="preserve">la mayoría de las vías </w:t>
      </w:r>
      <w:r>
        <w:rPr>
          <w:rFonts w:ascii="Verdana" w:hAnsi="Verdana"/>
        </w:rPr>
        <w:t xml:space="preserve">generalmente se </w:t>
      </w:r>
      <w:r w:rsidRPr="00641571">
        <w:rPr>
          <w:rFonts w:ascii="Verdana" w:hAnsi="Verdana"/>
        </w:rPr>
        <w:t xml:space="preserve">incluyen </w:t>
      </w:r>
      <w:r>
        <w:rPr>
          <w:rFonts w:ascii="Verdana" w:hAnsi="Verdana"/>
        </w:rPr>
        <w:t xml:space="preserve">los componentes que allí se señalan, </w:t>
      </w:r>
      <w:r w:rsidRPr="00641571">
        <w:rPr>
          <w:rFonts w:ascii="Verdana" w:hAnsi="Verdana"/>
        </w:rPr>
        <w:t>no</w:t>
      </w:r>
      <w:r>
        <w:rPr>
          <w:rFonts w:ascii="Verdana" w:hAnsi="Verdana"/>
        </w:rPr>
        <w:t xml:space="preserve"> se</w:t>
      </w:r>
      <w:r w:rsidRPr="00641571">
        <w:rPr>
          <w:rFonts w:ascii="Verdana" w:hAnsi="Verdana"/>
        </w:rPr>
        <w:t xml:space="preserve"> excluye que puedan existir otros.</w:t>
      </w:r>
    </w:p>
    <w:p w14:paraId="4FF14718" w14:textId="77777777" w:rsidR="000B2E9C" w:rsidRDefault="000B2E9C" w:rsidP="000B2E9C">
      <w:pPr>
        <w:pStyle w:val="Prrafodelista"/>
        <w:spacing w:after="0"/>
        <w:ind w:left="644"/>
        <w:contextualSpacing w:val="0"/>
        <w:jc w:val="both"/>
        <w:rPr>
          <w:rFonts w:ascii="Verdana" w:hAnsi="Verdana"/>
        </w:rPr>
      </w:pPr>
    </w:p>
    <w:p w14:paraId="764133E4" w14:textId="77777777" w:rsidR="000B2E9C" w:rsidRPr="009165BE" w:rsidRDefault="000B2E9C" w:rsidP="000B2E9C">
      <w:pPr>
        <w:pStyle w:val="Prrafodelista"/>
        <w:numPr>
          <w:ilvl w:val="0"/>
          <w:numId w:val="18"/>
        </w:numPr>
        <w:spacing w:after="0"/>
        <w:ind w:hanging="357"/>
        <w:contextualSpacing w:val="0"/>
        <w:jc w:val="both"/>
        <w:rPr>
          <w:rFonts w:ascii="Verdana" w:hAnsi="Verdana"/>
        </w:rPr>
      </w:pPr>
      <w:r>
        <w:rPr>
          <w:rFonts w:ascii="Verdana" w:hAnsi="Verdana"/>
        </w:rPr>
        <w:t>S</w:t>
      </w:r>
      <w:r w:rsidRPr="00355617">
        <w:rPr>
          <w:rFonts w:ascii="Verdana" w:hAnsi="Verdana"/>
        </w:rPr>
        <w:t xml:space="preserve">i en el proceso de selección que adelanta la entidad, se requiere experiencia particular en actividades no contempladas en las matrices de experiencia, las </w:t>
      </w:r>
      <w:r>
        <w:rPr>
          <w:rFonts w:ascii="Verdana" w:hAnsi="Verdana"/>
        </w:rPr>
        <w:t>e</w:t>
      </w:r>
      <w:r w:rsidRPr="00355617">
        <w:rPr>
          <w:rFonts w:ascii="Verdana" w:hAnsi="Verdana"/>
        </w:rPr>
        <w:t xml:space="preserve">ntidades pueden recurrir a la opción planteada en el literal H del numeral 3.5.2. del documento base de infraestructura de </w:t>
      </w:r>
      <w:r>
        <w:rPr>
          <w:rFonts w:ascii="Verdana" w:hAnsi="Verdana"/>
        </w:rPr>
        <w:t>t</w:t>
      </w:r>
      <w:r w:rsidRPr="00355617">
        <w:rPr>
          <w:rFonts w:ascii="Verdana" w:hAnsi="Verdana"/>
        </w:rPr>
        <w:t>ransporte y lo contenido en el artículo 4 de las Resoluci</w:t>
      </w:r>
      <w:r>
        <w:rPr>
          <w:rFonts w:ascii="Verdana" w:hAnsi="Verdana"/>
        </w:rPr>
        <w:t>ón</w:t>
      </w:r>
      <w:r w:rsidRPr="00355617">
        <w:rPr>
          <w:rFonts w:ascii="Verdana" w:hAnsi="Verdana"/>
        </w:rPr>
        <w:t xml:space="preserve"> 465 de 2024</w:t>
      </w:r>
      <w:r w:rsidRPr="00355617">
        <w:t xml:space="preserve"> </w:t>
      </w:r>
      <w:r w:rsidRPr="00355617">
        <w:rPr>
          <w:rFonts w:ascii="Verdana" w:hAnsi="Verdana"/>
        </w:rPr>
        <w:t>que se refiere a los Bienes adicionales a la obra de infraestructura de transporte</w:t>
      </w:r>
      <w:r>
        <w:rPr>
          <w:rStyle w:val="Refdenotaalpie"/>
          <w:rFonts w:ascii="Verdana" w:hAnsi="Verdana"/>
        </w:rPr>
        <w:footnoteReference w:id="4"/>
      </w:r>
      <w:r>
        <w:rPr>
          <w:rFonts w:ascii="Verdana" w:hAnsi="Verdana"/>
        </w:rPr>
        <w:t>.</w:t>
      </w:r>
    </w:p>
    <w:p w14:paraId="3E70994E" w14:textId="77777777" w:rsidR="000B2E9C" w:rsidRDefault="000B2E9C" w:rsidP="000B2E9C">
      <w:p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p>
    <w:p w14:paraId="00B61956" w14:textId="77777777" w:rsidR="000B2E9C" w:rsidRPr="003017FF" w:rsidRDefault="000B2E9C" w:rsidP="000B2E9C">
      <w:pPr>
        <w:numPr>
          <w:ilvl w:val="0"/>
          <w:numId w:val="18"/>
        </w:numPr>
        <w:snapToGrid w:val="0"/>
        <w:spacing w:after="0" w:line="276" w:lineRule="auto"/>
        <w:ind w:left="720" w:hanging="357"/>
        <w:jc w:val="both"/>
        <w:rPr>
          <w:rFonts w:ascii="Verdana" w:eastAsia="Times New Roman" w:hAnsi="Verdana" w:cs="Arial"/>
          <w:kern w:val="2"/>
          <w:shd w:val="clear" w:color="auto" w:fill="FFFFFF"/>
          <w:lang w:val="es-ES_tradnl" w:eastAsia="es-ES_tradnl"/>
          <w14:ligatures w14:val="standardContextual"/>
        </w:rPr>
      </w:pPr>
      <w:r w:rsidRPr="009D0CB0">
        <w:rPr>
          <w:rFonts w:ascii="Verdana" w:eastAsia="Times New Roman" w:hAnsi="Verdana" w:cs="Arial"/>
          <w:kern w:val="2"/>
          <w:shd w:val="clear" w:color="auto" w:fill="FFFFFF"/>
          <w:lang w:val="es-ES_tradnl" w:eastAsia="es-ES_tradnl"/>
          <w14:ligatures w14:val="standardContextual"/>
        </w:rPr>
        <w:t xml:space="preserve">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 </w:t>
      </w:r>
    </w:p>
    <w:p w14:paraId="64F69D1B" w14:textId="77777777" w:rsidR="000B2E9C" w:rsidRDefault="000B2E9C" w:rsidP="000B2E9C">
      <w:pPr>
        <w:spacing w:after="0" w:line="276" w:lineRule="auto"/>
        <w:contextualSpacing/>
        <w:jc w:val="both"/>
        <w:rPr>
          <w:rFonts w:ascii="Verdana" w:eastAsia="Calibri" w:hAnsi="Verdana" w:cs="Arial"/>
          <w:kern w:val="2"/>
          <w:lang w:val="es-ES_tradnl"/>
          <w14:ligatures w14:val="standardContextual"/>
        </w:rPr>
      </w:pPr>
    </w:p>
    <w:p w14:paraId="63F5FCBC" w14:textId="77777777" w:rsidR="000B2E9C" w:rsidRPr="001454E5" w:rsidRDefault="000B2E9C" w:rsidP="000B2E9C">
      <w:pPr>
        <w:numPr>
          <w:ilvl w:val="0"/>
          <w:numId w:val="20"/>
        </w:numPr>
        <w:tabs>
          <w:tab w:val="left" w:pos="142"/>
          <w:tab w:val="left" w:pos="284"/>
        </w:tabs>
        <w:spacing w:after="0" w:line="276" w:lineRule="auto"/>
        <w:ind w:left="357" w:hanging="357"/>
        <w:jc w:val="both"/>
        <w:rPr>
          <w:rFonts w:ascii="Verdana" w:eastAsia="Century Gothic" w:hAnsi="Verdana" w:cs="Century Gothic"/>
          <w:b/>
          <w:bCs/>
          <w:lang w:val="es-ES_tradnl"/>
        </w:rPr>
      </w:pPr>
      <w:r w:rsidRPr="00EF3160">
        <w:rPr>
          <w:rFonts w:ascii="Verdana" w:eastAsia="Century Gothic" w:hAnsi="Verdana" w:cs="Century Gothic"/>
          <w:b/>
          <w:bCs/>
          <w:lang w:val="es-ES_tradnl"/>
        </w:rPr>
        <w:t>Referencias normativas, jurisprudenciales y otras fuentes:</w:t>
      </w:r>
    </w:p>
    <w:p w14:paraId="6EED9B20" w14:textId="77777777" w:rsidR="000B2E9C" w:rsidRPr="009322DA" w:rsidRDefault="000B2E9C" w:rsidP="000B2E9C">
      <w:pPr>
        <w:spacing w:after="0"/>
        <w:ind w:left="-15840"/>
        <w:jc w:val="both"/>
        <w:rPr>
          <w:rFonts w:ascii="Verdana" w:eastAsia="Calibri" w:hAnsi="Verdana" w:cs="Arial"/>
          <w:b/>
          <w:bCs/>
        </w:rPr>
      </w:pPr>
      <w:r w:rsidRPr="009322DA">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0B2E9C" w:rsidRPr="009322DA" w14:paraId="16ED7EF0" w14:textId="77777777" w:rsidTr="00217517">
        <w:trPr>
          <w:trHeight w:val="870"/>
        </w:trPr>
        <w:tc>
          <w:tcPr>
            <w:tcW w:w="8647" w:type="dxa"/>
            <w:tcBorders>
              <w:top w:val="dotted" w:sz="4" w:space="0" w:color="auto"/>
              <w:left w:val="dotted" w:sz="4" w:space="0" w:color="auto"/>
              <w:bottom w:val="dotted" w:sz="4" w:space="0" w:color="auto"/>
              <w:right w:val="dotted" w:sz="4" w:space="0" w:color="auto"/>
            </w:tcBorders>
          </w:tcPr>
          <w:p w14:paraId="2C650ADE" w14:textId="77777777" w:rsidR="000B2E9C" w:rsidRPr="000C6AD5" w:rsidRDefault="000B2E9C" w:rsidP="00217517">
            <w:pPr>
              <w:pStyle w:val="Prrafodelista"/>
              <w:jc w:val="both"/>
              <w:rPr>
                <w:rFonts w:ascii="Verdana" w:eastAsia="Calibri" w:hAnsi="Verdana" w:cs="Arial"/>
                <w:bCs/>
              </w:rPr>
            </w:pPr>
          </w:p>
          <w:p w14:paraId="3B5EC462" w14:textId="77777777" w:rsidR="000B2E9C" w:rsidRPr="00915E40" w:rsidRDefault="000B2E9C" w:rsidP="000B2E9C">
            <w:pPr>
              <w:widowControl w:val="0"/>
              <w:numPr>
                <w:ilvl w:val="0"/>
                <w:numId w:val="19"/>
              </w:numPr>
              <w:autoSpaceDE w:val="0"/>
              <w:autoSpaceDN w:val="0"/>
              <w:spacing w:line="276" w:lineRule="auto"/>
              <w:ind w:left="714" w:hanging="357"/>
              <w:jc w:val="both"/>
              <w:rPr>
                <w:rFonts w:ascii="Verdana" w:eastAsia="Calibri" w:hAnsi="Verdana" w:cs="Arial"/>
                <w:lang w:val="es-ES_tradnl"/>
              </w:rPr>
            </w:pPr>
            <w:r w:rsidRPr="00915E40">
              <w:rPr>
                <w:rFonts w:ascii="Verdana" w:eastAsia="Calibri" w:hAnsi="Verdana" w:cs="Arial"/>
                <w:lang w:val="es-ES_tradnl"/>
              </w:rPr>
              <w:t xml:space="preserve">Ley 2022 de 2020, artículo 1. </w:t>
            </w:r>
          </w:p>
          <w:p w14:paraId="3DA0C65C" w14:textId="77777777" w:rsidR="000B2E9C" w:rsidRDefault="000B2E9C" w:rsidP="000B2E9C">
            <w:pPr>
              <w:widowControl w:val="0"/>
              <w:numPr>
                <w:ilvl w:val="0"/>
                <w:numId w:val="19"/>
              </w:numPr>
              <w:autoSpaceDE w:val="0"/>
              <w:autoSpaceDN w:val="0"/>
              <w:spacing w:line="276" w:lineRule="auto"/>
              <w:jc w:val="both"/>
              <w:rPr>
                <w:rFonts w:ascii="Verdana" w:eastAsia="Calibri" w:hAnsi="Verdana" w:cs="Arial"/>
              </w:rPr>
            </w:pPr>
            <w:r w:rsidRPr="00915E40">
              <w:rPr>
                <w:rFonts w:ascii="Verdana" w:eastAsia="Calibri" w:hAnsi="Verdana" w:cs="Arial"/>
              </w:rPr>
              <w:t>Ley 1150 de 2007, artículo 2.</w:t>
            </w:r>
          </w:p>
          <w:p w14:paraId="5BE67A55" w14:textId="77777777" w:rsidR="000B2E9C" w:rsidRDefault="000B2E9C" w:rsidP="000B2E9C">
            <w:pPr>
              <w:widowControl w:val="0"/>
              <w:numPr>
                <w:ilvl w:val="0"/>
                <w:numId w:val="19"/>
              </w:numPr>
              <w:autoSpaceDE w:val="0"/>
              <w:autoSpaceDN w:val="0"/>
              <w:spacing w:line="276" w:lineRule="auto"/>
              <w:jc w:val="both"/>
              <w:rPr>
                <w:rFonts w:ascii="Verdana" w:eastAsia="Calibri" w:hAnsi="Verdana" w:cs="Arial"/>
              </w:rPr>
            </w:pPr>
            <w:r w:rsidRPr="00355617">
              <w:rPr>
                <w:rFonts w:ascii="Verdana" w:hAnsi="Verdana"/>
              </w:rPr>
              <w:t>Resoluci</w:t>
            </w:r>
            <w:r>
              <w:rPr>
                <w:rFonts w:ascii="Verdana" w:hAnsi="Verdana"/>
              </w:rPr>
              <w:t>ón</w:t>
            </w:r>
            <w:r w:rsidRPr="00355617">
              <w:rPr>
                <w:rFonts w:ascii="Verdana" w:hAnsi="Verdana"/>
              </w:rPr>
              <w:t xml:space="preserve"> 465 de 2024</w:t>
            </w:r>
            <w:r>
              <w:rPr>
                <w:rFonts w:ascii="Verdana" w:hAnsi="Verdana"/>
              </w:rPr>
              <w:t xml:space="preserve">. </w:t>
            </w:r>
          </w:p>
          <w:p w14:paraId="33EFF096" w14:textId="77777777" w:rsidR="000B2E9C" w:rsidRPr="009446F5" w:rsidRDefault="000B2E9C" w:rsidP="000B2E9C">
            <w:pPr>
              <w:pStyle w:val="Prrafodelista"/>
              <w:widowControl w:val="0"/>
              <w:numPr>
                <w:ilvl w:val="0"/>
                <w:numId w:val="19"/>
              </w:numPr>
              <w:autoSpaceDE w:val="0"/>
              <w:autoSpaceDN w:val="0"/>
              <w:spacing w:line="276" w:lineRule="auto"/>
              <w:jc w:val="both"/>
              <w:rPr>
                <w:rFonts w:ascii="Verdana" w:hAnsi="Verdana" w:cs="Arial"/>
              </w:rPr>
            </w:pPr>
            <w:r w:rsidRPr="009446F5">
              <w:rPr>
                <w:rFonts w:ascii="Verdana" w:eastAsia="Calibri" w:hAnsi="Verdana" w:cs="Arial"/>
                <w:lang w:val="es-ES_tradnl"/>
              </w:rPr>
              <w:t xml:space="preserve">Documentos Tipo. Disponibles en: </w:t>
            </w:r>
            <w:hyperlink r:id="rId11" w:history="1">
              <w:r w:rsidRPr="009446F5">
                <w:rPr>
                  <w:rFonts w:ascii="Verdana" w:eastAsia="Calibri" w:hAnsi="Verdana" w:cs="Arial"/>
                  <w:color w:val="0000FF"/>
                  <w:u w:val="single"/>
                  <w:lang w:val="es-ES_tradnl"/>
                </w:rPr>
                <w:t>https://www.colombiacompra.gov.co/documentos-tipo/documentos-tipo</w:t>
              </w:r>
            </w:hyperlink>
            <w:r w:rsidRPr="009446F5">
              <w:rPr>
                <w:rFonts w:ascii="Verdana" w:eastAsia="Calibri" w:hAnsi="Verdana" w:cs="Arial"/>
                <w:lang w:val="es-ES_tradnl"/>
              </w:rPr>
              <w:t>.</w:t>
            </w:r>
          </w:p>
        </w:tc>
      </w:tr>
    </w:tbl>
    <w:p w14:paraId="302B8BDD" w14:textId="77777777" w:rsidR="000B2E9C" w:rsidRPr="009322DA" w:rsidRDefault="000B2E9C" w:rsidP="000B2E9C">
      <w:pPr>
        <w:tabs>
          <w:tab w:val="left" w:pos="142"/>
          <w:tab w:val="left" w:pos="284"/>
        </w:tabs>
        <w:spacing w:after="0" w:line="276" w:lineRule="auto"/>
        <w:jc w:val="both"/>
        <w:rPr>
          <w:rFonts w:ascii="Verdana" w:eastAsia="Calibri" w:hAnsi="Verdana" w:cs="Arial"/>
        </w:rPr>
      </w:pPr>
    </w:p>
    <w:p w14:paraId="11A16C7D" w14:textId="77777777" w:rsidR="000B2E9C" w:rsidRPr="009322DA" w:rsidRDefault="000B2E9C" w:rsidP="000B2E9C">
      <w:pPr>
        <w:tabs>
          <w:tab w:val="left" w:pos="142"/>
          <w:tab w:val="left" w:pos="284"/>
        </w:tabs>
        <w:spacing w:after="0" w:line="276" w:lineRule="auto"/>
        <w:jc w:val="both"/>
        <w:rPr>
          <w:rFonts w:ascii="Verdana" w:eastAsia="Century Gothic" w:hAnsi="Verdana" w:cs="Century Gothic"/>
          <w:b/>
          <w:bCs/>
          <w:lang w:val="es-ES"/>
        </w:rPr>
      </w:pPr>
      <w:r w:rsidRPr="00411756">
        <w:rPr>
          <w:rFonts w:ascii="Verdana" w:eastAsia="Calibri" w:hAnsi="Verdana" w:cs="Arial"/>
          <w:b/>
          <w:bCs/>
        </w:rPr>
        <w:t>5</w:t>
      </w:r>
      <w:r w:rsidRPr="009322DA">
        <w:rPr>
          <w:rFonts w:ascii="Verdana" w:eastAsia="Calibri" w:hAnsi="Verdana" w:cs="Arial"/>
        </w:rPr>
        <w:t>.</w:t>
      </w:r>
      <w:r w:rsidRPr="009322DA">
        <w:rPr>
          <w:rFonts w:ascii="Verdana" w:eastAsia="Century Gothic" w:hAnsi="Verdana" w:cs="Century Gothic"/>
          <w:b/>
          <w:bCs/>
          <w:lang w:val="es-ES"/>
        </w:rPr>
        <w:t>Doctrina de la Agencia Nacional de Contratación Pública:</w:t>
      </w:r>
    </w:p>
    <w:p w14:paraId="78CBAAA8" w14:textId="77777777" w:rsidR="000B2E9C" w:rsidRPr="009322DA" w:rsidRDefault="000B2E9C" w:rsidP="000B2E9C">
      <w:pPr>
        <w:widowControl w:val="0"/>
        <w:autoSpaceDE w:val="0"/>
        <w:autoSpaceDN w:val="0"/>
        <w:spacing w:after="0" w:line="276" w:lineRule="auto"/>
        <w:jc w:val="both"/>
        <w:rPr>
          <w:rFonts w:ascii="Verdana" w:eastAsia="Calibri" w:hAnsi="Verdana" w:cs="Arial"/>
        </w:rPr>
      </w:pPr>
    </w:p>
    <w:p w14:paraId="385EF887" w14:textId="77777777" w:rsidR="000B2E9C" w:rsidRDefault="000B2E9C" w:rsidP="000B2E9C">
      <w:pPr>
        <w:widowControl w:val="0"/>
        <w:autoSpaceDE w:val="0"/>
        <w:autoSpaceDN w:val="0"/>
        <w:spacing w:after="0" w:line="276" w:lineRule="auto"/>
        <w:jc w:val="both"/>
        <w:rPr>
          <w:rFonts w:ascii="Verdana" w:eastAsia="Times New Roman" w:hAnsi="Verdana" w:cs="Arial"/>
          <w:shd w:val="clear" w:color="auto" w:fill="FFFFFF"/>
          <w:lang w:val="es-ES"/>
        </w:rPr>
      </w:pPr>
      <w:r w:rsidRPr="00C269C0">
        <w:rPr>
          <w:rFonts w:ascii="Verdana" w:eastAsia="Calibri" w:hAnsi="Verdana" w:cs="Arial"/>
          <w:shd w:val="clear" w:color="auto" w:fill="FFFFFF"/>
        </w:rPr>
        <w:t>L</w:t>
      </w:r>
      <w:r w:rsidRPr="00C269C0">
        <w:rPr>
          <w:rFonts w:ascii="Verdana" w:eastAsia="Calibri" w:hAnsi="Verdana" w:cs="Arial"/>
          <w:shd w:val="clear" w:color="auto" w:fill="FFFFFF"/>
          <w:lang w:val="es-ES"/>
        </w:rPr>
        <w:t>a Agencia Nacional de Contratación Pública – Colombia Compra Eficiente,</w:t>
      </w:r>
      <w:r w:rsidRPr="0075145D">
        <w:rPr>
          <w:rFonts w:ascii="Verdana" w:eastAsia="Calibri" w:hAnsi="Verdana" w:cs="Arial"/>
          <w:shd w:val="clear" w:color="auto" w:fill="FFFFFF"/>
          <w:lang w:val="es-ES"/>
        </w:rPr>
        <w:t xml:space="preserve"> </w:t>
      </w:r>
      <w:r>
        <w:rPr>
          <w:rFonts w:ascii="Verdana" w:eastAsia="Calibri" w:hAnsi="Verdana" w:cs="Arial"/>
          <w:shd w:val="clear" w:color="auto" w:fill="FFFFFF"/>
          <w:lang w:val="es-ES"/>
        </w:rPr>
        <w:t xml:space="preserve">se ha pronunciado sobre el fundamento normativo de los documentos tipo en los conceptos: </w:t>
      </w:r>
      <w:r w:rsidRPr="00484D44">
        <w:rPr>
          <w:rFonts w:ascii="Verdana" w:eastAsia="Times New Roman" w:hAnsi="Verdana" w:cs="Arial"/>
          <w:shd w:val="clear" w:color="auto" w:fill="FFFFFF"/>
          <w:lang w:val="es-ES"/>
        </w:rPr>
        <w:t xml:space="preserve">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w:t>
      </w:r>
      <w:r w:rsidRPr="00484D44">
        <w:rPr>
          <w:rFonts w:ascii="Verdana" w:eastAsia="Times New Roman" w:hAnsi="Verdana" w:cs="Arial"/>
          <w:shd w:val="clear" w:color="auto" w:fill="FFFFFF"/>
          <w:lang w:val="es-ES"/>
        </w:rPr>
        <w:lastRenderedPageBreak/>
        <w:t>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w:t>
      </w:r>
      <w:r>
        <w:rPr>
          <w:rFonts w:ascii="Verdana" w:eastAsia="Times New Roman" w:hAnsi="Verdana" w:cs="Arial"/>
          <w:shd w:val="clear" w:color="auto" w:fill="FFFFFF"/>
          <w:lang w:val="es-ES"/>
        </w:rPr>
        <w:t xml:space="preserve">, C- 272 del 22 de agosto de 2024, C- 516 del 07 de octubre de 2024, C- 481 del 09 de noviembre de 2024, C- 692 del 19 de noviembre de 2024 y C-753 del 4 de enero de 2024. </w:t>
      </w:r>
    </w:p>
    <w:p w14:paraId="2E711282" w14:textId="77777777" w:rsidR="000B2E9C" w:rsidRDefault="000B2E9C" w:rsidP="000B2E9C">
      <w:pPr>
        <w:widowControl w:val="0"/>
        <w:autoSpaceDE w:val="0"/>
        <w:autoSpaceDN w:val="0"/>
        <w:spacing w:after="0" w:line="276" w:lineRule="auto"/>
        <w:jc w:val="both"/>
        <w:rPr>
          <w:rFonts w:ascii="Verdana" w:eastAsia="Times New Roman" w:hAnsi="Verdana" w:cs="Arial"/>
          <w:shd w:val="clear" w:color="auto" w:fill="FFFFFF"/>
          <w:lang w:val="es-ES"/>
        </w:rPr>
      </w:pPr>
    </w:p>
    <w:p w14:paraId="42DFD94C" w14:textId="77777777" w:rsidR="000B2E9C" w:rsidRPr="00301216" w:rsidRDefault="000B2E9C" w:rsidP="000B2E9C">
      <w:pPr>
        <w:widowControl w:val="0"/>
        <w:autoSpaceDE w:val="0"/>
        <w:autoSpaceDN w:val="0"/>
        <w:spacing w:after="0" w:line="276" w:lineRule="auto"/>
        <w:jc w:val="both"/>
        <w:rPr>
          <w:rFonts w:ascii="Verdana" w:eastAsia="Times New Roman" w:hAnsi="Verdana" w:cs="Arial"/>
          <w:shd w:val="clear" w:color="auto" w:fill="FFFFFF"/>
          <w:lang w:val="es-ES"/>
        </w:rPr>
      </w:pPr>
      <w:r w:rsidRPr="008328CE">
        <w:rPr>
          <w:rFonts w:ascii="Verdana" w:eastAsia="Calibri"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8328CE">
          <w:rPr>
            <w:rStyle w:val="Hipervnculo"/>
            <w:rFonts w:ascii="Verdana" w:eastAsia="Calibri" w:hAnsi="Verdana" w:cs="Arial"/>
            <w:color w:val="000000" w:themeColor="text1"/>
            <w:shd w:val="clear" w:color="auto" w:fill="FFFFFF"/>
          </w:rPr>
          <w:t>https://relatoria.colombiacompra.gov.co/</w:t>
        </w:r>
      </w:hyperlink>
      <w:r w:rsidRPr="008328CE">
        <w:rPr>
          <w:rFonts w:ascii="Verdana" w:eastAsia="Calibri" w:hAnsi="Verdana" w:cs="Arial"/>
          <w:color w:val="000000" w:themeColor="text1"/>
          <w:shd w:val="clear" w:color="auto" w:fill="FFFFFF"/>
        </w:rPr>
        <w:t> .</w:t>
      </w:r>
    </w:p>
    <w:p w14:paraId="20A00ACF" w14:textId="77777777" w:rsidR="000B2E9C" w:rsidRDefault="000B2E9C" w:rsidP="000B2E9C">
      <w:pPr>
        <w:spacing w:after="0" w:line="240" w:lineRule="auto"/>
        <w:jc w:val="both"/>
        <w:rPr>
          <w:rFonts w:ascii="Verdana" w:eastAsia="Calibri" w:hAnsi="Verdana" w:cs="Arial"/>
          <w:color w:val="000000" w:themeColor="text1"/>
          <w:shd w:val="clear" w:color="auto" w:fill="FFFFFF"/>
        </w:rPr>
      </w:pPr>
    </w:p>
    <w:p w14:paraId="36CB64A4" w14:textId="77777777" w:rsidR="000B2E9C" w:rsidRDefault="000B2E9C" w:rsidP="000B2E9C">
      <w:pPr>
        <w:shd w:val="clear" w:color="auto" w:fill="FFFFFF"/>
        <w:spacing w:line="240" w:lineRule="auto"/>
        <w:jc w:val="both"/>
        <w:rPr>
          <w:rFonts w:ascii="Verdana" w:hAnsi="Verdana"/>
          <w:color w:val="212121"/>
        </w:rPr>
      </w:pPr>
      <w:r>
        <w:rPr>
          <w:rFonts w:ascii="Verdana" w:hAnsi="Verdana"/>
          <w:color w:val="000000"/>
        </w:rPr>
        <w:t>Te informamos que ya se encuentra disponible la</w:t>
      </w:r>
      <w:r>
        <w:rPr>
          <w:rStyle w:val="apple-converted-space"/>
          <w:rFonts w:ascii="Verdana" w:hAnsi="Verdana"/>
          <w:color w:val="000000"/>
        </w:rPr>
        <w:t> </w:t>
      </w:r>
      <w:r>
        <w:rPr>
          <w:rFonts w:ascii="Verdana" w:hAnsi="Verdana"/>
          <w:b/>
          <w:bCs/>
          <w:color w:val="000000"/>
        </w:rPr>
        <w:t>Cartilla para incentivar y fortalecer el acceso a las compras y contratación pública de los pueblos y comunidades étnicas en Colombia.</w:t>
      </w:r>
      <w:r>
        <w:rPr>
          <w:rFonts w:ascii="Verdana" w:hAnsi="Verdana"/>
          <w:color w:val="000000"/>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w:t>
      </w:r>
      <w:r>
        <w:rPr>
          <w:rStyle w:val="apple-converted-space"/>
          <w:rFonts w:ascii="Verdana" w:hAnsi="Verdana"/>
          <w:color w:val="000000"/>
        </w:rPr>
        <w:t> </w:t>
      </w:r>
      <w:hyperlink r:id="rId13" w:tooltip="Original URL:&#10;https://www.colombiacompra.gov.co/manuales-guias-y-pliegos-tipo/manuales-y-guias/cartilla-para-incentivar-y-fortalecer-el-acceso-las&#10;&#10;Click to follow link." w:history="1">
        <w:r>
          <w:rPr>
            <w:rStyle w:val="Hipervnculo"/>
            <w:rFonts w:ascii="Verdana" w:hAnsi="Verdana"/>
            <w:color w:val="467886"/>
          </w:rPr>
          <w:t>Cartilla para incentivar y fortalecer el acceso a las compras y contratación pública de los pueblos y comunidades étnicas en Colombia | Colombia Compra Eficiente | Agencia Nacional de Contratación Pública</w:t>
        </w:r>
      </w:hyperlink>
    </w:p>
    <w:p w14:paraId="33E0BF52" w14:textId="77777777" w:rsidR="000B2E9C" w:rsidRDefault="000B2E9C" w:rsidP="000B2E9C">
      <w:pPr>
        <w:jc w:val="both"/>
        <w:rPr>
          <w:rFonts w:ascii="Verdana" w:hAnsi="Verdana"/>
          <w:color w:val="212121"/>
        </w:rPr>
      </w:pPr>
      <w:r>
        <w:rPr>
          <w:rFonts w:ascii="Verdana" w:hAnsi="Verdana"/>
          <w:color w:val="000000"/>
        </w:rPr>
        <w:t>De otra parte, te informamos que, con el objetivo de garantizar un conocimiento adecuado de las</w:t>
      </w:r>
      <w:r>
        <w:rPr>
          <w:rStyle w:val="apple-converted-space"/>
          <w:rFonts w:ascii="Verdana" w:hAnsi="Verdana"/>
          <w:color w:val="000000"/>
        </w:rPr>
        <w:t> </w:t>
      </w:r>
      <w:r>
        <w:rPr>
          <w:rFonts w:ascii="Verdana" w:hAnsi="Verdana"/>
          <w:b/>
          <w:bCs/>
          <w:color w:val="000000"/>
        </w:rPr>
        <w:t>modificaciones y/o actualizaciones realizadas a los Documentos Tipo</w:t>
      </w:r>
      <w:r>
        <w:rPr>
          <w:rFonts w:ascii="Verdana" w:hAnsi="Verdana"/>
          <w:color w:val="000000"/>
        </w:rPr>
        <w:t>, hemos programado una serie de</w:t>
      </w:r>
      <w:r>
        <w:rPr>
          <w:rStyle w:val="apple-converted-space"/>
          <w:rFonts w:ascii="Verdana" w:hAnsi="Verdana"/>
          <w:color w:val="000000"/>
        </w:rPr>
        <w:t> </w:t>
      </w:r>
      <w:r>
        <w:rPr>
          <w:rFonts w:ascii="Verdana" w:hAnsi="Verdana"/>
          <w:b/>
          <w:bCs/>
          <w:color w:val="000000"/>
        </w:rPr>
        <w:t>capacitaciones</w:t>
      </w:r>
      <w:r>
        <w:rPr>
          <w:rStyle w:val="apple-converted-space"/>
          <w:rFonts w:ascii="Verdana" w:hAnsi="Verdana"/>
          <w:b/>
          <w:bCs/>
          <w:color w:val="000000"/>
        </w:rPr>
        <w:t> </w:t>
      </w:r>
      <w:r>
        <w:rPr>
          <w:rFonts w:ascii="Verdana" w:hAnsi="Verdana"/>
          <w:color w:val="000000"/>
        </w:rPr>
        <w:t>dirigidas a todos los actores involucrados en los procesos de selección. Podrás conocer la programación y realizar tu inscripción a estas capacitaciones a través del siguiente enlace:</w:t>
      </w:r>
      <w:r>
        <w:rPr>
          <w:rStyle w:val="apple-converted-space"/>
          <w:rFonts w:ascii="Verdana" w:hAnsi="Verdana"/>
          <w:color w:val="000000"/>
        </w:rPr>
        <w:t> </w:t>
      </w:r>
      <w:hyperlink r:id="rId14" w:tooltip="Original URL:&#10;https://www.colombiacompra.gov.co/ciudadanos/calendario&#10;&#10;Click to follow link." w:history="1">
        <w:r>
          <w:rPr>
            <w:rStyle w:val="Hipervnculo"/>
            <w:rFonts w:ascii="Verdana" w:hAnsi="Verdana"/>
            <w:color w:val="467886"/>
          </w:rPr>
          <w:t>Calendario | Colombia Compra Eficiente | Agencia Nacional de Contratación Pública</w:t>
        </w:r>
      </w:hyperlink>
    </w:p>
    <w:p w14:paraId="50187B2A" w14:textId="77777777" w:rsidR="000B2E9C" w:rsidRDefault="000B2E9C" w:rsidP="000B2E9C">
      <w:pPr>
        <w:spacing w:after="0"/>
        <w:jc w:val="both"/>
        <w:rPr>
          <w:rFonts w:ascii="Verdana" w:hAnsi="Verdana"/>
          <w:color w:val="212121"/>
        </w:rPr>
      </w:pPr>
      <w:r>
        <w:rPr>
          <w:rFonts w:ascii="Verdana" w:hAnsi="Verdana"/>
          <w:color w:val="000000"/>
        </w:rPr>
        <w:t>También, te contamos que ya publicamos</w:t>
      </w:r>
      <w:r>
        <w:rPr>
          <w:rStyle w:val="apple-converted-space"/>
          <w:rFonts w:ascii="Verdana" w:hAnsi="Verdana"/>
          <w:color w:val="000000"/>
        </w:rPr>
        <w:t> </w:t>
      </w:r>
      <w:r>
        <w:rPr>
          <w:rFonts w:ascii="Verdana" w:hAnsi="Verdana"/>
          <w:b/>
          <w:bCs/>
          <w:color w:val="000000"/>
        </w:rPr>
        <w:t>la nueva Guía de Contratación Pública Sostenible y Socialmente Responsable</w:t>
      </w:r>
      <w:r>
        <w:rPr>
          <w:rFonts w:ascii="Verdana" w:hAnsi="Verdana"/>
          <w:color w:val="000000"/>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w:t>
      </w:r>
      <w:r>
        <w:rPr>
          <w:rStyle w:val="apple-converted-space"/>
          <w:rFonts w:ascii="Verdana" w:hAnsi="Verdana"/>
          <w:color w:val="000000"/>
        </w:rPr>
        <w:t> </w:t>
      </w:r>
      <w:hyperlink r:id="rId15" w:tooltip="Original URL:&#10;https://www.colombiacompra.gov.co/manuales-guias-y-pliegos-tipo/manuales-y-guias/guia-de-contratacion-publica-sostenible-y-socialmente&#10;&#10;Click to follow link." w:history="1">
        <w:r>
          <w:rPr>
            <w:rStyle w:val="Hipervnculo"/>
            <w:rFonts w:ascii="Verdana" w:hAnsi="Verdana"/>
            <w:color w:val="467886"/>
          </w:rPr>
          <w:t xml:space="preserve">Guía de Contratación Pública Sostenible y Socialmente </w:t>
        </w:r>
        <w:r>
          <w:rPr>
            <w:rStyle w:val="Hipervnculo"/>
            <w:rFonts w:ascii="Verdana" w:hAnsi="Verdana"/>
            <w:color w:val="467886"/>
          </w:rPr>
          <w:lastRenderedPageBreak/>
          <w:t>Responsable | Colombia Compra Eficiente | Agencia Nacional de Contratación Pública</w:t>
        </w:r>
      </w:hyperlink>
    </w:p>
    <w:p w14:paraId="5639D3F2" w14:textId="77777777" w:rsidR="000B2E9C" w:rsidRPr="008922FF" w:rsidRDefault="000B2E9C" w:rsidP="000B2E9C">
      <w:pPr>
        <w:spacing w:after="0"/>
        <w:jc w:val="both"/>
        <w:rPr>
          <w:rFonts w:ascii="Verdana" w:hAnsi="Verdana"/>
          <w:color w:val="212121"/>
        </w:rPr>
      </w:pPr>
    </w:p>
    <w:p w14:paraId="0384D504" w14:textId="77777777" w:rsidR="000B2E9C" w:rsidRPr="009322DA" w:rsidRDefault="000B2E9C" w:rsidP="000B2E9C">
      <w:pPr>
        <w:spacing w:after="0" w:line="240" w:lineRule="auto"/>
        <w:jc w:val="both"/>
        <w:rPr>
          <w:rFonts w:ascii="Calibri" w:eastAsia="Calibri" w:hAnsi="Calibri" w:cs="Times New Roman"/>
        </w:rPr>
      </w:pPr>
      <w:r w:rsidRPr="0044528D">
        <w:rPr>
          <w:rFonts w:ascii="Verdana" w:hAnsi="Verdana"/>
        </w:rPr>
        <w:t xml:space="preserve">Por último, lo invitamos a seguirnos en las redes sociales en las cuales se difunde información institucional: </w:t>
      </w:r>
    </w:p>
    <w:p w14:paraId="19ECB5B9" w14:textId="77777777" w:rsidR="000B2E9C" w:rsidRPr="0044528D" w:rsidRDefault="000B2E9C" w:rsidP="000B2E9C">
      <w:pPr>
        <w:spacing w:after="0" w:line="240" w:lineRule="auto"/>
        <w:jc w:val="both"/>
        <w:rPr>
          <w:rFonts w:ascii="Verdana" w:hAnsi="Verdana"/>
        </w:rPr>
      </w:pPr>
    </w:p>
    <w:p w14:paraId="290447AF" w14:textId="77777777" w:rsidR="000B2E9C" w:rsidRPr="0044528D" w:rsidRDefault="000B2E9C" w:rsidP="000B2E9C">
      <w:pPr>
        <w:spacing w:after="0" w:line="240" w:lineRule="auto"/>
        <w:jc w:val="both"/>
        <w:rPr>
          <w:rFonts w:ascii="Verdana" w:hAnsi="Verdana"/>
        </w:rPr>
      </w:pPr>
      <w:r w:rsidRPr="0044528D">
        <w:rPr>
          <w:rFonts w:ascii="Verdana" w:hAnsi="Verdana"/>
        </w:rPr>
        <w:t xml:space="preserve">Twitter: </w:t>
      </w:r>
      <w:r w:rsidRPr="009322DA">
        <w:rPr>
          <w:rFonts w:ascii="Verdana" w:eastAsia="Calibri" w:hAnsi="Verdana" w:cs="Times New Roman"/>
          <w:color w:val="4472C4" w:themeColor="accent1"/>
          <w:u w:val="single"/>
        </w:rPr>
        <w:t>@colombiacompra</w:t>
      </w:r>
      <w:r w:rsidRPr="009322DA">
        <w:rPr>
          <w:rFonts w:ascii="Verdana" w:eastAsia="Calibri" w:hAnsi="Verdana" w:cs="Times New Roman"/>
          <w:color w:val="4472C4" w:themeColor="accent1"/>
        </w:rPr>
        <w:t xml:space="preserve"> </w:t>
      </w:r>
    </w:p>
    <w:p w14:paraId="243ED75F" w14:textId="77777777" w:rsidR="000B2E9C" w:rsidRPr="0044528D" w:rsidRDefault="000B2E9C" w:rsidP="000B2E9C">
      <w:pPr>
        <w:spacing w:after="0" w:line="240" w:lineRule="auto"/>
        <w:jc w:val="both"/>
        <w:rPr>
          <w:rFonts w:ascii="Verdana" w:hAnsi="Verdana"/>
        </w:rPr>
      </w:pPr>
      <w:r w:rsidRPr="0044528D">
        <w:rPr>
          <w:rFonts w:ascii="Verdana" w:hAnsi="Verdana"/>
        </w:rPr>
        <w:t xml:space="preserve">Facebook: </w:t>
      </w:r>
      <w:proofErr w:type="spellStart"/>
      <w:r w:rsidRPr="009322DA">
        <w:rPr>
          <w:rFonts w:ascii="Verdana" w:eastAsia="Calibri" w:hAnsi="Verdana" w:cs="Times New Roman"/>
          <w:color w:val="4472C4" w:themeColor="accent1"/>
          <w:u w:val="single"/>
        </w:rPr>
        <w:t>ColombiaCompraEficiente</w:t>
      </w:r>
      <w:proofErr w:type="spellEnd"/>
    </w:p>
    <w:p w14:paraId="19D92657" w14:textId="77777777" w:rsidR="000B2E9C" w:rsidRPr="0044528D" w:rsidRDefault="000B2E9C" w:rsidP="000B2E9C">
      <w:pPr>
        <w:spacing w:after="0" w:line="240" w:lineRule="auto"/>
        <w:jc w:val="both"/>
        <w:rPr>
          <w:rFonts w:ascii="Verdana" w:hAnsi="Verdana"/>
        </w:rPr>
      </w:pPr>
      <w:r w:rsidRPr="0044528D">
        <w:rPr>
          <w:rFonts w:ascii="Verdana" w:hAnsi="Verdana"/>
        </w:rPr>
        <w:t xml:space="preserve">LinkedIn: </w:t>
      </w:r>
      <w:r w:rsidRPr="009322DA">
        <w:rPr>
          <w:rFonts w:ascii="Verdana" w:eastAsia="Calibri" w:hAnsi="Verdana" w:cs="Times New Roman"/>
          <w:color w:val="4472C4" w:themeColor="accent1"/>
          <w:u w:val="single"/>
        </w:rPr>
        <w:t>Agencia Nacional de Contratación Pública - Colombia Compra Eficiente</w:t>
      </w:r>
      <w:r w:rsidRPr="009322DA">
        <w:rPr>
          <w:rFonts w:ascii="Verdana" w:eastAsia="Calibri" w:hAnsi="Verdana" w:cs="Times New Roman"/>
          <w:color w:val="4472C4" w:themeColor="accent1"/>
        </w:rPr>
        <w:t xml:space="preserve"> </w:t>
      </w:r>
      <w:r w:rsidRPr="0044528D">
        <w:rPr>
          <w:rFonts w:ascii="Verdana" w:hAnsi="Verdana"/>
        </w:rPr>
        <w:t xml:space="preserve">Instagram: </w:t>
      </w:r>
      <w:r w:rsidRPr="009322DA">
        <w:rPr>
          <w:rFonts w:ascii="Verdana" w:eastAsia="Calibri" w:hAnsi="Verdana" w:cs="Times New Roman"/>
          <w:color w:val="4472C4" w:themeColor="accent1"/>
          <w:u w:val="single"/>
        </w:rPr>
        <w:t>@colombiacompraeficiente_cce</w:t>
      </w:r>
    </w:p>
    <w:p w14:paraId="3AA08E61" w14:textId="77777777" w:rsidR="000B2E9C" w:rsidRPr="0044528D" w:rsidRDefault="000B2E9C" w:rsidP="000B2E9C">
      <w:pPr>
        <w:widowControl w:val="0"/>
        <w:autoSpaceDE w:val="0"/>
        <w:autoSpaceDN w:val="0"/>
        <w:spacing w:after="0" w:line="276" w:lineRule="auto"/>
        <w:jc w:val="both"/>
        <w:rPr>
          <w:rFonts w:ascii="Verdana" w:hAnsi="Verdana"/>
        </w:rPr>
      </w:pPr>
    </w:p>
    <w:p w14:paraId="3C82F09C" w14:textId="77777777" w:rsidR="000B2E9C" w:rsidRPr="009322DA" w:rsidRDefault="000B2E9C" w:rsidP="000B2E9C">
      <w:pPr>
        <w:widowControl w:val="0"/>
        <w:autoSpaceDE w:val="0"/>
        <w:autoSpaceDN w:val="0"/>
        <w:spacing w:after="0" w:line="276" w:lineRule="auto"/>
        <w:jc w:val="both"/>
        <w:rPr>
          <w:rFonts w:ascii="Verdana" w:eastAsia="Calibri" w:hAnsi="Verdana" w:cs="Arial"/>
          <w:lang w:val="es-ES_tradnl"/>
        </w:rPr>
      </w:pPr>
      <w:r w:rsidRPr="009322DA">
        <w:rPr>
          <w:rFonts w:ascii="Verdana" w:eastAsia="Calibri" w:hAnsi="Verdana" w:cs="Arial"/>
        </w:rPr>
        <w:t>Este concepto tiene el alcance previsto en el artículo 28 del Código de Procedimiento Administrativo y de lo Contencioso Administrativo.</w:t>
      </w:r>
    </w:p>
    <w:p w14:paraId="0655748E" w14:textId="77777777" w:rsidR="000B2E9C" w:rsidRPr="009322DA" w:rsidRDefault="000B2E9C" w:rsidP="000B2E9C">
      <w:pPr>
        <w:widowControl w:val="0"/>
        <w:autoSpaceDE w:val="0"/>
        <w:autoSpaceDN w:val="0"/>
        <w:spacing w:after="0" w:line="276" w:lineRule="auto"/>
        <w:jc w:val="both"/>
        <w:rPr>
          <w:rFonts w:ascii="Verdana" w:eastAsia="Calibri" w:hAnsi="Verdana" w:cs="Arial"/>
        </w:rPr>
      </w:pPr>
    </w:p>
    <w:p w14:paraId="176523EF" w14:textId="77777777" w:rsidR="000B2E9C" w:rsidRPr="009322DA" w:rsidRDefault="000B2E9C" w:rsidP="000B2E9C">
      <w:pPr>
        <w:spacing w:after="0" w:line="240" w:lineRule="auto"/>
        <w:rPr>
          <w:rFonts w:ascii="Verdana" w:eastAsia="Calibri" w:hAnsi="Verdana" w:cs="Arial"/>
          <w:lang w:eastAsia="es-CO"/>
        </w:rPr>
      </w:pPr>
      <w:r w:rsidRPr="009322DA">
        <w:rPr>
          <w:rFonts w:ascii="Verdana" w:eastAsia="Times New Roman" w:hAnsi="Verdana" w:cs="Arial"/>
          <w:lang w:eastAsia="es-CO"/>
        </w:rPr>
        <w:t>Atentamente,</w:t>
      </w:r>
      <w:r w:rsidRPr="009322DA">
        <w:rPr>
          <w:rFonts w:ascii="Verdana" w:eastAsia="Calibri" w:hAnsi="Verdana" w:cs="Arial"/>
          <w:lang w:eastAsia="es-CO"/>
        </w:rPr>
        <w:t xml:space="preserve"> </w:t>
      </w:r>
    </w:p>
    <w:p w14:paraId="1E205215" w14:textId="77777777" w:rsidR="000B2E9C" w:rsidRDefault="000B2E9C" w:rsidP="000B2E9C">
      <w:pPr>
        <w:tabs>
          <w:tab w:val="left" w:pos="1320"/>
        </w:tabs>
        <w:rPr>
          <w:rFonts w:ascii="Century Gothic" w:hAnsi="Century Gothic"/>
        </w:rPr>
      </w:pPr>
    </w:p>
    <w:p w14:paraId="58F9A354" w14:textId="608A7158" w:rsidR="000B2E9C" w:rsidRDefault="00D53453" w:rsidP="000B2E9C">
      <w:pPr>
        <w:tabs>
          <w:tab w:val="left" w:pos="1320"/>
        </w:tabs>
        <w:jc w:val="center"/>
        <w:rPr>
          <w:rFonts w:ascii="Century Gothic" w:hAnsi="Century Gothic"/>
        </w:rPr>
      </w:pPr>
      <w:r w:rsidRPr="004D5C25">
        <w:rPr>
          <w:rFonts w:ascii="Century Gothic" w:hAnsi="Century Gothic"/>
          <w:noProof/>
        </w:rPr>
        <w:drawing>
          <wp:inline distT="0" distB="0" distL="0" distR="0" wp14:anchorId="3A2B3142" wp14:editId="260D8739">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B2E9C" w:rsidRPr="00454626" w14:paraId="20CCA8BA" w14:textId="77777777" w:rsidTr="00217517">
        <w:trPr>
          <w:trHeight w:val="315"/>
        </w:trPr>
        <w:tc>
          <w:tcPr>
            <w:tcW w:w="893" w:type="dxa"/>
            <w:vAlign w:val="center"/>
            <w:hideMark/>
          </w:tcPr>
          <w:p w14:paraId="7BFBB417" w14:textId="77777777" w:rsidR="000B2E9C" w:rsidRPr="00454626" w:rsidRDefault="000B2E9C" w:rsidP="00217517">
            <w:pPr>
              <w:rPr>
                <w:rFonts w:ascii="Verdana" w:eastAsia="Calibri" w:hAnsi="Verdana" w:cs="Arial"/>
                <w:sz w:val="16"/>
                <w:szCs w:val="16"/>
                <w:lang w:val="es-ES_tradnl" w:eastAsia="es-ES"/>
              </w:rPr>
            </w:pPr>
            <w:r w:rsidRPr="00454626">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0238C9C0" w14:textId="77777777" w:rsidR="000B2E9C" w:rsidRPr="00454626" w:rsidRDefault="000B2E9C" w:rsidP="00217517">
            <w:pPr>
              <w:rPr>
                <w:rFonts w:ascii="Verdana" w:eastAsia="Arial" w:hAnsi="Verdana" w:cs="Arial"/>
                <w:sz w:val="16"/>
                <w:szCs w:val="16"/>
                <w:lang w:val="es-ES"/>
              </w:rPr>
            </w:pPr>
            <w:r>
              <w:rPr>
                <w:rFonts w:ascii="Verdana" w:eastAsia="Arial" w:hAnsi="Verdana" w:cs="Arial"/>
                <w:sz w:val="16"/>
                <w:szCs w:val="16"/>
                <w:lang w:val="es-ES"/>
              </w:rPr>
              <w:t xml:space="preserve">Carlos Mario </w:t>
            </w:r>
            <w:proofErr w:type="spellStart"/>
            <w:r>
              <w:rPr>
                <w:rFonts w:ascii="Verdana" w:eastAsia="Arial" w:hAnsi="Verdana" w:cs="Arial"/>
                <w:sz w:val="16"/>
                <w:szCs w:val="16"/>
                <w:lang w:val="es-ES"/>
              </w:rPr>
              <w:t>Castrillon</w:t>
            </w:r>
            <w:proofErr w:type="spellEnd"/>
            <w:r>
              <w:rPr>
                <w:rFonts w:ascii="Verdana" w:eastAsia="Arial" w:hAnsi="Verdana" w:cs="Arial"/>
                <w:sz w:val="16"/>
                <w:szCs w:val="16"/>
                <w:lang w:val="es-ES"/>
              </w:rPr>
              <w:t xml:space="preserve"> Endo </w:t>
            </w:r>
          </w:p>
          <w:p w14:paraId="57A073BC" w14:textId="77777777" w:rsidR="000B2E9C" w:rsidRPr="00454626" w:rsidRDefault="000B2E9C" w:rsidP="00217517">
            <w:pPr>
              <w:rPr>
                <w:rFonts w:ascii="Verdana" w:eastAsia="Arial" w:hAnsi="Verdana" w:cs="Arial"/>
                <w:sz w:val="16"/>
                <w:szCs w:val="16"/>
                <w:lang w:val="es-ES_tradnl"/>
              </w:rPr>
            </w:pPr>
            <w:r w:rsidRPr="00454626">
              <w:rPr>
                <w:rFonts w:ascii="Verdana" w:eastAsia="Arial" w:hAnsi="Verdana" w:cs="Arial"/>
                <w:sz w:val="16"/>
                <w:szCs w:val="16"/>
                <w:lang w:val="es-ES_tradnl"/>
              </w:rPr>
              <w:t>Contratista de la Subdirección de Gestión Contractual</w:t>
            </w:r>
          </w:p>
          <w:p w14:paraId="4184DADA" w14:textId="77777777" w:rsidR="000B2E9C" w:rsidRPr="00454626" w:rsidRDefault="000B2E9C" w:rsidP="00217517">
            <w:pPr>
              <w:rPr>
                <w:rFonts w:ascii="Verdana" w:eastAsia="Arial" w:hAnsi="Verdana" w:cs="Arial"/>
                <w:sz w:val="16"/>
                <w:szCs w:val="16"/>
                <w:lang w:val="es-ES_tradnl"/>
              </w:rPr>
            </w:pPr>
          </w:p>
        </w:tc>
      </w:tr>
      <w:tr w:rsidR="000B2E9C" w:rsidRPr="00454626" w14:paraId="23B9DAA0" w14:textId="77777777" w:rsidTr="00217517">
        <w:trPr>
          <w:trHeight w:val="330"/>
        </w:trPr>
        <w:tc>
          <w:tcPr>
            <w:tcW w:w="893" w:type="dxa"/>
            <w:vAlign w:val="center"/>
            <w:hideMark/>
          </w:tcPr>
          <w:p w14:paraId="66719EA4" w14:textId="77777777" w:rsidR="000B2E9C" w:rsidRPr="00454626" w:rsidRDefault="000B2E9C" w:rsidP="00217517">
            <w:pPr>
              <w:rPr>
                <w:rFonts w:ascii="Verdana" w:eastAsia="Calibri" w:hAnsi="Verdana" w:cs="Arial"/>
                <w:sz w:val="16"/>
                <w:szCs w:val="16"/>
                <w:lang w:val="es-ES_tradnl" w:eastAsia="es-ES"/>
              </w:rPr>
            </w:pPr>
            <w:r w:rsidRPr="00454626">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2FDFE6D3" w14:textId="77777777" w:rsidR="000B2E9C" w:rsidRPr="00CD55A0" w:rsidRDefault="000B2E9C" w:rsidP="00217517">
            <w:pPr>
              <w:spacing w:line="259" w:lineRule="auto"/>
              <w:textAlignment w:val="baseline"/>
              <w:rPr>
                <w:rFonts w:ascii="Verdana" w:eastAsia="Times New Roman" w:hAnsi="Verdana" w:cs="Segoe UI"/>
                <w:sz w:val="16"/>
                <w:szCs w:val="16"/>
                <w:lang w:eastAsia="es-ES_tradnl"/>
              </w:rPr>
            </w:pPr>
            <w:r w:rsidRPr="00CD55A0">
              <w:rPr>
                <w:rFonts w:ascii="Verdana" w:eastAsia="Times New Roman" w:hAnsi="Verdana" w:cs="Segoe UI"/>
                <w:sz w:val="16"/>
                <w:szCs w:val="16"/>
                <w:lang w:eastAsia="es-ES_tradnl"/>
              </w:rPr>
              <w:t xml:space="preserve">Lida Milena </w:t>
            </w:r>
            <w:proofErr w:type="spellStart"/>
            <w:r w:rsidRPr="00CD55A0">
              <w:rPr>
                <w:rFonts w:ascii="Verdana" w:eastAsia="Times New Roman" w:hAnsi="Verdana" w:cs="Segoe UI"/>
                <w:sz w:val="16"/>
                <w:szCs w:val="16"/>
                <w:lang w:eastAsia="es-ES_tradnl"/>
              </w:rPr>
              <w:t>Guanumen</w:t>
            </w:r>
            <w:proofErr w:type="spellEnd"/>
            <w:r w:rsidRPr="00CD55A0">
              <w:rPr>
                <w:rFonts w:ascii="Verdana" w:eastAsia="Times New Roman" w:hAnsi="Verdana" w:cs="Segoe UI"/>
                <w:sz w:val="16"/>
                <w:szCs w:val="16"/>
                <w:lang w:eastAsia="es-ES_tradnl"/>
              </w:rPr>
              <w:t xml:space="preserve"> Pacheco</w:t>
            </w:r>
          </w:p>
          <w:p w14:paraId="3BA7000C" w14:textId="77777777" w:rsidR="000B2E9C" w:rsidRPr="00CD55A0" w:rsidRDefault="000B2E9C" w:rsidP="00217517">
            <w:pPr>
              <w:rPr>
                <w:rFonts w:ascii="Verdana" w:eastAsia="Arial" w:hAnsi="Verdana" w:cs="Arial"/>
                <w:sz w:val="16"/>
                <w:szCs w:val="16"/>
                <w:lang w:val="es-ES_tradnl"/>
              </w:rPr>
            </w:pPr>
            <w:r w:rsidRPr="00454626">
              <w:rPr>
                <w:rFonts w:ascii="Verdana" w:eastAsia="Arial" w:hAnsi="Verdana" w:cs="Arial"/>
                <w:sz w:val="16"/>
                <w:szCs w:val="16"/>
                <w:lang w:val="es-ES_tradnl"/>
              </w:rPr>
              <w:t>Contratista de la Subdirección de Gestión Contractual</w:t>
            </w:r>
          </w:p>
          <w:p w14:paraId="10B9AC92" w14:textId="77777777" w:rsidR="000B2E9C" w:rsidRDefault="000B2E9C" w:rsidP="00217517">
            <w:pPr>
              <w:textAlignment w:val="baseline"/>
              <w:rPr>
                <w:rFonts w:ascii="Verdana" w:eastAsia="Times New Roman" w:hAnsi="Verdana" w:cs="Segoe UI"/>
                <w:sz w:val="16"/>
                <w:szCs w:val="16"/>
                <w:lang w:val="es-ES_tradnl" w:eastAsia="es-ES_tradnl"/>
              </w:rPr>
            </w:pPr>
            <w:r>
              <w:rPr>
                <w:rFonts w:ascii="Verdana" w:eastAsia="Times New Roman" w:hAnsi="Verdana" w:cs="Segoe UI"/>
                <w:sz w:val="16"/>
                <w:szCs w:val="16"/>
                <w:lang w:val="es-ES_tradnl" w:eastAsia="es-ES_tradnl"/>
              </w:rPr>
              <w:t xml:space="preserve">Juan David Cárdenas Cabeza </w:t>
            </w:r>
          </w:p>
          <w:p w14:paraId="3E1E1935" w14:textId="77777777" w:rsidR="000B2E9C" w:rsidRPr="00454626" w:rsidRDefault="000B2E9C" w:rsidP="00217517">
            <w:pPr>
              <w:textAlignment w:val="baseline"/>
              <w:rPr>
                <w:rFonts w:ascii="Verdana" w:eastAsia="Times New Roman" w:hAnsi="Verdana" w:cs="Segoe UI"/>
                <w:sz w:val="16"/>
                <w:szCs w:val="16"/>
                <w:lang w:val="es-ES_tradnl" w:eastAsia="es-ES_tradnl"/>
              </w:rPr>
            </w:pPr>
            <w:r w:rsidRPr="00454626">
              <w:rPr>
                <w:rFonts w:ascii="Verdana" w:eastAsia="Times New Roman" w:hAnsi="Verdana" w:cs="Arial"/>
                <w:sz w:val="16"/>
                <w:szCs w:val="16"/>
                <w:lang w:val="es-ES_tradnl" w:eastAsia="es-ES_tradnl"/>
              </w:rPr>
              <w:t>Contratista de la Subdirección de Gestión Contractual </w:t>
            </w:r>
          </w:p>
        </w:tc>
      </w:tr>
      <w:tr w:rsidR="000B2E9C" w:rsidRPr="00454626" w14:paraId="7F60805A" w14:textId="77777777" w:rsidTr="00217517">
        <w:trPr>
          <w:trHeight w:val="300"/>
        </w:trPr>
        <w:tc>
          <w:tcPr>
            <w:tcW w:w="893" w:type="dxa"/>
            <w:vAlign w:val="center"/>
          </w:tcPr>
          <w:p w14:paraId="2C04F3D5" w14:textId="77777777" w:rsidR="000B2E9C" w:rsidRPr="00454626" w:rsidRDefault="000B2E9C" w:rsidP="00217517">
            <w:pPr>
              <w:rPr>
                <w:rFonts w:ascii="Verdana" w:eastAsia="Calibri" w:hAnsi="Verdana" w:cs="Arial"/>
                <w:sz w:val="16"/>
                <w:szCs w:val="16"/>
                <w:lang w:val="es-ES_tradnl" w:eastAsia="es-ES"/>
              </w:rPr>
            </w:pPr>
            <w:r w:rsidRPr="00454626">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550B05B3" w14:textId="77777777" w:rsidR="000B2E9C" w:rsidRPr="00454626" w:rsidRDefault="000B2E9C" w:rsidP="00217517">
            <w:pPr>
              <w:rPr>
                <w:rFonts w:ascii="Verdana" w:eastAsia="Calibri" w:hAnsi="Verdana" w:cs="Arial"/>
                <w:sz w:val="16"/>
                <w:szCs w:val="16"/>
                <w:lang w:val="es-ES" w:eastAsia="es-ES"/>
              </w:rPr>
            </w:pPr>
            <w:r w:rsidRPr="00454626">
              <w:rPr>
                <w:rFonts w:ascii="Verdana" w:eastAsia="Calibri" w:hAnsi="Verdana" w:cs="Arial"/>
                <w:sz w:val="16"/>
                <w:szCs w:val="16"/>
                <w:lang w:val="es-ES" w:eastAsia="es-ES"/>
              </w:rPr>
              <w:t xml:space="preserve">Carolina Quintero </w:t>
            </w:r>
            <w:proofErr w:type="spellStart"/>
            <w:r w:rsidRPr="00454626">
              <w:rPr>
                <w:rFonts w:ascii="Verdana" w:eastAsia="Calibri" w:hAnsi="Verdana" w:cs="Arial"/>
                <w:sz w:val="16"/>
                <w:szCs w:val="16"/>
                <w:lang w:val="es-ES" w:eastAsia="es-ES"/>
              </w:rPr>
              <w:t>Gacharná</w:t>
            </w:r>
            <w:proofErr w:type="spellEnd"/>
          </w:p>
          <w:p w14:paraId="22E67D45" w14:textId="77777777" w:rsidR="000B2E9C" w:rsidRPr="00454626" w:rsidRDefault="000B2E9C" w:rsidP="00217517">
            <w:pPr>
              <w:rPr>
                <w:rFonts w:ascii="Verdana" w:eastAsia="Calibri" w:hAnsi="Verdana" w:cs="Arial"/>
                <w:sz w:val="16"/>
                <w:szCs w:val="16"/>
                <w:lang w:val="es-ES_tradnl" w:eastAsia="es-ES"/>
              </w:rPr>
            </w:pPr>
            <w:r w:rsidRPr="00454626">
              <w:rPr>
                <w:rFonts w:ascii="Verdana" w:eastAsia="Calibri" w:hAnsi="Verdana" w:cs="Arial"/>
                <w:sz w:val="16"/>
                <w:szCs w:val="16"/>
                <w:lang w:val="es-ES_tradnl" w:eastAsia="es-ES"/>
              </w:rPr>
              <w:t>Subdirectora de Gestión Contractual ANCP – CCE</w:t>
            </w:r>
          </w:p>
        </w:tc>
      </w:tr>
      <w:bookmarkEnd w:id="0"/>
    </w:tbl>
    <w:p w14:paraId="3428F70E" w14:textId="77777777" w:rsidR="000B2E9C" w:rsidRPr="000C6D78" w:rsidRDefault="000B2E9C" w:rsidP="000B2E9C">
      <w:pPr>
        <w:tabs>
          <w:tab w:val="left" w:pos="1320"/>
        </w:tabs>
        <w:rPr>
          <w:rFonts w:ascii="Century Gothic" w:hAnsi="Century Gothic"/>
        </w:rPr>
      </w:pPr>
    </w:p>
    <w:p w14:paraId="229A9F64" w14:textId="77777777" w:rsidR="000B2E9C" w:rsidRDefault="000B2E9C" w:rsidP="000B2E9C"/>
    <w:p w14:paraId="20E187DC" w14:textId="77777777" w:rsidR="000B2E9C" w:rsidRDefault="000B2E9C" w:rsidP="000B2E9C"/>
    <w:p w14:paraId="3900974D" w14:textId="77777777" w:rsidR="003D5B0D" w:rsidRPr="00A0373C" w:rsidRDefault="003D5B0D" w:rsidP="00A0373C"/>
    <w:sectPr w:rsidR="003D5B0D" w:rsidRPr="00A0373C"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35870" w14:textId="77777777" w:rsidR="001A5F06" w:rsidRDefault="001A5F06" w:rsidP="004A1847">
      <w:pPr>
        <w:spacing w:after="0" w:line="240" w:lineRule="auto"/>
      </w:pPr>
      <w:r>
        <w:separator/>
      </w:r>
    </w:p>
  </w:endnote>
  <w:endnote w:type="continuationSeparator" w:id="0">
    <w:p w14:paraId="5D6C7C12" w14:textId="77777777" w:rsidR="001A5F06" w:rsidRDefault="001A5F0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4601D7E0" w14:textId="77777777" w:rsidR="00461F37" w:rsidRDefault="00461F37">
    <w:pPr>
      <w:pStyle w:val="Piedepgina"/>
    </w:pPr>
  </w:p>
  <w:p w14:paraId="2F7E3509" w14:textId="77777777" w:rsidR="00461F37" w:rsidRDefault="00461F3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76484" w14:textId="77777777" w:rsidR="001A5F06" w:rsidRDefault="001A5F06" w:rsidP="004A1847">
      <w:pPr>
        <w:spacing w:after="0" w:line="240" w:lineRule="auto"/>
      </w:pPr>
      <w:r>
        <w:separator/>
      </w:r>
    </w:p>
  </w:footnote>
  <w:footnote w:type="continuationSeparator" w:id="0">
    <w:p w14:paraId="1BD72DCF" w14:textId="77777777" w:rsidR="001A5F06" w:rsidRDefault="001A5F06" w:rsidP="004A1847">
      <w:pPr>
        <w:spacing w:after="0" w:line="240" w:lineRule="auto"/>
      </w:pPr>
      <w:r>
        <w:continuationSeparator/>
      </w:r>
    </w:p>
  </w:footnote>
  <w:footnote w:id="1">
    <w:p w14:paraId="02D3729B" w14:textId="77777777" w:rsidR="000B2E9C" w:rsidRPr="00671E64" w:rsidRDefault="000B2E9C" w:rsidP="000B2E9C">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Style w:val="Refdenotaalpie"/>
          <w:rFonts w:ascii="Verdana" w:eastAsiaTheme="majorEastAsia" w:hAnsi="Verdana" w:cs="Arial"/>
          <w:color w:val="000000" w:themeColor="text1"/>
          <w:sz w:val="18"/>
          <w:szCs w:val="18"/>
        </w:rPr>
        <w:footnoteRef/>
      </w:r>
      <w:r w:rsidRPr="00671E64">
        <w:rPr>
          <w:rFonts w:ascii="Verdana" w:hAnsi="Verdana" w:cs="Arial"/>
          <w:color w:val="000000" w:themeColor="text1"/>
          <w:sz w:val="18"/>
          <w:szCs w:val="18"/>
        </w:rPr>
        <w:t xml:space="preserve"> Ley 2022 de 2020: “</w:t>
      </w:r>
      <w:r w:rsidRPr="00671E64">
        <w:rPr>
          <w:rStyle w:val="Textoennegrita"/>
          <w:rFonts w:ascii="Verdana" w:hAnsi="Verdana" w:cs="Arial"/>
          <w:color w:val="000000" w:themeColor="text1"/>
          <w:sz w:val="18"/>
          <w:szCs w:val="18"/>
        </w:rPr>
        <w:t xml:space="preserve">Artículo 1º. </w:t>
      </w:r>
      <w:r w:rsidRPr="00671E64">
        <w:rPr>
          <w:rFonts w:ascii="Verdana" w:hAnsi="Verdana" w:cs="Arial"/>
          <w:color w:val="000000" w:themeColor="text1"/>
          <w:sz w:val="18"/>
          <w:szCs w:val="18"/>
        </w:rPr>
        <w:t>Modifíquese el artículo 4º de la Ley 1882 de 2018, el cual quedará así:</w:t>
      </w:r>
    </w:p>
    <w:p w14:paraId="04E05192" w14:textId="77777777" w:rsidR="000B2E9C" w:rsidRPr="00671E64" w:rsidRDefault="000B2E9C" w:rsidP="000B2E9C">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Style w:val="Textoennegrita"/>
          <w:rFonts w:ascii="Verdana" w:hAnsi="Verdana" w:cs="Arial"/>
          <w:color w:val="000000" w:themeColor="text1"/>
          <w:sz w:val="18"/>
          <w:szCs w:val="18"/>
        </w:rPr>
        <w:t xml:space="preserve">“Artículo 4º. </w:t>
      </w:r>
      <w:r w:rsidRPr="00671E64">
        <w:rPr>
          <w:rFonts w:ascii="Verdana" w:hAnsi="Verdana" w:cs="Arial"/>
          <w:color w:val="000000" w:themeColor="text1"/>
          <w:sz w:val="18"/>
          <w:szCs w:val="18"/>
        </w:rPr>
        <w:t>Adiciónese el siguiente parágrafo al artículo 2º de la Ley 1150 de 2007.</w:t>
      </w:r>
    </w:p>
    <w:p w14:paraId="2CA5F66E" w14:textId="77777777" w:rsidR="000B2E9C" w:rsidRPr="00671E64" w:rsidRDefault="000B2E9C" w:rsidP="000B2E9C">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Style w:val="Textoennegrita"/>
          <w:rFonts w:ascii="Verdana" w:hAnsi="Verdana" w:cs="Arial"/>
          <w:color w:val="000000" w:themeColor="text1"/>
          <w:sz w:val="18"/>
          <w:szCs w:val="18"/>
        </w:rPr>
        <w:t xml:space="preserve">Parágrafo 7º. </w:t>
      </w:r>
      <w:r w:rsidRPr="00671E64">
        <w:rPr>
          <w:rFonts w:ascii="Verdana" w:hAnsi="Verdana" w:cs="Arial"/>
          <w:color w:val="000000" w:themeColor="text1"/>
          <w:sz w:val="18"/>
          <w:szCs w:val="18"/>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5EBA0C1" w14:textId="77777777" w:rsidR="000B2E9C" w:rsidRPr="00671E64" w:rsidRDefault="000B2E9C" w:rsidP="000B2E9C">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Fonts w:ascii="Verdana" w:hAnsi="Verdana" w:cs="Arial"/>
          <w:color w:val="000000" w:themeColor="text1"/>
          <w:sz w:val="18"/>
          <w:szCs w:val="18"/>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B831604" w14:textId="77777777" w:rsidR="000B2E9C" w:rsidRPr="00671E64" w:rsidRDefault="000B2E9C" w:rsidP="000B2E9C">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Fonts w:ascii="Verdana" w:hAnsi="Verdana" w:cs="Arial"/>
          <w:color w:val="000000" w:themeColor="text1"/>
          <w:sz w:val="18"/>
          <w:szCs w:val="18"/>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1EF09077" w14:textId="77777777" w:rsidR="000B2E9C" w:rsidRPr="00671E64" w:rsidRDefault="000B2E9C" w:rsidP="000B2E9C">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Fonts w:ascii="Verdana" w:hAnsi="Verdana" w:cs="Arial"/>
          <w:color w:val="000000" w:themeColor="text1"/>
          <w:sz w:val="18"/>
          <w:szCs w:val="18"/>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0DE2E632" w14:textId="77777777" w:rsidR="000B2E9C" w:rsidRPr="00671E64" w:rsidRDefault="000B2E9C" w:rsidP="000B2E9C">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Fonts w:ascii="Verdana" w:hAnsi="Verdana" w:cs="Arial"/>
          <w:color w:val="000000" w:themeColor="text1"/>
          <w:sz w:val="18"/>
          <w:szCs w:val="18"/>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2">
    <w:p w14:paraId="54A5D225" w14:textId="77777777" w:rsidR="000B2E9C" w:rsidRPr="00671E64" w:rsidRDefault="000B2E9C" w:rsidP="000B2E9C">
      <w:pPr>
        <w:pStyle w:val="Textonotapie"/>
        <w:ind w:firstLine="708"/>
        <w:contextualSpacing/>
        <w:jc w:val="both"/>
        <w:rPr>
          <w:rFonts w:ascii="Verdana" w:hAnsi="Verdana" w:cs="Arial"/>
          <w:color w:val="000000" w:themeColor="text1"/>
          <w:sz w:val="18"/>
          <w:szCs w:val="18"/>
        </w:rPr>
      </w:pPr>
      <w:r w:rsidRPr="00671E64">
        <w:rPr>
          <w:rStyle w:val="Refdenotaalpie"/>
          <w:rFonts w:ascii="Verdana" w:hAnsi="Verdana" w:cs="Arial"/>
          <w:color w:val="000000" w:themeColor="text1"/>
          <w:sz w:val="18"/>
          <w:szCs w:val="18"/>
        </w:rPr>
        <w:footnoteRef/>
      </w:r>
      <w:r w:rsidRPr="00671E64">
        <w:rPr>
          <w:rFonts w:ascii="Verdana" w:hAnsi="Verdana" w:cs="Arial"/>
          <w:color w:val="000000" w:themeColor="text1"/>
          <w:sz w:val="18"/>
          <w:szCs w:val="18"/>
        </w:rPr>
        <w:t xml:space="preserve"> Los Documentos Tipo expedidos por la Agencia Nacional de Contratación Pública – Colombia Compra Eficiente pueden ser consultados en el siguiente enlace: </w:t>
      </w:r>
      <w:hyperlink r:id="rId1" w:history="1">
        <w:r w:rsidRPr="00671E64">
          <w:rPr>
            <w:rStyle w:val="Hipervnculo"/>
            <w:rFonts w:ascii="Verdana" w:hAnsi="Verdana" w:cs="Arial"/>
            <w:color w:val="000000" w:themeColor="text1"/>
            <w:sz w:val="18"/>
            <w:szCs w:val="18"/>
          </w:rPr>
          <w:t>https://www.colombiacompra.gov.co/documentos-tipo/documentos-tipo</w:t>
        </w:r>
      </w:hyperlink>
      <w:r w:rsidRPr="00671E64">
        <w:rPr>
          <w:rFonts w:ascii="Verdana" w:hAnsi="Verdana" w:cs="Arial"/>
          <w:color w:val="000000" w:themeColor="text1"/>
          <w:sz w:val="18"/>
          <w:szCs w:val="18"/>
        </w:rPr>
        <w:t xml:space="preserve"> </w:t>
      </w:r>
    </w:p>
  </w:footnote>
  <w:footnote w:id="3">
    <w:p w14:paraId="787BC84E" w14:textId="77777777" w:rsidR="000B2E9C" w:rsidRPr="00671E64" w:rsidRDefault="000B2E9C" w:rsidP="000B2E9C">
      <w:pPr>
        <w:pStyle w:val="Textonotapie"/>
        <w:rPr>
          <w:rFonts w:ascii="Verdana" w:hAnsi="Verdana"/>
          <w:sz w:val="18"/>
          <w:szCs w:val="18"/>
        </w:rPr>
      </w:pPr>
      <w:r w:rsidRPr="00671E64">
        <w:rPr>
          <w:rStyle w:val="Refdenotaalpie"/>
          <w:rFonts w:ascii="Verdana" w:hAnsi="Verdana"/>
          <w:sz w:val="18"/>
          <w:szCs w:val="18"/>
        </w:rPr>
        <w:footnoteRef/>
      </w:r>
      <w:r w:rsidRPr="00671E64">
        <w:rPr>
          <w:rFonts w:ascii="Verdana" w:hAnsi="Verdana"/>
          <w:sz w:val="18"/>
          <w:szCs w:val="18"/>
        </w:rPr>
        <w:t xml:space="preserve"> Estos Documentos Tipo pueden ser consultados en la página web de Colombia Compra Eficiente, a través del siguiente enlace: </w:t>
      </w:r>
      <w:hyperlink r:id="rId2" w:history="1">
        <w:r w:rsidRPr="00671E64">
          <w:rPr>
            <w:rStyle w:val="Hipervnculo"/>
            <w:rFonts w:ascii="Verdana" w:hAnsi="Verdana"/>
            <w:sz w:val="18"/>
            <w:szCs w:val="18"/>
          </w:rPr>
          <w:t>https://www.colombiacompra.gov.co/documentos-tipo/documentos-tipo</w:t>
        </w:r>
      </w:hyperlink>
      <w:r w:rsidRPr="00671E64">
        <w:rPr>
          <w:rFonts w:ascii="Verdana" w:hAnsi="Verdana"/>
          <w:sz w:val="18"/>
          <w:szCs w:val="18"/>
        </w:rPr>
        <w:t xml:space="preserve"> </w:t>
      </w:r>
    </w:p>
    <w:p w14:paraId="3FC043A2" w14:textId="77777777" w:rsidR="000B2E9C" w:rsidRPr="00671E64" w:rsidRDefault="000B2E9C" w:rsidP="000B2E9C">
      <w:pPr>
        <w:pStyle w:val="Textonotapie"/>
        <w:rPr>
          <w:rFonts w:ascii="Verdana" w:hAnsi="Verdana"/>
          <w:sz w:val="18"/>
          <w:szCs w:val="18"/>
        </w:rPr>
      </w:pPr>
    </w:p>
  </w:footnote>
  <w:footnote w:id="4">
    <w:p w14:paraId="4DEF7BE3" w14:textId="77777777" w:rsidR="000B2E9C" w:rsidRPr="00671E64" w:rsidRDefault="000B2E9C" w:rsidP="000B2E9C">
      <w:pPr>
        <w:spacing w:after="120"/>
        <w:jc w:val="both"/>
        <w:rPr>
          <w:rFonts w:ascii="Verdana" w:hAnsi="Verdana"/>
          <w:i/>
          <w:iCs/>
          <w:sz w:val="18"/>
          <w:szCs w:val="18"/>
          <w:lang w:val="es-MX"/>
        </w:rPr>
      </w:pPr>
      <w:r w:rsidRPr="00671E64">
        <w:rPr>
          <w:rStyle w:val="Refdenotaalpie"/>
          <w:rFonts w:ascii="Verdana" w:hAnsi="Verdana"/>
          <w:sz w:val="18"/>
          <w:szCs w:val="18"/>
        </w:rPr>
        <w:footnoteRef/>
      </w:r>
      <w:r w:rsidRPr="00671E64">
        <w:rPr>
          <w:rFonts w:ascii="Verdana" w:hAnsi="Verdana"/>
          <w:sz w:val="18"/>
          <w:szCs w:val="18"/>
        </w:rPr>
        <w:t xml:space="preserve"> </w:t>
      </w:r>
      <w:r w:rsidRPr="00671E64">
        <w:rPr>
          <w:rFonts w:ascii="Verdana" w:hAnsi="Verdana"/>
          <w:i/>
          <w:iCs/>
          <w:sz w:val="18"/>
          <w:szCs w:val="18"/>
          <w:lang w:val="es-MX"/>
        </w:rPr>
        <w:t xml:space="preserve">Artículo 4. </w:t>
      </w:r>
      <w:r w:rsidRPr="00671E64">
        <w:rPr>
          <w:rFonts w:ascii="Verdana" w:hAnsi="Verdana"/>
          <w:b/>
          <w:bCs/>
          <w:i/>
          <w:iCs/>
          <w:sz w:val="18"/>
          <w:szCs w:val="18"/>
          <w:lang w:val="es-MX"/>
        </w:rPr>
        <w:t>Obras, bienes o servicios adicionales a la obra pública de infraestructura de transporte</w:t>
      </w:r>
      <w:r w:rsidRPr="00671E64">
        <w:rPr>
          <w:rFonts w:ascii="Verdana" w:hAnsi="Verdana"/>
          <w:i/>
          <w:iCs/>
          <w:sz w:val="18"/>
          <w:szCs w:val="18"/>
          <w:lang w:val="es-MX"/>
        </w:rPr>
        <w:t>. Cuando el objeto contractual incluya obras, bienes o servicios adicionales a la obra  pública de infraestructura de transporte, la entidad estatal deberá aplicar los documentos tipo. Si de manera excepcional requiere incluir experiencia adicional para evaluar la idoneidad respecto de los bienes o servicios adicionales a la obra pública de infraestructura de transporte, deberá seguir los siguientes parámetros:</w:t>
      </w:r>
    </w:p>
    <w:p w14:paraId="77708BBA" w14:textId="77777777" w:rsidR="000B2E9C" w:rsidRPr="00671E64" w:rsidRDefault="000B2E9C" w:rsidP="000B2E9C">
      <w:pPr>
        <w:pStyle w:val="Prrafodelista"/>
        <w:numPr>
          <w:ilvl w:val="0"/>
          <w:numId w:val="23"/>
        </w:numPr>
        <w:spacing w:after="120" w:line="240" w:lineRule="auto"/>
        <w:ind w:left="357"/>
        <w:contextualSpacing w:val="0"/>
        <w:jc w:val="both"/>
        <w:rPr>
          <w:rFonts w:ascii="Verdana" w:hAnsi="Verdana"/>
          <w:i/>
          <w:iCs/>
          <w:sz w:val="18"/>
          <w:szCs w:val="18"/>
          <w:lang w:val="es-MX"/>
        </w:rPr>
      </w:pPr>
      <w:r w:rsidRPr="00671E64">
        <w:rPr>
          <w:rFonts w:ascii="Verdana" w:hAnsi="Verdana"/>
          <w:i/>
          <w:iCs/>
          <w:sz w:val="18"/>
          <w:szCs w:val="18"/>
          <w:lang w:val="es-MX"/>
        </w:rPr>
        <w:t>Demostrar en los estudios previos que ha verificado las condiciones de mercado para la contratación de las obras, bienes o servicios adicionales al componente de obra pública, de tal manera que la experiencia adicional que se exija para tales bienes o servicios procure la pluralidad de oferentes y no limite la concurrencia al proceso de contratación.</w:t>
      </w:r>
    </w:p>
    <w:p w14:paraId="33AD5DBA" w14:textId="77777777" w:rsidR="000B2E9C" w:rsidRPr="00671E64" w:rsidRDefault="000B2E9C" w:rsidP="000B2E9C">
      <w:pPr>
        <w:pStyle w:val="Prrafodelista"/>
        <w:spacing w:after="120"/>
        <w:ind w:left="357"/>
        <w:contextualSpacing w:val="0"/>
        <w:jc w:val="both"/>
        <w:rPr>
          <w:rFonts w:ascii="Verdana" w:hAnsi="Verdana"/>
          <w:i/>
          <w:iCs/>
          <w:sz w:val="18"/>
          <w:szCs w:val="18"/>
          <w:lang w:val="es-MX"/>
        </w:rPr>
      </w:pPr>
      <w:r w:rsidRPr="00671E64">
        <w:rPr>
          <w:rFonts w:ascii="Verdana" w:hAnsi="Verdana"/>
          <w:i/>
          <w:iCs/>
          <w:sz w:val="18"/>
          <w:szCs w:val="18"/>
          <w:lang w:val="es-MX"/>
        </w:rPr>
        <w:t>Para tal efecto, la entidad realizará el estudio previo y el análisis del sector en los términos de los  artículos 2.2.1.1.1.6.1 y 2.2.1.1.1.6.2 del Decreto 1082 de 2015, o la norma que los adicione, complemente o sustituya.</w:t>
      </w:r>
    </w:p>
    <w:p w14:paraId="1CF1657D" w14:textId="77777777" w:rsidR="000B2E9C" w:rsidRPr="00671E64" w:rsidRDefault="000B2E9C" w:rsidP="000B2E9C">
      <w:pPr>
        <w:pStyle w:val="Prrafodelista"/>
        <w:numPr>
          <w:ilvl w:val="0"/>
          <w:numId w:val="23"/>
        </w:numPr>
        <w:spacing w:after="120" w:line="240" w:lineRule="auto"/>
        <w:ind w:left="357"/>
        <w:contextualSpacing w:val="0"/>
        <w:jc w:val="both"/>
        <w:rPr>
          <w:rFonts w:ascii="Verdana" w:hAnsi="Verdana"/>
          <w:i/>
          <w:iCs/>
          <w:sz w:val="18"/>
          <w:szCs w:val="18"/>
          <w:lang w:val="es-MX"/>
        </w:rPr>
      </w:pPr>
      <w:r w:rsidRPr="00671E64">
        <w:rPr>
          <w:rFonts w:ascii="Verdana" w:hAnsi="Verdana"/>
          <w:i/>
          <w:iCs/>
          <w:sz w:val="18"/>
          <w:szCs w:val="18"/>
          <w:lang w:val="es-MX"/>
        </w:rPr>
        <w:t>Conservar los requisitos exigidos en los documentos tipo.</w:t>
      </w:r>
    </w:p>
    <w:p w14:paraId="73CF39BC" w14:textId="77777777" w:rsidR="000B2E9C" w:rsidRPr="00671E64" w:rsidRDefault="000B2E9C" w:rsidP="000B2E9C">
      <w:pPr>
        <w:pStyle w:val="Prrafodelista"/>
        <w:numPr>
          <w:ilvl w:val="0"/>
          <w:numId w:val="23"/>
        </w:numPr>
        <w:spacing w:after="120" w:line="240" w:lineRule="auto"/>
        <w:ind w:left="357"/>
        <w:contextualSpacing w:val="0"/>
        <w:jc w:val="both"/>
        <w:rPr>
          <w:rFonts w:ascii="Verdana" w:hAnsi="Verdana"/>
          <w:i/>
          <w:iCs/>
          <w:sz w:val="18"/>
          <w:szCs w:val="18"/>
          <w:lang w:val="es-MX"/>
        </w:rPr>
      </w:pPr>
      <w:r w:rsidRPr="00671E64">
        <w:rPr>
          <w:rFonts w:ascii="Verdana" w:hAnsi="Verdana"/>
          <w:i/>
          <w:iCs/>
          <w:sz w:val="18"/>
          <w:szCs w:val="18"/>
          <w:lang w:val="es-MX"/>
        </w:rPr>
        <w:t>Abstenerse de pedir experiencia exclusiva con entidades estatales, experiencia previa en un territorio específico, limitada en el tiempo o que incluya volúmenes o cantidades de obra específica.</w:t>
      </w:r>
    </w:p>
    <w:p w14:paraId="6FE6CC84" w14:textId="77777777" w:rsidR="000B2E9C" w:rsidRPr="00671E64" w:rsidRDefault="000B2E9C" w:rsidP="000B2E9C">
      <w:pPr>
        <w:pStyle w:val="Prrafodelista"/>
        <w:numPr>
          <w:ilvl w:val="0"/>
          <w:numId w:val="23"/>
        </w:numPr>
        <w:spacing w:after="120" w:line="240" w:lineRule="auto"/>
        <w:ind w:left="360"/>
        <w:jc w:val="both"/>
        <w:rPr>
          <w:rFonts w:ascii="Verdana" w:hAnsi="Verdana"/>
          <w:i/>
          <w:iCs/>
          <w:sz w:val="18"/>
          <w:szCs w:val="18"/>
          <w:lang w:val="es-MX"/>
        </w:rPr>
      </w:pPr>
      <w:r w:rsidRPr="00671E64">
        <w:rPr>
          <w:rFonts w:ascii="Verdana" w:hAnsi="Verdana"/>
          <w:i/>
          <w:iCs/>
          <w:sz w:val="18"/>
          <w:szCs w:val="18"/>
          <w:lang w:val="es-MX"/>
        </w:rPr>
        <w:t>Clasificar la experiencia requerida solo hasta el tercer nivel del Clasificador de Bienes y Servicios e incluir exclusivamente los códigos que estén relacionados directamente con el objeto a contratar.</w:t>
      </w:r>
    </w:p>
    <w:p w14:paraId="0440E176" w14:textId="77777777" w:rsidR="000B2E9C" w:rsidRPr="00671E64" w:rsidRDefault="000B2E9C" w:rsidP="000B2E9C">
      <w:pPr>
        <w:spacing w:after="120"/>
        <w:ind w:left="360"/>
        <w:jc w:val="both"/>
        <w:rPr>
          <w:rFonts w:ascii="Verdana" w:hAnsi="Verdana"/>
          <w:i/>
          <w:iCs/>
          <w:sz w:val="18"/>
          <w:szCs w:val="18"/>
          <w:lang w:val="es-MX"/>
        </w:rPr>
      </w:pPr>
      <w:r w:rsidRPr="00671E64">
        <w:rPr>
          <w:rFonts w:ascii="Verdana" w:hAnsi="Verdana"/>
          <w:i/>
          <w:iCs/>
          <w:sz w:val="18"/>
          <w:szCs w:val="18"/>
          <w:lang w:val="es-MX"/>
        </w:rPr>
        <w:t>Parágrafo 1°. En los casos en que el objeto contractual incluya actividades que son abarcadas por otros documentos tipo, la Entidad Estatal aplicará las reglas de combinación de experiencia previstas en el numeral 3.5.2 del documento base.</w:t>
      </w:r>
    </w:p>
    <w:p w14:paraId="481628EF" w14:textId="77777777" w:rsidR="000B2E9C" w:rsidRPr="00671E64" w:rsidRDefault="000B2E9C" w:rsidP="000B2E9C">
      <w:pPr>
        <w:spacing w:after="120"/>
        <w:ind w:left="360"/>
        <w:jc w:val="both"/>
        <w:rPr>
          <w:rFonts w:ascii="Verdana" w:hAnsi="Verdana"/>
          <w:i/>
          <w:iCs/>
          <w:sz w:val="18"/>
          <w:szCs w:val="18"/>
          <w:lang w:val="es-MX"/>
        </w:rPr>
      </w:pPr>
      <w:r w:rsidRPr="00671E64">
        <w:rPr>
          <w:rFonts w:ascii="Verdana" w:hAnsi="Verdana"/>
          <w:i/>
          <w:iCs/>
          <w:sz w:val="18"/>
          <w:szCs w:val="18"/>
          <w:lang w:val="es-MX"/>
        </w:rPr>
        <w:t>Parágrafo 2°. Para los efectos de este artículo se entiende por "obras, bienes o servicios adicionales" aquellas actividades que no están incluidas en la matriz de experiencia de los documentos tipo de infraestructura de transporte aplicable, pero que están relacionadas con el contrato a ejecutar. Por ejemplo, en caso de que el proyecto de obra pública a ejecutar esté relacionado con infraestructura de transporte, pero, además, con proyectos de agua potable y saneamiento básico o con proyectos de infraestructura social, el servicio adicional serán las actividades de obra pública en infraestructura de agua potable y saneamiento básico o las actividades de obra pública de infraestructura social.</w:t>
      </w:r>
    </w:p>
    <w:p w14:paraId="152D3417" w14:textId="77777777" w:rsidR="000B2E9C" w:rsidRPr="00671E64" w:rsidRDefault="000B2E9C" w:rsidP="000B2E9C">
      <w:pPr>
        <w:pStyle w:val="Textonotapie"/>
        <w:rPr>
          <w:rFonts w:ascii="Verdana" w:hAnsi="Verdana"/>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9E28CA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209777256" o:spid="_x0000_i1025" type="#_x0000_t75" style="width:11.25pt;height:11.25pt;visibility:visible;mso-wrap-style:square">
            <v:imagedata r:id="rId1" o:title=""/>
          </v:shape>
        </w:pict>
      </mc:Choice>
      <mc:Fallback>
        <w:drawing>
          <wp:inline distT="0" distB="0" distL="0" distR="0" wp14:anchorId="474851E8" wp14:editId="3C7B15E9">
            <wp:extent cx="142875" cy="142875"/>
            <wp:effectExtent l="0" t="0" r="0" b="0"/>
            <wp:docPr id="1209777256" name="Imagen 1209777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B67E15"/>
    <w:multiLevelType w:val="hybridMultilevel"/>
    <w:tmpl w:val="66C619D4"/>
    <w:lvl w:ilvl="0" w:tplc="FFFFFFFF">
      <w:start w:val="1"/>
      <w:numFmt w:val="decimal"/>
      <w:lvlText w:val="%1."/>
      <w:lvlJc w:val="left"/>
      <w:pPr>
        <w:ind w:left="3192" w:hanging="360"/>
      </w:pPr>
      <w:rPr>
        <w:rFonts w:hint="default"/>
      </w:rPr>
    </w:lvl>
    <w:lvl w:ilvl="1" w:tplc="FFFFFFFF" w:tentative="1">
      <w:start w:val="1"/>
      <w:numFmt w:val="lowerLetter"/>
      <w:lvlText w:val="%2."/>
      <w:lvlJc w:val="left"/>
      <w:pPr>
        <w:ind w:left="3912" w:hanging="360"/>
      </w:pPr>
    </w:lvl>
    <w:lvl w:ilvl="2" w:tplc="FFFFFFFF" w:tentative="1">
      <w:start w:val="1"/>
      <w:numFmt w:val="lowerRoman"/>
      <w:lvlText w:val="%3."/>
      <w:lvlJc w:val="right"/>
      <w:pPr>
        <w:ind w:left="4632" w:hanging="180"/>
      </w:pPr>
    </w:lvl>
    <w:lvl w:ilvl="3" w:tplc="FFFFFFFF" w:tentative="1">
      <w:start w:val="1"/>
      <w:numFmt w:val="decimal"/>
      <w:lvlText w:val="%4."/>
      <w:lvlJc w:val="left"/>
      <w:pPr>
        <w:ind w:left="5352" w:hanging="360"/>
      </w:pPr>
    </w:lvl>
    <w:lvl w:ilvl="4" w:tplc="FFFFFFFF" w:tentative="1">
      <w:start w:val="1"/>
      <w:numFmt w:val="lowerLetter"/>
      <w:lvlText w:val="%5."/>
      <w:lvlJc w:val="left"/>
      <w:pPr>
        <w:ind w:left="6072" w:hanging="360"/>
      </w:pPr>
    </w:lvl>
    <w:lvl w:ilvl="5" w:tplc="FFFFFFFF" w:tentative="1">
      <w:start w:val="1"/>
      <w:numFmt w:val="lowerRoman"/>
      <w:lvlText w:val="%6."/>
      <w:lvlJc w:val="right"/>
      <w:pPr>
        <w:ind w:left="6792" w:hanging="180"/>
      </w:pPr>
    </w:lvl>
    <w:lvl w:ilvl="6" w:tplc="FFFFFFFF" w:tentative="1">
      <w:start w:val="1"/>
      <w:numFmt w:val="decimal"/>
      <w:lvlText w:val="%7."/>
      <w:lvlJc w:val="left"/>
      <w:pPr>
        <w:ind w:left="7512" w:hanging="360"/>
      </w:pPr>
    </w:lvl>
    <w:lvl w:ilvl="7" w:tplc="FFFFFFFF" w:tentative="1">
      <w:start w:val="1"/>
      <w:numFmt w:val="lowerLetter"/>
      <w:lvlText w:val="%8."/>
      <w:lvlJc w:val="left"/>
      <w:pPr>
        <w:ind w:left="8232" w:hanging="360"/>
      </w:pPr>
    </w:lvl>
    <w:lvl w:ilvl="8" w:tplc="FFFFFFFF" w:tentative="1">
      <w:start w:val="1"/>
      <w:numFmt w:val="lowerRoman"/>
      <w:lvlText w:val="%9."/>
      <w:lvlJc w:val="right"/>
      <w:pPr>
        <w:ind w:left="8952"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FFFFFFFF"/>
    <w:lvl w:ilvl="0" w:tplc="040A0001">
      <w:start w:val="1"/>
      <w:numFmt w:val="bullet"/>
      <w:lvlText w:val=""/>
      <w:lvlJc w:val="left"/>
      <w:pPr>
        <w:ind w:left="644" w:hanging="360"/>
      </w:pPr>
      <w:rPr>
        <w:rFonts w:ascii="Symbol" w:hAnsi="Symbol" w:hint="default"/>
      </w:rPr>
    </w:lvl>
    <w:lvl w:ilvl="1" w:tplc="040A0003" w:tentative="1">
      <w:start w:val="1"/>
      <w:numFmt w:val="bullet"/>
      <w:lvlText w:val="o"/>
      <w:lvlJc w:val="left"/>
      <w:pPr>
        <w:ind w:left="1364" w:hanging="360"/>
      </w:pPr>
      <w:rPr>
        <w:rFonts w:ascii="Courier New" w:hAnsi="Courier New" w:hint="default"/>
      </w:rPr>
    </w:lvl>
    <w:lvl w:ilvl="2" w:tplc="040A0005" w:tentative="1">
      <w:start w:val="1"/>
      <w:numFmt w:val="bullet"/>
      <w:lvlText w:val=""/>
      <w:lvlJc w:val="left"/>
      <w:pPr>
        <w:ind w:left="2084" w:hanging="360"/>
      </w:pPr>
      <w:rPr>
        <w:rFonts w:ascii="Wingdings" w:hAnsi="Wingdings" w:hint="default"/>
      </w:rPr>
    </w:lvl>
    <w:lvl w:ilvl="3" w:tplc="040A0001" w:tentative="1">
      <w:start w:val="1"/>
      <w:numFmt w:val="bullet"/>
      <w:lvlText w:val=""/>
      <w:lvlJc w:val="left"/>
      <w:pPr>
        <w:ind w:left="2804" w:hanging="360"/>
      </w:pPr>
      <w:rPr>
        <w:rFonts w:ascii="Symbol" w:hAnsi="Symbol" w:hint="default"/>
      </w:rPr>
    </w:lvl>
    <w:lvl w:ilvl="4" w:tplc="040A0003" w:tentative="1">
      <w:start w:val="1"/>
      <w:numFmt w:val="bullet"/>
      <w:lvlText w:val="o"/>
      <w:lvlJc w:val="left"/>
      <w:pPr>
        <w:ind w:left="3524" w:hanging="360"/>
      </w:pPr>
      <w:rPr>
        <w:rFonts w:ascii="Courier New" w:hAnsi="Courier New" w:hint="default"/>
      </w:rPr>
    </w:lvl>
    <w:lvl w:ilvl="5" w:tplc="040A0005" w:tentative="1">
      <w:start w:val="1"/>
      <w:numFmt w:val="bullet"/>
      <w:lvlText w:val=""/>
      <w:lvlJc w:val="left"/>
      <w:pPr>
        <w:ind w:left="4244" w:hanging="360"/>
      </w:pPr>
      <w:rPr>
        <w:rFonts w:ascii="Wingdings" w:hAnsi="Wingdings" w:hint="default"/>
      </w:rPr>
    </w:lvl>
    <w:lvl w:ilvl="6" w:tplc="040A0001" w:tentative="1">
      <w:start w:val="1"/>
      <w:numFmt w:val="bullet"/>
      <w:lvlText w:val=""/>
      <w:lvlJc w:val="left"/>
      <w:pPr>
        <w:ind w:left="4964" w:hanging="360"/>
      </w:pPr>
      <w:rPr>
        <w:rFonts w:ascii="Symbol" w:hAnsi="Symbol" w:hint="default"/>
      </w:rPr>
    </w:lvl>
    <w:lvl w:ilvl="7" w:tplc="040A0003" w:tentative="1">
      <w:start w:val="1"/>
      <w:numFmt w:val="bullet"/>
      <w:lvlText w:val="o"/>
      <w:lvlJc w:val="left"/>
      <w:pPr>
        <w:ind w:left="5684" w:hanging="360"/>
      </w:pPr>
      <w:rPr>
        <w:rFonts w:ascii="Courier New" w:hAnsi="Courier New" w:hint="default"/>
      </w:rPr>
    </w:lvl>
    <w:lvl w:ilvl="8" w:tplc="040A0005" w:tentative="1">
      <w:start w:val="1"/>
      <w:numFmt w:val="bullet"/>
      <w:lvlText w:val=""/>
      <w:lvlJc w:val="left"/>
      <w:pPr>
        <w:ind w:left="6404"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796057B"/>
    <w:multiLevelType w:val="hybridMultilevel"/>
    <w:tmpl w:val="52B8C7D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7A2E04F9"/>
    <w:multiLevelType w:val="hybridMultilevel"/>
    <w:tmpl w:val="66C619D4"/>
    <w:lvl w:ilvl="0" w:tplc="080A000F">
      <w:start w:val="1"/>
      <w:numFmt w:val="decimal"/>
      <w:lvlText w:val="%1."/>
      <w:lvlJc w:val="left"/>
      <w:pPr>
        <w:ind w:left="121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1"/>
  </w:num>
  <w:num w:numId="13" w16cid:durableId="1512908409">
    <w:abstractNumId w:val="4"/>
  </w:num>
  <w:num w:numId="14" w16cid:durableId="895897244">
    <w:abstractNumId w:val="17"/>
  </w:num>
  <w:num w:numId="15" w16cid:durableId="390349800">
    <w:abstractNumId w:val="12"/>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567968">
    <w:abstractNumId w:val="13"/>
  </w:num>
  <w:num w:numId="18" w16cid:durableId="106973597">
    <w:abstractNumId w:val="6"/>
  </w:num>
  <w:num w:numId="19" w16cid:durableId="827985604">
    <w:abstractNumId w:val="11"/>
  </w:num>
  <w:num w:numId="20" w16cid:durableId="341274352">
    <w:abstractNumId w:val="0"/>
  </w:num>
  <w:num w:numId="21" w16cid:durableId="374043289">
    <w:abstractNumId w:val="18"/>
  </w:num>
  <w:num w:numId="22" w16cid:durableId="1782917798">
    <w:abstractNumId w:val="19"/>
  </w:num>
  <w:num w:numId="23" w16cid:durableId="746193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C5C"/>
    <w:rsid w:val="00016F78"/>
    <w:rsid w:val="00046945"/>
    <w:rsid w:val="00061B2A"/>
    <w:rsid w:val="00070B99"/>
    <w:rsid w:val="00075F92"/>
    <w:rsid w:val="00082362"/>
    <w:rsid w:val="000A683E"/>
    <w:rsid w:val="000B19B9"/>
    <w:rsid w:val="000B2E9C"/>
    <w:rsid w:val="000D0334"/>
    <w:rsid w:val="000F6486"/>
    <w:rsid w:val="000F6C20"/>
    <w:rsid w:val="00125105"/>
    <w:rsid w:val="00127233"/>
    <w:rsid w:val="001511A0"/>
    <w:rsid w:val="001A5F06"/>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61F37"/>
    <w:rsid w:val="004A1847"/>
    <w:rsid w:val="004A305D"/>
    <w:rsid w:val="004F21C4"/>
    <w:rsid w:val="004F685F"/>
    <w:rsid w:val="005566E8"/>
    <w:rsid w:val="00574867"/>
    <w:rsid w:val="00591460"/>
    <w:rsid w:val="005B3816"/>
    <w:rsid w:val="005C223A"/>
    <w:rsid w:val="005C3777"/>
    <w:rsid w:val="005C5CDC"/>
    <w:rsid w:val="005D476C"/>
    <w:rsid w:val="006219F8"/>
    <w:rsid w:val="00665D70"/>
    <w:rsid w:val="006900D9"/>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178F0"/>
    <w:rsid w:val="00923EEF"/>
    <w:rsid w:val="009419F9"/>
    <w:rsid w:val="0095685E"/>
    <w:rsid w:val="00961B09"/>
    <w:rsid w:val="00965334"/>
    <w:rsid w:val="0097093E"/>
    <w:rsid w:val="00986AC5"/>
    <w:rsid w:val="009A0DFA"/>
    <w:rsid w:val="009B2D26"/>
    <w:rsid w:val="009C71FA"/>
    <w:rsid w:val="009C72E7"/>
    <w:rsid w:val="009D3058"/>
    <w:rsid w:val="009F3A13"/>
    <w:rsid w:val="00A0373C"/>
    <w:rsid w:val="00A122D3"/>
    <w:rsid w:val="00A17F13"/>
    <w:rsid w:val="00A20739"/>
    <w:rsid w:val="00A33C78"/>
    <w:rsid w:val="00AB0ADB"/>
    <w:rsid w:val="00B01B1A"/>
    <w:rsid w:val="00B66319"/>
    <w:rsid w:val="00B67939"/>
    <w:rsid w:val="00B72CD3"/>
    <w:rsid w:val="00B72FFF"/>
    <w:rsid w:val="00BC3D36"/>
    <w:rsid w:val="00BD7F72"/>
    <w:rsid w:val="00C04FB3"/>
    <w:rsid w:val="00C330EB"/>
    <w:rsid w:val="00C41061"/>
    <w:rsid w:val="00C754BE"/>
    <w:rsid w:val="00C76B1C"/>
    <w:rsid w:val="00CB6357"/>
    <w:rsid w:val="00CC1B26"/>
    <w:rsid w:val="00D423A2"/>
    <w:rsid w:val="00D520D8"/>
    <w:rsid w:val="00D53453"/>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B2E9C"/>
    <w:pPr>
      <w:spacing w:line="240" w:lineRule="exact"/>
    </w:pPr>
    <w:rPr>
      <w:vertAlign w:val="superscript"/>
    </w:rPr>
  </w:style>
  <w:style w:type="table" w:customStyle="1" w:styleId="Tablaconcuadrcula1">
    <w:name w:val="Tabla con cuadrícula1"/>
    <w:basedOn w:val="Tablanormal"/>
    <w:next w:val="Tablaconcuadrcula"/>
    <w:uiPriority w:val="39"/>
    <w:qFormat/>
    <w:rsid w:val="000B2E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B2E9C"/>
    <w:rPr>
      <w:rFonts w:ascii="Geomanist Light" w:hAnsi="Geomanist Light"/>
      <w:lang w:val="es-ES"/>
    </w:rPr>
  </w:style>
  <w:style w:type="character" w:customStyle="1" w:styleId="apple-converted-space">
    <w:name w:val="apple-converted-space"/>
    <w:basedOn w:val="Fuentedeprrafopredeter"/>
    <w:rsid w:val="000B2E9C"/>
  </w:style>
  <w:style w:type="character" w:styleId="Textoennegrita">
    <w:name w:val="Strong"/>
    <w:basedOn w:val="Fuentedeprrafopredeter"/>
    <w:uiPriority w:val="22"/>
    <w:qFormat/>
    <w:rsid w:val="000B2E9C"/>
    <w:rPr>
      <w:b/>
      <w:bCs/>
    </w:rPr>
  </w:style>
  <w:style w:type="character" w:customStyle="1" w:styleId="NormalWebCar">
    <w:name w:val="Normal (Web) Car"/>
    <w:link w:val="NormalWeb"/>
    <w:uiPriority w:val="99"/>
    <w:rsid w:val="000B2E9C"/>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carlos.castrillon%40colombiacompra.gov.co%7Ceb0fd05604104aa4d3bc08dd4c4ad35e%7C7b09041e245149d08cb179d5e3d8c1be%7C0%7C0%7C638750606445342495%7CUnknown%7CTWFpbGZsb3d8eyJFbXB0eU1hcGkiOnRydWUsIlYiOiIwLjAuMDAwMCIsIlAiOiJXaW4zMiIsIkFOIjoiTWFpbCIsIldUIjoyfQ%3D%3D%7C0%7C%7C%7C&amp;sdata=QjdkVIaLZrDJ7LHxm%2FQR2RWhmxzNwmEPLnWPN%2BV%2F4jE%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carlos.castrillon%40colombiacompra.gov.co%7Ceb0fd05604104aa4d3bc08dd4c4ad35e%7C7b09041e245149d08cb179d5e3d8c1be%7C0%7C0%7C638750606445402573%7CUnknown%7CTWFpbGZsb3d8eyJFbXB0eU1hcGkiOnRydWUsIlYiOiIwLjAuMDAwMCIsIlAiOiJXaW4zMiIsIkFOIjoiTWFpbCIsIldUIjoyfQ%3D%3D%7C0%7C%7C%7C&amp;sdata=Qg%2Bj2KODoy3mNrtTOL1WJEfzT5QrAdRT2oEKhAgMsdw%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carlos.castrillon%40colombiacompra.gov.co%7Ceb0fd05604104aa4d3bc08dd4c4ad35e%7C7b09041e245149d08cb179d5e3d8c1be%7C0%7C0%7C638750606445381469%7CUnknown%7CTWFpbGZsb3d8eyJFbXB0eU1hcGkiOnRydWUsIlYiOiIwLjAuMDAwMCIsIlAiOiJXaW4zMiIsIkFOIjoiTWFpbCIsIldUIjoyfQ%3D%3D%7C0%7C%7C%7C&amp;sdata=j29N9iGAQKkKYNPvseqiVZ1GlQoAuIdl0ViH4%2FwMNME%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documentos-tipo/documentos-tipo"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AC88CFF-DD1E-417D-B2BF-09DD72084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4702</Words>
  <Characters>25862</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2025-02-25T18:02:00Z</dcterms:created>
  <dcterms:modified xsi:type="dcterms:W3CDTF">2025-03-17T16:06:00Z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