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10614"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10614">
        <w:rPr>
          <w:rFonts w:ascii="Arial" w:hAnsi="Arial" w:cs="Arial"/>
          <w:bCs/>
          <w:color w:val="000000" w:themeColor="text1"/>
          <w:sz w:val="16"/>
          <w:szCs w:val="16"/>
          <w:lang w:val="es-ES_tradnl" w:eastAsia="es-ES"/>
        </w:rPr>
        <w:t>CCE-DES-FM-17</w:t>
      </w:r>
      <w:bookmarkEnd w:id="0"/>
      <w:bookmarkEnd w:id="1"/>
    </w:p>
    <w:p w14:paraId="17A05F16" w14:textId="77777777" w:rsidR="00580772" w:rsidRPr="00A10614" w:rsidRDefault="00580772" w:rsidP="00E52CE7">
      <w:pPr>
        <w:jc w:val="both"/>
        <w:rPr>
          <w:rFonts w:ascii="Arial" w:eastAsia="Calibri" w:hAnsi="Arial" w:cs="Arial"/>
          <w:b/>
          <w:color w:val="000000" w:themeColor="text1"/>
          <w:sz w:val="22"/>
        </w:rPr>
      </w:pPr>
    </w:p>
    <w:p w14:paraId="5EDCED3E" w14:textId="77777777" w:rsidR="008422B3" w:rsidRPr="00A10614" w:rsidRDefault="008422B3" w:rsidP="008422B3">
      <w:pPr>
        <w:jc w:val="both"/>
        <w:rPr>
          <w:rFonts w:ascii="Arial" w:eastAsia="Calibri" w:hAnsi="Arial" w:cs="Arial"/>
          <w:b/>
          <w:sz w:val="22"/>
          <w:lang w:val="es-ES_tradnl"/>
        </w:rPr>
      </w:pPr>
      <w:r w:rsidRPr="00A10614">
        <w:rPr>
          <w:rFonts w:ascii="Arial" w:eastAsia="Calibri" w:hAnsi="Arial" w:cs="Arial"/>
          <w:b/>
          <w:sz w:val="22"/>
          <w:lang w:val="es-ES_tradnl"/>
        </w:rPr>
        <w:t xml:space="preserve">SELECCIÓN OBJETIVA </w:t>
      </w:r>
      <w:r w:rsidRPr="00A10614">
        <w:rPr>
          <w:rFonts w:ascii="Arial" w:eastAsia="Calibri" w:hAnsi="Arial" w:cs="Arial"/>
          <w:b/>
          <w:color w:val="000000" w:themeColor="text1"/>
          <w:sz w:val="22"/>
          <w:lang w:val="es-ES_tradnl"/>
        </w:rPr>
        <w:t>–</w:t>
      </w:r>
      <w:r w:rsidRPr="00A10614">
        <w:rPr>
          <w:rFonts w:ascii="Arial" w:eastAsia="Calibri" w:hAnsi="Arial" w:cs="Arial"/>
          <w:b/>
          <w:sz w:val="22"/>
          <w:lang w:val="es-ES_tradnl"/>
        </w:rPr>
        <w:t xml:space="preserve"> Contratación estatal </w:t>
      </w:r>
      <w:r w:rsidRPr="00A10614">
        <w:rPr>
          <w:rFonts w:ascii="Arial" w:eastAsia="Calibri" w:hAnsi="Arial" w:cs="Arial"/>
          <w:b/>
          <w:color w:val="000000" w:themeColor="text1"/>
          <w:sz w:val="22"/>
          <w:lang w:val="es-ES_tradnl"/>
        </w:rPr>
        <w:t>– Concepto</w:t>
      </w:r>
    </w:p>
    <w:p w14:paraId="5C863EEF" w14:textId="77777777" w:rsidR="008422B3" w:rsidRPr="00A10614" w:rsidRDefault="008422B3" w:rsidP="008422B3">
      <w:pPr>
        <w:jc w:val="both"/>
        <w:rPr>
          <w:rFonts w:ascii="Arial" w:eastAsia="Calibri" w:hAnsi="Arial" w:cs="Arial"/>
          <w:b/>
          <w:sz w:val="22"/>
          <w:lang w:val="es-ES_tradnl"/>
        </w:rPr>
      </w:pPr>
    </w:p>
    <w:p w14:paraId="252947BE" w14:textId="77777777" w:rsidR="008422B3" w:rsidRPr="00A10614" w:rsidRDefault="008422B3" w:rsidP="008422B3">
      <w:pPr>
        <w:jc w:val="both"/>
        <w:rPr>
          <w:rFonts w:ascii="Arial" w:eastAsia="Calibri" w:hAnsi="Arial" w:cs="Arial"/>
          <w:sz w:val="20"/>
          <w:szCs w:val="20"/>
          <w:lang w:val="es-ES_tradnl"/>
        </w:rPr>
      </w:pPr>
      <w:r w:rsidRPr="00A10614">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3BB21399" w14:textId="77777777" w:rsidR="008422B3" w:rsidRPr="00A10614" w:rsidRDefault="008422B3" w:rsidP="008422B3">
      <w:pPr>
        <w:jc w:val="both"/>
        <w:rPr>
          <w:rFonts w:ascii="Arial" w:eastAsia="Calibri" w:hAnsi="Arial" w:cs="Arial"/>
          <w:b/>
          <w:sz w:val="22"/>
          <w:lang w:val="es-ES_tradnl"/>
        </w:rPr>
      </w:pPr>
    </w:p>
    <w:p w14:paraId="39A6AAAD" w14:textId="77777777" w:rsidR="008422B3" w:rsidRPr="00A10614" w:rsidRDefault="008422B3" w:rsidP="008422B3">
      <w:pPr>
        <w:jc w:val="both"/>
        <w:rPr>
          <w:rFonts w:ascii="Arial" w:eastAsia="Calibri" w:hAnsi="Arial" w:cs="Arial"/>
          <w:b/>
          <w:sz w:val="22"/>
          <w:lang w:val="es-ES_tradnl"/>
        </w:rPr>
      </w:pPr>
      <w:r w:rsidRPr="00A10614">
        <w:rPr>
          <w:rFonts w:ascii="Arial" w:eastAsia="Calibri" w:hAnsi="Arial" w:cs="Arial"/>
          <w:b/>
          <w:sz w:val="22"/>
          <w:lang w:val="es-ES_tradnl"/>
        </w:rPr>
        <w:t xml:space="preserve">EMPATE </w:t>
      </w:r>
      <w:r w:rsidRPr="00A10614">
        <w:rPr>
          <w:rFonts w:ascii="Arial" w:eastAsia="Calibri" w:hAnsi="Arial" w:cs="Arial"/>
          <w:b/>
          <w:color w:val="000000" w:themeColor="text1"/>
          <w:sz w:val="22"/>
          <w:lang w:val="es-ES_tradnl"/>
        </w:rPr>
        <w:t>–</w:t>
      </w:r>
      <w:r w:rsidRPr="00A10614">
        <w:rPr>
          <w:rFonts w:ascii="Arial" w:eastAsia="Calibri" w:hAnsi="Arial" w:cs="Arial"/>
          <w:b/>
          <w:sz w:val="22"/>
          <w:lang w:val="es-ES_tradnl"/>
        </w:rPr>
        <w:t xml:space="preserve"> Procedimiento de selección </w:t>
      </w:r>
      <w:r w:rsidRPr="00A10614">
        <w:rPr>
          <w:rFonts w:ascii="Arial" w:eastAsia="Calibri" w:hAnsi="Arial" w:cs="Arial"/>
          <w:b/>
          <w:color w:val="000000" w:themeColor="text1"/>
          <w:sz w:val="22"/>
          <w:lang w:val="es-ES_tradnl"/>
        </w:rPr>
        <w:t>– Concepto</w:t>
      </w:r>
    </w:p>
    <w:p w14:paraId="49EE7D5F" w14:textId="77777777" w:rsidR="008422B3" w:rsidRPr="00A10614" w:rsidRDefault="008422B3" w:rsidP="008422B3">
      <w:pPr>
        <w:jc w:val="both"/>
        <w:rPr>
          <w:rFonts w:ascii="Arial" w:eastAsia="Calibri" w:hAnsi="Arial" w:cs="Arial"/>
          <w:b/>
          <w:sz w:val="22"/>
          <w:lang w:val="es-ES_tradnl"/>
        </w:rPr>
      </w:pPr>
    </w:p>
    <w:p w14:paraId="5D4C8D23" w14:textId="77777777" w:rsidR="008422B3" w:rsidRPr="00A10614" w:rsidRDefault="008422B3" w:rsidP="008422B3">
      <w:pPr>
        <w:jc w:val="both"/>
        <w:rPr>
          <w:rFonts w:ascii="Arial" w:hAnsi="Arial" w:cs="Arial"/>
          <w:noProof/>
          <w:color w:val="000000" w:themeColor="text1"/>
          <w:sz w:val="22"/>
          <w:lang w:val="es-ES_tradnl"/>
        </w:rPr>
      </w:pPr>
      <w:r w:rsidRPr="00A10614">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5CCF5992" w14:textId="77777777" w:rsidR="008422B3" w:rsidRPr="00A10614" w:rsidRDefault="008422B3" w:rsidP="008422B3">
      <w:pPr>
        <w:spacing w:line="276" w:lineRule="auto"/>
        <w:jc w:val="both"/>
        <w:rPr>
          <w:rFonts w:ascii="Arial" w:hAnsi="Arial" w:cs="Arial"/>
          <w:noProof/>
          <w:color w:val="000000" w:themeColor="text1"/>
          <w:sz w:val="22"/>
          <w:lang w:val="es-ES_tradnl"/>
        </w:rPr>
      </w:pPr>
    </w:p>
    <w:p w14:paraId="19AC186C" w14:textId="77777777" w:rsidR="008422B3" w:rsidRPr="00A10614" w:rsidRDefault="008422B3" w:rsidP="008422B3">
      <w:pPr>
        <w:jc w:val="both"/>
        <w:rPr>
          <w:rFonts w:ascii="Arial" w:eastAsia="Calibri" w:hAnsi="Arial" w:cs="Arial"/>
          <w:b/>
          <w:sz w:val="22"/>
          <w:lang w:val="es-ES_tradnl"/>
        </w:rPr>
      </w:pPr>
      <w:r w:rsidRPr="00A10614">
        <w:rPr>
          <w:rFonts w:ascii="Arial" w:eastAsia="Calibri" w:hAnsi="Arial" w:cs="Arial"/>
          <w:b/>
          <w:sz w:val="22"/>
          <w:lang w:val="es-ES_tradnl"/>
        </w:rPr>
        <w:t xml:space="preserve">FACTORES DE DESEMPATE </w:t>
      </w:r>
      <w:r w:rsidRPr="00A10614">
        <w:rPr>
          <w:rFonts w:ascii="Arial" w:eastAsia="Calibri" w:hAnsi="Arial" w:cs="Arial"/>
          <w:b/>
          <w:color w:val="000000" w:themeColor="text1"/>
          <w:sz w:val="22"/>
          <w:lang w:val="es-ES_tradnl"/>
        </w:rPr>
        <w:t>–</w:t>
      </w:r>
      <w:r w:rsidRPr="00A10614">
        <w:rPr>
          <w:rFonts w:ascii="Arial" w:eastAsia="Calibri" w:hAnsi="Arial" w:cs="Arial"/>
          <w:b/>
          <w:sz w:val="22"/>
          <w:lang w:val="es-ES_tradnl"/>
        </w:rPr>
        <w:t xml:space="preserve"> Características </w:t>
      </w:r>
      <w:r w:rsidRPr="00A10614">
        <w:rPr>
          <w:rFonts w:ascii="Arial" w:eastAsia="Calibri" w:hAnsi="Arial" w:cs="Arial"/>
          <w:b/>
          <w:color w:val="000000" w:themeColor="text1"/>
          <w:sz w:val="22"/>
          <w:lang w:val="es-ES_tradnl"/>
        </w:rPr>
        <w:t>– Límites</w:t>
      </w:r>
    </w:p>
    <w:p w14:paraId="7A31ADAA" w14:textId="77777777" w:rsidR="008422B3" w:rsidRPr="00A10614" w:rsidRDefault="008422B3" w:rsidP="008422B3">
      <w:pPr>
        <w:spacing w:line="276" w:lineRule="auto"/>
        <w:jc w:val="both"/>
        <w:rPr>
          <w:rFonts w:ascii="Arial" w:hAnsi="Arial" w:cs="Arial"/>
          <w:noProof/>
          <w:color w:val="000000" w:themeColor="text1"/>
          <w:sz w:val="22"/>
          <w:lang w:val="es-ES_tradnl"/>
        </w:rPr>
      </w:pPr>
    </w:p>
    <w:p w14:paraId="5EE04911" w14:textId="77777777" w:rsidR="008422B3" w:rsidRPr="00A10614" w:rsidRDefault="008422B3" w:rsidP="008422B3">
      <w:pPr>
        <w:jc w:val="both"/>
        <w:rPr>
          <w:rFonts w:ascii="Arial" w:eastAsia="Calibri" w:hAnsi="Arial" w:cs="Arial"/>
          <w:sz w:val="20"/>
          <w:szCs w:val="20"/>
          <w:lang w:val="es-ES_tradnl"/>
        </w:rPr>
      </w:pPr>
      <w:r w:rsidRPr="00A10614">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5D600A2F" w14:textId="77777777" w:rsidR="008422B3" w:rsidRPr="00A10614" w:rsidRDefault="008422B3" w:rsidP="008422B3">
      <w:pPr>
        <w:jc w:val="both"/>
        <w:rPr>
          <w:rFonts w:ascii="Arial" w:eastAsia="Calibri" w:hAnsi="Arial" w:cs="Arial"/>
          <w:sz w:val="20"/>
          <w:szCs w:val="20"/>
          <w:lang w:val="es-ES_tradnl"/>
        </w:rPr>
      </w:pPr>
    </w:p>
    <w:p w14:paraId="48739453" w14:textId="77777777" w:rsidR="008422B3" w:rsidRPr="00A10614" w:rsidRDefault="008422B3" w:rsidP="008422B3">
      <w:pPr>
        <w:jc w:val="both"/>
        <w:rPr>
          <w:rFonts w:ascii="Arial" w:eastAsia="Calibri" w:hAnsi="Arial" w:cs="Arial"/>
          <w:sz w:val="20"/>
          <w:szCs w:val="20"/>
          <w:lang w:val="es-ES_tradnl"/>
        </w:rPr>
      </w:pPr>
      <w:r w:rsidRPr="00A10614">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26A430CA" w14:textId="77777777" w:rsidR="008422B3" w:rsidRPr="00A10614" w:rsidRDefault="008422B3" w:rsidP="00E52CE7">
      <w:pPr>
        <w:jc w:val="both"/>
        <w:rPr>
          <w:rFonts w:ascii="Arial" w:eastAsia="Calibri" w:hAnsi="Arial" w:cs="Arial"/>
          <w:b/>
          <w:color w:val="000000" w:themeColor="text1"/>
          <w:sz w:val="22"/>
          <w:lang w:val="es-ES_tradnl"/>
        </w:rPr>
      </w:pPr>
    </w:p>
    <w:p w14:paraId="612036CA" w14:textId="77777777" w:rsidR="00944489" w:rsidRPr="00A10614" w:rsidRDefault="00944489" w:rsidP="00E52CE7">
      <w:pPr>
        <w:jc w:val="both"/>
        <w:rPr>
          <w:rFonts w:ascii="Arial" w:eastAsia="Calibri" w:hAnsi="Arial" w:cs="Arial"/>
          <w:b/>
          <w:color w:val="000000" w:themeColor="text1"/>
          <w:sz w:val="22"/>
        </w:rPr>
      </w:pPr>
    </w:p>
    <w:p w14:paraId="35F7B491" w14:textId="77777777" w:rsidR="00944489" w:rsidRPr="00A10614" w:rsidRDefault="00944489" w:rsidP="00E52CE7">
      <w:pPr>
        <w:jc w:val="both"/>
        <w:rPr>
          <w:rFonts w:ascii="Arial" w:eastAsia="Calibri" w:hAnsi="Arial" w:cs="Arial"/>
          <w:b/>
          <w:color w:val="000000" w:themeColor="text1"/>
          <w:sz w:val="22"/>
        </w:rPr>
      </w:pPr>
    </w:p>
    <w:p w14:paraId="067093DE" w14:textId="2BE2C6F7" w:rsidR="00E52CE7" w:rsidRPr="00A10614" w:rsidRDefault="00E52CE7" w:rsidP="00E52CE7">
      <w:pPr>
        <w:jc w:val="both"/>
        <w:rPr>
          <w:rFonts w:ascii="Arial" w:eastAsia="Calibri" w:hAnsi="Arial" w:cs="Arial"/>
          <w:b/>
          <w:color w:val="000000" w:themeColor="text1"/>
          <w:sz w:val="22"/>
        </w:rPr>
      </w:pPr>
      <w:r w:rsidRPr="00A10614">
        <w:rPr>
          <w:rFonts w:ascii="Arial" w:eastAsia="Calibri" w:hAnsi="Arial" w:cs="Arial"/>
          <w:b/>
          <w:color w:val="000000" w:themeColor="text1"/>
          <w:sz w:val="22"/>
        </w:rPr>
        <w:lastRenderedPageBreak/>
        <w:t xml:space="preserve">LEY DE EMPRENDIMIENTO – Finalidad </w:t>
      </w:r>
    </w:p>
    <w:p w14:paraId="27E57169" w14:textId="77777777" w:rsidR="00E52CE7" w:rsidRPr="00A10614" w:rsidRDefault="00E52CE7" w:rsidP="00E52CE7">
      <w:pPr>
        <w:jc w:val="both"/>
        <w:rPr>
          <w:rFonts w:ascii="Arial" w:eastAsia="Calibri" w:hAnsi="Arial" w:cs="Arial"/>
          <w:color w:val="000000" w:themeColor="text1"/>
          <w:sz w:val="20"/>
          <w:szCs w:val="20"/>
        </w:rPr>
      </w:pPr>
    </w:p>
    <w:p w14:paraId="30966290" w14:textId="47CB1B1C" w:rsidR="003B6E98" w:rsidRPr="00A10614" w:rsidRDefault="003B6E98" w:rsidP="003B6E98">
      <w:pPr>
        <w:jc w:val="both"/>
        <w:rPr>
          <w:rFonts w:ascii="Arial" w:eastAsia="Calibri" w:hAnsi="Arial" w:cs="Arial"/>
          <w:bCs/>
          <w:color w:val="000000" w:themeColor="text1"/>
          <w:sz w:val="20"/>
          <w:szCs w:val="20"/>
        </w:rPr>
      </w:pPr>
      <w:r w:rsidRPr="00A10614">
        <w:rPr>
          <w:rFonts w:ascii="Arial" w:eastAsia="Calibri" w:hAnsi="Arial" w:cs="Arial"/>
          <w:bCs/>
          <w:color w:val="000000" w:themeColor="text1"/>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3423CA52" w14:textId="77777777" w:rsidR="00E52CE7" w:rsidRPr="00A10614" w:rsidRDefault="00E52CE7" w:rsidP="00E52CE7">
      <w:pPr>
        <w:jc w:val="both"/>
        <w:rPr>
          <w:rFonts w:ascii="Arial" w:eastAsia="Calibri" w:hAnsi="Arial" w:cs="Arial"/>
          <w:b/>
          <w:color w:val="000000" w:themeColor="text1"/>
          <w:sz w:val="20"/>
          <w:szCs w:val="20"/>
        </w:rPr>
      </w:pPr>
    </w:p>
    <w:p w14:paraId="5C1588B3" w14:textId="77777777" w:rsidR="00E52CE7" w:rsidRPr="00A10614" w:rsidRDefault="00E52CE7" w:rsidP="00E52CE7">
      <w:pPr>
        <w:jc w:val="both"/>
        <w:rPr>
          <w:rFonts w:ascii="Arial" w:eastAsia="Calibri" w:hAnsi="Arial" w:cs="Arial"/>
          <w:b/>
          <w:color w:val="000000" w:themeColor="text1"/>
          <w:sz w:val="22"/>
        </w:rPr>
      </w:pPr>
      <w:r w:rsidRPr="00A10614">
        <w:rPr>
          <w:rFonts w:ascii="Arial" w:eastAsia="Calibri" w:hAnsi="Arial" w:cs="Arial"/>
          <w:b/>
          <w:color w:val="000000" w:themeColor="text1"/>
          <w:sz w:val="22"/>
        </w:rPr>
        <w:t>RELACIÓN ENTRE LA LEY Y EL REGLAMENTO – Tesis de la aplicación directa – Tesis de la reglamentación – Diferencias</w:t>
      </w:r>
    </w:p>
    <w:p w14:paraId="412A1DDC" w14:textId="77777777" w:rsidR="00E52CE7" w:rsidRPr="00A10614" w:rsidRDefault="00E52CE7" w:rsidP="00E52CE7">
      <w:pPr>
        <w:jc w:val="both"/>
        <w:rPr>
          <w:rFonts w:ascii="Arial" w:eastAsia="Calibri" w:hAnsi="Arial" w:cs="Arial"/>
          <w:b/>
          <w:color w:val="000000" w:themeColor="text1"/>
          <w:sz w:val="20"/>
          <w:szCs w:val="20"/>
        </w:rPr>
      </w:pPr>
    </w:p>
    <w:p w14:paraId="07C84ACE" w14:textId="77777777" w:rsidR="00E52CE7" w:rsidRPr="00A10614" w:rsidRDefault="00E52CE7" w:rsidP="00E52CE7">
      <w:pPr>
        <w:jc w:val="both"/>
        <w:rPr>
          <w:rFonts w:ascii="Arial" w:eastAsia="Calibri" w:hAnsi="Arial" w:cs="Arial"/>
          <w:color w:val="000000" w:themeColor="text1"/>
          <w:sz w:val="20"/>
          <w:szCs w:val="20"/>
        </w:rPr>
      </w:pPr>
      <w:r w:rsidRPr="00A10614">
        <w:rPr>
          <w:rFonts w:ascii="Arial" w:eastAsia="Calibri" w:hAnsi="Arial" w:cs="Arial"/>
          <w:bCs/>
          <w:color w:val="000000" w:themeColor="text1"/>
          <w:sz w:val="20"/>
          <w:szCs w:val="20"/>
        </w:rPr>
        <w:t xml:space="preserve">[…] quien opte por la tesis de la </w:t>
      </w:r>
      <w:r w:rsidRPr="00A10614">
        <w:rPr>
          <w:rFonts w:ascii="Arial" w:eastAsia="Calibri" w:hAnsi="Arial" w:cs="Arial"/>
          <w:bCs/>
          <w:i/>
          <w:iCs/>
          <w:color w:val="000000" w:themeColor="text1"/>
          <w:sz w:val="20"/>
          <w:szCs w:val="20"/>
        </w:rPr>
        <w:t>aplicación directa</w:t>
      </w:r>
      <w:r w:rsidRPr="00A10614">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Pr="00A10614">
        <w:rPr>
          <w:rFonts w:ascii="Arial" w:eastAsia="Calibri" w:hAnsi="Arial" w:cs="Arial"/>
          <w:color w:val="000000" w:themeColor="text1"/>
          <w:sz w:val="20"/>
          <w:szCs w:val="20"/>
        </w:rPr>
        <w:t>.</w:t>
      </w:r>
    </w:p>
    <w:p w14:paraId="29EA780F" w14:textId="77777777" w:rsidR="00E52CE7" w:rsidRPr="00A10614" w:rsidRDefault="00E52CE7" w:rsidP="00E52CE7">
      <w:pPr>
        <w:spacing w:after="120"/>
        <w:jc w:val="both"/>
        <w:rPr>
          <w:rFonts w:ascii="Arial" w:eastAsia="Calibri" w:hAnsi="Arial" w:cs="Arial"/>
          <w:color w:val="000000" w:themeColor="text1"/>
          <w:sz w:val="20"/>
          <w:szCs w:val="20"/>
        </w:rPr>
      </w:pPr>
      <w:r w:rsidRPr="00A10614">
        <w:rPr>
          <w:rFonts w:ascii="Arial" w:eastAsia="Calibri" w:hAnsi="Arial" w:cs="Arial"/>
          <w:color w:val="000000" w:themeColor="text1"/>
          <w:sz w:val="20"/>
          <w:szCs w:val="20"/>
        </w:rPr>
        <w:t>[…]</w:t>
      </w:r>
    </w:p>
    <w:p w14:paraId="230CAC45" w14:textId="77777777" w:rsidR="00E52CE7" w:rsidRPr="00A10614" w:rsidRDefault="00E52CE7" w:rsidP="00E52CE7">
      <w:pPr>
        <w:jc w:val="both"/>
        <w:rPr>
          <w:rFonts w:ascii="Arial" w:eastAsia="Calibri" w:hAnsi="Arial" w:cs="Arial"/>
          <w:bCs/>
          <w:color w:val="000000" w:themeColor="text1"/>
          <w:sz w:val="20"/>
          <w:szCs w:val="20"/>
        </w:rPr>
      </w:pPr>
      <w:r w:rsidRPr="00A10614">
        <w:rPr>
          <w:rFonts w:ascii="Arial" w:eastAsia="Calibri" w:hAnsi="Arial" w:cs="Arial"/>
          <w:bCs/>
          <w:color w:val="000000" w:themeColor="text1"/>
          <w:sz w:val="20"/>
          <w:szCs w:val="20"/>
        </w:rPr>
        <w:t xml:space="preserve">Ahora bien, la relación entre estas dos (2) fuentes del derecho es totalmente diferente en la </w:t>
      </w:r>
      <w:r w:rsidRPr="00A10614">
        <w:rPr>
          <w:rFonts w:ascii="Arial" w:eastAsia="Calibri" w:hAnsi="Arial" w:cs="Arial"/>
          <w:bCs/>
          <w:i/>
          <w:iCs/>
          <w:color w:val="000000" w:themeColor="text1"/>
          <w:sz w:val="20"/>
          <w:szCs w:val="20"/>
        </w:rPr>
        <w:t>tesis de la reglamentación</w:t>
      </w:r>
      <w:r w:rsidRPr="00A10614">
        <w:rPr>
          <w:rFonts w:ascii="Arial" w:eastAsia="Calibri" w:hAnsi="Arial" w:cs="Arial"/>
          <w:bCs/>
          <w:color w:val="000000" w:themeColor="text1"/>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p>
    <w:p w14:paraId="38399E38" w14:textId="77777777" w:rsidR="00E52CE7" w:rsidRPr="00A10614" w:rsidRDefault="00E52CE7" w:rsidP="00E52CE7">
      <w:pPr>
        <w:jc w:val="both"/>
        <w:rPr>
          <w:rFonts w:ascii="Arial" w:eastAsia="Calibri" w:hAnsi="Arial" w:cs="Arial"/>
          <w:color w:val="000000" w:themeColor="text1"/>
          <w:sz w:val="20"/>
          <w:szCs w:val="20"/>
        </w:rPr>
      </w:pPr>
    </w:p>
    <w:p w14:paraId="1577AB4E" w14:textId="77777777" w:rsidR="00E52CE7" w:rsidRPr="00A10614" w:rsidRDefault="00E52CE7" w:rsidP="00E52CE7">
      <w:pPr>
        <w:jc w:val="both"/>
        <w:rPr>
          <w:rFonts w:ascii="Arial" w:eastAsia="Calibri" w:hAnsi="Arial" w:cs="Arial"/>
          <w:b/>
          <w:color w:val="000000" w:themeColor="text1"/>
          <w:sz w:val="22"/>
        </w:rPr>
      </w:pPr>
      <w:r w:rsidRPr="00A10614">
        <w:rPr>
          <w:rFonts w:ascii="Arial" w:eastAsia="Calibri" w:hAnsi="Arial" w:cs="Arial"/>
          <w:b/>
          <w:color w:val="000000" w:themeColor="text1"/>
          <w:sz w:val="22"/>
        </w:rPr>
        <w:t>REGLAMENTACIÓN PREVIA – Ley 2069 de 2020</w:t>
      </w:r>
    </w:p>
    <w:p w14:paraId="2AF38476" w14:textId="77777777" w:rsidR="00E52CE7" w:rsidRPr="00A10614" w:rsidRDefault="00E52CE7" w:rsidP="00E52CE7">
      <w:pPr>
        <w:jc w:val="both"/>
        <w:rPr>
          <w:rFonts w:ascii="Arial" w:eastAsia="Calibri" w:hAnsi="Arial" w:cs="Arial"/>
          <w:b/>
          <w:color w:val="000000" w:themeColor="text1"/>
          <w:sz w:val="20"/>
          <w:szCs w:val="20"/>
        </w:rPr>
      </w:pPr>
    </w:p>
    <w:p w14:paraId="5B2D7463" w14:textId="77777777" w:rsidR="00E52CE7" w:rsidRPr="00A10614" w:rsidRDefault="00E52CE7" w:rsidP="00E52CE7">
      <w:pPr>
        <w:jc w:val="both"/>
        <w:rPr>
          <w:rFonts w:ascii="Arial" w:eastAsia="Calibri" w:hAnsi="Arial" w:cs="Arial"/>
          <w:bCs/>
          <w:color w:val="000000" w:themeColor="text1"/>
          <w:sz w:val="20"/>
          <w:szCs w:val="20"/>
          <w:lang w:val="es-ES"/>
        </w:rPr>
      </w:pPr>
      <w:r w:rsidRPr="00A10614">
        <w:rPr>
          <w:rFonts w:ascii="Arial" w:eastAsia="Calibri" w:hAnsi="Arial" w:cs="Arial"/>
          <w:bCs/>
          <w:color w:val="000000" w:themeColor="text1"/>
          <w:sz w:val="20"/>
          <w:szCs w:val="20"/>
          <w:lang w:val="es-ES"/>
        </w:rPr>
        <w:t>La referencia hecha en una ley a que el Gobierno Nacional reglamentará la materia es un reconocimiento de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p w14:paraId="79D6EBC7" w14:textId="77777777" w:rsidR="00E52CE7" w:rsidRPr="00A10614" w:rsidRDefault="00E52CE7" w:rsidP="00E52CE7">
      <w:pPr>
        <w:spacing w:after="120"/>
        <w:jc w:val="both"/>
        <w:rPr>
          <w:rFonts w:ascii="Arial" w:eastAsia="Calibri" w:hAnsi="Arial" w:cs="Arial"/>
          <w:bCs/>
          <w:color w:val="000000" w:themeColor="text1"/>
          <w:sz w:val="20"/>
          <w:szCs w:val="20"/>
          <w:lang w:val="es-ES"/>
        </w:rPr>
      </w:pPr>
      <w:r w:rsidRPr="00A10614">
        <w:rPr>
          <w:rFonts w:ascii="Arial" w:eastAsia="Calibri" w:hAnsi="Arial" w:cs="Arial"/>
          <w:bCs/>
          <w:color w:val="000000" w:themeColor="text1"/>
          <w:sz w:val="20"/>
          <w:szCs w:val="20"/>
          <w:lang w:val="es-ES"/>
        </w:rPr>
        <w:t>[…]</w:t>
      </w:r>
    </w:p>
    <w:p w14:paraId="45202E20" w14:textId="77777777" w:rsidR="00E52CE7" w:rsidRPr="00A10614" w:rsidRDefault="00E52CE7" w:rsidP="00580772">
      <w:pPr>
        <w:jc w:val="both"/>
        <w:rPr>
          <w:rFonts w:ascii="Arial" w:eastAsia="Calibri" w:hAnsi="Arial" w:cs="Arial"/>
          <w:bCs/>
          <w:color w:val="000000" w:themeColor="text1"/>
          <w:sz w:val="20"/>
          <w:szCs w:val="20"/>
          <w:lang w:val="es-ES"/>
        </w:rPr>
      </w:pPr>
      <w:r w:rsidRPr="00A10614">
        <w:rPr>
          <w:rFonts w:ascii="Arial" w:eastAsia="Calibri" w:hAnsi="Arial" w:cs="Arial"/>
          <w:bCs/>
          <w:color w:val="000000" w:themeColor="text1"/>
          <w:sz w:val="20"/>
          <w:szCs w:val="20"/>
          <w:lang w:val="es-ES"/>
        </w:rPr>
        <w:t xml:space="preserve">[…] </w:t>
      </w:r>
      <w:r w:rsidRPr="00A10614">
        <w:rPr>
          <w:rFonts w:ascii="Arial" w:eastAsia="Calibri" w:hAnsi="Arial" w:cs="Arial"/>
          <w:bCs/>
          <w:color w:val="000000" w:themeColor="text1"/>
          <w:sz w:val="20"/>
          <w:szCs w:val="20"/>
        </w:rPr>
        <w:t>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Pr="00A10614">
        <w:rPr>
          <w:rFonts w:ascii="Arial" w:eastAsia="Calibri" w:hAnsi="Arial" w:cs="Arial"/>
          <w:bCs/>
          <w:color w:val="000000" w:themeColor="text1"/>
          <w:sz w:val="20"/>
          <w:szCs w:val="20"/>
          <w:lang w:val="es-ES"/>
        </w:rPr>
        <w:t>.</w:t>
      </w:r>
    </w:p>
    <w:p w14:paraId="279F6CD6" w14:textId="1B152B62" w:rsidR="00580772" w:rsidRPr="00A10614" w:rsidRDefault="00580772" w:rsidP="00BD57BF">
      <w:pPr>
        <w:jc w:val="both"/>
        <w:rPr>
          <w:rFonts w:ascii="Arial" w:eastAsia="Calibri" w:hAnsi="Arial" w:cs="Arial"/>
          <w:b/>
          <w:color w:val="000000" w:themeColor="text1"/>
          <w:sz w:val="22"/>
        </w:rPr>
      </w:pPr>
    </w:p>
    <w:p w14:paraId="01900871" w14:textId="77777777" w:rsidR="008A7F71" w:rsidRDefault="008A7F71" w:rsidP="008A7F71">
      <w:pPr>
        <w:jc w:val="both"/>
        <w:rPr>
          <w:rFonts w:ascii="Arial" w:hAnsi="Arial" w:cs="Arial"/>
          <w:b/>
          <w:bCs/>
          <w:noProof/>
          <w:color w:val="000000" w:themeColor="text1"/>
          <w:sz w:val="22"/>
          <w:lang w:val="es-ES_tradnl"/>
        </w:rPr>
      </w:pPr>
    </w:p>
    <w:p w14:paraId="60D2C707" w14:textId="77777777" w:rsidR="008A7F71" w:rsidRDefault="008A7F71" w:rsidP="008A7F71">
      <w:pPr>
        <w:jc w:val="both"/>
        <w:rPr>
          <w:rFonts w:ascii="Arial" w:hAnsi="Arial" w:cs="Arial"/>
          <w:b/>
          <w:bCs/>
          <w:noProof/>
          <w:color w:val="000000" w:themeColor="text1"/>
          <w:sz w:val="22"/>
          <w:lang w:val="es-ES_tradnl"/>
        </w:rPr>
      </w:pPr>
    </w:p>
    <w:p w14:paraId="1D7CBE4E" w14:textId="77777777" w:rsidR="008A7F71" w:rsidRDefault="008A7F71" w:rsidP="008A7F71">
      <w:pPr>
        <w:jc w:val="both"/>
        <w:rPr>
          <w:rFonts w:ascii="Arial" w:hAnsi="Arial" w:cs="Arial"/>
          <w:b/>
          <w:bCs/>
          <w:noProof/>
          <w:color w:val="000000" w:themeColor="text1"/>
          <w:sz w:val="22"/>
          <w:lang w:val="es-ES_tradnl"/>
        </w:rPr>
      </w:pPr>
    </w:p>
    <w:p w14:paraId="2DDFBDDC" w14:textId="112A43EE" w:rsidR="008A7F71" w:rsidRPr="001001E6" w:rsidRDefault="008A7F71" w:rsidP="008A7F71">
      <w:pPr>
        <w:jc w:val="both"/>
        <w:rPr>
          <w:rFonts w:ascii="Arial" w:eastAsia="Calibri" w:hAnsi="Arial" w:cs="Arial"/>
          <w:b/>
          <w:bCs/>
          <w:color w:val="000000" w:themeColor="text1"/>
          <w:sz w:val="22"/>
        </w:rPr>
      </w:pPr>
      <w:r w:rsidRPr="001001E6">
        <w:rPr>
          <w:rFonts w:ascii="Arial" w:hAnsi="Arial" w:cs="Arial"/>
          <w:b/>
          <w:bCs/>
          <w:noProof/>
          <w:color w:val="000000" w:themeColor="text1"/>
          <w:sz w:val="22"/>
          <w:lang w:val="es-ES_tradnl"/>
        </w:rPr>
        <w:lastRenderedPageBreak/>
        <w:t>LEY 2069 DE 2020</w:t>
      </w:r>
      <w:r w:rsidRPr="001001E6">
        <w:rPr>
          <w:rFonts w:ascii="Arial" w:eastAsia="Calibri" w:hAnsi="Arial" w:cs="Arial"/>
          <w:b/>
          <w:bCs/>
          <w:color w:val="000000" w:themeColor="text1"/>
          <w:sz w:val="22"/>
        </w:rPr>
        <w:t xml:space="preserve"> – </w:t>
      </w:r>
      <w:r>
        <w:rPr>
          <w:rFonts w:ascii="Arial" w:eastAsia="Calibri" w:hAnsi="Arial" w:cs="Arial"/>
          <w:b/>
          <w:bCs/>
          <w:color w:val="000000" w:themeColor="text1"/>
          <w:sz w:val="22"/>
        </w:rPr>
        <w:t xml:space="preserve">Mínima cuantía </w:t>
      </w:r>
      <w:r w:rsidRPr="001001E6">
        <w:rPr>
          <w:rFonts w:ascii="Arial" w:eastAsia="Calibri" w:hAnsi="Arial" w:cs="Arial"/>
          <w:b/>
          <w:bCs/>
          <w:color w:val="000000" w:themeColor="text1"/>
          <w:sz w:val="22"/>
        </w:rPr>
        <w:t>–</w:t>
      </w:r>
      <w:r>
        <w:rPr>
          <w:rFonts w:ascii="Arial" w:eastAsia="Calibri" w:hAnsi="Arial" w:cs="Arial"/>
          <w:b/>
          <w:bCs/>
          <w:color w:val="000000" w:themeColor="text1"/>
          <w:sz w:val="22"/>
        </w:rPr>
        <w:t xml:space="preserve"> Eficacia directa</w:t>
      </w:r>
    </w:p>
    <w:p w14:paraId="7B836BEC" w14:textId="77777777" w:rsidR="008A7F71" w:rsidRPr="00766896" w:rsidRDefault="008A7F71" w:rsidP="008A7F71">
      <w:pPr>
        <w:rPr>
          <w:rFonts w:ascii="Arial" w:hAnsi="Arial" w:cs="Arial"/>
          <w:noProof/>
          <w:color w:val="000000" w:themeColor="text1"/>
          <w:sz w:val="22"/>
          <w:lang w:val="es-ES_tradnl"/>
        </w:rPr>
      </w:pPr>
    </w:p>
    <w:p w14:paraId="7BD0361D" w14:textId="77777777" w:rsidR="008A7F71" w:rsidRPr="004602E2" w:rsidRDefault="008A7F71" w:rsidP="008A7F71">
      <w:pPr>
        <w:tabs>
          <w:tab w:val="left" w:pos="709"/>
        </w:tabs>
        <w:jc w:val="both"/>
        <w:rPr>
          <w:rFonts w:ascii="Arial" w:eastAsia="Calibri" w:hAnsi="Arial" w:cs="Arial"/>
          <w:bCs/>
          <w:color w:val="000000" w:themeColor="text1"/>
          <w:sz w:val="20"/>
          <w:szCs w:val="20"/>
          <w:lang w:val="es-ES_tradnl"/>
        </w:rPr>
      </w:pPr>
      <w:r w:rsidRPr="004602E2">
        <w:rPr>
          <w:rFonts w:ascii="Arial" w:eastAsia="Calibri" w:hAnsi="Arial" w:cs="Arial"/>
          <w:bCs/>
          <w:color w:val="000000" w:themeColor="text1"/>
          <w:sz w:val="20"/>
          <w:szCs w:val="20"/>
        </w:rPr>
        <w:t xml:space="preserve">El artículo 30 de la Ley 2069 de 2020 modifica el numeral 5 del artículo 2 de la Ley 1150 de 2007, el cual regula la mínima cuantía. </w:t>
      </w:r>
      <w:r w:rsidRPr="004602E2">
        <w:rPr>
          <w:rFonts w:ascii="Arial" w:eastAsia="Calibri" w:hAnsi="Arial" w:cs="Arial"/>
          <w:bCs/>
          <w:color w:val="000000" w:themeColor="text1"/>
          <w:sz w:val="20"/>
          <w:szCs w:val="20"/>
          <w:lang w:val="es-ES_tradnl"/>
        </w:rPr>
        <w:t>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7DB900A0" w14:textId="77777777" w:rsidR="008A7F71" w:rsidRDefault="008A7F71" w:rsidP="008A7F71">
      <w:pPr>
        <w:jc w:val="both"/>
        <w:rPr>
          <w:rFonts w:ascii="Arial" w:eastAsia="Calibri" w:hAnsi="Arial" w:cs="Arial"/>
          <w:bCs/>
          <w:color w:val="000000" w:themeColor="text1"/>
          <w:sz w:val="20"/>
          <w:szCs w:val="20"/>
          <w:lang w:val="es-ES_tradnl"/>
        </w:rPr>
      </w:pPr>
    </w:p>
    <w:p w14:paraId="3D59F156" w14:textId="77777777" w:rsidR="008A7F71" w:rsidRPr="004602E2" w:rsidRDefault="008A7F71" w:rsidP="008A7F71">
      <w:pPr>
        <w:jc w:val="both"/>
        <w:rPr>
          <w:rFonts w:ascii="Arial" w:hAnsi="Arial" w:cs="Arial"/>
          <w:noProof/>
          <w:color w:val="000000" w:themeColor="text1"/>
          <w:sz w:val="20"/>
          <w:szCs w:val="20"/>
          <w:lang w:val="es-ES_tradnl"/>
        </w:rPr>
      </w:pPr>
      <w:r w:rsidRPr="004602E2">
        <w:rPr>
          <w:rFonts w:ascii="Arial" w:eastAsia="Calibri" w:hAnsi="Arial" w:cs="Arial"/>
          <w:bCs/>
          <w:color w:val="000000" w:themeColor="text1"/>
          <w:sz w:val="20"/>
          <w:szCs w:val="20"/>
          <w:lang w:val="es-ES_tradnl"/>
        </w:rPr>
        <w:t xml:space="preserve">En esencia, </w:t>
      </w:r>
      <w:r w:rsidRPr="004602E2">
        <w:rPr>
          <w:rFonts w:ascii="Arial" w:eastAsia="Calibri" w:hAnsi="Arial" w:cs="Arial"/>
          <w:bCs/>
          <w:color w:val="000000" w:themeColor="text1"/>
          <w:sz w:val="20"/>
          <w:szCs w:val="20"/>
        </w:rPr>
        <w:t xml:space="preserve">el artículo 30 de la Ley 2069 de 2020 conserva a grandes rasgos el procedimiento previsto en el derogado </w:t>
      </w:r>
      <w:r w:rsidRPr="004602E2">
        <w:rPr>
          <w:rFonts w:ascii="Arial" w:eastAsia="Calibri" w:hAnsi="Arial" w:cs="Arial"/>
          <w:bCs/>
          <w:color w:val="000000" w:themeColor="text1"/>
          <w:sz w:val="20"/>
          <w:szCs w:val="20"/>
          <w:lang w:val="es-ES_tradnl"/>
        </w:rPr>
        <w:t xml:space="preserve">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w:t>
      </w:r>
      <w:r w:rsidRPr="004602E2">
        <w:rPr>
          <w:rFonts w:ascii="Arial" w:eastAsia="Calibri" w:hAnsi="Arial" w:cs="Arial"/>
          <w:bCs/>
          <w:i/>
          <w:iCs/>
          <w:color w:val="000000" w:themeColor="text1"/>
          <w:sz w:val="20"/>
          <w:szCs w:val="20"/>
          <w:lang w:val="es-ES_tradnl"/>
        </w:rPr>
        <w:t xml:space="preserve">a </w:t>
      </w:r>
      <w:proofErr w:type="spellStart"/>
      <w:r w:rsidRPr="004602E2">
        <w:rPr>
          <w:rFonts w:ascii="Arial" w:eastAsia="Calibri" w:hAnsi="Arial" w:cs="Arial"/>
          <w:bCs/>
          <w:i/>
          <w:iCs/>
          <w:color w:val="000000" w:themeColor="text1"/>
          <w:sz w:val="20"/>
          <w:szCs w:val="20"/>
          <w:lang w:val="es-ES_tradnl"/>
        </w:rPr>
        <w:t>Mipymes</w:t>
      </w:r>
      <w:proofErr w:type="spellEnd"/>
      <w:r w:rsidRPr="004602E2">
        <w:rPr>
          <w:rFonts w:ascii="Arial" w:eastAsia="Calibri" w:hAnsi="Arial" w:cs="Arial"/>
          <w:bCs/>
          <w:color w:val="000000" w:themeColor="text1"/>
          <w:sz w:val="20"/>
          <w:szCs w:val="20"/>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w:t>
      </w:r>
    </w:p>
    <w:p w14:paraId="3E8C49C8" w14:textId="77777777" w:rsidR="008A7F71" w:rsidRDefault="008A7F71" w:rsidP="008A7F71">
      <w:pPr>
        <w:jc w:val="both"/>
        <w:rPr>
          <w:rFonts w:ascii="Arial" w:hAnsi="Arial" w:cs="Arial"/>
          <w:noProof/>
          <w:color w:val="000000" w:themeColor="text1"/>
          <w:sz w:val="22"/>
          <w:lang w:val="es-ES_tradnl"/>
        </w:rPr>
      </w:pPr>
    </w:p>
    <w:p w14:paraId="26F759D2" w14:textId="77777777" w:rsidR="008A7F71" w:rsidRPr="001001E6" w:rsidRDefault="008A7F71" w:rsidP="008A7F71">
      <w:pPr>
        <w:jc w:val="both"/>
        <w:rPr>
          <w:rFonts w:ascii="Arial" w:eastAsia="Calibri" w:hAnsi="Arial" w:cs="Arial"/>
          <w:b/>
          <w:bCs/>
          <w:color w:val="000000" w:themeColor="text1"/>
          <w:sz w:val="22"/>
        </w:rPr>
      </w:pPr>
      <w:r>
        <w:rPr>
          <w:rFonts w:ascii="Arial" w:hAnsi="Arial" w:cs="Arial"/>
          <w:b/>
          <w:bCs/>
          <w:noProof/>
          <w:color w:val="000000" w:themeColor="text1"/>
          <w:sz w:val="22"/>
          <w:lang w:val="es-ES_tradnl"/>
        </w:rPr>
        <w:t>MÍNIMA CUANTÍA</w:t>
      </w:r>
      <w:r w:rsidRPr="001001E6">
        <w:rPr>
          <w:rFonts w:ascii="Arial" w:eastAsia="Calibri" w:hAnsi="Arial" w:cs="Arial"/>
          <w:b/>
          <w:bCs/>
          <w:color w:val="000000" w:themeColor="text1"/>
          <w:sz w:val="22"/>
        </w:rPr>
        <w:t xml:space="preserve"> – </w:t>
      </w:r>
      <w:r>
        <w:rPr>
          <w:rFonts w:ascii="Arial" w:eastAsia="Calibri" w:hAnsi="Arial" w:cs="Arial"/>
          <w:b/>
          <w:bCs/>
          <w:color w:val="000000" w:themeColor="text1"/>
          <w:sz w:val="22"/>
        </w:rPr>
        <w:t xml:space="preserve">Normas reglamentarias </w:t>
      </w:r>
      <w:r w:rsidRPr="001001E6">
        <w:rPr>
          <w:rFonts w:ascii="Arial" w:eastAsia="Calibri" w:hAnsi="Arial" w:cs="Arial"/>
          <w:b/>
          <w:bCs/>
          <w:color w:val="000000" w:themeColor="text1"/>
          <w:sz w:val="22"/>
        </w:rPr>
        <w:t>–</w:t>
      </w:r>
      <w:r>
        <w:rPr>
          <w:rFonts w:ascii="Arial" w:eastAsia="Calibri" w:hAnsi="Arial" w:cs="Arial"/>
          <w:b/>
          <w:bCs/>
          <w:color w:val="000000" w:themeColor="text1"/>
          <w:sz w:val="22"/>
        </w:rPr>
        <w:t xml:space="preserve"> Decreto 1082 de 2015 </w:t>
      </w:r>
      <w:r w:rsidRPr="001001E6">
        <w:rPr>
          <w:rFonts w:ascii="Arial" w:eastAsia="Calibri" w:hAnsi="Arial" w:cs="Arial"/>
          <w:b/>
          <w:bCs/>
          <w:color w:val="000000" w:themeColor="text1"/>
          <w:sz w:val="22"/>
        </w:rPr>
        <w:t>–</w:t>
      </w:r>
      <w:r>
        <w:rPr>
          <w:rFonts w:ascii="Arial" w:eastAsia="Calibri" w:hAnsi="Arial" w:cs="Arial"/>
          <w:b/>
          <w:bCs/>
          <w:color w:val="000000" w:themeColor="text1"/>
          <w:sz w:val="22"/>
        </w:rPr>
        <w:t>Vigencia</w:t>
      </w:r>
    </w:p>
    <w:p w14:paraId="7A3D90CC" w14:textId="77777777" w:rsidR="008A7F71" w:rsidRDefault="008A7F71" w:rsidP="008A7F71">
      <w:pPr>
        <w:jc w:val="both"/>
        <w:rPr>
          <w:rFonts w:ascii="Arial" w:hAnsi="Arial" w:cs="Arial"/>
          <w:noProof/>
          <w:color w:val="000000" w:themeColor="text1"/>
          <w:sz w:val="22"/>
        </w:rPr>
      </w:pPr>
    </w:p>
    <w:p w14:paraId="26E8D533" w14:textId="77777777" w:rsidR="008A7F71" w:rsidRPr="004602E2" w:rsidRDefault="008A7F71" w:rsidP="008A7F71">
      <w:pPr>
        <w:tabs>
          <w:tab w:val="left" w:pos="709"/>
        </w:tabs>
        <w:jc w:val="both"/>
        <w:rPr>
          <w:rFonts w:ascii="Arial" w:eastAsia="Calibri" w:hAnsi="Arial" w:cs="Arial"/>
          <w:color w:val="000000" w:themeColor="text1"/>
          <w:sz w:val="20"/>
          <w:szCs w:val="20"/>
          <w:lang w:val="es-ES_tradnl"/>
        </w:rPr>
      </w:pPr>
      <w:r w:rsidRPr="004602E2">
        <w:rPr>
          <w:rFonts w:ascii="Arial" w:eastAsia="Calibri" w:hAnsi="Arial" w:cs="Arial"/>
          <w:color w:val="000000" w:themeColor="text1"/>
          <w:sz w:val="20"/>
          <w:szCs w:val="20"/>
          <w:lang w:val="es-ES_tradnl"/>
        </w:rPr>
        <w:t xml:space="preserve">Conforme a lo explicado en la parte considerativa, continúan vigentes las normas reglamentarias sobre la mínima cuantía. 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4602E2">
        <w:rPr>
          <w:rFonts w:ascii="Arial" w:eastAsia="Calibri" w:hAnsi="Arial" w:cs="Arial"/>
          <w:color w:val="000000" w:themeColor="text1"/>
          <w:sz w:val="20"/>
          <w:szCs w:val="20"/>
          <w:lang w:val="es-ES_tradnl"/>
        </w:rPr>
        <w:t>mypimes</w:t>
      </w:r>
      <w:proofErr w:type="spellEnd"/>
      <w:r w:rsidRPr="004602E2">
        <w:rPr>
          <w:rFonts w:ascii="Arial" w:eastAsia="Calibri" w:hAnsi="Arial" w:cs="Arial"/>
          <w:color w:val="000000" w:themeColor="text1"/>
          <w:sz w:val="20"/>
          <w:szCs w:val="20"/>
          <w:lang w:val="es-ES_tradnl"/>
        </w:rPr>
        <w:t xml:space="preserve"> en la mínima cuantía, el desarrollo reglamentario de este tema hace parte del artículo 34 </w:t>
      </w:r>
      <w:r w:rsidRPr="004602E2">
        <w:rPr>
          <w:rFonts w:ascii="Arial" w:eastAsia="Calibri" w:hAnsi="Arial" w:cs="Arial"/>
          <w:i/>
          <w:iCs/>
          <w:color w:val="000000" w:themeColor="text1"/>
          <w:sz w:val="20"/>
          <w:szCs w:val="20"/>
          <w:lang w:val="es-ES_tradnl"/>
        </w:rPr>
        <w:t>ibídem</w:t>
      </w:r>
      <w:r w:rsidRPr="004602E2">
        <w:rPr>
          <w:rFonts w:ascii="Arial" w:eastAsia="Calibri" w:hAnsi="Arial" w:cs="Arial"/>
          <w:color w:val="000000" w:themeColor="text1"/>
          <w:sz w:val="20"/>
          <w:szCs w:val="20"/>
          <w:lang w:val="es-ES_tradnl"/>
        </w:rPr>
        <w:t xml:space="preserve">.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las normas reglamentarias que lo desarrollan.    </w:t>
      </w:r>
    </w:p>
    <w:p w14:paraId="6342266D" w14:textId="77777777" w:rsidR="00C63BD7" w:rsidRPr="00A10614" w:rsidRDefault="00C63BD7" w:rsidP="002E77F0">
      <w:pPr>
        <w:jc w:val="both"/>
        <w:rPr>
          <w:rFonts w:ascii="Arial" w:eastAsia="Calibri" w:hAnsi="Arial" w:cs="Arial"/>
          <w:b/>
          <w:sz w:val="22"/>
          <w:lang w:val="es-ES_tradnl"/>
        </w:rPr>
      </w:pPr>
    </w:p>
    <w:p w14:paraId="6933BD68" w14:textId="77777777" w:rsidR="00C63BD7" w:rsidRPr="00A10614" w:rsidRDefault="00C63BD7" w:rsidP="002E77F0">
      <w:pPr>
        <w:jc w:val="both"/>
        <w:rPr>
          <w:rFonts w:ascii="Arial" w:eastAsia="Calibri" w:hAnsi="Arial" w:cs="Arial"/>
          <w:b/>
          <w:sz w:val="22"/>
          <w:lang w:val="es-ES_tradnl"/>
        </w:rPr>
      </w:pPr>
    </w:p>
    <w:p w14:paraId="5B3C1D2F" w14:textId="77777777" w:rsidR="007B5F71" w:rsidRPr="00A10614" w:rsidRDefault="007B5F71" w:rsidP="00BE6860">
      <w:pPr>
        <w:spacing w:after="160" w:line="259" w:lineRule="auto"/>
        <w:rPr>
          <w:rFonts w:ascii="Arial" w:hAnsi="Arial" w:cs="Arial"/>
          <w:noProof/>
          <w:color w:val="000000" w:themeColor="text1"/>
          <w:sz w:val="22"/>
          <w:lang w:val="es-ES_tradnl"/>
        </w:rPr>
      </w:pPr>
    </w:p>
    <w:p w14:paraId="10586815" w14:textId="77777777" w:rsidR="007B5F71" w:rsidRPr="00A10614" w:rsidRDefault="007B5F71" w:rsidP="00BE6860">
      <w:pPr>
        <w:spacing w:after="160" w:line="259" w:lineRule="auto"/>
        <w:rPr>
          <w:rFonts w:ascii="Arial" w:hAnsi="Arial" w:cs="Arial"/>
          <w:noProof/>
          <w:color w:val="000000" w:themeColor="text1"/>
          <w:sz w:val="22"/>
          <w:lang w:val="es-ES_tradnl"/>
        </w:rPr>
      </w:pPr>
    </w:p>
    <w:p w14:paraId="7CF53212" w14:textId="77777777" w:rsidR="007B5F71" w:rsidRPr="00A10614" w:rsidRDefault="007B5F71" w:rsidP="00BE6860">
      <w:pPr>
        <w:spacing w:after="160" w:line="259" w:lineRule="auto"/>
        <w:rPr>
          <w:rFonts w:ascii="Arial" w:hAnsi="Arial" w:cs="Arial"/>
          <w:noProof/>
          <w:color w:val="000000" w:themeColor="text1"/>
          <w:sz w:val="22"/>
          <w:lang w:val="es-ES_tradnl"/>
        </w:rPr>
      </w:pPr>
    </w:p>
    <w:p w14:paraId="34BFD675" w14:textId="77777777" w:rsidR="007B5F71" w:rsidRPr="00A10614" w:rsidRDefault="007B5F71" w:rsidP="00BE6860">
      <w:pPr>
        <w:spacing w:after="160" w:line="259" w:lineRule="auto"/>
        <w:rPr>
          <w:rFonts w:ascii="Arial" w:hAnsi="Arial" w:cs="Arial"/>
          <w:noProof/>
          <w:color w:val="000000" w:themeColor="text1"/>
          <w:sz w:val="22"/>
          <w:lang w:val="es-ES_tradnl"/>
        </w:rPr>
      </w:pPr>
    </w:p>
    <w:p w14:paraId="2D77BFB4" w14:textId="77777777" w:rsidR="007B5F71" w:rsidRPr="00A10614" w:rsidRDefault="007B5F71" w:rsidP="00BE6860">
      <w:pPr>
        <w:spacing w:after="160" w:line="259" w:lineRule="auto"/>
        <w:rPr>
          <w:rFonts w:ascii="Arial" w:hAnsi="Arial" w:cs="Arial"/>
          <w:noProof/>
          <w:color w:val="000000" w:themeColor="text1"/>
          <w:sz w:val="22"/>
          <w:lang w:val="es-ES_tradnl"/>
        </w:rPr>
      </w:pPr>
    </w:p>
    <w:p w14:paraId="3D2E70E1" w14:textId="77777777" w:rsidR="00C63BD7" w:rsidRPr="00A10614" w:rsidRDefault="00C63BD7" w:rsidP="00BE6860">
      <w:pPr>
        <w:spacing w:after="160" w:line="259" w:lineRule="auto"/>
        <w:rPr>
          <w:rFonts w:ascii="Arial" w:hAnsi="Arial" w:cs="Arial"/>
          <w:noProof/>
          <w:color w:val="000000" w:themeColor="text1"/>
          <w:sz w:val="22"/>
          <w:lang w:val="es-ES_tradnl"/>
        </w:rPr>
      </w:pPr>
    </w:p>
    <w:p w14:paraId="230F310F" w14:textId="77777777" w:rsidR="000F7A80" w:rsidRPr="00A10614" w:rsidRDefault="000F7A80" w:rsidP="00E242BA">
      <w:pPr>
        <w:spacing w:line="259" w:lineRule="auto"/>
        <w:rPr>
          <w:rFonts w:ascii="Arial" w:hAnsi="Arial" w:cs="Arial"/>
          <w:noProof/>
          <w:color w:val="000000" w:themeColor="text1"/>
          <w:sz w:val="22"/>
          <w:lang w:val="es-ES_tradnl"/>
        </w:rPr>
      </w:pPr>
    </w:p>
    <w:p w14:paraId="75B2EC9C" w14:textId="77777777" w:rsidR="000F7A80" w:rsidRPr="00A10614" w:rsidRDefault="000F7A80" w:rsidP="00E242BA">
      <w:pPr>
        <w:spacing w:line="259" w:lineRule="auto"/>
        <w:rPr>
          <w:rFonts w:ascii="Arial" w:hAnsi="Arial" w:cs="Arial"/>
          <w:noProof/>
          <w:color w:val="000000" w:themeColor="text1"/>
          <w:sz w:val="22"/>
          <w:lang w:val="es-ES_tradnl"/>
        </w:rPr>
      </w:pPr>
    </w:p>
    <w:p w14:paraId="15C581A6" w14:textId="77777777" w:rsidR="008A7F71" w:rsidRDefault="008A7F71" w:rsidP="00BE6860">
      <w:pPr>
        <w:spacing w:after="160" w:line="259" w:lineRule="auto"/>
        <w:rPr>
          <w:rFonts w:ascii="Arial" w:hAnsi="Arial" w:cs="Arial"/>
          <w:noProof/>
          <w:color w:val="000000" w:themeColor="text1"/>
          <w:sz w:val="22"/>
          <w:lang w:val="es-ES_tradnl"/>
        </w:rPr>
      </w:pPr>
    </w:p>
    <w:p w14:paraId="3279BFC3" w14:textId="77777777" w:rsidR="008A7F71" w:rsidRDefault="008A7F71" w:rsidP="00BE6860">
      <w:pPr>
        <w:spacing w:after="160" w:line="259" w:lineRule="auto"/>
        <w:rPr>
          <w:rFonts w:ascii="Arial" w:hAnsi="Arial" w:cs="Arial"/>
          <w:noProof/>
          <w:color w:val="000000" w:themeColor="text1"/>
          <w:sz w:val="22"/>
          <w:lang w:val="es-ES_tradnl"/>
        </w:rPr>
      </w:pPr>
    </w:p>
    <w:p w14:paraId="7DD48F49" w14:textId="4E6D359B" w:rsidR="00B95C30" w:rsidRPr="00A10614" w:rsidRDefault="00B95C30" w:rsidP="00BE6860">
      <w:pPr>
        <w:spacing w:after="160" w:line="259" w:lineRule="auto"/>
        <w:rPr>
          <w:rFonts w:ascii="Arial" w:eastAsia="Calibri" w:hAnsi="Arial" w:cs="Arial"/>
          <w:bCs/>
          <w:color w:val="000000" w:themeColor="text1"/>
          <w:sz w:val="20"/>
          <w:szCs w:val="20"/>
          <w:lang w:val="es-ES"/>
        </w:rPr>
      </w:pPr>
      <w:r w:rsidRPr="00A10614">
        <w:rPr>
          <w:rFonts w:ascii="Arial" w:hAnsi="Arial" w:cs="Arial"/>
          <w:noProof/>
          <w:color w:val="000000" w:themeColor="text1"/>
          <w:sz w:val="22"/>
          <w:lang w:val="es-ES_tradnl"/>
        </w:rPr>
        <w:lastRenderedPageBreak/>
        <w:t xml:space="preserve">Bogotá D.C., </w:t>
      </w:r>
      <w:r w:rsidR="00791F7F">
        <w:rPr>
          <w:rFonts w:ascii="Arial" w:hAnsi="Arial" w:cs="Arial"/>
          <w:b/>
          <w:bCs/>
          <w:noProof/>
          <w:color w:val="000000" w:themeColor="text1"/>
          <w:sz w:val="22"/>
          <w:lang w:val="es-ES_tradnl"/>
        </w:rPr>
        <w:t>19/04/2021 08:01:15</w:t>
      </w:r>
    </w:p>
    <w:p w14:paraId="6D9E2677" w14:textId="6F0B5350" w:rsidR="001B5564" w:rsidRDefault="001B5564" w:rsidP="001B5564">
      <w:pPr>
        <w:jc w:val="right"/>
      </w:pPr>
      <w:r>
        <w:fldChar w:fldCharType="begin"/>
      </w:r>
      <w:r>
        <w:instrText xml:space="preserve"> INCLUDEPICTURE "/var/folders/5l/v1rdjm0x1x9416lmbj7_vjt40000gn/T/com.microsoft.Word/WebArchiveCopyPasteTempFiles/page1image1762400" \* MERGEFORMATINET </w:instrText>
      </w:r>
      <w:r>
        <w:fldChar w:fldCharType="separate"/>
      </w:r>
      <w:r>
        <w:rPr>
          <w:noProof/>
        </w:rPr>
        <w:drawing>
          <wp:inline distT="0" distB="0" distL="0" distR="0" wp14:anchorId="13102668" wp14:editId="22D20B61">
            <wp:extent cx="2400300" cy="612140"/>
            <wp:effectExtent l="0" t="0" r="0" b="0"/>
            <wp:docPr id="4" name="Imagen 4" descr="page1image176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624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140"/>
                    </a:xfrm>
                    <a:prstGeom prst="rect">
                      <a:avLst/>
                    </a:prstGeom>
                    <a:noFill/>
                    <a:ln>
                      <a:noFill/>
                    </a:ln>
                  </pic:spPr>
                </pic:pic>
              </a:graphicData>
            </a:graphic>
          </wp:inline>
        </w:drawing>
      </w:r>
      <w:r>
        <w:fldChar w:fldCharType="end"/>
      </w:r>
    </w:p>
    <w:p w14:paraId="6A8A869B" w14:textId="77777777" w:rsidR="00B95C30" w:rsidRPr="00A10614" w:rsidRDefault="00B95C30" w:rsidP="00B95C30">
      <w:pPr>
        <w:jc w:val="both"/>
        <w:rPr>
          <w:rFonts w:ascii="Arial" w:hAnsi="Arial" w:cs="Arial"/>
          <w:b/>
          <w:color w:val="000000" w:themeColor="text1"/>
          <w:sz w:val="22"/>
          <w:lang w:val="es-ES_tradnl"/>
        </w:rPr>
      </w:pPr>
    </w:p>
    <w:p w14:paraId="5F5AE9EF" w14:textId="3F39095E" w:rsidR="00B95C30" w:rsidRPr="00A10614" w:rsidRDefault="00B95C30" w:rsidP="00B95C30">
      <w:pPr>
        <w:jc w:val="both"/>
        <w:rPr>
          <w:rFonts w:ascii="Arial" w:eastAsia="Calibri" w:hAnsi="Arial" w:cs="Arial"/>
          <w:color w:val="000000" w:themeColor="text1"/>
          <w:sz w:val="22"/>
          <w:lang w:val="es-ES_tradnl"/>
        </w:rPr>
      </w:pPr>
      <w:r w:rsidRPr="00A10614">
        <w:rPr>
          <w:rFonts w:ascii="Arial" w:eastAsia="Calibri" w:hAnsi="Arial" w:cs="Arial"/>
          <w:color w:val="000000" w:themeColor="text1"/>
          <w:sz w:val="22"/>
          <w:lang w:val="es-ES_tradnl"/>
        </w:rPr>
        <w:t>Señor</w:t>
      </w:r>
      <w:r w:rsidR="00C875EC" w:rsidRPr="00A10614">
        <w:rPr>
          <w:rFonts w:ascii="Arial" w:eastAsia="Calibri" w:hAnsi="Arial" w:cs="Arial"/>
          <w:color w:val="000000" w:themeColor="text1"/>
          <w:sz w:val="22"/>
          <w:lang w:val="es-ES_tradnl"/>
        </w:rPr>
        <w:t>a</w:t>
      </w:r>
    </w:p>
    <w:p w14:paraId="6B9E9EA5" w14:textId="77777777" w:rsidR="00C875EC" w:rsidRPr="00A10614" w:rsidRDefault="00C875EC" w:rsidP="00B95C30">
      <w:pPr>
        <w:jc w:val="both"/>
        <w:rPr>
          <w:rFonts w:ascii="Arial" w:eastAsia="Calibri" w:hAnsi="Arial" w:cs="Arial"/>
          <w:b/>
          <w:color w:val="000000" w:themeColor="text1"/>
          <w:sz w:val="22"/>
          <w:lang w:val="es-ES_tradnl"/>
        </w:rPr>
      </w:pPr>
      <w:r w:rsidRPr="00A10614">
        <w:rPr>
          <w:rFonts w:ascii="Arial" w:eastAsia="Calibri" w:hAnsi="Arial" w:cs="Arial"/>
          <w:b/>
          <w:color w:val="000000" w:themeColor="text1"/>
          <w:sz w:val="22"/>
          <w:lang w:val="es-ES_tradnl"/>
        </w:rPr>
        <w:t>Nancy Judith Meza Hernández</w:t>
      </w:r>
    </w:p>
    <w:p w14:paraId="09D4AEA8" w14:textId="028582D9" w:rsidR="00B95C30" w:rsidRPr="00A10614" w:rsidRDefault="00C875EC" w:rsidP="00B95C30">
      <w:pPr>
        <w:jc w:val="both"/>
        <w:rPr>
          <w:rFonts w:ascii="Arial" w:eastAsia="Calibri" w:hAnsi="Arial" w:cs="Arial"/>
          <w:color w:val="000000" w:themeColor="text1"/>
          <w:sz w:val="22"/>
          <w:lang w:val="es-ES_tradnl"/>
        </w:rPr>
      </w:pPr>
      <w:r w:rsidRPr="00A10614">
        <w:rPr>
          <w:rFonts w:ascii="Arial" w:eastAsia="Calibri" w:hAnsi="Arial" w:cs="Arial"/>
          <w:color w:val="000000" w:themeColor="text1"/>
          <w:sz w:val="22"/>
          <w:lang w:val="es-ES_tradnl"/>
        </w:rPr>
        <w:t>Ciudad</w:t>
      </w:r>
    </w:p>
    <w:p w14:paraId="3F3D1203" w14:textId="77777777" w:rsidR="00B95C30" w:rsidRPr="00A10614" w:rsidRDefault="00B95C30" w:rsidP="00B95C30">
      <w:pPr>
        <w:jc w:val="both"/>
        <w:rPr>
          <w:rFonts w:ascii="Arial" w:eastAsia="Calibri" w:hAnsi="Arial" w:cs="Arial"/>
          <w:color w:val="000000" w:themeColor="text1"/>
          <w:sz w:val="22"/>
          <w:lang w:val="es-ES_tradnl"/>
        </w:rPr>
      </w:pPr>
    </w:p>
    <w:p w14:paraId="24E8D2A9" w14:textId="77777777" w:rsidR="00B95C30" w:rsidRPr="00A10614" w:rsidRDefault="00B95C30" w:rsidP="00B95C30">
      <w:pPr>
        <w:jc w:val="both"/>
        <w:rPr>
          <w:rFonts w:ascii="Arial" w:eastAsia="Calibri" w:hAnsi="Arial" w:cs="Arial"/>
          <w:color w:val="000000" w:themeColor="text1"/>
          <w:sz w:val="22"/>
          <w:lang w:val="es-ES_tradnl"/>
        </w:rPr>
      </w:pPr>
    </w:p>
    <w:p w14:paraId="12E66182" w14:textId="5BD9A186" w:rsidR="00B95C30" w:rsidRPr="00A10614" w:rsidRDefault="000F7A80" w:rsidP="00E242BA">
      <w:pPr>
        <w:rPr>
          <w:rFonts w:ascii="Arial" w:eastAsia="Calibri" w:hAnsi="Arial" w:cs="Arial"/>
          <w:b/>
          <w:bCs/>
          <w:color w:val="000000" w:themeColor="text1"/>
          <w:sz w:val="22"/>
          <w:lang w:val="es-ES_tradnl"/>
        </w:rPr>
      </w:pPr>
      <w:r w:rsidRPr="00A10614">
        <w:rPr>
          <w:rFonts w:ascii="Arial" w:eastAsia="Calibri" w:hAnsi="Arial" w:cs="Arial"/>
          <w:b/>
          <w:bCs/>
          <w:color w:val="000000" w:themeColor="text1"/>
          <w:sz w:val="22"/>
          <w:lang w:val="es-ES_tradnl"/>
        </w:rPr>
        <w:t xml:space="preserve">                                            </w:t>
      </w:r>
      <w:r w:rsidR="00B95C30" w:rsidRPr="00A10614">
        <w:rPr>
          <w:rFonts w:ascii="Arial" w:eastAsia="Calibri" w:hAnsi="Arial" w:cs="Arial"/>
          <w:b/>
          <w:bCs/>
          <w:color w:val="000000" w:themeColor="text1"/>
          <w:sz w:val="22"/>
          <w:lang w:val="es-ES_tradnl"/>
        </w:rPr>
        <w:t xml:space="preserve">Concepto C ‒ </w:t>
      </w:r>
      <w:r w:rsidR="006A442C" w:rsidRPr="00A10614">
        <w:rPr>
          <w:rFonts w:ascii="Arial" w:eastAsia="Calibri" w:hAnsi="Arial" w:cs="Arial"/>
          <w:b/>
          <w:bCs/>
          <w:color w:val="000000" w:themeColor="text1"/>
          <w:sz w:val="22"/>
          <w:lang w:val="es-ES_tradnl"/>
        </w:rPr>
        <w:t>164</w:t>
      </w:r>
      <w:r w:rsidR="00B95C30" w:rsidRPr="00A10614">
        <w:rPr>
          <w:rFonts w:ascii="Arial" w:eastAsia="Calibri" w:hAnsi="Arial" w:cs="Arial"/>
          <w:b/>
          <w:bCs/>
          <w:color w:val="000000" w:themeColor="text1"/>
          <w:sz w:val="22"/>
          <w:lang w:val="es-ES_tradnl"/>
        </w:rPr>
        <w:t xml:space="preserve"> de 202</w:t>
      </w:r>
      <w:r w:rsidR="00C56976" w:rsidRPr="00A10614">
        <w:rPr>
          <w:rFonts w:ascii="Arial" w:eastAsia="Calibri" w:hAnsi="Arial" w:cs="Arial"/>
          <w:b/>
          <w:bCs/>
          <w:color w:val="000000" w:themeColor="text1"/>
          <w:sz w:val="22"/>
          <w:lang w:val="es-ES_tradnl"/>
        </w:rPr>
        <w:t>1</w:t>
      </w:r>
    </w:p>
    <w:p w14:paraId="1BD594F9" w14:textId="77777777" w:rsidR="00B95C30" w:rsidRPr="00A10614"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10614" w14:paraId="19DFC051" w14:textId="77777777" w:rsidTr="002442D4">
        <w:tc>
          <w:tcPr>
            <w:tcW w:w="2689" w:type="dxa"/>
          </w:tcPr>
          <w:p w14:paraId="6BC0D1AC" w14:textId="77777777" w:rsidR="00B95C30" w:rsidRPr="00A10614" w:rsidRDefault="00B95C30" w:rsidP="002442D4">
            <w:pPr>
              <w:jc w:val="both"/>
              <w:rPr>
                <w:rFonts w:ascii="Arial" w:eastAsia="Calibri" w:hAnsi="Arial" w:cs="Arial"/>
                <w:color w:val="000000" w:themeColor="text1"/>
                <w:sz w:val="22"/>
                <w:lang w:val="es-ES_tradnl"/>
              </w:rPr>
            </w:pPr>
            <w:r w:rsidRPr="00A10614">
              <w:rPr>
                <w:rFonts w:ascii="Arial" w:eastAsia="Calibri" w:hAnsi="Arial" w:cs="Arial"/>
                <w:b/>
                <w:color w:val="000000" w:themeColor="text1"/>
                <w:sz w:val="22"/>
                <w:lang w:val="es-ES_tradnl"/>
              </w:rPr>
              <w:t>Temas:</w:t>
            </w:r>
            <w:r w:rsidRPr="00A10614">
              <w:rPr>
                <w:rFonts w:ascii="Arial" w:eastAsia="Calibri" w:hAnsi="Arial" w:cs="Arial"/>
                <w:color w:val="000000" w:themeColor="text1"/>
                <w:sz w:val="22"/>
                <w:lang w:val="es-ES_tradnl"/>
              </w:rPr>
              <w:t xml:space="preserve">                                      </w:t>
            </w:r>
          </w:p>
        </w:tc>
        <w:tc>
          <w:tcPr>
            <w:tcW w:w="6237" w:type="dxa"/>
          </w:tcPr>
          <w:p w14:paraId="5F389CAF" w14:textId="62884869" w:rsidR="00B95C30" w:rsidRPr="00A10614" w:rsidRDefault="004D536E" w:rsidP="0038512F">
            <w:pPr>
              <w:pStyle w:val="Sinespaciado"/>
              <w:jc w:val="both"/>
              <w:rPr>
                <w:rFonts w:ascii="Arial" w:hAnsi="Arial" w:cs="Arial"/>
                <w:bCs/>
                <w:sz w:val="22"/>
                <w:lang w:val="es-CO"/>
              </w:rPr>
            </w:pPr>
            <w:r w:rsidRPr="00A10614">
              <w:rPr>
                <w:rFonts w:ascii="Arial" w:eastAsia="Calibri" w:hAnsi="Arial" w:cs="Arial"/>
                <w:color w:val="000000" w:themeColor="text1"/>
                <w:sz w:val="22"/>
              </w:rPr>
              <w:t>SELECCIÓN OBJETIVA – Contratación estatal – Concepto / EMPATE – Procedimiento de selección – Concepto / FACTORES DE DESEMPATE – Características – Límites / LEY DE EMPRENDIMIENTO – Finalidad / RELACIÓN ENTRE LA LEY Y EL REGLAMENTO – Tesis de la aplicación directa – Tesis de la reglamentación – Diferencias / REGLAMENTACIÓN PREVIA – Ley 2069 de 2020 /</w:t>
            </w:r>
            <w:r w:rsidR="00743C38">
              <w:rPr>
                <w:rFonts w:ascii="Arial" w:eastAsia="Calibri" w:hAnsi="Arial" w:cs="Arial"/>
                <w:color w:val="000000" w:themeColor="text1"/>
                <w:sz w:val="22"/>
              </w:rPr>
              <w:t xml:space="preserve"> </w:t>
            </w:r>
            <w:r w:rsidR="00743C38" w:rsidRPr="00E22041">
              <w:rPr>
                <w:rFonts w:ascii="Arial" w:eastAsia="Calibri" w:hAnsi="Arial" w:cs="Arial"/>
                <w:color w:val="000000" w:themeColor="text1"/>
                <w:sz w:val="22"/>
              </w:rPr>
              <w:t>LEY 2069 DE 2020 – Mínima cuantía – Eficacia directa</w:t>
            </w:r>
            <w:r w:rsidR="00743C38">
              <w:rPr>
                <w:rFonts w:ascii="Arial" w:eastAsia="Calibri" w:hAnsi="Arial" w:cs="Arial"/>
                <w:color w:val="000000" w:themeColor="text1"/>
                <w:sz w:val="22"/>
              </w:rPr>
              <w:t xml:space="preserve"> / </w:t>
            </w:r>
            <w:r w:rsidR="00743C38" w:rsidRPr="00E22041">
              <w:rPr>
                <w:rFonts w:ascii="Arial" w:eastAsia="Calibri" w:hAnsi="Arial" w:cs="Arial"/>
                <w:color w:val="000000" w:themeColor="text1"/>
                <w:sz w:val="22"/>
              </w:rPr>
              <w:t>MÍNIMA CUANTÍA – Normas reglamentarias – Decreto 1082 de 2015 –Vigencia</w:t>
            </w:r>
            <w:r w:rsidR="00743C38" w:rsidRPr="00766896">
              <w:rPr>
                <w:rFonts w:ascii="Arial" w:eastAsia="Calibri" w:hAnsi="Arial" w:cs="Arial"/>
                <w:color w:val="000000" w:themeColor="text1"/>
                <w:sz w:val="22"/>
              </w:rPr>
              <w:t>.</w:t>
            </w:r>
            <w:r w:rsidRPr="00A10614">
              <w:rPr>
                <w:rFonts w:ascii="Arial" w:eastAsia="Calibri" w:hAnsi="Arial" w:cs="Arial"/>
                <w:color w:val="000000" w:themeColor="text1"/>
                <w:sz w:val="22"/>
              </w:rPr>
              <w:t xml:space="preserve"> </w:t>
            </w:r>
          </w:p>
        </w:tc>
      </w:tr>
      <w:tr w:rsidR="00B95C30" w:rsidRPr="00A10614" w14:paraId="27CD52AB" w14:textId="77777777" w:rsidTr="002442D4">
        <w:tc>
          <w:tcPr>
            <w:tcW w:w="2689" w:type="dxa"/>
          </w:tcPr>
          <w:p w14:paraId="37E195A1" w14:textId="4C368209" w:rsidR="00B95C30" w:rsidRPr="00A10614" w:rsidRDefault="00B95C30" w:rsidP="002442D4">
            <w:pPr>
              <w:spacing w:before="120"/>
              <w:jc w:val="both"/>
              <w:rPr>
                <w:rFonts w:ascii="Arial" w:eastAsia="Calibri" w:hAnsi="Arial" w:cs="Arial"/>
                <w:b/>
                <w:color w:val="000000" w:themeColor="text1"/>
                <w:sz w:val="22"/>
                <w:lang w:val="es-ES_tradnl"/>
              </w:rPr>
            </w:pPr>
            <w:r w:rsidRPr="00A10614">
              <w:rPr>
                <w:rFonts w:ascii="Arial" w:eastAsia="Calibri" w:hAnsi="Arial" w:cs="Arial"/>
                <w:b/>
                <w:color w:val="000000" w:themeColor="text1"/>
                <w:sz w:val="22"/>
                <w:lang w:val="es-ES_tradnl"/>
              </w:rPr>
              <w:t>Radicación:</w:t>
            </w:r>
            <w:r w:rsidRPr="00A10614">
              <w:rPr>
                <w:rFonts w:ascii="Arial" w:eastAsia="Calibri" w:hAnsi="Arial" w:cs="Arial"/>
                <w:color w:val="000000" w:themeColor="text1"/>
                <w:sz w:val="22"/>
                <w:lang w:val="es-ES_tradnl"/>
              </w:rPr>
              <w:t xml:space="preserve">                              </w:t>
            </w:r>
          </w:p>
        </w:tc>
        <w:tc>
          <w:tcPr>
            <w:tcW w:w="6237" w:type="dxa"/>
          </w:tcPr>
          <w:p w14:paraId="09088B1B" w14:textId="69754170" w:rsidR="00B95C30" w:rsidRPr="00A10614" w:rsidRDefault="00B95C30" w:rsidP="002442D4">
            <w:pPr>
              <w:spacing w:before="120"/>
              <w:jc w:val="both"/>
              <w:rPr>
                <w:rFonts w:ascii="Arial" w:eastAsia="Calibri" w:hAnsi="Arial" w:cs="Arial"/>
                <w:color w:val="000000" w:themeColor="text1"/>
                <w:sz w:val="22"/>
                <w:lang w:val="es-ES_tradnl"/>
              </w:rPr>
            </w:pPr>
            <w:r w:rsidRPr="00A10614">
              <w:rPr>
                <w:rFonts w:ascii="Arial" w:eastAsia="Calibri" w:hAnsi="Arial" w:cs="Arial"/>
                <w:color w:val="000000" w:themeColor="text1"/>
                <w:sz w:val="22"/>
                <w:lang w:val="es-ES_tradnl"/>
              </w:rPr>
              <w:t xml:space="preserve">Respuesta a consulta # </w:t>
            </w:r>
            <w:r w:rsidR="00911B04" w:rsidRPr="00A10614">
              <w:rPr>
                <w:rFonts w:ascii="Arial" w:eastAsia="Calibri" w:hAnsi="Arial" w:cs="Arial"/>
                <w:color w:val="000000" w:themeColor="text1"/>
                <w:sz w:val="22"/>
                <w:lang w:val="es-ES_tradnl"/>
              </w:rPr>
              <w:t>P20210303001768</w:t>
            </w:r>
          </w:p>
        </w:tc>
      </w:tr>
    </w:tbl>
    <w:p w14:paraId="265C29B0" w14:textId="77777777" w:rsidR="00C63D8F" w:rsidRPr="00A10614" w:rsidRDefault="00C63D8F" w:rsidP="003C3339">
      <w:pPr>
        <w:jc w:val="both"/>
        <w:rPr>
          <w:rFonts w:ascii="Arial" w:eastAsia="Calibri" w:hAnsi="Arial" w:cs="Arial"/>
          <w:color w:val="000000" w:themeColor="text1"/>
          <w:sz w:val="22"/>
          <w:lang w:val="es-ES_tradnl"/>
        </w:rPr>
      </w:pPr>
    </w:p>
    <w:p w14:paraId="082E84BD" w14:textId="77777777" w:rsidR="00C63D8F" w:rsidRPr="00A10614" w:rsidRDefault="00C63D8F" w:rsidP="003C3339">
      <w:pPr>
        <w:jc w:val="both"/>
        <w:rPr>
          <w:rFonts w:ascii="Arial" w:eastAsia="Calibri" w:hAnsi="Arial" w:cs="Arial"/>
          <w:color w:val="000000" w:themeColor="text1"/>
          <w:sz w:val="22"/>
          <w:lang w:val="es-ES_tradnl"/>
        </w:rPr>
      </w:pPr>
    </w:p>
    <w:p w14:paraId="1CF4AEA0" w14:textId="38B80F44" w:rsidR="003C3339" w:rsidRPr="00A10614" w:rsidRDefault="003C3339" w:rsidP="003C3339">
      <w:pPr>
        <w:jc w:val="both"/>
        <w:rPr>
          <w:rFonts w:ascii="Arial" w:eastAsia="Calibri" w:hAnsi="Arial" w:cs="Arial"/>
          <w:color w:val="000000" w:themeColor="text1"/>
          <w:sz w:val="22"/>
          <w:lang w:val="es-ES_tradnl"/>
        </w:rPr>
      </w:pPr>
      <w:r w:rsidRPr="00A10614">
        <w:rPr>
          <w:rFonts w:ascii="Arial" w:eastAsia="Calibri" w:hAnsi="Arial" w:cs="Arial"/>
          <w:color w:val="000000" w:themeColor="text1"/>
          <w:sz w:val="22"/>
          <w:lang w:val="es-ES_tradnl"/>
        </w:rPr>
        <w:t>Estimad</w:t>
      </w:r>
      <w:r w:rsidR="00C875EC" w:rsidRPr="00A10614">
        <w:rPr>
          <w:rFonts w:ascii="Arial" w:eastAsia="Calibri" w:hAnsi="Arial" w:cs="Arial"/>
          <w:color w:val="000000" w:themeColor="text1"/>
          <w:sz w:val="22"/>
          <w:lang w:val="es-ES_tradnl"/>
        </w:rPr>
        <w:t>a</w:t>
      </w:r>
      <w:r w:rsidRPr="00A10614">
        <w:rPr>
          <w:rFonts w:ascii="Arial" w:eastAsia="Calibri" w:hAnsi="Arial" w:cs="Arial"/>
          <w:color w:val="000000" w:themeColor="text1"/>
          <w:sz w:val="22"/>
          <w:lang w:val="es-ES_tradnl"/>
        </w:rPr>
        <w:t xml:space="preserve"> </w:t>
      </w:r>
      <w:r w:rsidR="00677E9C" w:rsidRPr="00A10614">
        <w:rPr>
          <w:rFonts w:ascii="Arial" w:eastAsia="Calibri" w:hAnsi="Arial" w:cs="Arial"/>
          <w:color w:val="000000" w:themeColor="text1"/>
          <w:sz w:val="22"/>
          <w:lang w:val="es-ES_tradnl"/>
        </w:rPr>
        <w:t>señor</w:t>
      </w:r>
      <w:r w:rsidR="00C875EC" w:rsidRPr="00A10614">
        <w:rPr>
          <w:rFonts w:ascii="Arial" w:eastAsia="Calibri" w:hAnsi="Arial" w:cs="Arial"/>
          <w:color w:val="000000" w:themeColor="text1"/>
          <w:sz w:val="22"/>
          <w:lang w:val="es-ES_tradnl"/>
        </w:rPr>
        <w:t>a</w:t>
      </w:r>
      <w:r w:rsidR="00677E9C" w:rsidRPr="00A10614">
        <w:rPr>
          <w:rFonts w:ascii="Arial" w:eastAsia="Calibri" w:hAnsi="Arial" w:cs="Arial"/>
          <w:color w:val="000000" w:themeColor="text1"/>
          <w:sz w:val="22"/>
          <w:lang w:val="es-ES_tradnl"/>
        </w:rPr>
        <w:t xml:space="preserve"> </w:t>
      </w:r>
      <w:r w:rsidR="00C875EC" w:rsidRPr="00A10614">
        <w:rPr>
          <w:rFonts w:ascii="Arial" w:eastAsia="Calibri" w:hAnsi="Arial" w:cs="Arial"/>
          <w:color w:val="000000" w:themeColor="text1"/>
          <w:sz w:val="22"/>
          <w:lang w:val="es-ES_tradnl"/>
        </w:rPr>
        <w:t>Meza</w:t>
      </w:r>
      <w:r w:rsidRPr="00A10614">
        <w:rPr>
          <w:rFonts w:ascii="Arial" w:eastAsia="Calibri" w:hAnsi="Arial" w:cs="Arial"/>
          <w:color w:val="000000" w:themeColor="text1"/>
          <w:sz w:val="22"/>
          <w:lang w:val="es-ES_tradnl"/>
        </w:rPr>
        <w:t>:</w:t>
      </w:r>
    </w:p>
    <w:p w14:paraId="1EAE5543" w14:textId="77777777" w:rsidR="00DD5B04" w:rsidRPr="00A10614" w:rsidRDefault="00DD5B04" w:rsidP="00DF76A2">
      <w:pPr>
        <w:jc w:val="both"/>
        <w:rPr>
          <w:rFonts w:ascii="Arial" w:eastAsia="Calibri" w:hAnsi="Arial" w:cs="Arial"/>
          <w:color w:val="000000" w:themeColor="text1"/>
          <w:sz w:val="22"/>
          <w:lang w:val="es-ES_tradnl"/>
        </w:rPr>
      </w:pPr>
    </w:p>
    <w:p w14:paraId="2109B2D3" w14:textId="6F5DF907" w:rsidR="00DD5B04" w:rsidRPr="00A10614" w:rsidRDefault="00DD5B04" w:rsidP="00DF76A2">
      <w:pPr>
        <w:spacing w:line="276" w:lineRule="auto"/>
        <w:jc w:val="both"/>
        <w:rPr>
          <w:rFonts w:ascii="Arial" w:eastAsia="Calibri" w:hAnsi="Arial" w:cs="Arial"/>
          <w:color w:val="000000" w:themeColor="text1"/>
          <w:sz w:val="22"/>
          <w:lang w:val="es-ES_tradnl"/>
        </w:rPr>
      </w:pPr>
      <w:r w:rsidRPr="00A10614">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A10614">
        <w:rPr>
          <w:rFonts w:ascii="Arial" w:eastAsia="Calibri" w:hAnsi="Arial" w:cs="Arial"/>
          <w:color w:val="000000" w:themeColor="text1"/>
          <w:sz w:val="22"/>
          <w:lang w:val="es-ES_tradnl"/>
        </w:rPr>
        <w:t xml:space="preserve"> </w:t>
      </w:r>
      <w:r w:rsidRPr="00A10614">
        <w:rPr>
          <w:rFonts w:ascii="Arial" w:eastAsia="Calibri" w:hAnsi="Arial" w:cs="Arial"/>
          <w:color w:val="000000" w:themeColor="text1"/>
          <w:sz w:val="22"/>
          <w:lang w:val="es-ES_tradnl"/>
        </w:rPr>
        <w:t>la Agencia Nacional de Contratación Pública ― Colombia Compra Eficiente</w:t>
      </w:r>
      <w:r w:rsidR="008C3C57" w:rsidRPr="00A10614">
        <w:rPr>
          <w:rFonts w:ascii="Arial" w:eastAsia="Calibri" w:hAnsi="Arial" w:cs="Arial"/>
          <w:color w:val="000000" w:themeColor="text1"/>
          <w:sz w:val="22"/>
          <w:lang w:val="es-ES_tradnl"/>
        </w:rPr>
        <w:t xml:space="preserve"> </w:t>
      </w:r>
      <w:r w:rsidRPr="00A10614">
        <w:rPr>
          <w:rFonts w:ascii="Arial" w:eastAsia="Calibri" w:hAnsi="Arial" w:cs="Arial"/>
          <w:color w:val="000000" w:themeColor="text1"/>
          <w:sz w:val="22"/>
          <w:lang w:val="es-ES_tradnl"/>
        </w:rPr>
        <w:t xml:space="preserve">responde su consulta del </w:t>
      </w:r>
      <w:r w:rsidR="009D1F8D" w:rsidRPr="00A10614">
        <w:rPr>
          <w:rFonts w:ascii="Arial" w:eastAsia="Calibri" w:hAnsi="Arial" w:cs="Arial"/>
          <w:color w:val="000000" w:themeColor="text1"/>
          <w:sz w:val="22"/>
          <w:lang w:val="es-ES_tradnl"/>
        </w:rPr>
        <w:t>3</w:t>
      </w:r>
      <w:r w:rsidR="00FD4AF3" w:rsidRPr="00A10614">
        <w:rPr>
          <w:rFonts w:ascii="Arial" w:eastAsia="Calibri" w:hAnsi="Arial" w:cs="Arial"/>
          <w:color w:val="000000" w:themeColor="text1"/>
          <w:sz w:val="22"/>
          <w:lang w:val="es-ES_tradnl"/>
        </w:rPr>
        <w:t xml:space="preserve"> de </w:t>
      </w:r>
      <w:r w:rsidR="00367A7A" w:rsidRPr="00A10614">
        <w:rPr>
          <w:rFonts w:ascii="Arial" w:eastAsia="Calibri" w:hAnsi="Arial" w:cs="Arial"/>
          <w:color w:val="000000" w:themeColor="text1"/>
          <w:sz w:val="22"/>
          <w:lang w:val="es-ES_tradnl"/>
        </w:rPr>
        <w:t>marzo</w:t>
      </w:r>
      <w:r w:rsidRPr="00A10614">
        <w:rPr>
          <w:rFonts w:ascii="Arial" w:eastAsia="Calibri" w:hAnsi="Arial" w:cs="Arial"/>
          <w:color w:val="000000" w:themeColor="text1"/>
          <w:sz w:val="22"/>
          <w:lang w:val="es-ES_tradnl"/>
        </w:rPr>
        <w:t xml:space="preserve"> del</w:t>
      </w:r>
      <w:r w:rsidR="007E74BF" w:rsidRPr="00A10614">
        <w:rPr>
          <w:rFonts w:ascii="Arial" w:eastAsia="Calibri" w:hAnsi="Arial" w:cs="Arial"/>
          <w:color w:val="000000" w:themeColor="text1"/>
          <w:sz w:val="22"/>
          <w:lang w:val="es-ES_tradnl"/>
        </w:rPr>
        <w:t xml:space="preserve"> </w:t>
      </w:r>
      <w:r w:rsidRPr="00A10614">
        <w:rPr>
          <w:rFonts w:ascii="Arial" w:eastAsia="Calibri" w:hAnsi="Arial" w:cs="Arial"/>
          <w:color w:val="000000" w:themeColor="text1"/>
          <w:sz w:val="22"/>
          <w:lang w:val="es-ES_tradnl"/>
        </w:rPr>
        <w:t>202</w:t>
      </w:r>
      <w:r w:rsidR="004673A8" w:rsidRPr="00A10614">
        <w:rPr>
          <w:rFonts w:ascii="Arial" w:eastAsia="Calibri" w:hAnsi="Arial" w:cs="Arial"/>
          <w:color w:val="000000" w:themeColor="text1"/>
          <w:sz w:val="22"/>
          <w:lang w:val="es-ES_tradnl"/>
        </w:rPr>
        <w:t>1</w:t>
      </w:r>
      <w:r w:rsidR="008C3C57" w:rsidRPr="00A10614">
        <w:rPr>
          <w:rFonts w:ascii="Arial" w:eastAsia="Calibri" w:hAnsi="Arial" w:cs="Arial"/>
          <w:color w:val="000000" w:themeColor="text1"/>
          <w:sz w:val="22"/>
          <w:lang w:val="es-ES_tradnl"/>
        </w:rPr>
        <w:t>.</w:t>
      </w:r>
    </w:p>
    <w:p w14:paraId="0C1E0712" w14:textId="77777777" w:rsidR="00DD5B04" w:rsidRPr="00A10614"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1061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10614">
        <w:rPr>
          <w:rFonts w:ascii="Arial" w:eastAsia="Calibri" w:hAnsi="Arial" w:cs="Arial"/>
          <w:b/>
          <w:color w:val="000000" w:themeColor="text1"/>
          <w:sz w:val="22"/>
          <w:lang w:val="es-ES_tradnl"/>
        </w:rPr>
        <w:t xml:space="preserve">Problema planteado </w:t>
      </w:r>
    </w:p>
    <w:p w14:paraId="224B43D3" w14:textId="77777777" w:rsidR="00DD5B04" w:rsidRPr="00A1061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A10614" w:rsidRDefault="00DD5B04" w:rsidP="0099583D">
      <w:pPr>
        <w:spacing w:line="276" w:lineRule="auto"/>
        <w:jc w:val="both"/>
        <w:rPr>
          <w:rFonts w:ascii="Arial" w:hAnsi="Arial" w:cs="Arial"/>
          <w:color w:val="000000" w:themeColor="text1"/>
          <w:sz w:val="22"/>
          <w:lang w:val="es-ES_tradnl"/>
        </w:rPr>
      </w:pPr>
      <w:r w:rsidRPr="00A10614">
        <w:rPr>
          <w:rFonts w:ascii="Arial" w:hAnsi="Arial" w:cs="Arial"/>
          <w:color w:val="000000" w:themeColor="text1"/>
          <w:sz w:val="22"/>
          <w:lang w:val="es-ES_tradnl"/>
        </w:rPr>
        <w:t xml:space="preserve">Usted </w:t>
      </w:r>
      <w:r w:rsidR="00B422C0" w:rsidRPr="00A10614">
        <w:rPr>
          <w:rFonts w:ascii="Arial" w:hAnsi="Arial" w:cs="Arial"/>
          <w:color w:val="000000" w:themeColor="text1"/>
          <w:sz w:val="22"/>
          <w:lang w:val="es-ES_tradnl"/>
        </w:rPr>
        <w:t>formula</w:t>
      </w:r>
      <w:r w:rsidR="006D46A3" w:rsidRPr="00A10614">
        <w:rPr>
          <w:rFonts w:ascii="Arial" w:hAnsi="Arial" w:cs="Arial"/>
          <w:color w:val="000000" w:themeColor="text1"/>
          <w:sz w:val="22"/>
          <w:lang w:val="es-ES_tradnl"/>
        </w:rPr>
        <w:t xml:space="preserve"> la siguiente </w:t>
      </w:r>
      <w:r w:rsidR="00B46915" w:rsidRPr="00A10614">
        <w:rPr>
          <w:rFonts w:ascii="Arial" w:hAnsi="Arial" w:cs="Arial"/>
          <w:color w:val="000000" w:themeColor="text1"/>
          <w:sz w:val="22"/>
          <w:lang w:val="es-ES_tradnl"/>
        </w:rPr>
        <w:t>consulta</w:t>
      </w:r>
      <w:r w:rsidR="000314BD" w:rsidRPr="00A10614">
        <w:rPr>
          <w:rFonts w:ascii="Arial" w:hAnsi="Arial" w:cs="Arial"/>
          <w:color w:val="000000" w:themeColor="text1"/>
          <w:sz w:val="22"/>
          <w:lang w:val="es-ES_tradnl"/>
        </w:rPr>
        <w:t>:</w:t>
      </w:r>
      <w:r w:rsidR="007E18DF" w:rsidRPr="00A10614">
        <w:rPr>
          <w:rFonts w:ascii="Arial" w:hAnsi="Arial" w:cs="Arial"/>
          <w:color w:val="000000" w:themeColor="text1"/>
          <w:sz w:val="22"/>
          <w:lang w:val="es-ES_tradnl"/>
        </w:rPr>
        <w:t xml:space="preserve"> </w:t>
      </w:r>
    </w:p>
    <w:p w14:paraId="559EE20C" w14:textId="77777777" w:rsidR="00443B55" w:rsidRPr="00A10614" w:rsidRDefault="00443B55" w:rsidP="0099583D">
      <w:pPr>
        <w:spacing w:line="276" w:lineRule="auto"/>
        <w:jc w:val="both"/>
        <w:rPr>
          <w:rFonts w:ascii="Arial" w:hAnsi="Arial" w:cs="Arial"/>
          <w:color w:val="000000" w:themeColor="text1"/>
          <w:sz w:val="22"/>
          <w:lang w:val="es-ES_tradnl"/>
        </w:rPr>
      </w:pPr>
    </w:p>
    <w:p w14:paraId="7BE3046C" w14:textId="4109CBA3" w:rsidR="000504E2" w:rsidRPr="00A10614" w:rsidRDefault="003C2546" w:rsidP="000504E2">
      <w:pPr>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t>«</w:t>
      </w:r>
      <w:r w:rsidR="000504E2" w:rsidRPr="00A10614">
        <w:rPr>
          <w:rFonts w:ascii="Arial" w:hAnsi="Arial" w:cs="Arial"/>
          <w:color w:val="000000" w:themeColor="text1"/>
          <w:sz w:val="21"/>
          <w:szCs w:val="21"/>
          <w:lang w:val="es-ES_tradnl"/>
        </w:rPr>
        <w:t>En forma comedida me permito solicitar a Ustedes, me sea comunicado si en aplicabilidad del artículo 30 de la 2069 de 2020, también existe Pérdida de fuerza ejecutoria del artículo 94 Ley 1474, inciso adicionado por el Art. 6 del Decreto 537 de 2020) y artículos Artículo 2.2.1.2.1.5.1,  .2.1.2.1.5.2, Artículo 2.2.1.2.1.5.3 y 2.2.1.2.1.5.4., del Decreto 1082 de 2015?</w:t>
      </w:r>
      <w:r w:rsidR="00D542CB" w:rsidRPr="00A10614">
        <w:rPr>
          <w:rFonts w:ascii="Arial" w:hAnsi="Arial" w:cs="Arial"/>
          <w:color w:val="000000" w:themeColor="text1"/>
          <w:sz w:val="21"/>
          <w:szCs w:val="21"/>
          <w:lang w:val="es-ES_tradnl"/>
        </w:rPr>
        <w:t xml:space="preserve"> (sic)</w:t>
      </w:r>
    </w:p>
    <w:p w14:paraId="4F2D8F21" w14:textId="77777777" w:rsidR="000504E2" w:rsidRPr="00A10614" w:rsidRDefault="000504E2" w:rsidP="000504E2">
      <w:pPr>
        <w:ind w:left="709" w:right="709"/>
        <w:jc w:val="both"/>
        <w:rPr>
          <w:rFonts w:ascii="Arial" w:hAnsi="Arial" w:cs="Arial"/>
          <w:color w:val="000000" w:themeColor="text1"/>
          <w:sz w:val="21"/>
          <w:szCs w:val="21"/>
          <w:lang w:val="es-ES_tradnl"/>
        </w:rPr>
      </w:pPr>
    </w:p>
    <w:p w14:paraId="21D8D469" w14:textId="2E419E07" w:rsidR="000504E2" w:rsidRPr="00A10614" w:rsidRDefault="00AB0538" w:rsidP="000504E2">
      <w:pPr>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t>»</w:t>
      </w:r>
      <w:r w:rsidR="000504E2" w:rsidRPr="00A10614">
        <w:rPr>
          <w:rFonts w:ascii="Arial" w:hAnsi="Arial" w:cs="Arial"/>
          <w:color w:val="000000" w:themeColor="text1"/>
          <w:sz w:val="21"/>
          <w:szCs w:val="21"/>
          <w:lang w:val="es-ES_tradnl"/>
        </w:rPr>
        <w:t>¿Entendería entonces las entidades del estado que se requiere que el Gobierno nacional señale las particulares del procedimiento de mínima cuantía?</w:t>
      </w:r>
      <w:r w:rsidRPr="00A10614">
        <w:rPr>
          <w:rFonts w:ascii="Arial" w:hAnsi="Arial" w:cs="Arial"/>
          <w:color w:val="000000" w:themeColor="text1"/>
          <w:sz w:val="21"/>
          <w:szCs w:val="21"/>
          <w:lang w:val="es-ES_tradnl"/>
        </w:rPr>
        <w:t xml:space="preserve"> (sic)</w:t>
      </w:r>
    </w:p>
    <w:p w14:paraId="16597772" w14:textId="77777777" w:rsidR="000504E2" w:rsidRPr="00A10614" w:rsidRDefault="000504E2" w:rsidP="000504E2">
      <w:pPr>
        <w:ind w:left="709" w:right="709"/>
        <w:jc w:val="both"/>
        <w:rPr>
          <w:rFonts w:ascii="Arial" w:hAnsi="Arial" w:cs="Arial"/>
          <w:color w:val="000000" w:themeColor="text1"/>
          <w:sz w:val="21"/>
          <w:szCs w:val="21"/>
          <w:lang w:val="es-ES_tradnl"/>
        </w:rPr>
      </w:pPr>
    </w:p>
    <w:p w14:paraId="014805D8" w14:textId="26584EB5" w:rsidR="000504E2" w:rsidRPr="00A10614" w:rsidRDefault="00AB0538" w:rsidP="000504E2">
      <w:pPr>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lastRenderedPageBreak/>
        <w:t>»</w:t>
      </w:r>
      <w:r w:rsidR="000504E2" w:rsidRPr="00A10614">
        <w:rPr>
          <w:rFonts w:ascii="Arial" w:hAnsi="Arial" w:cs="Arial"/>
          <w:color w:val="000000" w:themeColor="text1"/>
          <w:sz w:val="21"/>
          <w:szCs w:val="21"/>
          <w:lang w:val="es-ES_tradnl"/>
        </w:rPr>
        <w:t>¿Aplicaría entonces para la mínima cuantía los criterios de desempate que tiene la Ley 2069 de 2020?</w:t>
      </w:r>
    </w:p>
    <w:p w14:paraId="4314D023" w14:textId="77777777" w:rsidR="000504E2" w:rsidRPr="00A10614" w:rsidRDefault="000504E2" w:rsidP="000504E2">
      <w:pPr>
        <w:ind w:left="709" w:right="709"/>
        <w:jc w:val="both"/>
        <w:rPr>
          <w:rFonts w:ascii="Arial" w:hAnsi="Arial" w:cs="Arial"/>
          <w:color w:val="000000" w:themeColor="text1"/>
          <w:sz w:val="21"/>
          <w:szCs w:val="21"/>
          <w:lang w:val="es-ES_tradnl"/>
        </w:rPr>
      </w:pPr>
    </w:p>
    <w:p w14:paraId="797EE903" w14:textId="09E48971" w:rsidR="00BA3F29" w:rsidRPr="00A10614" w:rsidRDefault="00396280" w:rsidP="000504E2">
      <w:pPr>
        <w:ind w:left="709" w:right="709"/>
        <w:jc w:val="both"/>
        <w:rPr>
          <w:rFonts w:ascii="Arial" w:hAnsi="Arial" w:cs="Arial"/>
          <w:color w:val="000000" w:themeColor="text1"/>
          <w:sz w:val="21"/>
          <w:szCs w:val="21"/>
        </w:rPr>
      </w:pPr>
      <w:r w:rsidRPr="00A10614">
        <w:rPr>
          <w:rFonts w:ascii="Arial" w:hAnsi="Arial" w:cs="Arial"/>
          <w:color w:val="000000" w:themeColor="text1"/>
          <w:sz w:val="21"/>
          <w:szCs w:val="21"/>
          <w:lang w:val="es-ES_tradnl"/>
        </w:rPr>
        <w:t>»</w:t>
      </w:r>
      <w:r w:rsidR="000504E2" w:rsidRPr="00A10614">
        <w:rPr>
          <w:rFonts w:ascii="Arial" w:hAnsi="Arial" w:cs="Arial"/>
          <w:color w:val="000000" w:themeColor="text1"/>
          <w:sz w:val="21"/>
          <w:szCs w:val="21"/>
          <w:lang w:val="es-ES_tradnl"/>
        </w:rPr>
        <w:t>Tendría la obligación la entidad de evaluar a todos y a cada uno de los oferentes participantes en un proceso y de los mismos seleccionar a propuesta con el menor precio, siempre y cuando cumpla con las condiciones exigidas, sin que sea la evaluación en forma sucesiva?</w:t>
      </w:r>
      <w:r w:rsidR="008A1E94" w:rsidRPr="00A10614">
        <w:rPr>
          <w:rFonts w:ascii="Arial" w:hAnsi="Arial" w:cs="Arial"/>
          <w:color w:val="000000" w:themeColor="text1"/>
          <w:sz w:val="21"/>
          <w:szCs w:val="21"/>
        </w:rPr>
        <w:t>»</w:t>
      </w:r>
      <w:r w:rsidRPr="00A10614">
        <w:rPr>
          <w:rFonts w:ascii="Arial" w:hAnsi="Arial" w:cs="Arial"/>
          <w:color w:val="000000" w:themeColor="text1"/>
          <w:sz w:val="21"/>
          <w:szCs w:val="21"/>
        </w:rPr>
        <w:t>.</w:t>
      </w:r>
    </w:p>
    <w:p w14:paraId="1D0C9BCC" w14:textId="77777777" w:rsidR="0050703E" w:rsidRPr="00A10614" w:rsidRDefault="0050703E" w:rsidP="0050703E">
      <w:pPr>
        <w:ind w:left="709" w:right="709"/>
        <w:jc w:val="both"/>
        <w:rPr>
          <w:rFonts w:ascii="Arial" w:hAnsi="Arial" w:cs="Arial"/>
          <w:color w:val="000000" w:themeColor="text1"/>
          <w:sz w:val="22"/>
          <w:lang w:val="es-ES_tradnl"/>
        </w:rPr>
      </w:pPr>
    </w:p>
    <w:p w14:paraId="124D2DCA" w14:textId="77777777" w:rsidR="00DD5B04" w:rsidRPr="00A1061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10614">
        <w:rPr>
          <w:rFonts w:ascii="Arial" w:eastAsia="Calibri" w:hAnsi="Arial" w:cs="Arial"/>
          <w:b/>
          <w:color w:val="000000" w:themeColor="text1"/>
          <w:sz w:val="22"/>
          <w:lang w:val="es-ES_tradnl"/>
        </w:rPr>
        <w:t>Consideraciones</w:t>
      </w:r>
    </w:p>
    <w:p w14:paraId="7D050D2E" w14:textId="4381E36A" w:rsidR="00435703" w:rsidRPr="00A10614" w:rsidRDefault="00435703" w:rsidP="00DF76A2">
      <w:pPr>
        <w:spacing w:line="276" w:lineRule="auto"/>
        <w:jc w:val="both"/>
        <w:rPr>
          <w:rFonts w:ascii="Arial" w:eastAsia="Calibri" w:hAnsi="Arial" w:cs="Arial"/>
          <w:color w:val="000000" w:themeColor="text1"/>
          <w:sz w:val="22"/>
          <w:szCs w:val="22"/>
          <w:lang w:val="es-ES_tradnl"/>
        </w:rPr>
      </w:pPr>
    </w:p>
    <w:p w14:paraId="5FB0F24C" w14:textId="1D575890" w:rsidR="001B63A1" w:rsidRPr="00A10614" w:rsidRDefault="001B63A1" w:rsidP="001B63A1">
      <w:pPr>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La Subdirección de Gestión Contractual responderá la consulta, luego de analizar los siguientes temas: i) definición de los criterios de desempate en la contratación estatal, ii) vigencia y ámbito de aplicación de la Ley 2069 de 2020</w:t>
      </w:r>
      <w:r w:rsidR="008617C3" w:rsidRPr="00A10614">
        <w:rPr>
          <w:rFonts w:ascii="Arial" w:eastAsia="Calibri" w:hAnsi="Arial" w:cs="Arial"/>
          <w:color w:val="000000" w:themeColor="text1"/>
          <w:sz w:val="22"/>
          <w:szCs w:val="22"/>
          <w:lang w:val="es-ES_tradnl"/>
        </w:rPr>
        <w:t xml:space="preserve">, </w:t>
      </w:r>
      <w:r w:rsidRPr="00A10614">
        <w:rPr>
          <w:rFonts w:ascii="Arial" w:eastAsia="Calibri" w:hAnsi="Arial" w:cs="Arial"/>
          <w:color w:val="000000" w:themeColor="text1"/>
          <w:sz w:val="22"/>
          <w:szCs w:val="22"/>
          <w:lang w:val="es-ES_tradnl"/>
        </w:rPr>
        <w:t xml:space="preserve">iii) </w:t>
      </w:r>
      <w:r w:rsidR="008617C3" w:rsidRPr="00A10614">
        <w:rPr>
          <w:rFonts w:ascii="Arial" w:eastAsia="Calibri" w:hAnsi="Arial" w:cs="Arial"/>
          <w:color w:val="000000" w:themeColor="text1"/>
          <w:sz w:val="22"/>
          <w:szCs w:val="22"/>
          <w:lang w:val="es-ES_tradnl"/>
        </w:rPr>
        <w:t>derogatoria producida por el artículo 35 de la Ley 2069 de 2020 a los factores de desempate del Decreto 1082 de 2015, iv) intervención del reglamento para la efectividad de la Ley 2069 de 2020 en el sistema de compras públicas, explicando que la conclusión no es la misma frente a todos los artículos</w:t>
      </w:r>
      <w:r w:rsidR="00C118E1" w:rsidRPr="00A10614">
        <w:rPr>
          <w:rFonts w:ascii="Arial" w:eastAsia="Calibri" w:hAnsi="Arial" w:cs="Arial"/>
          <w:color w:val="000000" w:themeColor="text1"/>
          <w:sz w:val="22"/>
          <w:szCs w:val="22"/>
          <w:lang w:val="es-ES_tradnl"/>
        </w:rPr>
        <w:t xml:space="preserve"> de dicha Ley,</w:t>
      </w:r>
      <w:r w:rsidR="008617C3" w:rsidRPr="00A10614">
        <w:rPr>
          <w:rFonts w:ascii="Arial" w:eastAsia="Calibri" w:hAnsi="Arial" w:cs="Arial"/>
          <w:color w:val="000000" w:themeColor="text1"/>
          <w:sz w:val="22"/>
          <w:szCs w:val="22"/>
          <w:lang w:val="es-ES_tradnl"/>
        </w:rPr>
        <w:t xml:space="preserve"> y v) eficacia directa del artículo 30 de la Ley 2069 de 2020</w:t>
      </w:r>
      <w:r w:rsidR="00C118E1" w:rsidRPr="00A10614">
        <w:rPr>
          <w:rFonts w:ascii="Arial" w:eastAsia="Calibri" w:hAnsi="Arial" w:cs="Arial"/>
          <w:color w:val="000000" w:themeColor="text1"/>
          <w:sz w:val="22"/>
          <w:szCs w:val="22"/>
          <w:lang w:val="es-ES_tradnl"/>
        </w:rPr>
        <w:t>, en lo que al procedimiento de mínima cuantía se refiere.</w:t>
      </w:r>
    </w:p>
    <w:p w14:paraId="68FE319F" w14:textId="6918808B" w:rsidR="00A5463D" w:rsidRPr="00A10614" w:rsidRDefault="00A5463D" w:rsidP="004C072C">
      <w:pPr>
        <w:tabs>
          <w:tab w:val="left" w:pos="426"/>
        </w:tabs>
        <w:spacing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r>
      <w:r w:rsidRPr="00A10614">
        <w:rPr>
          <w:rFonts w:ascii="Arial" w:eastAsia="Calibri" w:hAnsi="Arial" w:cs="Arial"/>
          <w:bCs/>
          <w:color w:val="000000" w:themeColor="text1"/>
          <w:sz w:val="22"/>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Conceptos C-009, 012, 013, 015, 016, 026 del 4 de febrero de 2021, así como en los Conceptos C-006 del 5 de febrero de 2021 y C-043 del 9 de febrero de 2021, se analizaron algunos aspectos sobre la aplicación de la Ley de Emprendimiento. </w:t>
      </w:r>
      <w:r w:rsidR="00370488" w:rsidRPr="00A10614">
        <w:rPr>
          <w:rFonts w:ascii="Arial" w:eastAsia="Calibri" w:hAnsi="Arial" w:cs="Arial"/>
          <w:bCs/>
          <w:color w:val="000000" w:themeColor="text1"/>
          <w:sz w:val="22"/>
        </w:rPr>
        <w:t>Finalmente, en el Concepto C-</w:t>
      </w:r>
      <w:r w:rsidR="007024EF" w:rsidRPr="00A10614">
        <w:rPr>
          <w:rFonts w:ascii="Arial" w:eastAsia="Calibri" w:hAnsi="Arial" w:cs="Arial"/>
          <w:bCs/>
          <w:color w:val="000000" w:themeColor="text1"/>
          <w:sz w:val="22"/>
        </w:rPr>
        <w:t>005 del 16 de febrero de 2021</w:t>
      </w:r>
      <w:r w:rsidR="00082303" w:rsidRPr="00A10614">
        <w:rPr>
          <w:rFonts w:ascii="Arial" w:eastAsia="Calibri" w:hAnsi="Arial" w:cs="Arial"/>
          <w:bCs/>
          <w:color w:val="000000" w:themeColor="text1"/>
          <w:sz w:val="22"/>
        </w:rPr>
        <w:t xml:space="preserve"> </w:t>
      </w:r>
      <w:r w:rsidR="007024EF" w:rsidRPr="00A10614">
        <w:rPr>
          <w:rFonts w:ascii="Arial" w:eastAsia="Calibri" w:hAnsi="Arial" w:cs="Arial"/>
          <w:bCs/>
          <w:color w:val="000000" w:themeColor="text1"/>
          <w:sz w:val="22"/>
        </w:rPr>
        <w:t xml:space="preserve">se concluyó que el artículo 30 de </w:t>
      </w:r>
      <w:r w:rsidR="000023B3" w:rsidRPr="00A10614">
        <w:rPr>
          <w:rFonts w:ascii="Arial" w:eastAsia="Calibri" w:hAnsi="Arial" w:cs="Arial"/>
          <w:bCs/>
          <w:color w:val="000000" w:themeColor="text1"/>
          <w:sz w:val="22"/>
        </w:rPr>
        <w:t xml:space="preserve">la Ley 2069 de 2020 goza de eficacia directa. </w:t>
      </w:r>
      <w:r w:rsidRPr="00A10614">
        <w:rPr>
          <w:rFonts w:ascii="Arial" w:eastAsia="Calibri" w:hAnsi="Arial" w:cs="Arial"/>
          <w:bCs/>
          <w:color w:val="000000" w:themeColor="text1"/>
          <w:sz w:val="22"/>
        </w:rPr>
        <w:t>En lo pertinente, la tesis desarrollada en estos conceptos se reitera a continuación</w:t>
      </w:r>
      <w:r w:rsidR="000023B3" w:rsidRPr="00A10614">
        <w:rPr>
          <w:rFonts w:ascii="Arial" w:eastAsia="Calibri" w:hAnsi="Arial" w:cs="Arial"/>
          <w:bCs/>
          <w:color w:val="000000" w:themeColor="text1"/>
          <w:sz w:val="22"/>
        </w:rPr>
        <w:t>:</w:t>
      </w:r>
    </w:p>
    <w:p w14:paraId="2B46F20C" w14:textId="54518B6F" w:rsidR="002D13CC" w:rsidRPr="00A10614" w:rsidRDefault="002D13CC" w:rsidP="002D13CC">
      <w:pPr>
        <w:spacing w:line="276" w:lineRule="auto"/>
        <w:jc w:val="both"/>
        <w:rPr>
          <w:rFonts w:ascii="Arial" w:hAnsi="Arial" w:cs="Arial"/>
          <w:sz w:val="22"/>
          <w:lang w:val="es-ES_tradnl"/>
        </w:rPr>
      </w:pPr>
    </w:p>
    <w:p w14:paraId="7848779B" w14:textId="77777777" w:rsidR="00796905" w:rsidRPr="00A10614" w:rsidRDefault="00796905" w:rsidP="00796905">
      <w:pPr>
        <w:spacing w:line="276" w:lineRule="auto"/>
        <w:jc w:val="both"/>
        <w:rPr>
          <w:rFonts w:ascii="Arial" w:eastAsia="Calibri" w:hAnsi="Arial" w:cs="Arial"/>
          <w:b/>
          <w:bCs/>
          <w:color w:val="000000" w:themeColor="text1"/>
          <w:sz w:val="22"/>
          <w:szCs w:val="22"/>
          <w:lang w:val="es-ES_tradnl"/>
        </w:rPr>
      </w:pPr>
      <w:r w:rsidRPr="00A10614">
        <w:rPr>
          <w:rFonts w:ascii="Arial" w:eastAsia="Calibri" w:hAnsi="Arial" w:cs="Arial"/>
          <w:b/>
          <w:bCs/>
          <w:color w:val="000000" w:themeColor="text1"/>
          <w:sz w:val="22"/>
          <w:szCs w:val="22"/>
          <w:lang w:val="es-ES_tradnl"/>
        </w:rPr>
        <w:t>2.1. Factores de desempate en la contratación estatal: concepto y características</w:t>
      </w:r>
    </w:p>
    <w:p w14:paraId="0F215EF6" w14:textId="77777777" w:rsidR="00796905" w:rsidRPr="00A10614" w:rsidRDefault="00796905" w:rsidP="00796905">
      <w:pPr>
        <w:spacing w:line="276" w:lineRule="auto"/>
        <w:jc w:val="both"/>
        <w:rPr>
          <w:rFonts w:ascii="Arial" w:eastAsia="Calibri" w:hAnsi="Arial" w:cs="Arial"/>
          <w:color w:val="000000" w:themeColor="text1"/>
          <w:sz w:val="22"/>
          <w:szCs w:val="22"/>
          <w:lang w:val="es-ES_tradnl"/>
        </w:rPr>
      </w:pPr>
    </w:p>
    <w:p w14:paraId="0E44BB58" w14:textId="77777777" w:rsidR="00796905" w:rsidRPr="00A10614" w:rsidRDefault="00796905" w:rsidP="00796905">
      <w:pPr>
        <w:spacing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w:t>
      </w:r>
      <w:r w:rsidRPr="00A10614">
        <w:rPr>
          <w:rFonts w:ascii="Arial" w:eastAsia="Calibri" w:hAnsi="Arial" w:cs="Arial"/>
          <w:color w:val="000000" w:themeColor="text1"/>
          <w:sz w:val="22"/>
          <w:szCs w:val="22"/>
          <w:lang w:val="es-ES_tradnl"/>
        </w:rPr>
        <w:lastRenderedPageBreak/>
        <w:t>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7DD3C661" w14:textId="77777777" w:rsidR="00796905" w:rsidRPr="00A10614" w:rsidRDefault="00796905" w:rsidP="00796905">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406E65E8" w14:textId="77777777" w:rsidR="00796905" w:rsidRPr="00A10614" w:rsidRDefault="00796905" w:rsidP="00796905">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A10614">
        <w:rPr>
          <w:rStyle w:val="Refdenotaalpie"/>
          <w:rFonts w:ascii="Arial" w:hAnsi="Arial" w:cs="Arial"/>
          <w:sz w:val="21"/>
          <w:szCs w:val="21"/>
          <w:lang w:val="es-ES_tradnl"/>
        </w:rPr>
        <w:footnoteReference w:id="2"/>
      </w:r>
      <w:r w:rsidRPr="00A10614">
        <w:rPr>
          <w:rFonts w:ascii="Arial" w:eastAsia="Calibri" w:hAnsi="Arial" w:cs="Arial"/>
          <w:color w:val="000000" w:themeColor="text1"/>
          <w:sz w:val="22"/>
          <w:szCs w:val="22"/>
          <w:lang w:val="es-ES_tradnl"/>
        </w:rPr>
        <w:t xml:space="preserve">. </w:t>
      </w:r>
    </w:p>
    <w:p w14:paraId="66485A0F" w14:textId="77777777" w:rsidR="00796905" w:rsidRPr="00A10614" w:rsidRDefault="00796905" w:rsidP="00796905">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A10614">
        <w:rPr>
          <w:rStyle w:val="Refdenotaalpie"/>
          <w:rFonts w:ascii="Arial" w:eastAsia="Calibri" w:hAnsi="Arial" w:cs="Arial"/>
          <w:color w:val="000000" w:themeColor="text1"/>
          <w:sz w:val="22"/>
          <w:szCs w:val="22"/>
          <w:lang w:val="es-ES_tradnl"/>
        </w:rPr>
        <w:footnoteReference w:id="3"/>
      </w:r>
      <w:r w:rsidRPr="00A10614">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A10614">
        <w:rPr>
          <w:rStyle w:val="Refdenotaalpie"/>
          <w:rFonts w:ascii="Arial" w:eastAsia="Calibri" w:hAnsi="Arial" w:cs="Arial"/>
          <w:color w:val="000000" w:themeColor="text1"/>
          <w:sz w:val="22"/>
          <w:szCs w:val="22"/>
          <w:lang w:val="es-ES_tradnl"/>
        </w:rPr>
        <w:footnoteReference w:id="4"/>
      </w:r>
      <w:r w:rsidRPr="00A10614">
        <w:rPr>
          <w:rFonts w:ascii="Arial" w:eastAsia="Calibri" w:hAnsi="Arial" w:cs="Arial"/>
          <w:color w:val="000000" w:themeColor="text1"/>
          <w:sz w:val="22"/>
          <w:szCs w:val="22"/>
          <w:lang w:val="es-ES_tradnl"/>
        </w:rPr>
        <w:t>.</w:t>
      </w:r>
    </w:p>
    <w:p w14:paraId="00B3D70E" w14:textId="77777777" w:rsidR="00796905" w:rsidRPr="00A10614" w:rsidRDefault="00796905" w:rsidP="00796905">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lastRenderedPageBreak/>
        <w:t xml:space="preserve">Ahora bien, en cumplimiento de los principios de reciprocidad y de </w:t>
      </w:r>
      <w:r w:rsidRPr="00A10614">
        <w:rPr>
          <w:rFonts w:ascii="Arial" w:eastAsia="Calibri" w:hAnsi="Arial" w:cs="Arial"/>
          <w:i/>
          <w:iCs/>
          <w:color w:val="000000" w:themeColor="text1"/>
          <w:sz w:val="22"/>
          <w:szCs w:val="22"/>
          <w:lang w:val="es-ES_tradnl"/>
        </w:rPr>
        <w:t xml:space="preserve">pacta </w:t>
      </w:r>
      <w:proofErr w:type="spellStart"/>
      <w:r w:rsidRPr="00A10614">
        <w:rPr>
          <w:rFonts w:ascii="Arial" w:eastAsia="Calibri" w:hAnsi="Arial" w:cs="Arial"/>
          <w:i/>
          <w:iCs/>
          <w:color w:val="000000" w:themeColor="text1"/>
          <w:sz w:val="22"/>
          <w:szCs w:val="22"/>
          <w:lang w:val="es-ES_tradnl"/>
        </w:rPr>
        <w:t>sunt</w:t>
      </w:r>
      <w:proofErr w:type="spellEnd"/>
      <w:r w:rsidRPr="00A10614">
        <w:rPr>
          <w:rFonts w:ascii="Arial" w:eastAsia="Calibri" w:hAnsi="Arial" w:cs="Arial"/>
          <w:i/>
          <w:iCs/>
          <w:color w:val="000000" w:themeColor="text1"/>
          <w:sz w:val="22"/>
          <w:szCs w:val="22"/>
          <w:lang w:val="es-ES_tradnl"/>
        </w:rPr>
        <w:t xml:space="preserve"> </w:t>
      </w:r>
      <w:proofErr w:type="spellStart"/>
      <w:r w:rsidRPr="00A10614">
        <w:rPr>
          <w:rFonts w:ascii="Arial" w:eastAsia="Calibri" w:hAnsi="Arial" w:cs="Arial"/>
          <w:i/>
          <w:iCs/>
          <w:color w:val="000000" w:themeColor="text1"/>
          <w:sz w:val="22"/>
          <w:szCs w:val="22"/>
          <w:lang w:val="es-ES_tradnl"/>
        </w:rPr>
        <w:t>servanda</w:t>
      </w:r>
      <w:proofErr w:type="spellEnd"/>
      <w:r w:rsidRPr="00A10614">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540522F" w14:textId="77777777" w:rsidR="00082303" w:rsidRPr="00A10614" w:rsidRDefault="00082303" w:rsidP="009A0F66">
      <w:pPr>
        <w:spacing w:line="276" w:lineRule="auto"/>
        <w:jc w:val="both"/>
        <w:rPr>
          <w:rFonts w:ascii="Arial" w:eastAsia="Calibri" w:hAnsi="Arial" w:cs="Arial"/>
          <w:b/>
          <w:bCs/>
          <w:color w:val="000000" w:themeColor="text1"/>
          <w:sz w:val="22"/>
          <w:szCs w:val="22"/>
          <w:lang w:val="es-ES_tradnl"/>
        </w:rPr>
      </w:pPr>
    </w:p>
    <w:p w14:paraId="44AAA12B" w14:textId="7C3680AF" w:rsidR="009A0F66" w:rsidRPr="00A10614" w:rsidRDefault="009A0F66" w:rsidP="009A0F66">
      <w:pPr>
        <w:spacing w:line="276" w:lineRule="auto"/>
        <w:jc w:val="both"/>
        <w:rPr>
          <w:rFonts w:ascii="Arial" w:eastAsia="Calibri" w:hAnsi="Arial" w:cs="Arial"/>
          <w:b/>
          <w:bCs/>
          <w:color w:val="000000" w:themeColor="text1"/>
          <w:sz w:val="22"/>
          <w:szCs w:val="22"/>
          <w:lang w:val="es-ES_tradnl"/>
        </w:rPr>
      </w:pPr>
      <w:r w:rsidRPr="00A10614">
        <w:rPr>
          <w:rFonts w:ascii="Arial" w:eastAsia="Calibri" w:hAnsi="Arial" w:cs="Arial"/>
          <w:b/>
          <w:bCs/>
          <w:color w:val="000000" w:themeColor="text1"/>
          <w:sz w:val="22"/>
          <w:szCs w:val="22"/>
          <w:lang w:val="es-ES_tradnl"/>
        </w:rPr>
        <w:t>2.</w:t>
      </w:r>
      <w:r w:rsidR="00796905" w:rsidRPr="00A10614">
        <w:rPr>
          <w:rFonts w:ascii="Arial" w:eastAsia="Calibri" w:hAnsi="Arial" w:cs="Arial"/>
          <w:b/>
          <w:bCs/>
          <w:color w:val="000000" w:themeColor="text1"/>
          <w:sz w:val="22"/>
          <w:szCs w:val="22"/>
          <w:lang w:val="es-ES_tradnl"/>
        </w:rPr>
        <w:t>2</w:t>
      </w:r>
      <w:r w:rsidRPr="00A10614">
        <w:rPr>
          <w:rFonts w:ascii="Arial" w:eastAsia="Calibri" w:hAnsi="Arial" w:cs="Arial"/>
          <w:b/>
          <w:bCs/>
          <w:color w:val="000000" w:themeColor="text1"/>
          <w:sz w:val="22"/>
          <w:szCs w:val="22"/>
          <w:lang w:val="es-ES_tradnl"/>
        </w:rPr>
        <w:t>. Vigencia y ámbito de aplicación de la Ley 2069 de 2020</w:t>
      </w:r>
      <w:r w:rsidR="005F463E" w:rsidRPr="00A10614">
        <w:rPr>
          <w:rFonts w:ascii="Arial" w:eastAsia="Calibri" w:hAnsi="Arial" w:cs="Arial"/>
          <w:b/>
          <w:bCs/>
          <w:color w:val="000000" w:themeColor="text1"/>
          <w:sz w:val="22"/>
          <w:szCs w:val="22"/>
          <w:lang w:val="es-ES_tradnl"/>
        </w:rPr>
        <w:t>: i</w:t>
      </w:r>
      <w:r w:rsidR="005C4434" w:rsidRPr="00A10614">
        <w:rPr>
          <w:rFonts w:ascii="Arial" w:eastAsia="Calibri" w:hAnsi="Arial" w:cs="Arial"/>
          <w:b/>
          <w:bCs/>
          <w:color w:val="000000" w:themeColor="text1"/>
          <w:sz w:val="22"/>
          <w:szCs w:val="22"/>
          <w:lang w:val="es-ES_tradnl"/>
        </w:rPr>
        <w:t>mpacto sobre la contratación estatal</w:t>
      </w:r>
    </w:p>
    <w:p w14:paraId="60F5CA2F" w14:textId="77777777" w:rsidR="009A0F66" w:rsidRPr="00A10614" w:rsidRDefault="009A0F66" w:rsidP="009A0F66">
      <w:pPr>
        <w:spacing w:line="276" w:lineRule="auto"/>
        <w:jc w:val="both"/>
        <w:rPr>
          <w:rFonts w:ascii="Arial" w:eastAsia="Calibri" w:hAnsi="Arial" w:cs="Arial"/>
          <w:color w:val="000000" w:themeColor="text1"/>
          <w:sz w:val="22"/>
          <w:szCs w:val="22"/>
          <w:lang w:val="es-ES_tradnl"/>
        </w:rPr>
      </w:pPr>
    </w:p>
    <w:p w14:paraId="505A4590" w14:textId="77777777" w:rsidR="009A0F66" w:rsidRPr="00A10614" w:rsidRDefault="009A0F66" w:rsidP="009A0F66">
      <w:pPr>
        <w:spacing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322B9302" w14:textId="77777777" w:rsidR="009A0F66" w:rsidRPr="00A10614" w:rsidRDefault="009A0F66" w:rsidP="009A0F66">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mediante la racionalización y simplificación de los trámites y tarifas</w:t>
      </w:r>
      <w:r w:rsidRPr="00A10614">
        <w:rPr>
          <w:rStyle w:val="Refdenotaalpie"/>
          <w:rFonts w:ascii="Arial" w:eastAsia="Calibri" w:hAnsi="Arial" w:cs="Arial"/>
          <w:color w:val="000000" w:themeColor="text1"/>
          <w:sz w:val="22"/>
          <w:szCs w:val="22"/>
          <w:lang w:val="es-ES_tradnl"/>
        </w:rPr>
        <w:footnoteReference w:id="5"/>
      </w:r>
      <w:r w:rsidRPr="00A10614">
        <w:rPr>
          <w:rFonts w:ascii="Arial" w:eastAsia="Calibri" w:hAnsi="Arial" w:cs="Arial"/>
          <w:color w:val="000000" w:themeColor="text1"/>
          <w:sz w:val="22"/>
          <w:szCs w:val="22"/>
          <w:lang w:val="es-ES_tradnl"/>
        </w:rPr>
        <w:t>, así como incentivos a favor de aquellas dentro del sistema de compras y contratación pública</w:t>
      </w:r>
      <w:r w:rsidRPr="00A10614">
        <w:rPr>
          <w:rStyle w:val="Refdenotaalpie"/>
          <w:rFonts w:ascii="Arial" w:eastAsia="Calibri" w:hAnsi="Arial" w:cs="Arial"/>
          <w:color w:val="000000" w:themeColor="text1"/>
          <w:sz w:val="22"/>
          <w:szCs w:val="22"/>
          <w:lang w:val="es-ES_tradnl"/>
        </w:rPr>
        <w:footnoteReference w:id="6"/>
      </w:r>
      <w:r w:rsidRPr="00A10614">
        <w:rPr>
          <w:rFonts w:ascii="Arial" w:eastAsia="Calibri" w:hAnsi="Arial" w:cs="Arial"/>
          <w:color w:val="000000" w:themeColor="text1"/>
          <w:sz w:val="22"/>
          <w:szCs w:val="22"/>
          <w:lang w:val="es-ES_tradnl"/>
        </w:rPr>
        <w:t>. También se consagran mecanismos de acceso al financiamiento</w:t>
      </w:r>
      <w:r w:rsidRPr="00A10614">
        <w:rPr>
          <w:rStyle w:val="Refdenotaalpie"/>
          <w:rFonts w:ascii="Arial" w:eastAsia="Calibri" w:hAnsi="Arial" w:cs="Arial"/>
          <w:color w:val="000000" w:themeColor="text1"/>
          <w:sz w:val="22"/>
          <w:szCs w:val="22"/>
          <w:lang w:val="es-ES_tradnl"/>
        </w:rPr>
        <w:footnoteReference w:id="7"/>
      </w:r>
      <w:r w:rsidRPr="00A10614">
        <w:rPr>
          <w:rFonts w:ascii="Arial" w:eastAsia="Calibri" w:hAnsi="Arial" w:cs="Arial"/>
          <w:color w:val="000000" w:themeColor="text1"/>
          <w:sz w:val="22"/>
          <w:szCs w:val="22"/>
          <w:lang w:val="es-ES_tradnl"/>
        </w:rPr>
        <w:t xml:space="preserve">, se unifican las fuentes de emprendimiento y de desarrollo empresarial, para fortalecer y promover los distintos </w:t>
      </w:r>
      <w:r w:rsidRPr="00A10614">
        <w:rPr>
          <w:rFonts w:ascii="Arial" w:eastAsia="Calibri" w:hAnsi="Arial" w:cs="Arial"/>
          <w:color w:val="000000" w:themeColor="text1"/>
          <w:sz w:val="22"/>
          <w:szCs w:val="22"/>
          <w:lang w:val="es-ES_tradnl"/>
        </w:rPr>
        <w:lastRenderedPageBreak/>
        <w:t>sectores de la economía</w:t>
      </w:r>
      <w:r w:rsidRPr="00A10614">
        <w:rPr>
          <w:rStyle w:val="Refdenotaalpie"/>
          <w:rFonts w:ascii="Arial" w:eastAsia="Calibri" w:hAnsi="Arial" w:cs="Arial"/>
          <w:color w:val="000000" w:themeColor="text1"/>
          <w:sz w:val="22"/>
          <w:szCs w:val="22"/>
          <w:lang w:val="es-ES_tradnl"/>
        </w:rPr>
        <w:footnoteReference w:id="8"/>
      </w:r>
      <w:r w:rsidRPr="00A10614">
        <w:rPr>
          <w:rFonts w:ascii="Arial" w:eastAsia="Calibri" w:hAnsi="Arial" w:cs="Arial"/>
          <w:color w:val="000000" w:themeColor="text1"/>
          <w:sz w:val="22"/>
          <w:szCs w:val="22"/>
          <w:lang w:val="es-ES_tradnl"/>
        </w:rPr>
        <w:t xml:space="preserve"> y se prevén medidas de educación para el emprendimiento y la innovación</w:t>
      </w:r>
      <w:r w:rsidRPr="00A10614">
        <w:rPr>
          <w:rStyle w:val="Refdenotaalpie"/>
          <w:rFonts w:ascii="Arial" w:eastAsia="Calibri" w:hAnsi="Arial" w:cs="Arial"/>
          <w:color w:val="000000" w:themeColor="text1"/>
          <w:sz w:val="22"/>
          <w:szCs w:val="22"/>
          <w:lang w:val="es-ES_tradnl"/>
        </w:rPr>
        <w:footnoteReference w:id="9"/>
      </w:r>
      <w:r w:rsidRPr="00A10614">
        <w:rPr>
          <w:rFonts w:ascii="Arial" w:eastAsia="Calibri" w:hAnsi="Arial" w:cs="Arial"/>
          <w:color w:val="000000" w:themeColor="text1"/>
          <w:sz w:val="22"/>
          <w:szCs w:val="22"/>
          <w:lang w:val="es-ES_tradnl"/>
        </w:rPr>
        <w:t>.</w:t>
      </w:r>
    </w:p>
    <w:p w14:paraId="4D57D834" w14:textId="5FF0468D" w:rsidR="002D13CC" w:rsidRPr="00A10614" w:rsidRDefault="00582E21" w:rsidP="00582E21">
      <w:pPr>
        <w:spacing w:before="120" w:line="276" w:lineRule="auto"/>
        <w:ind w:firstLine="709"/>
        <w:jc w:val="both"/>
        <w:rPr>
          <w:rFonts w:ascii="Arial" w:eastAsia="Calibri" w:hAnsi="Arial" w:cs="Arial"/>
          <w:color w:val="000000" w:themeColor="text1"/>
          <w:sz w:val="22"/>
          <w:szCs w:val="22"/>
          <w:lang w:val="es-ES_tradnl"/>
        </w:rPr>
      </w:pPr>
      <w:bookmarkStart w:id="2" w:name="_Hlk63883948"/>
      <w:r w:rsidRPr="00A10614">
        <w:rPr>
          <w:rFonts w:ascii="Arial" w:eastAsia="Calibri" w:hAnsi="Arial" w:cs="Arial"/>
          <w:color w:val="000000" w:themeColor="text1"/>
          <w:sz w:val="22"/>
          <w:szCs w:val="22"/>
          <w:lang w:val="es-ES_tradnl"/>
        </w:rPr>
        <w:t xml:space="preserve">La Ley 2069 de 2020 guarda </w:t>
      </w:r>
      <w:r w:rsidR="002D13CC" w:rsidRPr="00A10614">
        <w:rPr>
          <w:rFonts w:ascii="Arial" w:eastAsia="Calibri" w:hAnsi="Arial" w:cs="Arial"/>
          <w:bCs/>
          <w:color w:val="000000" w:themeColor="text1"/>
          <w:sz w:val="22"/>
        </w:rPr>
        <w:t xml:space="preserve">congruencia con el «Pacto por el emprendimiento, la formalización y la productividad» del Plan Nacional de Desarrollo 2018-2022, </w:t>
      </w:r>
      <w:r w:rsidR="00B4595C" w:rsidRPr="00A10614">
        <w:rPr>
          <w:rFonts w:ascii="Arial" w:eastAsia="Calibri" w:hAnsi="Arial" w:cs="Arial"/>
          <w:bCs/>
          <w:color w:val="000000" w:themeColor="text1"/>
          <w:sz w:val="22"/>
        </w:rPr>
        <w:t>pues busca</w:t>
      </w:r>
      <w:r w:rsidR="002D13CC" w:rsidRPr="00A10614">
        <w:rPr>
          <w:rFonts w:ascii="Arial" w:eastAsia="Calibri" w:hAnsi="Arial" w:cs="Arial"/>
          <w:bCs/>
          <w:color w:val="000000" w:themeColor="text1"/>
          <w:sz w:val="22"/>
        </w:rPr>
        <w:t xml:space="preserve"> impulsar el nacimiento de nuevas empresas que incentiven la generación de empleo en </w:t>
      </w:r>
      <w:r w:rsidR="00B4595C" w:rsidRPr="00A10614">
        <w:rPr>
          <w:rFonts w:ascii="Arial" w:eastAsia="Calibri" w:hAnsi="Arial" w:cs="Arial"/>
          <w:bCs/>
          <w:color w:val="000000" w:themeColor="text1"/>
          <w:sz w:val="22"/>
        </w:rPr>
        <w:t xml:space="preserve">el </w:t>
      </w:r>
      <w:r w:rsidR="002D13CC" w:rsidRPr="00A10614">
        <w:rPr>
          <w:rFonts w:ascii="Arial" w:eastAsia="Calibri" w:hAnsi="Arial" w:cs="Arial"/>
          <w:bCs/>
          <w:color w:val="000000" w:themeColor="text1"/>
          <w:sz w:val="22"/>
        </w:rPr>
        <w:t xml:space="preserve">país. </w:t>
      </w:r>
      <w:r w:rsidR="00B4595C" w:rsidRPr="00A10614">
        <w:rPr>
          <w:rFonts w:ascii="Arial" w:eastAsia="Calibri" w:hAnsi="Arial" w:cs="Arial"/>
          <w:bCs/>
          <w:color w:val="000000" w:themeColor="text1"/>
          <w:sz w:val="22"/>
        </w:rPr>
        <w:t>En tal sentido, su finalidad principal es</w:t>
      </w:r>
      <w:r w:rsidR="002D13CC" w:rsidRPr="00A10614">
        <w:rPr>
          <w:rFonts w:ascii="Arial" w:eastAsia="Calibri" w:hAnsi="Arial" w:cs="Arial"/>
          <w:bCs/>
          <w:color w:val="000000" w:themeColor="text1"/>
          <w:sz w:val="22"/>
        </w:rPr>
        <w:t xml:space="preserve">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3" w:name="_Hlk63692496"/>
      <w:r w:rsidR="002D13CC" w:rsidRPr="00A10614">
        <w:rPr>
          <w:rFonts w:ascii="Arial" w:eastAsia="Calibri" w:hAnsi="Arial" w:cs="Arial"/>
          <w:bCs/>
          <w:color w:val="000000" w:themeColor="text1"/>
          <w:sz w:val="22"/>
        </w:rPr>
        <w:t>«Política de formalización empresarial»</w:t>
      </w:r>
      <w:bookmarkEnd w:id="3"/>
      <w:r w:rsidR="002D13CC" w:rsidRPr="00A10614">
        <w:rPr>
          <w:rFonts w:ascii="Arial" w:eastAsia="Calibri" w:hAnsi="Arial" w:cs="Arial"/>
          <w:bCs/>
          <w:color w:val="000000" w:themeColor="text1"/>
          <w:sz w:val="22"/>
        </w:rPr>
        <w:t xml:space="preserve"> del Documento CONPES 3956 del 8 de enero de 2019</w:t>
      </w:r>
      <w:r w:rsidR="002D13CC" w:rsidRPr="00A10614">
        <w:rPr>
          <w:rStyle w:val="Refdenotaalpie"/>
          <w:rFonts w:ascii="Arial" w:eastAsia="Calibri" w:hAnsi="Arial" w:cs="Arial"/>
          <w:bCs/>
          <w:color w:val="000000" w:themeColor="text1"/>
          <w:sz w:val="22"/>
        </w:rPr>
        <w:footnoteReference w:id="10"/>
      </w:r>
      <w:r w:rsidR="002D13CC" w:rsidRPr="00A10614">
        <w:rPr>
          <w:rFonts w:ascii="Arial" w:eastAsia="Calibri" w:hAnsi="Arial" w:cs="Arial"/>
          <w:bCs/>
          <w:color w:val="000000" w:themeColor="text1"/>
          <w:sz w:val="22"/>
        </w:rPr>
        <w:t>.</w:t>
      </w:r>
      <w:bookmarkEnd w:id="2"/>
    </w:p>
    <w:p w14:paraId="3E0E1C6F" w14:textId="664C17AD" w:rsidR="002D13CC" w:rsidRPr="00A10614" w:rsidRDefault="002D13CC" w:rsidP="00082303">
      <w:pPr>
        <w:tabs>
          <w:tab w:val="left" w:pos="709"/>
        </w:tabs>
        <w:spacing w:before="120"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Por ello, la ley impulsa medidas para i) reducir cargas y trámites para los emprendedores del país</w:t>
      </w:r>
      <w:r w:rsidR="00442EB9" w:rsidRPr="00A10614">
        <w:rPr>
          <w:rFonts w:ascii="Arial" w:eastAsia="Calibri" w:hAnsi="Arial" w:cs="Arial"/>
          <w:bCs/>
          <w:color w:val="000000" w:themeColor="text1"/>
          <w:sz w:val="22"/>
        </w:rPr>
        <w:t>,</w:t>
      </w:r>
      <w:r w:rsidRPr="00A10614">
        <w:rPr>
          <w:rFonts w:ascii="Arial" w:eastAsia="Calibri" w:hAnsi="Arial" w:cs="Arial"/>
          <w:bCs/>
          <w:color w:val="000000" w:themeColor="text1"/>
          <w:sz w:val="22"/>
        </w:rPr>
        <w:t xml:space="preserve"> ii) facilitar su acceso al sistema de compras y contratación pública</w:t>
      </w:r>
      <w:r w:rsidR="00442EB9" w:rsidRPr="00A10614">
        <w:rPr>
          <w:rFonts w:ascii="Arial" w:eastAsia="Calibri" w:hAnsi="Arial" w:cs="Arial"/>
          <w:bCs/>
          <w:color w:val="000000" w:themeColor="text1"/>
          <w:sz w:val="22"/>
        </w:rPr>
        <w:t>,</w:t>
      </w:r>
      <w:r w:rsidRPr="00A10614">
        <w:rPr>
          <w:rFonts w:ascii="Arial" w:eastAsia="Calibri" w:hAnsi="Arial" w:cs="Arial"/>
          <w:bCs/>
          <w:color w:val="000000" w:themeColor="text1"/>
          <w:sz w:val="22"/>
        </w:rPr>
        <w:t xml:space="preserve"> iii) incentivar el crecimiento económico con la llegada de más actores al ecosistema de inversión y financiación</w:t>
      </w:r>
      <w:r w:rsidR="00442EB9" w:rsidRPr="00A10614">
        <w:rPr>
          <w:rFonts w:ascii="Arial" w:eastAsia="Calibri" w:hAnsi="Arial" w:cs="Arial"/>
          <w:bCs/>
          <w:color w:val="000000" w:themeColor="text1"/>
          <w:sz w:val="22"/>
        </w:rPr>
        <w:t>,</w:t>
      </w:r>
      <w:r w:rsidRPr="00A10614">
        <w:rPr>
          <w:rFonts w:ascii="Arial" w:eastAsia="Calibri" w:hAnsi="Arial" w:cs="Arial"/>
          <w:bCs/>
          <w:color w:val="000000" w:themeColor="text1"/>
          <w:sz w:val="22"/>
        </w:rPr>
        <w:t xml:space="preserve"> iv) focalizar esfuerzos, optimizar la gestión de recursos e incentivar una visión integral del desarrollo productivo a través del fortalecimiento institucional</w:t>
      </w:r>
      <w:r w:rsidR="00442EB9" w:rsidRPr="00A10614">
        <w:rPr>
          <w:rFonts w:ascii="Arial" w:eastAsia="Calibri" w:hAnsi="Arial" w:cs="Arial"/>
          <w:bCs/>
          <w:color w:val="000000" w:themeColor="text1"/>
          <w:sz w:val="22"/>
        </w:rPr>
        <w:t>,</w:t>
      </w:r>
      <w:r w:rsidRPr="00A10614">
        <w:rPr>
          <w:rFonts w:ascii="Arial" w:eastAsia="Calibri" w:hAnsi="Arial" w:cs="Arial"/>
          <w:bCs/>
          <w:color w:val="000000" w:themeColor="text1"/>
          <w:sz w:val="22"/>
        </w:rPr>
        <w:t xml:space="preserve"> v) facilitar la apropiación del emprendimiento y la cultura emprendedora en la juventud colombiana</w:t>
      </w:r>
      <w:r w:rsidR="00442EB9" w:rsidRPr="00A10614">
        <w:rPr>
          <w:rFonts w:ascii="Arial" w:eastAsia="Calibri" w:hAnsi="Arial" w:cs="Arial"/>
          <w:bCs/>
          <w:color w:val="000000" w:themeColor="text1"/>
          <w:sz w:val="22"/>
        </w:rPr>
        <w:t>,</w:t>
      </w:r>
      <w:r w:rsidRPr="00A10614">
        <w:rPr>
          <w:rFonts w:ascii="Arial" w:eastAsia="Calibri" w:hAnsi="Arial" w:cs="Arial"/>
          <w:bCs/>
          <w:color w:val="000000" w:themeColor="text1"/>
          <w:sz w:val="22"/>
        </w:rPr>
        <w:t xml:space="preserve"> así como vi) otorgar beneficios para emprendedores, especialmente, estableciendo un enfoque diferencial respecto a los miembros de las poblaciones más vulnerables, que les permita avanzar en su actividad y desarrollar sus iniciativas</w:t>
      </w:r>
      <w:r w:rsidRPr="00A10614">
        <w:rPr>
          <w:rStyle w:val="Refdenotaalpie"/>
          <w:rFonts w:ascii="Arial" w:eastAsia="Calibri" w:hAnsi="Arial" w:cs="Arial"/>
          <w:bCs/>
          <w:color w:val="000000" w:themeColor="text1"/>
          <w:sz w:val="22"/>
        </w:rPr>
        <w:footnoteReference w:id="11"/>
      </w:r>
      <w:r w:rsidRPr="00A10614">
        <w:rPr>
          <w:rFonts w:ascii="Arial" w:eastAsia="Calibri" w:hAnsi="Arial" w:cs="Arial"/>
          <w:bCs/>
          <w:color w:val="000000" w:themeColor="text1"/>
          <w:sz w:val="22"/>
        </w:rPr>
        <w:t>.</w:t>
      </w:r>
    </w:p>
    <w:p w14:paraId="769C47BD" w14:textId="66AD0FCB" w:rsidR="00C0304B" w:rsidRPr="00A10614" w:rsidRDefault="00C0304B" w:rsidP="00C0304B">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Además, como se indicó, parte de la Ley 2069 contiene normas que modifican algunos aspectos de la contratación estatal para promover el emprendimiento. </w:t>
      </w:r>
      <w:r w:rsidRPr="00A10614">
        <w:rPr>
          <w:rFonts w:ascii="Arial" w:eastAsia="Calibri" w:hAnsi="Arial" w:cs="Arial"/>
          <w:color w:val="000000" w:themeColor="text1"/>
          <w:sz w:val="22"/>
          <w:szCs w:val="22"/>
          <w:lang w:val="es-ES_tradnl"/>
        </w:rPr>
        <w:lastRenderedPageBreak/>
        <w:t xml:space="preserve">Concretamente, aquellas se encuentran en el Capítulo III –artículos 30 al 36–. En su orden, tales artículos consagran: i) reglas sobre la participación de las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p>
    <w:p w14:paraId="7A8B689F" w14:textId="4359147A" w:rsidR="00CE6103" w:rsidRPr="00A10614" w:rsidRDefault="00CE6103" w:rsidP="002D13CC">
      <w:pPr>
        <w:spacing w:line="276" w:lineRule="auto"/>
        <w:jc w:val="both"/>
        <w:rPr>
          <w:rFonts w:ascii="Arial" w:hAnsi="Arial" w:cs="Arial"/>
          <w:sz w:val="22"/>
          <w:lang w:val="es-ES_tradnl"/>
        </w:rPr>
      </w:pPr>
    </w:p>
    <w:p w14:paraId="228262D5" w14:textId="5F04608E" w:rsidR="00D71818" w:rsidRPr="00A10614" w:rsidRDefault="00D71818" w:rsidP="00D71818">
      <w:pPr>
        <w:spacing w:line="276" w:lineRule="auto"/>
        <w:jc w:val="both"/>
        <w:rPr>
          <w:rFonts w:ascii="Arial" w:eastAsia="Calibri" w:hAnsi="Arial" w:cs="Arial"/>
          <w:b/>
          <w:bCs/>
          <w:color w:val="000000" w:themeColor="text1"/>
          <w:sz w:val="22"/>
          <w:szCs w:val="22"/>
          <w:lang w:val="es-ES_tradnl"/>
        </w:rPr>
      </w:pPr>
      <w:r w:rsidRPr="00A10614">
        <w:rPr>
          <w:rFonts w:ascii="Arial" w:eastAsia="Calibri" w:hAnsi="Arial" w:cs="Arial"/>
          <w:b/>
          <w:bCs/>
          <w:color w:val="000000" w:themeColor="text1"/>
          <w:sz w:val="22"/>
          <w:szCs w:val="22"/>
          <w:lang w:val="es-ES_tradnl"/>
        </w:rPr>
        <w:t>2.3. Derogatoria producida por el artículo 35 de la Ley 2069 de 2020 a los factores de desempate del Decreto 1082 de 2015</w:t>
      </w:r>
    </w:p>
    <w:p w14:paraId="7F163DA6" w14:textId="77777777" w:rsidR="00D71818" w:rsidRPr="00A10614" w:rsidRDefault="00D71818" w:rsidP="00D71818">
      <w:pPr>
        <w:spacing w:line="276" w:lineRule="auto"/>
        <w:jc w:val="both"/>
        <w:rPr>
          <w:rFonts w:ascii="Arial" w:eastAsia="Calibri" w:hAnsi="Arial" w:cs="Arial"/>
          <w:color w:val="000000" w:themeColor="text1"/>
          <w:sz w:val="22"/>
          <w:szCs w:val="22"/>
          <w:lang w:val="es-ES_tradnl"/>
        </w:rPr>
      </w:pPr>
    </w:p>
    <w:p w14:paraId="1347F2F5" w14:textId="77777777" w:rsidR="00D71818" w:rsidRPr="00A10614" w:rsidRDefault="00D71818" w:rsidP="00D71818">
      <w:pPr>
        <w:spacing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Agencia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4A4058FA" w14:textId="77777777" w:rsidR="00D71818" w:rsidRPr="00A10614" w:rsidRDefault="00D71818" w:rsidP="00D71818">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Al respecto, </w:t>
      </w:r>
      <w:r w:rsidRPr="00A10614">
        <w:rPr>
          <w:rFonts w:ascii="Arial" w:eastAsia="Calibri" w:hAnsi="Arial" w:cs="Arial"/>
          <w:sz w:val="22"/>
          <w:szCs w:val="22"/>
          <w:lang w:val="es-ES_tradnl"/>
        </w:rPr>
        <w:t>pese a que el parágrafo 3 dispone que el Gobierno Nacional podrá regular los supuestos en que concurran dos o más factores de desempate,</w:t>
      </w:r>
      <w:r w:rsidRPr="00A10614">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21A23C99" w14:textId="77777777" w:rsidR="00D71818" w:rsidRPr="00A10614" w:rsidRDefault="00D71818" w:rsidP="00D71818">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67FB81E3" w14:textId="77777777" w:rsidR="00D71818" w:rsidRPr="00A10614" w:rsidRDefault="00D71818" w:rsidP="00D71818">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lastRenderedPageBreak/>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36B2C62B" w14:textId="77777777" w:rsidR="00D71818" w:rsidRPr="00A10614" w:rsidRDefault="00D71818" w:rsidP="00D71818">
      <w:pPr>
        <w:spacing w:before="120" w:line="276" w:lineRule="auto"/>
        <w:ind w:firstLine="708"/>
        <w:jc w:val="both"/>
        <w:rPr>
          <w:rFonts w:ascii="Arial" w:eastAsia="Calibri" w:hAnsi="Arial" w:cs="Arial"/>
          <w:sz w:val="22"/>
          <w:szCs w:val="22"/>
          <w:lang w:val="es-ES_tradnl"/>
        </w:rPr>
      </w:pPr>
      <w:r w:rsidRPr="00A10614">
        <w:rPr>
          <w:rFonts w:ascii="Arial" w:eastAsia="Calibri" w:hAnsi="Arial" w:cs="Arial"/>
          <w:color w:val="000000" w:themeColor="text1"/>
          <w:sz w:val="22"/>
          <w:szCs w:val="22"/>
          <w:lang w:val="es-ES_tradnl"/>
        </w:rPr>
        <w:t xml:space="preserve">Lo mismo no sucede con el artículo 35. </w:t>
      </w:r>
      <w:r w:rsidRPr="00A10614">
        <w:rPr>
          <w:rFonts w:ascii="Arial" w:eastAsia="Calibri" w:hAnsi="Arial" w:cs="Arial"/>
          <w:sz w:val="22"/>
          <w:szCs w:val="22"/>
          <w:lang w:val="es-ES_tradnl"/>
        </w:rPr>
        <w:t xml:space="preserve">En efecto, </w:t>
      </w:r>
      <w:r w:rsidRPr="00A10614">
        <w:rPr>
          <w:rFonts w:ascii="Arial" w:hAnsi="Arial" w:cs="Arial"/>
          <w:color w:val="000000" w:themeColor="text1"/>
          <w:sz w:val="22"/>
          <w:szCs w:val="22"/>
          <w:lang w:val="es-ES_tradnl"/>
        </w:rPr>
        <w:t>si bien los factores de desempate regulados en el artículo 35 deben aplicarse «</w:t>
      </w:r>
      <w:r w:rsidRPr="00A10614">
        <w:rPr>
          <w:rFonts w:ascii="Arial" w:hAnsi="Arial" w:cs="Arial"/>
          <w:lang w:val="es-ES_tradnl"/>
        </w:rPr>
        <w:t xml:space="preserve">[…] </w:t>
      </w:r>
      <w:r w:rsidRPr="00A10614">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A10614">
        <w:rPr>
          <w:rFonts w:ascii="Arial" w:eastAsia="Calibri" w:hAnsi="Arial" w:cs="Arial"/>
          <w:color w:val="000000" w:themeColor="text1"/>
          <w:sz w:val="22"/>
          <w:szCs w:val="22"/>
          <w:lang w:val="es-ES_tradnl"/>
        </w:rPr>
        <w:t xml:space="preserve"> </w:t>
      </w:r>
    </w:p>
    <w:p w14:paraId="03693E42" w14:textId="77777777" w:rsidR="00D71818" w:rsidRPr="00A10614" w:rsidRDefault="00D71818" w:rsidP="00D71818">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A10614">
        <w:rPr>
          <w:rFonts w:ascii="Arial" w:eastAsia="Calibri" w:hAnsi="Arial" w:cs="Arial"/>
          <w:i/>
          <w:iCs/>
          <w:color w:val="000000" w:themeColor="text1"/>
          <w:sz w:val="22"/>
          <w:szCs w:val="22"/>
          <w:lang w:val="es-ES_tradnl"/>
        </w:rPr>
        <w:t>podrá reglamentar</w:t>
      </w:r>
      <w:r w:rsidRPr="00A10614">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77862D42" w14:textId="77777777" w:rsidR="00D71818" w:rsidRPr="00A10614" w:rsidRDefault="00D71818" w:rsidP="00D71818">
      <w:pPr>
        <w:spacing w:before="120" w:line="276" w:lineRule="auto"/>
        <w:ind w:firstLine="709"/>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1834186" w14:textId="77777777"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w:t>
      </w:r>
      <w:r w:rsidRPr="00A10614">
        <w:rPr>
          <w:rFonts w:ascii="Arial" w:hAnsi="Arial" w:cs="Arial"/>
          <w:color w:val="000000" w:themeColor="text1"/>
          <w:sz w:val="22"/>
          <w:szCs w:val="22"/>
          <w:lang w:val="es-ES_tradnl"/>
        </w:rPr>
        <w:lastRenderedPageBreak/>
        <w:t>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537597F5" w14:textId="77777777"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Ahora bien, hasta la promulgación de la Ley 2069 de 2020, el artículo 2.2.1.1.2.2.9. del Decreto 1082 de 2015 regulaba los factores de desempate que debían aplicarse en los procesos de selección</w:t>
      </w:r>
      <w:r w:rsidRPr="00A10614">
        <w:rPr>
          <w:rStyle w:val="Refdenotaalpie"/>
          <w:rFonts w:ascii="Arial" w:hAnsi="Arial" w:cs="Arial"/>
          <w:color w:val="000000" w:themeColor="text1"/>
          <w:sz w:val="22"/>
          <w:szCs w:val="22"/>
          <w:lang w:val="es-ES_tradnl"/>
        </w:rPr>
        <w:footnoteReference w:id="12"/>
      </w:r>
      <w:r w:rsidRPr="00A10614">
        <w:rPr>
          <w:rFonts w:ascii="Arial" w:hAnsi="Arial" w:cs="Arial"/>
          <w:color w:val="000000" w:themeColor="text1"/>
          <w:sz w:val="22"/>
          <w:szCs w:val="22"/>
          <w:lang w:val="es-ES_tradnl"/>
        </w:rPr>
        <w:t xml:space="preserve">.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61536998" w14:textId="77777777"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lastRenderedPageBreak/>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5" w:name="_Hlk62546732"/>
      <w:r w:rsidRPr="00A10614">
        <w:rPr>
          <w:rFonts w:ascii="Arial" w:hAnsi="Arial" w:cs="Arial"/>
          <w:color w:val="000000" w:themeColor="text1"/>
          <w:sz w:val="22"/>
          <w:szCs w:val="22"/>
          <w:lang w:val="es-ES_tradnl"/>
        </w:rPr>
        <w:t xml:space="preserve">Dado que el Decreto 1082 de 2015 es un reglamento </w:t>
      </w:r>
      <w:proofErr w:type="spellStart"/>
      <w:r w:rsidRPr="00A10614">
        <w:rPr>
          <w:rFonts w:ascii="Arial" w:hAnsi="Arial" w:cs="Arial"/>
          <w:i/>
          <w:iCs/>
          <w:color w:val="000000" w:themeColor="text1"/>
          <w:sz w:val="22"/>
          <w:szCs w:val="22"/>
          <w:lang w:val="es-ES_tradnl"/>
        </w:rPr>
        <w:t>secundum</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legem</w:t>
      </w:r>
      <w:proofErr w:type="spellEnd"/>
      <w:r w:rsidRPr="00A10614">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5"/>
      <w:r w:rsidRPr="00A10614">
        <w:rPr>
          <w:rFonts w:ascii="Arial" w:hAnsi="Arial" w:cs="Arial"/>
          <w:color w:val="000000" w:themeColor="text1"/>
          <w:sz w:val="22"/>
          <w:szCs w:val="22"/>
          <w:lang w:val="es-ES_tradnl"/>
        </w:rPr>
        <w:t xml:space="preserve">.   </w:t>
      </w:r>
    </w:p>
    <w:p w14:paraId="5806D305" w14:textId="1E38AE63"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Lo expuesto en los dos (2) párrafos precedentes también aplica </w:t>
      </w:r>
      <w:r w:rsidRPr="00A10614">
        <w:rPr>
          <w:rFonts w:ascii="Arial" w:hAnsi="Arial" w:cs="Arial"/>
          <w:i/>
          <w:iCs/>
          <w:color w:val="000000" w:themeColor="text1"/>
          <w:sz w:val="22"/>
          <w:szCs w:val="22"/>
          <w:lang w:val="es-ES_tradnl"/>
        </w:rPr>
        <w:t>mutatis mutandis</w:t>
      </w:r>
      <w:r w:rsidRPr="00A10614">
        <w:rPr>
          <w:rFonts w:ascii="Arial" w:hAnsi="Arial" w:cs="Arial"/>
          <w:color w:val="000000" w:themeColor="text1"/>
          <w:sz w:val="22"/>
          <w:szCs w:val="22"/>
          <w:lang w:val="es-ES_tradnl"/>
        </w:rPr>
        <w:t xml:space="preserve"> a los factores de desempate previstos en el </w:t>
      </w:r>
      <w:r w:rsidR="00AA45CB" w:rsidRPr="00A10614">
        <w:rPr>
          <w:rFonts w:ascii="Arial" w:hAnsi="Arial" w:cs="Arial"/>
          <w:color w:val="000000" w:themeColor="text1"/>
          <w:sz w:val="22"/>
          <w:szCs w:val="22"/>
          <w:lang w:val="es-ES_tradnl"/>
        </w:rPr>
        <w:t xml:space="preserve">numeral 6 del artículo 2.2.1.2.1.5.2 y el numeral 3 del artículo 2.2.1.2.1.5.3 del </w:t>
      </w:r>
      <w:r w:rsidRPr="00A10614">
        <w:rPr>
          <w:rFonts w:ascii="Arial" w:hAnsi="Arial" w:cs="Arial"/>
          <w:color w:val="000000" w:themeColor="text1"/>
          <w:sz w:val="22"/>
          <w:szCs w:val="22"/>
          <w:lang w:val="es-ES_tradnl"/>
        </w:rPr>
        <w:t xml:space="preserve">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18DA48C0" w14:textId="77777777"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0925B0BD" w14:textId="77777777" w:rsidR="00D71818" w:rsidRPr="00A10614" w:rsidRDefault="00D71818" w:rsidP="00D71818">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Además, aunque el artículo 5.1 de la Ley 57 de 1887 consagra la regla </w:t>
      </w:r>
      <w:proofErr w:type="spellStart"/>
      <w:r w:rsidRPr="00A10614">
        <w:rPr>
          <w:rFonts w:ascii="Arial" w:hAnsi="Arial" w:cs="Arial"/>
          <w:i/>
          <w:iCs/>
          <w:color w:val="000000" w:themeColor="text1"/>
          <w:sz w:val="22"/>
          <w:szCs w:val="22"/>
          <w:lang w:val="es-ES_tradnl"/>
        </w:rPr>
        <w:t>lex</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specialis</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derogat</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legi</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generali</w:t>
      </w:r>
      <w:proofErr w:type="spellEnd"/>
      <w:r w:rsidRPr="00A10614">
        <w:rPr>
          <w:rStyle w:val="Refdenotaalpie"/>
          <w:rFonts w:ascii="Arial" w:hAnsi="Arial" w:cs="Arial"/>
          <w:color w:val="000000" w:themeColor="text1"/>
          <w:sz w:val="22"/>
          <w:szCs w:val="22"/>
          <w:lang w:val="es-ES_tradnl"/>
        </w:rPr>
        <w:footnoteReference w:id="13"/>
      </w:r>
      <w:r w:rsidRPr="00A10614">
        <w:rPr>
          <w:rFonts w:ascii="Arial" w:hAnsi="Arial" w:cs="Arial"/>
          <w:color w:val="000000" w:themeColor="text1"/>
          <w:sz w:val="22"/>
          <w:szCs w:val="22"/>
          <w:lang w:val="es-ES_tradnl"/>
        </w:rPr>
        <w:t xml:space="preserve">, este criterio para la resolución de antinomias carece de aplicación </w:t>
      </w:r>
      <w:r w:rsidRPr="00A10614">
        <w:rPr>
          <w:rFonts w:ascii="Arial" w:hAnsi="Arial" w:cs="Arial"/>
          <w:color w:val="000000" w:themeColor="text1"/>
          <w:sz w:val="22"/>
          <w:szCs w:val="22"/>
          <w:lang w:val="es-ES_tradnl"/>
        </w:rPr>
        <w:lastRenderedPageBreak/>
        <w:t>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A10614">
        <w:rPr>
          <w:rStyle w:val="Refdenotaalpie"/>
          <w:rFonts w:ascii="Arial" w:hAnsi="Arial" w:cs="Arial"/>
          <w:color w:val="000000" w:themeColor="text1"/>
          <w:sz w:val="22"/>
          <w:szCs w:val="22"/>
          <w:lang w:val="es-ES_tradnl"/>
        </w:rPr>
        <w:footnoteReference w:id="14"/>
      </w:r>
      <w:r w:rsidRPr="00A10614">
        <w:rPr>
          <w:rFonts w:ascii="Arial" w:hAnsi="Arial" w:cs="Arial"/>
          <w:color w:val="000000" w:themeColor="text1"/>
          <w:sz w:val="22"/>
          <w:szCs w:val="22"/>
          <w:lang w:val="es-ES_tradnl"/>
        </w:rPr>
        <w:t xml:space="preserve">. Al respecto, la doctrina considera que: </w:t>
      </w:r>
    </w:p>
    <w:p w14:paraId="05FA04FA" w14:textId="77777777" w:rsidR="00D71818" w:rsidRPr="00A10614" w:rsidRDefault="00D71818" w:rsidP="00D71818">
      <w:pPr>
        <w:spacing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  </w:t>
      </w:r>
    </w:p>
    <w:p w14:paraId="639D94C7" w14:textId="77777777" w:rsidR="00D71818" w:rsidRPr="00A10614" w:rsidRDefault="00D71818" w:rsidP="00D71818">
      <w:pPr>
        <w:ind w:left="709" w:right="758"/>
        <w:jc w:val="both"/>
        <w:rPr>
          <w:rFonts w:ascii="Arial" w:hAnsi="Arial" w:cs="Arial"/>
          <w:color w:val="000000" w:themeColor="text1"/>
          <w:sz w:val="21"/>
          <w:szCs w:val="21"/>
          <w:lang w:val="es-ES_tradnl"/>
        </w:rPr>
      </w:pPr>
      <w:r w:rsidRPr="00A10614">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A10614">
        <w:rPr>
          <w:rFonts w:ascii="Arial" w:hAnsi="Arial" w:cs="Arial"/>
          <w:i/>
          <w:iCs/>
          <w:color w:val="000000" w:themeColor="text1"/>
          <w:sz w:val="21"/>
          <w:szCs w:val="21"/>
        </w:rPr>
        <w:t>lex posterior generalis</w:t>
      </w:r>
      <w:r w:rsidRPr="00A10614">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A10614">
        <w:rPr>
          <w:rFonts w:ascii="Arial" w:hAnsi="Arial" w:cs="Arial"/>
          <w:i/>
          <w:iCs/>
          <w:color w:val="000000" w:themeColor="text1"/>
          <w:sz w:val="21"/>
          <w:szCs w:val="21"/>
        </w:rPr>
        <w:t>lex posterior generalis non derogat legi priori speciali</w:t>
      </w:r>
      <w:r w:rsidRPr="00A10614">
        <w:rPr>
          <w:rFonts w:ascii="Arial" w:hAnsi="Arial" w:cs="Arial"/>
          <w:color w:val="000000" w:themeColor="text1"/>
          <w:sz w:val="21"/>
          <w:szCs w:val="21"/>
        </w:rPr>
        <w:t xml:space="preserve"> opera como una mera presunción hermenéutica, que puede ser destruida por una clara </w:t>
      </w:r>
      <w:r w:rsidRPr="00A10614">
        <w:rPr>
          <w:rFonts w:ascii="Arial" w:hAnsi="Arial" w:cs="Arial"/>
          <w:i/>
          <w:iCs/>
          <w:color w:val="000000" w:themeColor="text1"/>
          <w:sz w:val="21"/>
          <w:szCs w:val="21"/>
        </w:rPr>
        <w:t>voluntas legis</w:t>
      </w:r>
      <w:r w:rsidRPr="00A10614">
        <w:rPr>
          <w:rFonts w:ascii="Arial" w:hAnsi="Arial" w:cs="Arial"/>
          <w:color w:val="000000" w:themeColor="text1"/>
          <w:sz w:val="21"/>
          <w:szCs w:val="21"/>
        </w:rPr>
        <w:t xml:space="preserve"> de sentido contrario</w:t>
      </w:r>
      <w:r w:rsidRPr="00A10614">
        <w:rPr>
          <w:rStyle w:val="Refdenotaalpie"/>
          <w:rFonts w:ascii="Arial" w:hAnsi="Arial" w:cs="Arial"/>
          <w:color w:val="000000" w:themeColor="text1"/>
          <w:sz w:val="21"/>
          <w:szCs w:val="21"/>
        </w:rPr>
        <w:footnoteReference w:id="15"/>
      </w:r>
      <w:r w:rsidRPr="00A10614">
        <w:rPr>
          <w:rFonts w:ascii="Arial" w:hAnsi="Arial" w:cs="Arial"/>
          <w:color w:val="000000" w:themeColor="text1"/>
          <w:sz w:val="21"/>
          <w:szCs w:val="21"/>
        </w:rPr>
        <w:t>.</w:t>
      </w:r>
      <w:r w:rsidRPr="00A10614">
        <w:rPr>
          <w:rFonts w:ascii="Arial" w:hAnsi="Arial" w:cs="Arial"/>
          <w:color w:val="000000" w:themeColor="text1"/>
          <w:sz w:val="21"/>
          <w:szCs w:val="21"/>
          <w:lang w:val="es-ES_tradnl"/>
        </w:rPr>
        <w:t xml:space="preserve"> </w:t>
      </w:r>
    </w:p>
    <w:p w14:paraId="2F618BB5" w14:textId="77777777" w:rsidR="00D71818" w:rsidRPr="00A10614" w:rsidRDefault="00D71818" w:rsidP="00D71818">
      <w:pPr>
        <w:spacing w:line="276" w:lineRule="auto"/>
        <w:jc w:val="both"/>
        <w:rPr>
          <w:rFonts w:ascii="Arial" w:hAnsi="Arial" w:cs="Arial"/>
          <w:color w:val="000000" w:themeColor="text1"/>
          <w:sz w:val="22"/>
          <w:szCs w:val="22"/>
          <w:lang w:val="es-ES_tradnl"/>
        </w:rPr>
      </w:pPr>
    </w:p>
    <w:p w14:paraId="4C396A6E" w14:textId="2CB28F30" w:rsidR="00D71818" w:rsidRPr="00A10614" w:rsidRDefault="00D71818" w:rsidP="00D71818">
      <w:pPr>
        <w:spacing w:line="276" w:lineRule="auto"/>
        <w:jc w:val="both"/>
        <w:rPr>
          <w:rFonts w:ascii="Arial" w:eastAsia="Calibri" w:hAnsi="Arial" w:cs="Arial"/>
          <w:bCs/>
          <w:color w:val="000000" w:themeColor="text1"/>
          <w:sz w:val="22"/>
        </w:rPr>
      </w:pPr>
      <w:r w:rsidRPr="00A10614">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A10614">
        <w:rPr>
          <w:rFonts w:ascii="Arial" w:eastAsia="Calibri" w:hAnsi="Arial" w:cs="Arial"/>
          <w:bCs/>
          <w:color w:val="000000" w:themeColor="text1"/>
          <w:sz w:val="22"/>
        </w:rPr>
        <w:t>conforme a la exposición de motivos, la ley «</w:t>
      </w:r>
      <w:r w:rsidRPr="00A10614">
        <w:rPr>
          <w:rFonts w:ascii="Arial" w:hAnsi="Arial" w:cs="Arial"/>
          <w:sz w:val="22"/>
        </w:rPr>
        <w:t xml:space="preserve">[…] </w:t>
      </w:r>
      <w:r w:rsidRPr="00A10614">
        <w:rPr>
          <w:rFonts w:ascii="Arial" w:eastAsia="Calibri" w:hAnsi="Arial" w:cs="Arial"/>
          <w:bCs/>
          <w:color w:val="000000" w:themeColor="text1"/>
          <w:sz w:val="22"/>
        </w:rPr>
        <w:t xml:space="preserve">propone facilitar el acceso de las Mipymes a la modalidad de contratación de mínima cuantía, la limitación de estos procesos a Mipymes, […] y </w:t>
      </w:r>
      <w:r w:rsidRPr="00A10614">
        <w:rPr>
          <w:rFonts w:ascii="Arial" w:eastAsia="Calibri" w:hAnsi="Arial" w:cs="Arial"/>
          <w:bCs/>
          <w:i/>
          <w:iCs/>
          <w:color w:val="000000" w:themeColor="text1"/>
          <w:sz w:val="22"/>
        </w:rPr>
        <w:t>define la inclusión de factores de desempate en los procesos de contratación pública que priorizan este segmento</w:t>
      </w:r>
      <w:r w:rsidRPr="00A10614">
        <w:rPr>
          <w:rFonts w:ascii="Arial" w:eastAsia="Calibri" w:hAnsi="Arial" w:cs="Arial"/>
          <w:bCs/>
          <w:color w:val="000000" w:themeColor="text1"/>
          <w:sz w:val="22"/>
        </w:rPr>
        <w:t>» (Énfasis fuera de texto)</w:t>
      </w:r>
      <w:r w:rsidRPr="00A10614">
        <w:rPr>
          <w:rStyle w:val="Refdenotaalpie"/>
          <w:rFonts w:ascii="Arial" w:eastAsia="Calibri" w:hAnsi="Arial" w:cs="Arial"/>
          <w:bCs/>
          <w:color w:val="000000" w:themeColor="text1"/>
          <w:sz w:val="22"/>
        </w:rPr>
        <w:footnoteReference w:id="16"/>
      </w:r>
      <w:r w:rsidRPr="00A10614">
        <w:rPr>
          <w:rFonts w:ascii="Arial" w:eastAsia="Calibri" w:hAnsi="Arial" w:cs="Arial"/>
          <w:bCs/>
          <w:color w:val="000000" w:themeColor="text1"/>
          <w:sz w:val="22"/>
        </w:rPr>
        <w:t xml:space="preserve">. En esta medida, carece de sentido que los criterios de desempate sean inaplicables a la mínima cuantía, cuando la regla revista en el artículo citado obliga a todas las entidades exceptuadas sin consideración al valor del presupuesto oficial estimado. </w:t>
      </w:r>
      <w:bookmarkStart w:id="6" w:name="_Hlk64307901"/>
      <w:r w:rsidRPr="00A10614">
        <w:rPr>
          <w:rFonts w:ascii="Arial" w:eastAsia="Calibri" w:hAnsi="Arial" w:cs="Arial"/>
          <w:bCs/>
          <w:color w:val="000000" w:themeColor="text1"/>
          <w:sz w:val="22"/>
        </w:rPr>
        <w:t xml:space="preserve">Teniendo en cuenta lo anterior, se concluye que el artículo </w:t>
      </w:r>
      <w:r w:rsidRPr="00A10614">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los criterios de desempate previstos en el </w:t>
      </w:r>
      <w:r w:rsidR="00AA45CB" w:rsidRPr="00A10614">
        <w:rPr>
          <w:rFonts w:ascii="Arial" w:hAnsi="Arial" w:cs="Arial"/>
          <w:color w:val="000000" w:themeColor="text1"/>
          <w:sz w:val="22"/>
          <w:szCs w:val="22"/>
          <w:lang w:val="es-ES_tradnl"/>
        </w:rPr>
        <w:t xml:space="preserve">numeral 6 del artículo 2.2.1.2.1.5.2 y el numeral 3 del artículo 2.2.1.2.1.5.3 del </w:t>
      </w:r>
      <w:r w:rsidRPr="00A10614">
        <w:rPr>
          <w:rFonts w:ascii="Arial" w:hAnsi="Arial" w:cs="Arial"/>
          <w:color w:val="000000" w:themeColor="text1"/>
          <w:sz w:val="22"/>
          <w:szCs w:val="22"/>
          <w:lang w:val="es-ES_tradnl"/>
        </w:rPr>
        <w:t xml:space="preserve">Decreto 1082 de 2015 para esta modalidad de selección. </w:t>
      </w:r>
      <w:r w:rsidRPr="00A10614">
        <w:rPr>
          <w:rFonts w:ascii="Arial" w:eastAsia="Calibri" w:hAnsi="Arial" w:cs="Arial"/>
          <w:bCs/>
          <w:color w:val="000000" w:themeColor="text1"/>
          <w:sz w:val="22"/>
        </w:rPr>
        <w:t xml:space="preserve">   </w:t>
      </w:r>
      <w:r w:rsidRPr="00A10614">
        <w:rPr>
          <w:rFonts w:ascii="Arial" w:hAnsi="Arial" w:cs="Arial"/>
          <w:color w:val="000000" w:themeColor="text1"/>
          <w:sz w:val="22"/>
          <w:szCs w:val="22"/>
          <w:lang w:val="es-ES_tradnl"/>
        </w:rPr>
        <w:t xml:space="preserve">     </w:t>
      </w:r>
    </w:p>
    <w:bookmarkEnd w:id="6"/>
    <w:p w14:paraId="4B7354A0" w14:textId="77777777" w:rsidR="00D71818" w:rsidRPr="00A10614" w:rsidRDefault="00D71818" w:rsidP="002D13CC">
      <w:pPr>
        <w:spacing w:line="276" w:lineRule="auto"/>
        <w:jc w:val="both"/>
        <w:rPr>
          <w:rFonts w:ascii="Arial" w:hAnsi="Arial" w:cs="Arial"/>
          <w:sz w:val="22"/>
        </w:rPr>
      </w:pPr>
    </w:p>
    <w:p w14:paraId="51398CE7" w14:textId="0F79DF89" w:rsidR="00CE6103" w:rsidRPr="00A10614" w:rsidRDefault="00CE6103" w:rsidP="00CE6103">
      <w:pPr>
        <w:tabs>
          <w:tab w:val="left" w:pos="709"/>
        </w:tabs>
        <w:spacing w:line="276" w:lineRule="auto"/>
        <w:jc w:val="both"/>
        <w:rPr>
          <w:rFonts w:ascii="Arial" w:eastAsia="Calibri" w:hAnsi="Arial" w:cs="Arial"/>
          <w:b/>
          <w:color w:val="000000" w:themeColor="text1"/>
          <w:sz w:val="22"/>
        </w:rPr>
      </w:pPr>
      <w:r w:rsidRPr="00A10614">
        <w:rPr>
          <w:rFonts w:ascii="Arial" w:eastAsia="Calibri" w:hAnsi="Arial" w:cs="Arial"/>
          <w:b/>
          <w:color w:val="000000" w:themeColor="text1"/>
          <w:sz w:val="22"/>
        </w:rPr>
        <w:lastRenderedPageBreak/>
        <w:t>2.</w:t>
      </w:r>
      <w:r w:rsidR="00D71818" w:rsidRPr="00A10614">
        <w:rPr>
          <w:rFonts w:ascii="Arial" w:eastAsia="Calibri" w:hAnsi="Arial" w:cs="Arial"/>
          <w:b/>
          <w:color w:val="000000" w:themeColor="text1"/>
          <w:sz w:val="22"/>
        </w:rPr>
        <w:t>4</w:t>
      </w:r>
      <w:r w:rsidRPr="00A10614">
        <w:rPr>
          <w:rFonts w:ascii="Arial" w:eastAsia="Calibri" w:hAnsi="Arial" w:cs="Arial"/>
          <w:b/>
          <w:color w:val="000000" w:themeColor="text1"/>
          <w:sz w:val="22"/>
        </w:rPr>
        <w:t xml:space="preserve">. Intervención del reglamento para la efectividad de la Ley 2069 de 2020 en el </w:t>
      </w:r>
      <w:bookmarkStart w:id="7" w:name="_Hlk63693402"/>
      <w:r w:rsidRPr="00A10614">
        <w:rPr>
          <w:rFonts w:ascii="Arial" w:eastAsia="Calibri" w:hAnsi="Arial" w:cs="Arial"/>
          <w:b/>
          <w:color w:val="000000" w:themeColor="text1"/>
          <w:sz w:val="22"/>
        </w:rPr>
        <w:t>sistema de compras pública</w:t>
      </w:r>
      <w:bookmarkEnd w:id="7"/>
      <w:r w:rsidRPr="00A10614">
        <w:rPr>
          <w:rFonts w:ascii="Arial" w:eastAsia="Calibri" w:hAnsi="Arial" w:cs="Arial"/>
          <w:b/>
          <w:color w:val="000000" w:themeColor="text1"/>
          <w:sz w:val="22"/>
        </w:rPr>
        <w:t>s</w:t>
      </w:r>
      <w:r w:rsidR="00143457" w:rsidRPr="00A10614">
        <w:rPr>
          <w:rFonts w:ascii="Arial" w:eastAsia="Calibri" w:hAnsi="Arial" w:cs="Arial"/>
          <w:b/>
          <w:color w:val="000000" w:themeColor="text1"/>
          <w:sz w:val="22"/>
        </w:rPr>
        <w:t>: l</w:t>
      </w:r>
      <w:r w:rsidR="00004E47" w:rsidRPr="00A10614">
        <w:rPr>
          <w:rFonts w:ascii="Arial" w:eastAsia="Calibri" w:hAnsi="Arial" w:cs="Arial"/>
          <w:b/>
          <w:color w:val="000000" w:themeColor="text1"/>
          <w:sz w:val="22"/>
        </w:rPr>
        <w:t>a conclusión no es la misma frente a todos los artículos</w:t>
      </w:r>
    </w:p>
    <w:p w14:paraId="27DF5E8C" w14:textId="77777777" w:rsidR="00CE6103" w:rsidRPr="00A10614" w:rsidRDefault="00CE6103" w:rsidP="00CE6103">
      <w:pPr>
        <w:tabs>
          <w:tab w:val="left" w:pos="709"/>
        </w:tabs>
        <w:spacing w:line="276" w:lineRule="auto"/>
        <w:jc w:val="both"/>
        <w:rPr>
          <w:rFonts w:ascii="Arial" w:eastAsia="Calibri" w:hAnsi="Arial" w:cs="Arial"/>
          <w:bCs/>
          <w:color w:val="000000" w:themeColor="text1"/>
          <w:sz w:val="22"/>
        </w:rPr>
      </w:pPr>
    </w:p>
    <w:p w14:paraId="3F3AF887" w14:textId="23B73CED" w:rsidR="00CE6103" w:rsidRPr="00A10614" w:rsidRDefault="009B6DCD"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color w:val="000000" w:themeColor="text1"/>
          <w:sz w:val="22"/>
          <w:lang w:val="es-ES_tradnl"/>
        </w:rPr>
        <w:t>En la Ley 2069 de 2020 la exigencia de reglamentación</w:t>
      </w:r>
      <w:r w:rsidR="009C74DF" w:rsidRPr="00A10614">
        <w:rPr>
          <w:rFonts w:ascii="Arial" w:eastAsia="Calibri" w:hAnsi="Arial" w:cs="Arial"/>
          <w:color w:val="000000" w:themeColor="text1"/>
          <w:sz w:val="22"/>
          <w:lang w:val="es-ES_tradnl"/>
        </w:rPr>
        <w:t>,</w:t>
      </w:r>
      <w:r w:rsidRPr="00A10614">
        <w:rPr>
          <w:rFonts w:ascii="Arial" w:eastAsia="Calibri" w:hAnsi="Arial" w:cs="Arial"/>
          <w:color w:val="000000" w:themeColor="text1"/>
          <w:sz w:val="22"/>
          <w:lang w:val="es-ES_tradnl"/>
        </w:rPr>
        <w:t xml:space="preserve"> como condición de eficacia de su articulado</w:t>
      </w:r>
      <w:r w:rsidR="009C74DF" w:rsidRPr="00A10614">
        <w:rPr>
          <w:rFonts w:ascii="Arial" w:eastAsia="Calibri" w:hAnsi="Arial" w:cs="Arial"/>
          <w:color w:val="000000" w:themeColor="text1"/>
          <w:sz w:val="22"/>
          <w:lang w:val="es-ES_tradnl"/>
        </w:rPr>
        <w:t>,</w:t>
      </w:r>
      <w:r w:rsidRPr="00A10614">
        <w:rPr>
          <w:rFonts w:ascii="Arial" w:eastAsia="Calibri" w:hAnsi="Arial" w:cs="Arial"/>
          <w:color w:val="000000" w:themeColor="text1"/>
          <w:sz w:val="22"/>
          <w:lang w:val="es-ES_tradnl"/>
        </w:rPr>
        <w:t xml:space="preserve"> es diversa, o sea, no es similar frente a todo</w:t>
      </w:r>
      <w:r w:rsidR="004B28E0" w:rsidRPr="00A10614">
        <w:rPr>
          <w:rFonts w:ascii="Arial" w:eastAsia="Calibri" w:hAnsi="Arial" w:cs="Arial"/>
          <w:color w:val="000000" w:themeColor="text1"/>
          <w:sz w:val="22"/>
          <w:lang w:val="es-ES_tradnl"/>
        </w:rPr>
        <w:t xml:space="preserve">s sus enunciados normativos. Verbigracia, </w:t>
      </w:r>
      <w:r w:rsidR="00CE6103" w:rsidRPr="00A10614">
        <w:rPr>
          <w:rFonts w:ascii="Arial" w:eastAsia="Calibri" w:hAnsi="Arial" w:cs="Arial"/>
          <w:color w:val="000000" w:themeColor="text1"/>
          <w:sz w:val="22"/>
          <w:lang w:val="es-ES_tradnl"/>
        </w:rPr>
        <w:t>los artículos 31, 32, 34 y 36 de la Ley 2069 de 2020</w:t>
      </w:r>
      <w:r w:rsidR="00CE6103" w:rsidRPr="00A10614">
        <w:rPr>
          <w:rFonts w:ascii="Arial" w:eastAsia="Calibri" w:hAnsi="Arial" w:cs="Arial"/>
          <w:bCs/>
          <w:color w:val="000000" w:themeColor="text1"/>
          <w:sz w:val="22"/>
        </w:rPr>
        <w:t xml:space="preserve"> disponen que el gobierno nacional reglamentará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545D1A73"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La respuesta a la inquietud planteada en el párrafo precedente es de enorme importancia por los efectos prácticos de ambas posiciones. Por un lado, </w:t>
      </w:r>
      <w:bookmarkStart w:id="8" w:name="_Hlk63884320"/>
      <w:r w:rsidRPr="00A10614">
        <w:rPr>
          <w:rFonts w:ascii="Arial" w:eastAsia="Calibri" w:hAnsi="Arial" w:cs="Arial"/>
          <w:bCs/>
          <w:color w:val="000000" w:themeColor="text1"/>
          <w:sz w:val="22"/>
        </w:rPr>
        <w:t xml:space="preserve">quien opte por la </w:t>
      </w:r>
      <w:r w:rsidRPr="00A10614">
        <w:rPr>
          <w:rFonts w:ascii="Arial" w:eastAsia="Calibri" w:hAnsi="Arial" w:cs="Arial"/>
          <w:bCs/>
          <w:i/>
          <w:iCs/>
          <w:color w:val="000000" w:themeColor="text1"/>
          <w:sz w:val="22"/>
        </w:rPr>
        <w:t>tesis de la aplicación directa</w:t>
      </w:r>
      <w:r w:rsidRPr="00A10614">
        <w:rPr>
          <w:rFonts w:ascii="Arial" w:eastAsia="Calibri" w:hAnsi="Arial" w:cs="Arial"/>
          <w:bCs/>
          <w:color w:val="000000" w:themeColor="text1"/>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8"/>
    </w:p>
    <w:p w14:paraId="12CC8B97"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A10614">
        <w:rPr>
          <w:rStyle w:val="Refdenotaalpie"/>
          <w:rFonts w:ascii="Arial" w:eastAsia="Calibri" w:hAnsi="Arial" w:cs="Arial"/>
          <w:bCs/>
          <w:color w:val="000000" w:themeColor="text1"/>
          <w:sz w:val="22"/>
        </w:rPr>
        <w:footnoteReference w:id="17"/>
      </w:r>
      <w:r w:rsidRPr="00A10614">
        <w:rPr>
          <w:rFonts w:ascii="Arial" w:eastAsia="Calibri" w:hAnsi="Arial" w:cs="Arial"/>
          <w:bCs/>
          <w:color w:val="000000" w:themeColor="text1"/>
          <w:sz w:val="22"/>
        </w:rPr>
        <w:t>. En este contexto, si la expedición de reglamentos no es obligatoria, la ausencia de estos no excusa la inaplicación de la ley, pues contiene unos elementos mínimos que vinculan directamente a los destinatarios.</w:t>
      </w:r>
    </w:p>
    <w:p w14:paraId="4C13E337"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Este es el caso de lo previsto en los artículos 30, 33 y 35 de la Ley de Emprendimiento. En relación con las mipymes y mínima cuantía, </w:t>
      </w:r>
      <w:r w:rsidRPr="00A10614">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w:t>
      </w:r>
      <w:r w:rsidRPr="00A10614">
        <w:rPr>
          <w:rFonts w:ascii="Arial" w:eastAsia="Calibri" w:hAnsi="Arial" w:cs="Arial"/>
          <w:bCs/>
          <w:color w:val="000000" w:themeColor="text1"/>
          <w:sz w:val="22"/>
          <w:lang w:val="es-ES_tradnl"/>
        </w:rPr>
        <w:lastRenderedPageBreak/>
        <w:t xml:space="preserve">cuantía. Esto </w:t>
      </w:r>
      <w:r w:rsidRPr="00A10614">
        <w:rPr>
          <w:rFonts w:ascii="Arial" w:eastAsia="Calibri" w:hAnsi="Arial" w:cs="Arial"/>
          <w:bCs/>
          <w:color w:val="000000" w:themeColor="text1"/>
          <w:sz w:val="22"/>
        </w:rPr>
        <w:t xml:space="preserve">sin perjuicio de que el Gobierno Nacional, conforme a lo dispuesto en el parágrafo 1 </w:t>
      </w:r>
      <w:r w:rsidRPr="00A10614">
        <w:rPr>
          <w:rFonts w:ascii="Arial" w:eastAsia="Calibri" w:hAnsi="Arial" w:cs="Arial"/>
          <w:bCs/>
          <w:i/>
          <w:iCs/>
          <w:color w:val="000000" w:themeColor="text1"/>
          <w:sz w:val="22"/>
        </w:rPr>
        <w:t>ibidem</w:t>
      </w:r>
      <w:r w:rsidRPr="00A10614">
        <w:rPr>
          <w:rFonts w:ascii="Arial" w:eastAsia="Calibri" w:hAnsi="Arial" w:cs="Arial"/>
          <w:bCs/>
          <w:color w:val="000000" w:themeColor="text1"/>
          <w:sz w:val="22"/>
        </w:rPr>
        <w:t xml:space="preserve">, ejerza la potestad reglamentaria para </w:t>
      </w:r>
      <w:r w:rsidRPr="00A10614">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Pr="00A10614">
        <w:rPr>
          <w:rFonts w:ascii="Arial" w:eastAsia="Calibri" w:hAnsi="Arial" w:cs="Arial"/>
          <w:b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o establecimientos que correspondan a la definición de «gran almacén».</w:t>
      </w:r>
    </w:p>
    <w:p w14:paraId="32009A23"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En lo que se refiere a la promoción del acceso de las mipymes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p>
    <w:p w14:paraId="5C25EC6E"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35EC2F3F"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0DD6452"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85E6EDD"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r>
      <w:bookmarkStart w:id="9" w:name="_Hlk63884375"/>
      <w:r w:rsidRPr="00A10614">
        <w:rPr>
          <w:rFonts w:ascii="Arial" w:eastAsia="Calibri" w:hAnsi="Arial" w:cs="Arial"/>
          <w:bCs/>
          <w:color w:val="000000" w:themeColor="text1"/>
          <w:sz w:val="22"/>
        </w:rPr>
        <w:t xml:space="preserve">Ahora bien, la relación entre estas dos (2) fuentes del derecho es totalmente diferente en la </w:t>
      </w:r>
      <w:r w:rsidRPr="00A10614">
        <w:rPr>
          <w:rFonts w:ascii="Arial" w:eastAsia="Calibri" w:hAnsi="Arial" w:cs="Arial"/>
          <w:bCs/>
          <w:i/>
          <w:iCs/>
          <w:color w:val="000000" w:themeColor="text1"/>
          <w:sz w:val="22"/>
        </w:rPr>
        <w:t>tesis de la reglamentación</w:t>
      </w:r>
      <w:r w:rsidRPr="00A10614">
        <w:rPr>
          <w:rFonts w:ascii="Arial" w:eastAsia="Calibri" w:hAnsi="Arial" w:cs="Arial"/>
          <w:bCs/>
          <w:color w:val="000000" w:themeColor="text1"/>
          <w:sz w:val="22"/>
        </w:rPr>
        <w:t xml:space="preserve">. Para estos efectos, si bien el Congreso de la República conserva la cláusula general de competencia normativa para la expedición de las leyes, sujeta su aplicación a una norma de menor jerarquía que regule aspectos de </w:t>
      </w:r>
      <w:r w:rsidRPr="00A10614">
        <w:rPr>
          <w:rFonts w:ascii="Arial" w:eastAsia="Calibri" w:hAnsi="Arial" w:cs="Arial"/>
          <w:bCs/>
          <w:color w:val="000000" w:themeColor="text1"/>
          <w:sz w:val="22"/>
        </w:rPr>
        <w:lastRenderedPageBreak/>
        <w:t>detalle, por lo que exige la expedición del decreto reglamentario correspondiente</w:t>
      </w:r>
      <w:bookmarkEnd w:id="9"/>
      <w:r w:rsidRPr="00A10614">
        <w:rPr>
          <w:rFonts w:ascii="Arial" w:eastAsia="Calibri" w:hAnsi="Arial" w:cs="Arial"/>
          <w:bCs/>
          <w:color w:val="000000" w:themeColor="text1"/>
          <w:sz w:val="22"/>
        </w:rPr>
        <w:t>. Este el caso de los</w:t>
      </w:r>
      <w:r w:rsidRPr="00A10614">
        <w:rPr>
          <w:rFonts w:ascii="Arial" w:eastAsia="Calibri" w:hAnsi="Arial" w:cs="Arial"/>
          <w:color w:val="000000" w:themeColor="text1"/>
          <w:sz w:val="22"/>
          <w:lang w:val="es-ES_tradnl"/>
        </w:rPr>
        <w:t xml:space="preserve"> artículos 31, 32, 34 y 36 de la Ley de Emprendimiento</w:t>
      </w:r>
      <w:r w:rsidRPr="00A10614">
        <w:rPr>
          <w:rFonts w:ascii="Arial" w:eastAsia="Calibri" w:hAnsi="Arial" w:cs="Arial"/>
          <w:bCs/>
          <w:color w:val="000000" w:themeColor="text1"/>
          <w:sz w:val="22"/>
        </w:rPr>
        <w:t xml:space="preserve">. </w:t>
      </w:r>
    </w:p>
    <w:p w14:paraId="29CFDC4B" w14:textId="77777777"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En efecto, estas disposiciones contienen un mandato de reglamentación que debe acatar el Gobierno Nacional</w:t>
      </w:r>
      <w:r w:rsidRPr="00A10614">
        <w:rPr>
          <w:rStyle w:val="Refdenotaalpie"/>
          <w:rFonts w:ascii="Arial" w:eastAsia="Calibri" w:hAnsi="Arial" w:cs="Arial"/>
          <w:bCs/>
          <w:color w:val="000000" w:themeColor="text1"/>
          <w:sz w:val="22"/>
        </w:rPr>
        <w:footnoteReference w:id="18"/>
      </w:r>
      <w:r w:rsidRPr="00A10614">
        <w:rPr>
          <w:rFonts w:ascii="Arial" w:eastAsia="Calibri" w:hAnsi="Arial" w:cs="Arial"/>
          <w:bCs/>
          <w:color w:val="000000" w:themeColor="text1"/>
          <w:sz w:val="22"/>
        </w:rPr>
        <w:t xml:space="preserve">. Sin el decreto la ley es inaplicable, porque delega en una fuente de inferior jerarquía la definición de los aspectos relevantes para efectividad de los mandatos contenidos en la misma. En estos casos, la omisión reglamentaria genera una </w:t>
      </w:r>
      <w:r w:rsidRPr="00A10614">
        <w:rPr>
          <w:rFonts w:ascii="Arial" w:eastAsia="Calibri" w:hAnsi="Arial" w:cs="Arial"/>
          <w:bCs/>
          <w:i/>
          <w:iCs/>
          <w:color w:val="000000" w:themeColor="text1"/>
          <w:sz w:val="22"/>
        </w:rPr>
        <w:t>laguna técnica</w:t>
      </w:r>
      <w:r w:rsidRPr="00A10614">
        <w:rPr>
          <w:rFonts w:ascii="Arial" w:eastAsia="Calibri" w:hAnsi="Arial" w:cs="Arial"/>
          <w:bCs/>
          <w:color w:val="000000" w:themeColor="text1"/>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A10614">
        <w:rPr>
          <w:rStyle w:val="Refdenotaalpie"/>
          <w:rFonts w:ascii="Arial" w:eastAsia="Calibri" w:hAnsi="Arial" w:cs="Arial"/>
          <w:bCs/>
          <w:color w:val="000000" w:themeColor="text1"/>
          <w:sz w:val="22"/>
        </w:rPr>
        <w:footnoteReference w:id="19"/>
      </w:r>
      <w:r w:rsidRPr="00A10614">
        <w:rPr>
          <w:rFonts w:ascii="Arial" w:eastAsia="Calibri" w:hAnsi="Arial" w:cs="Arial"/>
          <w:bCs/>
          <w:color w:val="000000" w:themeColor="text1"/>
          <w:sz w:val="22"/>
        </w:rPr>
        <w:t>.</w:t>
      </w:r>
    </w:p>
    <w:p w14:paraId="2642F214" w14:textId="6C6FC000" w:rsidR="00CE6103" w:rsidRPr="00A10614" w:rsidRDefault="00CE6103" w:rsidP="00CE6103">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r>
      <w:r w:rsidR="00143457" w:rsidRPr="00A10614">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143457" w:rsidRPr="00A10614">
        <w:rPr>
          <w:rFonts w:ascii="Arial" w:eastAsia="Calibri" w:hAnsi="Arial" w:cs="Arial"/>
          <w:bCs/>
          <w:i/>
          <w:iCs/>
          <w:color w:val="000000" w:themeColor="text1"/>
          <w:sz w:val="22"/>
        </w:rPr>
        <w:t>ibidem</w:t>
      </w:r>
      <w:r w:rsidR="00143457" w:rsidRPr="00A10614">
        <w:rPr>
          <w:rFonts w:ascii="Arial" w:eastAsia="Calibri" w:hAnsi="Arial" w:cs="Arial"/>
          <w:bCs/>
          <w:color w:val="000000" w:themeColor="text1"/>
          <w:sz w:val="22"/>
        </w:rPr>
        <w:t xml:space="preserve"> antes de su declaratoria de inconstitucionalidad</w:t>
      </w:r>
      <w:r w:rsidR="00143457" w:rsidRPr="00A10614">
        <w:rPr>
          <w:rStyle w:val="Refdenotaalpie"/>
          <w:rFonts w:ascii="Arial" w:eastAsia="Calibri" w:hAnsi="Arial" w:cs="Arial"/>
          <w:bCs/>
          <w:color w:val="000000" w:themeColor="text1"/>
          <w:sz w:val="22"/>
        </w:rPr>
        <w:footnoteReference w:id="20"/>
      </w:r>
      <w:r w:rsidRPr="00A10614">
        <w:rPr>
          <w:rFonts w:ascii="Arial" w:eastAsia="Calibri" w:hAnsi="Arial" w:cs="Arial"/>
          <w:bCs/>
          <w:color w:val="000000" w:themeColor="text1"/>
          <w:sz w:val="22"/>
        </w:rPr>
        <w:t xml:space="preserve">. Para llegar a esta conclusión, es necesario tener en cuenta que las </w:t>
      </w:r>
      <w:r w:rsidRPr="00A10614">
        <w:rPr>
          <w:rFonts w:ascii="Arial" w:eastAsia="Calibri" w:hAnsi="Arial" w:cs="Arial"/>
          <w:bCs/>
          <w:color w:val="000000" w:themeColor="text1"/>
          <w:sz w:val="22"/>
        </w:rPr>
        <w:lastRenderedPageBreak/>
        <w:t>normas jurídicas, por regla general, producen efectos a partir de su promulgación o publicación. De allí se derivan principios tales como la irretroactividad de la ley y su efecto general inmediato</w:t>
      </w:r>
      <w:r w:rsidRPr="00A10614">
        <w:rPr>
          <w:rStyle w:val="Refdenotaalpie"/>
          <w:rFonts w:ascii="Arial" w:eastAsia="Calibri" w:hAnsi="Arial" w:cs="Arial"/>
          <w:bCs/>
          <w:color w:val="000000" w:themeColor="text1"/>
          <w:sz w:val="22"/>
        </w:rPr>
        <w:footnoteReference w:id="21"/>
      </w:r>
      <w:r w:rsidRPr="00A10614">
        <w:rPr>
          <w:rFonts w:ascii="Arial" w:eastAsia="Calibri" w:hAnsi="Arial" w:cs="Arial"/>
          <w:bCs/>
          <w:color w:val="000000" w:themeColor="text1"/>
          <w:sz w:val="22"/>
        </w:rPr>
        <w:t xml:space="preserve">. </w:t>
      </w:r>
    </w:p>
    <w:p w14:paraId="714DB205" w14:textId="77777777" w:rsidR="00CE6103" w:rsidRPr="00A10614" w:rsidRDefault="00CE6103" w:rsidP="00CE6103">
      <w:pPr>
        <w:spacing w:after="120" w:line="276" w:lineRule="auto"/>
        <w:ind w:firstLine="709"/>
        <w:jc w:val="both"/>
        <w:rPr>
          <w:rFonts w:ascii="Arial" w:eastAsia="Calibri" w:hAnsi="Arial" w:cs="Arial"/>
          <w:color w:val="000000" w:themeColor="text1"/>
          <w:sz w:val="22"/>
          <w:lang w:val="es-ES"/>
        </w:rPr>
      </w:pPr>
      <w:r w:rsidRPr="00A10614">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4CB351F7" w14:textId="77777777" w:rsidR="00CE6103" w:rsidRPr="00A10614" w:rsidRDefault="00CE6103" w:rsidP="00CE6103">
      <w:pPr>
        <w:spacing w:line="276" w:lineRule="auto"/>
        <w:ind w:firstLine="709"/>
        <w:jc w:val="both"/>
        <w:rPr>
          <w:rFonts w:ascii="Arial" w:eastAsia="Calibri" w:hAnsi="Arial" w:cs="Arial"/>
          <w:color w:val="000000" w:themeColor="text1"/>
          <w:sz w:val="22"/>
          <w:lang w:val="es-ES"/>
        </w:rPr>
      </w:pPr>
      <w:r w:rsidRPr="00A10614">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65C5D28" w14:textId="77777777" w:rsidR="00CE6103" w:rsidRPr="00A10614"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706E74A3" w14:textId="77777777" w:rsidR="00CE6103" w:rsidRPr="00A10614" w:rsidRDefault="00CE6103" w:rsidP="00CE6103">
      <w:pPr>
        <w:shd w:val="clear" w:color="auto" w:fill="FFFFFF"/>
        <w:ind w:left="709" w:right="760"/>
        <w:jc w:val="both"/>
        <w:rPr>
          <w:rFonts w:ascii="Arial" w:eastAsia="Calibri" w:hAnsi="Arial" w:cs="Arial"/>
          <w:color w:val="000000" w:themeColor="text1"/>
          <w:sz w:val="21"/>
          <w:szCs w:val="21"/>
          <w:lang w:val="es-ES"/>
        </w:rPr>
      </w:pPr>
      <w:r w:rsidRPr="00A10614">
        <w:rPr>
          <w:rFonts w:ascii="Arial" w:eastAsia="Calibri" w:hAnsi="Arial" w:cs="Arial"/>
          <w:color w:val="000000" w:themeColor="text1"/>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A10614">
        <w:rPr>
          <w:rStyle w:val="Refdenotaalpie"/>
          <w:rFonts w:ascii="Arial" w:eastAsia="Calibri" w:hAnsi="Arial" w:cs="Arial"/>
          <w:color w:val="000000" w:themeColor="text1"/>
          <w:sz w:val="21"/>
          <w:szCs w:val="21"/>
          <w:lang w:val="es-ES"/>
        </w:rPr>
        <w:footnoteReference w:id="22"/>
      </w:r>
      <w:r w:rsidRPr="00A10614">
        <w:rPr>
          <w:rFonts w:ascii="Arial" w:eastAsia="Calibri" w:hAnsi="Arial" w:cs="Arial"/>
          <w:color w:val="000000" w:themeColor="text1"/>
          <w:sz w:val="21"/>
          <w:szCs w:val="21"/>
          <w:lang w:val="es-ES"/>
        </w:rPr>
        <w:t>.</w:t>
      </w:r>
    </w:p>
    <w:p w14:paraId="587D7864" w14:textId="77777777" w:rsidR="00CE6103" w:rsidRPr="00A10614" w:rsidRDefault="00CE6103" w:rsidP="00CE6103">
      <w:pPr>
        <w:shd w:val="clear" w:color="auto" w:fill="FFFFFF"/>
        <w:spacing w:line="276" w:lineRule="auto"/>
        <w:ind w:left="709" w:right="760"/>
        <w:jc w:val="both"/>
        <w:rPr>
          <w:rFonts w:ascii="Arial" w:eastAsia="Calibri" w:hAnsi="Arial" w:cs="Arial"/>
          <w:color w:val="000000" w:themeColor="text1"/>
          <w:sz w:val="22"/>
          <w:lang w:val="es-ES"/>
        </w:rPr>
      </w:pPr>
    </w:p>
    <w:p w14:paraId="608072D0" w14:textId="6565F9DE" w:rsidR="00CE6103" w:rsidRPr="00A10614" w:rsidRDefault="00CE6103" w:rsidP="00CE6103">
      <w:pPr>
        <w:shd w:val="clear" w:color="auto" w:fill="FFFFFF"/>
        <w:spacing w:after="120" w:line="276" w:lineRule="auto"/>
        <w:ind w:right="51" w:firstLine="709"/>
        <w:jc w:val="both"/>
        <w:rPr>
          <w:rFonts w:ascii="Arial" w:eastAsia="Calibri" w:hAnsi="Arial" w:cs="Arial"/>
          <w:color w:val="000000" w:themeColor="text1"/>
          <w:sz w:val="22"/>
          <w:lang w:val="es-ES"/>
        </w:rPr>
      </w:pPr>
      <w:bookmarkStart w:id="10" w:name="_Hlk63884655"/>
      <w:r w:rsidRPr="00A10614">
        <w:rPr>
          <w:rFonts w:ascii="Arial" w:eastAsia="Calibri" w:hAnsi="Arial" w:cs="Arial"/>
          <w:color w:val="000000" w:themeColor="text1"/>
          <w:sz w:val="22"/>
          <w:lang w:val="es-ES"/>
        </w:rPr>
        <w:t xml:space="preserve">La referencia hecha en una ley a que el </w:t>
      </w:r>
      <w:r w:rsidR="00BC296E" w:rsidRPr="00A10614">
        <w:rPr>
          <w:rFonts w:ascii="Arial" w:eastAsia="Calibri" w:hAnsi="Arial" w:cs="Arial"/>
          <w:color w:val="000000" w:themeColor="text1"/>
          <w:sz w:val="22"/>
          <w:lang w:val="es-ES"/>
        </w:rPr>
        <w:t>g</w:t>
      </w:r>
      <w:r w:rsidRPr="00A10614">
        <w:rPr>
          <w:rFonts w:ascii="Arial" w:eastAsia="Calibri" w:hAnsi="Arial" w:cs="Arial"/>
          <w:color w:val="000000" w:themeColor="text1"/>
          <w:sz w:val="22"/>
          <w:lang w:val="es-ES"/>
        </w:rPr>
        <w:t xml:space="preserve">obierno </w:t>
      </w:r>
      <w:r w:rsidR="00BC296E" w:rsidRPr="00A10614">
        <w:rPr>
          <w:rFonts w:ascii="Arial" w:eastAsia="Calibri" w:hAnsi="Arial" w:cs="Arial"/>
          <w:color w:val="000000" w:themeColor="text1"/>
          <w:sz w:val="22"/>
          <w:lang w:val="es-ES"/>
        </w:rPr>
        <w:t>n</w:t>
      </w:r>
      <w:r w:rsidRPr="00A10614">
        <w:rPr>
          <w:rFonts w:ascii="Arial" w:eastAsia="Calibri" w:hAnsi="Arial" w:cs="Arial"/>
          <w:color w:val="000000" w:themeColor="text1"/>
          <w:sz w:val="22"/>
          <w:lang w:val="es-ES"/>
        </w:rPr>
        <w:t xml:space="preserve">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w:t>
      </w:r>
      <w:r w:rsidRPr="00A10614">
        <w:rPr>
          <w:rFonts w:ascii="Arial" w:eastAsia="Calibri" w:hAnsi="Arial" w:cs="Arial"/>
          <w:color w:val="000000" w:themeColor="text1"/>
          <w:sz w:val="22"/>
          <w:lang w:val="es-ES"/>
        </w:rPr>
        <w:lastRenderedPageBreak/>
        <w:t>como los antecedentes legislativos, es posible utilizar la referencia al reglamento como una prueba de que la ley moduló sus efectos en el tiempo y se encuentra sometida a condición.</w:t>
      </w:r>
    </w:p>
    <w:bookmarkEnd w:id="10"/>
    <w:p w14:paraId="2A2370DC" w14:textId="2C756FEB" w:rsidR="00CE6103" w:rsidRPr="00A10614" w:rsidRDefault="003C7E50" w:rsidP="007B53DB">
      <w:pPr>
        <w:shd w:val="clear" w:color="auto" w:fill="FFFFFF"/>
        <w:spacing w:after="120" w:line="276" w:lineRule="auto"/>
        <w:ind w:right="51" w:firstLine="709"/>
        <w:jc w:val="both"/>
        <w:rPr>
          <w:rFonts w:ascii="Arial" w:eastAsia="Calibri" w:hAnsi="Arial" w:cs="Arial"/>
          <w:bCs/>
          <w:color w:val="000000" w:themeColor="text1"/>
          <w:sz w:val="22"/>
        </w:rPr>
      </w:pPr>
      <w:r w:rsidRPr="00A10614">
        <w:rPr>
          <w:rFonts w:ascii="Arial" w:eastAsia="Calibri" w:hAnsi="Arial" w:cs="Arial"/>
          <w:color w:val="000000" w:themeColor="text1"/>
          <w:sz w:val="22"/>
          <w:lang w:val="es-ES"/>
        </w:rPr>
        <w:t xml:space="preserve">En tal sentido, </w:t>
      </w:r>
      <w:r w:rsidR="00CE6103" w:rsidRPr="00A10614">
        <w:rPr>
          <w:rFonts w:ascii="Arial" w:eastAsia="Calibri" w:hAnsi="Arial" w:cs="Arial"/>
          <w:color w:val="000000" w:themeColor="text1"/>
          <w:sz w:val="22"/>
          <w:lang w:val="es-ES"/>
        </w:rPr>
        <w:t xml:space="preserve">el Congreso de la República dispuso la expedición de un decreto reglamentario para detallar el contenido </w:t>
      </w:r>
      <w:r w:rsidR="00CE6103" w:rsidRPr="00A10614">
        <w:rPr>
          <w:rFonts w:ascii="Arial" w:eastAsia="Calibri" w:hAnsi="Arial" w:cs="Arial"/>
          <w:color w:val="000000" w:themeColor="text1"/>
          <w:sz w:val="22"/>
          <w:lang w:val="es-ES_tradnl"/>
        </w:rPr>
        <w:t>los artículos 31, 32, 34 y 36 de la Ley 2069 de 2020</w:t>
      </w:r>
      <w:r w:rsidR="00CE6103" w:rsidRPr="00A10614">
        <w:rPr>
          <w:rFonts w:ascii="Arial" w:eastAsia="Calibri" w:hAnsi="Arial" w:cs="Arial"/>
          <w:color w:val="000000" w:themeColor="text1"/>
          <w:sz w:val="22"/>
          <w:lang w:val="es-ES"/>
        </w:rPr>
        <w:t xml:space="preserve">. Por ello, en ausencia de desarrollo normativo posterior existe una </w:t>
      </w:r>
      <w:r w:rsidR="00CE6103" w:rsidRPr="00A10614">
        <w:rPr>
          <w:rFonts w:ascii="Arial" w:eastAsia="Calibri" w:hAnsi="Arial" w:cs="Arial"/>
          <w:i/>
          <w:iCs/>
          <w:color w:val="000000" w:themeColor="text1"/>
          <w:sz w:val="22"/>
          <w:lang w:val="es-ES"/>
        </w:rPr>
        <w:t>laguna técnica</w:t>
      </w:r>
      <w:r w:rsidR="00CE6103" w:rsidRPr="00A10614">
        <w:rPr>
          <w:rFonts w:ascii="Arial" w:eastAsia="Calibri" w:hAnsi="Arial" w:cs="Arial"/>
          <w:color w:val="000000" w:themeColor="text1"/>
          <w:sz w:val="22"/>
          <w:lang w:val="es-ES"/>
        </w:rPr>
        <w:t xml:space="preserve"> que impide aplicar estas disposiciones</w:t>
      </w:r>
      <w:r w:rsidR="00CE6103" w:rsidRPr="00A10614">
        <w:rPr>
          <w:rFonts w:ascii="Arial" w:eastAsia="Calibri" w:hAnsi="Arial" w:cs="Arial"/>
          <w:bCs/>
          <w:color w:val="000000" w:themeColor="text1"/>
          <w:sz w:val="22"/>
        </w:rPr>
        <w:t>.</w:t>
      </w:r>
      <w:r w:rsidR="007B53DB" w:rsidRPr="00A10614">
        <w:rPr>
          <w:rFonts w:ascii="Arial" w:eastAsia="Calibri" w:hAnsi="Arial" w:cs="Arial"/>
          <w:bCs/>
          <w:color w:val="000000" w:themeColor="text1"/>
          <w:sz w:val="22"/>
        </w:rPr>
        <w:t xml:space="preserve"> </w:t>
      </w:r>
      <w:r w:rsidR="00CE6103" w:rsidRPr="00A10614">
        <w:rPr>
          <w:rFonts w:ascii="Arial" w:eastAsia="Calibri" w:hAnsi="Arial" w:cs="Arial"/>
          <w:bCs/>
          <w:color w:val="000000" w:themeColor="text1"/>
          <w:sz w:val="22"/>
        </w:rPr>
        <w:t>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mipymes y ii) las convocatorias limitadas a mipymes, así como el fomento en la ejecución de los contratos estatales por parte de sujetos de especial protección</w:t>
      </w:r>
      <w:r w:rsidR="00CE6103" w:rsidRPr="00A10614">
        <w:rPr>
          <w:rStyle w:val="Refdenotaalpie"/>
          <w:rFonts w:ascii="Arial" w:eastAsia="Calibri" w:hAnsi="Arial" w:cs="Arial"/>
          <w:bCs/>
          <w:color w:val="000000" w:themeColor="text1"/>
          <w:sz w:val="22"/>
        </w:rPr>
        <w:footnoteReference w:id="23"/>
      </w:r>
      <w:r w:rsidR="00CE6103" w:rsidRPr="00A10614">
        <w:rPr>
          <w:rFonts w:ascii="Arial" w:eastAsia="Calibri" w:hAnsi="Arial" w:cs="Arial"/>
          <w:bCs/>
          <w:color w:val="000000" w:themeColor="text1"/>
          <w:sz w:val="22"/>
        </w:rPr>
        <w:t xml:space="preserve">. </w:t>
      </w:r>
    </w:p>
    <w:p w14:paraId="2CAD6703" w14:textId="77777777" w:rsidR="00CE6103" w:rsidRPr="00A10614"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A10614">
        <w:rPr>
          <w:rFonts w:ascii="Arial" w:eastAsia="Calibri" w:hAnsi="Arial" w:cs="Arial"/>
          <w:bCs/>
          <w:color w:val="000000" w:themeColor="text1"/>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A10614">
        <w:rPr>
          <w:rFonts w:ascii="Arial" w:eastAsia="Calibri" w:hAnsi="Arial" w:cs="Arial"/>
          <w:color w:val="000000" w:themeColor="text1"/>
          <w:sz w:val="22"/>
          <w:lang w:val="es-ES_tradnl"/>
        </w:rPr>
        <w:t>los artículos 31, 32, 34 y 36 de la Ley 2069 de 2020</w:t>
      </w:r>
      <w:r w:rsidRPr="00A10614">
        <w:rPr>
          <w:rFonts w:ascii="Arial" w:eastAsia="Calibri" w:hAnsi="Arial" w:cs="Arial"/>
          <w:bCs/>
          <w:color w:val="000000" w:themeColor="text1"/>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1355B5AF" w14:textId="77777777" w:rsidR="00CE6103" w:rsidRPr="00A10614" w:rsidRDefault="00CE6103" w:rsidP="00CE6103">
      <w:pPr>
        <w:shd w:val="clear" w:color="auto" w:fill="FFFFFF"/>
        <w:spacing w:after="120" w:line="276" w:lineRule="auto"/>
        <w:ind w:right="51" w:firstLine="709"/>
        <w:jc w:val="both"/>
        <w:rPr>
          <w:rFonts w:ascii="Arial" w:eastAsia="Calibri" w:hAnsi="Arial" w:cs="Arial"/>
          <w:bCs/>
          <w:color w:val="000000" w:themeColor="text1"/>
          <w:sz w:val="22"/>
        </w:rPr>
      </w:pPr>
      <w:r w:rsidRPr="00A10614">
        <w:rPr>
          <w:rFonts w:ascii="Arial" w:eastAsia="Calibri" w:hAnsi="Arial" w:cs="Arial"/>
          <w:bCs/>
          <w:color w:val="000000" w:themeColor="text1"/>
          <w:sz w:val="22"/>
        </w:rPr>
        <w:t xml:space="preserve">Por tanto, </w:t>
      </w:r>
      <w:bookmarkStart w:id="11" w:name="_Hlk51668471"/>
      <w:r w:rsidRPr="00A10614">
        <w:rPr>
          <w:rFonts w:ascii="Arial" w:eastAsia="Calibri" w:hAnsi="Arial" w:cs="Arial"/>
          <w:bCs/>
          <w:color w:val="000000" w:themeColor="text1"/>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A10614">
        <w:rPr>
          <w:rStyle w:val="Refdenotaalpie"/>
          <w:rFonts w:ascii="Arial" w:eastAsia="Calibri" w:hAnsi="Arial" w:cs="Arial"/>
          <w:bCs/>
          <w:color w:val="000000" w:themeColor="text1"/>
          <w:sz w:val="22"/>
        </w:rPr>
        <w:footnoteReference w:id="24"/>
      </w:r>
      <w:r w:rsidRPr="00A10614">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Pr="00A10614">
        <w:rPr>
          <w:rStyle w:val="Refdenotaalpie"/>
          <w:rFonts w:ascii="Arial" w:eastAsia="Calibri" w:hAnsi="Arial" w:cs="Arial"/>
          <w:bCs/>
          <w:color w:val="000000" w:themeColor="text1"/>
          <w:sz w:val="22"/>
        </w:rPr>
        <w:footnoteReference w:id="25"/>
      </w:r>
      <w:r w:rsidRPr="00A10614">
        <w:rPr>
          <w:rFonts w:ascii="Arial" w:eastAsia="Calibri" w:hAnsi="Arial" w:cs="Arial"/>
          <w:bCs/>
          <w:color w:val="000000" w:themeColor="text1"/>
          <w:sz w:val="22"/>
        </w:rPr>
        <w:t>.</w:t>
      </w:r>
    </w:p>
    <w:p w14:paraId="26B1BDA4" w14:textId="313F0121" w:rsidR="00BD7E2E" w:rsidRPr="00A10614" w:rsidRDefault="00CE6103" w:rsidP="0043448A">
      <w:pPr>
        <w:shd w:val="clear" w:color="auto" w:fill="FFFFFF"/>
        <w:spacing w:line="276" w:lineRule="auto"/>
        <w:ind w:right="51" w:firstLine="709"/>
        <w:jc w:val="both"/>
        <w:rPr>
          <w:rFonts w:ascii="Arial" w:eastAsia="Calibri" w:hAnsi="Arial" w:cs="Arial"/>
          <w:bCs/>
          <w:color w:val="000000" w:themeColor="text1"/>
          <w:sz w:val="22"/>
        </w:rPr>
      </w:pPr>
      <w:r w:rsidRPr="00A10614">
        <w:rPr>
          <w:rFonts w:ascii="Arial" w:eastAsia="Calibri" w:hAnsi="Arial" w:cs="Arial"/>
          <w:bCs/>
          <w:color w:val="000000" w:themeColor="text1"/>
          <w:sz w:val="22"/>
        </w:rPr>
        <w:t>En ese orden de ideas, es posible afirmar que</w:t>
      </w:r>
      <w:bookmarkEnd w:id="11"/>
      <w:r w:rsidRPr="00A10614">
        <w:rPr>
          <w:rFonts w:ascii="Arial" w:eastAsia="Calibri" w:hAnsi="Arial" w:cs="Arial"/>
          <w:bCs/>
          <w:color w:val="000000" w:themeColor="text1"/>
          <w:sz w:val="22"/>
        </w:rPr>
        <w:t xml:space="preserve">, </w:t>
      </w:r>
      <w:bookmarkStart w:id="12" w:name="_Hlk63884107"/>
      <w:r w:rsidRPr="00A10614">
        <w:rPr>
          <w:rFonts w:ascii="Arial" w:eastAsia="Calibri" w:hAnsi="Arial" w:cs="Arial"/>
          <w:bCs/>
          <w:color w:val="000000" w:themeColor="text1"/>
          <w:sz w:val="22"/>
        </w:rPr>
        <w:t xml:space="preserve">en </w:t>
      </w:r>
      <w:r w:rsidRPr="00A10614">
        <w:rPr>
          <w:rFonts w:ascii="Arial" w:eastAsia="Calibri" w:hAnsi="Arial" w:cs="Arial"/>
          <w:color w:val="000000" w:themeColor="text1"/>
          <w:sz w:val="22"/>
          <w:lang w:val="es-ES_tradnl"/>
        </w:rPr>
        <w:t>los artículos 31, 32, 34 y 36</w:t>
      </w:r>
      <w:r w:rsidRPr="00A10614">
        <w:rPr>
          <w:rFonts w:ascii="Arial" w:eastAsia="Calibri" w:hAnsi="Arial" w:cs="Arial"/>
          <w:bCs/>
          <w:color w:val="000000" w:themeColor="text1"/>
          <w:sz w:val="22"/>
        </w:rPr>
        <w:t xml:space="preserve">, el Congreso de la República reconoce la necesidad de un reglamento para el efectivo cumplimiento de la </w:t>
      </w:r>
      <w:r w:rsidRPr="00A10614">
        <w:rPr>
          <w:rFonts w:ascii="Arial" w:eastAsia="Calibri" w:hAnsi="Arial" w:cs="Arial"/>
          <w:color w:val="000000" w:themeColor="text1"/>
          <w:sz w:val="22"/>
          <w:lang w:val="es-ES_tradnl"/>
        </w:rPr>
        <w:t>Ley 2069 de 2020</w:t>
      </w:r>
      <w:r w:rsidRPr="00A10614">
        <w:rPr>
          <w:rFonts w:ascii="Arial" w:eastAsia="Calibri" w:hAnsi="Arial" w:cs="Arial"/>
          <w:bCs/>
          <w:color w:val="000000" w:themeColor="text1"/>
          <w:sz w:val="22"/>
        </w:rPr>
        <w:t xml:space="preserve">, lo que demuestra, para el caso concreto, una </w:t>
      </w:r>
      <w:r w:rsidRPr="00A10614">
        <w:rPr>
          <w:rFonts w:ascii="Arial" w:eastAsia="Calibri" w:hAnsi="Arial" w:cs="Arial"/>
          <w:bCs/>
          <w:color w:val="000000" w:themeColor="text1"/>
          <w:sz w:val="22"/>
        </w:rPr>
        <w:lastRenderedPageBreak/>
        <w:t>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0043448A" w:rsidRPr="00A10614">
        <w:rPr>
          <w:rFonts w:ascii="Arial" w:eastAsia="Calibri" w:hAnsi="Arial" w:cs="Arial"/>
          <w:bCs/>
          <w:color w:val="000000" w:themeColor="text1"/>
          <w:sz w:val="22"/>
        </w:rPr>
        <w:t xml:space="preserve"> </w:t>
      </w:r>
      <w:r w:rsidR="00BD7E2E" w:rsidRPr="00A10614">
        <w:rPr>
          <w:rFonts w:ascii="Arial" w:eastAsia="Calibri" w:hAnsi="Arial" w:cs="Arial"/>
          <w:bCs/>
          <w:color w:val="000000" w:themeColor="text1"/>
          <w:sz w:val="22"/>
        </w:rPr>
        <w:t>A similar conclusión no se llega en relación con el artículo 30</w:t>
      </w:r>
      <w:r w:rsidR="0043448A" w:rsidRPr="00A10614">
        <w:rPr>
          <w:rFonts w:ascii="Arial" w:eastAsia="Calibri" w:hAnsi="Arial" w:cs="Arial"/>
          <w:bCs/>
          <w:color w:val="000000" w:themeColor="text1"/>
          <w:sz w:val="22"/>
        </w:rPr>
        <w:t xml:space="preserve"> de la Ley 2069 de 2020</w:t>
      </w:r>
      <w:r w:rsidR="00BD7E2E" w:rsidRPr="00A10614">
        <w:rPr>
          <w:rFonts w:ascii="Arial" w:eastAsia="Calibri" w:hAnsi="Arial" w:cs="Arial"/>
          <w:bCs/>
          <w:color w:val="000000" w:themeColor="text1"/>
          <w:sz w:val="22"/>
        </w:rPr>
        <w:t xml:space="preserve">, porque, como se explicará a continuación, esta norma goza de eficacia directa, sin perjuicio de que el gobierno nacional </w:t>
      </w:r>
      <w:r w:rsidR="0043448A" w:rsidRPr="00A10614">
        <w:rPr>
          <w:rFonts w:ascii="Arial" w:eastAsia="Calibri" w:hAnsi="Arial" w:cs="Arial"/>
          <w:bCs/>
          <w:color w:val="000000" w:themeColor="text1"/>
          <w:sz w:val="22"/>
        </w:rPr>
        <w:t>la reglamente.</w:t>
      </w:r>
    </w:p>
    <w:bookmarkEnd w:id="12"/>
    <w:p w14:paraId="1F04D944" w14:textId="77777777" w:rsidR="00004E47" w:rsidRPr="00A10614" w:rsidRDefault="00004E47" w:rsidP="002D13CC">
      <w:pPr>
        <w:spacing w:line="276" w:lineRule="auto"/>
        <w:jc w:val="both"/>
        <w:rPr>
          <w:rFonts w:ascii="Arial" w:hAnsi="Arial" w:cs="Arial"/>
          <w:sz w:val="22"/>
          <w:lang w:val="es-ES_tradnl"/>
        </w:rPr>
      </w:pPr>
    </w:p>
    <w:p w14:paraId="180FB8CF" w14:textId="2803B381" w:rsidR="00004E47" w:rsidRPr="00A10614" w:rsidRDefault="00004E47" w:rsidP="00004E47">
      <w:pPr>
        <w:tabs>
          <w:tab w:val="left" w:pos="709"/>
        </w:tabs>
        <w:spacing w:line="276" w:lineRule="auto"/>
        <w:jc w:val="both"/>
        <w:rPr>
          <w:rFonts w:ascii="Arial" w:eastAsia="Calibri" w:hAnsi="Arial" w:cs="Arial"/>
          <w:b/>
          <w:i/>
          <w:iCs/>
          <w:color w:val="000000" w:themeColor="text1"/>
          <w:sz w:val="22"/>
        </w:rPr>
      </w:pPr>
      <w:bookmarkStart w:id="13" w:name="_Hlk64292850"/>
      <w:r w:rsidRPr="00A10614">
        <w:rPr>
          <w:rFonts w:ascii="Arial" w:eastAsia="Calibri" w:hAnsi="Arial" w:cs="Arial"/>
          <w:b/>
          <w:color w:val="000000" w:themeColor="text1"/>
          <w:sz w:val="22"/>
        </w:rPr>
        <w:t>2.</w:t>
      </w:r>
      <w:r w:rsidR="00465D72" w:rsidRPr="00A10614">
        <w:rPr>
          <w:rFonts w:ascii="Arial" w:eastAsia="Calibri" w:hAnsi="Arial" w:cs="Arial"/>
          <w:b/>
          <w:color w:val="000000" w:themeColor="text1"/>
          <w:sz w:val="22"/>
        </w:rPr>
        <w:t>5</w:t>
      </w:r>
      <w:r w:rsidRPr="00A10614">
        <w:rPr>
          <w:rFonts w:ascii="Arial" w:eastAsia="Calibri" w:hAnsi="Arial" w:cs="Arial"/>
          <w:b/>
          <w:color w:val="000000" w:themeColor="text1"/>
          <w:sz w:val="22"/>
        </w:rPr>
        <w:t>. Eficacia directa del artículo 30 de la Ley 2069 de 2020</w:t>
      </w:r>
      <w:bookmarkEnd w:id="13"/>
      <w:r w:rsidR="00E92C77" w:rsidRPr="00A10614">
        <w:rPr>
          <w:rFonts w:ascii="Arial" w:eastAsia="Calibri" w:hAnsi="Arial" w:cs="Arial"/>
          <w:b/>
          <w:color w:val="000000" w:themeColor="text1"/>
          <w:sz w:val="22"/>
        </w:rPr>
        <w:t>: regulación de la mínima cuantía y vigencia del procedimiento previsto en el Decreto 1082 de 2015</w:t>
      </w:r>
    </w:p>
    <w:p w14:paraId="2E318C08" w14:textId="77777777" w:rsidR="00004E47" w:rsidRPr="00A10614" w:rsidRDefault="00004E47" w:rsidP="00004E47">
      <w:pPr>
        <w:tabs>
          <w:tab w:val="left" w:pos="709"/>
        </w:tabs>
        <w:spacing w:line="276" w:lineRule="auto"/>
        <w:jc w:val="both"/>
        <w:rPr>
          <w:rFonts w:ascii="Arial" w:eastAsia="Calibri" w:hAnsi="Arial" w:cs="Arial"/>
          <w:b/>
          <w:color w:val="000000" w:themeColor="text1"/>
          <w:sz w:val="22"/>
        </w:rPr>
      </w:pPr>
    </w:p>
    <w:p w14:paraId="3DD5D68A" w14:textId="15E29793" w:rsidR="00004E47" w:rsidRPr="00A10614"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rPr>
        <w:t xml:space="preserve">El artículo 30 de la Ley 2069 de 2020 modifica el numeral 5 del artículo 2 de la Ley 1150 de 2007, el cual regula la mínima cuantía. </w:t>
      </w:r>
      <w:r w:rsidRPr="00A10614">
        <w:rPr>
          <w:rFonts w:ascii="Arial" w:eastAsia="Calibri" w:hAnsi="Arial" w:cs="Arial"/>
          <w:bCs/>
          <w:color w:val="000000" w:themeColor="text1"/>
          <w:sz w:val="22"/>
          <w:lang w:val="es-ES_tradnl"/>
        </w:rPr>
        <w:t>En esta modalidad de selección, la entidad estatal realiza una convocatoria pública para recibir ofertas de bienes o servicios cuyo valor no excede el diez por ciento –10%– de la menor cuantía. Fue creada</w:t>
      </w:r>
      <w:r w:rsidR="00584860" w:rsidRPr="00A10614">
        <w:rPr>
          <w:rFonts w:ascii="Arial" w:eastAsia="Calibri" w:hAnsi="Arial" w:cs="Arial"/>
          <w:bCs/>
          <w:color w:val="000000" w:themeColor="text1"/>
          <w:sz w:val="22"/>
          <w:lang w:val="es-ES_tradnl"/>
        </w:rPr>
        <w:t xml:space="preserve"> por el artículo </w:t>
      </w:r>
      <w:r w:rsidR="00FE29AD" w:rsidRPr="00A10614">
        <w:rPr>
          <w:rFonts w:ascii="Arial" w:eastAsia="Calibri" w:hAnsi="Arial" w:cs="Arial"/>
          <w:bCs/>
          <w:color w:val="000000" w:themeColor="text1"/>
          <w:sz w:val="22"/>
          <w:lang w:val="es-ES_tradnl"/>
        </w:rPr>
        <w:t>274 de la Ley 1450 de 2011 y modificada</w:t>
      </w:r>
      <w:r w:rsidRPr="00A10614">
        <w:rPr>
          <w:rFonts w:ascii="Arial" w:eastAsia="Calibri" w:hAnsi="Arial" w:cs="Arial"/>
          <w:bCs/>
          <w:color w:val="000000" w:themeColor="text1"/>
          <w:sz w:val="22"/>
          <w:lang w:val="es-ES_tradnl"/>
        </w:rPr>
        <w:t xml:space="preserve">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A10614">
        <w:rPr>
          <w:rStyle w:val="Refdenotaalpie"/>
          <w:rFonts w:ascii="Arial" w:eastAsia="Calibri" w:hAnsi="Arial" w:cs="Arial"/>
          <w:bCs/>
          <w:color w:val="000000" w:themeColor="text1"/>
          <w:sz w:val="22"/>
          <w:lang w:val="es-ES_tradnl"/>
        </w:rPr>
        <w:footnoteReference w:id="26"/>
      </w:r>
      <w:r w:rsidRPr="00A10614">
        <w:rPr>
          <w:rFonts w:ascii="Arial" w:eastAsia="Calibri" w:hAnsi="Arial" w:cs="Arial"/>
          <w:bCs/>
          <w:color w:val="000000" w:themeColor="text1"/>
          <w:sz w:val="22"/>
          <w:lang w:val="es-ES_tradnl"/>
        </w:rPr>
        <w:t>.</w:t>
      </w:r>
    </w:p>
    <w:p w14:paraId="4F94387C" w14:textId="77777777" w:rsidR="00004E47" w:rsidRPr="00A10614"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lang w:val="es-ES_tradnl"/>
        </w:rPr>
        <w:tab/>
        <w:t xml:space="preserve">En esencia, </w:t>
      </w:r>
      <w:r w:rsidRPr="00A10614">
        <w:rPr>
          <w:rFonts w:ascii="Arial" w:eastAsia="Calibri" w:hAnsi="Arial" w:cs="Arial"/>
          <w:bCs/>
          <w:color w:val="000000" w:themeColor="text1"/>
          <w:sz w:val="22"/>
        </w:rPr>
        <w:t xml:space="preserve">el artículo 30 de la Ley 2069 de 2020 conserva a grandes rasgos el procedimiento previsto en el derogado </w:t>
      </w:r>
      <w:r w:rsidRPr="00A10614">
        <w:rPr>
          <w:rFonts w:ascii="Arial" w:eastAsia="Calibri" w:hAnsi="Arial" w:cs="Arial"/>
          <w:bCs/>
          <w:color w:val="000000" w:themeColor="text1"/>
          <w:sz w:val="22"/>
          <w:lang w:val="es-ES_tradnl"/>
        </w:rPr>
        <w:t xml:space="preserve">artículo 94 de la Ley 1474 de 2011, el cual define los </w:t>
      </w:r>
      <w:r w:rsidRPr="00A10614">
        <w:rPr>
          <w:rFonts w:ascii="Arial" w:eastAsia="Calibri" w:hAnsi="Arial" w:cs="Arial"/>
          <w:bCs/>
          <w:color w:val="000000" w:themeColor="text1"/>
          <w:sz w:val="22"/>
          <w:lang w:val="es-ES_tradnl"/>
        </w:rPr>
        <w:lastRenderedPageBreak/>
        <w:t>aspectos generales del procedimiento contractual</w:t>
      </w:r>
      <w:r w:rsidRPr="00A10614">
        <w:rPr>
          <w:rStyle w:val="Refdenotaalpie"/>
          <w:rFonts w:ascii="Arial" w:eastAsia="Calibri" w:hAnsi="Arial" w:cs="Arial"/>
          <w:bCs/>
          <w:color w:val="000000" w:themeColor="text1"/>
          <w:sz w:val="22"/>
          <w:lang w:val="es-ES_tradnl"/>
        </w:rPr>
        <w:footnoteReference w:id="27"/>
      </w:r>
      <w:r w:rsidRPr="00A10614">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A10614">
        <w:rPr>
          <w:rFonts w:ascii="Arial" w:eastAsia="Calibri" w:hAnsi="Arial" w:cs="Arial"/>
          <w:bCs/>
          <w:i/>
          <w:iCs/>
          <w:color w:val="000000" w:themeColor="text1"/>
          <w:sz w:val="22"/>
          <w:lang w:val="es-ES_tradnl"/>
        </w:rPr>
        <w:t xml:space="preserve">a </w:t>
      </w:r>
      <w:proofErr w:type="spellStart"/>
      <w:r w:rsidRPr="00A10614">
        <w:rPr>
          <w:rFonts w:ascii="Arial" w:eastAsia="Calibri" w:hAnsi="Arial" w:cs="Arial"/>
          <w:bCs/>
          <w:i/>
          <w:i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0447CA69" w14:textId="77777777" w:rsidR="00004E47" w:rsidRPr="00A10614"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lang w:val="es-ES_tradnl"/>
        </w:rPr>
        <w:tab/>
        <w:t xml:space="preserve">Esta modificación es importante, pues antes de la Ley de Emprendimiento era imposible limitar a </w:t>
      </w:r>
      <w:bookmarkStart w:id="14" w:name="_Hlk63763766"/>
      <w:proofErr w:type="spellStart"/>
      <w:r w:rsidRPr="00A10614">
        <w:rPr>
          <w:rFonts w:ascii="Arial" w:eastAsia="Calibri" w:hAnsi="Arial" w:cs="Arial"/>
          <w:bCs/>
          <w:color w:val="000000" w:themeColor="text1"/>
          <w:sz w:val="22"/>
          <w:lang w:val="es-ES_tradnl"/>
        </w:rPr>
        <w:t>mipymes</w:t>
      </w:r>
      <w:bookmarkEnd w:id="14"/>
      <w:proofErr w:type="spellEnd"/>
      <w:r w:rsidRPr="00A10614">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A10614">
        <w:rPr>
          <w:rFonts w:ascii="Arial" w:hAnsi="Arial" w:cs="Arial"/>
          <w:color w:val="000000"/>
          <w:sz w:val="22"/>
        </w:rPr>
        <w:t xml:space="preserve">», ni </w:t>
      </w:r>
      <w:r w:rsidRPr="00A10614">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A10614">
        <w:rPr>
          <w:rFonts w:ascii="Arial" w:eastAsia="Calibri" w:hAnsi="Arial" w:cs="Arial"/>
          <w:b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en esta modalidad de selección.</w:t>
      </w:r>
    </w:p>
    <w:p w14:paraId="512CDE0F" w14:textId="310A1A21" w:rsidR="00004E47" w:rsidRPr="00A10614"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ii) la posibilidad de realizar estas adquisiciones a </w:t>
      </w:r>
      <w:proofErr w:type="spellStart"/>
      <w:r w:rsidRPr="00A10614">
        <w:rPr>
          <w:rFonts w:ascii="Arial" w:eastAsia="Calibri" w:hAnsi="Arial" w:cs="Arial"/>
          <w:b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 </w:t>
      </w:r>
    </w:p>
    <w:p w14:paraId="414FBCF7" w14:textId="77777777" w:rsidR="00004E47" w:rsidRPr="00A10614"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lang w:val="es-ES_tradnl"/>
        </w:rPr>
        <w:tab/>
        <w:t xml:space="preserve">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w:t>
      </w:r>
      <w:r w:rsidRPr="00A10614">
        <w:rPr>
          <w:rFonts w:ascii="Arial" w:eastAsia="Calibri" w:hAnsi="Arial" w:cs="Arial"/>
          <w:bCs/>
          <w:color w:val="000000" w:themeColor="text1"/>
          <w:sz w:val="22"/>
          <w:lang w:val="es-ES_tradnl"/>
        </w:rPr>
        <w:lastRenderedPageBreak/>
        <w:t>busca un desarrollo ulterior a través del reglamento, sino unas bases para la actuación inmediata, sin que sea necesaria la intermediación del desarrollo reglamentario […]»</w:t>
      </w:r>
      <w:r w:rsidRPr="00A10614">
        <w:rPr>
          <w:rStyle w:val="Refdenotaalpie"/>
          <w:rFonts w:ascii="Arial" w:eastAsia="Calibri" w:hAnsi="Arial" w:cs="Arial"/>
          <w:bCs/>
          <w:color w:val="000000" w:themeColor="text1"/>
          <w:sz w:val="22"/>
          <w:lang w:val="es-ES_tradnl"/>
        </w:rPr>
        <w:footnoteReference w:id="28"/>
      </w:r>
      <w:r w:rsidRPr="00A10614">
        <w:rPr>
          <w:rFonts w:ascii="Arial" w:eastAsia="Calibri" w:hAnsi="Arial" w:cs="Arial"/>
          <w:bCs/>
          <w:color w:val="000000" w:themeColor="text1"/>
          <w:sz w:val="22"/>
          <w:lang w:val="es-ES_tradnl"/>
        </w:rPr>
        <w:t xml:space="preserve">. </w:t>
      </w:r>
    </w:p>
    <w:p w14:paraId="12099F14" w14:textId="79013CB2" w:rsidR="00BC1E14" w:rsidRPr="00A10614" w:rsidRDefault="00004E47" w:rsidP="00BC1E14">
      <w:pPr>
        <w:spacing w:before="120" w:line="276" w:lineRule="auto"/>
        <w:jc w:val="both"/>
        <w:rPr>
          <w:rFonts w:ascii="Arial" w:eastAsia="Calibri" w:hAnsi="Arial" w:cs="Arial"/>
          <w:color w:val="000000" w:themeColor="text1"/>
          <w:sz w:val="22"/>
          <w:szCs w:val="22"/>
          <w:lang w:val="es-ES_tradnl"/>
        </w:rPr>
      </w:pPr>
      <w:r w:rsidRPr="00A10614">
        <w:rPr>
          <w:rFonts w:ascii="Arial" w:eastAsia="Calibri" w:hAnsi="Arial" w:cs="Arial"/>
          <w:bCs/>
          <w:color w:val="000000" w:themeColor="text1"/>
          <w:sz w:val="22"/>
          <w:lang w:val="es-ES_tradnl"/>
        </w:rPr>
        <w:tab/>
        <w:t>Por tanto, dado que el artículo 30 de la Ley 2069 de 2020 regula aspectos de la mínima cuantía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s</w:t>
      </w:r>
      <w:r w:rsidR="00431ECE">
        <w:rPr>
          <w:rFonts w:ascii="Arial" w:eastAsia="Calibri" w:hAnsi="Arial" w:cs="Arial"/>
          <w:bCs/>
          <w:color w:val="000000" w:themeColor="text1"/>
          <w:sz w:val="22"/>
          <w:lang w:val="es-ES_tradnl"/>
        </w:rPr>
        <w:t>u</w:t>
      </w:r>
      <w:r w:rsidRPr="00A10614">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A10614">
        <w:rPr>
          <w:rFonts w:ascii="Arial" w:eastAsia="Calibri" w:hAnsi="Arial" w:cs="Arial"/>
          <w:b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o establecimientos que correspondan a la definición de «gran almacén».</w:t>
      </w:r>
      <w:r w:rsidR="00BC1E14" w:rsidRPr="00A10614">
        <w:rPr>
          <w:rFonts w:ascii="Arial" w:eastAsia="Calibri" w:hAnsi="Arial" w:cs="Arial"/>
          <w:bCs/>
          <w:color w:val="000000" w:themeColor="text1"/>
          <w:sz w:val="22"/>
          <w:lang w:val="es-ES_tradnl"/>
        </w:rPr>
        <w:t xml:space="preserve"> </w:t>
      </w:r>
      <w:r w:rsidR="00BC1E14" w:rsidRPr="00A10614">
        <w:rPr>
          <w:rFonts w:ascii="Arial" w:eastAsia="Calibri" w:hAnsi="Arial" w:cs="Arial"/>
          <w:color w:val="000000" w:themeColor="text1"/>
          <w:sz w:val="22"/>
          <w:szCs w:val="22"/>
          <w:lang w:val="es-ES_tradnl"/>
        </w:rPr>
        <w:t xml:space="preserve">A partir de lo anterior, puede afirmarse que el artículo 30 de la Ley 2069 de 2020 </w:t>
      </w:r>
      <w:bookmarkStart w:id="15" w:name="_Hlk69396275"/>
      <w:r w:rsidR="00BC1E14" w:rsidRPr="00A10614">
        <w:rPr>
          <w:rFonts w:ascii="Arial" w:eastAsia="Calibri" w:hAnsi="Arial" w:cs="Arial"/>
          <w:color w:val="000000" w:themeColor="text1"/>
          <w:sz w:val="22"/>
          <w:szCs w:val="22"/>
          <w:lang w:val="es-ES_tradnl"/>
        </w:rPr>
        <w:t>sustituyó el contenido del numeral 5, del artículo 2 de la Ley 1150 de 2007</w:t>
      </w:r>
      <w:bookmarkEnd w:id="15"/>
      <w:r w:rsidR="00BC1E14" w:rsidRPr="00A10614">
        <w:rPr>
          <w:rFonts w:ascii="Arial" w:eastAsia="Calibri" w:hAnsi="Arial" w:cs="Arial"/>
          <w:color w:val="000000" w:themeColor="text1"/>
          <w:sz w:val="22"/>
          <w:szCs w:val="22"/>
          <w:lang w:val="es-ES_tradnl"/>
        </w:rPr>
        <w:t xml:space="preserve">. </w:t>
      </w:r>
    </w:p>
    <w:p w14:paraId="162873F2" w14:textId="77777777" w:rsidR="00BC1E14" w:rsidRPr="00A10614" w:rsidRDefault="00BC1E14" w:rsidP="00BC1E14">
      <w:pPr>
        <w:spacing w:before="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ab/>
        <w:t xml:space="preserve">Para efectos de la consulta, resta precisar si con el artículo 30 de la Ley 2069 de 2020 están vigentes los artículos 2.2.1.2.1.5.1 al 2.2.1.2.1.5.4 del Decreto 1082 de 2015, que regulan el procedimiento de la mínima cuantía en el Decreto Único Reglamentario del Sector Administrativo de Planeación Nacional. En otras palabras, ¿la modificación de la Ley de Emprendimiento en la mínima cuantía supone la desaparición del fundamento jurídico de los artículos del decreto previamente citados? </w:t>
      </w:r>
    </w:p>
    <w:p w14:paraId="28F4CECD" w14:textId="77777777" w:rsidR="00BC1E14" w:rsidRPr="00A10614" w:rsidRDefault="00BC1E14" w:rsidP="00BC1E14">
      <w:pPr>
        <w:spacing w:before="120"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ab/>
        <w:t xml:space="preserve">En principio, dado que </w:t>
      </w:r>
      <w:bookmarkStart w:id="16" w:name="_Hlk69395804"/>
      <w:r w:rsidRPr="00A10614">
        <w:rPr>
          <w:rFonts w:ascii="Arial" w:eastAsia="Calibri" w:hAnsi="Arial" w:cs="Arial"/>
          <w:color w:val="000000" w:themeColor="text1"/>
          <w:sz w:val="22"/>
          <w:szCs w:val="22"/>
          <w:lang w:val="es-ES_tradnl"/>
        </w:rPr>
        <w:t>el artículo 94 de la Ley 1474 de 2011</w:t>
      </w:r>
      <w:bookmarkEnd w:id="16"/>
      <w:r w:rsidRPr="00A10614">
        <w:rPr>
          <w:rFonts w:ascii="Arial" w:eastAsia="Calibri" w:hAnsi="Arial" w:cs="Arial"/>
          <w:color w:val="000000" w:themeColor="text1"/>
          <w:sz w:val="22"/>
          <w:szCs w:val="22"/>
          <w:lang w:val="es-ES_tradnl"/>
        </w:rPr>
        <w:t xml:space="preserve"> fue subrogado por el artículo 30 de la Ley 2069 de 2020, podría concluirse la pérdida de fuerza ejecutoria –o decaimiento– de los artículos 2.2.1.2.1.5.1 al 2.2.1.2.1.5.4 del Decreto 1082 de 2015, de conformidad con lo establecido en el artículo 91, numeral 2, de la Ley 1437 de 2011</w:t>
      </w:r>
      <w:r w:rsidRPr="00A10614">
        <w:rPr>
          <w:rStyle w:val="Refdenotaalpie"/>
          <w:rFonts w:ascii="Arial" w:eastAsia="Calibri" w:hAnsi="Arial" w:cs="Arial"/>
          <w:color w:val="000000" w:themeColor="text1"/>
          <w:sz w:val="22"/>
          <w:szCs w:val="22"/>
          <w:lang w:val="es-ES_tradnl"/>
        </w:rPr>
        <w:footnoteReference w:id="29"/>
      </w:r>
      <w:r w:rsidRPr="00A10614">
        <w:rPr>
          <w:rFonts w:ascii="Arial" w:eastAsia="Calibri" w:hAnsi="Arial" w:cs="Arial"/>
          <w:color w:val="000000" w:themeColor="text1"/>
          <w:sz w:val="22"/>
          <w:szCs w:val="22"/>
          <w:lang w:val="es-ES_tradnl"/>
        </w:rPr>
        <w:t xml:space="preserve">. Esta conclusión podría sustentarse en dos (2) argumentos. </w:t>
      </w:r>
      <w:r w:rsidRPr="00A10614">
        <w:rPr>
          <w:rFonts w:ascii="Arial" w:eastAsia="Calibri" w:hAnsi="Arial" w:cs="Arial"/>
          <w:i/>
          <w:iCs/>
          <w:color w:val="000000" w:themeColor="text1"/>
          <w:sz w:val="22"/>
          <w:szCs w:val="22"/>
          <w:lang w:val="es-ES_tradnl"/>
        </w:rPr>
        <w:t>Por un lado</w:t>
      </w:r>
      <w:r w:rsidRPr="00A10614">
        <w:rPr>
          <w:rFonts w:ascii="Arial" w:eastAsia="Calibri" w:hAnsi="Arial" w:cs="Arial"/>
          <w:color w:val="000000" w:themeColor="text1"/>
          <w:sz w:val="22"/>
          <w:szCs w:val="22"/>
          <w:lang w:val="es-ES_tradnl"/>
        </w:rPr>
        <w:t xml:space="preserve">, en que el artículo 30 de la Ley 2069 de 2020, en el parágrafo primero, contiene un nuevo mandato de reglamentación debe cumplirse en el futuro. Esto significa que sería voluntad del legislador ordenarle al gobierno nacional que expidiera una nueva reglamentación en la que –además de regular la adquisición a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disponga las particularidades del procedimiento contractual. Entonces, ese mandato, que debería cumplirse en el futuro, mal podría entenderse satisfecho con normas reglamentarias del pasado, como son las del Decreto 1082 de 2015. </w:t>
      </w:r>
      <w:r w:rsidRPr="00A10614">
        <w:rPr>
          <w:rFonts w:ascii="Arial" w:eastAsia="Calibri" w:hAnsi="Arial" w:cs="Arial"/>
          <w:i/>
          <w:iCs/>
          <w:color w:val="000000" w:themeColor="text1"/>
          <w:sz w:val="22"/>
          <w:szCs w:val="22"/>
          <w:lang w:val="es-ES_tradnl"/>
        </w:rPr>
        <w:t>Por otra parte</w:t>
      </w:r>
      <w:r w:rsidRPr="00A10614">
        <w:rPr>
          <w:rFonts w:ascii="Arial" w:eastAsia="Calibri" w:hAnsi="Arial" w:cs="Arial"/>
          <w:color w:val="000000" w:themeColor="text1"/>
          <w:sz w:val="22"/>
          <w:szCs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y de aplicar el artículo 12 de la Ley 1150 </w:t>
      </w:r>
      <w:r w:rsidRPr="00A10614">
        <w:rPr>
          <w:rFonts w:ascii="Arial" w:eastAsia="Calibri" w:hAnsi="Arial" w:cs="Arial"/>
          <w:color w:val="000000" w:themeColor="text1"/>
          <w:sz w:val="22"/>
          <w:szCs w:val="22"/>
          <w:lang w:val="es-ES_tradnl"/>
        </w:rPr>
        <w:lastRenderedPageBreak/>
        <w:t>de 2007. Tales cambios exigen una reglamentación distinta del mandato legal, aunque esto no obsta para la aplicación inmediata del artículo 30 de la Ley 2069 de 2020.</w:t>
      </w:r>
    </w:p>
    <w:p w14:paraId="52AE57AD" w14:textId="788DD1B5" w:rsidR="00BC1E14" w:rsidRPr="00A10614" w:rsidRDefault="00BC1E14" w:rsidP="00BC1E14">
      <w:pPr>
        <w:spacing w:line="276" w:lineRule="auto"/>
        <w:jc w:val="both"/>
        <w:rPr>
          <w:rFonts w:ascii="Arial" w:eastAsia="Calibri" w:hAnsi="Arial" w:cs="Arial"/>
          <w:bCs/>
          <w:color w:val="000000" w:themeColor="text1"/>
          <w:sz w:val="22"/>
        </w:rPr>
      </w:pPr>
      <w:r w:rsidRPr="00A10614">
        <w:rPr>
          <w:rFonts w:ascii="Arial" w:eastAsia="Calibri" w:hAnsi="Arial" w:cs="Arial"/>
          <w:color w:val="000000" w:themeColor="text1"/>
          <w:sz w:val="22"/>
          <w:szCs w:val="22"/>
          <w:lang w:val="es-ES_tradnl"/>
        </w:rPr>
        <w:tab/>
        <w:t xml:space="preserve">Esta argumentación sería coherente con explicado por esta Agencia a partir del </w:t>
      </w:r>
      <w:r w:rsidRPr="00A10614">
        <w:rPr>
          <w:rFonts w:ascii="Arial" w:eastAsia="Calibri" w:hAnsi="Arial" w:cs="Arial"/>
          <w:bCs/>
          <w:sz w:val="22"/>
        </w:rPr>
        <w:t xml:space="preserve">Concepto C-043 del 9 de febrero de 2020, </w:t>
      </w:r>
      <w:r w:rsidRPr="00A10614">
        <w:rPr>
          <w:rFonts w:ascii="Arial" w:eastAsia="Calibri" w:hAnsi="Arial" w:cs="Arial"/>
          <w:bCs/>
          <w:color w:val="000000" w:themeColor="text1"/>
          <w:sz w:val="22"/>
        </w:rPr>
        <w:t>en relación con las convocatorias limitadas a mipymes</w:t>
      </w:r>
      <w:r w:rsidRPr="00A10614">
        <w:rPr>
          <w:rFonts w:ascii="Arial" w:eastAsia="Calibri" w:hAnsi="Arial" w:cs="Arial"/>
          <w:bCs/>
          <w:sz w:val="22"/>
        </w:rPr>
        <w:t xml:space="preserve">. Con las precisiones doctrinales posteriores, </w:t>
      </w:r>
      <w:r w:rsidRPr="00A10614">
        <w:rPr>
          <w:rFonts w:ascii="Arial" w:eastAsia="Calibri" w:hAnsi="Arial" w:cs="Arial"/>
          <w:bCs/>
          <w:color w:val="000000" w:themeColor="text1"/>
          <w:sz w:val="22"/>
        </w:rPr>
        <w:t xml:space="preserve">además de la pérdida de fuerza ejecutoria de los artículos 2.2.1.2.4.2.2 y 2.2.1.2.4.2.3 del Decreto 1082 de 2015 por la desaparición de su fundamento de derecho, se advierte una manifiesta oposición entre dichos enunciados normativos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w:t>
      </w:r>
      <w:r w:rsidR="000C27B9">
        <w:rPr>
          <w:rFonts w:ascii="Arial" w:eastAsia="Calibri" w:hAnsi="Arial" w:cs="Arial"/>
          <w:bCs/>
          <w:color w:val="000000" w:themeColor="text1"/>
          <w:sz w:val="22"/>
        </w:rPr>
        <w:t>Entonces</w:t>
      </w:r>
      <w:r w:rsidRPr="00A10614">
        <w:rPr>
          <w:rFonts w:ascii="Arial" w:eastAsia="Calibri" w:hAnsi="Arial" w:cs="Arial"/>
          <w:bCs/>
          <w:color w:val="000000" w:themeColor="text1"/>
          <w:sz w:val="22"/>
        </w:rPr>
        <w:t xml:space="preserve">, puede afirmarse que, además del decaimiento de los artículos 2.2.1.2.4.2.2 y 2.2.1.2.4.2.3 del Decreto 1082 de 2015, deben entenderse derogados. </w:t>
      </w:r>
      <w:r w:rsidR="00287ED6">
        <w:rPr>
          <w:rFonts w:ascii="Arial" w:eastAsia="Calibri" w:hAnsi="Arial" w:cs="Arial"/>
          <w:bCs/>
          <w:color w:val="000000" w:themeColor="text1"/>
          <w:sz w:val="22"/>
        </w:rPr>
        <w:t>Al respecto</w:t>
      </w:r>
      <w:r w:rsidRPr="00A10614">
        <w:rPr>
          <w:rFonts w:ascii="Arial" w:eastAsia="Calibri" w:hAnsi="Arial" w:cs="Arial"/>
          <w:bCs/>
          <w:color w:val="000000" w:themeColor="text1"/>
          <w:sz w:val="22"/>
        </w:rPr>
        <w:t>, el concepto anteriormente citado precisa que:</w:t>
      </w:r>
    </w:p>
    <w:p w14:paraId="05667373" w14:textId="77777777" w:rsidR="00BC1E14" w:rsidRPr="00A10614" w:rsidRDefault="00BC1E14" w:rsidP="00BC1E14">
      <w:pPr>
        <w:spacing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 xml:space="preserve"> </w:t>
      </w:r>
    </w:p>
    <w:p w14:paraId="4667AFF6" w14:textId="77777777" w:rsidR="00BC1E14" w:rsidRPr="00A10614" w:rsidRDefault="00BC1E14" w:rsidP="00BC1E14">
      <w:pPr>
        <w:ind w:left="709" w:right="709"/>
        <w:jc w:val="both"/>
        <w:rPr>
          <w:rFonts w:ascii="Arial" w:eastAsia="Calibri" w:hAnsi="Arial" w:cs="Arial"/>
          <w:bCs/>
          <w:color w:val="000000" w:themeColor="text1"/>
          <w:sz w:val="21"/>
          <w:szCs w:val="21"/>
        </w:rPr>
      </w:pPr>
      <w:r w:rsidRPr="00A10614">
        <w:rPr>
          <w:rFonts w:ascii="Arial" w:eastAsia="Calibri" w:hAnsi="Arial" w:cs="Arial"/>
          <w:bCs/>
          <w:color w:val="000000" w:themeColor="text1"/>
          <w:sz w:val="21"/>
          <w:szCs w:val="21"/>
        </w:rPr>
        <w:t>[…]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p>
    <w:p w14:paraId="12D63827" w14:textId="77777777" w:rsidR="00BC1E14" w:rsidRPr="00A10614" w:rsidRDefault="00BC1E14" w:rsidP="00BC1E14">
      <w:pPr>
        <w:spacing w:line="276" w:lineRule="auto"/>
        <w:ind w:left="709" w:right="709"/>
        <w:jc w:val="both"/>
        <w:rPr>
          <w:rFonts w:ascii="Arial" w:eastAsia="Calibri" w:hAnsi="Arial" w:cs="Arial"/>
          <w:bCs/>
          <w:color w:val="000000" w:themeColor="text1"/>
          <w:sz w:val="22"/>
        </w:rPr>
      </w:pPr>
    </w:p>
    <w:p w14:paraId="3F34E418" w14:textId="172178FA" w:rsidR="00BC1E14" w:rsidRPr="00A10614" w:rsidRDefault="00BC1E14" w:rsidP="00BC1E14">
      <w:pPr>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bCs/>
          <w:color w:val="000000" w:themeColor="text1"/>
          <w:sz w:val="22"/>
        </w:rPr>
        <w:tab/>
        <w:t>Aplicando analógicamente este razonamiento a la mínima cuantía, debería concluirse que, como los</w:t>
      </w:r>
      <w:r w:rsidRPr="00A10614">
        <w:rPr>
          <w:rFonts w:ascii="Arial" w:eastAsia="Calibri" w:hAnsi="Arial" w:cs="Arial"/>
          <w:color w:val="000000" w:themeColor="text1"/>
          <w:sz w:val="22"/>
          <w:szCs w:val="22"/>
          <w:lang w:val="es-ES_tradnl"/>
        </w:rPr>
        <w:t xml:space="preserve"> artículos 2.2.1.2.1.5.1 al 2.2.1.2.1.5.4 del Decreto 1082 de 2015 reglamentaban el artículo 94 de la Ley 1474 de 2011, con el artículo 30 de la Ley 2069 de 2020 e</w:t>
      </w:r>
      <w:r w:rsidR="00CF6B37">
        <w:rPr>
          <w:rFonts w:ascii="Arial" w:eastAsia="Calibri" w:hAnsi="Arial" w:cs="Arial"/>
          <w:color w:val="000000" w:themeColor="text1"/>
          <w:sz w:val="22"/>
          <w:szCs w:val="22"/>
          <w:lang w:val="es-ES_tradnl"/>
        </w:rPr>
        <w:t>s</w:t>
      </w:r>
      <w:r w:rsidRPr="00A10614">
        <w:rPr>
          <w:rFonts w:ascii="Arial" w:eastAsia="Calibri" w:hAnsi="Arial" w:cs="Arial"/>
          <w:color w:val="000000" w:themeColor="text1"/>
          <w:sz w:val="22"/>
          <w:szCs w:val="22"/>
          <w:lang w:val="es-ES_tradnl"/>
        </w:rPr>
        <w:t xml:space="preserve"> necesaria una nueva reglamentación del parágrafo primero que defina las particularidades del procedimiento de selección. Esto en la medida que las normas citadas del decreto reglamentario perderían su fundamento jurídico por la sustitución del contenido del numeral 5 del artículo 2 de la Ley 1150 de 2007. </w:t>
      </w:r>
    </w:p>
    <w:p w14:paraId="6B1F41D6" w14:textId="7092636F" w:rsidR="00BC1E14" w:rsidRPr="00A10614" w:rsidRDefault="00BC1E14" w:rsidP="00BC1E14">
      <w:pPr>
        <w:tabs>
          <w:tab w:val="left" w:pos="709"/>
        </w:tabs>
        <w:spacing w:line="276" w:lineRule="auto"/>
        <w:jc w:val="both"/>
        <w:rPr>
          <w:rFonts w:ascii="Arial" w:eastAsia="Calibri" w:hAnsi="Arial" w:cs="Arial"/>
          <w:bCs/>
          <w:color w:val="000000" w:themeColor="text1"/>
          <w:sz w:val="22"/>
        </w:rPr>
      </w:pPr>
      <w:r w:rsidRPr="00A10614">
        <w:rPr>
          <w:rFonts w:ascii="Arial" w:eastAsia="Calibri" w:hAnsi="Arial" w:cs="Arial"/>
          <w:color w:val="000000" w:themeColor="text1"/>
          <w:sz w:val="22"/>
          <w:szCs w:val="22"/>
          <w:lang w:val="es-ES_tradnl"/>
        </w:rPr>
        <w:tab/>
        <w:t xml:space="preserve">Aunque el argumento es plausible, para la Subdirección de Gestión Contractual las consideraciones relacionadas con la limitación a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no son aplicables a la regulación de la mínima cuantía, ya que tienen un alcance diferente. E</w:t>
      </w:r>
      <w:r w:rsidRPr="00A10614">
        <w:rPr>
          <w:rFonts w:ascii="Arial" w:eastAsia="Calibri" w:hAnsi="Arial" w:cs="Arial"/>
          <w:bCs/>
          <w:color w:val="000000" w:themeColor="text1"/>
          <w:sz w:val="22"/>
        </w:rPr>
        <w:t xml:space="preserve">l artículo 34 </w:t>
      </w:r>
      <w:r w:rsidRPr="00A10614">
        <w:rPr>
          <w:rFonts w:ascii="Arial" w:eastAsia="Calibri" w:hAnsi="Arial" w:cs="Arial"/>
          <w:bCs/>
          <w:i/>
          <w:iCs/>
          <w:color w:val="000000" w:themeColor="text1"/>
          <w:sz w:val="22"/>
        </w:rPr>
        <w:t>ibidem</w:t>
      </w:r>
      <w:r w:rsidRPr="00A10614">
        <w:rPr>
          <w:rFonts w:ascii="Arial" w:eastAsia="Calibri" w:hAnsi="Arial" w:cs="Arial"/>
          <w:bCs/>
          <w:color w:val="000000" w:themeColor="text1"/>
          <w:sz w:val="22"/>
        </w:rPr>
        <w:t xml:space="preserve"> modifica el artículo 12 de la Ley 1150 de 2007, el cual regula la promoción del desarrollo en la contratación pública. Inicialmente, la redacción de la Ley 1150 fue modificada por el artículo </w:t>
      </w:r>
      <w:r w:rsidRPr="00A10614">
        <w:rPr>
          <w:rFonts w:ascii="Arial" w:eastAsia="Calibri" w:hAnsi="Arial" w:cs="Arial"/>
          <w:bCs/>
          <w:color w:val="000000" w:themeColor="text1"/>
          <w:sz w:val="22"/>
        </w:rPr>
        <w:lastRenderedPageBreak/>
        <w:t xml:space="preserve">32 de la Ley 1450 de 2011, pero esta última fue derogada con la expedición de la Ley de Emprendimiento. </w:t>
      </w:r>
      <w:r w:rsidR="007802A9" w:rsidRPr="00A10614">
        <w:rPr>
          <w:rFonts w:ascii="Arial" w:eastAsia="Calibri" w:hAnsi="Arial" w:cs="Arial"/>
          <w:bCs/>
          <w:color w:val="000000" w:themeColor="text1"/>
          <w:sz w:val="22"/>
        </w:rPr>
        <w:t>Al respecto,</w:t>
      </w:r>
      <w:r w:rsidRPr="00A10614">
        <w:rPr>
          <w:rFonts w:ascii="Arial" w:eastAsia="Calibri" w:hAnsi="Arial" w:cs="Arial"/>
          <w:bCs/>
          <w:color w:val="000000" w:themeColor="text1"/>
          <w:sz w:val="22"/>
        </w:rPr>
        <w:t xml:space="preserve"> la norma dispone:   </w:t>
      </w:r>
    </w:p>
    <w:p w14:paraId="292D95C5" w14:textId="77777777" w:rsidR="00BC1E14" w:rsidRPr="00A10614" w:rsidRDefault="00BC1E14" w:rsidP="00BC1E14">
      <w:pPr>
        <w:tabs>
          <w:tab w:val="left" w:pos="709"/>
        </w:tabs>
        <w:spacing w:line="276" w:lineRule="auto"/>
        <w:jc w:val="both"/>
        <w:rPr>
          <w:rFonts w:ascii="Arial" w:eastAsia="Calibri" w:hAnsi="Arial" w:cs="Arial"/>
          <w:bCs/>
          <w:color w:val="000000" w:themeColor="text1"/>
          <w:sz w:val="22"/>
        </w:rPr>
      </w:pPr>
    </w:p>
    <w:p w14:paraId="54D7771D" w14:textId="77777777" w:rsidR="00BC1E14" w:rsidRPr="00A10614" w:rsidRDefault="00BC1E14" w:rsidP="00BC1E14">
      <w:pPr>
        <w:tabs>
          <w:tab w:val="left" w:pos="1276"/>
        </w:tabs>
        <w:ind w:left="709" w:right="709"/>
        <w:jc w:val="both"/>
        <w:rPr>
          <w:rFonts w:ascii="Arial" w:eastAsia="Calibri" w:hAnsi="Arial" w:cs="Arial"/>
          <w:bCs/>
          <w:color w:val="000000" w:themeColor="text1"/>
          <w:sz w:val="21"/>
          <w:szCs w:val="21"/>
        </w:rPr>
      </w:pPr>
      <w:r w:rsidRPr="00A10614">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A10614">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A10614">
        <w:rPr>
          <w:rFonts w:ascii="Arial" w:eastAsia="Calibri" w:hAnsi="Arial" w:cs="Arial"/>
          <w:bCs/>
          <w:color w:val="000000" w:themeColor="text1"/>
          <w:sz w:val="21"/>
          <w:szCs w:val="21"/>
        </w:rPr>
        <w:t xml:space="preserve"> adopten en beneficio de las Mipyme, convocatorias limitadas a estas en las que, previo a la Resolución de apertura del proceso respectivo, se haya manifestado el interés </w:t>
      </w:r>
      <w:r w:rsidRPr="00A10614">
        <w:rPr>
          <w:rFonts w:ascii="Arial" w:eastAsia="Calibri" w:hAnsi="Arial" w:cs="Arial"/>
          <w:bCs/>
          <w:i/>
          <w:iCs/>
          <w:color w:val="000000" w:themeColor="text1"/>
          <w:sz w:val="21"/>
          <w:szCs w:val="21"/>
        </w:rPr>
        <w:t>de por lo menos dos (2) Mipyme</w:t>
      </w:r>
      <w:r w:rsidRPr="00A10614">
        <w:rPr>
          <w:rFonts w:ascii="Arial" w:eastAsia="Calibri" w:hAnsi="Arial" w:cs="Arial"/>
          <w:bCs/>
          <w:color w:val="000000" w:themeColor="text1"/>
          <w:sz w:val="21"/>
          <w:szCs w:val="21"/>
        </w:rPr>
        <w:t>.</w:t>
      </w:r>
    </w:p>
    <w:p w14:paraId="6901777D" w14:textId="77777777" w:rsidR="00BC1E14" w:rsidRPr="00A10614" w:rsidRDefault="00BC1E14" w:rsidP="00BC1E14">
      <w:pPr>
        <w:tabs>
          <w:tab w:val="left" w:pos="1276"/>
        </w:tabs>
        <w:spacing w:before="120"/>
        <w:ind w:left="709" w:right="709"/>
        <w:jc w:val="both"/>
        <w:rPr>
          <w:rFonts w:ascii="Arial" w:eastAsia="Calibri" w:hAnsi="Arial" w:cs="Arial"/>
          <w:bCs/>
          <w:color w:val="000000" w:themeColor="text1"/>
          <w:sz w:val="21"/>
          <w:szCs w:val="21"/>
        </w:rPr>
      </w:pPr>
      <w:r w:rsidRPr="00A10614">
        <w:rPr>
          <w:rFonts w:ascii="Arial" w:eastAsia="Calibri" w:hAnsi="Arial" w:cs="Arial"/>
          <w:bCs/>
          <w:color w:val="000000" w:themeColor="text1"/>
          <w:sz w:val="21"/>
          <w:szCs w:val="21"/>
        </w:rPr>
        <w:t>Asimismo, el reglamento podrá establecer condiciones preferenciales en favor de la oferta de bienes y servicios producidos por las Mipyme, respetando los montos y las condiciones contenidas en los compromisos internacionales vigentes</w:t>
      </w:r>
      <w:r w:rsidRPr="00A10614">
        <w:rPr>
          <w:rFonts w:ascii="Arial" w:eastAsia="Calibri" w:hAnsi="Arial" w:cs="Arial"/>
          <w:bCs/>
          <w:i/>
          <w:iCs/>
          <w:color w:val="000000" w:themeColor="text1"/>
          <w:sz w:val="21"/>
          <w:szCs w:val="21"/>
        </w:rPr>
        <w:t>, cuando sean aplicables</w:t>
      </w:r>
      <w:r w:rsidRPr="00A10614">
        <w:rPr>
          <w:rFonts w:ascii="Arial" w:eastAsia="Calibri" w:hAnsi="Arial" w:cs="Arial"/>
          <w:bCs/>
          <w:color w:val="000000" w:themeColor="text1"/>
          <w:sz w:val="21"/>
          <w:szCs w:val="21"/>
        </w:rPr>
        <w:t>.</w:t>
      </w:r>
    </w:p>
    <w:p w14:paraId="7851DC16" w14:textId="77777777" w:rsidR="00BC1E14" w:rsidRPr="00A10614" w:rsidRDefault="00BC1E14" w:rsidP="00BC1E14">
      <w:pPr>
        <w:tabs>
          <w:tab w:val="left" w:pos="1276"/>
        </w:tabs>
        <w:spacing w:before="120"/>
        <w:ind w:left="709" w:right="709"/>
        <w:jc w:val="both"/>
        <w:rPr>
          <w:rFonts w:ascii="Arial" w:eastAsia="Calibri" w:hAnsi="Arial" w:cs="Arial"/>
          <w:bCs/>
          <w:color w:val="000000" w:themeColor="text1"/>
          <w:sz w:val="21"/>
          <w:szCs w:val="21"/>
        </w:rPr>
      </w:pPr>
      <w:r w:rsidRPr="00A10614">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Pr="00A10614">
        <w:rPr>
          <w:rStyle w:val="Refdenotaalpie"/>
          <w:rFonts w:ascii="Arial" w:eastAsia="Calibri" w:hAnsi="Arial" w:cs="Arial"/>
          <w:bCs/>
          <w:color w:val="000000" w:themeColor="text1"/>
          <w:sz w:val="21"/>
          <w:szCs w:val="21"/>
        </w:rPr>
        <w:footnoteReference w:id="30"/>
      </w:r>
      <w:r w:rsidRPr="00A10614">
        <w:rPr>
          <w:rFonts w:ascii="Arial" w:eastAsia="Calibri" w:hAnsi="Arial" w:cs="Arial"/>
          <w:bCs/>
          <w:color w:val="000000" w:themeColor="text1"/>
          <w:sz w:val="21"/>
          <w:szCs w:val="21"/>
        </w:rPr>
        <w:t>. (Énfasis fuera de texto)</w:t>
      </w:r>
    </w:p>
    <w:p w14:paraId="7775247C" w14:textId="77777777" w:rsidR="00BC1E14" w:rsidRPr="00A10614" w:rsidRDefault="00BC1E14" w:rsidP="00BC1E14">
      <w:pPr>
        <w:tabs>
          <w:tab w:val="left" w:pos="1276"/>
        </w:tabs>
        <w:spacing w:line="276" w:lineRule="auto"/>
        <w:ind w:left="709" w:right="709"/>
        <w:jc w:val="both"/>
        <w:rPr>
          <w:rFonts w:ascii="Arial" w:eastAsia="Calibri" w:hAnsi="Arial" w:cs="Arial"/>
          <w:bCs/>
          <w:color w:val="000000" w:themeColor="text1"/>
          <w:sz w:val="22"/>
        </w:rPr>
      </w:pPr>
    </w:p>
    <w:p w14:paraId="6405A9D9" w14:textId="6759078F" w:rsidR="00BC1E14" w:rsidRPr="00A10614" w:rsidRDefault="00BC1E14" w:rsidP="00BC1E14">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En contraste con la redacción de la Ley 1450 de 2011, la Ley de Emprendimiento amplía la limitación a mipymes de forma </w:t>
      </w:r>
      <w:r w:rsidR="00DE54B2">
        <w:rPr>
          <w:rFonts w:ascii="Arial" w:eastAsia="Calibri" w:hAnsi="Arial" w:cs="Arial"/>
          <w:bCs/>
          <w:color w:val="000000" w:themeColor="text1"/>
          <w:sz w:val="22"/>
        </w:rPr>
        <w:t>que</w:t>
      </w:r>
      <w:r w:rsidRPr="00A10614">
        <w:rPr>
          <w:rFonts w:ascii="Arial" w:eastAsia="Calibri" w:hAnsi="Arial" w:cs="Arial"/>
          <w:bCs/>
          <w:color w:val="000000" w:themeColor="text1"/>
          <w:sz w:val="22"/>
        </w:rPr>
        <w:t xml:space="preserve"> ya no solo aplica en los procedimientos de 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4851CCF6" w14:textId="6435A659" w:rsidR="00BC1E14" w:rsidRPr="00A10614" w:rsidRDefault="00BC1E14" w:rsidP="00BC1E14">
      <w:pPr>
        <w:tabs>
          <w:tab w:val="left" w:pos="709"/>
        </w:tabs>
        <w:spacing w:after="120" w:line="276" w:lineRule="auto"/>
        <w:jc w:val="both"/>
        <w:rPr>
          <w:rFonts w:ascii="Arial" w:eastAsia="Calibri" w:hAnsi="Arial" w:cs="Arial"/>
          <w:bCs/>
          <w:color w:val="000000" w:themeColor="text1"/>
          <w:sz w:val="22"/>
        </w:rPr>
      </w:pPr>
      <w:r w:rsidRPr="00A10614">
        <w:rPr>
          <w:rFonts w:ascii="Arial" w:eastAsia="Calibri" w:hAnsi="Arial" w:cs="Arial"/>
          <w:bCs/>
          <w:color w:val="000000" w:themeColor="text1"/>
          <w:sz w:val="22"/>
        </w:rPr>
        <w:tab/>
        <w:t xml:space="preserve">Además de que el artículo 34 de la Ley de Emprendimiento no es una norma de aplicación directa, contempla supuestos que no están previstos en el Decreto 1082 de 2015. Particularmente, conforme al artículo 2.2.1.2.4.2.2 </w:t>
      </w:r>
      <w:r w:rsidRPr="00A10614">
        <w:rPr>
          <w:rFonts w:ascii="Arial" w:eastAsia="Calibri" w:hAnsi="Arial" w:cs="Arial"/>
          <w:bCs/>
          <w:i/>
          <w:iCs/>
          <w:color w:val="000000" w:themeColor="text1"/>
          <w:sz w:val="22"/>
        </w:rPr>
        <w:t>ibídem</w:t>
      </w:r>
      <w:r w:rsidRPr="00A10614">
        <w:rPr>
          <w:rFonts w:ascii="Arial" w:eastAsia="Calibri" w:hAnsi="Arial" w:cs="Arial"/>
          <w:bCs/>
          <w:color w:val="000000" w:themeColor="text1"/>
          <w:sz w:val="22"/>
        </w:rPr>
        <w:t xml:space="preserve">, las convocatorias limitadas </w:t>
      </w:r>
      <w:r w:rsidRPr="00A10614">
        <w:rPr>
          <w:rFonts w:ascii="Arial" w:eastAsia="Calibri" w:hAnsi="Arial" w:cs="Arial"/>
          <w:bCs/>
          <w:color w:val="000000" w:themeColor="text1"/>
          <w:sz w:val="22"/>
        </w:rPr>
        <w:lastRenderedPageBreak/>
        <w:t>únicamente solo son obligatorias en la licitación pública, selección abreviada y concurso de méritos de las entidades sometidas a la Ley 80 de 1993, siempre que la entidad contratante reciba solicitudes de limitación de por lo menos tres (3) mipyme nacionales.</w:t>
      </w:r>
      <w:r w:rsidR="00A10614">
        <w:rPr>
          <w:rFonts w:ascii="Arial" w:eastAsia="Calibri" w:hAnsi="Arial" w:cs="Arial"/>
          <w:bCs/>
          <w:color w:val="000000" w:themeColor="text1"/>
          <w:sz w:val="22"/>
        </w:rPr>
        <w:t xml:space="preserve"> </w:t>
      </w:r>
      <w:r w:rsidRPr="00A10614">
        <w:rPr>
          <w:rFonts w:ascii="Arial" w:eastAsia="Calibri" w:hAnsi="Arial" w:cs="Arial"/>
          <w:bCs/>
          <w:color w:val="000000" w:themeColor="text1"/>
          <w:sz w:val="22"/>
        </w:rPr>
        <w:t>Frente a este escenario, surge la necesidad de expedir una nueva reglamentación para las convocatorias limitadas que desarrolle los nuevos elementos previstos en la ley.</w:t>
      </w:r>
    </w:p>
    <w:p w14:paraId="0530DF20" w14:textId="77777777" w:rsidR="00BC1E14" w:rsidRPr="00A10614" w:rsidRDefault="00BC1E14" w:rsidP="00BC1E14">
      <w:pPr>
        <w:tabs>
          <w:tab w:val="left" w:pos="709"/>
        </w:tabs>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bCs/>
          <w:color w:val="000000" w:themeColor="text1"/>
          <w:sz w:val="22"/>
        </w:rPr>
        <w:tab/>
        <w:t>Por el contrario, el artículo 30 de la Ley 2069 de 2020 es directamente aplicable, pues –a diferencia de que sucedió en su momento con la selección abreviada– la mínima cuantía no requiere desarrollo reglamentario posterior para su vigencia. Aunque el parágrafo primero habilita el ejercicio de la potestad dispuesta en el artículo 189.11 superior, el grueso de los</w:t>
      </w:r>
      <w:r w:rsidRPr="00A10614">
        <w:rPr>
          <w:rFonts w:ascii="Arial" w:eastAsia="Calibri" w:hAnsi="Arial" w:cs="Arial"/>
          <w:color w:val="000000" w:themeColor="text1"/>
          <w:sz w:val="22"/>
          <w:szCs w:val="22"/>
          <w:lang w:val="es-ES_tradnl"/>
        </w:rPr>
        <w:t xml:space="preserve"> artículos 2.2.1.2.1.5.1 al 2.2.1.2.1.5.4 del Decreto 1082 de 2015 es compatible con la norma vigente. Lo anterior considerando que, conforme a los parágrafos del artículo 30 de la Ley 2069 de 2020, el cambio consiste en la posibilidad de limitar a </w:t>
      </w:r>
      <w:proofErr w:type="spellStart"/>
      <w:r w:rsidRPr="00A10614">
        <w:rPr>
          <w:rFonts w:ascii="Arial" w:eastAsia="Calibri" w:hAnsi="Arial" w:cs="Arial"/>
          <w:color w:val="000000" w:themeColor="text1"/>
          <w:sz w:val="22"/>
          <w:szCs w:val="22"/>
          <w:lang w:val="es-ES_tradnl"/>
        </w:rPr>
        <w:t>mypimes</w:t>
      </w:r>
      <w:proofErr w:type="spellEnd"/>
      <w:r w:rsidRPr="00A10614">
        <w:rPr>
          <w:rFonts w:ascii="Arial" w:eastAsia="Calibri" w:hAnsi="Arial" w:cs="Arial"/>
          <w:color w:val="000000" w:themeColor="text1"/>
          <w:sz w:val="22"/>
          <w:szCs w:val="22"/>
          <w:lang w:val="es-ES_tradnl"/>
        </w:rPr>
        <w:t xml:space="preserve"> el procedimiento de selección. Esta materia corresponde al desarrollo reglamentario del artículo 34 </w:t>
      </w:r>
      <w:r w:rsidRPr="00A10614">
        <w:rPr>
          <w:rFonts w:ascii="Arial" w:eastAsia="Calibri" w:hAnsi="Arial" w:cs="Arial"/>
          <w:i/>
          <w:iCs/>
          <w:color w:val="000000" w:themeColor="text1"/>
          <w:sz w:val="22"/>
          <w:szCs w:val="22"/>
          <w:lang w:val="es-ES_tradnl"/>
        </w:rPr>
        <w:t>ibídem</w:t>
      </w:r>
      <w:r w:rsidRPr="00A10614">
        <w:rPr>
          <w:rFonts w:ascii="Arial" w:eastAsia="Calibri" w:hAnsi="Arial" w:cs="Arial"/>
          <w:color w:val="000000" w:themeColor="text1"/>
          <w:sz w:val="22"/>
          <w:szCs w:val="22"/>
          <w:lang w:val="es-ES_tradnl"/>
        </w:rPr>
        <w:t xml:space="preserve">, ya que –fuera del reducido margen de aplicación del artículo 2.2.1.2.4.2.2 del Decreto 1082 de 2015– las convocatorias limitadas son posibles en «[…] las Entidades Estatales indistintamente de su régimen de contratación, los patrimonios autónomos constituidos por Entidades Estatales y los particulares que ejecuten recursos públicos […]», sin distinguir entre procesos de contratación. </w:t>
      </w:r>
    </w:p>
    <w:p w14:paraId="3EEC755D" w14:textId="77777777" w:rsidR="00BC1E14" w:rsidRPr="00A10614" w:rsidRDefault="00BC1E14" w:rsidP="00BC1E14">
      <w:pPr>
        <w:tabs>
          <w:tab w:val="left" w:pos="709"/>
        </w:tabs>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ab/>
        <w:t xml:space="preserve">Por tanto, las diferencias entre el alcance de la mínima cuantía y de las convocatorias limitadas, impide aplicar por analogía las consideraciones realizadas por la Agencia a partir del </w:t>
      </w:r>
      <w:r w:rsidRPr="00A10614">
        <w:rPr>
          <w:rFonts w:ascii="Arial" w:eastAsia="Calibri" w:hAnsi="Arial" w:cs="Arial"/>
          <w:bCs/>
          <w:sz w:val="22"/>
        </w:rPr>
        <w:t>Concepto C-043 del 9 de febrero de 2020 al artículo 30 de la Ley de Emprendimiento</w:t>
      </w:r>
      <w:r w:rsidRPr="00A10614">
        <w:rPr>
          <w:rFonts w:ascii="Arial" w:eastAsia="Calibri" w:hAnsi="Arial" w:cs="Arial"/>
          <w:color w:val="000000" w:themeColor="text1"/>
          <w:sz w:val="22"/>
          <w:szCs w:val="22"/>
          <w:lang w:val="es-ES_tradnl"/>
        </w:rPr>
        <w:t>. En este caso no es posible sostener que la sustitución del contenido del numeral 5, del artículo 2 de la Ley 1150 de 2007 genera el decaimiento de los artículos 2.2.1.2.1.5.1 al 2.2.1.2.1.5.4 del Decreto 1082 de 2015, obligando a la expedición de un nuevo reglamento que detalle el procedimiento de selección. Lo anterior teniendo en cuenta que si bien existe un cambio formal en el fundamento jurídico, la doctrina considera que el decaimiento se produce –entre otras causas– por la «[…] derogación o modificación de la norma legal en que se fundó el acto administrativo, cuando dicha regla es condición indispensable para su vigencia […]»</w:t>
      </w:r>
      <w:r w:rsidRPr="00A10614">
        <w:rPr>
          <w:rStyle w:val="Refdenotaalpie"/>
          <w:rFonts w:ascii="Arial" w:eastAsia="Calibri" w:hAnsi="Arial" w:cs="Arial"/>
          <w:color w:val="000000" w:themeColor="text1"/>
          <w:sz w:val="22"/>
          <w:szCs w:val="22"/>
          <w:lang w:val="es-ES_tradnl"/>
        </w:rPr>
        <w:footnoteReference w:id="31"/>
      </w:r>
      <w:r w:rsidRPr="00A10614">
        <w:rPr>
          <w:rFonts w:ascii="Arial" w:eastAsia="Calibri" w:hAnsi="Arial" w:cs="Arial"/>
          <w:color w:val="000000" w:themeColor="text1"/>
          <w:sz w:val="22"/>
          <w:szCs w:val="22"/>
          <w:lang w:val="es-ES_tradnl"/>
        </w:rPr>
        <w:t xml:space="preserve">. </w:t>
      </w:r>
    </w:p>
    <w:p w14:paraId="105F471B" w14:textId="77777777" w:rsidR="00BC1E14" w:rsidRPr="00A10614" w:rsidRDefault="00BC1E14" w:rsidP="00BC1E14">
      <w:pPr>
        <w:tabs>
          <w:tab w:val="left" w:pos="709"/>
        </w:tabs>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ab/>
        <w:t xml:space="preserve">El decaimiento afecta los artículos </w:t>
      </w:r>
      <w:r w:rsidRPr="00A10614">
        <w:rPr>
          <w:rFonts w:ascii="Arial" w:eastAsia="Calibri" w:hAnsi="Arial" w:cs="Arial"/>
          <w:bCs/>
          <w:color w:val="000000" w:themeColor="text1"/>
          <w:sz w:val="22"/>
        </w:rPr>
        <w:t xml:space="preserve">2.2.1.2.4.2.2 y 2.2.1.2.4.2.3 del Decreto 1082 de 2015 </w:t>
      </w:r>
      <w:r w:rsidRPr="00A10614">
        <w:rPr>
          <w:rFonts w:ascii="Arial" w:eastAsia="Calibri" w:hAnsi="Arial" w:cs="Arial"/>
          <w:color w:val="000000" w:themeColor="text1"/>
          <w:sz w:val="22"/>
          <w:szCs w:val="22"/>
          <w:lang w:val="es-ES_tradnl"/>
        </w:rPr>
        <w:t xml:space="preserve">por la subrogación del artículo 32 de la Ley 1450 de 2011, el cual regulaba las convocatorias limitadas a </w:t>
      </w:r>
      <w:proofErr w:type="spellStart"/>
      <w:r w:rsidRPr="00A10614">
        <w:rPr>
          <w:rFonts w:ascii="Arial" w:eastAsia="Calibri" w:hAnsi="Arial" w:cs="Arial"/>
          <w:color w:val="000000" w:themeColor="text1"/>
          <w:sz w:val="22"/>
          <w:szCs w:val="22"/>
          <w:lang w:val="es-ES_tradnl"/>
        </w:rPr>
        <w:t>mipymes</w:t>
      </w:r>
      <w:proofErr w:type="spellEnd"/>
      <w:r w:rsidRPr="00A10614">
        <w:rPr>
          <w:rFonts w:ascii="Arial" w:eastAsia="Calibri" w:hAnsi="Arial" w:cs="Arial"/>
          <w:color w:val="000000" w:themeColor="text1"/>
          <w:sz w:val="22"/>
          <w:szCs w:val="22"/>
          <w:lang w:val="es-ES_tradnl"/>
        </w:rPr>
        <w:t xml:space="preserve">. En este caso, desaparece el fundamento jurídico de las normas citadas del Decreto Único Reglamentario del Sector Administrativo de Planeación Nacional, ya que el artículo 34 de la Ley de Emprendimiento introduce modificaciones sustanciales a la materia como se explicó </w:t>
      </w:r>
      <w:r w:rsidRPr="00A10614">
        <w:rPr>
          <w:rFonts w:ascii="Arial" w:eastAsia="Calibri" w:hAnsi="Arial" w:cs="Arial"/>
          <w:i/>
          <w:iCs/>
          <w:color w:val="000000" w:themeColor="text1"/>
          <w:sz w:val="22"/>
          <w:szCs w:val="22"/>
          <w:lang w:val="es-ES_tradnl"/>
        </w:rPr>
        <w:t>ut supra</w:t>
      </w:r>
      <w:r w:rsidRPr="00A10614">
        <w:rPr>
          <w:rFonts w:ascii="Arial" w:eastAsia="Calibri" w:hAnsi="Arial" w:cs="Arial"/>
          <w:color w:val="000000" w:themeColor="text1"/>
          <w:sz w:val="22"/>
          <w:szCs w:val="22"/>
          <w:lang w:val="es-ES_tradnl"/>
        </w:rPr>
        <w:t xml:space="preserve">, por lo que es necesario que un nuevo </w:t>
      </w:r>
      <w:r w:rsidRPr="00A10614">
        <w:rPr>
          <w:rFonts w:ascii="Arial" w:eastAsia="Calibri" w:hAnsi="Arial" w:cs="Arial"/>
          <w:color w:val="000000" w:themeColor="text1"/>
          <w:sz w:val="22"/>
          <w:szCs w:val="22"/>
          <w:lang w:val="es-ES_tradnl"/>
        </w:rPr>
        <w:lastRenderedPageBreak/>
        <w:t xml:space="preserve">reglamento defina las reglas de las convocatorias limitadas como una condición para su exigibilidad en los procedimientos contractuales. </w:t>
      </w:r>
    </w:p>
    <w:p w14:paraId="323793E0" w14:textId="77777777" w:rsidR="00BC1E14" w:rsidRPr="00A10614" w:rsidRDefault="00BC1E14" w:rsidP="00BC1E14">
      <w:pPr>
        <w:tabs>
          <w:tab w:val="left" w:pos="709"/>
        </w:tabs>
        <w:spacing w:after="120"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ab/>
        <w:t xml:space="preserve">Lo mismo no sucede con la regulación de la mínima cuantía en el Decreto 1082 de 2015. </w:t>
      </w:r>
      <w:bookmarkStart w:id="18" w:name="_Hlk69487065"/>
      <w:bookmarkStart w:id="19" w:name="_Hlk69487402"/>
      <w:r w:rsidRPr="00A10614">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A10614">
        <w:rPr>
          <w:rFonts w:ascii="Arial" w:eastAsia="Calibri" w:hAnsi="Arial" w:cs="Arial"/>
          <w:color w:val="000000" w:themeColor="text1"/>
          <w:sz w:val="22"/>
          <w:szCs w:val="22"/>
          <w:lang w:val="es-ES_tradnl"/>
        </w:rPr>
        <w:t>mypimes</w:t>
      </w:r>
      <w:proofErr w:type="spellEnd"/>
      <w:r w:rsidRPr="00A10614">
        <w:rPr>
          <w:rFonts w:ascii="Arial" w:eastAsia="Calibri" w:hAnsi="Arial" w:cs="Arial"/>
          <w:color w:val="000000" w:themeColor="text1"/>
          <w:sz w:val="22"/>
          <w:szCs w:val="22"/>
          <w:lang w:val="es-ES_tradnl"/>
        </w:rPr>
        <w:t xml:space="preserve"> en la mínima cuantía, el desarrollo reglamentario este tema hace parte del artículo 34 </w:t>
      </w:r>
      <w:r w:rsidRPr="00A10614">
        <w:rPr>
          <w:rFonts w:ascii="Arial" w:eastAsia="Calibri" w:hAnsi="Arial" w:cs="Arial"/>
          <w:i/>
          <w:iCs/>
          <w:color w:val="000000" w:themeColor="text1"/>
          <w:sz w:val="22"/>
          <w:szCs w:val="22"/>
          <w:lang w:val="es-ES_tradnl"/>
        </w:rPr>
        <w:t>ibídem</w:t>
      </w:r>
      <w:r w:rsidRPr="00A10614">
        <w:rPr>
          <w:rFonts w:ascii="Arial" w:eastAsia="Calibri" w:hAnsi="Arial" w:cs="Arial"/>
          <w:color w:val="000000" w:themeColor="text1"/>
          <w:sz w:val="22"/>
          <w:szCs w:val="22"/>
          <w:lang w:val="es-ES_tradnl"/>
        </w:rPr>
        <w:t xml:space="preserve">. </w:t>
      </w:r>
      <w:bookmarkEnd w:id="18"/>
    </w:p>
    <w:p w14:paraId="45155DA9" w14:textId="77777777" w:rsidR="00E358F7" w:rsidRPr="00A10614" w:rsidRDefault="00BC1E14" w:rsidP="00E358F7">
      <w:pPr>
        <w:tabs>
          <w:tab w:val="left" w:pos="709"/>
        </w:tabs>
        <w:spacing w:after="120" w:line="276" w:lineRule="auto"/>
        <w:jc w:val="both"/>
        <w:rPr>
          <w:rFonts w:ascii="Arial" w:eastAsia="Calibri" w:hAnsi="Arial" w:cs="Arial"/>
          <w:bCs/>
          <w:color w:val="000000" w:themeColor="text1"/>
          <w:sz w:val="22"/>
          <w:szCs w:val="22"/>
          <w:lang w:val="es-ES_tradnl"/>
        </w:rPr>
      </w:pPr>
      <w:r w:rsidRPr="00A10614">
        <w:rPr>
          <w:rFonts w:ascii="Arial" w:eastAsia="Calibri" w:hAnsi="Arial" w:cs="Arial"/>
          <w:color w:val="000000" w:themeColor="text1"/>
          <w:sz w:val="22"/>
          <w:szCs w:val="22"/>
          <w:lang w:val="es-ES_tradnl"/>
        </w:rPr>
        <w:tab/>
      </w:r>
      <w:r w:rsidRPr="00A10614">
        <w:rPr>
          <w:rFonts w:ascii="Arial" w:eastAsia="Calibri" w:hAnsi="Arial" w:cs="Arial"/>
          <w:bCs/>
          <w:color w:val="000000" w:themeColor="text1"/>
          <w:sz w:val="22"/>
          <w:szCs w:val="22"/>
          <w:lang w:val="es-ES_tradnl"/>
        </w:rPr>
        <w:t xml:space="preserve">Para permitir la adquisición a </w:t>
      </w:r>
      <w:proofErr w:type="spellStart"/>
      <w:r w:rsidRPr="00A10614">
        <w:rPr>
          <w:rFonts w:ascii="Arial" w:eastAsia="Calibri" w:hAnsi="Arial" w:cs="Arial"/>
          <w:bCs/>
          <w:color w:val="000000" w:themeColor="text1"/>
          <w:sz w:val="22"/>
          <w:szCs w:val="22"/>
          <w:lang w:val="es-ES_tradnl"/>
        </w:rPr>
        <w:t>mipymes</w:t>
      </w:r>
      <w:proofErr w:type="spellEnd"/>
      <w:r w:rsidRPr="00A10614">
        <w:rPr>
          <w:rFonts w:ascii="Arial" w:eastAsia="Calibri" w:hAnsi="Arial" w:cs="Arial"/>
          <w:bCs/>
          <w:color w:val="000000" w:themeColor="text1"/>
          <w:sz w:val="22"/>
          <w:szCs w:val="22"/>
          <w:lang w:val="es-ES_tradnl"/>
        </w:rPr>
        <w:t xml:space="preserve"> y la aplicación del artículo 12 de la Ley 1150 de 2007, </w:t>
      </w:r>
      <w:r w:rsidRPr="00A10614">
        <w:rPr>
          <w:rFonts w:ascii="Arial" w:eastAsia="Calibri" w:hAnsi="Arial" w:cs="Arial"/>
          <w:color w:val="000000" w:themeColor="text1"/>
          <w:sz w:val="22"/>
          <w:szCs w:val="22"/>
          <w:lang w:val="es-ES_tradnl"/>
        </w:rPr>
        <w:t>la Ley de Emprendimiento pudo modificar únicamente los parágrafos 1 y 2 d</w:t>
      </w:r>
      <w:r w:rsidRPr="00A10614">
        <w:rPr>
          <w:rFonts w:ascii="Arial" w:eastAsia="Calibri" w:hAnsi="Arial" w:cs="Arial"/>
          <w:bCs/>
          <w:color w:val="000000" w:themeColor="text1"/>
          <w:sz w:val="22"/>
          <w:szCs w:val="22"/>
          <w:lang w:val="es-ES_tradnl"/>
        </w:rPr>
        <w:t xml:space="preserve">el artículo 94 de la Ley 1474 de 2011. Pese a que el artículo 30 de la Ley 2069 de 2020 optó por sustituir integralmente la regulación anterior, </w:t>
      </w:r>
      <w:bookmarkStart w:id="20" w:name="_Hlk69572931"/>
      <w:r w:rsidRPr="00A10614">
        <w:rPr>
          <w:rFonts w:ascii="Arial" w:eastAsia="Calibri" w:hAnsi="Arial" w:cs="Arial"/>
          <w:bCs/>
          <w:color w:val="000000" w:themeColor="text1"/>
          <w:sz w:val="22"/>
          <w:szCs w:val="22"/>
          <w:lang w:val="es-ES_tradnl"/>
        </w:rPr>
        <w:t>se observa que materialmente no existe una derogación de la mínima cuantía ni una modificación sustancial que incida en el procedimiento, por lo que no desaparece el fundamento jurídico de las normas reglamentarias que lo desarrollan</w:t>
      </w:r>
      <w:bookmarkEnd w:id="20"/>
      <w:r w:rsidRPr="00A10614">
        <w:rPr>
          <w:rFonts w:ascii="Arial" w:eastAsia="Calibri" w:hAnsi="Arial" w:cs="Arial"/>
          <w:bCs/>
          <w:color w:val="000000" w:themeColor="text1"/>
          <w:sz w:val="22"/>
          <w:szCs w:val="22"/>
          <w:lang w:val="es-ES_tradnl"/>
        </w:rPr>
        <w:t xml:space="preserve">. </w:t>
      </w:r>
      <w:bookmarkEnd w:id="19"/>
    </w:p>
    <w:p w14:paraId="23150B17" w14:textId="6F0B8C53" w:rsidR="00BC1E14" w:rsidRPr="00A10614" w:rsidRDefault="00E358F7">
      <w:pPr>
        <w:tabs>
          <w:tab w:val="left" w:pos="709"/>
        </w:tabs>
        <w:spacing w:line="276" w:lineRule="auto"/>
        <w:jc w:val="both"/>
        <w:rPr>
          <w:rFonts w:ascii="Arial" w:hAnsi="Arial" w:cs="Arial"/>
          <w:bCs/>
          <w:color w:val="000000" w:themeColor="text1"/>
          <w:sz w:val="22"/>
          <w:szCs w:val="22"/>
          <w:lang w:val="es-ES_tradnl"/>
        </w:rPr>
      </w:pPr>
      <w:r w:rsidRPr="00A10614">
        <w:rPr>
          <w:rFonts w:ascii="Arial" w:eastAsia="Calibri" w:hAnsi="Arial" w:cs="Arial"/>
          <w:bCs/>
          <w:color w:val="000000" w:themeColor="text1"/>
          <w:sz w:val="22"/>
          <w:szCs w:val="22"/>
          <w:lang w:val="es-ES_tradnl"/>
        </w:rPr>
        <w:tab/>
      </w:r>
      <w:r w:rsidR="00BC1E14" w:rsidRPr="00A10614">
        <w:rPr>
          <w:rFonts w:ascii="Arial" w:hAnsi="Arial" w:cs="Arial"/>
          <w:color w:val="000000" w:themeColor="text1"/>
          <w:sz w:val="22"/>
          <w:szCs w:val="22"/>
          <w:lang w:val="es-ES_tradnl"/>
        </w:rPr>
        <w:t xml:space="preserve">De esta manera, </w:t>
      </w:r>
      <w:r w:rsidRPr="00A10614">
        <w:rPr>
          <w:rFonts w:ascii="Arial" w:hAnsi="Arial" w:cs="Arial"/>
          <w:color w:val="000000" w:themeColor="text1"/>
          <w:sz w:val="22"/>
          <w:szCs w:val="22"/>
          <w:lang w:val="es-ES_tradnl"/>
        </w:rPr>
        <w:t xml:space="preserve">el grueso de </w:t>
      </w:r>
      <w:r w:rsidRPr="00A10614">
        <w:rPr>
          <w:rFonts w:ascii="Arial" w:hAnsi="Arial" w:cs="Arial"/>
          <w:bCs/>
          <w:color w:val="000000" w:themeColor="text1"/>
          <w:sz w:val="22"/>
          <w:szCs w:val="22"/>
        </w:rPr>
        <w:t>los</w:t>
      </w:r>
      <w:r w:rsidRPr="00A10614">
        <w:rPr>
          <w:rFonts w:ascii="Arial" w:hAnsi="Arial" w:cs="Arial"/>
          <w:color w:val="000000" w:themeColor="text1"/>
          <w:sz w:val="22"/>
          <w:szCs w:val="22"/>
          <w:lang w:val="es-ES_tradnl"/>
        </w:rPr>
        <w:t xml:space="preserve"> artículos 2.2.1.2.1.5.1 al 2.2.1.2.1.5.4 del Decreto 1082 de 2015 continúan vigentes bajo la vigencia del numeral 5 del artículo 2 de la Ley 1150 de 2007, modificado por el artículo 30 de la Ley de Emprendimiento. Esto con excepción del </w:t>
      </w:r>
      <w:bookmarkStart w:id="21" w:name="_Hlk69581069"/>
      <w:r w:rsidRPr="00A10614">
        <w:rPr>
          <w:rFonts w:ascii="Arial" w:hAnsi="Arial" w:cs="Arial"/>
          <w:color w:val="000000" w:themeColor="text1"/>
          <w:sz w:val="22"/>
          <w:szCs w:val="22"/>
          <w:lang w:val="es-ES_tradnl"/>
        </w:rPr>
        <w:t>numeral 6 del artículo 2.2.1.2.1.5.2 y el numeral 3 del artículo 2.2.1.2.1.5.3 del</w:t>
      </w:r>
      <w:bookmarkEnd w:id="21"/>
      <w:r w:rsidRPr="00A10614">
        <w:rPr>
          <w:rFonts w:ascii="Arial" w:hAnsi="Arial" w:cs="Arial"/>
          <w:color w:val="000000" w:themeColor="text1"/>
          <w:sz w:val="22"/>
          <w:szCs w:val="22"/>
          <w:lang w:val="es-ES_tradnl"/>
        </w:rPr>
        <w:t xml:space="preserve"> Decreto Único Reglamentario del Sector Administrativo de Planeación Nacional, pues</w:t>
      </w:r>
      <w:r w:rsidR="00C13998" w:rsidRPr="00A10614">
        <w:rPr>
          <w:rFonts w:ascii="Arial" w:hAnsi="Arial" w:cs="Arial"/>
          <w:color w:val="000000" w:themeColor="text1"/>
          <w:sz w:val="22"/>
          <w:szCs w:val="22"/>
          <w:lang w:val="es-ES_tradnl"/>
        </w:rPr>
        <w:t xml:space="preserve"> –como se explicó en el apartado 2.3 de este concepto–</w:t>
      </w:r>
      <w:r w:rsidRPr="00A10614">
        <w:rPr>
          <w:rFonts w:ascii="Arial" w:hAnsi="Arial" w:cs="Arial"/>
          <w:color w:val="000000" w:themeColor="text1"/>
          <w:sz w:val="22"/>
          <w:szCs w:val="22"/>
          <w:lang w:val="es-ES_tradnl"/>
        </w:rPr>
        <w:t xml:space="preserve"> son incompatibles con los factores de desempate del artículo 35 de la Ley 2069 de 2020</w:t>
      </w:r>
      <w:r w:rsidR="00BC1E14" w:rsidRPr="00A10614">
        <w:rPr>
          <w:rFonts w:ascii="Arial" w:eastAsia="Calibri" w:hAnsi="Arial" w:cs="Arial"/>
          <w:color w:val="000000" w:themeColor="text1"/>
          <w:sz w:val="22"/>
          <w:szCs w:val="22"/>
          <w:lang w:val="es-ES_tradnl"/>
        </w:rPr>
        <w:t>.</w:t>
      </w:r>
    </w:p>
    <w:p w14:paraId="7AF9887A" w14:textId="77777777" w:rsidR="0013182D" w:rsidRPr="00A10614" w:rsidRDefault="0013182D" w:rsidP="004D1C27">
      <w:pPr>
        <w:spacing w:line="276" w:lineRule="auto"/>
        <w:jc w:val="both"/>
        <w:rPr>
          <w:rFonts w:ascii="Arial" w:eastAsia="Calibri" w:hAnsi="Arial" w:cs="Arial"/>
          <w:b/>
          <w:color w:val="000000" w:themeColor="text1"/>
          <w:sz w:val="22"/>
          <w:lang w:val="es-ES_tradnl"/>
        </w:rPr>
      </w:pPr>
    </w:p>
    <w:p w14:paraId="37CA9805" w14:textId="7B68B520" w:rsidR="00DD5B04" w:rsidRPr="00A10614" w:rsidRDefault="004177A6" w:rsidP="004D1C27">
      <w:pPr>
        <w:spacing w:line="276" w:lineRule="auto"/>
        <w:jc w:val="both"/>
        <w:rPr>
          <w:rFonts w:ascii="Arial" w:hAnsi="Arial" w:cs="Arial"/>
          <w:sz w:val="22"/>
          <w:lang w:val="es-ES_tradnl"/>
        </w:rPr>
      </w:pPr>
      <w:r w:rsidRPr="00A10614">
        <w:rPr>
          <w:rFonts w:ascii="Arial" w:eastAsia="Calibri" w:hAnsi="Arial" w:cs="Arial"/>
          <w:b/>
          <w:color w:val="000000" w:themeColor="text1"/>
          <w:sz w:val="22"/>
          <w:lang w:val="es-ES_tradnl"/>
        </w:rPr>
        <w:t>3</w:t>
      </w:r>
      <w:r w:rsidR="00B011A9" w:rsidRPr="00A10614">
        <w:rPr>
          <w:rFonts w:ascii="Arial" w:eastAsia="Calibri" w:hAnsi="Arial" w:cs="Arial"/>
          <w:b/>
          <w:color w:val="000000" w:themeColor="text1"/>
          <w:sz w:val="22"/>
          <w:lang w:val="es-ES_tradnl"/>
        </w:rPr>
        <w:t xml:space="preserve">. </w:t>
      </w:r>
      <w:r w:rsidR="00DD5B04" w:rsidRPr="00A10614">
        <w:rPr>
          <w:rFonts w:ascii="Arial" w:eastAsia="Calibri" w:hAnsi="Arial" w:cs="Arial"/>
          <w:b/>
          <w:color w:val="000000" w:themeColor="text1"/>
          <w:sz w:val="22"/>
          <w:lang w:val="es-ES_tradnl"/>
        </w:rPr>
        <w:t>Respuest</w:t>
      </w:r>
      <w:r w:rsidR="00BF0E64" w:rsidRPr="00A10614">
        <w:rPr>
          <w:rFonts w:ascii="Arial" w:eastAsia="Calibri" w:hAnsi="Arial" w:cs="Arial"/>
          <w:b/>
          <w:color w:val="000000" w:themeColor="text1"/>
          <w:sz w:val="22"/>
          <w:lang w:val="es-ES_tradnl"/>
        </w:rPr>
        <w:t>a</w:t>
      </w:r>
    </w:p>
    <w:p w14:paraId="0B74D5B8" w14:textId="59C73EB8" w:rsidR="00C4581D" w:rsidRPr="00A10614" w:rsidRDefault="00C4581D" w:rsidP="00510DE9">
      <w:pPr>
        <w:tabs>
          <w:tab w:val="left" w:pos="0"/>
        </w:tabs>
        <w:jc w:val="both"/>
        <w:rPr>
          <w:rFonts w:ascii="Arial" w:eastAsia="Calibri" w:hAnsi="Arial" w:cs="Arial"/>
          <w:color w:val="000000" w:themeColor="text1"/>
          <w:sz w:val="22"/>
          <w:lang w:val="es-ES_tradnl"/>
        </w:rPr>
      </w:pPr>
    </w:p>
    <w:p w14:paraId="51D1ACB6" w14:textId="6E9278FF" w:rsidR="00E774EE" w:rsidRPr="00A10614" w:rsidRDefault="00E774EE" w:rsidP="00E774EE">
      <w:pPr>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t>«En forma comedida me permito solicitar a Ustedes, me sea comunicado si en aplicabilidad del artículo 30 de la 2069 de 2020, también existe Pérdida de fuerza ejecutoria del artículo 94 Ley 1474, inciso adicionado por el Art. 6 del Decreto 537 de 2020) y artículos Artículo 2.2.1.2.1.5.1,  .2.1.2.1.5.2, Artículo 2.2.1.2.1.5.3 y 2.2.1.2.1.5.4., del Decreto 1082 de 2015?</w:t>
      </w:r>
      <w:r w:rsidR="0038196F" w:rsidRPr="00A10614">
        <w:rPr>
          <w:rFonts w:ascii="Arial" w:hAnsi="Arial" w:cs="Arial"/>
          <w:color w:val="000000" w:themeColor="text1"/>
          <w:sz w:val="21"/>
          <w:szCs w:val="21"/>
          <w:lang w:val="es-ES_tradnl"/>
        </w:rPr>
        <w:t>» (sic)</w:t>
      </w:r>
    </w:p>
    <w:p w14:paraId="73DB980F" w14:textId="6EC4B8F5" w:rsidR="00E774EE" w:rsidRPr="00A10614" w:rsidRDefault="00E774EE" w:rsidP="00F93973">
      <w:pPr>
        <w:ind w:right="709"/>
        <w:jc w:val="both"/>
        <w:rPr>
          <w:rFonts w:ascii="Arial" w:hAnsi="Arial" w:cs="Arial"/>
          <w:color w:val="000000" w:themeColor="text1"/>
          <w:sz w:val="21"/>
          <w:szCs w:val="21"/>
          <w:lang w:val="es-ES_tradnl"/>
        </w:rPr>
      </w:pPr>
    </w:p>
    <w:p w14:paraId="6C3B4949" w14:textId="7F51D06F" w:rsidR="00736A4D" w:rsidRPr="00A10614" w:rsidRDefault="00736A4D" w:rsidP="00736A4D">
      <w:pPr>
        <w:tabs>
          <w:tab w:val="left" w:pos="709"/>
        </w:tabs>
        <w:spacing w:after="120" w:line="276" w:lineRule="auto"/>
        <w:jc w:val="both"/>
        <w:rPr>
          <w:rFonts w:ascii="Arial" w:eastAsia="Calibri" w:hAnsi="Arial" w:cs="Arial"/>
          <w:color w:val="000000" w:themeColor="text1"/>
          <w:sz w:val="22"/>
          <w:szCs w:val="22"/>
          <w:lang w:val="es-ES_tradnl"/>
        </w:rPr>
      </w:pPr>
      <w:bookmarkStart w:id="22" w:name="_Hlk69484006"/>
      <w:r w:rsidRPr="00A10614">
        <w:rPr>
          <w:rFonts w:ascii="Arial" w:eastAsia="Calibri" w:hAnsi="Arial" w:cs="Arial"/>
          <w:color w:val="000000" w:themeColor="text1"/>
          <w:sz w:val="22"/>
          <w:szCs w:val="22"/>
          <w:lang w:val="es-ES_tradnl"/>
        </w:rPr>
        <w:t xml:space="preserve">Conforme a lo explicado en la parte considerativa, </w:t>
      </w:r>
      <w:r w:rsidR="00E6441D" w:rsidRPr="00A10614">
        <w:rPr>
          <w:rFonts w:ascii="Arial" w:eastAsia="Calibri" w:hAnsi="Arial" w:cs="Arial"/>
          <w:color w:val="000000" w:themeColor="text1"/>
          <w:sz w:val="22"/>
          <w:szCs w:val="22"/>
          <w:lang w:val="es-ES_tradnl"/>
        </w:rPr>
        <w:t>continúan</w:t>
      </w:r>
      <w:r w:rsidRPr="00A10614">
        <w:rPr>
          <w:rFonts w:ascii="Arial" w:eastAsia="Calibri" w:hAnsi="Arial" w:cs="Arial"/>
          <w:color w:val="000000" w:themeColor="text1"/>
          <w:sz w:val="22"/>
          <w:szCs w:val="22"/>
          <w:lang w:val="es-ES_tradnl"/>
        </w:rPr>
        <w:t xml:space="preserve"> vigentes las normas reglamentarias sobre la mínima cuantía. </w:t>
      </w:r>
      <w:bookmarkStart w:id="23" w:name="_Hlk69487468"/>
      <w:r w:rsidRPr="00A10614">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A10614">
        <w:rPr>
          <w:rFonts w:ascii="Arial" w:eastAsia="Calibri" w:hAnsi="Arial" w:cs="Arial"/>
          <w:color w:val="000000" w:themeColor="text1"/>
          <w:sz w:val="22"/>
          <w:szCs w:val="22"/>
          <w:lang w:val="es-ES_tradnl"/>
        </w:rPr>
        <w:t>mypimes</w:t>
      </w:r>
      <w:proofErr w:type="spellEnd"/>
      <w:r w:rsidRPr="00A10614">
        <w:rPr>
          <w:rFonts w:ascii="Arial" w:eastAsia="Calibri" w:hAnsi="Arial" w:cs="Arial"/>
          <w:color w:val="000000" w:themeColor="text1"/>
          <w:sz w:val="22"/>
          <w:szCs w:val="22"/>
          <w:lang w:val="es-ES_tradnl"/>
        </w:rPr>
        <w:t xml:space="preserve"> en la mínima cuantía, el desarrollo reglamentario este tema hace parte del artículo 34 </w:t>
      </w:r>
      <w:r w:rsidRPr="00A10614">
        <w:rPr>
          <w:rFonts w:ascii="Arial" w:eastAsia="Calibri" w:hAnsi="Arial" w:cs="Arial"/>
          <w:i/>
          <w:iCs/>
          <w:color w:val="000000" w:themeColor="text1"/>
          <w:sz w:val="22"/>
          <w:szCs w:val="22"/>
          <w:lang w:val="es-ES_tradnl"/>
        </w:rPr>
        <w:t>ibídem</w:t>
      </w:r>
      <w:r w:rsidRPr="00A10614">
        <w:rPr>
          <w:rFonts w:ascii="Arial" w:eastAsia="Calibri" w:hAnsi="Arial" w:cs="Arial"/>
          <w:color w:val="000000" w:themeColor="text1"/>
          <w:sz w:val="22"/>
          <w:szCs w:val="22"/>
          <w:lang w:val="es-ES_tradnl"/>
        </w:rPr>
        <w:t xml:space="preserve">. En esta medida, pese a la sustitución formal del artículo 94 de la Ley 1474 de 2011, se observa que materialmente no existe una derogación de la mínima cuantía ni una modificación sustancial que incida en </w:t>
      </w:r>
      <w:r w:rsidRPr="00A10614">
        <w:rPr>
          <w:rFonts w:ascii="Arial" w:eastAsia="Calibri" w:hAnsi="Arial" w:cs="Arial"/>
          <w:color w:val="000000" w:themeColor="text1"/>
          <w:sz w:val="22"/>
          <w:szCs w:val="22"/>
          <w:lang w:val="es-ES_tradnl"/>
        </w:rPr>
        <w:lastRenderedPageBreak/>
        <w:t xml:space="preserve">el procedimiento, por lo que no desaparece el fundamento jurídico de las normas reglamentarias que lo desarrollan.    </w:t>
      </w:r>
      <w:bookmarkEnd w:id="23"/>
    </w:p>
    <w:p w14:paraId="3977538E" w14:textId="281EEB43" w:rsidR="00736A4D" w:rsidRPr="00A10614" w:rsidRDefault="00736A4D" w:rsidP="00E242BA">
      <w:pPr>
        <w:tabs>
          <w:tab w:val="left" w:pos="709"/>
        </w:tabs>
        <w:spacing w:line="276" w:lineRule="auto"/>
        <w:jc w:val="both"/>
        <w:rPr>
          <w:rFonts w:ascii="Arial" w:hAnsi="Arial" w:cs="Arial"/>
          <w:bCs/>
          <w:color w:val="000000" w:themeColor="text1"/>
          <w:sz w:val="22"/>
          <w:szCs w:val="22"/>
          <w:lang w:val="es-ES_tradnl"/>
        </w:rPr>
      </w:pPr>
      <w:r w:rsidRPr="00A10614">
        <w:rPr>
          <w:rFonts w:ascii="Arial" w:eastAsia="Calibri" w:hAnsi="Arial" w:cs="Arial"/>
          <w:color w:val="000000" w:themeColor="text1"/>
          <w:sz w:val="22"/>
          <w:szCs w:val="22"/>
          <w:lang w:val="es-ES_tradnl"/>
        </w:rPr>
        <w:tab/>
      </w:r>
      <w:r w:rsidR="00720999" w:rsidRPr="00A10614">
        <w:rPr>
          <w:rFonts w:ascii="Arial" w:hAnsi="Arial" w:cs="Arial"/>
          <w:color w:val="000000" w:themeColor="text1"/>
          <w:sz w:val="22"/>
          <w:szCs w:val="22"/>
          <w:lang w:val="es-ES_tradnl"/>
        </w:rPr>
        <w:t xml:space="preserve">De esta manera, el grueso de </w:t>
      </w:r>
      <w:r w:rsidR="00720999" w:rsidRPr="00A10614">
        <w:rPr>
          <w:rFonts w:ascii="Arial" w:hAnsi="Arial" w:cs="Arial"/>
          <w:bCs/>
          <w:color w:val="000000" w:themeColor="text1"/>
          <w:sz w:val="22"/>
          <w:szCs w:val="22"/>
        </w:rPr>
        <w:t>los</w:t>
      </w:r>
      <w:r w:rsidR="00720999" w:rsidRPr="00A10614">
        <w:rPr>
          <w:rFonts w:ascii="Arial" w:hAnsi="Arial" w:cs="Arial"/>
          <w:color w:val="000000" w:themeColor="text1"/>
          <w:sz w:val="22"/>
          <w:szCs w:val="22"/>
          <w:lang w:val="es-ES_tradnl"/>
        </w:rPr>
        <w:t xml:space="preserve"> artículos 2.2.1.2.1.5.1 al 2.2.1.2.1.5.4 del Decreto 1082 de 2015 continúan vigentes bajo la vigencia del numeral 5 del artículo 2 de la Ley 1150 de 2007, modificado por el artículo 30 de la Ley de Emprendimiento. Esto con excepción del numeral 6 del artículo 2.2.1.2.1.5.2 y el numeral 3 del artículo 2.2.1.2.1.5.3 del Decreto Único Reglamentario del Sector Administrativo de Planeación Nacional, pues  son incompatibles con los factores de desempate del artículo 35 de la Ley 2069 de 2020</w:t>
      </w:r>
      <w:r w:rsidRPr="00A10614">
        <w:rPr>
          <w:rFonts w:ascii="Arial" w:eastAsia="Calibri" w:hAnsi="Arial" w:cs="Arial"/>
          <w:color w:val="000000" w:themeColor="text1"/>
          <w:sz w:val="22"/>
          <w:szCs w:val="22"/>
          <w:lang w:val="es-ES_tradnl"/>
        </w:rPr>
        <w:t xml:space="preserve">. </w:t>
      </w:r>
    </w:p>
    <w:bookmarkEnd w:id="22"/>
    <w:p w14:paraId="0BF87C7A" w14:textId="77777777" w:rsidR="00F93973" w:rsidRPr="00A10614" w:rsidRDefault="00F93973" w:rsidP="00F93973">
      <w:pPr>
        <w:ind w:right="709"/>
        <w:jc w:val="both"/>
        <w:rPr>
          <w:rFonts w:ascii="Arial" w:hAnsi="Arial" w:cs="Arial"/>
          <w:color w:val="000000" w:themeColor="text1"/>
          <w:sz w:val="21"/>
          <w:szCs w:val="21"/>
          <w:lang w:val="es-ES_tradnl"/>
        </w:rPr>
      </w:pPr>
    </w:p>
    <w:p w14:paraId="4A655E67" w14:textId="6B618A91" w:rsidR="00E774EE" w:rsidRPr="00A10614" w:rsidRDefault="0038196F" w:rsidP="00E774EE">
      <w:pPr>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t>«</w:t>
      </w:r>
      <w:r w:rsidR="00E774EE" w:rsidRPr="00A10614">
        <w:rPr>
          <w:rFonts w:ascii="Arial" w:hAnsi="Arial" w:cs="Arial"/>
          <w:color w:val="000000" w:themeColor="text1"/>
          <w:sz w:val="21"/>
          <w:szCs w:val="21"/>
          <w:lang w:val="es-ES_tradnl"/>
        </w:rPr>
        <w:t>¿Entendería entonces las entidades del estado que se requiere que el Gobierno nacional señale las particulares del procedimiento de mínima cuantía? (sic)</w:t>
      </w:r>
      <w:r w:rsidRPr="00A10614">
        <w:rPr>
          <w:rFonts w:ascii="Arial" w:hAnsi="Arial" w:cs="Arial"/>
          <w:color w:val="000000" w:themeColor="text1"/>
          <w:sz w:val="21"/>
          <w:szCs w:val="21"/>
          <w:lang w:val="es-ES_tradnl"/>
        </w:rPr>
        <w:t>»</w:t>
      </w:r>
    </w:p>
    <w:p w14:paraId="2DE35F13" w14:textId="02E7F97C" w:rsidR="00E774EE" w:rsidRPr="00A10614" w:rsidRDefault="00E774EE" w:rsidP="00E774EE">
      <w:pPr>
        <w:ind w:left="709" w:right="709"/>
        <w:jc w:val="both"/>
        <w:rPr>
          <w:rFonts w:ascii="Arial" w:hAnsi="Arial" w:cs="Arial"/>
          <w:color w:val="000000" w:themeColor="text1"/>
          <w:sz w:val="21"/>
          <w:szCs w:val="21"/>
          <w:lang w:val="es-ES_tradnl"/>
        </w:rPr>
      </w:pPr>
    </w:p>
    <w:p w14:paraId="41B09E83" w14:textId="29896A61" w:rsidR="00233106" w:rsidRPr="00A10614" w:rsidRDefault="00233106" w:rsidP="00233106">
      <w:pPr>
        <w:tabs>
          <w:tab w:val="left" w:pos="709"/>
        </w:tabs>
        <w:spacing w:after="120" w:line="276" w:lineRule="auto"/>
        <w:jc w:val="both"/>
        <w:rPr>
          <w:rFonts w:ascii="Arial" w:eastAsia="Calibri" w:hAnsi="Arial" w:cs="Arial"/>
          <w:bCs/>
          <w:color w:val="000000" w:themeColor="text1"/>
          <w:sz w:val="22"/>
          <w:lang w:val="es-ES_tradnl"/>
        </w:rPr>
      </w:pPr>
      <w:r w:rsidRPr="00A10614">
        <w:rPr>
          <w:rFonts w:ascii="Arial" w:eastAsia="Calibri" w:hAnsi="Arial" w:cs="Arial"/>
          <w:bCs/>
          <w:color w:val="000000" w:themeColor="text1"/>
          <w:sz w:val="22"/>
          <w:lang w:val="es-ES_tradnl"/>
        </w:rPr>
        <w:t>Las entidades estatales deben aplicar actualmente el artículo 30 de la Ley 2069 de 2020 para adelantar el procedimiento de mínima cuantía, pues dicha disposición normativa define aspectos generales de aquel, como: i) el término mínimo para publicar la invitación, ii) el plazo mínimo de recepción de las ofertas, iii) el factor de evaluación que determina la selección del proponente y iv) el perfeccionamiento del contrato. Por lo tanto, las entidades estatales deben estructurar sus procedimientos de selección de acuerdo con estos parámetros, los cuales tienen una aplicación inmediata sin que el reglamento condicione s</w:t>
      </w:r>
      <w:r w:rsidR="00065490">
        <w:rPr>
          <w:rFonts w:ascii="Arial" w:eastAsia="Calibri" w:hAnsi="Arial" w:cs="Arial"/>
          <w:bCs/>
          <w:color w:val="000000" w:themeColor="text1"/>
          <w:sz w:val="22"/>
          <w:lang w:val="es-ES_tradnl"/>
        </w:rPr>
        <w:t>u</w:t>
      </w:r>
      <w:r w:rsidRPr="00A10614">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A10614">
        <w:rPr>
          <w:rFonts w:ascii="Arial" w:eastAsia="Calibri" w:hAnsi="Arial" w:cs="Arial"/>
          <w:bCs/>
          <w:color w:val="000000" w:themeColor="text1"/>
          <w:sz w:val="22"/>
          <w:lang w:val="es-ES_tradnl"/>
        </w:rPr>
        <w:t>mipymes</w:t>
      </w:r>
      <w:proofErr w:type="spellEnd"/>
      <w:r w:rsidRPr="00A10614">
        <w:rPr>
          <w:rFonts w:ascii="Arial" w:eastAsia="Calibri" w:hAnsi="Arial" w:cs="Arial"/>
          <w:bCs/>
          <w:color w:val="000000" w:themeColor="text1"/>
          <w:sz w:val="22"/>
          <w:lang w:val="es-ES_tradnl"/>
        </w:rPr>
        <w:t xml:space="preserve"> o establecimientos que correspondan a la definición de «gran almacén». </w:t>
      </w:r>
    </w:p>
    <w:p w14:paraId="6DF17AA9" w14:textId="76205296" w:rsidR="0038196F" w:rsidRPr="00A10614" w:rsidRDefault="00233106" w:rsidP="0038196F">
      <w:pPr>
        <w:tabs>
          <w:tab w:val="left" w:pos="709"/>
        </w:tabs>
        <w:spacing w:line="276" w:lineRule="auto"/>
        <w:jc w:val="both"/>
        <w:rPr>
          <w:rFonts w:ascii="Arial" w:eastAsia="Calibri" w:hAnsi="Arial" w:cs="Arial"/>
          <w:bCs/>
          <w:color w:val="000000" w:themeColor="text1"/>
          <w:sz w:val="22"/>
          <w:szCs w:val="22"/>
          <w:lang w:val="es-ES_tradnl"/>
        </w:rPr>
      </w:pPr>
      <w:r w:rsidRPr="00A10614">
        <w:rPr>
          <w:rFonts w:ascii="Arial" w:hAnsi="Arial" w:cs="Arial"/>
          <w:color w:val="000000" w:themeColor="text1"/>
          <w:sz w:val="22"/>
          <w:szCs w:val="22"/>
          <w:lang w:val="es-ES_tradnl"/>
        </w:rPr>
        <w:tab/>
        <w:t xml:space="preserve">En todo caso, conforme a la respuesta anterior, se reitera que </w:t>
      </w:r>
      <w:bookmarkStart w:id="24" w:name="_Hlk69580780"/>
      <w:r w:rsidRPr="00A10614">
        <w:rPr>
          <w:rFonts w:ascii="Arial" w:hAnsi="Arial" w:cs="Arial"/>
          <w:color w:val="000000" w:themeColor="text1"/>
          <w:sz w:val="22"/>
          <w:szCs w:val="22"/>
          <w:lang w:val="es-ES_tradnl"/>
        </w:rPr>
        <w:t>el grueso de</w:t>
      </w:r>
      <w:r w:rsidRPr="00A10614">
        <w:rPr>
          <w:rFonts w:ascii="Arial" w:eastAsia="Calibri" w:hAnsi="Arial" w:cs="Arial"/>
          <w:color w:val="000000" w:themeColor="text1"/>
          <w:sz w:val="22"/>
          <w:szCs w:val="22"/>
          <w:lang w:val="es-ES_tradnl"/>
        </w:rPr>
        <w:t xml:space="preserve"> </w:t>
      </w:r>
      <w:r w:rsidRPr="00A10614">
        <w:rPr>
          <w:rFonts w:ascii="Arial" w:eastAsia="Calibri" w:hAnsi="Arial" w:cs="Arial"/>
          <w:bCs/>
          <w:color w:val="000000" w:themeColor="text1"/>
          <w:sz w:val="22"/>
        </w:rPr>
        <w:t>los</w:t>
      </w:r>
      <w:r w:rsidRPr="00A10614">
        <w:rPr>
          <w:rFonts w:ascii="Arial" w:eastAsia="Calibri" w:hAnsi="Arial" w:cs="Arial"/>
          <w:color w:val="000000" w:themeColor="text1"/>
          <w:sz w:val="22"/>
          <w:szCs w:val="22"/>
          <w:lang w:val="es-ES_tradnl"/>
        </w:rPr>
        <w:t xml:space="preserve"> artículos 2.2.1.2.1.5.1 al 2.2.1.2.1.5.4 del Decreto 1082 de 2015 continúan vigentes bajo la vigencia del numeral 5 del artículo 2 de la Ley 1150 de 2007, modificado por el artículo 30 de la Ley de Emprendimiento. Esto con excepción </w:t>
      </w:r>
      <w:r w:rsidRPr="00A10614">
        <w:rPr>
          <w:rFonts w:ascii="Arial" w:hAnsi="Arial" w:cs="Arial"/>
          <w:color w:val="000000" w:themeColor="text1"/>
          <w:sz w:val="22"/>
          <w:szCs w:val="22"/>
          <w:lang w:val="es-ES_tradnl"/>
        </w:rPr>
        <w:t>de</w:t>
      </w:r>
      <w:r w:rsidRPr="00A10614">
        <w:rPr>
          <w:rFonts w:ascii="Arial" w:eastAsia="Calibri" w:hAnsi="Arial" w:cs="Arial"/>
          <w:color w:val="000000" w:themeColor="text1"/>
          <w:sz w:val="22"/>
          <w:szCs w:val="22"/>
          <w:lang w:val="es-ES_tradnl"/>
        </w:rPr>
        <w:t>l numeral 6 del artículo 2.2.1.2.1.5.2 y el numeral 3 del artículo 2.2.1.2.1.5.3 del Decreto Único Reglamentario del Sector Administrativo de Planeación Nacional, pues son incompatibles con los factores de desempate del artículo 35 de la Ley 2069 de 2020</w:t>
      </w:r>
      <w:bookmarkEnd w:id="24"/>
      <w:r w:rsidR="0038196F" w:rsidRPr="00A10614">
        <w:rPr>
          <w:rFonts w:ascii="Arial" w:eastAsia="Calibri" w:hAnsi="Arial" w:cs="Arial"/>
          <w:bCs/>
          <w:color w:val="000000" w:themeColor="text1"/>
          <w:sz w:val="22"/>
          <w:szCs w:val="22"/>
          <w:lang w:val="es-ES_tradnl"/>
        </w:rPr>
        <w:t>.</w:t>
      </w:r>
    </w:p>
    <w:p w14:paraId="185AC984" w14:textId="77777777" w:rsidR="0038196F" w:rsidRPr="00A10614" w:rsidRDefault="0038196F" w:rsidP="00E774EE">
      <w:pPr>
        <w:ind w:left="709" w:right="709"/>
        <w:jc w:val="both"/>
        <w:rPr>
          <w:rFonts w:ascii="Arial" w:hAnsi="Arial" w:cs="Arial"/>
          <w:color w:val="000000" w:themeColor="text1"/>
          <w:sz w:val="21"/>
          <w:szCs w:val="21"/>
          <w:lang w:val="es-ES_tradnl"/>
        </w:rPr>
      </w:pPr>
    </w:p>
    <w:p w14:paraId="075F4951" w14:textId="1D480C51" w:rsidR="00E774EE" w:rsidRPr="00A10614" w:rsidRDefault="00DA4F7B" w:rsidP="00E242BA">
      <w:pPr>
        <w:spacing w:after="120"/>
        <w:ind w:left="709" w:right="709"/>
        <w:jc w:val="both"/>
        <w:rPr>
          <w:rFonts w:ascii="Arial" w:hAnsi="Arial" w:cs="Arial"/>
          <w:color w:val="000000" w:themeColor="text1"/>
          <w:sz w:val="21"/>
          <w:szCs w:val="21"/>
          <w:lang w:val="es-ES_tradnl"/>
        </w:rPr>
      </w:pPr>
      <w:r w:rsidRPr="00A10614">
        <w:rPr>
          <w:rFonts w:ascii="Arial" w:hAnsi="Arial" w:cs="Arial"/>
          <w:color w:val="000000" w:themeColor="text1"/>
          <w:sz w:val="21"/>
          <w:szCs w:val="21"/>
          <w:lang w:val="es-ES_tradnl"/>
        </w:rPr>
        <w:t>«</w:t>
      </w:r>
      <w:r w:rsidR="00E774EE" w:rsidRPr="00A10614">
        <w:rPr>
          <w:rFonts w:ascii="Arial" w:hAnsi="Arial" w:cs="Arial"/>
          <w:color w:val="000000" w:themeColor="text1"/>
          <w:sz w:val="21"/>
          <w:szCs w:val="21"/>
          <w:lang w:val="es-ES_tradnl"/>
        </w:rPr>
        <w:t>¿Aplicaría entonces para la mínima cuantía los criterios de desempate que tiene la Ley 2069 de 2020?</w:t>
      </w:r>
    </w:p>
    <w:p w14:paraId="6D8C4C17" w14:textId="77777777" w:rsidR="00E774EE" w:rsidRPr="00A10614" w:rsidRDefault="00E774EE" w:rsidP="00E774EE">
      <w:pPr>
        <w:ind w:left="709" w:right="709"/>
        <w:jc w:val="both"/>
        <w:rPr>
          <w:rFonts w:ascii="Arial" w:hAnsi="Arial" w:cs="Arial"/>
          <w:color w:val="000000" w:themeColor="text1"/>
          <w:sz w:val="21"/>
          <w:szCs w:val="21"/>
        </w:rPr>
      </w:pPr>
      <w:r w:rsidRPr="00A10614">
        <w:rPr>
          <w:rFonts w:ascii="Arial" w:hAnsi="Arial" w:cs="Arial"/>
          <w:color w:val="000000" w:themeColor="text1"/>
          <w:sz w:val="21"/>
          <w:szCs w:val="21"/>
          <w:lang w:val="es-ES_tradnl"/>
        </w:rPr>
        <w:t>»Tendría la obligación la entidad de evaluar a todos y a cada uno de los oferentes participantes en un proceso y de los mismos seleccionar a propuesta con el menor precio, siempre y cuando cumpla con las condiciones exigidas, sin que sea la evaluación en forma sucesiva?</w:t>
      </w:r>
      <w:r w:rsidRPr="00A10614">
        <w:rPr>
          <w:rFonts w:ascii="Arial" w:hAnsi="Arial" w:cs="Arial"/>
          <w:color w:val="000000" w:themeColor="text1"/>
          <w:sz w:val="21"/>
          <w:szCs w:val="21"/>
        </w:rPr>
        <w:t>».</w:t>
      </w:r>
    </w:p>
    <w:p w14:paraId="4BBDF7A1" w14:textId="77777777" w:rsidR="00E774EE" w:rsidRPr="00A10614" w:rsidRDefault="00E774EE" w:rsidP="00510DE9">
      <w:pPr>
        <w:tabs>
          <w:tab w:val="left" w:pos="0"/>
        </w:tabs>
        <w:jc w:val="both"/>
        <w:rPr>
          <w:rFonts w:ascii="Arial" w:eastAsia="Calibri" w:hAnsi="Arial" w:cs="Arial"/>
          <w:color w:val="000000" w:themeColor="text1"/>
          <w:sz w:val="22"/>
        </w:rPr>
      </w:pPr>
    </w:p>
    <w:p w14:paraId="7F4ED5CB" w14:textId="77777777" w:rsidR="00DA4F7B" w:rsidRPr="00A10614" w:rsidRDefault="00DA4F7B" w:rsidP="00DA4F7B">
      <w:pPr>
        <w:spacing w:line="276" w:lineRule="auto"/>
        <w:jc w:val="both"/>
        <w:rPr>
          <w:rFonts w:ascii="Arial" w:eastAsia="Calibri" w:hAnsi="Arial" w:cs="Arial"/>
          <w:color w:val="000000" w:themeColor="text1"/>
          <w:sz w:val="22"/>
          <w:szCs w:val="22"/>
          <w:lang w:val="es-ES_tradnl"/>
        </w:rPr>
      </w:pPr>
      <w:r w:rsidRPr="00A10614">
        <w:rPr>
          <w:rFonts w:ascii="Arial" w:eastAsia="Calibri" w:hAnsi="Arial" w:cs="Arial"/>
          <w:color w:val="000000" w:themeColor="text1"/>
          <w:sz w:val="22"/>
          <w:szCs w:val="22"/>
          <w:lang w:val="es-ES_tradnl"/>
        </w:rPr>
        <w:t xml:space="preserve">El artículo 35 de la Ley 2069 de 2020, que modifica el régimen de los factores de desempate en la contratación estatal, se encuentra vigente y goza de aplicación directa desde la fecha </w:t>
      </w:r>
      <w:r w:rsidRPr="00A10614">
        <w:rPr>
          <w:rFonts w:ascii="Arial" w:eastAsia="Calibri" w:hAnsi="Arial" w:cs="Arial"/>
          <w:color w:val="000000" w:themeColor="text1"/>
          <w:sz w:val="22"/>
          <w:szCs w:val="22"/>
          <w:lang w:val="es-ES_tradnl"/>
        </w:rPr>
        <w:lastRenderedPageBreak/>
        <w:t>de su promulgación, es decir, no requiere de una reglamentación previa como presupuesto para su eficacia. Estos criterios de desempate actualmente</w:t>
      </w:r>
      <w:r w:rsidRPr="00A10614" w:rsidDel="0018007F">
        <w:rPr>
          <w:rFonts w:ascii="Arial" w:eastAsia="Calibri" w:hAnsi="Arial" w:cs="Arial"/>
          <w:color w:val="000000" w:themeColor="text1"/>
          <w:sz w:val="22"/>
          <w:szCs w:val="22"/>
          <w:lang w:val="es-ES_tradnl"/>
        </w:rPr>
        <w:t xml:space="preserve"> </w:t>
      </w:r>
      <w:r w:rsidRPr="00A10614">
        <w:rPr>
          <w:rFonts w:ascii="Arial" w:eastAsia="Calibri" w:hAnsi="Arial" w:cs="Arial"/>
          <w:color w:val="000000" w:themeColor="text1"/>
          <w:sz w:val="22"/>
          <w:szCs w:val="22"/>
          <w:lang w:val="es-ES_tradnl"/>
        </w:rPr>
        <w:t>son aplicables a todas las entidades estatales, independientemente de su régimen de contratación.</w:t>
      </w:r>
    </w:p>
    <w:p w14:paraId="0E6CD0D9" w14:textId="77777777" w:rsidR="00DA4F7B" w:rsidRPr="00A10614" w:rsidRDefault="00DA4F7B" w:rsidP="00DA4F7B">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Además, si bien los factores de desempate regulados en el artículo 35 deben aplicarse «</w:t>
      </w:r>
      <w:r w:rsidRPr="00A10614">
        <w:rPr>
          <w:rFonts w:ascii="Arial" w:hAnsi="Arial" w:cs="Arial"/>
          <w:sz w:val="22"/>
          <w:szCs w:val="22"/>
          <w:lang w:val="es-ES_tradnl"/>
        </w:rPr>
        <w:t xml:space="preserve">[…] </w:t>
      </w:r>
      <w:r w:rsidRPr="00A10614">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7F94D14C" w14:textId="77777777" w:rsidR="00DA4F7B" w:rsidRPr="00A10614" w:rsidRDefault="00DA4F7B" w:rsidP="00DA4F7B">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w:t>
      </w:r>
    </w:p>
    <w:p w14:paraId="0B2E40DB" w14:textId="77777777" w:rsidR="00DA4F7B" w:rsidRPr="00A10614" w:rsidRDefault="00DA4F7B" w:rsidP="00DA4F7B">
      <w:pPr>
        <w:spacing w:before="120" w:line="276" w:lineRule="auto"/>
        <w:ind w:firstLine="709"/>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A10614">
        <w:rPr>
          <w:rFonts w:ascii="Arial" w:hAnsi="Arial" w:cs="Arial"/>
          <w:i/>
          <w:iCs/>
          <w:color w:val="000000" w:themeColor="text1"/>
          <w:sz w:val="22"/>
          <w:szCs w:val="22"/>
          <w:lang w:val="es-ES_tradnl"/>
        </w:rPr>
        <w:t>secundum</w:t>
      </w:r>
      <w:proofErr w:type="spellEnd"/>
      <w:r w:rsidRPr="00A10614">
        <w:rPr>
          <w:rFonts w:ascii="Arial" w:hAnsi="Arial" w:cs="Arial"/>
          <w:i/>
          <w:iCs/>
          <w:color w:val="000000" w:themeColor="text1"/>
          <w:sz w:val="22"/>
          <w:szCs w:val="22"/>
          <w:lang w:val="es-ES_tradnl"/>
        </w:rPr>
        <w:t xml:space="preserve"> </w:t>
      </w:r>
      <w:proofErr w:type="spellStart"/>
      <w:r w:rsidRPr="00A10614">
        <w:rPr>
          <w:rFonts w:ascii="Arial" w:hAnsi="Arial" w:cs="Arial"/>
          <w:i/>
          <w:iCs/>
          <w:color w:val="000000" w:themeColor="text1"/>
          <w:sz w:val="22"/>
          <w:szCs w:val="22"/>
          <w:lang w:val="es-ES_tradnl"/>
        </w:rPr>
        <w:t>legem</w:t>
      </w:r>
      <w:proofErr w:type="spellEnd"/>
      <w:r w:rsidRPr="00A10614">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087AC8EF" w14:textId="77777777" w:rsidR="00DA4F7B" w:rsidRPr="00A10614" w:rsidRDefault="00DA4F7B" w:rsidP="00DA4F7B">
      <w:pPr>
        <w:spacing w:before="120" w:line="276" w:lineRule="auto"/>
        <w:ind w:firstLine="709"/>
        <w:jc w:val="both"/>
        <w:rPr>
          <w:rFonts w:ascii="Arial" w:hAnsi="Arial" w:cs="Arial"/>
          <w:color w:val="000000" w:themeColor="text1"/>
          <w:sz w:val="22"/>
          <w:szCs w:val="22"/>
          <w:lang w:val="es-ES_tradnl"/>
        </w:rPr>
      </w:pPr>
      <w:bookmarkStart w:id="25" w:name="_Hlk64308251"/>
      <w:r w:rsidRPr="00A10614">
        <w:rPr>
          <w:rFonts w:ascii="Arial" w:hAnsi="Arial" w:cs="Arial"/>
          <w:color w:val="000000" w:themeColor="text1"/>
          <w:sz w:val="22"/>
          <w:szCs w:val="22"/>
          <w:lang w:val="es-ES_tradnl"/>
        </w:rPr>
        <w:t xml:space="preserve">Lo explicado en los párrafos precedentes también aplica </w:t>
      </w:r>
      <w:r w:rsidRPr="00A10614">
        <w:rPr>
          <w:rFonts w:ascii="Arial" w:hAnsi="Arial" w:cs="Arial"/>
          <w:i/>
          <w:iCs/>
          <w:color w:val="000000" w:themeColor="text1"/>
          <w:sz w:val="22"/>
          <w:szCs w:val="22"/>
          <w:lang w:val="es-ES_tradnl"/>
        </w:rPr>
        <w:t>mutatis mutandis</w:t>
      </w:r>
      <w:r w:rsidRPr="00A10614">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transversal al sistema de compras y contratación pública, el artículo 35 de la Ley 2069 de 2020 es aplicable al procedimiento de mínima cuantía, presentándose tanto la derogación </w:t>
      </w:r>
      <w:r w:rsidRPr="00A10614">
        <w:rPr>
          <w:rFonts w:ascii="Arial" w:hAnsi="Arial" w:cs="Arial"/>
          <w:color w:val="000000" w:themeColor="text1"/>
          <w:sz w:val="22"/>
          <w:szCs w:val="22"/>
          <w:lang w:val="es-ES_tradnl"/>
        </w:rPr>
        <w:lastRenderedPageBreak/>
        <w:t xml:space="preserve">como el decaimiento de los criterios de desempate previstos en el Decreto 1082 de 2015 para esta modalidad de selección.         </w:t>
      </w:r>
    </w:p>
    <w:bookmarkEnd w:id="25"/>
    <w:p w14:paraId="3AD2F734" w14:textId="77777777" w:rsidR="00083452" w:rsidRPr="00A10614" w:rsidRDefault="00083452" w:rsidP="00E242BA">
      <w:pPr>
        <w:spacing w:after="120"/>
        <w:ind w:right="709"/>
        <w:jc w:val="both"/>
        <w:rPr>
          <w:rFonts w:ascii="Arial" w:hAnsi="Arial" w:cs="Arial"/>
          <w:color w:val="000000" w:themeColor="text1"/>
          <w:sz w:val="21"/>
          <w:szCs w:val="21"/>
          <w:lang w:val="es-ES_tradnl"/>
        </w:rPr>
      </w:pPr>
    </w:p>
    <w:p w14:paraId="7B2C921D" w14:textId="0383AF9A" w:rsidR="00DD5B04" w:rsidRPr="00A10614" w:rsidRDefault="00DD5B04" w:rsidP="00DF76A2">
      <w:pPr>
        <w:spacing w:line="276" w:lineRule="auto"/>
        <w:jc w:val="both"/>
        <w:rPr>
          <w:rFonts w:ascii="Arial" w:hAnsi="Arial" w:cs="Arial"/>
          <w:color w:val="000000" w:themeColor="text1"/>
          <w:sz w:val="22"/>
          <w:lang w:val="es-ES_tradnl"/>
        </w:rPr>
      </w:pPr>
      <w:r w:rsidRPr="00A10614">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1061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1061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10614">
        <w:rPr>
          <w:rFonts w:ascii="Arial" w:hAnsi="Arial" w:cs="Arial"/>
          <w:color w:val="000000" w:themeColor="text1"/>
          <w:sz w:val="22"/>
          <w:szCs w:val="22"/>
          <w:lang w:val="es-ES_tradnl"/>
        </w:rPr>
        <w:t>Atentamente,</w:t>
      </w:r>
    </w:p>
    <w:p w14:paraId="692FC307" w14:textId="210AA6B5" w:rsidR="00921304" w:rsidRPr="00A10614"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669FDAD" w:rsidR="00921304" w:rsidRPr="00A10614" w:rsidRDefault="00E5448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B35AB91" wp14:editId="7503ABB8">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10614" w:rsidRDefault="00425C43" w:rsidP="00B37657">
      <w:pPr>
        <w:jc w:val="center"/>
        <w:rPr>
          <w:rFonts w:ascii="Arial" w:hAnsi="Arial" w:cs="Arial"/>
          <w:color w:val="000000" w:themeColor="text1"/>
          <w:sz w:val="18"/>
          <w:szCs w:val="20"/>
          <w:lang w:val="es-ES_tradnl" w:eastAsia="es-CO"/>
        </w:rPr>
      </w:pPr>
    </w:p>
    <w:p w14:paraId="49730030" w14:textId="217D35F3" w:rsidR="00DD5B04" w:rsidRPr="00A10614"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10614" w14:paraId="0C7DC5F7" w14:textId="77777777" w:rsidTr="00083F1B">
        <w:trPr>
          <w:trHeight w:val="315"/>
        </w:trPr>
        <w:tc>
          <w:tcPr>
            <w:tcW w:w="812" w:type="dxa"/>
            <w:vAlign w:val="center"/>
            <w:hideMark/>
          </w:tcPr>
          <w:p w14:paraId="5BDB1AC9" w14:textId="77777777" w:rsidR="00DD5B04" w:rsidRPr="00A10614" w:rsidRDefault="00DD5B04" w:rsidP="00DF76A2">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10614" w:rsidRDefault="00DD5B04" w:rsidP="00DF76A2">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Cristian Andrés Díaz Díez</w:t>
            </w:r>
          </w:p>
          <w:p w14:paraId="240C71FD" w14:textId="31312C95" w:rsidR="00DD5B04" w:rsidRPr="00A10614" w:rsidRDefault="00DD5B04" w:rsidP="00DF76A2">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Contratista</w:t>
            </w:r>
            <w:r w:rsidR="00FF0050" w:rsidRPr="00A10614">
              <w:rPr>
                <w:rFonts w:ascii="Arial" w:hAnsi="Arial" w:cs="Arial"/>
                <w:color w:val="000000" w:themeColor="text1"/>
                <w:sz w:val="16"/>
                <w:szCs w:val="16"/>
                <w:lang w:val="es-ES_tradnl" w:eastAsia="es-ES"/>
              </w:rPr>
              <w:t xml:space="preserve"> de la </w:t>
            </w:r>
            <w:r w:rsidRPr="00A10614">
              <w:rPr>
                <w:rFonts w:ascii="Arial" w:hAnsi="Arial" w:cs="Arial"/>
                <w:color w:val="000000" w:themeColor="text1"/>
                <w:sz w:val="16"/>
                <w:szCs w:val="16"/>
                <w:lang w:val="es-ES_tradnl" w:eastAsia="es-ES"/>
              </w:rPr>
              <w:t>Subdirección de Gestión Contractual</w:t>
            </w:r>
          </w:p>
        </w:tc>
      </w:tr>
      <w:tr w:rsidR="00DD5B04" w:rsidRPr="00A10614" w14:paraId="2F8FD650" w14:textId="77777777" w:rsidTr="00083F1B">
        <w:trPr>
          <w:trHeight w:val="330"/>
        </w:trPr>
        <w:tc>
          <w:tcPr>
            <w:tcW w:w="812" w:type="dxa"/>
            <w:vAlign w:val="center"/>
            <w:hideMark/>
          </w:tcPr>
          <w:p w14:paraId="50203A0B" w14:textId="77777777" w:rsidR="00DD5B04" w:rsidRPr="00A10614" w:rsidRDefault="00DD5B04" w:rsidP="00DF76A2">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A10614" w:rsidRDefault="00995B3A" w:rsidP="00995B3A">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Juan David Montoya Penagos</w:t>
            </w:r>
          </w:p>
          <w:p w14:paraId="130B3228" w14:textId="174BE431" w:rsidR="00DD5B04" w:rsidRPr="00A10614" w:rsidRDefault="00995B3A" w:rsidP="00995B3A">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Gestor T1-15 de la Subdirección de Gestión Contractual</w:t>
            </w:r>
          </w:p>
        </w:tc>
      </w:tr>
      <w:tr w:rsidR="00DD5B04" w:rsidRPr="00A43C00" w14:paraId="0FCBCA4A" w14:textId="77777777" w:rsidTr="00083F1B">
        <w:trPr>
          <w:trHeight w:val="300"/>
        </w:trPr>
        <w:tc>
          <w:tcPr>
            <w:tcW w:w="812" w:type="dxa"/>
            <w:vAlign w:val="center"/>
            <w:hideMark/>
          </w:tcPr>
          <w:p w14:paraId="3C1D943A" w14:textId="77777777" w:rsidR="00DD5B04" w:rsidRPr="00A10614" w:rsidRDefault="00DD5B04" w:rsidP="00DF76A2">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A10614" w:rsidRDefault="00134E7E" w:rsidP="00134E7E">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A10614">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19FD0" w14:textId="77777777" w:rsidR="009A57F9" w:rsidRDefault="009A57F9">
      <w:r>
        <w:separator/>
      </w:r>
    </w:p>
  </w:endnote>
  <w:endnote w:type="continuationSeparator" w:id="0">
    <w:p w14:paraId="0F2E286E" w14:textId="77777777" w:rsidR="009A57F9" w:rsidRDefault="009A57F9">
      <w:r>
        <w:continuationSeparator/>
      </w:r>
    </w:p>
  </w:endnote>
  <w:endnote w:type="continuationNotice" w:id="1">
    <w:p w14:paraId="220F42FF" w14:textId="77777777" w:rsidR="009A57F9" w:rsidRDefault="009A5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03489" w14:textId="77777777" w:rsidR="009A57F9" w:rsidRDefault="009A57F9">
      <w:r>
        <w:separator/>
      </w:r>
    </w:p>
  </w:footnote>
  <w:footnote w:type="continuationSeparator" w:id="0">
    <w:p w14:paraId="4F98A3AD" w14:textId="77777777" w:rsidR="009A57F9" w:rsidRDefault="009A57F9">
      <w:r>
        <w:continuationSeparator/>
      </w:r>
    </w:p>
  </w:footnote>
  <w:footnote w:type="continuationNotice" w:id="1">
    <w:p w14:paraId="04EA24F6" w14:textId="77777777" w:rsidR="009A57F9" w:rsidRDefault="009A57F9"/>
  </w:footnote>
  <w:footnote w:id="2">
    <w:p w14:paraId="0E4DF341" w14:textId="77777777" w:rsidR="00796905" w:rsidRPr="00294514" w:rsidRDefault="00796905"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Consejo de Estado. Sección Tercera. Sentencia del 29 de octubre de 2.015. Consejera Ponente: Stella Conto Díaz Del Castillo. Expediente: 31.918.</w:t>
      </w:r>
    </w:p>
    <w:p w14:paraId="5F79BCCF" w14:textId="77777777" w:rsidR="00796905" w:rsidRPr="00294514" w:rsidRDefault="00796905" w:rsidP="00294514">
      <w:pPr>
        <w:pStyle w:val="Textonotapie"/>
        <w:ind w:firstLine="709"/>
        <w:jc w:val="both"/>
        <w:rPr>
          <w:rFonts w:ascii="Arial" w:hAnsi="Arial" w:cs="Arial"/>
          <w:sz w:val="19"/>
          <w:szCs w:val="19"/>
          <w:lang w:val="es-ES"/>
        </w:rPr>
      </w:pPr>
    </w:p>
  </w:footnote>
  <w:footnote w:id="3">
    <w:p w14:paraId="5C4D3F61" w14:textId="77777777" w:rsidR="00796905" w:rsidRPr="00294514" w:rsidRDefault="00796905"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Corte Constitucional. Sentencia T-684A del 14 de septiembre de 2011. Magistrado Ponente: Mauricio González Cuervo.</w:t>
      </w:r>
    </w:p>
    <w:p w14:paraId="1A855D3C" w14:textId="77777777" w:rsidR="00796905" w:rsidRPr="00294514" w:rsidRDefault="00796905" w:rsidP="00294514">
      <w:pPr>
        <w:pStyle w:val="Textonotapie"/>
        <w:ind w:firstLine="709"/>
        <w:jc w:val="both"/>
        <w:rPr>
          <w:rFonts w:ascii="Arial" w:hAnsi="Arial" w:cs="Arial"/>
          <w:sz w:val="19"/>
          <w:szCs w:val="19"/>
          <w:lang w:val="es-ES"/>
        </w:rPr>
      </w:pPr>
    </w:p>
  </w:footnote>
  <w:footnote w:id="4">
    <w:p w14:paraId="095676FB" w14:textId="77777777" w:rsidR="00796905" w:rsidRPr="00294514" w:rsidRDefault="00796905"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51F26CA" w14:textId="77777777" w:rsidR="00796905" w:rsidRPr="00294514" w:rsidRDefault="00796905" w:rsidP="00294514">
      <w:pPr>
        <w:pStyle w:val="Textonotapie"/>
        <w:ind w:firstLine="709"/>
        <w:jc w:val="both"/>
        <w:rPr>
          <w:rFonts w:ascii="Arial" w:hAnsi="Arial" w:cs="Arial"/>
          <w:sz w:val="19"/>
          <w:szCs w:val="19"/>
          <w:lang w:val="es-CO"/>
        </w:rPr>
      </w:pPr>
    </w:p>
  </w:footnote>
  <w:footnote w:id="5">
    <w:p w14:paraId="1ED7CA86" w14:textId="77777777" w:rsidR="009A0F66" w:rsidRPr="00294514" w:rsidRDefault="009A0F66"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Artículos 2 al 29.</w:t>
      </w:r>
    </w:p>
    <w:p w14:paraId="57813518" w14:textId="77777777" w:rsidR="009A0F66" w:rsidRPr="00294514" w:rsidRDefault="009A0F66" w:rsidP="00294514">
      <w:pPr>
        <w:pStyle w:val="Textonotapie"/>
        <w:ind w:firstLine="709"/>
        <w:jc w:val="both"/>
        <w:rPr>
          <w:rFonts w:ascii="Arial" w:hAnsi="Arial" w:cs="Arial"/>
          <w:sz w:val="19"/>
          <w:szCs w:val="19"/>
          <w:lang w:val="es-ES"/>
        </w:rPr>
      </w:pPr>
    </w:p>
  </w:footnote>
  <w:footnote w:id="6">
    <w:p w14:paraId="12DEBF53" w14:textId="77777777" w:rsidR="009A0F66" w:rsidRPr="00294514" w:rsidRDefault="009A0F66"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Artículos 30 al 36.</w:t>
      </w:r>
    </w:p>
    <w:p w14:paraId="065E9252" w14:textId="77777777" w:rsidR="009A0F66" w:rsidRPr="00294514" w:rsidRDefault="009A0F66" w:rsidP="00294514">
      <w:pPr>
        <w:pStyle w:val="Textonotapie"/>
        <w:ind w:firstLine="709"/>
        <w:jc w:val="both"/>
        <w:rPr>
          <w:rFonts w:ascii="Arial" w:hAnsi="Arial" w:cs="Arial"/>
          <w:sz w:val="19"/>
          <w:szCs w:val="19"/>
          <w:lang w:val="es-ES"/>
        </w:rPr>
      </w:pPr>
    </w:p>
  </w:footnote>
  <w:footnote w:id="7">
    <w:p w14:paraId="75200BFB" w14:textId="77777777" w:rsidR="009A0F66" w:rsidRPr="00294514" w:rsidRDefault="009A0F66"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Artículos 37 al 45.</w:t>
      </w:r>
    </w:p>
    <w:p w14:paraId="6978A53A" w14:textId="77777777" w:rsidR="009A0F66" w:rsidRPr="00294514" w:rsidRDefault="009A0F66" w:rsidP="00294514">
      <w:pPr>
        <w:pStyle w:val="Textonotapie"/>
        <w:ind w:firstLine="709"/>
        <w:jc w:val="both"/>
        <w:rPr>
          <w:rFonts w:ascii="Arial" w:hAnsi="Arial" w:cs="Arial"/>
          <w:sz w:val="19"/>
          <w:szCs w:val="19"/>
          <w:lang w:val="es-ES"/>
        </w:rPr>
      </w:pPr>
    </w:p>
  </w:footnote>
  <w:footnote w:id="8">
    <w:p w14:paraId="54678473" w14:textId="77777777" w:rsidR="009A0F66" w:rsidRPr="00294514" w:rsidRDefault="009A0F66"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Artículos 46 al 73.</w:t>
      </w:r>
    </w:p>
    <w:p w14:paraId="22511C93" w14:textId="77777777" w:rsidR="009A0F66" w:rsidRPr="00294514" w:rsidRDefault="009A0F66" w:rsidP="00294514">
      <w:pPr>
        <w:pStyle w:val="Textonotapie"/>
        <w:ind w:firstLine="709"/>
        <w:jc w:val="both"/>
        <w:rPr>
          <w:rFonts w:ascii="Arial" w:hAnsi="Arial" w:cs="Arial"/>
          <w:sz w:val="19"/>
          <w:szCs w:val="19"/>
          <w:lang w:val="es-ES"/>
        </w:rPr>
      </w:pPr>
    </w:p>
  </w:footnote>
  <w:footnote w:id="9">
    <w:p w14:paraId="1CC2035A" w14:textId="77777777" w:rsidR="009A0F66" w:rsidRPr="00294514" w:rsidRDefault="009A0F66"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Artículos 74 al 83.</w:t>
      </w:r>
    </w:p>
    <w:p w14:paraId="5A076644" w14:textId="77777777" w:rsidR="009A0F66" w:rsidRPr="00294514" w:rsidRDefault="009A0F66" w:rsidP="00294514">
      <w:pPr>
        <w:pStyle w:val="Textonotapie"/>
        <w:ind w:firstLine="709"/>
        <w:jc w:val="both"/>
        <w:rPr>
          <w:rFonts w:ascii="Arial" w:hAnsi="Arial" w:cs="Arial"/>
          <w:sz w:val="19"/>
          <w:szCs w:val="19"/>
          <w:lang w:val="es-ES"/>
        </w:rPr>
      </w:pPr>
    </w:p>
  </w:footnote>
  <w:footnote w:id="10">
    <w:p w14:paraId="69D3C017" w14:textId="77777777" w:rsidR="002D13CC" w:rsidRPr="00294514" w:rsidRDefault="002D13CC" w:rsidP="00294514">
      <w:pPr>
        <w:pStyle w:val="Textonotapie"/>
        <w:ind w:firstLine="708"/>
        <w:jc w:val="both"/>
        <w:rPr>
          <w:rFonts w:ascii="Arial" w:hAnsi="Arial" w:cs="Arial"/>
          <w:bCs/>
          <w:color w:val="000000" w:themeColor="text1"/>
          <w:sz w:val="19"/>
          <w:szCs w:val="19"/>
        </w:rPr>
      </w:pPr>
      <w:r w:rsidRPr="00294514">
        <w:rPr>
          <w:rStyle w:val="Refdenotaalpie"/>
          <w:rFonts w:ascii="Arial" w:hAnsi="Arial" w:cs="Arial"/>
          <w:color w:val="000000" w:themeColor="text1"/>
          <w:sz w:val="19"/>
          <w:szCs w:val="19"/>
        </w:rPr>
        <w:footnoteRef/>
      </w:r>
      <w:r w:rsidRPr="00294514">
        <w:rPr>
          <w:rFonts w:ascii="Arial" w:hAnsi="Arial" w:cs="Arial"/>
          <w:color w:val="000000" w:themeColor="text1"/>
          <w:sz w:val="19"/>
          <w:szCs w:val="19"/>
        </w:rPr>
        <w:t xml:space="preserve"> </w:t>
      </w:r>
      <w:r w:rsidRPr="00294514">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294514">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294514">
          <w:rPr>
            <w:rStyle w:val="Hipervnculo"/>
            <w:rFonts w:ascii="Arial" w:hAnsi="Arial" w:cs="Arial"/>
            <w:color w:val="000000" w:themeColor="text1"/>
            <w:sz w:val="19"/>
            <w:szCs w:val="19"/>
          </w:rPr>
          <w:t>https://colaboracion.dnp.gov.co/CDT/Conpes/Econ%C3%B3micos/3956.pdf</w:t>
        </w:r>
      </w:hyperlink>
      <w:r w:rsidRPr="00294514">
        <w:rPr>
          <w:rFonts w:ascii="Arial" w:hAnsi="Arial" w:cs="Arial"/>
          <w:color w:val="000000" w:themeColor="text1"/>
          <w:sz w:val="19"/>
          <w:szCs w:val="19"/>
        </w:rPr>
        <w:t xml:space="preserve">).  </w:t>
      </w:r>
    </w:p>
    <w:p w14:paraId="7B7D0F90" w14:textId="77777777" w:rsidR="002D13CC" w:rsidRPr="00294514" w:rsidRDefault="002D13CC" w:rsidP="00294514">
      <w:pPr>
        <w:pStyle w:val="Textonotapie"/>
        <w:ind w:firstLine="708"/>
        <w:jc w:val="both"/>
        <w:rPr>
          <w:rFonts w:ascii="Arial" w:hAnsi="Arial" w:cs="Arial"/>
          <w:sz w:val="19"/>
          <w:szCs w:val="19"/>
          <w:lang w:val="es-ES"/>
        </w:rPr>
      </w:pPr>
    </w:p>
  </w:footnote>
  <w:footnote w:id="11">
    <w:p w14:paraId="07CB0605" w14:textId="77777777" w:rsidR="002D13CC" w:rsidRPr="00294514" w:rsidRDefault="002D13CC" w:rsidP="00294514">
      <w:pPr>
        <w:pStyle w:val="Textonotapie"/>
        <w:ind w:firstLine="708"/>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bookmarkStart w:id="4" w:name="_Hlk63862868"/>
      <w:r w:rsidRPr="00294514">
        <w:rPr>
          <w:rFonts w:ascii="Arial" w:hAnsi="Arial" w:cs="Arial"/>
          <w:sz w:val="19"/>
          <w:szCs w:val="19"/>
        </w:rPr>
        <w:t xml:space="preserve">CONGRESO DE LA REPÚBLICA. Gaceta No. 670 del 11 de agosto de 2020. Exposición de motivos del Proyecto de Ley No. 122 de 2020 Cámara. p. 13. </w:t>
      </w:r>
      <w:bookmarkEnd w:id="4"/>
    </w:p>
  </w:footnote>
  <w:footnote w:id="12">
    <w:p w14:paraId="51B4E955" w14:textId="77777777" w:rsidR="00D71818" w:rsidRPr="00294514" w:rsidRDefault="00D71818" w:rsidP="00294514">
      <w:pPr>
        <w:pStyle w:val="Textonotapie"/>
        <w:ind w:firstLine="709"/>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46846E2" w14:textId="77777777" w:rsidR="00D71818" w:rsidRPr="00294514" w:rsidRDefault="00D71818" w:rsidP="00294514">
      <w:pPr>
        <w:pStyle w:val="Textonotapie"/>
        <w:ind w:firstLine="709"/>
        <w:jc w:val="both"/>
        <w:rPr>
          <w:rFonts w:ascii="Arial" w:hAnsi="Arial" w:cs="Arial"/>
          <w:sz w:val="19"/>
          <w:szCs w:val="19"/>
          <w:lang w:val="es-ES"/>
        </w:rPr>
      </w:pPr>
      <w:r w:rsidRPr="00294514">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F74203F" w14:textId="77777777" w:rsidR="00D71818" w:rsidRPr="00294514" w:rsidRDefault="00D71818" w:rsidP="00294514">
      <w:pPr>
        <w:pStyle w:val="Textonotapie"/>
        <w:ind w:firstLine="709"/>
        <w:jc w:val="both"/>
        <w:rPr>
          <w:rFonts w:ascii="Arial" w:hAnsi="Arial" w:cs="Arial"/>
          <w:sz w:val="19"/>
          <w:szCs w:val="19"/>
          <w:lang w:val="es-ES"/>
        </w:rPr>
      </w:pPr>
      <w:r w:rsidRPr="00294514">
        <w:rPr>
          <w:rFonts w:ascii="Arial" w:hAnsi="Arial" w:cs="Arial"/>
          <w:sz w:val="19"/>
          <w:szCs w:val="19"/>
          <w:lang w:val="es-ES"/>
        </w:rPr>
        <w:t>»1. Preferir la oferta de bienes o servicios nacionales frente a la oferta de bienes o servicios extranjeros.</w:t>
      </w:r>
    </w:p>
    <w:p w14:paraId="3505EA0D" w14:textId="77777777" w:rsidR="00D71818" w:rsidRPr="00294514" w:rsidRDefault="00D71818" w:rsidP="00294514">
      <w:pPr>
        <w:pStyle w:val="Textonotapie"/>
        <w:ind w:firstLine="709"/>
        <w:jc w:val="both"/>
        <w:rPr>
          <w:rFonts w:ascii="Arial" w:hAnsi="Arial" w:cs="Arial"/>
          <w:sz w:val="19"/>
          <w:szCs w:val="19"/>
          <w:lang w:val="es-ES"/>
        </w:rPr>
      </w:pPr>
      <w:r w:rsidRPr="00294514">
        <w:rPr>
          <w:rFonts w:ascii="Arial" w:hAnsi="Arial" w:cs="Arial"/>
          <w:sz w:val="19"/>
          <w:szCs w:val="19"/>
          <w:lang w:val="es-ES"/>
        </w:rPr>
        <w:t xml:space="preserve">»2. Preferir las ofertas presentada por una </w:t>
      </w:r>
      <w:proofErr w:type="spellStart"/>
      <w:r w:rsidRPr="00294514">
        <w:rPr>
          <w:rFonts w:ascii="Arial" w:hAnsi="Arial" w:cs="Arial"/>
          <w:sz w:val="19"/>
          <w:szCs w:val="19"/>
          <w:lang w:val="es-ES"/>
        </w:rPr>
        <w:t>Mipyme</w:t>
      </w:r>
      <w:proofErr w:type="spellEnd"/>
      <w:r w:rsidRPr="00294514">
        <w:rPr>
          <w:rFonts w:ascii="Arial" w:hAnsi="Arial" w:cs="Arial"/>
          <w:sz w:val="19"/>
          <w:szCs w:val="19"/>
          <w:lang w:val="es-ES"/>
        </w:rPr>
        <w:t xml:space="preserve"> nacional.</w:t>
      </w:r>
    </w:p>
    <w:p w14:paraId="3EF0D468" w14:textId="77777777" w:rsidR="00D71818" w:rsidRPr="00294514" w:rsidRDefault="00D71818" w:rsidP="00294514">
      <w:pPr>
        <w:pStyle w:val="Textonotapie"/>
        <w:ind w:firstLine="709"/>
        <w:jc w:val="both"/>
        <w:rPr>
          <w:rFonts w:ascii="Arial" w:hAnsi="Arial" w:cs="Arial"/>
          <w:sz w:val="19"/>
          <w:szCs w:val="19"/>
          <w:lang w:val="es-ES"/>
        </w:rPr>
      </w:pPr>
      <w:r w:rsidRPr="00294514">
        <w:rPr>
          <w:rFonts w:ascii="Arial" w:hAnsi="Arial" w:cs="Arial"/>
          <w:sz w:val="19"/>
          <w:szCs w:val="19"/>
          <w:lang w:val="es-ES"/>
        </w:rPr>
        <w:t xml:space="preserve">»3. Preferir la oferta presentada por un consorcio, unión temporal o promesa de sociedad futura siempre que: (a) esté conformado por al menos una </w:t>
      </w:r>
      <w:proofErr w:type="spellStart"/>
      <w:r w:rsidRPr="00294514">
        <w:rPr>
          <w:rFonts w:ascii="Arial" w:hAnsi="Arial" w:cs="Arial"/>
          <w:sz w:val="19"/>
          <w:szCs w:val="19"/>
          <w:lang w:val="es-ES"/>
        </w:rPr>
        <w:t>Mipyme</w:t>
      </w:r>
      <w:proofErr w:type="spellEnd"/>
      <w:r w:rsidRPr="00294514">
        <w:rPr>
          <w:rFonts w:ascii="Arial" w:hAnsi="Arial" w:cs="Arial"/>
          <w:sz w:val="19"/>
          <w:szCs w:val="19"/>
          <w:lang w:val="es-ES"/>
        </w:rPr>
        <w:t xml:space="preserve"> nacional que tenga una participación de por lo menos el veinticinco por ciento (25%); (b) la </w:t>
      </w:r>
      <w:proofErr w:type="spellStart"/>
      <w:r w:rsidRPr="00294514">
        <w:rPr>
          <w:rFonts w:ascii="Arial" w:hAnsi="Arial" w:cs="Arial"/>
          <w:sz w:val="19"/>
          <w:szCs w:val="19"/>
          <w:lang w:val="es-ES"/>
        </w:rPr>
        <w:t>Mipyme</w:t>
      </w:r>
      <w:proofErr w:type="spellEnd"/>
      <w:r w:rsidRPr="00294514">
        <w:rPr>
          <w:rFonts w:ascii="Arial" w:hAnsi="Arial" w:cs="Arial"/>
          <w:sz w:val="19"/>
          <w:szCs w:val="19"/>
          <w:lang w:val="es-ES"/>
        </w:rPr>
        <w:t xml:space="preserve"> aporte mínimo el veinticinco por ciento (25%) de la experiencia acreditada en la oferta; y (c) ni la </w:t>
      </w:r>
      <w:proofErr w:type="spellStart"/>
      <w:r w:rsidRPr="00294514">
        <w:rPr>
          <w:rFonts w:ascii="Arial" w:hAnsi="Arial" w:cs="Arial"/>
          <w:sz w:val="19"/>
          <w:szCs w:val="19"/>
          <w:lang w:val="es-ES"/>
        </w:rPr>
        <w:t>Mipyme</w:t>
      </w:r>
      <w:proofErr w:type="spellEnd"/>
      <w:r w:rsidRPr="00294514">
        <w:rPr>
          <w:rFonts w:ascii="Arial" w:hAnsi="Arial" w:cs="Arial"/>
          <w:sz w:val="19"/>
          <w:szCs w:val="19"/>
          <w:lang w:val="es-ES"/>
        </w:rPr>
        <w:t>, ni sus accionistas, socios o representantes legales sean empleados, socios o accionistas de los miembros del consorcio, unión temporal o promesa de sociedad futura.</w:t>
      </w:r>
    </w:p>
    <w:p w14:paraId="381171E6" w14:textId="77777777" w:rsidR="00D71818" w:rsidRPr="00294514" w:rsidRDefault="00D71818" w:rsidP="00294514">
      <w:pPr>
        <w:pStyle w:val="Textonotapie"/>
        <w:ind w:firstLine="709"/>
        <w:jc w:val="both"/>
        <w:rPr>
          <w:rFonts w:ascii="Arial" w:hAnsi="Arial" w:cs="Arial"/>
          <w:sz w:val="19"/>
          <w:szCs w:val="19"/>
          <w:lang w:val="es-ES"/>
        </w:rPr>
      </w:pPr>
      <w:r w:rsidRPr="00294514">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104B4F69" w14:textId="77777777" w:rsidR="00D71818" w:rsidRPr="00294514" w:rsidRDefault="00D71818" w:rsidP="00294514">
      <w:pPr>
        <w:pStyle w:val="Textonotapie"/>
        <w:ind w:firstLine="709"/>
        <w:jc w:val="both"/>
        <w:rPr>
          <w:rFonts w:ascii="Arial" w:hAnsi="Arial" w:cs="Arial"/>
          <w:sz w:val="19"/>
          <w:szCs w:val="19"/>
          <w:lang w:val="es-CO"/>
        </w:rPr>
      </w:pPr>
      <w:r w:rsidRPr="00294514">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3">
    <w:p w14:paraId="3432343B" w14:textId="77777777" w:rsidR="00D71818" w:rsidRPr="00294514" w:rsidRDefault="00D71818" w:rsidP="00294514">
      <w:pPr>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El artículo 5 de la Ley 57 de 1887 dispone que «Cuando haya incompatibilidad entre una disposición constitucional y una legal, preferirá aquélla. </w:t>
      </w:r>
    </w:p>
    <w:p w14:paraId="050A810C" w14:textId="77777777" w:rsidR="00D71818" w:rsidRPr="00294514" w:rsidRDefault="00D71818" w:rsidP="00294514">
      <w:pPr>
        <w:ind w:firstLine="708"/>
        <w:jc w:val="both"/>
        <w:rPr>
          <w:rFonts w:ascii="Arial" w:hAnsi="Arial" w:cs="Arial"/>
          <w:sz w:val="19"/>
          <w:szCs w:val="19"/>
        </w:rPr>
      </w:pPr>
      <w:r w:rsidRPr="00294514">
        <w:rPr>
          <w:rFonts w:ascii="Arial" w:hAnsi="Arial" w:cs="Arial"/>
          <w:sz w:val="19"/>
          <w:szCs w:val="19"/>
        </w:rPr>
        <w:t xml:space="preserve">»Si en los Códigos que se adoptan se hallaren algunas disposiciones incompatibles entre sí, se observarán en su aplicación las reglas siguientes: </w:t>
      </w:r>
    </w:p>
    <w:p w14:paraId="7F055304" w14:textId="77777777" w:rsidR="00D71818" w:rsidRPr="00294514" w:rsidRDefault="00D71818" w:rsidP="00294514">
      <w:pPr>
        <w:ind w:firstLine="708"/>
        <w:jc w:val="both"/>
        <w:rPr>
          <w:rFonts w:ascii="Arial" w:hAnsi="Arial" w:cs="Arial"/>
          <w:sz w:val="19"/>
          <w:szCs w:val="19"/>
        </w:rPr>
      </w:pPr>
      <w:r w:rsidRPr="00294514">
        <w:rPr>
          <w:rFonts w:ascii="Arial" w:hAnsi="Arial" w:cs="Arial"/>
          <w:sz w:val="19"/>
          <w:szCs w:val="19"/>
        </w:rPr>
        <w:t xml:space="preserve">»1ª La disposición relativa a un asunto especial prefiere a la que tenga carácter general; </w:t>
      </w:r>
    </w:p>
    <w:p w14:paraId="0A4EC05C" w14:textId="77777777" w:rsidR="00D71818" w:rsidRPr="00294514" w:rsidRDefault="00D71818" w:rsidP="00294514">
      <w:pPr>
        <w:ind w:firstLine="708"/>
        <w:jc w:val="both"/>
        <w:rPr>
          <w:rFonts w:ascii="Arial" w:hAnsi="Arial" w:cs="Arial"/>
          <w:sz w:val="19"/>
          <w:szCs w:val="19"/>
        </w:rPr>
      </w:pPr>
      <w:r w:rsidRPr="00294514">
        <w:rPr>
          <w:rFonts w:ascii="Arial" w:hAnsi="Arial" w:cs="Arial"/>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0A363F4D" w14:textId="77777777" w:rsidR="00D71818" w:rsidRPr="00294514" w:rsidRDefault="00D71818" w:rsidP="00294514">
      <w:pPr>
        <w:ind w:firstLine="708"/>
        <w:jc w:val="both"/>
        <w:rPr>
          <w:rFonts w:ascii="Arial" w:hAnsi="Arial" w:cs="Arial"/>
          <w:sz w:val="19"/>
          <w:szCs w:val="19"/>
        </w:rPr>
      </w:pPr>
    </w:p>
  </w:footnote>
  <w:footnote w:id="14">
    <w:p w14:paraId="5E271116" w14:textId="7F86C535" w:rsidR="00D71818" w:rsidRDefault="00D71818"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Cfr. </w:t>
      </w:r>
      <w:r w:rsidRPr="00294514">
        <w:rPr>
          <w:rFonts w:ascii="Arial" w:hAnsi="Arial" w:cs="Arial"/>
          <w:sz w:val="19"/>
          <w:szCs w:val="19"/>
        </w:rPr>
        <w:t>GUASTINI, Riccardo. Interpretar y argumentar. Madrid: Centro de Estudios Constitucionales, 2014. p. 134.</w:t>
      </w:r>
    </w:p>
    <w:p w14:paraId="704879C3" w14:textId="77777777" w:rsidR="00AA45CB" w:rsidRPr="00294514" w:rsidRDefault="00AA45CB" w:rsidP="00294514">
      <w:pPr>
        <w:pStyle w:val="Textonotapie"/>
        <w:ind w:firstLine="708"/>
        <w:jc w:val="both"/>
        <w:rPr>
          <w:rFonts w:ascii="Arial" w:hAnsi="Arial" w:cs="Arial"/>
          <w:sz w:val="19"/>
          <w:szCs w:val="19"/>
          <w:lang w:val="es-ES"/>
        </w:rPr>
      </w:pPr>
    </w:p>
  </w:footnote>
  <w:footnote w:id="15">
    <w:p w14:paraId="1BC767F7" w14:textId="27742341" w:rsidR="00D71818" w:rsidRDefault="00D71818"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DÍEZ-PICAZO, Luis María. La derogación de las leyes. Madrid: Editorial Civita, 1990. p. 363.</w:t>
      </w:r>
    </w:p>
    <w:p w14:paraId="2D79405E" w14:textId="77777777" w:rsidR="00AA45CB" w:rsidRPr="00294514" w:rsidRDefault="00AA45CB" w:rsidP="00294514">
      <w:pPr>
        <w:pStyle w:val="Textonotapie"/>
        <w:ind w:firstLine="708"/>
        <w:jc w:val="both"/>
        <w:rPr>
          <w:rFonts w:ascii="Arial" w:hAnsi="Arial" w:cs="Arial"/>
          <w:sz w:val="19"/>
          <w:szCs w:val="19"/>
          <w:lang w:val="es-ES"/>
        </w:rPr>
      </w:pPr>
    </w:p>
  </w:footnote>
  <w:footnote w:id="16">
    <w:p w14:paraId="4BEC2295" w14:textId="77777777" w:rsidR="00D71818" w:rsidRPr="00294514" w:rsidRDefault="00D71818"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i/>
          <w:iCs/>
          <w:sz w:val="19"/>
          <w:szCs w:val="19"/>
        </w:rPr>
        <w:t>Ibidem</w:t>
      </w:r>
      <w:r w:rsidRPr="00294514">
        <w:rPr>
          <w:rFonts w:ascii="Arial" w:hAnsi="Arial" w:cs="Arial"/>
          <w:sz w:val="19"/>
          <w:szCs w:val="19"/>
        </w:rPr>
        <w:t>. p. 18.</w:t>
      </w:r>
    </w:p>
    <w:p w14:paraId="3CF77C48" w14:textId="77777777" w:rsidR="00D71818" w:rsidRPr="00294514" w:rsidRDefault="00D71818" w:rsidP="00294514">
      <w:pPr>
        <w:pStyle w:val="Textonotapie"/>
        <w:ind w:firstLine="708"/>
        <w:jc w:val="both"/>
        <w:rPr>
          <w:rFonts w:ascii="Arial" w:hAnsi="Arial" w:cs="Arial"/>
          <w:sz w:val="19"/>
          <w:szCs w:val="19"/>
          <w:lang w:val="es-ES"/>
        </w:rPr>
      </w:pPr>
    </w:p>
  </w:footnote>
  <w:footnote w:id="17">
    <w:p w14:paraId="413E4405" w14:textId="77777777" w:rsidR="00CE6103" w:rsidRPr="00294514" w:rsidRDefault="00CE6103" w:rsidP="00294514">
      <w:pPr>
        <w:pStyle w:val="Textonotapie"/>
        <w:ind w:firstLine="708"/>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 xml:space="preserve">El artículo 189.11 de la Constitución Política de 1991 dispone que corresponde al Presidente de la República «Ejercer la potestad reglamentaria, mediante la expedición de los decretos, resoluciones y órdenes necesarios para la cumplida ejecución de las leyes».  </w:t>
      </w:r>
    </w:p>
  </w:footnote>
  <w:footnote w:id="18">
    <w:p w14:paraId="0CC45D2B" w14:textId="77777777" w:rsidR="00CE6103" w:rsidRPr="00294514" w:rsidRDefault="00CE6103"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 xml:space="preserve">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294514">
        <w:rPr>
          <w:rFonts w:ascii="Arial" w:hAnsi="Arial" w:cs="Arial"/>
          <w:i/>
          <w:iCs/>
          <w:sz w:val="19"/>
          <w:szCs w:val="19"/>
        </w:rPr>
        <w:t>La única consecuencia normativa del término establecido por el legislador es la de imponerle al Presidente de la República el deber de reglamentar la ley dentro de dicho plazo</w:t>
      </w:r>
      <w:r w:rsidRPr="00294514">
        <w:rPr>
          <w:rFonts w:ascii="Arial" w:hAnsi="Arial" w:cs="Arial"/>
          <w:sz w:val="19"/>
          <w:szCs w:val="19"/>
        </w:rPr>
        <w:t xml:space="preserve">» (CORTE CONSTITUCIONAL. Sentencia C-805 de 2001. M.P. Rodrigo Escobar Gil. Corchetes y énfasis fuera de texto).  </w:t>
      </w:r>
    </w:p>
    <w:p w14:paraId="6436FCEE" w14:textId="77777777" w:rsidR="00CE6103" w:rsidRPr="00294514" w:rsidRDefault="00CE6103" w:rsidP="00294514">
      <w:pPr>
        <w:pStyle w:val="Textonotapie"/>
        <w:ind w:firstLine="708"/>
        <w:jc w:val="both"/>
        <w:rPr>
          <w:rFonts w:ascii="Arial" w:hAnsi="Arial" w:cs="Arial"/>
          <w:sz w:val="19"/>
          <w:szCs w:val="19"/>
          <w:lang w:val="es-ES"/>
        </w:rPr>
      </w:pPr>
    </w:p>
  </w:footnote>
  <w:footnote w:id="19">
    <w:p w14:paraId="2C922D26" w14:textId="520BE921" w:rsidR="00CE6103" w:rsidRPr="00294514" w:rsidRDefault="00CE6103"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 xml:space="preserve">GUASTINI, Riccardo. Interpretar y argumentar. Madrid: Centro de Estudios Políticos y Constitucionales, 2014. p. 145. El autor también propone los siguientes ejemplos de </w:t>
      </w:r>
      <w:r w:rsidRPr="00294514">
        <w:rPr>
          <w:rFonts w:ascii="Arial" w:hAnsi="Arial" w:cs="Arial"/>
          <w:i/>
          <w:iCs/>
          <w:sz w:val="19"/>
          <w:szCs w:val="19"/>
        </w:rPr>
        <w:t>lagunas técnicas</w:t>
      </w:r>
      <w:r w:rsidRPr="00294514">
        <w:rPr>
          <w:rFonts w:ascii="Arial" w:hAnsi="Arial" w:cs="Arial"/>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294514">
        <w:rPr>
          <w:rFonts w:ascii="Arial" w:hAnsi="Arial" w:cs="Arial"/>
          <w:i/>
          <w:iCs/>
          <w:sz w:val="19"/>
          <w:szCs w:val="19"/>
        </w:rPr>
        <w:t>Ibidem</w:t>
      </w:r>
      <w:r w:rsidRPr="00294514">
        <w:rPr>
          <w:rFonts w:ascii="Arial" w:hAnsi="Arial" w:cs="Arial"/>
          <w:sz w:val="19"/>
          <w:szCs w:val="19"/>
        </w:rPr>
        <w:t xml:space="preserve">).  </w:t>
      </w:r>
    </w:p>
    <w:p w14:paraId="2DFB7C5E" w14:textId="77777777" w:rsidR="00445B5B" w:rsidRPr="00294514" w:rsidRDefault="00445B5B" w:rsidP="00294514">
      <w:pPr>
        <w:pStyle w:val="Textonotapie"/>
        <w:ind w:firstLine="708"/>
        <w:jc w:val="both"/>
        <w:rPr>
          <w:rFonts w:ascii="Arial" w:hAnsi="Arial" w:cs="Arial"/>
          <w:sz w:val="19"/>
          <w:szCs w:val="19"/>
        </w:rPr>
      </w:pPr>
    </w:p>
  </w:footnote>
  <w:footnote w:id="20">
    <w:p w14:paraId="162D84E1" w14:textId="77777777" w:rsidR="00143457" w:rsidRPr="006B567C" w:rsidRDefault="00143457" w:rsidP="00143457">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sidRPr="00092D39">
        <w:rPr>
          <w:rFonts w:ascii="Arial" w:hAnsi="Arial" w:cs="Arial"/>
          <w:sz w:val="19"/>
          <w:szCs w:val="19"/>
        </w:rPr>
        <w:t xml:space="preserve">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w:t>
      </w:r>
      <w:r w:rsidRPr="00092D39">
        <w:rPr>
          <w:rFonts w:ascii="Arial" w:hAnsi="Arial" w:cs="Arial"/>
          <w:sz w:val="19"/>
          <w:szCs w:val="19"/>
        </w:rPr>
        <w:t xml:space="preserve">(Cfr. </w:t>
      </w:r>
      <w:hyperlink r:id="rId2" w:history="1">
        <w:r w:rsidRPr="00B7018C">
          <w:rPr>
            <w:rStyle w:val="Hipervnculo"/>
            <w:rFonts w:ascii="Arial" w:hAnsi="Arial" w:cs="Arial"/>
            <w:color w:val="0E63A8" w:themeColor="text2"/>
            <w:sz w:val="19"/>
            <w:szCs w:val="19"/>
          </w:rPr>
          <w:t>https://www.beltranpardo.com/wp-content/uploads/2021/02/CorteConstitucional_Inexequibilidadpar%C3%A1grafo2Art6L2014.pdf</w:t>
        </w:r>
      </w:hyperlink>
      <w:r w:rsidRPr="00092D39">
        <w:rPr>
          <w:rFonts w:ascii="Arial" w:hAnsi="Arial" w:cs="Arial"/>
          <w:sz w:val="19"/>
          <w:szCs w:val="19"/>
        </w:rPr>
        <w:t>).</w:t>
      </w:r>
      <w:r>
        <w:rPr>
          <w:rFonts w:ascii="Arial" w:hAnsi="Arial" w:cs="Arial"/>
          <w:sz w:val="19"/>
          <w:szCs w:val="19"/>
        </w:rPr>
        <w:t xml:space="preserve">  </w:t>
      </w:r>
    </w:p>
    <w:p w14:paraId="6B4F686E" w14:textId="77777777" w:rsidR="00143457" w:rsidRPr="00E611D3" w:rsidRDefault="00143457" w:rsidP="00143457">
      <w:pPr>
        <w:pStyle w:val="Textonotapie"/>
        <w:ind w:firstLine="708"/>
        <w:jc w:val="both"/>
        <w:rPr>
          <w:rFonts w:ascii="Arial" w:hAnsi="Arial" w:cs="Arial"/>
          <w:sz w:val="19"/>
          <w:szCs w:val="19"/>
          <w:lang w:val="es-ES"/>
        </w:rPr>
      </w:pPr>
    </w:p>
  </w:footnote>
  <w:footnote w:id="21">
    <w:p w14:paraId="65EF1AD3" w14:textId="77777777" w:rsidR="00CE6103" w:rsidRPr="00294514" w:rsidRDefault="00CE6103" w:rsidP="00294514">
      <w:pPr>
        <w:pStyle w:val="Textonotapie"/>
        <w:ind w:firstLine="708"/>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 xml:space="preserve">Cfr. CORTE CONSTITUCIONAL. Sentencia C-619 del 14 de junio de 2001. M.P. Marco Gerardo Monroy Cabra. </w:t>
      </w:r>
    </w:p>
  </w:footnote>
  <w:footnote w:id="22">
    <w:p w14:paraId="14A4F9D9" w14:textId="77777777" w:rsidR="00BC296E" w:rsidRPr="00294514" w:rsidRDefault="00BC296E" w:rsidP="00294514">
      <w:pPr>
        <w:pStyle w:val="Textonotapie"/>
        <w:ind w:firstLine="708"/>
        <w:jc w:val="both"/>
        <w:rPr>
          <w:rFonts w:ascii="Arial" w:hAnsi="Arial" w:cs="Arial"/>
          <w:sz w:val="19"/>
          <w:szCs w:val="19"/>
        </w:rPr>
      </w:pPr>
    </w:p>
    <w:p w14:paraId="20E5059E" w14:textId="17E70484" w:rsidR="00CE6103" w:rsidRPr="00294514" w:rsidRDefault="00CE6103"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 xml:space="preserve">CONSEJO DE ESTADO. Sección Tercera. Auto de 1 de abril de 2009. Exp. 36476. M.P. Ruth Stella Correa Palacio.  </w:t>
      </w:r>
    </w:p>
    <w:p w14:paraId="0D155505" w14:textId="77777777" w:rsidR="00CE6103" w:rsidRPr="00294514" w:rsidRDefault="00CE6103" w:rsidP="00294514">
      <w:pPr>
        <w:pStyle w:val="Textonotapie"/>
        <w:ind w:firstLine="708"/>
        <w:jc w:val="both"/>
        <w:rPr>
          <w:rFonts w:ascii="Arial" w:hAnsi="Arial" w:cs="Arial"/>
          <w:sz w:val="19"/>
          <w:szCs w:val="19"/>
        </w:rPr>
      </w:pPr>
    </w:p>
  </w:footnote>
  <w:footnote w:id="23">
    <w:p w14:paraId="066B5366" w14:textId="77777777" w:rsidR="00CE6103" w:rsidRPr="00294514" w:rsidRDefault="00CE6103" w:rsidP="00294514">
      <w:pPr>
        <w:pStyle w:val="Textonotapie"/>
        <w:ind w:firstLine="708"/>
        <w:jc w:val="both"/>
        <w:rPr>
          <w:rFonts w:ascii="Arial" w:hAnsi="Arial" w:cs="Arial"/>
          <w:sz w:val="19"/>
          <w:szCs w:val="19"/>
          <w:lang w:val="es-ES"/>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CONGRESO DE LA REPÚBLICA. Gaceta No. 670 del 11 de agosto de 2020. Exposición de motivos del Proyecto de Ley No. 122 de 2020 Cámara. pp. 3-4.</w:t>
      </w:r>
    </w:p>
  </w:footnote>
  <w:footnote w:id="24">
    <w:p w14:paraId="06FF4269" w14:textId="77777777" w:rsidR="007B53DB" w:rsidRPr="00294514" w:rsidRDefault="007B53DB" w:rsidP="00294514">
      <w:pPr>
        <w:pStyle w:val="Textonotapie"/>
        <w:ind w:firstLine="708"/>
        <w:jc w:val="both"/>
        <w:rPr>
          <w:rFonts w:ascii="Arial" w:hAnsi="Arial" w:cs="Arial"/>
          <w:sz w:val="19"/>
          <w:szCs w:val="19"/>
        </w:rPr>
      </w:pPr>
    </w:p>
    <w:p w14:paraId="5E6B1478" w14:textId="30534EB5" w:rsidR="00CE6103" w:rsidRPr="00294514" w:rsidRDefault="00CE6103"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MARÍN CORTÉS, Fabián Gonzalo. El reglamento, como fuente del derecho administrativo. En: las fuentes del derecho administrativo. Texto inédito. p. 203.</w:t>
      </w:r>
    </w:p>
    <w:p w14:paraId="4CFD2412" w14:textId="77777777" w:rsidR="00CE6103" w:rsidRPr="00294514" w:rsidRDefault="00CE6103" w:rsidP="00294514">
      <w:pPr>
        <w:pStyle w:val="Textonotapie"/>
        <w:ind w:firstLine="708"/>
        <w:jc w:val="both"/>
        <w:rPr>
          <w:rFonts w:ascii="Arial" w:hAnsi="Arial" w:cs="Arial"/>
          <w:sz w:val="19"/>
          <w:szCs w:val="19"/>
          <w:lang w:val="es-ES"/>
        </w:rPr>
      </w:pPr>
    </w:p>
  </w:footnote>
  <w:footnote w:id="25">
    <w:p w14:paraId="265DB6A2" w14:textId="4C15F4AC" w:rsidR="00CE6103" w:rsidRDefault="00CE6103"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i/>
          <w:iCs/>
          <w:sz w:val="19"/>
          <w:szCs w:val="19"/>
        </w:rPr>
        <w:t>Ibidem</w:t>
      </w:r>
      <w:r w:rsidRPr="00294514">
        <w:rPr>
          <w:rFonts w:ascii="Arial" w:hAnsi="Arial" w:cs="Arial"/>
          <w:sz w:val="19"/>
          <w:szCs w:val="19"/>
        </w:rPr>
        <w:t>.</w:t>
      </w:r>
    </w:p>
    <w:p w14:paraId="01584FB7" w14:textId="77777777" w:rsidR="00B447D7" w:rsidRPr="00294514" w:rsidRDefault="00B447D7" w:rsidP="00294514">
      <w:pPr>
        <w:pStyle w:val="Textonotapie"/>
        <w:ind w:firstLine="708"/>
        <w:jc w:val="both"/>
        <w:rPr>
          <w:rFonts w:ascii="Arial" w:hAnsi="Arial" w:cs="Arial"/>
          <w:sz w:val="19"/>
          <w:szCs w:val="19"/>
          <w:lang w:val="es-ES"/>
        </w:rPr>
      </w:pPr>
    </w:p>
  </w:footnote>
  <w:footnote w:id="26">
    <w:p w14:paraId="4D5A8D5D" w14:textId="77777777" w:rsidR="00004E47" w:rsidRPr="00294514" w:rsidRDefault="00004E47"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25EE11C3" w14:textId="77777777" w:rsidR="00004E47" w:rsidRPr="00294514" w:rsidRDefault="00004E47" w:rsidP="00294514">
      <w:pPr>
        <w:pStyle w:val="Textonotapie"/>
        <w:ind w:firstLine="708"/>
        <w:jc w:val="both"/>
        <w:rPr>
          <w:rFonts w:ascii="Arial" w:hAnsi="Arial" w:cs="Arial"/>
          <w:sz w:val="19"/>
          <w:szCs w:val="19"/>
          <w:lang w:val="es-ES"/>
        </w:rPr>
      </w:pPr>
    </w:p>
  </w:footnote>
  <w:footnote w:id="27">
    <w:p w14:paraId="392C2BAC" w14:textId="77777777" w:rsidR="00004E47" w:rsidRPr="00294514" w:rsidRDefault="00004E47"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w:t>
      </w:r>
      <w:r w:rsidRPr="00294514">
        <w:rPr>
          <w:rFonts w:ascii="Arial" w:hAnsi="Arial" w:cs="Arial"/>
          <w:sz w:val="19"/>
          <w:szCs w:val="19"/>
        </w:rPr>
        <w:t>Ambas normas disponen lo siguiente: «5) Contratación mínima cuantía. La contratación cuyo valor no excede del 10 por ciento de la menor cuantía de la entidad independientemente de su objeto, se efectuará de conformidad con las siguientes reglas:</w:t>
      </w:r>
    </w:p>
    <w:p w14:paraId="6E944A69" w14:textId="77777777" w:rsidR="00004E47" w:rsidRPr="00294514" w:rsidRDefault="00004E47" w:rsidP="00294514">
      <w:pPr>
        <w:pStyle w:val="Textonotapie"/>
        <w:ind w:firstLine="708"/>
        <w:jc w:val="both"/>
        <w:rPr>
          <w:rFonts w:ascii="Arial" w:hAnsi="Arial" w:cs="Arial"/>
          <w:sz w:val="19"/>
          <w:szCs w:val="19"/>
        </w:rPr>
      </w:pPr>
      <w:r w:rsidRPr="00294514">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49F791AF" w14:textId="77777777" w:rsidR="00004E47" w:rsidRPr="00294514" w:rsidRDefault="00004E47" w:rsidP="00294514">
      <w:pPr>
        <w:pStyle w:val="Textonotapie"/>
        <w:ind w:firstLine="708"/>
        <w:jc w:val="both"/>
        <w:rPr>
          <w:rFonts w:ascii="Arial" w:hAnsi="Arial" w:cs="Arial"/>
          <w:sz w:val="19"/>
          <w:szCs w:val="19"/>
        </w:rPr>
      </w:pPr>
      <w:r w:rsidRPr="00294514">
        <w:rPr>
          <w:rFonts w:ascii="Arial" w:hAnsi="Arial" w:cs="Arial"/>
          <w:sz w:val="19"/>
          <w:szCs w:val="19"/>
        </w:rPr>
        <w:t>»b) El término previsto en la invitación para presentar la oferta no podrá ser inferior a un día hábil;</w:t>
      </w:r>
    </w:p>
    <w:p w14:paraId="399CC403" w14:textId="77777777" w:rsidR="00004E47" w:rsidRPr="00294514" w:rsidRDefault="00004E47" w:rsidP="00294514">
      <w:pPr>
        <w:pStyle w:val="Textonotapie"/>
        <w:ind w:firstLine="708"/>
        <w:jc w:val="both"/>
        <w:rPr>
          <w:rFonts w:ascii="Arial" w:hAnsi="Arial" w:cs="Arial"/>
          <w:sz w:val="19"/>
          <w:szCs w:val="19"/>
        </w:rPr>
      </w:pPr>
      <w:r w:rsidRPr="00294514">
        <w:rPr>
          <w:rFonts w:ascii="Arial" w:hAnsi="Arial" w:cs="Arial"/>
          <w:sz w:val="19"/>
          <w:szCs w:val="19"/>
        </w:rPr>
        <w:t>»c) La entidad seleccionará, mediante comunicación de aceptación de la oferta, la propuesta con el menor precio, siempre y cuando cumpla con las condiciones exigidas;</w:t>
      </w:r>
    </w:p>
    <w:p w14:paraId="4E186DF9" w14:textId="77777777" w:rsidR="00004E47" w:rsidRPr="00294514" w:rsidRDefault="00004E47" w:rsidP="00294514">
      <w:pPr>
        <w:pStyle w:val="Textonotapie"/>
        <w:ind w:firstLine="708"/>
        <w:jc w:val="both"/>
        <w:rPr>
          <w:rFonts w:ascii="Arial" w:hAnsi="Arial" w:cs="Arial"/>
          <w:sz w:val="19"/>
          <w:szCs w:val="19"/>
          <w:lang w:val="es-ES"/>
        </w:rPr>
      </w:pPr>
      <w:r w:rsidRPr="00294514">
        <w:rPr>
          <w:rFonts w:ascii="Arial" w:hAnsi="Arial" w:cs="Arial"/>
          <w:sz w:val="19"/>
          <w:szCs w:val="19"/>
        </w:rPr>
        <w:t>»d) La comunicación de aceptación junto con la oferta constituye para todos los efectos el contrato celebrado, con base en lo cual se efectuará el respectivo registro presupuestal».</w:t>
      </w:r>
    </w:p>
  </w:footnote>
  <w:footnote w:id="28">
    <w:p w14:paraId="1A3FBCDB" w14:textId="7B7B28EE" w:rsidR="00004E47" w:rsidRDefault="00004E47" w:rsidP="00294514">
      <w:pPr>
        <w:pStyle w:val="Textonotapie"/>
        <w:ind w:firstLine="708"/>
        <w:jc w:val="both"/>
        <w:rPr>
          <w:rFonts w:ascii="Arial" w:hAnsi="Arial" w:cs="Arial"/>
          <w:sz w:val="19"/>
          <w:szCs w:val="19"/>
        </w:rPr>
      </w:pPr>
      <w:r w:rsidRPr="00294514">
        <w:rPr>
          <w:rStyle w:val="Refdenotaalpie"/>
          <w:rFonts w:ascii="Arial" w:hAnsi="Arial" w:cs="Arial"/>
          <w:sz w:val="19"/>
          <w:szCs w:val="19"/>
        </w:rPr>
        <w:footnoteRef/>
      </w:r>
      <w:r w:rsidRPr="00294514">
        <w:rPr>
          <w:rFonts w:ascii="Arial" w:hAnsi="Arial" w:cs="Arial"/>
          <w:sz w:val="19"/>
          <w:szCs w:val="19"/>
        </w:rPr>
        <w:t xml:space="preserve"> BENAVIDES, José Luis. La potestad reglamentaria en la contratación pública. En: Contratos públicos: Estudios. Bogotá: Universidad Externado de Colombia, 2014. p. 174.</w:t>
      </w:r>
    </w:p>
    <w:p w14:paraId="3EDE2181" w14:textId="77777777" w:rsidR="00BC1E14" w:rsidRPr="00294514" w:rsidRDefault="00BC1E14" w:rsidP="00294514">
      <w:pPr>
        <w:pStyle w:val="Textonotapie"/>
        <w:ind w:firstLine="708"/>
        <w:jc w:val="both"/>
        <w:rPr>
          <w:rFonts w:ascii="Arial" w:hAnsi="Arial" w:cs="Arial"/>
          <w:sz w:val="19"/>
          <w:szCs w:val="19"/>
          <w:lang w:val="es-ES"/>
        </w:rPr>
      </w:pPr>
    </w:p>
  </w:footnote>
  <w:footnote w:id="29">
    <w:p w14:paraId="2431B73E" w14:textId="77777777" w:rsidR="00BC1E14" w:rsidRPr="00B7018C" w:rsidRDefault="00BC1E14" w:rsidP="00BC1E14">
      <w:pPr>
        <w:pStyle w:val="Textonotapie"/>
        <w:ind w:firstLine="708"/>
        <w:jc w:val="both"/>
        <w:rPr>
          <w:rFonts w:ascii="Arial" w:hAnsi="Arial" w:cs="Arial"/>
          <w:sz w:val="19"/>
          <w:szCs w:val="19"/>
        </w:rPr>
      </w:pPr>
      <w:r w:rsidRPr="00B7018C">
        <w:rPr>
          <w:rStyle w:val="Refdenotaalpie"/>
          <w:rFonts w:ascii="Arial" w:hAnsi="Arial" w:cs="Arial"/>
          <w:sz w:val="19"/>
          <w:szCs w:val="19"/>
        </w:rPr>
        <w:footnoteRef/>
      </w:r>
      <w:r w:rsidRPr="00B7018C">
        <w:rPr>
          <w:rFonts w:ascii="Arial" w:hAnsi="Arial" w:cs="Arial"/>
          <w:sz w:val="19"/>
          <w:szCs w:val="19"/>
        </w:rPr>
        <w:t xml:space="preserve"> </w:t>
      </w:r>
      <w:r w:rsidRPr="00104AD6">
        <w:rPr>
          <w:rFonts w:ascii="Arial" w:hAnsi="Arial" w:cs="Arial"/>
          <w:sz w:val="19"/>
          <w:szCs w:val="19"/>
        </w:rPr>
        <w:t>Esta norma dispone que los actos administrativos no pueden ejecutarse «Cuando desaparezcan sus fundamentos de hecho o de derecho».</w:t>
      </w:r>
    </w:p>
  </w:footnote>
  <w:footnote w:id="30">
    <w:p w14:paraId="224F9E51" w14:textId="77777777" w:rsidR="00BC1E14" w:rsidRPr="004C0463" w:rsidRDefault="00BC1E14" w:rsidP="00BC1E14">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7"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7"/>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63794644" w14:textId="77777777" w:rsidR="00BC1E14" w:rsidRPr="004C0463" w:rsidRDefault="00BC1E14" w:rsidP="00BC1E14">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 xml:space="preserve">Parágrafo 1°. En los procesos de selección que se desarrollen con base en el primer inciso, las entidades podrán realizar las convocatorias limitadas que </w:t>
      </w:r>
      <w:r w:rsidRPr="004C0463">
        <w:rPr>
          <w:rFonts w:ascii="Arial" w:hAnsi="Arial" w:cs="Arial"/>
          <w:sz w:val="19"/>
          <w:szCs w:val="19"/>
        </w:rPr>
        <w:t>beneficien a las Mipymes del ámbito municipal o departamental correspondiente al de la ejecución del contrato.</w:t>
      </w:r>
    </w:p>
    <w:p w14:paraId="3E898B6D" w14:textId="77777777" w:rsidR="00BC1E14" w:rsidRPr="004C0463" w:rsidRDefault="00BC1E14" w:rsidP="00BC1E14">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DB69D94" w14:textId="77777777" w:rsidR="00BC1E14" w:rsidRDefault="00BC1E14" w:rsidP="00BC1E14">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p w14:paraId="21C80D76" w14:textId="77777777" w:rsidR="00BC1E14" w:rsidRPr="004C0463" w:rsidRDefault="00BC1E14" w:rsidP="00BC1E14">
      <w:pPr>
        <w:pStyle w:val="Textonotapie"/>
        <w:ind w:firstLine="708"/>
        <w:jc w:val="both"/>
        <w:rPr>
          <w:rFonts w:ascii="Arial" w:hAnsi="Arial" w:cs="Arial"/>
          <w:sz w:val="19"/>
          <w:szCs w:val="19"/>
          <w:lang w:val="es-ES"/>
        </w:rPr>
      </w:pPr>
    </w:p>
  </w:footnote>
  <w:footnote w:id="31">
    <w:p w14:paraId="354A7E1D" w14:textId="77777777" w:rsidR="00BC1E14" w:rsidRPr="00B7018C" w:rsidRDefault="00BC1E14" w:rsidP="00BC1E14">
      <w:pPr>
        <w:pStyle w:val="Textonotapie"/>
        <w:ind w:firstLine="708"/>
        <w:jc w:val="both"/>
        <w:rPr>
          <w:rFonts w:ascii="Arial" w:hAnsi="Arial" w:cs="Arial"/>
          <w:sz w:val="19"/>
          <w:szCs w:val="19"/>
        </w:rPr>
      </w:pPr>
      <w:r w:rsidRPr="00B7018C">
        <w:rPr>
          <w:rStyle w:val="Refdenotaalpie"/>
          <w:rFonts w:ascii="Arial" w:hAnsi="Arial" w:cs="Arial"/>
          <w:sz w:val="19"/>
          <w:szCs w:val="19"/>
        </w:rPr>
        <w:footnoteRef/>
      </w:r>
      <w:r w:rsidRPr="00B7018C">
        <w:rPr>
          <w:rFonts w:ascii="Arial" w:hAnsi="Arial" w:cs="Arial"/>
          <w:sz w:val="19"/>
          <w:szCs w:val="19"/>
        </w:rPr>
        <w:t xml:space="preserve"> </w:t>
      </w:r>
      <w:r>
        <w:rPr>
          <w:rFonts w:ascii="Arial" w:hAnsi="Arial" w:cs="Arial"/>
          <w:sz w:val="19"/>
          <w:szCs w:val="19"/>
        </w:rPr>
        <w:t xml:space="preserve">Cfr. SANTOFIMIO GAMBOA, Jaime Orlando. Acto administrativo: procedimiento, eficacia y validez. Segunda Edición. Bogotá: Universidad Externado de Colombia, 1994. p. 252. Lo anterior, con apoyo de CONSEJO DE ESTADO. Sección Primera. Sentencia del 1° de agosto de 1991. Rad. </w:t>
      </w:r>
      <w:r w:rsidRPr="005A123E">
        <w:rPr>
          <w:rFonts w:ascii="Arial" w:hAnsi="Arial" w:cs="Arial"/>
          <w:sz w:val="19"/>
          <w:szCs w:val="19"/>
        </w:rPr>
        <w:t>949</w:t>
      </w:r>
      <w:r>
        <w:rPr>
          <w:rFonts w:ascii="Arial" w:hAnsi="Arial" w:cs="Arial"/>
          <w:sz w:val="19"/>
          <w:szCs w:val="19"/>
        </w:rPr>
        <w:t xml:space="preserve">. C.P. </w:t>
      </w:r>
      <w:r w:rsidRPr="005A123E">
        <w:rPr>
          <w:rFonts w:ascii="Arial" w:hAnsi="Arial" w:cs="Arial"/>
          <w:sz w:val="19"/>
          <w:szCs w:val="19"/>
        </w:rPr>
        <w:t>Miguel González Rodríguez</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4"/>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31A8"/>
    <w:rsid w:val="00003C5C"/>
    <w:rsid w:val="000040D7"/>
    <w:rsid w:val="00004556"/>
    <w:rsid w:val="00004E47"/>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561"/>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6089F"/>
    <w:rsid w:val="00061010"/>
    <w:rsid w:val="00061D06"/>
    <w:rsid w:val="00062CDD"/>
    <w:rsid w:val="000635D9"/>
    <w:rsid w:val="000640AF"/>
    <w:rsid w:val="00064940"/>
    <w:rsid w:val="00064CAE"/>
    <w:rsid w:val="00064DB7"/>
    <w:rsid w:val="00064FA7"/>
    <w:rsid w:val="00065195"/>
    <w:rsid w:val="0006533E"/>
    <w:rsid w:val="0006536C"/>
    <w:rsid w:val="00065490"/>
    <w:rsid w:val="00065613"/>
    <w:rsid w:val="00070AF1"/>
    <w:rsid w:val="000714DE"/>
    <w:rsid w:val="0007254F"/>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C5"/>
    <w:rsid w:val="00080ACD"/>
    <w:rsid w:val="000811ED"/>
    <w:rsid w:val="00081D62"/>
    <w:rsid w:val="00082303"/>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CDB"/>
    <w:rsid w:val="00092DCA"/>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27B9"/>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A80"/>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0C1B"/>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58E"/>
    <w:rsid w:val="0013182D"/>
    <w:rsid w:val="00131B5A"/>
    <w:rsid w:val="00131CA8"/>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75B"/>
    <w:rsid w:val="00142EFD"/>
    <w:rsid w:val="00142F55"/>
    <w:rsid w:val="00143457"/>
    <w:rsid w:val="00144335"/>
    <w:rsid w:val="0014502F"/>
    <w:rsid w:val="00145282"/>
    <w:rsid w:val="001453B0"/>
    <w:rsid w:val="001454D9"/>
    <w:rsid w:val="00145D8E"/>
    <w:rsid w:val="00146083"/>
    <w:rsid w:val="001462F7"/>
    <w:rsid w:val="00146B92"/>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3F9"/>
    <w:rsid w:val="001747DB"/>
    <w:rsid w:val="00175E49"/>
    <w:rsid w:val="0017649F"/>
    <w:rsid w:val="001764FD"/>
    <w:rsid w:val="0017655D"/>
    <w:rsid w:val="001805C1"/>
    <w:rsid w:val="001807B6"/>
    <w:rsid w:val="00180A2E"/>
    <w:rsid w:val="001813AF"/>
    <w:rsid w:val="001829CD"/>
    <w:rsid w:val="00182F01"/>
    <w:rsid w:val="00183FCD"/>
    <w:rsid w:val="00184F27"/>
    <w:rsid w:val="0018519B"/>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5DA2"/>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564"/>
    <w:rsid w:val="001B5EF8"/>
    <w:rsid w:val="001B615D"/>
    <w:rsid w:val="001B63A1"/>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4F13"/>
    <w:rsid w:val="001D56E9"/>
    <w:rsid w:val="001D5922"/>
    <w:rsid w:val="001D5EE1"/>
    <w:rsid w:val="001D796A"/>
    <w:rsid w:val="001D7A84"/>
    <w:rsid w:val="001D7C79"/>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AE0"/>
    <w:rsid w:val="00231BEE"/>
    <w:rsid w:val="00231EC7"/>
    <w:rsid w:val="00232E15"/>
    <w:rsid w:val="00233079"/>
    <w:rsid w:val="00233106"/>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842"/>
    <w:rsid w:val="00274DB5"/>
    <w:rsid w:val="00275423"/>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E33"/>
    <w:rsid w:val="0028663B"/>
    <w:rsid w:val="00286CEC"/>
    <w:rsid w:val="002870F9"/>
    <w:rsid w:val="002871A9"/>
    <w:rsid w:val="00287505"/>
    <w:rsid w:val="00287D71"/>
    <w:rsid w:val="00287ED6"/>
    <w:rsid w:val="00290781"/>
    <w:rsid w:val="00291784"/>
    <w:rsid w:val="002917C9"/>
    <w:rsid w:val="002920DF"/>
    <w:rsid w:val="0029273C"/>
    <w:rsid w:val="002929BB"/>
    <w:rsid w:val="00294368"/>
    <w:rsid w:val="00294514"/>
    <w:rsid w:val="00294B78"/>
    <w:rsid w:val="00295416"/>
    <w:rsid w:val="00295949"/>
    <w:rsid w:val="0029624A"/>
    <w:rsid w:val="00296922"/>
    <w:rsid w:val="00297098"/>
    <w:rsid w:val="002973DB"/>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269"/>
    <w:rsid w:val="002C441A"/>
    <w:rsid w:val="002C4A73"/>
    <w:rsid w:val="002C4B84"/>
    <w:rsid w:val="002C4C0C"/>
    <w:rsid w:val="002C5016"/>
    <w:rsid w:val="002C5C2F"/>
    <w:rsid w:val="002C5D0F"/>
    <w:rsid w:val="002C60B9"/>
    <w:rsid w:val="002C6F77"/>
    <w:rsid w:val="002C704D"/>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2F06"/>
    <w:rsid w:val="002E32D0"/>
    <w:rsid w:val="002E372E"/>
    <w:rsid w:val="002E3D76"/>
    <w:rsid w:val="002E40A1"/>
    <w:rsid w:val="002E48EC"/>
    <w:rsid w:val="002E4B44"/>
    <w:rsid w:val="002E4ECB"/>
    <w:rsid w:val="002E4F23"/>
    <w:rsid w:val="002E635A"/>
    <w:rsid w:val="002E6D68"/>
    <w:rsid w:val="002E77F0"/>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346"/>
    <w:rsid w:val="0034778E"/>
    <w:rsid w:val="00347A5A"/>
    <w:rsid w:val="003501E2"/>
    <w:rsid w:val="00351E10"/>
    <w:rsid w:val="003533F4"/>
    <w:rsid w:val="003536F6"/>
    <w:rsid w:val="00353765"/>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827"/>
    <w:rsid w:val="0037401C"/>
    <w:rsid w:val="00374D49"/>
    <w:rsid w:val="0037507B"/>
    <w:rsid w:val="00375179"/>
    <w:rsid w:val="00375627"/>
    <w:rsid w:val="00375C7C"/>
    <w:rsid w:val="00377027"/>
    <w:rsid w:val="00377135"/>
    <w:rsid w:val="00377C94"/>
    <w:rsid w:val="00380272"/>
    <w:rsid w:val="003805DB"/>
    <w:rsid w:val="003811F4"/>
    <w:rsid w:val="0038152A"/>
    <w:rsid w:val="0038196F"/>
    <w:rsid w:val="00382BAD"/>
    <w:rsid w:val="00382F03"/>
    <w:rsid w:val="003835FD"/>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615F"/>
    <w:rsid w:val="00396280"/>
    <w:rsid w:val="003966A0"/>
    <w:rsid w:val="00396A29"/>
    <w:rsid w:val="00397FF0"/>
    <w:rsid w:val="003A0878"/>
    <w:rsid w:val="003A1561"/>
    <w:rsid w:val="003A1D25"/>
    <w:rsid w:val="003A22A2"/>
    <w:rsid w:val="003A2447"/>
    <w:rsid w:val="003A2AA1"/>
    <w:rsid w:val="003A2E9D"/>
    <w:rsid w:val="003A31A5"/>
    <w:rsid w:val="003A329A"/>
    <w:rsid w:val="003A3491"/>
    <w:rsid w:val="003A3603"/>
    <w:rsid w:val="003A3851"/>
    <w:rsid w:val="003A39DD"/>
    <w:rsid w:val="003A4199"/>
    <w:rsid w:val="003A4A8E"/>
    <w:rsid w:val="003A5247"/>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4101"/>
    <w:rsid w:val="003D484D"/>
    <w:rsid w:val="003D49CB"/>
    <w:rsid w:val="003D5BAE"/>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1017"/>
    <w:rsid w:val="00431C0B"/>
    <w:rsid w:val="00431ECE"/>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FE0"/>
    <w:rsid w:val="0044500B"/>
    <w:rsid w:val="00445B5B"/>
    <w:rsid w:val="00446037"/>
    <w:rsid w:val="00446268"/>
    <w:rsid w:val="0044642F"/>
    <w:rsid w:val="0044772C"/>
    <w:rsid w:val="00447D53"/>
    <w:rsid w:val="00450846"/>
    <w:rsid w:val="00450D90"/>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5D72"/>
    <w:rsid w:val="00466616"/>
    <w:rsid w:val="00466A0C"/>
    <w:rsid w:val="00466A53"/>
    <w:rsid w:val="004673A8"/>
    <w:rsid w:val="0046753A"/>
    <w:rsid w:val="00467D4E"/>
    <w:rsid w:val="0047098A"/>
    <w:rsid w:val="00470A6A"/>
    <w:rsid w:val="00470D73"/>
    <w:rsid w:val="00470D92"/>
    <w:rsid w:val="00471D8F"/>
    <w:rsid w:val="00471DF7"/>
    <w:rsid w:val="004734CF"/>
    <w:rsid w:val="004734E9"/>
    <w:rsid w:val="004737EA"/>
    <w:rsid w:val="00475C5A"/>
    <w:rsid w:val="00475C9C"/>
    <w:rsid w:val="0047676B"/>
    <w:rsid w:val="0047773C"/>
    <w:rsid w:val="00477C5F"/>
    <w:rsid w:val="00480050"/>
    <w:rsid w:val="0048011C"/>
    <w:rsid w:val="004808DE"/>
    <w:rsid w:val="00480CDC"/>
    <w:rsid w:val="00481AC4"/>
    <w:rsid w:val="00481DC1"/>
    <w:rsid w:val="00482507"/>
    <w:rsid w:val="0048268A"/>
    <w:rsid w:val="00482DE8"/>
    <w:rsid w:val="004835CA"/>
    <w:rsid w:val="004836F8"/>
    <w:rsid w:val="004836FE"/>
    <w:rsid w:val="00484F0F"/>
    <w:rsid w:val="00484F40"/>
    <w:rsid w:val="0048540C"/>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8E0"/>
    <w:rsid w:val="004B298A"/>
    <w:rsid w:val="004B34C4"/>
    <w:rsid w:val="004B50CB"/>
    <w:rsid w:val="004B578D"/>
    <w:rsid w:val="004B5BE7"/>
    <w:rsid w:val="004B5E2D"/>
    <w:rsid w:val="004B6394"/>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45A"/>
    <w:rsid w:val="004D31EE"/>
    <w:rsid w:val="004D36AF"/>
    <w:rsid w:val="004D3BD1"/>
    <w:rsid w:val="004D4720"/>
    <w:rsid w:val="004D4BA1"/>
    <w:rsid w:val="004D4EC1"/>
    <w:rsid w:val="004D536E"/>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2ED3"/>
    <w:rsid w:val="004E40CE"/>
    <w:rsid w:val="004E5736"/>
    <w:rsid w:val="004E5A3C"/>
    <w:rsid w:val="004E5AA8"/>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2E8F"/>
    <w:rsid w:val="00573355"/>
    <w:rsid w:val="0057337D"/>
    <w:rsid w:val="00573504"/>
    <w:rsid w:val="00573BA3"/>
    <w:rsid w:val="00573C8C"/>
    <w:rsid w:val="005745F3"/>
    <w:rsid w:val="00574708"/>
    <w:rsid w:val="00574D81"/>
    <w:rsid w:val="005756AA"/>
    <w:rsid w:val="0057696F"/>
    <w:rsid w:val="005774FE"/>
    <w:rsid w:val="0058040C"/>
    <w:rsid w:val="00580772"/>
    <w:rsid w:val="00580D6D"/>
    <w:rsid w:val="005813DE"/>
    <w:rsid w:val="00581796"/>
    <w:rsid w:val="00581B45"/>
    <w:rsid w:val="00582480"/>
    <w:rsid w:val="00582805"/>
    <w:rsid w:val="0058290E"/>
    <w:rsid w:val="00582CAB"/>
    <w:rsid w:val="00582D08"/>
    <w:rsid w:val="00582E21"/>
    <w:rsid w:val="00582FA6"/>
    <w:rsid w:val="0058375E"/>
    <w:rsid w:val="0058378C"/>
    <w:rsid w:val="00584233"/>
    <w:rsid w:val="005842D0"/>
    <w:rsid w:val="005845FB"/>
    <w:rsid w:val="00584860"/>
    <w:rsid w:val="005855AE"/>
    <w:rsid w:val="00585829"/>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3CD9"/>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4F6F"/>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63E"/>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43FB"/>
    <w:rsid w:val="006959A5"/>
    <w:rsid w:val="00695C0C"/>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2C"/>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E0B"/>
    <w:rsid w:val="006F13BA"/>
    <w:rsid w:val="006F15CC"/>
    <w:rsid w:val="006F15F6"/>
    <w:rsid w:val="006F1F32"/>
    <w:rsid w:val="006F36EA"/>
    <w:rsid w:val="006F4147"/>
    <w:rsid w:val="006F4315"/>
    <w:rsid w:val="006F4CB0"/>
    <w:rsid w:val="006F4F78"/>
    <w:rsid w:val="006F547E"/>
    <w:rsid w:val="006F5CCF"/>
    <w:rsid w:val="006F5F09"/>
    <w:rsid w:val="006F6F04"/>
    <w:rsid w:val="006F71F5"/>
    <w:rsid w:val="00700610"/>
    <w:rsid w:val="00700B9C"/>
    <w:rsid w:val="0070138A"/>
    <w:rsid w:val="0070157E"/>
    <w:rsid w:val="007024EF"/>
    <w:rsid w:val="007030D4"/>
    <w:rsid w:val="00703279"/>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799"/>
    <w:rsid w:val="00713FC5"/>
    <w:rsid w:val="00714DCA"/>
    <w:rsid w:val="00715BBF"/>
    <w:rsid w:val="00715C29"/>
    <w:rsid w:val="00715CBD"/>
    <w:rsid w:val="00715EAA"/>
    <w:rsid w:val="00716CAD"/>
    <w:rsid w:val="00716F18"/>
    <w:rsid w:val="00717363"/>
    <w:rsid w:val="00717786"/>
    <w:rsid w:val="00717ACB"/>
    <w:rsid w:val="00720999"/>
    <w:rsid w:val="0072123A"/>
    <w:rsid w:val="0072138B"/>
    <w:rsid w:val="00721BFF"/>
    <w:rsid w:val="00723475"/>
    <w:rsid w:val="007235BD"/>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6A4D"/>
    <w:rsid w:val="007378E0"/>
    <w:rsid w:val="00737D92"/>
    <w:rsid w:val="00740529"/>
    <w:rsid w:val="00740876"/>
    <w:rsid w:val="00741358"/>
    <w:rsid w:val="00741626"/>
    <w:rsid w:val="00742332"/>
    <w:rsid w:val="00742886"/>
    <w:rsid w:val="00742DD2"/>
    <w:rsid w:val="00742F60"/>
    <w:rsid w:val="007437C6"/>
    <w:rsid w:val="00743C38"/>
    <w:rsid w:val="007441A2"/>
    <w:rsid w:val="00744E80"/>
    <w:rsid w:val="00745035"/>
    <w:rsid w:val="0074531C"/>
    <w:rsid w:val="00745547"/>
    <w:rsid w:val="007459D0"/>
    <w:rsid w:val="0074608B"/>
    <w:rsid w:val="0074623A"/>
    <w:rsid w:val="00746420"/>
    <w:rsid w:val="00746638"/>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2A9"/>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790"/>
    <w:rsid w:val="00791C32"/>
    <w:rsid w:val="00791F7F"/>
    <w:rsid w:val="00791FF0"/>
    <w:rsid w:val="007923D0"/>
    <w:rsid w:val="00792E15"/>
    <w:rsid w:val="007930D3"/>
    <w:rsid w:val="0079381F"/>
    <w:rsid w:val="00793A57"/>
    <w:rsid w:val="00793B2E"/>
    <w:rsid w:val="00793BC2"/>
    <w:rsid w:val="007948F5"/>
    <w:rsid w:val="00795647"/>
    <w:rsid w:val="007963F6"/>
    <w:rsid w:val="007968B8"/>
    <w:rsid w:val="00796905"/>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90C"/>
    <w:rsid w:val="007C7C43"/>
    <w:rsid w:val="007C7F0D"/>
    <w:rsid w:val="007D06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7D3"/>
    <w:rsid w:val="007D58C5"/>
    <w:rsid w:val="007D5DE8"/>
    <w:rsid w:val="007D7CFC"/>
    <w:rsid w:val="007E0812"/>
    <w:rsid w:val="007E18DF"/>
    <w:rsid w:val="007E2C36"/>
    <w:rsid w:val="007E3309"/>
    <w:rsid w:val="007E350D"/>
    <w:rsid w:val="007E3A0A"/>
    <w:rsid w:val="007E3ACA"/>
    <w:rsid w:val="007E496E"/>
    <w:rsid w:val="007E564D"/>
    <w:rsid w:val="007E5C4A"/>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2B3"/>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E94"/>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A7F71"/>
    <w:rsid w:val="008B0862"/>
    <w:rsid w:val="008B088C"/>
    <w:rsid w:val="008B1BF5"/>
    <w:rsid w:val="008B263F"/>
    <w:rsid w:val="008B2686"/>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B0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537"/>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89"/>
    <w:rsid w:val="009444B4"/>
    <w:rsid w:val="00944644"/>
    <w:rsid w:val="00944C27"/>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871"/>
    <w:rsid w:val="009739A8"/>
    <w:rsid w:val="00973C05"/>
    <w:rsid w:val="0097494E"/>
    <w:rsid w:val="00974999"/>
    <w:rsid w:val="00974B58"/>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435"/>
    <w:rsid w:val="009A254A"/>
    <w:rsid w:val="009A35DC"/>
    <w:rsid w:val="009A38AB"/>
    <w:rsid w:val="009A39DD"/>
    <w:rsid w:val="009A3D47"/>
    <w:rsid w:val="009A4D63"/>
    <w:rsid w:val="009A5356"/>
    <w:rsid w:val="009A5468"/>
    <w:rsid w:val="009A57F9"/>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782"/>
    <w:rsid w:val="009D3C84"/>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6BB9"/>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14"/>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EB2"/>
    <w:rsid w:val="00A6009E"/>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1C8"/>
    <w:rsid w:val="00A86E0B"/>
    <w:rsid w:val="00A874BB"/>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5C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538"/>
    <w:rsid w:val="00AB14E8"/>
    <w:rsid w:val="00AB1B1D"/>
    <w:rsid w:val="00AB2216"/>
    <w:rsid w:val="00AB358D"/>
    <w:rsid w:val="00AB37A1"/>
    <w:rsid w:val="00AB3BAD"/>
    <w:rsid w:val="00AB3CFD"/>
    <w:rsid w:val="00AB4244"/>
    <w:rsid w:val="00AB49BC"/>
    <w:rsid w:val="00AB4C02"/>
    <w:rsid w:val="00AB4DEE"/>
    <w:rsid w:val="00AB4E32"/>
    <w:rsid w:val="00AB5999"/>
    <w:rsid w:val="00AB5C19"/>
    <w:rsid w:val="00AB724B"/>
    <w:rsid w:val="00AB726C"/>
    <w:rsid w:val="00AB72B4"/>
    <w:rsid w:val="00AC02AA"/>
    <w:rsid w:val="00AC0537"/>
    <w:rsid w:val="00AC0A84"/>
    <w:rsid w:val="00AC1508"/>
    <w:rsid w:val="00AC2A0B"/>
    <w:rsid w:val="00AC2BEE"/>
    <w:rsid w:val="00AC2E53"/>
    <w:rsid w:val="00AC39C5"/>
    <w:rsid w:val="00AC484F"/>
    <w:rsid w:val="00AC4B20"/>
    <w:rsid w:val="00AC56F2"/>
    <w:rsid w:val="00AC71C3"/>
    <w:rsid w:val="00AC7212"/>
    <w:rsid w:val="00AD09F7"/>
    <w:rsid w:val="00AD11E3"/>
    <w:rsid w:val="00AD1EFA"/>
    <w:rsid w:val="00AD2072"/>
    <w:rsid w:val="00AD2DBD"/>
    <w:rsid w:val="00AD2FBF"/>
    <w:rsid w:val="00AD340E"/>
    <w:rsid w:val="00AD3A38"/>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657"/>
    <w:rsid w:val="00B37AFD"/>
    <w:rsid w:val="00B37B07"/>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7D7"/>
    <w:rsid w:val="00B44854"/>
    <w:rsid w:val="00B44BA5"/>
    <w:rsid w:val="00B458D0"/>
    <w:rsid w:val="00B4595C"/>
    <w:rsid w:val="00B4661B"/>
    <w:rsid w:val="00B46915"/>
    <w:rsid w:val="00B4792C"/>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0F5"/>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D27"/>
    <w:rsid w:val="00B766DC"/>
    <w:rsid w:val="00B76F9D"/>
    <w:rsid w:val="00B777FA"/>
    <w:rsid w:val="00B77850"/>
    <w:rsid w:val="00B7796B"/>
    <w:rsid w:val="00B80C72"/>
    <w:rsid w:val="00B81964"/>
    <w:rsid w:val="00B81E6F"/>
    <w:rsid w:val="00B82123"/>
    <w:rsid w:val="00B8225B"/>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5CF"/>
    <w:rsid w:val="00B92618"/>
    <w:rsid w:val="00B92751"/>
    <w:rsid w:val="00B92B69"/>
    <w:rsid w:val="00B92CC6"/>
    <w:rsid w:val="00B92E63"/>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3F29"/>
    <w:rsid w:val="00BA4771"/>
    <w:rsid w:val="00BA5027"/>
    <w:rsid w:val="00BA59F2"/>
    <w:rsid w:val="00BA665B"/>
    <w:rsid w:val="00BA686B"/>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1E14"/>
    <w:rsid w:val="00BC2898"/>
    <w:rsid w:val="00BC2928"/>
    <w:rsid w:val="00BC296E"/>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7BF"/>
    <w:rsid w:val="00BD59CA"/>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860"/>
    <w:rsid w:val="00BE6938"/>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18E1"/>
    <w:rsid w:val="00C1233E"/>
    <w:rsid w:val="00C123F6"/>
    <w:rsid w:val="00C12FB3"/>
    <w:rsid w:val="00C138BC"/>
    <w:rsid w:val="00C13998"/>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B52"/>
    <w:rsid w:val="00C55C32"/>
    <w:rsid w:val="00C56976"/>
    <w:rsid w:val="00C56A67"/>
    <w:rsid w:val="00C56CC2"/>
    <w:rsid w:val="00C57498"/>
    <w:rsid w:val="00C5763C"/>
    <w:rsid w:val="00C57724"/>
    <w:rsid w:val="00C5780C"/>
    <w:rsid w:val="00C5796B"/>
    <w:rsid w:val="00C612C4"/>
    <w:rsid w:val="00C619A1"/>
    <w:rsid w:val="00C62370"/>
    <w:rsid w:val="00C62BBB"/>
    <w:rsid w:val="00C6305F"/>
    <w:rsid w:val="00C6325B"/>
    <w:rsid w:val="00C63BD7"/>
    <w:rsid w:val="00C63D8F"/>
    <w:rsid w:val="00C63E99"/>
    <w:rsid w:val="00C649B8"/>
    <w:rsid w:val="00C64A64"/>
    <w:rsid w:val="00C65151"/>
    <w:rsid w:val="00C657F4"/>
    <w:rsid w:val="00C6598D"/>
    <w:rsid w:val="00C660FE"/>
    <w:rsid w:val="00C66119"/>
    <w:rsid w:val="00C66292"/>
    <w:rsid w:val="00C66D0A"/>
    <w:rsid w:val="00C66F21"/>
    <w:rsid w:val="00C672A3"/>
    <w:rsid w:val="00C672F1"/>
    <w:rsid w:val="00C673D0"/>
    <w:rsid w:val="00C6742E"/>
    <w:rsid w:val="00C67B0B"/>
    <w:rsid w:val="00C70012"/>
    <w:rsid w:val="00C708AA"/>
    <w:rsid w:val="00C71E2A"/>
    <w:rsid w:val="00C733BA"/>
    <w:rsid w:val="00C7595C"/>
    <w:rsid w:val="00C760DC"/>
    <w:rsid w:val="00C8082B"/>
    <w:rsid w:val="00C81A88"/>
    <w:rsid w:val="00C81AE5"/>
    <w:rsid w:val="00C81D46"/>
    <w:rsid w:val="00C82298"/>
    <w:rsid w:val="00C833B4"/>
    <w:rsid w:val="00C84284"/>
    <w:rsid w:val="00C84E33"/>
    <w:rsid w:val="00C85D99"/>
    <w:rsid w:val="00C85FFC"/>
    <w:rsid w:val="00C861FC"/>
    <w:rsid w:val="00C86C87"/>
    <w:rsid w:val="00C875EC"/>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4D3B"/>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1017"/>
    <w:rsid w:val="00CD205D"/>
    <w:rsid w:val="00CD2A22"/>
    <w:rsid w:val="00CD2B50"/>
    <w:rsid w:val="00CD2FD9"/>
    <w:rsid w:val="00CD3172"/>
    <w:rsid w:val="00CD4357"/>
    <w:rsid w:val="00CD43B3"/>
    <w:rsid w:val="00CD4506"/>
    <w:rsid w:val="00CD520B"/>
    <w:rsid w:val="00CD592E"/>
    <w:rsid w:val="00CD5982"/>
    <w:rsid w:val="00CD5A1A"/>
    <w:rsid w:val="00CD6988"/>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6B37"/>
    <w:rsid w:val="00CF73F8"/>
    <w:rsid w:val="00CF75C1"/>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522A"/>
    <w:rsid w:val="00D2531C"/>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3FA4"/>
    <w:rsid w:val="00D34B25"/>
    <w:rsid w:val="00D34F4E"/>
    <w:rsid w:val="00D357F3"/>
    <w:rsid w:val="00D357FA"/>
    <w:rsid w:val="00D35C0E"/>
    <w:rsid w:val="00D373A8"/>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2CB"/>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18"/>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D61"/>
    <w:rsid w:val="00D8616D"/>
    <w:rsid w:val="00D86363"/>
    <w:rsid w:val="00D8641F"/>
    <w:rsid w:val="00D866CA"/>
    <w:rsid w:val="00D869B7"/>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91E"/>
    <w:rsid w:val="00D97ACE"/>
    <w:rsid w:val="00D97BD1"/>
    <w:rsid w:val="00D97DAD"/>
    <w:rsid w:val="00DA06B8"/>
    <w:rsid w:val="00DA14A9"/>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7462"/>
    <w:rsid w:val="00DA7AD0"/>
    <w:rsid w:val="00DB02D7"/>
    <w:rsid w:val="00DB03CC"/>
    <w:rsid w:val="00DB12D4"/>
    <w:rsid w:val="00DB14F0"/>
    <w:rsid w:val="00DB1745"/>
    <w:rsid w:val="00DB17C2"/>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20C6"/>
    <w:rsid w:val="00DE3119"/>
    <w:rsid w:val="00DE3FF0"/>
    <w:rsid w:val="00DE4105"/>
    <w:rsid w:val="00DE41C4"/>
    <w:rsid w:val="00DE5189"/>
    <w:rsid w:val="00DE54B2"/>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2012A"/>
    <w:rsid w:val="00E205A2"/>
    <w:rsid w:val="00E20BA4"/>
    <w:rsid w:val="00E2302A"/>
    <w:rsid w:val="00E23137"/>
    <w:rsid w:val="00E23980"/>
    <w:rsid w:val="00E241E9"/>
    <w:rsid w:val="00E242BA"/>
    <w:rsid w:val="00E257C3"/>
    <w:rsid w:val="00E25CB3"/>
    <w:rsid w:val="00E25DA4"/>
    <w:rsid w:val="00E26237"/>
    <w:rsid w:val="00E26CB8"/>
    <w:rsid w:val="00E26D16"/>
    <w:rsid w:val="00E26FCF"/>
    <w:rsid w:val="00E27165"/>
    <w:rsid w:val="00E275D9"/>
    <w:rsid w:val="00E27801"/>
    <w:rsid w:val="00E27988"/>
    <w:rsid w:val="00E3044A"/>
    <w:rsid w:val="00E30E49"/>
    <w:rsid w:val="00E314A5"/>
    <w:rsid w:val="00E3174A"/>
    <w:rsid w:val="00E31A4A"/>
    <w:rsid w:val="00E3344A"/>
    <w:rsid w:val="00E33B29"/>
    <w:rsid w:val="00E33B62"/>
    <w:rsid w:val="00E3403D"/>
    <w:rsid w:val="00E344BD"/>
    <w:rsid w:val="00E34E6C"/>
    <w:rsid w:val="00E353E2"/>
    <w:rsid w:val="00E358F7"/>
    <w:rsid w:val="00E36345"/>
    <w:rsid w:val="00E368BD"/>
    <w:rsid w:val="00E36C86"/>
    <w:rsid w:val="00E36CEB"/>
    <w:rsid w:val="00E37387"/>
    <w:rsid w:val="00E37A28"/>
    <w:rsid w:val="00E40430"/>
    <w:rsid w:val="00E40690"/>
    <w:rsid w:val="00E40AEB"/>
    <w:rsid w:val="00E40B4D"/>
    <w:rsid w:val="00E4143A"/>
    <w:rsid w:val="00E424C8"/>
    <w:rsid w:val="00E4251D"/>
    <w:rsid w:val="00E43D00"/>
    <w:rsid w:val="00E443B4"/>
    <w:rsid w:val="00E445E4"/>
    <w:rsid w:val="00E45093"/>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48D"/>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4E6"/>
    <w:rsid w:val="00E63DCE"/>
    <w:rsid w:val="00E6441D"/>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4EE"/>
    <w:rsid w:val="00E77784"/>
    <w:rsid w:val="00E77937"/>
    <w:rsid w:val="00E77AF5"/>
    <w:rsid w:val="00E81925"/>
    <w:rsid w:val="00E823F9"/>
    <w:rsid w:val="00E82C1F"/>
    <w:rsid w:val="00E83671"/>
    <w:rsid w:val="00E840EE"/>
    <w:rsid w:val="00E8416F"/>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C77"/>
    <w:rsid w:val="00E92E62"/>
    <w:rsid w:val="00E93804"/>
    <w:rsid w:val="00E9429D"/>
    <w:rsid w:val="00E94F0F"/>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6A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BA7"/>
    <w:rsid w:val="00EC5C42"/>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E29"/>
    <w:rsid w:val="00F87F18"/>
    <w:rsid w:val="00F87F68"/>
    <w:rsid w:val="00F90C4D"/>
    <w:rsid w:val="00F9167D"/>
    <w:rsid w:val="00F91CB2"/>
    <w:rsid w:val="00F91E38"/>
    <w:rsid w:val="00F9232A"/>
    <w:rsid w:val="00F927E8"/>
    <w:rsid w:val="00F9289C"/>
    <w:rsid w:val="00F9374A"/>
    <w:rsid w:val="00F9375C"/>
    <w:rsid w:val="00F93973"/>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3508"/>
    <w:rsid w:val="00FD393C"/>
    <w:rsid w:val="00FD3AFF"/>
    <w:rsid w:val="00FD43BB"/>
    <w:rsid w:val="00FD48CD"/>
    <w:rsid w:val="00FD4AF3"/>
    <w:rsid w:val="00FD798D"/>
    <w:rsid w:val="00FE141E"/>
    <w:rsid w:val="00FE144E"/>
    <w:rsid w:val="00FE1768"/>
    <w:rsid w:val="00FE24F4"/>
    <w:rsid w:val="00FE2560"/>
    <w:rsid w:val="00FE29AD"/>
    <w:rsid w:val="00FE35D0"/>
    <w:rsid w:val="00FE42ED"/>
    <w:rsid w:val="00FE4E06"/>
    <w:rsid w:val="00FE55A7"/>
    <w:rsid w:val="00FE5C5A"/>
    <w:rsid w:val="00FE6432"/>
    <w:rsid w:val="00FE72A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564"/>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47033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2">
          <w:marLeft w:val="0"/>
          <w:marRight w:val="0"/>
          <w:marTop w:val="0"/>
          <w:marBottom w:val="0"/>
          <w:divBdr>
            <w:top w:val="none" w:sz="0" w:space="0" w:color="auto"/>
            <w:left w:val="none" w:sz="0" w:space="0" w:color="auto"/>
            <w:bottom w:val="none" w:sz="0" w:space="0" w:color="auto"/>
            <w:right w:val="none" w:sz="0" w:space="0" w:color="auto"/>
          </w:divBdr>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19</TotalTime>
  <Pages>28</Pages>
  <Words>10768</Words>
  <Characters>59228</Characters>
  <Application>Microsoft Office Word</Application>
  <DocSecurity>0</DocSecurity>
  <Lines>493</Lines>
  <Paragraphs>139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28</cp:revision>
  <cp:lastPrinted>2020-01-30T15:05:00Z</cp:lastPrinted>
  <dcterms:created xsi:type="dcterms:W3CDTF">2021-04-19T01:33:00Z</dcterms:created>
  <dcterms:modified xsi:type="dcterms:W3CDTF">2021-04-19T13:03:00Z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