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1F7CB627" w:rsidR="0034177C" w:rsidRDefault="009F59C2" w:rsidP="003D196A">
      <w:pPr>
        <w:spacing w:line="276" w:lineRule="auto"/>
        <w:jc w:val="right"/>
        <w:rPr>
          <w:rFonts w:ascii="Arial" w:hAnsi="Arial" w:cs="Arial"/>
          <w:b/>
          <w:color w:val="000000" w:themeColor="text1"/>
          <w:sz w:val="16"/>
          <w:szCs w:val="16"/>
          <w:lang w:eastAsia="es-ES"/>
        </w:rPr>
      </w:pPr>
      <w:bookmarkStart w:id="0" w:name="_Hlk28946138"/>
      <w:bookmarkStart w:id="1" w:name="_Hlk29548183"/>
      <w:r w:rsidRPr="004E20DA">
        <w:rPr>
          <w:rFonts w:ascii="Arial" w:hAnsi="Arial" w:cs="Arial"/>
          <w:b/>
          <w:color w:val="000000" w:themeColor="text1"/>
          <w:sz w:val="22"/>
          <w:lang w:eastAsia="es-ES"/>
        </w:rPr>
        <w:tab/>
      </w:r>
      <w:r w:rsidR="0034177C" w:rsidRPr="004E20DA">
        <w:rPr>
          <w:rFonts w:ascii="Arial" w:hAnsi="Arial" w:cs="Arial"/>
          <w:b/>
          <w:color w:val="000000" w:themeColor="text1"/>
          <w:sz w:val="16"/>
          <w:szCs w:val="16"/>
          <w:lang w:eastAsia="es-ES"/>
        </w:rPr>
        <w:t>CCE-DES-FM-17</w:t>
      </w:r>
    </w:p>
    <w:p w14:paraId="0E64C9DE" w14:textId="77777777" w:rsidR="003D196A" w:rsidRPr="004E20DA" w:rsidRDefault="003D196A" w:rsidP="003D196A">
      <w:pPr>
        <w:spacing w:line="276" w:lineRule="auto"/>
        <w:jc w:val="right"/>
        <w:rPr>
          <w:rFonts w:ascii="Arial" w:hAnsi="Arial" w:cs="Arial"/>
          <w:b/>
          <w:color w:val="000000" w:themeColor="text1"/>
          <w:sz w:val="16"/>
          <w:szCs w:val="16"/>
          <w:lang w:eastAsia="es-ES"/>
        </w:rPr>
      </w:pPr>
    </w:p>
    <w:p w14:paraId="33FF83A2" w14:textId="502A5809" w:rsidR="0034177C" w:rsidRPr="004E20DA" w:rsidRDefault="00842A04" w:rsidP="003D196A">
      <w:pPr>
        <w:jc w:val="both"/>
        <w:rPr>
          <w:rFonts w:ascii="Arial" w:eastAsia="Calibri" w:hAnsi="Arial" w:cs="Arial"/>
          <w:b/>
          <w:color w:val="000000" w:themeColor="text1"/>
          <w:sz w:val="22"/>
        </w:rPr>
      </w:pPr>
      <w:r w:rsidRPr="004E20DA">
        <w:rPr>
          <w:rFonts w:ascii="Arial" w:eastAsia="Calibri" w:hAnsi="Arial" w:cs="Arial"/>
          <w:b/>
          <w:color w:val="000000" w:themeColor="text1"/>
          <w:sz w:val="22"/>
        </w:rPr>
        <w:t xml:space="preserve">EXPERIENCIA </w:t>
      </w:r>
      <w:r w:rsidR="00F5085E" w:rsidRPr="006C15D5">
        <w:rPr>
          <w:rFonts w:ascii="Arial" w:eastAsia="Calibri" w:hAnsi="Arial" w:cs="Arial"/>
          <w:b/>
          <w:color w:val="000000" w:themeColor="text1"/>
          <w:sz w:val="22"/>
        </w:rPr>
        <w:t>–</w:t>
      </w:r>
      <w:r w:rsidR="00F5085E">
        <w:rPr>
          <w:rFonts w:ascii="Arial" w:eastAsia="Calibri" w:hAnsi="Arial" w:cs="Arial"/>
          <w:b/>
          <w:color w:val="000000" w:themeColor="text1"/>
          <w:sz w:val="22"/>
        </w:rPr>
        <w:t xml:space="preserve"> </w:t>
      </w:r>
      <w:r w:rsidRPr="004E20DA">
        <w:rPr>
          <w:rFonts w:ascii="Arial" w:eastAsia="Calibri" w:hAnsi="Arial" w:cs="Arial"/>
          <w:b/>
          <w:color w:val="000000" w:themeColor="text1"/>
          <w:sz w:val="22"/>
        </w:rPr>
        <w:t>S</w:t>
      </w:r>
      <w:r w:rsidR="00F5085E" w:rsidRPr="004E20DA">
        <w:rPr>
          <w:rFonts w:ascii="Arial" w:eastAsia="Calibri" w:hAnsi="Arial" w:cs="Arial"/>
          <w:b/>
          <w:color w:val="000000" w:themeColor="text1"/>
          <w:sz w:val="22"/>
        </w:rPr>
        <w:t xml:space="preserve">ociedades con menos de 3 años de constitución </w:t>
      </w:r>
      <w:r w:rsidR="008B0F89" w:rsidRPr="006C15D5">
        <w:rPr>
          <w:rFonts w:ascii="Arial" w:eastAsia="Calibri" w:hAnsi="Arial" w:cs="Arial"/>
          <w:b/>
          <w:color w:val="000000" w:themeColor="text1"/>
          <w:sz w:val="22"/>
        </w:rPr>
        <w:t>–</w:t>
      </w:r>
      <w:r w:rsidR="002B128E" w:rsidRPr="004E20DA">
        <w:rPr>
          <w:rFonts w:ascii="Arial" w:eastAsia="Calibri" w:hAnsi="Arial" w:cs="Arial"/>
          <w:b/>
          <w:color w:val="000000" w:themeColor="text1"/>
          <w:sz w:val="22"/>
        </w:rPr>
        <w:t xml:space="preserve"> </w:t>
      </w:r>
      <w:r w:rsidRPr="004E20DA">
        <w:rPr>
          <w:rFonts w:ascii="Arial" w:eastAsia="Calibri" w:hAnsi="Arial" w:cs="Arial"/>
          <w:b/>
          <w:color w:val="000000" w:themeColor="text1"/>
          <w:sz w:val="22"/>
        </w:rPr>
        <w:t>Procesos exceptuados del RUP</w:t>
      </w:r>
    </w:p>
    <w:p w14:paraId="2A91975A" w14:textId="77777777" w:rsidR="00EE415B" w:rsidRDefault="00EE415B" w:rsidP="004E20DA">
      <w:pPr>
        <w:jc w:val="both"/>
        <w:rPr>
          <w:rFonts w:ascii="Arial" w:eastAsia="Calibri" w:hAnsi="Arial" w:cs="Arial"/>
          <w:color w:val="000000" w:themeColor="text1"/>
          <w:sz w:val="20"/>
          <w:szCs w:val="20"/>
        </w:rPr>
      </w:pPr>
    </w:p>
    <w:p w14:paraId="24585854" w14:textId="639D504B" w:rsidR="00EE415B" w:rsidRDefault="00EE415B" w:rsidP="00EE415B">
      <w:pPr>
        <w:spacing w:after="120"/>
        <w:jc w:val="both"/>
        <w:rPr>
          <w:rFonts w:ascii="Arial" w:hAnsi="Arial" w:cs="Arial"/>
          <w:color w:val="000000" w:themeColor="text1"/>
          <w:sz w:val="20"/>
          <w:szCs w:val="20"/>
        </w:rPr>
      </w:pPr>
      <w:r>
        <w:rPr>
          <w:rFonts w:ascii="Arial" w:eastAsia="Calibri" w:hAnsi="Arial" w:cs="Arial"/>
          <w:color w:val="000000" w:themeColor="text1"/>
          <w:sz w:val="20"/>
          <w:szCs w:val="20"/>
        </w:rPr>
        <w:t xml:space="preserve">[…] </w:t>
      </w:r>
      <w:r w:rsidR="0099327B">
        <w:rPr>
          <w:rFonts w:ascii="Arial" w:hAnsi="Arial" w:cs="Arial"/>
          <w:color w:val="000000" w:themeColor="text1"/>
          <w:sz w:val="20"/>
          <w:szCs w:val="20"/>
        </w:rPr>
        <w:t>f</w:t>
      </w:r>
      <w:r w:rsidR="00842A04" w:rsidRPr="0003383F">
        <w:rPr>
          <w:rFonts w:ascii="Arial" w:hAnsi="Arial" w:cs="Arial"/>
          <w:color w:val="000000" w:themeColor="text1"/>
          <w:sz w:val="20"/>
          <w:szCs w:val="20"/>
        </w:rPr>
        <w:t xml:space="preserve">rente a la acreditación de la experiencia de los socios, accionistas o constituyentes de una persona jurídica con menos de 3 años de constitución, para participar en los eventos exceptuados al deber de inscripción en el RUP, como en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14:paraId="16209C1F" w14:textId="58CC5BD6" w:rsidR="00842A04" w:rsidRPr="0003383F" w:rsidRDefault="00842A04" w:rsidP="004E20DA">
      <w:pPr>
        <w:jc w:val="both"/>
        <w:rPr>
          <w:rFonts w:ascii="Arial" w:hAnsi="Arial" w:cs="Arial"/>
          <w:color w:val="000000" w:themeColor="text1"/>
          <w:sz w:val="20"/>
          <w:szCs w:val="20"/>
        </w:rPr>
      </w:pPr>
      <w:r w:rsidRPr="0003383F">
        <w:rPr>
          <w:rFonts w:ascii="Arial" w:hAnsi="Arial" w:cs="Arial"/>
          <w:color w:val="000000" w:themeColor="text1"/>
          <w:sz w:val="20"/>
          <w:szCs w:val="20"/>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29786F51" w14:textId="2DB93BEB" w:rsidR="00965ED6" w:rsidRPr="0003383F" w:rsidRDefault="00965ED6" w:rsidP="004E20DA">
      <w:pPr>
        <w:jc w:val="both"/>
        <w:rPr>
          <w:rFonts w:ascii="Arial" w:hAnsi="Arial" w:cs="Arial"/>
          <w:color w:val="000000" w:themeColor="text1"/>
          <w:sz w:val="20"/>
          <w:szCs w:val="20"/>
        </w:rPr>
      </w:pPr>
    </w:p>
    <w:p w14:paraId="363C6AC8" w14:textId="492A25CE" w:rsidR="001127DA" w:rsidRPr="004E20DA" w:rsidRDefault="00B67884" w:rsidP="004E20DA">
      <w:pPr>
        <w:jc w:val="both"/>
        <w:rPr>
          <w:rFonts w:ascii="Arial" w:hAnsi="Arial" w:cs="Arial"/>
          <w:b/>
          <w:bCs/>
          <w:color w:val="000000" w:themeColor="text1"/>
          <w:sz w:val="22"/>
        </w:rPr>
      </w:pPr>
      <w:r w:rsidRPr="004E20DA">
        <w:rPr>
          <w:rFonts w:ascii="Arial" w:hAnsi="Arial" w:cs="Arial"/>
          <w:b/>
          <w:bCs/>
          <w:color w:val="000000" w:themeColor="text1"/>
          <w:sz w:val="22"/>
        </w:rPr>
        <w:t xml:space="preserve">EXPERIENCIA </w:t>
      </w:r>
      <w:r w:rsidR="008B0F89" w:rsidRPr="006C15D5">
        <w:rPr>
          <w:rFonts w:ascii="Arial" w:eastAsia="Calibri" w:hAnsi="Arial" w:cs="Arial"/>
          <w:b/>
          <w:color w:val="000000" w:themeColor="text1"/>
          <w:sz w:val="22"/>
        </w:rPr>
        <w:t>–</w:t>
      </w:r>
      <w:r w:rsidR="00E02B77" w:rsidRPr="004E20DA">
        <w:rPr>
          <w:rFonts w:ascii="Arial" w:eastAsia="Calibri" w:hAnsi="Arial" w:cs="Arial"/>
          <w:color w:val="000000" w:themeColor="text1"/>
          <w:sz w:val="22"/>
        </w:rPr>
        <w:t xml:space="preserve"> </w:t>
      </w:r>
      <w:r w:rsidR="00C446B1">
        <w:rPr>
          <w:rFonts w:ascii="Arial" w:eastAsia="Calibri" w:hAnsi="Arial" w:cs="Arial"/>
          <w:b/>
          <w:color w:val="000000" w:themeColor="text1"/>
          <w:sz w:val="22"/>
        </w:rPr>
        <w:t xml:space="preserve">Requerida </w:t>
      </w:r>
      <w:r w:rsidR="00C446B1" w:rsidRPr="006C15D5">
        <w:rPr>
          <w:rFonts w:ascii="Arial" w:eastAsia="Calibri" w:hAnsi="Arial" w:cs="Arial"/>
          <w:b/>
          <w:color w:val="000000" w:themeColor="text1"/>
          <w:sz w:val="22"/>
        </w:rPr>
        <w:t>–</w:t>
      </w:r>
      <w:r w:rsidR="00C446B1">
        <w:rPr>
          <w:rFonts w:ascii="Arial" w:eastAsia="Calibri" w:hAnsi="Arial" w:cs="Arial"/>
          <w:b/>
          <w:color w:val="000000" w:themeColor="text1"/>
          <w:sz w:val="22"/>
        </w:rPr>
        <w:t xml:space="preserve"> </w:t>
      </w:r>
      <w:bookmarkStart w:id="2" w:name="_GoBack"/>
      <w:bookmarkEnd w:id="2"/>
      <w:r w:rsidRPr="004E20DA">
        <w:rPr>
          <w:rFonts w:ascii="Arial" w:eastAsia="Calibri" w:hAnsi="Arial" w:cs="Arial"/>
          <w:b/>
          <w:bCs/>
          <w:color w:val="000000" w:themeColor="text1"/>
          <w:sz w:val="22"/>
        </w:rPr>
        <w:t xml:space="preserve">Competencia </w:t>
      </w:r>
      <w:r w:rsidR="006F7196">
        <w:rPr>
          <w:rFonts w:ascii="Arial" w:eastAsia="Calibri" w:hAnsi="Arial" w:cs="Arial"/>
          <w:b/>
          <w:bCs/>
          <w:color w:val="000000" w:themeColor="text1"/>
          <w:sz w:val="22"/>
        </w:rPr>
        <w:t xml:space="preserve">fijación </w:t>
      </w:r>
    </w:p>
    <w:p w14:paraId="65DCBB51" w14:textId="600B0870" w:rsidR="001127DA" w:rsidRPr="0003383F" w:rsidRDefault="001127DA" w:rsidP="004E20DA">
      <w:pPr>
        <w:jc w:val="both"/>
        <w:rPr>
          <w:rFonts w:ascii="Arial" w:hAnsi="Arial" w:cs="Arial"/>
          <w:b/>
          <w:bCs/>
          <w:color w:val="000000" w:themeColor="text1"/>
          <w:sz w:val="20"/>
          <w:szCs w:val="20"/>
        </w:rPr>
      </w:pPr>
    </w:p>
    <w:p w14:paraId="224F8DC0" w14:textId="1427C214" w:rsidR="001127DA" w:rsidRPr="0003383F" w:rsidRDefault="000D1B5D" w:rsidP="004E20DA">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99327B">
        <w:rPr>
          <w:rFonts w:ascii="Arial" w:eastAsia="Calibri" w:hAnsi="Arial" w:cs="Arial"/>
          <w:color w:val="000000" w:themeColor="text1"/>
          <w:sz w:val="20"/>
          <w:szCs w:val="20"/>
        </w:rPr>
        <w:t>l</w:t>
      </w:r>
      <w:r w:rsidR="001127DA" w:rsidRPr="0003383F">
        <w:rPr>
          <w:rFonts w:ascii="Arial" w:eastAsia="Calibri" w:hAnsi="Arial" w:cs="Arial"/>
          <w:color w:val="000000" w:themeColor="text1"/>
          <w:sz w:val="20"/>
          <w:szCs w:val="20"/>
        </w:rPr>
        <w:t xml:space="preserve">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 </w:t>
      </w:r>
    </w:p>
    <w:p w14:paraId="2D8EE2B4" w14:textId="77777777" w:rsidR="00C93025" w:rsidRPr="0003383F" w:rsidRDefault="00C93025" w:rsidP="004E20DA">
      <w:pPr>
        <w:jc w:val="both"/>
        <w:rPr>
          <w:rFonts w:ascii="Arial" w:eastAsia="Calibri" w:hAnsi="Arial" w:cs="Arial"/>
          <w:b/>
          <w:bCs/>
          <w:color w:val="000000" w:themeColor="text1"/>
          <w:sz w:val="20"/>
          <w:szCs w:val="20"/>
        </w:rPr>
      </w:pPr>
    </w:p>
    <w:p w14:paraId="1CF0E65F" w14:textId="1A2294CF" w:rsidR="007D5F39" w:rsidRPr="004E20DA" w:rsidRDefault="006F7196" w:rsidP="004E20DA">
      <w:pPr>
        <w:jc w:val="both"/>
        <w:rPr>
          <w:rFonts w:ascii="Arial" w:eastAsia="Calibri" w:hAnsi="Arial" w:cs="Arial"/>
          <w:b/>
          <w:bCs/>
          <w:color w:val="000000" w:themeColor="text1"/>
          <w:sz w:val="22"/>
        </w:rPr>
      </w:pPr>
      <w:r>
        <w:rPr>
          <w:rFonts w:ascii="Arial" w:eastAsia="Calibri" w:hAnsi="Arial" w:cs="Arial"/>
          <w:b/>
          <w:bCs/>
          <w:color w:val="000000" w:themeColor="text1"/>
          <w:sz w:val="22"/>
        </w:rPr>
        <w:t>REGISTRO ÚNICO DE PROPONENTES</w:t>
      </w:r>
      <w:r w:rsidR="00C93025" w:rsidRPr="004E20DA">
        <w:rPr>
          <w:rFonts w:ascii="Arial" w:eastAsia="Calibri" w:hAnsi="Arial" w:cs="Arial"/>
          <w:b/>
          <w:bCs/>
          <w:color w:val="000000" w:themeColor="text1"/>
          <w:sz w:val="22"/>
        </w:rPr>
        <w:t xml:space="preserve"> </w:t>
      </w:r>
      <w:r w:rsidR="008B0F89" w:rsidRPr="006C15D5">
        <w:rPr>
          <w:rFonts w:ascii="Arial" w:eastAsia="Calibri" w:hAnsi="Arial" w:cs="Arial"/>
          <w:b/>
          <w:color w:val="000000" w:themeColor="text1"/>
          <w:sz w:val="22"/>
        </w:rPr>
        <w:t>–</w:t>
      </w:r>
      <w:r w:rsidR="00C93025" w:rsidRPr="004E20DA">
        <w:rPr>
          <w:rFonts w:ascii="Arial" w:eastAsia="Calibri" w:hAnsi="Arial" w:cs="Arial"/>
          <w:b/>
          <w:bCs/>
          <w:color w:val="000000" w:themeColor="text1"/>
          <w:sz w:val="22"/>
        </w:rPr>
        <w:t xml:space="preserve"> </w:t>
      </w:r>
      <w:r w:rsidR="007F763E">
        <w:rPr>
          <w:rFonts w:ascii="Arial" w:eastAsia="Calibri" w:hAnsi="Arial" w:cs="Arial"/>
          <w:b/>
          <w:bCs/>
          <w:color w:val="000000" w:themeColor="text1"/>
          <w:sz w:val="22"/>
        </w:rPr>
        <w:t xml:space="preserve">Plena prueba </w:t>
      </w:r>
      <w:r w:rsidR="007F763E" w:rsidRPr="006C15D5">
        <w:rPr>
          <w:rFonts w:ascii="Arial" w:eastAsia="Calibri" w:hAnsi="Arial" w:cs="Arial"/>
          <w:b/>
          <w:color w:val="000000" w:themeColor="text1"/>
          <w:sz w:val="22"/>
        </w:rPr>
        <w:t>–</w:t>
      </w:r>
      <w:r w:rsidR="007F763E">
        <w:rPr>
          <w:rFonts w:ascii="Arial" w:eastAsia="Calibri" w:hAnsi="Arial" w:cs="Arial"/>
          <w:b/>
          <w:color w:val="000000" w:themeColor="text1"/>
          <w:sz w:val="22"/>
        </w:rPr>
        <w:t xml:space="preserve"> R</w:t>
      </w:r>
      <w:r w:rsidR="00104DFA" w:rsidRPr="004E20DA">
        <w:rPr>
          <w:rFonts w:ascii="Arial" w:eastAsia="Calibri" w:hAnsi="Arial" w:cs="Arial"/>
          <w:b/>
          <w:bCs/>
          <w:color w:val="000000" w:themeColor="text1"/>
          <w:sz w:val="22"/>
        </w:rPr>
        <w:t xml:space="preserve">equisitos habilitantes </w:t>
      </w:r>
      <w:r w:rsidR="007D5F39" w:rsidRPr="004E20DA">
        <w:rPr>
          <w:rFonts w:ascii="Arial" w:eastAsia="Calibri" w:hAnsi="Arial" w:cs="Arial"/>
          <w:b/>
          <w:bCs/>
          <w:color w:val="000000" w:themeColor="text1"/>
          <w:sz w:val="22"/>
        </w:rPr>
        <w:t xml:space="preserve"> </w:t>
      </w:r>
    </w:p>
    <w:p w14:paraId="3791EAEB" w14:textId="73EE01D3" w:rsidR="007D5F39" w:rsidRPr="0003383F" w:rsidRDefault="007D5F39" w:rsidP="004E20DA">
      <w:pPr>
        <w:jc w:val="both"/>
        <w:rPr>
          <w:rFonts w:ascii="Arial" w:eastAsia="Calibri" w:hAnsi="Arial" w:cs="Arial"/>
          <w:b/>
          <w:bCs/>
          <w:color w:val="000000" w:themeColor="text1"/>
          <w:sz w:val="20"/>
          <w:szCs w:val="20"/>
        </w:rPr>
      </w:pPr>
    </w:p>
    <w:p w14:paraId="0CC8EE4C" w14:textId="4D030345" w:rsidR="007D5F39" w:rsidRPr="0003383F" w:rsidRDefault="007D5F39" w:rsidP="004E20DA">
      <w:pPr>
        <w:jc w:val="both"/>
        <w:rPr>
          <w:rFonts w:ascii="Arial" w:eastAsia="Calibri" w:hAnsi="Arial" w:cs="Arial"/>
          <w:b/>
          <w:bCs/>
          <w:color w:val="000000" w:themeColor="text1"/>
          <w:sz w:val="20"/>
          <w:szCs w:val="20"/>
        </w:rPr>
      </w:pPr>
      <w:r w:rsidRPr="0003383F">
        <w:rPr>
          <w:rFonts w:ascii="Arial" w:eastAsia="Calibri" w:hAnsi="Arial" w:cs="Arial"/>
          <w:color w:val="000000" w:themeColor="text1"/>
          <w:sz w:val="20"/>
          <w:szCs w:val="20"/>
        </w:rPr>
        <w:t>La experiencia que se deriva de los contratos que el proponente ha celebrado y ejecutado con diferentes contratantes, sin importar la naturaleza de estos, se verifica con el Registro Único de Proponentes (RUP), cuando este certificado sea exigible de acuerdo con la ley, en el cual constan los requisitos habilitantes que se evalúan exclusivamente con este documento, que es su plena prueba, sin que le sea posible a la entidad o al proponente solicitar o aportar otra documentación</w:t>
      </w:r>
    </w:p>
    <w:p w14:paraId="1D7A24E0" w14:textId="77777777" w:rsidR="00104DFA" w:rsidRPr="0003383F" w:rsidRDefault="00104DFA" w:rsidP="004E20DA">
      <w:pPr>
        <w:jc w:val="both"/>
        <w:rPr>
          <w:rFonts w:ascii="Arial" w:hAnsi="Arial" w:cs="Arial"/>
          <w:b/>
          <w:bCs/>
          <w:color w:val="000000" w:themeColor="text1"/>
          <w:sz w:val="20"/>
          <w:szCs w:val="20"/>
        </w:rPr>
      </w:pPr>
    </w:p>
    <w:p w14:paraId="658A36ED" w14:textId="3A367F0C" w:rsidR="007C0569" w:rsidRPr="004E20DA" w:rsidRDefault="006F7196" w:rsidP="004E20DA">
      <w:pPr>
        <w:jc w:val="both"/>
        <w:rPr>
          <w:rFonts w:ascii="Arial" w:hAnsi="Arial" w:cs="Arial"/>
          <w:b/>
          <w:bCs/>
          <w:color w:val="000000" w:themeColor="text1"/>
          <w:sz w:val="22"/>
        </w:rPr>
      </w:pPr>
      <w:r>
        <w:rPr>
          <w:rFonts w:ascii="Arial" w:eastAsia="Calibri" w:hAnsi="Arial" w:cs="Arial"/>
          <w:b/>
          <w:bCs/>
          <w:color w:val="000000" w:themeColor="text1"/>
          <w:sz w:val="22"/>
        </w:rPr>
        <w:t>REGISTRO ÚNICO DE PROPONENTES</w:t>
      </w:r>
      <w:r w:rsidRPr="004E20DA">
        <w:rPr>
          <w:rFonts w:ascii="Arial" w:eastAsia="Calibri" w:hAnsi="Arial" w:cs="Arial"/>
          <w:b/>
          <w:bCs/>
          <w:color w:val="000000" w:themeColor="text1"/>
          <w:sz w:val="22"/>
        </w:rPr>
        <w:t xml:space="preserve"> </w:t>
      </w:r>
      <w:r w:rsidRPr="006C15D5">
        <w:rPr>
          <w:rFonts w:ascii="Arial" w:eastAsia="Calibri" w:hAnsi="Arial" w:cs="Arial"/>
          <w:b/>
          <w:color w:val="000000" w:themeColor="text1"/>
          <w:sz w:val="22"/>
        </w:rPr>
        <w:t>–</w:t>
      </w:r>
      <w:r w:rsidRPr="004E20DA">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Deber de inscripción </w:t>
      </w:r>
      <w:r w:rsidR="008B0F89" w:rsidRPr="006C15D5">
        <w:rPr>
          <w:rFonts w:ascii="Arial" w:eastAsia="Calibri" w:hAnsi="Arial" w:cs="Arial"/>
          <w:b/>
          <w:color w:val="000000" w:themeColor="text1"/>
          <w:sz w:val="22"/>
        </w:rPr>
        <w:t>–</w:t>
      </w:r>
      <w:r w:rsidR="007C0569" w:rsidRPr="004E20DA">
        <w:rPr>
          <w:rFonts w:ascii="Arial" w:eastAsia="Calibri" w:hAnsi="Arial" w:cs="Arial"/>
          <w:color w:val="000000" w:themeColor="text1"/>
          <w:sz w:val="22"/>
        </w:rPr>
        <w:t xml:space="preserve"> </w:t>
      </w:r>
      <w:r w:rsidR="00C81089" w:rsidRPr="004E20DA">
        <w:rPr>
          <w:rFonts w:ascii="Arial" w:eastAsia="Calibri" w:hAnsi="Arial" w:cs="Arial"/>
          <w:b/>
          <w:bCs/>
          <w:color w:val="000000" w:themeColor="text1"/>
          <w:sz w:val="22"/>
        </w:rPr>
        <w:t>Excepciones</w:t>
      </w:r>
    </w:p>
    <w:p w14:paraId="3A850EBC" w14:textId="77777777" w:rsidR="007C0569" w:rsidRPr="0003383F" w:rsidRDefault="007C0569" w:rsidP="004E20DA">
      <w:pPr>
        <w:jc w:val="both"/>
        <w:rPr>
          <w:rFonts w:ascii="Arial" w:hAnsi="Arial" w:cs="Arial"/>
          <w:color w:val="000000" w:themeColor="text1"/>
          <w:sz w:val="20"/>
          <w:szCs w:val="20"/>
        </w:rPr>
      </w:pPr>
    </w:p>
    <w:p w14:paraId="356EF147" w14:textId="766AF2E2" w:rsidR="007C0569" w:rsidRPr="000D1B5D" w:rsidRDefault="000D1B5D" w:rsidP="004E20DA">
      <w:pPr>
        <w:jc w:val="both"/>
        <w:rPr>
          <w:rFonts w:ascii="Arial" w:hAnsi="Arial" w:cs="Arial"/>
          <w:b/>
          <w:color w:val="000000" w:themeColor="text1"/>
          <w:sz w:val="20"/>
          <w:szCs w:val="20"/>
        </w:rPr>
      </w:pPr>
      <w:r>
        <w:rPr>
          <w:rFonts w:ascii="Arial" w:hAnsi="Arial" w:cs="Arial"/>
          <w:color w:val="000000" w:themeColor="text1"/>
          <w:sz w:val="20"/>
          <w:szCs w:val="20"/>
        </w:rPr>
        <w:t xml:space="preserve">[…] </w:t>
      </w:r>
      <w:r w:rsidR="0099327B">
        <w:rPr>
          <w:rFonts w:ascii="Arial" w:hAnsi="Arial" w:cs="Arial"/>
          <w:color w:val="000000" w:themeColor="text1"/>
          <w:sz w:val="20"/>
          <w:szCs w:val="20"/>
        </w:rPr>
        <w:t>l</w:t>
      </w:r>
      <w:r w:rsidR="007C0569" w:rsidRPr="000D1B5D">
        <w:rPr>
          <w:rFonts w:ascii="Arial" w:hAnsi="Arial" w:cs="Arial"/>
          <w:color w:val="000000" w:themeColor="text1"/>
          <w:sz w:val="20"/>
          <w:szCs w:val="20"/>
        </w:rPr>
        <w:t>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r w:rsidR="00C81089" w:rsidRPr="000D1B5D">
        <w:rPr>
          <w:rFonts w:ascii="Arial" w:hAnsi="Arial" w:cs="Arial"/>
          <w:color w:val="000000" w:themeColor="text1"/>
          <w:sz w:val="20"/>
          <w:szCs w:val="20"/>
        </w:rPr>
        <w:t>.</w:t>
      </w:r>
    </w:p>
    <w:p w14:paraId="1694E4F2" w14:textId="77777777" w:rsidR="007C0569" w:rsidRPr="0003383F" w:rsidRDefault="007C0569" w:rsidP="004E20DA">
      <w:pPr>
        <w:jc w:val="both"/>
        <w:rPr>
          <w:rFonts w:ascii="Arial" w:hAnsi="Arial" w:cs="Arial"/>
          <w:b/>
          <w:color w:val="000000" w:themeColor="text1"/>
          <w:sz w:val="20"/>
          <w:szCs w:val="20"/>
        </w:rPr>
      </w:pPr>
    </w:p>
    <w:p w14:paraId="17E51480" w14:textId="2C897575" w:rsidR="00765B1B" w:rsidRPr="004E20DA" w:rsidRDefault="00765B1B" w:rsidP="004E20DA">
      <w:pPr>
        <w:jc w:val="both"/>
        <w:rPr>
          <w:rFonts w:ascii="Arial" w:hAnsi="Arial" w:cs="Arial"/>
          <w:color w:val="000000" w:themeColor="text1"/>
          <w:sz w:val="22"/>
        </w:rPr>
      </w:pPr>
      <w:r w:rsidRPr="004E20DA">
        <w:rPr>
          <w:rFonts w:ascii="Arial" w:hAnsi="Arial" w:cs="Arial"/>
          <w:b/>
          <w:color w:val="000000" w:themeColor="text1"/>
          <w:sz w:val="22"/>
        </w:rPr>
        <w:t>EXPERIENCIA</w:t>
      </w:r>
      <w:r w:rsidR="002B128E" w:rsidRPr="004E20DA">
        <w:rPr>
          <w:rFonts w:ascii="Arial" w:hAnsi="Arial" w:cs="Arial"/>
          <w:b/>
          <w:color w:val="000000" w:themeColor="text1"/>
          <w:sz w:val="22"/>
        </w:rPr>
        <w:t xml:space="preserve"> </w:t>
      </w:r>
      <w:r w:rsidR="008B0F89" w:rsidRPr="006C15D5">
        <w:rPr>
          <w:rFonts w:ascii="Arial" w:eastAsia="Calibri" w:hAnsi="Arial" w:cs="Arial"/>
          <w:b/>
          <w:color w:val="000000" w:themeColor="text1"/>
          <w:sz w:val="22"/>
        </w:rPr>
        <w:t>–</w:t>
      </w:r>
      <w:r w:rsidR="008B0F89">
        <w:rPr>
          <w:rFonts w:ascii="Arial" w:eastAsia="Calibri" w:hAnsi="Arial" w:cs="Arial"/>
          <w:b/>
          <w:color w:val="000000" w:themeColor="text1"/>
          <w:sz w:val="22"/>
        </w:rPr>
        <w:t xml:space="preserve"> </w:t>
      </w:r>
      <w:r w:rsidRPr="004E20DA">
        <w:rPr>
          <w:rFonts w:ascii="Arial" w:hAnsi="Arial" w:cs="Arial"/>
          <w:b/>
          <w:color w:val="000000" w:themeColor="text1"/>
          <w:sz w:val="22"/>
        </w:rPr>
        <w:t xml:space="preserve">Noción </w:t>
      </w:r>
    </w:p>
    <w:p w14:paraId="7B786196" w14:textId="77777777" w:rsidR="0063643E" w:rsidRPr="0003383F" w:rsidRDefault="0063643E" w:rsidP="004E20DA">
      <w:pPr>
        <w:jc w:val="both"/>
        <w:rPr>
          <w:rFonts w:ascii="Arial" w:hAnsi="Arial" w:cs="Arial"/>
          <w:color w:val="000000" w:themeColor="text1"/>
          <w:sz w:val="20"/>
          <w:szCs w:val="20"/>
        </w:rPr>
      </w:pPr>
    </w:p>
    <w:p w14:paraId="1C5F396C" w14:textId="77777777" w:rsidR="000D1B5D" w:rsidRDefault="00842A04" w:rsidP="000D1B5D">
      <w:pPr>
        <w:spacing w:after="120"/>
        <w:jc w:val="both"/>
        <w:rPr>
          <w:rFonts w:ascii="Arial" w:eastAsia="Calibri" w:hAnsi="Arial" w:cs="Arial"/>
          <w:color w:val="000000" w:themeColor="text1"/>
          <w:sz w:val="20"/>
          <w:szCs w:val="20"/>
        </w:rPr>
      </w:pPr>
      <w:r w:rsidRPr="0003383F">
        <w:rPr>
          <w:rFonts w:ascii="Arial" w:eastAsia="Calibri" w:hAnsi="Arial" w:cs="Arial"/>
          <w:color w:val="000000" w:themeColor="text1"/>
          <w:sz w:val="20"/>
          <w:szCs w:val="20"/>
        </w:rPr>
        <w:lastRenderedPageBreak/>
        <w:t>i) La experiencia es personal, esto es, se adquiere participando, directa o indirectamente, sin que sea posible no participar y tener una experiencia que no es propia.</w:t>
      </w:r>
    </w:p>
    <w:p w14:paraId="7A2FCFFA" w14:textId="77777777" w:rsidR="000D1B5D" w:rsidRDefault="000D1B5D" w:rsidP="000D1B5D">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i</w:t>
      </w:r>
      <w:r w:rsidR="00842A04" w:rsidRPr="0003383F">
        <w:rPr>
          <w:rFonts w:ascii="Arial" w:eastAsia="Calibri" w:hAnsi="Arial" w:cs="Arial"/>
          <w:color w:val="000000" w:themeColor="text1"/>
          <w:sz w:val="20"/>
          <w:szCs w:val="20"/>
        </w:rPr>
        <w:t>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r w:rsidR="002D3025" w:rsidRPr="0003383F">
        <w:rPr>
          <w:rFonts w:ascii="Arial" w:eastAsia="Calibri" w:hAnsi="Arial" w:cs="Arial"/>
          <w:color w:val="000000" w:themeColor="text1"/>
          <w:sz w:val="20"/>
          <w:szCs w:val="20"/>
        </w:rPr>
        <w:t xml:space="preserve"> </w:t>
      </w:r>
    </w:p>
    <w:p w14:paraId="2355DD5D" w14:textId="77777777" w:rsidR="000D1B5D" w:rsidRDefault="00842A04" w:rsidP="000D1B5D">
      <w:pPr>
        <w:spacing w:after="120"/>
        <w:jc w:val="both"/>
        <w:rPr>
          <w:rFonts w:ascii="Arial" w:eastAsia="Calibri" w:hAnsi="Arial" w:cs="Arial"/>
          <w:color w:val="000000" w:themeColor="text1"/>
          <w:sz w:val="20"/>
          <w:szCs w:val="20"/>
        </w:rPr>
      </w:pPr>
      <w:r w:rsidRPr="0003383F">
        <w:rPr>
          <w:rFonts w:ascii="Arial" w:eastAsia="Calibri" w:hAnsi="Arial" w:cs="Arial"/>
          <w:color w:val="000000" w:themeColor="text1"/>
          <w:sz w:val="20"/>
          <w:szCs w:val="20"/>
        </w:rPr>
        <w:t>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3420A88E" w14:textId="6198FFB6" w:rsidR="00765B1B" w:rsidRPr="0003383F" w:rsidRDefault="00842A04" w:rsidP="000D1B5D">
      <w:pPr>
        <w:jc w:val="both"/>
        <w:rPr>
          <w:rFonts w:ascii="Arial" w:eastAsia="Calibri" w:hAnsi="Arial" w:cs="Arial"/>
          <w:color w:val="000000" w:themeColor="text1"/>
          <w:sz w:val="20"/>
          <w:szCs w:val="20"/>
        </w:rPr>
      </w:pPr>
      <w:r w:rsidRPr="0003383F">
        <w:rPr>
          <w:rFonts w:ascii="Arial" w:eastAsia="Calibri" w:hAnsi="Arial" w:cs="Arial"/>
          <w:color w:val="000000" w:themeColor="text1"/>
          <w:sz w:val="20"/>
          <w:szCs w:val="20"/>
        </w:rPr>
        <w:t>iv) Cuando la persona que adquirió la experiencia desaparece o se liquida, no es posible que comparta o transfiera su experiencia, porque al ser personal sigue la suerte de quien la adquirió</w:t>
      </w:r>
      <w:r w:rsidR="00765B1B" w:rsidRPr="0003383F">
        <w:rPr>
          <w:rFonts w:ascii="Arial" w:eastAsia="Calibri" w:hAnsi="Arial" w:cs="Arial"/>
          <w:color w:val="000000" w:themeColor="text1"/>
          <w:sz w:val="20"/>
          <w:szCs w:val="20"/>
        </w:rPr>
        <w:t>.</w:t>
      </w:r>
    </w:p>
    <w:p w14:paraId="0C534ACC" w14:textId="481DDC79" w:rsidR="00965ED6" w:rsidRPr="004E20DA" w:rsidRDefault="00965ED6" w:rsidP="004E20DA">
      <w:pPr>
        <w:tabs>
          <w:tab w:val="left" w:pos="5295"/>
        </w:tabs>
        <w:jc w:val="both"/>
        <w:rPr>
          <w:rFonts w:ascii="Arial" w:hAnsi="Arial" w:cs="Arial"/>
          <w:color w:val="000000" w:themeColor="text1"/>
          <w:sz w:val="22"/>
        </w:rPr>
      </w:pPr>
    </w:p>
    <w:p w14:paraId="3C9FDAFC" w14:textId="031648DE" w:rsidR="00FE1858" w:rsidRPr="004E20DA" w:rsidRDefault="002B128E" w:rsidP="004E20DA">
      <w:pPr>
        <w:tabs>
          <w:tab w:val="left" w:pos="5295"/>
        </w:tabs>
        <w:jc w:val="both"/>
        <w:rPr>
          <w:rFonts w:ascii="Arial" w:hAnsi="Arial" w:cs="Arial"/>
          <w:b/>
          <w:bCs/>
          <w:color w:val="000000" w:themeColor="text1"/>
          <w:sz w:val="22"/>
        </w:rPr>
      </w:pPr>
      <w:r w:rsidRPr="004E20DA">
        <w:rPr>
          <w:rFonts w:ascii="Arial" w:hAnsi="Arial" w:cs="Arial"/>
          <w:b/>
          <w:bCs/>
          <w:color w:val="000000" w:themeColor="text1"/>
          <w:sz w:val="22"/>
        </w:rPr>
        <w:t xml:space="preserve">SOCIEDADES </w:t>
      </w:r>
      <w:r w:rsidR="008015A9" w:rsidRPr="004E20DA">
        <w:rPr>
          <w:rFonts w:ascii="Arial" w:hAnsi="Arial" w:cs="Arial"/>
          <w:b/>
          <w:bCs/>
          <w:color w:val="000000" w:themeColor="text1"/>
          <w:sz w:val="22"/>
        </w:rPr>
        <w:t xml:space="preserve">CON MENOS DE 3 AÑOS DE </w:t>
      </w:r>
      <w:r w:rsidR="00C81089" w:rsidRPr="004E20DA">
        <w:rPr>
          <w:rFonts w:ascii="Arial" w:hAnsi="Arial" w:cs="Arial"/>
          <w:b/>
          <w:bCs/>
          <w:color w:val="000000" w:themeColor="text1"/>
          <w:sz w:val="22"/>
        </w:rPr>
        <w:t xml:space="preserve">CREACIÓN </w:t>
      </w:r>
      <w:r w:rsidR="008B0F89" w:rsidRPr="006C15D5">
        <w:rPr>
          <w:rFonts w:ascii="Arial" w:eastAsia="Calibri" w:hAnsi="Arial" w:cs="Arial"/>
          <w:b/>
          <w:color w:val="000000" w:themeColor="text1"/>
          <w:sz w:val="22"/>
        </w:rPr>
        <w:t>–</w:t>
      </w:r>
      <w:r w:rsidR="008015A9" w:rsidRPr="004E20DA">
        <w:rPr>
          <w:rFonts w:ascii="Arial" w:eastAsia="Calibri" w:hAnsi="Arial" w:cs="Arial"/>
          <w:color w:val="000000" w:themeColor="text1"/>
          <w:sz w:val="22"/>
        </w:rPr>
        <w:t xml:space="preserve"> </w:t>
      </w:r>
      <w:r w:rsidR="006F7196">
        <w:rPr>
          <w:rFonts w:ascii="Arial" w:eastAsia="Calibri" w:hAnsi="Arial" w:cs="Arial"/>
          <w:b/>
          <w:bCs/>
          <w:color w:val="000000" w:themeColor="text1"/>
          <w:sz w:val="22"/>
        </w:rPr>
        <w:t>P</w:t>
      </w:r>
      <w:r w:rsidR="00EF5AC9" w:rsidRPr="004E20DA">
        <w:rPr>
          <w:rFonts w:ascii="Arial" w:eastAsia="Calibri" w:hAnsi="Arial" w:cs="Arial"/>
          <w:b/>
          <w:bCs/>
          <w:color w:val="000000" w:themeColor="text1"/>
          <w:sz w:val="22"/>
        </w:rPr>
        <w:t xml:space="preserve">rocesos exceptuados de RUP </w:t>
      </w:r>
      <w:r w:rsidR="008B0F89" w:rsidRPr="006C15D5">
        <w:rPr>
          <w:rFonts w:ascii="Arial" w:eastAsia="Calibri" w:hAnsi="Arial" w:cs="Arial"/>
          <w:b/>
          <w:color w:val="000000" w:themeColor="text1"/>
          <w:sz w:val="22"/>
        </w:rPr>
        <w:t>–</w:t>
      </w:r>
      <w:r w:rsidR="00390405" w:rsidRPr="004E20DA">
        <w:rPr>
          <w:rFonts w:ascii="Arial" w:eastAsia="Calibri" w:hAnsi="Arial" w:cs="Arial"/>
          <w:b/>
          <w:bCs/>
          <w:color w:val="000000" w:themeColor="text1"/>
          <w:sz w:val="22"/>
        </w:rPr>
        <w:t xml:space="preserve"> Acreditación</w:t>
      </w:r>
    </w:p>
    <w:p w14:paraId="30CC59DB" w14:textId="2A9FEF9E" w:rsidR="004B6465" w:rsidRPr="004E20DA" w:rsidRDefault="004B6465" w:rsidP="004E20DA">
      <w:pPr>
        <w:tabs>
          <w:tab w:val="left" w:pos="5295"/>
        </w:tabs>
        <w:jc w:val="both"/>
        <w:rPr>
          <w:rFonts w:ascii="Arial" w:hAnsi="Arial" w:cs="Arial"/>
          <w:color w:val="000000" w:themeColor="text1"/>
          <w:sz w:val="22"/>
        </w:rPr>
      </w:pPr>
    </w:p>
    <w:p w14:paraId="54B837B2" w14:textId="3AF9A3ED" w:rsidR="004B6465" w:rsidRPr="0003383F" w:rsidRDefault="0099327B" w:rsidP="0003383F">
      <w:pPr>
        <w:tabs>
          <w:tab w:val="left" w:pos="5295"/>
        </w:tabs>
        <w:jc w:val="both"/>
        <w:rPr>
          <w:rFonts w:ascii="Arial" w:hAnsi="Arial" w:cs="Arial"/>
          <w:color w:val="000000" w:themeColor="text1"/>
          <w:sz w:val="20"/>
          <w:szCs w:val="20"/>
        </w:rPr>
      </w:pPr>
      <w:r>
        <w:rPr>
          <w:rFonts w:ascii="Arial" w:hAnsi="Arial" w:cs="Arial"/>
          <w:color w:val="000000" w:themeColor="text1"/>
          <w:sz w:val="20"/>
          <w:szCs w:val="20"/>
        </w:rPr>
        <w:t>[…] l</w:t>
      </w:r>
      <w:r w:rsidR="008015A9" w:rsidRPr="0003383F">
        <w:rPr>
          <w:rFonts w:ascii="Arial" w:hAnsi="Arial" w:cs="Arial"/>
          <w:color w:val="000000" w:themeColor="text1"/>
          <w:sz w:val="20"/>
          <w:szCs w:val="20"/>
        </w:rPr>
        <w:t>as entidades contratantes tienen del deber de verificar las condiciones de capacidad jurídica, técnica, financiera y organizacional de los oferentes, que podrá acreditarse con las certificaciones que aporten los proponentes al proceso de contratación y la entidad estatal podrá solicitar información adicional ―por ejemplo, longitudes de obra, especificaciones técnicas, etc― con el fin de verificar condiciones de experiencia del proponente.</w:t>
      </w:r>
    </w:p>
    <w:p w14:paraId="169BABEF" w14:textId="5E4EC30D" w:rsidR="00765B1B" w:rsidRPr="0003383F" w:rsidRDefault="00765B1B" w:rsidP="0003383F">
      <w:pPr>
        <w:tabs>
          <w:tab w:val="left" w:pos="5295"/>
        </w:tabs>
        <w:jc w:val="both"/>
        <w:rPr>
          <w:rFonts w:ascii="Arial" w:hAnsi="Arial" w:cs="Arial"/>
          <w:color w:val="000000" w:themeColor="text1"/>
          <w:sz w:val="20"/>
          <w:szCs w:val="20"/>
        </w:rPr>
      </w:pPr>
    </w:p>
    <w:p w14:paraId="44138EA3" w14:textId="77777777" w:rsidR="004E20DA" w:rsidRPr="0003383F" w:rsidRDefault="004E20DA" w:rsidP="0003383F">
      <w:pPr>
        <w:pStyle w:val="Default"/>
        <w:rPr>
          <w:color w:val="000000" w:themeColor="text1"/>
          <w:sz w:val="20"/>
          <w:szCs w:val="20"/>
        </w:rPr>
      </w:pPr>
    </w:p>
    <w:p w14:paraId="3D53DAEB" w14:textId="184774BA" w:rsidR="004E20DA" w:rsidRPr="004E20DA" w:rsidRDefault="004E20DA" w:rsidP="004E20DA">
      <w:pPr>
        <w:pStyle w:val="Default"/>
        <w:rPr>
          <w:color w:val="000000" w:themeColor="text1"/>
          <w:sz w:val="22"/>
          <w:szCs w:val="22"/>
        </w:rPr>
      </w:pPr>
      <w:r w:rsidRPr="004E20DA">
        <w:rPr>
          <w:color w:val="000000" w:themeColor="text1"/>
          <w:sz w:val="22"/>
          <w:szCs w:val="22"/>
        </w:rPr>
        <w:t xml:space="preserve">Bogotá D.C., </w:t>
      </w:r>
      <w:r w:rsidRPr="004E20DA">
        <w:rPr>
          <w:b/>
          <w:bCs/>
          <w:color w:val="000000" w:themeColor="text1"/>
          <w:sz w:val="22"/>
          <w:szCs w:val="22"/>
        </w:rPr>
        <w:t xml:space="preserve">01/04/2020 Hora 17:59:49s </w:t>
      </w:r>
    </w:p>
    <w:p w14:paraId="7E80B7C1" w14:textId="5502477B" w:rsidR="00A37FB6" w:rsidRPr="004E20DA" w:rsidRDefault="004E20DA" w:rsidP="004E20DA">
      <w:pPr>
        <w:tabs>
          <w:tab w:val="left" w:pos="3374"/>
        </w:tabs>
        <w:spacing w:before="120" w:after="120" w:line="276" w:lineRule="auto"/>
        <w:jc w:val="right"/>
        <w:rPr>
          <w:rFonts w:ascii="Arial" w:eastAsia="Calibri" w:hAnsi="Arial" w:cs="Arial"/>
          <w:color w:val="000000" w:themeColor="text1"/>
          <w:sz w:val="22"/>
        </w:rPr>
      </w:pPr>
      <w:r w:rsidRPr="004E20DA">
        <w:rPr>
          <w:rFonts w:ascii="Arial" w:hAnsi="Arial" w:cs="Arial"/>
          <w:b/>
          <w:bCs/>
          <w:color w:val="000000" w:themeColor="text1"/>
          <w:sz w:val="22"/>
        </w:rPr>
        <w:t>N° Radicado: 2202013000002371</w:t>
      </w:r>
      <w:r w:rsidR="00A37FB6" w:rsidRPr="004E20DA">
        <w:rPr>
          <w:rFonts w:ascii="Arial" w:eastAsia="Calibri" w:hAnsi="Arial" w:cs="Arial"/>
          <w:color w:val="000000" w:themeColor="text1"/>
          <w:sz w:val="22"/>
        </w:rPr>
        <w:tab/>
      </w:r>
    </w:p>
    <w:p w14:paraId="506C3D03" w14:textId="7697B633" w:rsidR="001215D3" w:rsidRPr="004E20DA" w:rsidRDefault="00E6565C" w:rsidP="00A97435">
      <w:pPr>
        <w:pStyle w:val="Sinespaciado"/>
        <w:rPr>
          <w:rFonts w:ascii="Arial" w:hAnsi="Arial" w:cs="Arial"/>
          <w:color w:val="000000" w:themeColor="text1"/>
          <w:sz w:val="22"/>
        </w:rPr>
      </w:pPr>
      <w:r w:rsidRPr="004E20DA">
        <w:rPr>
          <w:rFonts w:ascii="Arial" w:hAnsi="Arial" w:cs="Arial"/>
          <w:color w:val="000000" w:themeColor="text1"/>
          <w:sz w:val="22"/>
        </w:rPr>
        <w:t>Señor</w:t>
      </w:r>
      <w:r w:rsidR="00F93FC0" w:rsidRPr="004E20DA">
        <w:rPr>
          <w:rFonts w:ascii="Arial" w:hAnsi="Arial" w:cs="Arial"/>
          <w:color w:val="000000" w:themeColor="text1"/>
          <w:sz w:val="22"/>
        </w:rPr>
        <w:t>a</w:t>
      </w:r>
    </w:p>
    <w:p w14:paraId="0144FCCB" w14:textId="2EA3DBFC" w:rsidR="006C10B1" w:rsidRPr="004E20DA" w:rsidRDefault="00203A5D" w:rsidP="00A97435">
      <w:pPr>
        <w:pStyle w:val="Sinespaciado"/>
        <w:rPr>
          <w:rFonts w:ascii="Arial" w:hAnsi="Arial" w:cs="Arial"/>
          <w:b/>
          <w:bCs/>
          <w:color w:val="000000" w:themeColor="text1"/>
          <w:sz w:val="22"/>
        </w:rPr>
      </w:pPr>
      <w:r w:rsidRPr="004E20DA">
        <w:rPr>
          <w:rFonts w:ascii="Arial" w:hAnsi="Arial" w:cs="Arial"/>
          <w:b/>
          <w:bCs/>
          <w:color w:val="000000" w:themeColor="text1"/>
          <w:sz w:val="22"/>
        </w:rPr>
        <w:t>María Alejandra Corrales</w:t>
      </w:r>
    </w:p>
    <w:p w14:paraId="359C48BE" w14:textId="77777777" w:rsidR="00A37FB6" w:rsidRPr="004E20DA" w:rsidRDefault="00A37FB6" w:rsidP="00A97435">
      <w:pPr>
        <w:pStyle w:val="Sinespaciado"/>
        <w:rPr>
          <w:rFonts w:ascii="Arial" w:hAnsi="Arial" w:cs="Arial"/>
          <w:color w:val="000000" w:themeColor="text1"/>
          <w:sz w:val="22"/>
        </w:rPr>
      </w:pPr>
      <w:r w:rsidRPr="004E20DA">
        <w:rPr>
          <w:rFonts w:ascii="Arial" w:hAnsi="Arial" w:cs="Arial"/>
          <w:color w:val="000000" w:themeColor="text1"/>
          <w:sz w:val="22"/>
        </w:rPr>
        <w:t>Ciudad</w:t>
      </w:r>
    </w:p>
    <w:p w14:paraId="479F6A3A" w14:textId="3A6552D3" w:rsidR="00A37FB6" w:rsidRPr="004E20DA" w:rsidRDefault="00AD1B0F" w:rsidP="008A2025">
      <w:pPr>
        <w:spacing w:before="120" w:after="120" w:line="276" w:lineRule="auto"/>
        <w:jc w:val="center"/>
        <w:rPr>
          <w:rFonts w:ascii="Arial" w:eastAsia="Calibri" w:hAnsi="Arial" w:cs="Arial"/>
          <w:b/>
          <w:color w:val="000000" w:themeColor="text1"/>
          <w:sz w:val="22"/>
        </w:rPr>
      </w:pPr>
      <w:r w:rsidRPr="004E20DA">
        <w:rPr>
          <w:rFonts w:ascii="Arial" w:eastAsia="Calibri" w:hAnsi="Arial" w:cs="Arial"/>
          <w:b/>
          <w:color w:val="000000" w:themeColor="text1"/>
          <w:sz w:val="22"/>
        </w:rPr>
        <w:t>Concepto C</w:t>
      </w:r>
      <w:r w:rsidRPr="004E20DA">
        <w:rPr>
          <w:rFonts w:ascii="Arial" w:eastAsia="Calibri" w:hAnsi="Arial" w:cs="Arial"/>
          <w:color w:val="000000" w:themeColor="text1"/>
          <w:sz w:val="22"/>
        </w:rPr>
        <w:t xml:space="preserve"> ─</w:t>
      </w:r>
      <w:r w:rsidRPr="004E20DA">
        <w:rPr>
          <w:rFonts w:ascii="Arial" w:eastAsia="Calibri" w:hAnsi="Arial" w:cs="Arial"/>
          <w:b/>
          <w:color w:val="000000" w:themeColor="text1"/>
          <w:sz w:val="22"/>
        </w:rPr>
        <w:t xml:space="preserve"> </w:t>
      </w:r>
      <w:r w:rsidR="00A97435" w:rsidRPr="004E20DA">
        <w:rPr>
          <w:rFonts w:ascii="Arial" w:eastAsia="Calibri" w:hAnsi="Arial" w:cs="Arial"/>
          <w:b/>
          <w:color w:val="000000" w:themeColor="text1"/>
          <w:sz w:val="22"/>
        </w:rPr>
        <w:t>1</w:t>
      </w:r>
      <w:r w:rsidR="00203A5D" w:rsidRPr="004E20DA">
        <w:rPr>
          <w:rFonts w:ascii="Arial" w:eastAsia="Calibri" w:hAnsi="Arial" w:cs="Arial"/>
          <w:b/>
          <w:color w:val="000000" w:themeColor="text1"/>
          <w:sz w:val="22"/>
        </w:rPr>
        <w:t xml:space="preserve">65 </w:t>
      </w:r>
      <w:r w:rsidR="00A37FB6" w:rsidRPr="004E20DA">
        <w:rPr>
          <w:rFonts w:ascii="Arial" w:eastAsia="Calibri" w:hAnsi="Arial" w:cs="Arial"/>
          <w:b/>
          <w:color w:val="000000" w:themeColor="text1"/>
          <w:sz w:val="22"/>
        </w:rPr>
        <w:t>de 2020</w:t>
      </w:r>
    </w:p>
    <w:p w14:paraId="49BB1EAB" w14:textId="77777777" w:rsidR="00A37FB6" w:rsidRPr="004E20DA" w:rsidRDefault="00A37FB6" w:rsidP="008A2025">
      <w:pPr>
        <w:spacing w:before="120" w:after="120" w:line="276" w:lineRule="auto"/>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4E20DA" w:rsidRPr="004E20DA" w14:paraId="20C2FA60" w14:textId="77777777" w:rsidTr="00104DFA">
        <w:tc>
          <w:tcPr>
            <w:tcW w:w="2689" w:type="dxa"/>
            <w:hideMark/>
          </w:tcPr>
          <w:p w14:paraId="2A9459AB" w14:textId="77777777" w:rsidR="00A37FB6" w:rsidRPr="004E20DA" w:rsidRDefault="00A37FB6" w:rsidP="008A2025">
            <w:pPr>
              <w:spacing w:before="120" w:after="120" w:line="276" w:lineRule="auto"/>
              <w:rPr>
                <w:rFonts w:ascii="Arial" w:eastAsia="Calibri" w:hAnsi="Arial" w:cs="Arial"/>
                <w:color w:val="000000" w:themeColor="text1"/>
                <w:sz w:val="22"/>
              </w:rPr>
            </w:pPr>
            <w:r w:rsidRPr="004E20DA">
              <w:rPr>
                <w:rFonts w:ascii="Arial" w:eastAsia="Calibri" w:hAnsi="Arial" w:cs="Arial"/>
                <w:b/>
                <w:color w:val="000000" w:themeColor="text1"/>
                <w:sz w:val="22"/>
              </w:rPr>
              <w:t>Temas:</w:t>
            </w:r>
            <w:r w:rsidRPr="004E20DA">
              <w:rPr>
                <w:rFonts w:ascii="Arial" w:eastAsia="Calibri" w:hAnsi="Arial" w:cs="Arial"/>
                <w:color w:val="000000" w:themeColor="text1"/>
                <w:sz w:val="22"/>
              </w:rPr>
              <w:t xml:space="preserve">           </w:t>
            </w:r>
          </w:p>
          <w:p w14:paraId="1840BCE8" w14:textId="77777777" w:rsidR="00A37FB6" w:rsidRPr="004E20DA" w:rsidRDefault="00A37FB6" w:rsidP="008A2025">
            <w:pPr>
              <w:spacing w:before="120" w:after="120" w:line="276" w:lineRule="auto"/>
              <w:rPr>
                <w:rFonts w:ascii="Arial" w:eastAsia="Calibri" w:hAnsi="Arial" w:cs="Arial"/>
                <w:color w:val="000000" w:themeColor="text1"/>
                <w:sz w:val="22"/>
              </w:rPr>
            </w:pPr>
            <w:r w:rsidRPr="004E20DA">
              <w:rPr>
                <w:rFonts w:ascii="Arial" w:eastAsia="Calibri" w:hAnsi="Arial" w:cs="Arial"/>
                <w:color w:val="000000" w:themeColor="text1"/>
                <w:sz w:val="22"/>
              </w:rPr>
              <w:t xml:space="preserve">                           </w:t>
            </w:r>
          </w:p>
        </w:tc>
        <w:tc>
          <w:tcPr>
            <w:tcW w:w="6383" w:type="dxa"/>
            <w:hideMark/>
          </w:tcPr>
          <w:p w14:paraId="4DE4FA87" w14:textId="7151AF11" w:rsidR="00390405" w:rsidRPr="004E20DA" w:rsidRDefault="00DB22BC" w:rsidP="000C5BE9">
            <w:pPr>
              <w:jc w:val="both"/>
              <w:rPr>
                <w:rFonts w:ascii="Arial" w:hAnsi="Arial" w:cs="Arial"/>
                <w:b/>
                <w:bCs/>
                <w:color w:val="000000" w:themeColor="text1"/>
                <w:sz w:val="22"/>
              </w:rPr>
            </w:pPr>
            <w:r w:rsidRPr="004E20DA">
              <w:rPr>
                <w:rFonts w:ascii="Arial" w:eastAsia="Calibri" w:hAnsi="Arial" w:cs="Arial"/>
                <w:color w:val="000000" w:themeColor="text1"/>
                <w:sz w:val="22"/>
              </w:rPr>
              <w:t xml:space="preserve">EXPERIENCIA DE SOCIEDADES CON MENOS DE 3 AÑOS DE CONSTITUCIÓN </w:t>
            </w:r>
            <w:r w:rsidR="00390405" w:rsidRPr="004E20DA">
              <w:rPr>
                <w:rFonts w:ascii="Arial" w:eastAsia="Calibri" w:hAnsi="Arial" w:cs="Arial"/>
                <w:color w:val="000000" w:themeColor="text1"/>
                <w:sz w:val="22"/>
              </w:rPr>
              <w:t xml:space="preserve">― </w:t>
            </w:r>
            <w:r w:rsidRPr="004E20DA">
              <w:rPr>
                <w:rFonts w:ascii="Arial" w:eastAsia="Calibri" w:hAnsi="Arial" w:cs="Arial"/>
                <w:color w:val="000000" w:themeColor="text1"/>
                <w:sz w:val="22"/>
              </w:rPr>
              <w:t>Procesos exceptuados del RUP</w:t>
            </w:r>
            <w:r w:rsidR="00104DFA" w:rsidRPr="004E20DA">
              <w:rPr>
                <w:rFonts w:ascii="Arial" w:eastAsia="Calibri" w:hAnsi="Arial" w:cs="Arial"/>
                <w:color w:val="000000" w:themeColor="text1"/>
                <w:sz w:val="22"/>
              </w:rPr>
              <w:t xml:space="preserve">/ RUP ― Plena prueba de requisitos habilitantes </w:t>
            </w:r>
            <w:r w:rsidR="000C5BE9" w:rsidRPr="004E20DA">
              <w:rPr>
                <w:rFonts w:ascii="Arial" w:eastAsia="Calibri" w:hAnsi="Arial" w:cs="Arial"/>
                <w:color w:val="000000" w:themeColor="text1"/>
                <w:sz w:val="22"/>
              </w:rPr>
              <w:t xml:space="preserve">/ </w:t>
            </w:r>
            <w:r w:rsidR="000C5BE9" w:rsidRPr="004E20DA">
              <w:rPr>
                <w:rFonts w:ascii="Arial" w:hAnsi="Arial" w:cs="Arial"/>
                <w:color w:val="000000" w:themeColor="text1"/>
                <w:sz w:val="22"/>
              </w:rPr>
              <w:t xml:space="preserve">EXPERIENCIA REQUERIDA </w:t>
            </w:r>
            <w:r w:rsidR="000C5BE9" w:rsidRPr="004E20DA">
              <w:rPr>
                <w:rFonts w:ascii="Arial" w:eastAsia="Calibri" w:hAnsi="Arial" w:cs="Arial"/>
                <w:color w:val="000000" w:themeColor="text1"/>
                <w:sz w:val="22"/>
              </w:rPr>
              <w:t>― Competencia para fijarla</w:t>
            </w:r>
            <w:r w:rsidR="003C66C5" w:rsidRPr="004E20DA">
              <w:rPr>
                <w:rFonts w:ascii="Arial" w:eastAsia="Calibri" w:hAnsi="Arial" w:cs="Arial"/>
                <w:color w:val="000000" w:themeColor="text1"/>
                <w:sz w:val="22"/>
              </w:rPr>
              <w:t>/</w:t>
            </w:r>
            <w:r w:rsidR="00C81089" w:rsidRPr="004E20DA">
              <w:rPr>
                <w:rFonts w:ascii="Arial" w:eastAsia="Calibri" w:hAnsi="Arial" w:cs="Arial"/>
                <w:color w:val="000000" w:themeColor="text1"/>
                <w:sz w:val="22"/>
              </w:rPr>
              <w:t xml:space="preserve"> </w:t>
            </w:r>
            <w:r w:rsidR="00C81089" w:rsidRPr="004E20DA">
              <w:rPr>
                <w:rFonts w:ascii="Arial" w:hAnsi="Arial" w:cs="Arial"/>
                <w:color w:val="000000" w:themeColor="text1"/>
                <w:sz w:val="22"/>
              </w:rPr>
              <w:t xml:space="preserve">DEBER DE INSCRIPCIÓN EN EL RUP </w:t>
            </w:r>
            <w:r w:rsidR="00C81089" w:rsidRPr="004E20DA">
              <w:rPr>
                <w:rFonts w:ascii="Arial" w:eastAsia="Calibri" w:hAnsi="Arial" w:cs="Arial"/>
                <w:color w:val="000000" w:themeColor="text1"/>
                <w:sz w:val="22"/>
              </w:rPr>
              <w:t>─ Excepciones</w:t>
            </w:r>
            <w:r w:rsidR="00C81089" w:rsidRPr="004E20DA">
              <w:rPr>
                <w:rFonts w:ascii="Arial" w:eastAsia="Calibri" w:hAnsi="Arial" w:cs="Arial"/>
                <w:b/>
                <w:bCs/>
                <w:color w:val="000000" w:themeColor="text1"/>
                <w:sz w:val="22"/>
              </w:rPr>
              <w:t xml:space="preserve">/ </w:t>
            </w:r>
            <w:r w:rsidR="00390405" w:rsidRPr="004E20DA">
              <w:rPr>
                <w:rFonts w:ascii="Arial" w:eastAsia="Calibri" w:hAnsi="Arial" w:cs="Arial"/>
                <w:color w:val="000000" w:themeColor="text1"/>
                <w:sz w:val="22"/>
              </w:rPr>
              <w:t xml:space="preserve">EXPERIENCIA ― Noción/ </w:t>
            </w:r>
            <w:r w:rsidR="00390405" w:rsidRPr="004E20DA">
              <w:rPr>
                <w:rFonts w:ascii="Arial" w:hAnsi="Arial" w:cs="Arial"/>
                <w:color w:val="000000" w:themeColor="text1"/>
                <w:sz w:val="22"/>
              </w:rPr>
              <w:t xml:space="preserve">SOCIEDADES CON MENOS DE 3 AÑOS DE CREACIÓN </w:t>
            </w:r>
            <w:r w:rsidR="00390405" w:rsidRPr="004E20DA">
              <w:rPr>
                <w:rFonts w:ascii="Arial" w:eastAsia="Calibri" w:hAnsi="Arial" w:cs="Arial"/>
                <w:color w:val="000000" w:themeColor="text1"/>
                <w:sz w:val="22"/>
              </w:rPr>
              <w:t>― procesos exceptuados de RUP ― Acreditación/</w:t>
            </w:r>
          </w:p>
          <w:p w14:paraId="069BC436" w14:textId="416B5692" w:rsidR="00A37FB6" w:rsidRPr="004E20DA" w:rsidRDefault="00A37FB6" w:rsidP="00842A04">
            <w:pPr>
              <w:jc w:val="both"/>
              <w:rPr>
                <w:rFonts w:ascii="Arial" w:hAnsi="Arial" w:cs="Arial"/>
                <w:color w:val="000000" w:themeColor="text1"/>
                <w:sz w:val="22"/>
              </w:rPr>
            </w:pPr>
          </w:p>
        </w:tc>
      </w:tr>
      <w:tr w:rsidR="00A37FB6" w:rsidRPr="004E20DA" w14:paraId="62473A71" w14:textId="77777777" w:rsidTr="00104DFA">
        <w:tc>
          <w:tcPr>
            <w:tcW w:w="2689" w:type="dxa"/>
          </w:tcPr>
          <w:p w14:paraId="730BF589" w14:textId="77777777" w:rsidR="00A37FB6" w:rsidRPr="004E20DA" w:rsidRDefault="00A37FB6" w:rsidP="008A2025">
            <w:pPr>
              <w:spacing w:before="120" w:after="120" w:line="276" w:lineRule="auto"/>
              <w:rPr>
                <w:rFonts w:ascii="Arial" w:eastAsia="Calibri" w:hAnsi="Arial" w:cs="Arial"/>
                <w:b/>
                <w:color w:val="000000" w:themeColor="text1"/>
                <w:sz w:val="22"/>
              </w:rPr>
            </w:pPr>
            <w:r w:rsidRPr="004E20DA">
              <w:rPr>
                <w:rFonts w:ascii="Arial" w:eastAsia="Calibri" w:hAnsi="Arial" w:cs="Arial"/>
                <w:b/>
                <w:color w:val="000000" w:themeColor="text1"/>
                <w:sz w:val="22"/>
              </w:rPr>
              <w:t>Radicación:</w:t>
            </w:r>
            <w:r w:rsidRPr="004E20DA">
              <w:rPr>
                <w:rFonts w:ascii="Arial" w:eastAsia="Calibri" w:hAnsi="Arial" w:cs="Arial"/>
                <w:color w:val="000000" w:themeColor="text1"/>
                <w:sz w:val="22"/>
              </w:rPr>
              <w:t xml:space="preserve">                              </w:t>
            </w:r>
          </w:p>
        </w:tc>
        <w:tc>
          <w:tcPr>
            <w:tcW w:w="6383" w:type="dxa"/>
          </w:tcPr>
          <w:p w14:paraId="2CD77F9B" w14:textId="6AB59BDB" w:rsidR="00A37FB6" w:rsidRPr="004E20DA" w:rsidRDefault="00AD1B0F" w:rsidP="008A2025">
            <w:pPr>
              <w:spacing w:before="120" w:after="120" w:line="276" w:lineRule="auto"/>
              <w:jc w:val="both"/>
              <w:rPr>
                <w:rFonts w:ascii="Arial" w:eastAsia="Calibri" w:hAnsi="Arial" w:cs="Arial"/>
                <w:color w:val="000000" w:themeColor="text1"/>
                <w:sz w:val="22"/>
              </w:rPr>
            </w:pPr>
            <w:r w:rsidRPr="004E20DA">
              <w:rPr>
                <w:rFonts w:ascii="Arial" w:eastAsia="Calibri" w:hAnsi="Arial" w:cs="Arial"/>
                <w:color w:val="000000" w:themeColor="text1"/>
                <w:sz w:val="22"/>
              </w:rPr>
              <w:t>Respuesta a consulta #420201</w:t>
            </w:r>
            <w:r w:rsidR="00203A5D" w:rsidRPr="004E20DA">
              <w:rPr>
                <w:rFonts w:ascii="Arial" w:eastAsia="Calibri" w:hAnsi="Arial" w:cs="Arial"/>
                <w:color w:val="000000" w:themeColor="text1"/>
                <w:sz w:val="22"/>
              </w:rPr>
              <w:t>3000001258</w:t>
            </w:r>
          </w:p>
        </w:tc>
      </w:tr>
    </w:tbl>
    <w:p w14:paraId="72693BD0" w14:textId="77777777" w:rsidR="00965ED6" w:rsidRPr="004E20DA" w:rsidRDefault="00965ED6" w:rsidP="00DB22BC">
      <w:pPr>
        <w:spacing w:line="276" w:lineRule="auto"/>
        <w:rPr>
          <w:rFonts w:ascii="Arial" w:eastAsia="Calibri" w:hAnsi="Arial" w:cs="Arial"/>
          <w:color w:val="000000" w:themeColor="text1"/>
          <w:sz w:val="22"/>
        </w:rPr>
      </w:pPr>
    </w:p>
    <w:p w14:paraId="2F0DA2F5" w14:textId="288096EE" w:rsidR="00A37FB6" w:rsidRPr="004E20DA" w:rsidRDefault="00203A5D" w:rsidP="00DB22BC">
      <w:pPr>
        <w:spacing w:line="276" w:lineRule="auto"/>
        <w:rPr>
          <w:rFonts w:ascii="Arial" w:eastAsia="Calibri" w:hAnsi="Arial" w:cs="Arial"/>
          <w:color w:val="000000" w:themeColor="text1"/>
          <w:sz w:val="22"/>
        </w:rPr>
      </w:pPr>
      <w:r w:rsidRPr="004E20DA">
        <w:rPr>
          <w:rFonts w:ascii="Arial" w:eastAsia="Calibri" w:hAnsi="Arial" w:cs="Arial"/>
          <w:color w:val="000000" w:themeColor="text1"/>
          <w:sz w:val="22"/>
        </w:rPr>
        <w:t>Estimada</w:t>
      </w:r>
      <w:r w:rsidR="00834F2E" w:rsidRPr="004E20DA">
        <w:rPr>
          <w:rFonts w:ascii="Arial" w:eastAsia="Calibri" w:hAnsi="Arial" w:cs="Arial"/>
          <w:color w:val="000000" w:themeColor="text1"/>
          <w:sz w:val="22"/>
        </w:rPr>
        <w:t xml:space="preserve"> señor</w:t>
      </w:r>
      <w:r w:rsidRPr="004E20DA">
        <w:rPr>
          <w:rFonts w:ascii="Arial" w:eastAsia="Calibri" w:hAnsi="Arial" w:cs="Arial"/>
          <w:color w:val="000000" w:themeColor="text1"/>
          <w:sz w:val="22"/>
        </w:rPr>
        <w:t>a Corrales</w:t>
      </w:r>
      <w:r w:rsidR="00F93FC0" w:rsidRPr="004E20DA">
        <w:rPr>
          <w:rFonts w:ascii="Arial" w:eastAsia="Calibri" w:hAnsi="Arial" w:cs="Arial"/>
          <w:color w:val="000000" w:themeColor="text1"/>
          <w:sz w:val="22"/>
        </w:rPr>
        <w:t>:</w:t>
      </w:r>
    </w:p>
    <w:p w14:paraId="5C46C846" w14:textId="77777777" w:rsidR="00965ED6" w:rsidRPr="004E20DA" w:rsidRDefault="00965ED6" w:rsidP="00DB22BC">
      <w:pPr>
        <w:spacing w:line="276" w:lineRule="auto"/>
        <w:rPr>
          <w:rFonts w:ascii="Arial" w:eastAsia="Calibri" w:hAnsi="Arial" w:cs="Arial"/>
          <w:color w:val="000000" w:themeColor="text1"/>
          <w:sz w:val="22"/>
        </w:rPr>
      </w:pPr>
    </w:p>
    <w:p w14:paraId="7C0ECF63" w14:textId="53FDFA2C" w:rsidR="00DB22BC" w:rsidRPr="004E20DA" w:rsidRDefault="00A37FB6" w:rsidP="00965ED6">
      <w:pPr>
        <w:spacing w:line="276" w:lineRule="auto"/>
        <w:ind w:right="49"/>
        <w:jc w:val="both"/>
        <w:rPr>
          <w:rFonts w:ascii="Arial" w:eastAsia="Calibri" w:hAnsi="Arial" w:cs="Arial"/>
          <w:color w:val="000000" w:themeColor="text1"/>
          <w:sz w:val="22"/>
        </w:rPr>
      </w:pPr>
      <w:r w:rsidRPr="004E20DA">
        <w:rPr>
          <w:rFonts w:ascii="Arial" w:eastAsia="Calibri" w:hAnsi="Arial" w:cs="Arial"/>
          <w:color w:val="000000" w:themeColor="text1"/>
          <w:sz w:val="22"/>
        </w:rPr>
        <w:lastRenderedPageBreak/>
        <w:t xml:space="preserve">La Agencia Nacional de Contratación Pública ―Colombia Compra Eficiente― responde su consulta </w:t>
      </w:r>
      <w:r w:rsidR="004141CB" w:rsidRPr="004E20DA">
        <w:rPr>
          <w:rFonts w:ascii="Arial" w:eastAsia="Calibri" w:hAnsi="Arial" w:cs="Arial"/>
          <w:color w:val="000000" w:themeColor="text1"/>
          <w:sz w:val="22"/>
        </w:rPr>
        <w:t>del</w:t>
      </w:r>
      <w:r w:rsidR="00203A5D" w:rsidRPr="004E20DA">
        <w:rPr>
          <w:rFonts w:ascii="Arial" w:eastAsia="Calibri" w:hAnsi="Arial" w:cs="Arial"/>
          <w:color w:val="000000" w:themeColor="text1"/>
          <w:sz w:val="22"/>
        </w:rPr>
        <w:t xml:space="preserve"> 20 </w:t>
      </w:r>
      <w:r w:rsidR="009D270F" w:rsidRPr="004E20DA">
        <w:rPr>
          <w:rFonts w:ascii="Arial" w:eastAsia="Calibri" w:hAnsi="Arial" w:cs="Arial"/>
          <w:color w:val="000000" w:themeColor="text1"/>
          <w:sz w:val="22"/>
        </w:rPr>
        <w:t>de febrer</w:t>
      </w:r>
      <w:r w:rsidR="00AD1B0F" w:rsidRPr="004E20DA">
        <w:rPr>
          <w:rFonts w:ascii="Arial" w:eastAsia="Calibri" w:hAnsi="Arial" w:cs="Arial"/>
          <w:color w:val="000000" w:themeColor="text1"/>
          <w:sz w:val="22"/>
        </w:rPr>
        <w:t>o</w:t>
      </w:r>
      <w:r w:rsidR="004141CB" w:rsidRPr="004E20DA">
        <w:rPr>
          <w:rFonts w:ascii="Arial" w:eastAsia="Calibri" w:hAnsi="Arial" w:cs="Arial"/>
          <w:color w:val="000000" w:themeColor="text1"/>
          <w:sz w:val="22"/>
        </w:rPr>
        <w:t xml:space="preserve"> de 2020</w:t>
      </w:r>
      <w:r w:rsidRPr="004E20DA">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9939D73" w14:textId="77777777" w:rsidR="009D270F" w:rsidRPr="004E20DA" w:rsidRDefault="009D270F" w:rsidP="00DB22BC">
      <w:pPr>
        <w:pStyle w:val="Prrafodelista"/>
        <w:tabs>
          <w:tab w:val="left" w:pos="284"/>
        </w:tabs>
        <w:spacing w:line="276" w:lineRule="auto"/>
        <w:ind w:left="0"/>
        <w:contextualSpacing w:val="0"/>
        <w:jc w:val="both"/>
        <w:rPr>
          <w:rFonts w:ascii="Arial" w:eastAsia="Calibri" w:hAnsi="Arial" w:cs="Arial"/>
          <w:b/>
          <w:color w:val="000000" w:themeColor="text1"/>
          <w:sz w:val="22"/>
        </w:rPr>
      </w:pPr>
    </w:p>
    <w:p w14:paraId="737E2623" w14:textId="77777777" w:rsidR="00A37FB6" w:rsidRPr="004E20DA"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4E20DA">
        <w:rPr>
          <w:rFonts w:ascii="Arial" w:eastAsia="Calibri" w:hAnsi="Arial" w:cs="Arial"/>
          <w:b/>
          <w:color w:val="000000" w:themeColor="text1"/>
          <w:sz w:val="22"/>
        </w:rPr>
        <w:t xml:space="preserve">Problemas planteados </w:t>
      </w:r>
    </w:p>
    <w:p w14:paraId="498A026D" w14:textId="77777777" w:rsidR="00A37FB6" w:rsidRPr="004E20DA" w:rsidRDefault="00A37FB6" w:rsidP="00DB22BC">
      <w:pPr>
        <w:tabs>
          <w:tab w:val="left" w:pos="426"/>
        </w:tabs>
        <w:spacing w:line="276" w:lineRule="auto"/>
        <w:jc w:val="both"/>
        <w:rPr>
          <w:rFonts w:ascii="Arial" w:eastAsia="Calibri" w:hAnsi="Arial" w:cs="Arial"/>
          <w:b/>
          <w:color w:val="000000" w:themeColor="text1"/>
          <w:sz w:val="22"/>
        </w:rPr>
      </w:pPr>
    </w:p>
    <w:p w14:paraId="48360772" w14:textId="56C91822" w:rsidR="008B3DC3" w:rsidRPr="004E20DA" w:rsidRDefault="00A012AD" w:rsidP="00DB22BC">
      <w:pPr>
        <w:tabs>
          <w:tab w:val="left" w:pos="426"/>
        </w:tabs>
        <w:spacing w:line="276" w:lineRule="auto"/>
        <w:jc w:val="both"/>
        <w:rPr>
          <w:rFonts w:ascii="Arial" w:eastAsia="Calibri" w:hAnsi="Arial" w:cs="Arial"/>
          <w:color w:val="000000" w:themeColor="text1"/>
          <w:sz w:val="22"/>
        </w:rPr>
      </w:pPr>
      <w:r w:rsidRPr="004E20DA">
        <w:rPr>
          <w:rFonts w:ascii="Arial" w:eastAsia="Calibri" w:hAnsi="Arial" w:cs="Arial"/>
          <w:color w:val="000000" w:themeColor="text1"/>
          <w:sz w:val="22"/>
        </w:rPr>
        <w:t xml:space="preserve">En relación con proponentes </w:t>
      </w:r>
      <w:r w:rsidR="00B16584" w:rsidRPr="004E20DA">
        <w:rPr>
          <w:rFonts w:ascii="Arial" w:eastAsia="Calibri" w:hAnsi="Arial" w:cs="Arial"/>
          <w:color w:val="000000" w:themeColor="text1"/>
          <w:sz w:val="22"/>
        </w:rPr>
        <w:t>con la acreditación de experiencia en procesos de contratación exceptuados del deber de inscripción en el RUP</w:t>
      </w:r>
      <w:r w:rsidR="00B31D85" w:rsidRPr="004E20DA">
        <w:rPr>
          <w:rFonts w:ascii="Arial" w:eastAsia="Calibri" w:hAnsi="Arial" w:cs="Arial"/>
          <w:color w:val="000000" w:themeColor="text1"/>
          <w:sz w:val="22"/>
        </w:rPr>
        <w:t>, la peticionaria formula l</w:t>
      </w:r>
      <w:r w:rsidR="00203A5D" w:rsidRPr="004E20DA">
        <w:rPr>
          <w:rFonts w:ascii="Arial" w:eastAsia="Calibri" w:hAnsi="Arial" w:cs="Arial"/>
          <w:color w:val="000000" w:themeColor="text1"/>
          <w:sz w:val="22"/>
        </w:rPr>
        <w:t>a siguiente pregunta: «¿cómo se puede proceder a trasladar la experiencia de los socios frente a una nueva sociedad, teniendo en cuenta las modalidades exceptuadas por el artículo 6 de la Ley 1150 de 2007?».</w:t>
      </w:r>
    </w:p>
    <w:p w14:paraId="3593BAF3" w14:textId="77777777" w:rsidR="008B3DC3" w:rsidRPr="004E20DA" w:rsidRDefault="008B3DC3" w:rsidP="00DB22BC">
      <w:pPr>
        <w:tabs>
          <w:tab w:val="left" w:pos="426"/>
        </w:tabs>
        <w:spacing w:line="276" w:lineRule="auto"/>
        <w:jc w:val="both"/>
        <w:rPr>
          <w:rFonts w:ascii="Arial" w:eastAsia="Calibri" w:hAnsi="Arial" w:cs="Arial"/>
          <w:color w:val="000000" w:themeColor="text1"/>
          <w:sz w:val="22"/>
        </w:rPr>
      </w:pPr>
    </w:p>
    <w:p w14:paraId="6A32A1B1" w14:textId="77777777" w:rsidR="00A37FB6" w:rsidRPr="004E20DA" w:rsidRDefault="00A37FB6" w:rsidP="006B154D">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4E20DA">
        <w:rPr>
          <w:rFonts w:ascii="Arial" w:eastAsia="Calibri" w:hAnsi="Arial" w:cs="Arial"/>
          <w:b/>
          <w:color w:val="000000" w:themeColor="text1"/>
          <w:sz w:val="22"/>
        </w:rPr>
        <w:t>Consideraciones</w:t>
      </w:r>
    </w:p>
    <w:p w14:paraId="3515E616" w14:textId="77777777" w:rsidR="002F2F5B" w:rsidRPr="004E20DA" w:rsidRDefault="002F2F5B" w:rsidP="006B154D">
      <w:pPr>
        <w:tabs>
          <w:tab w:val="left" w:pos="426"/>
        </w:tabs>
        <w:spacing w:line="276" w:lineRule="auto"/>
        <w:jc w:val="both"/>
        <w:rPr>
          <w:rFonts w:ascii="Arial" w:eastAsia="Calibri" w:hAnsi="Arial" w:cs="Arial"/>
          <w:b/>
          <w:color w:val="000000" w:themeColor="text1"/>
          <w:sz w:val="22"/>
        </w:rPr>
      </w:pPr>
    </w:p>
    <w:p w14:paraId="43A6AEA6" w14:textId="772EA75D" w:rsidR="002F2F5B" w:rsidRPr="004E20DA" w:rsidRDefault="002F2F5B" w:rsidP="006B154D">
      <w:pPr>
        <w:spacing w:line="276" w:lineRule="auto"/>
        <w:jc w:val="both"/>
        <w:rPr>
          <w:rFonts w:ascii="Arial" w:hAnsi="Arial" w:cs="Arial"/>
          <w:color w:val="000000" w:themeColor="text1"/>
          <w:sz w:val="22"/>
        </w:rPr>
      </w:pPr>
      <w:r w:rsidRPr="004E20DA">
        <w:rPr>
          <w:rFonts w:ascii="Arial" w:hAnsi="Arial" w:cs="Arial"/>
          <w:color w:val="000000" w:themeColor="text1"/>
          <w:sz w:val="22"/>
        </w:rPr>
        <w:t xml:space="preserve">La Agencia Nacional de Contratación Pública ― Colombia Compra Eficiente, en los conceptos con radicado Nos. </w:t>
      </w:r>
      <w:r w:rsidR="005848BF" w:rsidRPr="004E20DA">
        <w:rPr>
          <w:rFonts w:ascii="Arial" w:hAnsi="Arial" w:cs="Arial"/>
          <w:color w:val="000000" w:themeColor="text1"/>
          <w:sz w:val="22"/>
        </w:rPr>
        <w:t xml:space="preserve">4201913000006797 del 3 de octubre de 2019 y </w:t>
      </w:r>
      <w:r w:rsidRPr="004E20DA">
        <w:rPr>
          <w:rFonts w:ascii="Arial" w:hAnsi="Arial" w:cs="Arial"/>
          <w:color w:val="000000" w:themeColor="text1"/>
          <w:sz w:val="22"/>
        </w:rPr>
        <w:t>42019120000071</w:t>
      </w:r>
      <w:r w:rsidR="005848BF" w:rsidRPr="004E20DA">
        <w:rPr>
          <w:rFonts w:ascii="Arial" w:hAnsi="Arial" w:cs="Arial"/>
          <w:color w:val="000000" w:themeColor="text1"/>
          <w:sz w:val="22"/>
        </w:rPr>
        <w:t xml:space="preserve">52 del 3 de noviembre de 2019 </w:t>
      </w:r>
      <w:r w:rsidRPr="004E20DA">
        <w:rPr>
          <w:rFonts w:ascii="Arial" w:hAnsi="Arial" w:cs="Arial"/>
          <w:color w:val="000000" w:themeColor="text1"/>
          <w:sz w:val="22"/>
        </w:rPr>
        <w:t xml:space="preserve">se pronunció </w:t>
      </w:r>
      <w:r w:rsidR="00A54872" w:rsidRPr="004E20DA">
        <w:rPr>
          <w:rFonts w:ascii="Arial" w:hAnsi="Arial" w:cs="Arial"/>
          <w:color w:val="000000" w:themeColor="text1"/>
          <w:sz w:val="22"/>
        </w:rPr>
        <w:t xml:space="preserve">sobre </w:t>
      </w:r>
      <w:r w:rsidRPr="004E20DA">
        <w:rPr>
          <w:rFonts w:ascii="Arial" w:hAnsi="Arial" w:cs="Arial"/>
          <w:color w:val="000000" w:themeColor="text1"/>
          <w:sz w:val="22"/>
        </w:rPr>
        <w:t>el alcance del numeral 2.5. del artículo 2.2.1.1.1.5.2 del Decreto 1082 de 2015.</w:t>
      </w:r>
    </w:p>
    <w:p w14:paraId="74716091" w14:textId="4F45169B" w:rsidR="002F2F5B" w:rsidRPr="004E20DA" w:rsidRDefault="002F2F5B" w:rsidP="002F2F5B">
      <w:pPr>
        <w:spacing w:before="120" w:after="120" w:line="276" w:lineRule="auto"/>
        <w:ind w:left="113"/>
        <w:jc w:val="both"/>
        <w:rPr>
          <w:rFonts w:ascii="Arial" w:hAnsi="Arial" w:cs="Arial"/>
          <w:color w:val="000000" w:themeColor="text1"/>
          <w:sz w:val="22"/>
        </w:rPr>
      </w:pPr>
      <w:r w:rsidRPr="004E20DA">
        <w:rPr>
          <w:rFonts w:ascii="Arial" w:hAnsi="Arial" w:cs="Arial"/>
          <w:color w:val="000000" w:themeColor="text1"/>
          <w:sz w:val="22"/>
        </w:rPr>
        <w:tab/>
      </w:r>
      <w:r w:rsidR="00A54872" w:rsidRPr="004E20DA">
        <w:rPr>
          <w:rFonts w:ascii="Arial" w:hAnsi="Arial" w:cs="Arial"/>
          <w:color w:val="000000" w:themeColor="text1"/>
          <w:sz w:val="22"/>
        </w:rPr>
        <w:t>Para desarrollar el problema planteado</w:t>
      </w:r>
      <w:r w:rsidRPr="004E20DA">
        <w:rPr>
          <w:rFonts w:ascii="Arial" w:hAnsi="Arial" w:cs="Arial"/>
          <w:color w:val="000000" w:themeColor="text1"/>
          <w:sz w:val="22"/>
        </w:rPr>
        <w:t xml:space="preserve"> se estudiará, en primer lugar, la acreditación de e</w:t>
      </w:r>
      <w:r w:rsidR="00A54872" w:rsidRPr="004E20DA">
        <w:rPr>
          <w:rFonts w:ascii="Arial" w:hAnsi="Arial" w:cs="Arial"/>
          <w:color w:val="000000" w:themeColor="text1"/>
          <w:sz w:val="22"/>
        </w:rPr>
        <w:t>xperiencia de sociedades nuevas; e</w:t>
      </w:r>
      <w:r w:rsidRPr="004E20DA">
        <w:rPr>
          <w:rFonts w:ascii="Arial" w:hAnsi="Arial" w:cs="Arial"/>
          <w:color w:val="000000" w:themeColor="text1"/>
          <w:sz w:val="22"/>
        </w:rPr>
        <w:t>n segundo lugar, se expondrán algunas consideraciones de Colombia Compra Efici</w:t>
      </w:r>
      <w:r w:rsidR="00A54872" w:rsidRPr="004E20DA">
        <w:rPr>
          <w:rFonts w:ascii="Arial" w:hAnsi="Arial" w:cs="Arial"/>
          <w:color w:val="000000" w:themeColor="text1"/>
          <w:sz w:val="22"/>
        </w:rPr>
        <w:t>ente respecto de la experiencia; y finalmente</w:t>
      </w:r>
      <w:r w:rsidRPr="004E20DA">
        <w:rPr>
          <w:rFonts w:ascii="Arial" w:hAnsi="Arial" w:cs="Arial"/>
          <w:color w:val="000000" w:themeColor="text1"/>
          <w:sz w:val="22"/>
        </w:rPr>
        <w:t xml:space="preserve"> se resolverá el supuesto planteado por el peticionario.</w:t>
      </w:r>
    </w:p>
    <w:p w14:paraId="202FE2EE" w14:textId="0CC71ABC" w:rsidR="00DB201F" w:rsidRPr="004E20DA" w:rsidRDefault="00DB201F" w:rsidP="002F2F5B">
      <w:pPr>
        <w:spacing w:line="276" w:lineRule="auto"/>
        <w:jc w:val="both"/>
        <w:rPr>
          <w:rFonts w:ascii="Arial" w:hAnsi="Arial" w:cs="Arial"/>
          <w:color w:val="000000" w:themeColor="text1"/>
          <w:sz w:val="22"/>
        </w:rPr>
      </w:pPr>
    </w:p>
    <w:p w14:paraId="2917D25A" w14:textId="77777777" w:rsidR="00495590" w:rsidRPr="004E20DA" w:rsidRDefault="00495590" w:rsidP="002F2F5B">
      <w:pPr>
        <w:spacing w:line="276" w:lineRule="auto"/>
        <w:jc w:val="both"/>
        <w:rPr>
          <w:rFonts w:ascii="Arial" w:eastAsia="Calibri" w:hAnsi="Arial" w:cs="Arial"/>
          <w:b/>
          <w:color w:val="000000" w:themeColor="text1"/>
          <w:sz w:val="22"/>
        </w:rPr>
      </w:pPr>
      <w:r w:rsidRPr="004E20DA">
        <w:rPr>
          <w:rFonts w:ascii="Arial" w:eastAsia="Calibri" w:hAnsi="Arial" w:cs="Arial"/>
          <w:b/>
          <w:color w:val="000000" w:themeColor="text1"/>
          <w:sz w:val="22"/>
        </w:rPr>
        <w:t>2.1 Introducción</w:t>
      </w:r>
    </w:p>
    <w:p w14:paraId="77644019" w14:textId="77777777" w:rsidR="00DB201F" w:rsidRPr="004E20DA" w:rsidRDefault="00DB201F" w:rsidP="002F2F5B">
      <w:pPr>
        <w:spacing w:line="276" w:lineRule="auto"/>
        <w:jc w:val="both"/>
        <w:rPr>
          <w:rFonts w:ascii="Arial" w:eastAsia="Calibri" w:hAnsi="Arial" w:cs="Arial"/>
          <w:b/>
          <w:color w:val="000000" w:themeColor="text1"/>
          <w:sz w:val="22"/>
        </w:rPr>
      </w:pPr>
    </w:p>
    <w:p w14:paraId="5FCACC44" w14:textId="77777777" w:rsidR="00495590" w:rsidRPr="004E20DA" w:rsidRDefault="00495590" w:rsidP="002F2F5B">
      <w:pPr>
        <w:spacing w:line="276" w:lineRule="auto"/>
        <w:jc w:val="both"/>
        <w:rPr>
          <w:rFonts w:ascii="Arial" w:eastAsia="Calibri" w:hAnsi="Arial" w:cs="Arial"/>
          <w:color w:val="000000" w:themeColor="text1"/>
          <w:sz w:val="22"/>
        </w:rPr>
      </w:pPr>
      <w:r w:rsidRPr="004E20DA">
        <w:rPr>
          <w:rFonts w:ascii="Arial" w:eastAsia="Calibri" w:hAnsi="Arial" w:cs="Arial"/>
          <w:color w:val="000000" w:themeColor="text1"/>
          <w:sz w:val="22"/>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020B2E6A" w14:textId="6F3AE2F4" w:rsidR="00495590" w:rsidRPr="004E20DA" w:rsidRDefault="00495590" w:rsidP="006D478D">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 xml:space="preserve">Por consiguiente, la normativa </w:t>
      </w:r>
      <w:r w:rsidR="001036EA" w:rsidRPr="004E20DA">
        <w:rPr>
          <w:rFonts w:ascii="Arial" w:eastAsia="Calibri" w:hAnsi="Arial" w:cs="Arial"/>
          <w:color w:val="000000" w:themeColor="text1"/>
          <w:sz w:val="22"/>
        </w:rPr>
        <w:t>contractual</w:t>
      </w:r>
      <w:r w:rsidRPr="004E20DA">
        <w:rPr>
          <w:rFonts w:ascii="Arial" w:eastAsia="Calibri" w:hAnsi="Arial" w:cs="Arial"/>
          <w:color w:val="000000" w:themeColor="text1"/>
          <w:sz w:val="22"/>
        </w:rPr>
        <w:t xml:space="preserve">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w:t>
      </w:r>
      <w:r w:rsidRPr="004E20DA">
        <w:rPr>
          <w:rFonts w:ascii="Arial" w:eastAsia="Calibri" w:hAnsi="Arial" w:cs="Arial"/>
          <w:color w:val="000000" w:themeColor="text1"/>
          <w:sz w:val="22"/>
        </w:rPr>
        <w:lastRenderedPageBreak/>
        <w:t>con la adquisición de que se trate, y que quedan definidos en el pliego de condiciones como documento del proceso</w:t>
      </w:r>
      <w:r w:rsidRPr="004E20DA">
        <w:rPr>
          <w:rFonts w:ascii="Arial" w:eastAsia="Calibri" w:hAnsi="Arial" w:cs="Arial"/>
          <w:color w:val="000000" w:themeColor="text1"/>
          <w:sz w:val="22"/>
          <w:vertAlign w:val="superscript"/>
        </w:rPr>
        <w:footnoteReference w:id="2"/>
      </w:r>
      <w:r w:rsidRPr="004E20DA">
        <w:rPr>
          <w:rFonts w:ascii="Arial" w:eastAsia="Calibri" w:hAnsi="Arial" w:cs="Arial"/>
          <w:color w:val="000000" w:themeColor="text1"/>
          <w:sz w:val="22"/>
        </w:rPr>
        <w:t xml:space="preserve">. </w:t>
      </w:r>
    </w:p>
    <w:p w14:paraId="02004698" w14:textId="41218AC6" w:rsidR="00495590" w:rsidRPr="004E20DA" w:rsidRDefault="00495590" w:rsidP="006D478D">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En ese sentido, se debe tener en cuenta que</w:t>
      </w:r>
      <w:r w:rsidR="001036EA" w:rsidRPr="004E20DA">
        <w:rPr>
          <w:rFonts w:ascii="Arial" w:eastAsia="Calibri" w:hAnsi="Arial" w:cs="Arial"/>
          <w:color w:val="000000" w:themeColor="text1"/>
          <w:sz w:val="22"/>
        </w:rPr>
        <w:t>,</w:t>
      </w:r>
      <w:r w:rsidRPr="004E20DA">
        <w:rPr>
          <w:rFonts w:ascii="Arial" w:eastAsia="Calibri" w:hAnsi="Arial" w:cs="Arial"/>
          <w:color w:val="000000" w:themeColor="text1"/>
          <w:sz w:val="22"/>
        </w:rPr>
        <w:t xml:space="preserve"> de acuerdo con la Ley 80 de 1993, quienes pueden ser proveedores del Estado son las personas consideradas legalmente capaces, como las personas jurídicas</w:t>
      </w:r>
      <w:r w:rsidRPr="004E20DA">
        <w:rPr>
          <w:rFonts w:ascii="Arial" w:eastAsia="Calibri" w:hAnsi="Arial" w:cs="Arial"/>
          <w:color w:val="000000" w:themeColor="text1"/>
          <w:sz w:val="22"/>
          <w:vertAlign w:val="superscript"/>
        </w:rPr>
        <w:footnoteReference w:id="3"/>
      </w:r>
      <w:r w:rsidRPr="004E20DA">
        <w:rPr>
          <w:rFonts w:ascii="Arial" w:eastAsia="Calibri" w:hAnsi="Arial" w:cs="Arial"/>
          <w:color w:val="000000" w:themeColor="text1"/>
          <w:sz w:val="22"/>
        </w:rPr>
        <w:t>, que de acuerdo con el Código Civil tienen capacidad para ejercer derechos y contraer obligaciones, por ende tienen capacidad jurídica. Un tipo de persona jurídica son las sociedades comerciales</w:t>
      </w:r>
      <w:r w:rsidRPr="004E20DA">
        <w:rPr>
          <w:rFonts w:ascii="Arial" w:eastAsia="Calibri" w:hAnsi="Arial" w:cs="Arial"/>
          <w:color w:val="000000" w:themeColor="text1"/>
          <w:sz w:val="22"/>
          <w:vertAlign w:val="superscript"/>
        </w:rPr>
        <w:footnoteReference w:id="4"/>
      </w:r>
      <w:r w:rsidRPr="004E20DA">
        <w:rPr>
          <w:rFonts w:ascii="Arial" w:eastAsia="Calibri" w:hAnsi="Arial" w:cs="Arial"/>
          <w:color w:val="000000" w:themeColor="text1"/>
          <w:sz w:val="22"/>
        </w:rPr>
        <w:t xml:space="preserve"> reguladas, principalmente, en el Código de Comercio</w:t>
      </w:r>
      <w:r w:rsidRPr="004E20DA">
        <w:rPr>
          <w:rFonts w:ascii="Arial" w:eastAsia="Calibri" w:hAnsi="Arial" w:cs="Arial"/>
          <w:color w:val="000000" w:themeColor="text1"/>
          <w:sz w:val="22"/>
          <w:vertAlign w:val="superscript"/>
        </w:rPr>
        <w:footnoteReference w:id="5"/>
      </w:r>
      <w:r w:rsidRPr="004E20DA">
        <w:rPr>
          <w:rFonts w:ascii="Arial" w:eastAsia="Calibri" w:hAnsi="Arial" w:cs="Arial"/>
          <w:color w:val="000000" w:themeColor="text1"/>
          <w:sz w:val="22"/>
        </w:rPr>
        <w:t>, donde se establecen las figuras y reformas estatutarias aplicables a estas como: la transformac</w:t>
      </w:r>
      <w:r w:rsidR="00DB201F" w:rsidRPr="004E20DA">
        <w:rPr>
          <w:rFonts w:ascii="Arial" w:eastAsia="Calibri" w:hAnsi="Arial" w:cs="Arial"/>
          <w:color w:val="000000" w:themeColor="text1"/>
          <w:sz w:val="22"/>
        </w:rPr>
        <w:t>ión, la escisión y la fusión.</w:t>
      </w:r>
    </w:p>
    <w:p w14:paraId="7547E594" w14:textId="77777777" w:rsidR="00EC02A7" w:rsidRDefault="00495590" w:rsidP="00EC02A7">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Por tanto, para resolver su consulta relacionada con la</w:t>
      </w:r>
      <w:r w:rsidR="00F94C9C" w:rsidRPr="004E20DA">
        <w:rPr>
          <w:rFonts w:ascii="Arial" w:eastAsia="Calibri" w:hAnsi="Arial" w:cs="Arial"/>
          <w:color w:val="000000" w:themeColor="text1"/>
          <w:sz w:val="22"/>
        </w:rPr>
        <w:t xml:space="preserve"> transferencia de experiencia a</w:t>
      </w:r>
      <w:r w:rsidRPr="004E20DA">
        <w:rPr>
          <w:rFonts w:ascii="Arial" w:eastAsia="Calibri" w:hAnsi="Arial" w:cs="Arial"/>
          <w:color w:val="000000" w:themeColor="text1"/>
          <w:sz w:val="22"/>
        </w:rPr>
        <w:t xml:space="preserve"> las personas jurídicas: i) en primer lugar se citará la regulación sobre experiencia; ii) después se explicará </w:t>
      </w:r>
      <w:r w:rsidR="00121D82" w:rsidRPr="004E20DA">
        <w:rPr>
          <w:rFonts w:ascii="Arial" w:eastAsia="Calibri" w:hAnsi="Arial" w:cs="Arial"/>
          <w:color w:val="000000" w:themeColor="text1"/>
          <w:sz w:val="22"/>
        </w:rPr>
        <w:t xml:space="preserve">la forma en que se acredita la experiencia en sociedades nuevas y </w:t>
      </w:r>
      <w:r w:rsidR="00020441" w:rsidRPr="004E20DA">
        <w:rPr>
          <w:rFonts w:ascii="Arial" w:eastAsia="Calibri" w:hAnsi="Arial" w:cs="Arial"/>
          <w:color w:val="000000" w:themeColor="text1"/>
          <w:sz w:val="22"/>
        </w:rPr>
        <w:t xml:space="preserve">iii) se indicará como se </w:t>
      </w:r>
      <w:r w:rsidR="001036EA" w:rsidRPr="004E20DA">
        <w:rPr>
          <w:rFonts w:ascii="Arial" w:eastAsia="Calibri" w:hAnsi="Arial" w:cs="Arial"/>
          <w:color w:val="000000" w:themeColor="text1"/>
          <w:sz w:val="22"/>
        </w:rPr>
        <w:t>acredita la</w:t>
      </w:r>
      <w:r w:rsidR="00020441" w:rsidRPr="004E20DA">
        <w:rPr>
          <w:rFonts w:ascii="Arial" w:eastAsia="Calibri" w:hAnsi="Arial" w:cs="Arial"/>
          <w:color w:val="000000" w:themeColor="text1"/>
          <w:sz w:val="22"/>
        </w:rPr>
        <w:t xml:space="preserve"> experiencia en procesos exceptuados d</w:t>
      </w:r>
      <w:r w:rsidR="00711CA6" w:rsidRPr="004E20DA">
        <w:rPr>
          <w:rFonts w:ascii="Arial" w:eastAsia="Calibri" w:hAnsi="Arial" w:cs="Arial"/>
          <w:color w:val="000000" w:themeColor="text1"/>
          <w:sz w:val="22"/>
        </w:rPr>
        <w:t>el deber de inscripción en el</w:t>
      </w:r>
      <w:r w:rsidR="00020441" w:rsidRPr="004E20DA">
        <w:rPr>
          <w:rFonts w:ascii="Arial" w:eastAsia="Calibri" w:hAnsi="Arial" w:cs="Arial"/>
          <w:color w:val="000000" w:themeColor="text1"/>
          <w:sz w:val="22"/>
        </w:rPr>
        <w:t xml:space="preserve"> RUP: </w:t>
      </w:r>
    </w:p>
    <w:p w14:paraId="58F434B4" w14:textId="48637562" w:rsidR="00495590" w:rsidRPr="004E20DA" w:rsidRDefault="00495590" w:rsidP="00EC02A7">
      <w:pPr>
        <w:spacing w:before="120" w:after="120" w:line="276" w:lineRule="auto"/>
        <w:ind w:firstLine="709"/>
        <w:jc w:val="both"/>
        <w:rPr>
          <w:rFonts w:ascii="Arial" w:eastAsia="Calibri" w:hAnsi="Arial" w:cs="Arial"/>
          <w:b/>
          <w:color w:val="000000" w:themeColor="text1"/>
          <w:sz w:val="22"/>
        </w:rPr>
      </w:pPr>
      <w:r w:rsidRPr="004E20DA">
        <w:rPr>
          <w:rFonts w:ascii="Arial" w:eastAsia="Calibri" w:hAnsi="Arial" w:cs="Arial"/>
          <w:b/>
          <w:color w:val="000000" w:themeColor="text1"/>
          <w:sz w:val="22"/>
        </w:rPr>
        <w:lastRenderedPageBreak/>
        <w:t>2.2 Experiencia en la contratación pública: aproximación general al concepto y consideraciones del ente rector de la contratación pública</w:t>
      </w:r>
    </w:p>
    <w:p w14:paraId="2B96C16C" w14:textId="77777777" w:rsidR="00495590" w:rsidRPr="004E20DA" w:rsidRDefault="00495590" w:rsidP="00754D2B">
      <w:pPr>
        <w:spacing w:line="276" w:lineRule="auto"/>
        <w:jc w:val="both"/>
        <w:rPr>
          <w:rFonts w:ascii="Arial" w:eastAsia="Calibri" w:hAnsi="Arial" w:cs="Arial"/>
          <w:b/>
          <w:color w:val="000000" w:themeColor="text1"/>
          <w:sz w:val="22"/>
        </w:rPr>
      </w:pPr>
      <w:r w:rsidRPr="004E20DA">
        <w:rPr>
          <w:rFonts w:ascii="Arial" w:eastAsia="Calibri" w:hAnsi="Arial" w:cs="Arial"/>
          <w:b/>
          <w:color w:val="000000" w:themeColor="text1"/>
          <w:sz w:val="22"/>
        </w:rPr>
        <w:t>a) Norma general</w:t>
      </w:r>
    </w:p>
    <w:p w14:paraId="51871284" w14:textId="77777777" w:rsidR="00495590" w:rsidRPr="004E20DA" w:rsidRDefault="00495590" w:rsidP="00754D2B">
      <w:pPr>
        <w:spacing w:line="276" w:lineRule="auto"/>
        <w:jc w:val="both"/>
        <w:rPr>
          <w:rFonts w:ascii="Arial" w:eastAsia="Calibri" w:hAnsi="Arial" w:cs="Arial"/>
          <w:b/>
          <w:color w:val="000000" w:themeColor="text1"/>
          <w:sz w:val="22"/>
        </w:rPr>
      </w:pPr>
    </w:p>
    <w:p w14:paraId="0E491B13" w14:textId="77777777" w:rsidR="00EC02A7" w:rsidRDefault="00495590" w:rsidP="00EC02A7">
      <w:pPr>
        <w:spacing w:before="120" w:after="120" w:line="276" w:lineRule="auto"/>
        <w:jc w:val="both"/>
        <w:rPr>
          <w:rFonts w:ascii="Arial" w:eastAsia="Calibri" w:hAnsi="Arial" w:cs="Arial"/>
          <w:color w:val="000000" w:themeColor="text1"/>
          <w:sz w:val="22"/>
        </w:rPr>
      </w:pPr>
      <w:r w:rsidRPr="004E20DA">
        <w:rPr>
          <w:rFonts w:ascii="Arial" w:eastAsia="Calibri" w:hAnsi="Arial" w:cs="Arial"/>
          <w:color w:val="000000" w:themeColor="text1"/>
          <w:sz w:val="22"/>
        </w:rPr>
        <w:t>La Ley 1150 de 2007, en el artículo 5</w:t>
      </w:r>
      <w:r w:rsidR="00C24589" w:rsidRPr="004E20DA">
        <w:rPr>
          <w:rStyle w:val="Refdenotaalpie"/>
          <w:rFonts w:ascii="Arial" w:eastAsia="Calibri" w:hAnsi="Arial" w:cs="Arial"/>
          <w:color w:val="000000" w:themeColor="text1"/>
          <w:sz w:val="22"/>
        </w:rPr>
        <w:footnoteReference w:id="6"/>
      </w:r>
      <w:r w:rsidRPr="004E20DA">
        <w:rPr>
          <w:rFonts w:ascii="Arial" w:eastAsia="Calibri" w:hAnsi="Arial" w:cs="Arial"/>
          <w:color w:val="000000" w:themeColor="text1"/>
          <w:sz w:val="22"/>
        </w:rPr>
        <w:t>,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4E20DA">
        <w:rPr>
          <w:rFonts w:ascii="Arial" w:eastAsia="Calibri" w:hAnsi="Arial" w:cs="Arial"/>
          <w:color w:val="000000" w:themeColor="text1"/>
          <w:sz w:val="22"/>
          <w:vertAlign w:val="superscript"/>
        </w:rPr>
        <w:footnoteReference w:id="7"/>
      </w:r>
      <w:r w:rsidRPr="004E20DA">
        <w:rPr>
          <w:rFonts w:ascii="Arial" w:eastAsia="Calibri" w:hAnsi="Arial" w:cs="Arial"/>
          <w:color w:val="000000" w:themeColor="text1"/>
          <w:sz w:val="22"/>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4E20DA">
        <w:rPr>
          <w:rFonts w:ascii="Arial" w:eastAsia="Calibri" w:hAnsi="Arial" w:cs="Arial"/>
          <w:color w:val="000000" w:themeColor="text1"/>
          <w:sz w:val="22"/>
          <w:vertAlign w:val="superscript"/>
        </w:rPr>
        <w:footnoteReference w:id="8"/>
      </w:r>
      <w:r w:rsidRPr="004E20DA">
        <w:rPr>
          <w:rFonts w:ascii="Arial" w:eastAsia="Calibri" w:hAnsi="Arial" w:cs="Arial"/>
          <w:color w:val="000000" w:themeColor="text1"/>
          <w:sz w:val="22"/>
        </w:rPr>
        <w:t>.</w:t>
      </w:r>
    </w:p>
    <w:p w14:paraId="79708353" w14:textId="6CAEF064" w:rsidR="00495590" w:rsidRPr="004E20DA" w:rsidRDefault="00495590" w:rsidP="00EC02A7">
      <w:pPr>
        <w:spacing w:before="120" w:after="120" w:line="276" w:lineRule="auto"/>
        <w:jc w:val="both"/>
        <w:rPr>
          <w:rFonts w:ascii="Arial" w:eastAsia="Calibri" w:hAnsi="Arial" w:cs="Arial"/>
          <w:color w:val="000000" w:themeColor="text1"/>
          <w:sz w:val="22"/>
        </w:rPr>
      </w:pPr>
      <w:r w:rsidRPr="004E20DA">
        <w:rPr>
          <w:rFonts w:ascii="Arial" w:eastAsia="Calibri" w:hAnsi="Arial" w:cs="Arial"/>
          <w:color w:val="000000" w:themeColor="text1"/>
          <w:sz w:val="22"/>
        </w:rPr>
        <w:lastRenderedPageBreak/>
        <w:t>La experiencia que se deriva de los contratos que el proponente ha celebrado y ejecutado con diferentes contratantes, sin importar la naturaleza de estos, se verifica con el Registro Único de Proponentes (RUP)</w:t>
      </w:r>
      <w:r w:rsidRPr="004E20DA">
        <w:rPr>
          <w:rFonts w:ascii="Arial" w:eastAsia="Calibri" w:hAnsi="Arial" w:cs="Arial"/>
          <w:color w:val="000000" w:themeColor="text1"/>
          <w:sz w:val="22"/>
          <w:vertAlign w:val="superscript"/>
        </w:rPr>
        <w:footnoteReference w:id="9"/>
      </w:r>
      <w:r w:rsidRPr="004E20DA">
        <w:rPr>
          <w:rFonts w:ascii="Arial" w:eastAsia="Calibri" w:hAnsi="Arial" w:cs="Arial"/>
          <w:color w:val="000000" w:themeColor="text1"/>
          <w:sz w:val="22"/>
        </w:rPr>
        <w:t>,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Pr="004E20DA">
        <w:rPr>
          <w:rFonts w:ascii="Arial" w:eastAsia="Calibri" w:hAnsi="Arial" w:cs="Arial"/>
          <w:color w:val="000000" w:themeColor="text1"/>
          <w:sz w:val="22"/>
          <w:vertAlign w:val="superscript"/>
        </w:rPr>
        <w:footnoteReference w:id="10"/>
      </w:r>
      <w:r w:rsidRPr="004E20DA">
        <w:rPr>
          <w:rFonts w:ascii="Arial" w:eastAsia="Calibri" w:hAnsi="Arial" w:cs="Arial"/>
          <w:color w:val="000000" w:themeColor="text1"/>
          <w:sz w:val="22"/>
        </w:rPr>
        <w:t>.</w:t>
      </w:r>
    </w:p>
    <w:p w14:paraId="77CF2779" w14:textId="41A24C0E" w:rsidR="00BF5A02" w:rsidRPr="004E20DA" w:rsidRDefault="00495590" w:rsidP="00203A5D">
      <w:pPr>
        <w:spacing w:line="276" w:lineRule="auto"/>
        <w:ind w:firstLine="708"/>
        <w:jc w:val="both"/>
        <w:rPr>
          <w:rFonts w:ascii="Arial" w:eastAsia="Calibri" w:hAnsi="Arial" w:cs="Arial"/>
          <w:color w:val="000000" w:themeColor="text1"/>
          <w:sz w:val="22"/>
        </w:rPr>
      </w:pPr>
      <w:r w:rsidRPr="004E20DA">
        <w:rPr>
          <w:rFonts w:ascii="Arial" w:eastAsia="Calibri" w:hAnsi="Arial" w:cs="Arial"/>
          <w:color w:val="000000" w:themeColor="text1"/>
          <w:sz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4E20DA">
        <w:rPr>
          <w:rFonts w:ascii="Arial" w:eastAsia="Calibri" w:hAnsi="Arial" w:cs="Arial"/>
          <w:color w:val="000000" w:themeColor="text1"/>
          <w:sz w:val="22"/>
          <w:vertAlign w:val="superscript"/>
        </w:rPr>
        <w:footnoteReference w:id="11"/>
      </w:r>
      <w:r w:rsidRPr="004E20DA">
        <w:rPr>
          <w:rFonts w:ascii="Arial" w:eastAsia="Calibri" w:hAnsi="Arial" w:cs="Arial"/>
          <w:color w:val="000000" w:themeColor="text1"/>
          <w:sz w:val="22"/>
        </w:rPr>
        <w:t xml:space="preserve">. De esta manera, lo que se verifica con el RUP es que el proponente tenga </w:t>
      </w:r>
      <w:r w:rsidRPr="004E20DA">
        <w:rPr>
          <w:rFonts w:ascii="Arial" w:eastAsia="Calibri" w:hAnsi="Arial" w:cs="Arial"/>
          <w:color w:val="000000" w:themeColor="text1"/>
          <w:sz w:val="22"/>
        </w:rPr>
        <w:lastRenderedPageBreak/>
        <w:t xml:space="preserve">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0A4C7BBF" w14:textId="77777777" w:rsidR="00203A5D" w:rsidRPr="004E20DA" w:rsidRDefault="00203A5D" w:rsidP="00203A5D">
      <w:pPr>
        <w:spacing w:line="276" w:lineRule="auto"/>
        <w:ind w:firstLine="708"/>
        <w:jc w:val="both"/>
        <w:rPr>
          <w:rFonts w:ascii="Arial" w:eastAsia="Calibri" w:hAnsi="Arial" w:cs="Arial"/>
          <w:color w:val="000000" w:themeColor="text1"/>
          <w:sz w:val="22"/>
        </w:rPr>
      </w:pPr>
    </w:p>
    <w:p w14:paraId="162BB659" w14:textId="20F82C29" w:rsidR="002F2F5B" w:rsidRPr="004E20DA" w:rsidRDefault="002F2F5B" w:rsidP="002F2F5B">
      <w:pPr>
        <w:spacing w:line="276" w:lineRule="auto"/>
        <w:jc w:val="both"/>
        <w:rPr>
          <w:rFonts w:ascii="Arial" w:eastAsia="Calibri" w:hAnsi="Arial" w:cs="Arial"/>
          <w:b/>
          <w:bCs/>
          <w:color w:val="000000" w:themeColor="text1"/>
          <w:sz w:val="22"/>
        </w:rPr>
      </w:pPr>
      <w:r w:rsidRPr="004E20DA">
        <w:rPr>
          <w:rFonts w:ascii="Arial" w:eastAsia="Calibri" w:hAnsi="Arial" w:cs="Arial"/>
          <w:b/>
          <w:bCs/>
          <w:color w:val="000000" w:themeColor="text1"/>
          <w:sz w:val="22"/>
        </w:rPr>
        <w:t>b)</w:t>
      </w:r>
      <w:r w:rsidRPr="004E20DA">
        <w:rPr>
          <w:rFonts w:ascii="Arial" w:hAnsi="Arial" w:cs="Arial"/>
          <w:b/>
          <w:color w:val="000000" w:themeColor="text1"/>
          <w:sz w:val="22"/>
        </w:rPr>
        <w:t xml:space="preserve"> </w:t>
      </w:r>
      <w:r w:rsidRPr="004E20DA">
        <w:rPr>
          <w:rFonts w:ascii="Arial" w:eastAsia="Calibri" w:hAnsi="Arial" w:cs="Arial"/>
          <w:b/>
          <w:bCs/>
          <w:color w:val="000000" w:themeColor="text1"/>
          <w:sz w:val="22"/>
        </w:rPr>
        <w:t>Consideraciones de Colombia Compra Eficiente respecto de la experiencia</w:t>
      </w:r>
    </w:p>
    <w:p w14:paraId="25FF251D" w14:textId="77777777" w:rsidR="002F2F5B" w:rsidRPr="004E20DA" w:rsidRDefault="002F2F5B" w:rsidP="002F2F5B">
      <w:pPr>
        <w:spacing w:line="276" w:lineRule="auto"/>
        <w:jc w:val="both"/>
        <w:rPr>
          <w:rFonts w:ascii="Arial" w:hAnsi="Arial" w:cs="Arial"/>
          <w:b/>
          <w:color w:val="000000" w:themeColor="text1"/>
          <w:sz w:val="22"/>
        </w:rPr>
      </w:pPr>
    </w:p>
    <w:p w14:paraId="5C9908F4" w14:textId="77777777" w:rsidR="002F2F5B" w:rsidRPr="004E20DA" w:rsidRDefault="002F2F5B" w:rsidP="002F2F5B">
      <w:pPr>
        <w:spacing w:line="276" w:lineRule="auto"/>
        <w:jc w:val="both"/>
        <w:rPr>
          <w:rFonts w:ascii="Arial" w:eastAsia="Calibri" w:hAnsi="Arial" w:cs="Arial"/>
          <w:color w:val="000000" w:themeColor="text1"/>
          <w:sz w:val="22"/>
        </w:rPr>
      </w:pPr>
      <w:r w:rsidRPr="004E20DA">
        <w:rPr>
          <w:rFonts w:ascii="Arial" w:eastAsia="Calibri" w:hAnsi="Arial" w:cs="Arial"/>
          <w:color w:val="000000" w:themeColor="text1"/>
          <w:sz w:val="22"/>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 con anterioridad, en actividades que le permitieron conocer cómo ejecutar el objeto contractual, que la entidad pretende satisfacer ahora</w:t>
      </w:r>
      <w:r w:rsidRPr="004E20DA">
        <w:rPr>
          <w:rFonts w:ascii="Arial" w:eastAsia="Calibri" w:hAnsi="Arial" w:cs="Arial"/>
          <w:color w:val="000000" w:themeColor="text1"/>
          <w:sz w:val="22"/>
          <w:vertAlign w:val="superscript"/>
        </w:rPr>
        <w:footnoteReference w:id="12"/>
      </w:r>
      <w:r w:rsidRPr="004E20DA">
        <w:rPr>
          <w:rFonts w:ascii="Arial" w:eastAsia="Calibri" w:hAnsi="Arial" w:cs="Arial"/>
          <w:color w:val="000000" w:themeColor="text1"/>
          <w:sz w:val="22"/>
        </w:rPr>
        <w:t>.</w:t>
      </w:r>
    </w:p>
    <w:p w14:paraId="75F96608" w14:textId="77777777" w:rsidR="002F2F5B" w:rsidRPr="004E20DA" w:rsidRDefault="002F2F5B" w:rsidP="002F2F5B">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w:t>
      </w:r>
      <w:r w:rsidRPr="004E20DA">
        <w:rPr>
          <w:rFonts w:ascii="Arial" w:eastAsia="Calibri" w:hAnsi="Arial" w:cs="Arial"/>
          <w:color w:val="000000" w:themeColor="text1"/>
          <w:sz w:val="22"/>
        </w:rPr>
        <w:lastRenderedPageBreak/>
        <w:t xml:space="preserve">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conclusiones relevantes en relación con los rasgos característicos de la experiencia: </w:t>
      </w:r>
    </w:p>
    <w:p w14:paraId="7BCC4899" w14:textId="77777777" w:rsidR="002F2F5B" w:rsidRPr="004E20DA" w:rsidRDefault="002F2F5B" w:rsidP="002F2F5B">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670A13FC" w14:textId="77777777" w:rsidR="002F2F5B" w:rsidRPr="004E20DA" w:rsidRDefault="002F2F5B" w:rsidP="002F2F5B">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ii)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asociativas  ̶ consorcios y uniones temporales ̶  que se verificará en el documento privado de constitución.</w:t>
      </w:r>
    </w:p>
    <w:p w14:paraId="08AD94E0" w14:textId="77777777" w:rsidR="002F2F5B" w:rsidRPr="004E20DA" w:rsidRDefault="002F2F5B" w:rsidP="002F2F5B">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 xml:space="preserve">iii) La experiencia se puede transferir, y es diferente a compartir, puesto que implica que la experiencia de una persona se traslada a otra, y esta última acredita esa experiencia como propia, lo cual es el caso de algunas figuras y reformas estatutarias. </w:t>
      </w:r>
    </w:p>
    <w:p w14:paraId="0634FF30" w14:textId="77777777" w:rsidR="002F2F5B" w:rsidRPr="004E20DA" w:rsidRDefault="002F2F5B" w:rsidP="002F2F5B">
      <w:pPr>
        <w:spacing w:before="120" w:after="120" w:line="276" w:lineRule="auto"/>
        <w:ind w:firstLine="709"/>
        <w:jc w:val="both"/>
        <w:rPr>
          <w:rFonts w:ascii="Arial" w:eastAsia="Calibri" w:hAnsi="Arial" w:cs="Arial"/>
          <w:color w:val="000000" w:themeColor="text1"/>
          <w:sz w:val="22"/>
        </w:rPr>
      </w:pPr>
      <w:r w:rsidRPr="004E20DA">
        <w:rPr>
          <w:rFonts w:ascii="Arial" w:eastAsia="Calibri" w:hAnsi="Arial" w:cs="Arial"/>
          <w:color w:val="000000" w:themeColor="text1"/>
          <w:sz w:val="22"/>
        </w:rPr>
        <w:t>iv) Cuando la persona que adquirió la experiencia desaparece o se liquida, no es posible que comparta o transfiera su experiencia, porque al ser personal sigue la suerte de quien la adquirió.</w:t>
      </w:r>
    </w:p>
    <w:p w14:paraId="3A2E958D" w14:textId="77777777" w:rsidR="002F2F5B" w:rsidRPr="004E20DA" w:rsidRDefault="002F2F5B" w:rsidP="002F2F5B">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Ahora, el Registro Único de Proponentes </w:t>
      </w:r>
      <w:r w:rsidRPr="004E20DA">
        <w:rPr>
          <w:rFonts w:ascii="Arial" w:eastAsia="Calibri" w:hAnsi="Arial" w:cs="Arial"/>
          <w:color w:val="000000" w:themeColor="text1"/>
          <w:sz w:val="22"/>
        </w:rPr>
        <w:t xml:space="preserve">― </w:t>
      </w:r>
      <w:r w:rsidRPr="004E20DA">
        <w:rPr>
          <w:rFonts w:ascii="Arial" w:hAnsi="Arial" w:cs="Arial"/>
          <w:color w:val="000000" w:themeColor="text1"/>
          <w:sz w:val="22"/>
        </w:rPr>
        <w:t>RUP fue creado por el artículo 6 de la Ley 1150 de 2007, y se constituye como el medio idóneo para verificar las condiciones de los proponentes en procesos de contratación pública. Este registro, conforme a lo señalado por la Corte Constitucional</w:t>
      </w:r>
      <w:r w:rsidRPr="004E20DA">
        <w:rPr>
          <w:rFonts w:ascii="Arial" w:hAnsi="Arial" w:cs="Arial"/>
          <w:color w:val="000000" w:themeColor="text1"/>
          <w:sz w:val="22"/>
          <w:vertAlign w:val="superscript"/>
        </w:rPr>
        <w:footnoteReference w:id="13"/>
      </w:r>
      <w:r w:rsidRPr="004E20DA">
        <w:rPr>
          <w:rFonts w:ascii="Arial" w:hAnsi="Arial" w:cs="Arial"/>
          <w:color w:val="000000" w:themeColor="text1"/>
          <w:sz w:val="22"/>
        </w:rPr>
        <w:t xml:space="preserve">, por atribución legal es administrado por las Cámaras de Comercio y la actividad relacionada en el mismo está «sometid[a] a los principios de la función administrativa y de contratación estatal». </w:t>
      </w:r>
    </w:p>
    <w:p w14:paraId="282C1625" w14:textId="77777777" w:rsidR="002F2F5B" w:rsidRPr="004E20DA" w:rsidRDefault="002F2F5B" w:rsidP="002F2F5B">
      <w:pPr>
        <w:spacing w:before="120" w:after="120" w:line="276" w:lineRule="auto"/>
        <w:ind w:firstLine="705"/>
        <w:jc w:val="both"/>
        <w:rPr>
          <w:rFonts w:ascii="Arial" w:hAnsi="Arial" w:cs="Arial"/>
          <w:color w:val="000000" w:themeColor="text1"/>
          <w:sz w:val="22"/>
        </w:rPr>
      </w:pPr>
      <w:r w:rsidRPr="004E20DA">
        <w:rPr>
          <w:rFonts w:ascii="Arial" w:hAnsi="Arial" w:cs="Arial"/>
          <w:color w:val="000000" w:themeColor="text1"/>
          <w:sz w:val="22"/>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3E5A4DB4" w14:textId="77777777" w:rsidR="002F2F5B" w:rsidRPr="004E20DA" w:rsidRDefault="002F2F5B" w:rsidP="002F2F5B">
      <w:pPr>
        <w:spacing w:before="120" w:after="120" w:line="276" w:lineRule="auto"/>
        <w:ind w:left="180" w:firstLine="525"/>
        <w:jc w:val="both"/>
        <w:rPr>
          <w:rFonts w:ascii="Arial" w:hAnsi="Arial" w:cs="Arial"/>
          <w:color w:val="000000" w:themeColor="text1"/>
          <w:sz w:val="22"/>
        </w:rPr>
      </w:pPr>
      <w:r w:rsidRPr="004E20DA">
        <w:rPr>
          <w:rFonts w:ascii="Arial" w:hAnsi="Arial" w:cs="Arial"/>
          <w:color w:val="000000" w:themeColor="text1"/>
          <w:sz w:val="22"/>
        </w:rPr>
        <w:lastRenderedPageBreak/>
        <w:t xml:space="preserve">Como se dijo, la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14:paraId="2963B813" w14:textId="77777777" w:rsidR="002F2F5B" w:rsidRPr="004E20DA" w:rsidRDefault="002F2F5B" w:rsidP="002F2F5B">
      <w:pPr>
        <w:spacing w:before="120" w:after="120" w:line="276" w:lineRule="auto"/>
        <w:jc w:val="both"/>
        <w:rPr>
          <w:rFonts w:ascii="Arial" w:hAnsi="Arial" w:cs="Arial"/>
          <w:color w:val="000000" w:themeColor="text1"/>
          <w:sz w:val="22"/>
        </w:rPr>
      </w:pPr>
      <w:r w:rsidRPr="004E20DA">
        <w:rPr>
          <w:rFonts w:ascii="Arial" w:hAnsi="Arial" w:cs="Arial"/>
          <w:color w:val="000000" w:themeColor="text1"/>
          <w:sz w:val="22"/>
        </w:rPr>
        <w:tab/>
        <w:t xml:space="preserve">Asimismo, correlativo a este deber de los proponentes, la norma impuso a las cámaras de comercio la obligación de verificar los requisitos habilitantes de quienes se registren en dicha base de datos. El inciso 2 del numeral 6.1. le otorga carácter de plena prueba a la información contenida en el registro que haya sido verificada por las cámaras de comercio y, además, consagró una especie de tarifa legal respecto de la acreditación de los requisitos habilitantes, pues señala que la verificación de las condiciones de que trata el numeral 1 el artículo 5 de la Ley 1150 de 2007 se demostrará «exclusivamente con el respectivo certificado del RUP en donde deberán constar dichas condiciones». </w:t>
      </w:r>
    </w:p>
    <w:p w14:paraId="29FF319D" w14:textId="1A8488C2" w:rsidR="002F2F5B" w:rsidRPr="004E20DA" w:rsidRDefault="002F2F5B" w:rsidP="002F2F5B">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Como consecuencia de lo anterior,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misma norma señala que solo en este último evento la entidad podrá hacer la verificación en forma directa, es decir, cuando por el objeto del contrato se requieran verificar requisitos adicionales a los contenidos en el registro.  </w:t>
      </w:r>
    </w:p>
    <w:p w14:paraId="3E1F0A35" w14:textId="77777777" w:rsidR="002F2F5B" w:rsidRPr="004E20DA" w:rsidRDefault="002F2F5B" w:rsidP="002F2F5B">
      <w:pPr>
        <w:spacing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señalados en el Registro Único de Proponentes. </w:t>
      </w:r>
    </w:p>
    <w:p w14:paraId="4C16AD74" w14:textId="6839A870" w:rsidR="00965ED6" w:rsidRPr="004E20DA" w:rsidRDefault="00965ED6" w:rsidP="002F2F5B">
      <w:pPr>
        <w:spacing w:line="276" w:lineRule="auto"/>
        <w:jc w:val="both"/>
        <w:rPr>
          <w:rFonts w:ascii="Arial" w:hAnsi="Arial" w:cs="Arial"/>
          <w:color w:val="000000" w:themeColor="text1"/>
          <w:sz w:val="22"/>
        </w:rPr>
      </w:pPr>
    </w:p>
    <w:bookmarkEnd w:id="0"/>
    <w:bookmarkEnd w:id="1"/>
    <w:p w14:paraId="17B7DF92" w14:textId="2BD290A2" w:rsidR="00AD1B0F" w:rsidRPr="004E20DA" w:rsidRDefault="00D75C60" w:rsidP="00203A5D">
      <w:pPr>
        <w:spacing w:line="276" w:lineRule="auto"/>
        <w:jc w:val="both"/>
        <w:rPr>
          <w:rFonts w:ascii="Arial" w:hAnsi="Arial" w:cs="Arial"/>
          <w:b/>
          <w:color w:val="000000" w:themeColor="text1"/>
          <w:sz w:val="22"/>
        </w:rPr>
      </w:pPr>
      <w:r w:rsidRPr="004E20DA">
        <w:rPr>
          <w:rFonts w:ascii="Arial" w:hAnsi="Arial" w:cs="Arial"/>
          <w:b/>
          <w:color w:val="000000" w:themeColor="text1"/>
          <w:sz w:val="22"/>
        </w:rPr>
        <w:t>2.</w:t>
      </w:r>
      <w:r w:rsidR="00E3158C" w:rsidRPr="004E20DA">
        <w:rPr>
          <w:rFonts w:ascii="Arial" w:hAnsi="Arial" w:cs="Arial"/>
          <w:b/>
          <w:color w:val="000000" w:themeColor="text1"/>
          <w:sz w:val="22"/>
        </w:rPr>
        <w:t>3</w:t>
      </w:r>
      <w:r w:rsidR="00AD1B0F" w:rsidRPr="004E20DA">
        <w:rPr>
          <w:rFonts w:ascii="Arial" w:hAnsi="Arial" w:cs="Arial"/>
          <w:b/>
          <w:color w:val="000000" w:themeColor="text1"/>
          <w:sz w:val="22"/>
        </w:rPr>
        <w:t>.</w:t>
      </w:r>
      <w:r w:rsidR="00AD1B0F" w:rsidRPr="004E20DA">
        <w:rPr>
          <w:rFonts w:ascii="Arial" w:hAnsi="Arial" w:cs="Arial"/>
          <w:b/>
          <w:color w:val="000000" w:themeColor="text1"/>
          <w:sz w:val="22"/>
        </w:rPr>
        <w:tab/>
        <w:t>Acreditación de ex</w:t>
      </w:r>
      <w:r w:rsidR="009F1F65" w:rsidRPr="004E20DA">
        <w:rPr>
          <w:rFonts w:ascii="Arial" w:hAnsi="Arial" w:cs="Arial"/>
          <w:b/>
          <w:color w:val="000000" w:themeColor="text1"/>
          <w:sz w:val="22"/>
        </w:rPr>
        <w:t xml:space="preserve">periencia de sociedades nuevas </w:t>
      </w:r>
    </w:p>
    <w:p w14:paraId="14880C24" w14:textId="77777777" w:rsidR="006B154D" w:rsidRPr="004E20DA" w:rsidRDefault="006B154D" w:rsidP="00203A5D">
      <w:pPr>
        <w:spacing w:line="276" w:lineRule="auto"/>
        <w:jc w:val="both"/>
        <w:rPr>
          <w:rFonts w:ascii="Arial" w:hAnsi="Arial" w:cs="Arial"/>
          <w:b/>
          <w:color w:val="000000" w:themeColor="text1"/>
          <w:sz w:val="22"/>
        </w:rPr>
      </w:pPr>
    </w:p>
    <w:p w14:paraId="471B2AE7" w14:textId="77777777" w:rsidR="006B154D" w:rsidRPr="004E20DA" w:rsidRDefault="006B154D" w:rsidP="006B154D">
      <w:pPr>
        <w:spacing w:line="276" w:lineRule="auto"/>
        <w:jc w:val="both"/>
        <w:rPr>
          <w:rFonts w:ascii="Arial" w:hAnsi="Arial" w:cs="Arial"/>
          <w:color w:val="000000" w:themeColor="text1"/>
          <w:sz w:val="22"/>
        </w:rPr>
      </w:pPr>
      <w:r w:rsidRPr="004E20DA">
        <w:rPr>
          <w:rFonts w:ascii="Arial" w:hAnsi="Arial" w:cs="Arial"/>
          <w:color w:val="000000" w:themeColor="text1"/>
          <w:sz w:val="22"/>
        </w:rPr>
        <w:t xml:space="preserve">La Agencia Nacional de Contratación Pública – Colombia Compra Eficiente se pronunció en el concepto identificado con radicado No. 4201912000003636 del 20 de agosto de 2019, reiterado en los conceptos con radicados Nos. 4201912000004743 del 28 de agosto de 2019, 4201913000006797 del 19 de noviembre de 2019, 4201913000006173, 4201913000007132 del 17 de octubre de 2019, 4201912000007182 del 18 de octubre de 2019, sobre la acreditación de la experiencia de las sociedades cuya constitución es inferior a 3 años. La tesis propuesta en estos conceptos se expone a continuación. </w:t>
      </w:r>
    </w:p>
    <w:p w14:paraId="7849C24C"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lastRenderedPageBreak/>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w:t>
      </w:r>
    </w:p>
    <w:p w14:paraId="40AFCA68" w14:textId="77777777" w:rsidR="006B154D" w:rsidRPr="004E20DA" w:rsidRDefault="006B154D" w:rsidP="006B154D">
      <w:pPr>
        <w:spacing w:before="120" w:after="120" w:line="276" w:lineRule="auto"/>
        <w:jc w:val="both"/>
        <w:rPr>
          <w:rFonts w:ascii="Arial" w:hAnsi="Arial" w:cs="Arial"/>
          <w:color w:val="000000" w:themeColor="text1"/>
          <w:sz w:val="22"/>
        </w:rPr>
      </w:pPr>
      <w:r w:rsidRPr="004E20DA">
        <w:rPr>
          <w:rFonts w:ascii="Arial" w:hAnsi="Arial" w:cs="Arial"/>
          <w:color w:val="000000" w:themeColor="text1"/>
          <w:sz w:val="22"/>
        </w:rPr>
        <w:t xml:space="preserve">participación en el proceso de selección y no otorgarán puntaje; con excepción del proceso de selección de consultores, donde es posible otorgar puntaje al criterio de experiencia. </w:t>
      </w:r>
    </w:p>
    <w:p w14:paraId="32F4C7BB" w14:textId="6BF33DE9"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Por su parte, </w:t>
      </w:r>
      <w:r w:rsidR="001036EA" w:rsidRPr="004E20DA">
        <w:rPr>
          <w:rFonts w:ascii="Arial" w:hAnsi="Arial" w:cs="Arial"/>
          <w:color w:val="000000" w:themeColor="text1"/>
          <w:sz w:val="22"/>
        </w:rPr>
        <w:t>recuérdese que el</w:t>
      </w:r>
      <w:r w:rsidRPr="004E20DA">
        <w:rPr>
          <w:rFonts w:ascii="Arial" w:hAnsi="Arial" w:cs="Arial"/>
          <w:color w:val="000000" w:themeColor="text1"/>
          <w:sz w:val="22"/>
        </w:rPr>
        <w:t xml:space="preserve">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739F2380"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E20DA">
        <w:rPr>
          <w:rFonts w:ascii="Arial" w:hAnsi="Arial" w:cs="Arial"/>
          <w:color w:val="000000" w:themeColor="text1"/>
          <w:sz w:val="22"/>
          <w:vertAlign w:val="superscript"/>
        </w:rPr>
        <w:footnoteReference w:id="14"/>
      </w:r>
      <w:r w:rsidRPr="004E20DA">
        <w:rPr>
          <w:rFonts w:ascii="Arial" w:hAnsi="Arial" w:cs="Arial"/>
          <w:color w:val="000000" w:themeColor="text1"/>
          <w:sz w:val="22"/>
        </w:rPr>
        <w:t xml:space="preserve">.  </w:t>
      </w:r>
    </w:p>
    <w:p w14:paraId="3B21EC26"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numeral 2.5</w:t>
      </w:r>
      <w:r w:rsidRPr="004E20DA">
        <w:rPr>
          <w:rFonts w:ascii="Arial" w:hAnsi="Arial" w:cs="Arial"/>
          <w:color w:val="000000" w:themeColor="text1"/>
          <w:sz w:val="22"/>
          <w:vertAlign w:val="superscript"/>
        </w:rPr>
        <w:footnoteReference w:id="15"/>
      </w:r>
      <w:r w:rsidRPr="004E20DA">
        <w:rPr>
          <w:rFonts w:ascii="Arial" w:hAnsi="Arial" w:cs="Arial"/>
          <w:color w:val="000000" w:themeColor="text1"/>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w:t>
      </w:r>
      <w:r w:rsidRPr="004E20DA">
        <w:rPr>
          <w:rFonts w:ascii="Arial" w:hAnsi="Arial" w:cs="Arial"/>
          <w:color w:val="000000" w:themeColor="text1"/>
          <w:sz w:val="22"/>
        </w:rPr>
        <w:lastRenderedPageBreak/>
        <w:t xml:space="preserve">hayan recibido tales bienes, obras o servicios y deben corresponder a contratos ejecutados o copias de los contratos cuando el interesado no puede obtener tal certificado. </w:t>
      </w:r>
    </w:p>
    <w:p w14:paraId="1F6D3105"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3AFE3DAC"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4E20DA">
        <w:rPr>
          <w:rFonts w:ascii="Arial" w:eastAsia="Calibri" w:hAnsi="Arial" w:cs="Arial"/>
          <w:color w:val="000000" w:themeColor="text1"/>
          <w:sz w:val="22"/>
        </w:rPr>
        <w:t>─</w:t>
      </w:r>
      <w:r w:rsidRPr="004E20DA">
        <w:rPr>
          <w:rFonts w:ascii="Arial" w:hAnsi="Arial" w:cs="Arial"/>
          <w:color w:val="000000" w:themeColor="text1"/>
          <w:sz w:val="22"/>
        </w:rPr>
        <w:t>con menos de 3 años de constitución</w:t>
      </w:r>
      <w:r w:rsidRPr="004E20DA">
        <w:rPr>
          <w:rFonts w:ascii="Arial" w:eastAsia="Calibri" w:hAnsi="Arial" w:cs="Arial"/>
          <w:color w:val="000000" w:themeColor="text1"/>
          <w:sz w:val="22"/>
        </w:rPr>
        <w:t>─</w:t>
      </w:r>
      <w:r w:rsidRPr="004E20DA">
        <w:rPr>
          <w:rFonts w:ascii="Arial" w:hAnsi="Arial" w:cs="Arial"/>
          <w:color w:val="000000" w:themeColor="text1"/>
          <w:sz w:val="22"/>
        </w:rPr>
        <w:t xml:space="preserve"> puedan acreditar como experiencia en el RUP la de sus accionistas, socios o constituyentes. </w:t>
      </w:r>
    </w:p>
    <w:p w14:paraId="4690B372"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3840EC97"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2DC11DF8"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64A78703"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09F368B7"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Teniendo en cuenta lo anterior, aunque la persona jurídica tenga más de tres años de constituida y haya registrado inicialmente la experiencia de sus socios en el RUP </w:t>
      </w:r>
      <w:r w:rsidRPr="004E20DA">
        <w:rPr>
          <w:rFonts w:ascii="Arial" w:eastAsia="Calibri" w:hAnsi="Arial" w:cs="Arial"/>
          <w:color w:val="000000" w:themeColor="text1"/>
          <w:sz w:val="22"/>
        </w:rPr>
        <w:t>―</w:t>
      </w:r>
      <w:r w:rsidRPr="004E20DA">
        <w:rPr>
          <w:rFonts w:ascii="Arial" w:hAnsi="Arial" w:cs="Arial"/>
          <w:color w:val="000000" w:themeColor="text1"/>
          <w:sz w:val="22"/>
        </w:rPr>
        <w:t>pues su constitución era inferior a tres años</w:t>
      </w:r>
      <w:r w:rsidRPr="004E20DA">
        <w:rPr>
          <w:rFonts w:ascii="Arial" w:eastAsia="Calibri" w:hAnsi="Arial" w:cs="Arial"/>
          <w:color w:val="000000" w:themeColor="text1"/>
          <w:sz w:val="22"/>
        </w:rPr>
        <w:t>―</w:t>
      </w:r>
      <w:r w:rsidRPr="004E20DA">
        <w:rPr>
          <w:rFonts w:ascii="Arial" w:hAnsi="Arial" w:cs="Arial"/>
          <w:color w:val="000000" w:themeColor="text1"/>
          <w:sz w:val="22"/>
        </w:rPr>
        <w:t xml:space="preserve"> y este es renovado, puede continuar utilizando la </w:t>
      </w:r>
      <w:r w:rsidRPr="004E20DA">
        <w:rPr>
          <w:rFonts w:ascii="Arial" w:hAnsi="Arial" w:cs="Arial"/>
          <w:color w:val="000000" w:themeColor="text1"/>
          <w:sz w:val="22"/>
        </w:rPr>
        <w:lastRenderedPageBreak/>
        <w:t xml:space="preserve">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A04FA2A" w14:textId="6D9B0801"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Posición contraria se adoptó en un concepto identificado con radicado No. 4201814000001418</w:t>
      </w:r>
      <w:r w:rsidR="001036EA" w:rsidRPr="004E20DA">
        <w:rPr>
          <w:rFonts w:ascii="Arial" w:hAnsi="Arial" w:cs="Arial"/>
          <w:color w:val="000000" w:themeColor="text1"/>
          <w:sz w:val="22"/>
        </w:rPr>
        <w:t xml:space="preserve"> del 15 de febrero de 2018</w:t>
      </w:r>
      <w:r w:rsidRPr="004E20DA">
        <w:rPr>
          <w:rFonts w:ascii="Arial" w:hAnsi="Arial" w:cs="Arial"/>
          <w:color w:val="000000" w:themeColor="text1"/>
          <w:sz w:val="22"/>
        </w:rPr>
        <w:t xml:space="preserve">,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0BFDF441"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289010AC"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ii) El Decreto 1082 de 2015 establece que para la inscripción en el RUP de una persona jurídica, si su constitución es menor a 3 años, puede acreditar la experiencia de sus accionistas, socios o constituyentes. </w:t>
      </w:r>
    </w:p>
    <w:p w14:paraId="39DC4CA9"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5375AF62"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64D62116"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4E20DA">
        <w:rPr>
          <w:rFonts w:ascii="Arial" w:eastAsia="Calibri" w:hAnsi="Arial" w:cs="Arial"/>
          <w:color w:val="000000" w:themeColor="text1"/>
          <w:sz w:val="22"/>
        </w:rPr>
        <w:t>―</w:t>
      </w:r>
      <w:r w:rsidRPr="004E20DA">
        <w:rPr>
          <w:rFonts w:ascii="Arial" w:hAnsi="Arial" w:cs="Arial"/>
          <w:color w:val="000000" w:themeColor="text1"/>
          <w:sz w:val="22"/>
        </w:rPr>
        <w:t>únicamente para la capacidad jurídica y experiencia</w:t>
      </w:r>
      <w:r w:rsidRPr="004E20DA">
        <w:rPr>
          <w:rFonts w:ascii="Arial" w:eastAsia="Calibri" w:hAnsi="Arial" w:cs="Arial"/>
          <w:color w:val="000000" w:themeColor="text1"/>
          <w:sz w:val="22"/>
        </w:rPr>
        <w:t>―</w:t>
      </w:r>
      <w:r w:rsidRPr="004E20DA">
        <w:rPr>
          <w:rFonts w:ascii="Arial" w:hAnsi="Arial" w:cs="Arial"/>
          <w:color w:val="000000" w:themeColor="text1"/>
          <w:sz w:val="22"/>
        </w:rPr>
        <w:t xml:space="preserve"> y debe ser verificada junto con sus soportes por la Cámara de Comercio correspondiente. </w:t>
      </w:r>
    </w:p>
    <w:p w14:paraId="05C024B5"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o no de que las sociedades nuevas puedan seguir acreditando la experiencia de sus socios, accionistas o constituyentes, incluso después de cumplidos 3 años de constitución de la persona jurídica. </w:t>
      </w:r>
    </w:p>
    <w:p w14:paraId="374CF3D2"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lastRenderedPageBreak/>
        <w:t>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más recientes</w:t>
      </w:r>
      <w:r w:rsidRPr="004E20DA">
        <w:rPr>
          <w:rFonts w:ascii="Arial" w:hAnsi="Arial" w:cs="Arial"/>
          <w:color w:val="000000" w:themeColor="text1"/>
          <w:sz w:val="22"/>
          <w:vertAlign w:val="superscript"/>
        </w:rPr>
        <w:footnoteReference w:id="16"/>
      </w:r>
      <w:r w:rsidRPr="004E20DA">
        <w:rPr>
          <w:rFonts w:ascii="Arial" w:hAnsi="Arial" w:cs="Arial"/>
          <w:color w:val="000000" w:themeColor="text1"/>
          <w:sz w:val="22"/>
        </w:rPr>
        <w:t xml:space="preserve">, esto es, posteriores a la acogida en el Concepto del 3 de abril de 2018 antes citado. </w:t>
      </w:r>
    </w:p>
    <w:p w14:paraId="1E327E62"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 </w:t>
      </w:r>
    </w:p>
    <w:p w14:paraId="122726D5"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30979D2" w14:textId="77777777" w:rsidR="006B154D" w:rsidRPr="004E20DA" w:rsidRDefault="006B154D" w:rsidP="006B154D">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Lo anterior, tiene fundamento en la Circular Única de la Superintendencia de Industria y Comercio, en el numeral 4.2, sobre el procedimiento para llevar el registro único de proponentes, que establece:  </w:t>
      </w:r>
    </w:p>
    <w:p w14:paraId="1D0F4056" w14:textId="77777777" w:rsidR="001036EA" w:rsidRPr="004E20DA" w:rsidRDefault="001036EA" w:rsidP="006B154D">
      <w:pPr>
        <w:spacing w:line="276" w:lineRule="auto"/>
        <w:ind w:firstLine="708"/>
        <w:jc w:val="both"/>
        <w:rPr>
          <w:rFonts w:ascii="Arial" w:hAnsi="Arial" w:cs="Arial"/>
          <w:color w:val="000000" w:themeColor="text1"/>
          <w:sz w:val="22"/>
        </w:rPr>
      </w:pPr>
    </w:p>
    <w:p w14:paraId="1D9328DC" w14:textId="77777777" w:rsidR="006B154D" w:rsidRPr="004E20DA" w:rsidRDefault="006B154D" w:rsidP="006B154D">
      <w:pPr>
        <w:ind w:left="709" w:right="709"/>
        <w:jc w:val="both"/>
        <w:rPr>
          <w:rFonts w:ascii="Arial" w:hAnsi="Arial" w:cs="Arial"/>
          <w:color w:val="000000" w:themeColor="text1"/>
          <w:sz w:val="21"/>
          <w:szCs w:val="21"/>
        </w:rPr>
      </w:pPr>
      <w:r w:rsidRPr="004E20DA">
        <w:rPr>
          <w:rFonts w:ascii="Arial" w:hAnsi="Arial" w:cs="Arial"/>
          <w:color w:val="000000" w:themeColor="text1"/>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319342E9" w14:textId="77777777" w:rsidR="006B154D" w:rsidRPr="004E20DA" w:rsidRDefault="006B154D" w:rsidP="006B154D">
      <w:pPr>
        <w:ind w:left="709" w:right="709"/>
        <w:jc w:val="both"/>
        <w:rPr>
          <w:rFonts w:ascii="Arial" w:hAnsi="Arial" w:cs="Arial"/>
          <w:color w:val="000000" w:themeColor="text1"/>
          <w:sz w:val="21"/>
          <w:szCs w:val="21"/>
        </w:rPr>
      </w:pPr>
    </w:p>
    <w:p w14:paraId="797ABDF5" w14:textId="77777777" w:rsidR="006B154D" w:rsidRPr="004E20DA" w:rsidRDefault="006B154D" w:rsidP="006B154D">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w:t>
      </w:r>
      <w:r w:rsidRPr="004E20DA">
        <w:rPr>
          <w:rFonts w:ascii="Arial" w:hAnsi="Arial" w:cs="Arial"/>
          <w:color w:val="000000" w:themeColor="text1"/>
          <w:sz w:val="22"/>
        </w:rPr>
        <w:lastRenderedPageBreak/>
        <w:t xml:space="preserve">incentivar la creación de empresa y generar una mayor participación de las empresas recién constituidas.   </w:t>
      </w:r>
    </w:p>
    <w:p w14:paraId="74D64D9F"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deberá tener en cuenta; de esta forma se garantiza la pluralidad de oferentes en los procesos de contratación. </w:t>
      </w:r>
    </w:p>
    <w:p w14:paraId="5C6CC312" w14:textId="77777777" w:rsidR="006B154D" w:rsidRPr="004E20DA" w:rsidRDefault="006B154D" w:rsidP="006B154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el porcentaje de experiencia que los socios pueden transferir a las personas jurídicas con menos de 3 años de constitución. </w:t>
      </w:r>
    </w:p>
    <w:p w14:paraId="5384828C" w14:textId="77777777" w:rsidR="006B154D" w:rsidRPr="004E20DA" w:rsidRDefault="006B154D" w:rsidP="006B154D">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 Por tanto, en atención al principio general de interpretación según el cual donde el legislador no distingue no le es dado hacerlo al interprete, la experiencia de los socios, accionistas o constituyentes, se trasfiere en su totalidad a las personas jurídicas con menos de  3 años de constitución, sin consideración a los porcentajes de participación de cada integrante.</w:t>
      </w:r>
    </w:p>
    <w:p w14:paraId="7B860C8C" w14:textId="77777777" w:rsidR="00AD1B0F" w:rsidRPr="004E20DA" w:rsidRDefault="00AD1B0F" w:rsidP="00BF5A02">
      <w:pPr>
        <w:spacing w:line="276" w:lineRule="auto"/>
        <w:ind w:firstLine="709"/>
        <w:jc w:val="both"/>
        <w:rPr>
          <w:rFonts w:ascii="Arial" w:hAnsi="Arial" w:cs="Arial"/>
          <w:color w:val="000000" w:themeColor="text1"/>
          <w:sz w:val="22"/>
        </w:rPr>
      </w:pPr>
    </w:p>
    <w:p w14:paraId="609C4D8B" w14:textId="4723C6AE" w:rsidR="00AD1B0F" w:rsidRPr="004E20DA" w:rsidRDefault="004202F3" w:rsidP="00BF5A02">
      <w:pPr>
        <w:spacing w:line="276" w:lineRule="auto"/>
        <w:jc w:val="both"/>
        <w:rPr>
          <w:rFonts w:ascii="Arial" w:hAnsi="Arial" w:cs="Arial"/>
          <w:b/>
          <w:color w:val="000000" w:themeColor="text1"/>
          <w:sz w:val="22"/>
        </w:rPr>
      </w:pPr>
      <w:r w:rsidRPr="004E20DA">
        <w:rPr>
          <w:rFonts w:ascii="Arial" w:hAnsi="Arial" w:cs="Arial"/>
          <w:b/>
          <w:color w:val="000000" w:themeColor="text1"/>
          <w:sz w:val="22"/>
        </w:rPr>
        <w:t>2.</w:t>
      </w:r>
      <w:r w:rsidR="00E3158C" w:rsidRPr="004E20DA">
        <w:rPr>
          <w:rFonts w:ascii="Arial" w:hAnsi="Arial" w:cs="Arial"/>
          <w:b/>
          <w:color w:val="000000" w:themeColor="text1"/>
          <w:sz w:val="22"/>
        </w:rPr>
        <w:t>4</w:t>
      </w:r>
      <w:r w:rsidRPr="004E20DA">
        <w:rPr>
          <w:rFonts w:ascii="Arial" w:hAnsi="Arial" w:cs="Arial"/>
          <w:b/>
          <w:color w:val="000000" w:themeColor="text1"/>
          <w:sz w:val="22"/>
        </w:rPr>
        <w:t>.</w:t>
      </w:r>
      <w:r w:rsidR="00AD1B0F" w:rsidRPr="004E20DA">
        <w:rPr>
          <w:rFonts w:ascii="Arial" w:hAnsi="Arial" w:cs="Arial"/>
          <w:b/>
          <w:color w:val="000000" w:themeColor="text1"/>
          <w:sz w:val="22"/>
        </w:rPr>
        <w:t xml:space="preserve"> Acreditación de experiencia en las excepciones al RUP </w:t>
      </w:r>
    </w:p>
    <w:p w14:paraId="6757C2E8" w14:textId="77777777" w:rsidR="00AD1B0F" w:rsidRPr="004E20DA" w:rsidRDefault="00AD1B0F" w:rsidP="00BF5A02">
      <w:pPr>
        <w:spacing w:line="276" w:lineRule="auto"/>
        <w:ind w:firstLine="709"/>
        <w:jc w:val="both"/>
        <w:rPr>
          <w:rFonts w:ascii="Arial" w:hAnsi="Arial" w:cs="Arial"/>
          <w:color w:val="000000" w:themeColor="text1"/>
          <w:sz w:val="22"/>
        </w:rPr>
      </w:pPr>
    </w:p>
    <w:p w14:paraId="3C93A529" w14:textId="418A2C3F" w:rsidR="00AD1B0F" w:rsidRPr="004E20DA" w:rsidRDefault="00AD1B0F" w:rsidP="00BF5A02">
      <w:pPr>
        <w:spacing w:line="276" w:lineRule="auto"/>
        <w:jc w:val="both"/>
        <w:rPr>
          <w:rFonts w:ascii="Arial" w:hAnsi="Arial" w:cs="Arial"/>
          <w:color w:val="000000" w:themeColor="text1"/>
          <w:sz w:val="22"/>
        </w:rPr>
      </w:pPr>
      <w:r w:rsidRPr="004E20DA">
        <w:rPr>
          <w:rFonts w:ascii="Arial" w:hAnsi="Arial" w:cs="Arial"/>
          <w:color w:val="000000" w:themeColor="text1"/>
          <w:sz w:val="22"/>
        </w:rPr>
        <w:t xml:space="preserve">La acreditación de la experiencia en los procesos de contratación que no requieren del RUP, se estudió, por esta Subdirección, en </w:t>
      </w:r>
      <w:r w:rsidR="009F67A3" w:rsidRPr="004E20DA">
        <w:rPr>
          <w:rFonts w:ascii="Arial" w:hAnsi="Arial" w:cs="Arial"/>
          <w:color w:val="000000" w:themeColor="text1"/>
          <w:sz w:val="22"/>
        </w:rPr>
        <w:t>el</w:t>
      </w:r>
      <w:r w:rsidRPr="004E20DA">
        <w:rPr>
          <w:rFonts w:ascii="Arial" w:hAnsi="Arial" w:cs="Arial"/>
          <w:color w:val="000000" w:themeColor="text1"/>
          <w:sz w:val="22"/>
        </w:rPr>
        <w:t xml:space="preserve"> concepto con radicado No. 4201913000006797 del 19 de noviembre de 2019</w:t>
      </w:r>
      <w:r w:rsidR="009F67A3" w:rsidRPr="004E20DA">
        <w:rPr>
          <w:rFonts w:ascii="Arial" w:hAnsi="Arial" w:cs="Arial"/>
          <w:color w:val="000000" w:themeColor="text1"/>
          <w:sz w:val="22"/>
        </w:rPr>
        <w:t xml:space="preserve"> y </w:t>
      </w:r>
      <w:r w:rsidR="005D7F2B" w:rsidRPr="004E20DA">
        <w:rPr>
          <w:rFonts w:ascii="Arial" w:hAnsi="Arial" w:cs="Arial"/>
          <w:color w:val="000000" w:themeColor="text1"/>
          <w:sz w:val="22"/>
        </w:rPr>
        <w:t xml:space="preserve">en el concepto </w:t>
      </w:r>
      <w:r w:rsidR="00CC2F7E" w:rsidRPr="004E20DA">
        <w:rPr>
          <w:rFonts w:ascii="Arial" w:hAnsi="Arial" w:cs="Arial"/>
          <w:color w:val="000000" w:themeColor="text1"/>
          <w:sz w:val="22"/>
        </w:rPr>
        <w:t xml:space="preserve"> C</w:t>
      </w:r>
      <w:r w:rsidR="00CC2F7E" w:rsidRPr="004E20DA">
        <w:rPr>
          <w:rFonts w:ascii="Arial" w:eastAsia="Calibri" w:hAnsi="Arial" w:cs="Arial"/>
          <w:color w:val="000000" w:themeColor="text1"/>
          <w:sz w:val="22"/>
        </w:rPr>
        <w:t xml:space="preserve">― 051 </w:t>
      </w:r>
      <w:r w:rsidR="005D7F2B" w:rsidRPr="004E20DA">
        <w:rPr>
          <w:rFonts w:ascii="Arial" w:hAnsi="Arial" w:cs="Arial"/>
          <w:color w:val="000000" w:themeColor="text1"/>
          <w:sz w:val="22"/>
        </w:rPr>
        <w:t xml:space="preserve">del </w:t>
      </w:r>
      <w:r w:rsidR="0084660A" w:rsidRPr="004E20DA">
        <w:rPr>
          <w:rFonts w:ascii="Arial" w:hAnsi="Arial" w:cs="Arial"/>
          <w:color w:val="000000" w:themeColor="text1"/>
          <w:sz w:val="22"/>
        </w:rPr>
        <w:t>20 de enero de 2020</w:t>
      </w:r>
      <w:r w:rsidRPr="004E20DA">
        <w:rPr>
          <w:rFonts w:ascii="Arial" w:hAnsi="Arial" w:cs="Arial"/>
          <w:color w:val="000000" w:themeColor="text1"/>
          <w:sz w:val="22"/>
        </w:rPr>
        <w:t>, de acuerdo con los argumentos que se presentan a co</w:t>
      </w:r>
      <w:r w:rsidR="009F1F65" w:rsidRPr="004E20DA">
        <w:rPr>
          <w:rFonts w:ascii="Arial" w:hAnsi="Arial" w:cs="Arial"/>
          <w:color w:val="000000" w:themeColor="text1"/>
          <w:sz w:val="22"/>
        </w:rPr>
        <w:t xml:space="preserve">ntinuación. </w:t>
      </w:r>
    </w:p>
    <w:p w14:paraId="702D1DB2" w14:textId="38A83FAF"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El Registro Único de Proponentes no es exigible en todos los p</w:t>
      </w:r>
      <w:r w:rsidR="00540DF9" w:rsidRPr="004E20DA">
        <w:rPr>
          <w:rFonts w:ascii="Arial" w:hAnsi="Arial" w:cs="Arial"/>
          <w:color w:val="000000" w:themeColor="text1"/>
          <w:sz w:val="22"/>
        </w:rPr>
        <w:t>rocesos de selección. El</w:t>
      </w:r>
      <w:r w:rsidRPr="004E20DA">
        <w:rPr>
          <w:rFonts w:ascii="Arial" w:hAnsi="Arial" w:cs="Arial"/>
          <w:color w:val="000000" w:themeColor="text1"/>
          <w:sz w:val="22"/>
        </w:rPr>
        <w:t xml:space="preserve"> inciso</w:t>
      </w:r>
      <w:r w:rsidR="00540DF9" w:rsidRPr="004E20DA">
        <w:rPr>
          <w:rFonts w:ascii="Arial" w:hAnsi="Arial" w:cs="Arial"/>
          <w:color w:val="000000" w:themeColor="text1"/>
          <w:sz w:val="22"/>
        </w:rPr>
        <w:t xml:space="preserve"> segundo</w:t>
      </w:r>
      <w:r w:rsidRPr="004E20DA">
        <w:rPr>
          <w:rFonts w:ascii="Arial" w:hAnsi="Arial" w:cs="Arial"/>
          <w:color w:val="000000" w:themeColor="text1"/>
          <w:sz w:val="22"/>
        </w:rPr>
        <w:t xml:space="preserve"> del artículo 6 de la Ley 1150 de 2007 señala los casos en los que no se requerirá el R</w:t>
      </w:r>
      <w:r w:rsidR="00540DF9" w:rsidRPr="004E20DA">
        <w:rPr>
          <w:rFonts w:ascii="Arial" w:hAnsi="Arial" w:cs="Arial"/>
          <w:color w:val="000000" w:themeColor="text1"/>
          <w:sz w:val="22"/>
        </w:rPr>
        <w:t>egistro Único de Proponentes: «[…]</w:t>
      </w:r>
      <w:r w:rsidRPr="004E20DA">
        <w:rPr>
          <w:rFonts w:ascii="Arial" w:hAnsi="Arial" w:cs="Arial"/>
          <w:color w:val="000000" w:themeColor="text1"/>
          <w:sz w:val="22"/>
        </w:rPr>
        <w:t xml:space="preserve">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w:t>
      </w:r>
      <w:r w:rsidR="00540DF9" w:rsidRPr="004E20DA">
        <w:rPr>
          <w:rFonts w:ascii="Arial" w:hAnsi="Arial" w:cs="Arial"/>
          <w:color w:val="000000" w:themeColor="text1"/>
          <w:sz w:val="22"/>
        </w:rPr>
        <w:t>cualquier índole»</w:t>
      </w:r>
      <w:r w:rsidR="009F1F65" w:rsidRPr="004E20DA">
        <w:rPr>
          <w:rFonts w:ascii="Arial" w:hAnsi="Arial" w:cs="Arial"/>
          <w:color w:val="000000" w:themeColor="text1"/>
          <w:sz w:val="22"/>
        </w:rPr>
        <w:t xml:space="preserve">. </w:t>
      </w:r>
    </w:p>
    <w:p w14:paraId="60DA78A2" w14:textId="7B5464F6"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w:t>
      </w:r>
      <w:r w:rsidR="00540DF9" w:rsidRPr="004E20DA">
        <w:rPr>
          <w:rFonts w:ascii="Arial" w:hAnsi="Arial" w:cs="Arial"/>
          <w:color w:val="000000" w:themeColor="text1"/>
          <w:sz w:val="22"/>
        </w:rPr>
        <w:t xml:space="preserve">olicitar información adicional </w:t>
      </w:r>
      <w:r w:rsidR="00540DF9" w:rsidRPr="004E20DA">
        <w:rPr>
          <w:rFonts w:ascii="Arial" w:eastAsia="Calibri" w:hAnsi="Arial" w:cs="Arial"/>
          <w:color w:val="000000" w:themeColor="text1"/>
          <w:sz w:val="22"/>
        </w:rPr>
        <w:t>―</w:t>
      </w:r>
      <w:r w:rsidRPr="004E20DA">
        <w:rPr>
          <w:rFonts w:ascii="Arial" w:hAnsi="Arial" w:cs="Arial"/>
          <w:color w:val="000000" w:themeColor="text1"/>
          <w:sz w:val="22"/>
        </w:rPr>
        <w:t>por ejemplo, longitudes de obra, esp</w:t>
      </w:r>
      <w:r w:rsidR="00540DF9" w:rsidRPr="004E20DA">
        <w:rPr>
          <w:rFonts w:ascii="Arial" w:hAnsi="Arial" w:cs="Arial"/>
          <w:color w:val="000000" w:themeColor="text1"/>
          <w:sz w:val="22"/>
        </w:rPr>
        <w:t>ecificaciones técnicas, etc</w:t>
      </w:r>
      <w:r w:rsidR="00540DF9" w:rsidRPr="004E20DA">
        <w:rPr>
          <w:rFonts w:ascii="Arial" w:eastAsia="Calibri" w:hAnsi="Arial" w:cs="Arial"/>
          <w:color w:val="000000" w:themeColor="text1"/>
          <w:sz w:val="22"/>
        </w:rPr>
        <w:t xml:space="preserve">― </w:t>
      </w:r>
      <w:r w:rsidRPr="004E20DA">
        <w:rPr>
          <w:rFonts w:ascii="Arial" w:hAnsi="Arial" w:cs="Arial"/>
          <w:color w:val="000000" w:themeColor="text1"/>
          <w:sz w:val="22"/>
        </w:rPr>
        <w:t xml:space="preserve">sólo para </w:t>
      </w:r>
      <w:r w:rsidRPr="004E20DA">
        <w:rPr>
          <w:rFonts w:ascii="Arial" w:hAnsi="Arial" w:cs="Arial"/>
          <w:color w:val="000000" w:themeColor="text1"/>
          <w:sz w:val="22"/>
        </w:rPr>
        <w:lastRenderedPageBreak/>
        <w:t xml:space="preserve">complementar la información contenida allí, y con el fin de verificar condiciones adicionales </w:t>
      </w:r>
      <w:r w:rsidR="009F1F65" w:rsidRPr="004E20DA">
        <w:rPr>
          <w:rFonts w:ascii="Arial" w:hAnsi="Arial" w:cs="Arial"/>
          <w:color w:val="000000" w:themeColor="text1"/>
          <w:sz w:val="22"/>
        </w:rPr>
        <w:t xml:space="preserve">de experiencia del proponente. </w:t>
      </w:r>
    </w:p>
    <w:p w14:paraId="5A58BAE4" w14:textId="6C6C38AE" w:rsidR="00AD1B0F" w:rsidRPr="004E20DA" w:rsidRDefault="004202F3"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De esta forma, so</w:t>
      </w:r>
      <w:r w:rsidR="00AD1B0F" w:rsidRPr="004E20DA">
        <w:rPr>
          <w:rFonts w:ascii="Arial" w:hAnsi="Arial" w:cs="Arial"/>
          <w:color w:val="000000" w:themeColor="text1"/>
          <w:sz w:val="22"/>
        </w:rPr>
        <w:t>lo en aquellos casos en los que por las características del objeto a contratar se requiera la verificación de requisitos del proponente adicionales a los contenidos en el Registro, la entidad podrá hacer tal verificación en forma directa y solicitar d</w:t>
      </w:r>
      <w:r w:rsidR="009F1F65" w:rsidRPr="004E20DA">
        <w:rPr>
          <w:rFonts w:ascii="Arial" w:hAnsi="Arial" w:cs="Arial"/>
          <w:color w:val="000000" w:themeColor="text1"/>
          <w:sz w:val="22"/>
        </w:rPr>
        <w:t xml:space="preserve">ocumentos diferentes al mismo. </w:t>
      </w:r>
    </w:p>
    <w:p w14:paraId="2F8F301C" w14:textId="6FB239F5"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w:t>
      </w:r>
      <w:r w:rsidR="009F1F65" w:rsidRPr="004E20DA">
        <w:rPr>
          <w:rFonts w:ascii="Arial" w:hAnsi="Arial" w:cs="Arial"/>
          <w:color w:val="000000" w:themeColor="text1"/>
          <w:sz w:val="22"/>
        </w:rPr>
        <w:t>nente no se inscriba en el RUP?</w:t>
      </w:r>
      <w:r w:rsidR="00540DF9" w:rsidRPr="004E20DA">
        <w:rPr>
          <w:rFonts w:ascii="Arial" w:hAnsi="Arial" w:cs="Arial"/>
          <w:color w:val="000000" w:themeColor="text1"/>
          <w:sz w:val="22"/>
        </w:rPr>
        <w:t>.</w:t>
      </w:r>
    </w:p>
    <w:p w14:paraId="53FD869E" w14:textId="2FDA6B56"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dicho registro. Para los demás eventos, como ya se anotó, la entidad contratante tiene la carga de verificar, entre otros, el requisito de experiencia de los oferentes y ello lo hará de conformidad con la regla que al efecto haya establecido </w:t>
      </w:r>
      <w:r w:rsidR="009F1F65" w:rsidRPr="004E20DA">
        <w:rPr>
          <w:rFonts w:ascii="Arial" w:hAnsi="Arial" w:cs="Arial"/>
          <w:color w:val="000000" w:themeColor="text1"/>
          <w:sz w:val="22"/>
        </w:rPr>
        <w:t xml:space="preserve">en los pliegos de condiciones. </w:t>
      </w:r>
    </w:p>
    <w:p w14:paraId="7C330D63" w14:textId="6ADB46FE"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La entidad, en virtud de su autonomía, puede determinar en los pliegos de condiciones que en la evaluación del requisito de experiencia tendrá en cuenta la experiencia de los socios, accionistas o constituyentes de aquellas personas jurídicas con me</w:t>
      </w:r>
      <w:r w:rsidR="009F1F65" w:rsidRPr="004E20DA">
        <w:rPr>
          <w:rFonts w:ascii="Arial" w:hAnsi="Arial" w:cs="Arial"/>
          <w:color w:val="000000" w:themeColor="text1"/>
          <w:sz w:val="22"/>
        </w:rPr>
        <w:t xml:space="preserve">nos de 3 años de constitución. </w:t>
      </w:r>
    </w:p>
    <w:p w14:paraId="7E79CCBD" w14:textId="4CBDCCDD"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No obstante, 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 </w:t>
      </w:r>
    </w:p>
    <w:p w14:paraId="0A4BF295" w14:textId="2C157635"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w:t>
      </w:r>
      <w:r w:rsidR="00540DF9" w:rsidRPr="004E20DA">
        <w:rPr>
          <w:rFonts w:ascii="Arial" w:hAnsi="Arial" w:cs="Arial"/>
          <w:color w:val="000000" w:themeColor="text1"/>
          <w:sz w:val="22"/>
        </w:rPr>
        <w:t>n de principio, valor y derecho</w:t>
      </w:r>
      <w:r w:rsidRPr="004E20DA">
        <w:rPr>
          <w:rFonts w:ascii="Arial" w:hAnsi="Arial" w:cs="Arial"/>
          <w:color w:val="000000" w:themeColor="text1"/>
          <w:sz w:val="22"/>
        </w:rPr>
        <w:t>, por lo que representa un criterio de obligatoria observancia tanto para la producción como para la aplicación</w:t>
      </w:r>
      <w:r w:rsidR="009F1F65" w:rsidRPr="004E20DA">
        <w:rPr>
          <w:rFonts w:ascii="Arial" w:hAnsi="Arial" w:cs="Arial"/>
          <w:color w:val="000000" w:themeColor="text1"/>
          <w:sz w:val="22"/>
        </w:rPr>
        <w:t xml:space="preserve"> e interpretación del derecho. </w:t>
      </w:r>
    </w:p>
    <w:p w14:paraId="5FF33050" w14:textId="4E9F0807"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 la luz del artículo 209 de la Constitución Política, la igualdad es uno de los principios orientadores de la función administrativa, y en virtud del principio de igualdad, las </w:t>
      </w:r>
      <w:r w:rsidRPr="004E20DA">
        <w:rPr>
          <w:rFonts w:ascii="Arial" w:hAnsi="Arial" w:cs="Arial"/>
          <w:color w:val="000000" w:themeColor="text1"/>
          <w:sz w:val="22"/>
        </w:rPr>
        <w:lastRenderedPageBreak/>
        <w:t>autoridades darán el mismo trato y protección a las personas e instituciones que intervengan en las actuaciones bajo su conocimiento, como lo ordena el numeral 2º del artíc</w:t>
      </w:r>
      <w:r w:rsidR="009F1F65" w:rsidRPr="004E20DA">
        <w:rPr>
          <w:rFonts w:ascii="Arial" w:hAnsi="Arial" w:cs="Arial"/>
          <w:color w:val="000000" w:themeColor="text1"/>
          <w:sz w:val="22"/>
        </w:rPr>
        <w:t xml:space="preserve">ulo 3º de la Ley 1437 de 2011. </w:t>
      </w:r>
    </w:p>
    <w:p w14:paraId="57E60936" w14:textId="1E922EED" w:rsidR="00AD1B0F" w:rsidRPr="004E20DA" w:rsidRDefault="00AD1B0F" w:rsidP="006D478D">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w:t>
      </w:r>
      <w:r w:rsidR="009F1F65" w:rsidRPr="004E20DA">
        <w:rPr>
          <w:rFonts w:ascii="Arial" w:hAnsi="Arial" w:cs="Arial"/>
          <w:color w:val="000000" w:themeColor="text1"/>
          <w:sz w:val="22"/>
        </w:rPr>
        <w:t xml:space="preserve">la más favorable a la entidad. </w:t>
      </w:r>
    </w:p>
    <w:p w14:paraId="1F87F83C" w14:textId="7D750897" w:rsidR="00AD1B0F" w:rsidRPr="004E20DA" w:rsidRDefault="00AD1B0F" w:rsidP="008305BD">
      <w:pPr>
        <w:spacing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Es por ello que el Consejo de Estado ha determinado que la aplicación del principio de igualdad en la contratación pública materializa otros principios de similar importancia, como la selección objetiva y la transparencia: </w:t>
      </w:r>
    </w:p>
    <w:p w14:paraId="049FC5E2" w14:textId="77777777" w:rsidR="006D478D" w:rsidRPr="004E20DA" w:rsidRDefault="006D478D" w:rsidP="008305BD">
      <w:pPr>
        <w:spacing w:line="276" w:lineRule="auto"/>
        <w:ind w:firstLine="708"/>
        <w:jc w:val="both"/>
        <w:rPr>
          <w:rFonts w:ascii="Arial" w:hAnsi="Arial" w:cs="Arial"/>
          <w:color w:val="000000" w:themeColor="text1"/>
          <w:sz w:val="22"/>
        </w:rPr>
      </w:pPr>
    </w:p>
    <w:p w14:paraId="58B615F8" w14:textId="15C10E47" w:rsidR="00AD1B0F" w:rsidRPr="004E20DA" w:rsidRDefault="00AD1B0F" w:rsidP="008305BD">
      <w:pPr>
        <w:ind w:left="709" w:right="709"/>
        <w:jc w:val="both"/>
        <w:rPr>
          <w:rFonts w:ascii="Arial" w:hAnsi="Arial" w:cs="Arial"/>
          <w:color w:val="000000" w:themeColor="text1"/>
          <w:sz w:val="22"/>
        </w:rPr>
      </w:pPr>
      <w:r w:rsidRPr="004E20DA">
        <w:rPr>
          <w:rFonts w:ascii="Arial" w:hAnsi="Arial" w:cs="Arial"/>
          <w:color w:val="000000" w:themeColor="text1"/>
          <w:sz w:val="22"/>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w:t>
      </w:r>
      <w:r w:rsidR="009F1F65" w:rsidRPr="004E20DA">
        <w:rPr>
          <w:rFonts w:ascii="Arial" w:hAnsi="Arial" w:cs="Arial"/>
          <w:color w:val="000000" w:themeColor="text1"/>
          <w:sz w:val="22"/>
        </w:rPr>
        <w:t>nistración y de los proponentes</w:t>
      </w:r>
      <w:r w:rsidR="008C35A2" w:rsidRPr="004E20DA">
        <w:rPr>
          <w:rStyle w:val="Refdenotaalpie"/>
          <w:rFonts w:ascii="Arial" w:hAnsi="Arial" w:cs="Arial"/>
          <w:color w:val="000000" w:themeColor="text1"/>
          <w:sz w:val="22"/>
        </w:rPr>
        <w:footnoteReference w:id="17"/>
      </w:r>
      <w:r w:rsidRPr="004E20DA">
        <w:rPr>
          <w:rFonts w:ascii="Arial" w:hAnsi="Arial" w:cs="Arial"/>
          <w:color w:val="000000" w:themeColor="text1"/>
          <w:sz w:val="22"/>
        </w:rPr>
        <w:t>.</w:t>
      </w:r>
    </w:p>
    <w:p w14:paraId="5E58CB70" w14:textId="77777777" w:rsidR="00F4797F" w:rsidRPr="004E20DA" w:rsidRDefault="00F4797F" w:rsidP="008305BD">
      <w:pPr>
        <w:ind w:left="709" w:right="709"/>
        <w:jc w:val="both"/>
        <w:rPr>
          <w:rFonts w:ascii="Arial" w:hAnsi="Arial" w:cs="Arial"/>
          <w:color w:val="000000" w:themeColor="text1"/>
          <w:sz w:val="22"/>
        </w:rPr>
      </w:pPr>
    </w:p>
    <w:p w14:paraId="2808D937" w14:textId="10517736" w:rsidR="00AD1B0F" w:rsidRPr="004E20DA" w:rsidRDefault="00AD1B0F" w:rsidP="008305BD">
      <w:pPr>
        <w:spacing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Ahora bien,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w:t>
      </w:r>
      <w:r w:rsidR="004202F3" w:rsidRPr="004E20DA">
        <w:rPr>
          <w:rFonts w:ascii="Arial" w:hAnsi="Arial" w:cs="Arial"/>
          <w:color w:val="000000" w:themeColor="text1"/>
          <w:sz w:val="22"/>
        </w:rPr>
        <w:t xml:space="preserve">se fundamenta en virtud </w:t>
      </w:r>
      <w:r w:rsidRPr="004E20DA">
        <w:rPr>
          <w:rFonts w:ascii="Arial" w:hAnsi="Arial" w:cs="Arial"/>
          <w:color w:val="000000" w:themeColor="text1"/>
          <w:sz w:val="22"/>
        </w:rPr>
        <w:t xml:space="preserve">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 </w:t>
      </w:r>
    </w:p>
    <w:p w14:paraId="0890CD86" w14:textId="0A129E82" w:rsidR="00384A8C" w:rsidRPr="004E20DA" w:rsidRDefault="00384A8C" w:rsidP="00384A8C">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 xml:space="preserve">Así, la exposición de motivos del Proyecto de Ley que modificó la Ley 80 de 1993, se expresa la necesidad de establecer excepciones a la regla general de la exigencia del Registro Único de Proponentes a las personas naturales o jurídicas que deseen participar en los procedimientos de contratación de las entidades estatales. Establece que la Cámara de Comercio fungirá como verificadora de la información habilitante, sin perjuicio de que las </w:t>
      </w:r>
      <w:r w:rsidRPr="004E20DA">
        <w:rPr>
          <w:rFonts w:ascii="Arial" w:hAnsi="Arial" w:cs="Arial"/>
          <w:color w:val="000000" w:themeColor="text1"/>
          <w:sz w:val="22"/>
        </w:rPr>
        <w:lastRenderedPageBreak/>
        <w:t>entidades estatales verifiquen la información contenida en el RUP en relación con los requisitos solicitados en el pliego de condiciones</w:t>
      </w:r>
      <w:r w:rsidRPr="004E20DA">
        <w:rPr>
          <w:rStyle w:val="Refdenotaalpie"/>
          <w:rFonts w:ascii="Arial" w:hAnsi="Arial" w:cs="Arial"/>
          <w:color w:val="000000" w:themeColor="text1"/>
          <w:sz w:val="22"/>
        </w:rPr>
        <w:footnoteReference w:id="18"/>
      </w:r>
      <w:r w:rsidRPr="004E20DA">
        <w:rPr>
          <w:rFonts w:ascii="Arial" w:hAnsi="Arial" w:cs="Arial"/>
          <w:color w:val="000000" w:themeColor="text1"/>
          <w:sz w:val="22"/>
        </w:rPr>
        <w:t>.</w:t>
      </w:r>
    </w:p>
    <w:p w14:paraId="5F7AE42F" w14:textId="07578AE4" w:rsidR="00384A8C" w:rsidRPr="004E20DA" w:rsidRDefault="00384A8C" w:rsidP="00384A8C">
      <w:pPr>
        <w:spacing w:before="120" w:after="120" w:line="276" w:lineRule="auto"/>
        <w:ind w:firstLine="708"/>
        <w:jc w:val="both"/>
        <w:rPr>
          <w:rFonts w:ascii="Arial" w:hAnsi="Arial" w:cs="Arial"/>
          <w:color w:val="000000" w:themeColor="text1"/>
          <w:sz w:val="22"/>
        </w:rPr>
      </w:pPr>
      <w:r w:rsidRPr="004E20DA">
        <w:rPr>
          <w:rFonts w:ascii="Arial" w:hAnsi="Arial" w:cs="Arial"/>
          <w:color w:val="000000" w:themeColor="text1"/>
          <w:sz w:val="22"/>
        </w:rPr>
        <w:t>En los casos mencionados, 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reafirmado por el Consejo de Estado</w:t>
      </w:r>
      <w:r w:rsidRPr="004E20DA">
        <w:rPr>
          <w:rStyle w:val="Refdenotaalpie"/>
          <w:rFonts w:ascii="Arial" w:hAnsi="Arial" w:cs="Arial"/>
          <w:color w:val="000000" w:themeColor="text1"/>
          <w:sz w:val="22"/>
        </w:rPr>
        <w:footnoteReference w:id="19"/>
      </w:r>
      <w:r w:rsidRPr="004E20DA">
        <w:rPr>
          <w:rFonts w:ascii="Arial" w:hAnsi="Arial" w:cs="Arial"/>
          <w:color w:val="000000" w:themeColor="text1"/>
          <w:sz w:val="22"/>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14:paraId="6D0E9802" w14:textId="6187A2D3" w:rsidR="00AD1B0F" w:rsidRPr="004E20DA" w:rsidRDefault="00AD1B0F" w:rsidP="006D478D">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w:t>
      </w:r>
      <w:r w:rsidRPr="004E20DA">
        <w:rPr>
          <w:rFonts w:ascii="Arial" w:hAnsi="Arial" w:cs="Arial"/>
          <w:color w:val="000000" w:themeColor="text1"/>
          <w:sz w:val="22"/>
        </w:rPr>
        <w:lastRenderedPageBreak/>
        <w:t>aplicación extensiva de la norma también se promueve el desarrollo de la empresa y la pluralidad de oferentes en la contratación pública y iii) no existe ningún criterio material o sustantivo que jus</w:t>
      </w:r>
      <w:r w:rsidR="009F1F65" w:rsidRPr="004E20DA">
        <w:rPr>
          <w:rFonts w:ascii="Arial" w:hAnsi="Arial" w:cs="Arial"/>
          <w:color w:val="000000" w:themeColor="text1"/>
          <w:sz w:val="22"/>
        </w:rPr>
        <w:t xml:space="preserve">tifique el trato diferenciado. </w:t>
      </w:r>
    </w:p>
    <w:p w14:paraId="34768D2D" w14:textId="27394FF0" w:rsidR="00AD1B0F" w:rsidRPr="004E20DA" w:rsidRDefault="00AD1B0F" w:rsidP="006D478D">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La única diferencia entre los dos grupos de sujetos es la inscripción en el RUP, el cual es obligatorio, por regla general; pero esa obligatoriedad tiene excepciones. En estas excepciones la persona jurídica no está obligada a registrarse para participar en los procesos de selección que la norma excluye del deber de inscribi</w:t>
      </w:r>
      <w:r w:rsidR="00EC3F12" w:rsidRPr="004E20DA">
        <w:rPr>
          <w:rFonts w:ascii="Arial" w:hAnsi="Arial" w:cs="Arial"/>
          <w:color w:val="000000" w:themeColor="text1"/>
          <w:sz w:val="22"/>
        </w:rPr>
        <w:t>r</w:t>
      </w:r>
      <w:r w:rsidRPr="004E20DA">
        <w:rPr>
          <w:rFonts w:ascii="Arial" w:hAnsi="Arial" w:cs="Arial"/>
          <w:color w:val="000000" w:themeColor="text1"/>
          <w:sz w:val="22"/>
        </w:rPr>
        <w:t>se en el registro. La inscripción en el RUP no se considera un criterio de diferenciación que pueda justificar un trato diferenciado entre dos grupos de personas que son esencialmente iguales, máxime cuando la falta de inscripción en el RUP, en los casos exceptuados, es una situaci</w:t>
      </w:r>
      <w:r w:rsidR="00EC3F12" w:rsidRPr="004E20DA">
        <w:rPr>
          <w:rFonts w:ascii="Arial" w:hAnsi="Arial" w:cs="Arial"/>
          <w:color w:val="000000" w:themeColor="text1"/>
          <w:sz w:val="22"/>
        </w:rPr>
        <w:t xml:space="preserve">ón permitida por la propia ley </w:t>
      </w:r>
      <w:r w:rsidR="00EC3F12" w:rsidRPr="004E20DA">
        <w:rPr>
          <w:rFonts w:ascii="Arial" w:eastAsia="Calibri" w:hAnsi="Arial" w:cs="Arial"/>
          <w:color w:val="000000" w:themeColor="text1"/>
          <w:sz w:val="22"/>
        </w:rPr>
        <w:t>―</w:t>
      </w:r>
      <w:r w:rsidRPr="004E20DA">
        <w:rPr>
          <w:rFonts w:ascii="Arial" w:hAnsi="Arial" w:cs="Arial"/>
          <w:color w:val="000000" w:themeColor="text1"/>
          <w:sz w:val="22"/>
        </w:rPr>
        <w:t xml:space="preserve">inciso </w:t>
      </w:r>
      <w:r w:rsidR="00EC3F12" w:rsidRPr="004E20DA">
        <w:rPr>
          <w:rFonts w:ascii="Arial" w:hAnsi="Arial" w:cs="Arial"/>
          <w:color w:val="000000" w:themeColor="text1"/>
          <w:sz w:val="22"/>
        </w:rPr>
        <w:t xml:space="preserve">segundo </w:t>
      </w:r>
      <w:r w:rsidRPr="004E20DA">
        <w:rPr>
          <w:rFonts w:ascii="Arial" w:hAnsi="Arial" w:cs="Arial"/>
          <w:color w:val="000000" w:themeColor="text1"/>
          <w:sz w:val="22"/>
        </w:rPr>
        <w:t>del artíc</w:t>
      </w:r>
      <w:r w:rsidR="00EC3F12" w:rsidRPr="004E20DA">
        <w:rPr>
          <w:rFonts w:ascii="Arial" w:hAnsi="Arial" w:cs="Arial"/>
          <w:color w:val="000000" w:themeColor="text1"/>
          <w:sz w:val="22"/>
        </w:rPr>
        <w:t>ulo 6 de la Ley 1150 de 2007</w:t>
      </w:r>
      <w:r w:rsidR="00EC3F12" w:rsidRPr="004E20DA">
        <w:rPr>
          <w:rFonts w:ascii="Arial" w:eastAsia="Calibri" w:hAnsi="Arial" w:cs="Arial"/>
          <w:color w:val="000000" w:themeColor="text1"/>
          <w:sz w:val="22"/>
        </w:rPr>
        <w:t>―</w:t>
      </w:r>
      <w:r w:rsidR="009F1F65" w:rsidRPr="004E20DA">
        <w:rPr>
          <w:rFonts w:ascii="Arial" w:hAnsi="Arial" w:cs="Arial"/>
          <w:color w:val="000000" w:themeColor="text1"/>
          <w:sz w:val="22"/>
        </w:rPr>
        <w:t xml:space="preserve">. </w:t>
      </w:r>
    </w:p>
    <w:p w14:paraId="454600B8" w14:textId="4B2E63F8" w:rsidR="00AD1B0F" w:rsidRPr="004E20DA" w:rsidRDefault="00AD1B0F" w:rsidP="006D478D">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Así las cosas, frente a la acreditación de la experiencia de los socios, accionistas o constituyentes de una persona jurídica con menos de 3 años de constitución, para participar en los eventos exceptuados al deber de inscripción en el RUP, como</w:t>
      </w:r>
      <w:r w:rsidR="008F0344" w:rsidRPr="004E20DA">
        <w:rPr>
          <w:rFonts w:ascii="Arial" w:hAnsi="Arial" w:cs="Arial"/>
          <w:color w:val="000000" w:themeColor="text1"/>
          <w:sz w:val="22"/>
        </w:rPr>
        <w:t xml:space="preserve"> en</w:t>
      </w:r>
      <w:r w:rsidRPr="004E20DA">
        <w:rPr>
          <w:rFonts w:ascii="Arial" w:hAnsi="Arial" w:cs="Arial"/>
          <w:color w:val="000000" w:themeColor="text1"/>
          <w:sz w:val="22"/>
        </w:rPr>
        <w:t xml:space="preserve">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w:t>
      </w:r>
      <w:r w:rsidR="009F1F65" w:rsidRPr="004E20DA">
        <w:rPr>
          <w:rFonts w:ascii="Arial" w:hAnsi="Arial" w:cs="Arial"/>
          <w:color w:val="000000" w:themeColor="text1"/>
          <w:sz w:val="22"/>
        </w:rPr>
        <w:t xml:space="preserve">tución. </w:t>
      </w:r>
    </w:p>
    <w:p w14:paraId="0C0219AC" w14:textId="61F78F86" w:rsidR="00AD1B0F" w:rsidRPr="004E20DA" w:rsidRDefault="00AD1B0F" w:rsidP="008305BD">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7149FE4A" w14:textId="77777777" w:rsidR="008305BD" w:rsidRPr="004E20DA" w:rsidRDefault="008305BD" w:rsidP="00BF5A02">
      <w:pPr>
        <w:spacing w:line="276" w:lineRule="auto"/>
        <w:ind w:firstLine="709"/>
        <w:jc w:val="both"/>
        <w:rPr>
          <w:rFonts w:ascii="Arial" w:hAnsi="Arial" w:cs="Arial"/>
          <w:color w:val="000000" w:themeColor="text1"/>
          <w:sz w:val="22"/>
        </w:rPr>
      </w:pPr>
    </w:p>
    <w:p w14:paraId="479F83CC" w14:textId="77777777" w:rsidR="00AD1B0F" w:rsidRPr="004E20DA" w:rsidRDefault="00AD1B0F" w:rsidP="00203A5D">
      <w:pPr>
        <w:spacing w:line="276" w:lineRule="auto"/>
        <w:jc w:val="both"/>
        <w:rPr>
          <w:rFonts w:ascii="Arial" w:hAnsi="Arial" w:cs="Arial"/>
          <w:b/>
          <w:color w:val="000000" w:themeColor="text1"/>
          <w:sz w:val="22"/>
        </w:rPr>
      </w:pPr>
      <w:r w:rsidRPr="004E20DA">
        <w:rPr>
          <w:rFonts w:ascii="Arial" w:hAnsi="Arial" w:cs="Arial"/>
          <w:b/>
          <w:color w:val="000000" w:themeColor="text1"/>
          <w:sz w:val="22"/>
        </w:rPr>
        <w:t>3.</w:t>
      </w:r>
      <w:r w:rsidRPr="004E20DA">
        <w:rPr>
          <w:rFonts w:ascii="Arial" w:hAnsi="Arial" w:cs="Arial"/>
          <w:b/>
          <w:color w:val="000000" w:themeColor="text1"/>
          <w:sz w:val="22"/>
        </w:rPr>
        <w:tab/>
        <w:t xml:space="preserve">Respuesta </w:t>
      </w:r>
    </w:p>
    <w:p w14:paraId="09947308" w14:textId="77777777" w:rsidR="00DB37B0" w:rsidRPr="004E20DA" w:rsidRDefault="00DB37B0" w:rsidP="00203A5D">
      <w:pPr>
        <w:spacing w:line="276" w:lineRule="auto"/>
        <w:jc w:val="both"/>
        <w:rPr>
          <w:rFonts w:ascii="Arial" w:hAnsi="Arial" w:cs="Arial"/>
          <w:color w:val="000000" w:themeColor="text1"/>
          <w:sz w:val="22"/>
        </w:rPr>
      </w:pPr>
    </w:p>
    <w:p w14:paraId="42EBD3AD" w14:textId="6F1F0821" w:rsidR="00F4797F" w:rsidRPr="004E20DA" w:rsidRDefault="00203A5D" w:rsidP="00203A5D">
      <w:pPr>
        <w:pStyle w:val="Prrafodelista"/>
        <w:tabs>
          <w:tab w:val="left" w:pos="426"/>
        </w:tabs>
        <w:spacing w:line="276" w:lineRule="auto"/>
        <w:ind w:left="709" w:right="709"/>
        <w:contextualSpacing w:val="0"/>
        <w:jc w:val="both"/>
        <w:rPr>
          <w:rFonts w:ascii="Arial" w:eastAsia="Calibri" w:hAnsi="Arial" w:cs="Arial"/>
          <w:color w:val="000000" w:themeColor="text1"/>
          <w:sz w:val="22"/>
        </w:rPr>
      </w:pPr>
      <w:r w:rsidRPr="004E20DA">
        <w:rPr>
          <w:rFonts w:ascii="Arial" w:eastAsia="Calibri" w:hAnsi="Arial" w:cs="Arial"/>
          <w:color w:val="000000" w:themeColor="text1"/>
          <w:sz w:val="22"/>
        </w:rPr>
        <w:t>«</w:t>
      </w:r>
      <w:r w:rsidR="00F1537B" w:rsidRPr="004E20DA">
        <w:rPr>
          <w:rFonts w:ascii="Arial" w:eastAsia="Calibri" w:hAnsi="Arial" w:cs="Arial"/>
          <w:color w:val="000000" w:themeColor="text1"/>
          <w:sz w:val="22"/>
        </w:rPr>
        <w:t>¿</w:t>
      </w:r>
      <w:r w:rsidRPr="004E20DA">
        <w:rPr>
          <w:rFonts w:ascii="Arial" w:eastAsia="Calibri" w:hAnsi="Arial" w:cs="Arial"/>
          <w:color w:val="000000" w:themeColor="text1"/>
          <w:sz w:val="22"/>
        </w:rPr>
        <w:t>Cómo se puede proceder a trasladar la experiencia de los socios frente a una nueva sociedad teniendo en cuenta las modalidades exceptuadas por el artículo 6 de la Ley 1150 de 2007</w:t>
      </w:r>
      <w:r w:rsidR="0047298C" w:rsidRPr="004E20DA">
        <w:rPr>
          <w:rFonts w:ascii="Arial" w:eastAsia="Calibri" w:hAnsi="Arial" w:cs="Arial"/>
          <w:color w:val="000000" w:themeColor="text1"/>
          <w:sz w:val="22"/>
        </w:rPr>
        <w:t>?</w:t>
      </w:r>
      <w:r w:rsidRPr="004E20DA">
        <w:rPr>
          <w:rFonts w:ascii="Arial" w:eastAsia="Calibri" w:hAnsi="Arial" w:cs="Arial"/>
          <w:color w:val="000000" w:themeColor="text1"/>
          <w:sz w:val="22"/>
        </w:rPr>
        <w:t>»</w:t>
      </w:r>
      <w:r w:rsidR="00CC2F7E" w:rsidRPr="004E20DA">
        <w:rPr>
          <w:rFonts w:ascii="Arial" w:eastAsia="Calibri" w:hAnsi="Arial" w:cs="Arial"/>
          <w:color w:val="000000" w:themeColor="text1"/>
          <w:sz w:val="22"/>
        </w:rPr>
        <w:t>.</w:t>
      </w:r>
    </w:p>
    <w:p w14:paraId="3C2F5EA9" w14:textId="77777777" w:rsidR="00384A8C" w:rsidRPr="004E20DA" w:rsidRDefault="00384A8C" w:rsidP="00BF5A02">
      <w:pPr>
        <w:tabs>
          <w:tab w:val="left" w:pos="426"/>
        </w:tabs>
        <w:spacing w:line="276" w:lineRule="auto"/>
        <w:jc w:val="both"/>
        <w:rPr>
          <w:rFonts w:ascii="Arial" w:eastAsia="Calibri" w:hAnsi="Arial" w:cs="Arial"/>
          <w:color w:val="000000" w:themeColor="text1"/>
          <w:sz w:val="22"/>
        </w:rPr>
      </w:pPr>
    </w:p>
    <w:p w14:paraId="09336106" w14:textId="79B6F5BA" w:rsidR="00D4701E" w:rsidRPr="004E20DA" w:rsidRDefault="00384A8C" w:rsidP="00EC02A7">
      <w:pPr>
        <w:spacing w:line="276" w:lineRule="auto"/>
        <w:jc w:val="both"/>
        <w:rPr>
          <w:rFonts w:ascii="Arial" w:eastAsia="Calibri" w:hAnsi="Arial" w:cs="Arial"/>
          <w:color w:val="000000" w:themeColor="text1"/>
          <w:sz w:val="22"/>
        </w:rPr>
      </w:pPr>
      <w:r w:rsidRPr="004E20DA">
        <w:rPr>
          <w:rFonts w:ascii="Arial" w:hAnsi="Arial" w:cs="Arial"/>
          <w:color w:val="000000" w:themeColor="text1"/>
          <w:sz w:val="22"/>
        </w:rPr>
        <w:t xml:space="preserve">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w:t>
      </w:r>
      <w:r w:rsidRPr="004E20DA">
        <w:rPr>
          <w:rFonts w:ascii="Arial" w:hAnsi="Arial" w:cs="Arial"/>
          <w:color w:val="000000" w:themeColor="text1"/>
          <w:sz w:val="22"/>
        </w:rPr>
        <w:lastRenderedPageBreak/>
        <w:t>anterior fue reafirmado por el Consejo de Estado</w:t>
      </w:r>
      <w:r w:rsidRPr="004E20DA">
        <w:rPr>
          <w:rStyle w:val="Refdenotaalpie"/>
          <w:rFonts w:ascii="Arial" w:hAnsi="Arial" w:cs="Arial"/>
          <w:color w:val="000000" w:themeColor="text1"/>
          <w:sz w:val="22"/>
        </w:rPr>
        <w:footnoteReference w:id="20"/>
      </w:r>
      <w:r w:rsidRPr="004E20DA">
        <w:rPr>
          <w:rFonts w:ascii="Arial" w:hAnsi="Arial" w:cs="Arial"/>
          <w:color w:val="000000" w:themeColor="text1"/>
          <w:sz w:val="22"/>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14:paraId="39DBC635" w14:textId="492A9605" w:rsidR="00CC2F7E" w:rsidRPr="004E20DA" w:rsidRDefault="006250FE" w:rsidP="00384A8C">
      <w:pPr>
        <w:spacing w:before="120" w:after="120" w:line="276" w:lineRule="auto"/>
        <w:jc w:val="both"/>
        <w:rPr>
          <w:rFonts w:ascii="Arial" w:hAnsi="Arial" w:cs="Arial"/>
          <w:color w:val="000000" w:themeColor="text1"/>
          <w:sz w:val="22"/>
        </w:rPr>
      </w:pPr>
      <w:r w:rsidRPr="004E20DA">
        <w:rPr>
          <w:rFonts w:ascii="Arial" w:hAnsi="Arial" w:cs="Arial"/>
          <w:color w:val="000000" w:themeColor="text1"/>
          <w:sz w:val="22"/>
        </w:rPr>
        <w:t>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se fundamenta en virtud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w:t>
      </w:r>
    </w:p>
    <w:p w14:paraId="5E422E63" w14:textId="77777777" w:rsidR="008305BD" w:rsidRPr="004E20DA" w:rsidRDefault="00AD1B0F" w:rsidP="008A2025">
      <w:pPr>
        <w:spacing w:before="120" w:after="120" w:line="276" w:lineRule="auto"/>
        <w:jc w:val="both"/>
        <w:rPr>
          <w:rFonts w:ascii="Arial" w:hAnsi="Arial" w:cs="Arial"/>
          <w:color w:val="000000" w:themeColor="text1"/>
          <w:sz w:val="22"/>
        </w:rPr>
      </w:pPr>
      <w:r w:rsidRPr="004E20DA">
        <w:rPr>
          <w:rFonts w:ascii="Arial" w:hAnsi="Arial" w:cs="Arial"/>
          <w:color w:val="000000" w:themeColor="text1"/>
          <w:sz w:val="22"/>
        </w:rPr>
        <w:t>Este concepto tiene el alcance previsto en el artículo 28 del Código de Procedimiento Administrativo y de lo Contencioso Administrativo.</w:t>
      </w:r>
    </w:p>
    <w:p w14:paraId="0F8C901F" w14:textId="2BFA77F0" w:rsidR="00A37FB6" w:rsidRPr="004E20DA" w:rsidRDefault="00A37FB6" w:rsidP="008A2025">
      <w:pPr>
        <w:spacing w:before="120" w:after="120" w:line="276" w:lineRule="auto"/>
        <w:jc w:val="both"/>
        <w:rPr>
          <w:rFonts w:ascii="Arial" w:hAnsi="Arial" w:cs="Arial"/>
          <w:color w:val="000000" w:themeColor="text1"/>
          <w:sz w:val="22"/>
        </w:rPr>
      </w:pPr>
      <w:r w:rsidRPr="004E20DA">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pic="http://schemas.openxmlformats.org/drawingml/2006/picture" xmlns:a14="http://schemas.microsoft.com/office/drawing/2010/main" xmlns:arto="http://schemas.microsoft.com/office/word/2006/arto">
            <w:pict w14:anchorId="616BCBB6">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4E20DA" w:rsidRDefault="00A37FB6" w:rsidP="008A2025">
      <w:pPr>
        <w:spacing w:before="120" w:after="120" w:line="276" w:lineRule="auto"/>
        <w:rPr>
          <w:rFonts w:ascii="Arial" w:eastAsia="Times New Roman" w:hAnsi="Arial" w:cs="Arial"/>
          <w:color w:val="000000" w:themeColor="text1"/>
          <w:sz w:val="22"/>
          <w:lang w:eastAsia="es-CO"/>
        </w:rPr>
      </w:pPr>
      <w:r w:rsidRPr="004E20DA">
        <w:rPr>
          <w:rFonts w:ascii="Arial" w:eastAsia="Times New Roman" w:hAnsi="Arial" w:cs="Arial"/>
          <w:color w:val="000000" w:themeColor="text1"/>
          <w:sz w:val="22"/>
          <w:lang w:eastAsia="es-CO"/>
        </w:rPr>
        <w:t>Atentamente,</w:t>
      </w:r>
    </w:p>
    <w:p w14:paraId="57DD1EBD" w14:textId="06C25347" w:rsidR="00746E08" w:rsidRPr="004E20DA" w:rsidRDefault="00EC02A7" w:rsidP="008A2025">
      <w:pPr>
        <w:spacing w:before="120" w:after="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68016E15" wp14:editId="1003A52A">
            <wp:extent cx="2772826" cy="88513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8959" cy="912634"/>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150"/>
      </w:tblGrid>
      <w:tr w:rsidR="004E20DA" w:rsidRPr="004E20DA" w14:paraId="469202AF" w14:textId="77777777" w:rsidTr="003D196A">
        <w:trPr>
          <w:trHeight w:val="293"/>
        </w:trPr>
        <w:tc>
          <w:tcPr>
            <w:tcW w:w="795" w:type="dxa"/>
            <w:vAlign w:val="center"/>
            <w:hideMark/>
          </w:tcPr>
          <w:p w14:paraId="3F62A0B3" w14:textId="77777777" w:rsidR="00746E08" w:rsidRPr="004E20DA" w:rsidRDefault="00746E08"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Elaboró:</w:t>
            </w:r>
          </w:p>
        </w:tc>
        <w:tc>
          <w:tcPr>
            <w:tcW w:w="4150" w:type="dxa"/>
            <w:tcBorders>
              <w:top w:val="nil"/>
              <w:left w:val="nil"/>
              <w:bottom w:val="dotted" w:sz="4" w:space="0" w:color="7F7F7F" w:themeColor="text1" w:themeTint="80"/>
              <w:right w:val="nil"/>
            </w:tcBorders>
            <w:vAlign w:val="center"/>
            <w:hideMark/>
          </w:tcPr>
          <w:p w14:paraId="45BBD40F" w14:textId="3A691200" w:rsidR="00746E08" w:rsidRPr="004E20DA" w:rsidRDefault="008F0344"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 xml:space="preserve">Nina María Padrón Ballestas </w:t>
            </w:r>
          </w:p>
          <w:p w14:paraId="51C325E7" w14:textId="6734F849" w:rsidR="00746E08" w:rsidRPr="004E20DA" w:rsidRDefault="008F0344"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Contratista Subdirección de Gestión Contractual</w:t>
            </w:r>
          </w:p>
        </w:tc>
      </w:tr>
      <w:tr w:rsidR="004E20DA" w:rsidRPr="004E20DA" w14:paraId="10BC78E8" w14:textId="77777777" w:rsidTr="003D196A">
        <w:trPr>
          <w:trHeight w:val="308"/>
        </w:trPr>
        <w:tc>
          <w:tcPr>
            <w:tcW w:w="795" w:type="dxa"/>
            <w:vAlign w:val="center"/>
            <w:hideMark/>
          </w:tcPr>
          <w:p w14:paraId="6A7DBF66" w14:textId="77777777" w:rsidR="00746E08" w:rsidRPr="004E20DA" w:rsidRDefault="00746E08"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Revisó:</w:t>
            </w:r>
          </w:p>
        </w:tc>
        <w:tc>
          <w:tcPr>
            <w:tcW w:w="4150" w:type="dxa"/>
            <w:tcBorders>
              <w:top w:val="dotted" w:sz="4" w:space="0" w:color="7F7F7F" w:themeColor="text1" w:themeTint="80"/>
              <w:left w:val="nil"/>
              <w:bottom w:val="dotted" w:sz="4" w:space="0" w:color="7F7F7F" w:themeColor="text1" w:themeTint="80"/>
              <w:right w:val="nil"/>
            </w:tcBorders>
            <w:vAlign w:val="center"/>
            <w:hideMark/>
          </w:tcPr>
          <w:p w14:paraId="644949D7" w14:textId="5B7ED405" w:rsidR="00746E08" w:rsidRPr="004E20DA" w:rsidRDefault="00CC2F7E"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 xml:space="preserve">Fabián Gonzalo Marín Cortés </w:t>
            </w:r>
          </w:p>
          <w:p w14:paraId="19E8BD8D" w14:textId="6FEFC5BA" w:rsidR="00746E08" w:rsidRPr="004E20DA" w:rsidRDefault="00CC2F7E"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 xml:space="preserve">Subdirector </w:t>
            </w:r>
            <w:r w:rsidR="00746E08" w:rsidRPr="004E20DA">
              <w:rPr>
                <w:rFonts w:ascii="Arial" w:hAnsi="Arial" w:cs="Arial"/>
                <w:color w:val="000000" w:themeColor="text1"/>
                <w:sz w:val="16"/>
                <w:szCs w:val="16"/>
                <w:lang w:eastAsia="es-ES"/>
              </w:rPr>
              <w:t>de Gestión Contractual</w:t>
            </w:r>
          </w:p>
        </w:tc>
      </w:tr>
      <w:tr w:rsidR="001F4991" w:rsidRPr="004E20DA" w14:paraId="50741B38" w14:textId="77777777" w:rsidTr="003D196A">
        <w:trPr>
          <w:trHeight w:val="280"/>
        </w:trPr>
        <w:tc>
          <w:tcPr>
            <w:tcW w:w="795" w:type="dxa"/>
            <w:vAlign w:val="center"/>
            <w:hideMark/>
          </w:tcPr>
          <w:p w14:paraId="297715FA" w14:textId="77777777" w:rsidR="00746E08" w:rsidRPr="004E20DA" w:rsidRDefault="00746E08"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Aprobó:</w:t>
            </w:r>
          </w:p>
        </w:tc>
        <w:tc>
          <w:tcPr>
            <w:tcW w:w="4150"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E20DA" w:rsidRDefault="00746E08"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Fabián Gonzalo Marín Cortés</w:t>
            </w:r>
          </w:p>
          <w:p w14:paraId="17847B1F" w14:textId="71EB0D70" w:rsidR="00746E08" w:rsidRPr="004E20DA" w:rsidRDefault="00746E08" w:rsidP="001F4991">
            <w:pPr>
              <w:pStyle w:val="Sinespaciado"/>
              <w:rPr>
                <w:rFonts w:ascii="Arial" w:hAnsi="Arial" w:cs="Arial"/>
                <w:color w:val="000000" w:themeColor="text1"/>
                <w:sz w:val="16"/>
                <w:szCs w:val="16"/>
                <w:lang w:eastAsia="es-ES"/>
              </w:rPr>
            </w:pPr>
            <w:r w:rsidRPr="004E20DA">
              <w:rPr>
                <w:rFonts w:ascii="Arial" w:hAnsi="Arial" w:cs="Arial"/>
                <w:color w:val="000000" w:themeColor="text1"/>
                <w:sz w:val="16"/>
                <w:szCs w:val="16"/>
                <w:lang w:eastAsia="es-ES"/>
              </w:rPr>
              <w:t>Subdirector de Gestión Contractual</w:t>
            </w:r>
          </w:p>
        </w:tc>
      </w:tr>
    </w:tbl>
    <w:p w14:paraId="299FEDB9" w14:textId="77777777" w:rsidR="00540DF9" w:rsidRPr="004E20DA" w:rsidRDefault="00540DF9" w:rsidP="008A2025">
      <w:pPr>
        <w:spacing w:before="120" w:after="120" w:line="276" w:lineRule="auto"/>
        <w:rPr>
          <w:rFonts w:ascii="Arial" w:eastAsia="Times New Roman" w:hAnsi="Arial" w:cs="Arial"/>
          <w:color w:val="000000" w:themeColor="text1"/>
          <w:sz w:val="22"/>
          <w:lang w:eastAsia="es-ES"/>
        </w:rPr>
      </w:pPr>
    </w:p>
    <w:sectPr w:rsidR="00540DF9" w:rsidRPr="004E20DA"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36E4D" w14:textId="77777777" w:rsidR="0080515F" w:rsidRDefault="0080515F">
      <w:r>
        <w:separator/>
      </w:r>
    </w:p>
  </w:endnote>
  <w:endnote w:type="continuationSeparator" w:id="0">
    <w:p w14:paraId="5E8B014F" w14:textId="77777777" w:rsidR="0080515F" w:rsidRDefault="0080515F">
      <w:r>
        <w:continuationSeparator/>
      </w:r>
    </w:p>
  </w:endnote>
  <w:endnote w:type="continuationNotice" w:id="1">
    <w:p w14:paraId="379E72DB" w14:textId="77777777" w:rsidR="0080515F" w:rsidRDefault="00805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560147" w:rsidRDefault="00560147" w:rsidP="00322937">
    <w:pPr>
      <w:pStyle w:val="Sinespaciado"/>
      <w:jc w:val="right"/>
      <w:rPr>
        <w:rFonts w:ascii="Arial" w:hAnsi="Arial" w:cs="Arial"/>
        <w:sz w:val="18"/>
        <w:szCs w:val="18"/>
      </w:rPr>
    </w:pPr>
  </w:p>
  <w:p w14:paraId="7A3785F3" w14:textId="6E3E88E7"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446B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446B1">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560147" w:rsidRDefault="00560147"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560147" w:rsidRPr="000D0D6E" w:rsidRDefault="00560147" w:rsidP="007B0854">
    <w:pPr>
      <w:pStyle w:val="Piedepgina"/>
      <w:jc w:val="center"/>
      <w:rPr>
        <w:sz w:val="16"/>
        <w:szCs w:val="16"/>
        <w:lang w:val="es-ES"/>
      </w:rPr>
    </w:pPr>
  </w:p>
  <w:p w14:paraId="6C0EFC49" w14:textId="77777777" w:rsidR="00560147" w:rsidRPr="007B0854" w:rsidRDefault="0056014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40F42" w14:textId="77777777" w:rsidR="0080515F" w:rsidRDefault="0080515F">
      <w:r>
        <w:separator/>
      </w:r>
    </w:p>
  </w:footnote>
  <w:footnote w:type="continuationSeparator" w:id="0">
    <w:p w14:paraId="55A7D7F1" w14:textId="77777777" w:rsidR="0080515F" w:rsidRDefault="0080515F">
      <w:r>
        <w:continuationSeparator/>
      </w:r>
    </w:p>
  </w:footnote>
  <w:footnote w:type="continuationNotice" w:id="1">
    <w:p w14:paraId="52C48AFD" w14:textId="77777777" w:rsidR="0080515F" w:rsidRDefault="0080515F"/>
  </w:footnote>
  <w:footnote w:id="2">
    <w:p w14:paraId="548A773E" w14:textId="62E02D28"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F0D5971" w14:textId="50A227C4"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w:t>
      </w:r>
      <w:r w:rsidRPr="0003383F">
        <w:rPr>
          <w:rFonts w:ascii="Arial" w:hAnsi="Arial" w:cs="Arial"/>
          <w:color w:val="000000" w:themeColor="text1"/>
          <w:sz w:val="19"/>
          <w:szCs w:val="19"/>
        </w:rPr>
        <w:t>l Proceso de Contratación [...]»</w:t>
      </w:r>
      <w:r w:rsidR="00560147" w:rsidRPr="0003383F">
        <w:rPr>
          <w:rFonts w:ascii="Arial" w:hAnsi="Arial" w:cs="Arial"/>
          <w:color w:val="000000" w:themeColor="text1"/>
          <w:sz w:val="19"/>
          <w:szCs w:val="19"/>
        </w:rPr>
        <w:t>.</w:t>
      </w:r>
    </w:p>
    <w:p w14:paraId="0C6D24D5" w14:textId="77777777" w:rsidR="00DA5C47" w:rsidRPr="0003383F" w:rsidRDefault="00DA5C47" w:rsidP="006D478D">
      <w:pPr>
        <w:pStyle w:val="Textonotapie"/>
        <w:ind w:firstLine="708"/>
        <w:jc w:val="both"/>
        <w:rPr>
          <w:rFonts w:ascii="Arial" w:hAnsi="Arial" w:cs="Arial"/>
          <w:color w:val="000000" w:themeColor="text1"/>
          <w:sz w:val="19"/>
          <w:szCs w:val="19"/>
        </w:rPr>
      </w:pPr>
    </w:p>
  </w:footnote>
  <w:footnote w:id="3">
    <w:p w14:paraId="4B32E366" w14:textId="79E18ECA"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0F1A257E" w14:textId="69804B9C"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Las personas jurídicas nacionales y extranjeras deberán acreditar que su duración no será inferior a la del plazo del contrato y un año más».</w:t>
      </w:r>
    </w:p>
    <w:p w14:paraId="791CFA68" w14:textId="77777777" w:rsidR="00560147" w:rsidRPr="0003383F" w:rsidRDefault="00560147" w:rsidP="006D478D">
      <w:pPr>
        <w:pStyle w:val="Textonotapie"/>
        <w:jc w:val="both"/>
        <w:rPr>
          <w:rFonts w:ascii="Arial" w:hAnsi="Arial" w:cs="Arial"/>
          <w:color w:val="000000" w:themeColor="text1"/>
          <w:sz w:val="19"/>
          <w:szCs w:val="19"/>
          <w:lang w:val="es-CO"/>
        </w:rPr>
      </w:pPr>
      <w:r w:rsidRPr="0003383F">
        <w:rPr>
          <w:rFonts w:ascii="Arial" w:hAnsi="Arial" w:cs="Arial"/>
          <w:color w:val="000000" w:themeColor="text1"/>
          <w:sz w:val="19"/>
          <w:szCs w:val="19"/>
        </w:rPr>
        <w:t xml:space="preserve"> </w:t>
      </w:r>
    </w:p>
  </w:footnote>
  <w:footnote w:id="4">
    <w:p w14:paraId="35865A66" w14:textId="7310E078"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14:paraId="7F453CA5" w14:textId="5D6E7F27"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Las personas jurídicas son de dos especies: corporaciones y fundaciones de beneficencia pública.</w:t>
      </w:r>
    </w:p>
    <w:p w14:paraId="1E34731D" w14:textId="57F9D97B" w:rsidR="00560147" w:rsidRPr="0003383F" w:rsidRDefault="00DA5C47" w:rsidP="006D478D">
      <w:pPr>
        <w:pStyle w:val="Textonotapie"/>
        <w:ind w:firstLine="708"/>
        <w:jc w:val="both"/>
        <w:rPr>
          <w:rFonts w:ascii="Arial" w:hAnsi="Arial" w:cs="Arial"/>
          <w:color w:val="000000" w:themeColor="text1"/>
          <w:sz w:val="19"/>
          <w:szCs w:val="19"/>
          <w:lang w:val="es-CO"/>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Hay personas jurídicas que participan de uno y otro carácter».</w:t>
      </w:r>
    </w:p>
  </w:footnote>
  <w:footnote w:id="5">
    <w:p w14:paraId="5D30EC09" w14:textId="77777777" w:rsidR="00560147" w:rsidRPr="0003383F" w:rsidRDefault="00560147" w:rsidP="006D478D">
      <w:pPr>
        <w:pStyle w:val="Textonotapie"/>
        <w:ind w:firstLine="708"/>
        <w:jc w:val="both"/>
        <w:rPr>
          <w:rFonts w:ascii="Arial" w:hAnsi="Arial" w:cs="Arial"/>
          <w:color w:val="000000" w:themeColor="text1"/>
          <w:sz w:val="19"/>
          <w:szCs w:val="19"/>
        </w:rPr>
      </w:pPr>
    </w:p>
    <w:p w14:paraId="6B0E98B5" w14:textId="3E500705"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Código de Comercio: «Artículo 1. Aplicabilidad de la ley comercial. Los comerciantes y los asuntos mercantiles se regirán por las disposiciones de la ley comercial, y los casos no regulados expresamente en ella serán decid</w:t>
      </w:r>
      <w:r w:rsidR="00DA5C47" w:rsidRPr="0003383F">
        <w:rPr>
          <w:rFonts w:ascii="Arial" w:hAnsi="Arial" w:cs="Arial"/>
          <w:color w:val="000000" w:themeColor="text1"/>
          <w:sz w:val="19"/>
          <w:szCs w:val="19"/>
        </w:rPr>
        <w:t>idos por analogía de sus normas</w:t>
      </w:r>
    </w:p>
    <w:p w14:paraId="2A055662" w14:textId="1BE43C82"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Artículo 2. Aplicación de la legislación civil. En las cuestiones comerciales que no pudieren regularse conforme a la regla anterior, se aplicarán las disposiciones de la legislación civil».</w:t>
      </w:r>
    </w:p>
    <w:p w14:paraId="29CFC68B" w14:textId="77777777" w:rsidR="00560147" w:rsidRPr="0003383F" w:rsidRDefault="00560147" w:rsidP="006D478D">
      <w:pPr>
        <w:pStyle w:val="Textonotapie"/>
        <w:jc w:val="both"/>
        <w:rPr>
          <w:rFonts w:ascii="Arial" w:hAnsi="Arial" w:cs="Arial"/>
          <w:color w:val="000000" w:themeColor="text1"/>
          <w:sz w:val="19"/>
          <w:szCs w:val="19"/>
          <w:lang w:val="es-CO"/>
        </w:rPr>
      </w:pPr>
    </w:p>
  </w:footnote>
  <w:footnote w:id="6">
    <w:p w14:paraId="4BB25C21" w14:textId="268A76C0" w:rsidR="00A32BD5" w:rsidRPr="0003383F" w:rsidRDefault="00C24589" w:rsidP="006D478D">
      <w:pPr>
        <w:pStyle w:val="Textonotapie"/>
        <w:ind w:firstLine="709"/>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00442D24" w:rsidRPr="0003383F">
        <w:rPr>
          <w:rFonts w:ascii="Arial" w:hAnsi="Arial" w:cs="Arial"/>
          <w:color w:val="000000" w:themeColor="text1"/>
          <w:sz w:val="19"/>
          <w:szCs w:val="19"/>
        </w:rPr>
        <w:t>«</w:t>
      </w:r>
      <w:r w:rsidR="006D478D" w:rsidRPr="0003383F">
        <w:rPr>
          <w:rFonts w:ascii="Arial" w:hAnsi="Arial" w:cs="Arial"/>
          <w:color w:val="000000" w:themeColor="text1"/>
          <w:sz w:val="19"/>
          <w:szCs w:val="19"/>
        </w:rPr>
        <w:t>Artículo 5. De la selección objetiva.</w:t>
      </w:r>
      <w:r w:rsidR="00A32BD5" w:rsidRPr="0003383F">
        <w:rPr>
          <w:rFonts w:ascii="Arial" w:hAnsi="Arial" w:cs="Arial"/>
          <w:color w:val="000000" w:themeColor="text1"/>
          <w:sz w:val="19"/>
          <w:szCs w:val="19"/>
        </w:rPr>
        <w:t xml:space="preserv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5656BB6" w14:textId="164B7E32" w:rsidR="00BF5A02" w:rsidRPr="0003383F" w:rsidRDefault="00442D24" w:rsidP="001036EA">
      <w:pPr>
        <w:pStyle w:val="Textonotapie"/>
        <w:ind w:firstLine="709"/>
        <w:jc w:val="both"/>
        <w:rPr>
          <w:rFonts w:ascii="Arial" w:hAnsi="Arial" w:cs="Arial"/>
          <w:color w:val="000000" w:themeColor="text1"/>
          <w:sz w:val="19"/>
          <w:szCs w:val="19"/>
        </w:rPr>
      </w:pPr>
      <w:r w:rsidRPr="0003383F">
        <w:rPr>
          <w:rFonts w:ascii="Arial" w:hAnsi="Arial" w:cs="Arial"/>
          <w:color w:val="000000" w:themeColor="text1"/>
          <w:sz w:val="19"/>
          <w:szCs w:val="19"/>
        </w:rPr>
        <w:t>»</w:t>
      </w:r>
      <w:r w:rsidR="00A32BD5" w:rsidRPr="0003383F">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03383F">
        <w:rPr>
          <w:rFonts w:ascii="Arial" w:hAnsi="Arial" w:cs="Arial"/>
          <w:color w:val="000000" w:themeColor="text1"/>
          <w:sz w:val="19"/>
          <w:szCs w:val="19"/>
        </w:rPr>
        <w:t>».</w:t>
      </w:r>
    </w:p>
  </w:footnote>
  <w:footnote w:id="7">
    <w:p w14:paraId="67389AE8" w14:textId="1EFBB681"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19BA661" w14:textId="2808B4FF"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w:t>
      </w:r>
      <w:r w:rsidRPr="0003383F">
        <w:rPr>
          <w:rFonts w:ascii="Arial" w:hAnsi="Arial" w:cs="Arial"/>
          <w:color w:val="000000" w:themeColor="text1"/>
          <w:sz w:val="19"/>
          <w:szCs w:val="19"/>
        </w:rPr>
        <w:t>rá la respectiva certificación».</w:t>
      </w:r>
    </w:p>
    <w:p w14:paraId="4B4A8086" w14:textId="77777777" w:rsidR="00560147" w:rsidRPr="0003383F" w:rsidRDefault="00560147" w:rsidP="006D478D">
      <w:pPr>
        <w:pStyle w:val="Textonotapie"/>
        <w:jc w:val="both"/>
        <w:rPr>
          <w:rFonts w:ascii="Arial" w:hAnsi="Arial" w:cs="Arial"/>
          <w:color w:val="000000" w:themeColor="text1"/>
          <w:sz w:val="19"/>
          <w:szCs w:val="19"/>
          <w:lang w:val="es-ES"/>
        </w:rPr>
      </w:pPr>
    </w:p>
  </w:footnote>
  <w:footnote w:id="8">
    <w:p w14:paraId="043171BF" w14:textId="1EBC7E66"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7E55BE3" w14:textId="77777777" w:rsidR="00560147" w:rsidRPr="0003383F" w:rsidRDefault="00560147" w:rsidP="006D478D">
      <w:pPr>
        <w:pStyle w:val="Textonotapie"/>
        <w:ind w:firstLine="708"/>
        <w:jc w:val="both"/>
        <w:rPr>
          <w:rFonts w:ascii="Arial" w:hAnsi="Arial" w:cs="Arial"/>
          <w:color w:val="000000" w:themeColor="text1"/>
          <w:sz w:val="19"/>
          <w:szCs w:val="19"/>
          <w:lang w:val="es-ES"/>
        </w:rPr>
      </w:pPr>
    </w:p>
  </w:footnote>
  <w:footnote w:id="9">
    <w:p w14:paraId="53020E43" w14:textId="6C419751"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D435074" w14:textId="38B3FEC5"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14:paraId="1A7276C4" w14:textId="77777777" w:rsidR="00560147" w:rsidRPr="0003383F" w:rsidRDefault="00560147" w:rsidP="006D478D">
      <w:pPr>
        <w:pStyle w:val="Textonotapie"/>
        <w:ind w:firstLine="708"/>
        <w:jc w:val="both"/>
        <w:rPr>
          <w:rFonts w:ascii="Arial" w:hAnsi="Arial" w:cs="Arial"/>
          <w:color w:val="000000" w:themeColor="text1"/>
          <w:sz w:val="19"/>
          <w:szCs w:val="19"/>
          <w:lang w:val="es-ES"/>
        </w:rPr>
      </w:pPr>
    </w:p>
  </w:footnote>
  <w:footnote w:id="10">
    <w:p w14:paraId="41698710" w14:textId="05619042"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5161B4" w14:textId="5D699DB4" w:rsidR="00DA5C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w:t>
      </w:r>
      <w:r w:rsidRPr="0003383F">
        <w:rPr>
          <w:rFonts w:ascii="Arial" w:hAnsi="Arial" w:cs="Arial"/>
          <w:color w:val="000000" w:themeColor="text1"/>
          <w:sz w:val="19"/>
          <w:szCs w:val="19"/>
        </w:rPr>
        <w:t xml:space="preserve">r la inscripción en el registro. </w:t>
      </w:r>
    </w:p>
    <w:p w14:paraId="343481C4" w14:textId="4AA75F48" w:rsidR="00560147" w:rsidRPr="0003383F" w:rsidRDefault="00DA5C47"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14:paraId="5D631165" w14:textId="77777777" w:rsidR="00560147" w:rsidRPr="0003383F" w:rsidRDefault="00560147" w:rsidP="006D478D">
      <w:pPr>
        <w:pStyle w:val="Textonotapie"/>
        <w:jc w:val="both"/>
        <w:rPr>
          <w:rFonts w:ascii="Arial" w:hAnsi="Arial" w:cs="Arial"/>
          <w:color w:val="000000" w:themeColor="text1"/>
          <w:sz w:val="19"/>
          <w:szCs w:val="19"/>
          <w:lang w:val="es-ES"/>
        </w:rPr>
      </w:pPr>
    </w:p>
  </w:footnote>
  <w:footnote w:id="11">
    <w:p w14:paraId="440E554A" w14:textId="482F7B64" w:rsidR="00560147" w:rsidRPr="0003383F" w:rsidRDefault="00560147" w:rsidP="006D478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0391CC" w14:textId="1CECAE41" w:rsidR="00560147" w:rsidRPr="0003383F" w:rsidRDefault="00780223"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1.    Si es una persona natural:</w:t>
      </w:r>
    </w:p>
    <w:p w14:paraId="53FD3D10" w14:textId="68018232" w:rsidR="00560147" w:rsidRPr="0003383F" w:rsidRDefault="00780223"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»1</w:t>
      </w:r>
      <w:r w:rsidR="00560147" w:rsidRPr="0003383F">
        <w:rPr>
          <w:rFonts w:ascii="Arial" w:hAnsi="Arial" w:cs="Arial"/>
          <w:color w:val="000000" w:themeColor="text1"/>
          <w:sz w:val="19"/>
          <w:szCs w:val="19"/>
        </w:rPr>
        <w:t>.1. Bienes, obras y servicios que ofrecerá a las Entidades Estatales, identificados con el Clasificador de Bienes y Servicios en el tercer nivel.</w:t>
      </w:r>
    </w:p>
    <w:p w14:paraId="1FDBC9D7" w14:textId="0CCEDD71" w:rsidR="00560147" w:rsidRPr="0003383F" w:rsidRDefault="00780223" w:rsidP="006D478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r w:rsidR="00560147" w:rsidRPr="0003383F">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DDAFBF8" w14:textId="77777777" w:rsidR="00560147" w:rsidRPr="0003383F" w:rsidRDefault="00560147" w:rsidP="006D478D">
      <w:pPr>
        <w:pStyle w:val="Textonotapie"/>
        <w:ind w:firstLine="708"/>
        <w:jc w:val="both"/>
        <w:rPr>
          <w:rFonts w:ascii="Arial" w:hAnsi="Arial" w:cs="Arial"/>
          <w:color w:val="000000" w:themeColor="text1"/>
          <w:sz w:val="19"/>
          <w:szCs w:val="19"/>
          <w:lang w:val="es-ES"/>
        </w:rPr>
      </w:pPr>
    </w:p>
  </w:footnote>
  <w:footnote w:id="12">
    <w:p w14:paraId="47D7799B" w14:textId="77777777" w:rsidR="002F2F5B" w:rsidRPr="0003383F" w:rsidRDefault="002F2F5B" w:rsidP="002F2F5B">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0610DCB" w14:textId="77777777" w:rsidR="002F2F5B" w:rsidRPr="0003383F" w:rsidRDefault="002F2F5B" w:rsidP="002F2F5B">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14:paraId="165B0076" w14:textId="77777777" w:rsidR="002F2F5B" w:rsidRPr="0003383F" w:rsidRDefault="002F2F5B" w:rsidP="002F2F5B">
      <w:pPr>
        <w:pStyle w:val="Textonotapie"/>
        <w:jc w:val="both"/>
        <w:rPr>
          <w:rFonts w:ascii="Arial" w:hAnsi="Arial" w:cs="Arial"/>
          <w:color w:val="000000" w:themeColor="text1"/>
          <w:sz w:val="19"/>
          <w:szCs w:val="19"/>
        </w:rPr>
      </w:pPr>
      <w:r w:rsidRPr="0003383F">
        <w:rPr>
          <w:rFonts w:ascii="Arial" w:hAnsi="Arial" w:cs="Arial"/>
          <w:color w:val="000000" w:themeColor="text1"/>
          <w:sz w:val="19"/>
          <w:szCs w:val="19"/>
        </w:rPr>
        <w:t>la participación en proponentes plurales. Esta experiencia se obtiene con contratantes públicos, privados, nacionales o extranjeros. No hay límite frente al número de contratos o a la fecha en la cual estos fueron celebrados.</w:t>
      </w:r>
    </w:p>
    <w:p w14:paraId="3C2D6EEE" w14:textId="77777777" w:rsidR="002F2F5B" w:rsidRPr="0003383F" w:rsidRDefault="002F2F5B" w:rsidP="002F2F5B">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p>
    <w:p w14:paraId="360585EA" w14:textId="77777777" w:rsidR="002F2F5B" w:rsidRPr="0003383F" w:rsidRDefault="002F2F5B" w:rsidP="002F2F5B">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CEF399A" w14:textId="77777777" w:rsidR="002F2F5B" w:rsidRPr="0003383F" w:rsidRDefault="002F2F5B" w:rsidP="002F2F5B">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0818962" w14:textId="77777777" w:rsidR="002F2F5B" w:rsidRPr="0003383F" w:rsidRDefault="002F2F5B" w:rsidP="002F2F5B">
      <w:pPr>
        <w:pStyle w:val="Textonotapie"/>
        <w:jc w:val="both"/>
        <w:rPr>
          <w:rFonts w:ascii="Arial" w:hAnsi="Arial" w:cs="Arial"/>
          <w:color w:val="000000" w:themeColor="text1"/>
          <w:sz w:val="19"/>
          <w:szCs w:val="19"/>
          <w:lang w:val="es-ES"/>
        </w:rPr>
      </w:pPr>
    </w:p>
  </w:footnote>
  <w:footnote w:id="13">
    <w:p w14:paraId="14805689" w14:textId="424687D0" w:rsidR="002F2F5B" w:rsidRPr="0003383F" w:rsidRDefault="002F2F5B" w:rsidP="002F2F5B">
      <w:pPr>
        <w:pStyle w:val="Textonotapie"/>
        <w:ind w:firstLine="708"/>
        <w:jc w:val="both"/>
        <w:rPr>
          <w:rFonts w:ascii="Arial" w:hAnsi="Arial" w:cs="Arial"/>
          <w:color w:val="000000" w:themeColor="text1"/>
          <w:sz w:val="19"/>
          <w:szCs w:val="19"/>
          <w:lang w:val="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Corte Constitucional. </w:t>
      </w:r>
      <w:r w:rsidRPr="0003383F">
        <w:rPr>
          <w:rFonts w:ascii="Arial" w:hAnsi="Arial" w:cs="Arial"/>
          <w:color w:val="000000" w:themeColor="text1"/>
          <w:sz w:val="19"/>
          <w:szCs w:val="19"/>
          <w:lang w:val="es-CO"/>
        </w:rPr>
        <w:t xml:space="preserve">Sentencia C </w:t>
      </w:r>
      <w:r w:rsidRPr="0003383F">
        <w:rPr>
          <w:rFonts w:ascii="Arial" w:eastAsia="Calibri" w:hAnsi="Arial" w:cs="Arial"/>
          <w:color w:val="000000" w:themeColor="text1"/>
          <w:sz w:val="19"/>
          <w:szCs w:val="19"/>
        </w:rPr>
        <w:t xml:space="preserve">― </w:t>
      </w:r>
      <w:r w:rsidRPr="0003383F">
        <w:rPr>
          <w:rFonts w:ascii="Arial" w:hAnsi="Arial" w:cs="Arial"/>
          <w:color w:val="000000" w:themeColor="text1"/>
          <w:sz w:val="19"/>
          <w:szCs w:val="19"/>
          <w:lang w:val="es-CO"/>
        </w:rPr>
        <w:t>259 de</w:t>
      </w:r>
      <w:r w:rsidR="006B154D" w:rsidRPr="0003383F">
        <w:rPr>
          <w:rFonts w:ascii="Arial" w:hAnsi="Arial" w:cs="Arial"/>
          <w:color w:val="000000" w:themeColor="text1"/>
          <w:sz w:val="19"/>
          <w:szCs w:val="19"/>
          <w:lang w:val="es-CO"/>
        </w:rPr>
        <w:t>l</w:t>
      </w:r>
      <w:r w:rsidRPr="0003383F">
        <w:rPr>
          <w:rFonts w:ascii="Arial" w:hAnsi="Arial" w:cs="Arial"/>
          <w:color w:val="000000" w:themeColor="text1"/>
          <w:sz w:val="19"/>
          <w:szCs w:val="19"/>
          <w:lang w:val="es-CO"/>
        </w:rPr>
        <w:t xml:space="preserve"> 11 de marzo 2008. M.P. Jaime Córdoba Triviño. </w:t>
      </w:r>
    </w:p>
  </w:footnote>
  <w:footnote w:id="14">
    <w:p w14:paraId="1D911C1D" w14:textId="77777777" w:rsidR="006B154D" w:rsidRPr="0003383F" w:rsidRDefault="006B154D" w:rsidP="006B154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2F0438C" w14:textId="77777777" w:rsidR="006B154D" w:rsidRPr="0003383F" w:rsidRDefault="006B154D" w:rsidP="006B154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p>
    <w:p w14:paraId="365C48D9" w14:textId="77777777" w:rsidR="006B154D" w:rsidRPr="0003383F" w:rsidRDefault="006B154D" w:rsidP="006B154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shd w:val="clear" w:color="auto" w:fill="FFFFFF"/>
        </w:rPr>
        <w:t>»2.1.   Bienes, obras y servicios que ofrecerá a las Entidades Estatales, identificados con el Clasificador de Bienes y Servicios en el tercer nivel</w:t>
      </w:r>
      <w:r w:rsidRPr="0003383F">
        <w:rPr>
          <w:rFonts w:ascii="Arial" w:hAnsi="Arial" w:cs="Arial"/>
          <w:color w:val="000000" w:themeColor="text1"/>
          <w:sz w:val="19"/>
          <w:szCs w:val="19"/>
        </w:rPr>
        <w:t>»</w:t>
      </w:r>
      <w:r w:rsidRPr="0003383F">
        <w:rPr>
          <w:rFonts w:ascii="Arial" w:hAnsi="Arial" w:cs="Arial"/>
          <w:color w:val="000000" w:themeColor="text1"/>
          <w:sz w:val="19"/>
          <w:szCs w:val="19"/>
          <w:shd w:val="clear" w:color="auto" w:fill="FFFFFF"/>
        </w:rPr>
        <w:t>.</w:t>
      </w:r>
    </w:p>
    <w:p w14:paraId="0D637165" w14:textId="77777777" w:rsidR="006B154D" w:rsidRPr="0003383F" w:rsidRDefault="006B154D" w:rsidP="006B154D">
      <w:pPr>
        <w:pStyle w:val="Textonotapie"/>
        <w:ind w:firstLine="708"/>
        <w:jc w:val="both"/>
        <w:rPr>
          <w:rFonts w:ascii="Arial" w:hAnsi="Arial" w:cs="Arial"/>
          <w:color w:val="000000" w:themeColor="text1"/>
          <w:sz w:val="19"/>
          <w:szCs w:val="19"/>
          <w:lang w:val="es-CO"/>
        </w:rPr>
      </w:pPr>
    </w:p>
  </w:footnote>
  <w:footnote w:id="15">
    <w:p w14:paraId="3B01EAE3" w14:textId="77777777" w:rsidR="006B154D" w:rsidRPr="0003383F" w:rsidRDefault="006B154D" w:rsidP="006B154D">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39CCCF9" w14:textId="77777777" w:rsidR="006B154D" w:rsidRPr="0003383F" w:rsidRDefault="006B154D" w:rsidP="006B154D">
      <w:pPr>
        <w:pStyle w:val="Textonotapie"/>
        <w:ind w:firstLine="708"/>
        <w:jc w:val="both"/>
        <w:rPr>
          <w:rFonts w:ascii="Arial" w:hAnsi="Arial" w:cs="Arial"/>
          <w:color w:val="000000" w:themeColor="text1"/>
          <w:sz w:val="19"/>
          <w:szCs w:val="19"/>
        </w:rPr>
      </w:pPr>
      <w:r w:rsidRPr="0003383F">
        <w:rPr>
          <w:rFonts w:ascii="Arial" w:hAnsi="Arial" w:cs="Arial"/>
          <w:color w:val="000000" w:themeColor="text1"/>
          <w:sz w:val="19"/>
          <w:szCs w:val="19"/>
        </w:rPr>
        <w:t>[…]</w:t>
      </w:r>
    </w:p>
    <w:p w14:paraId="41704360" w14:textId="77777777" w:rsidR="006B154D" w:rsidRPr="0003383F" w:rsidRDefault="006B154D" w:rsidP="006B154D">
      <w:pPr>
        <w:pStyle w:val="Textonotapie"/>
        <w:ind w:firstLine="708"/>
        <w:jc w:val="both"/>
        <w:rPr>
          <w:rFonts w:ascii="Arial" w:hAnsi="Arial" w:cs="Arial"/>
          <w:color w:val="000000" w:themeColor="text1"/>
          <w:sz w:val="19"/>
          <w:szCs w:val="19"/>
          <w:shd w:val="clear" w:color="auto" w:fill="FFFFFF"/>
        </w:rPr>
      </w:pPr>
      <w:r w:rsidRPr="0003383F">
        <w:rPr>
          <w:rFonts w:ascii="Arial" w:hAnsi="Arial" w:cs="Arial"/>
          <w:color w:val="000000" w:themeColor="text1"/>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03383F">
        <w:rPr>
          <w:rFonts w:ascii="Arial" w:hAnsi="Arial" w:cs="Arial"/>
          <w:color w:val="000000" w:themeColor="text1"/>
          <w:sz w:val="19"/>
          <w:szCs w:val="19"/>
          <w:shd w:val="clear" w:color="auto" w:fill="FFFFFF"/>
        </w:rPr>
        <w:softHyphen/>
        <w:t>ficador de Bienes y Servicios en el tercer nivel. Si la constitución del interesado es menor a 3 años, puede acreditar la experiencia de sus accionistas, socios o constituyentes</w:t>
      </w:r>
      <w:r w:rsidRPr="0003383F">
        <w:rPr>
          <w:rFonts w:ascii="Arial" w:hAnsi="Arial" w:cs="Arial"/>
          <w:color w:val="000000" w:themeColor="text1"/>
          <w:sz w:val="19"/>
          <w:szCs w:val="19"/>
        </w:rPr>
        <w:t>».</w:t>
      </w:r>
    </w:p>
    <w:p w14:paraId="0AD58854" w14:textId="77777777" w:rsidR="006B154D" w:rsidRPr="0003383F" w:rsidRDefault="006B154D" w:rsidP="006B154D">
      <w:pPr>
        <w:pStyle w:val="Textonotapie"/>
        <w:ind w:firstLine="708"/>
        <w:jc w:val="both"/>
        <w:rPr>
          <w:rFonts w:ascii="Arial" w:hAnsi="Arial" w:cs="Arial"/>
          <w:color w:val="000000" w:themeColor="text1"/>
          <w:sz w:val="19"/>
          <w:szCs w:val="19"/>
          <w:lang w:val="es-CO"/>
        </w:rPr>
      </w:pPr>
    </w:p>
  </w:footnote>
  <w:footnote w:id="16">
    <w:p w14:paraId="3CDBB8CF" w14:textId="21217EEE" w:rsidR="006B154D" w:rsidRPr="0003383F" w:rsidRDefault="006B154D" w:rsidP="006B154D">
      <w:pPr>
        <w:pStyle w:val="Textonotapie"/>
        <w:ind w:firstLine="708"/>
        <w:jc w:val="both"/>
        <w:rPr>
          <w:rFonts w:ascii="Arial" w:hAnsi="Arial" w:cs="Arial"/>
          <w:color w:val="000000" w:themeColor="text1"/>
          <w:sz w:val="19"/>
          <w:szCs w:val="19"/>
          <w:lang w:val="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Al respecto, consultar, entre otros: los conceptos identificados con radicado No. </w:t>
      </w:r>
      <w:r w:rsidR="001036EA" w:rsidRPr="0003383F">
        <w:rPr>
          <w:rFonts w:ascii="Arial" w:hAnsi="Arial" w:cs="Arial"/>
          <w:color w:val="000000" w:themeColor="text1"/>
          <w:sz w:val="19"/>
          <w:szCs w:val="19"/>
        </w:rPr>
        <w:t xml:space="preserve">4201913000006797 del 3 de octubre de 2019, 4201913000007182 del 18 de octubre de 2019  y </w:t>
      </w:r>
      <w:r w:rsidRPr="0003383F">
        <w:rPr>
          <w:rFonts w:ascii="Arial" w:hAnsi="Arial" w:cs="Arial"/>
          <w:color w:val="000000" w:themeColor="text1"/>
          <w:sz w:val="19"/>
          <w:szCs w:val="19"/>
        </w:rPr>
        <w:t>4201912000007512 del 3 de noviembre de 2019</w:t>
      </w:r>
      <w:r w:rsidR="001036EA" w:rsidRPr="0003383F">
        <w:rPr>
          <w:rFonts w:ascii="Arial" w:hAnsi="Arial" w:cs="Arial"/>
          <w:color w:val="000000" w:themeColor="text1"/>
          <w:sz w:val="19"/>
          <w:szCs w:val="19"/>
        </w:rPr>
        <w:t xml:space="preserve">. </w:t>
      </w:r>
    </w:p>
  </w:footnote>
  <w:footnote w:id="17">
    <w:p w14:paraId="2A4D76F0" w14:textId="4C88E373" w:rsidR="00560147" w:rsidRPr="0003383F" w:rsidRDefault="00560147" w:rsidP="006D478D">
      <w:pPr>
        <w:pStyle w:val="Textonotapie"/>
        <w:ind w:firstLine="708"/>
        <w:jc w:val="both"/>
        <w:rPr>
          <w:rFonts w:ascii="Arial" w:eastAsia="Times New Roman" w:hAnsi="Arial" w:cs="Arial"/>
          <w:color w:val="000000" w:themeColor="text1"/>
          <w:sz w:val="19"/>
          <w:szCs w:val="19"/>
          <w:lang w:val="es-CO" w:eastAsia="es-ES_tradnl"/>
        </w:rPr>
      </w:pPr>
      <w:r w:rsidRPr="0003383F">
        <w:rPr>
          <w:rStyle w:val="Refdenotaalpie"/>
          <w:rFonts w:ascii="Arial" w:hAnsi="Arial" w:cs="Arial"/>
          <w:color w:val="000000" w:themeColor="text1"/>
          <w:sz w:val="19"/>
          <w:szCs w:val="19"/>
        </w:rPr>
        <w:footnoteRef/>
      </w:r>
      <w:r w:rsidR="00CC2F7E" w:rsidRPr="0003383F">
        <w:rPr>
          <w:rFonts w:ascii="Arial" w:eastAsia="Times New Roman" w:hAnsi="Arial" w:cs="Arial"/>
          <w:color w:val="000000" w:themeColor="text1"/>
          <w:sz w:val="19"/>
          <w:szCs w:val="19"/>
          <w:lang w:val="es-CO" w:eastAsia="es-ES_tradnl"/>
        </w:rPr>
        <w:t xml:space="preserve"> </w:t>
      </w:r>
      <w:r w:rsidR="00965ED6" w:rsidRPr="0003383F">
        <w:rPr>
          <w:rFonts w:ascii="Arial" w:eastAsia="Times New Roman" w:hAnsi="Arial" w:cs="Arial"/>
          <w:color w:val="000000" w:themeColor="text1"/>
          <w:sz w:val="19"/>
          <w:szCs w:val="19"/>
          <w:lang w:val="es-CO" w:eastAsia="es-ES_tradnl"/>
        </w:rPr>
        <w:t xml:space="preserve">Consejo de Estado. </w:t>
      </w:r>
      <w:r w:rsidRPr="0003383F">
        <w:rPr>
          <w:rFonts w:ascii="Arial" w:eastAsia="Times New Roman" w:hAnsi="Arial" w:cs="Arial"/>
          <w:color w:val="000000" w:themeColor="text1"/>
          <w:sz w:val="19"/>
          <w:szCs w:val="19"/>
          <w:lang w:val="es-CO" w:eastAsia="es-ES_tradnl"/>
        </w:rPr>
        <w:t>Sección Tercera</w:t>
      </w:r>
      <w:r w:rsidR="00965ED6" w:rsidRPr="0003383F">
        <w:rPr>
          <w:rFonts w:ascii="Arial" w:eastAsia="Times New Roman" w:hAnsi="Arial" w:cs="Arial"/>
          <w:color w:val="000000" w:themeColor="text1"/>
          <w:sz w:val="19"/>
          <w:szCs w:val="19"/>
          <w:lang w:val="es-CO" w:eastAsia="es-ES_tradnl"/>
        </w:rPr>
        <w:t>.</w:t>
      </w:r>
      <w:r w:rsidR="004202F3" w:rsidRPr="0003383F">
        <w:rPr>
          <w:rFonts w:ascii="Arial" w:hAnsi="Arial" w:cs="Arial"/>
          <w:color w:val="000000" w:themeColor="text1"/>
          <w:sz w:val="19"/>
          <w:szCs w:val="19"/>
        </w:rPr>
        <w:t xml:space="preserve"> Sentencia del 19 de julio de 2001</w:t>
      </w:r>
      <w:r w:rsidR="00965ED6" w:rsidRPr="0003383F">
        <w:rPr>
          <w:rFonts w:ascii="Arial" w:hAnsi="Arial" w:cs="Arial"/>
          <w:color w:val="000000" w:themeColor="text1"/>
          <w:sz w:val="19"/>
          <w:szCs w:val="19"/>
        </w:rPr>
        <w:t>.</w:t>
      </w:r>
      <w:r w:rsidR="00085D81" w:rsidRPr="0003383F">
        <w:rPr>
          <w:rFonts w:ascii="Arial" w:eastAsia="Times New Roman" w:hAnsi="Arial" w:cs="Arial"/>
          <w:color w:val="000000" w:themeColor="text1"/>
          <w:sz w:val="19"/>
          <w:szCs w:val="19"/>
          <w:lang w:val="es-CO" w:eastAsia="es-ES_tradnl"/>
        </w:rPr>
        <w:t xml:space="preserve"> </w:t>
      </w:r>
      <w:r w:rsidR="00CC2F7E" w:rsidRPr="0003383F">
        <w:rPr>
          <w:rFonts w:ascii="Arial" w:eastAsia="Times New Roman" w:hAnsi="Arial" w:cs="Arial"/>
          <w:color w:val="000000" w:themeColor="text1"/>
          <w:sz w:val="19"/>
          <w:szCs w:val="19"/>
          <w:lang w:val="es-CO" w:eastAsia="es-ES_tradnl"/>
        </w:rPr>
        <w:t>Exp. 12.037. C.P. Alie</w:t>
      </w:r>
      <w:r w:rsidR="00965ED6" w:rsidRPr="0003383F">
        <w:rPr>
          <w:rFonts w:ascii="Arial" w:eastAsia="Times New Roman" w:hAnsi="Arial" w:cs="Arial"/>
          <w:color w:val="000000" w:themeColor="text1"/>
          <w:sz w:val="19"/>
          <w:szCs w:val="19"/>
          <w:lang w:val="es-CO" w:eastAsia="es-ES_tradnl"/>
        </w:rPr>
        <w:t>r Eduardo Hernández Enríquez.</w:t>
      </w:r>
    </w:p>
    <w:p w14:paraId="3C153466" w14:textId="77777777" w:rsidR="006B154D" w:rsidRPr="0003383F" w:rsidRDefault="006B154D" w:rsidP="006D478D">
      <w:pPr>
        <w:pStyle w:val="Textonotapie"/>
        <w:ind w:firstLine="708"/>
        <w:jc w:val="both"/>
        <w:rPr>
          <w:rFonts w:ascii="Arial" w:hAnsi="Arial" w:cs="Arial"/>
          <w:color w:val="000000" w:themeColor="text1"/>
          <w:sz w:val="19"/>
          <w:szCs w:val="19"/>
        </w:rPr>
      </w:pPr>
    </w:p>
  </w:footnote>
  <w:footnote w:id="18">
    <w:p w14:paraId="66343E88" w14:textId="77777777" w:rsidR="00384A8C" w:rsidRPr="0003383F" w:rsidRDefault="00384A8C" w:rsidP="00384A8C">
      <w:pPr>
        <w:pStyle w:val="Textonotapie"/>
        <w:ind w:firstLine="709"/>
        <w:jc w:val="both"/>
        <w:rPr>
          <w:rFonts w:ascii="Arial" w:hAnsi="Arial" w:cs="Arial"/>
          <w:color w:val="000000" w:themeColor="text1"/>
          <w:sz w:val="19"/>
          <w:szCs w:val="19"/>
          <w:lang w:eastAsia="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Pr="0003383F">
        <w:rPr>
          <w:rFonts w:ascii="Arial" w:hAnsi="Arial" w:cs="Arial"/>
          <w:color w:val="000000" w:themeColor="text1"/>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7D4FCFEE" w14:textId="77777777" w:rsidR="00384A8C" w:rsidRPr="0003383F" w:rsidRDefault="00384A8C" w:rsidP="00384A8C">
      <w:pPr>
        <w:pStyle w:val="Textonotapie"/>
        <w:ind w:firstLine="709"/>
        <w:jc w:val="both"/>
        <w:rPr>
          <w:rFonts w:ascii="Arial" w:hAnsi="Arial" w:cs="Arial"/>
          <w:color w:val="000000" w:themeColor="text1"/>
          <w:sz w:val="19"/>
          <w:szCs w:val="19"/>
          <w:lang w:eastAsia="es-CO"/>
        </w:rPr>
      </w:pPr>
      <w:r w:rsidRPr="0003383F">
        <w:rPr>
          <w:rFonts w:ascii="Arial" w:hAnsi="Arial" w:cs="Arial"/>
          <w:color w:val="000000" w:themeColor="text1"/>
          <w:sz w:val="19"/>
          <w:szCs w:val="19"/>
        </w:rPr>
        <w:t>»</w:t>
      </w:r>
      <w:r w:rsidRPr="0003383F">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19">
    <w:p w14:paraId="79E8C635" w14:textId="77777777" w:rsidR="00384A8C" w:rsidRPr="0003383F" w:rsidRDefault="00384A8C" w:rsidP="00384A8C">
      <w:pPr>
        <w:pStyle w:val="Textonotapie"/>
        <w:ind w:firstLine="709"/>
        <w:jc w:val="both"/>
        <w:rPr>
          <w:rFonts w:ascii="Arial" w:hAnsi="Arial" w:cs="Arial"/>
          <w:color w:val="000000" w:themeColor="text1"/>
          <w:sz w:val="19"/>
          <w:szCs w:val="19"/>
        </w:rPr>
      </w:pPr>
    </w:p>
    <w:p w14:paraId="7208DD0E" w14:textId="5E2E94F4" w:rsidR="00384A8C" w:rsidRPr="0003383F" w:rsidRDefault="00384A8C" w:rsidP="00384A8C">
      <w:pPr>
        <w:pStyle w:val="Textonotapie"/>
        <w:ind w:firstLine="709"/>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Pr="0003383F">
        <w:rPr>
          <w:rFonts w:ascii="Arial" w:hAnsi="Arial" w:cs="Arial"/>
          <w:color w:val="000000" w:themeColor="text1"/>
          <w:sz w:val="19"/>
          <w:szCs w:val="19"/>
          <w:lang w:eastAsia="es-CO"/>
        </w:rPr>
        <w:t>Consejo de Estado. Sala de Consulta y Servicio Civil. Consulta</w:t>
      </w:r>
      <w:r w:rsidR="006B154D" w:rsidRPr="0003383F">
        <w:rPr>
          <w:rFonts w:ascii="Arial" w:hAnsi="Arial" w:cs="Arial"/>
          <w:color w:val="000000" w:themeColor="text1"/>
          <w:sz w:val="19"/>
          <w:szCs w:val="19"/>
          <w:lang w:eastAsia="es-CO"/>
        </w:rPr>
        <w:t xml:space="preserve"> del 20 de mayo de 2010.</w:t>
      </w:r>
      <w:r w:rsidRPr="0003383F">
        <w:rPr>
          <w:rFonts w:ascii="Arial" w:hAnsi="Arial" w:cs="Arial"/>
          <w:color w:val="000000" w:themeColor="text1"/>
          <w:sz w:val="19"/>
          <w:szCs w:val="19"/>
          <w:lang w:eastAsia="es-CO"/>
        </w:rPr>
        <w:t xml:space="preserve"> </w:t>
      </w:r>
      <w:r w:rsidR="006B154D" w:rsidRPr="0003383F">
        <w:rPr>
          <w:rFonts w:ascii="Arial" w:hAnsi="Arial" w:cs="Arial"/>
          <w:color w:val="000000" w:themeColor="text1"/>
          <w:sz w:val="19"/>
          <w:szCs w:val="19"/>
          <w:lang w:eastAsia="es-CO"/>
        </w:rPr>
        <w:t>Exp.</w:t>
      </w:r>
      <w:r w:rsidRPr="0003383F">
        <w:rPr>
          <w:rFonts w:ascii="Arial" w:hAnsi="Arial" w:cs="Arial"/>
          <w:color w:val="000000" w:themeColor="text1"/>
          <w:sz w:val="19"/>
          <w:szCs w:val="19"/>
          <w:lang w:eastAsia="es-CO"/>
        </w:rPr>
        <w:t xml:space="preserve"> 11001-03-06-000-2010-00034-00(1992) </w:t>
      </w:r>
      <w:r w:rsidR="006B154D" w:rsidRPr="0003383F">
        <w:rPr>
          <w:rFonts w:ascii="Arial" w:hAnsi="Arial" w:cs="Arial"/>
          <w:color w:val="000000" w:themeColor="text1"/>
          <w:sz w:val="19"/>
          <w:szCs w:val="19"/>
          <w:lang w:eastAsia="es-CO"/>
        </w:rPr>
        <w:t xml:space="preserve">. C.P. </w:t>
      </w:r>
      <w:r w:rsidRPr="0003383F">
        <w:rPr>
          <w:rFonts w:ascii="Arial" w:hAnsi="Arial" w:cs="Arial"/>
          <w:color w:val="000000" w:themeColor="text1"/>
          <w:sz w:val="19"/>
          <w:szCs w:val="19"/>
          <w:lang w:eastAsia="es-CO"/>
        </w:rPr>
        <w:t>Enrique José Arboleda Perdomo.</w:t>
      </w:r>
    </w:p>
    <w:p w14:paraId="59156163" w14:textId="77777777" w:rsidR="00384A8C" w:rsidRPr="0003383F" w:rsidRDefault="00384A8C" w:rsidP="00384A8C">
      <w:pPr>
        <w:pStyle w:val="Textonotapie"/>
        <w:ind w:firstLine="709"/>
        <w:jc w:val="both"/>
        <w:rPr>
          <w:rFonts w:ascii="Arial" w:hAnsi="Arial" w:cs="Arial"/>
          <w:color w:val="000000" w:themeColor="text1"/>
          <w:sz w:val="19"/>
          <w:szCs w:val="19"/>
        </w:rPr>
      </w:pPr>
    </w:p>
  </w:footnote>
  <w:footnote w:id="20">
    <w:p w14:paraId="17A7638B" w14:textId="77777777" w:rsidR="00384A8C" w:rsidRPr="0003383F" w:rsidRDefault="00384A8C" w:rsidP="00384A8C">
      <w:pPr>
        <w:pStyle w:val="Textonotapie"/>
        <w:ind w:firstLine="709"/>
        <w:jc w:val="both"/>
        <w:rPr>
          <w:rFonts w:ascii="Arial" w:hAnsi="Arial" w:cs="Arial"/>
          <w:color w:val="000000" w:themeColor="text1"/>
          <w:sz w:val="19"/>
          <w:szCs w:val="19"/>
        </w:rPr>
      </w:pPr>
    </w:p>
    <w:p w14:paraId="72E853E5" w14:textId="45877C09" w:rsidR="00384A8C" w:rsidRPr="0003383F" w:rsidRDefault="00384A8C" w:rsidP="00384A8C">
      <w:pPr>
        <w:pStyle w:val="Textonotapie"/>
        <w:ind w:firstLine="709"/>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Pr="0003383F">
        <w:rPr>
          <w:rFonts w:ascii="Arial" w:hAnsi="Arial" w:cs="Arial"/>
          <w:color w:val="000000" w:themeColor="text1"/>
          <w:sz w:val="19"/>
          <w:szCs w:val="19"/>
          <w:lang w:eastAsia="es-CO"/>
        </w:rPr>
        <w:t>Consejo de Estado. Sala de Consulta y Servicio Civil</w:t>
      </w:r>
      <w:r w:rsidR="00887347" w:rsidRPr="0003383F">
        <w:rPr>
          <w:rFonts w:ascii="Arial" w:hAnsi="Arial" w:cs="Arial"/>
          <w:color w:val="000000" w:themeColor="text1"/>
          <w:sz w:val="19"/>
          <w:szCs w:val="19"/>
          <w:lang w:eastAsia="es-CO"/>
        </w:rPr>
        <w:t>. Exp.</w:t>
      </w:r>
      <w:r w:rsidRPr="0003383F">
        <w:rPr>
          <w:rFonts w:ascii="Arial" w:hAnsi="Arial" w:cs="Arial"/>
          <w:color w:val="000000" w:themeColor="text1"/>
          <w:sz w:val="19"/>
          <w:szCs w:val="19"/>
          <w:lang w:eastAsia="es-CO"/>
        </w:rPr>
        <w:t xml:space="preserve"> 11001-03-06-000-2010-00034-00(1992) del 20 de </w:t>
      </w:r>
      <w:r w:rsidR="00887347" w:rsidRPr="0003383F">
        <w:rPr>
          <w:rFonts w:ascii="Arial" w:hAnsi="Arial" w:cs="Arial"/>
          <w:color w:val="000000" w:themeColor="text1"/>
          <w:sz w:val="19"/>
          <w:szCs w:val="19"/>
          <w:lang w:eastAsia="es-CO"/>
        </w:rPr>
        <w:t>mayo de 2010. C. P.</w:t>
      </w:r>
      <w:r w:rsidRPr="0003383F">
        <w:rPr>
          <w:rFonts w:ascii="Arial" w:hAnsi="Arial" w:cs="Arial"/>
          <w:color w:val="000000" w:themeColor="text1"/>
          <w:sz w:val="19"/>
          <w:szCs w:val="19"/>
          <w:lang w:eastAsia="es-CO"/>
        </w:rPr>
        <w:t xml:space="preserv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560147" w:rsidRDefault="00560147">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D49A93F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0441"/>
    <w:rsid w:val="00030BF5"/>
    <w:rsid w:val="0003383F"/>
    <w:rsid w:val="00084B97"/>
    <w:rsid w:val="00085D81"/>
    <w:rsid w:val="00087955"/>
    <w:rsid w:val="000942EB"/>
    <w:rsid w:val="000A055B"/>
    <w:rsid w:val="000B103F"/>
    <w:rsid w:val="000C5BE9"/>
    <w:rsid w:val="000D0D6E"/>
    <w:rsid w:val="000D1B5D"/>
    <w:rsid w:val="000F14E8"/>
    <w:rsid w:val="001036EA"/>
    <w:rsid w:val="00103915"/>
    <w:rsid w:val="00104DFA"/>
    <w:rsid w:val="001127DA"/>
    <w:rsid w:val="001215D3"/>
    <w:rsid w:val="00121D82"/>
    <w:rsid w:val="00122B23"/>
    <w:rsid w:val="00134EE1"/>
    <w:rsid w:val="001370F9"/>
    <w:rsid w:val="00137FFA"/>
    <w:rsid w:val="001421D9"/>
    <w:rsid w:val="001540F3"/>
    <w:rsid w:val="00160ECB"/>
    <w:rsid w:val="0019378B"/>
    <w:rsid w:val="001A21E3"/>
    <w:rsid w:val="001A5D9D"/>
    <w:rsid w:val="001B0444"/>
    <w:rsid w:val="001B0FFB"/>
    <w:rsid w:val="001C4DFD"/>
    <w:rsid w:val="001E229D"/>
    <w:rsid w:val="001E7A7B"/>
    <w:rsid w:val="001F3B67"/>
    <w:rsid w:val="001F4991"/>
    <w:rsid w:val="00203A5D"/>
    <w:rsid w:val="0020632A"/>
    <w:rsid w:val="002110EB"/>
    <w:rsid w:val="00211338"/>
    <w:rsid w:val="0021583F"/>
    <w:rsid w:val="00224319"/>
    <w:rsid w:val="00234B84"/>
    <w:rsid w:val="002356D9"/>
    <w:rsid w:val="00236D5C"/>
    <w:rsid w:val="00247B09"/>
    <w:rsid w:val="00290227"/>
    <w:rsid w:val="002938A9"/>
    <w:rsid w:val="002A26DD"/>
    <w:rsid w:val="002B128E"/>
    <w:rsid w:val="002C40EB"/>
    <w:rsid w:val="002C4C0C"/>
    <w:rsid w:val="002D1466"/>
    <w:rsid w:val="002D3025"/>
    <w:rsid w:val="002D5AB6"/>
    <w:rsid w:val="002D6F6E"/>
    <w:rsid w:val="002F2F5B"/>
    <w:rsid w:val="003033BA"/>
    <w:rsid w:val="00315B3D"/>
    <w:rsid w:val="00322937"/>
    <w:rsid w:val="0034177C"/>
    <w:rsid w:val="0034680A"/>
    <w:rsid w:val="00352F9F"/>
    <w:rsid w:val="00353DD5"/>
    <w:rsid w:val="00354ABB"/>
    <w:rsid w:val="003557F9"/>
    <w:rsid w:val="00384A8C"/>
    <w:rsid w:val="00386456"/>
    <w:rsid w:val="00390405"/>
    <w:rsid w:val="003A0878"/>
    <w:rsid w:val="003A27D9"/>
    <w:rsid w:val="003A44BF"/>
    <w:rsid w:val="003A581E"/>
    <w:rsid w:val="003C657E"/>
    <w:rsid w:val="003C66C5"/>
    <w:rsid w:val="003D196A"/>
    <w:rsid w:val="003E19BD"/>
    <w:rsid w:val="00400F44"/>
    <w:rsid w:val="004141CB"/>
    <w:rsid w:val="00414AD7"/>
    <w:rsid w:val="004202F3"/>
    <w:rsid w:val="004237D3"/>
    <w:rsid w:val="00423F9F"/>
    <w:rsid w:val="00425776"/>
    <w:rsid w:val="00430473"/>
    <w:rsid w:val="004422D6"/>
    <w:rsid w:val="00442D24"/>
    <w:rsid w:val="00445C85"/>
    <w:rsid w:val="0047298C"/>
    <w:rsid w:val="00475DDA"/>
    <w:rsid w:val="0049241A"/>
    <w:rsid w:val="00495590"/>
    <w:rsid w:val="00496148"/>
    <w:rsid w:val="00496AB0"/>
    <w:rsid w:val="004A34D2"/>
    <w:rsid w:val="004A6F32"/>
    <w:rsid w:val="004B6465"/>
    <w:rsid w:val="004C029B"/>
    <w:rsid w:val="004C4316"/>
    <w:rsid w:val="004E20DA"/>
    <w:rsid w:val="004F5271"/>
    <w:rsid w:val="0050403E"/>
    <w:rsid w:val="0051074C"/>
    <w:rsid w:val="00513AF2"/>
    <w:rsid w:val="0053038F"/>
    <w:rsid w:val="00534B0A"/>
    <w:rsid w:val="00540DF9"/>
    <w:rsid w:val="0054413A"/>
    <w:rsid w:val="005564CA"/>
    <w:rsid w:val="00560147"/>
    <w:rsid w:val="0056182B"/>
    <w:rsid w:val="005756AA"/>
    <w:rsid w:val="005848BF"/>
    <w:rsid w:val="00590AB7"/>
    <w:rsid w:val="005A41AA"/>
    <w:rsid w:val="005D51FA"/>
    <w:rsid w:val="005D791B"/>
    <w:rsid w:val="005D7F2B"/>
    <w:rsid w:val="00614817"/>
    <w:rsid w:val="00615A0B"/>
    <w:rsid w:val="006250FE"/>
    <w:rsid w:val="00633DBF"/>
    <w:rsid w:val="0063643E"/>
    <w:rsid w:val="0064300C"/>
    <w:rsid w:val="0065013A"/>
    <w:rsid w:val="00655371"/>
    <w:rsid w:val="00655904"/>
    <w:rsid w:val="00677888"/>
    <w:rsid w:val="0069632F"/>
    <w:rsid w:val="00697665"/>
    <w:rsid w:val="006A4C1A"/>
    <w:rsid w:val="006A7CB5"/>
    <w:rsid w:val="006A7FD0"/>
    <w:rsid w:val="006B154D"/>
    <w:rsid w:val="006B3A34"/>
    <w:rsid w:val="006C10B1"/>
    <w:rsid w:val="006C28A0"/>
    <w:rsid w:val="006D478D"/>
    <w:rsid w:val="006D7687"/>
    <w:rsid w:val="006E0572"/>
    <w:rsid w:val="006E47A2"/>
    <w:rsid w:val="006F1068"/>
    <w:rsid w:val="006F1595"/>
    <w:rsid w:val="006F21A6"/>
    <w:rsid w:val="006F4C35"/>
    <w:rsid w:val="006F7196"/>
    <w:rsid w:val="00702F65"/>
    <w:rsid w:val="00705631"/>
    <w:rsid w:val="007061E5"/>
    <w:rsid w:val="00711CA6"/>
    <w:rsid w:val="00715EAA"/>
    <w:rsid w:val="00720584"/>
    <w:rsid w:val="00721013"/>
    <w:rsid w:val="00742DD2"/>
    <w:rsid w:val="00746E08"/>
    <w:rsid w:val="00747C96"/>
    <w:rsid w:val="0075094E"/>
    <w:rsid w:val="007522E8"/>
    <w:rsid w:val="00754D2B"/>
    <w:rsid w:val="007558E5"/>
    <w:rsid w:val="0075647A"/>
    <w:rsid w:val="007634AD"/>
    <w:rsid w:val="00765B1B"/>
    <w:rsid w:val="00780223"/>
    <w:rsid w:val="0078122E"/>
    <w:rsid w:val="007843E9"/>
    <w:rsid w:val="00795647"/>
    <w:rsid w:val="007B0854"/>
    <w:rsid w:val="007B580B"/>
    <w:rsid w:val="007C0569"/>
    <w:rsid w:val="007D5F39"/>
    <w:rsid w:val="007F45ED"/>
    <w:rsid w:val="007F6B46"/>
    <w:rsid w:val="007F7227"/>
    <w:rsid w:val="007F72CB"/>
    <w:rsid w:val="007F763E"/>
    <w:rsid w:val="008015A9"/>
    <w:rsid w:val="0080515F"/>
    <w:rsid w:val="0081421A"/>
    <w:rsid w:val="008217B7"/>
    <w:rsid w:val="008305BD"/>
    <w:rsid w:val="0083119B"/>
    <w:rsid w:val="00834F2E"/>
    <w:rsid w:val="00836EAB"/>
    <w:rsid w:val="00842A04"/>
    <w:rsid w:val="0084660A"/>
    <w:rsid w:val="0085092D"/>
    <w:rsid w:val="00850F79"/>
    <w:rsid w:val="00854D9C"/>
    <w:rsid w:val="008637AD"/>
    <w:rsid w:val="00864800"/>
    <w:rsid w:val="00885025"/>
    <w:rsid w:val="00887347"/>
    <w:rsid w:val="0089774F"/>
    <w:rsid w:val="008A2025"/>
    <w:rsid w:val="008B0720"/>
    <w:rsid w:val="008B0F89"/>
    <w:rsid w:val="008B3DC3"/>
    <w:rsid w:val="008B6C3E"/>
    <w:rsid w:val="008C35A2"/>
    <w:rsid w:val="008C6F1E"/>
    <w:rsid w:val="008D0573"/>
    <w:rsid w:val="008E1C15"/>
    <w:rsid w:val="008F0344"/>
    <w:rsid w:val="008F4BBA"/>
    <w:rsid w:val="008F538E"/>
    <w:rsid w:val="009047C5"/>
    <w:rsid w:val="00911F2C"/>
    <w:rsid w:val="00936F9C"/>
    <w:rsid w:val="0095385A"/>
    <w:rsid w:val="00965ED6"/>
    <w:rsid w:val="0099327B"/>
    <w:rsid w:val="00994A03"/>
    <w:rsid w:val="009B0496"/>
    <w:rsid w:val="009C16BC"/>
    <w:rsid w:val="009C1C08"/>
    <w:rsid w:val="009D270F"/>
    <w:rsid w:val="009D4BC5"/>
    <w:rsid w:val="009E15AC"/>
    <w:rsid w:val="009F1F65"/>
    <w:rsid w:val="009F59C2"/>
    <w:rsid w:val="009F67A3"/>
    <w:rsid w:val="00A012AD"/>
    <w:rsid w:val="00A02E64"/>
    <w:rsid w:val="00A13407"/>
    <w:rsid w:val="00A16DE4"/>
    <w:rsid w:val="00A24560"/>
    <w:rsid w:val="00A25B36"/>
    <w:rsid w:val="00A32BD5"/>
    <w:rsid w:val="00A34538"/>
    <w:rsid w:val="00A37FB6"/>
    <w:rsid w:val="00A41034"/>
    <w:rsid w:val="00A42B53"/>
    <w:rsid w:val="00A51D72"/>
    <w:rsid w:val="00A54872"/>
    <w:rsid w:val="00A64726"/>
    <w:rsid w:val="00A82284"/>
    <w:rsid w:val="00A82FDF"/>
    <w:rsid w:val="00A84A7F"/>
    <w:rsid w:val="00A97435"/>
    <w:rsid w:val="00AA08E7"/>
    <w:rsid w:val="00AA442B"/>
    <w:rsid w:val="00AA669D"/>
    <w:rsid w:val="00AB13DC"/>
    <w:rsid w:val="00AC411A"/>
    <w:rsid w:val="00AD1AE4"/>
    <w:rsid w:val="00AD1B0F"/>
    <w:rsid w:val="00AE4A81"/>
    <w:rsid w:val="00AF0EB4"/>
    <w:rsid w:val="00B13EC0"/>
    <w:rsid w:val="00B16584"/>
    <w:rsid w:val="00B22E22"/>
    <w:rsid w:val="00B31D85"/>
    <w:rsid w:val="00B525CB"/>
    <w:rsid w:val="00B55490"/>
    <w:rsid w:val="00B63872"/>
    <w:rsid w:val="00B63CB2"/>
    <w:rsid w:val="00B64EDB"/>
    <w:rsid w:val="00B67884"/>
    <w:rsid w:val="00B712F2"/>
    <w:rsid w:val="00B7315F"/>
    <w:rsid w:val="00B7754B"/>
    <w:rsid w:val="00B91B8E"/>
    <w:rsid w:val="00BD78FE"/>
    <w:rsid w:val="00BE6F12"/>
    <w:rsid w:val="00BF000A"/>
    <w:rsid w:val="00BF5A02"/>
    <w:rsid w:val="00C1780C"/>
    <w:rsid w:val="00C2112D"/>
    <w:rsid w:val="00C24589"/>
    <w:rsid w:val="00C27BE7"/>
    <w:rsid w:val="00C32D37"/>
    <w:rsid w:val="00C37664"/>
    <w:rsid w:val="00C446B1"/>
    <w:rsid w:val="00C54347"/>
    <w:rsid w:val="00C56F7B"/>
    <w:rsid w:val="00C81089"/>
    <w:rsid w:val="00C874F1"/>
    <w:rsid w:val="00C93025"/>
    <w:rsid w:val="00C96EF8"/>
    <w:rsid w:val="00CC00CD"/>
    <w:rsid w:val="00CC2F7E"/>
    <w:rsid w:val="00CC722B"/>
    <w:rsid w:val="00CD2774"/>
    <w:rsid w:val="00D01760"/>
    <w:rsid w:val="00D16E39"/>
    <w:rsid w:val="00D223B6"/>
    <w:rsid w:val="00D43E86"/>
    <w:rsid w:val="00D4701E"/>
    <w:rsid w:val="00D60327"/>
    <w:rsid w:val="00D72E9D"/>
    <w:rsid w:val="00D75C60"/>
    <w:rsid w:val="00D80A14"/>
    <w:rsid w:val="00D82CE5"/>
    <w:rsid w:val="00DA23DB"/>
    <w:rsid w:val="00DA5AB1"/>
    <w:rsid w:val="00DA5C47"/>
    <w:rsid w:val="00DB201F"/>
    <w:rsid w:val="00DB22BC"/>
    <w:rsid w:val="00DB37B0"/>
    <w:rsid w:val="00DB4F3B"/>
    <w:rsid w:val="00DC62E5"/>
    <w:rsid w:val="00DD735D"/>
    <w:rsid w:val="00DE3119"/>
    <w:rsid w:val="00DF236B"/>
    <w:rsid w:val="00E02B77"/>
    <w:rsid w:val="00E11604"/>
    <w:rsid w:val="00E13AB8"/>
    <w:rsid w:val="00E25CB3"/>
    <w:rsid w:val="00E273BC"/>
    <w:rsid w:val="00E2785A"/>
    <w:rsid w:val="00E3158C"/>
    <w:rsid w:val="00E33B62"/>
    <w:rsid w:val="00E3402B"/>
    <w:rsid w:val="00E4143A"/>
    <w:rsid w:val="00E41DF1"/>
    <w:rsid w:val="00E6565C"/>
    <w:rsid w:val="00E95AD1"/>
    <w:rsid w:val="00E97DF3"/>
    <w:rsid w:val="00EB4232"/>
    <w:rsid w:val="00EB526A"/>
    <w:rsid w:val="00EC02A7"/>
    <w:rsid w:val="00EC3F12"/>
    <w:rsid w:val="00EE32AB"/>
    <w:rsid w:val="00EE415B"/>
    <w:rsid w:val="00EE59B5"/>
    <w:rsid w:val="00EF5AC9"/>
    <w:rsid w:val="00EF79E1"/>
    <w:rsid w:val="00F1537B"/>
    <w:rsid w:val="00F3643D"/>
    <w:rsid w:val="00F4560B"/>
    <w:rsid w:val="00F4797F"/>
    <w:rsid w:val="00F5085E"/>
    <w:rsid w:val="00F61F29"/>
    <w:rsid w:val="00F72C2F"/>
    <w:rsid w:val="00F84899"/>
    <w:rsid w:val="00F84E70"/>
    <w:rsid w:val="00F859F0"/>
    <w:rsid w:val="00F93FC0"/>
    <w:rsid w:val="00F94C9C"/>
    <w:rsid w:val="00FB6FB9"/>
    <w:rsid w:val="00FE141E"/>
    <w:rsid w:val="00FE1858"/>
    <w:rsid w:val="00FE42ED"/>
    <w:rsid w:val="00FE6086"/>
    <w:rsid w:val="00FF540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46CD1FF0-85A5-4CC2-BBBB-4335705B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20D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626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9289D02-2F1C-4BA7-9EBE-3C88620F5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982408-3E06-4B97-80B4-C77FE94B74E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C552668-9EAF-48B2-88E7-DD2EA109A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19</Pages>
  <Words>6613</Words>
  <Characters>37698</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2020-03-05T08:15:00Z</cp:lastPrinted>
  <dcterms:created xsi:type="dcterms:W3CDTF">2020-08-10T21:09:00Z</dcterms:created>
  <dcterms:modified xsi:type="dcterms:W3CDTF">2020-08-10T21:09:00Z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