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49971" w14:textId="77777777" w:rsidR="00592BE1" w:rsidRDefault="00592BE1" w:rsidP="00592BE1">
      <w:pPr>
        <w:spacing w:after="0" w:line="240" w:lineRule="auto"/>
        <w:contextualSpacing/>
        <w:jc w:val="both"/>
        <w:rPr>
          <w:rFonts w:ascii="Verdana" w:eastAsia="Calibri" w:hAnsi="Verdana" w:cs="Arial"/>
          <w:b/>
          <w:lang w:val="es-MX" w:eastAsia="es-MX"/>
        </w:rPr>
      </w:pPr>
      <w:bookmarkStart w:id="0" w:name="_Hlk143780582"/>
      <w:r w:rsidRPr="00904AD4">
        <w:rPr>
          <w:rFonts w:ascii="Verdana" w:eastAsia="Calibri" w:hAnsi="Verdana" w:cs="Arial"/>
          <w:b/>
          <w:lang w:val="es-MX" w:eastAsia="es-MX"/>
        </w:rPr>
        <w:t xml:space="preserve">LEY DE GARANTÍAS ELECTORALES – Naturaleza Jurídica </w:t>
      </w:r>
    </w:p>
    <w:p w14:paraId="405F67B5" w14:textId="77777777" w:rsidR="00592BE1" w:rsidRDefault="00592BE1" w:rsidP="00592BE1">
      <w:pPr>
        <w:spacing w:after="0" w:line="240" w:lineRule="auto"/>
        <w:contextualSpacing/>
        <w:jc w:val="both"/>
        <w:rPr>
          <w:rFonts w:ascii="Verdana" w:eastAsia="Calibri" w:hAnsi="Verdana" w:cs="Arial"/>
          <w:b/>
          <w:lang w:val="es-MX" w:eastAsia="es-MX"/>
        </w:rPr>
      </w:pPr>
    </w:p>
    <w:p w14:paraId="271A548F" w14:textId="77777777" w:rsidR="00592BE1" w:rsidRPr="005C0AEA" w:rsidRDefault="00592BE1" w:rsidP="00592BE1">
      <w:pPr>
        <w:spacing w:after="0" w:line="240" w:lineRule="auto"/>
        <w:contextualSpacing/>
        <w:jc w:val="both"/>
        <w:rPr>
          <w:rFonts w:ascii="Verdana" w:eastAsia="Calibri" w:hAnsi="Verdana" w:cs="Arial"/>
          <w:b/>
          <w:lang w:val="es-MX" w:eastAsia="es-MX"/>
        </w:rPr>
      </w:pPr>
      <w:r w:rsidRPr="00DC3470">
        <w:rPr>
          <w:rFonts w:ascii="Verdana" w:eastAsia="Times New Roman" w:hAnsi="Verdana" w:cs="Arial"/>
          <w:bCs/>
          <w:sz w:val="20"/>
          <w:szCs w:val="20"/>
          <w:lang w:eastAsia="es-CO"/>
        </w:rPr>
        <w:t>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382AC891" w14:textId="77777777" w:rsidR="00592BE1" w:rsidRPr="00904AD4" w:rsidRDefault="00592BE1" w:rsidP="00592BE1">
      <w:pPr>
        <w:spacing w:after="0" w:line="240" w:lineRule="auto"/>
        <w:contextualSpacing/>
        <w:jc w:val="both"/>
        <w:rPr>
          <w:rFonts w:ascii="Verdana" w:eastAsia="Calibri" w:hAnsi="Verdana" w:cs="Arial"/>
          <w:b/>
          <w:lang w:val="es-MX" w:eastAsia="es-MX"/>
        </w:rPr>
      </w:pPr>
    </w:p>
    <w:p w14:paraId="5C5D3B9D" w14:textId="77777777" w:rsidR="00592BE1" w:rsidRDefault="00592BE1" w:rsidP="00592BE1">
      <w:pPr>
        <w:spacing w:after="0" w:line="240" w:lineRule="auto"/>
        <w:contextualSpacing/>
        <w:jc w:val="both"/>
        <w:rPr>
          <w:rFonts w:ascii="Verdana" w:eastAsia="Calibri" w:hAnsi="Verdana" w:cs="Arial"/>
          <w:b/>
          <w:lang w:val="es-MX" w:eastAsia="es-MX"/>
        </w:rPr>
      </w:pPr>
      <w:r w:rsidRPr="00904AD4">
        <w:rPr>
          <w:rFonts w:ascii="Verdana" w:eastAsia="Calibri" w:hAnsi="Verdana" w:cs="Arial"/>
          <w:b/>
          <w:lang w:val="es-MX" w:eastAsia="es-MX"/>
        </w:rPr>
        <w:t xml:space="preserve">LEY DE GARANTÍAS ELECTORALES – Prohibiciones </w:t>
      </w:r>
    </w:p>
    <w:p w14:paraId="7FC4E72C" w14:textId="77777777" w:rsidR="00592BE1" w:rsidRDefault="00592BE1" w:rsidP="00592BE1">
      <w:pPr>
        <w:spacing w:after="0" w:line="240" w:lineRule="auto"/>
        <w:contextualSpacing/>
        <w:jc w:val="both"/>
        <w:rPr>
          <w:rFonts w:ascii="Verdana" w:eastAsia="Calibri" w:hAnsi="Verdana" w:cs="Arial"/>
          <w:b/>
          <w:lang w:val="es-MX" w:eastAsia="es-MX"/>
        </w:rPr>
      </w:pPr>
    </w:p>
    <w:p w14:paraId="3FE58DD4" w14:textId="77777777" w:rsidR="00592BE1" w:rsidRPr="005C0AEA" w:rsidRDefault="00592BE1" w:rsidP="00592BE1">
      <w:pPr>
        <w:spacing w:after="0" w:line="240" w:lineRule="auto"/>
        <w:contextualSpacing/>
        <w:jc w:val="both"/>
        <w:rPr>
          <w:rFonts w:ascii="Verdana" w:eastAsia="Calibri" w:hAnsi="Verdana" w:cs="Arial"/>
          <w:b/>
          <w:lang w:val="es-MX" w:eastAsia="es-MX"/>
        </w:rPr>
      </w:pPr>
      <w:r>
        <w:rPr>
          <w:rFonts w:ascii="Verdana" w:eastAsia="Arial" w:hAnsi="Verdana" w:cs="Arial"/>
          <w:sz w:val="20"/>
          <w:szCs w:val="20"/>
          <w:lang w:val="es-ES" w:eastAsia="es-ES" w:bidi="es-ES"/>
        </w:rPr>
        <w:t xml:space="preserve">[…] </w:t>
      </w:r>
      <w:r w:rsidRPr="00DC3470">
        <w:rPr>
          <w:rFonts w:ascii="Verdana" w:eastAsia="Arial" w:hAnsi="Verdana" w:cs="Arial"/>
          <w:sz w:val="20"/>
          <w:szCs w:val="20"/>
          <w:lang w:val="es-ES" w:eastAsia="es-ES" w:bidi="es-ES"/>
        </w:rPr>
        <w:t xml:space="preserve">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647EC7D1" w14:textId="77777777" w:rsidR="00592BE1" w:rsidRDefault="00592BE1" w:rsidP="00592BE1">
      <w:pPr>
        <w:spacing w:after="0" w:line="240" w:lineRule="auto"/>
        <w:jc w:val="both"/>
        <w:rPr>
          <w:rFonts w:ascii="Verdana" w:eastAsia="Arial" w:hAnsi="Verdana" w:cs="Arial"/>
          <w:sz w:val="20"/>
          <w:szCs w:val="20"/>
          <w:lang w:val="es-ES" w:eastAsia="es-ES" w:bidi="es-ES"/>
        </w:rPr>
      </w:pPr>
    </w:p>
    <w:p w14:paraId="6EC499E7" w14:textId="77777777" w:rsidR="00592BE1" w:rsidRPr="00DC3470" w:rsidRDefault="00592BE1" w:rsidP="00592BE1">
      <w:pPr>
        <w:spacing w:after="0" w:line="240" w:lineRule="auto"/>
        <w:jc w:val="both"/>
        <w:rPr>
          <w:rFonts w:ascii="Verdana" w:eastAsia="Arial" w:hAnsi="Verdana" w:cs="Arial"/>
          <w:sz w:val="20"/>
          <w:szCs w:val="20"/>
          <w:lang w:val="es-ES" w:eastAsia="es-ES" w:bidi="es-ES"/>
        </w:rPr>
      </w:pPr>
      <w:r w:rsidRPr="00DC3470">
        <w:rPr>
          <w:rFonts w:ascii="Verdana" w:eastAsia="Arial" w:hAnsi="Verdana" w:cs="Arial"/>
          <w:sz w:val="20"/>
          <w:szCs w:val="20"/>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0751323A" w14:textId="77777777" w:rsidR="00592BE1" w:rsidRDefault="00592BE1" w:rsidP="00592BE1">
      <w:pPr>
        <w:spacing w:after="0" w:line="240" w:lineRule="auto"/>
        <w:jc w:val="both"/>
        <w:rPr>
          <w:rFonts w:ascii="Verdana" w:eastAsia="Calibri" w:hAnsi="Verdana" w:cs="Arial"/>
          <w:sz w:val="20"/>
          <w:szCs w:val="20"/>
        </w:rPr>
      </w:pPr>
    </w:p>
    <w:p w14:paraId="51007F8F" w14:textId="77777777" w:rsidR="00592BE1" w:rsidRPr="00DC3470" w:rsidRDefault="00592BE1" w:rsidP="00592BE1">
      <w:pPr>
        <w:spacing w:after="0" w:line="240" w:lineRule="auto"/>
        <w:jc w:val="both"/>
        <w:rPr>
          <w:rFonts w:ascii="Verdana" w:eastAsia="Calibri" w:hAnsi="Verdana" w:cs="Arial"/>
          <w:sz w:val="20"/>
          <w:szCs w:val="20"/>
        </w:rPr>
      </w:pPr>
      <w:r w:rsidRPr="00DC3470">
        <w:rPr>
          <w:rFonts w:ascii="Verdana" w:eastAsia="Calibri" w:hAnsi="Verdana" w:cs="Arial"/>
          <w:sz w:val="20"/>
          <w:szCs w:val="20"/>
        </w:rPr>
        <w:t>Por un lado, el artículo 33 de la Ley 996 de 2005 prohíbe “</w:t>
      </w:r>
      <w:r w:rsidRPr="00DC3470">
        <w:rPr>
          <w:rFonts w:ascii="Verdana" w:eastAsia="Calibri" w:hAnsi="Verdana" w:cs="Arial"/>
          <w:bCs/>
          <w:sz w:val="20"/>
          <w:szCs w:val="20"/>
        </w:rPr>
        <w:t xml:space="preserve">(…) </w:t>
      </w:r>
      <w:r w:rsidRPr="00DC3470">
        <w:rPr>
          <w:rFonts w:ascii="Verdana" w:eastAsia="Calibri" w:hAnsi="Verdana" w:cs="Arial"/>
          <w:sz w:val="20"/>
          <w:szCs w:val="20"/>
        </w:rPr>
        <w:t>la contratación directa por parte de todos los entes del Estado</w:t>
      </w:r>
      <w:r w:rsidRPr="00DC3470">
        <w:rPr>
          <w:rFonts w:ascii="Verdana" w:eastAsia="Calibri" w:hAnsi="Verdana" w:cs="Arial"/>
          <w:bCs/>
          <w:sz w:val="20"/>
          <w:szCs w:val="20"/>
        </w:rPr>
        <w:t>”</w:t>
      </w:r>
      <w:r w:rsidRPr="00DC3470">
        <w:rPr>
          <w:rFonts w:ascii="Verdana" w:eastAsia="Calibri" w:hAnsi="Verdana" w:cs="Arial"/>
          <w:sz w:val="20"/>
          <w:szCs w:val="20"/>
        </w:rPr>
        <w:t xml:space="preserve"> durante los cuatro (4) meses anteriores a las elecciones presidenciales, salvo </w:t>
      </w:r>
      <w:r w:rsidRPr="00DC3470">
        <w:rPr>
          <w:rFonts w:ascii="Verdana" w:eastAsia="Calibri" w:hAnsi="Verdana" w:cs="Arial"/>
          <w:bCs/>
          <w:sz w:val="20"/>
          <w:szCs w:val="20"/>
        </w:rPr>
        <w:t xml:space="preserve">“[…] </w:t>
      </w:r>
      <w:r w:rsidRPr="00DC3470">
        <w:rPr>
          <w:rFonts w:ascii="Verdana" w:eastAsia="Calibri" w:hAnsi="Verdana" w:cs="Arial"/>
          <w:sz w:val="20"/>
          <w:szCs w:val="20"/>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DC3470">
        <w:rPr>
          <w:rFonts w:ascii="Verdana" w:eastAsia="Calibri" w:hAnsi="Verdana" w:cs="Arial"/>
          <w:bCs/>
          <w:sz w:val="20"/>
          <w:szCs w:val="20"/>
        </w:rPr>
        <w:t>”</w:t>
      </w:r>
      <w:r w:rsidRPr="00DC3470">
        <w:rPr>
          <w:rFonts w:ascii="Verdana" w:eastAsia="Calibri" w:hAnsi="Verdana" w:cs="Arial"/>
          <w:sz w:val="20"/>
          <w:szCs w:val="20"/>
        </w:rPr>
        <w:t>.</w:t>
      </w:r>
    </w:p>
    <w:p w14:paraId="1B2A7C66" w14:textId="77777777" w:rsidR="00592BE1" w:rsidRDefault="00592BE1" w:rsidP="00592BE1">
      <w:pPr>
        <w:widowControl w:val="0"/>
        <w:autoSpaceDE w:val="0"/>
        <w:autoSpaceDN w:val="0"/>
        <w:spacing w:after="0" w:line="240" w:lineRule="auto"/>
        <w:jc w:val="both"/>
        <w:rPr>
          <w:rFonts w:ascii="Verdana" w:eastAsia="Calibri" w:hAnsi="Verdana" w:cs="Arial"/>
          <w:sz w:val="20"/>
          <w:szCs w:val="20"/>
        </w:rPr>
      </w:pPr>
    </w:p>
    <w:p w14:paraId="47F31AAA" w14:textId="77777777" w:rsidR="00592BE1" w:rsidRDefault="00592BE1" w:rsidP="00592BE1">
      <w:pPr>
        <w:widowControl w:val="0"/>
        <w:autoSpaceDE w:val="0"/>
        <w:autoSpaceDN w:val="0"/>
        <w:spacing w:after="0" w:line="240" w:lineRule="auto"/>
        <w:jc w:val="both"/>
        <w:rPr>
          <w:rFonts w:ascii="Verdana" w:eastAsia="Arial" w:hAnsi="Verdana" w:cs="Arial"/>
          <w:sz w:val="20"/>
          <w:szCs w:val="20"/>
          <w:lang w:val="es-ES" w:eastAsia="es-ES" w:bidi="es-ES"/>
        </w:rPr>
      </w:pPr>
      <w:r w:rsidRPr="00DC3470">
        <w:rPr>
          <w:rFonts w:ascii="Verdana" w:eastAsia="Calibri" w:hAnsi="Verdana" w:cs="Arial"/>
          <w:sz w:val="20"/>
          <w:szCs w:val="20"/>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DC3470">
        <w:rPr>
          <w:rFonts w:ascii="Verdana" w:eastAsia="Calibri" w:hAnsi="Verdana" w:cs="Arial"/>
          <w:bCs/>
          <w:sz w:val="20"/>
          <w:szCs w:val="20"/>
        </w:rPr>
        <w:t xml:space="preserve">“(…) </w:t>
      </w:r>
      <w:r w:rsidRPr="00DC3470">
        <w:rPr>
          <w:rFonts w:ascii="Verdana" w:eastAsia="Calibri" w:hAnsi="Verdana" w:cs="Arial"/>
          <w:sz w:val="20"/>
          <w:szCs w:val="20"/>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DC3470">
        <w:rPr>
          <w:rFonts w:ascii="Verdana" w:eastAsia="Calibri" w:hAnsi="Verdana" w:cs="Arial"/>
          <w:bCs/>
          <w:sz w:val="20"/>
          <w:szCs w:val="20"/>
        </w:rPr>
        <w:t>”</w:t>
      </w:r>
      <w:r w:rsidRPr="00DC3470">
        <w:rPr>
          <w:rFonts w:ascii="Verdana" w:eastAsia="Calibri" w:hAnsi="Verdana" w:cs="Arial"/>
          <w:sz w:val="20"/>
          <w:szCs w:val="20"/>
        </w:rPr>
        <w:t>.</w:t>
      </w:r>
      <w:r w:rsidRPr="00DC3470">
        <w:rPr>
          <w:rFonts w:ascii="Verdana" w:eastAsia="Arial" w:hAnsi="Verdana" w:cs="Arial"/>
          <w:sz w:val="20"/>
          <w:szCs w:val="20"/>
          <w:lang w:val="es-ES" w:eastAsia="es-ES" w:bidi="es-ES"/>
        </w:rPr>
        <w:t xml:space="preserve"> </w:t>
      </w:r>
    </w:p>
    <w:p w14:paraId="5452BBC8" w14:textId="77777777" w:rsidR="00592BE1" w:rsidRDefault="00592BE1" w:rsidP="00592BE1">
      <w:pPr>
        <w:widowControl w:val="0"/>
        <w:autoSpaceDE w:val="0"/>
        <w:autoSpaceDN w:val="0"/>
        <w:spacing w:after="0" w:line="240" w:lineRule="auto"/>
        <w:jc w:val="both"/>
        <w:rPr>
          <w:rFonts w:ascii="Verdana" w:eastAsia="Arial" w:hAnsi="Verdana" w:cs="Arial"/>
          <w:sz w:val="20"/>
          <w:szCs w:val="20"/>
          <w:lang w:val="es-ES" w:eastAsia="es-ES" w:bidi="es-ES"/>
        </w:rPr>
      </w:pPr>
    </w:p>
    <w:p w14:paraId="04FAC133" w14:textId="77777777" w:rsidR="00592BE1" w:rsidRDefault="00592BE1" w:rsidP="00592BE1">
      <w:pPr>
        <w:widowControl w:val="0"/>
        <w:autoSpaceDE w:val="0"/>
        <w:autoSpaceDN w:val="0"/>
        <w:spacing w:after="0" w:line="240" w:lineRule="auto"/>
        <w:jc w:val="both"/>
        <w:rPr>
          <w:rFonts w:ascii="Verdana" w:eastAsia="Arial" w:hAnsi="Verdana" w:cs="Arial"/>
          <w:sz w:val="20"/>
          <w:szCs w:val="20"/>
          <w:lang w:val="es-MX" w:eastAsia="es-ES" w:bidi="es-ES"/>
        </w:rPr>
      </w:pPr>
      <w:r w:rsidRPr="00904AD4">
        <w:rPr>
          <w:rFonts w:ascii="Verdana" w:eastAsia="Calibri" w:hAnsi="Verdana" w:cs="Arial"/>
          <w:b/>
          <w:lang w:val="es-MX"/>
        </w:rPr>
        <w:t xml:space="preserve">LEY DE GARANTÍAS ELECTORALES ─ Prohibición artículo 33 ‒ Contratación directa ‒ Alcance </w:t>
      </w:r>
    </w:p>
    <w:p w14:paraId="22D27754" w14:textId="77777777" w:rsidR="00592BE1" w:rsidRDefault="00592BE1" w:rsidP="00592BE1">
      <w:pPr>
        <w:widowControl w:val="0"/>
        <w:autoSpaceDE w:val="0"/>
        <w:autoSpaceDN w:val="0"/>
        <w:spacing w:after="0" w:line="240" w:lineRule="auto"/>
        <w:jc w:val="both"/>
        <w:rPr>
          <w:rFonts w:ascii="Verdana" w:eastAsia="Arial" w:hAnsi="Verdana" w:cs="Arial"/>
          <w:sz w:val="20"/>
          <w:szCs w:val="20"/>
          <w:lang w:val="es-MX" w:eastAsia="es-ES" w:bidi="es-ES"/>
        </w:rPr>
      </w:pPr>
    </w:p>
    <w:p w14:paraId="7F389506" w14:textId="77777777" w:rsidR="00592BE1" w:rsidRDefault="00592BE1" w:rsidP="00592BE1">
      <w:pPr>
        <w:widowControl w:val="0"/>
        <w:autoSpaceDE w:val="0"/>
        <w:autoSpaceDN w:val="0"/>
        <w:spacing w:after="0" w:line="240" w:lineRule="auto"/>
        <w:jc w:val="both"/>
        <w:rPr>
          <w:rFonts w:ascii="Verdana" w:eastAsia="Arial" w:hAnsi="Verdana" w:cs="Arial"/>
          <w:sz w:val="20"/>
          <w:szCs w:val="20"/>
          <w:lang w:eastAsia="es-ES" w:bidi="es-ES"/>
        </w:rPr>
      </w:pPr>
      <w:r w:rsidRPr="005C0AEA">
        <w:rPr>
          <w:rFonts w:ascii="Verdana" w:hAnsi="Verdana" w:cs="Arial"/>
          <w:bCs/>
          <w:sz w:val="20"/>
          <w:szCs w:val="20"/>
          <w:lang w:eastAsia="x-none"/>
        </w:rPr>
        <w:t xml:space="preserve">El ámbito material de la prohibición contenida en el artículo 33 de la ley 996 de 2005 está delimitado por la expresión </w:t>
      </w:r>
      <w:r w:rsidRPr="005C0AEA">
        <w:rPr>
          <w:rFonts w:ascii="Verdana" w:eastAsia="Calibri" w:hAnsi="Verdana" w:cs="Arial"/>
          <w:bCs/>
          <w:i/>
          <w:iCs/>
          <w:sz w:val="20"/>
          <w:szCs w:val="20"/>
        </w:rPr>
        <w:t>“</w:t>
      </w:r>
      <w:r w:rsidRPr="005C0AEA">
        <w:rPr>
          <w:rFonts w:ascii="Verdana" w:hAnsi="Verdana" w:cs="Arial"/>
          <w:bCs/>
          <w:i/>
          <w:iCs/>
          <w:sz w:val="20"/>
          <w:szCs w:val="20"/>
          <w:lang w:eastAsia="x-none"/>
        </w:rPr>
        <w:t>queda prohibida la contratación directa</w:t>
      </w:r>
      <w:r w:rsidRPr="005C0AEA">
        <w:rPr>
          <w:rFonts w:ascii="Verdana" w:hAnsi="Verdana" w:cs="Arial"/>
          <w:sz w:val="20"/>
          <w:szCs w:val="20"/>
        </w:rPr>
        <w:t>”</w:t>
      </w:r>
      <w:r w:rsidRPr="005C0AEA">
        <w:rPr>
          <w:rFonts w:ascii="Verdana" w:hAnsi="Verdana" w:cs="Arial"/>
          <w:bCs/>
          <w:sz w:val="20"/>
          <w:szCs w:val="20"/>
          <w:lang w:eastAsia="x-none"/>
        </w:rPr>
        <w:t>.</w:t>
      </w:r>
    </w:p>
    <w:p w14:paraId="38B9FA45" w14:textId="77777777" w:rsidR="00592BE1" w:rsidRDefault="00592BE1" w:rsidP="00592BE1">
      <w:pPr>
        <w:widowControl w:val="0"/>
        <w:autoSpaceDE w:val="0"/>
        <w:autoSpaceDN w:val="0"/>
        <w:spacing w:after="0" w:line="240" w:lineRule="auto"/>
        <w:jc w:val="both"/>
        <w:rPr>
          <w:rFonts w:ascii="Verdana" w:eastAsia="Arial" w:hAnsi="Verdana" w:cs="Arial"/>
          <w:sz w:val="20"/>
          <w:szCs w:val="20"/>
          <w:lang w:eastAsia="es-ES" w:bidi="es-ES"/>
        </w:rPr>
      </w:pPr>
      <w:r w:rsidRPr="00904AD4">
        <w:rPr>
          <w:rFonts w:ascii="Verdana" w:eastAsia="Times New Roman" w:hAnsi="Verdana" w:cs="Arial"/>
          <w:b/>
          <w:lang w:eastAsia="es-CO"/>
        </w:rPr>
        <w:t xml:space="preserve">LEY DE GARANTÍAS ELECTORALES </w:t>
      </w:r>
      <w:r w:rsidRPr="00904AD4">
        <w:rPr>
          <w:rFonts w:ascii="Verdana" w:eastAsia="Calibri" w:hAnsi="Verdana" w:cs="Arial"/>
          <w:b/>
          <w:lang w:val="es-MX"/>
        </w:rPr>
        <w:t xml:space="preserve">─ Prohibición artículo 33 ‒ </w:t>
      </w:r>
      <w:r w:rsidRPr="00904AD4">
        <w:rPr>
          <w:rFonts w:ascii="Verdana" w:eastAsia="Times New Roman" w:hAnsi="Verdana" w:cs="Arial"/>
          <w:b/>
          <w:lang w:eastAsia="es-CO"/>
        </w:rPr>
        <w:t xml:space="preserve">Excepciones </w:t>
      </w:r>
    </w:p>
    <w:p w14:paraId="51C302E8" w14:textId="77777777" w:rsidR="00592BE1" w:rsidRDefault="00592BE1" w:rsidP="00592BE1">
      <w:pPr>
        <w:widowControl w:val="0"/>
        <w:autoSpaceDE w:val="0"/>
        <w:autoSpaceDN w:val="0"/>
        <w:spacing w:after="0" w:line="240" w:lineRule="auto"/>
        <w:jc w:val="both"/>
        <w:rPr>
          <w:rFonts w:ascii="Verdana" w:eastAsia="Arial" w:hAnsi="Verdana" w:cs="Arial"/>
          <w:sz w:val="20"/>
          <w:szCs w:val="20"/>
          <w:lang w:eastAsia="es-ES" w:bidi="es-ES"/>
        </w:rPr>
      </w:pPr>
    </w:p>
    <w:p w14:paraId="41534FF4" w14:textId="77777777" w:rsidR="00592BE1" w:rsidRDefault="00592BE1" w:rsidP="00592BE1">
      <w:pPr>
        <w:widowControl w:val="0"/>
        <w:autoSpaceDE w:val="0"/>
        <w:autoSpaceDN w:val="0"/>
        <w:spacing w:after="0" w:line="240" w:lineRule="auto"/>
        <w:jc w:val="both"/>
        <w:rPr>
          <w:rFonts w:ascii="Verdana" w:eastAsia="Arial" w:hAnsi="Verdana" w:cs="Arial"/>
          <w:sz w:val="20"/>
          <w:szCs w:val="20"/>
          <w:lang w:eastAsia="es-ES" w:bidi="es-ES"/>
        </w:rPr>
      </w:pPr>
      <w:r w:rsidRPr="005C0AEA">
        <w:rPr>
          <w:rFonts w:ascii="Verdana" w:hAnsi="Verdana" w:cs="Arial"/>
          <w:sz w:val="20"/>
          <w:szCs w:val="20"/>
          <w:lang w:eastAsia="x-none"/>
        </w:rPr>
        <w:t xml:space="preserve">[…] la prohibición del artículo 33 de la Ley de Garantías Electorales se refiere a </w:t>
      </w:r>
      <w:r w:rsidRPr="005C0AEA">
        <w:rPr>
          <w:rFonts w:ascii="Verdana" w:hAnsi="Verdana" w:cs="Arial"/>
          <w:sz w:val="20"/>
          <w:szCs w:val="20"/>
          <w:lang w:eastAsia="en-GB"/>
        </w:rPr>
        <w:t>“</w:t>
      </w:r>
      <w:r w:rsidRPr="005C0AEA">
        <w:rPr>
          <w:rFonts w:ascii="Verdana" w:hAnsi="Verdana" w:cs="Arial"/>
          <w:sz w:val="20"/>
          <w:szCs w:val="20"/>
          <w:lang w:eastAsia="x-none"/>
        </w:rPr>
        <w:t>cualquier sistema que no implique convocatoria pública y posibilidad de pluralidad de oferentes</w:t>
      </w:r>
      <w:r w:rsidRPr="005C0AEA">
        <w:rPr>
          <w:rFonts w:ascii="Verdana" w:hAnsi="Verdana" w:cs="Arial"/>
          <w:sz w:val="20"/>
          <w:szCs w:val="20"/>
          <w:lang w:eastAsia="en-GB"/>
        </w:rPr>
        <w:t>”</w:t>
      </w:r>
      <w:r w:rsidRPr="005C0AEA">
        <w:rPr>
          <w:rFonts w:ascii="Verdana" w:hAnsi="Verdana" w:cs="Arial"/>
          <w:sz w:val="20"/>
          <w:szCs w:val="20"/>
          <w:lang w:eastAsia="x-none"/>
        </w:rPr>
        <w:t>, por lo que excluye las demás modalidades de contratación previstas en la Ley 1150 de 2007.</w:t>
      </w:r>
    </w:p>
    <w:p w14:paraId="342F1D08" w14:textId="77777777" w:rsidR="00592BE1" w:rsidRDefault="00592BE1" w:rsidP="00592BE1">
      <w:pPr>
        <w:widowControl w:val="0"/>
        <w:autoSpaceDE w:val="0"/>
        <w:autoSpaceDN w:val="0"/>
        <w:spacing w:after="0" w:line="240" w:lineRule="auto"/>
        <w:jc w:val="both"/>
        <w:rPr>
          <w:rFonts w:ascii="Verdana" w:eastAsia="Arial" w:hAnsi="Verdana" w:cs="Arial"/>
          <w:sz w:val="20"/>
          <w:szCs w:val="20"/>
          <w:lang w:eastAsia="es-ES" w:bidi="es-ES"/>
        </w:rPr>
      </w:pPr>
    </w:p>
    <w:p w14:paraId="0E798A22" w14:textId="77777777" w:rsidR="00592BE1" w:rsidRDefault="00592BE1" w:rsidP="00592BE1">
      <w:pPr>
        <w:widowControl w:val="0"/>
        <w:autoSpaceDE w:val="0"/>
        <w:autoSpaceDN w:val="0"/>
        <w:spacing w:after="0" w:line="240" w:lineRule="auto"/>
        <w:jc w:val="both"/>
        <w:rPr>
          <w:rFonts w:ascii="Verdana" w:eastAsia="Arial" w:hAnsi="Verdana" w:cs="Arial"/>
          <w:sz w:val="20"/>
          <w:szCs w:val="20"/>
          <w:lang w:eastAsia="es-ES" w:bidi="es-ES"/>
        </w:rPr>
      </w:pPr>
      <w:r w:rsidRPr="00904AD4">
        <w:rPr>
          <w:rFonts w:ascii="Verdana" w:eastAsia="Times New Roman" w:hAnsi="Verdana" w:cs="Arial"/>
          <w:b/>
          <w:lang w:eastAsia="es-CO"/>
        </w:rPr>
        <w:t xml:space="preserve">LEY DE GARANTÍAS ELECTORALES ‒ </w:t>
      </w:r>
      <w:r w:rsidRPr="00904AD4">
        <w:rPr>
          <w:rFonts w:ascii="Verdana" w:eastAsia="Times New Roman" w:hAnsi="Verdana" w:cs="Arial"/>
          <w:b/>
          <w:lang w:val="es-ES" w:eastAsia="es-CO"/>
        </w:rPr>
        <w:t xml:space="preserve">Prohibición del artículo 33 </w:t>
      </w:r>
      <w:r w:rsidRPr="00904AD4">
        <w:rPr>
          <w:rFonts w:ascii="Verdana" w:eastAsia="Times New Roman" w:hAnsi="Verdana" w:cs="Arial"/>
          <w:b/>
          <w:lang w:eastAsia="es-CO"/>
        </w:rPr>
        <w:t xml:space="preserve">‒ Destinatarios </w:t>
      </w:r>
    </w:p>
    <w:p w14:paraId="67B5061A" w14:textId="77777777" w:rsidR="00592BE1" w:rsidRDefault="00592BE1" w:rsidP="00592BE1">
      <w:pPr>
        <w:widowControl w:val="0"/>
        <w:autoSpaceDE w:val="0"/>
        <w:autoSpaceDN w:val="0"/>
        <w:spacing w:after="0" w:line="240" w:lineRule="auto"/>
        <w:jc w:val="both"/>
        <w:rPr>
          <w:rFonts w:ascii="Verdana" w:eastAsia="Arial" w:hAnsi="Verdana" w:cs="Arial"/>
          <w:sz w:val="20"/>
          <w:szCs w:val="20"/>
          <w:lang w:eastAsia="es-ES" w:bidi="es-ES"/>
        </w:rPr>
      </w:pPr>
    </w:p>
    <w:p w14:paraId="26B805CA" w14:textId="77777777" w:rsidR="00592BE1" w:rsidRDefault="00592BE1" w:rsidP="00592BE1">
      <w:pPr>
        <w:widowControl w:val="0"/>
        <w:autoSpaceDE w:val="0"/>
        <w:autoSpaceDN w:val="0"/>
        <w:spacing w:after="0" w:line="240" w:lineRule="auto"/>
        <w:jc w:val="both"/>
        <w:rPr>
          <w:rFonts w:ascii="Verdana" w:eastAsia="Arial" w:hAnsi="Verdana" w:cs="Arial"/>
          <w:sz w:val="20"/>
          <w:szCs w:val="20"/>
          <w:lang w:val="es-ES" w:eastAsia="es-ES" w:bidi="es-ES"/>
        </w:rPr>
      </w:pPr>
      <w:r w:rsidRPr="005C0AEA">
        <w:rPr>
          <w:rFonts w:ascii="Verdana" w:hAnsi="Verdana" w:cs="Arial"/>
          <w:color w:val="000000" w:themeColor="text1"/>
          <w:sz w:val="20"/>
          <w:szCs w:val="20"/>
          <w:lang w:val="es-MX"/>
        </w:rPr>
        <w:t>Ahora bien, en relación con los destinatarios de las restricciones, el artículo 33 de la Ley 996 de 2005 los señala expresamente, en el sentido de que son “</w:t>
      </w:r>
      <w:r w:rsidRPr="005C0AEA">
        <w:rPr>
          <w:rFonts w:ascii="Verdana" w:hAnsi="Verdana" w:cs="Arial"/>
          <w:i/>
          <w:color w:val="000000" w:themeColor="text1"/>
          <w:sz w:val="20"/>
          <w:szCs w:val="20"/>
          <w:lang w:val="es-MX"/>
        </w:rPr>
        <w:t>todos los entes del Estado</w:t>
      </w:r>
      <w:r w:rsidRPr="005C0AEA">
        <w:rPr>
          <w:rFonts w:ascii="Verdana" w:hAnsi="Verdana" w:cs="Arial"/>
          <w:color w:val="000000" w:themeColor="text1"/>
          <w:sz w:val="20"/>
          <w:szCs w:val="20"/>
          <w:lang w:val="es-MX"/>
        </w:rPr>
        <w:t xml:space="preserve">”,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7CC2D0E6" w14:textId="77777777" w:rsidR="00592BE1" w:rsidRDefault="00592BE1" w:rsidP="00592BE1">
      <w:pPr>
        <w:widowControl w:val="0"/>
        <w:autoSpaceDE w:val="0"/>
        <w:autoSpaceDN w:val="0"/>
        <w:spacing w:after="0" w:line="240" w:lineRule="auto"/>
        <w:jc w:val="both"/>
        <w:rPr>
          <w:rFonts w:ascii="Verdana" w:eastAsia="Arial" w:hAnsi="Verdana" w:cs="Arial"/>
          <w:sz w:val="20"/>
          <w:szCs w:val="20"/>
          <w:lang w:val="es-ES" w:eastAsia="es-ES" w:bidi="es-ES"/>
        </w:rPr>
      </w:pPr>
    </w:p>
    <w:p w14:paraId="58D50270" w14:textId="77777777" w:rsidR="00592BE1" w:rsidRDefault="00592BE1" w:rsidP="00592BE1">
      <w:pPr>
        <w:widowControl w:val="0"/>
        <w:autoSpaceDE w:val="0"/>
        <w:autoSpaceDN w:val="0"/>
        <w:spacing w:after="0" w:line="240" w:lineRule="auto"/>
        <w:jc w:val="both"/>
        <w:rPr>
          <w:rFonts w:ascii="Verdana" w:eastAsia="Arial" w:hAnsi="Verdana" w:cs="Arial"/>
          <w:sz w:val="20"/>
          <w:szCs w:val="20"/>
          <w:lang w:val="es-ES" w:eastAsia="es-ES" w:bidi="es-ES"/>
        </w:rPr>
      </w:pPr>
      <w:r w:rsidRPr="00904AD4">
        <w:rPr>
          <w:rFonts w:ascii="Verdana" w:eastAsia="Times New Roman" w:hAnsi="Verdana" w:cs="Arial"/>
          <w:b/>
          <w:lang w:val="es-ES" w:eastAsia="es-CO" w:bidi="es-ES"/>
        </w:rPr>
        <w:t xml:space="preserve">EMPRESAS INDUSTRIALES Y COMERCIALES DEL ESTADO </w:t>
      </w:r>
      <w:r w:rsidRPr="00904AD4">
        <w:rPr>
          <w:rFonts w:ascii="Verdana" w:eastAsia="Calibri" w:hAnsi="Verdana" w:cs="Arial"/>
          <w:b/>
          <w:lang w:val="es-ES" w:eastAsia="es-MX"/>
        </w:rPr>
        <w:t xml:space="preserve">‒ Ley de garantías electorales </w:t>
      </w:r>
    </w:p>
    <w:p w14:paraId="7ECB5854" w14:textId="77777777" w:rsidR="00592BE1" w:rsidRDefault="00592BE1" w:rsidP="00592BE1">
      <w:pPr>
        <w:widowControl w:val="0"/>
        <w:autoSpaceDE w:val="0"/>
        <w:autoSpaceDN w:val="0"/>
        <w:spacing w:after="0" w:line="240" w:lineRule="auto"/>
        <w:jc w:val="both"/>
        <w:rPr>
          <w:rFonts w:ascii="Verdana" w:eastAsia="Arial" w:hAnsi="Verdana" w:cs="Arial"/>
          <w:sz w:val="20"/>
          <w:szCs w:val="20"/>
          <w:lang w:val="es-ES" w:eastAsia="es-ES" w:bidi="es-ES"/>
        </w:rPr>
      </w:pPr>
    </w:p>
    <w:p w14:paraId="5A087FF5" w14:textId="77777777" w:rsidR="00592BE1" w:rsidRPr="00CE0712" w:rsidRDefault="00592BE1" w:rsidP="00592BE1">
      <w:pPr>
        <w:widowControl w:val="0"/>
        <w:autoSpaceDE w:val="0"/>
        <w:autoSpaceDN w:val="0"/>
        <w:spacing w:after="0" w:line="240" w:lineRule="auto"/>
        <w:jc w:val="both"/>
        <w:rPr>
          <w:rFonts w:ascii="Verdana" w:eastAsia="Arial" w:hAnsi="Verdana" w:cs="Arial"/>
          <w:sz w:val="20"/>
          <w:szCs w:val="20"/>
          <w:lang w:val="es-ES" w:eastAsia="es-ES" w:bidi="es-ES"/>
        </w:rPr>
      </w:pPr>
      <w:r w:rsidRPr="005C0AEA">
        <w:rPr>
          <w:rFonts w:ascii="Verdana" w:eastAsia="Calibri" w:hAnsi="Verdana" w:cs="Arial"/>
          <w:bCs/>
          <w:sz w:val="20"/>
          <w:szCs w:val="20"/>
          <w:lang w:val="es-ES" w:eastAsia="es-MX"/>
        </w:rPr>
        <w:t xml:space="preserve">[…] </w:t>
      </w:r>
      <w:r w:rsidRPr="005C0AEA">
        <w:rPr>
          <w:rFonts w:ascii="Verdana" w:hAnsi="Verdana" w:cs="Arial"/>
          <w:bCs/>
          <w:color w:val="000000" w:themeColor="text1"/>
          <w:sz w:val="20"/>
          <w:szCs w:val="20"/>
          <w:lang w:val="es-MX"/>
        </w:rPr>
        <w:t>“</w:t>
      </w:r>
      <w:r w:rsidRPr="005C0AEA">
        <w:rPr>
          <w:rFonts w:ascii="Verdana" w:hAnsi="Verdana" w:cs="Arial"/>
          <w:color w:val="000000" w:themeColor="text1"/>
          <w:sz w:val="20"/>
          <w:szCs w:val="20"/>
          <w:lang w:val="es-MX"/>
        </w:rPr>
        <w:t>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p>
    <w:p w14:paraId="1321B425" w14:textId="77777777" w:rsidR="00592BE1" w:rsidRPr="005C0AEA" w:rsidRDefault="00592BE1" w:rsidP="00592BE1">
      <w:pPr>
        <w:spacing w:after="0" w:line="240" w:lineRule="auto"/>
        <w:contextualSpacing/>
        <w:jc w:val="both"/>
        <w:rPr>
          <w:rFonts w:ascii="Verdana" w:hAnsi="Verdana" w:cs="Arial"/>
          <w:color w:val="000000" w:themeColor="text1"/>
          <w:sz w:val="20"/>
          <w:szCs w:val="20"/>
          <w:lang w:val="es-MX"/>
        </w:rPr>
      </w:pPr>
    </w:p>
    <w:p w14:paraId="0F08B6A0" w14:textId="77777777" w:rsidR="00592BE1" w:rsidRPr="005C0AEA" w:rsidRDefault="00592BE1" w:rsidP="00592BE1">
      <w:pPr>
        <w:spacing w:after="0" w:line="240" w:lineRule="auto"/>
        <w:jc w:val="both"/>
        <w:rPr>
          <w:rFonts w:ascii="Verdana" w:hAnsi="Verdana" w:cs="Arial"/>
          <w:color w:val="000000" w:themeColor="text1"/>
          <w:sz w:val="20"/>
          <w:szCs w:val="20"/>
          <w:lang w:eastAsia="es-CO"/>
        </w:rPr>
      </w:pPr>
      <w:r w:rsidRPr="005C0AEA">
        <w:rPr>
          <w:rFonts w:ascii="Verdana" w:eastAsia="Calibri" w:hAnsi="Verdana" w:cs="Arial"/>
          <w:bCs/>
          <w:sz w:val="20"/>
          <w:szCs w:val="20"/>
          <w:lang w:val="es-ES" w:eastAsia="es-MX"/>
        </w:rPr>
        <w:t>[...]</w:t>
      </w:r>
      <w:r w:rsidRPr="005C0AEA">
        <w:rPr>
          <w:rFonts w:ascii="Verdana" w:eastAsia="Calibri" w:hAnsi="Verdana" w:cs="Arial"/>
          <w:b/>
          <w:sz w:val="20"/>
          <w:szCs w:val="20"/>
          <w:lang w:val="es-ES" w:eastAsia="es-MX"/>
        </w:rPr>
        <w:t xml:space="preserve"> </w:t>
      </w:r>
      <w:r w:rsidRPr="005C0AEA">
        <w:rPr>
          <w:rFonts w:ascii="Verdana" w:hAnsi="Verdana" w:cs="Arial"/>
          <w:color w:val="000000" w:themeColor="text1"/>
          <w:sz w:val="20"/>
          <w:szCs w:val="20"/>
          <w:lang w:val="es-MX"/>
        </w:rPr>
        <w:t>De acuerdo con estos pronunciamientos de la Sala de Consulta y Servicio Civil del Consejo de Estado, la prohibición de la contratación directa también aplica frente a las entidades exceptuadas del Estatuto General de Contratación de la Administración Pública y que se rigen en materia contractual por el derecho privado. Sin embargo, señaló que algunas de estas entidades, como sucede con las empresas de servicios públicos domiciliarios, los establecimientos de crédito, las sociedades de servicios financieros y las entidades aseguradoras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5C0AEA">
        <w:rPr>
          <w:rFonts w:ascii="Verdana" w:hAnsi="Verdana" w:cs="Arial"/>
          <w:color w:val="000000" w:themeColor="text1"/>
          <w:sz w:val="20"/>
          <w:szCs w:val="20"/>
          <w:lang w:eastAsia="es-CO"/>
        </w:rPr>
        <w:t xml:space="preserve"> </w:t>
      </w:r>
    </w:p>
    <w:p w14:paraId="5C52E107" w14:textId="77777777" w:rsidR="00592BE1" w:rsidRPr="005C0AEA" w:rsidRDefault="00592BE1" w:rsidP="00592BE1">
      <w:pPr>
        <w:spacing w:after="0" w:line="240" w:lineRule="auto"/>
        <w:ind w:firstLine="709"/>
        <w:jc w:val="both"/>
        <w:rPr>
          <w:rFonts w:ascii="Verdana" w:hAnsi="Verdana" w:cs="Arial"/>
          <w:color w:val="000000" w:themeColor="text1"/>
          <w:sz w:val="20"/>
          <w:szCs w:val="20"/>
          <w:lang w:eastAsia="es-CO"/>
        </w:rPr>
      </w:pPr>
    </w:p>
    <w:p w14:paraId="728FBFA1" w14:textId="77777777" w:rsidR="00592BE1" w:rsidRDefault="00592BE1" w:rsidP="00592BE1">
      <w:pPr>
        <w:spacing w:after="0" w:line="240" w:lineRule="auto"/>
        <w:jc w:val="both"/>
        <w:rPr>
          <w:rFonts w:ascii="Verdana" w:hAnsi="Verdana" w:cs="Arial"/>
          <w:color w:val="000000" w:themeColor="text1"/>
          <w:sz w:val="20"/>
          <w:szCs w:val="20"/>
          <w:lang w:eastAsia="es-CO"/>
        </w:rPr>
      </w:pPr>
      <w:r w:rsidRPr="005C0AEA">
        <w:rPr>
          <w:rFonts w:ascii="Verdana" w:hAnsi="Verdana" w:cs="Arial"/>
          <w:color w:val="000000" w:themeColor="text1"/>
          <w:sz w:val="20"/>
          <w:szCs w:val="20"/>
          <w:lang w:eastAsia="es-CO"/>
        </w:rPr>
        <w:t>Sin perjuicio de estos pronunciamientos de la Sala de Consulta y Servicio Civil</w:t>
      </w:r>
      <w:r w:rsidRPr="005C0AEA">
        <w:rPr>
          <w:rFonts w:ascii="Verdana" w:hAnsi="Verdana" w:cs="Arial"/>
          <w:color w:val="000000" w:themeColor="text1"/>
          <w:sz w:val="20"/>
          <w:szCs w:val="20"/>
          <w:lang w:val="es-MX"/>
        </w:rPr>
        <w:t xml:space="preserve">, como la ha señalado esa misma Corporación, la restricción prevista en la Ley 996 de 2005 </w:t>
      </w:r>
      <w:r w:rsidRPr="005C0AEA">
        <w:rPr>
          <w:rFonts w:ascii="Verdana" w:hAnsi="Verdana" w:cs="Arial"/>
          <w:bCs/>
          <w:color w:val="000000" w:themeColor="text1"/>
          <w:sz w:val="20"/>
          <w:szCs w:val="20"/>
          <w:lang w:val="es-MX" w:eastAsia="x-none"/>
        </w:rPr>
        <w:t xml:space="preserve">cobija a cualquier entidad pública independiente del régimen jurídico, que pueda mediante la contratación directa romper el equilibrio entre los candidatos en desarrollo de las elecciones presidenciales. </w:t>
      </w:r>
      <w:r w:rsidRPr="005C0AEA">
        <w:rPr>
          <w:rFonts w:ascii="Verdana" w:hAnsi="Verdana" w:cs="Arial"/>
          <w:color w:val="000000" w:themeColor="text1"/>
          <w:sz w:val="20"/>
          <w:szCs w:val="20"/>
          <w:lang w:eastAsia="es-CO"/>
        </w:rPr>
        <w:t xml:space="preserve">En este sentido, respecto a su consulta, es pertinente señalar que las empresas industriales y comerciales del Estado en vigencia de la Ley de Garantías </w:t>
      </w:r>
      <w:r w:rsidRPr="005C0AEA">
        <w:rPr>
          <w:rFonts w:ascii="Verdana" w:hAnsi="Verdana" w:cs="Arial"/>
          <w:color w:val="000000" w:themeColor="text1"/>
          <w:sz w:val="20"/>
          <w:szCs w:val="20"/>
          <w:lang w:eastAsia="es-CO"/>
        </w:rPr>
        <w:lastRenderedPageBreak/>
        <w:t xml:space="preserve">Electorales no podrán hacer contrataciones bajo la modalidad de contratación directa, </w:t>
      </w:r>
      <w:r w:rsidRPr="005C0AEA">
        <w:rPr>
          <w:rFonts w:ascii="Verdana" w:hAnsi="Verdana" w:cs="Arial"/>
          <w:color w:val="000000" w:themeColor="text1"/>
          <w:sz w:val="20"/>
          <w:szCs w:val="20"/>
          <w:lang w:val="es-MX"/>
        </w:rPr>
        <w:t xml:space="preserve">sino por mecanismos competitivos que impliquen convocatoria pública y la posibilidad de la existencia de pluralidad de oferentes. </w:t>
      </w:r>
    </w:p>
    <w:p w14:paraId="0FB76785" w14:textId="77777777" w:rsidR="00592BE1" w:rsidRDefault="00592BE1" w:rsidP="00592BE1">
      <w:pPr>
        <w:spacing w:after="0" w:line="240" w:lineRule="auto"/>
        <w:jc w:val="both"/>
        <w:rPr>
          <w:rFonts w:ascii="Verdana" w:hAnsi="Verdana" w:cs="Arial"/>
          <w:color w:val="000000" w:themeColor="text1"/>
          <w:sz w:val="20"/>
          <w:szCs w:val="20"/>
          <w:lang w:eastAsia="es-CO"/>
        </w:rPr>
      </w:pPr>
    </w:p>
    <w:p w14:paraId="0A0B1FAD" w14:textId="77777777" w:rsidR="00592BE1" w:rsidRPr="00CE0712" w:rsidRDefault="00592BE1" w:rsidP="00592BE1">
      <w:pPr>
        <w:spacing w:after="0" w:line="240" w:lineRule="auto"/>
        <w:jc w:val="both"/>
        <w:rPr>
          <w:rFonts w:ascii="Verdana" w:hAnsi="Verdana" w:cs="Arial"/>
          <w:color w:val="000000" w:themeColor="text1"/>
          <w:sz w:val="20"/>
          <w:szCs w:val="20"/>
          <w:lang w:eastAsia="es-CO"/>
        </w:rPr>
      </w:pPr>
      <w:r w:rsidRPr="005C0AEA">
        <w:rPr>
          <w:rFonts w:ascii="Verdana" w:hAnsi="Verdana" w:cs="Arial"/>
          <w:color w:val="000000" w:themeColor="text1"/>
          <w:sz w:val="20"/>
          <w:szCs w:val="20"/>
          <w:lang w:val="es-MX"/>
        </w:rPr>
        <w:t xml:space="preserve">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puede presentarse tanto en la contratación regulada por la Ley 80 de 1993 como en la regida por normas especiales. </w:t>
      </w:r>
    </w:p>
    <w:p w14:paraId="67CAF8D3" w14:textId="77777777" w:rsidR="00592BE1" w:rsidRPr="005C0AEA" w:rsidRDefault="00592BE1" w:rsidP="00592BE1">
      <w:pPr>
        <w:spacing w:after="0" w:line="240" w:lineRule="auto"/>
        <w:ind w:firstLine="709"/>
        <w:jc w:val="both"/>
        <w:rPr>
          <w:rFonts w:ascii="Verdana" w:hAnsi="Verdana" w:cs="Arial"/>
          <w:color w:val="000000" w:themeColor="text1"/>
          <w:sz w:val="20"/>
          <w:szCs w:val="20"/>
          <w:lang w:val="es-MX"/>
        </w:rPr>
      </w:pPr>
    </w:p>
    <w:p w14:paraId="70B8B3B4" w14:textId="77777777" w:rsidR="00592BE1" w:rsidRPr="005C0AEA" w:rsidRDefault="00592BE1" w:rsidP="00592BE1">
      <w:pPr>
        <w:widowControl w:val="0"/>
        <w:autoSpaceDE w:val="0"/>
        <w:autoSpaceDN w:val="0"/>
        <w:spacing w:after="0" w:line="240" w:lineRule="auto"/>
        <w:jc w:val="both"/>
        <w:rPr>
          <w:rFonts w:ascii="Verdana" w:eastAsia="Times New Roman" w:hAnsi="Verdana" w:cs="Arial"/>
          <w:bCs/>
          <w:sz w:val="20"/>
          <w:szCs w:val="20"/>
          <w:lang w:val="es-ES" w:eastAsia="es-CO" w:bidi="es-ES"/>
        </w:rPr>
      </w:pPr>
      <w:r w:rsidRPr="005C0AEA">
        <w:rPr>
          <w:rFonts w:ascii="Verdana" w:eastAsia="Times New Roman" w:hAnsi="Verdana" w:cs="Arial"/>
          <w:bCs/>
          <w:sz w:val="20"/>
          <w:szCs w:val="20"/>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5C0AEA">
        <w:rPr>
          <w:rFonts w:ascii="Verdana" w:eastAsia="Times New Roman" w:hAnsi="Verdana" w:cs="Arial"/>
          <w:bCs/>
          <w:sz w:val="20"/>
          <w:szCs w:val="20"/>
          <w:lang w:val="es-ES" w:eastAsia="es-CO" w:bidi="es-ES"/>
        </w:rPr>
        <w:t>ii</w:t>
      </w:r>
      <w:proofErr w:type="spellEnd"/>
      <w:r w:rsidRPr="005C0AEA">
        <w:rPr>
          <w:rFonts w:ascii="Verdana" w:eastAsia="Times New Roman" w:hAnsi="Verdana" w:cs="Arial"/>
          <w:bCs/>
          <w:sz w:val="20"/>
          <w:szCs w:val="20"/>
          <w:lang w:val="es-ES" w:eastAsia="es-CO" w:bidi="es-ES"/>
        </w:rPr>
        <w:t xml:space="preserve">) los contratos de crédito público; </w:t>
      </w:r>
      <w:proofErr w:type="spellStart"/>
      <w:r w:rsidRPr="005C0AEA">
        <w:rPr>
          <w:rFonts w:ascii="Verdana" w:eastAsia="Times New Roman" w:hAnsi="Verdana" w:cs="Arial"/>
          <w:bCs/>
          <w:sz w:val="20"/>
          <w:szCs w:val="20"/>
          <w:lang w:val="es-ES" w:eastAsia="es-CO" w:bidi="es-ES"/>
        </w:rPr>
        <w:t>iii</w:t>
      </w:r>
      <w:proofErr w:type="spellEnd"/>
      <w:r w:rsidRPr="005C0AEA">
        <w:rPr>
          <w:rFonts w:ascii="Verdana" w:eastAsia="Times New Roman" w:hAnsi="Verdana" w:cs="Arial"/>
          <w:bCs/>
          <w:sz w:val="20"/>
          <w:szCs w:val="20"/>
          <w:lang w:val="es-ES" w:eastAsia="es-CO" w:bidi="es-ES"/>
        </w:rPr>
        <w:t xml:space="preserve">) los requeridos para cubrir las emergencias educativas, sanitarias y desastres; </w:t>
      </w:r>
      <w:proofErr w:type="spellStart"/>
      <w:r w:rsidRPr="005C0AEA">
        <w:rPr>
          <w:rFonts w:ascii="Verdana" w:eastAsia="Times New Roman" w:hAnsi="Verdana" w:cs="Arial"/>
          <w:bCs/>
          <w:sz w:val="20"/>
          <w:szCs w:val="20"/>
          <w:lang w:val="es-ES" w:eastAsia="es-CO" w:bidi="es-ES"/>
        </w:rPr>
        <w:t>iv</w:t>
      </w:r>
      <w:proofErr w:type="spellEnd"/>
      <w:r w:rsidRPr="005C0AEA">
        <w:rPr>
          <w:rFonts w:ascii="Verdana" w:eastAsia="Times New Roman" w:hAnsi="Verdana" w:cs="Arial"/>
          <w:bCs/>
          <w:sz w:val="20"/>
          <w:szCs w:val="20"/>
          <w:lang w:val="es-ES" w:eastAsia="es-CO" w:bidi="es-ES"/>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5C0AEA">
        <w:rPr>
          <w:rFonts w:ascii="Verdana" w:hAnsi="Verdana" w:cs="Arial"/>
          <w:bCs/>
          <w:sz w:val="20"/>
          <w:szCs w:val="20"/>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r w:rsidRPr="005C0AEA">
        <w:rPr>
          <w:rFonts w:ascii="Verdana" w:eastAsia="Times New Roman" w:hAnsi="Verdana" w:cs="Arial"/>
          <w:bCs/>
          <w:sz w:val="20"/>
          <w:szCs w:val="20"/>
          <w:lang w:val="es-ES" w:eastAsia="es-CO" w:bidi="es-ES"/>
        </w:rPr>
        <w:t xml:space="preserve"> </w:t>
      </w:r>
    </w:p>
    <w:p w14:paraId="78D306A9" w14:textId="77777777" w:rsidR="00592BE1" w:rsidRPr="00904AD4" w:rsidRDefault="00592BE1" w:rsidP="00592BE1">
      <w:pPr>
        <w:spacing w:after="0" w:line="240" w:lineRule="auto"/>
        <w:contextualSpacing/>
        <w:jc w:val="both"/>
        <w:rPr>
          <w:rFonts w:ascii="Verdana" w:eastAsia="Calibri" w:hAnsi="Verdana" w:cs="Arial"/>
          <w:b/>
          <w:lang w:val="es-ES" w:eastAsia="es-MX"/>
        </w:rPr>
      </w:pPr>
    </w:p>
    <w:p w14:paraId="2780BB49" w14:textId="77777777" w:rsidR="00592BE1" w:rsidRDefault="00592BE1" w:rsidP="00C15139">
      <w:pPr>
        <w:spacing w:after="0"/>
        <w:rPr>
          <w:rFonts w:ascii="Verdana" w:hAnsi="Verdana"/>
        </w:rPr>
      </w:pPr>
    </w:p>
    <w:p w14:paraId="3A826E32" w14:textId="77777777" w:rsidR="00592BE1" w:rsidRDefault="00592BE1" w:rsidP="00C15139">
      <w:pPr>
        <w:spacing w:after="0"/>
        <w:rPr>
          <w:rFonts w:ascii="Verdana" w:hAnsi="Verdana"/>
        </w:rPr>
      </w:pPr>
    </w:p>
    <w:p w14:paraId="43367883" w14:textId="77777777" w:rsidR="00592BE1" w:rsidRDefault="00592BE1" w:rsidP="00C15139">
      <w:pPr>
        <w:spacing w:after="0"/>
        <w:rPr>
          <w:rFonts w:ascii="Verdana" w:hAnsi="Verdana"/>
        </w:rPr>
      </w:pPr>
    </w:p>
    <w:p w14:paraId="4ABF2932" w14:textId="77777777" w:rsidR="00592BE1" w:rsidRDefault="00592BE1" w:rsidP="00C15139">
      <w:pPr>
        <w:spacing w:after="0"/>
        <w:rPr>
          <w:rFonts w:ascii="Verdana" w:hAnsi="Verdana"/>
        </w:rPr>
      </w:pPr>
    </w:p>
    <w:p w14:paraId="5F41BC82" w14:textId="77777777" w:rsidR="00592BE1" w:rsidRDefault="00592BE1" w:rsidP="00C15139">
      <w:pPr>
        <w:spacing w:after="0"/>
        <w:rPr>
          <w:rFonts w:ascii="Verdana" w:hAnsi="Verdana"/>
        </w:rPr>
      </w:pPr>
    </w:p>
    <w:p w14:paraId="5A252BB7" w14:textId="77777777" w:rsidR="00592BE1" w:rsidRDefault="00592BE1" w:rsidP="00C15139">
      <w:pPr>
        <w:spacing w:after="0"/>
        <w:rPr>
          <w:rFonts w:ascii="Verdana" w:hAnsi="Verdana"/>
        </w:rPr>
      </w:pPr>
    </w:p>
    <w:p w14:paraId="42793087" w14:textId="77777777" w:rsidR="00592BE1" w:rsidRDefault="00592BE1" w:rsidP="00C15139">
      <w:pPr>
        <w:spacing w:after="0"/>
        <w:rPr>
          <w:rFonts w:ascii="Verdana" w:hAnsi="Verdana"/>
        </w:rPr>
      </w:pPr>
    </w:p>
    <w:p w14:paraId="57857200" w14:textId="20DEEDB6" w:rsidR="00592BE1" w:rsidRDefault="00592BE1" w:rsidP="00C15139">
      <w:pPr>
        <w:spacing w:after="0"/>
        <w:rPr>
          <w:rFonts w:ascii="Verdana" w:hAnsi="Verdana"/>
        </w:rPr>
      </w:pPr>
    </w:p>
    <w:p w14:paraId="56B48ABB" w14:textId="77777777" w:rsidR="00592BE1" w:rsidRDefault="00592BE1" w:rsidP="00C15139">
      <w:pPr>
        <w:spacing w:after="0"/>
        <w:rPr>
          <w:rFonts w:ascii="Verdana" w:hAnsi="Verdana"/>
        </w:rPr>
      </w:pPr>
    </w:p>
    <w:p w14:paraId="604F3D1D" w14:textId="77777777" w:rsidR="00592BE1" w:rsidRDefault="00592BE1" w:rsidP="00C15139">
      <w:pPr>
        <w:spacing w:after="0"/>
        <w:rPr>
          <w:rFonts w:ascii="Verdana" w:hAnsi="Verdana"/>
        </w:rPr>
      </w:pPr>
    </w:p>
    <w:p w14:paraId="22D33286" w14:textId="77777777" w:rsidR="00592BE1" w:rsidRDefault="00592BE1" w:rsidP="00C15139">
      <w:pPr>
        <w:spacing w:after="0"/>
        <w:rPr>
          <w:rFonts w:ascii="Verdana" w:hAnsi="Verdana"/>
        </w:rPr>
      </w:pPr>
    </w:p>
    <w:p w14:paraId="6A138467" w14:textId="77777777" w:rsidR="00592BE1" w:rsidRDefault="00592BE1" w:rsidP="00C15139">
      <w:pPr>
        <w:spacing w:after="0"/>
        <w:rPr>
          <w:rFonts w:ascii="Verdana" w:hAnsi="Verdana"/>
        </w:rPr>
      </w:pPr>
    </w:p>
    <w:p w14:paraId="0B0E306E" w14:textId="77777777" w:rsidR="00592BE1" w:rsidRDefault="00592BE1" w:rsidP="00C15139">
      <w:pPr>
        <w:spacing w:after="0"/>
        <w:rPr>
          <w:rFonts w:ascii="Verdana" w:hAnsi="Verdana"/>
        </w:rPr>
      </w:pPr>
    </w:p>
    <w:p w14:paraId="7EAFAA62" w14:textId="77777777" w:rsidR="00145ABD" w:rsidRDefault="00145ABD" w:rsidP="00C15139">
      <w:pPr>
        <w:spacing w:after="0"/>
        <w:rPr>
          <w:rFonts w:ascii="Verdana" w:hAnsi="Verdana"/>
        </w:rPr>
      </w:pPr>
    </w:p>
    <w:p w14:paraId="10CAA4C1" w14:textId="77777777" w:rsidR="00145ABD" w:rsidRDefault="00145ABD" w:rsidP="00C15139">
      <w:pPr>
        <w:spacing w:after="0"/>
        <w:rPr>
          <w:rFonts w:ascii="Verdana" w:hAnsi="Verdana"/>
        </w:rPr>
      </w:pPr>
    </w:p>
    <w:p w14:paraId="502CF572" w14:textId="77777777" w:rsidR="00145ABD" w:rsidRDefault="00145ABD" w:rsidP="00C15139">
      <w:pPr>
        <w:spacing w:after="0"/>
        <w:rPr>
          <w:rFonts w:ascii="Verdana" w:hAnsi="Verdana"/>
        </w:rPr>
      </w:pPr>
    </w:p>
    <w:p w14:paraId="55B79E1F" w14:textId="77777777" w:rsidR="00145ABD" w:rsidRDefault="00145ABD" w:rsidP="00C15139">
      <w:pPr>
        <w:spacing w:after="0"/>
        <w:rPr>
          <w:rFonts w:ascii="Verdana" w:hAnsi="Verdana"/>
        </w:rPr>
      </w:pPr>
    </w:p>
    <w:p w14:paraId="483686B2" w14:textId="77777777" w:rsidR="00145ABD" w:rsidRDefault="00145ABD" w:rsidP="00C15139">
      <w:pPr>
        <w:spacing w:after="0"/>
        <w:rPr>
          <w:rFonts w:ascii="Verdana" w:hAnsi="Verdana"/>
        </w:rPr>
      </w:pPr>
    </w:p>
    <w:p w14:paraId="68B43276" w14:textId="109DA6A1" w:rsidR="002C0013" w:rsidRDefault="00C15139" w:rsidP="00C15139">
      <w:pPr>
        <w:spacing w:after="0"/>
        <w:rPr>
          <w:rFonts w:ascii="Verdana" w:hAnsi="Verdana"/>
        </w:rPr>
      </w:pPr>
      <w:r w:rsidRPr="0024624F">
        <w:rPr>
          <w:rFonts w:ascii="Verdana" w:hAnsi="Verdana"/>
        </w:rPr>
        <w:lastRenderedPageBreak/>
        <w:t xml:space="preserve">Bogotá D.C., </w:t>
      </w:r>
      <w:r w:rsidR="00592BE1">
        <w:rPr>
          <w:rFonts w:ascii="Verdana" w:hAnsi="Verdana"/>
        </w:rPr>
        <w:t xml:space="preserve">22 </w:t>
      </w:r>
      <w:proofErr w:type="gramStart"/>
      <w:r w:rsidR="00592BE1">
        <w:rPr>
          <w:rFonts w:ascii="Verdana" w:hAnsi="Verdana"/>
        </w:rPr>
        <w:t>Diciembre</w:t>
      </w:r>
      <w:proofErr w:type="gramEnd"/>
      <w:r w:rsidR="00592BE1">
        <w:rPr>
          <w:rFonts w:ascii="Verdana" w:hAnsi="Verdana"/>
        </w:rPr>
        <w:t xml:space="preserve"> 2025</w:t>
      </w:r>
      <w:r w:rsidRPr="000E2B93">
        <w:rPr>
          <w:rFonts w:ascii="Verdana" w:hAnsi="Verdana"/>
        </w:rPr>
        <w:tab/>
      </w:r>
      <w:r w:rsidRPr="000E2B93">
        <w:rPr>
          <w:rFonts w:ascii="Verdana" w:hAnsi="Verdana"/>
        </w:rPr>
        <w:br/>
      </w:r>
    </w:p>
    <w:p w14:paraId="0AD74FCA" w14:textId="5B164A3A" w:rsidR="002C0013" w:rsidRDefault="00DE2E29" w:rsidP="00C15139">
      <w:pPr>
        <w:spacing w:after="0"/>
        <w:rPr>
          <w:rFonts w:ascii="Verdana" w:hAnsi="Verdana"/>
        </w:rPr>
      </w:pPr>
      <w:r w:rsidRPr="00592BE1">
        <w:rPr>
          <w:rFonts w:ascii="Verdana" w:eastAsia="Calibri" w:hAnsi="Verdana" w:cs="Arial"/>
          <w:b/>
          <w:bCs/>
          <w:noProof/>
          <w:color w:val="000000"/>
          <w:lang w:val="it-IT" w:eastAsia="es-ES_tradnl"/>
        </w:rPr>
        <w:drawing>
          <wp:anchor distT="0" distB="0" distL="114300" distR="114300" simplePos="0" relativeHeight="251658240" behindDoc="1" locked="0" layoutInCell="1" allowOverlap="1" wp14:anchorId="46162457" wp14:editId="247EE168">
            <wp:simplePos x="0" y="0"/>
            <wp:positionH relativeFrom="column">
              <wp:posOffset>3263265</wp:posOffset>
            </wp:positionH>
            <wp:positionV relativeFrom="paragraph">
              <wp:posOffset>8255</wp:posOffset>
            </wp:positionV>
            <wp:extent cx="2491956" cy="784928"/>
            <wp:effectExtent l="0" t="0" r="3810" b="0"/>
            <wp:wrapNone/>
            <wp:docPr id="196020829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208292"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491956" cy="784928"/>
                    </a:xfrm>
                    <a:prstGeom prst="rect">
                      <a:avLst/>
                    </a:prstGeom>
                  </pic:spPr>
                </pic:pic>
              </a:graphicData>
            </a:graphic>
          </wp:anchor>
        </w:drawing>
      </w:r>
    </w:p>
    <w:p w14:paraId="45D15362" w14:textId="77777777" w:rsidR="002C0013" w:rsidRDefault="002C0013" w:rsidP="002C0013">
      <w:pPr>
        <w:spacing w:after="0" w:line="240" w:lineRule="auto"/>
        <w:jc w:val="both"/>
        <w:rPr>
          <w:rFonts w:ascii="Verdana" w:eastAsia="Calibri" w:hAnsi="Verdana" w:cs="Arial"/>
          <w:lang w:eastAsia="es-ES"/>
        </w:rPr>
      </w:pPr>
      <w:r w:rsidRPr="005644FE">
        <w:rPr>
          <w:rFonts w:ascii="Verdana" w:eastAsia="Calibri" w:hAnsi="Verdana" w:cs="Arial"/>
          <w:lang w:eastAsia="es-ES"/>
        </w:rPr>
        <w:t>Señor</w:t>
      </w:r>
    </w:p>
    <w:p w14:paraId="0A78BEAF" w14:textId="77777777" w:rsidR="002C0013" w:rsidRDefault="002C0013" w:rsidP="002C0013">
      <w:pPr>
        <w:spacing w:after="0" w:line="240" w:lineRule="auto"/>
        <w:jc w:val="both"/>
        <w:rPr>
          <w:rFonts w:ascii="Verdana" w:eastAsia="Calibri" w:hAnsi="Verdana" w:cs="Arial"/>
          <w:lang w:eastAsia="es-ES"/>
        </w:rPr>
      </w:pPr>
      <w:r>
        <w:rPr>
          <w:rFonts w:ascii="Verdana" w:eastAsia="Calibri" w:hAnsi="Verdana" w:cs="Arial"/>
          <w:lang w:eastAsia="es-ES"/>
        </w:rPr>
        <w:t xml:space="preserve">Diego </w:t>
      </w:r>
      <w:proofErr w:type="spellStart"/>
      <w:r>
        <w:rPr>
          <w:rFonts w:ascii="Verdana" w:eastAsia="Calibri" w:hAnsi="Verdana" w:cs="Arial"/>
          <w:lang w:eastAsia="es-ES"/>
        </w:rPr>
        <w:t>Hernandez</w:t>
      </w:r>
      <w:proofErr w:type="spellEnd"/>
      <w:r>
        <w:rPr>
          <w:rFonts w:ascii="Verdana" w:eastAsia="Calibri" w:hAnsi="Verdana" w:cs="Arial"/>
          <w:lang w:eastAsia="es-ES"/>
        </w:rPr>
        <w:t xml:space="preserve"> </w:t>
      </w:r>
    </w:p>
    <w:p w14:paraId="5537E39D" w14:textId="77777777" w:rsidR="002C0013" w:rsidRPr="00573E72" w:rsidRDefault="002C0013" w:rsidP="002C0013">
      <w:pPr>
        <w:spacing w:after="0" w:line="240" w:lineRule="auto"/>
        <w:jc w:val="both"/>
        <w:rPr>
          <w:rFonts w:ascii="Verdana" w:eastAsia="Calibri" w:hAnsi="Verdana" w:cs="Arial"/>
          <w:lang w:eastAsia="es-ES"/>
        </w:rPr>
      </w:pPr>
      <w:r w:rsidRPr="00573E72">
        <w:rPr>
          <w:rFonts w:ascii="Verdana" w:eastAsia="Calibri" w:hAnsi="Verdana" w:cs="Arial"/>
          <w:lang w:eastAsia="es-ES"/>
        </w:rPr>
        <w:t>Gerente General Lotería de B</w:t>
      </w:r>
      <w:r>
        <w:rPr>
          <w:rFonts w:ascii="Verdana" w:eastAsia="Calibri" w:hAnsi="Verdana" w:cs="Arial"/>
          <w:lang w:eastAsia="es-ES"/>
        </w:rPr>
        <w:t xml:space="preserve">oyacá </w:t>
      </w:r>
    </w:p>
    <w:p w14:paraId="5C23E609" w14:textId="77777777" w:rsidR="002C0013" w:rsidRPr="00573E72" w:rsidRDefault="002C0013" w:rsidP="002C0013">
      <w:pPr>
        <w:spacing w:after="0" w:line="240" w:lineRule="auto"/>
        <w:jc w:val="both"/>
        <w:rPr>
          <w:rFonts w:ascii="Verdana" w:eastAsia="Calibri" w:hAnsi="Verdana" w:cs="Arial"/>
          <w:lang w:val="it-IT" w:eastAsia="es-ES"/>
        </w:rPr>
      </w:pPr>
      <w:hyperlink r:id="rId11" w:history="1">
        <w:r w:rsidRPr="00573E72">
          <w:rPr>
            <w:rStyle w:val="Hipervnculo"/>
            <w:rFonts w:ascii="Verdana" w:hAnsi="Verdana"/>
            <w:b/>
            <w:bCs/>
            <w:lang w:val="it-IT"/>
          </w:rPr>
          <w:t>lau.96f@gmail.com</w:t>
        </w:r>
      </w:hyperlink>
    </w:p>
    <w:p w14:paraId="683CC59A" w14:textId="5492076C" w:rsidR="002C0013" w:rsidRDefault="002C0013" w:rsidP="002C0013">
      <w:pPr>
        <w:spacing w:after="0" w:line="240" w:lineRule="auto"/>
        <w:jc w:val="both"/>
        <w:rPr>
          <w:rFonts w:ascii="Verdana" w:hAnsi="Verdana"/>
          <w:lang w:val="it-IT"/>
        </w:rPr>
      </w:pPr>
      <w:r>
        <w:rPr>
          <w:rFonts w:ascii="Verdana" w:hAnsi="Verdana"/>
          <w:lang w:val="it-IT"/>
        </w:rPr>
        <w:t xml:space="preserve">Tunja, Boyacá. </w:t>
      </w:r>
    </w:p>
    <w:p w14:paraId="764F57AB" w14:textId="77777777" w:rsidR="00592BE1" w:rsidRDefault="00592BE1" w:rsidP="002C0013">
      <w:pPr>
        <w:spacing w:after="0" w:line="240" w:lineRule="auto"/>
        <w:jc w:val="both"/>
        <w:rPr>
          <w:rFonts w:ascii="Verdana" w:eastAsia="Calibri" w:hAnsi="Verdana" w:cs="Arial"/>
          <w:b/>
          <w:bCs/>
          <w:color w:val="000000"/>
          <w:lang w:val="it-IT" w:eastAsia="es-ES_tradnl"/>
        </w:rPr>
      </w:pPr>
    </w:p>
    <w:p w14:paraId="1196314A" w14:textId="24C2AA91" w:rsidR="00592BE1" w:rsidRPr="00573E72" w:rsidRDefault="00592BE1" w:rsidP="00592BE1">
      <w:pPr>
        <w:spacing w:after="0" w:line="240" w:lineRule="auto"/>
        <w:jc w:val="right"/>
        <w:rPr>
          <w:rFonts w:ascii="Verdana" w:eastAsia="Calibri" w:hAnsi="Verdana" w:cs="Arial"/>
          <w:b/>
          <w:bCs/>
          <w:color w:val="000000"/>
          <w:lang w:val="it-IT"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2C0013" w:rsidRPr="005644FE" w14:paraId="0AD59493" w14:textId="77777777" w:rsidTr="00A1602F">
        <w:trPr>
          <w:trHeight w:val="162"/>
        </w:trPr>
        <w:tc>
          <w:tcPr>
            <w:tcW w:w="3119" w:type="dxa"/>
          </w:tcPr>
          <w:p w14:paraId="3ED1F3AB" w14:textId="77777777" w:rsidR="002C0013" w:rsidRDefault="002C0013" w:rsidP="00A1602F">
            <w:pPr>
              <w:jc w:val="both"/>
              <w:rPr>
                <w:rFonts w:ascii="Verdana" w:eastAsia="Calibri" w:hAnsi="Verdana" w:cs="Arial"/>
                <w:b/>
                <w:bCs/>
                <w:color w:val="7030A0"/>
                <w:lang w:val="it-IT" w:eastAsia="es-ES_tradnl"/>
              </w:rPr>
            </w:pPr>
          </w:p>
          <w:p w14:paraId="7E759915" w14:textId="77777777" w:rsidR="00592BE1" w:rsidRPr="00573E72" w:rsidRDefault="00592BE1" w:rsidP="00A1602F">
            <w:pPr>
              <w:jc w:val="both"/>
              <w:rPr>
                <w:rFonts w:ascii="Verdana" w:eastAsia="Calibri" w:hAnsi="Verdana" w:cs="Arial"/>
                <w:b/>
                <w:bCs/>
                <w:color w:val="7030A0"/>
                <w:lang w:val="it-IT" w:eastAsia="es-ES_tradnl"/>
              </w:rPr>
            </w:pPr>
          </w:p>
        </w:tc>
        <w:tc>
          <w:tcPr>
            <w:tcW w:w="5670" w:type="dxa"/>
          </w:tcPr>
          <w:p w14:paraId="007EA94D" w14:textId="77777777" w:rsidR="002C0013" w:rsidRPr="005644FE" w:rsidRDefault="002C0013" w:rsidP="00A1602F">
            <w:pPr>
              <w:jc w:val="both"/>
              <w:rPr>
                <w:rFonts w:ascii="Verdana" w:eastAsia="Calibri" w:hAnsi="Verdana" w:cs="Arial"/>
                <w:b/>
                <w:bCs/>
                <w:lang w:eastAsia="es-ES"/>
              </w:rPr>
            </w:pPr>
            <w:r w:rsidRPr="005644FE">
              <w:rPr>
                <w:rFonts w:ascii="Verdana" w:eastAsia="Calibri" w:hAnsi="Verdana" w:cs="Arial"/>
                <w:b/>
                <w:bCs/>
                <w:lang w:eastAsia="es-ES"/>
              </w:rPr>
              <w:t>Concepto C-1</w:t>
            </w:r>
            <w:r>
              <w:rPr>
                <w:rFonts w:ascii="Verdana" w:eastAsia="Calibri" w:hAnsi="Verdana" w:cs="Arial"/>
                <w:b/>
                <w:bCs/>
                <w:lang w:eastAsia="es-ES"/>
              </w:rPr>
              <w:t>654</w:t>
            </w:r>
            <w:r w:rsidRPr="005644FE">
              <w:rPr>
                <w:rFonts w:ascii="Verdana" w:eastAsia="Calibri" w:hAnsi="Verdana" w:cs="Arial"/>
                <w:b/>
                <w:bCs/>
                <w:lang w:eastAsia="es-ES"/>
              </w:rPr>
              <w:t xml:space="preserve"> de 2025</w:t>
            </w:r>
          </w:p>
          <w:p w14:paraId="1631AD64" w14:textId="77777777" w:rsidR="002C0013" w:rsidRPr="005644FE" w:rsidRDefault="002C0013" w:rsidP="00A1602F">
            <w:pPr>
              <w:jc w:val="both"/>
              <w:rPr>
                <w:rFonts w:ascii="Verdana" w:eastAsia="Calibri" w:hAnsi="Verdana" w:cs="Arial"/>
                <w:b/>
                <w:bCs/>
                <w:color w:val="7030A0"/>
                <w:lang w:eastAsia="es-ES"/>
              </w:rPr>
            </w:pPr>
          </w:p>
        </w:tc>
      </w:tr>
      <w:tr w:rsidR="002C0013" w:rsidRPr="005644FE" w14:paraId="7E589CFF" w14:textId="77777777" w:rsidTr="00A1602F">
        <w:trPr>
          <w:trHeight w:val="884"/>
        </w:trPr>
        <w:tc>
          <w:tcPr>
            <w:tcW w:w="3119" w:type="dxa"/>
          </w:tcPr>
          <w:p w14:paraId="3EB16FB5" w14:textId="77777777" w:rsidR="002C0013" w:rsidRPr="005644FE" w:rsidRDefault="002C0013" w:rsidP="00A1602F">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38173999" w14:textId="77777777" w:rsidR="002C0013" w:rsidRPr="00F04657" w:rsidRDefault="002C0013" w:rsidP="00A1602F">
            <w:pPr>
              <w:contextualSpacing/>
              <w:jc w:val="both"/>
              <w:rPr>
                <w:rFonts w:ascii="Verdana" w:eastAsia="Calibri" w:hAnsi="Verdana" w:cs="Arial"/>
                <w:bCs/>
                <w:lang w:val="es-ES" w:eastAsia="es-MX"/>
              </w:rPr>
            </w:pPr>
            <w:r w:rsidRPr="00F04657">
              <w:rPr>
                <w:rFonts w:ascii="Verdana" w:eastAsia="Calibri" w:hAnsi="Verdana" w:cs="Arial"/>
                <w:bCs/>
                <w:lang w:val="es-MX" w:eastAsia="es-MX"/>
              </w:rPr>
              <w:t xml:space="preserve">LEY DE GARANTÍAS ELECTORALES – Naturaleza Jurídica / LEY DE GARANTÍAS ELECTORALES </w:t>
            </w:r>
            <w:proofErr w:type="gramStart"/>
            <w:r w:rsidRPr="00F04657">
              <w:rPr>
                <w:rFonts w:ascii="Verdana" w:eastAsia="Calibri" w:hAnsi="Verdana" w:cs="Arial"/>
                <w:bCs/>
                <w:lang w:val="es-MX" w:eastAsia="es-MX"/>
              </w:rPr>
              <w:t>–  /</w:t>
            </w:r>
            <w:proofErr w:type="gramEnd"/>
            <w:r w:rsidRPr="00F04657">
              <w:rPr>
                <w:rFonts w:ascii="Verdana" w:eastAsia="Calibri" w:hAnsi="Verdana" w:cs="Arial"/>
                <w:bCs/>
                <w:lang w:val="es-MX" w:eastAsia="es-MX"/>
              </w:rPr>
              <w:t xml:space="preserve"> </w:t>
            </w:r>
            <w:r w:rsidRPr="00F04657">
              <w:rPr>
                <w:rFonts w:ascii="Verdana" w:eastAsia="Calibri" w:hAnsi="Verdana" w:cs="Arial"/>
                <w:bCs/>
                <w:lang w:val="es-MX"/>
              </w:rPr>
              <w:t xml:space="preserve">LEY DE GARANTÍAS ELECTORALES ─ Prohibición artículo 33 ‒ Contratación directa ‒ Alcance / </w:t>
            </w:r>
            <w:r w:rsidRPr="00F04657">
              <w:rPr>
                <w:rFonts w:ascii="Verdana" w:eastAsia="Times New Roman" w:hAnsi="Verdana" w:cs="Arial"/>
                <w:bCs/>
                <w:lang w:eastAsia="es-CO"/>
              </w:rPr>
              <w:t xml:space="preserve">LEY DE GARANTÍAS ELECTORALES </w:t>
            </w:r>
            <w:r w:rsidRPr="00F04657">
              <w:rPr>
                <w:rFonts w:ascii="Verdana" w:eastAsia="Calibri" w:hAnsi="Verdana" w:cs="Arial"/>
                <w:bCs/>
                <w:lang w:val="es-MX"/>
              </w:rPr>
              <w:t xml:space="preserve">─ Prohibición artículo 33 ‒ </w:t>
            </w:r>
            <w:r w:rsidRPr="00F04657">
              <w:rPr>
                <w:rFonts w:ascii="Verdana" w:eastAsia="Times New Roman" w:hAnsi="Verdana" w:cs="Arial"/>
                <w:bCs/>
                <w:lang w:eastAsia="es-CO"/>
              </w:rPr>
              <w:t xml:space="preserve">Excepciones / LEY DE GARANTÍAS ELECTORALES ‒ </w:t>
            </w:r>
            <w:r w:rsidRPr="00F04657">
              <w:rPr>
                <w:rFonts w:ascii="Verdana" w:eastAsia="Times New Roman" w:hAnsi="Verdana" w:cs="Arial"/>
                <w:bCs/>
                <w:lang w:val="es-ES" w:eastAsia="es-CO"/>
              </w:rPr>
              <w:t xml:space="preserve">Prohibición del artículo 33 </w:t>
            </w:r>
            <w:r w:rsidRPr="00F04657">
              <w:rPr>
                <w:rFonts w:ascii="Verdana" w:eastAsia="Times New Roman" w:hAnsi="Verdana" w:cs="Arial"/>
                <w:bCs/>
                <w:lang w:eastAsia="es-CO"/>
              </w:rPr>
              <w:t xml:space="preserve">‒ Destinatarios / </w:t>
            </w:r>
            <w:r w:rsidRPr="00F04657">
              <w:rPr>
                <w:rFonts w:ascii="Verdana" w:eastAsia="Times New Roman" w:hAnsi="Verdana" w:cs="Arial"/>
                <w:bCs/>
                <w:lang w:val="es-ES" w:eastAsia="es-CO" w:bidi="es-ES"/>
              </w:rPr>
              <w:t xml:space="preserve">EMPRESAS INDUSTRIALES Y COMERCIALES DEL ESTADO </w:t>
            </w:r>
            <w:r w:rsidRPr="00F04657">
              <w:rPr>
                <w:rFonts w:ascii="Verdana" w:eastAsia="Calibri" w:hAnsi="Verdana" w:cs="Arial"/>
                <w:bCs/>
                <w:lang w:val="es-ES" w:eastAsia="es-MX"/>
              </w:rPr>
              <w:t xml:space="preserve">‒ Ley de garantías electorales </w:t>
            </w:r>
          </w:p>
          <w:p w14:paraId="6E0985A2" w14:textId="77777777" w:rsidR="002C0013" w:rsidRPr="00F04657" w:rsidRDefault="002C0013" w:rsidP="00A1602F">
            <w:pPr>
              <w:contextualSpacing/>
              <w:jc w:val="both"/>
              <w:rPr>
                <w:rFonts w:ascii="Verdana" w:eastAsia="Calibri" w:hAnsi="Verdana" w:cs="Arial"/>
                <w:color w:val="000000" w:themeColor="text1"/>
                <w:szCs w:val="24"/>
                <w:lang w:val="es-ES" w:eastAsia="es-ES_tradnl"/>
              </w:rPr>
            </w:pPr>
          </w:p>
        </w:tc>
      </w:tr>
      <w:tr w:rsidR="002C0013" w:rsidRPr="005644FE" w14:paraId="48331B04" w14:textId="77777777" w:rsidTr="00A1602F">
        <w:tc>
          <w:tcPr>
            <w:tcW w:w="3119" w:type="dxa"/>
          </w:tcPr>
          <w:p w14:paraId="288BDA4D" w14:textId="77777777" w:rsidR="002C0013" w:rsidRPr="005644FE" w:rsidRDefault="002C0013" w:rsidP="00A1602F">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18427299" w14:textId="77777777" w:rsidR="002C0013" w:rsidRPr="00F04657" w:rsidRDefault="002C0013" w:rsidP="00A1602F">
            <w:pPr>
              <w:jc w:val="both"/>
              <w:rPr>
                <w:rFonts w:ascii="Verdana" w:eastAsia="Calibri" w:hAnsi="Verdana" w:cs="Arial"/>
                <w:lang w:eastAsia="es-ES_tradnl"/>
              </w:rPr>
            </w:pPr>
            <w:r w:rsidRPr="005644FE">
              <w:rPr>
                <w:rFonts w:ascii="Verdana" w:eastAsia="Calibri" w:hAnsi="Verdana" w:cs="Arial"/>
                <w:lang w:eastAsia="es-ES_tradnl"/>
              </w:rPr>
              <w:t>Respuesta a consulta con radicado</w:t>
            </w:r>
            <w:r>
              <w:rPr>
                <w:rFonts w:ascii="Verdana" w:eastAsia="Calibri" w:hAnsi="Verdana" w:cs="Arial"/>
                <w:lang w:eastAsia="es-ES_tradnl"/>
              </w:rPr>
              <w:t xml:space="preserve"> </w:t>
            </w:r>
            <w:r>
              <w:rPr>
                <w:rFonts w:ascii="Verdana" w:hAnsi="Verdana" w:cs="Calibri"/>
                <w:color w:val="000000"/>
              </w:rPr>
              <w:t>1_2025_11_10_012653</w:t>
            </w:r>
            <w:r w:rsidRPr="005644FE">
              <w:rPr>
                <w:rFonts w:ascii="Verdana" w:eastAsia="Calibri" w:hAnsi="Verdana" w:cs="Arial"/>
                <w:lang w:eastAsia="es-ES_tradnl"/>
              </w:rPr>
              <w:t xml:space="preserve"> </w:t>
            </w:r>
          </w:p>
        </w:tc>
      </w:tr>
    </w:tbl>
    <w:p w14:paraId="6BA05493" w14:textId="77777777" w:rsidR="002C0013" w:rsidRPr="005644FE" w:rsidRDefault="002C0013" w:rsidP="002C0013">
      <w:pPr>
        <w:spacing w:after="0" w:line="276" w:lineRule="auto"/>
        <w:jc w:val="both"/>
        <w:rPr>
          <w:rFonts w:ascii="Verdana" w:eastAsia="Calibri" w:hAnsi="Verdana" w:cs="Arial"/>
          <w:lang w:eastAsia="es-ES_tradnl"/>
        </w:rPr>
      </w:pPr>
    </w:p>
    <w:p w14:paraId="00D9695E" w14:textId="77777777" w:rsidR="002C0013" w:rsidRPr="005644FE" w:rsidRDefault="002C0013" w:rsidP="002C0013">
      <w:pPr>
        <w:spacing w:after="0" w:line="276" w:lineRule="auto"/>
        <w:jc w:val="both"/>
        <w:rPr>
          <w:rFonts w:ascii="Verdana" w:eastAsia="Calibri" w:hAnsi="Verdana" w:cs="Arial"/>
          <w:lang w:eastAsia="es-ES"/>
        </w:rPr>
      </w:pPr>
      <w:r w:rsidRPr="005644FE">
        <w:rPr>
          <w:rFonts w:ascii="Verdana" w:eastAsia="Calibri" w:hAnsi="Verdana" w:cs="Arial"/>
          <w:lang w:eastAsia="es-ES"/>
        </w:rPr>
        <w:t>Estima</w:t>
      </w:r>
      <w:r>
        <w:rPr>
          <w:rFonts w:ascii="Verdana" w:eastAsia="Calibri" w:hAnsi="Verdana" w:cs="Arial"/>
          <w:lang w:eastAsia="es-ES"/>
        </w:rPr>
        <w:t xml:space="preserve">do señor </w:t>
      </w:r>
      <w:proofErr w:type="spellStart"/>
      <w:r>
        <w:rPr>
          <w:rFonts w:ascii="Verdana" w:eastAsia="Calibri" w:hAnsi="Verdana" w:cs="Arial"/>
          <w:lang w:eastAsia="es-ES"/>
        </w:rPr>
        <w:t>Hernandez</w:t>
      </w:r>
      <w:proofErr w:type="spellEnd"/>
      <w:r w:rsidRPr="005644FE">
        <w:rPr>
          <w:rFonts w:ascii="Verdana" w:eastAsia="Calibri" w:hAnsi="Verdana" w:cs="Arial"/>
          <w:lang w:eastAsia="es-ES"/>
        </w:rPr>
        <w:t>:</w:t>
      </w:r>
    </w:p>
    <w:p w14:paraId="2FABE63C" w14:textId="77777777" w:rsidR="002C0013" w:rsidRPr="00E02524" w:rsidRDefault="002C0013" w:rsidP="002C0013">
      <w:pPr>
        <w:spacing w:after="0"/>
        <w:jc w:val="both"/>
        <w:rPr>
          <w:rFonts w:ascii="Verdana" w:hAnsi="Verdana"/>
          <w:lang w:val="es-MX"/>
        </w:rPr>
      </w:pPr>
    </w:p>
    <w:p w14:paraId="70AC5048" w14:textId="77777777" w:rsidR="002C0013" w:rsidRDefault="002C0013" w:rsidP="002C0013">
      <w:pPr>
        <w:spacing w:after="120" w:line="276" w:lineRule="auto"/>
        <w:jc w:val="both"/>
        <w:rPr>
          <w:rFonts w:ascii="Verdana" w:hAnsi="Verdana"/>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w:t>
      </w:r>
      <w:r w:rsidRPr="00595C9B">
        <w:rPr>
          <w:rFonts w:ascii="Verdana" w:hAnsi="Verdana" w:cs="Arial"/>
        </w:rPr>
        <w:t xml:space="preserve"> </w:t>
      </w:r>
      <w:r w:rsidRPr="005644FE">
        <w:rPr>
          <w:rFonts w:ascii="Verdana" w:hAnsi="Verdana" w:cs="Arial"/>
        </w:rPr>
        <w:t>así como lo establecido en el artículo 4 de la Resolución 1707 de 2018 expedida por esta Entidad</w:t>
      </w:r>
      <w:r w:rsidRPr="00E02524">
        <w:rPr>
          <w:rFonts w:ascii="Verdana" w:hAnsi="Verdana"/>
        </w:rPr>
        <w:t xml:space="preserve"> y</w:t>
      </w:r>
      <w:r>
        <w:rPr>
          <w:rFonts w:ascii="Verdana" w:hAnsi="Verdana"/>
        </w:rPr>
        <w:t>,</w:t>
      </w:r>
      <w:r w:rsidRPr="00E02524">
        <w:rPr>
          <w:rFonts w:ascii="Verdana" w:hAnsi="Verdana"/>
        </w:rPr>
        <w:t xml:space="preserve"> de conformidad con las modalidades del derecho de petición contempladas en la Ley 1755 de 2015</w:t>
      </w:r>
      <w:r>
        <w:rPr>
          <w:rFonts w:ascii="Verdana" w:hAnsi="Verdana"/>
        </w:rPr>
        <w:t xml:space="preserve"> y en </w:t>
      </w:r>
      <w:r w:rsidRPr="00E02524">
        <w:rPr>
          <w:rFonts w:ascii="Verdana" w:hAnsi="Verdana"/>
        </w:rPr>
        <w:t xml:space="preserve">la resolución </w:t>
      </w:r>
      <w:proofErr w:type="spellStart"/>
      <w:r w:rsidRPr="00E02524">
        <w:rPr>
          <w:rFonts w:ascii="Verdana" w:eastAsia="Times New Roman" w:hAnsi="Verdana" w:cs="Segoe UI"/>
          <w:lang w:eastAsia="es-CO"/>
        </w:rPr>
        <w:t>N°</w:t>
      </w:r>
      <w:proofErr w:type="spellEnd"/>
      <w:r w:rsidRPr="00E02524">
        <w:rPr>
          <w:rFonts w:ascii="Verdana" w:eastAsia="Times New Roman" w:hAnsi="Verdana" w:cs="Segoe UI"/>
          <w:lang w:eastAsia="es-CO"/>
        </w:rPr>
        <w:t xml:space="preserve"> 469 del 2025 </w:t>
      </w:r>
      <w:r w:rsidRPr="00E02524">
        <w:rPr>
          <w:rFonts w:ascii="Verdana" w:hAnsi="Verdana"/>
        </w:rPr>
        <w:t xml:space="preserve">expedida por esta Agencia, </w:t>
      </w:r>
      <w:r w:rsidRPr="005644FE">
        <w:rPr>
          <w:rFonts w:ascii="Verdana" w:eastAsia="Calibri" w:hAnsi="Verdana" w:cs="Arial"/>
          <w:lang w:eastAsia="es-ES"/>
        </w:rPr>
        <w:t xml:space="preserve">responde su solicitud de consulta de fecha </w:t>
      </w:r>
      <w:r>
        <w:rPr>
          <w:rFonts w:ascii="Verdana" w:eastAsia="Calibri" w:hAnsi="Verdana" w:cs="Arial"/>
          <w:lang w:eastAsia="es-ES"/>
        </w:rPr>
        <w:t>10 de noviembre</w:t>
      </w:r>
      <w:r w:rsidRPr="005644FE">
        <w:rPr>
          <w:rFonts w:ascii="Verdana" w:eastAsia="Calibri" w:hAnsi="Verdana" w:cs="Arial"/>
          <w:lang w:eastAsia="es-ES"/>
        </w:rPr>
        <w:t xml:space="preserve"> de 2025</w:t>
      </w:r>
      <w:r>
        <w:rPr>
          <w:rFonts w:ascii="Verdana" w:eastAsia="Calibri" w:hAnsi="Verdana" w:cs="Arial"/>
          <w:lang w:eastAsia="es-ES"/>
        </w:rPr>
        <w:t>,</w:t>
      </w:r>
      <w:r w:rsidRPr="005644FE">
        <w:rPr>
          <w:rFonts w:ascii="Verdana" w:eastAsia="Calibri" w:hAnsi="Verdana" w:cs="Arial"/>
          <w:lang w:eastAsia="es-ES"/>
        </w:rPr>
        <w:t xml:space="preserve"> en la cual manifiesta lo siguiente:</w:t>
      </w:r>
    </w:p>
    <w:p w14:paraId="1D90C040" w14:textId="77777777" w:rsidR="002C0013" w:rsidRPr="008E5B36" w:rsidRDefault="002C0013" w:rsidP="002C0013">
      <w:pPr>
        <w:spacing w:after="0"/>
        <w:jc w:val="both"/>
        <w:rPr>
          <w:rFonts w:ascii="Verdana" w:hAnsi="Verdana"/>
        </w:rPr>
      </w:pPr>
    </w:p>
    <w:p w14:paraId="552C0A46" w14:textId="77777777" w:rsidR="002C0013" w:rsidRDefault="002C0013" w:rsidP="002C0013">
      <w:pPr>
        <w:spacing w:after="0"/>
        <w:ind w:left="567" w:right="758"/>
        <w:jc w:val="both"/>
        <w:rPr>
          <w:rFonts w:ascii="Verdana" w:hAnsi="Verdana"/>
          <w:sz w:val="20"/>
          <w:szCs w:val="20"/>
        </w:rPr>
      </w:pPr>
      <w:r>
        <w:rPr>
          <w:rFonts w:ascii="Verdana" w:hAnsi="Verdana"/>
          <w:sz w:val="20"/>
          <w:szCs w:val="20"/>
        </w:rPr>
        <w:t>“(..) ¿Se encuentra la Lotería de Boyacá sujeta en los términos que las entidades de estricto carácter administrativo a la prohibición de celebrar contratos bajo la modalidad de contratación directa durante los periodos de restricción electoral?</w:t>
      </w:r>
    </w:p>
    <w:p w14:paraId="15931405" w14:textId="77777777" w:rsidR="002C0013" w:rsidRPr="00A87E6E" w:rsidRDefault="002C0013" w:rsidP="002C0013">
      <w:pPr>
        <w:spacing w:after="0"/>
        <w:ind w:left="567" w:right="758"/>
        <w:jc w:val="both"/>
        <w:rPr>
          <w:rFonts w:ascii="Verdana" w:hAnsi="Verdana"/>
          <w:sz w:val="20"/>
          <w:szCs w:val="20"/>
        </w:rPr>
      </w:pPr>
      <w:r>
        <w:rPr>
          <w:rFonts w:ascii="Verdana" w:hAnsi="Verdana"/>
          <w:sz w:val="20"/>
          <w:szCs w:val="20"/>
        </w:rPr>
        <w:lastRenderedPageBreak/>
        <w:t xml:space="preserve">2- Existe, </w:t>
      </w:r>
      <w:proofErr w:type="gramStart"/>
      <w:r>
        <w:rPr>
          <w:rFonts w:ascii="Verdana" w:hAnsi="Verdana"/>
          <w:sz w:val="20"/>
          <w:szCs w:val="20"/>
        </w:rPr>
        <w:t>en razón de</w:t>
      </w:r>
      <w:proofErr w:type="gramEnd"/>
      <w:r>
        <w:rPr>
          <w:rFonts w:ascii="Verdana" w:hAnsi="Verdana"/>
          <w:sz w:val="20"/>
          <w:szCs w:val="20"/>
        </w:rPr>
        <w:t xml:space="preserve"> la naturaleza jurídica de la entidad y su actividad en un entorno competitivo, alguna excepción que permita a la Lotería mantener sus procedimientos contractuales regulares bajo la figura de contratación directa (…)”</w:t>
      </w:r>
    </w:p>
    <w:p w14:paraId="4673CF92" w14:textId="77777777" w:rsidR="002C0013" w:rsidRDefault="002C0013" w:rsidP="002C0013">
      <w:pPr>
        <w:spacing w:after="0" w:line="240" w:lineRule="auto"/>
        <w:ind w:firstLine="709"/>
        <w:jc w:val="both"/>
        <w:rPr>
          <w:rFonts w:ascii="Verdana" w:eastAsia="Calibri" w:hAnsi="Verdana" w:cs="Arial"/>
          <w:color w:val="000000"/>
          <w:lang w:eastAsia="es-ES"/>
        </w:rPr>
      </w:pPr>
    </w:p>
    <w:p w14:paraId="63EEE004" w14:textId="77777777" w:rsidR="002C0013" w:rsidRPr="005644FE" w:rsidRDefault="002C0013" w:rsidP="002C0013">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E14DA55" w14:textId="77777777" w:rsidR="002C0013" w:rsidRPr="00BE1CA1" w:rsidRDefault="002C0013" w:rsidP="002C0013">
      <w:pPr>
        <w:spacing w:after="120" w:line="276" w:lineRule="auto"/>
        <w:ind w:firstLine="709"/>
        <w:jc w:val="both"/>
        <w:rPr>
          <w:rFonts w:ascii="Verdana" w:eastAsia="Calibri" w:hAnsi="Verdana" w:cs="Arial"/>
          <w:lang w:eastAsia="es-ES"/>
        </w:rPr>
      </w:pPr>
      <w:r w:rsidRPr="005644FE">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w:t>
      </w:r>
      <w:r w:rsidRPr="00714FA7">
        <w:rPr>
          <w:rFonts w:ascii="Verdana" w:eastAsia="Calibri" w:hAnsi="Verdana" w:cs="Arial"/>
          <w:color w:val="000000"/>
          <w:lang w:eastAsia="es-ES"/>
        </w:rPr>
        <w:t xml:space="preserve">abstracción del caso particular y concreto señalado en su petición, pero señalando algunas consideraciones sobre las normas generales relacionadas </w:t>
      </w:r>
      <w:r>
        <w:rPr>
          <w:rFonts w:ascii="Verdana" w:eastAsia="Calibri" w:hAnsi="Verdana" w:cs="Arial"/>
          <w:color w:val="000000"/>
          <w:lang w:eastAsia="es-ES"/>
        </w:rPr>
        <w:t>el problema jurídico</w:t>
      </w:r>
      <w:r w:rsidRPr="00BE1CA1">
        <w:rPr>
          <w:rFonts w:ascii="Verdana" w:eastAsia="Calibri" w:hAnsi="Verdana" w:cs="Arial"/>
          <w:color w:val="000000"/>
          <w:lang w:eastAsia="es-ES"/>
        </w:rPr>
        <w:t xml:space="preserve"> de su consulta.</w:t>
      </w:r>
      <w:r w:rsidRPr="00BE1CA1">
        <w:rPr>
          <w:rFonts w:ascii="Verdana" w:eastAsia="Calibri" w:hAnsi="Verdana" w:cs="Arial"/>
          <w:lang w:eastAsia="es-ES"/>
        </w:rPr>
        <w:t xml:space="preserve">  </w:t>
      </w:r>
    </w:p>
    <w:p w14:paraId="6108E9C2" w14:textId="77777777" w:rsidR="002C0013" w:rsidRPr="00BE1CA1" w:rsidRDefault="002C0013" w:rsidP="002C001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E1CA1">
        <w:rPr>
          <w:rFonts w:ascii="Verdana" w:eastAsia="Century Gothic" w:hAnsi="Verdana" w:cs="Century Gothic"/>
          <w:b/>
          <w:bCs/>
        </w:rPr>
        <w:t>Problema planteado:</w:t>
      </w:r>
    </w:p>
    <w:p w14:paraId="2DFCB37C" w14:textId="77777777" w:rsidR="002C0013" w:rsidRPr="00BE1CA1" w:rsidRDefault="002C0013" w:rsidP="002C0013">
      <w:pPr>
        <w:pStyle w:val="Prrafodelista"/>
        <w:tabs>
          <w:tab w:val="left" w:pos="142"/>
          <w:tab w:val="left" w:pos="284"/>
        </w:tabs>
        <w:spacing w:after="0" w:line="240" w:lineRule="auto"/>
        <w:ind w:left="0"/>
        <w:contextualSpacing w:val="0"/>
        <w:jc w:val="both"/>
        <w:rPr>
          <w:rFonts w:ascii="Verdana" w:eastAsia="Century Gothic" w:hAnsi="Verdana" w:cs="Century Gothic"/>
          <w:b/>
          <w:bCs/>
        </w:rPr>
      </w:pPr>
    </w:p>
    <w:p w14:paraId="527E6720" w14:textId="77777777" w:rsidR="002C0013" w:rsidRPr="00552663" w:rsidRDefault="002C0013" w:rsidP="002C0013">
      <w:pPr>
        <w:spacing w:after="0" w:line="276" w:lineRule="auto"/>
        <w:jc w:val="both"/>
        <w:rPr>
          <w:rFonts w:ascii="Verdana" w:eastAsia="Calibri" w:hAnsi="Verdana" w:cs="Arial"/>
          <w:color w:val="000000"/>
          <w:lang w:eastAsia="es-ES"/>
        </w:rPr>
      </w:pPr>
      <w:r w:rsidRPr="00BE1CA1">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 xml:space="preserve">el </w:t>
      </w:r>
      <w:r w:rsidRPr="00BE1CA1">
        <w:rPr>
          <w:rFonts w:ascii="Verdana" w:eastAsia="Calibri" w:hAnsi="Verdana" w:cs="Arial"/>
          <w:color w:val="000000"/>
          <w:lang w:eastAsia="es-ES"/>
        </w:rPr>
        <w:t>siguiente problema jurídico:</w:t>
      </w:r>
      <w:r>
        <w:rPr>
          <w:rFonts w:ascii="Verdana" w:eastAsia="Century Gothic" w:hAnsi="Verdana" w:cs="Century Gothic"/>
        </w:rPr>
        <w:t xml:space="preserve"> </w:t>
      </w:r>
      <w:r w:rsidRPr="00BE1CA1">
        <w:rPr>
          <w:rFonts w:ascii="Verdana" w:eastAsia="Century Gothic" w:hAnsi="Verdana" w:cs="Century Gothic"/>
        </w:rPr>
        <w:t>Las Empresas Industriales y Comerciales del Estado (EICE)</w:t>
      </w:r>
      <w:r>
        <w:rPr>
          <w:rFonts w:ascii="Verdana" w:eastAsia="Century Gothic" w:hAnsi="Verdana" w:cs="Century Gothic"/>
        </w:rPr>
        <w:t xml:space="preserve"> en este caso la Lotería de Boyacá</w:t>
      </w:r>
      <w:r w:rsidRPr="00BE1CA1">
        <w:rPr>
          <w:rFonts w:ascii="Verdana" w:eastAsia="Century Gothic" w:hAnsi="Verdana" w:cs="Century Gothic"/>
        </w:rPr>
        <w:t xml:space="preserve"> </w:t>
      </w:r>
      <w:r>
        <w:rPr>
          <w:rFonts w:ascii="Verdana" w:eastAsia="Century Gothic" w:hAnsi="Verdana" w:cs="Century Gothic"/>
        </w:rPr>
        <w:t>¿</w:t>
      </w:r>
      <w:r w:rsidRPr="00BE1CA1">
        <w:rPr>
          <w:rFonts w:ascii="Verdana" w:eastAsia="Century Gothic" w:hAnsi="Verdana" w:cs="Century Gothic"/>
        </w:rPr>
        <w:t xml:space="preserve">se encuentran sometidas a las restricciones contractuales previstas en </w:t>
      </w:r>
      <w:r>
        <w:rPr>
          <w:rFonts w:ascii="Verdana" w:eastAsia="Century Gothic" w:hAnsi="Verdana" w:cs="Century Gothic"/>
        </w:rPr>
        <w:t xml:space="preserve">el artículo 33 de </w:t>
      </w:r>
      <w:r w:rsidRPr="00BE1CA1">
        <w:rPr>
          <w:rFonts w:ascii="Verdana" w:eastAsia="Century Gothic" w:hAnsi="Verdana" w:cs="Century Gothic"/>
        </w:rPr>
        <w:t>la Ley 996 de 2005 —</w:t>
      </w:r>
      <w:proofErr w:type="gramStart"/>
      <w:r w:rsidRPr="00BE1CA1">
        <w:rPr>
          <w:rFonts w:ascii="Verdana" w:eastAsia="Century Gothic" w:hAnsi="Verdana" w:cs="Century Gothic"/>
        </w:rPr>
        <w:t xml:space="preserve">Ley de Garantías Electorales—, durante </w:t>
      </w:r>
      <w:r>
        <w:rPr>
          <w:rFonts w:ascii="Verdana" w:eastAsia="Century Gothic" w:hAnsi="Verdana" w:cs="Century Gothic"/>
        </w:rPr>
        <w:t xml:space="preserve">el </w:t>
      </w:r>
      <w:r w:rsidRPr="00BE1CA1">
        <w:rPr>
          <w:rFonts w:ascii="Verdana" w:eastAsia="Century Gothic" w:hAnsi="Verdana" w:cs="Century Gothic"/>
        </w:rPr>
        <w:t>período previo a elecciones?</w:t>
      </w:r>
      <w:proofErr w:type="gramEnd"/>
    </w:p>
    <w:p w14:paraId="5647109D" w14:textId="77777777" w:rsidR="002C0013" w:rsidRDefault="002C0013" w:rsidP="002C0013">
      <w:pPr>
        <w:spacing w:after="0" w:line="240" w:lineRule="auto"/>
        <w:jc w:val="both"/>
        <w:rPr>
          <w:rFonts w:ascii="Verdana" w:eastAsia="Calibri" w:hAnsi="Verdana" w:cs="Arial"/>
          <w:color w:val="000000"/>
          <w:lang w:eastAsia="es-ES"/>
        </w:rPr>
      </w:pPr>
    </w:p>
    <w:p w14:paraId="7F5536A4" w14:textId="77777777" w:rsidR="002C0013" w:rsidRDefault="002C0013" w:rsidP="002C0013">
      <w:pPr>
        <w:spacing w:after="0" w:line="276" w:lineRule="auto"/>
        <w:jc w:val="both"/>
        <w:rPr>
          <w:rFonts w:ascii="Verdana" w:eastAsia="Century Gothic" w:hAnsi="Verdana" w:cs="Century Gothic"/>
          <w:b/>
          <w:bCs/>
        </w:rPr>
      </w:pPr>
      <w:r>
        <w:rPr>
          <w:rFonts w:ascii="Verdana" w:eastAsia="Century Gothic" w:hAnsi="Verdana" w:cs="Century Gothic"/>
          <w:b/>
          <w:bCs/>
        </w:rPr>
        <w:t>2</w:t>
      </w:r>
      <w:r w:rsidRPr="005644FE">
        <w:rPr>
          <w:rFonts w:ascii="Verdana" w:eastAsia="Century Gothic" w:hAnsi="Verdana" w:cs="Century Gothic"/>
          <w:b/>
          <w:bCs/>
        </w:rPr>
        <w:t>. Respuesta:</w:t>
      </w:r>
    </w:p>
    <w:p w14:paraId="031E2918" w14:textId="77777777" w:rsidR="002C0013" w:rsidRPr="005644FE" w:rsidRDefault="002C0013" w:rsidP="002C0013">
      <w:pPr>
        <w:spacing w:after="0" w:line="240"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2C0013" w:rsidRPr="005644FE" w14:paraId="43A3A62B" w14:textId="77777777" w:rsidTr="00A1602F">
        <w:tc>
          <w:tcPr>
            <w:tcW w:w="8828" w:type="dxa"/>
          </w:tcPr>
          <w:p w14:paraId="371B2668" w14:textId="77777777" w:rsidR="002C0013" w:rsidRPr="00573E72" w:rsidRDefault="002C0013" w:rsidP="00A1602F">
            <w:pPr>
              <w:spacing w:after="120" w:line="276" w:lineRule="auto"/>
              <w:jc w:val="both"/>
              <w:rPr>
                <w:rFonts w:ascii="Verdana" w:eastAsia="Arial" w:hAnsi="Verdana" w:cs="Arial"/>
              </w:rPr>
            </w:pPr>
            <w:r>
              <w:rPr>
                <w:rFonts w:ascii="Verdana" w:eastAsia="Arial" w:hAnsi="Verdana" w:cs="Arial"/>
              </w:rPr>
              <w:t>T</w:t>
            </w:r>
            <w:r w:rsidRPr="00573E72">
              <w:rPr>
                <w:rFonts w:ascii="Verdana" w:eastAsia="Calibri" w:hAnsi="Verdana" w:cs="Arial"/>
              </w:rPr>
              <w:t>eniendo en cuenta que</w:t>
            </w:r>
            <w:r>
              <w:rPr>
                <w:rFonts w:ascii="Verdana" w:eastAsia="Calibri" w:hAnsi="Verdana" w:cs="Arial"/>
              </w:rPr>
              <w:t xml:space="preserve"> la Lotería de Boyacá opera bajo un régimen jurídico que se clasifica como una </w:t>
            </w:r>
            <w:r w:rsidRPr="00BE1CA1">
              <w:rPr>
                <w:rFonts w:ascii="Verdana" w:eastAsia="Century Gothic" w:hAnsi="Verdana" w:cs="Century Gothic"/>
              </w:rPr>
              <w:t>Empresas Industriales y Comerciales del Estado (EICE)</w:t>
            </w:r>
            <w:r>
              <w:rPr>
                <w:rFonts w:ascii="Verdana" w:eastAsia="Century Gothic" w:hAnsi="Verdana" w:cs="Century Gothic"/>
              </w:rPr>
              <w:t>, es menester precisar que  l</w:t>
            </w:r>
            <w:r>
              <w:rPr>
                <w:rFonts w:ascii="Verdana" w:eastAsia="Arial" w:hAnsi="Verdana" w:cs="Arial"/>
              </w:rPr>
              <w:t xml:space="preserve">a ley 996 de 2005 </w:t>
            </w:r>
            <w:r>
              <w:rPr>
                <w:rFonts w:ascii="Verdana" w:eastAsia="Calibri" w:hAnsi="Verdana" w:cs="Arial"/>
              </w:rPr>
              <w:t xml:space="preserve">en </w:t>
            </w:r>
            <w:r w:rsidRPr="00F10E52">
              <w:rPr>
                <w:rFonts w:ascii="Verdana" w:eastAsia="Calibri" w:hAnsi="Verdana" w:cs="Arial"/>
              </w:rPr>
              <w:t xml:space="preserve">el artículo 33 de la Ley 996 de 2005 prohíbe </w:t>
            </w:r>
            <w:r>
              <w:rPr>
                <w:rFonts w:ascii="Verdana" w:eastAsia="Calibri" w:hAnsi="Verdana" w:cs="Arial"/>
              </w:rPr>
              <w:t>“</w:t>
            </w:r>
            <w:r>
              <w:rPr>
                <w:rFonts w:ascii="Verdana" w:eastAsia="Calibri" w:hAnsi="Verdana" w:cs="Arial"/>
                <w:bCs/>
              </w:rPr>
              <w:t xml:space="preserve">(…) </w:t>
            </w:r>
            <w:r w:rsidRPr="00F10E52">
              <w:rPr>
                <w:rFonts w:ascii="Verdana" w:eastAsia="Calibri" w:hAnsi="Verdana" w:cs="Arial"/>
              </w:rPr>
              <w:t>la contratación directa por parte de todos los entes del Estado</w:t>
            </w:r>
            <w:r>
              <w:rPr>
                <w:rFonts w:ascii="Verdana" w:eastAsia="Calibri" w:hAnsi="Verdana" w:cs="Arial"/>
                <w:bCs/>
              </w:rPr>
              <w:t>”</w:t>
            </w:r>
            <w:r w:rsidRPr="00F10E52">
              <w:rPr>
                <w:rFonts w:ascii="Verdana" w:eastAsia="Calibri" w:hAnsi="Verdana" w:cs="Arial"/>
              </w:rPr>
              <w:t xml:space="preserve"> durante los cuatro (4) meses anteriores a las elecciones presidenciales, salvo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 xml:space="preserve">lo referente a la defensa y seguridad del Estado, los </w:t>
            </w:r>
            <w:r w:rsidRPr="00F10E52">
              <w:rPr>
                <w:rFonts w:ascii="Verdana" w:eastAsia="Calibri" w:hAnsi="Verdana" w:cs="Arial"/>
              </w:rPr>
              <w:lastRenderedPageBreak/>
              <w:t>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bCs/>
              </w:rPr>
              <w:t>”</w:t>
            </w:r>
            <w:r w:rsidRPr="00F10E52">
              <w:rPr>
                <w:rFonts w:ascii="Verdana" w:eastAsia="Calibri" w:hAnsi="Verdana" w:cs="Arial"/>
              </w:rPr>
              <w:t>.</w:t>
            </w:r>
          </w:p>
          <w:p w14:paraId="279D2F77" w14:textId="77777777" w:rsidR="002C0013" w:rsidRDefault="002C0013" w:rsidP="00A1602F">
            <w:pPr>
              <w:spacing w:after="120" w:line="276" w:lineRule="auto"/>
              <w:ind w:firstLine="709"/>
              <w:jc w:val="both"/>
              <w:rPr>
                <w:rFonts w:ascii="Verdana" w:hAnsi="Verdana" w:cs="Arial"/>
                <w:lang w:eastAsia="x-none"/>
              </w:rPr>
            </w:pPr>
            <w:r w:rsidRPr="00195E24">
              <w:rPr>
                <w:rFonts w:ascii="Verdana" w:hAnsi="Verdana" w:cs="Arial"/>
                <w:lang w:eastAsia="x-none"/>
              </w:rPr>
              <w:t xml:space="preserve">De acuerdo con el citado concepto, la prohibición del artículo 33 de la Ley de Garantías Electorales se refiere a </w:t>
            </w:r>
            <w:r>
              <w:rPr>
                <w:rFonts w:ascii="Verdana" w:hAnsi="Verdana" w:cs="Arial"/>
                <w:sz w:val="19"/>
                <w:szCs w:val="19"/>
                <w:lang w:eastAsia="en-GB"/>
              </w:rPr>
              <w:t>“</w:t>
            </w:r>
            <w:r w:rsidRPr="00195E24">
              <w:rPr>
                <w:rFonts w:ascii="Verdana" w:hAnsi="Verdana" w:cs="Arial"/>
                <w:lang w:eastAsia="x-none"/>
              </w:rPr>
              <w:t>cualquier sistema que no implique convocatoria pública y posibilidad de pluralidad de oferentes</w:t>
            </w:r>
            <w:r>
              <w:rPr>
                <w:rFonts w:ascii="Verdana" w:hAnsi="Verdana" w:cs="Arial"/>
                <w:lang w:eastAsia="en-GB"/>
              </w:rPr>
              <w:t>”</w:t>
            </w:r>
            <w:r w:rsidRPr="00195E24">
              <w:rPr>
                <w:rFonts w:ascii="Verdana" w:hAnsi="Verdana" w:cs="Arial"/>
                <w:lang w:eastAsia="x-none"/>
              </w:rPr>
              <w:t>, por lo que excluye las demás modalidades de contratación previstas en la Ley 1150 de 2007</w:t>
            </w:r>
            <w:r>
              <w:rPr>
                <w:rFonts w:ascii="Verdana" w:hAnsi="Verdana" w:cs="Arial"/>
                <w:lang w:eastAsia="x-none"/>
              </w:rPr>
              <w:t>.</w:t>
            </w:r>
          </w:p>
          <w:p w14:paraId="54329DE1" w14:textId="77777777" w:rsidR="002C0013" w:rsidRDefault="002C0013" w:rsidP="00A1602F">
            <w:pPr>
              <w:spacing w:after="120" w:line="276" w:lineRule="auto"/>
              <w:ind w:firstLine="709"/>
              <w:jc w:val="both"/>
              <w:rPr>
                <w:rFonts w:ascii="Verdana" w:eastAsia="Calibri" w:hAnsi="Verdana" w:cs="Arial"/>
                <w:lang w:val="es-ES"/>
              </w:rPr>
            </w:pPr>
            <w:r>
              <w:rPr>
                <w:rFonts w:ascii="Verdana" w:eastAsia="Calibri" w:hAnsi="Verdana" w:cs="Arial"/>
                <w:lang w:val="es-ES"/>
              </w:rPr>
              <w:t>Ahora bien, f</w:t>
            </w:r>
            <w:r w:rsidRPr="00515C0B">
              <w:rPr>
                <w:rFonts w:ascii="Verdana" w:eastAsia="Calibri" w:hAnsi="Verdana" w:cs="Arial"/>
                <w:lang w:val="es-ES"/>
              </w:rPr>
              <w:t xml:space="preserve">rente al cuestionamiento planteado es necesario </w:t>
            </w:r>
            <w:r>
              <w:rPr>
                <w:rFonts w:ascii="Verdana" w:eastAsia="Calibri" w:hAnsi="Verdana" w:cs="Arial"/>
                <w:lang w:val="es-ES"/>
              </w:rPr>
              <w:t>señalar</w:t>
            </w:r>
            <w:r w:rsidRPr="00515C0B">
              <w:rPr>
                <w:rFonts w:ascii="Verdana" w:eastAsia="Calibri" w:hAnsi="Verdana" w:cs="Arial"/>
                <w:lang w:val="es-ES"/>
              </w:rPr>
              <w:t xml:space="preserve"> que dentro de la estructura de la Administración Pública se encuentran las entidades descentralizadas por servicios. A esta categoría pertenecen las Empresas Industriales y Comerciales del Estado, las cuales –sin perjuicio del control de tutela– tienen personería jurídica, autonomía administrativa y patrimonio propio. Estas entidades, como su nombre lo indica, se caracterizan por desarrollar actividades de carácter industrial o comercial.</w:t>
            </w:r>
          </w:p>
          <w:p w14:paraId="34DF9CAD" w14:textId="77777777" w:rsidR="002C0013" w:rsidRDefault="002C0013" w:rsidP="00A1602F">
            <w:pPr>
              <w:spacing w:after="120" w:line="276" w:lineRule="auto"/>
              <w:ind w:firstLine="708"/>
              <w:jc w:val="both"/>
              <w:rPr>
                <w:rFonts w:ascii="Verdana" w:hAnsi="Verdana" w:cs="Arial"/>
                <w:bCs/>
                <w:color w:val="000000" w:themeColor="text1"/>
                <w:lang w:val="es-MX" w:eastAsia="x-none"/>
              </w:rPr>
            </w:pPr>
            <w:r>
              <w:rPr>
                <w:rFonts w:ascii="Verdana" w:eastAsia="Calibri" w:hAnsi="Verdana" w:cs="Arial"/>
                <w:lang w:val="es-ES"/>
              </w:rPr>
              <w:t xml:space="preserve">Ahora bien, el artículo 33 de la Ley 996 de 2005 determina como destinatarios de las restricciones a todos los entes del Estado </w:t>
            </w:r>
            <w:r w:rsidRPr="00195E24">
              <w:rPr>
                <w:rFonts w:ascii="Verdana" w:hAnsi="Verdana" w:cs="Arial"/>
                <w:bCs/>
                <w:color w:val="000000" w:themeColor="text1"/>
                <w:lang w:val="es-MX" w:eastAsia="x-none"/>
              </w:rPr>
              <w:t xml:space="preserve">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018A6DD2" w14:textId="77777777" w:rsidR="002C0013" w:rsidRPr="00195E24" w:rsidRDefault="002C0013" w:rsidP="00A1602F">
            <w:pPr>
              <w:spacing w:after="120" w:line="276" w:lineRule="auto"/>
              <w:ind w:firstLine="709"/>
              <w:jc w:val="both"/>
              <w:rPr>
                <w:rFonts w:ascii="Verdana" w:hAnsi="Verdana" w:cs="Arial"/>
                <w:color w:val="000000" w:themeColor="text1"/>
                <w:lang w:eastAsia="es-CO"/>
              </w:rPr>
            </w:pPr>
            <w:r>
              <w:rPr>
                <w:rFonts w:ascii="Verdana" w:hAnsi="Verdana" w:cs="Arial"/>
                <w:color w:val="000000" w:themeColor="text1"/>
                <w:lang w:val="es-MX"/>
              </w:rPr>
              <w:t>Por lo tanto, la</w:t>
            </w:r>
            <w:r w:rsidRPr="00CE0D82">
              <w:rPr>
                <w:rFonts w:ascii="Verdana" w:hAnsi="Verdana" w:cs="Arial"/>
                <w:color w:val="000000" w:themeColor="text1"/>
                <w:lang w:val="es-MX"/>
              </w:rPr>
              <w:t xml:space="preserve"> restricción prevista en la Ley 996 de 2005 </w:t>
            </w:r>
            <w:r w:rsidRPr="00CE0D82">
              <w:rPr>
                <w:rFonts w:ascii="Verdana" w:hAnsi="Verdana" w:cs="Arial"/>
                <w:bCs/>
                <w:color w:val="000000" w:themeColor="text1"/>
                <w:lang w:val="es-MX" w:eastAsia="x-none"/>
              </w:rPr>
              <w:t xml:space="preserve">cobija a cualquier entidad pública independiente del régimen jurídico, que pueda mediante la contratación directa romper el equilibrio entre los candidatos en desarrollo de las elecciones presidenciales. </w:t>
            </w:r>
            <w:r>
              <w:rPr>
                <w:rFonts w:ascii="Verdana" w:hAnsi="Verdana" w:cs="Arial"/>
                <w:color w:val="000000" w:themeColor="text1"/>
                <w:lang w:eastAsia="es-CO"/>
              </w:rPr>
              <w:t xml:space="preserve">En este sentido, respecto a su consulta es pertinente señalar que las empresas industriales y comerciales del Estado en vigencia de la Ley de Garantías Electorales no podrán hacer contrataciones bajo la modalidad de contratación directa, </w:t>
            </w:r>
            <w:r w:rsidRPr="00195E24">
              <w:rPr>
                <w:rFonts w:ascii="Verdana" w:hAnsi="Verdana" w:cs="Arial"/>
                <w:color w:val="000000" w:themeColor="text1"/>
                <w:lang w:val="es-MX"/>
              </w:rPr>
              <w:t>sino por mecanismos competitivos que impliquen convocatoria pública y la posibilidad de la existencia de pluralidad de oferentes</w:t>
            </w:r>
            <w:r>
              <w:rPr>
                <w:rFonts w:ascii="Verdana" w:hAnsi="Verdana" w:cs="Arial"/>
                <w:color w:val="000000" w:themeColor="text1"/>
                <w:lang w:val="es-MX"/>
              </w:rPr>
              <w:t xml:space="preserve">. </w:t>
            </w:r>
          </w:p>
          <w:p w14:paraId="36A3C404" w14:textId="77777777" w:rsidR="002C0013" w:rsidRPr="004A19C8" w:rsidRDefault="002C0013" w:rsidP="00A1602F">
            <w:pPr>
              <w:widowControl w:val="0"/>
              <w:autoSpaceDE w:val="0"/>
              <w:autoSpaceDN w:val="0"/>
              <w:spacing w:after="120" w:line="276" w:lineRule="auto"/>
              <w:ind w:firstLine="709"/>
              <w:jc w:val="both"/>
              <w:rPr>
                <w:rFonts w:ascii="Verdana" w:eastAsia="Times New Roman" w:hAnsi="Verdana" w:cs="Arial"/>
                <w:bCs/>
                <w:lang w:val="es-ES" w:eastAsia="es-CO" w:bidi="es-ES"/>
              </w:rPr>
            </w:pPr>
            <w:r w:rsidRPr="00E36918">
              <w:rPr>
                <w:rFonts w:ascii="Verdana" w:eastAsia="Times New Roman" w:hAnsi="Verdana" w:cs="Arial"/>
                <w:bCs/>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w:t>
            </w:r>
            <w:r w:rsidRPr="00E36918">
              <w:rPr>
                <w:rFonts w:ascii="Verdana" w:eastAsia="Times New Roman" w:hAnsi="Verdana" w:cs="Arial"/>
                <w:bCs/>
                <w:lang w:val="es-ES" w:eastAsia="es-CO" w:bidi="es-ES"/>
              </w:rPr>
              <w:lastRenderedPageBreak/>
              <w:t xml:space="preserve">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E36918">
              <w:rPr>
                <w:rFonts w:ascii="Verdana" w:eastAsia="Times New Roman" w:hAnsi="Verdana" w:cs="Arial"/>
                <w:bCs/>
                <w:lang w:val="es-ES" w:eastAsia="es-CO" w:bidi="es-ES"/>
              </w:rPr>
              <w:t>ii</w:t>
            </w:r>
            <w:proofErr w:type="spellEnd"/>
            <w:r w:rsidRPr="00E36918">
              <w:rPr>
                <w:rFonts w:ascii="Verdana" w:eastAsia="Times New Roman" w:hAnsi="Verdana" w:cs="Arial"/>
                <w:bCs/>
                <w:lang w:val="es-ES" w:eastAsia="es-CO" w:bidi="es-ES"/>
              </w:rPr>
              <w:t xml:space="preserve">) los contratos de crédito público; </w:t>
            </w:r>
            <w:proofErr w:type="spellStart"/>
            <w:r w:rsidRPr="00E36918">
              <w:rPr>
                <w:rFonts w:ascii="Verdana" w:eastAsia="Times New Roman" w:hAnsi="Verdana" w:cs="Arial"/>
                <w:bCs/>
                <w:lang w:val="es-ES" w:eastAsia="es-CO" w:bidi="es-ES"/>
              </w:rPr>
              <w:t>iii</w:t>
            </w:r>
            <w:proofErr w:type="spellEnd"/>
            <w:r w:rsidRPr="00E36918">
              <w:rPr>
                <w:rFonts w:ascii="Verdana" w:eastAsia="Times New Roman" w:hAnsi="Verdana" w:cs="Arial"/>
                <w:bCs/>
                <w:lang w:val="es-ES" w:eastAsia="es-CO" w:bidi="es-ES"/>
              </w:rPr>
              <w:t xml:space="preserve">) los requeridos para cubrir las emergencias educativas, sanitarias y desastres; </w:t>
            </w:r>
            <w:proofErr w:type="spellStart"/>
            <w:r w:rsidRPr="00E36918">
              <w:rPr>
                <w:rFonts w:ascii="Verdana" w:eastAsia="Times New Roman" w:hAnsi="Verdana" w:cs="Arial"/>
                <w:bCs/>
                <w:lang w:val="es-ES" w:eastAsia="es-CO" w:bidi="es-ES"/>
              </w:rPr>
              <w:t>iv</w:t>
            </w:r>
            <w:proofErr w:type="spellEnd"/>
            <w:r w:rsidRPr="00E36918">
              <w:rPr>
                <w:rFonts w:ascii="Verdana" w:eastAsia="Times New Roman" w:hAnsi="Verdana" w:cs="Arial"/>
                <w:bCs/>
                <w:lang w:val="es-ES" w:eastAsia="es-CO" w:bidi="es-ES"/>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E36918">
              <w:rPr>
                <w:rFonts w:ascii="Verdana" w:hAnsi="Verdana" w:cs="Arial"/>
                <w:bCs/>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r w:rsidRPr="00E36918">
              <w:rPr>
                <w:rFonts w:ascii="Verdana" w:eastAsia="Times New Roman" w:hAnsi="Verdana" w:cs="Arial"/>
                <w:bCs/>
                <w:lang w:val="es-ES" w:eastAsia="es-CO" w:bidi="es-ES"/>
              </w:rPr>
              <w:t xml:space="preserve"> </w:t>
            </w:r>
          </w:p>
        </w:tc>
      </w:tr>
    </w:tbl>
    <w:p w14:paraId="782AA752" w14:textId="77777777" w:rsidR="002C0013" w:rsidRDefault="002C0013" w:rsidP="002C0013">
      <w:pPr>
        <w:tabs>
          <w:tab w:val="left" w:pos="142"/>
          <w:tab w:val="left" w:pos="284"/>
        </w:tabs>
        <w:spacing w:after="0" w:line="276" w:lineRule="auto"/>
        <w:jc w:val="both"/>
        <w:rPr>
          <w:rFonts w:ascii="Verdana" w:eastAsia="Century Gothic" w:hAnsi="Verdana" w:cs="Century Gothic"/>
          <w:b/>
          <w:bCs/>
        </w:rPr>
      </w:pPr>
    </w:p>
    <w:p w14:paraId="1761DD9E" w14:textId="77777777" w:rsidR="002C0013" w:rsidRPr="005644FE" w:rsidRDefault="002C0013" w:rsidP="002C0013">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207FAE5F" w14:textId="77777777" w:rsidR="002C0013" w:rsidRPr="005644FE" w:rsidRDefault="002C0013" w:rsidP="002C0013">
      <w:pPr>
        <w:pStyle w:val="Prrafodelista"/>
        <w:tabs>
          <w:tab w:val="left" w:pos="142"/>
          <w:tab w:val="left" w:pos="284"/>
        </w:tabs>
        <w:spacing w:after="0" w:line="240" w:lineRule="auto"/>
        <w:ind w:left="0"/>
        <w:contextualSpacing w:val="0"/>
        <w:jc w:val="both"/>
        <w:rPr>
          <w:rFonts w:ascii="Verdana" w:eastAsia="Calibri" w:hAnsi="Verdana" w:cs="Arial"/>
        </w:rPr>
      </w:pPr>
    </w:p>
    <w:p w14:paraId="5D514049" w14:textId="77777777" w:rsidR="002C0013" w:rsidRDefault="002C0013" w:rsidP="002C0013">
      <w:pPr>
        <w:tabs>
          <w:tab w:val="left" w:pos="142"/>
          <w:tab w:val="left" w:pos="284"/>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p>
    <w:p w14:paraId="111C1F31" w14:textId="77777777" w:rsidR="002C0013" w:rsidRDefault="002C0013" w:rsidP="002C0013">
      <w:pPr>
        <w:tabs>
          <w:tab w:val="left" w:pos="142"/>
          <w:tab w:val="left" w:pos="284"/>
        </w:tabs>
        <w:spacing w:after="0" w:line="240" w:lineRule="auto"/>
        <w:jc w:val="both"/>
        <w:rPr>
          <w:rFonts w:ascii="Verdana" w:eastAsia="Calibri" w:hAnsi="Verdana" w:cs="Arial"/>
        </w:rPr>
      </w:pPr>
    </w:p>
    <w:p w14:paraId="7EE55923" w14:textId="77777777" w:rsidR="002C0013" w:rsidRPr="00F10E52" w:rsidRDefault="002C0013" w:rsidP="002C0013">
      <w:pPr>
        <w:tabs>
          <w:tab w:val="left" w:pos="426"/>
        </w:tabs>
        <w:spacing w:after="120" w:line="276" w:lineRule="auto"/>
        <w:jc w:val="both"/>
        <w:rPr>
          <w:rFonts w:ascii="Verdana" w:eastAsia="Times New Roman" w:hAnsi="Verdana" w:cs="Arial"/>
          <w:bCs/>
          <w:lang w:eastAsia="es-CO"/>
        </w:rPr>
      </w:pPr>
      <w:r w:rsidRPr="00F10E52">
        <w:rPr>
          <w:rFonts w:ascii="Verdana" w:eastAsia="Calibri" w:hAnsi="Verdana" w:cs="Arial"/>
          <w:bCs/>
        </w:rPr>
        <w:t>El ordenamiento jurídico colombiano contempla previsiones claras para evitar la obtención de beneficios personales en asuntos propios de la administración pública</w:t>
      </w:r>
      <w:r w:rsidRPr="00F10E52">
        <w:rPr>
          <w:rFonts w:ascii="Verdana" w:eastAsia="Calibri" w:hAnsi="Verdana" w:cs="Arial"/>
          <w:bCs/>
          <w:i/>
          <w:iCs/>
        </w:rPr>
        <w:t xml:space="preserve">. </w:t>
      </w:r>
      <w:r w:rsidRPr="00F10E52">
        <w:rPr>
          <w:rFonts w:ascii="Verdana" w:eastAsia="Calibri" w:hAnsi="Verdana" w:cs="Arial"/>
          <w:bCs/>
        </w:rPr>
        <w:t>Por ejemplo, el artículo 127 de la Constitución Política establece una prohibición contractual a los servidores públicos y en cuanto a aspectos políticos establece restricciones a ciertos empleados del Estado, incluso en época no electoral</w:t>
      </w:r>
      <w:r w:rsidRPr="00F10E52">
        <w:rPr>
          <w:rStyle w:val="Refdenotaalpie"/>
          <w:rFonts w:ascii="Verdana" w:eastAsia="Calibri" w:hAnsi="Verdana" w:cs="Arial"/>
          <w:bCs/>
        </w:rPr>
        <w:footnoteReference w:id="1"/>
      </w:r>
      <w:r w:rsidRPr="00F10E52">
        <w:rPr>
          <w:rFonts w:ascii="Verdana" w:eastAsia="Calibri" w:hAnsi="Verdana" w:cs="Arial"/>
          <w:bCs/>
        </w:rPr>
        <w:t xml:space="preserve">. </w:t>
      </w:r>
    </w:p>
    <w:p w14:paraId="3F9998B7" w14:textId="77777777" w:rsidR="002C0013" w:rsidRDefault="002C0013" w:rsidP="002C0013">
      <w:pPr>
        <w:tabs>
          <w:tab w:val="left" w:pos="426"/>
        </w:tabs>
        <w:spacing w:after="120" w:line="276" w:lineRule="auto"/>
        <w:ind w:firstLine="709"/>
        <w:jc w:val="both"/>
        <w:rPr>
          <w:rFonts w:ascii="Verdana" w:eastAsia="Calibri" w:hAnsi="Verdana" w:cs="Arial"/>
          <w:noProof/>
          <w:lang w:val="es-ES_tradnl"/>
        </w:rPr>
      </w:pPr>
      <w:r w:rsidRPr="00F10E52">
        <w:rPr>
          <w:rFonts w:ascii="Verdana" w:eastAsia="Times New Roman" w:hAnsi="Verdana" w:cs="Arial"/>
          <w:bCs/>
          <w:lang w:eastAsia="es-CO"/>
        </w:rPr>
        <w:t xml:space="preserve">En el mismo sentido, la Ley 996 de 2005, conocida como </w:t>
      </w:r>
      <w:r>
        <w:rPr>
          <w:rFonts w:ascii="Verdana" w:eastAsia="Times New Roman" w:hAnsi="Verdana" w:cs="Arial"/>
          <w:bCs/>
          <w:lang w:eastAsia="es-CO"/>
        </w:rPr>
        <w:t>“</w:t>
      </w:r>
      <w:r w:rsidRPr="00F10E52">
        <w:rPr>
          <w:rFonts w:ascii="Verdana" w:eastAsia="Times New Roman" w:hAnsi="Verdana" w:cs="Arial"/>
          <w:bCs/>
          <w:lang w:eastAsia="es-CO"/>
        </w:rPr>
        <w:t>Ley de Garantías Electorales</w:t>
      </w:r>
      <w:r>
        <w:rPr>
          <w:rFonts w:ascii="Verdana" w:eastAsia="Times New Roman" w:hAnsi="Verdana" w:cs="Arial"/>
          <w:bCs/>
          <w:lang w:eastAsia="es-CO"/>
        </w:rPr>
        <w:t>”</w:t>
      </w:r>
      <w:r w:rsidRPr="00F10E52">
        <w:rPr>
          <w:rFonts w:ascii="Verdana" w:eastAsia="Times New Roman" w:hAnsi="Verdana" w:cs="Arial"/>
          <w:bCs/>
          <w:lang w:eastAsia="es-CO"/>
        </w:rPr>
        <w:t xml:space="preserve">,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w:t>
      </w:r>
      <w:r w:rsidRPr="00F10E52">
        <w:rPr>
          <w:rFonts w:ascii="Verdana" w:eastAsia="Times New Roman" w:hAnsi="Verdana" w:cs="Arial"/>
          <w:bCs/>
          <w:lang w:eastAsia="es-CO"/>
        </w:rPr>
        <w:lastRenderedPageBreak/>
        <w:t>Estado en las campañas o falta de garantías en la elección presidencial</w:t>
      </w:r>
      <w:r w:rsidRPr="00F10E52">
        <w:rPr>
          <w:rStyle w:val="Refdenotaalpie"/>
          <w:rFonts w:ascii="Verdana" w:eastAsia="Times New Roman" w:hAnsi="Verdana" w:cs="Arial"/>
          <w:bCs/>
          <w:lang w:eastAsia="es-CO"/>
        </w:rPr>
        <w:footnoteReference w:id="2"/>
      </w:r>
      <w:r w:rsidRPr="00F10E52">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F10E52">
        <w:rPr>
          <w:rFonts w:ascii="Verdana" w:eastAsia="Calibri" w:hAnsi="Verdana" w:cs="Arial"/>
          <w:noProof/>
          <w:lang w:val="es-ES_tradnl"/>
        </w:rPr>
        <w:t xml:space="preserve"> </w:t>
      </w:r>
    </w:p>
    <w:p w14:paraId="028467D8" w14:textId="77777777" w:rsidR="002C0013" w:rsidRDefault="002C0013" w:rsidP="002C0013">
      <w:pPr>
        <w:tabs>
          <w:tab w:val="left" w:pos="426"/>
        </w:tabs>
        <w:spacing w:before="120" w:after="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2C908843" w14:textId="77777777" w:rsidR="002C0013" w:rsidRPr="00F10E52" w:rsidRDefault="002C0013" w:rsidP="002C0013">
      <w:pPr>
        <w:tabs>
          <w:tab w:val="left" w:pos="426"/>
        </w:tabs>
        <w:spacing w:after="0" w:line="276" w:lineRule="auto"/>
        <w:ind w:firstLine="709"/>
        <w:jc w:val="both"/>
        <w:rPr>
          <w:rFonts w:ascii="Verdana" w:eastAsia="Times New Roman" w:hAnsi="Verdana" w:cs="Arial"/>
          <w:bCs/>
          <w:lang w:eastAsia="es-CO"/>
        </w:rPr>
      </w:pPr>
    </w:p>
    <w:p w14:paraId="3FC82E0F" w14:textId="77777777" w:rsidR="002C0013" w:rsidRPr="007777F3" w:rsidRDefault="002C0013" w:rsidP="002C0013">
      <w:pPr>
        <w:spacing w:after="0" w:line="240" w:lineRule="auto"/>
        <w:ind w:left="709" w:right="709"/>
        <w:jc w:val="both"/>
        <w:rPr>
          <w:rFonts w:ascii="Verdana" w:eastAsia="Times New Roman" w:hAnsi="Verdana" w:cs="Arial"/>
          <w:sz w:val="20"/>
          <w:szCs w:val="20"/>
          <w:lang w:val="es-ES" w:eastAsia="es-CO"/>
        </w:rPr>
      </w:pPr>
      <w:r>
        <w:rPr>
          <w:rFonts w:ascii="Verdana" w:eastAsia="Times New Roman" w:hAnsi="Verdana" w:cs="Arial"/>
          <w:sz w:val="20"/>
          <w:szCs w:val="20"/>
          <w:lang w:val="es-ES" w:eastAsia="es-CO"/>
        </w:rPr>
        <w:t>“(…)</w:t>
      </w:r>
      <w:r w:rsidRPr="006A51F6">
        <w:rPr>
          <w:rFonts w:ascii="Verdana" w:eastAsia="Times New Roman" w:hAnsi="Verdana" w:cs="Arial"/>
          <w:sz w:val="20"/>
          <w:szCs w:val="20"/>
          <w:lang w:val="es-ES" w:eastAsia="es-CO"/>
        </w:rPr>
        <w:t xml:space="preserve"> </w:t>
      </w:r>
      <w:r w:rsidRPr="009E6EDF">
        <w:rPr>
          <w:rFonts w:ascii="Verdana" w:eastAsia="Times New Roman" w:hAnsi="Verdana" w:cs="Arial"/>
          <w:bCs/>
          <w:sz w:val="20"/>
          <w:szCs w:val="20"/>
          <w:lang w:eastAsia="es-CO"/>
        </w:rPr>
        <w:t>La definición de reglas claras que permitan acceder a los canales de expresión democrática de manera efectiva e igualitaria. El objetivo de una ley de garantías es definir esas reglas.</w:t>
      </w:r>
    </w:p>
    <w:p w14:paraId="7D9BDD5F" w14:textId="77777777" w:rsidR="002C0013" w:rsidRPr="009E6EDF" w:rsidRDefault="002C0013" w:rsidP="002C0013">
      <w:pPr>
        <w:spacing w:after="0" w:line="240" w:lineRule="auto"/>
        <w:ind w:left="709" w:right="709"/>
        <w:jc w:val="both"/>
        <w:rPr>
          <w:rFonts w:ascii="Verdana" w:eastAsia="Times New Roman" w:hAnsi="Verdana" w:cs="Arial"/>
          <w:bCs/>
          <w:sz w:val="20"/>
          <w:szCs w:val="20"/>
          <w:lang w:eastAsia="es-CO"/>
        </w:rPr>
      </w:pPr>
    </w:p>
    <w:p w14:paraId="5F88833D" w14:textId="77777777" w:rsidR="002C0013" w:rsidRDefault="002C0013" w:rsidP="002C0013">
      <w:pPr>
        <w:spacing w:after="0" w:line="240" w:lineRule="auto"/>
        <w:ind w:left="709" w:right="709"/>
        <w:jc w:val="both"/>
        <w:rPr>
          <w:rFonts w:ascii="Verdana" w:eastAsia="Times New Roman" w:hAnsi="Verdana" w:cs="Arial"/>
          <w:bCs/>
          <w:sz w:val="20"/>
          <w:szCs w:val="20"/>
          <w:lang w:eastAsia="es-CO"/>
        </w:rPr>
      </w:pPr>
      <w:r w:rsidRPr="009E6EDF">
        <w:rPr>
          <w:rFonts w:ascii="Verdana" w:eastAsia="Times New Roman" w:hAnsi="Verdana" w:cs="Arial"/>
          <w:bCs/>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Verdana" w:eastAsia="Times New Roman" w:hAnsi="Verdana" w:cs="Arial"/>
          <w:bCs/>
          <w:sz w:val="20"/>
          <w:szCs w:val="20"/>
          <w:lang w:eastAsia="es-CO"/>
        </w:rPr>
        <w:t xml:space="preserve"> (…)”</w:t>
      </w:r>
      <w:r w:rsidRPr="009E6EDF">
        <w:rPr>
          <w:rStyle w:val="Refdenotaalpie"/>
          <w:rFonts w:ascii="Verdana" w:hAnsi="Verdana" w:cs="Arial"/>
          <w:sz w:val="20"/>
          <w:szCs w:val="20"/>
        </w:rPr>
        <w:footnoteReference w:id="3"/>
      </w:r>
      <w:r>
        <w:rPr>
          <w:rFonts w:ascii="Verdana" w:eastAsia="Times New Roman" w:hAnsi="Verdana" w:cs="Arial"/>
          <w:bCs/>
          <w:sz w:val="20"/>
          <w:szCs w:val="20"/>
          <w:lang w:eastAsia="es-CO"/>
        </w:rPr>
        <w:t>.</w:t>
      </w:r>
      <w:r w:rsidRPr="006A51F6">
        <w:rPr>
          <w:rFonts w:ascii="Verdana" w:eastAsia="Times New Roman" w:hAnsi="Verdana" w:cs="Arial"/>
          <w:bCs/>
          <w:sz w:val="20"/>
          <w:szCs w:val="20"/>
          <w:lang w:eastAsia="es-CO"/>
        </w:rPr>
        <w:t xml:space="preserve"> </w:t>
      </w:r>
    </w:p>
    <w:p w14:paraId="131FB393" w14:textId="77777777" w:rsidR="002C0013" w:rsidRPr="009E6EDF" w:rsidRDefault="002C0013" w:rsidP="002C0013">
      <w:pPr>
        <w:spacing w:after="0" w:line="276" w:lineRule="auto"/>
        <w:ind w:left="709" w:right="709"/>
        <w:jc w:val="both"/>
        <w:rPr>
          <w:rFonts w:ascii="Verdana" w:eastAsia="Times New Roman" w:hAnsi="Verdana" w:cs="Arial"/>
          <w:bCs/>
          <w:lang w:eastAsia="es-CO"/>
        </w:rPr>
      </w:pPr>
    </w:p>
    <w:p w14:paraId="4238BDE8" w14:textId="77777777" w:rsidR="002C0013" w:rsidRPr="006A51F6" w:rsidRDefault="002C0013" w:rsidP="002C0013">
      <w:pPr>
        <w:spacing w:after="0" w:line="276" w:lineRule="auto"/>
        <w:ind w:firstLine="709"/>
        <w:jc w:val="both"/>
        <w:rPr>
          <w:rFonts w:ascii="Verdana" w:eastAsia="Times New Roman" w:hAnsi="Verdana" w:cs="Arial"/>
          <w:bCs/>
          <w:lang w:eastAsia="es-CO"/>
        </w:rPr>
      </w:pPr>
      <w:bookmarkStart w:id="1" w:name="_Hlk78818186"/>
      <w:r w:rsidRPr="00F10E52">
        <w:rPr>
          <w:rFonts w:ascii="Verdana" w:eastAsia="Times New Roman" w:hAnsi="Verdana" w:cs="Arial"/>
          <w:bCs/>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
      <w:r w:rsidRPr="00F10E52">
        <w:rPr>
          <w:rFonts w:ascii="Verdana" w:eastAsia="Times New Roman" w:hAnsi="Verdana" w:cs="Arial"/>
          <w:bCs/>
          <w:lang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15DA4D44" w14:textId="77777777" w:rsidR="002C0013" w:rsidRDefault="002C0013" w:rsidP="002C0013">
      <w:pPr>
        <w:spacing w:after="0" w:line="240" w:lineRule="auto"/>
        <w:ind w:left="709" w:right="709"/>
        <w:jc w:val="both"/>
        <w:rPr>
          <w:rFonts w:ascii="Verdana" w:eastAsia="Times New Roman" w:hAnsi="Verdana" w:cs="Arial"/>
          <w:bCs/>
          <w:sz w:val="20"/>
          <w:szCs w:val="20"/>
          <w:lang w:eastAsia="es-CO"/>
        </w:rPr>
      </w:pPr>
      <w:r>
        <w:rPr>
          <w:rFonts w:ascii="Verdana" w:eastAsia="Times New Roman" w:hAnsi="Verdana" w:cs="Arial"/>
          <w:bCs/>
          <w:sz w:val="20"/>
          <w:szCs w:val="20"/>
          <w:lang w:eastAsia="es-CO"/>
        </w:rPr>
        <w:t>“</w:t>
      </w:r>
      <w:r w:rsidRPr="009B20C5">
        <w:rPr>
          <w:rFonts w:ascii="Verdana" w:eastAsia="Times New Roman" w:hAnsi="Verdana" w:cs="Arial"/>
          <w:bCs/>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9B20C5">
        <w:rPr>
          <w:rFonts w:ascii="Verdana" w:eastAsia="Times New Roman" w:hAnsi="Verdana" w:cs="Arial"/>
          <w:bCs/>
          <w:sz w:val="20"/>
          <w:szCs w:val="20"/>
          <w:lang w:eastAsia="es-CO"/>
        </w:rPr>
        <w:t>legis</w:t>
      </w:r>
      <w:proofErr w:type="spellEnd"/>
      <w:r w:rsidRPr="009B20C5">
        <w:rPr>
          <w:rFonts w:ascii="Verdana" w:eastAsia="Times New Roman" w:hAnsi="Verdana" w:cs="Arial"/>
          <w:bCs/>
          <w:sz w:val="20"/>
          <w:szCs w:val="20"/>
          <w:lang w:eastAsia="es-CO"/>
        </w:rPr>
        <w:t xml:space="preserve"> o iuris y la interpretación extensiva. Las normas legales de contenido prohibitivo hacen parte de un conjunto de disposiciones que integran un </w:t>
      </w:r>
      <w:r w:rsidRPr="009B20C5">
        <w:rPr>
          <w:rFonts w:ascii="Verdana" w:eastAsia="Times New Roman" w:hAnsi="Verdana" w:cs="Arial"/>
          <w:bCs/>
          <w:sz w:val="20"/>
          <w:szCs w:val="20"/>
          <w:lang w:eastAsia="es-CO"/>
        </w:rPr>
        <w:lastRenderedPageBreak/>
        <w:t>régimen jurídico imperativo y de orden público, razón por la cual no son disponibles ni pueden ser derogadas, modificadas, ampliadas o adicionadas por acuerdo o convenio o acto unilateral.</w:t>
      </w:r>
    </w:p>
    <w:p w14:paraId="72D2F753" w14:textId="77777777" w:rsidR="002C0013" w:rsidRPr="009B20C5" w:rsidRDefault="002C0013" w:rsidP="002C0013">
      <w:pPr>
        <w:spacing w:after="0" w:line="240" w:lineRule="auto"/>
        <w:ind w:left="709" w:right="709"/>
        <w:jc w:val="both"/>
        <w:rPr>
          <w:rFonts w:ascii="Verdana" w:eastAsia="Times New Roman" w:hAnsi="Verdana" w:cs="Arial"/>
          <w:bCs/>
          <w:sz w:val="20"/>
          <w:szCs w:val="20"/>
          <w:lang w:eastAsia="es-CO"/>
        </w:rPr>
      </w:pPr>
    </w:p>
    <w:p w14:paraId="22673240" w14:textId="77777777" w:rsidR="002C0013" w:rsidRPr="009B20C5" w:rsidRDefault="002C0013" w:rsidP="002C0013">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es-CO"/>
        </w:rPr>
        <w:t>La jurisprudencia de la Corte Constitucional</w:t>
      </w:r>
      <w:r w:rsidRPr="009B20C5">
        <w:rPr>
          <w:rStyle w:val="Refdenotaalpie"/>
          <w:rFonts w:ascii="Verdana" w:eastAsia="Times New Roman" w:hAnsi="Verdana" w:cs="Arial"/>
          <w:bCs/>
          <w:sz w:val="20"/>
          <w:szCs w:val="20"/>
          <w:lang w:eastAsia="es-CO"/>
        </w:rPr>
        <w:footnoteReference w:id="4"/>
      </w:r>
      <w:r w:rsidRPr="009B20C5">
        <w:rPr>
          <w:rFonts w:ascii="Verdana" w:eastAsia="Times New Roman" w:hAnsi="Verdana" w:cs="Arial"/>
          <w:bCs/>
          <w:sz w:val="20"/>
          <w:szCs w:val="20"/>
          <w:lang w:eastAsia="es-CO"/>
        </w:rPr>
        <w:t> y del Consejo de Estado</w:t>
      </w:r>
      <w:r w:rsidRPr="009B20C5">
        <w:rPr>
          <w:rStyle w:val="Refdenotaalpie"/>
          <w:rFonts w:ascii="Verdana" w:eastAsia="Times New Roman" w:hAnsi="Verdana" w:cs="Arial"/>
          <w:bCs/>
          <w:sz w:val="20"/>
          <w:szCs w:val="20"/>
          <w:lang w:eastAsia="es-CO"/>
        </w:rPr>
        <w:footnoteReference w:id="5"/>
      </w:r>
      <w:r w:rsidRPr="009B20C5">
        <w:rPr>
          <w:rFonts w:ascii="Verdana" w:eastAsia="Times New Roman" w:hAnsi="Verdana" w:cs="Arial"/>
          <w:bCs/>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Verdana" w:eastAsia="Times New Roman" w:hAnsi="Verdana" w:cs="Arial"/>
          <w:bCs/>
          <w:sz w:val="20"/>
          <w:szCs w:val="20"/>
          <w:lang w:eastAsia="es-CO"/>
        </w:rPr>
        <w:t>”</w:t>
      </w:r>
      <w:r w:rsidRPr="009B20C5">
        <w:rPr>
          <w:rStyle w:val="Refdenotaalpie"/>
          <w:rFonts w:ascii="Verdana" w:eastAsia="Times New Roman" w:hAnsi="Verdana" w:cs="Arial"/>
          <w:bCs/>
          <w:sz w:val="20"/>
          <w:szCs w:val="20"/>
          <w:lang w:eastAsia="es-CO"/>
        </w:rPr>
        <w:footnoteReference w:id="6"/>
      </w:r>
      <w:r w:rsidRPr="009B20C5">
        <w:rPr>
          <w:rFonts w:ascii="Verdana" w:eastAsia="Times New Roman" w:hAnsi="Verdana" w:cs="Arial"/>
          <w:bCs/>
          <w:sz w:val="20"/>
          <w:szCs w:val="20"/>
          <w:lang w:eastAsia="es-CO"/>
        </w:rPr>
        <w:t>.</w:t>
      </w:r>
    </w:p>
    <w:p w14:paraId="6BFF87E8" w14:textId="77777777" w:rsidR="002C0013" w:rsidRDefault="002C0013" w:rsidP="002C0013">
      <w:pPr>
        <w:spacing w:after="0" w:line="276" w:lineRule="auto"/>
        <w:jc w:val="both"/>
        <w:rPr>
          <w:rFonts w:ascii="Verdana" w:eastAsia="Times New Roman" w:hAnsi="Verdana" w:cs="Arial"/>
          <w:bCs/>
          <w:lang w:eastAsia="es-CO"/>
        </w:rPr>
      </w:pPr>
      <w:r w:rsidRPr="00F10E52">
        <w:rPr>
          <w:rFonts w:ascii="Verdana" w:eastAsia="Times New Roman" w:hAnsi="Verdana" w:cs="Arial"/>
          <w:bCs/>
          <w:lang w:eastAsia="es-CO"/>
        </w:rPr>
        <w:tab/>
      </w:r>
    </w:p>
    <w:p w14:paraId="450DB422" w14:textId="77777777" w:rsidR="002C0013" w:rsidRDefault="002C0013" w:rsidP="002C0013">
      <w:pPr>
        <w:spacing w:after="120" w:line="276" w:lineRule="auto"/>
        <w:ind w:firstLine="708"/>
        <w:jc w:val="both"/>
        <w:rPr>
          <w:rFonts w:ascii="Verdana" w:eastAsia="Arial" w:hAnsi="Verdana" w:cs="Arial"/>
          <w:lang w:val="es-ES" w:eastAsia="es-ES" w:bidi="es-ES"/>
        </w:rPr>
      </w:pPr>
      <w:r w:rsidRPr="00F10E52">
        <w:rPr>
          <w:rFonts w:ascii="Verdana" w:eastAsia="Times New Roman" w:hAnsi="Verdana" w:cs="Arial"/>
          <w:bCs/>
          <w:lang w:eastAsia="es-CO"/>
        </w:rPr>
        <w:t>De</w:t>
      </w:r>
      <w:r w:rsidRPr="00F10E52">
        <w:rPr>
          <w:rFonts w:ascii="Verdana" w:eastAsia="Arial" w:hAnsi="Verdana" w:cs="Arial"/>
          <w:lang w:val="es-ES" w:eastAsia="es-ES" w:bidi="es-ES"/>
        </w:rPr>
        <w:t xml:space="preserve"> conformidad con lo anterior, </w:t>
      </w:r>
      <w:bookmarkStart w:id="2" w:name="_Hlk77236098"/>
      <w:r w:rsidRPr="00F10E52">
        <w:rPr>
          <w:rFonts w:ascii="Verdana" w:eastAsia="Arial" w:hAnsi="Verdana" w:cs="Arial"/>
          <w:lang w:val="es-ES" w:eastAsia="es-ES" w:bidi="es-ES"/>
        </w:rPr>
        <w:t xml:space="preserve">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39C46913" w14:textId="77777777" w:rsidR="002C0013" w:rsidRPr="00F10E52" w:rsidRDefault="002C0013" w:rsidP="002C0013">
      <w:pPr>
        <w:spacing w:after="120" w:line="276" w:lineRule="auto"/>
        <w:ind w:firstLine="708"/>
        <w:jc w:val="both"/>
        <w:rPr>
          <w:rFonts w:ascii="Verdana" w:eastAsia="Arial" w:hAnsi="Verdana" w:cs="Arial"/>
          <w:lang w:val="es-ES" w:eastAsia="es-ES" w:bidi="es-ES"/>
        </w:rPr>
      </w:pPr>
      <w:r w:rsidRPr="00F10E52">
        <w:rPr>
          <w:rFonts w:ascii="Verdana" w:eastAsia="Arial" w:hAnsi="Verdana" w:cs="Arial"/>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2"/>
    </w:p>
    <w:p w14:paraId="3EFFC6E2" w14:textId="77777777" w:rsidR="002C0013" w:rsidRPr="00F10E52" w:rsidRDefault="002C0013" w:rsidP="002C0013">
      <w:pPr>
        <w:spacing w:after="120" w:line="276" w:lineRule="auto"/>
        <w:ind w:firstLine="708"/>
        <w:jc w:val="both"/>
        <w:rPr>
          <w:rFonts w:ascii="Verdana" w:eastAsia="Calibri" w:hAnsi="Verdana" w:cs="Arial"/>
        </w:rPr>
      </w:pPr>
      <w:r w:rsidRPr="00F10E52">
        <w:rPr>
          <w:rFonts w:ascii="Verdana" w:eastAsia="Calibri" w:hAnsi="Verdana" w:cs="Arial"/>
        </w:rPr>
        <w:t xml:space="preserve">Por un lado, el artículo 33 de la Ley 996 de 2005 prohíbe </w:t>
      </w:r>
      <w:r>
        <w:rPr>
          <w:rFonts w:ascii="Verdana" w:eastAsia="Calibri" w:hAnsi="Verdana" w:cs="Arial"/>
        </w:rPr>
        <w:t>“</w:t>
      </w:r>
      <w:r>
        <w:rPr>
          <w:rFonts w:ascii="Verdana" w:eastAsia="Calibri" w:hAnsi="Verdana" w:cs="Arial"/>
          <w:bCs/>
        </w:rPr>
        <w:t xml:space="preserve">(…) </w:t>
      </w:r>
      <w:r w:rsidRPr="00F10E52">
        <w:rPr>
          <w:rFonts w:ascii="Verdana" w:eastAsia="Calibri" w:hAnsi="Verdana" w:cs="Arial"/>
        </w:rPr>
        <w:t>la contratación directa por parte de todos los entes del Estado</w:t>
      </w:r>
      <w:r>
        <w:rPr>
          <w:rFonts w:ascii="Verdana" w:eastAsia="Calibri" w:hAnsi="Verdana" w:cs="Arial"/>
          <w:bCs/>
        </w:rPr>
        <w:t>”</w:t>
      </w:r>
      <w:r w:rsidRPr="00F10E52">
        <w:rPr>
          <w:rFonts w:ascii="Verdana" w:eastAsia="Calibri" w:hAnsi="Verdana" w:cs="Arial"/>
        </w:rPr>
        <w:t xml:space="preserve"> durante los cuatro (4) meses anteriores a las elecciones presidenciales, salvo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w:t>
      </w:r>
      <w:r w:rsidRPr="00F10E52">
        <w:rPr>
          <w:rFonts w:ascii="Verdana" w:eastAsia="Calibri" w:hAnsi="Verdana" w:cs="Arial"/>
        </w:rPr>
        <w:lastRenderedPageBreak/>
        <w:t>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bCs/>
        </w:rPr>
        <w:t>”</w:t>
      </w:r>
      <w:r w:rsidRPr="00F10E52">
        <w:rPr>
          <w:rFonts w:ascii="Verdana" w:eastAsia="Calibri" w:hAnsi="Verdana" w:cs="Arial"/>
          <w:bCs/>
          <w:vertAlign w:val="superscript"/>
        </w:rPr>
        <w:footnoteReference w:id="7"/>
      </w:r>
      <w:r w:rsidRPr="00F10E52">
        <w:rPr>
          <w:rFonts w:ascii="Verdana" w:eastAsia="Calibri" w:hAnsi="Verdana" w:cs="Arial"/>
        </w:rPr>
        <w:t>.</w:t>
      </w:r>
    </w:p>
    <w:p w14:paraId="757DA2CA" w14:textId="77777777" w:rsidR="002C0013" w:rsidRDefault="002C0013" w:rsidP="002C0013">
      <w:pPr>
        <w:widowControl w:val="0"/>
        <w:autoSpaceDE w:val="0"/>
        <w:autoSpaceDN w:val="0"/>
        <w:spacing w:after="120" w:line="276" w:lineRule="auto"/>
        <w:ind w:firstLine="708"/>
        <w:jc w:val="both"/>
        <w:rPr>
          <w:rFonts w:ascii="Verdana" w:eastAsia="Arial" w:hAnsi="Verdana" w:cs="Arial"/>
          <w:lang w:val="es-ES" w:eastAsia="es-ES" w:bidi="es-ES"/>
        </w:rPr>
      </w:pPr>
      <w:r w:rsidRPr="00F10E52">
        <w:rPr>
          <w:rFonts w:ascii="Verdana" w:eastAsia="Calibri" w:hAnsi="Verdana"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bCs/>
        </w:rPr>
        <w:t>”</w:t>
      </w:r>
      <w:r w:rsidRPr="00F10E52">
        <w:rPr>
          <w:rFonts w:ascii="Verdana" w:eastAsia="Calibri" w:hAnsi="Verdana" w:cs="Arial"/>
          <w:bCs/>
          <w:vertAlign w:val="superscript"/>
        </w:rPr>
        <w:footnoteReference w:id="8"/>
      </w:r>
      <w:r w:rsidRPr="00F10E52">
        <w:rPr>
          <w:rFonts w:ascii="Verdana" w:eastAsia="Calibri" w:hAnsi="Verdana" w:cs="Arial"/>
        </w:rPr>
        <w:t>.</w:t>
      </w:r>
      <w:r w:rsidRPr="00F10E52">
        <w:rPr>
          <w:rFonts w:ascii="Verdana" w:eastAsia="Arial" w:hAnsi="Verdana" w:cs="Arial"/>
          <w:lang w:val="es-ES" w:eastAsia="es-ES" w:bidi="es-ES"/>
        </w:rPr>
        <w:t xml:space="preserve"> </w:t>
      </w:r>
    </w:p>
    <w:p w14:paraId="6FDB25A7" w14:textId="77777777" w:rsidR="002C0013" w:rsidRPr="00F10E52" w:rsidRDefault="002C0013" w:rsidP="002C0013">
      <w:pPr>
        <w:widowControl w:val="0"/>
        <w:autoSpaceDE w:val="0"/>
        <w:autoSpaceDN w:val="0"/>
        <w:spacing w:before="120" w:after="0" w:line="276" w:lineRule="auto"/>
        <w:ind w:right="113" w:firstLine="708"/>
        <w:jc w:val="both"/>
        <w:rPr>
          <w:rFonts w:ascii="Verdana" w:eastAsia="Arial" w:hAnsi="Verdana" w:cs="Arial"/>
          <w:lang w:val="es-ES" w:eastAsia="es-ES" w:bidi="es-ES"/>
        </w:rPr>
      </w:pPr>
      <w:r w:rsidRPr="00F10E52">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454064B0" w14:textId="77777777" w:rsidR="002C0013" w:rsidRPr="006A51F6" w:rsidRDefault="002C0013" w:rsidP="002C0013">
      <w:pPr>
        <w:widowControl w:val="0"/>
        <w:autoSpaceDE w:val="0"/>
        <w:autoSpaceDN w:val="0"/>
        <w:spacing w:after="0" w:line="240" w:lineRule="auto"/>
        <w:ind w:left="709" w:right="709"/>
        <w:jc w:val="both"/>
        <w:rPr>
          <w:rFonts w:ascii="Verdana" w:eastAsia="Arial" w:hAnsi="Verdana" w:cs="Arial"/>
          <w:lang w:val="es-ES" w:eastAsia="es-ES" w:bidi="es-ES"/>
        </w:rPr>
      </w:pPr>
    </w:p>
    <w:p w14:paraId="526398DD" w14:textId="77777777" w:rsidR="002C0013" w:rsidRPr="009B20C5" w:rsidRDefault="002C0013" w:rsidP="002C0013">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w:t>
      </w:r>
      <w:r w:rsidRPr="009B20C5">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5" w:name="_Hlk76109421"/>
      <w:r w:rsidRPr="009B20C5">
        <w:rPr>
          <w:rFonts w:ascii="Verdana" w:eastAsia="Arial" w:hAnsi="Verdana" w:cs="Arial"/>
          <w:sz w:val="20"/>
          <w:szCs w:val="20"/>
          <w:lang w:val="es-ES" w:eastAsia="es-ES" w:bidi="es-ES"/>
        </w:rPr>
        <w:t>se integran parcialmente</w:t>
      </w:r>
      <w:bookmarkEnd w:id="5"/>
      <w:r w:rsidRPr="009B20C5">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9B20C5">
        <w:rPr>
          <w:rFonts w:ascii="Verdana" w:eastAsia="Arial" w:hAnsi="Verdana" w:cs="Arial"/>
          <w:bCs/>
          <w:sz w:val="20"/>
          <w:szCs w:val="20"/>
          <w:lang w:val="es-ES" w:eastAsia="es-ES" w:bidi="es-ES"/>
        </w:rPr>
        <w:t xml:space="preserve">En cambio, para elecciones en general, </w:t>
      </w:r>
      <w:r w:rsidRPr="009B20C5">
        <w:rPr>
          <w:rFonts w:ascii="Verdana" w:eastAsia="Arial" w:hAnsi="Verdana" w:cs="Arial"/>
          <w:bCs/>
          <w:sz w:val="20"/>
          <w:szCs w:val="20"/>
          <w:lang w:val="es-ES" w:eastAsia="es-ES" w:bidi="es-ES"/>
        </w:rPr>
        <w:lastRenderedPageBreak/>
        <w:t xml:space="preserve">excluyendo las correspondientes a </w:t>
      </w:r>
      <w:proofErr w:type="gramStart"/>
      <w:r w:rsidRPr="009B20C5">
        <w:rPr>
          <w:rFonts w:ascii="Verdana" w:eastAsia="Arial" w:hAnsi="Verdana" w:cs="Arial"/>
          <w:bCs/>
          <w:sz w:val="20"/>
          <w:szCs w:val="20"/>
          <w:lang w:val="es-ES" w:eastAsia="es-ES" w:bidi="es-ES"/>
        </w:rPr>
        <w:t>Presidente</w:t>
      </w:r>
      <w:proofErr w:type="gramEnd"/>
      <w:r w:rsidRPr="009B20C5">
        <w:rPr>
          <w:rFonts w:ascii="Verdana" w:eastAsia="Arial" w:hAnsi="Verdana" w:cs="Arial"/>
          <w:bCs/>
          <w:sz w:val="20"/>
          <w:szCs w:val="20"/>
          <w:lang w:val="es-ES" w:eastAsia="es-ES" w:bidi="es-ES"/>
        </w:rPr>
        <w:t xml:space="preserve"> de la República, a las autoridades territoriales allí mencionadas sólo se aplican las restricciones contenidas en el parágrafo del artículo 38</w:t>
      </w:r>
      <w:r>
        <w:rPr>
          <w:rFonts w:ascii="Verdana" w:eastAsia="Arial" w:hAnsi="Verdana" w:cs="Arial"/>
          <w:sz w:val="20"/>
          <w:szCs w:val="20"/>
          <w:lang w:val="es-ES" w:eastAsia="es-ES" w:bidi="es-ES"/>
        </w:rPr>
        <w:t>”</w:t>
      </w:r>
      <w:r w:rsidRPr="009B20C5">
        <w:rPr>
          <w:rFonts w:ascii="Verdana" w:eastAsia="Arial" w:hAnsi="Verdana" w:cs="Arial"/>
          <w:sz w:val="20"/>
          <w:szCs w:val="20"/>
          <w:vertAlign w:val="superscript"/>
          <w:lang w:val="es-ES" w:eastAsia="es-ES" w:bidi="es-ES"/>
        </w:rPr>
        <w:footnoteReference w:id="9"/>
      </w:r>
      <w:r>
        <w:rPr>
          <w:rFonts w:ascii="Verdana" w:eastAsia="Arial" w:hAnsi="Verdana" w:cs="Arial"/>
          <w:sz w:val="20"/>
          <w:szCs w:val="20"/>
          <w:lang w:val="es-ES" w:eastAsia="es-ES" w:bidi="es-ES"/>
        </w:rPr>
        <w:t>.</w:t>
      </w:r>
    </w:p>
    <w:p w14:paraId="51EC49D3" w14:textId="77777777" w:rsidR="002C0013" w:rsidRDefault="002C0013" w:rsidP="002C0013">
      <w:pPr>
        <w:spacing w:after="0" w:line="276" w:lineRule="auto"/>
        <w:ind w:firstLine="709"/>
        <w:jc w:val="both"/>
        <w:rPr>
          <w:rFonts w:ascii="Verdana" w:eastAsia="Arial" w:hAnsi="Verdana" w:cs="Arial"/>
          <w:lang w:val="es-ES" w:eastAsia="es-ES" w:bidi="es-ES"/>
        </w:rPr>
      </w:pPr>
    </w:p>
    <w:p w14:paraId="70D900EF" w14:textId="77777777" w:rsidR="002C0013" w:rsidRPr="00F10E52" w:rsidRDefault="002C0013" w:rsidP="002C0013">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De conformidad con lo anterior</w:t>
      </w:r>
      <w:bookmarkStart w:id="6" w:name="_Hlk99438241"/>
      <w:r w:rsidRPr="00F10E52">
        <w:rPr>
          <w:rFonts w:ascii="Verdana" w:eastAsia="Arial" w:hAnsi="Verdana" w:cs="Arial"/>
          <w:lang w:val="es-ES" w:eastAsia="es-ES" w:bidi="es-ES"/>
        </w:rPr>
        <w:t xml:space="preserve">, </w:t>
      </w:r>
      <w:bookmarkStart w:id="7" w:name="_Hlk77236420"/>
      <w:bookmarkStart w:id="8" w:name="_Hlk78818435"/>
      <w:bookmarkStart w:id="9" w:name="_Hlk75780333"/>
      <w:r w:rsidRPr="00F10E52">
        <w:rPr>
          <w:rFonts w:ascii="Verdana" w:eastAsia="Arial" w:hAnsi="Verdana" w:cs="Arial"/>
          <w:lang w:val="es-ES" w:eastAsia="es-ES" w:bidi="es-ES"/>
        </w:rPr>
        <w:t xml:space="preserve">la Ley 996 de 2005 establece dos (2) tipos de restricciones en materia de contratación, las cuales coinciden parcialmente. </w:t>
      </w:r>
      <w:r w:rsidRPr="00F10E52">
        <w:rPr>
          <w:rFonts w:ascii="Verdana" w:eastAsia="Arial" w:hAnsi="Verdana" w:cs="Arial"/>
          <w:i/>
          <w:iCs/>
          <w:lang w:val="es-ES" w:eastAsia="es-ES" w:bidi="es-ES"/>
        </w:rPr>
        <w:t>En primer lugar</w:t>
      </w:r>
      <w:r w:rsidRPr="00F10E52">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10E52">
        <w:rPr>
          <w:rFonts w:ascii="Verdana" w:eastAsia="Arial" w:hAnsi="Verdana" w:cs="Arial"/>
          <w:i/>
          <w:iCs/>
          <w:lang w:val="es-ES" w:eastAsia="es-ES" w:bidi="es-ES"/>
        </w:rPr>
        <w:t>En segundo lugar</w:t>
      </w:r>
      <w:r w:rsidRPr="00F10E52">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7"/>
    </w:p>
    <w:bookmarkEnd w:id="6"/>
    <w:bookmarkEnd w:id="8"/>
    <w:p w14:paraId="5005D67F" w14:textId="77777777" w:rsidR="002C0013" w:rsidRPr="00F10E52" w:rsidRDefault="002C0013" w:rsidP="002C0013">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9"/>
    <w:p w14:paraId="0B02A1C7" w14:textId="77777777" w:rsidR="002C0013" w:rsidRDefault="002C0013" w:rsidP="002C0013">
      <w:pPr>
        <w:spacing w:after="120" w:line="276" w:lineRule="auto"/>
        <w:ind w:firstLine="708"/>
        <w:jc w:val="both"/>
        <w:rPr>
          <w:rFonts w:ascii="Verdana" w:eastAsia="Times New Roman" w:hAnsi="Verdana" w:cs="Arial"/>
          <w:bCs/>
          <w:lang w:val="es-ES" w:eastAsia="es-CO"/>
        </w:rPr>
      </w:pPr>
      <w:r w:rsidRPr="00F10E52">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o el </w:t>
      </w:r>
      <w:proofErr w:type="gramStart"/>
      <w:r w:rsidRPr="00F10E52">
        <w:rPr>
          <w:rFonts w:ascii="Verdana" w:eastAsia="Arial" w:hAnsi="Verdana" w:cs="Arial"/>
          <w:lang w:val="es-ES" w:eastAsia="es-ES" w:bidi="es-ES"/>
        </w:rPr>
        <w:t>Vicepresidente</w:t>
      </w:r>
      <w:proofErr w:type="gramEnd"/>
      <w:r w:rsidRPr="00F10E52">
        <w:rPr>
          <w:rFonts w:ascii="Verdana" w:eastAsia="Arial" w:hAnsi="Verdana" w:cs="Arial"/>
          <w:lang w:val="es-ES" w:eastAsia="es-ES" w:bidi="es-ES"/>
        </w:rPr>
        <w:t xml:space="preserv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w:t>
      </w:r>
      <w:r w:rsidRPr="00F10E52">
        <w:rPr>
          <w:rFonts w:ascii="Verdana" w:eastAsia="Arial" w:hAnsi="Verdana" w:cs="Arial"/>
          <w:lang w:val="es-ES" w:eastAsia="es-ES" w:bidi="es-ES"/>
        </w:rPr>
        <w:lastRenderedPageBreak/>
        <w:t xml:space="preserve">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7F050863" w14:textId="77777777" w:rsidR="002C0013" w:rsidRDefault="002C0013" w:rsidP="002C0013">
      <w:pPr>
        <w:spacing w:after="0" w:line="276" w:lineRule="auto"/>
        <w:ind w:firstLine="708"/>
        <w:jc w:val="both"/>
        <w:rPr>
          <w:rFonts w:ascii="Verdana" w:eastAsia="Arial" w:hAnsi="Verdana" w:cs="Arial"/>
          <w:lang w:val="es-ES" w:eastAsia="es-ES" w:bidi="es-ES"/>
        </w:rPr>
      </w:pPr>
      <w:r>
        <w:rPr>
          <w:rFonts w:ascii="Verdana" w:eastAsia="Times New Roman" w:hAnsi="Verdana" w:cs="Arial"/>
          <w:bCs/>
          <w:lang w:val="es-ES" w:eastAsia="es-CO"/>
        </w:rPr>
        <w:t xml:space="preserve">Teniendo en cuenta el objeto de la consulta, a continuación, se hará un análisis sobre la aplicación de la prohibición contenida en el artículo 33 y sus excepciones, relacionada con su ámbito de aplicación y sus destinatarios. </w:t>
      </w:r>
    </w:p>
    <w:p w14:paraId="7F1FA789" w14:textId="77777777" w:rsidR="002C0013" w:rsidRDefault="002C0013" w:rsidP="002C0013">
      <w:pPr>
        <w:spacing w:after="0" w:line="240" w:lineRule="auto"/>
        <w:ind w:firstLine="709"/>
        <w:jc w:val="both"/>
        <w:rPr>
          <w:rFonts w:ascii="Verdana" w:eastAsia="Arial" w:hAnsi="Verdana" w:cs="Arial"/>
          <w:lang w:val="es-ES" w:eastAsia="es-ES" w:bidi="es-ES"/>
        </w:rPr>
      </w:pPr>
    </w:p>
    <w:p w14:paraId="7C6B306C" w14:textId="77777777" w:rsidR="002C0013" w:rsidRPr="007777F3" w:rsidRDefault="002C0013" w:rsidP="002C0013">
      <w:pPr>
        <w:spacing w:after="0" w:line="276" w:lineRule="auto"/>
        <w:ind w:firstLine="708"/>
        <w:jc w:val="both"/>
        <w:rPr>
          <w:rFonts w:ascii="Verdana" w:eastAsia="Arial" w:hAnsi="Verdana" w:cs="Arial"/>
          <w:lang w:val="es-ES" w:eastAsia="es-ES" w:bidi="es-ES"/>
        </w:rPr>
      </w:pPr>
      <w:r w:rsidRPr="00195E24">
        <w:rPr>
          <w:rFonts w:ascii="Verdana" w:hAnsi="Verdana" w:cs="Arial"/>
          <w:bCs/>
          <w:lang w:eastAsia="x-none"/>
        </w:rPr>
        <w:t xml:space="preserve">El ámbito material de la prohibición contenida </w:t>
      </w:r>
      <w:bookmarkStart w:id="10" w:name="_Hlk75628761"/>
      <w:r w:rsidRPr="00195E24">
        <w:rPr>
          <w:rFonts w:ascii="Verdana" w:hAnsi="Verdana" w:cs="Arial"/>
          <w:bCs/>
          <w:lang w:eastAsia="x-none"/>
        </w:rPr>
        <w:t xml:space="preserve">en el artículo 33 de la ley 996 de 2005 </w:t>
      </w:r>
      <w:bookmarkEnd w:id="10"/>
      <w:r w:rsidRPr="00195E24">
        <w:rPr>
          <w:rFonts w:ascii="Verdana" w:hAnsi="Verdana" w:cs="Arial"/>
          <w:bCs/>
          <w:lang w:eastAsia="x-none"/>
        </w:rPr>
        <w:t xml:space="preserve">está delimitado por la expresión </w:t>
      </w:r>
      <w:r w:rsidRPr="00195E24">
        <w:rPr>
          <w:rFonts w:ascii="Verdana" w:eastAsia="Calibri" w:hAnsi="Verdana" w:cs="Arial"/>
          <w:bCs/>
          <w:i/>
          <w:iCs/>
          <w:sz w:val="20"/>
          <w:szCs w:val="20"/>
        </w:rPr>
        <w:t>“</w:t>
      </w:r>
      <w:r w:rsidRPr="00195E24">
        <w:rPr>
          <w:rFonts w:ascii="Verdana" w:hAnsi="Verdana" w:cs="Arial"/>
          <w:bCs/>
          <w:i/>
          <w:iCs/>
          <w:lang w:eastAsia="x-none"/>
        </w:rPr>
        <w:t>queda prohibida la contratación directa</w:t>
      </w:r>
      <w:r w:rsidRPr="00195E24">
        <w:rPr>
          <w:rFonts w:ascii="Verdana" w:hAnsi="Verdana" w:cs="Arial"/>
          <w:sz w:val="20"/>
          <w:szCs w:val="20"/>
        </w:rPr>
        <w:t>”</w:t>
      </w:r>
      <w:r w:rsidRPr="00195E24">
        <w:rPr>
          <w:rFonts w:ascii="Verdana" w:hAnsi="Verdana" w:cs="Arial"/>
          <w:bCs/>
          <w:lang w:eastAsia="x-none"/>
        </w:rPr>
        <w:t>.</w:t>
      </w:r>
      <w:r w:rsidRPr="00195E24">
        <w:rPr>
          <w:rFonts w:ascii="Verdana" w:hAnsi="Verdana" w:cs="Arial"/>
          <w:lang w:eastAsia="es-CO"/>
        </w:rPr>
        <w:t xml:space="preserve"> A propósito de esta restricción de la Ley de Garantías Electorales, la Sala de Consulta y Servicio Civil del Consejo de Estado ha considerado que:</w:t>
      </w:r>
    </w:p>
    <w:p w14:paraId="372D909A" w14:textId="77777777" w:rsidR="002C0013" w:rsidRPr="00195E24" w:rsidRDefault="002C0013" w:rsidP="002C0013">
      <w:pPr>
        <w:spacing w:after="0" w:line="240" w:lineRule="auto"/>
        <w:jc w:val="both"/>
        <w:rPr>
          <w:rFonts w:ascii="Verdana" w:hAnsi="Verdana" w:cs="Arial"/>
          <w:bCs/>
          <w:lang w:eastAsia="es-CO"/>
        </w:rPr>
      </w:pPr>
    </w:p>
    <w:p w14:paraId="6A11370A" w14:textId="77777777" w:rsidR="002C0013" w:rsidRDefault="002C0013" w:rsidP="002C0013">
      <w:pPr>
        <w:spacing w:after="0" w:line="240" w:lineRule="auto"/>
        <w:ind w:left="709" w:right="709"/>
        <w:jc w:val="both"/>
        <w:rPr>
          <w:rFonts w:ascii="Verdana" w:hAnsi="Verdana" w:cs="Arial"/>
          <w:sz w:val="20"/>
          <w:szCs w:val="20"/>
        </w:rPr>
      </w:pPr>
      <w:r w:rsidRPr="005800D0">
        <w:rPr>
          <w:rFonts w:ascii="Verdana" w:hAnsi="Verdana" w:cs="Arial"/>
          <w:sz w:val="20"/>
          <w:szCs w:val="20"/>
        </w:rPr>
        <w:t>“</w:t>
      </w:r>
      <w:r>
        <w:rPr>
          <w:rFonts w:ascii="Verdana" w:hAnsi="Verdana" w:cs="Arial"/>
          <w:sz w:val="20"/>
          <w:szCs w:val="20"/>
        </w:rPr>
        <w:t xml:space="preserve">(…) </w:t>
      </w:r>
      <w:r w:rsidRPr="005800D0">
        <w:rPr>
          <w:rFonts w:ascii="Verdana" w:hAnsi="Verdana" w:cs="Arial"/>
          <w:sz w:val="20"/>
          <w:szCs w:val="20"/>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5800D0">
        <w:rPr>
          <w:rFonts w:ascii="Verdana" w:hAnsi="Verdana" w:cs="Arial"/>
          <w:sz w:val="20"/>
          <w:szCs w:val="20"/>
          <w:vertAlign w:val="superscript"/>
          <w:lang w:eastAsia="es-CO"/>
        </w:rPr>
        <w:footnoteReference w:id="10"/>
      </w:r>
      <w:r w:rsidRPr="005800D0">
        <w:rPr>
          <w:rFonts w:ascii="Verdana" w:hAnsi="Verdana" w:cs="Arial"/>
          <w:sz w:val="20"/>
          <w:szCs w:val="20"/>
        </w:rPr>
        <w:t>.</w:t>
      </w:r>
    </w:p>
    <w:p w14:paraId="31796555" w14:textId="77777777" w:rsidR="002C0013" w:rsidRPr="005800D0" w:rsidRDefault="002C0013" w:rsidP="002C0013">
      <w:pPr>
        <w:spacing w:after="0" w:line="240" w:lineRule="auto"/>
        <w:ind w:left="709" w:right="709"/>
        <w:jc w:val="both"/>
        <w:rPr>
          <w:rFonts w:ascii="Verdana" w:hAnsi="Verdana" w:cs="Arial"/>
          <w:sz w:val="20"/>
          <w:szCs w:val="20"/>
        </w:rPr>
      </w:pPr>
    </w:p>
    <w:p w14:paraId="19313A89" w14:textId="77777777" w:rsidR="002C0013" w:rsidRDefault="002C0013" w:rsidP="002C0013">
      <w:pPr>
        <w:spacing w:after="0" w:line="240" w:lineRule="auto"/>
        <w:ind w:left="709" w:right="709"/>
        <w:jc w:val="both"/>
        <w:rPr>
          <w:rFonts w:ascii="Verdana" w:hAnsi="Verdana" w:cs="Arial"/>
          <w:sz w:val="20"/>
          <w:szCs w:val="20"/>
        </w:rPr>
      </w:pPr>
      <w:r w:rsidRPr="005800D0">
        <w:rPr>
          <w:rFonts w:ascii="Verdana" w:hAnsi="Verdana" w:cs="Arial"/>
          <w:sz w:val="20"/>
          <w:szCs w:val="20"/>
        </w:rPr>
        <w:t xml:space="preserve">Esta Sala ha entendido </w:t>
      </w:r>
      <w:proofErr w:type="gramStart"/>
      <w:r w:rsidRPr="005800D0">
        <w:rPr>
          <w:rFonts w:ascii="Verdana" w:hAnsi="Verdana" w:cs="Arial"/>
          <w:sz w:val="20"/>
          <w:szCs w:val="20"/>
        </w:rPr>
        <w:t>que</w:t>
      </w:r>
      <w:proofErr w:type="gramEnd"/>
      <w:r w:rsidRPr="005800D0">
        <w:rPr>
          <w:rFonts w:ascii="Verdana" w:hAnsi="Verdana" w:cs="Arial"/>
          <w:sz w:val="20"/>
          <w:szCs w:val="20"/>
        </w:rPr>
        <w:t xml:space="preserve"> para los efectos de la ley de garantías, y dada su finalidad, el enunciado ´contratación directa´ es sinónimo </w:t>
      </w:r>
      <w:bookmarkStart w:id="11" w:name="_Hlk75741738"/>
      <w:r w:rsidRPr="005800D0">
        <w:rPr>
          <w:rFonts w:ascii="Verdana" w:hAnsi="Verdana" w:cs="Arial"/>
          <w:sz w:val="20"/>
          <w:szCs w:val="20"/>
        </w:rPr>
        <w:t xml:space="preserve">de cualquier sistema que no implique convocatoria pública y posibilidad de pluralidad de oferentes, </w:t>
      </w:r>
      <w:bookmarkEnd w:id="11"/>
      <w:r w:rsidRPr="005800D0">
        <w:rPr>
          <w:rFonts w:ascii="Verdana" w:hAnsi="Verdana" w:cs="Arial"/>
          <w:sz w:val="20"/>
          <w:szCs w:val="20"/>
        </w:rPr>
        <w:t>y que, además, no necesariamente hace referencia al procedimiento especial regulado por la ley de contratación estatal, sino a cualquier otro que prescinda de un proceso de licitación pública o concurso</w:t>
      </w:r>
      <w:r w:rsidRPr="005800D0">
        <w:rPr>
          <w:rFonts w:ascii="Verdana" w:hAnsi="Verdana" w:cs="Arial"/>
          <w:sz w:val="20"/>
          <w:szCs w:val="20"/>
          <w:vertAlign w:val="superscript"/>
        </w:rPr>
        <w:footnoteReference w:id="11"/>
      </w:r>
      <w:r w:rsidRPr="005800D0">
        <w:rPr>
          <w:rFonts w:ascii="Verdana" w:hAnsi="Verdana" w:cs="Arial"/>
          <w:sz w:val="20"/>
          <w:szCs w:val="20"/>
          <w:vertAlign w:val="superscript"/>
        </w:rPr>
        <w:t>.</w:t>
      </w:r>
      <w:r w:rsidRPr="005800D0">
        <w:rPr>
          <w:rFonts w:ascii="Verdana"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hAnsi="Verdana" w:cs="Arial"/>
          <w:sz w:val="20"/>
          <w:szCs w:val="20"/>
        </w:rPr>
        <w:t>(…)”</w:t>
      </w:r>
      <w:r w:rsidRPr="005800D0">
        <w:rPr>
          <w:rFonts w:ascii="Verdana" w:hAnsi="Verdana" w:cs="Arial"/>
          <w:sz w:val="20"/>
          <w:szCs w:val="20"/>
          <w:vertAlign w:val="superscript"/>
          <w:lang w:eastAsia="es-CO"/>
        </w:rPr>
        <w:footnoteReference w:id="12"/>
      </w:r>
      <w:r w:rsidRPr="005800D0">
        <w:rPr>
          <w:rFonts w:ascii="Verdana" w:hAnsi="Verdana" w:cs="Arial"/>
          <w:sz w:val="20"/>
          <w:szCs w:val="20"/>
        </w:rPr>
        <w:t>.</w:t>
      </w:r>
    </w:p>
    <w:p w14:paraId="109F4648" w14:textId="77777777" w:rsidR="002C0013" w:rsidRPr="005800D0" w:rsidRDefault="002C0013" w:rsidP="002C0013">
      <w:pPr>
        <w:spacing w:after="0" w:line="240" w:lineRule="auto"/>
        <w:ind w:left="709" w:right="709"/>
        <w:jc w:val="both"/>
        <w:rPr>
          <w:rFonts w:ascii="Verdana" w:hAnsi="Verdana" w:cs="Arial"/>
        </w:rPr>
      </w:pPr>
    </w:p>
    <w:p w14:paraId="4957E796" w14:textId="77777777" w:rsidR="002C0013" w:rsidRPr="00195E24" w:rsidRDefault="002C0013" w:rsidP="002C0013">
      <w:pPr>
        <w:spacing w:after="120" w:line="276" w:lineRule="auto"/>
        <w:ind w:firstLine="708"/>
        <w:jc w:val="both"/>
        <w:rPr>
          <w:rFonts w:ascii="Verdana" w:hAnsi="Verdana" w:cs="Arial"/>
          <w:bCs/>
          <w:lang w:eastAsia="x-none"/>
        </w:rPr>
      </w:pPr>
      <w:bookmarkStart w:id="13" w:name="_Hlk94521748"/>
      <w:r w:rsidRPr="00195E24">
        <w:rPr>
          <w:rFonts w:ascii="Verdana" w:hAnsi="Verdana" w:cs="Arial"/>
          <w:lang w:eastAsia="x-none"/>
        </w:rPr>
        <w:t xml:space="preserve">De acuerdo con el citado concepto, la prohibición del artículo 33 de la Ley de Garantías Electorales se refiere a </w:t>
      </w:r>
      <w:r>
        <w:rPr>
          <w:rFonts w:ascii="Verdana" w:hAnsi="Verdana" w:cs="Arial"/>
          <w:sz w:val="19"/>
          <w:szCs w:val="19"/>
          <w:lang w:eastAsia="en-GB"/>
        </w:rPr>
        <w:t>“</w:t>
      </w:r>
      <w:r w:rsidRPr="00195E24">
        <w:rPr>
          <w:rFonts w:ascii="Verdana" w:hAnsi="Verdana" w:cs="Arial"/>
          <w:lang w:eastAsia="x-none"/>
        </w:rPr>
        <w:t xml:space="preserve">cualquier sistema que no implique </w:t>
      </w:r>
      <w:r w:rsidRPr="00195E24">
        <w:rPr>
          <w:rFonts w:ascii="Verdana" w:hAnsi="Verdana" w:cs="Arial"/>
          <w:lang w:eastAsia="x-none"/>
        </w:rPr>
        <w:lastRenderedPageBreak/>
        <w:t>convocatoria pública y posibilidad de pluralidad de oferentes</w:t>
      </w:r>
      <w:r>
        <w:rPr>
          <w:rFonts w:ascii="Verdana" w:hAnsi="Verdana" w:cs="Arial"/>
          <w:lang w:eastAsia="en-GB"/>
        </w:rPr>
        <w:t>”</w:t>
      </w:r>
      <w:r w:rsidRPr="00195E24">
        <w:rPr>
          <w:rFonts w:ascii="Verdana" w:hAnsi="Verdana" w:cs="Arial"/>
          <w:lang w:eastAsia="x-none"/>
        </w:rPr>
        <w:t xml:space="preserve">, por lo que excluye las demás modalidades de contratación previstas en la Ley 1150 de 2007, es decir, la licitación pública, la selección abreviada, el concurso de méritos </w:t>
      </w:r>
      <w:r w:rsidRPr="00195E24">
        <w:rPr>
          <w:rFonts w:ascii="Verdana" w:hAnsi="Verdana" w:cs="Arial"/>
          <w:lang w:val="es-ES_tradnl" w:eastAsia="x-none"/>
        </w:rPr>
        <w:t>y la mínima cuantía</w:t>
      </w:r>
      <w:r w:rsidRPr="00195E24" w:rsidDel="00A85D9F">
        <w:rPr>
          <w:rFonts w:ascii="Verdana" w:hAnsi="Verdana" w:cs="Arial"/>
          <w:lang w:eastAsia="x-none"/>
        </w:rPr>
        <w:t xml:space="preserve"> </w:t>
      </w:r>
      <w:r w:rsidRPr="00195E24">
        <w:rPr>
          <w:rFonts w:ascii="Verdana" w:hAnsi="Verdana" w:cs="Arial"/>
          <w:lang w:eastAsia="x-none"/>
        </w:rPr>
        <w:t>u otros previstos en normas especiales. Esta posición es congruente con la expedición de la Ley 1150 de 2007 que, entre otras reformas, introdujo la selección abreviada, rediseñó el concurso de méritos</w:t>
      </w:r>
      <w:r w:rsidRPr="00195E24">
        <w:rPr>
          <w:rFonts w:ascii="Verdana" w:hAnsi="Verdana" w:cs="Arial"/>
          <w:vertAlign w:val="superscript"/>
          <w:lang w:val="en-GB" w:eastAsia="x-none"/>
        </w:rPr>
        <w:footnoteReference w:id="13"/>
      </w:r>
      <w:r w:rsidRPr="00195E24">
        <w:rPr>
          <w:rFonts w:ascii="Verdana" w:hAnsi="Verdana" w:cs="Arial"/>
          <w:lang w:eastAsia="x-none"/>
        </w:rPr>
        <w:t xml:space="preserve"> y sistematizó las causales de contratación directa</w:t>
      </w:r>
      <w:r w:rsidRPr="00195E24">
        <w:rPr>
          <w:rFonts w:ascii="Verdana" w:hAnsi="Verdana" w:cs="Arial"/>
          <w:vertAlign w:val="superscript"/>
          <w:lang w:val="en-GB" w:eastAsia="x-none"/>
        </w:rPr>
        <w:footnoteReference w:id="14"/>
      </w:r>
      <w:r w:rsidRPr="00195E24">
        <w:rPr>
          <w:rFonts w:ascii="Verdana" w:hAnsi="Verdana" w:cs="Arial"/>
          <w:lang w:eastAsia="x-none"/>
        </w:rPr>
        <w:t>, además lo es con la posterior creación de la modalidad de mínima cuantía establecida actualmente en el numeral 5 del artículo 2 de la Ley 1150 de 2007, de acuerdo con las modificaciones realizadas por leyes posteriores.</w:t>
      </w:r>
    </w:p>
    <w:bookmarkEnd w:id="13"/>
    <w:p w14:paraId="4C5C3E82" w14:textId="77777777" w:rsidR="002C0013" w:rsidRPr="00195E24" w:rsidRDefault="002C0013" w:rsidP="002C0013">
      <w:pPr>
        <w:spacing w:after="120" w:line="276" w:lineRule="auto"/>
        <w:ind w:firstLine="709"/>
        <w:jc w:val="both"/>
        <w:rPr>
          <w:rFonts w:ascii="Verdana" w:hAnsi="Verdana" w:cs="Arial"/>
          <w:lang w:eastAsia="x-none"/>
        </w:rPr>
      </w:pPr>
      <w:r w:rsidRPr="00195E24">
        <w:rPr>
          <w:rFonts w:ascii="Verdana" w:hAnsi="Verdana" w:cs="Arial"/>
          <w:lang w:eastAsia="x-none"/>
        </w:rPr>
        <w:t xml:space="preserve">De esta forma, con fundamento en la evolución de la normativa sobre la contratación pública, se ha depurado la noción de </w:t>
      </w:r>
      <w:r w:rsidRPr="00195E24">
        <w:rPr>
          <w:rFonts w:ascii="Verdana" w:hAnsi="Verdana" w:cs="Arial"/>
          <w:i/>
          <w:iCs/>
          <w:sz w:val="19"/>
          <w:szCs w:val="19"/>
          <w:lang w:eastAsia="en-GB"/>
        </w:rPr>
        <w:t>“</w:t>
      </w:r>
      <w:r w:rsidRPr="00195E24">
        <w:rPr>
          <w:rFonts w:ascii="Verdana" w:hAnsi="Verdana" w:cs="Arial"/>
          <w:i/>
          <w:iCs/>
          <w:lang w:eastAsia="x-none"/>
        </w:rPr>
        <w:t>contratación directa</w:t>
      </w:r>
      <w:r w:rsidRPr="00195E24">
        <w:rPr>
          <w:rFonts w:ascii="Verdana" w:hAnsi="Verdana" w:cs="Arial"/>
          <w:lang w:eastAsia="en-GB"/>
        </w:rPr>
        <w:t>”</w:t>
      </w:r>
      <w:r w:rsidRPr="00195E24">
        <w:rPr>
          <w:rFonts w:ascii="Verdana" w:hAnsi="Verdana" w:cs="Arial"/>
          <w:lang w:eastAsia="x-none"/>
        </w:rPr>
        <w:t>, precisando el Consejo de Estado –en el concepto citado– que, “aun cuando no coincide única y exactamente con la regulación que de dicho sistema de selección hace el artículo 2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195E24">
        <w:rPr>
          <w:rFonts w:ascii="Verdana" w:hAnsi="Verdana" w:cs="Arial"/>
          <w:vertAlign w:val="superscript"/>
          <w:lang w:val="en-GB" w:eastAsia="x-none"/>
        </w:rPr>
        <w:footnoteReference w:id="15"/>
      </w:r>
      <w:r w:rsidRPr="00195E24">
        <w:rPr>
          <w:rFonts w:ascii="Verdana" w:hAnsi="Verdana" w:cs="Arial"/>
          <w:lang w:eastAsia="x-none"/>
        </w:rPr>
        <w:t>, han establecido sistemas de contratación que implican convocatoria pública y participación de varios oferentes</w:t>
      </w:r>
      <w:r w:rsidRPr="00195E24">
        <w:rPr>
          <w:rFonts w:ascii="Verdana" w:hAnsi="Verdana" w:cs="Arial"/>
          <w:lang w:eastAsia="en-GB"/>
        </w:rPr>
        <w:t>”</w:t>
      </w:r>
      <w:r w:rsidRPr="00195E24">
        <w:rPr>
          <w:rFonts w:ascii="Verdana" w:hAnsi="Verdana" w:cs="Arial"/>
          <w:lang w:eastAsia="x-none"/>
        </w:rPr>
        <w:t>.</w:t>
      </w:r>
    </w:p>
    <w:p w14:paraId="09D6D2FA" w14:textId="77777777" w:rsidR="002C0013" w:rsidRPr="00195E24" w:rsidRDefault="002C0013" w:rsidP="002C0013">
      <w:pPr>
        <w:spacing w:after="120" w:line="276" w:lineRule="auto"/>
        <w:ind w:firstLine="709"/>
        <w:jc w:val="both"/>
        <w:rPr>
          <w:rFonts w:ascii="Verdana" w:hAnsi="Verdana" w:cs="Arial"/>
          <w:bCs/>
          <w:lang w:eastAsia="es-CO"/>
        </w:rPr>
      </w:pPr>
      <w:r w:rsidRPr="00195E24">
        <w:rPr>
          <w:rFonts w:ascii="Verdana" w:hAnsi="Verdana" w:cs="Arial"/>
          <w:bCs/>
          <w:lang w:eastAsia="x-none"/>
        </w:rPr>
        <w:t>E</w:t>
      </w:r>
      <w:r w:rsidRPr="00195E24">
        <w:rPr>
          <w:rFonts w:ascii="Verdana" w:hAnsi="Verdana" w:cs="Arial"/>
          <w:lang w:eastAsia="x-none"/>
        </w:rPr>
        <w:t xml:space="preserve">n efecto, vale la pena mencionar que, </w:t>
      </w:r>
      <w:bookmarkStart w:id="14" w:name="_Hlk75636073"/>
      <w:r w:rsidRPr="00195E24">
        <w:rPr>
          <w:rFonts w:ascii="Verdana" w:hAnsi="Verdana" w:cs="Arial"/>
          <w:lang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sidRPr="00195E24">
        <w:rPr>
          <w:rFonts w:ascii="Verdana" w:hAnsi="Verdana" w:cs="Arial"/>
          <w:i/>
          <w:iCs/>
          <w:lang w:eastAsia="x-none"/>
        </w:rPr>
        <w:t>“contratación directa</w:t>
      </w:r>
      <w:r w:rsidRPr="00195E24">
        <w:rPr>
          <w:rFonts w:ascii="Verdana" w:hAnsi="Verdana" w:cs="Arial"/>
          <w:lang w:eastAsia="x-none"/>
        </w:rPr>
        <w:t>”, es que la convocatoria para inscribirse en forma previa se haga de manera pública, y que se permita la participación de una pluralidad de oferentes</w:t>
      </w:r>
      <w:bookmarkEnd w:id="14"/>
      <w:r w:rsidRPr="00195E24">
        <w:rPr>
          <w:rFonts w:ascii="Verdana" w:hAnsi="Verdana" w:cs="Arial"/>
          <w:vertAlign w:val="superscript"/>
          <w:lang w:eastAsia="x-none"/>
        </w:rPr>
        <w:footnoteReference w:id="16"/>
      </w:r>
      <w:r w:rsidRPr="00195E24">
        <w:rPr>
          <w:rFonts w:ascii="Verdana" w:hAnsi="Verdana" w:cs="Arial"/>
          <w:lang w:eastAsia="x-none"/>
        </w:rPr>
        <w:t xml:space="preserve">. </w:t>
      </w:r>
    </w:p>
    <w:p w14:paraId="11687AD1" w14:textId="77777777" w:rsidR="002C0013" w:rsidRPr="00CE0712" w:rsidRDefault="002C0013" w:rsidP="002C0013">
      <w:pPr>
        <w:spacing w:after="120" w:line="276" w:lineRule="auto"/>
        <w:ind w:firstLine="709"/>
        <w:jc w:val="both"/>
        <w:rPr>
          <w:rFonts w:ascii="Verdana" w:hAnsi="Verdana" w:cs="Arial"/>
          <w:bCs/>
          <w:lang w:eastAsia="es-CO"/>
        </w:rPr>
      </w:pPr>
      <w:r w:rsidRPr="00195E24">
        <w:rPr>
          <w:rFonts w:ascii="Verdana" w:hAnsi="Verdana" w:cs="Arial"/>
          <w:bCs/>
          <w:lang w:eastAsia="es-CO"/>
        </w:rPr>
        <w:lastRenderedPageBreak/>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sidRPr="00195E24">
        <w:rPr>
          <w:rFonts w:ascii="Verdana" w:hAnsi="Verdana" w:cs="Arial"/>
          <w:bCs/>
          <w:i/>
          <w:iCs/>
          <w:lang w:eastAsia="es-CO"/>
        </w:rPr>
        <w:t>“contratación directa”.</w:t>
      </w:r>
    </w:p>
    <w:p w14:paraId="703C6E07" w14:textId="77777777" w:rsidR="002C0013" w:rsidRPr="00065D8F" w:rsidRDefault="002C0013" w:rsidP="002C0013">
      <w:pPr>
        <w:spacing w:after="120" w:line="276" w:lineRule="auto"/>
        <w:ind w:firstLine="709"/>
        <w:jc w:val="both"/>
        <w:rPr>
          <w:rFonts w:ascii="Arial" w:hAnsi="Arial" w:cs="Arial"/>
          <w:bCs/>
          <w:lang w:eastAsia="x-none"/>
        </w:rPr>
      </w:pPr>
      <w:bookmarkStart w:id="15" w:name="_Hlk78818796"/>
      <w:r w:rsidRPr="00195E24">
        <w:rPr>
          <w:rFonts w:ascii="Verdana" w:hAnsi="Verdana" w:cs="Arial"/>
          <w:bCs/>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065D8F">
        <w:rPr>
          <w:rFonts w:ascii="Arial" w:hAnsi="Arial" w:cs="Arial"/>
          <w:vertAlign w:val="superscript"/>
          <w:lang w:eastAsia="x-none"/>
        </w:rPr>
        <w:footnoteReference w:id="17"/>
      </w:r>
      <w:r w:rsidRPr="00065D8F">
        <w:rPr>
          <w:rFonts w:ascii="Arial" w:hAnsi="Arial" w:cs="Arial"/>
          <w:bCs/>
          <w:lang w:eastAsia="x-none"/>
        </w:rPr>
        <w:t>.</w:t>
      </w:r>
      <w:r w:rsidRPr="00065D8F">
        <w:rPr>
          <w:rFonts w:ascii="Arial" w:hAnsi="Arial" w:cs="Arial"/>
          <w:vertAlign w:val="superscript"/>
          <w:lang w:eastAsia="x-none"/>
        </w:rPr>
        <w:t xml:space="preserve"> </w:t>
      </w:r>
    </w:p>
    <w:bookmarkEnd w:id="15"/>
    <w:p w14:paraId="5955F508" w14:textId="77777777" w:rsidR="002C0013" w:rsidRDefault="002C0013" w:rsidP="002C0013">
      <w:pPr>
        <w:spacing w:after="0" w:line="276" w:lineRule="auto"/>
        <w:ind w:firstLine="709"/>
        <w:jc w:val="both"/>
        <w:rPr>
          <w:rFonts w:ascii="Arial" w:hAnsi="Arial" w:cs="Arial"/>
          <w:lang w:eastAsia="x-none"/>
        </w:rPr>
      </w:pPr>
      <w:r w:rsidRPr="00195E24">
        <w:rPr>
          <w:rFonts w:ascii="Verdana" w:hAnsi="Verdana" w:cs="Arial"/>
          <w:bCs/>
          <w:lang w:eastAsia="x-none"/>
        </w:rPr>
        <w:t>De lo anterior se desprende que la restricción aplica, sin perjuicio de las excepciones establecidas en la misma ley, para celebrar cualquier contrato de forma directa, esto es, sin que exista un proceso abierto y competitivo.</w:t>
      </w:r>
      <w:r w:rsidRPr="00195E24">
        <w:rPr>
          <w:rFonts w:ascii="Verdana" w:hAnsi="Verdana" w:cs="Arial"/>
          <w:lang w:eastAsia="x-none"/>
        </w:rPr>
        <w:t xml:space="preserve"> Por tanto, no son materia de la prohibición las demás modalidades de selección previstas en la Ley 1150 de 2007, es decir, la licitación pública, el concurso de méritos, la selección abreviada y la contratación de mínima cuantía, razón por la cual en el período preelectoral de que trata la disposición las entidades públicas pueden seguir contratando bajo estos sistemas</w:t>
      </w:r>
      <w:r w:rsidRPr="00065D8F">
        <w:rPr>
          <w:rFonts w:ascii="Arial" w:hAnsi="Arial" w:cs="Arial"/>
          <w:lang w:eastAsia="x-none"/>
        </w:rPr>
        <w:t>.</w:t>
      </w:r>
    </w:p>
    <w:p w14:paraId="51A622B9" w14:textId="77777777" w:rsidR="002C0013" w:rsidRDefault="002C0013" w:rsidP="002C0013">
      <w:pPr>
        <w:spacing w:after="0" w:line="240" w:lineRule="auto"/>
        <w:jc w:val="both"/>
        <w:rPr>
          <w:rFonts w:ascii="Arial" w:hAnsi="Arial" w:cs="Arial"/>
        </w:rPr>
      </w:pPr>
    </w:p>
    <w:p w14:paraId="6D8F05D8" w14:textId="77777777" w:rsidR="002C0013" w:rsidRDefault="002C0013" w:rsidP="002C0013">
      <w:pPr>
        <w:spacing w:after="0" w:line="276" w:lineRule="auto"/>
        <w:ind w:firstLine="709"/>
        <w:jc w:val="both"/>
        <w:rPr>
          <w:rFonts w:ascii="Verdana" w:hAnsi="Verdana" w:cs="Arial"/>
          <w:bCs/>
          <w:lang w:eastAsia="x-none"/>
        </w:rPr>
      </w:pPr>
      <w:r w:rsidRPr="73D21086">
        <w:rPr>
          <w:rFonts w:ascii="Verdana" w:hAnsi="Verdana" w:cs="Arial"/>
        </w:rPr>
        <w:t xml:space="preserve">Como en otras oportunidades lo ha manifestado esta Agencia, las prórrogas, modificaciones o adiciones de los contratos suscritos antes de la </w:t>
      </w:r>
      <w:proofErr w:type="gramStart"/>
      <w:r w:rsidRPr="73D21086">
        <w:rPr>
          <w:rFonts w:ascii="Verdana" w:hAnsi="Verdana" w:cs="Arial"/>
        </w:rPr>
        <w:t>entrada en vigencia</w:t>
      </w:r>
      <w:proofErr w:type="gramEnd"/>
      <w:r w:rsidRPr="73D21086">
        <w:rPr>
          <w:rFonts w:ascii="Verdana" w:hAnsi="Verdana" w:cs="Arial"/>
        </w:rPr>
        <w:t xml:space="preserve"> de las prohibiciones anotadas, así como la cesión de </w:t>
      </w:r>
      <w:proofErr w:type="gramStart"/>
      <w:r w:rsidRPr="73D21086">
        <w:rPr>
          <w:rFonts w:ascii="Verdana" w:hAnsi="Verdana" w:cs="Arial"/>
        </w:rPr>
        <w:t>los mismos</w:t>
      </w:r>
      <w:proofErr w:type="gramEnd"/>
      <w:r w:rsidRPr="73D21086">
        <w:rPr>
          <w:rFonts w:ascii="Verdana" w:hAnsi="Verdana" w:cs="Arial"/>
        </w:rPr>
        <w:t>, pueden tener lugar en el período de aplicación de la Ley de Garantías, sin que ello haga nugatoria la restricción de la contratación directa y siempre que cumplan los principios de planeación, transparencia y responsabilidad.</w:t>
      </w:r>
    </w:p>
    <w:p w14:paraId="22E02C3A" w14:textId="77777777" w:rsidR="002C0013" w:rsidRDefault="002C0013" w:rsidP="002C0013">
      <w:pPr>
        <w:spacing w:after="0" w:line="240" w:lineRule="auto"/>
        <w:jc w:val="both"/>
        <w:rPr>
          <w:rFonts w:ascii="Verdana" w:hAnsi="Verdana" w:cs="Arial"/>
          <w:bCs/>
          <w:lang w:eastAsia="x-none"/>
        </w:rPr>
      </w:pPr>
    </w:p>
    <w:p w14:paraId="0D0D712F" w14:textId="77777777" w:rsidR="002C0013" w:rsidRDefault="002C0013" w:rsidP="002C0013">
      <w:pPr>
        <w:spacing w:after="0" w:line="276" w:lineRule="auto"/>
        <w:ind w:firstLine="709"/>
        <w:jc w:val="both"/>
        <w:rPr>
          <w:rFonts w:ascii="Verdana" w:eastAsia="Calibri" w:hAnsi="Verdana" w:cs="Arial"/>
          <w:color w:val="000000" w:themeColor="text1"/>
        </w:rPr>
      </w:pPr>
      <w:r>
        <w:rPr>
          <w:rFonts w:ascii="Verdana" w:eastAsia="Calibri" w:hAnsi="Verdana" w:cs="Arial"/>
          <w:lang w:val="es-ES"/>
        </w:rPr>
        <w:t>Ahora bien, f</w:t>
      </w:r>
      <w:r w:rsidRPr="00515C0B">
        <w:rPr>
          <w:rFonts w:ascii="Verdana" w:eastAsia="Calibri" w:hAnsi="Verdana" w:cs="Arial"/>
          <w:lang w:val="es-ES"/>
        </w:rPr>
        <w:t xml:space="preserve">rente al cuestionamiento planteado es necesario </w:t>
      </w:r>
      <w:r>
        <w:rPr>
          <w:rFonts w:ascii="Verdana" w:eastAsia="Calibri" w:hAnsi="Verdana" w:cs="Arial"/>
          <w:lang w:val="es-ES"/>
        </w:rPr>
        <w:t>señalar</w:t>
      </w:r>
      <w:r w:rsidRPr="00515C0B">
        <w:rPr>
          <w:rFonts w:ascii="Verdana" w:eastAsia="Calibri" w:hAnsi="Verdana" w:cs="Arial"/>
          <w:lang w:val="es-ES"/>
        </w:rPr>
        <w:t xml:space="preserve"> que dentro de la estructura de la Administración Pública se encuentran las entidades descentralizadas por servicios. A esta categoría pertenecen las Empresas Industriales y Comerciales del Estado, las cuales –sin perjuicio del control de </w:t>
      </w:r>
      <w:r w:rsidRPr="00515C0B">
        <w:rPr>
          <w:rFonts w:ascii="Verdana" w:eastAsia="Calibri" w:hAnsi="Verdana" w:cs="Arial"/>
          <w:lang w:val="es-ES"/>
        </w:rPr>
        <w:lastRenderedPageBreak/>
        <w:t>tutela– tienen personería jurídica, autonomía administrativa y patrimonio propio. Estas entidades, como su nombre lo indica, se caracterizan por desarrollar actividades de carácter industrial o comercial.</w:t>
      </w:r>
      <w:r>
        <w:rPr>
          <w:rFonts w:ascii="Verdana" w:eastAsia="Calibri" w:hAnsi="Verdana" w:cs="Arial"/>
          <w:lang w:val="es-ES"/>
        </w:rPr>
        <w:t xml:space="preserve"> </w:t>
      </w:r>
      <w:r w:rsidRPr="008B2333">
        <w:rPr>
          <w:rFonts w:ascii="Verdana" w:eastAsia="Calibri" w:hAnsi="Verdana" w:cs="Arial"/>
          <w:color w:val="000000" w:themeColor="text1"/>
        </w:rPr>
        <w:t>Así, por ejemplo, son E</w:t>
      </w:r>
      <w:r>
        <w:rPr>
          <w:rFonts w:ascii="Verdana" w:eastAsia="Calibri" w:hAnsi="Verdana" w:cs="Arial"/>
          <w:color w:val="000000" w:themeColor="text1"/>
        </w:rPr>
        <w:t xml:space="preserve">mpresas </w:t>
      </w:r>
      <w:r w:rsidRPr="008B2333">
        <w:rPr>
          <w:rFonts w:ascii="Verdana" w:eastAsia="Calibri" w:hAnsi="Verdana" w:cs="Arial"/>
          <w:color w:val="000000" w:themeColor="text1"/>
        </w:rPr>
        <w:t>I</w:t>
      </w:r>
      <w:r>
        <w:rPr>
          <w:rFonts w:ascii="Verdana" w:eastAsia="Calibri" w:hAnsi="Verdana" w:cs="Arial"/>
          <w:color w:val="000000" w:themeColor="text1"/>
        </w:rPr>
        <w:t xml:space="preserve">ndustriales y </w:t>
      </w:r>
      <w:r w:rsidRPr="008B2333">
        <w:rPr>
          <w:rFonts w:ascii="Verdana" w:eastAsia="Calibri" w:hAnsi="Verdana" w:cs="Arial"/>
          <w:color w:val="000000" w:themeColor="text1"/>
        </w:rPr>
        <w:t>C</w:t>
      </w:r>
      <w:r>
        <w:rPr>
          <w:rFonts w:ascii="Verdana" w:eastAsia="Calibri" w:hAnsi="Verdana" w:cs="Arial"/>
          <w:color w:val="000000" w:themeColor="text1"/>
        </w:rPr>
        <w:t xml:space="preserve">omerciales del </w:t>
      </w:r>
      <w:r w:rsidRPr="008B2333">
        <w:rPr>
          <w:rFonts w:ascii="Verdana" w:eastAsia="Calibri" w:hAnsi="Verdana" w:cs="Arial"/>
          <w:color w:val="000000" w:themeColor="text1"/>
        </w:rPr>
        <w:t>E</w:t>
      </w:r>
      <w:r>
        <w:rPr>
          <w:rFonts w:ascii="Verdana" w:eastAsia="Calibri" w:hAnsi="Verdana" w:cs="Arial"/>
          <w:color w:val="000000" w:themeColor="text1"/>
        </w:rPr>
        <w:t>stado</w:t>
      </w:r>
      <w:r w:rsidRPr="008B2333">
        <w:rPr>
          <w:rFonts w:ascii="Verdana" w:eastAsia="Calibri" w:hAnsi="Verdana" w:cs="Arial"/>
          <w:color w:val="000000" w:themeColor="text1"/>
        </w:rPr>
        <w:t xml:space="preserve"> la Imprenta Nacional de Colombia, Coljuegos, Indumil, la Caja Promotora de Vivienda Militar y de Policía, Colpensiones, entre otras</w:t>
      </w:r>
      <w:r w:rsidRPr="008B2333">
        <w:rPr>
          <w:rFonts w:ascii="Verdana" w:hAnsi="Verdana"/>
          <w:vertAlign w:val="superscript"/>
        </w:rPr>
        <w:footnoteReference w:id="18"/>
      </w:r>
      <w:r w:rsidRPr="008B2333">
        <w:rPr>
          <w:rFonts w:ascii="Verdana" w:eastAsia="Calibri" w:hAnsi="Verdana" w:cs="Arial"/>
          <w:color w:val="000000" w:themeColor="text1"/>
        </w:rPr>
        <w:t>.</w:t>
      </w:r>
    </w:p>
    <w:p w14:paraId="57BBCFD2" w14:textId="77777777" w:rsidR="002C0013" w:rsidRPr="001276FB" w:rsidRDefault="002C0013" w:rsidP="002C0013">
      <w:pPr>
        <w:spacing w:after="0" w:line="240" w:lineRule="auto"/>
        <w:ind w:firstLine="709"/>
        <w:jc w:val="both"/>
        <w:rPr>
          <w:rFonts w:ascii="Verdana" w:hAnsi="Verdana" w:cs="Arial"/>
          <w:bCs/>
          <w:lang w:eastAsia="x-none"/>
        </w:rPr>
      </w:pPr>
    </w:p>
    <w:p w14:paraId="5B208A86" w14:textId="77777777" w:rsidR="002C0013" w:rsidRDefault="002C0013" w:rsidP="002C0013">
      <w:pPr>
        <w:spacing w:after="0" w:line="276" w:lineRule="auto"/>
        <w:ind w:firstLine="708"/>
        <w:jc w:val="both"/>
        <w:rPr>
          <w:rFonts w:ascii="Verdana" w:eastAsia="Calibri" w:hAnsi="Verdana" w:cs="Arial"/>
          <w:lang w:val="es-ES"/>
        </w:rPr>
      </w:pPr>
      <w:r w:rsidRPr="00515C0B">
        <w:rPr>
          <w:rFonts w:ascii="Verdana" w:eastAsia="Calibri" w:hAnsi="Verdana" w:cs="Arial"/>
          <w:lang w:val="es-ES"/>
        </w:rPr>
        <w:t>Las Empresas Industriales y Comerciales del Estado, bajo la denominación de Entidades Estatales, quedaron sometidas al Estatuto General de Contratación de la Administración Pública –Ley 80 de 1993, artículo 2, numeral 1, literal a</w:t>
      </w:r>
      <w:r w:rsidRPr="00515C0B">
        <w:rPr>
          <w:rFonts w:ascii="Verdana" w:eastAsia="Calibri" w:hAnsi="Verdana" w:cs="Arial"/>
          <w:vertAlign w:val="superscript"/>
          <w:lang w:val="es-ES"/>
        </w:rPr>
        <w:footnoteReference w:id="19"/>
      </w:r>
      <w:r w:rsidRPr="00515C0B">
        <w:rPr>
          <w:rFonts w:ascii="Verdana" w:eastAsia="Calibri" w:hAnsi="Verdana" w:cs="Arial"/>
          <w:lang w:val="es-ES"/>
        </w:rPr>
        <w:t>. Posteriormente, la Ley 489 de 1998, mediante el cual se regula la organización y funcionamiento de las entidades de orden nacional, en su artículo 93 estableció el régimen jurídico aplicable a los contratos celebrados por las Empresas Industriales y Comerciales del Estado, como sigue:</w:t>
      </w:r>
    </w:p>
    <w:p w14:paraId="0A6F0B5A" w14:textId="77777777" w:rsidR="002C0013" w:rsidRPr="00515C0B" w:rsidRDefault="002C0013" w:rsidP="002C0013">
      <w:pPr>
        <w:spacing w:after="0" w:line="240" w:lineRule="auto"/>
        <w:jc w:val="both"/>
        <w:rPr>
          <w:rFonts w:ascii="Verdana" w:eastAsia="Calibri" w:hAnsi="Verdana" w:cs="Arial"/>
          <w:lang w:val="es-ES"/>
        </w:rPr>
      </w:pPr>
    </w:p>
    <w:p w14:paraId="611338E9" w14:textId="77777777" w:rsidR="002C0013" w:rsidRDefault="002C0013" w:rsidP="002C0013">
      <w:pPr>
        <w:spacing w:after="0" w:line="240" w:lineRule="auto"/>
        <w:ind w:left="709" w:right="709"/>
        <w:contextualSpacing/>
        <w:jc w:val="both"/>
        <w:rPr>
          <w:rFonts w:ascii="Verdana" w:eastAsia="Times New Roman" w:hAnsi="Verdana" w:cs="Arial"/>
          <w:sz w:val="20"/>
          <w:szCs w:val="20"/>
          <w:lang w:eastAsia="es-ES_tradnl"/>
        </w:rPr>
      </w:pPr>
      <w:r w:rsidRPr="73D21086">
        <w:rPr>
          <w:rFonts w:ascii="Verdana" w:eastAsia="Times New Roman" w:hAnsi="Verdana" w:cs="Arial"/>
          <w:sz w:val="20"/>
          <w:szCs w:val="20"/>
          <w:lang w:eastAsia="es-ES"/>
        </w:rPr>
        <w:t>“Artículo 93. Régimen de los actos y contratos. Los actos que expidan las empresas industriales y comerciales del Estado para el desarrollo de su actividad propia, industrial o comercial o de gestión económica se sujetarán a las disposiciones del Derecho Privado. Los contratos que celebren para el cumplimiento de su objeto se sujetarán a las disposiciones del Estatuto General de Contratación de las entidades estatales”.</w:t>
      </w:r>
    </w:p>
    <w:p w14:paraId="397B2BD8" w14:textId="77777777" w:rsidR="002C0013" w:rsidRPr="00CE0712" w:rsidRDefault="002C0013" w:rsidP="002C0013">
      <w:pPr>
        <w:spacing w:after="0" w:line="240" w:lineRule="auto"/>
        <w:ind w:left="709" w:right="709"/>
        <w:contextualSpacing/>
        <w:jc w:val="both"/>
        <w:rPr>
          <w:rFonts w:ascii="Verdana" w:eastAsia="Times New Roman" w:hAnsi="Verdana" w:cs="Arial"/>
          <w:sz w:val="20"/>
          <w:szCs w:val="20"/>
          <w:lang w:eastAsia="es-ES_tradnl"/>
        </w:rPr>
      </w:pPr>
    </w:p>
    <w:p w14:paraId="454DD835" w14:textId="77777777" w:rsidR="002C0013" w:rsidRDefault="002C0013" w:rsidP="002C0013">
      <w:pPr>
        <w:widowControl w:val="0"/>
        <w:autoSpaceDE w:val="0"/>
        <w:autoSpaceDN w:val="0"/>
        <w:spacing w:after="0" w:line="276" w:lineRule="auto"/>
        <w:ind w:firstLine="708"/>
        <w:jc w:val="both"/>
        <w:rPr>
          <w:rFonts w:ascii="Verdana" w:eastAsia="Verdana" w:hAnsi="Verdana" w:cs="Verdana"/>
          <w:lang w:val="es-ES"/>
        </w:rPr>
      </w:pPr>
      <w:bookmarkStart w:id="16" w:name="_bookmark7"/>
      <w:bookmarkEnd w:id="16"/>
      <w:r w:rsidRPr="00515C0B">
        <w:rPr>
          <w:rFonts w:ascii="Verdana" w:eastAsia="Verdana" w:hAnsi="Verdana" w:cs="Verdana"/>
          <w:lang w:val="es-ES"/>
        </w:rPr>
        <w:t>No obstante las dificultades hermenéuticas que suscitaba la disposición anterior,</w:t>
      </w:r>
      <w:r w:rsidRPr="00515C0B">
        <w:rPr>
          <w:rFonts w:ascii="Verdana" w:eastAsia="Verdana" w:hAnsi="Verdana" w:cs="Verdana"/>
          <w:spacing w:val="-8"/>
          <w:lang w:val="es-ES"/>
        </w:rPr>
        <w:t xml:space="preserve"> </w:t>
      </w:r>
      <w:r w:rsidRPr="00515C0B">
        <w:rPr>
          <w:rFonts w:ascii="Verdana" w:eastAsia="Verdana" w:hAnsi="Verdana" w:cs="Verdana"/>
          <w:lang w:val="es-ES"/>
        </w:rPr>
        <w:t>el</w:t>
      </w:r>
      <w:r w:rsidRPr="00515C0B">
        <w:rPr>
          <w:rFonts w:ascii="Verdana" w:eastAsia="Verdana" w:hAnsi="Verdana" w:cs="Verdana"/>
          <w:spacing w:val="-8"/>
          <w:lang w:val="es-ES"/>
        </w:rPr>
        <w:t xml:space="preserve"> </w:t>
      </w:r>
      <w:r w:rsidRPr="00515C0B">
        <w:rPr>
          <w:rFonts w:ascii="Verdana" w:eastAsia="Verdana" w:hAnsi="Verdana" w:cs="Verdana"/>
          <w:lang w:val="es-ES"/>
        </w:rPr>
        <w:t>artículo</w:t>
      </w:r>
      <w:r w:rsidRPr="00515C0B">
        <w:rPr>
          <w:rFonts w:ascii="Verdana" w:eastAsia="Verdana" w:hAnsi="Verdana" w:cs="Verdana"/>
          <w:spacing w:val="-7"/>
          <w:lang w:val="es-ES"/>
        </w:rPr>
        <w:t xml:space="preserve"> </w:t>
      </w:r>
      <w:r w:rsidRPr="00515C0B">
        <w:rPr>
          <w:rFonts w:ascii="Verdana" w:eastAsia="Verdana" w:hAnsi="Verdana" w:cs="Verdana"/>
          <w:lang w:val="es-ES"/>
        </w:rPr>
        <w:t>14</w:t>
      </w:r>
      <w:r w:rsidRPr="00515C0B">
        <w:rPr>
          <w:rFonts w:ascii="Verdana" w:eastAsia="Verdana" w:hAnsi="Verdana" w:cs="Verdana"/>
          <w:spacing w:val="-8"/>
          <w:lang w:val="es-ES"/>
        </w:rPr>
        <w:t xml:space="preserve"> </w:t>
      </w:r>
      <w:r w:rsidRPr="00515C0B">
        <w:rPr>
          <w:rFonts w:ascii="Verdana" w:eastAsia="Verdana" w:hAnsi="Verdana" w:cs="Verdana"/>
          <w:lang w:val="es-ES"/>
        </w:rPr>
        <w:t>de</w:t>
      </w:r>
      <w:r w:rsidRPr="00515C0B">
        <w:rPr>
          <w:rFonts w:ascii="Verdana" w:eastAsia="Verdana" w:hAnsi="Verdana" w:cs="Verdana"/>
          <w:spacing w:val="-9"/>
          <w:lang w:val="es-ES"/>
        </w:rPr>
        <w:t xml:space="preserve"> </w:t>
      </w:r>
      <w:r w:rsidRPr="00515C0B">
        <w:rPr>
          <w:rFonts w:ascii="Verdana" w:eastAsia="Verdana" w:hAnsi="Verdana" w:cs="Verdana"/>
          <w:lang w:val="es-ES"/>
        </w:rPr>
        <w:t>la</w:t>
      </w:r>
      <w:r w:rsidRPr="00515C0B">
        <w:rPr>
          <w:rFonts w:ascii="Verdana" w:eastAsia="Verdana" w:hAnsi="Verdana" w:cs="Verdana"/>
          <w:spacing w:val="-10"/>
          <w:lang w:val="es-ES"/>
        </w:rPr>
        <w:t xml:space="preserve"> </w:t>
      </w:r>
      <w:r w:rsidRPr="00515C0B">
        <w:rPr>
          <w:rFonts w:ascii="Verdana" w:eastAsia="Verdana" w:hAnsi="Verdana" w:cs="Verdana"/>
          <w:lang w:val="es-ES"/>
        </w:rPr>
        <w:t>Ley</w:t>
      </w:r>
      <w:r w:rsidRPr="00515C0B">
        <w:rPr>
          <w:rFonts w:ascii="Verdana" w:eastAsia="Verdana" w:hAnsi="Verdana" w:cs="Verdana"/>
          <w:spacing w:val="-8"/>
          <w:lang w:val="es-ES"/>
        </w:rPr>
        <w:t xml:space="preserve"> </w:t>
      </w:r>
      <w:r w:rsidRPr="00515C0B">
        <w:rPr>
          <w:rFonts w:ascii="Verdana" w:eastAsia="Verdana" w:hAnsi="Verdana" w:cs="Verdana"/>
          <w:lang w:val="es-ES"/>
        </w:rPr>
        <w:t>1150</w:t>
      </w:r>
      <w:r w:rsidRPr="00515C0B">
        <w:rPr>
          <w:rFonts w:ascii="Verdana" w:eastAsia="Verdana" w:hAnsi="Verdana" w:cs="Verdana"/>
          <w:spacing w:val="-8"/>
          <w:lang w:val="es-ES"/>
        </w:rPr>
        <w:t xml:space="preserve"> </w:t>
      </w:r>
      <w:r w:rsidRPr="00515C0B">
        <w:rPr>
          <w:rFonts w:ascii="Verdana" w:eastAsia="Verdana" w:hAnsi="Verdana" w:cs="Verdana"/>
          <w:lang w:val="es-ES"/>
        </w:rPr>
        <w:t>de</w:t>
      </w:r>
      <w:r w:rsidRPr="00515C0B">
        <w:rPr>
          <w:rFonts w:ascii="Verdana" w:eastAsia="Verdana" w:hAnsi="Verdana" w:cs="Verdana"/>
          <w:spacing w:val="-9"/>
          <w:lang w:val="es-ES"/>
        </w:rPr>
        <w:t xml:space="preserve"> </w:t>
      </w:r>
      <w:r w:rsidRPr="00515C0B">
        <w:rPr>
          <w:rFonts w:ascii="Verdana" w:eastAsia="Verdana" w:hAnsi="Verdana" w:cs="Verdana"/>
          <w:lang w:val="es-ES"/>
        </w:rPr>
        <w:t>2007 –modificado</w:t>
      </w:r>
      <w:r w:rsidRPr="00515C0B">
        <w:rPr>
          <w:rFonts w:ascii="Verdana" w:eastAsia="Verdana" w:hAnsi="Verdana" w:cs="Verdana"/>
          <w:spacing w:val="-7"/>
          <w:lang w:val="es-ES"/>
        </w:rPr>
        <w:t xml:space="preserve"> </w:t>
      </w:r>
      <w:r w:rsidRPr="00515C0B">
        <w:rPr>
          <w:rFonts w:ascii="Verdana" w:eastAsia="Verdana" w:hAnsi="Verdana" w:cs="Verdana"/>
          <w:lang w:val="es-ES"/>
        </w:rPr>
        <w:t>por</w:t>
      </w:r>
      <w:r w:rsidRPr="00515C0B">
        <w:rPr>
          <w:rFonts w:ascii="Verdana" w:eastAsia="Verdana" w:hAnsi="Verdana" w:cs="Verdana"/>
          <w:spacing w:val="-7"/>
          <w:lang w:val="es-ES"/>
        </w:rPr>
        <w:t xml:space="preserve"> </w:t>
      </w:r>
      <w:r w:rsidRPr="00515C0B">
        <w:rPr>
          <w:rFonts w:ascii="Verdana" w:eastAsia="Verdana" w:hAnsi="Verdana" w:cs="Verdana"/>
          <w:lang w:val="es-ES"/>
        </w:rPr>
        <w:t>el</w:t>
      </w:r>
      <w:r w:rsidRPr="00515C0B">
        <w:rPr>
          <w:rFonts w:ascii="Verdana" w:eastAsia="Verdana" w:hAnsi="Verdana" w:cs="Verdana"/>
          <w:spacing w:val="-8"/>
          <w:lang w:val="es-ES"/>
        </w:rPr>
        <w:t xml:space="preserve"> </w:t>
      </w:r>
      <w:r w:rsidRPr="00515C0B">
        <w:rPr>
          <w:rFonts w:ascii="Verdana" w:eastAsia="Verdana" w:hAnsi="Verdana" w:cs="Verdana"/>
          <w:lang w:val="es-ES"/>
        </w:rPr>
        <w:t>artículo</w:t>
      </w:r>
      <w:r w:rsidRPr="00515C0B">
        <w:rPr>
          <w:rFonts w:ascii="Verdana" w:eastAsia="Verdana" w:hAnsi="Verdana" w:cs="Verdana"/>
          <w:spacing w:val="-7"/>
          <w:lang w:val="es-ES"/>
        </w:rPr>
        <w:t xml:space="preserve"> </w:t>
      </w:r>
      <w:r w:rsidRPr="00515C0B">
        <w:rPr>
          <w:rFonts w:ascii="Verdana" w:eastAsia="Verdana" w:hAnsi="Verdana" w:cs="Verdana"/>
          <w:lang w:val="es-ES"/>
        </w:rPr>
        <w:t>93</w:t>
      </w:r>
      <w:r w:rsidRPr="00515C0B">
        <w:rPr>
          <w:rFonts w:ascii="Verdana" w:eastAsia="Verdana" w:hAnsi="Verdana" w:cs="Verdana"/>
          <w:spacing w:val="-12"/>
          <w:lang w:val="es-ES"/>
        </w:rPr>
        <w:t xml:space="preserve"> </w:t>
      </w:r>
      <w:r w:rsidRPr="00515C0B">
        <w:rPr>
          <w:rFonts w:ascii="Verdana" w:eastAsia="Verdana" w:hAnsi="Verdana" w:cs="Verdana"/>
          <w:lang w:val="es-ES"/>
        </w:rPr>
        <w:t xml:space="preserve">de </w:t>
      </w:r>
      <w:r w:rsidRPr="00515C0B">
        <w:rPr>
          <w:rFonts w:ascii="Verdana" w:eastAsia="Verdana" w:hAnsi="Verdana" w:cs="Verdana"/>
          <w:lang w:val="es-ES"/>
        </w:rPr>
        <w:lastRenderedPageBreak/>
        <w:t>la Ley 1474 de 2011– dispuso un régimen exceptivo de aplicación del derecho privado para la actividad contractual de las E</w:t>
      </w:r>
      <w:r>
        <w:rPr>
          <w:rFonts w:ascii="Verdana" w:eastAsia="Verdana" w:hAnsi="Verdana" w:cs="Verdana"/>
          <w:lang w:val="es-ES"/>
        </w:rPr>
        <w:t xml:space="preserve">mpresas </w:t>
      </w:r>
      <w:r w:rsidRPr="00515C0B">
        <w:rPr>
          <w:rFonts w:ascii="Verdana" w:eastAsia="Verdana" w:hAnsi="Verdana" w:cs="Verdana"/>
          <w:lang w:val="es-ES"/>
        </w:rPr>
        <w:t>I</w:t>
      </w:r>
      <w:r>
        <w:rPr>
          <w:rFonts w:ascii="Verdana" w:eastAsia="Verdana" w:hAnsi="Verdana" w:cs="Verdana"/>
          <w:lang w:val="es-ES"/>
        </w:rPr>
        <w:t xml:space="preserve">ndustriales y </w:t>
      </w:r>
      <w:r w:rsidRPr="00515C0B">
        <w:rPr>
          <w:rFonts w:ascii="Verdana" w:eastAsia="Verdana" w:hAnsi="Verdana" w:cs="Verdana"/>
          <w:lang w:val="es-ES"/>
        </w:rPr>
        <w:t>C</w:t>
      </w:r>
      <w:r>
        <w:rPr>
          <w:rFonts w:ascii="Verdana" w:eastAsia="Verdana" w:hAnsi="Verdana" w:cs="Verdana"/>
          <w:lang w:val="es-ES"/>
        </w:rPr>
        <w:t xml:space="preserve">omerciales del </w:t>
      </w:r>
      <w:r w:rsidRPr="00515C0B">
        <w:rPr>
          <w:rFonts w:ascii="Verdana" w:eastAsia="Verdana" w:hAnsi="Verdana" w:cs="Verdana"/>
          <w:lang w:val="es-ES"/>
        </w:rPr>
        <w:t>E</w:t>
      </w:r>
      <w:r>
        <w:rPr>
          <w:rFonts w:ascii="Verdana" w:eastAsia="Verdana" w:hAnsi="Verdana" w:cs="Verdana"/>
          <w:lang w:val="es-ES"/>
        </w:rPr>
        <w:t>stado</w:t>
      </w:r>
      <w:r w:rsidRPr="00515C0B">
        <w:rPr>
          <w:rFonts w:ascii="Verdana" w:eastAsia="Verdana" w:hAnsi="Verdana" w:cs="Verdana"/>
          <w:lang w:val="es-ES"/>
        </w:rPr>
        <w:t xml:space="preserve"> que ejercen su actividad en competencia</w:t>
      </w:r>
      <w:r w:rsidRPr="00515C0B">
        <w:rPr>
          <w:rFonts w:ascii="Verdana" w:eastAsia="Verdana" w:hAnsi="Verdana" w:cs="Verdana"/>
          <w:spacing w:val="-20"/>
          <w:lang w:val="es-ES"/>
        </w:rPr>
        <w:t xml:space="preserve"> </w:t>
      </w:r>
      <w:r w:rsidRPr="00515C0B">
        <w:rPr>
          <w:rFonts w:ascii="Verdana" w:eastAsia="Verdana" w:hAnsi="Verdana" w:cs="Verdana"/>
          <w:lang w:val="es-ES"/>
        </w:rPr>
        <w:t>con</w:t>
      </w:r>
      <w:r w:rsidRPr="00515C0B">
        <w:rPr>
          <w:rFonts w:ascii="Verdana" w:eastAsia="Verdana" w:hAnsi="Verdana" w:cs="Verdana"/>
          <w:spacing w:val="-19"/>
          <w:lang w:val="es-ES"/>
        </w:rPr>
        <w:t xml:space="preserve"> </w:t>
      </w:r>
      <w:r w:rsidRPr="00515C0B">
        <w:rPr>
          <w:rFonts w:ascii="Verdana" w:eastAsia="Verdana" w:hAnsi="Verdana" w:cs="Verdana"/>
          <w:lang w:val="es-ES"/>
        </w:rPr>
        <w:t>el</w:t>
      </w:r>
      <w:r w:rsidRPr="00515C0B">
        <w:rPr>
          <w:rFonts w:ascii="Verdana" w:eastAsia="Verdana" w:hAnsi="Verdana" w:cs="Verdana"/>
          <w:spacing w:val="-19"/>
          <w:lang w:val="es-ES"/>
        </w:rPr>
        <w:t xml:space="preserve"> </w:t>
      </w:r>
      <w:r w:rsidRPr="00515C0B">
        <w:rPr>
          <w:rFonts w:ascii="Verdana" w:eastAsia="Verdana" w:hAnsi="Verdana" w:cs="Verdana"/>
          <w:lang w:val="es-ES"/>
        </w:rPr>
        <w:t>sector</w:t>
      </w:r>
      <w:r w:rsidRPr="00515C0B">
        <w:rPr>
          <w:rFonts w:ascii="Verdana" w:eastAsia="Verdana" w:hAnsi="Verdana" w:cs="Verdana"/>
          <w:spacing w:val="-20"/>
          <w:lang w:val="es-ES"/>
        </w:rPr>
        <w:t xml:space="preserve"> </w:t>
      </w:r>
      <w:r w:rsidRPr="00515C0B">
        <w:rPr>
          <w:rFonts w:ascii="Verdana" w:eastAsia="Verdana" w:hAnsi="Verdana" w:cs="Verdana"/>
          <w:lang w:val="es-ES"/>
        </w:rPr>
        <w:t>público</w:t>
      </w:r>
      <w:r w:rsidRPr="00515C0B">
        <w:rPr>
          <w:rFonts w:ascii="Verdana" w:eastAsia="Verdana" w:hAnsi="Verdana" w:cs="Verdana"/>
          <w:spacing w:val="-19"/>
          <w:lang w:val="es-ES"/>
        </w:rPr>
        <w:t xml:space="preserve"> </w:t>
      </w:r>
      <w:r w:rsidRPr="00515C0B">
        <w:rPr>
          <w:rFonts w:ascii="Verdana" w:eastAsia="Verdana" w:hAnsi="Verdana" w:cs="Verdana"/>
          <w:lang w:val="es-ES"/>
        </w:rPr>
        <w:t>o</w:t>
      </w:r>
      <w:r w:rsidRPr="00515C0B">
        <w:rPr>
          <w:rFonts w:ascii="Verdana" w:eastAsia="Verdana" w:hAnsi="Verdana" w:cs="Verdana"/>
          <w:spacing w:val="-20"/>
          <w:lang w:val="es-ES"/>
        </w:rPr>
        <w:t xml:space="preserve"> </w:t>
      </w:r>
      <w:r w:rsidRPr="00515C0B">
        <w:rPr>
          <w:rFonts w:ascii="Verdana" w:eastAsia="Verdana" w:hAnsi="Verdana" w:cs="Verdana"/>
          <w:lang w:val="es-ES"/>
        </w:rPr>
        <w:t>privado,</w:t>
      </w:r>
      <w:r w:rsidRPr="00515C0B">
        <w:rPr>
          <w:rFonts w:ascii="Verdana" w:eastAsia="Verdana" w:hAnsi="Verdana" w:cs="Verdana"/>
          <w:spacing w:val="-19"/>
          <w:lang w:val="es-ES"/>
        </w:rPr>
        <w:t xml:space="preserve"> </w:t>
      </w:r>
      <w:r w:rsidRPr="00515C0B">
        <w:rPr>
          <w:rFonts w:ascii="Verdana" w:eastAsia="Verdana" w:hAnsi="Verdana" w:cs="Verdana"/>
          <w:lang w:val="es-ES"/>
        </w:rPr>
        <w:t>o</w:t>
      </w:r>
      <w:r w:rsidRPr="00515C0B">
        <w:rPr>
          <w:rFonts w:ascii="Verdana" w:eastAsia="Verdana" w:hAnsi="Verdana" w:cs="Verdana"/>
          <w:spacing w:val="-19"/>
          <w:lang w:val="es-ES"/>
        </w:rPr>
        <w:t xml:space="preserve"> </w:t>
      </w:r>
      <w:r w:rsidRPr="00515C0B">
        <w:rPr>
          <w:rFonts w:ascii="Verdana" w:eastAsia="Verdana" w:hAnsi="Verdana" w:cs="Verdana"/>
          <w:lang w:val="es-ES"/>
        </w:rPr>
        <w:t>en</w:t>
      </w:r>
      <w:r w:rsidRPr="00515C0B">
        <w:rPr>
          <w:rFonts w:ascii="Verdana" w:eastAsia="Verdana" w:hAnsi="Verdana" w:cs="Verdana"/>
          <w:spacing w:val="-20"/>
          <w:lang w:val="es-ES"/>
        </w:rPr>
        <w:t xml:space="preserve"> </w:t>
      </w:r>
      <w:r w:rsidRPr="00515C0B">
        <w:rPr>
          <w:rFonts w:ascii="Verdana" w:eastAsia="Verdana" w:hAnsi="Verdana" w:cs="Verdana"/>
          <w:lang w:val="es-ES"/>
        </w:rPr>
        <w:t>mercados</w:t>
      </w:r>
      <w:r w:rsidRPr="00515C0B">
        <w:rPr>
          <w:rFonts w:ascii="Verdana" w:eastAsia="Verdana" w:hAnsi="Verdana" w:cs="Verdana"/>
          <w:spacing w:val="-19"/>
          <w:lang w:val="es-ES"/>
        </w:rPr>
        <w:t xml:space="preserve"> </w:t>
      </w:r>
      <w:r w:rsidRPr="00515C0B">
        <w:rPr>
          <w:rFonts w:ascii="Verdana" w:eastAsia="Verdana" w:hAnsi="Verdana" w:cs="Verdana"/>
          <w:lang w:val="es-ES"/>
        </w:rPr>
        <w:t>regulados,</w:t>
      </w:r>
      <w:r w:rsidRPr="00515C0B">
        <w:rPr>
          <w:rFonts w:ascii="Verdana" w:eastAsia="Verdana" w:hAnsi="Verdana" w:cs="Verdana"/>
          <w:spacing w:val="-19"/>
          <w:lang w:val="es-ES"/>
        </w:rPr>
        <w:t xml:space="preserve"> </w:t>
      </w:r>
      <w:r w:rsidRPr="00515C0B">
        <w:rPr>
          <w:rFonts w:ascii="Verdana" w:eastAsia="Verdana" w:hAnsi="Verdana" w:cs="Verdana"/>
          <w:lang w:val="es-ES"/>
        </w:rPr>
        <w:t xml:space="preserve">quedando las otras </w:t>
      </w:r>
      <w:r>
        <w:rPr>
          <w:rFonts w:ascii="Verdana" w:eastAsia="Verdana" w:hAnsi="Verdana" w:cs="Verdana"/>
          <w:lang w:val="es-ES"/>
        </w:rPr>
        <w:t>empresas de esta índole</w:t>
      </w:r>
      <w:r w:rsidRPr="00515C0B">
        <w:rPr>
          <w:rFonts w:ascii="Verdana" w:eastAsia="Verdana" w:hAnsi="Verdana" w:cs="Verdana"/>
          <w:lang w:val="es-ES"/>
        </w:rPr>
        <w:t xml:space="preserve"> dentro del ámbito de aplicación del Estatuto General de Contratación de la Administración Pública</w:t>
      </w:r>
      <w:r w:rsidRPr="00515C0B">
        <w:rPr>
          <w:rFonts w:ascii="Verdana" w:eastAsia="Verdana" w:hAnsi="Verdana" w:cs="Verdana"/>
          <w:vertAlign w:val="superscript"/>
          <w:lang w:val="es-ES"/>
        </w:rPr>
        <w:footnoteReference w:id="20"/>
      </w:r>
      <w:r w:rsidRPr="00515C0B">
        <w:rPr>
          <w:rFonts w:ascii="Verdana" w:eastAsia="Verdana" w:hAnsi="Verdana" w:cs="Verdana"/>
          <w:lang w:val="es-ES"/>
        </w:rPr>
        <w:t>. Así, la norma</w:t>
      </w:r>
      <w:r w:rsidRPr="00515C0B">
        <w:rPr>
          <w:rFonts w:ascii="Verdana" w:eastAsia="Verdana" w:hAnsi="Verdana" w:cs="Verdana"/>
          <w:spacing w:val="-1"/>
          <w:lang w:val="es-ES"/>
        </w:rPr>
        <w:t xml:space="preserve"> </w:t>
      </w:r>
      <w:r w:rsidRPr="00515C0B">
        <w:rPr>
          <w:rFonts w:ascii="Verdana" w:eastAsia="Verdana" w:hAnsi="Verdana" w:cs="Verdana"/>
          <w:lang w:val="es-ES"/>
        </w:rPr>
        <w:t>vigente respecto a</w:t>
      </w:r>
      <w:r w:rsidRPr="00515C0B">
        <w:rPr>
          <w:rFonts w:ascii="Verdana" w:eastAsia="Verdana" w:hAnsi="Verdana" w:cs="Verdana"/>
          <w:spacing w:val="-1"/>
          <w:lang w:val="es-ES"/>
        </w:rPr>
        <w:t xml:space="preserve"> </w:t>
      </w:r>
      <w:r w:rsidRPr="00515C0B">
        <w:rPr>
          <w:rFonts w:ascii="Verdana" w:eastAsia="Verdana" w:hAnsi="Verdana" w:cs="Verdana"/>
          <w:lang w:val="es-ES"/>
        </w:rPr>
        <w:t>su régimen contractual establece:</w:t>
      </w:r>
    </w:p>
    <w:p w14:paraId="566C41D1" w14:textId="77777777" w:rsidR="002C0013" w:rsidRDefault="002C0013" w:rsidP="002C0013">
      <w:pPr>
        <w:widowControl w:val="0"/>
        <w:spacing w:after="0" w:line="240" w:lineRule="auto"/>
        <w:jc w:val="both"/>
        <w:rPr>
          <w:rFonts w:ascii="Verdana" w:eastAsia="Verdana" w:hAnsi="Verdana" w:cs="Verdana"/>
          <w:lang w:val="es-ES"/>
        </w:rPr>
      </w:pPr>
    </w:p>
    <w:p w14:paraId="1225E398" w14:textId="77777777" w:rsidR="002C0013" w:rsidRPr="00515C0B" w:rsidRDefault="002C0013" w:rsidP="002C0013">
      <w:pPr>
        <w:spacing w:after="0" w:line="240" w:lineRule="auto"/>
        <w:ind w:left="709" w:right="709"/>
        <w:contextualSpacing/>
        <w:jc w:val="both"/>
        <w:rPr>
          <w:rFonts w:ascii="Verdana" w:eastAsia="Times New Roman" w:hAnsi="Verdana" w:cs="Arial"/>
          <w:sz w:val="20"/>
          <w:szCs w:val="20"/>
          <w:lang w:eastAsia="es-ES"/>
        </w:rPr>
      </w:pPr>
      <w:r w:rsidRPr="73D21086">
        <w:rPr>
          <w:rFonts w:ascii="Verdana" w:eastAsia="Times New Roman" w:hAnsi="Verdana" w:cs="Arial"/>
          <w:sz w:val="20"/>
          <w:szCs w:val="20"/>
          <w:lang w:eastAsia="es-ES"/>
        </w:rPr>
        <w:t>“Artículo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r w:rsidRPr="73D21086">
        <w:rPr>
          <w:rFonts w:ascii="Calibri" w:eastAsia="Times New Roman" w:hAnsi="Calibri" w:cs="Arial"/>
          <w:sz w:val="20"/>
          <w:szCs w:val="20"/>
          <w:vertAlign w:val="superscript"/>
          <w:lang w:eastAsia="es-ES"/>
        </w:rPr>
        <w:footnoteReference w:id="21"/>
      </w:r>
      <w:r w:rsidRPr="73D21086">
        <w:rPr>
          <w:rFonts w:ascii="Verdana" w:eastAsia="Times New Roman" w:hAnsi="Verdana" w:cs="Arial"/>
          <w:sz w:val="20"/>
          <w:szCs w:val="20"/>
          <w:lang w:eastAsia="es-ES"/>
        </w:rPr>
        <w:t>.</w:t>
      </w:r>
    </w:p>
    <w:p w14:paraId="5298EA93" w14:textId="77777777" w:rsidR="002C0013" w:rsidRPr="00515C0B" w:rsidRDefault="002C0013" w:rsidP="002C0013">
      <w:pPr>
        <w:spacing w:after="0"/>
        <w:ind w:right="709"/>
        <w:jc w:val="both"/>
        <w:rPr>
          <w:rFonts w:ascii="Verdana" w:eastAsia="Calibri" w:hAnsi="Verdana" w:cs="Times New Roman"/>
          <w:sz w:val="21"/>
          <w:szCs w:val="21"/>
        </w:rPr>
      </w:pPr>
    </w:p>
    <w:p w14:paraId="4F6BF79F" w14:textId="77777777" w:rsidR="002C0013" w:rsidRPr="00CE0712" w:rsidRDefault="002C0013" w:rsidP="002C0013">
      <w:pPr>
        <w:spacing w:after="120" w:line="276" w:lineRule="auto"/>
        <w:ind w:firstLine="708"/>
        <w:jc w:val="both"/>
        <w:rPr>
          <w:rFonts w:ascii="Verdana" w:hAnsi="Verdana" w:cs="Arial"/>
          <w:bCs/>
          <w:color w:val="000000" w:themeColor="text1"/>
          <w:lang w:val="es-MX" w:eastAsia="x-none"/>
        </w:rPr>
      </w:pPr>
      <w:r w:rsidRPr="73D21086">
        <w:rPr>
          <w:rFonts w:ascii="Verdana" w:hAnsi="Verdana" w:cs="Arial"/>
          <w:color w:val="000000" w:themeColor="text1"/>
          <w:lang w:val="es-MX"/>
        </w:rPr>
        <w:t>Ahora bien, en relación con los destinatarios de las restricciones, el artículo 33 de la Ley 996 de 2005 los señala expresamente, en el sentido de que son “</w:t>
      </w:r>
      <w:r w:rsidRPr="73D21086">
        <w:rPr>
          <w:rFonts w:ascii="Verdana" w:hAnsi="Verdana" w:cs="Arial"/>
          <w:i/>
          <w:color w:val="000000" w:themeColor="text1"/>
          <w:lang w:val="es-MX"/>
        </w:rPr>
        <w:t>todos los entes del Estado</w:t>
      </w:r>
      <w:r w:rsidRPr="73D21086">
        <w:rPr>
          <w:rFonts w:ascii="Verdana" w:hAnsi="Verdana" w:cs="Arial"/>
          <w:color w:val="000000" w:themeColor="text1"/>
          <w:lang w:val="es-MX"/>
        </w:rPr>
        <w:t xml:space="preserve">”,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w:t>
      </w:r>
      <w:r w:rsidRPr="73D21086">
        <w:rPr>
          <w:rFonts w:ascii="Verdana" w:hAnsi="Verdana" w:cs="Arial"/>
          <w:color w:val="000000" w:themeColor="text1"/>
          <w:lang w:val="es-MX"/>
        </w:rPr>
        <w:lastRenderedPageBreak/>
        <w:t xml:space="preserve">u otra rama del poder público o su autonomía, e incluso si las entidades estatales tienen régimen especial de contratación y están exceptuadas del ámbito de aplicación del Estatuto General de Contratación de la Administración Pública. </w:t>
      </w:r>
    </w:p>
    <w:p w14:paraId="7C077004" w14:textId="77777777" w:rsidR="002C0013" w:rsidRDefault="002C0013" w:rsidP="002C0013">
      <w:pPr>
        <w:spacing w:after="120" w:line="276" w:lineRule="auto"/>
        <w:ind w:firstLine="708"/>
        <w:jc w:val="both"/>
        <w:rPr>
          <w:rFonts w:ascii="Verdana" w:hAnsi="Verdana" w:cs="Arial"/>
          <w:color w:val="000000" w:themeColor="text1"/>
          <w:lang w:val="es-MX"/>
        </w:rPr>
      </w:pPr>
      <w:r w:rsidRPr="73D21086">
        <w:rPr>
          <w:rFonts w:ascii="Verdana" w:hAnsi="Verdana" w:cs="Arial"/>
          <w:color w:val="000000" w:themeColor="text1"/>
          <w:lang w:val="es-MX"/>
        </w:rPr>
        <w:t>La Sala de Consulta y Servicio Civil del Consejo de Estado, en Concepto 1727 del 20 de febrero de 2006, consideró que 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73D21086">
        <w:rPr>
          <w:rFonts w:ascii="Verdana" w:hAnsi="Verdana" w:cs="Arial"/>
          <w:color w:val="000000" w:themeColor="text1"/>
          <w:vertAlign w:val="superscript"/>
          <w:lang w:val="es-MX"/>
        </w:rPr>
        <w:footnoteReference w:id="22"/>
      </w:r>
      <w:r w:rsidRPr="73D21086">
        <w:rPr>
          <w:rFonts w:ascii="Verdana" w:hAnsi="Verdana" w:cs="Arial"/>
          <w:color w:val="000000" w:themeColor="text1"/>
          <w:lang w:val="es-MX"/>
        </w:rPr>
        <w:t xml:space="preserve">. </w:t>
      </w:r>
    </w:p>
    <w:p w14:paraId="446140D0" w14:textId="77777777" w:rsidR="002C0013" w:rsidRDefault="002C0013" w:rsidP="002C0013">
      <w:pPr>
        <w:spacing w:after="0" w:line="276" w:lineRule="auto"/>
        <w:ind w:firstLine="708"/>
        <w:jc w:val="both"/>
        <w:rPr>
          <w:rFonts w:ascii="Verdana" w:hAnsi="Verdana" w:cs="Arial"/>
          <w:color w:val="000000" w:themeColor="text1"/>
          <w:lang w:val="es-MX"/>
        </w:rPr>
      </w:pPr>
      <w:r w:rsidRPr="73D21086">
        <w:rPr>
          <w:rFonts w:ascii="Verdana" w:hAnsi="Verdana" w:cs="Arial"/>
          <w:color w:val="000000" w:themeColor="text1"/>
          <w:lang w:val="es-MX"/>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CE0D82">
        <w:rPr>
          <w:rFonts w:ascii="Verdana" w:hAnsi="Verdana" w:cs="Arial"/>
          <w:color w:val="000000" w:themeColor="text1"/>
          <w:vertAlign w:val="superscript"/>
          <w:lang w:val="es-MX"/>
        </w:rPr>
        <w:footnoteReference w:id="23"/>
      </w:r>
      <w:r w:rsidRPr="73D21086">
        <w:rPr>
          <w:rFonts w:ascii="Verdana" w:hAnsi="Verdana" w:cs="Arial"/>
          <w:color w:val="000000" w:themeColor="text1"/>
          <w:lang w:val="es-MX"/>
        </w:rPr>
        <w:t>.</w:t>
      </w:r>
      <w:r w:rsidRPr="00CE0D82">
        <w:rPr>
          <w:rFonts w:ascii="Verdana" w:hAnsi="Verdana" w:cs="Arial"/>
          <w:color w:val="000000" w:themeColor="text1"/>
          <w:lang w:val="es-MX"/>
        </w:rPr>
        <w:t xml:space="preserve"> Además, la Sala de Consulta y Servicio Civil del Consejo de Estado realizó la siguiente distinción, retomando el pronunciamiento de la misma sala del 20 de febrero de 2006, citado anteriormente:</w:t>
      </w:r>
    </w:p>
    <w:p w14:paraId="62005309" w14:textId="77777777" w:rsidR="002C0013" w:rsidRPr="00CE0D82" w:rsidRDefault="002C0013" w:rsidP="002C0013">
      <w:pPr>
        <w:spacing w:after="0" w:line="240" w:lineRule="auto"/>
        <w:ind w:firstLine="709"/>
        <w:jc w:val="both"/>
        <w:rPr>
          <w:rFonts w:ascii="Verdana" w:hAnsi="Verdana" w:cs="Arial"/>
          <w:color w:val="000000" w:themeColor="text1"/>
          <w:lang w:val="es-MX"/>
        </w:rPr>
      </w:pPr>
    </w:p>
    <w:p w14:paraId="417E7A8E" w14:textId="77777777" w:rsidR="002C0013" w:rsidRDefault="002C0013" w:rsidP="002C0013">
      <w:pPr>
        <w:spacing w:after="0" w:line="240" w:lineRule="auto"/>
        <w:ind w:left="709" w:right="709"/>
        <w:jc w:val="both"/>
        <w:rPr>
          <w:rFonts w:ascii="Verdana" w:hAnsi="Verdana" w:cs="Arial"/>
          <w:color w:val="000000" w:themeColor="text1"/>
          <w:sz w:val="20"/>
          <w:szCs w:val="20"/>
          <w:lang w:val="es-MX"/>
        </w:rPr>
      </w:pPr>
      <w:r w:rsidRPr="005800D0">
        <w:rPr>
          <w:rFonts w:ascii="Verdana" w:hAnsi="Verdana" w:cs="Arial"/>
          <w:color w:val="000000" w:themeColor="text1"/>
          <w:sz w:val="20"/>
          <w:szCs w:val="20"/>
          <w:lang w:val="es-MX"/>
        </w:rPr>
        <w:t>“</w:t>
      </w:r>
      <w:r>
        <w:rPr>
          <w:rFonts w:ascii="Verdana" w:hAnsi="Verdana" w:cs="Arial"/>
          <w:color w:val="000000" w:themeColor="text1"/>
          <w:sz w:val="20"/>
          <w:szCs w:val="20"/>
          <w:lang w:val="es-MX"/>
        </w:rPr>
        <w:t>(…)</w:t>
      </w:r>
      <w:r w:rsidRPr="005800D0">
        <w:rPr>
          <w:rFonts w:ascii="Verdana" w:hAnsi="Verdana" w:cs="Arial"/>
          <w:color w:val="000000" w:themeColor="text1"/>
          <w:sz w:val="20"/>
          <w:szCs w:val="20"/>
          <w:lang w:val="es-MX"/>
        </w:rPr>
        <w:t xml:space="preserve"> 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w:t>
      </w:r>
      <w:r w:rsidRPr="005800D0">
        <w:rPr>
          <w:rFonts w:ascii="Verdana" w:hAnsi="Verdana" w:cs="Arial"/>
          <w:color w:val="000000" w:themeColor="text1"/>
          <w:sz w:val="20"/>
          <w:szCs w:val="20"/>
          <w:lang w:val="es-MX"/>
        </w:rPr>
        <w:lastRenderedPageBreak/>
        <w:t>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2C305DD9" w14:textId="77777777" w:rsidR="002C0013" w:rsidRPr="005800D0" w:rsidRDefault="002C0013" w:rsidP="002C0013">
      <w:pPr>
        <w:spacing w:after="0" w:line="240" w:lineRule="auto"/>
        <w:ind w:left="709" w:right="709"/>
        <w:jc w:val="both"/>
        <w:rPr>
          <w:rFonts w:ascii="Verdana" w:hAnsi="Verdana" w:cs="Arial"/>
          <w:color w:val="000000" w:themeColor="text1"/>
          <w:sz w:val="20"/>
          <w:szCs w:val="20"/>
          <w:lang w:val="es-MX"/>
        </w:rPr>
      </w:pPr>
    </w:p>
    <w:p w14:paraId="568D1384" w14:textId="77777777" w:rsidR="002C0013" w:rsidRPr="005800D0" w:rsidRDefault="002C0013" w:rsidP="002C0013">
      <w:pPr>
        <w:spacing w:after="0" w:line="240" w:lineRule="auto"/>
        <w:ind w:left="709" w:right="709"/>
        <w:jc w:val="both"/>
        <w:rPr>
          <w:rFonts w:ascii="Verdana" w:hAnsi="Verdana" w:cs="Arial"/>
          <w:color w:val="000000" w:themeColor="text1"/>
          <w:sz w:val="20"/>
          <w:szCs w:val="20"/>
          <w:lang w:val="es-MX"/>
        </w:rPr>
      </w:pPr>
      <w:r w:rsidRPr="005800D0">
        <w:rPr>
          <w:rFonts w:ascii="Verdana" w:hAnsi="Verdana" w:cs="Arial"/>
          <w:color w:val="000000" w:themeColor="text1"/>
          <w:sz w:val="20"/>
          <w:szCs w:val="20"/>
          <w:lang w:val="es-MX"/>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Pr>
          <w:rFonts w:ascii="Verdana" w:hAnsi="Verdana" w:cs="Arial"/>
          <w:color w:val="000000" w:themeColor="text1"/>
          <w:sz w:val="20"/>
          <w:szCs w:val="20"/>
          <w:lang w:val="es-MX"/>
        </w:rPr>
        <w:t>”</w:t>
      </w:r>
      <w:r w:rsidRPr="005800D0">
        <w:rPr>
          <w:rFonts w:ascii="Verdana" w:hAnsi="Verdana" w:cs="Arial"/>
          <w:color w:val="000000" w:themeColor="text1"/>
          <w:sz w:val="20"/>
          <w:szCs w:val="20"/>
          <w:vertAlign w:val="superscript"/>
          <w:lang w:val="es-MX"/>
        </w:rPr>
        <w:footnoteReference w:id="24"/>
      </w:r>
      <w:r w:rsidRPr="005800D0">
        <w:rPr>
          <w:rFonts w:ascii="Verdana" w:hAnsi="Verdana" w:cs="Arial"/>
          <w:color w:val="000000" w:themeColor="text1"/>
          <w:sz w:val="20"/>
          <w:szCs w:val="20"/>
          <w:lang w:val="es-MX" w:eastAsia="x-none"/>
        </w:rPr>
        <w:t>.</w:t>
      </w:r>
    </w:p>
    <w:p w14:paraId="7D3285F1" w14:textId="77777777" w:rsidR="002C0013" w:rsidRDefault="002C0013" w:rsidP="002C0013">
      <w:pPr>
        <w:spacing w:after="0" w:line="276" w:lineRule="auto"/>
        <w:ind w:firstLine="709"/>
        <w:jc w:val="both"/>
        <w:rPr>
          <w:rFonts w:ascii="Verdana" w:hAnsi="Verdana" w:cs="Arial"/>
          <w:color w:val="000000" w:themeColor="text1"/>
          <w:lang w:val="es-MX"/>
        </w:rPr>
      </w:pPr>
    </w:p>
    <w:p w14:paraId="16496A56" w14:textId="77777777" w:rsidR="002C0013" w:rsidRDefault="002C0013" w:rsidP="002C0013">
      <w:pPr>
        <w:spacing w:after="120" w:line="276" w:lineRule="auto"/>
        <w:ind w:firstLine="709"/>
        <w:jc w:val="both"/>
        <w:rPr>
          <w:rFonts w:ascii="Verdana" w:hAnsi="Verdana" w:cs="Arial"/>
          <w:color w:val="000000" w:themeColor="text1"/>
          <w:lang w:eastAsia="es-CO"/>
        </w:rPr>
      </w:pPr>
      <w:r w:rsidRPr="00195E24">
        <w:rPr>
          <w:rFonts w:ascii="Verdana" w:hAnsi="Verdana" w:cs="Arial"/>
          <w:color w:val="000000" w:themeColor="text1"/>
          <w:lang w:val="es-MX"/>
        </w:rPr>
        <w:t>De acuerdo con estos pronunciamientos de la Sala de Consulta y Servicio Civil del Consejo de Estado, la prohibición de la contratación directa también aplica frente a las entidades exceptuadas del E</w:t>
      </w:r>
      <w:r>
        <w:rPr>
          <w:rFonts w:ascii="Verdana" w:hAnsi="Verdana" w:cs="Arial"/>
          <w:color w:val="000000" w:themeColor="text1"/>
          <w:lang w:val="es-MX"/>
        </w:rPr>
        <w:t xml:space="preserve">statuto </w:t>
      </w:r>
      <w:r w:rsidRPr="00195E24">
        <w:rPr>
          <w:rFonts w:ascii="Verdana" w:hAnsi="Verdana" w:cs="Arial"/>
          <w:color w:val="000000" w:themeColor="text1"/>
          <w:lang w:val="es-MX"/>
        </w:rPr>
        <w:t>G</w:t>
      </w:r>
      <w:r>
        <w:rPr>
          <w:rFonts w:ascii="Verdana" w:hAnsi="Verdana" w:cs="Arial"/>
          <w:color w:val="000000" w:themeColor="text1"/>
          <w:lang w:val="es-MX"/>
        </w:rPr>
        <w:t xml:space="preserve">eneral de </w:t>
      </w:r>
      <w:r w:rsidRPr="00195E24">
        <w:rPr>
          <w:rFonts w:ascii="Verdana" w:hAnsi="Verdana" w:cs="Arial"/>
          <w:color w:val="000000" w:themeColor="text1"/>
          <w:lang w:val="es-MX"/>
        </w:rPr>
        <w:t>C</w:t>
      </w:r>
      <w:r>
        <w:rPr>
          <w:rFonts w:ascii="Verdana" w:hAnsi="Verdana" w:cs="Arial"/>
          <w:color w:val="000000" w:themeColor="text1"/>
          <w:lang w:val="es-MX"/>
        </w:rPr>
        <w:t xml:space="preserve">ontratación de la </w:t>
      </w:r>
      <w:r w:rsidRPr="00195E24">
        <w:rPr>
          <w:rFonts w:ascii="Verdana" w:hAnsi="Verdana" w:cs="Arial"/>
          <w:color w:val="000000" w:themeColor="text1"/>
          <w:lang w:val="es-MX"/>
        </w:rPr>
        <w:t>A</w:t>
      </w:r>
      <w:r>
        <w:rPr>
          <w:rFonts w:ascii="Verdana" w:hAnsi="Verdana" w:cs="Arial"/>
          <w:color w:val="000000" w:themeColor="text1"/>
          <w:lang w:val="es-MX"/>
        </w:rPr>
        <w:t xml:space="preserve">dministración </w:t>
      </w:r>
      <w:r w:rsidRPr="00195E24">
        <w:rPr>
          <w:rFonts w:ascii="Verdana" w:hAnsi="Verdana" w:cs="Arial"/>
          <w:color w:val="000000" w:themeColor="text1"/>
          <w:lang w:val="es-MX"/>
        </w:rPr>
        <w:t>P</w:t>
      </w:r>
      <w:r>
        <w:rPr>
          <w:rFonts w:ascii="Verdana" w:hAnsi="Verdana" w:cs="Arial"/>
          <w:color w:val="000000" w:themeColor="text1"/>
          <w:lang w:val="es-MX"/>
        </w:rPr>
        <w:t>ública</w:t>
      </w:r>
      <w:r w:rsidRPr="00195E24">
        <w:rPr>
          <w:rFonts w:ascii="Verdana" w:hAnsi="Verdana" w:cs="Arial"/>
          <w:color w:val="000000" w:themeColor="text1"/>
          <w:lang w:val="es-MX"/>
        </w:rPr>
        <w:t xml:space="preserve"> y que se rigen en materia contractual por el derecho privado. Sin embargo, señaló que algunas de estas entidades, como sucede con las empresas de servicios públicos domiciliarios, los </w:t>
      </w:r>
      <w:r w:rsidRPr="73D21086">
        <w:rPr>
          <w:rFonts w:ascii="Verdana" w:hAnsi="Verdana" w:cs="Arial"/>
          <w:color w:val="000000" w:themeColor="text1"/>
          <w:lang w:val="es-MX"/>
        </w:rPr>
        <w:t>establecimientos de crédito, las sociedades de servicios financieros y las entidades aseguradoras</w:t>
      </w:r>
      <w:r w:rsidRPr="00195E24">
        <w:rPr>
          <w:rFonts w:ascii="Verdana" w:hAnsi="Verdana" w:cs="Arial"/>
          <w:color w:val="000000" w:themeColor="text1"/>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195E24">
        <w:rPr>
          <w:rFonts w:ascii="Verdana" w:hAnsi="Verdana" w:cs="Arial"/>
          <w:color w:val="000000" w:themeColor="text1"/>
          <w:vertAlign w:val="superscript"/>
          <w:lang w:val="es-MX"/>
        </w:rPr>
        <w:footnoteReference w:id="25"/>
      </w:r>
      <w:r w:rsidRPr="00195E24">
        <w:rPr>
          <w:rFonts w:ascii="Verdana" w:hAnsi="Verdana" w:cs="Arial"/>
          <w:color w:val="000000" w:themeColor="text1"/>
          <w:lang w:val="es-MX"/>
        </w:rPr>
        <w:t>.</w:t>
      </w:r>
      <w:r w:rsidRPr="00195E24">
        <w:rPr>
          <w:rFonts w:ascii="Verdana" w:hAnsi="Verdana" w:cs="Arial"/>
          <w:color w:val="000000" w:themeColor="text1"/>
          <w:lang w:eastAsia="es-CO"/>
        </w:rPr>
        <w:t xml:space="preserve"> </w:t>
      </w:r>
    </w:p>
    <w:p w14:paraId="19811B6B" w14:textId="77777777" w:rsidR="002C0013" w:rsidRPr="00195E24" w:rsidRDefault="002C0013" w:rsidP="002C0013">
      <w:pPr>
        <w:spacing w:after="120" w:line="276" w:lineRule="auto"/>
        <w:ind w:firstLine="709"/>
        <w:jc w:val="both"/>
        <w:rPr>
          <w:rFonts w:ascii="Verdana" w:hAnsi="Verdana" w:cs="Arial"/>
          <w:color w:val="000000" w:themeColor="text1"/>
          <w:lang w:eastAsia="es-CO"/>
        </w:rPr>
      </w:pPr>
      <w:r w:rsidRPr="00CE0D82">
        <w:rPr>
          <w:rFonts w:ascii="Verdana" w:hAnsi="Verdana" w:cs="Arial"/>
          <w:color w:val="000000" w:themeColor="text1"/>
          <w:lang w:eastAsia="es-CO"/>
        </w:rPr>
        <w:t>Sin perjuicio de estos pronunciamientos de la Sala de Consulta y Servicio Civil</w:t>
      </w:r>
      <w:r w:rsidRPr="00CE0D82">
        <w:rPr>
          <w:rFonts w:ascii="Verdana" w:hAnsi="Verdana" w:cs="Arial"/>
          <w:color w:val="000000" w:themeColor="text1"/>
          <w:lang w:val="es-MX"/>
        </w:rPr>
        <w:t xml:space="preserve">, como la ha señalado esa misma Corporación, la restricción prevista en la Ley 996 de 2005 </w:t>
      </w:r>
      <w:r w:rsidRPr="00CE0D82">
        <w:rPr>
          <w:rFonts w:ascii="Verdana" w:hAnsi="Verdana" w:cs="Arial"/>
          <w:bCs/>
          <w:color w:val="000000" w:themeColor="text1"/>
          <w:lang w:val="es-MX" w:eastAsia="x-none"/>
        </w:rPr>
        <w:t xml:space="preserve">cobija a cualquier entidad pública independiente del régimen </w:t>
      </w:r>
      <w:r w:rsidRPr="00CE0D82">
        <w:rPr>
          <w:rFonts w:ascii="Verdana" w:hAnsi="Verdana" w:cs="Arial"/>
          <w:bCs/>
          <w:color w:val="000000" w:themeColor="text1"/>
          <w:lang w:val="es-MX" w:eastAsia="x-none"/>
        </w:rPr>
        <w:lastRenderedPageBreak/>
        <w:t xml:space="preserve">jurídico, que pueda mediante la contratación directa romper el equilibrio entre los candidatos en desarrollo de las elecciones presidenciales. </w:t>
      </w:r>
      <w:r>
        <w:rPr>
          <w:rFonts w:ascii="Verdana" w:hAnsi="Verdana" w:cs="Arial"/>
          <w:color w:val="000000" w:themeColor="text1"/>
          <w:lang w:eastAsia="es-CO"/>
        </w:rPr>
        <w:t xml:space="preserve">En este sentido, respecto a su consulta, es pertinente señalar que las empresas industriales y comerciales del Estado en vigencia de la Ley de Garantías Electorales no podrán hacer contrataciones bajo la modalidad de contratación directa, </w:t>
      </w:r>
      <w:r w:rsidRPr="00195E24">
        <w:rPr>
          <w:rFonts w:ascii="Verdana" w:hAnsi="Verdana" w:cs="Arial"/>
          <w:color w:val="000000" w:themeColor="text1"/>
          <w:lang w:val="es-MX"/>
        </w:rPr>
        <w:t>sino por mecanismos competitivos que impliquen convocatoria pública y la posibilidad de la existencia de pluralidad de oferentes</w:t>
      </w:r>
      <w:r>
        <w:rPr>
          <w:rFonts w:ascii="Verdana" w:hAnsi="Verdana" w:cs="Arial"/>
          <w:color w:val="000000" w:themeColor="text1"/>
          <w:lang w:val="es-MX"/>
        </w:rPr>
        <w:t xml:space="preserve">. </w:t>
      </w:r>
    </w:p>
    <w:p w14:paraId="090597DD" w14:textId="77777777" w:rsidR="002C0013" w:rsidRPr="00CE0712" w:rsidRDefault="002C0013" w:rsidP="002C0013">
      <w:pPr>
        <w:spacing w:line="276" w:lineRule="auto"/>
        <w:ind w:firstLine="709"/>
        <w:jc w:val="both"/>
        <w:rPr>
          <w:rFonts w:ascii="Verdana" w:hAnsi="Verdana" w:cs="Arial"/>
          <w:bCs/>
          <w:color w:val="000000" w:themeColor="text1"/>
          <w:lang w:val="es-MX" w:eastAsia="x-none"/>
        </w:rPr>
      </w:pPr>
      <w:r w:rsidRPr="73D21086">
        <w:rPr>
          <w:rFonts w:ascii="Verdana" w:hAnsi="Verdana" w:cs="Arial"/>
          <w:color w:val="000000" w:themeColor="text1"/>
          <w:lang w:val="es-MX"/>
        </w:rPr>
        <w:t xml:space="preserve">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puede presentarse tanto en la contratación regulada por la Ley 80 de 1993 como en la regida por normas especiales. </w:t>
      </w:r>
    </w:p>
    <w:p w14:paraId="369FB168" w14:textId="77777777" w:rsidR="002C0013" w:rsidRPr="00062EAD" w:rsidRDefault="002C0013" w:rsidP="002C0013">
      <w:pPr>
        <w:widowControl w:val="0"/>
        <w:autoSpaceDE w:val="0"/>
        <w:autoSpaceDN w:val="0"/>
        <w:spacing w:after="120" w:line="276" w:lineRule="auto"/>
        <w:ind w:firstLine="709"/>
        <w:jc w:val="both"/>
        <w:rPr>
          <w:rFonts w:ascii="Verdana" w:eastAsia="Times New Roman" w:hAnsi="Verdana" w:cs="Arial"/>
          <w:bCs/>
          <w:lang w:val="es-ES" w:eastAsia="es-CO" w:bidi="es-ES"/>
        </w:rPr>
      </w:pPr>
      <w:r w:rsidRPr="00E36918">
        <w:rPr>
          <w:rFonts w:ascii="Verdana" w:eastAsia="Times New Roman" w:hAnsi="Verdana" w:cs="Arial"/>
          <w:bCs/>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E36918">
        <w:rPr>
          <w:rFonts w:ascii="Verdana" w:eastAsia="Times New Roman" w:hAnsi="Verdana" w:cs="Arial"/>
          <w:bCs/>
          <w:lang w:val="es-ES" w:eastAsia="es-CO" w:bidi="es-ES"/>
        </w:rPr>
        <w:t>ii</w:t>
      </w:r>
      <w:proofErr w:type="spellEnd"/>
      <w:r w:rsidRPr="00E36918">
        <w:rPr>
          <w:rFonts w:ascii="Verdana" w:eastAsia="Times New Roman" w:hAnsi="Verdana" w:cs="Arial"/>
          <w:bCs/>
          <w:lang w:val="es-ES" w:eastAsia="es-CO" w:bidi="es-ES"/>
        </w:rPr>
        <w:t xml:space="preserve">) los contratos de crédito público; </w:t>
      </w:r>
      <w:proofErr w:type="spellStart"/>
      <w:r w:rsidRPr="00E36918">
        <w:rPr>
          <w:rFonts w:ascii="Verdana" w:eastAsia="Times New Roman" w:hAnsi="Verdana" w:cs="Arial"/>
          <w:bCs/>
          <w:lang w:val="es-ES" w:eastAsia="es-CO" w:bidi="es-ES"/>
        </w:rPr>
        <w:t>iii</w:t>
      </w:r>
      <w:proofErr w:type="spellEnd"/>
      <w:r w:rsidRPr="00E36918">
        <w:rPr>
          <w:rFonts w:ascii="Verdana" w:eastAsia="Times New Roman" w:hAnsi="Verdana" w:cs="Arial"/>
          <w:bCs/>
          <w:lang w:val="es-ES" w:eastAsia="es-CO" w:bidi="es-ES"/>
        </w:rPr>
        <w:t xml:space="preserve">) los requeridos para cubrir las emergencias educativas, sanitarias y desastres; </w:t>
      </w:r>
      <w:proofErr w:type="spellStart"/>
      <w:r w:rsidRPr="00E36918">
        <w:rPr>
          <w:rFonts w:ascii="Verdana" w:eastAsia="Times New Roman" w:hAnsi="Verdana" w:cs="Arial"/>
          <w:bCs/>
          <w:lang w:val="es-ES" w:eastAsia="es-CO" w:bidi="es-ES"/>
        </w:rPr>
        <w:t>iv</w:t>
      </w:r>
      <w:proofErr w:type="spellEnd"/>
      <w:r w:rsidRPr="00E36918">
        <w:rPr>
          <w:rFonts w:ascii="Verdana" w:eastAsia="Times New Roman" w:hAnsi="Verdana" w:cs="Arial"/>
          <w:bCs/>
          <w:lang w:val="es-ES" w:eastAsia="es-CO" w:bidi="es-ES"/>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E36918">
        <w:rPr>
          <w:rFonts w:ascii="Verdana" w:hAnsi="Verdana" w:cs="Arial"/>
          <w:bCs/>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r w:rsidRPr="00E36918">
        <w:rPr>
          <w:rFonts w:ascii="Verdana" w:eastAsia="Times New Roman" w:hAnsi="Verdana" w:cs="Arial"/>
          <w:bCs/>
          <w:lang w:val="es-ES" w:eastAsia="es-CO" w:bidi="es-ES"/>
        </w:rPr>
        <w:t xml:space="preserve"> </w:t>
      </w:r>
    </w:p>
    <w:p w14:paraId="2765BE7F" w14:textId="77777777" w:rsidR="002C0013" w:rsidRDefault="002C0013" w:rsidP="002C0013">
      <w:pPr>
        <w:tabs>
          <w:tab w:val="left" w:pos="142"/>
          <w:tab w:val="left" w:pos="284"/>
          <w:tab w:val="left" w:pos="3828"/>
        </w:tabs>
        <w:spacing w:after="0" w:line="240" w:lineRule="auto"/>
        <w:rPr>
          <w:rFonts w:ascii="Verdana" w:eastAsia="Century Gothic" w:hAnsi="Verdana" w:cs="Century Gothic"/>
          <w:b/>
          <w:bCs/>
        </w:rPr>
      </w:pPr>
      <w:bookmarkStart w:id="19" w:name="_Hlk204854194"/>
      <w:r w:rsidRPr="005644FE">
        <w:rPr>
          <w:rFonts w:ascii="Verdana" w:eastAsia="Century Gothic" w:hAnsi="Verdana" w:cs="Century Gothic"/>
          <w:b/>
          <w:bCs/>
        </w:rPr>
        <w:t>4. 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19"/>
    </w:p>
    <w:p w14:paraId="0549CE34" w14:textId="77777777" w:rsidR="002C0013" w:rsidRPr="005644FE" w:rsidRDefault="002C0013" w:rsidP="002C0013">
      <w:pPr>
        <w:tabs>
          <w:tab w:val="left" w:pos="142"/>
          <w:tab w:val="left" w:pos="284"/>
          <w:tab w:val="left" w:pos="3828"/>
        </w:tabs>
        <w:spacing w:after="0" w:line="240"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C0013" w:rsidRPr="005644FE" w14:paraId="22D201C4" w14:textId="77777777" w:rsidTr="00A1602F">
        <w:trPr>
          <w:trHeight w:val="56"/>
          <w:jc w:val="center"/>
        </w:trPr>
        <w:tc>
          <w:tcPr>
            <w:tcW w:w="8647" w:type="dxa"/>
          </w:tcPr>
          <w:p w14:paraId="7B785FFA" w14:textId="77777777" w:rsidR="002C0013" w:rsidRDefault="002C0013" w:rsidP="00A1602F">
            <w:pPr>
              <w:pStyle w:val="Prrafodelista"/>
              <w:numPr>
                <w:ilvl w:val="0"/>
                <w:numId w:val="17"/>
              </w:numPr>
              <w:spacing w:after="120" w:line="276" w:lineRule="auto"/>
              <w:ind w:left="714" w:hanging="357"/>
              <w:jc w:val="both"/>
              <w:rPr>
                <w:rFonts w:ascii="Verdana" w:eastAsia="Aptos" w:hAnsi="Verdana" w:cs="Arial"/>
              </w:rPr>
            </w:pPr>
            <w:r>
              <w:rPr>
                <w:rFonts w:ascii="Verdana" w:eastAsia="Aptos" w:hAnsi="Verdana" w:cs="Arial"/>
              </w:rPr>
              <w:t xml:space="preserve">Constitución Política. Artículo 127. </w:t>
            </w:r>
          </w:p>
          <w:p w14:paraId="5406F7C6" w14:textId="77777777" w:rsidR="002C0013" w:rsidRDefault="002C0013" w:rsidP="00A1602F">
            <w:pPr>
              <w:pStyle w:val="Prrafodelista"/>
              <w:numPr>
                <w:ilvl w:val="0"/>
                <w:numId w:val="17"/>
              </w:numPr>
              <w:spacing w:after="120" w:line="276" w:lineRule="auto"/>
              <w:ind w:left="714" w:hanging="357"/>
              <w:jc w:val="both"/>
              <w:rPr>
                <w:rFonts w:ascii="Verdana" w:eastAsia="Aptos" w:hAnsi="Verdana" w:cs="Arial"/>
              </w:rPr>
            </w:pPr>
            <w:r>
              <w:rPr>
                <w:rFonts w:ascii="Verdana" w:eastAsia="Aptos" w:hAnsi="Verdana" w:cs="Arial"/>
              </w:rPr>
              <w:t>Ley 996 de 2005. Artículo 33.</w:t>
            </w:r>
          </w:p>
          <w:p w14:paraId="2A5C4DCF" w14:textId="77777777" w:rsidR="002C0013" w:rsidRDefault="002C0013" w:rsidP="00A1602F">
            <w:pPr>
              <w:pStyle w:val="Prrafodelista"/>
              <w:numPr>
                <w:ilvl w:val="0"/>
                <w:numId w:val="17"/>
              </w:numPr>
              <w:spacing w:after="120" w:line="276" w:lineRule="auto"/>
              <w:ind w:left="714" w:hanging="357"/>
              <w:jc w:val="both"/>
              <w:rPr>
                <w:rFonts w:ascii="Verdana" w:eastAsia="Aptos" w:hAnsi="Verdana" w:cs="Arial"/>
              </w:rPr>
            </w:pPr>
            <w:r>
              <w:rPr>
                <w:rFonts w:ascii="Verdana" w:eastAsia="Aptos" w:hAnsi="Verdana" w:cs="Arial"/>
              </w:rPr>
              <w:t xml:space="preserve">Ley 1150 de 2007. Artículo 2, 14. </w:t>
            </w:r>
          </w:p>
          <w:p w14:paraId="3221C0BD" w14:textId="77777777" w:rsidR="002C0013" w:rsidRDefault="002C0013" w:rsidP="00A1602F">
            <w:pPr>
              <w:pStyle w:val="Prrafodelista"/>
              <w:numPr>
                <w:ilvl w:val="0"/>
                <w:numId w:val="17"/>
              </w:numPr>
              <w:spacing w:after="120" w:line="276" w:lineRule="auto"/>
              <w:ind w:left="714" w:hanging="357"/>
              <w:jc w:val="both"/>
              <w:rPr>
                <w:rFonts w:ascii="Verdana" w:eastAsia="Aptos" w:hAnsi="Verdana" w:cs="Arial"/>
              </w:rPr>
            </w:pPr>
            <w:r>
              <w:rPr>
                <w:rFonts w:ascii="Verdana" w:eastAsia="Aptos" w:hAnsi="Verdana" w:cs="Arial"/>
              </w:rPr>
              <w:t xml:space="preserve">Ley 489 de 1998. Artículo 93. </w:t>
            </w:r>
          </w:p>
          <w:p w14:paraId="53EBD186" w14:textId="77777777" w:rsidR="002C0013" w:rsidRPr="00462044" w:rsidRDefault="002C0013" w:rsidP="00A1602F">
            <w:pPr>
              <w:pStyle w:val="Prrafodelista"/>
              <w:numPr>
                <w:ilvl w:val="0"/>
                <w:numId w:val="17"/>
              </w:numPr>
              <w:spacing w:after="120" w:line="276" w:lineRule="auto"/>
              <w:ind w:left="714" w:hanging="357"/>
              <w:jc w:val="both"/>
              <w:rPr>
                <w:rFonts w:ascii="Verdana" w:eastAsia="Aptos" w:hAnsi="Verdana" w:cs="Arial"/>
              </w:rPr>
            </w:pPr>
            <w:r>
              <w:rPr>
                <w:rFonts w:ascii="Verdana" w:eastAsia="Aptos" w:hAnsi="Verdana" w:cs="Arial"/>
              </w:rPr>
              <w:t>Ley 1474 de 2011. Artículo 93</w:t>
            </w:r>
          </w:p>
          <w:p w14:paraId="18D1EABB" w14:textId="77777777" w:rsidR="002C0013" w:rsidRDefault="002C0013" w:rsidP="00A1602F">
            <w:pPr>
              <w:pStyle w:val="Prrafodelista"/>
              <w:numPr>
                <w:ilvl w:val="0"/>
                <w:numId w:val="17"/>
              </w:numPr>
              <w:spacing w:after="120" w:line="276" w:lineRule="auto"/>
              <w:ind w:left="714" w:hanging="357"/>
              <w:jc w:val="both"/>
              <w:rPr>
                <w:rFonts w:ascii="Verdana" w:eastAsia="Aptos" w:hAnsi="Verdana" w:cs="Arial"/>
              </w:rPr>
            </w:pPr>
            <w:r w:rsidRPr="00266133">
              <w:rPr>
                <w:rFonts w:ascii="Verdana" w:eastAsia="Aptos" w:hAnsi="Verdana" w:cs="Arial"/>
              </w:rPr>
              <w:lastRenderedPageBreak/>
              <w:t xml:space="preserve">Consejo de Estado. Sala de lo Contencioso Administrativo. Sección Primera. Sentencia de 3 de marzo de 2005. Radicado: 25001-23-15-000-2004-00823-01 (PI). C.P: Camilo Arciniegas Andrade. </w:t>
            </w:r>
          </w:p>
          <w:p w14:paraId="4826D4BC" w14:textId="77777777" w:rsidR="002C0013" w:rsidRDefault="002C0013" w:rsidP="00A1602F">
            <w:pPr>
              <w:pStyle w:val="Prrafodelista"/>
              <w:numPr>
                <w:ilvl w:val="0"/>
                <w:numId w:val="17"/>
              </w:numPr>
              <w:spacing w:after="120" w:line="276" w:lineRule="auto"/>
              <w:ind w:left="714" w:hanging="357"/>
              <w:jc w:val="both"/>
              <w:rPr>
                <w:rFonts w:ascii="Verdana" w:eastAsia="Aptos" w:hAnsi="Verdana" w:cs="Arial"/>
              </w:rPr>
            </w:pPr>
            <w:r w:rsidRPr="00266133">
              <w:rPr>
                <w:rFonts w:ascii="Verdana" w:eastAsia="Aptos" w:hAnsi="Verdana" w:cs="Arial"/>
              </w:rPr>
              <w:t>Consejo de Estado, Sala de Consulta y Servicio Civil. 24 de julio de 2013. Radicado: 11001-03-06-000-2013-00407-00 (2166). C.P</w:t>
            </w:r>
            <w:r>
              <w:rPr>
                <w:rFonts w:ascii="Verdana" w:eastAsia="Aptos" w:hAnsi="Verdana" w:cs="Arial"/>
              </w:rPr>
              <w:t>:</w:t>
            </w:r>
            <w:r w:rsidRPr="00266133">
              <w:rPr>
                <w:rFonts w:ascii="Verdana" w:eastAsia="Aptos" w:hAnsi="Verdana" w:cs="Arial"/>
              </w:rPr>
              <w:t xml:space="preserve"> Álvaro Namén Vargas.  </w:t>
            </w:r>
          </w:p>
          <w:p w14:paraId="14BC111B" w14:textId="77777777" w:rsidR="002C0013" w:rsidRDefault="002C0013" w:rsidP="00A1602F">
            <w:pPr>
              <w:pStyle w:val="Prrafodelista"/>
              <w:numPr>
                <w:ilvl w:val="0"/>
                <w:numId w:val="17"/>
              </w:numPr>
              <w:spacing w:after="120" w:line="276" w:lineRule="auto"/>
              <w:ind w:left="714" w:hanging="357"/>
              <w:jc w:val="both"/>
              <w:rPr>
                <w:rFonts w:ascii="Verdana" w:eastAsia="Aptos" w:hAnsi="Verdana" w:cs="Arial"/>
              </w:rPr>
            </w:pPr>
            <w:r w:rsidRPr="00266133">
              <w:rPr>
                <w:rFonts w:ascii="Verdana" w:eastAsia="Aptos" w:hAnsi="Verdana" w:cs="Arial"/>
              </w:rPr>
              <w:t>Consejo de Estado. Sala de Consulta y Servicio Civil. Concepto del 17 de febrero de 2015. Radicado: 11001-03-06-000-2015-00164-00 (2269). C.P. William Zambrano Cetina.</w:t>
            </w:r>
          </w:p>
          <w:p w14:paraId="0DE9065D" w14:textId="77777777" w:rsidR="002C0013" w:rsidRDefault="002C0013" w:rsidP="00A1602F">
            <w:pPr>
              <w:pStyle w:val="Prrafodelista"/>
              <w:numPr>
                <w:ilvl w:val="0"/>
                <w:numId w:val="17"/>
              </w:numPr>
              <w:spacing w:after="120" w:line="276" w:lineRule="auto"/>
              <w:ind w:left="714" w:hanging="357"/>
              <w:jc w:val="both"/>
              <w:rPr>
                <w:rFonts w:ascii="Verdana" w:eastAsia="Aptos" w:hAnsi="Verdana" w:cs="Arial"/>
              </w:rPr>
            </w:pPr>
            <w:r w:rsidRPr="00266133">
              <w:rPr>
                <w:rFonts w:ascii="Verdana" w:eastAsia="Aptos" w:hAnsi="Verdana" w:cs="Arial"/>
              </w:rPr>
              <w:t>Consejo de Estado. Sala de Consulta y Servicio Civil. Concepto del 2 de septiembre de 2013. Radicación número: 11001-03-06-000-2013-00412-00 (2168). C.P: Álvaro Namén Vargas.</w:t>
            </w:r>
          </w:p>
          <w:p w14:paraId="3FA5D130" w14:textId="77777777" w:rsidR="002C0013" w:rsidRDefault="002C0013" w:rsidP="00A1602F">
            <w:pPr>
              <w:pStyle w:val="Prrafodelista"/>
              <w:numPr>
                <w:ilvl w:val="0"/>
                <w:numId w:val="17"/>
              </w:numPr>
              <w:spacing w:after="120" w:line="276" w:lineRule="auto"/>
              <w:ind w:left="714" w:hanging="357"/>
              <w:jc w:val="both"/>
              <w:rPr>
                <w:rFonts w:ascii="Verdana" w:eastAsia="Aptos" w:hAnsi="Verdana" w:cs="Arial"/>
              </w:rPr>
            </w:pPr>
            <w:r w:rsidRPr="00462044">
              <w:rPr>
                <w:rFonts w:ascii="Verdana" w:eastAsia="Aptos" w:hAnsi="Verdana" w:cs="Arial"/>
              </w:rPr>
              <w:t>Consejo de Estado. Sala de Consulta y Servicio Civil, Concepto de 8 de mayo de 2018. Radicación Número: 11001-03-06-000-2018-00095-00 (2382). C.P: Álvaro Namén Vargas.</w:t>
            </w:r>
          </w:p>
          <w:p w14:paraId="5756E924" w14:textId="77777777" w:rsidR="002C0013" w:rsidRDefault="002C0013" w:rsidP="00A1602F">
            <w:pPr>
              <w:pStyle w:val="Prrafodelista"/>
              <w:numPr>
                <w:ilvl w:val="0"/>
                <w:numId w:val="17"/>
              </w:numPr>
              <w:spacing w:after="120" w:line="276" w:lineRule="auto"/>
              <w:ind w:left="714" w:hanging="357"/>
              <w:jc w:val="both"/>
              <w:rPr>
                <w:rFonts w:ascii="Verdana" w:eastAsia="Aptos" w:hAnsi="Verdana" w:cs="Arial"/>
              </w:rPr>
            </w:pPr>
            <w:r w:rsidRPr="00462044">
              <w:rPr>
                <w:rFonts w:ascii="Verdana" w:eastAsia="Aptos" w:hAnsi="Verdana" w:cs="Arial"/>
              </w:rPr>
              <w:t>Consejo de Estado. Sala de Consulta y Servicio Civil. Concepto de 20 de febrero de 2006. Radicación Número: 11001-03-06-000-2006-00026-00 (1727). C.P: Enrique José Arboleda Perdomo.</w:t>
            </w:r>
          </w:p>
          <w:p w14:paraId="3C3AE797" w14:textId="77777777" w:rsidR="002C0013" w:rsidRDefault="002C0013" w:rsidP="00A1602F">
            <w:pPr>
              <w:pStyle w:val="Prrafodelista"/>
              <w:numPr>
                <w:ilvl w:val="0"/>
                <w:numId w:val="17"/>
              </w:numPr>
              <w:spacing w:after="120" w:line="276" w:lineRule="auto"/>
              <w:ind w:left="714" w:hanging="357"/>
              <w:jc w:val="both"/>
              <w:rPr>
                <w:rFonts w:ascii="Verdana" w:eastAsia="Aptos" w:hAnsi="Verdana" w:cs="Arial"/>
              </w:rPr>
            </w:pPr>
            <w:r w:rsidRPr="00462044">
              <w:rPr>
                <w:rFonts w:ascii="Verdana" w:eastAsia="Aptos" w:hAnsi="Verdana" w:cs="Arial"/>
              </w:rPr>
              <w:t>Consejo de Estado. Sala de Consulta y Servicio Civil. Concepto de 6 de abril de 2006. Radicación Número: 11001-03-06-000-2006-00038-00 (1738). C.P: Enrique José Arboleda Perdomo</w:t>
            </w:r>
            <w:r>
              <w:rPr>
                <w:rFonts w:ascii="Verdana" w:eastAsia="Aptos" w:hAnsi="Verdana" w:cs="Arial"/>
              </w:rPr>
              <w:t>.</w:t>
            </w:r>
          </w:p>
          <w:p w14:paraId="3AD359B5" w14:textId="77777777" w:rsidR="002C0013" w:rsidRPr="00FD3CA5" w:rsidRDefault="002C0013" w:rsidP="00A1602F">
            <w:pPr>
              <w:pStyle w:val="Prrafodelista"/>
              <w:numPr>
                <w:ilvl w:val="0"/>
                <w:numId w:val="17"/>
              </w:numPr>
              <w:spacing w:after="120" w:line="276" w:lineRule="auto"/>
              <w:ind w:left="714" w:hanging="357"/>
              <w:jc w:val="both"/>
              <w:rPr>
                <w:rFonts w:ascii="Verdana" w:eastAsia="Aptos" w:hAnsi="Verdana" w:cs="Arial"/>
              </w:rPr>
            </w:pPr>
            <w:r w:rsidRPr="00FD3CA5">
              <w:rPr>
                <w:rFonts w:ascii="Verdana" w:eastAsia="Aptos" w:hAnsi="Verdana" w:cs="Arial"/>
              </w:rPr>
              <w:t>Corte Constitucional. Sentencia C- 1153 de 2005, M.P: Marco Gerardo Monroy Cabra.</w:t>
            </w:r>
          </w:p>
          <w:p w14:paraId="59254407" w14:textId="77777777" w:rsidR="002C0013" w:rsidRDefault="002C0013" w:rsidP="00A1602F">
            <w:pPr>
              <w:pStyle w:val="Prrafodelista"/>
              <w:numPr>
                <w:ilvl w:val="0"/>
                <w:numId w:val="17"/>
              </w:numPr>
              <w:spacing w:after="120" w:line="276" w:lineRule="auto"/>
              <w:ind w:left="714" w:hanging="357"/>
              <w:jc w:val="both"/>
              <w:rPr>
                <w:rFonts w:ascii="Verdana" w:eastAsia="Aptos" w:hAnsi="Verdana" w:cs="Arial"/>
              </w:rPr>
            </w:pPr>
            <w:r w:rsidRPr="00FD3CA5">
              <w:rPr>
                <w:rFonts w:ascii="Verdana" w:eastAsia="Aptos" w:hAnsi="Verdana" w:cs="Arial"/>
              </w:rPr>
              <w:t>Corte Constitucional. Sentencia C-233 de 4 de abril de 2002. M.P: Álvaro Tafur Galvis</w:t>
            </w:r>
            <w:r>
              <w:rPr>
                <w:rFonts w:ascii="Verdana" w:eastAsia="Aptos" w:hAnsi="Verdana" w:cs="Arial"/>
              </w:rPr>
              <w:t>.</w:t>
            </w:r>
          </w:p>
          <w:p w14:paraId="05AFA121" w14:textId="77777777" w:rsidR="002C0013" w:rsidRDefault="002C0013" w:rsidP="00A1602F">
            <w:pPr>
              <w:pStyle w:val="Prrafodelista"/>
              <w:numPr>
                <w:ilvl w:val="0"/>
                <w:numId w:val="17"/>
              </w:numPr>
              <w:spacing w:after="120" w:line="276" w:lineRule="auto"/>
              <w:ind w:left="714" w:hanging="357"/>
              <w:jc w:val="both"/>
              <w:rPr>
                <w:rFonts w:ascii="Verdana" w:eastAsia="Aptos" w:hAnsi="Verdana" w:cs="Arial"/>
              </w:rPr>
            </w:pPr>
            <w:r w:rsidRPr="00FD3CA5">
              <w:rPr>
                <w:rFonts w:ascii="Verdana" w:eastAsia="Aptos" w:hAnsi="Verdana" w:cs="Arial"/>
              </w:rPr>
              <w:t>Corte Constitucional. Sentencia C-551 de 9 de julio de 2003. M.P: Eduardo Montealegre Lynnet</w:t>
            </w:r>
            <w:r>
              <w:rPr>
                <w:rFonts w:ascii="Verdana" w:eastAsia="Aptos" w:hAnsi="Verdana" w:cs="Arial"/>
              </w:rPr>
              <w:t>.</w:t>
            </w:r>
          </w:p>
          <w:p w14:paraId="3DC527A2" w14:textId="77777777" w:rsidR="002C0013" w:rsidRDefault="002C0013" w:rsidP="00A1602F">
            <w:pPr>
              <w:pStyle w:val="Prrafodelista"/>
              <w:numPr>
                <w:ilvl w:val="0"/>
                <w:numId w:val="17"/>
              </w:numPr>
              <w:spacing w:after="120" w:line="276" w:lineRule="auto"/>
              <w:ind w:left="714" w:hanging="357"/>
              <w:jc w:val="both"/>
              <w:rPr>
                <w:rFonts w:ascii="Verdana" w:eastAsia="Aptos" w:hAnsi="Verdana" w:cs="Arial"/>
              </w:rPr>
            </w:pPr>
            <w:r w:rsidRPr="00FD3CA5">
              <w:rPr>
                <w:rFonts w:ascii="Verdana" w:eastAsia="Aptos" w:hAnsi="Verdana" w:cs="Arial"/>
              </w:rPr>
              <w:t xml:space="preserve">Corte Constitucional. Sentencia C-353 de 20 de mayo de 2009. M.P: Jorge Iván Palacio </w:t>
            </w:r>
            <w:proofErr w:type="spellStart"/>
            <w:r w:rsidRPr="00FD3CA5">
              <w:rPr>
                <w:rFonts w:ascii="Verdana" w:eastAsia="Aptos" w:hAnsi="Verdana" w:cs="Arial"/>
              </w:rPr>
              <w:t>Palacio</w:t>
            </w:r>
            <w:proofErr w:type="spellEnd"/>
            <w:r>
              <w:rPr>
                <w:rFonts w:ascii="Verdana" w:eastAsia="Aptos" w:hAnsi="Verdana" w:cs="Arial"/>
              </w:rPr>
              <w:t>.</w:t>
            </w:r>
          </w:p>
          <w:p w14:paraId="4F8E57FA" w14:textId="77777777" w:rsidR="002C0013" w:rsidRPr="00462044" w:rsidRDefault="002C0013" w:rsidP="00A1602F">
            <w:pPr>
              <w:pStyle w:val="Prrafodelista"/>
              <w:numPr>
                <w:ilvl w:val="0"/>
                <w:numId w:val="17"/>
              </w:numPr>
              <w:spacing w:after="120" w:line="276" w:lineRule="auto"/>
              <w:ind w:left="714" w:hanging="357"/>
              <w:jc w:val="both"/>
              <w:rPr>
                <w:rFonts w:ascii="Verdana" w:eastAsia="Aptos" w:hAnsi="Verdana" w:cs="Arial"/>
              </w:rPr>
            </w:pPr>
            <w:r w:rsidRPr="00FD3CA5">
              <w:rPr>
                <w:rFonts w:ascii="Verdana" w:eastAsia="Aptos" w:hAnsi="Verdana" w:cs="Arial"/>
              </w:rPr>
              <w:t>Corte Constitucional. Sentencia C-541 de 30 de junio de 2010. M.P: Gabriel Eduardo Mendoza Martelo.</w:t>
            </w:r>
          </w:p>
        </w:tc>
      </w:tr>
    </w:tbl>
    <w:p w14:paraId="6D9A7DEA" w14:textId="77777777" w:rsidR="002C0013" w:rsidRDefault="002C0013" w:rsidP="002C0013">
      <w:pPr>
        <w:tabs>
          <w:tab w:val="left" w:pos="142"/>
          <w:tab w:val="left" w:pos="284"/>
          <w:tab w:val="left" w:pos="3828"/>
        </w:tabs>
        <w:spacing w:after="0" w:line="276" w:lineRule="auto"/>
        <w:jc w:val="both"/>
        <w:rPr>
          <w:rFonts w:ascii="Verdana" w:eastAsia="Century Gothic" w:hAnsi="Verdana" w:cs="Century Gothic"/>
          <w:b/>
          <w:bCs/>
        </w:rPr>
      </w:pPr>
    </w:p>
    <w:p w14:paraId="5ADD5F4F" w14:textId="77777777" w:rsidR="002C0013" w:rsidRPr="005644FE" w:rsidRDefault="002C0013" w:rsidP="002C0013">
      <w:pPr>
        <w:tabs>
          <w:tab w:val="left" w:pos="142"/>
          <w:tab w:val="left" w:pos="284"/>
          <w:tab w:val="left" w:pos="3828"/>
        </w:tabs>
        <w:spacing w:after="0" w:line="276" w:lineRule="auto"/>
        <w:jc w:val="both"/>
        <w:rPr>
          <w:rFonts w:ascii="Verdana" w:eastAsia="Century Gothic" w:hAnsi="Verdana" w:cs="Century Gothic"/>
          <w:b/>
          <w:bCs/>
        </w:rPr>
      </w:pPr>
      <w:r w:rsidRPr="005644FE">
        <w:rPr>
          <w:rFonts w:ascii="Verdana" w:eastAsia="Century Gothic" w:hAnsi="Verdana" w:cs="Century Gothic"/>
          <w:b/>
          <w:bCs/>
        </w:rPr>
        <w:t>5. Doctrina de la Agencia Nacional de Contratación Pública:</w:t>
      </w:r>
    </w:p>
    <w:p w14:paraId="799E49B7" w14:textId="77777777" w:rsidR="002C0013" w:rsidRPr="005644FE" w:rsidRDefault="002C0013" w:rsidP="002C0013">
      <w:pPr>
        <w:widowControl w:val="0"/>
        <w:tabs>
          <w:tab w:val="left" w:pos="3828"/>
        </w:tabs>
        <w:autoSpaceDE w:val="0"/>
        <w:autoSpaceDN w:val="0"/>
        <w:spacing w:after="0" w:line="240" w:lineRule="auto"/>
        <w:jc w:val="both"/>
        <w:rPr>
          <w:rFonts w:ascii="Verdana" w:hAnsi="Verdana" w:cs="Arial"/>
          <w:shd w:val="clear" w:color="auto" w:fill="FFFFFF"/>
        </w:rPr>
      </w:pPr>
    </w:p>
    <w:p w14:paraId="487EE086" w14:textId="77777777" w:rsidR="002C0013" w:rsidRPr="00C27319" w:rsidRDefault="002C0013" w:rsidP="002C0013">
      <w:pPr>
        <w:widowControl w:val="0"/>
        <w:autoSpaceDE w:val="0"/>
        <w:autoSpaceDN w:val="0"/>
        <w:spacing w:after="0" w:line="276" w:lineRule="auto"/>
        <w:jc w:val="both"/>
        <w:rPr>
          <w:rFonts w:ascii="Verdana" w:hAnsi="Verdana" w:cs="Arial"/>
          <w:shd w:val="clear" w:color="auto" w:fill="FFFFFF"/>
          <w:lang w:val="es-ES"/>
        </w:rPr>
      </w:pPr>
      <w:r w:rsidRPr="00301140">
        <w:rPr>
          <w:rStyle w:val="normaltextrun"/>
          <w:rFonts w:ascii="Verdana" w:hAnsi="Verdana" w:cs="Arial"/>
          <w:shd w:val="clear" w:color="auto" w:fill="FFFFFF"/>
          <w:lang w:val="es-ES"/>
        </w:rPr>
        <w:t xml:space="preserve">Esta Subdirección se ha pronunciado sobre </w:t>
      </w:r>
      <w:r w:rsidRPr="00AB70DD">
        <w:rPr>
          <w:rFonts w:ascii="Verdana" w:hAnsi="Verdana" w:cs="Arial"/>
          <w:shd w:val="clear" w:color="auto" w:fill="FFFFFF"/>
          <w:lang w:val="es-ES"/>
        </w:rPr>
        <w:t>la finalidad y propósito de la Ley de Garantías Electorales, en los</w:t>
      </w:r>
      <w:r>
        <w:rPr>
          <w:rFonts w:ascii="Verdana" w:hAnsi="Verdana" w:cs="Arial"/>
          <w:shd w:val="clear" w:color="auto" w:fill="FFFFFF"/>
          <w:lang w:val="es-ES"/>
        </w:rPr>
        <w:t xml:space="preserve"> c</w:t>
      </w:r>
      <w:r w:rsidRPr="00AB70DD">
        <w:rPr>
          <w:rFonts w:ascii="Verdana" w:hAnsi="Verdana" w:cs="Arial"/>
          <w:shd w:val="clear" w:color="auto" w:fill="FFFFFF"/>
          <w:lang w:val="es-ES"/>
        </w:rPr>
        <w:t>onceptos C-227 del 24 de mayo de 2021</w:t>
      </w:r>
      <w:r>
        <w:rPr>
          <w:rFonts w:ascii="Verdana" w:hAnsi="Verdana" w:cs="Arial"/>
          <w:shd w:val="clear" w:color="auto" w:fill="FFFFFF"/>
          <w:lang w:val="es-ES"/>
        </w:rPr>
        <w:t>, C-</w:t>
      </w:r>
      <w:r w:rsidRPr="00AB70DD">
        <w:rPr>
          <w:rFonts w:ascii="Verdana" w:hAnsi="Verdana" w:cs="Arial"/>
          <w:shd w:val="clear" w:color="auto" w:fill="FFFFFF"/>
          <w:lang w:val="es-ES"/>
        </w:rPr>
        <w:t xml:space="preserve">396 del 13 de agosto de 2021, C-439 del 27 de agosto de 2021, C-481 del 9 de septiembre de 2021, C-528 del 27 de septiembre de 2021, C-550 del 5 de </w:t>
      </w:r>
      <w:r w:rsidRPr="00AB70DD">
        <w:rPr>
          <w:rFonts w:ascii="Verdana" w:hAnsi="Verdana" w:cs="Arial"/>
          <w:shd w:val="clear" w:color="auto" w:fill="FFFFFF"/>
          <w:lang w:val="es-ES"/>
        </w:rPr>
        <w:lastRenderedPageBreak/>
        <w:t>octubre de 2021</w:t>
      </w:r>
      <w:r>
        <w:rPr>
          <w:rFonts w:ascii="Verdana" w:hAnsi="Verdana" w:cs="Arial"/>
          <w:shd w:val="clear" w:color="auto" w:fill="FFFFFF"/>
          <w:lang w:val="es-ES"/>
        </w:rPr>
        <w:t xml:space="preserve">, </w:t>
      </w:r>
      <w:r w:rsidRPr="00AB70DD">
        <w:rPr>
          <w:rFonts w:ascii="Verdana" w:hAnsi="Verdana" w:cs="Arial"/>
          <w:shd w:val="clear" w:color="auto" w:fill="FFFFFF"/>
          <w:lang w:val="es-ES"/>
        </w:rPr>
        <w:t>C-523 del 10 de octubre de 2021, C-606 del 28 de octubre de 2021</w:t>
      </w:r>
      <w:r>
        <w:rPr>
          <w:rFonts w:ascii="Verdana" w:hAnsi="Verdana" w:cs="Arial"/>
          <w:shd w:val="clear" w:color="auto" w:fill="FFFFFF"/>
          <w:lang w:val="es-ES"/>
        </w:rPr>
        <w:t>,</w:t>
      </w:r>
      <w:r w:rsidRPr="00AB70DD">
        <w:rPr>
          <w:rFonts w:ascii="Verdana" w:hAnsi="Verdana" w:cs="Arial"/>
          <w:shd w:val="clear" w:color="auto" w:fill="FFFFFF"/>
          <w:lang w:val="es-ES"/>
        </w:rPr>
        <w:t xml:space="preserve"> C-614 del 2 de noviembre de 2021, </w:t>
      </w:r>
      <w:r>
        <w:rPr>
          <w:rFonts w:ascii="Verdana" w:hAnsi="Verdana" w:cs="Arial"/>
          <w:shd w:val="clear" w:color="auto" w:fill="FFFFFF"/>
          <w:lang w:val="es-ES"/>
        </w:rPr>
        <w:t xml:space="preserve">C-634 del 11 de noviembre de 2021, </w:t>
      </w:r>
      <w:r w:rsidRPr="00AB70DD">
        <w:rPr>
          <w:rFonts w:ascii="Verdana" w:hAnsi="Verdana" w:cs="Arial"/>
          <w:shd w:val="clear" w:color="auto" w:fill="FFFFFF"/>
          <w:lang w:val="es-ES"/>
        </w:rPr>
        <w:t xml:space="preserve">C-636 del 16 de noviembre de 2021, </w:t>
      </w:r>
      <w:r>
        <w:rPr>
          <w:rFonts w:ascii="Verdana" w:hAnsi="Verdana" w:cs="Arial"/>
          <w:shd w:val="clear" w:color="auto" w:fill="FFFFFF"/>
          <w:lang w:val="es-ES"/>
        </w:rPr>
        <w:t>C-</w:t>
      </w:r>
      <w:r w:rsidRPr="00AB70DD">
        <w:rPr>
          <w:rFonts w:ascii="Verdana" w:hAnsi="Verdana" w:cs="Arial"/>
          <w:shd w:val="clear" w:color="auto" w:fill="FFFFFF"/>
          <w:lang w:val="es-ES"/>
        </w:rPr>
        <w:t xml:space="preserve">681 del 7 de diciembre de 2021, C-686 del 21 de diciembre de 2021, </w:t>
      </w:r>
      <w:r>
        <w:rPr>
          <w:rFonts w:ascii="Verdana" w:hAnsi="Verdana" w:cs="Arial"/>
          <w:shd w:val="clear" w:color="auto" w:fill="FFFFFF"/>
          <w:lang w:val="es-ES"/>
        </w:rPr>
        <w:t xml:space="preserve">C-054 del 22 de marzo de 2022, C-179 del 8 de abril de 2022, C-099 del 22 de marzo de 2022, C-161 del 17 de mayo de 2022, C-696 del 11 de julio de 2025, C-868 del 12 de agosto de 2025, C- 955 del 15 de agosto de 2025, C-1430 del 12 de noviembre de </w:t>
      </w:r>
      <w:r w:rsidRPr="00421B05">
        <w:rPr>
          <w:rFonts w:ascii="Verdana" w:hAnsi="Verdana" w:cs="Arial"/>
          <w:shd w:val="clear" w:color="auto" w:fill="FFFFFF"/>
          <w:lang w:val="es-ES"/>
        </w:rPr>
        <w:t>2025</w:t>
      </w:r>
      <w:r>
        <w:rPr>
          <w:rFonts w:ascii="Verdana" w:hAnsi="Verdana" w:cs="Arial"/>
          <w:shd w:val="clear" w:color="auto" w:fill="FFFFFF"/>
          <w:lang w:val="es-ES"/>
        </w:rPr>
        <w:t>, entre otros</w:t>
      </w:r>
      <w:r w:rsidRPr="00421B05">
        <w:rPr>
          <w:rFonts w:ascii="Verdana" w:hAnsi="Verdana" w:cs="Arial"/>
          <w:shd w:val="clear" w:color="auto" w:fill="FFFFFF"/>
          <w:lang w:val="es-ES"/>
        </w:rPr>
        <w:t>.</w:t>
      </w:r>
      <w:r w:rsidRPr="00421B05">
        <w:rPr>
          <w:rStyle w:val="normaltextrun"/>
          <w:rFonts w:ascii="Verdana" w:hAnsi="Verdana" w:cs="Arial"/>
          <w:shd w:val="clear" w:color="auto" w:fill="FFFFFF"/>
          <w:lang w:val="es-ES"/>
        </w:rPr>
        <w:t xml:space="preserve"> </w:t>
      </w:r>
      <w:r w:rsidRPr="00421B05">
        <w:rPr>
          <w:rFonts w:ascii="Verdana" w:hAnsi="Verdana" w:cs="Arial"/>
        </w:rPr>
        <w:t>Estos y otros</w:t>
      </w:r>
      <w:r w:rsidRPr="001715C8">
        <w:rPr>
          <w:rFonts w:ascii="Verdana" w:hAnsi="Verdana" w:cs="Arial"/>
        </w:rPr>
        <w:t xml:space="preserve"> </w:t>
      </w:r>
      <w:r w:rsidRPr="001715C8">
        <w:rPr>
          <w:rFonts w:ascii="Verdana" w:hAnsi="Verdana"/>
        </w:rPr>
        <w:t>conceptos se encuentran disponibles para consulta en el Sistema de relatoría de la Agencia, al cual se puede acceder a través del siguiente enlace:</w:t>
      </w:r>
      <w:r w:rsidRPr="001715C8">
        <w:rPr>
          <w:rFonts w:ascii="Verdana" w:hAnsi="Verdana" w:cs="Arial"/>
          <w:shd w:val="clear" w:color="auto" w:fill="FFFFFF"/>
        </w:rPr>
        <w:t xml:space="preserve"> </w:t>
      </w:r>
      <w:hyperlink r:id="rId12" w:history="1">
        <w:r w:rsidRPr="009B1491">
          <w:rPr>
            <w:rStyle w:val="Hipervnculo"/>
            <w:rFonts w:ascii="Verdana" w:hAnsi="Verdana" w:cs="Arial"/>
            <w:shd w:val="clear" w:color="auto" w:fill="FFFFFF"/>
          </w:rPr>
          <w:t>https://relatoria.colombiacompra.gov.co/busqueda/conceptos</w:t>
        </w:r>
      </w:hyperlink>
      <w:r w:rsidRPr="001715C8">
        <w:rPr>
          <w:rFonts w:ascii="Verdana" w:hAnsi="Verdana" w:cs="Arial"/>
          <w:shd w:val="clear" w:color="auto" w:fill="FFFFFF"/>
        </w:rPr>
        <w:t>.</w:t>
      </w:r>
      <w:r w:rsidRPr="005644FE">
        <w:rPr>
          <w:rFonts w:ascii="Verdana" w:hAnsi="Verdana" w:cs="Arial"/>
          <w:color w:val="FF0000"/>
          <w:shd w:val="clear" w:color="auto" w:fill="FFFFFF"/>
        </w:rPr>
        <w:t xml:space="preserve"> </w:t>
      </w:r>
      <w:r w:rsidRPr="005644FE">
        <w:rPr>
          <w:rFonts w:ascii="Verdana" w:hAnsi="Verdana" w:cs="Arial"/>
          <w:color w:val="000000" w:themeColor="text1"/>
          <w:shd w:val="clear" w:color="auto" w:fill="FFFFFF"/>
        </w:rPr>
        <w:t>  </w:t>
      </w:r>
    </w:p>
    <w:p w14:paraId="46785603" w14:textId="77777777" w:rsidR="002C0013" w:rsidRPr="006B4FA1" w:rsidRDefault="002C0013" w:rsidP="002C0013">
      <w:pPr>
        <w:spacing w:after="0" w:line="240" w:lineRule="auto"/>
        <w:jc w:val="both"/>
        <w:rPr>
          <w:rFonts w:ascii="Verdana" w:eastAsia="Century Gothic" w:hAnsi="Verdana" w:cs="Century Gothic"/>
        </w:rPr>
      </w:pPr>
    </w:p>
    <w:p w14:paraId="1188890F" w14:textId="77777777" w:rsidR="002C0013" w:rsidRPr="00F53403" w:rsidRDefault="002C0013" w:rsidP="002C0013">
      <w:pPr>
        <w:spacing w:after="0" w:line="276" w:lineRule="auto"/>
        <w:jc w:val="both"/>
        <w:rPr>
          <w:rFonts w:ascii="Verdana" w:hAnsi="Verdana" w:cs="Arial"/>
          <w:shd w:val="clear" w:color="auto" w:fill="FFFFFF"/>
        </w:rPr>
      </w:pPr>
      <w:r w:rsidRPr="00F53403">
        <w:rPr>
          <w:rFonts w:ascii="Verdana" w:hAnsi="Verdana" w:cs="Arial"/>
          <w:shd w:val="clear" w:color="auto" w:fill="FFFFFF"/>
        </w:rPr>
        <w:t xml:space="preserve">Por último, lo invitamos a seguirnos en las redes sociales en las cuales se difunde información institucional: </w:t>
      </w:r>
    </w:p>
    <w:p w14:paraId="3DFEC15E" w14:textId="77777777" w:rsidR="002C0013" w:rsidRPr="00F53403" w:rsidRDefault="002C0013" w:rsidP="002C0013">
      <w:pPr>
        <w:spacing w:after="0" w:line="276" w:lineRule="auto"/>
        <w:jc w:val="both"/>
        <w:rPr>
          <w:rFonts w:ascii="Verdana" w:hAnsi="Verdana" w:cs="Arial"/>
          <w:shd w:val="clear" w:color="auto" w:fill="FFFFFF"/>
        </w:rPr>
      </w:pPr>
    </w:p>
    <w:p w14:paraId="714D0079" w14:textId="77777777" w:rsidR="002C0013" w:rsidRPr="00F53403" w:rsidRDefault="002C0013" w:rsidP="002C0013">
      <w:pPr>
        <w:spacing w:after="0" w:line="276" w:lineRule="auto"/>
        <w:jc w:val="both"/>
        <w:rPr>
          <w:rFonts w:ascii="Verdana" w:hAnsi="Verdana" w:cs="Arial"/>
          <w:shd w:val="clear" w:color="auto" w:fill="FFFFFF"/>
        </w:rPr>
      </w:pPr>
      <w:r w:rsidRPr="00F53403">
        <w:rPr>
          <w:rFonts w:ascii="Verdana" w:hAnsi="Verdana" w:cs="Arial"/>
          <w:shd w:val="clear" w:color="auto" w:fill="FFFFFF"/>
        </w:rPr>
        <w:t xml:space="preserve">Twitter: </w:t>
      </w:r>
      <w:r w:rsidRPr="00F53403">
        <w:rPr>
          <w:rFonts w:ascii="Verdana" w:hAnsi="Verdana" w:cs="Arial"/>
          <w:u w:val="single"/>
          <w:shd w:val="clear" w:color="auto" w:fill="FFFFFF"/>
        </w:rPr>
        <w:t>@colombiacompra</w:t>
      </w:r>
      <w:r w:rsidRPr="00F53403">
        <w:rPr>
          <w:rFonts w:ascii="Verdana" w:hAnsi="Verdana" w:cs="Arial"/>
          <w:shd w:val="clear" w:color="auto" w:fill="FFFFFF"/>
        </w:rPr>
        <w:t xml:space="preserve"> </w:t>
      </w:r>
    </w:p>
    <w:p w14:paraId="32180D2E" w14:textId="77777777" w:rsidR="002C0013" w:rsidRPr="00F53403" w:rsidRDefault="002C0013" w:rsidP="002C0013">
      <w:pPr>
        <w:spacing w:after="0" w:line="276" w:lineRule="auto"/>
        <w:jc w:val="both"/>
        <w:rPr>
          <w:rFonts w:ascii="Verdana" w:hAnsi="Verdana" w:cs="Arial"/>
          <w:shd w:val="clear" w:color="auto" w:fill="FFFFFF"/>
        </w:rPr>
      </w:pPr>
      <w:r w:rsidRPr="00F53403">
        <w:rPr>
          <w:rFonts w:ascii="Verdana" w:hAnsi="Verdana" w:cs="Arial"/>
          <w:shd w:val="clear" w:color="auto" w:fill="FFFFFF"/>
        </w:rPr>
        <w:t xml:space="preserve">Facebook: </w:t>
      </w:r>
      <w:proofErr w:type="spellStart"/>
      <w:r w:rsidRPr="00F53403">
        <w:rPr>
          <w:rFonts w:ascii="Verdana" w:hAnsi="Verdana" w:cs="Arial"/>
          <w:u w:val="single"/>
          <w:shd w:val="clear" w:color="auto" w:fill="FFFFFF"/>
        </w:rPr>
        <w:t>ColombiaCompraEficiente</w:t>
      </w:r>
      <w:proofErr w:type="spellEnd"/>
    </w:p>
    <w:p w14:paraId="5FBE74DA" w14:textId="77777777" w:rsidR="002C0013" w:rsidRPr="00F53403" w:rsidRDefault="002C0013" w:rsidP="002C0013">
      <w:pPr>
        <w:spacing w:after="0" w:line="276" w:lineRule="auto"/>
        <w:jc w:val="both"/>
        <w:rPr>
          <w:rFonts w:ascii="Verdana" w:hAnsi="Verdana" w:cs="Arial"/>
          <w:shd w:val="clear" w:color="auto" w:fill="FFFFFF"/>
        </w:rPr>
      </w:pPr>
      <w:r w:rsidRPr="00F53403">
        <w:rPr>
          <w:rFonts w:ascii="Verdana" w:hAnsi="Verdana" w:cs="Arial"/>
          <w:shd w:val="clear" w:color="auto" w:fill="FFFFFF"/>
        </w:rPr>
        <w:t xml:space="preserve">LinkedIn: </w:t>
      </w:r>
      <w:r w:rsidRPr="00F53403">
        <w:rPr>
          <w:rFonts w:ascii="Verdana" w:hAnsi="Verdana" w:cs="Arial"/>
          <w:u w:val="single"/>
          <w:shd w:val="clear" w:color="auto" w:fill="FFFFFF"/>
        </w:rPr>
        <w:t>Agencia Nacional de Contratación Pública - Colombia Compra Eficiente</w:t>
      </w:r>
      <w:r w:rsidRPr="00F53403">
        <w:rPr>
          <w:rFonts w:ascii="Verdana" w:hAnsi="Verdana" w:cs="Arial"/>
          <w:shd w:val="clear" w:color="auto" w:fill="FFFFFF"/>
        </w:rPr>
        <w:t xml:space="preserve"> Instagram: </w:t>
      </w:r>
      <w:r w:rsidRPr="00F53403">
        <w:rPr>
          <w:rFonts w:ascii="Verdana" w:hAnsi="Verdana" w:cs="Arial"/>
          <w:u w:val="single"/>
          <w:shd w:val="clear" w:color="auto" w:fill="FFFFFF"/>
        </w:rPr>
        <w:t>@colombiacompraeficiente_cce</w:t>
      </w:r>
    </w:p>
    <w:p w14:paraId="2895B28D" w14:textId="77777777" w:rsidR="002C0013" w:rsidRPr="00F53403" w:rsidRDefault="002C0013" w:rsidP="002C0013">
      <w:pPr>
        <w:widowControl w:val="0"/>
        <w:autoSpaceDE w:val="0"/>
        <w:autoSpaceDN w:val="0"/>
        <w:spacing w:after="0" w:line="276" w:lineRule="auto"/>
        <w:jc w:val="both"/>
        <w:rPr>
          <w:rFonts w:ascii="Verdana" w:hAnsi="Verdana" w:cs="Arial"/>
          <w:lang w:val="es-ES"/>
        </w:rPr>
      </w:pPr>
    </w:p>
    <w:p w14:paraId="11EF9F85" w14:textId="77777777" w:rsidR="002C0013" w:rsidRPr="00F53403" w:rsidRDefault="002C0013" w:rsidP="002C0013">
      <w:pPr>
        <w:widowControl w:val="0"/>
        <w:autoSpaceDE w:val="0"/>
        <w:autoSpaceDN w:val="0"/>
        <w:spacing w:after="0" w:line="276" w:lineRule="auto"/>
        <w:jc w:val="both"/>
        <w:rPr>
          <w:rFonts w:ascii="Verdana" w:hAnsi="Verdana" w:cs="Arial"/>
          <w:lang w:val="es-ES"/>
        </w:rPr>
      </w:pPr>
      <w:r w:rsidRPr="00F53403">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0C7720E" w14:textId="77777777" w:rsidR="002C0013" w:rsidRPr="00DF30F1" w:rsidRDefault="002C0013" w:rsidP="002C0013">
      <w:pPr>
        <w:spacing w:after="0" w:line="256" w:lineRule="auto"/>
        <w:jc w:val="center"/>
        <w:rPr>
          <w:rFonts w:ascii="Century Gothic" w:hAnsi="Century Gothic"/>
          <w:noProof/>
          <w:lang w:val="es-ES"/>
        </w:rPr>
      </w:pPr>
    </w:p>
    <w:p w14:paraId="6FE53F9A" w14:textId="4881297A" w:rsidR="002C0013" w:rsidRPr="00DE2E29" w:rsidRDefault="002C0013" w:rsidP="00DE2E29">
      <w:pPr>
        <w:spacing w:after="0" w:line="276" w:lineRule="auto"/>
        <w:rPr>
          <w:rFonts w:ascii="Verdana" w:hAnsi="Verdana" w:cs="Arial"/>
          <w:color w:val="000000" w:themeColor="text1"/>
          <w:lang w:val="es-ES" w:eastAsia="es-CO"/>
        </w:rPr>
      </w:pPr>
      <w:r w:rsidRPr="00F53403">
        <w:rPr>
          <w:rFonts w:ascii="Verdana" w:eastAsia="Times New Roman" w:hAnsi="Verdana" w:cs="Arial"/>
          <w:color w:val="000000" w:themeColor="text1"/>
          <w:lang w:val="es-ES" w:eastAsia="es-CO"/>
        </w:rPr>
        <w:t>Atentamente,</w:t>
      </w:r>
      <w:r w:rsidRPr="00F53403">
        <w:rPr>
          <w:rFonts w:ascii="Verdana" w:hAnsi="Verdana" w:cs="Arial"/>
          <w:color w:val="000000" w:themeColor="text1"/>
          <w:lang w:val="es-ES" w:eastAsia="es-CO"/>
        </w:rPr>
        <w:t xml:space="preserve"> </w:t>
      </w:r>
    </w:p>
    <w:p w14:paraId="48C5ED7B" w14:textId="50233CD8" w:rsidR="002C0013" w:rsidRDefault="00592BE1" w:rsidP="002C0013">
      <w:pPr>
        <w:spacing w:after="0" w:line="276" w:lineRule="auto"/>
        <w:jc w:val="center"/>
        <w:rPr>
          <w:rFonts w:ascii="Century Gothic" w:hAnsi="Century Gothic"/>
          <w:noProof/>
          <w:lang w:val="es-ES"/>
        </w:rPr>
      </w:pPr>
      <w:r w:rsidRPr="002C3AD6">
        <w:rPr>
          <w:rFonts w:ascii="Century Gothic" w:hAnsi="Century Gothic"/>
          <w:noProof/>
        </w:rPr>
        <w:drawing>
          <wp:inline distT="0" distB="0" distL="0" distR="0" wp14:anchorId="72E21996" wp14:editId="66FC77A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p w14:paraId="6C346F4F" w14:textId="77777777" w:rsidR="002C0013" w:rsidRPr="00F53403" w:rsidRDefault="002C0013" w:rsidP="002C0013">
      <w:pPr>
        <w:spacing w:after="0" w:line="276" w:lineRule="auto"/>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C0013" w:rsidRPr="0045322C" w14:paraId="2E3C76C6" w14:textId="77777777" w:rsidTr="00A1602F">
        <w:trPr>
          <w:trHeight w:val="315"/>
        </w:trPr>
        <w:tc>
          <w:tcPr>
            <w:tcW w:w="893" w:type="dxa"/>
            <w:vAlign w:val="center"/>
            <w:hideMark/>
          </w:tcPr>
          <w:p w14:paraId="329F0B8F" w14:textId="77777777" w:rsidR="002C0013" w:rsidRPr="00F53403" w:rsidRDefault="002C0013" w:rsidP="00A1602F">
            <w:pPr>
              <w:spacing w:after="160" w:line="259" w:lineRule="auto"/>
              <w:contextualSpacing/>
              <w:rPr>
                <w:rFonts w:ascii="Verdana" w:hAnsi="Verdana" w:cs="Arial"/>
                <w:sz w:val="16"/>
                <w:szCs w:val="16"/>
                <w:lang w:val="es-ES" w:eastAsia="es-ES"/>
              </w:rPr>
            </w:pPr>
            <w:r w:rsidRPr="00F5340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A8B291F" w14:textId="528D895A" w:rsidR="002C0013" w:rsidRPr="00F53403" w:rsidRDefault="002C0013" w:rsidP="00A1602F">
            <w:pPr>
              <w:spacing w:after="160" w:line="259" w:lineRule="auto"/>
              <w:contextualSpacing/>
              <w:rPr>
                <w:rFonts w:ascii="Verdana" w:eastAsia="Arial" w:hAnsi="Verdana" w:cs="Arial"/>
                <w:color w:val="000000" w:themeColor="text1"/>
                <w:sz w:val="16"/>
                <w:szCs w:val="16"/>
                <w:lang w:val="es-ES"/>
              </w:rPr>
            </w:pPr>
            <w:r>
              <w:rPr>
                <w:rFonts w:ascii="Verdana" w:eastAsia="Arial" w:hAnsi="Verdana" w:cs="Arial"/>
                <w:color w:val="000000" w:themeColor="text1"/>
                <w:sz w:val="16"/>
                <w:szCs w:val="16"/>
                <w:lang w:val="es-ES"/>
              </w:rPr>
              <w:t>Diana Carolina Blanco Rodriguez</w:t>
            </w:r>
          </w:p>
          <w:p w14:paraId="67B53844" w14:textId="77777777" w:rsidR="002C0013" w:rsidRPr="00F53403" w:rsidRDefault="002C0013" w:rsidP="00A1602F">
            <w:pPr>
              <w:spacing w:after="160" w:line="259" w:lineRule="auto"/>
              <w:contextualSpacing/>
              <w:rPr>
                <w:rFonts w:ascii="Verdana" w:eastAsia="Arial" w:hAnsi="Verdana" w:cs="Arial"/>
                <w:sz w:val="16"/>
                <w:szCs w:val="16"/>
                <w:lang w:val="es-ES"/>
              </w:rPr>
            </w:pPr>
            <w:r>
              <w:rPr>
                <w:rFonts w:ascii="Verdana" w:hAnsi="Verdana" w:cs="Arial"/>
                <w:sz w:val="16"/>
                <w:szCs w:val="16"/>
                <w:lang w:val="es-ES"/>
              </w:rPr>
              <w:t>Contratista</w:t>
            </w:r>
            <w:r w:rsidRPr="00F53403">
              <w:rPr>
                <w:rFonts w:ascii="Verdana" w:hAnsi="Verdana" w:cs="Arial"/>
                <w:sz w:val="16"/>
                <w:szCs w:val="16"/>
                <w:lang w:val="es-ES"/>
              </w:rPr>
              <w:t xml:space="preserve"> </w:t>
            </w:r>
            <w:r w:rsidRPr="00F53403">
              <w:rPr>
                <w:rFonts w:ascii="Verdana" w:eastAsia="Arial" w:hAnsi="Verdana" w:cs="Arial"/>
                <w:color w:val="000000" w:themeColor="text1"/>
                <w:sz w:val="16"/>
                <w:szCs w:val="16"/>
                <w:lang w:val="es-ES"/>
              </w:rPr>
              <w:t xml:space="preserve">de la Subdirección </w:t>
            </w:r>
            <w:r w:rsidRPr="00F53403">
              <w:rPr>
                <w:rFonts w:ascii="Verdana" w:eastAsia="Arial" w:hAnsi="Verdana" w:cs="Arial"/>
                <w:sz w:val="16"/>
                <w:szCs w:val="16"/>
                <w:lang w:val="es-ES"/>
              </w:rPr>
              <w:t>de Gestión Contractual</w:t>
            </w:r>
          </w:p>
        </w:tc>
      </w:tr>
      <w:tr w:rsidR="002C0013" w:rsidRPr="00F53403" w14:paraId="47C9D4CF" w14:textId="77777777" w:rsidTr="00A1602F">
        <w:trPr>
          <w:trHeight w:val="330"/>
        </w:trPr>
        <w:tc>
          <w:tcPr>
            <w:tcW w:w="893" w:type="dxa"/>
            <w:vAlign w:val="center"/>
            <w:hideMark/>
          </w:tcPr>
          <w:p w14:paraId="60A55D40" w14:textId="77777777" w:rsidR="002C0013" w:rsidRPr="00F53403" w:rsidRDefault="002C0013" w:rsidP="00A1602F">
            <w:pPr>
              <w:spacing w:after="160" w:line="259" w:lineRule="auto"/>
              <w:contextualSpacing/>
              <w:rPr>
                <w:rFonts w:ascii="Verdana" w:hAnsi="Verdana" w:cs="Arial"/>
                <w:sz w:val="16"/>
                <w:szCs w:val="16"/>
                <w:lang w:val="es-ES" w:eastAsia="es-ES"/>
              </w:rPr>
            </w:pPr>
            <w:r w:rsidRPr="00F5340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2F7397D" w14:textId="625BE9B6" w:rsidR="002C0013" w:rsidRPr="00F53403" w:rsidRDefault="002C0013" w:rsidP="00A1602F">
            <w:pPr>
              <w:spacing w:after="160" w:line="276" w:lineRule="auto"/>
              <w:contextualSpacing/>
              <w:textAlignment w:val="baseline"/>
              <w:rPr>
                <w:rFonts w:ascii="Verdana" w:eastAsia="Times New Roman" w:hAnsi="Verdana" w:cs="Arial"/>
                <w:sz w:val="16"/>
                <w:szCs w:val="16"/>
                <w:lang w:val="es-ES" w:eastAsia="es-ES_tradnl"/>
              </w:rPr>
            </w:pPr>
            <w:r w:rsidRPr="00F53403">
              <w:rPr>
                <w:rFonts w:ascii="Verdana" w:eastAsia="Times New Roman" w:hAnsi="Verdana" w:cs="Arial"/>
                <w:sz w:val="16"/>
                <w:szCs w:val="16"/>
                <w:lang w:val="es-ES" w:eastAsia="es-ES_tradnl"/>
              </w:rPr>
              <w:t xml:space="preserve">Diana </w:t>
            </w:r>
            <w:r>
              <w:rPr>
                <w:rFonts w:ascii="Verdana" w:eastAsia="Times New Roman" w:hAnsi="Verdana" w:cs="Arial"/>
                <w:sz w:val="16"/>
                <w:szCs w:val="16"/>
                <w:lang w:val="es-ES" w:eastAsia="es-ES_tradnl"/>
              </w:rPr>
              <w:t xml:space="preserve">Lucía </w:t>
            </w:r>
            <w:r w:rsidRPr="00F53403">
              <w:rPr>
                <w:rFonts w:ascii="Verdana" w:eastAsia="Times New Roman" w:hAnsi="Verdana" w:cs="Arial"/>
                <w:sz w:val="16"/>
                <w:szCs w:val="16"/>
                <w:lang w:val="es-ES" w:eastAsia="es-ES_tradnl"/>
              </w:rPr>
              <w:t>Saavedra</w:t>
            </w:r>
            <w:r>
              <w:rPr>
                <w:rFonts w:ascii="Verdana" w:eastAsia="Times New Roman" w:hAnsi="Verdana" w:cs="Arial"/>
                <w:sz w:val="16"/>
                <w:szCs w:val="16"/>
                <w:lang w:val="es-ES" w:eastAsia="es-ES_tradnl"/>
              </w:rPr>
              <w:t xml:space="preserve"> Castañeda</w:t>
            </w:r>
          </w:p>
          <w:p w14:paraId="21655710" w14:textId="77777777" w:rsidR="002C0013" w:rsidRPr="00F53403" w:rsidRDefault="002C0013" w:rsidP="00A1602F">
            <w:pPr>
              <w:contextualSpacing/>
              <w:textAlignment w:val="baseline"/>
              <w:rPr>
                <w:rFonts w:ascii="Verdana" w:eastAsia="Times New Roman" w:hAnsi="Verdana" w:cs="Segoe UI"/>
                <w:sz w:val="16"/>
                <w:szCs w:val="16"/>
                <w:lang w:val="es-ES" w:eastAsia="es-CO"/>
              </w:rPr>
            </w:pPr>
            <w:r w:rsidRPr="00F53403">
              <w:rPr>
                <w:rFonts w:ascii="Verdana" w:eastAsia="Times New Roman" w:hAnsi="Verdana" w:cs="Arial"/>
                <w:sz w:val="16"/>
                <w:szCs w:val="16"/>
                <w:lang w:val="es-ES" w:eastAsia="es-CO"/>
              </w:rPr>
              <w:t>Contratista de la Subdirección de Gestión Contractual </w:t>
            </w:r>
          </w:p>
        </w:tc>
      </w:tr>
      <w:tr w:rsidR="002C0013" w:rsidRPr="00F53403" w14:paraId="0527A2FD" w14:textId="77777777" w:rsidTr="00A1602F">
        <w:trPr>
          <w:trHeight w:val="300"/>
        </w:trPr>
        <w:tc>
          <w:tcPr>
            <w:tcW w:w="893" w:type="dxa"/>
            <w:vAlign w:val="center"/>
          </w:tcPr>
          <w:p w14:paraId="24F5D46E" w14:textId="77777777" w:rsidR="002C0013" w:rsidRDefault="002C0013" w:rsidP="00A1602F">
            <w:pPr>
              <w:spacing w:after="160" w:line="259" w:lineRule="auto"/>
              <w:contextualSpacing/>
              <w:rPr>
                <w:rFonts w:ascii="Verdana" w:hAnsi="Verdana" w:cs="Arial"/>
                <w:sz w:val="16"/>
                <w:szCs w:val="16"/>
                <w:lang w:val="es-ES" w:eastAsia="es-ES"/>
              </w:rPr>
            </w:pPr>
            <w:r w:rsidRPr="00F53403">
              <w:rPr>
                <w:rFonts w:ascii="Verdana" w:hAnsi="Verdana" w:cs="Arial"/>
                <w:sz w:val="16"/>
                <w:szCs w:val="16"/>
                <w:lang w:val="es-ES" w:eastAsia="es-ES"/>
              </w:rPr>
              <w:t>Aprobó:</w:t>
            </w:r>
          </w:p>
          <w:p w14:paraId="05E34187" w14:textId="77777777" w:rsidR="002C0013" w:rsidRPr="00F53403" w:rsidRDefault="002C0013" w:rsidP="00A1602F">
            <w:pPr>
              <w:spacing w:after="160" w:line="259" w:lineRule="auto"/>
              <w:contextualSpacing/>
              <w:rPr>
                <w:rFonts w:ascii="Verdana" w:hAnsi="Verdana" w:cs="Arial"/>
                <w:sz w:val="16"/>
                <w:szCs w:val="16"/>
                <w:lang w:val="es-ES" w:eastAsia="es-ES"/>
              </w:rPr>
            </w:pPr>
          </w:p>
        </w:tc>
        <w:tc>
          <w:tcPr>
            <w:tcW w:w="5628" w:type="dxa"/>
            <w:tcBorders>
              <w:top w:val="dotted" w:sz="4" w:space="0" w:color="7F7F7F" w:themeColor="text1" w:themeTint="80"/>
              <w:left w:val="nil"/>
              <w:bottom w:val="dotted" w:sz="4" w:space="0" w:color="7F7F7F" w:themeColor="text1" w:themeTint="80"/>
              <w:right w:val="nil"/>
            </w:tcBorders>
            <w:vAlign w:val="center"/>
          </w:tcPr>
          <w:p w14:paraId="7A55890B" w14:textId="77777777" w:rsidR="002C0013" w:rsidRPr="00F53403" w:rsidRDefault="002C0013" w:rsidP="00A1602F">
            <w:pPr>
              <w:spacing w:after="160" w:line="259" w:lineRule="auto"/>
              <w:contextualSpacing/>
              <w:rPr>
                <w:rFonts w:ascii="Verdana" w:eastAsia="Calibri" w:hAnsi="Verdana" w:cs="Arial"/>
                <w:sz w:val="16"/>
                <w:szCs w:val="16"/>
                <w:lang w:val="es-ES" w:eastAsia="es-ES"/>
              </w:rPr>
            </w:pPr>
            <w:r w:rsidRPr="00F53403">
              <w:rPr>
                <w:rFonts w:ascii="Verdana" w:eastAsia="Calibri" w:hAnsi="Verdana" w:cs="Arial"/>
                <w:sz w:val="16"/>
                <w:szCs w:val="16"/>
                <w:lang w:val="es-ES" w:eastAsia="es-ES"/>
              </w:rPr>
              <w:t>Carolina Quintero Gacharná</w:t>
            </w:r>
          </w:p>
          <w:p w14:paraId="3E776342" w14:textId="77777777" w:rsidR="002C0013" w:rsidRPr="00F53403" w:rsidRDefault="002C0013" w:rsidP="00A1602F">
            <w:pPr>
              <w:spacing w:after="160" w:line="259" w:lineRule="auto"/>
              <w:contextualSpacing/>
              <w:rPr>
                <w:rFonts w:ascii="Verdana" w:eastAsia="Calibri" w:hAnsi="Verdana" w:cs="Arial"/>
                <w:sz w:val="16"/>
                <w:szCs w:val="16"/>
                <w:lang w:val="es-ES" w:eastAsia="es-ES"/>
              </w:rPr>
            </w:pPr>
            <w:r w:rsidRPr="00F53403">
              <w:rPr>
                <w:rFonts w:ascii="Verdana" w:eastAsia="Calibri" w:hAnsi="Verdana" w:cs="Arial"/>
                <w:sz w:val="16"/>
                <w:szCs w:val="16"/>
                <w:lang w:val="es-ES" w:eastAsia="es-ES"/>
              </w:rPr>
              <w:t>Subdirectora de Gestión Contractual ANCP – CCE</w:t>
            </w:r>
          </w:p>
        </w:tc>
      </w:tr>
      <w:bookmarkEnd w:id="0"/>
    </w:tbl>
    <w:p w14:paraId="12443EE0" w14:textId="75A70130" w:rsidR="00C15139" w:rsidRPr="0024624F" w:rsidRDefault="00C15139" w:rsidP="00C15139">
      <w:pPr>
        <w:spacing w:after="0"/>
        <w:rPr>
          <w:rFonts w:ascii="Verdana" w:hAnsi="Verdana"/>
        </w:rPr>
      </w:pPr>
    </w:p>
    <w:sectPr w:rsidR="00C15139" w:rsidRPr="0024624F" w:rsidSect="00DE2E29">
      <w:headerReference w:type="default" r:id="rId14"/>
      <w:footerReference w:type="default" r:id="rId15"/>
      <w:pgSz w:w="12240" w:h="15840" w:code="1"/>
      <w:pgMar w:top="1417" w:right="1701" w:bottom="1417" w:left="1701"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8A365" w14:textId="77777777" w:rsidR="00516CDB" w:rsidRDefault="00516CDB" w:rsidP="004A1847">
      <w:pPr>
        <w:spacing w:after="0" w:line="240" w:lineRule="auto"/>
      </w:pPr>
      <w:r>
        <w:separator/>
      </w:r>
    </w:p>
  </w:endnote>
  <w:endnote w:type="continuationSeparator" w:id="0">
    <w:p w14:paraId="13653287" w14:textId="77777777" w:rsidR="00516CDB" w:rsidRDefault="00516CD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98562" w14:textId="77777777" w:rsidR="00516CDB" w:rsidRDefault="00516CDB" w:rsidP="004A1847">
      <w:pPr>
        <w:spacing w:after="0" w:line="240" w:lineRule="auto"/>
      </w:pPr>
      <w:r>
        <w:separator/>
      </w:r>
    </w:p>
  </w:footnote>
  <w:footnote w:type="continuationSeparator" w:id="0">
    <w:p w14:paraId="7758AA5F" w14:textId="77777777" w:rsidR="00516CDB" w:rsidRDefault="00516CDB" w:rsidP="004A1847">
      <w:pPr>
        <w:spacing w:after="0" w:line="240" w:lineRule="auto"/>
      </w:pPr>
      <w:r>
        <w:continuationSeparator/>
      </w:r>
    </w:p>
  </w:footnote>
  <w:footnote w:id="1">
    <w:p w14:paraId="31E20FEE" w14:textId="77777777" w:rsidR="002C0013" w:rsidRPr="00BE126A" w:rsidRDefault="002C0013" w:rsidP="002C0013">
      <w:pPr>
        <w:pStyle w:val="Textonotapie"/>
        <w:ind w:firstLine="709"/>
        <w:contextualSpacing/>
        <w:jc w:val="both"/>
        <w:rPr>
          <w:rFonts w:ascii="Verdana" w:hAnsi="Verdana" w:cs="Arial"/>
          <w:sz w:val="16"/>
          <w:szCs w:val="16"/>
        </w:rPr>
      </w:pPr>
      <w:r w:rsidRPr="00BE126A">
        <w:rPr>
          <w:rStyle w:val="Refdenotaalpie"/>
          <w:rFonts w:ascii="Verdana" w:hAnsi="Verdana" w:cs="Arial"/>
          <w:sz w:val="16"/>
          <w:szCs w:val="16"/>
        </w:rPr>
        <w:footnoteRef/>
      </w:r>
      <w:r w:rsidRPr="00BE126A">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889E757" w14:textId="77777777" w:rsidR="002C0013" w:rsidRDefault="002C0013" w:rsidP="002C0013">
      <w:pPr>
        <w:pStyle w:val="Textonotapie"/>
        <w:ind w:firstLine="709"/>
        <w:contextualSpacing/>
        <w:jc w:val="both"/>
        <w:rPr>
          <w:rFonts w:ascii="Verdana" w:hAnsi="Verdana" w:cs="Arial"/>
          <w:sz w:val="16"/>
          <w:szCs w:val="16"/>
        </w:rPr>
      </w:pPr>
      <w:r w:rsidRPr="00BE126A">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6D7CD230" w14:textId="77777777" w:rsidR="002C0013" w:rsidRPr="00BE126A" w:rsidRDefault="002C0013" w:rsidP="002C0013">
      <w:pPr>
        <w:pStyle w:val="Textonotapie"/>
        <w:ind w:firstLine="709"/>
        <w:contextualSpacing/>
        <w:jc w:val="both"/>
        <w:rPr>
          <w:rFonts w:ascii="Verdana" w:hAnsi="Verdana" w:cs="Arial"/>
          <w:sz w:val="16"/>
          <w:szCs w:val="16"/>
        </w:rPr>
      </w:pPr>
    </w:p>
  </w:footnote>
  <w:footnote w:id="2">
    <w:p w14:paraId="6898769E" w14:textId="77777777" w:rsidR="002C0013" w:rsidRDefault="002C0013" w:rsidP="002C0013">
      <w:pPr>
        <w:pStyle w:val="Textonotapie"/>
        <w:ind w:firstLine="709"/>
        <w:contextualSpacing/>
        <w:jc w:val="both"/>
        <w:rPr>
          <w:rFonts w:ascii="Verdana" w:hAnsi="Verdana" w:cs="Arial"/>
          <w:sz w:val="16"/>
          <w:szCs w:val="16"/>
        </w:rPr>
      </w:pPr>
      <w:r w:rsidRPr="00BE126A">
        <w:rPr>
          <w:rStyle w:val="Refdenotaalpie"/>
          <w:rFonts w:ascii="Verdana" w:hAnsi="Verdana" w:cs="Arial"/>
          <w:sz w:val="16"/>
          <w:szCs w:val="16"/>
        </w:rPr>
        <w:footnoteRef/>
      </w:r>
      <w:r w:rsidRPr="00BE126A">
        <w:rPr>
          <w:rFonts w:ascii="Verdana" w:hAnsi="Verdana" w:cs="Arial"/>
          <w:sz w:val="16"/>
          <w:szCs w:val="16"/>
        </w:rPr>
        <w:t xml:space="preserve"> Gaceta del Congreso de la República No. 71 del 2005.</w:t>
      </w:r>
    </w:p>
    <w:p w14:paraId="3C0B7CEA" w14:textId="77777777" w:rsidR="002C0013" w:rsidRPr="00BE126A" w:rsidRDefault="002C0013" w:rsidP="002C0013">
      <w:pPr>
        <w:pStyle w:val="Textonotapie"/>
        <w:ind w:firstLine="709"/>
        <w:contextualSpacing/>
        <w:jc w:val="both"/>
        <w:rPr>
          <w:rFonts w:ascii="Verdana" w:hAnsi="Verdana" w:cs="Arial"/>
          <w:sz w:val="16"/>
          <w:szCs w:val="16"/>
        </w:rPr>
      </w:pPr>
    </w:p>
  </w:footnote>
  <w:footnote w:id="3">
    <w:p w14:paraId="1FC3FDF8" w14:textId="77777777" w:rsidR="002C0013" w:rsidRDefault="002C0013" w:rsidP="002C0013">
      <w:pPr>
        <w:pStyle w:val="Textonotapie"/>
        <w:tabs>
          <w:tab w:val="left" w:pos="8145"/>
        </w:tabs>
        <w:ind w:firstLine="709"/>
        <w:contextualSpacing/>
        <w:jc w:val="both"/>
        <w:rPr>
          <w:rFonts w:ascii="Verdana" w:hAnsi="Verdana" w:cs="Arial"/>
          <w:sz w:val="16"/>
          <w:szCs w:val="16"/>
          <w:lang w:val="pt-PT"/>
        </w:rPr>
      </w:pPr>
      <w:r w:rsidRPr="00BE126A">
        <w:rPr>
          <w:rStyle w:val="Refdenotaalpie"/>
          <w:rFonts w:ascii="Verdana" w:hAnsi="Verdana" w:cs="Arial"/>
          <w:sz w:val="16"/>
          <w:szCs w:val="16"/>
        </w:rPr>
        <w:footnoteRef/>
      </w:r>
      <w:r w:rsidRPr="005800D0">
        <w:rPr>
          <w:rFonts w:ascii="Verdana" w:hAnsi="Verdana" w:cs="Arial"/>
          <w:sz w:val="16"/>
          <w:szCs w:val="16"/>
          <w:lang w:val="pt-PT"/>
        </w:rPr>
        <w:t xml:space="preserve"> Corte Constitucional</w:t>
      </w:r>
      <w:r>
        <w:rPr>
          <w:rFonts w:ascii="Verdana" w:hAnsi="Verdana" w:cs="Arial"/>
          <w:sz w:val="16"/>
          <w:szCs w:val="16"/>
          <w:lang w:val="pt-PT"/>
        </w:rPr>
        <w:t>.</w:t>
      </w:r>
      <w:r w:rsidRPr="005800D0">
        <w:rPr>
          <w:rFonts w:ascii="Verdana" w:hAnsi="Verdana" w:cs="Arial"/>
          <w:sz w:val="16"/>
          <w:szCs w:val="16"/>
          <w:lang w:val="pt-PT"/>
        </w:rPr>
        <w:t xml:space="preserve"> Sentencia C- 1153 de 2005, M.P</w:t>
      </w:r>
      <w:r>
        <w:rPr>
          <w:rFonts w:ascii="Verdana" w:hAnsi="Verdana" w:cs="Arial"/>
          <w:sz w:val="16"/>
          <w:szCs w:val="16"/>
          <w:lang w:val="pt-PT"/>
        </w:rPr>
        <w:t>:</w:t>
      </w:r>
      <w:r w:rsidRPr="005800D0">
        <w:rPr>
          <w:rFonts w:ascii="Verdana" w:hAnsi="Verdana" w:cs="Arial"/>
          <w:sz w:val="16"/>
          <w:szCs w:val="16"/>
          <w:lang w:val="pt-PT"/>
        </w:rPr>
        <w:t xml:space="preserve"> Marco Gerardo Monroy Cabra.</w:t>
      </w:r>
      <w:r>
        <w:rPr>
          <w:rFonts w:ascii="Verdana" w:hAnsi="Verdana" w:cs="Arial"/>
          <w:sz w:val="16"/>
          <w:szCs w:val="16"/>
          <w:lang w:val="pt-PT"/>
        </w:rPr>
        <w:tab/>
      </w:r>
    </w:p>
    <w:p w14:paraId="3CF2C838" w14:textId="77777777" w:rsidR="002C0013" w:rsidRPr="005800D0" w:rsidRDefault="002C0013" w:rsidP="002C0013">
      <w:pPr>
        <w:pStyle w:val="Textonotapie"/>
        <w:tabs>
          <w:tab w:val="left" w:pos="8145"/>
        </w:tabs>
        <w:ind w:firstLine="709"/>
        <w:contextualSpacing/>
        <w:jc w:val="both"/>
        <w:rPr>
          <w:rFonts w:ascii="Verdana" w:hAnsi="Verdana" w:cs="Arial"/>
          <w:sz w:val="16"/>
          <w:szCs w:val="16"/>
          <w:lang w:val="pt-PT"/>
        </w:rPr>
      </w:pPr>
    </w:p>
  </w:footnote>
  <w:footnote w:id="4">
    <w:p w14:paraId="48F7DDDE" w14:textId="77777777" w:rsidR="002C0013" w:rsidRDefault="002C0013" w:rsidP="002C0013">
      <w:pPr>
        <w:pStyle w:val="Textonotapie"/>
        <w:ind w:firstLine="709"/>
        <w:contextualSpacing/>
        <w:jc w:val="both"/>
        <w:rPr>
          <w:rFonts w:ascii="Verdana" w:hAnsi="Verdana" w:cs="Arial"/>
          <w:sz w:val="16"/>
          <w:szCs w:val="16"/>
          <w:lang w:val="pt-PT"/>
        </w:rPr>
      </w:pPr>
      <w:r w:rsidRPr="00BE126A">
        <w:rPr>
          <w:rStyle w:val="Refdenotaalpie"/>
          <w:rFonts w:ascii="Verdana" w:hAnsi="Verdana" w:cs="Arial"/>
          <w:sz w:val="16"/>
          <w:szCs w:val="16"/>
        </w:rPr>
        <w:footnoteRef/>
      </w:r>
      <w:r w:rsidRPr="005800D0">
        <w:rPr>
          <w:rFonts w:ascii="Verdana" w:hAnsi="Verdana" w:cs="Arial"/>
          <w:sz w:val="16"/>
          <w:szCs w:val="16"/>
          <w:lang w:val="pt-PT"/>
        </w:rPr>
        <w:t xml:space="preserve"> </w:t>
      </w:r>
      <w:r w:rsidRPr="0045735C">
        <w:rPr>
          <w:rFonts w:ascii="Verdana" w:hAnsi="Verdana" w:cs="Arial"/>
          <w:sz w:val="16"/>
          <w:szCs w:val="16"/>
          <w:lang w:val="es-CO"/>
        </w:rPr>
        <w:t>Corte Constitucional. Sentencias: C-233 de 4 de abril de 2002. M.P: Álvaro Tafur Galvis; C-551 de 9 de julio de 2003. M.P: Eduardo Montealegre Lynnet; C-353 de 20 de mayo de 2009. M.P: Jorge Iván Palacio Palacio; C-541 de 30 de junio de 2010. M.P: Gabriel Eduardo Mendoza Martelo; entre otras.</w:t>
      </w:r>
    </w:p>
    <w:p w14:paraId="68075919" w14:textId="77777777" w:rsidR="002C0013" w:rsidRPr="005800D0" w:rsidRDefault="002C0013" w:rsidP="002C0013">
      <w:pPr>
        <w:pStyle w:val="Textonotapie"/>
        <w:ind w:firstLine="709"/>
        <w:contextualSpacing/>
        <w:jc w:val="both"/>
        <w:rPr>
          <w:rFonts w:ascii="Verdana" w:hAnsi="Verdana" w:cs="Arial"/>
          <w:sz w:val="16"/>
          <w:szCs w:val="16"/>
          <w:lang w:val="pt-PT"/>
        </w:rPr>
      </w:pPr>
    </w:p>
  </w:footnote>
  <w:footnote w:id="5">
    <w:p w14:paraId="7CF210E9" w14:textId="77777777" w:rsidR="002C0013" w:rsidRDefault="002C0013" w:rsidP="002C0013">
      <w:pPr>
        <w:pStyle w:val="Textonotapie"/>
        <w:ind w:firstLine="709"/>
        <w:contextualSpacing/>
        <w:jc w:val="both"/>
        <w:rPr>
          <w:rFonts w:ascii="Verdana" w:hAnsi="Verdana" w:cs="Arial"/>
          <w:sz w:val="16"/>
          <w:szCs w:val="16"/>
          <w:lang w:val="es-CO"/>
        </w:rPr>
      </w:pPr>
      <w:r w:rsidRPr="00BE126A">
        <w:rPr>
          <w:rStyle w:val="Refdenotaalpie"/>
          <w:rFonts w:ascii="Verdana" w:hAnsi="Verdana" w:cs="Arial"/>
          <w:sz w:val="16"/>
          <w:szCs w:val="16"/>
        </w:rPr>
        <w:footnoteRef/>
      </w:r>
      <w:r w:rsidRPr="00BE126A">
        <w:rPr>
          <w:rFonts w:ascii="Verdana" w:hAnsi="Verdana" w:cs="Arial"/>
          <w:sz w:val="16"/>
          <w:szCs w:val="16"/>
          <w:lang w:val="es-CO"/>
        </w:rPr>
        <w:t xml:space="preserve"> </w:t>
      </w:r>
      <w:r w:rsidRPr="0045735C">
        <w:rPr>
          <w:rFonts w:ascii="Verdana" w:hAnsi="Verdana" w:cs="Arial"/>
          <w:sz w:val="16"/>
          <w:szCs w:val="16"/>
          <w:lang w:val="es-CO"/>
        </w:rPr>
        <w:t xml:space="preserve">Consejo de Estado. Sala de lo Contencioso Administrativo. Sección Primera. Sentencia de 3 de marzo de 2005. Radicado: </w:t>
      </w:r>
      <w:r w:rsidRPr="0045735C">
        <w:rPr>
          <w:rFonts w:ascii="Verdana" w:hAnsi="Verdana" w:cs="Arial"/>
          <w:sz w:val="16"/>
          <w:szCs w:val="16"/>
          <w:lang w:val="es-ES"/>
        </w:rPr>
        <w:t xml:space="preserve">25001-23-15-000-2004-00823-01 (PI). </w:t>
      </w:r>
      <w:r w:rsidRPr="0045735C">
        <w:rPr>
          <w:rFonts w:ascii="Verdana" w:hAnsi="Verdana" w:cs="Arial"/>
          <w:sz w:val="16"/>
          <w:szCs w:val="16"/>
          <w:lang w:val="es-CO"/>
        </w:rPr>
        <w:t>C.P: Camilo Arciniegas Andrade. Ver también, de la Sección Tercera. Sentencia de 22 de enero de 2002, expediente número 2001-0148-01 y, Sección Tercera. Sentencia de 20 de noviembre de 2001, expediente número 2001-0130-01(PI), entre otras.</w:t>
      </w:r>
    </w:p>
    <w:p w14:paraId="6D7FAC02" w14:textId="77777777" w:rsidR="002C0013" w:rsidRPr="00BE126A" w:rsidRDefault="002C0013" w:rsidP="002C0013">
      <w:pPr>
        <w:pStyle w:val="Textonotapie"/>
        <w:ind w:firstLine="709"/>
        <w:contextualSpacing/>
        <w:jc w:val="both"/>
        <w:rPr>
          <w:rFonts w:ascii="Verdana" w:hAnsi="Verdana" w:cs="Arial"/>
          <w:sz w:val="16"/>
          <w:szCs w:val="16"/>
          <w:lang w:val="es-CO"/>
        </w:rPr>
      </w:pPr>
    </w:p>
  </w:footnote>
  <w:footnote w:id="6">
    <w:p w14:paraId="55F6C22F" w14:textId="77777777" w:rsidR="002C0013" w:rsidRDefault="002C0013" w:rsidP="002C0013">
      <w:pPr>
        <w:pStyle w:val="Textonotapie"/>
        <w:ind w:firstLine="709"/>
        <w:contextualSpacing/>
        <w:jc w:val="both"/>
        <w:rPr>
          <w:rFonts w:ascii="Verdana" w:hAnsi="Verdana" w:cs="Arial"/>
          <w:sz w:val="16"/>
          <w:szCs w:val="16"/>
        </w:rPr>
      </w:pPr>
      <w:r w:rsidRPr="00BE126A">
        <w:rPr>
          <w:rStyle w:val="Refdenotaalpie"/>
          <w:rFonts w:ascii="Verdana" w:hAnsi="Verdana" w:cs="Arial"/>
          <w:sz w:val="16"/>
          <w:szCs w:val="16"/>
        </w:rPr>
        <w:footnoteRef/>
      </w:r>
      <w:r w:rsidRPr="00BE126A">
        <w:rPr>
          <w:rFonts w:ascii="Verdana" w:hAnsi="Verdana" w:cs="Arial"/>
          <w:sz w:val="16"/>
          <w:szCs w:val="16"/>
        </w:rPr>
        <w:t xml:space="preserve"> </w:t>
      </w:r>
      <w:r w:rsidRPr="0045735C">
        <w:rPr>
          <w:rFonts w:ascii="Verdana" w:hAnsi="Verdana" w:cs="Arial"/>
          <w:sz w:val="16"/>
          <w:szCs w:val="16"/>
        </w:rPr>
        <w:t xml:space="preserve">Consejo de Estado, Sala de Consulta y Servicio Civil. 24 de julio de 2013. Radicado: </w:t>
      </w:r>
      <w:r w:rsidRPr="0045735C">
        <w:rPr>
          <w:rFonts w:ascii="Verdana" w:hAnsi="Verdana" w:cs="Arial"/>
          <w:sz w:val="16"/>
          <w:szCs w:val="16"/>
          <w:lang w:val="es-CO"/>
        </w:rPr>
        <w:t xml:space="preserve">11001-03-06-000-2013-00407-00 </w:t>
      </w:r>
      <w:r w:rsidRPr="0045735C">
        <w:rPr>
          <w:rFonts w:ascii="Verdana" w:hAnsi="Verdana" w:cs="Arial"/>
          <w:sz w:val="16"/>
          <w:szCs w:val="16"/>
        </w:rPr>
        <w:t>(2166). C.P. Álvaro Namén Vargas</w:t>
      </w:r>
      <w:r w:rsidRPr="00BE126A">
        <w:rPr>
          <w:rFonts w:ascii="Verdana" w:hAnsi="Verdana" w:cs="Arial"/>
          <w:sz w:val="16"/>
          <w:szCs w:val="16"/>
        </w:rPr>
        <w:t xml:space="preserve">.  </w:t>
      </w:r>
    </w:p>
    <w:p w14:paraId="76846FD8" w14:textId="77777777" w:rsidR="002C0013" w:rsidRPr="00BE126A" w:rsidRDefault="002C0013" w:rsidP="002C0013">
      <w:pPr>
        <w:pStyle w:val="Textonotapie"/>
        <w:ind w:firstLine="709"/>
        <w:contextualSpacing/>
        <w:jc w:val="both"/>
        <w:rPr>
          <w:rFonts w:ascii="Verdana" w:hAnsi="Verdana" w:cs="Arial"/>
          <w:sz w:val="16"/>
          <w:szCs w:val="16"/>
        </w:rPr>
      </w:pPr>
    </w:p>
  </w:footnote>
  <w:footnote w:id="7">
    <w:p w14:paraId="51C3AB74" w14:textId="77777777" w:rsidR="002C0013" w:rsidRPr="00BE126A" w:rsidRDefault="002C0013" w:rsidP="002C0013">
      <w:pPr>
        <w:spacing w:after="0" w:line="240" w:lineRule="auto"/>
        <w:ind w:firstLine="709"/>
        <w:contextualSpacing/>
        <w:jc w:val="both"/>
        <w:rPr>
          <w:rFonts w:ascii="Verdana" w:eastAsia="Times New Roman" w:hAnsi="Verdana" w:cs="Arial"/>
          <w:sz w:val="16"/>
          <w:szCs w:val="16"/>
        </w:rPr>
      </w:pPr>
      <w:r w:rsidRPr="00BE126A">
        <w:rPr>
          <w:rStyle w:val="Refdenotaalpie"/>
          <w:rFonts w:ascii="Verdana" w:hAnsi="Verdana" w:cs="Arial"/>
          <w:sz w:val="16"/>
          <w:szCs w:val="16"/>
        </w:rPr>
        <w:footnoteRef/>
      </w:r>
      <w:r w:rsidRPr="00BE126A">
        <w:rPr>
          <w:rFonts w:ascii="Verdana" w:hAnsi="Verdana" w:cs="Arial"/>
          <w:sz w:val="16"/>
          <w:szCs w:val="16"/>
        </w:rPr>
        <w:t xml:space="preserve"> </w:t>
      </w:r>
      <w:bookmarkStart w:id="3" w:name="33"/>
      <w:r w:rsidRPr="00BE126A">
        <w:rPr>
          <w:rFonts w:ascii="Verdana" w:eastAsia="Calibri" w:hAnsi="Verdana" w:cs="Arial"/>
          <w:bCs/>
          <w:color w:val="000000"/>
          <w:sz w:val="16"/>
          <w:szCs w:val="16"/>
        </w:rPr>
        <w:t>“</w:t>
      </w:r>
      <w:r w:rsidRPr="00BE126A">
        <w:rPr>
          <w:rFonts w:ascii="Verdana" w:eastAsia="Times New Roman" w:hAnsi="Verdana" w:cs="Arial"/>
          <w:sz w:val="16"/>
          <w:szCs w:val="16"/>
        </w:rPr>
        <w:t>Artículo 33. Restricciones a la contratación pública.</w:t>
      </w:r>
      <w:bookmarkEnd w:id="3"/>
      <w:r w:rsidRPr="00BE126A">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5A954FE4" w14:textId="77777777" w:rsidR="002C0013" w:rsidRDefault="002C0013" w:rsidP="002C0013">
      <w:pPr>
        <w:spacing w:after="0" w:line="240" w:lineRule="auto"/>
        <w:ind w:firstLine="709"/>
        <w:contextualSpacing/>
        <w:jc w:val="both"/>
        <w:rPr>
          <w:rFonts w:ascii="Verdana" w:eastAsia="Times New Roman" w:hAnsi="Verdana" w:cs="Arial"/>
          <w:sz w:val="16"/>
          <w:szCs w:val="16"/>
        </w:rPr>
      </w:pPr>
      <w:r w:rsidRPr="00BE126A">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2D26B3FF" w14:textId="77777777" w:rsidR="002C0013" w:rsidRPr="00BE126A" w:rsidRDefault="002C0013" w:rsidP="002C0013">
      <w:pPr>
        <w:spacing w:after="0" w:line="240" w:lineRule="auto"/>
        <w:ind w:firstLine="709"/>
        <w:contextualSpacing/>
        <w:jc w:val="both"/>
        <w:rPr>
          <w:rFonts w:ascii="Verdana" w:eastAsia="Times New Roman" w:hAnsi="Verdana" w:cs="Arial"/>
          <w:sz w:val="16"/>
          <w:szCs w:val="16"/>
        </w:rPr>
      </w:pPr>
    </w:p>
  </w:footnote>
  <w:footnote w:id="8">
    <w:p w14:paraId="40D41321" w14:textId="77777777" w:rsidR="002C0013" w:rsidRPr="00BE126A" w:rsidRDefault="002C0013" w:rsidP="002C0013">
      <w:pPr>
        <w:pStyle w:val="NormalWeb"/>
        <w:spacing w:before="0" w:beforeAutospacing="0" w:after="0" w:afterAutospacing="0"/>
        <w:ind w:firstLine="709"/>
        <w:contextualSpacing/>
        <w:jc w:val="both"/>
        <w:rPr>
          <w:rFonts w:ascii="Verdana" w:hAnsi="Verdana" w:cs="Arial"/>
          <w:sz w:val="16"/>
          <w:szCs w:val="16"/>
          <w:lang w:val="es-MX"/>
        </w:rPr>
      </w:pPr>
      <w:r w:rsidRPr="00BE126A">
        <w:rPr>
          <w:rStyle w:val="Refdenotaalpie"/>
          <w:rFonts w:ascii="Verdana" w:hAnsi="Verdana" w:cs="Arial"/>
          <w:sz w:val="16"/>
          <w:szCs w:val="16"/>
        </w:rPr>
        <w:footnoteRef/>
      </w:r>
      <w:r w:rsidRPr="00BE126A">
        <w:rPr>
          <w:rFonts w:ascii="Verdana" w:hAnsi="Verdana" w:cs="Arial"/>
          <w:sz w:val="16"/>
          <w:szCs w:val="16"/>
        </w:rPr>
        <w:t xml:space="preserve"> </w:t>
      </w:r>
      <w:bookmarkStart w:id="4" w:name="38"/>
      <w:r w:rsidRPr="00BE126A">
        <w:rPr>
          <w:rFonts w:ascii="Verdana" w:eastAsia="Calibri" w:hAnsi="Verdana" w:cs="Arial"/>
          <w:bCs/>
          <w:color w:val="000000"/>
          <w:sz w:val="16"/>
          <w:szCs w:val="16"/>
        </w:rPr>
        <w:t>“</w:t>
      </w:r>
      <w:r w:rsidRPr="00BE126A">
        <w:rPr>
          <w:rFonts w:ascii="Verdana" w:hAnsi="Verdana" w:cs="Arial"/>
          <w:sz w:val="16"/>
          <w:szCs w:val="16"/>
          <w:lang w:val="es-MX"/>
        </w:rPr>
        <w:t>Artículo 38. Prohibiciones para los servidores públicos. A los empleados del Estado les está prohibido:</w:t>
      </w:r>
      <w:bookmarkEnd w:id="4"/>
    </w:p>
    <w:p w14:paraId="22EEBC7F" w14:textId="77777777" w:rsidR="002C0013" w:rsidRPr="00BE126A" w:rsidRDefault="002C0013" w:rsidP="002C0013">
      <w:pPr>
        <w:pStyle w:val="NormalWeb"/>
        <w:spacing w:before="0" w:beforeAutospacing="0" w:after="0" w:afterAutospacing="0"/>
        <w:ind w:firstLine="709"/>
        <w:contextualSpacing/>
        <w:jc w:val="both"/>
        <w:rPr>
          <w:rFonts w:ascii="Verdana" w:hAnsi="Verdana" w:cs="Arial"/>
          <w:sz w:val="16"/>
          <w:szCs w:val="16"/>
          <w:lang w:val="es-MX"/>
        </w:rPr>
      </w:pPr>
      <w:r>
        <w:rPr>
          <w:rFonts w:ascii="Verdana" w:hAnsi="Verdana" w:cs="Arial"/>
          <w:sz w:val="16"/>
          <w:szCs w:val="16"/>
          <w:lang w:val="es-MX"/>
        </w:rPr>
        <w:t>(…)</w:t>
      </w:r>
    </w:p>
    <w:p w14:paraId="3BC21001" w14:textId="77777777" w:rsidR="002C0013" w:rsidRDefault="002C0013" w:rsidP="002C0013">
      <w:pPr>
        <w:pStyle w:val="NormalWeb"/>
        <w:spacing w:before="0" w:beforeAutospacing="0" w:after="0" w:afterAutospacing="0"/>
        <w:ind w:firstLine="709"/>
        <w:contextualSpacing/>
        <w:jc w:val="both"/>
        <w:rPr>
          <w:rFonts w:ascii="Verdana" w:eastAsia="Calibri" w:hAnsi="Verdana" w:cs="Arial"/>
          <w:bCs/>
          <w:color w:val="000000"/>
          <w:sz w:val="16"/>
          <w:szCs w:val="16"/>
        </w:rPr>
      </w:pPr>
      <w:r w:rsidRPr="00BE126A">
        <w:rPr>
          <w:rStyle w:val="baj"/>
          <w:rFonts w:ascii="Verdana" w:hAnsi="Verdana" w:cs="Arial"/>
          <w:sz w:val="16"/>
          <w:szCs w:val="16"/>
          <w:lang w:val="es-MX"/>
        </w:rPr>
        <w:t>Parágrafo.</w:t>
      </w:r>
      <w:r w:rsidRPr="00BE126A">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E126A">
        <w:rPr>
          <w:rFonts w:ascii="Verdana" w:eastAsia="Calibri" w:hAnsi="Verdana" w:cs="Arial"/>
          <w:bCs/>
          <w:color w:val="000000"/>
          <w:sz w:val="16"/>
          <w:szCs w:val="16"/>
        </w:rPr>
        <w:t>”</w:t>
      </w:r>
      <w:r>
        <w:rPr>
          <w:rFonts w:ascii="Verdana" w:eastAsia="Calibri" w:hAnsi="Verdana" w:cs="Arial"/>
          <w:bCs/>
          <w:color w:val="000000"/>
          <w:sz w:val="16"/>
          <w:szCs w:val="16"/>
        </w:rPr>
        <w:t>.</w:t>
      </w:r>
    </w:p>
    <w:p w14:paraId="1EECD53A" w14:textId="77777777" w:rsidR="002C0013" w:rsidRPr="00BE126A" w:rsidRDefault="002C0013" w:rsidP="002C0013">
      <w:pPr>
        <w:pStyle w:val="NormalWeb"/>
        <w:spacing w:before="0" w:beforeAutospacing="0" w:after="0" w:afterAutospacing="0"/>
        <w:ind w:firstLine="709"/>
        <w:contextualSpacing/>
        <w:jc w:val="both"/>
        <w:rPr>
          <w:rFonts w:ascii="Verdana" w:hAnsi="Verdana" w:cs="Arial"/>
          <w:sz w:val="16"/>
          <w:szCs w:val="16"/>
          <w:lang w:val="es-MX"/>
        </w:rPr>
      </w:pPr>
    </w:p>
  </w:footnote>
  <w:footnote w:id="9">
    <w:p w14:paraId="7EBCC3E5" w14:textId="77777777" w:rsidR="002C0013" w:rsidRPr="00BE126A" w:rsidRDefault="002C0013" w:rsidP="002C0013">
      <w:pPr>
        <w:spacing w:after="0" w:line="240" w:lineRule="auto"/>
        <w:ind w:left="100" w:right="244" w:firstLine="709"/>
        <w:contextualSpacing/>
        <w:jc w:val="both"/>
        <w:rPr>
          <w:rFonts w:ascii="Verdana" w:hAnsi="Verdana" w:cs="Arial"/>
          <w:sz w:val="16"/>
          <w:szCs w:val="16"/>
          <w:lang w:val="es-ES"/>
        </w:rPr>
      </w:pPr>
      <w:r w:rsidRPr="00BE126A">
        <w:rPr>
          <w:rStyle w:val="Refdenotaalpie"/>
          <w:rFonts w:ascii="Verdana" w:hAnsi="Verdana" w:cs="Arial"/>
          <w:sz w:val="16"/>
          <w:szCs w:val="16"/>
        </w:rPr>
        <w:footnoteRef/>
      </w:r>
      <w:r w:rsidRPr="00BE126A">
        <w:rPr>
          <w:rFonts w:ascii="Verdana" w:hAnsi="Verdana" w:cs="Arial"/>
          <w:sz w:val="16"/>
          <w:szCs w:val="16"/>
        </w:rPr>
        <w:t xml:space="preserve"> </w:t>
      </w:r>
      <w:r w:rsidRPr="00A04AF0">
        <w:rPr>
          <w:rFonts w:ascii="Verdana" w:hAnsi="Verdana" w:cs="Arial"/>
          <w:sz w:val="16"/>
          <w:szCs w:val="16"/>
        </w:rPr>
        <w:t>Consejo de Estado. Sala de Consulta y Servicio Civil. Concepto del 17 de febrero de 2015.</w:t>
      </w:r>
      <w:r>
        <w:rPr>
          <w:rFonts w:ascii="Verdana" w:hAnsi="Verdana" w:cs="Arial"/>
          <w:sz w:val="16"/>
          <w:szCs w:val="16"/>
        </w:rPr>
        <w:t xml:space="preserve"> </w:t>
      </w:r>
      <w:r w:rsidRPr="00A04AF0">
        <w:rPr>
          <w:rFonts w:ascii="Verdana" w:hAnsi="Verdana" w:cs="Arial"/>
          <w:sz w:val="16"/>
          <w:szCs w:val="16"/>
        </w:rPr>
        <w:t>Radicado: 11001-03-06-000-2015-00164-00 (2269). C.P. William Zambrano Cetina</w:t>
      </w:r>
      <w:r w:rsidRPr="00BE126A">
        <w:rPr>
          <w:rFonts w:ascii="Verdana" w:hAnsi="Verdana" w:cs="Arial"/>
          <w:sz w:val="16"/>
          <w:szCs w:val="16"/>
        </w:rPr>
        <w:t>.</w:t>
      </w:r>
    </w:p>
  </w:footnote>
  <w:footnote w:id="10">
    <w:p w14:paraId="2AB42061" w14:textId="77777777" w:rsidR="002C0013" w:rsidRDefault="002C0013" w:rsidP="002C0013">
      <w:pPr>
        <w:pStyle w:val="Textonotapie"/>
        <w:ind w:firstLine="709"/>
        <w:contextualSpacing/>
        <w:jc w:val="both"/>
        <w:rPr>
          <w:rFonts w:ascii="Verdana" w:hAnsi="Verdana" w:cs="Arial"/>
          <w:sz w:val="16"/>
          <w:szCs w:val="16"/>
        </w:rPr>
      </w:pPr>
      <w:r w:rsidRPr="00CE0D82">
        <w:rPr>
          <w:rStyle w:val="Refdenotaalpie"/>
          <w:rFonts w:ascii="Verdana" w:hAnsi="Verdana" w:cs="Arial"/>
          <w:sz w:val="16"/>
          <w:szCs w:val="16"/>
        </w:rPr>
        <w:footnoteRef/>
      </w:r>
      <w:r w:rsidRPr="00CE0D82">
        <w:rPr>
          <w:rFonts w:ascii="Verdana" w:hAnsi="Verdana" w:cs="Arial"/>
          <w:sz w:val="16"/>
          <w:szCs w:val="16"/>
        </w:rPr>
        <w:t xml:space="preserve"> “</w:t>
      </w:r>
      <w:r w:rsidRPr="00CE0D82">
        <w:rPr>
          <w:rFonts w:ascii="Verdana" w:hAnsi="Verdana" w:cs="Arial"/>
          <w:sz w:val="16"/>
          <w:szCs w:val="16"/>
          <w:lang w:val="es-ES"/>
        </w:rPr>
        <w:t xml:space="preserve">[25] </w:t>
      </w:r>
      <w:r w:rsidRPr="00CE0D82">
        <w:rPr>
          <w:rFonts w:ascii="Verdana" w:hAnsi="Verdana" w:cs="Arial"/>
          <w:sz w:val="16"/>
          <w:szCs w:val="16"/>
        </w:rPr>
        <w:t>Cfr. Consejo de Estado. Sección Tercera. Sentencia de 3 de diciembre de 2007. Radicados: 24.715, 25.206, 25.409, 24.524, 27.834, 25.410, 26.105, 28.244, 31.447 -acumulados-</w:t>
      </w:r>
      <w:r>
        <w:rPr>
          <w:rFonts w:ascii="Verdana" w:hAnsi="Verdana" w:cs="Arial"/>
          <w:sz w:val="16"/>
          <w:szCs w:val="16"/>
        </w:rPr>
        <w:t>“</w:t>
      </w:r>
      <w:r w:rsidRPr="00CE0D82">
        <w:rPr>
          <w:rFonts w:ascii="Verdana" w:hAnsi="Verdana" w:cs="Arial"/>
          <w:sz w:val="16"/>
          <w:szCs w:val="16"/>
        </w:rPr>
        <w:t>.</w:t>
      </w:r>
    </w:p>
    <w:p w14:paraId="5B4AEA33" w14:textId="77777777" w:rsidR="002C0013" w:rsidRPr="00CE0D82" w:rsidRDefault="002C0013" w:rsidP="002C0013">
      <w:pPr>
        <w:pStyle w:val="Textonotapie"/>
        <w:ind w:firstLine="709"/>
        <w:contextualSpacing/>
        <w:jc w:val="both"/>
        <w:rPr>
          <w:rFonts w:ascii="Verdana" w:hAnsi="Verdana" w:cs="Arial"/>
          <w:sz w:val="16"/>
          <w:szCs w:val="16"/>
        </w:rPr>
      </w:pPr>
    </w:p>
  </w:footnote>
  <w:footnote w:id="11">
    <w:p w14:paraId="640792DF" w14:textId="77777777" w:rsidR="002C0013" w:rsidRDefault="002C0013" w:rsidP="002C0013">
      <w:pPr>
        <w:pStyle w:val="Textonotapie"/>
        <w:ind w:firstLine="709"/>
        <w:contextualSpacing/>
        <w:jc w:val="both"/>
        <w:rPr>
          <w:rFonts w:ascii="Verdana" w:hAnsi="Verdana" w:cs="Arial"/>
          <w:sz w:val="16"/>
          <w:szCs w:val="16"/>
        </w:rPr>
      </w:pPr>
      <w:r w:rsidRPr="00CE0D82">
        <w:rPr>
          <w:rStyle w:val="Refdenotaalpie"/>
          <w:rFonts w:ascii="Verdana" w:hAnsi="Verdana" w:cs="Arial"/>
          <w:sz w:val="16"/>
          <w:szCs w:val="16"/>
        </w:rPr>
        <w:footnoteRef/>
      </w:r>
      <w:r w:rsidRPr="00CE0D82">
        <w:rPr>
          <w:rFonts w:ascii="Verdana" w:hAnsi="Verdana" w:cs="Arial"/>
          <w:sz w:val="16"/>
          <w:szCs w:val="16"/>
        </w:rPr>
        <w:t xml:space="preserve"> </w:t>
      </w:r>
      <w:bookmarkStart w:id="12" w:name="_Hlk74294506"/>
      <w:r w:rsidRPr="00CE0D82">
        <w:rPr>
          <w:rFonts w:ascii="Verdana" w:hAnsi="Verdana" w:cs="Arial"/>
          <w:sz w:val="16"/>
          <w:szCs w:val="16"/>
        </w:rPr>
        <w:t>“</w:t>
      </w:r>
      <w:r w:rsidRPr="00CE0D82">
        <w:rPr>
          <w:rFonts w:ascii="Verdana" w:hAnsi="Verdana" w:cs="Arial"/>
          <w:sz w:val="16"/>
          <w:szCs w:val="16"/>
          <w:lang w:val="es-ES"/>
        </w:rPr>
        <w:t xml:space="preserve">[26] </w:t>
      </w:r>
      <w:bookmarkEnd w:id="12"/>
      <w:r w:rsidRPr="00CE0D82">
        <w:rPr>
          <w:rFonts w:ascii="Verdana" w:hAnsi="Verdana" w:cs="Arial"/>
          <w:sz w:val="16"/>
          <w:szCs w:val="16"/>
        </w:rPr>
        <w:t>Al respecto ver el concepto 1712 de 2 de febrero de 2006. Consejo de Estado Sala de Consulta y Servicio Civil”.</w:t>
      </w:r>
    </w:p>
    <w:p w14:paraId="119A67E1" w14:textId="77777777" w:rsidR="002C0013" w:rsidRPr="00CE0D82" w:rsidRDefault="002C0013" w:rsidP="002C0013">
      <w:pPr>
        <w:pStyle w:val="Textonotapie"/>
        <w:ind w:firstLine="709"/>
        <w:contextualSpacing/>
        <w:jc w:val="both"/>
        <w:rPr>
          <w:rFonts w:ascii="Verdana" w:hAnsi="Verdana" w:cs="Arial"/>
          <w:sz w:val="16"/>
          <w:szCs w:val="16"/>
        </w:rPr>
      </w:pPr>
    </w:p>
  </w:footnote>
  <w:footnote w:id="12">
    <w:p w14:paraId="6B8FE7AC" w14:textId="77777777" w:rsidR="002C0013" w:rsidRDefault="002C0013" w:rsidP="002C0013">
      <w:pPr>
        <w:pStyle w:val="Textonotapie"/>
        <w:ind w:firstLine="709"/>
        <w:contextualSpacing/>
        <w:jc w:val="both"/>
        <w:rPr>
          <w:rFonts w:ascii="Verdana" w:hAnsi="Verdana" w:cs="Arial"/>
          <w:sz w:val="16"/>
          <w:szCs w:val="16"/>
        </w:rPr>
      </w:pPr>
      <w:r w:rsidRPr="00CE0D82">
        <w:rPr>
          <w:rStyle w:val="Refdenotaalpie"/>
          <w:rFonts w:ascii="Verdana" w:hAnsi="Verdana" w:cs="Arial"/>
          <w:sz w:val="16"/>
          <w:szCs w:val="16"/>
        </w:rPr>
        <w:footnoteRef/>
      </w:r>
      <w:r w:rsidRPr="00CE0D82">
        <w:rPr>
          <w:rFonts w:ascii="Verdana" w:hAnsi="Verdana" w:cs="Arial"/>
          <w:sz w:val="16"/>
          <w:szCs w:val="16"/>
        </w:rPr>
        <w:t xml:space="preserve"> </w:t>
      </w:r>
      <w:r w:rsidRPr="00235FCF">
        <w:rPr>
          <w:rFonts w:ascii="Verdana" w:hAnsi="Verdana" w:cs="Arial"/>
          <w:sz w:val="16"/>
          <w:szCs w:val="16"/>
        </w:rPr>
        <w:t>Consejo de Estado. Sala de Consulta y Servicio Civil. Concepto del 2 de septiembre de 2013. Radicación número: 11001-03-06-000-2013-00412-00 (2168). C</w:t>
      </w:r>
      <w:r>
        <w:rPr>
          <w:rFonts w:ascii="Verdana" w:hAnsi="Verdana" w:cs="Arial"/>
          <w:sz w:val="16"/>
          <w:szCs w:val="16"/>
        </w:rPr>
        <w:t>.P</w:t>
      </w:r>
      <w:r w:rsidRPr="00235FCF">
        <w:rPr>
          <w:rFonts w:ascii="Verdana" w:hAnsi="Verdana" w:cs="Arial"/>
          <w:sz w:val="16"/>
          <w:szCs w:val="16"/>
        </w:rPr>
        <w:t>: Álvaro Namén Vargas.</w:t>
      </w:r>
    </w:p>
    <w:p w14:paraId="0AB78F86" w14:textId="77777777" w:rsidR="002C0013" w:rsidRPr="005800D0" w:rsidRDefault="002C0013" w:rsidP="002C0013">
      <w:pPr>
        <w:pStyle w:val="Textonotapie"/>
        <w:ind w:firstLine="709"/>
        <w:contextualSpacing/>
        <w:jc w:val="both"/>
        <w:rPr>
          <w:rFonts w:ascii="Verdana" w:hAnsi="Verdana" w:cs="Arial"/>
          <w:sz w:val="16"/>
          <w:szCs w:val="16"/>
        </w:rPr>
      </w:pPr>
    </w:p>
  </w:footnote>
  <w:footnote w:id="13">
    <w:p w14:paraId="3F09B9A8" w14:textId="77777777" w:rsidR="002C0013" w:rsidRDefault="002C0013" w:rsidP="002C0013">
      <w:pPr>
        <w:pStyle w:val="Textonotapie"/>
        <w:ind w:firstLine="709"/>
        <w:contextualSpacing/>
        <w:rPr>
          <w:rFonts w:ascii="Verdana" w:hAnsi="Verdana" w:cs="Arial"/>
          <w:sz w:val="16"/>
          <w:szCs w:val="16"/>
          <w:lang w:val="es-ES"/>
        </w:rPr>
      </w:pPr>
      <w:r w:rsidRPr="00CE0D82">
        <w:rPr>
          <w:rStyle w:val="Refdenotaalpie"/>
          <w:rFonts w:ascii="Verdana" w:hAnsi="Verdana" w:cs="Arial"/>
          <w:sz w:val="16"/>
          <w:szCs w:val="16"/>
        </w:rPr>
        <w:footnoteRef/>
      </w:r>
      <w:r w:rsidRPr="00CE0D82">
        <w:rPr>
          <w:rFonts w:ascii="Verdana" w:hAnsi="Verdana" w:cs="Arial"/>
          <w:sz w:val="16"/>
          <w:szCs w:val="16"/>
        </w:rPr>
        <w:t xml:space="preserve"> </w:t>
      </w:r>
      <w:r w:rsidRPr="00CE0D82">
        <w:rPr>
          <w:rFonts w:ascii="Verdana" w:hAnsi="Verdana" w:cs="Arial"/>
          <w:sz w:val="16"/>
          <w:szCs w:val="16"/>
          <w:lang w:val="es-ES"/>
        </w:rPr>
        <w:t xml:space="preserve">Artículo 2. </w:t>
      </w:r>
    </w:p>
    <w:p w14:paraId="732441C9" w14:textId="77777777" w:rsidR="002C0013" w:rsidRPr="00CE0D82" w:rsidRDefault="002C0013" w:rsidP="002C0013">
      <w:pPr>
        <w:pStyle w:val="Textonotapie"/>
        <w:ind w:firstLine="709"/>
        <w:contextualSpacing/>
        <w:rPr>
          <w:rFonts w:ascii="Verdana" w:hAnsi="Verdana" w:cs="Arial"/>
          <w:sz w:val="16"/>
          <w:szCs w:val="16"/>
          <w:lang w:val="es-ES"/>
        </w:rPr>
      </w:pPr>
    </w:p>
  </w:footnote>
  <w:footnote w:id="14">
    <w:p w14:paraId="50FCC177" w14:textId="77777777" w:rsidR="002C0013" w:rsidRDefault="002C0013" w:rsidP="002C0013">
      <w:pPr>
        <w:pStyle w:val="Textonotapie"/>
        <w:ind w:firstLine="709"/>
        <w:contextualSpacing/>
        <w:rPr>
          <w:rFonts w:ascii="Verdana" w:hAnsi="Verdana" w:cs="Arial"/>
          <w:sz w:val="16"/>
          <w:szCs w:val="16"/>
          <w:lang w:val="es-ES"/>
        </w:rPr>
      </w:pPr>
      <w:r w:rsidRPr="00CE0D82">
        <w:rPr>
          <w:rStyle w:val="Refdenotaalpie"/>
          <w:rFonts w:ascii="Verdana" w:hAnsi="Verdana" w:cs="Arial"/>
          <w:sz w:val="16"/>
          <w:szCs w:val="16"/>
        </w:rPr>
        <w:footnoteRef/>
      </w:r>
      <w:r w:rsidRPr="00CE0D82">
        <w:rPr>
          <w:rFonts w:ascii="Verdana" w:hAnsi="Verdana" w:cs="Arial"/>
          <w:sz w:val="16"/>
          <w:szCs w:val="16"/>
        </w:rPr>
        <w:t xml:space="preserve"> </w:t>
      </w:r>
      <w:r w:rsidRPr="00CE0D82">
        <w:rPr>
          <w:rFonts w:ascii="Verdana" w:hAnsi="Verdana" w:cs="Arial"/>
          <w:i/>
          <w:sz w:val="16"/>
          <w:szCs w:val="16"/>
          <w:lang w:val="es-ES"/>
        </w:rPr>
        <w:t>Ídem</w:t>
      </w:r>
      <w:r w:rsidRPr="00CE0D82">
        <w:rPr>
          <w:rFonts w:ascii="Verdana" w:hAnsi="Verdana" w:cs="Arial"/>
          <w:sz w:val="16"/>
          <w:szCs w:val="16"/>
          <w:lang w:val="es-ES"/>
        </w:rPr>
        <w:t>.</w:t>
      </w:r>
    </w:p>
    <w:p w14:paraId="0B96DF68" w14:textId="77777777" w:rsidR="002C0013" w:rsidRPr="00CE0D82" w:rsidRDefault="002C0013" w:rsidP="002C0013">
      <w:pPr>
        <w:pStyle w:val="Textonotapie"/>
        <w:ind w:firstLine="709"/>
        <w:contextualSpacing/>
        <w:rPr>
          <w:rFonts w:ascii="Verdana" w:hAnsi="Verdana" w:cs="Arial"/>
          <w:sz w:val="16"/>
          <w:szCs w:val="16"/>
          <w:lang w:val="es-ES"/>
        </w:rPr>
      </w:pPr>
    </w:p>
  </w:footnote>
  <w:footnote w:id="15">
    <w:p w14:paraId="36053ED9" w14:textId="77777777" w:rsidR="002C0013" w:rsidRDefault="002C0013" w:rsidP="002C0013">
      <w:pPr>
        <w:pStyle w:val="Textonotapie"/>
        <w:ind w:firstLine="709"/>
        <w:contextualSpacing/>
        <w:rPr>
          <w:rFonts w:ascii="Verdana" w:hAnsi="Verdana" w:cs="Arial"/>
          <w:sz w:val="16"/>
          <w:szCs w:val="16"/>
          <w:lang w:val="es-ES"/>
        </w:rPr>
      </w:pPr>
      <w:r w:rsidRPr="00CE0D82">
        <w:rPr>
          <w:rStyle w:val="Refdenotaalpie"/>
          <w:rFonts w:ascii="Verdana" w:hAnsi="Verdana" w:cs="Arial"/>
          <w:sz w:val="16"/>
          <w:szCs w:val="16"/>
        </w:rPr>
        <w:footnoteRef/>
      </w:r>
      <w:r w:rsidRPr="00CE0D82">
        <w:rPr>
          <w:rStyle w:val="Refdenotaalpie"/>
          <w:rFonts w:ascii="Verdana" w:hAnsi="Verdana" w:cs="Arial"/>
          <w:sz w:val="16"/>
          <w:szCs w:val="16"/>
        </w:rPr>
        <w:t xml:space="preserve"> </w:t>
      </w:r>
      <w:r w:rsidRPr="00CE0D82">
        <w:rPr>
          <w:rFonts w:ascii="Verdana" w:hAnsi="Verdana" w:cs="Arial"/>
          <w:sz w:val="16"/>
          <w:szCs w:val="16"/>
          <w:lang w:val="es-ES"/>
        </w:rPr>
        <w:t xml:space="preserve">[…] A este respecto, cabe recordar que el artículo 860 del Código de Comercio regula la licitación en el derecho privado. </w:t>
      </w:r>
    </w:p>
    <w:p w14:paraId="0248C8CD" w14:textId="77777777" w:rsidR="002C0013" w:rsidRPr="00CE0D82" w:rsidRDefault="002C0013" w:rsidP="002C0013">
      <w:pPr>
        <w:pStyle w:val="Textonotapie"/>
        <w:ind w:firstLine="709"/>
        <w:contextualSpacing/>
        <w:rPr>
          <w:rFonts w:ascii="Verdana" w:hAnsi="Verdana" w:cs="Arial"/>
          <w:sz w:val="16"/>
          <w:szCs w:val="16"/>
          <w:lang w:val="es-ES"/>
        </w:rPr>
      </w:pPr>
    </w:p>
  </w:footnote>
  <w:footnote w:id="16">
    <w:p w14:paraId="3D4C1C44" w14:textId="77777777" w:rsidR="002C0013" w:rsidRDefault="002C0013" w:rsidP="002C0013">
      <w:pPr>
        <w:shd w:val="clear" w:color="auto" w:fill="FFFFFF"/>
        <w:spacing w:after="0" w:line="240" w:lineRule="auto"/>
        <w:ind w:firstLine="709"/>
        <w:contextualSpacing/>
        <w:jc w:val="both"/>
        <w:rPr>
          <w:rFonts w:ascii="Verdana" w:hAnsi="Verdana" w:cs="Arial"/>
          <w:sz w:val="16"/>
          <w:szCs w:val="16"/>
          <w:lang w:val="es-ES"/>
        </w:rPr>
      </w:pPr>
      <w:r w:rsidRPr="00CE0D82">
        <w:rPr>
          <w:rStyle w:val="Refdenotaalpie"/>
          <w:rFonts w:ascii="Verdana" w:hAnsi="Verdana" w:cs="Arial"/>
          <w:sz w:val="16"/>
          <w:szCs w:val="16"/>
        </w:rPr>
        <w:footnoteRef/>
      </w:r>
      <w:r w:rsidRPr="00CE0D82">
        <w:rPr>
          <w:rStyle w:val="Refdenotaalpie"/>
          <w:rFonts w:ascii="Verdana" w:hAnsi="Verdana" w:cs="Arial"/>
          <w:sz w:val="16"/>
          <w:szCs w:val="16"/>
        </w:rPr>
        <w:t xml:space="preserve"> </w:t>
      </w:r>
      <w:r w:rsidRPr="00CE0D82">
        <w:rPr>
          <w:rFonts w:ascii="Verdana" w:hAnsi="Verdana" w:cs="Arial"/>
          <w:sz w:val="16"/>
          <w:szCs w:val="16"/>
          <w:lang w:val="es-ES"/>
        </w:rPr>
        <w:t>Consejo de Estado. Sala de Consulta y Servicio Civil, Concepto de 8 de mayo de 2018. Radicación Número: 11001-03-06-000-2018-00095-00</w:t>
      </w:r>
      <w:r>
        <w:rPr>
          <w:rFonts w:ascii="Verdana" w:hAnsi="Verdana" w:cs="Arial"/>
          <w:sz w:val="16"/>
          <w:szCs w:val="16"/>
          <w:lang w:val="es-ES"/>
        </w:rPr>
        <w:t xml:space="preserve"> </w:t>
      </w:r>
      <w:r w:rsidRPr="00CE0D82">
        <w:rPr>
          <w:rFonts w:ascii="Verdana" w:hAnsi="Verdana" w:cs="Arial"/>
          <w:sz w:val="16"/>
          <w:szCs w:val="16"/>
          <w:lang w:val="es-ES"/>
        </w:rPr>
        <w:t xml:space="preserve">(2382). </w:t>
      </w:r>
      <w:r>
        <w:rPr>
          <w:rFonts w:ascii="Verdana" w:hAnsi="Verdana" w:cs="Arial"/>
          <w:sz w:val="16"/>
          <w:szCs w:val="16"/>
          <w:lang w:val="es-ES"/>
        </w:rPr>
        <w:t>C.P:</w:t>
      </w:r>
      <w:r w:rsidRPr="00CE0D82">
        <w:rPr>
          <w:rFonts w:ascii="Verdana" w:hAnsi="Verdana" w:cs="Arial"/>
          <w:sz w:val="16"/>
          <w:szCs w:val="16"/>
          <w:lang w:val="es-ES"/>
        </w:rPr>
        <w:t xml:space="preserve"> Álvaro Namén Vargas</w:t>
      </w:r>
      <w:r w:rsidRPr="005800D0">
        <w:rPr>
          <w:rFonts w:ascii="Verdana" w:hAnsi="Verdana" w:cs="Arial"/>
          <w:sz w:val="16"/>
          <w:szCs w:val="16"/>
          <w:lang w:val="es-ES"/>
        </w:rPr>
        <w:t>.</w:t>
      </w:r>
    </w:p>
    <w:p w14:paraId="2BE53499" w14:textId="77777777" w:rsidR="002C0013" w:rsidRPr="005800D0" w:rsidRDefault="002C0013" w:rsidP="002C0013">
      <w:pPr>
        <w:shd w:val="clear" w:color="auto" w:fill="FFFFFF"/>
        <w:spacing w:after="0" w:line="240" w:lineRule="auto"/>
        <w:ind w:firstLine="709"/>
        <w:contextualSpacing/>
        <w:jc w:val="both"/>
        <w:rPr>
          <w:rFonts w:ascii="Verdana" w:hAnsi="Verdana" w:cs="Arial"/>
          <w:sz w:val="16"/>
          <w:szCs w:val="16"/>
          <w:lang w:val="es-ES"/>
        </w:rPr>
      </w:pPr>
    </w:p>
  </w:footnote>
  <w:footnote w:id="17">
    <w:p w14:paraId="131F9E89" w14:textId="77777777" w:rsidR="002C0013" w:rsidRDefault="002C0013" w:rsidP="002C0013">
      <w:pPr>
        <w:pStyle w:val="Textonotapie"/>
        <w:ind w:firstLine="709"/>
        <w:contextualSpacing/>
        <w:jc w:val="both"/>
        <w:rPr>
          <w:rFonts w:ascii="Verdana" w:hAnsi="Verdana" w:cs="Arial"/>
          <w:sz w:val="16"/>
          <w:szCs w:val="16"/>
        </w:rPr>
      </w:pPr>
      <w:r w:rsidRPr="00195E24">
        <w:rPr>
          <w:rStyle w:val="Refdenotaalpie"/>
          <w:rFonts w:ascii="Verdana" w:hAnsi="Verdana" w:cs="Arial"/>
          <w:sz w:val="16"/>
          <w:szCs w:val="16"/>
        </w:rPr>
        <w:footnoteRef/>
      </w:r>
      <w:r w:rsidRPr="00195E24">
        <w:rPr>
          <w:rFonts w:ascii="Verdana" w:hAnsi="Verdana" w:cs="Arial"/>
          <w:sz w:val="16"/>
          <w:szCs w:val="16"/>
        </w:rPr>
        <w:t xml:space="preserve"> Consejo de Estado. Sala de Consulta y Servicio Civil. Concepto del 08 de mayo de 2018. Exp. 2.382. C.P. Álvaro Namén Vargas.</w:t>
      </w:r>
    </w:p>
    <w:p w14:paraId="3F11B627" w14:textId="77777777" w:rsidR="002C0013" w:rsidRPr="00195E24" w:rsidRDefault="002C0013" w:rsidP="002C0013">
      <w:pPr>
        <w:pStyle w:val="Textonotapie"/>
        <w:ind w:firstLine="709"/>
        <w:contextualSpacing/>
        <w:jc w:val="both"/>
        <w:rPr>
          <w:rFonts w:ascii="Verdana" w:hAnsi="Verdana" w:cs="Arial"/>
          <w:sz w:val="16"/>
          <w:szCs w:val="16"/>
        </w:rPr>
      </w:pPr>
    </w:p>
  </w:footnote>
  <w:footnote w:id="18">
    <w:p w14:paraId="2585BB7B" w14:textId="77777777" w:rsidR="002C0013" w:rsidRPr="00195E24" w:rsidRDefault="002C0013" w:rsidP="002C0013">
      <w:pPr>
        <w:pStyle w:val="Textonotapie"/>
        <w:ind w:firstLine="708"/>
        <w:contextualSpacing/>
        <w:jc w:val="both"/>
        <w:rPr>
          <w:rFonts w:ascii="Verdana" w:hAnsi="Verdana" w:cs="Arial"/>
          <w:sz w:val="16"/>
          <w:szCs w:val="16"/>
        </w:rPr>
      </w:pPr>
      <w:r w:rsidRPr="00195E24">
        <w:rPr>
          <w:rStyle w:val="Refdenotaalpie"/>
          <w:rFonts w:ascii="Verdana" w:hAnsi="Verdana" w:cs="Arial"/>
          <w:sz w:val="16"/>
          <w:szCs w:val="16"/>
        </w:rPr>
        <w:footnoteRef/>
      </w:r>
      <w:r w:rsidRPr="00195E24">
        <w:rPr>
          <w:rFonts w:ascii="Verdana" w:hAnsi="Verdana" w:cs="Arial"/>
          <w:sz w:val="16"/>
          <w:szCs w:val="16"/>
        </w:rPr>
        <w:t xml:space="preserve"> Ley 489 de 1998: “Artículo 85. Empresas industriales y comerciales del Estado. 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 </w:t>
      </w:r>
    </w:p>
    <w:p w14:paraId="167611D6" w14:textId="77777777" w:rsidR="002C0013" w:rsidRPr="00195E24" w:rsidRDefault="002C0013" w:rsidP="002C0013">
      <w:pPr>
        <w:pStyle w:val="Textonotapie"/>
        <w:ind w:firstLine="708"/>
        <w:contextualSpacing/>
        <w:jc w:val="both"/>
        <w:rPr>
          <w:rFonts w:ascii="Verdana" w:hAnsi="Verdana" w:cs="Arial"/>
          <w:sz w:val="16"/>
          <w:szCs w:val="16"/>
        </w:rPr>
      </w:pPr>
      <w:r w:rsidRPr="00195E24">
        <w:rPr>
          <w:rFonts w:ascii="Verdana" w:hAnsi="Verdana" w:cs="Arial"/>
          <w:sz w:val="16"/>
          <w:szCs w:val="16"/>
        </w:rPr>
        <w:t xml:space="preserve">a) Personería jurídica; </w:t>
      </w:r>
    </w:p>
    <w:p w14:paraId="4A970267" w14:textId="77777777" w:rsidR="002C0013" w:rsidRPr="00195E24" w:rsidRDefault="002C0013" w:rsidP="002C0013">
      <w:pPr>
        <w:pStyle w:val="Textonotapie"/>
        <w:ind w:firstLine="708"/>
        <w:contextualSpacing/>
        <w:jc w:val="both"/>
        <w:rPr>
          <w:rFonts w:ascii="Verdana" w:hAnsi="Verdana" w:cs="Arial"/>
          <w:sz w:val="16"/>
          <w:szCs w:val="16"/>
        </w:rPr>
      </w:pPr>
      <w:r w:rsidRPr="00195E24">
        <w:rPr>
          <w:rFonts w:ascii="Verdana" w:hAnsi="Verdana" w:cs="Arial"/>
          <w:sz w:val="16"/>
          <w:szCs w:val="16"/>
        </w:rPr>
        <w:t xml:space="preserve">b) Autonomía administrativa y financiera; </w:t>
      </w:r>
    </w:p>
    <w:p w14:paraId="1E440415" w14:textId="77777777" w:rsidR="002C0013" w:rsidRDefault="002C0013" w:rsidP="002C0013">
      <w:pPr>
        <w:pStyle w:val="Textonotapie"/>
        <w:ind w:firstLine="708"/>
        <w:contextualSpacing/>
        <w:jc w:val="both"/>
        <w:rPr>
          <w:rFonts w:ascii="Verdana" w:hAnsi="Verdana" w:cs="Arial"/>
          <w:sz w:val="16"/>
          <w:szCs w:val="16"/>
        </w:rPr>
      </w:pPr>
      <w:r w:rsidRPr="00195E24">
        <w:rPr>
          <w:rFonts w:ascii="Verdana" w:hAnsi="Verdana" w:cs="Arial"/>
          <w:sz w:val="16"/>
          <w:szCs w:val="16"/>
        </w:rPr>
        <w:t>c) Capital independiente, constituido totalmente con bienes o fondos públicos comunes, los productos de ellos, o el rendimiento de tasas que perciban por las funciones o servicios, y contribuciones de destinación especial en los casos autorizados por la Constitución</w:t>
      </w:r>
      <w:r>
        <w:rPr>
          <w:rFonts w:ascii="Verdana" w:hAnsi="Verdana" w:cs="Arial"/>
          <w:sz w:val="16"/>
          <w:szCs w:val="16"/>
        </w:rPr>
        <w:t>.</w:t>
      </w:r>
      <w:r w:rsidRPr="00CE0D82">
        <w:rPr>
          <w:rFonts w:ascii="Verdana" w:hAnsi="Verdana" w:cs="Arial"/>
          <w:sz w:val="16"/>
          <w:szCs w:val="16"/>
        </w:rPr>
        <w:t xml:space="preserve"> </w:t>
      </w:r>
    </w:p>
    <w:p w14:paraId="325D6B3A" w14:textId="77777777" w:rsidR="002C0013" w:rsidRPr="005800D0" w:rsidRDefault="002C0013" w:rsidP="002C0013">
      <w:pPr>
        <w:pStyle w:val="Textonotapie"/>
        <w:ind w:firstLine="708"/>
        <w:contextualSpacing/>
        <w:jc w:val="both"/>
        <w:rPr>
          <w:rFonts w:ascii="Verdana" w:hAnsi="Verdana" w:cs="Arial"/>
          <w:sz w:val="16"/>
          <w:szCs w:val="16"/>
        </w:rPr>
      </w:pPr>
    </w:p>
  </w:footnote>
  <w:footnote w:id="19">
    <w:p w14:paraId="44E7627E" w14:textId="77777777" w:rsidR="002C0013" w:rsidRDefault="002C0013" w:rsidP="002C0013">
      <w:pPr>
        <w:spacing w:after="0" w:line="240" w:lineRule="auto"/>
        <w:ind w:right="49" w:firstLine="709"/>
        <w:contextualSpacing/>
        <w:jc w:val="both"/>
        <w:rPr>
          <w:rFonts w:ascii="Verdana" w:hAnsi="Verdana"/>
          <w:spacing w:val="-2"/>
          <w:sz w:val="16"/>
          <w:szCs w:val="16"/>
        </w:rPr>
      </w:pPr>
      <w:r w:rsidRPr="005800D0">
        <w:rPr>
          <w:rStyle w:val="Refdenotaalpie"/>
          <w:rFonts w:ascii="Verdana" w:hAnsi="Verdana"/>
          <w:sz w:val="16"/>
          <w:szCs w:val="16"/>
        </w:rPr>
        <w:footnoteRef/>
      </w:r>
      <w:r w:rsidRPr="005800D0">
        <w:rPr>
          <w:rFonts w:ascii="Verdana" w:hAnsi="Verdana"/>
          <w:sz w:val="16"/>
          <w:szCs w:val="16"/>
        </w:rPr>
        <w:t xml:space="preserve"> 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“m) Los actos y contratos que tengan por objeto directo las actividades comerciales e industriales propias de las empresas industriales</w:t>
      </w:r>
      <w:r w:rsidRPr="005800D0">
        <w:rPr>
          <w:rFonts w:ascii="Verdana" w:hAnsi="Verdana"/>
          <w:spacing w:val="-15"/>
          <w:sz w:val="16"/>
          <w:szCs w:val="16"/>
        </w:rPr>
        <w:t xml:space="preserve"> </w:t>
      </w:r>
      <w:r w:rsidRPr="005800D0">
        <w:rPr>
          <w:rFonts w:ascii="Verdana" w:hAnsi="Verdana"/>
          <w:sz w:val="16"/>
          <w:szCs w:val="16"/>
        </w:rPr>
        <w:t>y comerciales estatales y de las sociedades de economía mixta, con excepción de los contratos que a título enunciativo identifica el artículo 32 de esta ley”, o sea, los de obra, consultoría, prestación de servicios,</w:t>
      </w:r>
      <w:r w:rsidRPr="005800D0">
        <w:rPr>
          <w:rFonts w:ascii="Verdana" w:hAnsi="Verdana"/>
          <w:spacing w:val="-7"/>
          <w:sz w:val="16"/>
          <w:szCs w:val="16"/>
        </w:rPr>
        <w:t xml:space="preserve"> </w:t>
      </w:r>
      <w:r w:rsidRPr="005800D0">
        <w:rPr>
          <w:rFonts w:ascii="Verdana" w:hAnsi="Verdana"/>
          <w:sz w:val="16"/>
          <w:szCs w:val="16"/>
        </w:rPr>
        <w:t>concesión,</w:t>
      </w:r>
      <w:r w:rsidRPr="005800D0">
        <w:rPr>
          <w:rFonts w:ascii="Verdana" w:hAnsi="Verdana"/>
          <w:spacing w:val="-7"/>
          <w:sz w:val="16"/>
          <w:szCs w:val="16"/>
        </w:rPr>
        <w:t xml:space="preserve"> </w:t>
      </w:r>
      <w:r w:rsidRPr="005800D0">
        <w:rPr>
          <w:rFonts w:ascii="Verdana" w:hAnsi="Verdana"/>
          <w:sz w:val="16"/>
          <w:szCs w:val="16"/>
        </w:rPr>
        <w:t>encargos</w:t>
      </w:r>
      <w:r w:rsidRPr="005800D0">
        <w:rPr>
          <w:rFonts w:ascii="Verdana" w:hAnsi="Verdana"/>
          <w:spacing w:val="-7"/>
          <w:sz w:val="16"/>
          <w:szCs w:val="16"/>
        </w:rPr>
        <w:t xml:space="preserve"> </w:t>
      </w:r>
      <w:r w:rsidRPr="005800D0">
        <w:rPr>
          <w:rFonts w:ascii="Verdana" w:hAnsi="Verdana"/>
          <w:sz w:val="16"/>
          <w:szCs w:val="16"/>
        </w:rPr>
        <w:t>fiduciarios</w:t>
      </w:r>
      <w:r w:rsidRPr="005800D0">
        <w:rPr>
          <w:rFonts w:ascii="Verdana" w:hAnsi="Verdana"/>
          <w:spacing w:val="-7"/>
          <w:sz w:val="16"/>
          <w:szCs w:val="16"/>
        </w:rPr>
        <w:t xml:space="preserve"> </w:t>
      </w:r>
      <w:r w:rsidRPr="005800D0">
        <w:rPr>
          <w:rFonts w:ascii="Verdana" w:hAnsi="Verdana"/>
          <w:sz w:val="16"/>
          <w:szCs w:val="16"/>
        </w:rPr>
        <w:t>y</w:t>
      </w:r>
      <w:r w:rsidRPr="005800D0">
        <w:rPr>
          <w:rFonts w:ascii="Verdana" w:hAnsi="Verdana"/>
          <w:spacing w:val="-8"/>
          <w:sz w:val="16"/>
          <w:szCs w:val="16"/>
        </w:rPr>
        <w:t xml:space="preserve"> </w:t>
      </w:r>
      <w:r w:rsidRPr="005800D0">
        <w:rPr>
          <w:rFonts w:ascii="Verdana" w:hAnsi="Verdana"/>
          <w:sz w:val="16"/>
          <w:szCs w:val="16"/>
        </w:rPr>
        <w:t>fiducia</w:t>
      </w:r>
      <w:r w:rsidRPr="005800D0">
        <w:rPr>
          <w:rFonts w:ascii="Verdana" w:hAnsi="Verdana"/>
          <w:spacing w:val="-9"/>
          <w:sz w:val="16"/>
          <w:szCs w:val="16"/>
        </w:rPr>
        <w:t xml:space="preserve"> </w:t>
      </w:r>
      <w:r w:rsidRPr="005800D0">
        <w:rPr>
          <w:rFonts w:ascii="Verdana" w:hAnsi="Verdana"/>
          <w:sz w:val="16"/>
          <w:szCs w:val="16"/>
        </w:rPr>
        <w:t>pública,</w:t>
      </w:r>
      <w:r w:rsidRPr="005800D0">
        <w:rPr>
          <w:rFonts w:ascii="Verdana" w:hAnsi="Verdana"/>
          <w:spacing w:val="-7"/>
          <w:sz w:val="16"/>
          <w:szCs w:val="16"/>
        </w:rPr>
        <w:t xml:space="preserve"> </w:t>
      </w:r>
      <w:r w:rsidRPr="005800D0">
        <w:rPr>
          <w:rFonts w:ascii="Verdana" w:hAnsi="Verdana"/>
          <w:sz w:val="16"/>
          <w:szCs w:val="16"/>
        </w:rPr>
        <w:t>que</w:t>
      </w:r>
      <w:r w:rsidRPr="005800D0">
        <w:rPr>
          <w:rFonts w:ascii="Verdana" w:hAnsi="Verdana"/>
          <w:spacing w:val="-13"/>
          <w:sz w:val="16"/>
          <w:szCs w:val="16"/>
        </w:rPr>
        <w:t xml:space="preserve"> </w:t>
      </w:r>
      <w:r w:rsidRPr="005800D0">
        <w:rPr>
          <w:rFonts w:ascii="Verdana" w:hAnsi="Verdana"/>
          <w:sz w:val="16"/>
          <w:szCs w:val="16"/>
        </w:rPr>
        <w:t>se</w:t>
      </w:r>
      <w:r w:rsidRPr="005800D0">
        <w:rPr>
          <w:rFonts w:ascii="Verdana" w:hAnsi="Verdana"/>
          <w:spacing w:val="-8"/>
          <w:sz w:val="16"/>
          <w:szCs w:val="16"/>
        </w:rPr>
        <w:t xml:space="preserve"> </w:t>
      </w:r>
      <w:r w:rsidRPr="005800D0">
        <w:rPr>
          <w:rFonts w:ascii="Verdana" w:hAnsi="Verdana"/>
          <w:sz w:val="16"/>
          <w:szCs w:val="16"/>
        </w:rPr>
        <w:t>regirían</w:t>
      </w:r>
      <w:r w:rsidRPr="005800D0">
        <w:rPr>
          <w:rFonts w:ascii="Verdana" w:hAnsi="Verdana"/>
          <w:spacing w:val="-9"/>
          <w:sz w:val="16"/>
          <w:szCs w:val="16"/>
        </w:rPr>
        <w:t xml:space="preserve"> </w:t>
      </w:r>
      <w:r w:rsidRPr="005800D0">
        <w:rPr>
          <w:rFonts w:ascii="Verdana" w:hAnsi="Verdana"/>
          <w:sz w:val="16"/>
          <w:szCs w:val="16"/>
        </w:rPr>
        <w:t>por</w:t>
      </w:r>
      <w:r w:rsidRPr="005800D0">
        <w:rPr>
          <w:rFonts w:ascii="Verdana" w:hAnsi="Verdana"/>
          <w:spacing w:val="-7"/>
          <w:sz w:val="16"/>
          <w:szCs w:val="16"/>
        </w:rPr>
        <w:t xml:space="preserve"> </w:t>
      </w:r>
      <w:r w:rsidRPr="005800D0">
        <w:rPr>
          <w:rFonts w:ascii="Verdana" w:hAnsi="Verdana"/>
          <w:sz w:val="16"/>
          <w:szCs w:val="16"/>
        </w:rPr>
        <w:t>la</w:t>
      </w:r>
      <w:r w:rsidRPr="005800D0">
        <w:rPr>
          <w:rFonts w:ascii="Verdana" w:hAnsi="Verdana"/>
          <w:spacing w:val="-9"/>
          <w:sz w:val="16"/>
          <w:szCs w:val="16"/>
        </w:rPr>
        <w:t xml:space="preserve"> </w:t>
      </w:r>
      <w:r w:rsidRPr="005800D0">
        <w:rPr>
          <w:rFonts w:ascii="Verdana" w:hAnsi="Verdana"/>
          <w:sz w:val="16"/>
          <w:szCs w:val="16"/>
        </w:rPr>
        <w:t>regla</w:t>
      </w:r>
      <w:r w:rsidRPr="005800D0">
        <w:rPr>
          <w:rFonts w:ascii="Verdana" w:hAnsi="Verdana"/>
          <w:spacing w:val="-9"/>
          <w:sz w:val="16"/>
          <w:szCs w:val="16"/>
        </w:rPr>
        <w:t xml:space="preserve"> </w:t>
      </w:r>
      <w:r w:rsidRPr="005800D0">
        <w:rPr>
          <w:rFonts w:ascii="Verdana" w:hAnsi="Verdana"/>
          <w:sz w:val="16"/>
          <w:szCs w:val="16"/>
        </w:rPr>
        <w:t>general,</w:t>
      </w:r>
      <w:r w:rsidRPr="005800D0">
        <w:rPr>
          <w:rFonts w:ascii="Verdana" w:hAnsi="Verdana"/>
          <w:spacing w:val="-7"/>
          <w:sz w:val="16"/>
          <w:szCs w:val="16"/>
        </w:rPr>
        <w:t xml:space="preserve"> </w:t>
      </w:r>
      <w:r w:rsidRPr="005800D0">
        <w:rPr>
          <w:rFonts w:ascii="Verdana" w:hAnsi="Verdana"/>
          <w:sz w:val="16"/>
          <w:szCs w:val="16"/>
        </w:rPr>
        <w:t>salvo</w:t>
      </w:r>
      <w:r w:rsidRPr="005800D0">
        <w:rPr>
          <w:rFonts w:ascii="Verdana" w:hAnsi="Verdana"/>
          <w:spacing w:val="-10"/>
          <w:sz w:val="16"/>
          <w:szCs w:val="16"/>
        </w:rPr>
        <w:t xml:space="preserve"> </w:t>
      </w:r>
      <w:r w:rsidRPr="005800D0">
        <w:rPr>
          <w:rFonts w:ascii="Verdana" w:hAnsi="Verdana"/>
          <w:sz w:val="16"/>
          <w:szCs w:val="16"/>
        </w:rPr>
        <w:t>los</w:t>
      </w:r>
      <w:r w:rsidRPr="005800D0">
        <w:rPr>
          <w:rFonts w:ascii="Verdana" w:hAnsi="Verdana"/>
          <w:spacing w:val="-7"/>
          <w:sz w:val="16"/>
          <w:szCs w:val="16"/>
        </w:rPr>
        <w:t xml:space="preserve"> </w:t>
      </w:r>
      <w:r w:rsidRPr="005800D0">
        <w:rPr>
          <w:rFonts w:ascii="Verdana" w:hAnsi="Verdana"/>
          <w:sz w:val="16"/>
          <w:szCs w:val="16"/>
        </w:rPr>
        <w:t>casos de</w:t>
      </w:r>
      <w:r w:rsidRPr="005800D0">
        <w:rPr>
          <w:rFonts w:ascii="Verdana" w:hAnsi="Verdana"/>
          <w:spacing w:val="-2"/>
          <w:sz w:val="16"/>
          <w:szCs w:val="16"/>
        </w:rPr>
        <w:t xml:space="preserve"> </w:t>
      </w:r>
      <w:r w:rsidRPr="005800D0">
        <w:rPr>
          <w:rFonts w:ascii="Verdana" w:hAnsi="Verdana"/>
          <w:sz w:val="16"/>
          <w:szCs w:val="16"/>
        </w:rPr>
        <w:t>menor cuantía –previstos en el ordinal a), numeral 1 del artículo 24, original, de la Ley 80 de 1993</w:t>
      </w:r>
      <w:r w:rsidRPr="005800D0">
        <w:rPr>
          <w:rFonts w:ascii="Verdana" w:hAnsi="Verdana"/>
          <w:spacing w:val="-15"/>
          <w:sz w:val="16"/>
          <w:szCs w:val="16"/>
        </w:rPr>
        <w:t xml:space="preserve"> </w:t>
      </w:r>
      <w:r w:rsidRPr="005800D0">
        <w:rPr>
          <w:rFonts w:ascii="Verdana" w:hAnsi="Verdana"/>
          <w:sz w:val="16"/>
          <w:szCs w:val="16"/>
        </w:rPr>
        <w:t>–. Además,</w:t>
      </w:r>
      <w:r w:rsidRPr="005800D0">
        <w:rPr>
          <w:rFonts w:ascii="Verdana" w:hAnsi="Verdana"/>
          <w:spacing w:val="-1"/>
          <w:sz w:val="16"/>
          <w:szCs w:val="16"/>
        </w:rPr>
        <w:t xml:space="preserve"> </w:t>
      </w:r>
      <w:r w:rsidRPr="005800D0">
        <w:rPr>
          <w:rFonts w:ascii="Verdana" w:hAnsi="Verdana"/>
          <w:sz w:val="16"/>
          <w:szCs w:val="16"/>
        </w:rPr>
        <w:t>en</w:t>
      </w:r>
      <w:r w:rsidRPr="005800D0">
        <w:rPr>
          <w:rFonts w:ascii="Verdana" w:hAnsi="Verdana"/>
          <w:spacing w:val="-5"/>
          <w:sz w:val="16"/>
          <w:szCs w:val="16"/>
        </w:rPr>
        <w:t xml:space="preserve"> </w:t>
      </w:r>
      <w:r w:rsidRPr="005800D0">
        <w:rPr>
          <w:rFonts w:ascii="Verdana" w:hAnsi="Verdana"/>
          <w:sz w:val="16"/>
          <w:szCs w:val="16"/>
        </w:rPr>
        <w:t>el</w:t>
      </w:r>
      <w:r w:rsidRPr="005800D0">
        <w:rPr>
          <w:rFonts w:ascii="Verdana" w:hAnsi="Verdana"/>
          <w:spacing w:val="-2"/>
          <w:sz w:val="16"/>
          <w:szCs w:val="16"/>
        </w:rPr>
        <w:t xml:space="preserve"> </w:t>
      </w:r>
      <w:r w:rsidRPr="005800D0">
        <w:rPr>
          <w:rFonts w:ascii="Verdana" w:hAnsi="Verdana"/>
          <w:sz w:val="16"/>
          <w:szCs w:val="16"/>
        </w:rPr>
        <w:t>parágrafo</w:t>
      </w:r>
      <w:r w:rsidRPr="005800D0">
        <w:rPr>
          <w:rFonts w:ascii="Verdana" w:hAnsi="Verdana"/>
          <w:spacing w:val="-5"/>
          <w:sz w:val="16"/>
          <w:szCs w:val="16"/>
        </w:rPr>
        <w:t xml:space="preserve"> </w:t>
      </w:r>
      <w:r w:rsidRPr="005800D0">
        <w:rPr>
          <w:rFonts w:ascii="Verdana" w:hAnsi="Verdana"/>
          <w:sz w:val="16"/>
          <w:szCs w:val="16"/>
        </w:rPr>
        <w:t>del</w:t>
      </w:r>
      <w:r w:rsidRPr="005800D0">
        <w:rPr>
          <w:rFonts w:ascii="Verdana" w:hAnsi="Verdana"/>
          <w:spacing w:val="-2"/>
          <w:sz w:val="16"/>
          <w:szCs w:val="16"/>
        </w:rPr>
        <w:t xml:space="preserve"> </w:t>
      </w:r>
      <w:r w:rsidRPr="005800D0">
        <w:rPr>
          <w:rFonts w:ascii="Verdana" w:hAnsi="Verdana"/>
          <w:sz w:val="16"/>
          <w:szCs w:val="16"/>
        </w:rPr>
        <w:t>artículo</w:t>
      </w:r>
      <w:r w:rsidRPr="005800D0">
        <w:rPr>
          <w:rFonts w:ascii="Verdana" w:hAnsi="Verdana"/>
          <w:spacing w:val="-5"/>
          <w:sz w:val="16"/>
          <w:szCs w:val="16"/>
        </w:rPr>
        <w:t xml:space="preserve"> </w:t>
      </w:r>
      <w:r w:rsidRPr="005800D0">
        <w:rPr>
          <w:rFonts w:ascii="Verdana" w:hAnsi="Verdana"/>
          <w:sz w:val="16"/>
          <w:szCs w:val="16"/>
        </w:rPr>
        <w:t>14</w:t>
      </w:r>
      <w:r w:rsidRPr="005800D0">
        <w:rPr>
          <w:rFonts w:ascii="Verdana" w:hAnsi="Verdana"/>
          <w:spacing w:val="-5"/>
          <w:sz w:val="16"/>
          <w:szCs w:val="16"/>
        </w:rPr>
        <w:t xml:space="preserve"> </w:t>
      </w:r>
      <w:r w:rsidRPr="005800D0">
        <w:rPr>
          <w:rFonts w:ascii="Verdana" w:hAnsi="Verdana"/>
          <w:sz w:val="16"/>
          <w:szCs w:val="16"/>
        </w:rPr>
        <w:t>de</w:t>
      </w:r>
      <w:r w:rsidRPr="005800D0">
        <w:rPr>
          <w:rFonts w:ascii="Verdana" w:hAnsi="Verdana"/>
          <w:spacing w:val="-3"/>
          <w:sz w:val="16"/>
          <w:szCs w:val="16"/>
        </w:rPr>
        <w:t xml:space="preserve"> </w:t>
      </w:r>
      <w:r w:rsidRPr="005800D0">
        <w:rPr>
          <w:rFonts w:ascii="Verdana" w:hAnsi="Verdana"/>
          <w:sz w:val="16"/>
          <w:szCs w:val="16"/>
        </w:rPr>
        <w:t>la</w:t>
      </w:r>
      <w:r w:rsidRPr="005800D0">
        <w:rPr>
          <w:rFonts w:ascii="Verdana" w:hAnsi="Verdana"/>
          <w:spacing w:val="-4"/>
          <w:sz w:val="16"/>
          <w:szCs w:val="16"/>
        </w:rPr>
        <w:t xml:space="preserve"> </w:t>
      </w:r>
      <w:r w:rsidRPr="005800D0">
        <w:rPr>
          <w:rFonts w:ascii="Verdana" w:hAnsi="Verdana"/>
          <w:sz w:val="16"/>
          <w:szCs w:val="16"/>
        </w:rPr>
        <w:t>Ley</w:t>
      </w:r>
      <w:r w:rsidRPr="005800D0">
        <w:rPr>
          <w:rFonts w:ascii="Verdana" w:hAnsi="Verdana"/>
          <w:spacing w:val="-3"/>
          <w:sz w:val="16"/>
          <w:szCs w:val="16"/>
        </w:rPr>
        <w:t xml:space="preserve"> </w:t>
      </w:r>
      <w:r w:rsidRPr="005800D0">
        <w:rPr>
          <w:rFonts w:ascii="Verdana" w:hAnsi="Verdana"/>
          <w:sz w:val="16"/>
          <w:szCs w:val="16"/>
        </w:rPr>
        <w:t>80</w:t>
      </w:r>
      <w:r w:rsidRPr="005800D0">
        <w:rPr>
          <w:rFonts w:ascii="Verdana" w:hAnsi="Verdana"/>
          <w:spacing w:val="-5"/>
          <w:sz w:val="16"/>
          <w:szCs w:val="16"/>
        </w:rPr>
        <w:t xml:space="preserve"> </w:t>
      </w:r>
      <w:r w:rsidRPr="005800D0">
        <w:rPr>
          <w:rFonts w:ascii="Verdana" w:hAnsi="Verdana"/>
          <w:sz w:val="16"/>
          <w:szCs w:val="16"/>
        </w:rPr>
        <w:t>de</w:t>
      </w:r>
      <w:r w:rsidRPr="005800D0">
        <w:rPr>
          <w:rFonts w:ascii="Verdana" w:hAnsi="Verdana"/>
          <w:spacing w:val="-3"/>
          <w:sz w:val="16"/>
          <w:szCs w:val="16"/>
        </w:rPr>
        <w:t xml:space="preserve"> </w:t>
      </w:r>
      <w:r w:rsidRPr="005800D0">
        <w:rPr>
          <w:rFonts w:ascii="Verdana" w:hAnsi="Verdana"/>
          <w:sz w:val="16"/>
          <w:szCs w:val="16"/>
        </w:rPr>
        <w:t>1993,</w:t>
      </w:r>
      <w:r w:rsidRPr="005800D0">
        <w:rPr>
          <w:rFonts w:ascii="Verdana" w:hAnsi="Verdana"/>
          <w:spacing w:val="-1"/>
          <w:sz w:val="16"/>
          <w:szCs w:val="16"/>
        </w:rPr>
        <w:t xml:space="preserve"> </w:t>
      </w:r>
      <w:r w:rsidRPr="005800D0">
        <w:rPr>
          <w:rFonts w:ascii="Verdana" w:hAnsi="Verdana"/>
          <w:sz w:val="16"/>
          <w:szCs w:val="16"/>
        </w:rPr>
        <w:t>se</w:t>
      </w:r>
      <w:r w:rsidRPr="005800D0">
        <w:rPr>
          <w:rFonts w:ascii="Verdana" w:hAnsi="Verdana"/>
          <w:spacing w:val="-3"/>
          <w:sz w:val="16"/>
          <w:szCs w:val="16"/>
        </w:rPr>
        <w:t xml:space="preserve"> </w:t>
      </w:r>
      <w:r w:rsidRPr="005800D0">
        <w:rPr>
          <w:rFonts w:ascii="Verdana" w:hAnsi="Verdana"/>
          <w:sz w:val="16"/>
          <w:szCs w:val="16"/>
        </w:rPr>
        <w:t>señaló</w:t>
      </w:r>
      <w:r w:rsidRPr="005800D0">
        <w:rPr>
          <w:rFonts w:ascii="Verdana" w:hAnsi="Verdana"/>
          <w:spacing w:val="-5"/>
          <w:sz w:val="16"/>
          <w:szCs w:val="16"/>
        </w:rPr>
        <w:t xml:space="preserve"> </w:t>
      </w:r>
      <w:r w:rsidRPr="005800D0">
        <w:rPr>
          <w:rFonts w:ascii="Verdana" w:hAnsi="Verdana"/>
          <w:sz w:val="16"/>
          <w:szCs w:val="16"/>
        </w:rPr>
        <w:t>que</w:t>
      </w:r>
      <w:r w:rsidRPr="005800D0">
        <w:rPr>
          <w:rFonts w:ascii="Verdana" w:hAnsi="Verdana"/>
          <w:spacing w:val="-3"/>
          <w:sz w:val="16"/>
          <w:szCs w:val="16"/>
        </w:rPr>
        <w:t xml:space="preserve"> </w:t>
      </w:r>
      <w:r w:rsidRPr="005800D0">
        <w:rPr>
          <w:rFonts w:ascii="Verdana" w:hAnsi="Verdana"/>
          <w:sz w:val="16"/>
          <w:szCs w:val="16"/>
        </w:rPr>
        <w:t>“en</w:t>
      </w:r>
      <w:r w:rsidRPr="005800D0">
        <w:rPr>
          <w:rFonts w:ascii="Verdana" w:hAnsi="Verdana"/>
          <w:spacing w:val="-5"/>
          <w:sz w:val="16"/>
          <w:szCs w:val="16"/>
        </w:rPr>
        <w:t xml:space="preserve"> </w:t>
      </w:r>
      <w:r w:rsidRPr="005800D0">
        <w:rPr>
          <w:rFonts w:ascii="Verdana" w:hAnsi="Verdana"/>
          <w:sz w:val="16"/>
          <w:szCs w:val="16"/>
        </w:rPr>
        <w:t>los</w:t>
      </w:r>
      <w:r w:rsidRPr="005800D0">
        <w:rPr>
          <w:rFonts w:ascii="Verdana" w:hAnsi="Verdana"/>
          <w:spacing w:val="-2"/>
          <w:sz w:val="16"/>
          <w:szCs w:val="16"/>
        </w:rPr>
        <w:t xml:space="preserve"> </w:t>
      </w:r>
      <w:r w:rsidRPr="005800D0">
        <w:rPr>
          <w:rFonts w:ascii="Verdana" w:hAnsi="Verdana"/>
          <w:sz w:val="16"/>
          <w:szCs w:val="16"/>
        </w:rPr>
        <w:t>contratos</w:t>
      </w:r>
      <w:r w:rsidRPr="005800D0">
        <w:rPr>
          <w:rFonts w:ascii="Verdana" w:hAnsi="Verdana"/>
          <w:spacing w:val="-2"/>
          <w:sz w:val="16"/>
          <w:szCs w:val="16"/>
        </w:rPr>
        <w:t xml:space="preserve"> </w:t>
      </w:r>
      <w:r w:rsidRPr="005800D0">
        <w:rPr>
          <w:rFonts w:ascii="Verdana" w:hAnsi="Verdana"/>
          <w:sz w:val="16"/>
          <w:szCs w:val="16"/>
        </w:rPr>
        <w:t>que</w:t>
      </w:r>
      <w:r w:rsidRPr="005800D0">
        <w:rPr>
          <w:rFonts w:ascii="Verdana" w:hAnsi="Verdana"/>
          <w:spacing w:val="-3"/>
          <w:sz w:val="16"/>
          <w:szCs w:val="16"/>
        </w:rPr>
        <w:t xml:space="preserve"> </w:t>
      </w:r>
      <w:r w:rsidRPr="005800D0">
        <w:rPr>
          <w:rFonts w:ascii="Verdana" w:hAnsi="Verdana"/>
          <w:sz w:val="16"/>
          <w:szCs w:val="16"/>
        </w:rPr>
        <w:t>tengan</w:t>
      </w:r>
      <w:r w:rsidRPr="005800D0">
        <w:rPr>
          <w:rFonts w:ascii="Verdana" w:hAnsi="Verdana"/>
          <w:spacing w:val="-4"/>
          <w:sz w:val="16"/>
          <w:szCs w:val="16"/>
        </w:rPr>
        <w:t xml:space="preserve"> </w:t>
      </w:r>
      <w:r w:rsidRPr="005800D0">
        <w:rPr>
          <w:rFonts w:ascii="Verdana" w:hAnsi="Verdana"/>
          <w:sz w:val="16"/>
          <w:szCs w:val="16"/>
        </w:rPr>
        <w:t>por objeto</w:t>
      </w:r>
      <w:r w:rsidRPr="005800D0">
        <w:rPr>
          <w:rFonts w:ascii="Verdana" w:hAnsi="Verdana"/>
          <w:spacing w:val="-1"/>
          <w:sz w:val="16"/>
          <w:szCs w:val="16"/>
        </w:rPr>
        <w:t xml:space="preserve"> </w:t>
      </w:r>
      <w:r w:rsidRPr="005800D0">
        <w:rPr>
          <w:rFonts w:ascii="Verdana" w:hAnsi="Verdana"/>
          <w:sz w:val="16"/>
          <w:szCs w:val="16"/>
        </w:rPr>
        <w:t>actividades comerciales o</w:t>
      </w:r>
      <w:r w:rsidRPr="005800D0">
        <w:rPr>
          <w:rFonts w:ascii="Verdana" w:hAnsi="Verdana"/>
          <w:spacing w:val="-1"/>
          <w:sz w:val="16"/>
          <w:szCs w:val="16"/>
        </w:rPr>
        <w:t xml:space="preserve"> </w:t>
      </w:r>
      <w:r w:rsidRPr="005800D0">
        <w:rPr>
          <w:rFonts w:ascii="Verdana" w:hAnsi="Verdana"/>
          <w:sz w:val="16"/>
          <w:szCs w:val="16"/>
        </w:rPr>
        <w:t>industriales de las entidades</w:t>
      </w:r>
      <w:r w:rsidRPr="005800D0">
        <w:rPr>
          <w:rFonts w:ascii="Verdana" w:hAnsi="Verdana"/>
          <w:spacing w:val="-3"/>
          <w:sz w:val="16"/>
          <w:szCs w:val="16"/>
        </w:rPr>
        <w:t xml:space="preserve"> </w:t>
      </w:r>
      <w:r w:rsidRPr="005800D0">
        <w:rPr>
          <w:rFonts w:ascii="Verdana" w:hAnsi="Verdana"/>
          <w:sz w:val="16"/>
          <w:szCs w:val="16"/>
        </w:rPr>
        <w:t>estatales que no</w:t>
      </w:r>
      <w:r w:rsidRPr="005800D0">
        <w:rPr>
          <w:rFonts w:ascii="Verdana" w:hAnsi="Verdana"/>
          <w:spacing w:val="-1"/>
          <w:sz w:val="16"/>
          <w:szCs w:val="16"/>
        </w:rPr>
        <w:t xml:space="preserve"> </w:t>
      </w:r>
      <w:r w:rsidRPr="005800D0">
        <w:rPr>
          <w:rFonts w:ascii="Verdana" w:hAnsi="Verdana"/>
          <w:sz w:val="16"/>
          <w:szCs w:val="16"/>
        </w:rPr>
        <w:t xml:space="preserve">correspondan a las señaladas en el numeral 2º de este artículo (…) se prescindirá de la utilización de las cláusulas o estipulaciones </w:t>
      </w:r>
      <w:r w:rsidRPr="005800D0">
        <w:rPr>
          <w:rFonts w:ascii="Verdana" w:hAnsi="Verdana"/>
          <w:spacing w:val="-2"/>
          <w:sz w:val="16"/>
          <w:szCs w:val="16"/>
        </w:rPr>
        <w:t>excepcionales”.</w:t>
      </w:r>
    </w:p>
    <w:p w14:paraId="7BBA4E1E" w14:textId="77777777" w:rsidR="002C0013" w:rsidRPr="005800D0" w:rsidRDefault="002C0013" w:rsidP="002C0013">
      <w:pPr>
        <w:spacing w:after="0" w:line="240" w:lineRule="auto"/>
        <w:ind w:right="49" w:firstLine="709"/>
        <w:contextualSpacing/>
        <w:jc w:val="both"/>
        <w:rPr>
          <w:rFonts w:ascii="Verdana" w:hAnsi="Verdana"/>
          <w:sz w:val="16"/>
          <w:szCs w:val="16"/>
        </w:rPr>
      </w:pPr>
    </w:p>
  </w:footnote>
  <w:footnote w:id="20">
    <w:p w14:paraId="3553C6A4" w14:textId="77777777" w:rsidR="002C0013" w:rsidRDefault="002C0013" w:rsidP="002C0013">
      <w:pPr>
        <w:tabs>
          <w:tab w:val="left" w:pos="142"/>
          <w:tab w:val="left" w:pos="8789"/>
        </w:tabs>
        <w:spacing w:after="0" w:line="240" w:lineRule="auto"/>
        <w:ind w:right="49" w:firstLine="709"/>
        <w:contextualSpacing/>
        <w:jc w:val="both"/>
        <w:rPr>
          <w:rFonts w:ascii="Verdana" w:hAnsi="Verdana"/>
          <w:sz w:val="16"/>
          <w:szCs w:val="16"/>
        </w:rPr>
      </w:pPr>
      <w:r w:rsidRPr="005800D0">
        <w:rPr>
          <w:rStyle w:val="Refdenotaalpie"/>
          <w:rFonts w:ascii="Verdana" w:hAnsi="Verdana"/>
          <w:sz w:val="16"/>
          <w:szCs w:val="16"/>
        </w:rPr>
        <w:footnoteRef/>
      </w:r>
      <w:r w:rsidRPr="005800D0">
        <w:rPr>
          <w:rFonts w:ascii="Verdana" w:hAnsi="Verdana"/>
          <w:sz w:val="16"/>
          <w:szCs w:val="16"/>
        </w:rPr>
        <w:t xml:space="preserve"> </w:t>
      </w:r>
      <w:bookmarkStart w:id="17" w:name="_Hlk199860326"/>
      <w:r w:rsidRPr="005800D0">
        <w:rPr>
          <w:rFonts w:ascii="Verdana" w:hAnsi="Verdana"/>
          <w:sz w:val="16"/>
          <w:szCs w:val="16"/>
        </w:rPr>
        <w:t>Sin perjuicio</w:t>
      </w:r>
      <w:r w:rsidRPr="005800D0">
        <w:rPr>
          <w:rFonts w:ascii="Verdana" w:hAnsi="Verdana"/>
          <w:spacing w:val="-1"/>
          <w:sz w:val="16"/>
          <w:szCs w:val="16"/>
        </w:rPr>
        <w:t xml:space="preserve"> </w:t>
      </w:r>
      <w:r w:rsidRPr="005800D0">
        <w:rPr>
          <w:rFonts w:ascii="Verdana" w:hAnsi="Verdana"/>
          <w:sz w:val="16"/>
          <w:szCs w:val="16"/>
        </w:rPr>
        <w:t>de la regla indicada, es importante</w:t>
      </w:r>
      <w:r w:rsidRPr="005800D0">
        <w:rPr>
          <w:rFonts w:ascii="Verdana" w:hAnsi="Verdana"/>
          <w:spacing w:val="-4"/>
          <w:sz w:val="16"/>
          <w:szCs w:val="16"/>
        </w:rPr>
        <w:t xml:space="preserve"> </w:t>
      </w:r>
      <w:r w:rsidRPr="005800D0">
        <w:rPr>
          <w:rFonts w:ascii="Verdana" w:hAnsi="Verdana"/>
          <w:sz w:val="16"/>
          <w:szCs w:val="16"/>
        </w:rPr>
        <w:t>señalar que el literal</w:t>
      </w:r>
      <w:r w:rsidRPr="005800D0">
        <w:rPr>
          <w:rFonts w:ascii="Verdana" w:hAnsi="Verdana"/>
          <w:spacing w:val="-3"/>
          <w:sz w:val="16"/>
          <w:szCs w:val="16"/>
        </w:rPr>
        <w:t xml:space="preserve"> </w:t>
      </w:r>
      <w:r w:rsidRPr="005800D0">
        <w:rPr>
          <w:rFonts w:ascii="Verdana" w:hAnsi="Verdana"/>
          <w:sz w:val="16"/>
          <w:szCs w:val="16"/>
        </w:rPr>
        <w:t>g, numeral 2, artículo</w:t>
      </w:r>
      <w:r w:rsidRPr="005800D0">
        <w:rPr>
          <w:rFonts w:ascii="Verdana" w:hAnsi="Verdana"/>
          <w:spacing w:val="-1"/>
          <w:sz w:val="16"/>
          <w:szCs w:val="16"/>
        </w:rPr>
        <w:t xml:space="preserve"> </w:t>
      </w:r>
      <w:r w:rsidRPr="005800D0">
        <w:rPr>
          <w:rFonts w:ascii="Verdana" w:hAnsi="Verdana"/>
          <w:sz w:val="16"/>
          <w:szCs w:val="16"/>
        </w:rPr>
        <w:t>2</w:t>
      </w:r>
      <w:r w:rsidRPr="005800D0">
        <w:rPr>
          <w:rFonts w:ascii="Verdana" w:hAnsi="Verdana"/>
          <w:spacing w:val="-1"/>
          <w:sz w:val="16"/>
          <w:szCs w:val="16"/>
        </w:rPr>
        <w:t xml:space="preserve"> </w:t>
      </w:r>
      <w:r w:rsidRPr="005800D0">
        <w:rPr>
          <w:rFonts w:ascii="Verdana" w:hAnsi="Verdana"/>
          <w:sz w:val="16"/>
          <w:szCs w:val="16"/>
        </w:rPr>
        <w:t>de la Ley 1150 de 2007, prevé como causal de selección abreviada: “Los actos y contratos que tengan por objeto directo</w:t>
      </w:r>
      <w:r w:rsidRPr="005800D0">
        <w:rPr>
          <w:rFonts w:ascii="Verdana" w:hAnsi="Verdana"/>
          <w:spacing w:val="-10"/>
          <w:sz w:val="16"/>
          <w:szCs w:val="16"/>
        </w:rPr>
        <w:t xml:space="preserve"> </w:t>
      </w:r>
      <w:r w:rsidRPr="005800D0">
        <w:rPr>
          <w:rFonts w:ascii="Verdana" w:hAnsi="Verdana"/>
          <w:sz w:val="16"/>
          <w:szCs w:val="16"/>
        </w:rPr>
        <w:t>las</w:t>
      </w:r>
      <w:r w:rsidRPr="005800D0">
        <w:rPr>
          <w:rFonts w:ascii="Verdana" w:hAnsi="Verdana"/>
          <w:spacing w:val="-7"/>
          <w:sz w:val="16"/>
          <w:szCs w:val="16"/>
        </w:rPr>
        <w:t xml:space="preserve"> </w:t>
      </w:r>
      <w:r w:rsidRPr="005800D0">
        <w:rPr>
          <w:rFonts w:ascii="Verdana" w:hAnsi="Verdana"/>
          <w:sz w:val="16"/>
          <w:szCs w:val="16"/>
        </w:rPr>
        <w:t>actividades</w:t>
      </w:r>
      <w:r w:rsidRPr="005800D0">
        <w:rPr>
          <w:rFonts w:ascii="Verdana" w:hAnsi="Verdana"/>
          <w:spacing w:val="-7"/>
          <w:sz w:val="16"/>
          <w:szCs w:val="16"/>
        </w:rPr>
        <w:t xml:space="preserve"> </w:t>
      </w:r>
      <w:r w:rsidRPr="005800D0">
        <w:rPr>
          <w:rFonts w:ascii="Verdana" w:hAnsi="Verdana"/>
          <w:sz w:val="16"/>
          <w:szCs w:val="16"/>
        </w:rPr>
        <w:t>comerciales</w:t>
      </w:r>
      <w:r w:rsidRPr="005800D0">
        <w:rPr>
          <w:rFonts w:ascii="Verdana" w:hAnsi="Verdana"/>
          <w:spacing w:val="-7"/>
          <w:sz w:val="16"/>
          <w:szCs w:val="16"/>
        </w:rPr>
        <w:t xml:space="preserve"> </w:t>
      </w:r>
      <w:r w:rsidRPr="005800D0">
        <w:rPr>
          <w:rFonts w:ascii="Verdana" w:hAnsi="Verdana"/>
          <w:sz w:val="16"/>
          <w:szCs w:val="16"/>
        </w:rPr>
        <w:t>e</w:t>
      </w:r>
      <w:r w:rsidRPr="005800D0">
        <w:rPr>
          <w:rFonts w:ascii="Verdana" w:hAnsi="Verdana"/>
          <w:spacing w:val="-8"/>
          <w:sz w:val="16"/>
          <w:szCs w:val="16"/>
        </w:rPr>
        <w:t xml:space="preserve"> </w:t>
      </w:r>
      <w:r w:rsidRPr="005800D0">
        <w:rPr>
          <w:rFonts w:ascii="Verdana" w:hAnsi="Verdana"/>
          <w:sz w:val="16"/>
          <w:szCs w:val="16"/>
        </w:rPr>
        <w:t>industriales</w:t>
      </w:r>
      <w:r w:rsidRPr="005800D0">
        <w:rPr>
          <w:rFonts w:ascii="Verdana" w:hAnsi="Verdana"/>
          <w:spacing w:val="-7"/>
          <w:sz w:val="16"/>
          <w:szCs w:val="16"/>
        </w:rPr>
        <w:t xml:space="preserve"> </w:t>
      </w:r>
      <w:r w:rsidRPr="005800D0">
        <w:rPr>
          <w:rFonts w:ascii="Verdana" w:hAnsi="Verdana"/>
          <w:sz w:val="16"/>
          <w:szCs w:val="16"/>
        </w:rPr>
        <w:t>propias</w:t>
      </w:r>
      <w:r w:rsidRPr="005800D0">
        <w:rPr>
          <w:rFonts w:ascii="Verdana" w:hAnsi="Verdana"/>
          <w:spacing w:val="-7"/>
          <w:sz w:val="16"/>
          <w:szCs w:val="16"/>
        </w:rPr>
        <w:t xml:space="preserve"> </w:t>
      </w:r>
      <w:r w:rsidRPr="005800D0">
        <w:rPr>
          <w:rFonts w:ascii="Verdana" w:hAnsi="Verdana"/>
          <w:sz w:val="16"/>
          <w:szCs w:val="16"/>
        </w:rPr>
        <w:t>de</w:t>
      </w:r>
      <w:r w:rsidRPr="005800D0">
        <w:rPr>
          <w:rFonts w:ascii="Verdana" w:hAnsi="Verdana"/>
          <w:spacing w:val="-8"/>
          <w:sz w:val="16"/>
          <w:szCs w:val="16"/>
        </w:rPr>
        <w:t xml:space="preserve"> </w:t>
      </w:r>
      <w:r w:rsidRPr="005800D0">
        <w:rPr>
          <w:rFonts w:ascii="Verdana" w:hAnsi="Verdana"/>
          <w:sz w:val="16"/>
          <w:szCs w:val="16"/>
        </w:rPr>
        <w:t>las</w:t>
      </w:r>
      <w:r w:rsidRPr="005800D0">
        <w:rPr>
          <w:rFonts w:ascii="Verdana" w:hAnsi="Verdana"/>
          <w:spacing w:val="-7"/>
          <w:sz w:val="16"/>
          <w:szCs w:val="16"/>
        </w:rPr>
        <w:t xml:space="preserve"> </w:t>
      </w:r>
      <w:r w:rsidRPr="005800D0">
        <w:rPr>
          <w:rFonts w:ascii="Verdana" w:hAnsi="Verdana"/>
          <w:sz w:val="16"/>
          <w:szCs w:val="16"/>
        </w:rPr>
        <w:t>Empresas</w:t>
      </w:r>
      <w:r w:rsidRPr="005800D0">
        <w:rPr>
          <w:rFonts w:ascii="Verdana" w:hAnsi="Verdana"/>
          <w:spacing w:val="-7"/>
          <w:sz w:val="16"/>
          <w:szCs w:val="16"/>
        </w:rPr>
        <w:t xml:space="preserve"> </w:t>
      </w:r>
      <w:r w:rsidRPr="005800D0">
        <w:rPr>
          <w:rFonts w:ascii="Verdana" w:hAnsi="Verdana"/>
          <w:sz w:val="16"/>
          <w:szCs w:val="16"/>
        </w:rPr>
        <w:t>Industriales</w:t>
      </w:r>
      <w:r w:rsidRPr="005800D0">
        <w:rPr>
          <w:rFonts w:ascii="Verdana" w:hAnsi="Verdana"/>
          <w:spacing w:val="-7"/>
          <w:sz w:val="16"/>
          <w:szCs w:val="16"/>
        </w:rPr>
        <w:t xml:space="preserve"> </w:t>
      </w:r>
      <w:r w:rsidRPr="005800D0">
        <w:rPr>
          <w:rFonts w:ascii="Verdana" w:hAnsi="Verdana"/>
          <w:sz w:val="16"/>
          <w:szCs w:val="16"/>
        </w:rPr>
        <w:t>y</w:t>
      </w:r>
      <w:r w:rsidRPr="005800D0">
        <w:rPr>
          <w:rFonts w:ascii="Verdana" w:hAnsi="Verdana"/>
          <w:spacing w:val="-8"/>
          <w:sz w:val="16"/>
          <w:szCs w:val="16"/>
        </w:rPr>
        <w:t xml:space="preserve"> </w:t>
      </w:r>
      <w:r w:rsidRPr="005800D0">
        <w:rPr>
          <w:rFonts w:ascii="Verdana" w:hAnsi="Verdana"/>
          <w:sz w:val="16"/>
          <w:szCs w:val="16"/>
        </w:rPr>
        <w:t>Comerciales</w:t>
      </w:r>
      <w:r w:rsidRPr="005800D0">
        <w:rPr>
          <w:rFonts w:ascii="Verdana" w:hAnsi="Verdana"/>
          <w:spacing w:val="-7"/>
          <w:sz w:val="16"/>
          <w:szCs w:val="16"/>
        </w:rPr>
        <w:t xml:space="preserve"> </w:t>
      </w:r>
      <w:r w:rsidRPr="005800D0">
        <w:rPr>
          <w:rFonts w:ascii="Verdana" w:hAnsi="Verdana"/>
          <w:sz w:val="16"/>
          <w:szCs w:val="16"/>
        </w:rPr>
        <w:t>Estatales y de las Sociedades de Economía Mixta, con excepción de los contratos que a título enunciativo identifica el artículo</w:t>
      </w:r>
      <w:r w:rsidRPr="005800D0">
        <w:rPr>
          <w:rFonts w:ascii="Verdana" w:hAnsi="Verdana"/>
          <w:spacing w:val="-15"/>
          <w:sz w:val="16"/>
          <w:szCs w:val="16"/>
        </w:rPr>
        <w:t xml:space="preserve"> </w:t>
      </w:r>
      <w:r w:rsidRPr="005800D0">
        <w:rPr>
          <w:rFonts w:ascii="Verdana" w:hAnsi="Verdana"/>
          <w:sz w:val="16"/>
          <w:szCs w:val="16"/>
        </w:rPr>
        <w:t>32</w:t>
      </w:r>
      <w:r w:rsidRPr="005800D0">
        <w:rPr>
          <w:rFonts w:ascii="Verdana" w:hAnsi="Verdana"/>
          <w:spacing w:val="-14"/>
          <w:sz w:val="16"/>
          <w:szCs w:val="16"/>
        </w:rPr>
        <w:t xml:space="preserve"> </w:t>
      </w:r>
      <w:r w:rsidRPr="005800D0">
        <w:rPr>
          <w:rFonts w:ascii="Verdana" w:hAnsi="Verdana"/>
          <w:sz w:val="16"/>
          <w:szCs w:val="16"/>
        </w:rPr>
        <w:t>de</w:t>
      </w:r>
      <w:r w:rsidRPr="005800D0">
        <w:rPr>
          <w:rFonts w:ascii="Verdana" w:hAnsi="Verdana"/>
          <w:spacing w:val="-14"/>
          <w:sz w:val="16"/>
          <w:szCs w:val="16"/>
        </w:rPr>
        <w:t xml:space="preserve"> </w:t>
      </w:r>
      <w:r w:rsidRPr="005800D0">
        <w:rPr>
          <w:rFonts w:ascii="Verdana" w:hAnsi="Verdana"/>
          <w:sz w:val="16"/>
          <w:szCs w:val="16"/>
        </w:rPr>
        <w:t>la</w:t>
      </w:r>
      <w:r w:rsidRPr="005800D0">
        <w:rPr>
          <w:rFonts w:ascii="Verdana" w:hAnsi="Verdana"/>
          <w:spacing w:val="-14"/>
          <w:sz w:val="16"/>
          <w:szCs w:val="16"/>
        </w:rPr>
        <w:t xml:space="preserve"> </w:t>
      </w:r>
      <w:r w:rsidRPr="005800D0">
        <w:rPr>
          <w:rFonts w:ascii="Verdana" w:hAnsi="Verdana"/>
          <w:sz w:val="16"/>
          <w:szCs w:val="16"/>
        </w:rPr>
        <w:t>Ley</w:t>
      </w:r>
      <w:r w:rsidRPr="005800D0">
        <w:rPr>
          <w:rFonts w:ascii="Verdana" w:hAnsi="Verdana"/>
          <w:spacing w:val="-14"/>
          <w:sz w:val="16"/>
          <w:szCs w:val="16"/>
        </w:rPr>
        <w:t xml:space="preserve"> </w:t>
      </w:r>
      <w:r w:rsidRPr="005800D0">
        <w:rPr>
          <w:rFonts w:ascii="Verdana" w:hAnsi="Verdana"/>
          <w:sz w:val="16"/>
          <w:szCs w:val="16"/>
        </w:rPr>
        <w:t>80</w:t>
      </w:r>
      <w:r w:rsidRPr="005800D0">
        <w:rPr>
          <w:rFonts w:ascii="Verdana" w:hAnsi="Verdana"/>
          <w:spacing w:val="-14"/>
          <w:sz w:val="16"/>
          <w:szCs w:val="16"/>
        </w:rPr>
        <w:t xml:space="preserve"> </w:t>
      </w:r>
      <w:r w:rsidRPr="005800D0">
        <w:rPr>
          <w:rFonts w:ascii="Verdana" w:hAnsi="Verdana"/>
          <w:sz w:val="16"/>
          <w:szCs w:val="16"/>
        </w:rPr>
        <w:t>de</w:t>
      </w:r>
      <w:r w:rsidRPr="005800D0">
        <w:rPr>
          <w:rFonts w:ascii="Verdana" w:hAnsi="Verdana"/>
          <w:spacing w:val="-14"/>
          <w:sz w:val="16"/>
          <w:szCs w:val="16"/>
        </w:rPr>
        <w:t xml:space="preserve"> </w:t>
      </w:r>
      <w:r w:rsidRPr="005800D0">
        <w:rPr>
          <w:rFonts w:ascii="Verdana" w:hAnsi="Verdana"/>
          <w:sz w:val="16"/>
          <w:szCs w:val="16"/>
        </w:rPr>
        <w:t>1993</w:t>
      </w:r>
      <w:r w:rsidRPr="005800D0">
        <w:rPr>
          <w:rFonts w:ascii="Verdana" w:hAnsi="Verdana"/>
          <w:spacing w:val="-14"/>
          <w:sz w:val="16"/>
          <w:szCs w:val="16"/>
        </w:rPr>
        <w:t xml:space="preserve"> </w:t>
      </w:r>
      <w:r w:rsidRPr="005800D0">
        <w:rPr>
          <w:rFonts w:ascii="Verdana" w:hAnsi="Verdana"/>
          <w:sz w:val="16"/>
          <w:szCs w:val="16"/>
        </w:rPr>
        <w:t>[obra,</w:t>
      </w:r>
      <w:r w:rsidRPr="005800D0">
        <w:rPr>
          <w:rFonts w:ascii="Verdana" w:hAnsi="Verdana"/>
          <w:spacing w:val="-14"/>
          <w:sz w:val="16"/>
          <w:szCs w:val="16"/>
        </w:rPr>
        <w:t xml:space="preserve"> </w:t>
      </w:r>
      <w:r w:rsidRPr="005800D0">
        <w:rPr>
          <w:rFonts w:ascii="Verdana" w:hAnsi="Verdana"/>
          <w:sz w:val="16"/>
          <w:szCs w:val="16"/>
        </w:rPr>
        <w:t>concesión,</w:t>
      </w:r>
      <w:r w:rsidRPr="005800D0">
        <w:rPr>
          <w:rFonts w:ascii="Verdana" w:hAnsi="Verdana"/>
          <w:spacing w:val="-14"/>
          <w:sz w:val="16"/>
          <w:szCs w:val="16"/>
        </w:rPr>
        <w:t xml:space="preserve"> </w:t>
      </w:r>
      <w:r w:rsidRPr="005800D0">
        <w:rPr>
          <w:rFonts w:ascii="Verdana" w:hAnsi="Verdana"/>
          <w:sz w:val="16"/>
          <w:szCs w:val="16"/>
        </w:rPr>
        <w:t>prestación</w:t>
      </w:r>
      <w:r w:rsidRPr="005800D0">
        <w:rPr>
          <w:rFonts w:ascii="Verdana" w:hAnsi="Verdana"/>
          <w:spacing w:val="-14"/>
          <w:sz w:val="16"/>
          <w:szCs w:val="16"/>
        </w:rPr>
        <w:t xml:space="preserve"> </w:t>
      </w:r>
      <w:r w:rsidRPr="005800D0">
        <w:rPr>
          <w:rFonts w:ascii="Verdana" w:hAnsi="Verdana"/>
          <w:sz w:val="16"/>
          <w:szCs w:val="16"/>
        </w:rPr>
        <w:t>de</w:t>
      </w:r>
      <w:r w:rsidRPr="005800D0">
        <w:rPr>
          <w:rFonts w:ascii="Verdana" w:hAnsi="Verdana"/>
          <w:spacing w:val="-14"/>
          <w:sz w:val="16"/>
          <w:szCs w:val="16"/>
        </w:rPr>
        <w:t xml:space="preserve"> </w:t>
      </w:r>
      <w:r w:rsidRPr="005800D0">
        <w:rPr>
          <w:rFonts w:ascii="Verdana" w:hAnsi="Verdana"/>
          <w:sz w:val="16"/>
          <w:szCs w:val="16"/>
        </w:rPr>
        <w:t>servicios,</w:t>
      </w:r>
      <w:r w:rsidRPr="005800D0">
        <w:rPr>
          <w:rFonts w:ascii="Verdana" w:hAnsi="Verdana"/>
          <w:spacing w:val="-14"/>
          <w:sz w:val="16"/>
          <w:szCs w:val="16"/>
        </w:rPr>
        <w:t xml:space="preserve"> </w:t>
      </w:r>
      <w:r w:rsidRPr="005800D0">
        <w:rPr>
          <w:rFonts w:ascii="Verdana" w:hAnsi="Verdana"/>
          <w:sz w:val="16"/>
          <w:szCs w:val="16"/>
        </w:rPr>
        <w:t>consultoría,</w:t>
      </w:r>
      <w:r w:rsidRPr="005800D0">
        <w:rPr>
          <w:rFonts w:ascii="Verdana" w:hAnsi="Verdana"/>
          <w:spacing w:val="-14"/>
          <w:sz w:val="16"/>
          <w:szCs w:val="16"/>
        </w:rPr>
        <w:t xml:space="preserve"> </w:t>
      </w:r>
      <w:r w:rsidRPr="005800D0">
        <w:rPr>
          <w:rFonts w:ascii="Verdana" w:hAnsi="Verdana"/>
          <w:sz w:val="16"/>
          <w:szCs w:val="16"/>
        </w:rPr>
        <w:t>fiducia</w:t>
      </w:r>
      <w:r w:rsidRPr="005800D0">
        <w:rPr>
          <w:rFonts w:ascii="Verdana" w:hAnsi="Verdana"/>
          <w:spacing w:val="-14"/>
          <w:sz w:val="16"/>
          <w:szCs w:val="16"/>
        </w:rPr>
        <w:t xml:space="preserve"> </w:t>
      </w:r>
      <w:r w:rsidRPr="005800D0">
        <w:rPr>
          <w:rFonts w:ascii="Verdana" w:hAnsi="Verdana"/>
          <w:sz w:val="16"/>
          <w:szCs w:val="16"/>
        </w:rPr>
        <w:t>pública]”.</w:t>
      </w:r>
      <w:r w:rsidRPr="005800D0">
        <w:rPr>
          <w:rFonts w:ascii="Verdana" w:hAnsi="Verdana"/>
          <w:spacing w:val="-15"/>
          <w:sz w:val="16"/>
          <w:szCs w:val="16"/>
        </w:rPr>
        <w:t xml:space="preserve"> </w:t>
      </w:r>
      <w:r w:rsidRPr="005800D0">
        <w:rPr>
          <w:rFonts w:ascii="Verdana" w:hAnsi="Verdana"/>
          <w:sz w:val="16"/>
          <w:szCs w:val="16"/>
        </w:rPr>
        <w:t>g)</w:t>
      </w:r>
      <w:r w:rsidRPr="005800D0">
        <w:rPr>
          <w:rFonts w:ascii="Verdana" w:hAnsi="Verdana"/>
          <w:spacing w:val="23"/>
          <w:sz w:val="16"/>
          <w:szCs w:val="16"/>
        </w:rPr>
        <w:t xml:space="preserve"> </w:t>
      </w:r>
      <w:r w:rsidRPr="005800D0">
        <w:rPr>
          <w:rFonts w:ascii="Verdana" w:hAnsi="Verdana"/>
          <w:sz w:val="16"/>
          <w:szCs w:val="16"/>
        </w:rPr>
        <w:t>Los actos y contratos que tengan por objeto directo las actividades comerciales e industriales propias de las Empresas Industriales y Comerciales Estatales y de las Sociedades de Economía Mixta, con excepción de los contratos</w:t>
      </w:r>
      <w:r w:rsidRPr="005800D0">
        <w:rPr>
          <w:rFonts w:ascii="Verdana" w:hAnsi="Verdana"/>
          <w:spacing w:val="-6"/>
          <w:sz w:val="16"/>
          <w:szCs w:val="16"/>
        </w:rPr>
        <w:t xml:space="preserve"> </w:t>
      </w:r>
      <w:r w:rsidRPr="005800D0">
        <w:rPr>
          <w:rFonts w:ascii="Verdana" w:hAnsi="Verdana"/>
          <w:sz w:val="16"/>
          <w:szCs w:val="16"/>
        </w:rPr>
        <w:t>que</w:t>
      </w:r>
      <w:r w:rsidRPr="005800D0">
        <w:rPr>
          <w:rFonts w:ascii="Verdana" w:hAnsi="Verdana"/>
          <w:spacing w:val="-7"/>
          <w:sz w:val="16"/>
          <w:szCs w:val="16"/>
        </w:rPr>
        <w:t xml:space="preserve"> </w:t>
      </w:r>
      <w:r w:rsidRPr="005800D0">
        <w:rPr>
          <w:rFonts w:ascii="Verdana" w:hAnsi="Verdana"/>
          <w:sz w:val="16"/>
          <w:szCs w:val="16"/>
        </w:rPr>
        <w:t>a</w:t>
      </w:r>
      <w:r w:rsidRPr="005800D0">
        <w:rPr>
          <w:rFonts w:ascii="Verdana" w:hAnsi="Verdana"/>
          <w:spacing w:val="-3"/>
          <w:sz w:val="16"/>
          <w:szCs w:val="16"/>
        </w:rPr>
        <w:t xml:space="preserve"> </w:t>
      </w:r>
      <w:r w:rsidRPr="005800D0">
        <w:rPr>
          <w:rFonts w:ascii="Verdana" w:hAnsi="Verdana"/>
          <w:sz w:val="16"/>
          <w:szCs w:val="16"/>
        </w:rPr>
        <w:t>título</w:t>
      </w:r>
      <w:r w:rsidRPr="005800D0">
        <w:rPr>
          <w:rFonts w:ascii="Verdana" w:hAnsi="Verdana"/>
          <w:spacing w:val="-9"/>
          <w:sz w:val="16"/>
          <w:szCs w:val="16"/>
        </w:rPr>
        <w:t xml:space="preserve"> </w:t>
      </w:r>
      <w:r w:rsidRPr="005800D0">
        <w:rPr>
          <w:rFonts w:ascii="Verdana" w:hAnsi="Verdana"/>
          <w:sz w:val="16"/>
          <w:szCs w:val="16"/>
        </w:rPr>
        <w:t>enunciativo</w:t>
      </w:r>
      <w:r w:rsidRPr="005800D0">
        <w:rPr>
          <w:rFonts w:ascii="Verdana" w:hAnsi="Verdana"/>
          <w:spacing w:val="-9"/>
          <w:sz w:val="16"/>
          <w:szCs w:val="16"/>
        </w:rPr>
        <w:t xml:space="preserve"> </w:t>
      </w:r>
      <w:r w:rsidRPr="005800D0">
        <w:rPr>
          <w:rFonts w:ascii="Verdana" w:hAnsi="Verdana"/>
          <w:sz w:val="16"/>
          <w:szCs w:val="16"/>
        </w:rPr>
        <w:t>identifica</w:t>
      </w:r>
      <w:r w:rsidRPr="005800D0">
        <w:rPr>
          <w:rFonts w:ascii="Verdana" w:hAnsi="Verdana"/>
          <w:spacing w:val="-8"/>
          <w:sz w:val="16"/>
          <w:szCs w:val="16"/>
        </w:rPr>
        <w:t xml:space="preserve"> </w:t>
      </w:r>
      <w:r w:rsidRPr="005800D0">
        <w:rPr>
          <w:rFonts w:ascii="Verdana" w:hAnsi="Verdana"/>
          <w:sz w:val="16"/>
          <w:szCs w:val="16"/>
        </w:rPr>
        <w:t>el</w:t>
      </w:r>
      <w:r w:rsidRPr="005800D0">
        <w:rPr>
          <w:rFonts w:ascii="Verdana" w:hAnsi="Verdana"/>
          <w:spacing w:val="-1"/>
          <w:sz w:val="16"/>
          <w:szCs w:val="16"/>
        </w:rPr>
        <w:t xml:space="preserve"> </w:t>
      </w:r>
      <w:r w:rsidRPr="005800D0">
        <w:rPr>
          <w:rFonts w:ascii="Verdana" w:hAnsi="Verdana"/>
          <w:sz w:val="16"/>
          <w:szCs w:val="16"/>
        </w:rPr>
        <w:t>artículo</w:t>
      </w:r>
      <w:r w:rsidRPr="005800D0">
        <w:rPr>
          <w:rFonts w:ascii="Verdana" w:hAnsi="Verdana"/>
          <w:spacing w:val="-9"/>
          <w:sz w:val="16"/>
          <w:szCs w:val="16"/>
        </w:rPr>
        <w:t xml:space="preserve"> </w:t>
      </w:r>
      <w:r w:rsidRPr="005800D0">
        <w:rPr>
          <w:rFonts w:ascii="Verdana" w:hAnsi="Verdana"/>
          <w:sz w:val="16"/>
          <w:szCs w:val="16"/>
        </w:rPr>
        <w:t>32</w:t>
      </w:r>
      <w:r w:rsidRPr="005800D0">
        <w:rPr>
          <w:rFonts w:ascii="Verdana" w:hAnsi="Verdana"/>
          <w:spacing w:val="-4"/>
          <w:sz w:val="16"/>
          <w:szCs w:val="16"/>
        </w:rPr>
        <w:t xml:space="preserve"> </w:t>
      </w:r>
      <w:r w:rsidRPr="005800D0">
        <w:rPr>
          <w:rFonts w:ascii="Verdana" w:hAnsi="Verdana"/>
          <w:sz w:val="16"/>
          <w:szCs w:val="16"/>
        </w:rPr>
        <w:t>de</w:t>
      </w:r>
      <w:r w:rsidRPr="005800D0">
        <w:rPr>
          <w:rFonts w:ascii="Verdana" w:hAnsi="Verdana"/>
          <w:spacing w:val="-7"/>
          <w:sz w:val="16"/>
          <w:szCs w:val="16"/>
        </w:rPr>
        <w:t xml:space="preserve"> </w:t>
      </w:r>
      <w:r w:rsidRPr="005800D0">
        <w:rPr>
          <w:rFonts w:ascii="Verdana" w:hAnsi="Verdana"/>
          <w:sz w:val="16"/>
          <w:szCs w:val="16"/>
        </w:rPr>
        <w:t>la Ley</w:t>
      </w:r>
      <w:r w:rsidRPr="005800D0">
        <w:rPr>
          <w:rFonts w:ascii="Verdana" w:hAnsi="Verdana"/>
          <w:spacing w:val="-7"/>
          <w:sz w:val="16"/>
          <w:szCs w:val="16"/>
        </w:rPr>
        <w:t xml:space="preserve"> </w:t>
      </w:r>
      <w:r w:rsidRPr="005800D0">
        <w:rPr>
          <w:rFonts w:ascii="Verdana" w:hAnsi="Verdana"/>
          <w:sz w:val="16"/>
          <w:szCs w:val="16"/>
        </w:rPr>
        <w:t>80</w:t>
      </w:r>
      <w:r w:rsidRPr="005800D0">
        <w:rPr>
          <w:rFonts w:ascii="Verdana" w:hAnsi="Verdana"/>
          <w:spacing w:val="-4"/>
          <w:sz w:val="16"/>
          <w:szCs w:val="16"/>
        </w:rPr>
        <w:t xml:space="preserve"> </w:t>
      </w:r>
      <w:r w:rsidRPr="005800D0">
        <w:rPr>
          <w:rFonts w:ascii="Verdana" w:hAnsi="Verdana"/>
          <w:sz w:val="16"/>
          <w:szCs w:val="16"/>
        </w:rPr>
        <w:t>de</w:t>
      </w:r>
      <w:r w:rsidRPr="005800D0">
        <w:rPr>
          <w:rFonts w:ascii="Verdana" w:hAnsi="Verdana"/>
          <w:spacing w:val="-2"/>
          <w:sz w:val="16"/>
          <w:szCs w:val="16"/>
        </w:rPr>
        <w:t xml:space="preserve"> </w:t>
      </w:r>
      <w:r w:rsidRPr="005800D0">
        <w:rPr>
          <w:rFonts w:ascii="Verdana" w:hAnsi="Verdana"/>
          <w:sz w:val="16"/>
          <w:szCs w:val="16"/>
        </w:rPr>
        <w:t>1993.</w:t>
      </w:r>
      <w:bookmarkEnd w:id="17"/>
    </w:p>
    <w:p w14:paraId="69F8513A" w14:textId="77777777" w:rsidR="002C0013" w:rsidRPr="005800D0" w:rsidRDefault="002C0013" w:rsidP="002C0013">
      <w:pPr>
        <w:tabs>
          <w:tab w:val="left" w:pos="142"/>
          <w:tab w:val="left" w:pos="8789"/>
        </w:tabs>
        <w:spacing w:after="0" w:line="240" w:lineRule="auto"/>
        <w:ind w:right="49" w:firstLine="709"/>
        <w:contextualSpacing/>
        <w:jc w:val="both"/>
        <w:rPr>
          <w:rFonts w:ascii="Verdana" w:hAnsi="Verdana"/>
          <w:sz w:val="16"/>
          <w:szCs w:val="16"/>
        </w:rPr>
      </w:pPr>
    </w:p>
  </w:footnote>
  <w:footnote w:id="21">
    <w:p w14:paraId="7650FB21" w14:textId="77777777" w:rsidR="002C0013" w:rsidRDefault="002C0013" w:rsidP="002C0013">
      <w:pPr>
        <w:pStyle w:val="Textonotapie"/>
        <w:ind w:right="49" w:firstLine="709"/>
        <w:contextualSpacing/>
        <w:jc w:val="both"/>
        <w:rPr>
          <w:rFonts w:ascii="Verdana" w:hAnsi="Verdana"/>
          <w:sz w:val="16"/>
          <w:szCs w:val="16"/>
        </w:rPr>
      </w:pPr>
      <w:r w:rsidRPr="00195E24">
        <w:rPr>
          <w:rStyle w:val="Refdenotaalpie"/>
          <w:rFonts w:ascii="Verdana" w:hAnsi="Verdana"/>
          <w:sz w:val="16"/>
          <w:szCs w:val="16"/>
        </w:rPr>
        <w:footnoteRef/>
      </w:r>
      <w:r w:rsidRPr="00195E24">
        <w:rPr>
          <w:rFonts w:ascii="Verdana" w:hAnsi="Verdana"/>
          <w:sz w:val="16"/>
          <w:szCs w:val="16"/>
        </w:rPr>
        <w:t xml:space="preserve"> El artículo</w:t>
      </w:r>
      <w:r w:rsidRPr="00195E24">
        <w:rPr>
          <w:rFonts w:ascii="Verdana" w:hAnsi="Verdana"/>
          <w:spacing w:val="-2"/>
          <w:sz w:val="16"/>
          <w:szCs w:val="16"/>
        </w:rPr>
        <w:t xml:space="preserve"> </w:t>
      </w:r>
      <w:r w:rsidRPr="00195E24">
        <w:rPr>
          <w:rFonts w:ascii="Verdana" w:hAnsi="Verdana"/>
          <w:sz w:val="16"/>
          <w:szCs w:val="16"/>
        </w:rPr>
        <w:t>14</w:t>
      </w:r>
      <w:r w:rsidRPr="00195E24">
        <w:rPr>
          <w:rFonts w:ascii="Verdana" w:hAnsi="Verdana"/>
          <w:spacing w:val="-2"/>
          <w:sz w:val="16"/>
          <w:szCs w:val="16"/>
        </w:rPr>
        <w:t xml:space="preserve"> </w:t>
      </w:r>
      <w:r w:rsidRPr="00195E24">
        <w:rPr>
          <w:rFonts w:ascii="Verdana" w:hAnsi="Verdana"/>
          <w:sz w:val="16"/>
          <w:szCs w:val="16"/>
        </w:rPr>
        <w:t>original de la</w:t>
      </w:r>
      <w:r w:rsidRPr="00195E24">
        <w:rPr>
          <w:rFonts w:ascii="Verdana" w:hAnsi="Verdana"/>
          <w:spacing w:val="-1"/>
          <w:sz w:val="16"/>
          <w:szCs w:val="16"/>
        </w:rPr>
        <w:t xml:space="preserve"> </w:t>
      </w:r>
      <w:r w:rsidRPr="00195E24">
        <w:rPr>
          <w:rFonts w:ascii="Verdana" w:hAnsi="Verdana"/>
          <w:sz w:val="16"/>
          <w:szCs w:val="16"/>
        </w:rPr>
        <w:t>Ley 1150</w:t>
      </w:r>
      <w:r w:rsidRPr="00195E24">
        <w:rPr>
          <w:rFonts w:ascii="Verdana" w:hAnsi="Verdana"/>
          <w:spacing w:val="-2"/>
          <w:sz w:val="16"/>
          <w:szCs w:val="16"/>
        </w:rPr>
        <w:t xml:space="preserve"> </w:t>
      </w:r>
      <w:r w:rsidRPr="00195E24">
        <w:rPr>
          <w:rFonts w:ascii="Verdana" w:hAnsi="Verdana"/>
          <w:sz w:val="16"/>
          <w:szCs w:val="16"/>
        </w:rPr>
        <w:t>de 2007</w:t>
      </w:r>
      <w:r w:rsidRPr="00195E24">
        <w:rPr>
          <w:rFonts w:ascii="Verdana" w:hAnsi="Verdana"/>
          <w:spacing w:val="-2"/>
          <w:sz w:val="16"/>
          <w:szCs w:val="16"/>
        </w:rPr>
        <w:t xml:space="preserve"> </w:t>
      </w:r>
      <w:r w:rsidRPr="00195E24">
        <w:rPr>
          <w:rFonts w:ascii="Verdana" w:hAnsi="Verdana"/>
          <w:sz w:val="16"/>
          <w:szCs w:val="16"/>
        </w:rPr>
        <w:t>excluía</w:t>
      </w:r>
      <w:r w:rsidRPr="00195E24">
        <w:rPr>
          <w:rFonts w:ascii="Verdana" w:hAnsi="Verdana"/>
          <w:spacing w:val="-1"/>
          <w:sz w:val="16"/>
          <w:szCs w:val="16"/>
        </w:rPr>
        <w:t xml:space="preserve"> </w:t>
      </w:r>
      <w:r w:rsidRPr="00195E24">
        <w:rPr>
          <w:rFonts w:ascii="Verdana" w:hAnsi="Verdana"/>
          <w:sz w:val="16"/>
          <w:szCs w:val="16"/>
        </w:rPr>
        <w:t>además aquellas cuya</w:t>
      </w:r>
      <w:r w:rsidRPr="00195E24">
        <w:rPr>
          <w:rFonts w:ascii="Verdana" w:hAnsi="Verdana"/>
          <w:spacing w:val="-1"/>
          <w:sz w:val="16"/>
          <w:szCs w:val="16"/>
        </w:rPr>
        <w:t xml:space="preserve"> </w:t>
      </w:r>
      <w:r w:rsidRPr="00195E24">
        <w:rPr>
          <w:rFonts w:ascii="Verdana" w:hAnsi="Verdana"/>
          <w:sz w:val="16"/>
          <w:szCs w:val="16"/>
        </w:rPr>
        <w:t>actividad</w:t>
      </w:r>
      <w:r w:rsidRPr="00195E24">
        <w:rPr>
          <w:rFonts w:ascii="Verdana" w:hAnsi="Verdana"/>
          <w:spacing w:val="-5"/>
          <w:sz w:val="16"/>
          <w:szCs w:val="16"/>
        </w:rPr>
        <w:t xml:space="preserve"> </w:t>
      </w:r>
      <w:r w:rsidRPr="00195E24">
        <w:rPr>
          <w:rFonts w:ascii="Verdana" w:hAnsi="Verdana"/>
          <w:sz w:val="16"/>
          <w:szCs w:val="16"/>
        </w:rPr>
        <w:t>se realizaba en</w:t>
      </w:r>
      <w:r w:rsidRPr="00195E24">
        <w:rPr>
          <w:rFonts w:ascii="Verdana" w:hAnsi="Verdana"/>
          <w:spacing w:val="-6"/>
          <w:sz w:val="16"/>
          <w:szCs w:val="16"/>
        </w:rPr>
        <w:t xml:space="preserve"> </w:t>
      </w:r>
      <w:r w:rsidRPr="00195E24">
        <w:rPr>
          <w:rFonts w:ascii="Verdana" w:hAnsi="Verdana"/>
          <w:sz w:val="16"/>
          <w:szCs w:val="16"/>
        </w:rPr>
        <w:t>“mercados</w:t>
      </w:r>
      <w:r w:rsidRPr="00195E24">
        <w:rPr>
          <w:rFonts w:ascii="Verdana" w:hAnsi="Verdana"/>
          <w:spacing w:val="-3"/>
          <w:sz w:val="16"/>
          <w:szCs w:val="16"/>
        </w:rPr>
        <w:t xml:space="preserve"> </w:t>
      </w:r>
      <w:r w:rsidRPr="00195E24">
        <w:rPr>
          <w:rFonts w:ascii="Verdana" w:hAnsi="Verdana"/>
          <w:sz w:val="16"/>
          <w:szCs w:val="16"/>
        </w:rPr>
        <w:t>monopolísticos”,</w:t>
      </w:r>
      <w:r w:rsidRPr="00195E24">
        <w:rPr>
          <w:rFonts w:ascii="Verdana" w:hAnsi="Verdana"/>
          <w:spacing w:val="-2"/>
          <w:sz w:val="16"/>
          <w:szCs w:val="16"/>
        </w:rPr>
        <w:t xml:space="preserve"> </w:t>
      </w:r>
      <w:r w:rsidRPr="00195E24">
        <w:rPr>
          <w:rFonts w:ascii="Verdana" w:hAnsi="Verdana"/>
          <w:sz w:val="16"/>
          <w:szCs w:val="16"/>
        </w:rPr>
        <w:t>pero,</w:t>
      </w:r>
      <w:r w:rsidRPr="00195E24">
        <w:rPr>
          <w:rFonts w:ascii="Verdana" w:hAnsi="Verdana"/>
          <w:spacing w:val="-2"/>
          <w:sz w:val="16"/>
          <w:szCs w:val="16"/>
        </w:rPr>
        <w:t xml:space="preserve"> </w:t>
      </w:r>
      <w:r w:rsidRPr="00195E24">
        <w:rPr>
          <w:rFonts w:ascii="Verdana" w:hAnsi="Verdana"/>
          <w:sz w:val="16"/>
          <w:szCs w:val="16"/>
        </w:rPr>
        <w:t>con</w:t>
      </w:r>
      <w:r w:rsidRPr="00195E24">
        <w:rPr>
          <w:rFonts w:ascii="Verdana" w:hAnsi="Verdana"/>
          <w:spacing w:val="-5"/>
          <w:sz w:val="16"/>
          <w:szCs w:val="16"/>
        </w:rPr>
        <w:t xml:space="preserve"> </w:t>
      </w:r>
      <w:r w:rsidRPr="00195E24">
        <w:rPr>
          <w:rFonts w:ascii="Verdana" w:hAnsi="Verdana"/>
          <w:sz w:val="16"/>
          <w:szCs w:val="16"/>
        </w:rPr>
        <w:t>buen</w:t>
      </w:r>
      <w:r w:rsidRPr="00195E24">
        <w:rPr>
          <w:rFonts w:ascii="Verdana" w:hAnsi="Verdana"/>
          <w:spacing w:val="-6"/>
          <w:sz w:val="16"/>
          <w:szCs w:val="16"/>
        </w:rPr>
        <w:t xml:space="preserve"> </w:t>
      </w:r>
      <w:r w:rsidRPr="00195E24">
        <w:rPr>
          <w:rFonts w:ascii="Verdana" w:hAnsi="Verdana"/>
          <w:sz w:val="16"/>
          <w:szCs w:val="16"/>
        </w:rPr>
        <w:t>tino,</w:t>
      </w:r>
      <w:r w:rsidRPr="00195E24">
        <w:rPr>
          <w:rFonts w:ascii="Verdana" w:hAnsi="Verdana"/>
          <w:spacing w:val="-2"/>
          <w:sz w:val="16"/>
          <w:szCs w:val="16"/>
        </w:rPr>
        <w:t xml:space="preserve"> </w:t>
      </w:r>
      <w:r w:rsidRPr="00195E24">
        <w:rPr>
          <w:rFonts w:ascii="Verdana" w:hAnsi="Verdana"/>
          <w:sz w:val="16"/>
          <w:szCs w:val="16"/>
        </w:rPr>
        <w:t>se</w:t>
      </w:r>
      <w:r w:rsidRPr="00195E24">
        <w:rPr>
          <w:rFonts w:ascii="Verdana" w:hAnsi="Verdana"/>
          <w:spacing w:val="-4"/>
          <w:sz w:val="16"/>
          <w:szCs w:val="16"/>
        </w:rPr>
        <w:t xml:space="preserve"> </w:t>
      </w:r>
      <w:r w:rsidRPr="00195E24">
        <w:rPr>
          <w:rFonts w:ascii="Verdana" w:hAnsi="Verdana"/>
          <w:sz w:val="16"/>
          <w:szCs w:val="16"/>
        </w:rPr>
        <w:t>eliminó</w:t>
      </w:r>
      <w:r w:rsidRPr="00195E24">
        <w:rPr>
          <w:rFonts w:ascii="Verdana" w:hAnsi="Verdana"/>
          <w:spacing w:val="-6"/>
          <w:sz w:val="16"/>
          <w:szCs w:val="16"/>
        </w:rPr>
        <w:t xml:space="preserve"> </w:t>
      </w:r>
      <w:r w:rsidRPr="00195E24">
        <w:rPr>
          <w:rFonts w:ascii="Verdana" w:hAnsi="Verdana"/>
          <w:sz w:val="16"/>
          <w:szCs w:val="16"/>
        </w:rPr>
        <w:t>en</w:t>
      </w:r>
      <w:r w:rsidRPr="00195E24">
        <w:rPr>
          <w:rFonts w:ascii="Verdana" w:hAnsi="Verdana"/>
          <w:spacing w:val="-6"/>
          <w:sz w:val="16"/>
          <w:szCs w:val="16"/>
        </w:rPr>
        <w:t xml:space="preserve"> </w:t>
      </w:r>
      <w:r w:rsidRPr="00195E24">
        <w:rPr>
          <w:rFonts w:ascii="Verdana" w:hAnsi="Verdana"/>
          <w:sz w:val="16"/>
          <w:szCs w:val="16"/>
        </w:rPr>
        <w:t>el</w:t>
      </w:r>
      <w:r w:rsidRPr="00195E24">
        <w:rPr>
          <w:rFonts w:ascii="Verdana" w:hAnsi="Verdana"/>
          <w:spacing w:val="-3"/>
          <w:sz w:val="16"/>
          <w:szCs w:val="16"/>
        </w:rPr>
        <w:t xml:space="preserve"> </w:t>
      </w:r>
      <w:r w:rsidRPr="00195E24">
        <w:rPr>
          <w:rFonts w:ascii="Verdana" w:hAnsi="Verdana"/>
          <w:sz w:val="16"/>
          <w:szCs w:val="16"/>
        </w:rPr>
        <w:t>artículo</w:t>
      </w:r>
      <w:r w:rsidRPr="00195E24">
        <w:rPr>
          <w:rFonts w:ascii="Verdana" w:hAnsi="Verdana"/>
          <w:spacing w:val="-6"/>
          <w:sz w:val="16"/>
          <w:szCs w:val="16"/>
        </w:rPr>
        <w:t xml:space="preserve"> </w:t>
      </w:r>
      <w:r w:rsidRPr="00195E24">
        <w:rPr>
          <w:rFonts w:ascii="Verdana" w:hAnsi="Verdana"/>
          <w:sz w:val="16"/>
          <w:szCs w:val="16"/>
        </w:rPr>
        <w:t>93</w:t>
      </w:r>
      <w:r w:rsidRPr="00195E24">
        <w:rPr>
          <w:rFonts w:ascii="Verdana" w:hAnsi="Verdana"/>
          <w:spacing w:val="-6"/>
          <w:sz w:val="16"/>
          <w:szCs w:val="16"/>
        </w:rPr>
        <w:t xml:space="preserve"> </w:t>
      </w:r>
      <w:r w:rsidRPr="00195E24">
        <w:rPr>
          <w:rFonts w:ascii="Verdana" w:hAnsi="Verdana"/>
          <w:sz w:val="16"/>
          <w:szCs w:val="16"/>
        </w:rPr>
        <w:t>de</w:t>
      </w:r>
      <w:r w:rsidRPr="00195E24">
        <w:rPr>
          <w:rFonts w:ascii="Verdana" w:hAnsi="Verdana"/>
          <w:spacing w:val="-4"/>
          <w:sz w:val="16"/>
          <w:szCs w:val="16"/>
        </w:rPr>
        <w:t xml:space="preserve"> </w:t>
      </w:r>
      <w:r w:rsidRPr="00195E24">
        <w:rPr>
          <w:rFonts w:ascii="Verdana" w:hAnsi="Verdana"/>
          <w:sz w:val="16"/>
          <w:szCs w:val="16"/>
        </w:rPr>
        <w:t>la</w:t>
      </w:r>
      <w:r w:rsidRPr="00195E24">
        <w:rPr>
          <w:rFonts w:ascii="Verdana" w:hAnsi="Verdana"/>
          <w:spacing w:val="-5"/>
          <w:sz w:val="16"/>
          <w:szCs w:val="16"/>
        </w:rPr>
        <w:t xml:space="preserve"> </w:t>
      </w:r>
      <w:r w:rsidRPr="00195E24">
        <w:rPr>
          <w:rFonts w:ascii="Verdana" w:hAnsi="Verdana"/>
          <w:sz w:val="16"/>
          <w:szCs w:val="16"/>
        </w:rPr>
        <w:t>Ley</w:t>
      </w:r>
      <w:r w:rsidRPr="00195E24">
        <w:rPr>
          <w:rFonts w:ascii="Verdana" w:hAnsi="Verdana"/>
          <w:spacing w:val="-4"/>
          <w:sz w:val="16"/>
          <w:szCs w:val="16"/>
        </w:rPr>
        <w:t xml:space="preserve"> </w:t>
      </w:r>
      <w:r w:rsidRPr="00195E24">
        <w:rPr>
          <w:rFonts w:ascii="Verdana" w:hAnsi="Verdana"/>
          <w:sz w:val="16"/>
          <w:szCs w:val="16"/>
        </w:rPr>
        <w:t>1474</w:t>
      </w:r>
      <w:r w:rsidRPr="00195E24">
        <w:rPr>
          <w:rFonts w:ascii="Verdana" w:hAnsi="Verdana"/>
          <w:spacing w:val="-6"/>
          <w:sz w:val="16"/>
          <w:szCs w:val="16"/>
        </w:rPr>
        <w:t xml:space="preserve"> </w:t>
      </w:r>
      <w:r w:rsidRPr="00195E24">
        <w:rPr>
          <w:rFonts w:ascii="Verdana" w:hAnsi="Verdana"/>
          <w:sz w:val="16"/>
          <w:szCs w:val="16"/>
        </w:rPr>
        <w:t>de</w:t>
      </w:r>
      <w:r w:rsidRPr="00195E24">
        <w:rPr>
          <w:rFonts w:ascii="Verdana" w:hAnsi="Verdana"/>
          <w:spacing w:val="-4"/>
          <w:sz w:val="16"/>
          <w:szCs w:val="16"/>
        </w:rPr>
        <w:t xml:space="preserve"> </w:t>
      </w:r>
      <w:r w:rsidRPr="00195E24">
        <w:rPr>
          <w:rFonts w:ascii="Verdana" w:hAnsi="Verdana"/>
          <w:sz w:val="16"/>
          <w:szCs w:val="16"/>
        </w:rPr>
        <w:t>2011,</w:t>
      </w:r>
      <w:r w:rsidRPr="00195E24">
        <w:rPr>
          <w:rFonts w:ascii="Verdana" w:hAnsi="Verdana"/>
          <w:spacing w:val="-2"/>
          <w:sz w:val="16"/>
          <w:szCs w:val="16"/>
        </w:rPr>
        <w:t xml:space="preserve"> </w:t>
      </w:r>
      <w:r w:rsidRPr="00195E24">
        <w:rPr>
          <w:rFonts w:ascii="Verdana" w:hAnsi="Verdana"/>
          <w:sz w:val="16"/>
          <w:szCs w:val="16"/>
        </w:rPr>
        <w:t>pues en ese caso no se está en presencia de los fundamentos que soportan la excepción de no aplicar el Estatuto General de Contratación de la Administración Pública, cual es la “competencia y el libre juego del mercado”.</w:t>
      </w:r>
    </w:p>
    <w:p w14:paraId="1BBF11C2" w14:textId="77777777" w:rsidR="002C0013" w:rsidRPr="00195E24" w:rsidRDefault="002C0013" w:rsidP="002C0013">
      <w:pPr>
        <w:pStyle w:val="Textonotapie"/>
        <w:ind w:right="49" w:firstLine="709"/>
        <w:contextualSpacing/>
        <w:jc w:val="both"/>
        <w:rPr>
          <w:rFonts w:ascii="Verdana" w:hAnsi="Verdana"/>
          <w:sz w:val="16"/>
          <w:szCs w:val="16"/>
        </w:rPr>
      </w:pPr>
    </w:p>
  </w:footnote>
  <w:footnote w:id="22">
    <w:p w14:paraId="0C190131" w14:textId="77777777" w:rsidR="002C0013" w:rsidRDefault="002C0013" w:rsidP="002C0013">
      <w:pPr>
        <w:spacing w:after="0" w:line="240" w:lineRule="auto"/>
        <w:ind w:firstLine="709"/>
        <w:contextualSpacing/>
        <w:jc w:val="both"/>
        <w:rPr>
          <w:rFonts w:ascii="Verdana" w:hAnsi="Verdana" w:cs="Arial"/>
          <w:color w:val="000000" w:themeColor="text1"/>
          <w:sz w:val="16"/>
          <w:szCs w:val="16"/>
        </w:rPr>
      </w:pPr>
      <w:r w:rsidRPr="00195E24">
        <w:rPr>
          <w:rStyle w:val="Refdenotaalpie"/>
          <w:rFonts w:ascii="Verdana" w:hAnsi="Verdana" w:cs="Arial"/>
          <w:color w:val="000000" w:themeColor="text1"/>
          <w:sz w:val="16"/>
          <w:szCs w:val="16"/>
        </w:rPr>
        <w:footnoteRef/>
      </w:r>
      <w:r w:rsidRPr="00195E24">
        <w:rPr>
          <w:rFonts w:ascii="Verdana" w:hAnsi="Verdana" w:cs="Arial"/>
          <w:color w:val="000000" w:themeColor="text1"/>
          <w:sz w:val="16"/>
          <w:szCs w:val="16"/>
        </w:rPr>
        <w:t xml:space="preserve"> Consejo de Estado. Sala de Consulta y Servicio Civil. Concepto de 20 de febrero de 2006. Radicación Número: 11001-03-06-000-2006-00026-00 (1727). </w:t>
      </w:r>
      <w:r>
        <w:rPr>
          <w:rFonts w:ascii="Verdana" w:hAnsi="Verdana" w:cs="Arial"/>
          <w:color w:val="000000" w:themeColor="text1"/>
          <w:sz w:val="16"/>
          <w:szCs w:val="16"/>
        </w:rPr>
        <w:t>C.P</w:t>
      </w:r>
      <w:r w:rsidRPr="00195E24">
        <w:rPr>
          <w:rFonts w:ascii="Verdana" w:hAnsi="Verdana" w:cs="Arial"/>
          <w:color w:val="000000" w:themeColor="text1"/>
          <w:sz w:val="16"/>
          <w:szCs w:val="16"/>
        </w:rPr>
        <w:t>: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364F73BE" w14:textId="77777777" w:rsidR="002C0013" w:rsidRPr="005800D0" w:rsidRDefault="002C0013" w:rsidP="002C0013">
      <w:pPr>
        <w:spacing w:after="0" w:line="240" w:lineRule="auto"/>
        <w:ind w:firstLine="709"/>
        <w:contextualSpacing/>
        <w:jc w:val="both"/>
        <w:rPr>
          <w:rFonts w:ascii="Verdana" w:hAnsi="Verdana" w:cs="Arial"/>
          <w:color w:val="000000" w:themeColor="text1"/>
          <w:sz w:val="16"/>
          <w:szCs w:val="16"/>
        </w:rPr>
      </w:pPr>
    </w:p>
  </w:footnote>
  <w:footnote w:id="23">
    <w:p w14:paraId="211809AE" w14:textId="77777777" w:rsidR="002C0013" w:rsidRPr="00195E24" w:rsidRDefault="002C0013" w:rsidP="002C0013">
      <w:pPr>
        <w:pStyle w:val="Textonotapie"/>
        <w:ind w:firstLine="709"/>
        <w:contextualSpacing/>
        <w:jc w:val="both"/>
        <w:rPr>
          <w:rFonts w:ascii="Verdana" w:hAnsi="Verdana" w:cs="Arial"/>
          <w:color w:val="000000" w:themeColor="text1"/>
          <w:sz w:val="16"/>
          <w:szCs w:val="16"/>
        </w:rPr>
      </w:pPr>
      <w:r w:rsidRPr="00195E24">
        <w:rPr>
          <w:rStyle w:val="Refdenotaalpie"/>
          <w:rFonts w:ascii="Verdana" w:hAnsi="Verdana" w:cs="Arial"/>
          <w:color w:val="000000" w:themeColor="text1"/>
          <w:sz w:val="16"/>
          <w:szCs w:val="16"/>
        </w:rPr>
        <w:footnoteRef/>
      </w:r>
      <w:r w:rsidRPr="00195E24">
        <w:rPr>
          <w:rFonts w:ascii="Verdana" w:hAnsi="Verdana" w:cs="Arial"/>
          <w:color w:val="000000" w:themeColor="text1"/>
          <w:sz w:val="16"/>
          <w:szCs w:val="16"/>
        </w:rPr>
        <w:t xml:space="preserve"> Consejo de Estado. Sala de Consulta y Servicio Civil. Concepto de 6 de abril de 2006. Radicación Número: 11001-03-06-000-2006-00038-00 (1738). </w:t>
      </w:r>
      <w:r>
        <w:rPr>
          <w:rFonts w:ascii="Verdana" w:hAnsi="Verdana" w:cs="Arial"/>
          <w:color w:val="000000" w:themeColor="text1"/>
          <w:sz w:val="16"/>
          <w:szCs w:val="16"/>
        </w:rPr>
        <w:t>C.P:</w:t>
      </w:r>
      <w:r w:rsidRPr="00195E24">
        <w:rPr>
          <w:rFonts w:ascii="Verdana" w:hAnsi="Verdana" w:cs="Arial"/>
          <w:color w:val="000000" w:themeColor="text1"/>
          <w:sz w:val="16"/>
          <w:szCs w:val="16"/>
        </w:rPr>
        <w:t xml:space="preserve"> Enrique José Arboleda Perdomo:</w:t>
      </w:r>
      <w:r w:rsidRPr="00195E24">
        <w:rPr>
          <w:rFonts w:ascii="Verdana" w:eastAsia="Times New Roman" w:hAnsi="Verdana" w:cs="Arial"/>
          <w:bCs/>
          <w:color w:val="000000" w:themeColor="text1"/>
          <w:sz w:val="16"/>
          <w:szCs w:val="16"/>
          <w:lang w:eastAsia="x-none"/>
        </w:rPr>
        <w:t xml:space="preserve"> </w:t>
      </w:r>
      <w:bookmarkStart w:id="18" w:name="_Hlk97890572"/>
      <w:r>
        <w:rPr>
          <w:rFonts w:ascii="Verdana" w:eastAsia="Times New Roman" w:hAnsi="Verdana" w:cs="Arial"/>
          <w:bCs/>
          <w:color w:val="000000" w:themeColor="text1"/>
          <w:sz w:val="16"/>
          <w:szCs w:val="16"/>
          <w:lang w:eastAsia="x-none"/>
        </w:rPr>
        <w:t>“</w:t>
      </w:r>
      <w:r w:rsidRPr="00195E24">
        <w:rPr>
          <w:rFonts w:ascii="Verdana" w:hAnsi="Verdana" w:cs="Arial"/>
          <w:color w:val="000000" w:themeColor="text1"/>
          <w:sz w:val="16"/>
          <w:szCs w:val="16"/>
        </w:rPr>
        <w:t xml:space="preserve">Si bien en el tema del concepto del que se extractaron </w:t>
      </w:r>
      <w:bookmarkEnd w:id="18"/>
      <w:r w:rsidRPr="00195E24">
        <w:rPr>
          <w:rFonts w:ascii="Verdana" w:hAnsi="Verdana" w:cs="Arial"/>
          <w:color w:val="000000" w:themeColor="text1"/>
          <w:sz w:val="16"/>
          <w:szCs w:val="16"/>
        </w:rPr>
        <w:t>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Pr>
          <w:rFonts w:ascii="Verdana" w:eastAsia="Times New Roman" w:hAnsi="Verdana" w:cs="Arial"/>
          <w:bCs/>
          <w:color w:val="000000" w:themeColor="text1"/>
          <w:sz w:val="16"/>
          <w:szCs w:val="16"/>
          <w:lang w:eastAsia="x-none"/>
        </w:rPr>
        <w:t>”</w:t>
      </w:r>
      <w:r w:rsidRPr="00195E24">
        <w:rPr>
          <w:rFonts w:ascii="Verdana" w:eastAsia="Times New Roman" w:hAnsi="Verdana" w:cs="Arial"/>
          <w:bCs/>
          <w:color w:val="000000" w:themeColor="text1"/>
          <w:sz w:val="16"/>
          <w:szCs w:val="16"/>
          <w:lang w:eastAsia="x-none"/>
        </w:rPr>
        <w:t>.</w:t>
      </w:r>
    </w:p>
  </w:footnote>
  <w:footnote w:id="24">
    <w:p w14:paraId="323820E4" w14:textId="77777777" w:rsidR="002C0013" w:rsidRDefault="002C0013" w:rsidP="002C0013">
      <w:pPr>
        <w:spacing w:after="0" w:line="240" w:lineRule="auto"/>
        <w:ind w:firstLine="708"/>
        <w:contextualSpacing/>
        <w:jc w:val="both"/>
        <w:rPr>
          <w:rFonts w:ascii="Verdana" w:hAnsi="Verdana" w:cs="Arial"/>
          <w:color w:val="000000" w:themeColor="text1"/>
          <w:sz w:val="16"/>
          <w:szCs w:val="16"/>
        </w:rPr>
      </w:pPr>
      <w:r w:rsidRPr="005800D0">
        <w:rPr>
          <w:rStyle w:val="Refdenotaalpie"/>
          <w:rFonts w:ascii="Verdana" w:hAnsi="Verdana" w:cs="Arial"/>
          <w:color w:val="000000" w:themeColor="text1"/>
          <w:sz w:val="16"/>
          <w:szCs w:val="16"/>
        </w:rPr>
        <w:footnoteRef/>
      </w:r>
      <w:r w:rsidRPr="005800D0">
        <w:rPr>
          <w:rFonts w:ascii="Verdana" w:hAnsi="Verdana" w:cs="Arial"/>
          <w:color w:val="000000" w:themeColor="text1"/>
          <w:sz w:val="16"/>
          <w:szCs w:val="16"/>
        </w:rPr>
        <w:t xml:space="preserve"> Consejo de Estado. Sala de Consulta y Servicio Civil. Concepto de 6 de abril de 2006. Radicación Número: 11001-03-06-000-2006-00038-00(1738). C</w:t>
      </w:r>
      <w:r>
        <w:rPr>
          <w:rFonts w:ascii="Verdana" w:hAnsi="Verdana" w:cs="Arial"/>
          <w:color w:val="000000" w:themeColor="text1"/>
          <w:sz w:val="16"/>
          <w:szCs w:val="16"/>
        </w:rPr>
        <w:t xml:space="preserve">.P: </w:t>
      </w:r>
      <w:r w:rsidRPr="005800D0">
        <w:rPr>
          <w:rFonts w:ascii="Verdana" w:hAnsi="Verdana" w:cs="Arial"/>
          <w:color w:val="000000" w:themeColor="text1"/>
          <w:sz w:val="16"/>
          <w:szCs w:val="16"/>
        </w:rPr>
        <w:t xml:space="preserve">Enrique José Arboleda Perdomo. </w:t>
      </w:r>
    </w:p>
    <w:p w14:paraId="2E52AC03" w14:textId="77777777" w:rsidR="002C0013" w:rsidRPr="005800D0" w:rsidRDefault="002C0013" w:rsidP="002C0013">
      <w:pPr>
        <w:spacing w:after="0" w:line="240" w:lineRule="auto"/>
        <w:ind w:firstLine="708"/>
        <w:contextualSpacing/>
        <w:jc w:val="both"/>
        <w:rPr>
          <w:rFonts w:ascii="Verdana" w:hAnsi="Verdana" w:cs="Arial"/>
          <w:color w:val="000000" w:themeColor="text1"/>
          <w:sz w:val="16"/>
          <w:szCs w:val="16"/>
        </w:rPr>
      </w:pPr>
    </w:p>
  </w:footnote>
  <w:footnote w:id="25">
    <w:p w14:paraId="349DB91F" w14:textId="77777777" w:rsidR="002C0013" w:rsidRPr="005800D0" w:rsidRDefault="002C0013" w:rsidP="002C0013">
      <w:pPr>
        <w:pStyle w:val="Textonotapie"/>
        <w:ind w:firstLine="709"/>
        <w:contextualSpacing/>
        <w:rPr>
          <w:rFonts w:ascii="Verdana" w:hAnsi="Verdana" w:cs="Arial"/>
          <w:color w:val="000000" w:themeColor="text1"/>
          <w:sz w:val="16"/>
          <w:szCs w:val="16"/>
        </w:rPr>
      </w:pPr>
      <w:r w:rsidRPr="005800D0">
        <w:rPr>
          <w:rStyle w:val="Refdenotaalpie"/>
          <w:rFonts w:ascii="Verdana" w:hAnsi="Verdana" w:cs="Arial"/>
          <w:color w:val="000000" w:themeColor="text1"/>
          <w:sz w:val="16"/>
          <w:szCs w:val="16"/>
        </w:rPr>
        <w:footnoteRef/>
      </w:r>
      <w:r w:rsidRPr="005800D0">
        <w:rPr>
          <w:rFonts w:ascii="Verdana" w:hAnsi="Verdana" w:cs="Arial"/>
          <w:color w:val="000000" w:themeColor="text1"/>
          <w:sz w:val="16"/>
          <w:szCs w:val="16"/>
        </w:rPr>
        <w:t xml:space="preserve"> Consejo de Estado. Sala de Consulta y Servicio Civil, ídem.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4DCD7CAC" w:rsidR="00756841" w:rsidRDefault="009D3058" w:rsidP="00DE2E29">
    <w:pPr>
      <w:pStyle w:val="Encabezado"/>
      <w:tabs>
        <w:tab w:val="clear" w:pos="8838"/>
      </w:tabs>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3D05A991">
          <wp:simplePos x="0" y="0"/>
          <wp:positionH relativeFrom="margin">
            <wp:align>center</wp:align>
          </wp:positionH>
          <wp:positionV relativeFrom="paragraph">
            <wp:posOffset>-256388</wp:posOffset>
          </wp:positionV>
          <wp:extent cx="1942023" cy="864000"/>
          <wp:effectExtent l="0" t="0" r="1270" b="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42023" cy="8640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DE2E29">
      <w:tab/>
    </w:r>
  </w:p>
  <w:p w14:paraId="1BE2B9AE" w14:textId="4B94DB3B" w:rsidR="00756841" w:rsidRDefault="00756841" w:rsidP="00DE2E29">
    <w:pPr>
      <w:pStyle w:val="Encabezado"/>
      <w:jc w:val="cent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7621BDA"/>
    <w:multiLevelType w:val="hybridMultilevel"/>
    <w:tmpl w:val="79669C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18941967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673F"/>
    <w:rsid w:val="00046945"/>
    <w:rsid w:val="00061B2A"/>
    <w:rsid w:val="00082362"/>
    <w:rsid w:val="000A683E"/>
    <w:rsid w:val="000B19B9"/>
    <w:rsid w:val="000D0334"/>
    <w:rsid w:val="000D3A84"/>
    <w:rsid w:val="000D5DA7"/>
    <w:rsid w:val="000F6486"/>
    <w:rsid w:val="00116940"/>
    <w:rsid w:val="00125105"/>
    <w:rsid w:val="00127233"/>
    <w:rsid w:val="00145ABD"/>
    <w:rsid w:val="0015699B"/>
    <w:rsid w:val="001A33BF"/>
    <w:rsid w:val="001E4177"/>
    <w:rsid w:val="001F0B24"/>
    <w:rsid w:val="001F7DC6"/>
    <w:rsid w:val="0022400B"/>
    <w:rsid w:val="002421BB"/>
    <w:rsid w:val="0025796E"/>
    <w:rsid w:val="002707A2"/>
    <w:rsid w:val="002852B5"/>
    <w:rsid w:val="00293631"/>
    <w:rsid w:val="002951A0"/>
    <w:rsid w:val="002962BC"/>
    <w:rsid w:val="002A093D"/>
    <w:rsid w:val="002A0DD0"/>
    <w:rsid w:val="002A49AC"/>
    <w:rsid w:val="002A64FD"/>
    <w:rsid w:val="002C0013"/>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16CDB"/>
    <w:rsid w:val="005566E8"/>
    <w:rsid w:val="00574867"/>
    <w:rsid w:val="00591460"/>
    <w:rsid w:val="00592BE1"/>
    <w:rsid w:val="005A65E0"/>
    <w:rsid w:val="005C3777"/>
    <w:rsid w:val="005C5CDC"/>
    <w:rsid w:val="005D476C"/>
    <w:rsid w:val="006200BF"/>
    <w:rsid w:val="006219F8"/>
    <w:rsid w:val="006302F7"/>
    <w:rsid w:val="00646B9F"/>
    <w:rsid w:val="00665D70"/>
    <w:rsid w:val="006900D9"/>
    <w:rsid w:val="00706C16"/>
    <w:rsid w:val="007340C3"/>
    <w:rsid w:val="0075235A"/>
    <w:rsid w:val="007533E3"/>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E094C"/>
    <w:rsid w:val="008F0EA7"/>
    <w:rsid w:val="00923EEF"/>
    <w:rsid w:val="009419F9"/>
    <w:rsid w:val="0095685E"/>
    <w:rsid w:val="00961B09"/>
    <w:rsid w:val="00964C40"/>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2547E"/>
    <w:rsid w:val="00A33C78"/>
    <w:rsid w:val="00AB0ADB"/>
    <w:rsid w:val="00AE4C49"/>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86EA2"/>
    <w:rsid w:val="00C925AC"/>
    <w:rsid w:val="00CB6357"/>
    <w:rsid w:val="00CC1B26"/>
    <w:rsid w:val="00D361FD"/>
    <w:rsid w:val="00D423A2"/>
    <w:rsid w:val="00D44E26"/>
    <w:rsid w:val="00D520D8"/>
    <w:rsid w:val="00D63AC2"/>
    <w:rsid w:val="00D7383B"/>
    <w:rsid w:val="00D7788A"/>
    <w:rsid w:val="00D91454"/>
    <w:rsid w:val="00DA231B"/>
    <w:rsid w:val="00DC39FC"/>
    <w:rsid w:val="00DE2E29"/>
    <w:rsid w:val="00DF5254"/>
    <w:rsid w:val="00E02524"/>
    <w:rsid w:val="00E16408"/>
    <w:rsid w:val="00E20894"/>
    <w:rsid w:val="00E245AB"/>
    <w:rsid w:val="00E2764C"/>
    <w:rsid w:val="00E27F2E"/>
    <w:rsid w:val="00E50AFE"/>
    <w:rsid w:val="00E75076"/>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E45AB"/>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2C0013"/>
    <w:rPr>
      <w:rFonts w:ascii="Geomanist Light" w:hAnsi="Geomanist Light"/>
      <w:lang w:val="es-ES"/>
    </w:rPr>
  </w:style>
  <w:style w:type="paragraph" w:customStyle="1" w:styleId="Appelnotedebasde">
    <w:name w:val="Appel note de bas de..."/>
    <w:basedOn w:val="Normal"/>
    <w:link w:val="Refdenotaalpie"/>
    <w:uiPriority w:val="99"/>
    <w:rsid w:val="002C0013"/>
    <w:pPr>
      <w:spacing w:line="240" w:lineRule="exact"/>
    </w:pPr>
    <w:rPr>
      <w:vertAlign w:val="superscript"/>
    </w:rPr>
  </w:style>
  <w:style w:type="character" w:customStyle="1" w:styleId="NormalWebCar">
    <w:name w:val="Normal (Web) Car"/>
    <w:link w:val="NormalWeb"/>
    <w:uiPriority w:val="99"/>
    <w:locked/>
    <w:rsid w:val="002C0013"/>
    <w:rPr>
      <w:rFonts w:ascii="Times New Roman" w:eastAsia="Times New Roman" w:hAnsi="Times New Roman" w:cs="Times New Roman"/>
      <w:sz w:val="24"/>
      <w:szCs w:val="24"/>
      <w:lang w:eastAsia="es-CO"/>
    </w:rPr>
  </w:style>
  <w:style w:type="character" w:customStyle="1" w:styleId="baj">
    <w:name w:val="b_aj"/>
    <w:basedOn w:val="Fuentedeprrafopredeter"/>
    <w:rsid w:val="002C0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u.96f@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56E0206-0AF8-4F7D-B806-D273E601C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21</Pages>
  <Words>7115</Words>
  <Characters>39849</Characters>
  <Application>Microsoft Office Word</Application>
  <DocSecurity>0</DocSecurity>
  <Lines>948</Lines>
  <Paragraphs>211</Paragraphs>
  <ScaleCrop>false</ScaleCrop>
  <Company/>
  <LinksUpToDate>false</LinksUpToDate>
  <CharactersWithSpaces>46753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5</cp:revision>
  <cp:lastPrinted>2023-01-10T21:18:00Z</cp:lastPrinted>
  <dcterms:created xsi:type="dcterms:W3CDTF">2025-12-22T20:02:00Z</dcterms:created>
  <dcterms:modified xsi:type="dcterms:W3CDTF">2025-12-23T17:19:00Z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