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3CAC71" w14:textId="5282EFA7" w:rsidR="002415B8" w:rsidRPr="005502B3" w:rsidRDefault="00B55C69" w:rsidP="001A4314">
      <w:pPr>
        <w:jc w:val="right"/>
        <w:rPr>
          <w:rFonts w:ascii="Arial" w:eastAsia="Calibri" w:hAnsi="Arial" w:cs="Arial"/>
          <w:b/>
          <w:sz w:val="20"/>
          <w:szCs w:val="20"/>
          <w:lang w:val="es-ES_tradnl"/>
        </w:rPr>
      </w:pPr>
      <w:bookmarkStart w:id="0" w:name="_Hlk28946138"/>
      <w:bookmarkStart w:id="1" w:name="_Hlk29548183"/>
      <w:r w:rsidRPr="005502B3">
        <w:rPr>
          <w:rFonts w:ascii="Arial" w:hAnsi="Arial" w:cs="Arial"/>
          <w:bCs/>
          <w:sz w:val="16"/>
          <w:szCs w:val="16"/>
          <w:lang w:val="es-ES_tradnl" w:eastAsia="es-ES"/>
        </w:rPr>
        <w:t>CCE-DES-FM-17</w:t>
      </w:r>
      <w:bookmarkEnd w:id="0"/>
      <w:bookmarkEnd w:id="1"/>
    </w:p>
    <w:p w14:paraId="55FBD910" w14:textId="77777777" w:rsidR="008536BB" w:rsidRPr="005502B3" w:rsidRDefault="008536BB" w:rsidP="00B95C30">
      <w:pPr>
        <w:spacing w:line="276" w:lineRule="auto"/>
        <w:jc w:val="both"/>
        <w:rPr>
          <w:rFonts w:ascii="Arial" w:hAnsi="Arial" w:cs="Arial"/>
          <w:noProof/>
          <w:sz w:val="22"/>
          <w:lang w:val="es-ES_tradnl"/>
        </w:rPr>
      </w:pPr>
    </w:p>
    <w:p w14:paraId="6A9E6ADF" w14:textId="169A7A08" w:rsidR="00EC224E" w:rsidRPr="005502B3" w:rsidRDefault="00EC224E" w:rsidP="00EC224E">
      <w:pPr>
        <w:jc w:val="both"/>
        <w:rPr>
          <w:rFonts w:ascii="Arial" w:eastAsia="Calibri" w:hAnsi="Arial" w:cs="Arial"/>
          <w:b/>
          <w:sz w:val="22"/>
          <w:lang w:val="es-ES_tradnl"/>
        </w:rPr>
      </w:pPr>
      <w:r w:rsidRPr="005502B3">
        <w:rPr>
          <w:rFonts w:ascii="Arial" w:eastAsia="Calibri" w:hAnsi="Arial" w:cs="Arial"/>
          <w:b/>
          <w:sz w:val="22"/>
          <w:lang w:val="es-ES_tradnl"/>
        </w:rPr>
        <w:t xml:space="preserve">LEY DE EMPRENDIMIENTO – Ley </w:t>
      </w:r>
      <w:r w:rsidR="001F0325" w:rsidRPr="005502B3">
        <w:rPr>
          <w:rFonts w:ascii="Arial" w:eastAsia="Calibri" w:hAnsi="Arial" w:cs="Arial"/>
          <w:b/>
          <w:sz w:val="22"/>
          <w:lang w:val="es-ES_tradnl"/>
        </w:rPr>
        <w:t>2069</w:t>
      </w:r>
      <w:r w:rsidRPr="005502B3">
        <w:rPr>
          <w:rFonts w:ascii="Arial" w:eastAsia="Calibri" w:hAnsi="Arial" w:cs="Arial"/>
          <w:b/>
          <w:sz w:val="22"/>
          <w:lang w:val="es-ES_tradnl"/>
        </w:rPr>
        <w:t xml:space="preserve"> de 2020 – Vigencia </w:t>
      </w:r>
    </w:p>
    <w:p w14:paraId="5A76D430" w14:textId="77777777" w:rsidR="00EC224E" w:rsidRPr="005502B3" w:rsidRDefault="00EC224E" w:rsidP="00EC224E">
      <w:pPr>
        <w:jc w:val="both"/>
        <w:rPr>
          <w:rFonts w:ascii="Arial" w:eastAsia="Calibri" w:hAnsi="Arial" w:cs="Arial"/>
          <w:b/>
          <w:sz w:val="22"/>
          <w:lang w:val="es-ES_tradnl"/>
        </w:rPr>
      </w:pPr>
    </w:p>
    <w:p w14:paraId="0D9471D6" w14:textId="77777777" w:rsidR="00C167F7" w:rsidRPr="005502B3" w:rsidRDefault="00C167F7" w:rsidP="00C167F7">
      <w:pPr>
        <w:jc w:val="both"/>
        <w:rPr>
          <w:rFonts w:ascii="Arial" w:eastAsia="Calibri" w:hAnsi="Arial" w:cs="Arial"/>
          <w:sz w:val="20"/>
          <w:szCs w:val="20"/>
          <w:lang w:val="es-ES_tradnl"/>
        </w:rPr>
      </w:pPr>
      <w:r w:rsidRPr="005502B3">
        <w:rPr>
          <w:rFonts w:ascii="Arial" w:eastAsia="Calibri" w:hAnsi="Arial" w:cs="Arial"/>
          <w:sz w:val="20"/>
          <w:szCs w:val="20"/>
          <w:lang w:val="es-ES_tradnl"/>
        </w:rPr>
        <w:t>El 31 de diciembre de 2020 se promulgó la Ley 2069, «Por medio de la cual se impulsa el emprendimiento en Colombia». De acuerdo con el artículo 84 de dicho cuerpo normativo, «La presente Ley rige a partir del momento de su promulgación […]», lo que significa que es obligatoria para sus destinatarios desde esa fecha. Lo anterior, sin perjuicio de la posibilidad de que el gobierno nacional, en ejercicio de la potestad reglamentaria que le confiere el artículo 189, numeral 11, de la Constitución Política, expida el decreto correspondiente que permita la cumplida ejecución de dicha Ley.</w:t>
      </w:r>
    </w:p>
    <w:p w14:paraId="12DFC6D5" w14:textId="77777777" w:rsidR="00C167F7" w:rsidRPr="005502B3" w:rsidRDefault="00C167F7" w:rsidP="00C167F7">
      <w:pPr>
        <w:jc w:val="both"/>
        <w:rPr>
          <w:rFonts w:ascii="Arial" w:eastAsia="Calibri" w:hAnsi="Arial" w:cs="Arial"/>
          <w:sz w:val="20"/>
          <w:szCs w:val="20"/>
          <w:lang w:val="es-ES_tradnl"/>
        </w:rPr>
      </w:pPr>
    </w:p>
    <w:p w14:paraId="2DDB93AD" w14:textId="77777777" w:rsidR="00C167F7" w:rsidRPr="005502B3" w:rsidRDefault="00C167F7" w:rsidP="00C167F7">
      <w:pPr>
        <w:jc w:val="both"/>
        <w:rPr>
          <w:rFonts w:ascii="Arial" w:eastAsia="Calibri" w:hAnsi="Arial" w:cs="Arial"/>
          <w:sz w:val="20"/>
          <w:szCs w:val="20"/>
          <w:lang w:val="es-ES_tradnl"/>
        </w:rPr>
      </w:pPr>
      <w:r w:rsidRPr="005502B3">
        <w:rPr>
          <w:rFonts w:ascii="Arial" w:eastAsia="Calibri" w:hAnsi="Arial" w:cs="Arial"/>
          <w:sz w:val="20"/>
          <w:szCs w:val="20"/>
          <w:lang w:val="es-ES_tradnl"/>
        </w:rPr>
        <w:t xml:space="preserve">En cuando al contenido de la Ley en comento, es importante señalar que, como lo expresa su artículo 1, aquella «tiene por objeto establecer un marco regulatorio que propicie el emprendimiento y el crecimiento, consolidación y sostenibilidad de las empresas, con el fin de aumentar el bienestar social y generar equidad». Esto, a partir de «[…] un enfoque regionalizado </w:t>
      </w:r>
      <w:proofErr w:type="gramStart"/>
      <w:r w:rsidRPr="005502B3">
        <w:rPr>
          <w:rFonts w:ascii="Arial" w:eastAsia="Calibri" w:hAnsi="Arial" w:cs="Arial"/>
          <w:sz w:val="20"/>
          <w:szCs w:val="20"/>
          <w:lang w:val="es-ES_tradnl"/>
        </w:rPr>
        <w:t>de acuerdo a</w:t>
      </w:r>
      <w:proofErr w:type="gramEnd"/>
      <w:r w:rsidRPr="005502B3">
        <w:rPr>
          <w:rFonts w:ascii="Arial" w:eastAsia="Calibri" w:hAnsi="Arial" w:cs="Arial"/>
          <w:sz w:val="20"/>
          <w:szCs w:val="20"/>
          <w:lang w:val="es-ES_tradnl"/>
        </w:rPr>
        <w:t xml:space="preserve"> las realidades socioeconómicas de cada región». En desarrollo de esta finalidad, se establecen medidas de apoyo para las micro, pequeñas y medianas empresas –«</w:t>
      </w:r>
      <w:proofErr w:type="spellStart"/>
      <w:r w:rsidRPr="005502B3">
        <w:rPr>
          <w:rFonts w:ascii="Arial" w:eastAsia="Calibri" w:hAnsi="Arial" w:cs="Arial"/>
          <w:sz w:val="20"/>
          <w:szCs w:val="20"/>
          <w:lang w:val="es-ES_tradnl"/>
        </w:rPr>
        <w:t>mipymes</w:t>
      </w:r>
      <w:proofErr w:type="spellEnd"/>
      <w:r w:rsidRPr="005502B3">
        <w:rPr>
          <w:rFonts w:ascii="Arial" w:eastAsia="Calibri" w:hAnsi="Arial" w:cs="Arial"/>
          <w:sz w:val="20"/>
          <w:szCs w:val="20"/>
          <w:lang w:val="es-ES_tradnl"/>
        </w:rPr>
        <w:t>»–, mediante la racionalización y simplificación de los trámites y tarifas, así como la consagración de incentivos a favor de aquellas dentro del sistema de compras y contratación pública. También se consagran mecanismos de acceso al financiamiento, se unifican las fuentes de emprendimiento y de desarrollo empresarial, para fortalecer y promover los distintos sectores de la economía, y se prevén medidas de educación para el emprendimiento y la innovación.</w:t>
      </w:r>
    </w:p>
    <w:p w14:paraId="19641C5C" w14:textId="2925DEE5" w:rsidR="00EC224E" w:rsidRPr="005502B3" w:rsidRDefault="00EC224E" w:rsidP="00EC224E">
      <w:pPr>
        <w:jc w:val="both"/>
        <w:rPr>
          <w:rFonts w:ascii="Arial" w:eastAsia="Calibri" w:hAnsi="Arial" w:cs="Arial"/>
          <w:sz w:val="20"/>
          <w:szCs w:val="20"/>
          <w:lang w:val="es-ES_tradnl"/>
        </w:rPr>
      </w:pPr>
    </w:p>
    <w:p w14:paraId="337472BC" w14:textId="3F660104" w:rsidR="0038484C" w:rsidRPr="00C61863" w:rsidRDefault="005E04C5" w:rsidP="00EC224E">
      <w:pPr>
        <w:jc w:val="both"/>
        <w:rPr>
          <w:rFonts w:ascii="Arial" w:eastAsia="Calibri" w:hAnsi="Arial" w:cs="Arial"/>
          <w:b/>
          <w:bCs/>
          <w:sz w:val="22"/>
          <w:szCs w:val="22"/>
          <w:lang w:val="es-ES_tradnl"/>
        </w:rPr>
      </w:pPr>
      <w:r w:rsidRPr="00C61863">
        <w:rPr>
          <w:rFonts w:ascii="Arial" w:eastAsia="Calibri" w:hAnsi="Arial" w:cs="Arial"/>
          <w:b/>
          <w:bCs/>
          <w:sz w:val="22"/>
          <w:szCs w:val="22"/>
          <w:lang w:val="es-ES_tradnl"/>
        </w:rPr>
        <w:t xml:space="preserve">INTERVENCIÓN DEL REGLAMENTO </w:t>
      </w:r>
      <w:r w:rsidRPr="00C61863">
        <w:rPr>
          <w:rFonts w:ascii="Arial" w:eastAsia="Calibri" w:hAnsi="Arial" w:cs="Arial"/>
          <w:b/>
          <w:bCs/>
          <w:sz w:val="22"/>
          <w:szCs w:val="22"/>
          <w:lang w:val="es-ES_tradnl"/>
        </w:rPr>
        <w:softHyphen/>
        <w:t xml:space="preserve">– Ley 2069 de 2020 </w:t>
      </w:r>
      <w:r w:rsidRPr="00C61863">
        <w:rPr>
          <w:rFonts w:ascii="Arial" w:eastAsia="Calibri" w:hAnsi="Arial" w:cs="Arial"/>
          <w:b/>
          <w:bCs/>
          <w:sz w:val="22"/>
          <w:szCs w:val="22"/>
          <w:lang w:val="es-ES_tradnl"/>
        </w:rPr>
        <w:softHyphen/>
      </w:r>
      <w:r w:rsidRPr="00C61863">
        <w:rPr>
          <w:rFonts w:ascii="Arial" w:eastAsia="Calibri" w:hAnsi="Arial" w:cs="Arial"/>
          <w:b/>
          <w:bCs/>
          <w:sz w:val="22"/>
          <w:szCs w:val="22"/>
          <w:lang w:val="es-ES_tradnl"/>
        </w:rPr>
        <w:softHyphen/>
        <w:t xml:space="preserve">– Artículo 30 - Mínima cuantía </w:t>
      </w:r>
      <w:r w:rsidRPr="00C61863">
        <w:rPr>
          <w:rFonts w:ascii="Arial" w:eastAsia="Calibri" w:hAnsi="Arial" w:cs="Arial"/>
          <w:b/>
          <w:bCs/>
          <w:sz w:val="22"/>
          <w:szCs w:val="22"/>
          <w:lang w:val="es-ES_tradnl"/>
        </w:rPr>
        <w:softHyphen/>
        <w:t>– Aplicación directa</w:t>
      </w:r>
    </w:p>
    <w:p w14:paraId="18CC6427" w14:textId="77777777" w:rsidR="005E04C5" w:rsidRDefault="005E04C5" w:rsidP="00EC224E">
      <w:pPr>
        <w:jc w:val="both"/>
        <w:rPr>
          <w:rFonts w:ascii="Arial" w:eastAsia="Calibri" w:hAnsi="Arial" w:cs="Arial"/>
          <w:sz w:val="20"/>
          <w:szCs w:val="20"/>
          <w:lang w:val="es-ES_tradnl"/>
        </w:rPr>
      </w:pPr>
    </w:p>
    <w:p w14:paraId="1750867C" w14:textId="07D4AA20" w:rsidR="005E04C5" w:rsidRDefault="005E04C5" w:rsidP="005E04C5">
      <w:pPr>
        <w:jc w:val="both"/>
        <w:rPr>
          <w:rFonts w:ascii="Arial" w:eastAsia="Calibri" w:hAnsi="Arial" w:cs="Arial"/>
          <w:sz w:val="20"/>
          <w:szCs w:val="20"/>
          <w:lang w:val="es-ES_tradnl"/>
        </w:rPr>
      </w:pPr>
      <w:r w:rsidRPr="005E04C5">
        <w:rPr>
          <w:rFonts w:ascii="Arial" w:eastAsia="Calibri" w:hAnsi="Arial" w:cs="Arial"/>
          <w:sz w:val="20"/>
          <w:szCs w:val="20"/>
          <w:lang w:val="es-ES_tradnl"/>
        </w:rPr>
        <w:t xml:space="preserve">En la Ley 2069 de 2020 la exigencia de reglamentación como condición de eficacia de su articulado es diversa, o sea, no es similar frente a todos sus enunciados normativos. Verbigracia, los artículos 31, 32, 34 y 36 de la Ley 2069 de 2020 disponen que el gobierno nacional reglamentará i) los criterios diferenciales para </w:t>
      </w:r>
      <w:proofErr w:type="spellStart"/>
      <w:r w:rsidRPr="005E04C5">
        <w:rPr>
          <w:rFonts w:ascii="Arial" w:eastAsia="Calibri" w:hAnsi="Arial" w:cs="Arial"/>
          <w:sz w:val="20"/>
          <w:szCs w:val="20"/>
          <w:lang w:val="es-ES_tradnl"/>
        </w:rPr>
        <w:t>mipymes</w:t>
      </w:r>
      <w:proofErr w:type="spellEnd"/>
      <w:r w:rsidRPr="005E04C5">
        <w:rPr>
          <w:rFonts w:ascii="Arial" w:eastAsia="Calibri" w:hAnsi="Arial" w:cs="Arial"/>
          <w:sz w:val="20"/>
          <w:szCs w:val="20"/>
          <w:lang w:val="es-ES_tradnl"/>
        </w:rPr>
        <w:t xml:space="preserve">, </w:t>
      </w:r>
      <w:proofErr w:type="spellStart"/>
      <w:r w:rsidRPr="005E04C5">
        <w:rPr>
          <w:rFonts w:ascii="Arial" w:eastAsia="Calibri" w:hAnsi="Arial" w:cs="Arial"/>
          <w:sz w:val="20"/>
          <w:szCs w:val="20"/>
          <w:lang w:val="es-ES_tradnl"/>
        </w:rPr>
        <w:t>ii</w:t>
      </w:r>
      <w:proofErr w:type="spellEnd"/>
      <w:r w:rsidRPr="005E04C5">
        <w:rPr>
          <w:rFonts w:ascii="Arial" w:eastAsia="Calibri" w:hAnsi="Arial" w:cs="Arial"/>
          <w:sz w:val="20"/>
          <w:szCs w:val="20"/>
          <w:lang w:val="es-ES_tradnl"/>
        </w:rPr>
        <w:t xml:space="preserve">) la definición de «emprendimientos y empresas de mujeres», </w:t>
      </w:r>
      <w:proofErr w:type="spellStart"/>
      <w:r w:rsidRPr="005E04C5">
        <w:rPr>
          <w:rFonts w:ascii="Arial" w:eastAsia="Calibri" w:hAnsi="Arial" w:cs="Arial"/>
          <w:sz w:val="20"/>
          <w:szCs w:val="20"/>
          <w:lang w:val="es-ES_tradnl"/>
        </w:rPr>
        <w:t>iii</w:t>
      </w:r>
      <w:proofErr w:type="spellEnd"/>
      <w:r w:rsidRPr="005E04C5">
        <w:rPr>
          <w:rFonts w:ascii="Arial" w:eastAsia="Calibri" w:hAnsi="Arial" w:cs="Arial"/>
          <w:sz w:val="20"/>
          <w:szCs w:val="20"/>
          <w:lang w:val="es-ES_tradnl"/>
        </w:rPr>
        <w:t xml:space="preserve">) las convocatorias limitadas a </w:t>
      </w:r>
      <w:proofErr w:type="spellStart"/>
      <w:r w:rsidRPr="005E04C5">
        <w:rPr>
          <w:rFonts w:ascii="Arial" w:eastAsia="Calibri" w:hAnsi="Arial" w:cs="Arial"/>
          <w:sz w:val="20"/>
          <w:szCs w:val="20"/>
          <w:lang w:val="es-ES_tradnl"/>
        </w:rPr>
        <w:t>mipymes</w:t>
      </w:r>
      <w:proofErr w:type="spellEnd"/>
      <w:r w:rsidRPr="005E04C5">
        <w:rPr>
          <w:rFonts w:ascii="Arial" w:eastAsia="Calibri" w:hAnsi="Arial" w:cs="Arial"/>
          <w:sz w:val="20"/>
          <w:szCs w:val="20"/>
          <w:lang w:val="es-ES_tradnl"/>
        </w:rPr>
        <w:t xml:space="preserve"> y el fomento en la ejecución de los contratos estatales por parte de sujetos de especial protección, así como </w:t>
      </w:r>
      <w:proofErr w:type="spellStart"/>
      <w:r w:rsidRPr="005E04C5">
        <w:rPr>
          <w:rFonts w:ascii="Arial" w:eastAsia="Calibri" w:hAnsi="Arial" w:cs="Arial"/>
          <w:sz w:val="20"/>
          <w:szCs w:val="20"/>
          <w:lang w:val="es-ES_tradnl"/>
        </w:rPr>
        <w:t>iv</w:t>
      </w:r>
      <w:proofErr w:type="spellEnd"/>
      <w:r w:rsidRPr="005E04C5">
        <w:rPr>
          <w:rFonts w:ascii="Arial" w:eastAsia="Calibri" w:hAnsi="Arial" w:cs="Arial"/>
          <w:sz w:val="20"/>
          <w:szCs w:val="20"/>
          <w:lang w:val="es-ES_tradnl"/>
        </w:rPr>
        <w:t xml:space="preserve">) la promoción de las compras públicas de tecnología e innovación. En este contexto, es necesario analizar si las entidades pueden aplicar directamente las normas citadas o, por el contrario, si su efectividad está condicionada a la expedición del reglamento correspondiente. </w:t>
      </w:r>
    </w:p>
    <w:p w14:paraId="048F3989" w14:textId="77777777" w:rsidR="003869CD" w:rsidRPr="005E04C5" w:rsidRDefault="003869CD" w:rsidP="005E04C5">
      <w:pPr>
        <w:jc w:val="both"/>
        <w:rPr>
          <w:rFonts w:ascii="Arial" w:eastAsia="Calibri" w:hAnsi="Arial" w:cs="Arial"/>
          <w:sz w:val="20"/>
          <w:szCs w:val="20"/>
          <w:lang w:val="es-ES_tradnl"/>
        </w:rPr>
      </w:pPr>
    </w:p>
    <w:p w14:paraId="59B84558" w14:textId="5D6DD433" w:rsidR="005E04C5" w:rsidRDefault="005E04C5" w:rsidP="005E04C5">
      <w:pPr>
        <w:jc w:val="both"/>
        <w:rPr>
          <w:rFonts w:ascii="Arial" w:eastAsia="Calibri" w:hAnsi="Arial" w:cs="Arial"/>
          <w:sz w:val="20"/>
          <w:szCs w:val="20"/>
          <w:lang w:val="es-ES_tradnl"/>
        </w:rPr>
      </w:pPr>
      <w:r w:rsidRPr="005E04C5">
        <w:rPr>
          <w:rFonts w:ascii="Arial" w:eastAsia="Calibri" w:hAnsi="Arial" w:cs="Arial"/>
          <w:sz w:val="20"/>
          <w:szCs w:val="20"/>
          <w:lang w:val="es-ES_tradnl"/>
        </w:rPr>
        <w:t xml:space="preserve">La respuesta a la inquietud planteada en el párrafo precedente es de enorme importancia por los efectos prácticos de ambas posiciones. Por un lado, quien opte por la tesis de la aplicación directa debe sostener que la intervención del reglamento es accesoria, no necesaria: el Congreso de la República ejerce su competencia para la expedición de las leyes sin que normas de inferior jerarquía condicionen su vigencia o aplicación. En este contexto, cualquier espacio abierto de decisión –siempre que no esté sometido a reserva– habilita el ejercicio de potestades discrecionales por parte de las entidades públicas, salvo que el reglamento eventualmente los limite. De esta manera, a menor precisión de la ley, mayor es el campo de acción del reglamento: en este el funcionario competente tiene libertad para expedir o no las normas correspondientes. Por ello, la jurisprudencia explica que la competencia reglamentaria prevista en el artículo 189.11 superior también corresponde a un poder </w:t>
      </w:r>
      <w:proofErr w:type="gramStart"/>
      <w:r w:rsidRPr="005E04C5">
        <w:rPr>
          <w:rFonts w:ascii="Arial" w:eastAsia="Calibri" w:hAnsi="Arial" w:cs="Arial"/>
          <w:sz w:val="20"/>
          <w:szCs w:val="20"/>
          <w:lang w:val="es-ES_tradnl"/>
        </w:rPr>
        <w:t>discrecional .</w:t>
      </w:r>
      <w:proofErr w:type="gramEnd"/>
      <w:r w:rsidRPr="005E04C5">
        <w:rPr>
          <w:rFonts w:ascii="Arial" w:eastAsia="Calibri" w:hAnsi="Arial" w:cs="Arial"/>
          <w:sz w:val="20"/>
          <w:szCs w:val="20"/>
          <w:lang w:val="es-ES_tradnl"/>
        </w:rPr>
        <w:t xml:space="preserve"> En este contexto, si la expedición de reglamentos no es obligatoria, la ausencia de estos no excusa la inaplicación de la ley, pues contiene unos elementos mínimos que vinculan directamente a los destinatarios.</w:t>
      </w:r>
      <w:r w:rsidRPr="005E04C5">
        <w:rPr>
          <w:rFonts w:ascii="Arial" w:eastAsia="Calibri" w:hAnsi="Arial" w:cs="Arial"/>
          <w:sz w:val="20"/>
          <w:szCs w:val="20"/>
          <w:lang w:val="es-ES_tradnl"/>
        </w:rPr>
        <w:tab/>
        <w:t xml:space="preserve">Este es el caso de lo previsto en los artículos </w:t>
      </w:r>
      <w:r w:rsidRPr="005E04C5">
        <w:rPr>
          <w:rFonts w:ascii="Arial" w:eastAsia="Calibri" w:hAnsi="Arial" w:cs="Arial"/>
          <w:sz w:val="20"/>
          <w:szCs w:val="20"/>
          <w:lang w:val="es-ES_tradnl"/>
        </w:rPr>
        <w:lastRenderedPageBreak/>
        <w:t xml:space="preserve">30, 33 y 35 de la Ley de Emprendimiento. En relación con las </w:t>
      </w:r>
      <w:proofErr w:type="spellStart"/>
      <w:r w:rsidRPr="005E04C5">
        <w:rPr>
          <w:rFonts w:ascii="Arial" w:eastAsia="Calibri" w:hAnsi="Arial" w:cs="Arial"/>
          <w:sz w:val="20"/>
          <w:szCs w:val="20"/>
          <w:lang w:val="es-ES_tradnl"/>
        </w:rPr>
        <w:t>mipymes</w:t>
      </w:r>
      <w:proofErr w:type="spellEnd"/>
      <w:r w:rsidRPr="005E04C5">
        <w:rPr>
          <w:rFonts w:ascii="Arial" w:eastAsia="Calibri" w:hAnsi="Arial" w:cs="Arial"/>
          <w:sz w:val="20"/>
          <w:szCs w:val="20"/>
          <w:lang w:val="es-ES_tradnl"/>
        </w:rPr>
        <w:t xml:space="preserve"> y mínima cuantía, dado que el artículo 30 de la Ley 2069 de 2020 regula aspectos como i) el término mínimo para publicar la invitación, </w:t>
      </w:r>
      <w:proofErr w:type="spellStart"/>
      <w:r w:rsidRPr="005E04C5">
        <w:rPr>
          <w:rFonts w:ascii="Arial" w:eastAsia="Calibri" w:hAnsi="Arial" w:cs="Arial"/>
          <w:sz w:val="20"/>
          <w:szCs w:val="20"/>
          <w:lang w:val="es-ES_tradnl"/>
        </w:rPr>
        <w:t>ii</w:t>
      </w:r>
      <w:proofErr w:type="spellEnd"/>
      <w:r w:rsidRPr="005E04C5">
        <w:rPr>
          <w:rFonts w:ascii="Arial" w:eastAsia="Calibri" w:hAnsi="Arial" w:cs="Arial"/>
          <w:sz w:val="20"/>
          <w:szCs w:val="20"/>
          <w:lang w:val="es-ES_tradnl"/>
        </w:rPr>
        <w:t xml:space="preserve">) el plazo mínimo de recepción de las ofertas, </w:t>
      </w:r>
      <w:proofErr w:type="spellStart"/>
      <w:r w:rsidRPr="005E04C5">
        <w:rPr>
          <w:rFonts w:ascii="Arial" w:eastAsia="Calibri" w:hAnsi="Arial" w:cs="Arial"/>
          <w:sz w:val="20"/>
          <w:szCs w:val="20"/>
          <w:lang w:val="es-ES_tradnl"/>
        </w:rPr>
        <w:t>iii</w:t>
      </w:r>
      <w:proofErr w:type="spellEnd"/>
      <w:r w:rsidRPr="005E04C5">
        <w:rPr>
          <w:rFonts w:ascii="Arial" w:eastAsia="Calibri" w:hAnsi="Arial" w:cs="Arial"/>
          <w:sz w:val="20"/>
          <w:szCs w:val="20"/>
          <w:lang w:val="es-ES_tradnl"/>
        </w:rPr>
        <w:t xml:space="preserve">) el factor de evaluación que define la selección del proponente y </w:t>
      </w:r>
      <w:proofErr w:type="spellStart"/>
      <w:r w:rsidRPr="005E04C5">
        <w:rPr>
          <w:rFonts w:ascii="Arial" w:eastAsia="Calibri" w:hAnsi="Arial" w:cs="Arial"/>
          <w:sz w:val="20"/>
          <w:szCs w:val="20"/>
          <w:lang w:val="es-ES_tradnl"/>
        </w:rPr>
        <w:t>iv</w:t>
      </w:r>
      <w:proofErr w:type="spellEnd"/>
      <w:r w:rsidRPr="005E04C5">
        <w:rPr>
          <w:rFonts w:ascii="Arial" w:eastAsia="Calibri" w:hAnsi="Arial" w:cs="Arial"/>
          <w:sz w:val="20"/>
          <w:szCs w:val="20"/>
          <w:lang w:val="es-ES_tradnl"/>
        </w:rPr>
        <w:t xml:space="preserve">) el perfeccionamiento del contrato, las entidades deben estructurar sus procedimientos de selección de acuerdo con estos parámetros, los cuales tienen una aplicación inmediata sin que el reglamento condicione la vigencia de la mínima cuantía. Esto sin perjuicio de que el Gobierno Nacional, conforme a lo dispuesto en el parágrafo 1 ibidem, ejerza la potestad reglamentaria para regular tanto las particularidades del procedimiento de selección como la posibilidad de realizar estas adquisiciones a </w:t>
      </w:r>
      <w:proofErr w:type="spellStart"/>
      <w:r w:rsidRPr="005E04C5">
        <w:rPr>
          <w:rFonts w:ascii="Arial" w:eastAsia="Calibri" w:hAnsi="Arial" w:cs="Arial"/>
          <w:sz w:val="20"/>
          <w:szCs w:val="20"/>
          <w:lang w:val="es-ES_tradnl"/>
        </w:rPr>
        <w:t>mipymes</w:t>
      </w:r>
      <w:proofErr w:type="spellEnd"/>
      <w:r w:rsidRPr="005E04C5">
        <w:rPr>
          <w:rFonts w:ascii="Arial" w:eastAsia="Calibri" w:hAnsi="Arial" w:cs="Arial"/>
          <w:sz w:val="20"/>
          <w:szCs w:val="20"/>
          <w:lang w:val="es-ES_tradnl"/>
        </w:rPr>
        <w:t xml:space="preserve"> o establecimientos que correspondan a la definición de «gran almacén».</w:t>
      </w:r>
    </w:p>
    <w:p w14:paraId="68A48DA5" w14:textId="4741CC65" w:rsidR="00004173" w:rsidRPr="005502B3" w:rsidRDefault="00004173" w:rsidP="00004173">
      <w:pPr>
        <w:jc w:val="both"/>
        <w:rPr>
          <w:rFonts w:ascii="Arial" w:hAnsi="Arial" w:cs="Arial"/>
          <w:noProof/>
          <w:sz w:val="22"/>
          <w:lang w:val="es-ES_tradnl"/>
        </w:rPr>
      </w:pPr>
      <w:r w:rsidRPr="00004173">
        <w:rPr>
          <w:rFonts w:ascii="Arial" w:hAnsi="Arial" w:cs="Arial"/>
          <w:noProof/>
          <w:sz w:val="20"/>
          <w:szCs w:val="20"/>
          <w:lang w:val="es-ES_tradnl"/>
        </w:rPr>
        <w:t xml:space="preserve">–, la expedición de una ley en sentido formal –es decir, una fuente que condiciona el contenido de este último–, hace que la disposición reglamentaria decaiga. </w:t>
      </w:r>
      <w:r w:rsidRPr="00004173">
        <w:rPr>
          <w:rFonts w:ascii="Arial" w:hAnsi="Arial" w:cs="Arial"/>
          <w:noProof/>
          <w:sz w:val="22"/>
          <w:lang w:val="es-ES_tradnl"/>
        </w:rPr>
        <w:t xml:space="preserve">  </w:t>
      </w:r>
    </w:p>
    <w:p w14:paraId="02192A44" w14:textId="007AAA56" w:rsidR="00004173" w:rsidRDefault="00004173" w:rsidP="00B95C30">
      <w:pPr>
        <w:spacing w:line="276" w:lineRule="auto"/>
        <w:jc w:val="both"/>
        <w:rPr>
          <w:rFonts w:ascii="Arial" w:hAnsi="Arial" w:cs="Arial"/>
          <w:noProof/>
          <w:sz w:val="22"/>
          <w:lang w:val="es-ES_tradnl"/>
        </w:rPr>
      </w:pPr>
    </w:p>
    <w:p w14:paraId="7CE5574A" w14:textId="3ABDCB55" w:rsidR="00C61863" w:rsidRPr="00C61863" w:rsidRDefault="00C61863" w:rsidP="00B95C30">
      <w:pPr>
        <w:spacing w:line="276" w:lineRule="auto"/>
        <w:jc w:val="both"/>
        <w:rPr>
          <w:rFonts w:ascii="Arial" w:hAnsi="Arial" w:cs="Arial"/>
          <w:b/>
          <w:bCs/>
          <w:noProof/>
          <w:sz w:val="22"/>
          <w:lang w:val="es-ES_tradnl"/>
        </w:rPr>
      </w:pPr>
      <w:r w:rsidRPr="00C61863">
        <w:rPr>
          <w:rFonts w:ascii="Arial" w:hAnsi="Arial" w:cs="Arial"/>
          <w:b/>
          <w:bCs/>
          <w:noProof/>
          <w:sz w:val="22"/>
          <w:lang w:val="es-ES_tradnl"/>
        </w:rPr>
        <w:t xml:space="preserve">MÍNIMA CUANTÍA – Procedimiento </w:t>
      </w:r>
      <w:r w:rsidRPr="00C61863">
        <w:rPr>
          <w:rFonts w:ascii="Arial" w:hAnsi="Arial" w:cs="Arial"/>
          <w:b/>
          <w:bCs/>
          <w:noProof/>
          <w:sz w:val="22"/>
          <w:lang w:val="es-ES_tradnl"/>
        </w:rPr>
        <w:softHyphen/>
        <w:t xml:space="preserve">– Decreto 1082 de 2015 – Artículo </w:t>
      </w:r>
      <w:r w:rsidRPr="00C61863">
        <w:rPr>
          <w:rFonts w:ascii="Arial" w:eastAsia="Calibri" w:hAnsi="Arial" w:cs="Arial"/>
          <w:b/>
          <w:bCs/>
          <w:color w:val="000000" w:themeColor="text1"/>
          <w:sz w:val="22"/>
          <w:szCs w:val="22"/>
          <w:lang w:val="es-ES_tradnl"/>
        </w:rPr>
        <w:t>2.2.1.2.1.5.2 - Vigencia</w:t>
      </w:r>
    </w:p>
    <w:p w14:paraId="52753D08" w14:textId="77777777" w:rsidR="00C61863" w:rsidRDefault="00C61863" w:rsidP="00B95C30">
      <w:pPr>
        <w:spacing w:line="276" w:lineRule="auto"/>
        <w:jc w:val="both"/>
        <w:rPr>
          <w:rFonts w:ascii="Arial" w:hAnsi="Arial" w:cs="Arial"/>
          <w:noProof/>
          <w:sz w:val="22"/>
          <w:lang w:val="es-ES_tradnl"/>
        </w:rPr>
      </w:pPr>
    </w:p>
    <w:p w14:paraId="0DEB25B6" w14:textId="77777777" w:rsidR="005E04C5" w:rsidRPr="00C61863" w:rsidRDefault="00004173" w:rsidP="00C61863">
      <w:pPr>
        <w:tabs>
          <w:tab w:val="left" w:pos="709"/>
        </w:tabs>
        <w:spacing w:after="120"/>
        <w:jc w:val="both"/>
        <w:rPr>
          <w:rFonts w:ascii="Arial" w:eastAsia="Calibri" w:hAnsi="Arial" w:cs="Arial"/>
          <w:color w:val="000000" w:themeColor="text1"/>
          <w:sz w:val="20"/>
          <w:szCs w:val="20"/>
          <w:lang w:val="es-ES_tradnl"/>
        </w:rPr>
      </w:pPr>
      <w:r w:rsidRPr="003869CD">
        <w:rPr>
          <w:rFonts w:ascii="Arial" w:eastAsia="Calibri" w:hAnsi="Arial" w:cs="Arial"/>
          <w:sz w:val="20"/>
          <w:szCs w:val="20"/>
          <w:lang w:val="es-ES_tradnl"/>
        </w:rPr>
        <w:t xml:space="preserve">[…] </w:t>
      </w:r>
      <w:r w:rsidR="005E04C5" w:rsidRPr="003869CD">
        <w:rPr>
          <w:rFonts w:ascii="Arial" w:eastAsia="Calibri" w:hAnsi="Arial" w:cs="Arial"/>
          <w:color w:val="000000" w:themeColor="text1"/>
          <w:sz w:val="20"/>
          <w:szCs w:val="20"/>
          <w:lang w:val="es-ES_tradnl"/>
        </w:rPr>
        <w:t>continúa</w:t>
      </w:r>
      <w:r w:rsidR="005E04C5" w:rsidRPr="00C61863">
        <w:rPr>
          <w:rFonts w:ascii="Arial" w:eastAsia="Calibri" w:hAnsi="Arial" w:cs="Arial"/>
          <w:color w:val="000000" w:themeColor="text1"/>
          <w:sz w:val="20"/>
          <w:szCs w:val="20"/>
          <w:lang w:val="es-ES_tradnl"/>
        </w:rPr>
        <w:t xml:space="preserve"> vigente el artículo 2.2.1.2.1.5.2 del Decreto Único Reglamentario del Sector Administrativo de Planeación Nacional. Aunque el artículo 30 de la Ley de Emprendimiento subroga el contenido del numeral 5 del artículo 2 de la Ley 1150 de 2007, ambas disposiciones son de aplicación directa. Adicionalmente, pese a que la Ley de Emprendimiento permite las convocatorias limitadas a la </w:t>
      </w:r>
      <w:proofErr w:type="spellStart"/>
      <w:r w:rsidR="005E04C5" w:rsidRPr="00C61863">
        <w:rPr>
          <w:rFonts w:ascii="Arial" w:eastAsia="Calibri" w:hAnsi="Arial" w:cs="Arial"/>
          <w:color w:val="000000" w:themeColor="text1"/>
          <w:sz w:val="20"/>
          <w:szCs w:val="20"/>
          <w:lang w:val="es-ES_tradnl"/>
        </w:rPr>
        <w:t>mypimes</w:t>
      </w:r>
      <w:proofErr w:type="spellEnd"/>
      <w:r w:rsidR="005E04C5" w:rsidRPr="00C61863">
        <w:rPr>
          <w:rFonts w:ascii="Arial" w:eastAsia="Calibri" w:hAnsi="Arial" w:cs="Arial"/>
          <w:color w:val="000000" w:themeColor="text1"/>
          <w:sz w:val="20"/>
          <w:szCs w:val="20"/>
          <w:lang w:val="es-ES_tradnl"/>
        </w:rPr>
        <w:t xml:space="preserve"> en la mínima cuantía, el desarrollo reglamentario de este tema hace parte del artículo 34 </w:t>
      </w:r>
      <w:r w:rsidR="005E04C5" w:rsidRPr="00C61863">
        <w:rPr>
          <w:rFonts w:ascii="Arial" w:eastAsia="Calibri" w:hAnsi="Arial" w:cs="Arial"/>
          <w:i/>
          <w:iCs/>
          <w:color w:val="000000" w:themeColor="text1"/>
          <w:sz w:val="20"/>
          <w:szCs w:val="20"/>
          <w:lang w:val="es-ES_tradnl"/>
        </w:rPr>
        <w:t>ibídem</w:t>
      </w:r>
      <w:r w:rsidR="005E04C5" w:rsidRPr="00C61863">
        <w:rPr>
          <w:rFonts w:ascii="Arial" w:eastAsia="Calibri" w:hAnsi="Arial" w:cs="Arial"/>
          <w:color w:val="000000" w:themeColor="text1"/>
          <w:sz w:val="20"/>
          <w:szCs w:val="20"/>
          <w:lang w:val="es-ES_tradnl"/>
        </w:rPr>
        <w:t xml:space="preserve">. En esta medida, pese a la sustitución formal del artículo 94 de la Ley 1474 de 2011, se observa que materialmente no existe una derogación de la mínima cuantía ni una modificación sustancial que incida en el procedimiento, por lo que no desaparece el fundamento jurídico de la norma reglamentaria que lo desarrolla. </w:t>
      </w:r>
    </w:p>
    <w:p w14:paraId="6CC52CFE" w14:textId="4FB998BF" w:rsidR="00C61863" w:rsidRDefault="005E04C5" w:rsidP="00C61863">
      <w:pPr>
        <w:tabs>
          <w:tab w:val="left" w:pos="709"/>
        </w:tabs>
        <w:spacing w:line="276" w:lineRule="auto"/>
        <w:jc w:val="both"/>
        <w:rPr>
          <w:rFonts w:ascii="Arial" w:eastAsia="Calibri" w:hAnsi="Arial" w:cs="Arial"/>
          <w:color w:val="000000" w:themeColor="text1"/>
          <w:sz w:val="22"/>
          <w:szCs w:val="22"/>
          <w:lang w:val="es-ES_tradnl"/>
        </w:rPr>
      </w:pPr>
      <w:r>
        <w:rPr>
          <w:rFonts w:ascii="Arial" w:eastAsia="Calibri" w:hAnsi="Arial" w:cs="Arial"/>
          <w:color w:val="000000" w:themeColor="text1"/>
          <w:sz w:val="22"/>
          <w:szCs w:val="22"/>
          <w:lang w:val="es-ES_tradnl"/>
        </w:rPr>
        <w:tab/>
      </w:r>
    </w:p>
    <w:p w14:paraId="5A5F7171" w14:textId="77777777" w:rsidR="00C61863" w:rsidRPr="00004173" w:rsidRDefault="00C61863" w:rsidP="00C61863">
      <w:pPr>
        <w:spacing w:line="276" w:lineRule="auto"/>
        <w:jc w:val="both"/>
        <w:rPr>
          <w:rFonts w:ascii="Arial" w:hAnsi="Arial" w:cs="Arial"/>
          <w:b/>
          <w:bCs/>
          <w:noProof/>
          <w:sz w:val="22"/>
          <w:lang w:val="es-ES_tradnl"/>
        </w:rPr>
      </w:pPr>
      <w:r w:rsidRPr="00004173">
        <w:rPr>
          <w:rFonts w:ascii="Arial" w:hAnsi="Arial" w:cs="Arial"/>
          <w:b/>
          <w:bCs/>
          <w:noProof/>
          <w:sz w:val="22"/>
          <w:lang w:val="es-ES_tradnl"/>
        </w:rPr>
        <w:t xml:space="preserve">FACTORES DE DESEMPATE </w:t>
      </w:r>
      <w:r w:rsidRPr="00004173">
        <w:rPr>
          <w:rFonts w:ascii="Arial" w:hAnsi="Arial" w:cs="Arial"/>
          <w:b/>
          <w:bCs/>
          <w:noProof/>
          <w:sz w:val="22"/>
          <w:lang w:val="es-ES_tradnl"/>
        </w:rPr>
        <w:softHyphen/>
        <w:t xml:space="preserve">– Mínima cuantía – Ley 2069 de 2020 – Factores de desempate – Aplicación – Puntaje </w:t>
      </w:r>
    </w:p>
    <w:p w14:paraId="5AC533C2" w14:textId="77777777" w:rsidR="00C61863" w:rsidRDefault="00C61863" w:rsidP="00C61863">
      <w:pPr>
        <w:tabs>
          <w:tab w:val="left" w:pos="709"/>
        </w:tabs>
        <w:spacing w:line="276" w:lineRule="auto"/>
        <w:jc w:val="both"/>
        <w:rPr>
          <w:rFonts w:ascii="Arial" w:eastAsia="Calibri" w:hAnsi="Arial" w:cs="Arial"/>
          <w:color w:val="000000" w:themeColor="text1"/>
          <w:sz w:val="22"/>
          <w:szCs w:val="22"/>
          <w:lang w:val="es-ES_tradnl"/>
        </w:rPr>
      </w:pPr>
    </w:p>
    <w:p w14:paraId="18BE4F92" w14:textId="1C778D35" w:rsidR="00C61863" w:rsidRPr="00C61863" w:rsidRDefault="00C61863" w:rsidP="00C61863">
      <w:pPr>
        <w:tabs>
          <w:tab w:val="left" w:pos="709"/>
        </w:tabs>
        <w:jc w:val="both"/>
        <w:rPr>
          <w:rFonts w:ascii="Arial" w:eastAsia="Calibri" w:hAnsi="Arial" w:cs="Arial"/>
          <w:bCs/>
          <w:color w:val="000000" w:themeColor="text1"/>
          <w:sz w:val="20"/>
          <w:szCs w:val="20"/>
          <w:lang w:val="es-ES_tradnl"/>
        </w:rPr>
      </w:pPr>
      <w:r w:rsidRPr="00C61863">
        <w:rPr>
          <w:rFonts w:ascii="Arial" w:eastAsia="Calibri" w:hAnsi="Arial" w:cs="Arial"/>
          <w:color w:val="000000" w:themeColor="text1"/>
          <w:sz w:val="20"/>
          <w:szCs w:val="20"/>
          <w:lang w:val="es-ES_tradnl"/>
        </w:rPr>
        <w:t>No obstante, es necesario introducir un matiz en la conclusión precedente, ya que el factor de desempate previsto en el numeral 7 del artículo 2.2.1.2.1.5.2 han perdido vigencia con la expedición del artículo 35 de la Ley de Emprendimiento. Al respecto</w:t>
      </w:r>
      <w:r w:rsidRPr="00C61863">
        <w:rPr>
          <w:rFonts w:ascii="Arial" w:hAnsi="Arial" w:cs="Arial"/>
          <w:color w:val="000000" w:themeColor="text1"/>
          <w:sz w:val="20"/>
          <w:szCs w:val="20"/>
          <w:lang w:val="es-ES_tradnl"/>
        </w:rPr>
        <w:t>, el artículo 2.2.1.1.2.2.9. del Decreto 1082 de 2015 regulaba los factores de desempate que debían aplicarse en los procesos de selección. En criterio de esta Agencia, dicha norma debe entenderse derogada por el artículo 35 de la Ley 2069 de 2020. Ello no solo porque el artículo 84 de esta ley dispone que «rige a partir del momento de su promulgación», es decir, desde el 31 de diciembre de 2020, sino además porque la misma disposición señala que la Ley 2069 de 2020 deroga «[…] todas las disposiciones que le sean contrarias»</w:t>
      </w:r>
      <w:r w:rsidRPr="00C61863">
        <w:rPr>
          <w:rFonts w:ascii="Arial" w:eastAsia="Calibri" w:hAnsi="Arial" w:cs="Arial"/>
          <w:bCs/>
          <w:color w:val="000000" w:themeColor="text1"/>
          <w:sz w:val="20"/>
          <w:szCs w:val="20"/>
          <w:lang w:val="es-ES_tradnl"/>
        </w:rPr>
        <w:t xml:space="preserve">. Un argumento adicional para sostener esta tesis tiene que ver con el fenómeno de la pérdida de fuerza ejecutoria –o decaimiento– de los actos administrativos, regulado en el numeral 2 del artículo 91 de la Ley 1437 de 2011. Dado que el Decreto 1082 de 2015 es un reglamento </w:t>
      </w:r>
      <w:proofErr w:type="spellStart"/>
      <w:r w:rsidRPr="00C61863">
        <w:rPr>
          <w:rFonts w:ascii="Arial" w:eastAsia="Calibri" w:hAnsi="Arial" w:cs="Arial"/>
          <w:bCs/>
          <w:i/>
          <w:iCs/>
          <w:color w:val="000000" w:themeColor="text1"/>
          <w:sz w:val="20"/>
          <w:szCs w:val="20"/>
          <w:lang w:val="es-ES_tradnl"/>
        </w:rPr>
        <w:t>secundum</w:t>
      </w:r>
      <w:proofErr w:type="spellEnd"/>
      <w:r w:rsidRPr="00C61863">
        <w:rPr>
          <w:rFonts w:ascii="Arial" w:eastAsia="Calibri" w:hAnsi="Arial" w:cs="Arial"/>
          <w:bCs/>
          <w:i/>
          <w:iCs/>
          <w:color w:val="000000" w:themeColor="text1"/>
          <w:sz w:val="20"/>
          <w:szCs w:val="20"/>
          <w:lang w:val="es-ES_tradnl"/>
        </w:rPr>
        <w:t xml:space="preserve"> </w:t>
      </w:r>
      <w:proofErr w:type="spellStart"/>
      <w:r w:rsidRPr="00C61863">
        <w:rPr>
          <w:rFonts w:ascii="Arial" w:eastAsia="Calibri" w:hAnsi="Arial" w:cs="Arial"/>
          <w:bCs/>
          <w:i/>
          <w:iCs/>
          <w:color w:val="000000" w:themeColor="text1"/>
          <w:sz w:val="20"/>
          <w:szCs w:val="20"/>
          <w:lang w:val="es-ES_tradnl"/>
        </w:rPr>
        <w:t>legem</w:t>
      </w:r>
      <w:proofErr w:type="spellEnd"/>
      <w:r w:rsidRPr="00C61863">
        <w:rPr>
          <w:rFonts w:ascii="Arial" w:eastAsia="Calibri" w:hAnsi="Arial" w:cs="Arial"/>
          <w:bCs/>
          <w:color w:val="000000" w:themeColor="text1"/>
          <w:sz w:val="20"/>
          <w:szCs w:val="20"/>
          <w:lang w:val="es-ES_tradnl"/>
        </w:rPr>
        <w:t xml:space="preserve"> –es decir, que desarrolla una norma de mayor jerarquía–, la expedición de una ley en sentido formal –es decir, una fuente que condiciona el contenido de este último–, hace que la disposición reglamentaria decaiga.  </w:t>
      </w:r>
    </w:p>
    <w:p w14:paraId="57FF5D9E" w14:textId="77777777" w:rsidR="00C61863" w:rsidRPr="00C61863" w:rsidRDefault="00C61863" w:rsidP="00C61863">
      <w:pPr>
        <w:spacing w:before="120" w:after="120"/>
        <w:jc w:val="both"/>
        <w:rPr>
          <w:rFonts w:ascii="Arial" w:hAnsi="Arial" w:cs="Arial"/>
          <w:color w:val="000000" w:themeColor="text1"/>
          <w:sz w:val="20"/>
          <w:szCs w:val="20"/>
          <w:lang w:val="es-ES_tradnl"/>
        </w:rPr>
      </w:pPr>
      <w:r w:rsidRPr="00C61863">
        <w:rPr>
          <w:rFonts w:ascii="Arial" w:hAnsi="Arial" w:cs="Arial"/>
          <w:color w:val="000000" w:themeColor="text1"/>
          <w:sz w:val="20"/>
          <w:szCs w:val="20"/>
          <w:lang w:val="es-ES_tradnl"/>
        </w:rPr>
        <w:t xml:space="preserve">Lo explicado en los párrafos precedentes también aplica </w:t>
      </w:r>
      <w:r w:rsidRPr="00C61863">
        <w:rPr>
          <w:rFonts w:ascii="Arial" w:hAnsi="Arial" w:cs="Arial"/>
          <w:i/>
          <w:iCs/>
          <w:color w:val="000000" w:themeColor="text1"/>
          <w:sz w:val="20"/>
          <w:szCs w:val="20"/>
          <w:lang w:val="es-ES_tradnl"/>
        </w:rPr>
        <w:t>mutatis mutandis</w:t>
      </w:r>
      <w:r w:rsidRPr="00C61863">
        <w:rPr>
          <w:rFonts w:ascii="Arial" w:hAnsi="Arial" w:cs="Arial"/>
          <w:color w:val="000000" w:themeColor="text1"/>
          <w:sz w:val="20"/>
          <w:szCs w:val="20"/>
          <w:lang w:val="es-ES_tradnl"/>
        </w:rPr>
        <w:t xml:space="preserve"> a los factores de desempate previstos en el Decreto Único Reglamentario del Sector Administrativo de Planeación Nacional para la mínima cuantía. En efecto, si bien el parágrafo 2 del artículo 30 de la Ley de Emprendimiento dispone que «La contratación a que se refiere el presente artículo se realizará exclusivamente con las reglas en él contempladas y en su reglamentación […], las causales del </w:t>
      </w:r>
      <w:r w:rsidRPr="00C61863">
        <w:rPr>
          <w:rFonts w:ascii="Arial" w:hAnsi="Arial" w:cs="Arial"/>
          <w:color w:val="000000" w:themeColor="text1"/>
          <w:sz w:val="20"/>
          <w:szCs w:val="20"/>
          <w:lang w:val="es-ES_tradnl"/>
        </w:rPr>
        <w:lastRenderedPageBreak/>
        <w:t>artículo 35 de la Ley 2069 de 2020 aplican a los «[…] los Procesos de Contratación realizados con cargo a recursos públicos, los Procesos de Contratación realizados por las Entidades Estatales indistintamente de su régimen de contratación, así como los celebrados por los Procesos de Contratación de los patrimonios autónomos constituidos por Entidades Estatales […]», sin distinguir entre modalidades de selección.</w:t>
      </w:r>
    </w:p>
    <w:p w14:paraId="5BF0DB7F" w14:textId="77777777" w:rsidR="00C61863" w:rsidRDefault="00C61863" w:rsidP="00C61863">
      <w:pPr>
        <w:tabs>
          <w:tab w:val="left" w:pos="709"/>
        </w:tabs>
        <w:spacing w:line="276" w:lineRule="auto"/>
        <w:jc w:val="both"/>
        <w:rPr>
          <w:rFonts w:ascii="Arial" w:hAnsi="Arial" w:cs="Arial"/>
          <w:color w:val="000000" w:themeColor="text1"/>
          <w:sz w:val="22"/>
          <w:szCs w:val="22"/>
          <w:lang w:val="es-ES_tradnl"/>
        </w:rPr>
      </w:pPr>
    </w:p>
    <w:p w14:paraId="666856BF" w14:textId="17495162" w:rsidR="00004173" w:rsidRPr="005502B3" w:rsidRDefault="00004173" w:rsidP="005E04C5">
      <w:pPr>
        <w:jc w:val="both"/>
        <w:rPr>
          <w:rFonts w:ascii="Arial" w:hAnsi="Arial" w:cs="Arial"/>
          <w:noProof/>
          <w:sz w:val="22"/>
          <w:lang w:val="es-ES_tradnl"/>
        </w:rPr>
      </w:pPr>
    </w:p>
    <w:p w14:paraId="559444FF" w14:textId="3427D45D" w:rsidR="006D58F2" w:rsidRPr="005502B3" w:rsidRDefault="006D58F2" w:rsidP="00B95C30">
      <w:pPr>
        <w:spacing w:line="276" w:lineRule="auto"/>
        <w:jc w:val="both"/>
        <w:rPr>
          <w:rFonts w:ascii="Arial" w:hAnsi="Arial" w:cs="Arial"/>
          <w:noProof/>
          <w:sz w:val="22"/>
          <w:lang w:val="es-ES_tradnl"/>
        </w:rPr>
      </w:pPr>
    </w:p>
    <w:p w14:paraId="770AB292" w14:textId="7071937B" w:rsidR="006D58F2" w:rsidRPr="005502B3" w:rsidRDefault="006D58F2" w:rsidP="00B95C30">
      <w:pPr>
        <w:spacing w:line="276" w:lineRule="auto"/>
        <w:jc w:val="both"/>
        <w:rPr>
          <w:rFonts w:ascii="Arial" w:hAnsi="Arial" w:cs="Arial"/>
          <w:noProof/>
          <w:sz w:val="22"/>
          <w:lang w:val="es-ES_tradnl"/>
        </w:rPr>
      </w:pPr>
    </w:p>
    <w:p w14:paraId="5033CD0B" w14:textId="6E4E0678" w:rsidR="006D58F2" w:rsidRPr="005502B3" w:rsidRDefault="006D58F2" w:rsidP="00B95C30">
      <w:pPr>
        <w:spacing w:line="276" w:lineRule="auto"/>
        <w:jc w:val="both"/>
        <w:rPr>
          <w:rFonts w:ascii="Arial" w:hAnsi="Arial" w:cs="Arial"/>
          <w:noProof/>
          <w:sz w:val="22"/>
          <w:lang w:val="es-ES_tradnl"/>
        </w:rPr>
      </w:pPr>
    </w:p>
    <w:p w14:paraId="425B23E0" w14:textId="77777777" w:rsidR="006D58F2" w:rsidRPr="005502B3" w:rsidRDefault="006D58F2" w:rsidP="00B95C30">
      <w:pPr>
        <w:spacing w:line="276" w:lineRule="auto"/>
        <w:jc w:val="both"/>
        <w:rPr>
          <w:rFonts w:ascii="Arial" w:hAnsi="Arial" w:cs="Arial"/>
          <w:noProof/>
          <w:sz w:val="22"/>
          <w:lang w:val="es-ES_tradnl"/>
        </w:rPr>
      </w:pPr>
    </w:p>
    <w:p w14:paraId="24A88D3F" w14:textId="692A56A9" w:rsidR="00F53F4F" w:rsidRPr="005502B3" w:rsidRDefault="00F53F4F" w:rsidP="00B95C30">
      <w:pPr>
        <w:jc w:val="both"/>
        <w:rPr>
          <w:rFonts w:ascii="Arial" w:hAnsi="Arial" w:cs="Arial"/>
          <w:b/>
          <w:sz w:val="22"/>
          <w:lang w:val="es-ES_tradnl"/>
        </w:rPr>
      </w:pPr>
    </w:p>
    <w:p w14:paraId="184B7488" w14:textId="6DBCC181" w:rsidR="00097F53" w:rsidRDefault="00097F53" w:rsidP="00B95C30">
      <w:pPr>
        <w:jc w:val="both"/>
        <w:rPr>
          <w:rFonts w:ascii="Arial" w:hAnsi="Arial" w:cs="Arial"/>
          <w:b/>
          <w:sz w:val="22"/>
          <w:lang w:val="es-ES_tradnl"/>
        </w:rPr>
      </w:pPr>
    </w:p>
    <w:p w14:paraId="7D585357" w14:textId="40823CF2" w:rsidR="00BE3700" w:rsidRDefault="00BE3700" w:rsidP="00B95C30">
      <w:pPr>
        <w:jc w:val="both"/>
        <w:rPr>
          <w:rFonts w:ascii="Arial" w:hAnsi="Arial" w:cs="Arial"/>
          <w:b/>
          <w:sz w:val="22"/>
          <w:lang w:val="es-ES_tradnl"/>
        </w:rPr>
      </w:pPr>
    </w:p>
    <w:p w14:paraId="5F68F1FE" w14:textId="5818948F" w:rsidR="00BE3700" w:rsidRDefault="00BE3700" w:rsidP="00B95C30">
      <w:pPr>
        <w:jc w:val="both"/>
        <w:rPr>
          <w:rFonts w:ascii="Arial" w:hAnsi="Arial" w:cs="Arial"/>
          <w:b/>
          <w:sz w:val="22"/>
          <w:lang w:val="es-ES_tradnl"/>
        </w:rPr>
      </w:pPr>
    </w:p>
    <w:p w14:paraId="42081262" w14:textId="4AB60AAC" w:rsidR="00BE3700" w:rsidRDefault="00BE3700" w:rsidP="00B95C30">
      <w:pPr>
        <w:jc w:val="both"/>
        <w:rPr>
          <w:rFonts w:ascii="Arial" w:hAnsi="Arial" w:cs="Arial"/>
          <w:b/>
          <w:sz w:val="22"/>
          <w:lang w:val="es-ES_tradnl"/>
        </w:rPr>
      </w:pPr>
    </w:p>
    <w:p w14:paraId="44C456DB" w14:textId="3B44D864" w:rsidR="00BE3700" w:rsidRDefault="00BE3700" w:rsidP="00B95C30">
      <w:pPr>
        <w:jc w:val="both"/>
        <w:rPr>
          <w:rFonts w:ascii="Arial" w:hAnsi="Arial" w:cs="Arial"/>
          <w:b/>
          <w:sz w:val="22"/>
          <w:lang w:val="es-ES_tradnl"/>
        </w:rPr>
      </w:pPr>
    </w:p>
    <w:p w14:paraId="5B2E3D15" w14:textId="17EA36C8" w:rsidR="00BE3700" w:rsidRDefault="00BE3700" w:rsidP="00B95C30">
      <w:pPr>
        <w:jc w:val="both"/>
        <w:rPr>
          <w:rFonts w:ascii="Arial" w:hAnsi="Arial" w:cs="Arial"/>
          <w:b/>
          <w:sz w:val="22"/>
          <w:lang w:val="es-ES_tradnl"/>
        </w:rPr>
      </w:pPr>
    </w:p>
    <w:p w14:paraId="0F445C91" w14:textId="4C9FEC35" w:rsidR="00BE3700" w:rsidRDefault="00BE3700" w:rsidP="00B95C30">
      <w:pPr>
        <w:jc w:val="both"/>
        <w:rPr>
          <w:rFonts w:ascii="Arial" w:hAnsi="Arial" w:cs="Arial"/>
          <w:b/>
          <w:sz w:val="22"/>
          <w:lang w:val="es-ES_tradnl"/>
        </w:rPr>
      </w:pPr>
    </w:p>
    <w:p w14:paraId="2E359CAC" w14:textId="59C85025" w:rsidR="00BE3700" w:rsidRDefault="00BE3700" w:rsidP="00B95C30">
      <w:pPr>
        <w:jc w:val="both"/>
        <w:rPr>
          <w:rFonts w:ascii="Arial" w:hAnsi="Arial" w:cs="Arial"/>
          <w:b/>
          <w:sz w:val="22"/>
          <w:lang w:val="es-ES_tradnl"/>
        </w:rPr>
      </w:pPr>
    </w:p>
    <w:p w14:paraId="74B7773A" w14:textId="3D65D977" w:rsidR="00BE3700" w:rsidRDefault="00BE3700" w:rsidP="00B95C30">
      <w:pPr>
        <w:jc w:val="both"/>
        <w:rPr>
          <w:rFonts w:ascii="Arial" w:hAnsi="Arial" w:cs="Arial"/>
          <w:b/>
          <w:sz w:val="22"/>
          <w:lang w:val="es-ES_tradnl"/>
        </w:rPr>
      </w:pPr>
    </w:p>
    <w:p w14:paraId="07548B91" w14:textId="517AEB47" w:rsidR="00BE3700" w:rsidRDefault="00BE3700" w:rsidP="00B95C30">
      <w:pPr>
        <w:jc w:val="both"/>
        <w:rPr>
          <w:rFonts w:ascii="Arial" w:hAnsi="Arial" w:cs="Arial"/>
          <w:b/>
          <w:sz w:val="22"/>
          <w:lang w:val="es-ES_tradnl"/>
        </w:rPr>
      </w:pPr>
    </w:p>
    <w:p w14:paraId="73A0E612" w14:textId="7EA7343A" w:rsidR="00BE3700" w:rsidRDefault="00BE3700" w:rsidP="00B95C30">
      <w:pPr>
        <w:jc w:val="both"/>
        <w:rPr>
          <w:rFonts w:ascii="Arial" w:hAnsi="Arial" w:cs="Arial"/>
          <w:b/>
          <w:sz w:val="22"/>
          <w:lang w:val="es-ES_tradnl"/>
        </w:rPr>
      </w:pPr>
    </w:p>
    <w:p w14:paraId="6F8B804A" w14:textId="55C59463" w:rsidR="00BE3700" w:rsidRDefault="00BE3700" w:rsidP="00B95C30">
      <w:pPr>
        <w:jc w:val="both"/>
        <w:rPr>
          <w:rFonts w:ascii="Arial" w:hAnsi="Arial" w:cs="Arial"/>
          <w:b/>
          <w:sz w:val="22"/>
          <w:lang w:val="es-ES_tradnl"/>
        </w:rPr>
      </w:pPr>
    </w:p>
    <w:p w14:paraId="17DA7D66" w14:textId="340966F5" w:rsidR="00BE3700" w:rsidRDefault="00BE3700" w:rsidP="00B95C30">
      <w:pPr>
        <w:jc w:val="both"/>
        <w:rPr>
          <w:rFonts w:ascii="Arial" w:hAnsi="Arial" w:cs="Arial"/>
          <w:b/>
          <w:sz w:val="22"/>
          <w:lang w:val="es-ES_tradnl"/>
        </w:rPr>
      </w:pPr>
    </w:p>
    <w:p w14:paraId="67BF819E" w14:textId="38DC8894" w:rsidR="00BE3700" w:rsidRDefault="00BE3700" w:rsidP="00B95C30">
      <w:pPr>
        <w:jc w:val="both"/>
        <w:rPr>
          <w:rFonts w:ascii="Arial" w:hAnsi="Arial" w:cs="Arial"/>
          <w:b/>
          <w:sz w:val="22"/>
          <w:lang w:val="es-ES_tradnl"/>
        </w:rPr>
      </w:pPr>
    </w:p>
    <w:p w14:paraId="7F706B1B" w14:textId="16C9E6BE" w:rsidR="00BE3700" w:rsidRDefault="00BE3700" w:rsidP="00B95C30">
      <w:pPr>
        <w:jc w:val="both"/>
        <w:rPr>
          <w:rFonts w:ascii="Arial" w:hAnsi="Arial" w:cs="Arial"/>
          <w:b/>
          <w:sz w:val="22"/>
          <w:lang w:val="es-ES_tradnl"/>
        </w:rPr>
      </w:pPr>
    </w:p>
    <w:p w14:paraId="5AA5CB48" w14:textId="25747534" w:rsidR="00BE3700" w:rsidRDefault="00BE3700" w:rsidP="00B95C30">
      <w:pPr>
        <w:jc w:val="both"/>
        <w:rPr>
          <w:rFonts w:ascii="Arial" w:hAnsi="Arial" w:cs="Arial"/>
          <w:b/>
          <w:sz w:val="22"/>
          <w:lang w:val="es-ES_tradnl"/>
        </w:rPr>
      </w:pPr>
    </w:p>
    <w:p w14:paraId="7FC122E1" w14:textId="2F640D85" w:rsidR="00BE3700" w:rsidRDefault="00BE3700" w:rsidP="00B95C30">
      <w:pPr>
        <w:jc w:val="both"/>
        <w:rPr>
          <w:rFonts w:ascii="Arial" w:hAnsi="Arial" w:cs="Arial"/>
          <w:b/>
          <w:sz w:val="22"/>
          <w:lang w:val="es-ES_tradnl"/>
        </w:rPr>
      </w:pPr>
    </w:p>
    <w:p w14:paraId="2C6783DB" w14:textId="1A3A288D" w:rsidR="00BE3700" w:rsidRDefault="00BE3700" w:rsidP="00B95C30">
      <w:pPr>
        <w:jc w:val="both"/>
        <w:rPr>
          <w:rFonts w:ascii="Arial" w:hAnsi="Arial" w:cs="Arial"/>
          <w:b/>
          <w:sz w:val="22"/>
          <w:lang w:val="es-ES_tradnl"/>
        </w:rPr>
      </w:pPr>
    </w:p>
    <w:p w14:paraId="44326158" w14:textId="5BCD48AE" w:rsidR="00BE3700" w:rsidRDefault="00BE3700" w:rsidP="00B95C30">
      <w:pPr>
        <w:jc w:val="both"/>
        <w:rPr>
          <w:rFonts w:ascii="Arial" w:hAnsi="Arial" w:cs="Arial"/>
          <w:b/>
          <w:sz w:val="22"/>
          <w:lang w:val="es-ES_tradnl"/>
        </w:rPr>
      </w:pPr>
    </w:p>
    <w:p w14:paraId="6D6A21A3" w14:textId="1B994FAC" w:rsidR="00BE3700" w:rsidRDefault="00BE3700" w:rsidP="00B95C30">
      <w:pPr>
        <w:jc w:val="both"/>
        <w:rPr>
          <w:rFonts w:ascii="Arial" w:hAnsi="Arial" w:cs="Arial"/>
          <w:b/>
          <w:sz w:val="22"/>
          <w:lang w:val="es-ES_tradnl"/>
        </w:rPr>
      </w:pPr>
    </w:p>
    <w:p w14:paraId="63922ADC" w14:textId="79832EA8" w:rsidR="00BE3700" w:rsidRDefault="00BE3700" w:rsidP="00B95C30">
      <w:pPr>
        <w:jc w:val="both"/>
        <w:rPr>
          <w:rFonts w:ascii="Arial" w:hAnsi="Arial" w:cs="Arial"/>
          <w:b/>
          <w:sz w:val="22"/>
          <w:lang w:val="es-ES_tradnl"/>
        </w:rPr>
      </w:pPr>
    </w:p>
    <w:p w14:paraId="38A1E316" w14:textId="359186CE" w:rsidR="00BE3700" w:rsidRDefault="00BE3700" w:rsidP="00B95C30">
      <w:pPr>
        <w:jc w:val="both"/>
        <w:rPr>
          <w:rFonts w:ascii="Arial" w:hAnsi="Arial" w:cs="Arial"/>
          <w:b/>
          <w:sz w:val="22"/>
          <w:lang w:val="es-ES_tradnl"/>
        </w:rPr>
      </w:pPr>
    </w:p>
    <w:p w14:paraId="2AED4F13" w14:textId="6CFF5541" w:rsidR="00BE3700" w:rsidRDefault="00BE3700" w:rsidP="00B95C30">
      <w:pPr>
        <w:jc w:val="both"/>
        <w:rPr>
          <w:rFonts w:ascii="Arial" w:hAnsi="Arial" w:cs="Arial"/>
          <w:b/>
          <w:sz w:val="22"/>
          <w:lang w:val="es-ES_tradnl"/>
        </w:rPr>
      </w:pPr>
    </w:p>
    <w:p w14:paraId="1A769826" w14:textId="52B7B542" w:rsidR="00BE3700" w:rsidRDefault="00BE3700" w:rsidP="00B95C30">
      <w:pPr>
        <w:jc w:val="both"/>
        <w:rPr>
          <w:rFonts w:ascii="Arial" w:hAnsi="Arial" w:cs="Arial"/>
          <w:b/>
          <w:sz w:val="22"/>
          <w:lang w:val="es-ES_tradnl"/>
        </w:rPr>
      </w:pPr>
    </w:p>
    <w:p w14:paraId="6CB17B71" w14:textId="6FD98F6A" w:rsidR="00BE3700" w:rsidRDefault="00BE3700" w:rsidP="00B95C30">
      <w:pPr>
        <w:jc w:val="both"/>
        <w:rPr>
          <w:rFonts w:ascii="Arial" w:hAnsi="Arial" w:cs="Arial"/>
          <w:b/>
          <w:sz w:val="22"/>
          <w:lang w:val="es-ES_tradnl"/>
        </w:rPr>
      </w:pPr>
    </w:p>
    <w:p w14:paraId="085FCEF8" w14:textId="5E93C480" w:rsidR="00BE3700" w:rsidRDefault="00BE3700" w:rsidP="00B95C30">
      <w:pPr>
        <w:jc w:val="both"/>
        <w:rPr>
          <w:rFonts w:ascii="Arial" w:hAnsi="Arial" w:cs="Arial"/>
          <w:b/>
          <w:sz w:val="22"/>
          <w:lang w:val="es-ES_tradnl"/>
        </w:rPr>
      </w:pPr>
    </w:p>
    <w:p w14:paraId="65E65C7B" w14:textId="5176CFCC" w:rsidR="00BE3700" w:rsidRDefault="00BE3700" w:rsidP="00B95C30">
      <w:pPr>
        <w:jc w:val="both"/>
        <w:rPr>
          <w:rFonts w:ascii="Arial" w:hAnsi="Arial" w:cs="Arial"/>
          <w:b/>
          <w:sz w:val="22"/>
          <w:lang w:val="es-ES_tradnl"/>
        </w:rPr>
      </w:pPr>
    </w:p>
    <w:p w14:paraId="72803683" w14:textId="3BB821BF" w:rsidR="005502B3" w:rsidRPr="005502B3" w:rsidRDefault="005502B3" w:rsidP="00B95C30">
      <w:pPr>
        <w:jc w:val="both"/>
        <w:rPr>
          <w:rFonts w:ascii="Arial" w:hAnsi="Arial" w:cs="Arial"/>
          <w:b/>
          <w:sz w:val="22"/>
          <w:lang w:val="es-ES_tradnl"/>
        </w:rPr>
      </w:pPr>
    </w:p>
    <w:p w14:paraId="21F3746E" w14:textId="186A69CC" w:rsidR="005502B3" w:rsidRDefault="005502B3" w:rsidP="00B95C30">
      <w:pPr>
        <w:jc w:val="both"/>
        <w:rPr>
          <w:rFonts w:ascii="Arial" w:hAnsi="Arial" w:cs="Arial"/>
          <w:b/>
          <w:sz w:val="22"/>
          <w:lang w:val="es-ES_tradnl"/>
        </w:rPr>
      </w:pPr>
    </w:p>
    <w:p w14:paraId="45697CCB" w14:textId="7AE54EBC" w:rsidR="00C61863" w:rsidRDefault="00C61863" w:rsidP="00B95C30">
      <w:pPr>
        <w:jc w:val="both"/>
        <w:rPr>
          <w:rFonts w:ascii="Arial" w:hAnsi="Arial" w:cs="Arial"/>
          <w:b/>
          <w:sz w:val="22"/>
          <w:lang w:val="es-ES_tradnl"/>
        </w:rPr>
      </w:pPr>
    </w:p>
    <w:p w14:paraId="4A0A7E14" w14:textId="0F93A1CE" w:rsidR="00C61863" w:rsidRDefault="00C61863" w:rsidP="00B95C30">
      <w:pPr>
        <w:jc w:val="both"/>
        <w:rPr>
          <w:rFonts w:ascii="Arial" w:hAnsi="Arial" w:cs="Arial"/>
          <w:b/>
          <w:sz w:val="22"/>
          <w:lang w:val="es-ES_tradnl"/>
        </w:rPr>
      </w:pPr>
    </w:p>
    <w:p w14:paraId="2DB31BD3" w14:textId="4B3F4C23" w:rsidR="00C61863" w:rsidRDefault="00C61863" w:rsidP="00B95C30">
      <w:pPr>
        <w:jc w:val="both"/>
        <w:rPr>
          <w:rFonts w:ascii="Arial" w:hAnsi="Arial" w:cs="Arial"/>
          <w:b/>
          <w:sz w:val="22"/>
          <w:lang w:val="es-ES_tradnl"/>
        </w:rPr>
      </w:pPr>
    </w:p>
    <w:p w14:paraId="5658B66D" w14:textId="245B5A07" w:rsidR="00C61863" w:rsidRDefault="00C61863" w:rsidP="00B95C30">
      <w:pPr>
        <w:jc w:val="both"/>
        <w:rPr>
          <w:rFonts w:ascii="Arial" w:hAnsi="Arial" w:cs="Arial"/>
          <w:b/>
          <w:sz w:val="22"/>
          <w:lang w:val="es-ES_tradnl"/>
        </w:rPr>
      </w:pPr>
    </w:p>
    <w:p w14:paraId="5F997DA2" w14:textId="1E758772" w:rsidR="00C61863" w:rsidRDefault="00C61863" w:rsidP="00B95C30">
      <w:pPr>
        <w:jc w:val="both"/>
        <w:rPr>
          <w:rFonts w:ascii="Arial" w:hAnsi="Arial" w:cs="Arial"/>
          <w:b/>
          <w:sz w:val="22"/>
          <w:lang w:val="es-ES_tradnl"/>
        </w:rPr>
      </w:pPr>
    </w:p>
    <w:p w14:paraId="1DD9E0DB" w14:textId="7E3F2AA5" w:rsidR="00C61863" w:rsidRDefault="00E22EFD" w:rsidP="00E22EFD">
      <w:pPr>
        <w:jc w:val="right"/>
        <w:rPr>
          <w:rFonts w:ascii="Arial" w:hAnsi="Arial" w:cs="Arial"/>
          <w:b/>
          <w:sz w:val="22"/>
          <w:lang w:val="es-ES_tradnl"/>
        </w:rPr>
      </w:pPr>
      <w:r w:rsidRPr="00E22EFD">
        <w:rPr>
          <w:rFonts w:ascii="Arial" w:hAnsi="Arial" w:cs="Arial"/>
          <w:b/>
          <w:sz w:val="22"/>
          <w:lang w:val="es-ES_tradnl"/>
        </w:rPr>
        <w:drawing>
          <wp:inline distT="0" distB="0" distL="0" distR="0" wp14:anchorId="5853FD1E" wp14:editId="57F10098">
            <wp:extent cx="3095623" cy="840019"/>
            <wp:effectExtent l="0" t="0" r="0" b="0"/>
            <wp:docPr id="1" name="Imagen 1" descr="Texto, Chat o mensaje d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 Chat o mensaje de texto&#10;&#10;Descripción generada automáticamente"/>
                    <pic:cNvPicPr/>
                  </pic:nvPicPr>
                  <pic:blipFill rotWithShape="1">
                    <a:blip r:embed="rId11"/>
                    <a:srcRect t="28000" r="499"/>
                    <a:stretch/>
                  </pic:blipFill>
                  <pic:spPr bwMode="auto">
                    <a:xfrm>
                      <a:off x="0" y="0"/>
                      <a:ext cx="3114846" cy="845235"/>
                    </a:xfrm>
                    <a:prstGeom prst="rect">
                      <a:avLst/>
                    </a:prstGeom>
                    <a:ln>
                      <a:noFill/>
                    </a:ln>
                    <a:extLst>
                      <a:ext uri="{53640926-AAD7-44D8-BBD7-CCE9431645EC}">
                        <a14:shadowObscured xmlns:a14="http://schemas.microsoft.com/office/drawing/2010/main"/>
                      </a:ext>
                    </a:extLst>
                  </pic:spPr>
                </pic:pic>
              </a:graphicData>
            </a:graphic>
          </wp:inline>
        </w:drawing>
      </w:r>
    </w:p>
    <w:p w14:paraId="04181DB6" w14:textId="77777777" w:rsidR="00E22EFD" w:rsidRDefault="00E22EFD" w:rsidP="00B95C30">
      <w:pPr>
        <w:jc w:val="both"/>
        <w:rPr>
          <w:rFonts w:ascii="Arial" w:hAnsi="Arial" w:cs="Arial"/>
          <w:bCs/>
          <w:sz w:val="22"/>
          <w:lang w:val="es-ES_tradnl"/>
        </w:rPr>
      </w:pPr>
    </w:p>
    <w:p w14:paraId="0D058944" w14:textId="77777777" w:rsidR="00E22EFD" w:rsidRDefault="00E22EFD" w:rsidP="00B95C30">
      <w:pPr>
        <w:jc w:val="both"/>
        <w:rPr>
          <w:rFonts w:ascii="Arial" w:hAnsi="Arial" w:cs="Arial"/>
          <w:bCs/>
          <w:sz w:val="22"/>
          <w:lang w:val="es-ES_tradnl"/>
        </w:rPr>
      </w:pPr>
    </w:p>
    <w:p w14:paraId="6204557D" w14:textId="77777777" w:rsidR="00E22EFD" w:rsidRDefault="00E22EFD" w:rsidP="00B95C30">
      <w:pPr>
        <w:jc w:val="both"/>
        <w:rPr>
          <w:rFonts w:ascii="Arial" w:hAnsi="Arial" w:cs="Arial"/>
          <w:bCs/>
          <w:sz w:val="22"/>
          <w:lang w:val="es-ES_tradnl"/>
        </w:rPr>
      </w:pPr>
    </w:p>
    <w:p w14:paraId="27FCCDFA" w14:textId="286FBF22" w:rsidR="00C61863" w:rsidRPr="00EB1B7C" w:rsidRDefault="00EB1B7C" w:rsidP="00B95C30">
      <w:pPr>
        <w:jc w:val="both"/>
        <w:rPr>
          <w:rFonts w:ascii="Arial" w:hAnsi="Arial" w:cs="Arial"/>
          <w:bCs/>
          <w:sz w:val="22"/>
          <w:lang w:val="es-ES_tradnl"/>
        </w:rPr>
      </w:pPr>
      <w:r w:rsidRPr="00EB1B7C">
        <w:rPr>
          <w:rFonts w:ascii="Arial" w:hAnsi="Arial" w:cs="Arial"/>
          <w:bCs/>
          <w:sz w:val="22"/>
          <w:lang w:val="es-ES_tradnl"/>
        </w:rPr>
        <w:t xml:space="preserve">Bogotá, 23 </w:t>
      </w:r>
      <w:proofErr w:type="gramStart"/>
      <w:r w:rsidRPr="00EB1B7C">
        <w:rPr>
          <w:rFonts w:ascii="Arial" w:hAnsi="Arial" w:cs="Arial"/>
          <w:bCs/>
          <w:sz w:val="22"/>
          <w:lang w:val="es-ES_tradnl"/>
        </w:rPr>
        <w:t>Abril</w:t>
      </w:r>
      <w:proofErr w:type="gramEnd"/>
      <w:r w:rsidRPr="00EB1B7C">
        <w:rPr>
          <w:rFonts w:ascii="Arial" w:hAnsi="Arial" w:cs="Arial"/>
          <w:bCs/>
          <w:sz w:val="22"/>
          <w:lang w:val="es-ES_tradnl"/>
        </w:rPr>
        <w:t xml:space="preserve"> 2021</w:t>
      </w:r>
    </w:p>
    <w:p w14:paraId="6C9C92AC" w14:textId="4DB3C5E6" w:rsidR="00C61863" w:rsidRDefault="00C61863" w:rsidP="00B95C30">
      <w:pPr>
        <w:jc w:val="both"/>
        <w:rPr>
          <w:rFonts w:ascii="Arial" w:hAnsi="Arial" w:cs="Arial"/>
          <w:b/>
          <w:sz w:val="22"/>
          <w:lang w:val="es-ES_tradnl"/>
        </w:rPr>
      </w:pPr>
    </w:p>
    <w:p w14:paraId="5F5AE9EF" w14:textId="310E706F" w:rsidR="00B95C30" w:rsidRPr="00EB2ED0" w:rsidRDefault="007D24F0" w:rsidP="00EB2ED0">
      <w:pPr>
        <w:jc w:val="both"/>
        <w:rPr>
          <w:rFonts w:ascii="Arial" w:eastAsia="Calibri" w:hAnsi="Arial" w:cs="Arial"/>
          <w:sz w:val="22"/>
          <w:lang w:val="es-ES_tradnl"/>
        </w:rPr>
      </w:pPr>
      <w:r w:rsidRPr="00EB2ED0">
        <w:rPr>
          <w:rFonts w:ascii="Arial" w:eastAsia="Calibri" w:hAnsi="Arial" w:cs="Arial"/>
          <w:sz w:val="22"/>
          <w:lang w:val="es-ES_tradnl"/>
        </w:rPr>
        <w:t>Doctora</w:t>
      </w:r>
    </w:p>
    <w:p w14:paraId="42086E2D" w14:textId="6E6FFE8B" w:rsidR="002C1EE4" w:rsidRPr="00EB2ED0" w:rsidRDefault="00B94BD3" w:rsidP="00EB2ED0">
      <w:pPr>
        <w:jc w:val="both"/>
        <w:rPr>
          <w:rFonts w:ascii="Arial" w:eastAsia="Calibri" w:hAnsi="Arial" w:cs="Arial"/>
          <w:b/>
          <w:sz w:val="22"/>
          <w:lang w:val="es-ES_tradnl"/>
        </w:rPr>
      </w:pPr>
      <w:r w:rsidRPr="00EB2ED0">
        <w:rPr>
          <w:rFonts w:ascii="Arial" w:eastAsia="Calibri" w:hAnsi="Arial" w:cs="Arial"/>
          <w:b/>
          <w:sz w:val="22"/>
          <w:lang w:val="es-ES_tradnl"/>
        </w:rPr>
        <w:t>Luz Stella Restrepo Henao</w:t>
      </w:r>
    </w:p>
    <w:p w14:paraId="4B25D4D9" w14:textId="3481E003" w:rsidR="007D24F0" w:rsidRPr="00EB2ED0" w:rsidRDefault="007D24F0" w:rsidP="00EB2ED0">
      <w:pPr>
        <w:jc w:val="both"/>
        <w:rPr>
          <w:rFonts w:ascii="Arial" w:eastAsia="Calibri" w:hAnsi="Arial" w:cs="Arial"/>
          <w:sz w:val="22"/>
          <w:lang w:val="es-ES_tradnl"/>
        </w:rPr>
      </w:pPr>
      <w:r w:rsidRPr="00EB2ED0">
        <w:rPr>
          <w:rFonts w:ascii="Arial" w:eastAsia="Calibri" w:hAnsi="Arial" w:cs="Arial"/>
          <w:sz w:val="22"/>
          <w:lang w:val="es-ES_tradnl"/>
        </w:rPr>
        <w:t>Subdirectora Administrativa y Financiera</w:t>
      </w:r>
    </w:p>
    <w:p w14:paraId="10EF67AD" w14:textId="2F57670C" w:rsidR="007D24F0" w:rsidRPr="00EB2ED0" w:rsidRDefault="007D24F0" w:rsidP="00EB2ED0">
      <w:pPr>
        <w:jc w:val="both"/>
        <w:rPr>
          <w:rFonts w:ascii="Arial" w:eastAsia="Calibri" w:hAnsi="Arial" w:cs="Arial"/>
          <w:sz w:val="22"/>
          <w:lang w:val="es-ES_tradnl"/>
        </w:rPr>
      </w:pPr>
      <w:r w:rsidRPr="00EB2ED0">
        <w:rPr>
          <w:rFonts w:ascii="Arial" w:eastAsia="Calibri" w:hAnsi="Arial" w:cs="Arial"/>
          <w:sz w:val="22"/>
          <w:lang w:val="es-ES_tradnl"/>
        </w:rPr>
        <w:t>Fondo de Previsión Social del Congreso de la República</w:t>
      </w:r>
    </w:p>
    <w:p w14:paraId="09D4AEA8" w14:textId="62B1A724" w:rsidR="00B95C30" w:rsidRPr="00EB2ED0" w:rsidRDefault="00903679" w:rsidP="00EB2ED0">
      <w:pPr>
        <w:jc w:val="both"/>
        <w:rPr>
          <w:rFonts w:ascii="Arial" w:eastAsia="Calibri" w:hAnsi="Arial" w:cs="Arial"/>
          <w:sz w:val="22"/>
          <w:lang w:val="es-ES_tradnl"/>
        </w:rPr>
      </w:pPr>
      <w:r w:rsidRPr="00EB2ED0">
        <w:rPr>
          <w:rFonts w:ascii="Arial" w:eastAsia="Calibri" w:hAnsi="Arial" w:cs="Arial"/>
          <w:sz w:val="22"/>
          <w:lang w:val="es-ES_tradnl"/>
        </w:rPr>
        <w:t>Bogotá D.C.</w:t>
      </w:r>
    </w:p>
    <w:p w14:paraId="3B584A57" w14:textId="4528CA3D" w:rsidR="00F53F4F" w:rsidRPr="00EB2ED0" w:rsidRDefault="00F53F4F" w:rsidP="00EB2ED0">
      <w:pPr>
        <w:jc w:val="both"/>
        <w:rPr>
          <w:rFonts w:ascii="Arial" w:eastAsia="Calibri" w:hAnsi="Arial" w:cs="Arial"/>
          <w:sz w:val="22"/>
          <w:lang w:val="es-ES_tradnl"/>
        </w:rPr>
      </w:pPr>
    </w:p>
    <w:p w14:paraId="48E36FCF" w14:textId="77777777" w:rsidR="00F53F4F" w:rsidRPr="00EB2ED0" w:rsidRDefault="00F53F4F" w:rsidP="00EB2ED0">
      <w:pPr>
        <w:jc w:val="both"/>
        <w:rPr>
          <w:rFonts w:ascii="Arial" w:eastAsia="Calibri" w:hAnsi="Arial" w:cs="Arial"/>
          <w:sz w:val="22"/>
          <w:lang w:val="es-ES_tradnl"/>
        </w:rPr>
      </w:pPr>
    </w:p>
    <w:p w14:paraId="12E66182" w14:textId="66B833D8" w:rsidR="00B95C30" w:rsidRPr="00EB2ED0" w:rsidRDefault="00F53F4F" w:rsidP="00EB2ED0">
      <w:pPr>
        <w:rPr>
          <w:rFonts w:ascii="Arial" w:eastAsia="Calibri" w:hAnsi="Arial" w:cs="Arial"/>
          <w:b/>
          <w:bCs/>
          <w:sz w:val="22"/>
          <w:lang w:val="es-ES_tradnl"/>
        </w:rPr>
      </w:pPr>
      <w:r w:rsidRPr="00EB2ED0">
        <w:rPr>
          <w:rFonts w:ascii="Arial" w:eastAsia="Calibri" w:hAnsi="Arial" w:cs="Arial"/>
          <w:b/>
          <w:bCs/>
          <w:sz w:val="22"/>
          <w:lang w:val="es-ES_tradnl"/>
        </w:rPr>
        <w:t xml:space="preserve">                                            </w:t>
      </w:r>
      <w:r w:rsidR="00B95C30" w:rsidRPr="00EB2ED0">
        <w:rPr>
          <w:rFonts w:ascii="Arial" w:eastAsia="Calibri" w:hAnsi="Arial" w:cs="Arial"/>
          <w:b/>
          <w:bCs/>
          <w:sz w:val="22"/>
          <w:lang w:val="es-ES_tradnl"/>
        </w:rPr>
        <w:t xml:space="preserve">Concepto C ‒ </w:t>
      </w:r>
      <w:r w:rsidR="00903679" w:rsidRPr="00EB2ED0">
        <w:rPr>
          <w:rFonts w:ascii="Arial" w:eastAsia="Calibri" w:hAnsi="Arial" w:cs="Arial"/>
          <w:b/>
          <w:bCs/>
          <w:sz w:val="22"/>
          <w:lang w:val="es-ES_tradnl"/>
        </w:rPr>
        <w:t>166</w:t>
      </w:r>
      <w:r w:rsidR="00B95C30" w:rsidRPr="00EB2ED0">
        <w:rPr>
          <w:rFonts w:ascii="Arial" w:eastAsia="Calibri" w:hAnsi="Arial" w:cs="Arial"/>
          <w:b/>
          <w:bCs/>
          <w:sz w:val="22"/>
          <w:lang w:val="es-ES_tradnl"/>
        </w:rPr>
        <w:t xml:space="preserve"> de 202</w:t>
      </w:r>
      <w:r w:rsidR="005E781C" w:rsidRPr="00EB2ED0">
        <w:rPr>
          <w:rFonts w:ascii="Arial" w:eastAsia="Calibri" w:hAnsi="Arial" w:cs="Arial"/>
          <w:b/>
          <w:bCs/>
          <w:sz w:val="22"/>
          <w:lang w:val="es-ES_tradnl"/>
        </w:rPr>
        <w:t>1</w:t>
      </w:r>
    </w:p>
    <w:p w14:paraId="1BD594F9" w14:textId="77777777" w:rsidR="00B95C30" w:rsidRPr="00EB2ED0" w:rsidRDefault="00B95C30" w:rsidP="00EB2ED0">
      <w:pPr>
        <w:jc w:val="both"/>
        <w:rPr>
          <w:rFonts w:ascii="Arial" w:eastAsia="Calibri" w:hAnsi="Arial" w:cs="Arial"/>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485E3F" w:rsidRPr="00EB2ED0" w14:paraId="19DFC051" w14:textId="77777777" w:rsidTr="008F4163">
        <w:tc>
          <w:tcPr>
            <w:tcW w:w="2689" w:type="dxa"/>
          </w:tcPr>
          <w:p w14:paraId="6BC0D1AC" w14:textId="77777777" w:rsidR="00B95C30" w:rsidRPr="00EB2ED0" w:rsidRDefault="00B95C30" w:rsidP="00EB2ED0">
            <w:pPr>
              <w:jc w:val="both"/>
              <w:rPr>
                <w:rFonts w:ascii="Arial" w:eastAsia="Calibri" w:hAnsi="Arial" w:cs="Arial"/>
                <w:sz w:val="22"/>
                <w:lang w:val="es-ES_tradnl"/>
              </w:rPr>
            </w:pPr>
            <w:r w:rsidRPr="00EB2ED0">
              <w:rPr>
                <w:rFonts w:ascii="Arial" w:eastAsia="Calibri" w:hAnsi="Arial" w:cs="Arial"/>
                <w:b/>
                <w:sz w:val="22"/>
                <w:lang w:val="es-ES_tradnl"/>
              </w:rPr>
              <w:t>Temas:</w:t>
            </w:r>
            <w:r w:rsidRPr="00EB2ED0">
              <w:rPr>
                <w:rFonts w:ascii="Arial" w:eastAsia="Calibri" w:hAnsi="Arial" w:cs="Arial"/>
                <w:sz w:val="22"/>
                <w:lang w:val="es-ES_tradnl"/>
              </w:rPr>
              <w:t xml:space="preserve">                                      </w:t>
            </w:r>
          </w:p>
        </w:tc>
        <w:tc>
          <w:tcPr>
            <w:tcW w:w="6237" w:type="dxa"/>
          </w:tcPr>
          <w:p w14:paraId="5F389CAF" w14:textId="3AEFB11D" w:rsidR="00B95C30" w:rsidRPr="00EB2ED0" w:rsidRDefault="00C61863" w:rsidP="00EB2ED0">
            <w:pPr>
              <w:jc w:val="both"/>
              <w:rPr>
                <w:rFonts w:ascii="Arial" w:eastAsia="Calibri" w:hAnsi="Arial" w:cs="Arial"/>
                <w:sz w:val="22"/>
                <w:lang w:val="es-ES_tradnl"/>
              </w:rPr>
            </w:pPr>
            <w:r w:rsidRPr="00EB2ED0">
              <w:rPr>
                <w:rFonts w:ascii="Arial" w:eastAsia="Calibri" w:hAnsi="Arial" w:cs="Arial"/>
                <w:bCs/>
                <w:sz w:val="22"/>
                <w:lang w:val="es-ES_tradnl"/>
              </w:rPr>
              <w:t>LEY DE EMPRENDIMIENTO – Ley 2069 de 2020 – Vigencia / INTERVENCIÓN DEL REGLAMENTO – Ley 2069 de 2020 – Artículo 30 - Mínima cuantía – Aplicación directa / MÍNIMA CUANTÍA – Procedimiento – Decreto 1082 de 2015 – Artículo 2.2.1.2.1.5.2 – Vigencia / FACTORES DE DESEMPATE – Mínima cuantía – Ley 2069 de 2020 – Factores de desempate – Aplicación – Puntaje</w:t>
            </w:r>
          </w:p>
        </w:tc>
      </w:tr>
      <w:tr w:rsidR="00B95C30" w:rsidRPr="00EB2ED0" w14:paraId="27CD52AB" w14:textId="77777777" w:rsidTr="008F4163">
        <w:tc>
          <w:tcPr>
            <w:tcW w:w="2689" w:type="dxa"/>
          </w:tcPr>
          <w:p w14:paraId="37E195A1" w14:textId="1BA218D5" w:rsidR="00B95C30" w:rsidRPr="00EB2ED0" w:rsidRDefault="00B95C30" w:rsidP="00EB2ED0">
            <w:pPr>
              <w:spacing w:before="120"/>
              <w:jc w:val="both"/>
              <w:rPr>
                <w:rFonts w:ascii="Arial" w:eastAsia="Calibri" w:hAnsi="Arial" w:cs="Arial"/>
                <w:b/>
                <w:sz w:val="22"/>
                <w:lang w:val="es-ES_tradnl"/>
              </w:rPr>
            </w:pPr>
            <w:r w:rsidRPr="00EB2ED0">
              <w:rPr>
                <w:rFonts w:ascii="Arial" w:eastAsia="Calibri" w:hAnsi="Arial" w:cs="Arial"/>
                <w:b/>
                <w:sz w:val="22"/>
                <w:lang w:val="es-ES_tradnl"/>
              </w:rPr>
              <w:t>Radicación:</w:t>
            </w:r>
            <w:r w:rsidRPr="00EB2ED0">
              <w:rPr>
                <w:rFonts w:ascii="Arial" w:eastAsia="Calibri" w:hAnsi="Arial" w:cs="Arial"/>
                <w:sz w:val="22"/>
                <w:lang w:val="es-ES_tradnl"/>
              </w:rPr>
              <w:t xml:space="preserve">                              </w:t>
            </w:r>
          </w:p>
        </w:tc>
        <w:tc>
          <w:tcPr>
            <w:tcW w:w="6237" w:type="dxa"/>
          </w:tcPr>
          <w:p w14:paraId="09088B1B" w14:textId="0874EFEC" w:rsidR="00B95C30" w:rsidRPr="00EB2ED0" w:rsidRDefault="00B95C30" w:rsidP="00EB2ED0">
            <w:pPr>
              <w:spacing w:before="120"/>
              <w:jc w:val="both"/>
              <w:rPr>
                <w:rFonts w:ascii="Arial" w:eastAsia="Calibri" w:hAnsi="Arial" w:cs="Arial"/>
                <w:sz w:val="22"/>
                <w:lang w:val="es-ES_tradnl"/>
              </w:rPr>
            </w:pPr>
            <w:r w:rsidRPr="00EB2ED0">
              <w:rPr>
                <w:rFonts w:ascii="Arial" w:eastAsia="Calibri" w:hAnsi="Arial" w:cs="Arial"/>
                <w:sz w:val="22"/>
                <w:lang w:val="es-ES_tradnl"/>
              </w:rPr>
              <w:t xml:space="preserve">Respuesta a consulta # </w:t>
            </w:r>
            <w:r w:rsidR="009D23D3" w:rsidRPr="00EB2ED0">
              <w:rPr>
                <w:rFonts w:ascii="Arial" w:eastAsia="Calibri" w:hAnsi="Arial" w:cs="Arial"/>
                <w:sz w:val="22"/>
                <w:lang w:val="es-ES_tradnl"/>
              </w:rPr>
              <w:t>P20210309001953</w:t>
            </w:r>
          </w:p>
        </w:tc>
      </w:tr>
    </w:tbl>
    <w:p w14:paraId="61B55CA4" w14:textId="77777777" w:rsidR="00716BB0" w:rsidRPr="00EB2ED0" w:rsidRDefault="00716BB0" w:rsidP="00EB2ED0">
      <w:pPr>
        <w:jc w:val="both"/>
        <w:rPr>
          <w:rFonts w:ascii="Arial" w:eastAsia="Calibri" w:hAnsi="Arial" w:cs="Arial"/>
          <w:sz w:val="22"/>
          <w:lang w:val="es-ES_tradnl"/>
        </w:rPr>
      </w:pPr>
    </w:p>
    <w:p w14:paraId="4B9B5156" w14:textId="77777777" w:rsidR="00716BB0" w:rsidRPr="00EB2ED0" w:rsidRDefault="00716BB0" w:rsidP="00EB2ED0">
      <w:pPr>
        <w:jc w:val="both"/>
        <w:rPr>
          <w:rFonts w:ascii="Arial" w:eastAsia="Calibri" w:hAnsi="Arial" w:cs="Arial"/>
          <w:sz w:val="22"/>
          <w:lang w:val="es-ES_tradnl"/>
        </w:rPr>
      </w:pPr>
    </w:p>
    <w:p w14:paraId="1CF4AEA0" w14:textId="73EC14B4" w:rsidR="003C3339" w:rsidRPr="00EB2ED0" w:rsidRDefault="003C3339" w:rsidP="00EB2ED0">
      <w:pPr>
        <w:jc w:val="both"/>
        <w:rPr>
          <w:rFonts w:ascii="Arial" w:eastAsia="Calibri" w:hAnsi="Arial" w:cs="Arial"/>
          <w:sz w:val="22"/>
          <w:lang w:val="es-ES_tradnl"/>
        </w:rPr>
      </w:pPr>
      <w:r w:rsidRPr="00EB2ED0">
        <w:rPr>
          <w:rFonts w:ascii="Arial" w:eastAsia="Calibri" w:hAnsi="Arial" w:cs="Arial"/>
          <w:sz w:val="22"/>
          <w:lang w:val="es-ES_tradnl"/>
        </w:rPr>
        <w:t>Estimad</w:t>
      </w:r>
      <w:r w:rsidR="009D23D3" w:rsidRPr="00EB2ED0">
        <w:rPr>
          <w:rFonts w:ascii="Arial" w:eastAsia="Calibri" w:hAnsi="Arial" w:cs="Arial"/>
          <w:sz w:val="22"/>
          <w:lang w:val="es-ES_tradnl"/>
        </w:rPr>
        <w:t>a</w:t>
      </w:r>
      <w:r w:rsidRPr="00EB2ED0">
        <w:rPr>
          <w:rFonts w:ascii="Arial" w:eastAsia="Calibri" w:hAnsi="Arial" w:cs="Arial"/>
          <w:sz w:val="22"/>
          <w:lang w:val="es-ES_tradnl"/>
        </w:rPr>
        <w:t xml:space="preserve"> </w:t>
      </w:r>
      <w:r w:rsidR="009D23D3" w:rsidRPr="00EB2ED0">
        <w:rPr>
          <w:rFonts w:ascii="Arial" w:eastAsia="Calibri" w:hAnsi="Arial" w:cs="Arial"/>
          <w:sz w:val="22"/>
          <w:lang w:val="es-ES_tradnl"/>
        </w:rPr>
        <w:t>Doctora</w:t>
      </w:r>
      <w:r w:rsidR="00BE4FBF" w:rsidRPr="00EB2ED0">
        <w:rPr>
          <w:rFonts w:ascii="Arial" w:eastAsia="Calibri" w:hAnsi="Arial" w:cs="Arial"/>
          <w:sz w:val="22"/>
          <w:lang w:val="es-ES_tradnl"/>
        </w:rPr>
        <w:t xml:space="preserve"> </w:t>
      </w:r>
      <w:r w:rsidR="009D23D3" w:rsidRPr="00EB2ED0">
        <w:rPr>
          <w:rFonts w:ascii="Arial" w:eastAsia="Calibri" w:hAnsi="Arial" w:cs="Arial"/>
          <w:sz w:val="22"/>
          <w:lang w:val="es-ES_tradnl"/>
        </w:rPr>
        <w:t>Restrepo</w:t>
      </w:r>
      <w:r w:rsidRPr="00EB2ED0">
        <w:rPr>
          <w:rFonts w:ascii="Arial" w:eastAsia="Calibri" w:hAnsi="Arial" w:cs="Arial"/>
          <w:sz w:val="22"/>
          <w:lang w:val="es-ES_tradnl"/>
        </w:rPr>
        <w:t>:</w:t>
      </w:r>
    </w:p>
    <w:p w14:paraId="1EAE5543" w14:textId="77777777" w:rsidR="00DD5B04" w:rsidRPr="00EB2ED0" w:rsidRDefault="00DD5B04" w:rsidP="00EB2ED0">
      <w:pPr>
        <w:jc w:val="both"/>
        <w:rPr>
          <w:rFonts w:ascii="Arial" w:eastAsia="Calibri" w:hAnsi="Arial" w:cs="Arial"/>
          <w:sz w:val="22"/>
          <w:lang w:val="es-ES_tradnl"/>
        </w:rPr>
      </w:pPr>
    </w:p>
    <w:p w14:paraId="2109B2D3" w14:textId="40739640" w:rsidR="00DD5B04" w:rsidRPr="00EB2ED0" w:rsidRDefault="00DD5B04" w:rsidP="00EB2ED0">
      <w:pPr>
        <w:spacing w:line="276" w:lineRule="auto"/>
        <w:jc w:val="both"/>
        <w:rPr>
          <w:rFonts w:ascii="Arial" w:eastAsia="Calibri" w:hAnsi="Arial" w:cs="Arial"/>
          <w:sz w:val="22"/>
          <w:lang w:val="es-ES_tradnl"/>
        </w:rPr>
      </w:pPr>
      <w:r w:rsidRPr="00EB2ED0">
        <w:rPr>
          <w:rFonts w:ascii="Arial" w:eastAsia="Calibri" w:hAnsi="Arial" w:cs="Arial"/>
          <w:sz w:val="22"/>
          <w:lang w:val="es-ES_tradnl"/>
        </w:rPr>
        <w:t>En ejercicio de la competencia otorgada por el numeral 8 del artículo 11 y el numeral 5 del artículo 3 del Decreto Ley 4170 de 2011, la Agencia Nacional de Contratación Pública ― Colombia Compra Eficiente</w:t>
      </w:r>
      <w:r w:rsidR="008C3C57" w:rsidRPr="00EB2ED0">
        <w:rPr>
          <w:rFonts w:ascii="Arial" w:eastAsia="Calibri" w:hAnsi="Arial" w:cs="Arial"/>
          <w:sz w:val="22"/>
          <w:lang w:val="es-ES_tradnl"/>
        </w:rPr>
        <w:t xml:space="preserve"> </w:t>
      </w:r>
      <w:r w:rsidRPr="00EB2ED0">
        <w:rPr>
          <w:rFonts w:ascii="Arial" w:eastAsia="Calibri" w:hAnsi="Arial" w:cs="Arial"/>
          <w:sz w:val="22"/>
          <w:lang w:val="es-ES_tradnl"/>
        </w:rPr>
        <w:t xml:space="preserve">responde su consulta del </w:t>
      </w:r>
      <w:r w:rsidR="00EA705C" w:rsidRPr="00EB2ED0">
        <w:rPr>
          <w:rFonts w:ascii="Arial" w:eastAsia="Calibri" w:hAnsi="Arial" w:cs="Arial"/>
          <w:sz w:val="22"/>
          <w:lang w:val="es-ES_tradnl"/>
        </w:rPr>
        <w:t>9</w:t>
      </w:r>
      <w:r w:rsidR="00FD4AF3" w:rsidRPr="00EB2ED0">
        <w:rPr>
          <w:rFonts w:ascii="Arial" w:eastAsia="Calibri" w:hAnsi="Arial" w:cs="Arial"/>
          <w:sz w:val="22"/>
          <w:lang w:val="es-ES_tradnl"/>
        </w:rPr>
        <w:t xml:space="preserve"> de </w:t>
      </w:r>
      <w:r w:rsidR="00EA705C" w:rsidRPr="00EB2ED0">
        <w:rPr>
          <w:rFonts w:ascii="Arial" w:eastAsia="Calibri" w:hAnsi="Arial" w:cs="Arial"/>
          <w:sz w:val="22"/>
          <w:lang w:val="es-ES_tradnl"/>
        </w:rPr>
        <w:t>marzo</w:t>
      </w:r>
      <w:r w:rsidRPr="00EB2ED0">
        <w:rPr>
          <w:rFonts w:ascii="Arial" w:eastAsia="Calibri" w:hAnsi="Arial" w:cs="Arial"/>
          <w:sz w:val="22"/>
          <w:lang w:val="es-ES_tradnl"/>
        </w:rPr>
        <w:t xml:space="preserve"> de</w:t>
      </w:r>
      <w:r w:rsidR="007E74BF" w:rsidRPr="00EB2ED0">
        <w:rPr>
          <w:rFonts w:ascii="Arial" w:eastAsia="Calibri" w:hAnsi="Arial" w:cs="Arial"/>
          <w:sz w:val="22"/>
          <w:lang w:val="es-ES_tradnl"/>
        </w:rPr>
        <w:t xml:space="preserve"> </w:t>
      </w:r>
      <w:r w:rsidRPr="00EB2ED0">
        <w:rPr>
          <w:rFonts w:ascii="Arial" w:eastAsia="Calibri" w:hAnsi="Arial" w:cs="Arial"/>
          <w:sz w:val="22"/>
          <w:lang w:val="es-ES_tradnl"/>
        </w:rPr>
        <w:t>202</w:t>
      </w:r>
      <w:r w:rsidR="00FB0880" w:rsidRPr="00EB2ED0">
        <w:rPr>
          <w:rFonts w:ascii="Arial" w:eastAsia="Calibri" w:hAnsi="Arial" w:cs="Arial"/>
          <w:sz w:val="22"/>
          <w:lang w:val="es-ES_tradnl"/>
        </w:rPr>
        <w:t>1</w:t>
      </w:r>
      <w:r w:rsidR="008C3C57" w:rsidRPr="00EB2ED0">
        <w:rPr>
          <w:rFonts w:ascii="Arial" w:eastAsia="Calibri" w:hAnsi="Arial" w:cs="Arial"/>
          <w:sz w:val="22"/>
          <w:lang w:val="es-ES_tradnl"/>
        </w:rPr>
        <w:t>.</w:t>
      </w:r>
      <w:r w:rsidR="009013B8" w:rsidRPr="00EB2ED0">
        <w:rPr>
          <w:rFonts w:ascii="Arial" w:eastAsia="Calibri" w:hAnsi="Arial" w:cs="Arial"/>
          <w:sz w:val="22"/>
          <w:lang w:val="es-ES_tradnl"/>
        </w:rPr>
        <w:t xml:space="preserve"> </w:t>
      </w:r>
    </w:p>
    <w:p w14:paraId="0C1E0712" w14:textId="77777777" w:rsidR="00DD5B04" w:rsidRPr="00EB2ED0" w:rsidRDefault="00DD5B04" w:rsidP="00EB2ED0">
      <w:pPr>
        <w:jc w:val="both"/>
        <w:rPr>
          <w:rFonts w:ascii="Arial" w:eastAsia="Calibri" w:hAnsi="Arial" w:cs="Arial"/>
          <w:bCs/>
          <w:sz w:val="22"/>
          <w:lang w:val="es-ES_tradnl"/>
        </w:rPr>
      </w:pPr>
    </w:p>
    <w:p w14:paraId="7701FCC7" w14:textId="77777777" w:rsidR="00DD5B04" w:rsidRPr="00EB2ED0" w:rsidRDefault="00DD5B04" w:rsidP="00EB2ED0">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sz w:val="22"/>
          <w:lang w:val="es-ES_tradnl"/>
        </w:rPr>
      </w:pPr>
      <w:r w:rsidRPr="00EB2ED0">
        <w:rPr>
          <w:rFonts w:ascii="Arial" w:eastAsia="Calibri" w:hAnsi="Arial" w:cs="Arial"/>
          <w:b/>
          <w:sz w:val="22"/>
          <w:lang w:val="es-ES_tradnl"/>
        </w:rPr>
        <w:t xml:space="preserve">Problema planteado </w:t>
      </w:r>
    </w:p>
    <w:p w14:paraId="224B43D3" w14:textId="77777777" w:rsidR="00DD5B04" w:rsidRPr="00EB2ED0" w:rsidRDefault="00DD5B04" w:rsidP="00EB2ED0">
      <w:pPr>
        <w:tabs>
          <w:tab w:val="left" w:pos="426"/>
        </w:tabs>
        <w:jc w:val="both"/>
        <w:rPr>
          <w:rFonts w:ascii="Arial" w:eastAsia="Calibri" w:hAnsi="Arial" w:cs="Arial"/>
          <w:bCs/>
          <w:sz w:val="22"/>
          <w:lang w:val="es-ES_tradnl"/>
        </w:rPr>
      </w:pPr>
    </w:p>
    <w:p w14:paraId="61BDE6CD" w14:textId="2280AB26" w:rsidR="009E2103" w:rsidRPr="00EB2ED0" w:rsidRDefault="00DD5B04" w:rsidP="00EB2ED0">
      <w:pPr>
        <w:autoSpaceDE w:val="0"/>
        <w:autoSpaceDN w:val="0"/>
        <w:adjustRightInd w:val="0"/>
        <w:jc w:val="both"/>
        <w:rPr>
          <w:rFonts w:ascii="Arial" w:hAnsi="Arial" w:cs="Arial"/>
          <w:sz w:val="22"/>
          <w:szCs w:val="22"/>
          <w:lang w:val="es-ES_tradnl"/>
        </w:rPr>
      </w:pPr>
      <w:r w:rsidRPr="00EB2ED0">
        <w:rPr>
          <w:rFonts w:ascii="Arial" w:hAnsi="Arial" w:cs="Arial"/>
          <w:sz w:val="22"/>
          <w:szCs w:val="22"/>
          <w:lang w:val="es-ES_tradnl"/>
        </w:rPr>
        <w:t xml:space="preserve">Usted </w:t>
      </w:r>
      <w:r w:rsidR="00B422C0" w:rsidRPr="00EB2ED0">
        <w:rPr>
          <w:rFonts w:ascii="Arial" w:hAnsi="Arial" w:cs="Arial"/>
          <w:sz w:val="22"/>
          <w:szCs w:val="22"/>
          <w:lang w:val="es-ES_tradnl"/>
        </w:rPr>
        <w:t>formula</w:t>
      </w:r>
      <w:r w:rsidR="006D46A3" w:rsidRPr="00EB2ED0">
        <w:rPr>
          <w:rFonts w:ascii="Arial" w:hAnsi="Arial" w:cs="Arial"/>
          <w:sz w:val="22"/>
          <w:szCs w:val="22"/>
          <w:lang w:val="es-ES_tradnl"/>
        </w:rPr>
        <w:t xml:space="preserve"> la</w:t>
      </w:r>
      <w:r w:rsidR="00784EBF" w:rsidRPr="00EB2ED0">
        <w:rPr>
          <w:rFonts w:ascii="Arial" w:hAnsi="Arial" w:cs="Arial"/>
          <w:sz w:val="22"/>
          <w:szCs w:val="22"/>
          <w:lang w:val="es-ES_tradnl"/>
        </w:rPr>
        <w:t xml:space="preserve"> </w:t>
      </w:r>
      <w:r w:rsidR="006D46A3" w:rsidRPr="00EB2ED0">
        <w:rPr>
          <w:rFonts w:ascii="Arial" w:hAnsi="Arial" w:cs="Arial"/>
          <w:sz w:val="22"/>
          <w:szCs w:val="22"/>
          <w:lang w:val="es-ES_tradnl"/>
        </w:rPr>
        <w:t>siguient</w:t>
      </w:r>
      <w:r w:rsidR="003A4C7B" w:rsidRPr="00EB2ED0">
        <w:rPr>
          <w:rFonts w:ascii="Arial" w:hAnsi="Arial" w:cs="Arial"/>
          <w:sz w:val="22"/>
          <w:szCs w:val="22"/>
          <w:lang w:val="es-ES_tradnl"/>
        </w:rPr>
        <w:t xml:space="preserve">e </w:t>
      </w:r>
      <w:r w:rsidR="00784EBF" w:rsidRPr="00EB2ED0">
        <w:rPr>
          <w:rFonts w:ascii="Arial" w:hAnsi="Arial" w:cs="Arial"/>
          <w:sz w:val="22"/>
          <w:szCs w:val="22"/>
          <w:lang w:val="es-ES_tradnl"/>
        </w:rPr>
        <w:t>consulta</w:t>
      </w:r>
      <w:r w:rsidR="00B422C0" w:rsidRPr="00EB2ED0">
        <w:rPr>
          <w:rFonts w:ascii="Arial" w:hAnsi="Arial" w:cs="Arial"/>
          <w:sz w:val="22"/>
          <w:szCs w:val="22"/>
          <w:lang w:val="es-ES_tradnl"/>
        </w:rPr>
        <w:t>:</w:t>
      </w:r>
      <w:r w:rsidR="000B56F9" w:rsidRPr="00EB2ED0">
        <w:rPr>
          <w:rFonts w:ascii="Arial" w:hAnsi="Arial" w:cs="Arial"/>
          <w:sz w:val="22"/>
          <w:szCs w:val="22"/>
          <w:lang w:val="es-ES_tradnl"/>
        </w:rPr>
        <w:t xml:space="preserve"> </w:t>
      </w:r>
    </w:p>
    <w:p w14:paraId="7D52454A" w14:textId="77777777" w:rsidR="009E2103" w:rsidRPr="00EB2ED0" w:rsidRDefault="009E2103" w:rsidP="00EB2ED0">
      <w:pPr>
        <w:autoSpaceDE w:val="0"/>
        <w:autoSpaceDN w:val="0"/>
        <w:adjustRightInd w:val="0"/>
        <w:jc w:val="both"/>
        <w:rPr>
          <w:rFonts w:ascii="Arial" w:hAnsi="Arial" w:cs="Arial"/>
          <w:sz w:val="22"/>
          <w:szCs w:val="22"/>
          <w:lang w:val="es-ES_tradnl"/>
        </w:rPr>
      </w:pPr>
    </w:p>
    <w:p w14:paraId="3B969BD1" w14:textId="77777777" w:rsidR="009E2103" w:rsidRPr="00EB2ED0" w:rsidRDefault="000B56F9" w:rsidP="00EB2ED0">
      <w:pPr>
        <w:autoSpaceDE w:val="0"/>
        <w:autoSpaceDN w:val="0"/>
        <w:adjustRightInd w:val="0"/>
        <w:ind w:left="709" w:right="709"/>
        <w:jc w:val="both"/>
        <w:rPr>
          <w:rFonts w:ascii="Arial" w:eastAsiaTheme="minorHAnsi" w:hAnsi="Arial" w:cs="Arial"/>
          <w:sz w:val="21"/>
          <w:szCs w:val="21"/>
          <w:lang w:eastAsia="en-US"/>
        </w:rPr>
      </w:pPr>
      <w:r w:rsidRPr="00EB2ED0">
        <w:rPr>
          <w:rFonts w:ascii="Arial" w:hAnsi="Arial" w:cs="Arial"/>
          <w:sz w:val="21"/>
          <w:szCs w:val="21"/>
          <w:lang w:val="es-ES_tradnl"/>
        </w:rPr>
        <w:t>«[…]</w:t>
      </w:r>
      <w:r w:rsidRPr="00EB2ED0">
        <w:rPr>
          <w:rFonts w:ascii="Arial" w:eastAsiaTheme="minorHAnsi" w:hAnsi="Arial" w:cs="Arial"/>
          <w:sz w:val="21"/>
          <w:szCs w:val="21"/>
          <w:lang w:eastAsia="en-US"/>
        </w:rPr>
        <w:t xml:space="preserve"> </w:t>
      </w:r>
      <w:r w:rsidR="009E2103" w:rsidRPr="00EB2ED0">
        <w:rPr>
          <w:rFonts w:ascii="Arial" w:eastAsiaTheme="minorHAnsi" w:hAnsi="Arial" w:cs="Arial"/>
          <w:sz w:val="21"/>
          <w:szCs w:val="21"/>
          <w:lang w:eastAsia="en-US"/>
        </w:rPr>
        <w:t xml:space="preserve">1. </w:t>
      </w:r>
      <w:r w:rsidR="00531F75" w:rsidRPr="00EB2ED0">
        <w:rPr>
          <w:rFonts w:ascii="Arial" w:eastAsiaTheme="minorHAnsi" w:hAnsi="Arial" w:cs="Arial"/>
          <w:sz w:val="21"/>
          <w:szCs w:val="21"/>
          <w:lang w:eastAsia="en-US"/>
        </w:rPr>
        <w:t xml:space="preserve">Se debe entender que, según lo dispuesto los artículos 30 y 84 de la Ley 2069 de 2020, el artículo 2.2.1.2.1.5.2 del Decreto 1082 de 2015 quedó derogado, perdiendo fuerza ejecutoria el procedimiento de la mínima cuantía y por ende el criterio de desempate para esta modalidad, esto es, la oferta que </w:t>
      </w:r>
      <w:r w:rsidR="00531F75" w:rsidRPr="00EB2ED0">
        <w:rPr>
          <w:rFonts w:ascii="Arial" w:eastAsiaTheme="minorHAnsi" w:hAnsi="Arial" w:cs="Arial"/>
          <w:sz w:val="21"/>
          <w:szCs w:val="21"/>
          <w:lang w:eastAsia="en-US"/>
        </w:rPr>
        <w:lastRenderedPageBreak/>
        <w:t xml:space="preserve">haya sido presentada primero en el tiempo, dispuesto en el numeral 7 de esta norma? </w:t>
      </w:r>
    </w:p>
    <w:p w14:paraId="238F0DAF" w14:textId="77777777" w:rsidR="009E2103" w:rsidRPr="00EB2ED0" w:rsidRDefault="009E2103" w:rsidP="00EB2ED0">
      <w:pPr>
        <w:autoSpaceDE w:val="0"/>
        <w:autoSpaceDN w:val="0"/>
        <w:adjustRightInd w:val="0"/>
        <w:ind w:left="709" w:right="709"/>
        <w:jc w:val="both"/>
        <w:rPr>
          <w:rFonts w:ascii="Arial" w:eastAsiaTheme="minorHAnsi" w:hAnsi="Arial" w:cs="Arial"/>
          <w:sz w:val="21"/>
          <w:szCs w:val="21"/>
          <w:lang w:eastAsia="en-US"/>
        </w:rPr>
      </w:pPr>
    </w:p>
    <w:p w14:paraId="79D0132C" w14:textId="420CBAF5" w:rsidR="004275A7" w:rsidRPr="00EB2ED0" w:rsidRDefault="009E2103" w:rsidP="00EB2ED0">
      <w:pPr>
        <w:autoSpaceDE w:val="0"/>
        <w:autoSpaceDN w:val="0"/>
        <w:adjustRightInd w:val="0"/>
        <w:ind w:left="709" w:right="709"/>
        <w:jc w:val="both"/>
        <w:rPr>
          <w:rFonts w:ascii="Arial" w:hAnsi="Arial" w:cs="Arial"/>
          <w:sz w:val="21"/>
          <w:szCs w:val="21"/>
          <w:lang w:val="es-ES_tradnl"/>
        </w:rPr>
      </w:pPr>
      <w:r w:rsidRPr="00EB2ED0">
        <w:rPr>
          <w:rFonts w:ascii="Arial" w:eastAsiaTheme="minorHAnsi" w:hAnsi="Arial" w:cs="Arial"/>
          <w:sz w:val="21"/>
          <w:szCs w:val="21"/>
          <w:lang w:eastAsia="en-US"/>
        </w:rPr>
        <w:t xml:space="preserve">2. </w:t>
      </w:r>
      <w:r w:rsidR="00531F75" w:rsidRPr="00EB2ED0">
        <w:rPr>
          <w:rFonts w:ascii="Arial" w:eastAsiaTheme="minorHAnsi" w:hAnsi="Arial" w:cs="Arial"/>
          <w:sz w:val="21"/>
          <w:szCs w:val="21"/>
          <w:lang w:eastAsia="en-US"/>
        </w:rPr>
        <w:t xml:space="preserve">Por otra parte, si el artículo 35 de la Ley 2069 de 2020, que define nuevos criterios de desempate, no requiere reglamentación y su aplicación tiene efectos inmediatos, cuál sería entonces el criterio de desempate a tener en cuenta en los procesos de selección de mínima cuantía, ante la falta de disposición expresa, toda vez que el artículo </w:t>
      </w:r>
      <w:r w:rsidR="0053524B" w:rsidRPr="00EB2ED0">
        <w:rPr>
          <w:rFonts w:ascii="Arial" w:eastAsiaTheme="minorHAnsi" w:hAnsi="Arial" w:cs="Arial"/>
          <w:sz w:val="21"/>
          <w:szCs w:val="21"/>
          <w:lang w:eastAsia="en-US"/>
        </w:rPr>
        <w:t xml:space="preserve">30 de la Ley 2069 de 2020, conserva el mismo criterio de selección del artículo 2.2.1.2.1.5.2 del Decreto 1082 de 2015, es decir, la propuesta con el menor precio, siempre y cuando cumpla con las condiciones exigidas, sin embargo el referido artículo 35, al definir los criterios de desempate señala "En caso de empate en el </w:t>
      </w:r>
      <w:proofErr w:type="spellStart"/>
      <w:r w:rsidR="0053524B" w:rsidRPr="00EB2ED0">
        <w:rPr>
          <w:rFonts w:ascii="Arial" w:eastAsiaTheme="minorHAnsi" w:hAnsi="Arial" w:cs="Arial"/>
          <w:sz w:val="21"/>
          <w:szCs w:val="21"/>
          <w:lang w:eastAsia="en-US"/>
        </w:rPr>
        <w:t>puntaie</w:t>
      </w:r>
      <w:proofErr w:type="spellEnd"/>
      <w:r w:rsidR="0053524B" w:rsidRPr="00EB2ED0">
        <w:rPr>
          <w:rFonts w:ascii="Arial" w:eastAsiaTheme="minorHAnsi" w:hAnsi="Arial" w:cs="Arial"/>
          <w:sz w:val="21"/>
          <w:szCs w:val="21"/>
          <w:lang w:eastAsia="en-US"/>
        </w:rPr>
        <w:t xml:space="preserve"> total de dos o más ofertas en los Procesos de Contratación realizados con cargo a recursos públicos..", en clara referencia a procesos cuya selección se define por puntaje, lo cual no aplicaría a la mínima cuantía, dado que en ésta, como lo señala la norma, la selección se define por el menor precio y no por puntaje?</w:t>
      </w:r>
      <w:r w:rsidR="000B56F9" w:rsidRPr="00EB2ED0">
        <w:rPr>
          <w:rFonts w:ascii="Arial" w:eastAsiaTheme="minorHAnsi" w:hAnsi="Arial" w:cs="Arial"/>
          <w:sz w:val="21"/>
          <w:szCs w:val="21"/>
          <w:lang w:eastAsia="en-US"/>
        </w:rPr>
        <w:t>»</w:t>
      </w:r>
      <w:r w:rsidR="00055A41" w:rsidRPr="00EB2ED0">
        <w:rPr>
          <w:rFonts w:ascii="Arial" w:eastAsiaTheme="minorHAnsi" w:hAnsi="Arial" w:cs="Arial"/>
          <w:sz w:val="21"/>
          <w:szCs w:val="21"/>
          <w:lang w:eastAsia="en-US"/>
        </w:rPr>
        <w:t xml:space="preserve"> [sic].</w:t>
      </w:r>
    </w:p>
    <w:p w14:paraId="3830C92C" w14:textId="77777777" w:rsidR="00507066" w:rsidRPr="00EB2ED0" w:rsidRDefault="00507066" w:rsidP="00EB2ED0">
      <w:pPr>
        <w:spacing w:line="276" w:lineRule="auto"/>
        <w:ind w:left="709" w:right="709"/>
        <w:jc w:val="both"/>
        <w:rPr>
          <w:rFonts w:ascii="Arial" w:hAnsi="Arial" w:cs="Arial"/>
          <w:sz w:val="22"/>
          <w:szCs w:val="22"/>
          <w:lang w:val="es-ES_tradnl"/>
        </w:rPr>
      </w:pPr>
    </w:p>
    <w:p w14:paraId="124D2DCA" w14:textId="77777777" w:rsidR="00DD5B04" w:rsidRPr="00EB2ED0" w:rsidRDefault="00DD5B04" w:rsidP="00EB2ED0">
      <w:pPr>
        <w:pStyle w:val="Prrafodelista"/>
        <w:numPr>
          <w:ilvl w:val="0"/>
          <w:numId w:val="8"/>
        </w:numPr>
        <w:tabs>
          <w:tab w:val="left" w:pos="0"/>
          <w:tab w:val="left" w:pos="284"/>
        </w:tabs>
        <w:ind w:left="0" w:firstLine="0"/>
        <w:jc w:val="both"/>
        <w:rPr>
          <w:rFonts w:ascii="Arial" w:eastAsia="Calibri" w:hAnsi="Arial" w:cs="Arial"/>
          <w:b/>
          <w:sz w:val="22"/>
          <w:lang w:val="es-ES_tradnl"/>
        </w:rPr>
      </w:pPr>
      <w:r w:rsidRPr="00EB2ED0">
        <w:rPr>
          <w:rFonts w:ascii="Arial" w:eastAsia="Calibri" w:hAnsi="Arial" w:cs="Arial"/>
          <w:b/>
          <w:sz w:val="22"/>
          <w:lang w:val="es-ES_tradnl"/>
        </w:rPr>
        <w:t>Consideraciones</w:t>
      </w:r>
    </w:p>
    <w:p w14:paraId="7D050D2E" w14:textId="77777777" w:rsidR="00435703" w:rsidRPr="00EB2ED0" w:rsidRDefault="00435703" w:rsidP="00EB2ED0">
      <w:pPr>
        <w:jc w:val="both"/>
        <w:rPr>
          <w:rFonts w:ascii="Arial" w:eastAsia="Calibri" w:hAnsi="Arial" w:cs="Arial"/>
          <w:sz w:val="22"/>
          <w:szCs w:val="22"/>
          <w:lang w:val="es-ES_tradnl"/>
        </w:rPr>
      </w:pPr>
    </w:p>
    <w:p w14:paraId="79515D69" w14:textId="79E295B5" w:rsidR="00212BC8" w:rsidRPr="00EB2ED0" w:rsidRDefault="008E30C4" w:rsidP="00EB2ED0">
      <w:pPr>
        <w:spacing w:line="276" w:lineRule="auto"/>
        <w:jc w:val="both"/>
        <w:rPr>
          <w:rFonts w:ascii="Arial" w:eastAsia="Calibri" w:hAnsi="Arial" w:cs="Arial"/>
          <w:sz w:val="22"/>
          <w:szCs w:val="22"/>
          <w:lang w:val="es-ES_tradnl"/>
        </w:rPr>
      </w:pPr>
      <w:r w:rsidRPr="00EB2ED0">
        <w:rPr>
          <w:rFonts w:ascii="Arial" w:eastAsia="Calibri" w:hAnsi="Arial" w:cs="Arial"/>
          <w:sz w:val="22"/>
          <w:szCs w:val="22"/>
          <w:lang w:val="es-ES_tradnl"/>
        </w:rPr>
        <w:t xml:space="preserve">La Subdirección de Gestión Contractual responderá </w:t>
      </w:r>
      <w:r w:rsidR="00271230" w:rsidRPr="00EB2ED0">
        <w:rPr>
          <w:rFonts w:ascii="Arial" w:eastAsia="Calibri" w:hAnsi="Arial" w:cs="Arial"/>
          <w:sz w:val="22"/>
          <w:szCs w:val="22"/>
          <w:lang w:val="es-ES_tradnl"/>
        </w:rPr>
        <w:t>la consulta</w:t>
      </w:r>
      <w:r w:rsidRPr="00EB2ED0">
        <w:rPr>
          <w:rFonts w:ascii="Arial" w:eastAsia="Calibri" w:hAnsi="Arial" w:cs="Arial"/>
          <w:sz w:val="22"/>
          <w:szCs w:val="22"/>
          <w:lang w:val="es-ES_tradnl"/>
        </w:rPr>
        <w:t xml:space="preserve">, </w:t>
      </w:r>
      <w:r w:rsidR="00271230" w:rsidRPr="00EB2ED0">
        <w:rPr>
          <w:rFonts w:ascii="Arial" w:eastAsia="Calibri" w:hAnsi="Arial" w:cs="Arial"/>
          <w:sz w:val="22"/>
          <w:szCs w:val="22"/>
          <w:lang w:val="es-ES_tradnl"/>
        </w:rPr>
        <w:t>luego de analizar los</w:t>
      </w:r>
      <w:r w:rsidR="00822EC4" w:rsidRPr="00EB2ED0">
        <w:rPr>
          <w:rFonts w:ascii="Arial" w:eastAsia="Calibri" w:hAnsi="Arial" w:cs="Arial"/>
          <w:sz w:val="22"/>
          <w:szCs w:val="22"/>
          <w:lang w:val="es-ES_tradnl"/>
        </w:rPr>
        <w:t xml:space="preserve"> siguientes temas: </w:t>
      </w:r>
      <w:r w:rsidR="00833ADA" w:rsidRPr="00EB2ED0">
        <w:rPr>
          <w:rFonts w:ascii="Arial" w:eastAsia="Calibri" w:hAnsi="Arial" w:cs="Arial"/>
          <w:sz w:val="22"/>
          <w:szCs w:val="22"/>
          <w:lang w:val="es-ES_tradnl"/>
        </w:rPr>
        <w:t>i)</w:t>
      </w:r>
      <w:r w:rsidR="008F40DC" w:rsidRPr="00EB2ED0">
        <w:rPr>
          <w:rFonts w:ascii="Arial" w:eastAsia="Calibri" w:hAnsi="Arial" w:cs="Arial"/>
          <w:sz w:val="22"/>
          <w:szCs w:val="22"/>
          <w:lang w:val="es-ES_tradnl"/>
        </w:rPr>
        <w:t xml:space="preserve"> </w:t>
      </w:r>
      <w:r w:rsidR="00212BC8" w:rsidRPr="00EB2ED0">
        <w:rPr>
          <w:rFonts w:ascii="Arial" w:eastAsia="Calibri" w:hAnsi="Arial" w:cs="Arial"/>
          <w:sz w:val="22"/>
          <w:szCs w:val="22"/>
          <w:lang w:val="es-ES_tradnl"/>
        </w:rPr>
        <w:t xml:space="preserve">vigencia y ámbito de aplicación de la Ley 2069 de 2020: impacto sobre la contratación estatal; </w:t>
      </w:r>
      <w:proofErr w:type="spellStart"/>
      <w:r w:rsidR="00055A41" w:rsidRPr="00EB2ED0">
        <w:rPr>
          <w:rFonts w:ascii="Arial" w:eastAsia="Calibri" w:hAnsi="Arial" w:cs="Arial"/>
          <w:sz w:val="22"/>
          <w:szCs w:val="22"/>
          <w:lang w:val="es-ES_tradnl"/>
        </w:rPr>
        <w:t>ii</w:t>
      </w:r>
      <w:proofErr w:type="spellEnd"/>
      <w:r w:rsidR="00055A41" w:rsidRPr="00EB2ED0">
        <w:rPr>
          <w:rFonts w:ascii="Arial" w:eastAsia="Calibri" w:hAnsi="Arial" w:cs="Arial"/>
          <w:sz w:val="22"/>
          <w:szCs w:val="22"/>
          <w:lang w:val="es-ES_tradnl"/>
        </w:rPr>
        <w:t xml:space="preserve">) </w:t>
      </w:r>
      <w:r w:rsidR="00212BC8" w:rsidRPr="00EB2ED0">
        <w:rPr>
          <w:rFonts w:ascii="Arial" w:eastAsia="Calibri" w:hAnsi="Arial" w:cs="Arial"/>
          <w:sz w:val="22"/>
          <w:szCs w:val="22"/>
          <w:lang w:val="es-ES_tradnl"/>
        </w:rPr>
        <w:t xml:space="preserve">intervención del reglamento para la efectividad de la Ley 2069 de 2020 en el sistema de compras públicas: la conclusión no es la misma frente a todos los artículos; </w:t>
      </w:r>
      <w:proofErr w:type="spellStart"/>
      <w:r w:rsidR="00212BC8" w:rsidRPr="00EB2ED0">
        <w:rPr>
          <w:rFonts w:ascii="Arial" w:eastAsia="Calibri" w:hAnsi="Arial" w:cs="Arial"/>
          <w:sz w:val="22"/>
          <w:szCs w:val="22"/>
          <w:lang w:val="es-ES_tradnl"/>
        </w:rPr>
        <w:t>iii</w:t>
      </w:r>
      <w:proofErr w:type="spellEnd"/>
      <w:r w:rsidR="00212BC8" w:rsidRPr="00EB2ED0">
        <w:rPr>
          <w:rFonts w:ascii="Arial" w:eastAsia="Calibri" w:hAnsi="Arial" w:cs="Arial"/>
          <w:sz w:val="22"/>
          <w:szCs w:val="22"/>
          <w:lang w:val="es-ES_tradnl"/>
        </w:rPr>
        <w:t xml:space="preserve">) eficacia directa del artículo 30 de la Ley 2069 de 2020: regulación de la mínima cuantía y vigencia del procedimiento previsto en el Decreto 1082 de 2015; y </w:t>
      </w:r>
      <w:proofErr w:type="spellStart"/>
      <w:r w:rsidR="00212BC8" w:rsidRPr="00EB2ED0">
        <w:rPr>
          <w:rFonts w:ascii="Arial" w:eastAsia="Calibri" w:hAnsi="Arial" w:cs="Arial"/>
          <w:sz w:val="22"/>
          <w:szCs w:val="22"/>
          <w:lang w:val="es-ES_tradnl"/>
        </w:rPr>
        <w:t>iv</w:t>
      </w:r>
      <w:proofErr w:type="spellEnd"/>
      <w:r w:rsidR="00212BC8" w:rsidRPr="00EB2ED0">
        <w:rPr>
          <w:rFonts w:ascii="Arial" w:eastAsia="Calibri" w:hAnsi="Arial" w:cs="Arial"/>
          <w:sz w:val="22"/>
          <w:szCs w:val="22"/>
          <w:lang w:val="es-ES_tradnl"/>
        </w:rPr>
        <w:t>) aplicabilidad de los factores de desempate del artículo 35 de la Ley 2069 de 2015 al procedimiento de mínima cuantía: derogatoria y decaimiento del numeral 7 del artículo 2.2.1.2.1.5.2 del Decreto 1082 de 2015.</w:t>
      </w:r>
    </w:p>
    <w:p w14:paraId="426E6FF8" w14:textId="77777777" w:rsidR="00E9109D" w:rsidRPr="00EB2ED0" w:rsidRDefault="00EC1DAE" w:rsidP="00EB2ED0">
      <w:pPr>
        <w:spacing w:before="120" w:line="276" w:lineRule="auto"/>
        <w:ind w:firstLine="709"/>
        <w:jc w:val="both"/>
        <w:rPr>
          <w:rFonts w:ascii="Arial" w:eastAsia="Calibri" w:hAnsi="Arial" w:cs="Arial"/>
          <w:sz w:val="22"/>
          <w:szCs w:val="22"/>
          <w:lang w:val="es-ES_tradnl"/>
        </w:rPr>
      </w:pPr>
      <w:r w:rsidRPr="00EB2ED0">
        <w:rPr>
          <w:rFonts w:ascii="Arial" w:eastAsia="Calibri" w:hAnsi="Arial" w:cs="Arial"/>
          <w:sz w:val="22"/>
          <w:szCs w:val="22"/>
          <w:lang w:val="es-ES_tradnl"/>
        </w:rPr>
        <w:t>E</w:t>
      </w:r>
      <w:r w:rsidR="00C8331F" w:rsidRPr="00EB2ED0">
        <w:rPr>
          <w:rFonts w:ascii="Arial" w:eastAsia="Calibri" w:hAnsi="Arial" w:cs="Arial"/>
          <w:sz w:val="22"/>
          <w:szCs w:val="22"/>
          <w:lang w:val="es-ES_tradnl"/>
        </w:rPr>
        <w:t>s importante destacar que la Agencia Nacional de Contratación Pública</w:t>
      </w:r>
      <w:r w:rsidRPr="00EB2ED0">
        <w:rPr>
          <w:rFonts w:ascii="Arial" w:eastAsia="Calibri" w:hAnsi="Arial" w:cs="Arial"/>
          <w:sz w:val="22"/>
          <w:szCs w:val="22"/>
          <w:lang w:val="es-ES_tradnl"/>
        </w:rPr>
        <w:t xml:space="preserve"> – Colombia Compra Eficiente se pronunció, en términos generales, sobre </w:t>
      </w:r>
      <w:r w:rsidR="00C53ED1" w:rsidRPr="00EB2ED0">
        <w:rPr>
          <w:rFonts w:ascii="Arial" w:eastAsia="Calibri" w:hAnsi="Arial" w:cs="Arial"/>
          <w:sz w:val="22"/>
          <w:szCs w:val="22"/>
          <w:lang w:val="es-ES_tradnl"/>
        </w:rPr>
        <w:t>la vigencia</w:t>
      </w:r>
      <w:r w:rsidRPr="00EB2ED0">
        <w:rPr>
          <w:rFonts w:ascii="Arial" w:eastAsia="Calibri" w:hAnsi="Arial" w:cs="Arial"/>
          <w:sz w:val="22"/>
          <w:szCs w:val="22"/>
          <w:lang w:val="es-ES_tradnl"/>
        </w:rPr>
        <w:t xml:space="preserve"> </w:t>
      </w:r>
      <w:r w:rsidR="00C53ED1" w:rsidRPr="00EB2ED0">
        <w:rPr>
          <w:rFonts w:ascii="Arial" w:eastAsia="Calibri" w:hAnsi="Arial" w:cs="Arial"/>
          <w:sz w:val="22"/>
          <w:szCs w:val="22"/>
          <w:lang w:val="es-ES_tradnl"/>
        </w:rPr>
        <w:t xml:space="preserve">en </w:t>
      </w:r>
      <w:r w:rsidR="00032689" w:rsidRPr="00EB2ED0">
        <w:rPr>
          <w:rFonts w:ascii="Arial" w:eastAsia="Calibri" w:hAnsi="Arial" w:cs="Arial"/>
          <w:sz w:val="22"/>
          <w:szCs w:val="22"/>
          <w:lang w:val="es-ES_tradnl"/>
        </w:rPr>
        <w:t>l</w:t>
      </w:r>
      <w:r w:rsidR="004B65D9" w:rsidRPr="00EB2ED0">
        <w:rPr>
          <w:rFonts w:ascii="Arial" w:eastAsia="Calibri" w:hAnsi="Arial" w:cs="Arial"/>
          <w:sz w:val="22"/>
          <w:szCs w:val="22"/>
          <w:lang w:val="es-ES_tradnl"/>
        </w:rPr>
        <w:t>a Ley 2069 de 2020 en los</w:t>
      </w:r>
      <w:r w:rsidR="00032689" w:rsidRPr="00EB2ED0">
        <w:rPr>
          <w:rFonts w:ascii="Arial" w:eastAsia="Calibri" w:hAnsi="Arial" w:cs="Arial"/>
          <w:sz w:val="22"/>
          <w:szCs w:val="22"/>
          <w:lang w:val="es-ES_tradnl"/>
        </w:rPr>
        <w:t xml:space="preserve"> conceptos </w:t>
      </w:r>
      <w:r w:rsidR="00547778" w:rsidRPr="00EB2ED0">
        <w:rPr>
          <w:rFonts w:ascii="Arial" w:eastAsia="Calibri" w:hAnsi="Arial" w:cs="Arial"/>
          <w:sz w:val="22"/>
          <w:szCs w:val="22"/>
          <w:lang w:val="es-ES_tradnl"/>
        </w:rPr>
        <w:t xml:space="preserve">C-009, C-012, C-013, </w:t>
      </w:r>
      <w:r w:rsidR="00A51D65" w:rsidRPr="00EB2ED0">
        <w:rPr>
          <w:rFonts w:ascii="Arial" w:eastAsia="Calibri" w:hAnsi="Arial" w:cs="Arial"/>
          <w:sz w:val="22"/>
          <w:szCs w:val="22"/>
          <w:lang w:val="es-ES_tradnl"/>
        </w:rPr>
        <w:t xml:space="preserve">C-015, C-016 </w:t>
      </w:r>
      <w:r w:rsidR="005C506F" w:rsidRPr="00EB2ED0">
        <w:rPr>
          <w:rFonts w:ascii="Arial" w:eastAsia="Calibri" w:hAnsi="Arial" w:cs="Arial"/>
          <w:sz w:val="22"/>
          <w:szCs w:val="22"/>
          <w:lang w:val="es-ES_tradnl"/>
        </w:rPr>
        <w:t>y</w:t>
      </w:r>
      <w:r w:rsidR="00A51D65" w:rsidRPr="00EB2ED0">
        <w:rPr>
          <w:rFonts w:ascii="Arial" w:eastAsia="Calibri" w:hAnsi="Arial" w:cs="Arial"/>
          <w:sz w:val="22"/>
          <w:szCs w:val="22"/>
          <w:lang w:val="es-ES_tradnl"/>
        </w:rPr>
        <w:t xml:space="preserve"> C-026, del 4 de febrero de 2020</w:t>
      </w:r>
      <w:r w:rsidR="00C4317B" w:rsidRPr="00EB2ED0">
        <w:rPr>
          <w:rFonts w:ascii="Arial" w:eastAsia="Calibri" w:hAnsi="Arial" w:cs="Arial"/>
          <w:sz w:val="22"/>
          <w:szCs w:val="22"/>
          <w:lang w:val="es-ES_tradnl"/>
        </w:rPr>
        <w:t xml:space="preserve">, C-005 del </w:t>
      </w:r>
      <w:r w:rsidR="00430DD2" w:rsidRPr="00EB2ED0">
        <w:rPr>
          <w:rFonts w:ascii="Arial" w:eastAsia="Calibri" w:hAnsi="Arial" w:cs="Arial"/>
          <w:sz w:val="22"/>
          <w:szCs w:val="22"/>
          <w:lang w:val="es-ES_tradnl"/>
        </w:rPr>
        <w:t xml:space="preserve">16 de febrero, C-028 </w:t>
      </w:r>
      <w:r w:rsidR="00B434C1" w:rsidRPr="00EB2ED0">
        <w:rPr>
          <w:rFonts w:ascii="Arial" w:eastAsia="Calibri" w:hAnsi="Arial" w:cs="Arial"/>
          <w:sz w:val="22"/>
          <w:szCs w:val="22"/>
          <w:lang w:val="es-ES_tradnl"/>
        </w:rPr>
        <w:t>y C-029 del 23 de febrero de 2020</w:t>
      </w:r>
      <w:r w:rsidR="005C506F" w:rsidRPr="00EB2ED0">
        <w:rPr>
          <w:rFonts w:ascii="Arial" w:eastAsia="Calibri" w:hAnsi="Arial" w:cs="Arial"/>
          <w:sz w:val="22"/>
          <w:szCs w:val="22"/>
          <w:lang w:val="es-ES_tradnl"/>
        </w:rPr>
        <w:t xml:space="preserve">. </w:t>
      </w:r>
      <w:r w:rsidR="004B65D9" w:rsidRPr="00EB2ED0">
        <w:rPr>
          <w:rFonts w:ascii="Arial" w:eastAsia="Calibri" w:hAnsi="Arial" w:cs="Arial"/>
          <w:sz w:val="22"/>
          <w:szCs w:val="22"/>
          <w:lang w:val="es-ES_tradnl"/>
        </w:rPr>
        <w:t>Este tema también fue estudiado en el concepto</w:t>
      </w:r>
      <w:r w:rsidR="005C506F" w:rsidRPr="00EB2ED0">
        <w:rPr>
          <w:rFonts w:ascii="Arial" w:eastAsia="Calibri" w:hAnsi="Arial" w:cs="Arial"/>
          <w:sz w:val="22"/>
          <w:szCs w:val="22"/>
          <w:lang w:val="es-ES_tradnl"/>
        </w:rPr>
        <w:t xml:space="preserve"> C-043 del 9 de febrero de 2020, </w:t>
      </w:r>
      <w:r w:rsidR="004B65D9" w:rsidRPr="00EB2ED0">
        <w:rPr>
          <w:rFonts w:ascii="Arial" w:eastAsia="Calibri" w:hAnsi="Arial" w:cs="Arial"/>
          <w:sz w:val="22"/>
          <w:szCs w:val="22"/>
          <w:lang w:val="es-ES_tradnl"/>
        </w:rPr>
        <w:t xml:space="preserve">en el que se </w:t>
      </w:r>
      <w:r w:rsidR="00292A27" w:rsidRPr="00EB2ED0">
        <w:rPr>
          <w:rFonts w:ascii="Arial" w:eastAsia="Calibri" w:hAnsi="Arial" w:cs="Arial"/>
          <w:sz w:val="22"/>
          <w:szCs w:val="22"/>
          <w:lang w:val="es-ES_tradnl"/>
        </w:rPr>
        <w:t>estudió, particularmente, la vigencia del artículo 34 de la Ley 2069 de 2020</w:t>
      </w:r>
      <w:r w:rsidR="00105B76" w:rsidRPr="00EB2ED0">
        <w:rPr>
          <w:rFonts w:ascii="Arial" w:eastAsia="Calibri" w:hAnsi="Arial" w:cs="Arial"/>
          <w:sz w:val="22"/>
          <w:szCs w:val="22"/>
          <w:lang w:val="es-ES_tradnl"/>
        </w:rPr>
        <w:t xml:space="preserve">. </w:t>
      </w:r>
    </w:p>
    <w:p w14:paraId="1144E6B3" w14:textId="7FB8D66B" w:rsidR="00C8331F" w:rsidRPr="00EB2ED0" w:rsidRDefault="00E9109D" w:rsidP="00EB2ED0">
      <w:pPr>
        <w:spacing w:before="120" w:line="276" w:lineRule="auto"/>
        <w:ind w:firstLine="709"/>
        <w:jc w:val="both"/>
        <w:rPr>
          <w:rFonts w:ascii="Arial" w:eastAsia="Calibri" w:hAnsi="Arial" w:cs="Arial"/>
          <w:sz w:val="22"/>
          <w:szCs w:val="22"/>
          <w:lang w:val="es-ES_tradnl"/>
        </w:rPr>
      </w:pPr>
      <w:r w:rsidRPr="00EB2ED0">
        <w:rPr>
          <w:rFonts w:ascii="Arial" w:eastAsia="Calibri" w:hAnsi="Arial" w:cs="Arial"/>
          <w:sz w:val="22"/>
          <w:szCs w:val="22"/>
          <w:lang w:val="es-ES_tradnl"/>
        </w:rPr>
        <w:t xml:space="preserve">Po otro lado, </w:t>
      </w:r>
      <w:r w:rsidR="007A4B70" w:rsidRPr="00EB2ED0">
        <w:rPr>
          <w:rFonts w:ascii="Arial" w:eastAsia="Calibri" w:hAnsi="Arial" w:cs="Arial"/>
          <w:sz w:val="22"/>
          <w:szCs w:val="22"/>
          <w:lang w:val="es-ES_tradnl"/>
        </w:rPr>
        <w:t>en los conceptos C-005 del 16 de febrero de 2021, C-037 del 26</w:t>
      </w:r>
      <w:r w:rsidR="003922B4" w:rsidRPr="00EB2ED0">
        <w:rPr>
          <w:rFonts w:ascii="Arial" w:eastAsia="Calibri" w:hAnsi="Arial" w:cs="Arial"/>
          <w:sz w:val="22"/>
          <w:szCs w:val="22"/>
          <w:lang w:val="es-ES_tradnl"/>
        </w:rPr>
        <w:t xml:space="preserve"> de febrero de </w:t>
      </w:r>
      <w:r w:rsidR="007A4B70" w:rsidRPr="00EB2ED0">
        <w:rPr>
          <w:rFonts w:ascii="Arial" w:eastAsia="Calibri" w:hAnsi="Arial" w:cs="Arial"/>
          <w:sz w:val="22"/>
          <w:szCs w:val="22"/>
          <w:lang w:val="es-ES_tradnl"/>
        </w:rPr>
        <w:t>2021, C-035 del 02</w:t>
      </w:r>
      <w:r w:rsidR="003922B4" w:rsidRPr="00EB2ED0">
        <w:rPr>
          <w:rFonts w:ascii="Arial" w:eastAsia="Calibri" w:hAnsi="Arial" w:cs="Arial"/>
          <w:sz w:val="22"/>
          <w:szCs w:val="22"/>
          <w:lang w:val="es-ES_tradnl"/>
        </w:rPr>
        <w:t xml:space="preserve"> de marzo de </w:t>
      </w:r>
      <w:r w:rsidR="007A4B70" w:rsidRPr="00EB2ED0">
        <w:rPr>
          <w:rFonts w:ascii="Arial" w:eastAsia="Calibri" w:hAnsi="Arial" w:cs="Arial"/>
          <w:sz w:val="22"/>
          <w:szCs w:val="22"/>
          <w:lang w:val="es-ES_tradnl"/>
        </w:rPr>
        <w:t>2021, C-126 del 06</w:t>
      </w:r>
      <w:r w:rsidR="003922B4" w:rsidRPr="00EB2ED0">
        <w:rPr>
          <w:rFonts w:ascii="Arial" w:eastAsia="Calibri" w:hAnsi="Arial" w:cs="Arial"/>
          <w:sz w:val="22"/>
          <w:szCs w:val="22"/>
          <w:lang w:val="es-ES_tradnl"/>
        </w:rPr>
        <w:t xml:space="preserve"> de abril de </w:t>
      </w:r>
      <w:r w:rsidR="007A4B70" w:rsidRPr="00EB2ED0">
        <w:rPr>
          <w:rFonts w:ascii="Arial" w:eastAsia="Calibri" w:hAnsi="Arial" w:cs="Arial"/>
          <w:sz w:val="22"/>
          <w:szCs w:val="22"/>
          <w:lang w:val="es-ES_tradnl"/>
        </w:rPr>
        <w:t>2021, C-127 del 06</w:t>
      </w:r>
      <w:r w:rsidR="003922B4" w:rsidRPr="00EB2ED0">
        <w:rPr>
          <w:rFonts w:ascii="Arial" w:eastAsia="Calibri" w:hAnsi="Arial" w:cs="Arial"/>
          <w:sz w:val="22"/>
          <w:szCs w:val="22"/>
          <w:lang w:val="es-ES_tradnl"/>
        </w:rPr>
        <w:t xml:space="preserve"> de abril de </w:t>
      </w:r>
      <w:r w:rsidR="007A4B70" w:rsidRPr="00EB2ED0">
        <w:rPr>
          <w:rFonts w:ascii="Arial" w:eastAsia="Calibri" w:hAnsi="Arial" w:cs="Arial"/>
          <w:sz w:val="22"/>
          <w:szCs w:val="22"/>
          <w:lang w:val="es-ES_tradnl"/>
        </w:rPr>
        <w:t>2021</w:t>
      </w:r>
      <w:r w:rsidR="003922B4" w:rsidRPr="00EB2ED0">
        <w:rPr>
          <w:rFonts w:ascii="Arial" w:eastAsia="Calibri" w:hAnsi="Arial" w:cs="Arial"/>
          <w:sz w:val="22"/>
          <w:szCs w:val="22"/>
          <w:lang w:val="es-ES_tradnl"/>
        </w:rPr>
        <w:t xml:space="preserve"> y</w:t>
      </w:r>
      <w:r w:rsidR="007A4B70" w:rsidRPr="00EB2ED0">
        <w:rPr>
          <w:rFonts w:ascii="Arial" w:eastAsia="Calibri" w:hAnsi="Arial" w:cs="Arial"/>
          <w:sz w:val="22"/>
          <w:szCs w:val="22"/>
          <w:lang w:val="es-ES_tradnl"/>
        </w:rPr>
        <w:t xml:space="preserve"> C-144 del 07</w:t>
      </w:r>
      <w:r w:rsidR="005826A5" w:rsidRPr="00EB2ED0">
        <w:rPr>
          <w:rFonts w:ascii="Arial" w:eastAsia="Calibri" w:hAnsi="Arial" w:cs="Arial"/>
          <w:sz w:val="22"/>
          <w:szCs w:val="22"/>
          <w:lang w:val="es-ES_tradnl"/>
        </w:rPr>
        <w:t xml:space="preserve"> de abril de </w:t>
      </w:r>
      <w:r w:rsidR="007A4B70" w:rsidRPr="00EB2ED0">
        <w:rPr>
          <w:rFonts w:ascii="Arial" w:eastAsia="Calibri" w:hAnsi="Arial" w:cs="Arial"/>
          <w:sz w:val="22"/>
          <w:szCs w:val="22"/>
          <w:lang w:val="es-ES_tradnl"/>
        </w:rPr>
        <w:t>2021</w:t>
      </w:r>
      <w:r w:rsidR="005826A5" w:rsidRPr="00EB2ED0">
        <w:rPr>
          <w:rFonts w:ascii="Arial" w:eastAsia="Calibri" w:hAnsi="Arial" w:cs="Arial"/>
          <w:sz w:val="22"/>
          <w:szCs w:val="22"/>
          <w:lang w:val="es-ES_tradnl"/>
        </w:rPr>
        <w:t xml:space="preserve"> se estudi</w:t>
      </w:r>
      <w:r w:rsidR="00C35EBE" w:rsidRPr="00EB2ED0">
        <w:rPr>
          <w:rFonts w:ascii="Arial" w:eastAsia="Calibri" w:hAnsi="Arial" w:cs="Arial"/>
          <w:sz w:val="22"/>
          <w:szCs w:val="22"/>
          <w:lang w:val="es-ES_tradnl"/>
        </w:rPr>
        <w:t>ó la modalidad de selección de mínima cuantía, en relación con las modificaciones introducidas por el artículo 30 de la Ley 2069 de 2020. Asimismo,</w:t>
      </w:r>
      <w:r w:rsidRPr="00EB2ED0">
        <w:rPr>
          <w:rFonts w:ascii="Arial" w:eastAsia="Calibri" w:hAnsi="Arial" w:cs="Arial"/>
          <w:sz w:val="22"/>
          <w:szCs w:val="22"/>
          <w:lang w:val="es-ES_tradnl"/>
        </w:rPr>
        <w:t xml:space="preserve"> </w:t>
      </w:r>
      <w:r w:rsidR="00C35EBE" w:rsidRPr="00EB2ED0">
        <w:rPr>
          <w:rFonts w:ascii="Arial" w:eastAsia="Calibri" w:hAnsi="Arial" w:cs="Arial"/>
          <w:sz w:val="22"/>
          <w:szCs w:val="22"/>
          <w:lang w:val="es-ES_tradnl"/>
        </w:rPr>
        <w:t xml:space="preserve">en </w:t>
      </w:r>
      <w:r w:rsidRPr="00EB2ED0">
        <w:rPr>
          <w:rFonts w:ascii="Arial" w:eastAsia="Calibri" w:hAnsi="Arial" w:cs="Arial"/>
          <w:sz w:val="22"/>
          <w:szCs w:val="22"/>
          <w:lang w:val="es-ES_tradnl"/>
        </w:rPr>
        <w:t xml:space="preserve">los conceptos </w:t>
      </w:r>
      <w:r w:rsidR="000A45E2" w:rsidRPr="00EB2ED0">
        <w:rPr>
          <w:rFonts w:ascii="Arial" w:eastAsia="Calibri" w:hAnsi="Arial" w:cs="Arial"/>
          <w:bCs/>
          <w:sz w:val="22"/>
        </w:rPr>
        <w:t>C-007 del 16 de febrero de 2021</w:t>
      </w:r>
      <w:r w:rsidR="00212BC8" w:rsidRPr="00EB2ED0">
        <w:rPr>
          <w:rFonts w:ascii="Arial" w:eastAsia="Calibri" w:hAnsi="Arial" w:cs="Arial"/>
          <w:bCs/>
          <w:sz w:val="22"/>
        </w:rPr>
        <w:t>,</w:t>
      </w:r>
      <w:r w:rsidR="000A45E2" w:rsidRPr="00EB2ED0">
        <w:rPr>
          <w:rFonts w:ascii="Arial" w:eastAsia="Calibri" w:hAnsi="Arial" w:cs="Arial"/>
          <w:bCs/>
          <w:sz w:val="22"/>
        </w:rPr>
        <w:t xml:space="preserve"> C-101 del </w:t>
      </w:r>
      <w:r w:rsidR="00B72419" w:rsidRPr="00EB2ED0">
        <w:rPr>
          <w:rFonts w:ascii="Arial" w:eastAsia="Calibri" w:hAnsi="Arial" w:cs="Arial"/>
          <w:bCs/>
          <w:sz w:val="22"/>
        </w:rPr>
        <w:t>24 de marzo de 2021</w:t>
      </w:r>
      <w:r w:rsidR="00212BC8" w:rsidRPr="00EB2ED0">
        <w:rPr>
          <w:rFonts w:ascii="Arial" w:eastAsia="Calibri" w:hAnsi="Arial" w:cs="Arial"/>
          <w:bCs/>
          <w:sz w:val="22"/>
        </w:rPr>
        <w:t>, C-163 y C-164 del 19 de abril de 2021</w:t>
      </w:r>
      <w:r w:rsidR="000A45E2" w:rsidRPr="00EB2ED0">
        <w:rPr>
          <w:rFonts w:ascii="Arial" w:eastAsia="Calibri" w:hAnsi="Arial" w:cs="Arial"/>
          <w:bCs/>
          <w:sz w:val="22"/>
        </w:rPr>
        <w:t xml:space="preserve">, la Agencia se pronunció sobre la derogatoria producida por el artículo 35 de la Ley 2069 de 2020 sobre el factor de desempate previsto </w:t>
      </w:r>
      <w:r w:rsidR="00B72419" w:rsidRPr="00EB2ED0">
        <w:rPr>
          <w:rFonts w:ascii="Arial" w:eastAsia="Calibri" w:hAnsi="Arial" w:cs="Arial"/>
          <w:bCs/>
          <w:sz w:val="22"/>
        </w:rPr>
        <w:t>en el numeral</w:t>
      </w:r>
      <w:r w:rsidR="00B507A9" w:rsidRPr="00EB2ED0">
        <w:rPr>
          <w:rFonts w:ascii="Arial" w:eastAsia="Calibri" w:hAnsi="Arial" w:cs="Arial"/>
          <w:bCs/>
          <w:sz w:val="22"/>
        </w:rPr>
        <w:t xml:space="preserve"> 7 del artículo 2.2.1.2.1.5.2 del Decreto 1082 de 2015</w:t>
      </w:r>
      <w:r w:rsidR="009A306E" w:rsidRPr="00EB2ED0">
        <w:rPr>
          <w:rFonts w:ascii="Arial" w:eastAsia="Calibri" w:hAnsi="Arial" w:cs="Arial"/>
          <w:bCs/>
          <w:sz w:val="22"/>
        </w:rPr>
        <w:t xml:space="preserve"> </w:t>
      </w:r>
      <w:r w:rsidR="009A306E" w:rsidRPr="00EB2ED0">
        <w:rPr>
          <w:rFonts w:ascii="Arial" w:eastAsia="Calibri" w:hAnsi="Arial" w:cs="Arial"/>
          <w:bCs/>
          <w:sz w:val="22"/>
        </w:rPr>
        <w:lastRenderedPageBreak/>
        <w:t xml:space="preserve">para </w:t>
      </w:r>
      <w:r w:rsidR="000A45E2" w:rsidRPr="00EB2ED0">
        <w:rPr>
          <w:rFonts w:ascii="Arial" w:eastAsia="Calibri" w:hAnsi="Arial" w:cs="Arial"/>
          <w:bCs/>
          <w:sz w:val="22"/>
        </w:rPr>
        <w:t>los procesos de mínima cuantía.</w:t>
      </w:r>
      <w:r w:rsidR="00C35EBE" w:rsidRPr="00EB2ED0">
        <w:rPr>
          <w:rFonts w:ascii="Arial" w:eastAsia="Calibri" w:hAnsi="Arial" w:cs="Arial"/>
          <w:bCs/>
          <w:sz w:val="22"/>
        </w:rPr>
        <w:t xml:space="preserve"> </w:t>
      </w:r>
      <w:r w:rsidR="00105B76" w:rsidRPr="00EB2ED0">
        <w:rPr>
          <w:rFonts w:ascii="Arial" w:eastAsia="Calibri" w:hAnsi="Arial" w:cs="Arial"/>
          <w:sz w:val="22"/>
          <w:szCs w:val="22"/>
          <w:lang w:val="es-ES_tradnl"/>
        </w:rPr>
        <w:t>La</w:t>
      </w:r>
      <w:r w:rsidR="00C35EBE" w:rsidRPr="00EB2ED0">
        <w:rPr>
          <w:rFonts w:ascii="Arial" w:eastAsia="Calibri" w:hAnsi="Arial" w:cs="Arial"/>
          <w:sz w:val="22"/>
          <w:szCs w:val="22"/>
          <w:lang w:val="es-ES_tradnl"/>
        </w:rPr>
        <w:t>s</w:t>
      </w:r>
      <w:r w:rsidR="00105B76" w:rsidRPr="00EB2ED0">
        <w:rPr>
          <w:rFonts w:ascii="Arial" w:eastAsia="Calibri" w:hAnsi="Arial" w:cs="Arial"/>
          <w:sz w:val="22"/>
          <w:szCs w:val="22"/>
          <w:lang w:val="es-ES_tradnl"/>
        </w:rPr>
        <w:t xml:space="preserve"> tesis expuesta</w:t>
      </w:r>
      <w:r w:rsidR="00C35EBE" w:rsidRPr="00EB2ED0">
        <w:rPr>
          <w:rFonts w:ascii="Arial" w:eastAsia="Calibri" w:hAnsi="Arial" w:cs="Arial"/>
          <w:sz w:val="22"/>
          <w:szCs w:val="22"/>
          <w:lang w:val="es-ES_tradnl"/>
        </w:rPr>
        <w:t>s</w:t>
      </w:r>
      <w:r w:rsidR="00105B76" w:rsidRPr="00EB2ED0">
        <w:rPr>
          <w:rFonts w:ascii="Arial" w:eastAsia="Calibri" w:hAnsi="Arial" w:cs="Arial"/>
          <w:sz w:val="22"/>
          <w:szCs w:val="22"/>
          <w:lang w:val="es-ES_tradnl"/>
        </w:rPr>
        <w:t xml:space="preserve"> en estos conceptos se reitera</w:t>
      </w:r>
      <w:r w:rsidR="00C35EBE" w:rsidRPr="00EB2ED0">
        <w:rPr>
          <w:rFonts w:ascii="Arial" w:eastAsia="Calibri" w:hAnsi="Arial" w:cs="Arial"/>
          <w:sz w:val="22"/>
          <w:szCs w:val="22"/>
          <w:lang w:val="es-ES_tradnl"/>
        </w:rPr>
        <w:t>n</w:t>
      </w:r>
      <w:r w:rsidR="00105B76" w:rsidRPr="00EB2ED0">
        <w:rPr>
          <w:rFonts w:ascii="Arial" w:eastAsia="Calibri" w:hAnsi="Arial" w:cs="Arial"/>
          <w:sz w:val="22"/>
          <w:szCs w:val="22"/>
          <w:lang w:val="es-ES_tradnl"/>
        </w:rPr>
        <w:t xml:space="preserve"> a continuación.</w:t>
      </w:r>
    </w:p>
    <w:p w14:paraId="2C0B6518" w14:textId="77777777" w:rsidR="00C35EBE" w:rsidRPr="00EB2ED0" w:rsidRDefault="00C35EBE" w:rsidP="00EB2ED0">
      <w:pPr>
        <w:spacing w:line="276" w:lineRule="auto"/>
        <w:jc w:val="both"/>
        <w:rPr>
          <w:rFonts w:ascii="Arial" w:eastAsia="Calibri" w:hAnsi="Arial" w:cs="Arial"/>
          <w:b/>
          <w:bCs/>
          <w:sz w:val="22"/>
          <w:szCs w:val="22"/>
          <w:lang w:val="es-ES_tradnl"/>
        </w:rPr>
      </w:pPr>
    </w:p>
    <w:p w14:paraId="05E36770" w14:textId="77777777" w:rsidR="0099308E" w:rsidRPr="00EB2ED0" w:rsidRDefault="0099308E" w:rsidP="00EB2ED0">
      <w:pPr>
        <w:spacing w:line="276" w:lineRule="auto"/>
        <w:jc w:val="both"/>
        <w:rPr>
          <w:rFonts w:ascii="Arial" w:eastAsia="Calibri" w:hAnsi="Arial" w:cs="Arial"/>
          <w:b/>
          <w:bCs/>
          <w:color w:val="000000" w:themeColor="text1"/>
          <w:sz w:val="22"/>
          <w:szCs w:val="22"/>
          <w:lang w:val="es-ES_tradnl"/>
        </w:rPr>
      </w:pPr>
      <w:r w:rsidRPr="00EB2ED0">
        <w:rPr>
          <w:rFonts w:ascii="Arial" w:eastAsia="Calibri" w:hAnsi="Arial" w:cs="Arial"/>
          <w:b/>
          <w:bCs/>
          <w:color w:val="000000" w:themeColor="text1"/>
          <w:sz w:val="22"/>
          <w:szCs w:val="22"/>
          <w:lang w:val="es-ES_tradnl"/>
        </w:rPr>
        <w:t>2.1. Vigencia y ámbito de aplicación de la Ley 2069 de 2020: impacto sobre la contratación estatal</w:t>
      </w:r>
    </w:p>
    <w:p w14:paraId="0003E020" w14:textId="77777777" w:rsidR="0099308E" w:rsidRPr="00EB2ED0" w:rsidRDefault="0099308E" w:rsidP="00EB2ED0">
      <w:pPr>
        <w:spacing w:line="276" w:lineRule="auto"/>
        <w:jc w:val="both"/>
        <w:rPr>
          <w:rFonts w:ascii="Arial" w:eastAsia="Calibri" w:hAnsi="Arial" w:cs="Arial"/>
          <w:color w:val="000000" w:themeColor="text1"/>
          <w:sz w:val="22"/>
          <w:szCs w:val="22"/>
          <w:lang w:val="es-ES_tradnl"/>
        </w:rPr>
      </w:pPr>
    </w:p>
    <w:p w14:paraId="2FB9D416" w14:textId="77777777" w:rsidR="0099308E" w:rsidRPr="00EB2ED0" w:rsidRDefault="0099308E" w:rsidP="00EB2ED0">
      <w:pPr>
        <w:spacing w:line="276" w:lineRule="auto"/>
        <w:jc w:val="both"/>
        <w:rPr>
          <w:rFonts w:ascii="Arial" w:eastAsia="Calibri" w:hAnsi="Arial" w:cs="Arial"/>
          <w:color w:val="000000" w:themeColor="text1"/>
          <w:sz w:val="22"/>
          <w:szCs w:val="22"/>
          <w:lang w:val="es-ES_tradnl"/>
        </w:rPr>
      </w:pPr>
      <w:r w:rsidRPr="00EB2ED0">
        <w:rPr>
          <w:rFonts w:ascii="Arial" w:eastAsia="Calibri" w:hAnsi="Arial" w:cs="Arial"/>
          <w:color w:val="000000" w:themeColor="text1"/>
          <w:sz w:val="22"/>
          <w:szCs w:val="22"/>
          <w:lang w:val="es-ES_tradnl"/>
        </w:rPr>
        <w:t>El 31 de diciembre de 2020 se promulgó la Ley 2069, «Por medio de la cual se impulsa el emprendimiento en Colombia». De acuerdo con el artículo 84 de dicho cuerpo normativo, «La presente Ley rige a partir del momento de su promulgación […]», lo que significa que es obligatoria para sus destinatarios desde esa fecha. Lo anterior, sin perjuicio de la posibilidad de que el gobierno nacional, en ejercicio de la potestad reglamentaria que le confiere el artículo 189, numeral 11, de la Constitución Política, expida el decreto correspondiente que permita la cumplida ejecución de esta Ley.</w:t>
      </w:r>
    </w:p>
    <w:p w14:paraId="070A2D22" w14:textId="77777777" w:rsidR="0099308E" w:rsidRPr="00EB2ED0" w:rsidRDefault="0099308E" w:rsidP="00EB2ED0">
      <w:pPr>
        <w:spacing w:before="120" w:line="276" w:lineRule="auto"/>
        <w:ind w:firstLine="709"/>
        <w:jc w:val="both"/>
        <w:rPr>
          <w:rFonts w:ascii="Arial" w:eastAsia="Calibri" w:hAnsi="Arial" w:cs="Arial"/>
          <w:color w:val="000000" w:themeColor="text1"/>
          <w:sz w:val="22"/>
          <w:szCs w:val="22"/>
          <w:lang w:val="es-ES_tradnl"/>
        </w:rPr>
      </w:pPr>
      <w:r w:rsidRPr="00EB2ED0">
        <w:rPr>
          <w:rFonts w:ascii="Arial" w:eastAsia="Calibri" w:hAnsi="Arial" w:cs="Arial"/>
          <w:color w:val="000000" w:themeColor="text1"/>
          <w:sz w:val="22"/>
          <w:szCs w:val="22"/>
          <w:lang w:val="es-ES_tradnl"/>
        </w:rPr>
        <w:t xml:space="preserve">En cuando a su contenido, es importante señalar que, como dispone el artículo 1, aquella «tiene por objeto establecer un marco regulatorio que propicie el emprendimiento y el crecimiento, consolidación y sostenibilidad de las empresas, con el fin de aumentar el bienestar social y generar equidad». Esto, a partir de «[…] un enfoque regionalizado </w:t>
      </w:r>
      <w:proofErr w:type="gramStart"/>
      <w:r w:rsidRPr="00EB2ED0">
        <w:rPr>
          <w:rFonts w:ascii="Arial" w:eastAsia="Calibri" w:hAnsi="Arial" w:cs="Arial"/>
          <w:color w:val="000000" w:themeColor="text1"/>
          <w:sz w:val="22"/>
          <w:szCs w:val="22"/>
          <w:lang w:val="es-ES_tradnl"/>
        </w:rPr>
        <w:t>de acuerdo a</w:t>
      </w:r>
      <w:proofErr w:type="gramEnd"/>
      <w:r w:rsidRPr="00EB2ED0">
        <w:rPr>
          <w:rFonts w:ascii="Arial" w:eastAsia="Calibri" w:hAnsi="Arial" w:cs="Arial"/>
          <w:color w:val="000000" w:themeColor="text1"/>
          <w:sz w:val="22"/>
          <w:szCs w:val="22"/>
          <w:lang w:val="es-ES_tradnl"/>
        </w:rPr>
        <w:t xml:space="preserve"> las realidades socioeconómicas de cada región». En desarrollo de esta finalidad, se establecen medidas de apoyo para las micro, pequeñas y medianas empresas –</w:t>
      </w:r>
      <w:proofErr w:type="spellStart"/>
      <w:r w:rsidRPr="00EB2ED0">
        <w:rPr>
          <w:rFonts w:ascii="Arial" w:eastAsia="Calibri" w:hAnsi="Arial" w:cs="Arial"/>
          <w:color w:val="000000" w:themeColor="text1"/>
          <w:sz w:val="22"/>
          <w:szCs w:val="22"/>
          <w:lang w:val="es-ES_tradnl"/>
        </w:rPr>
        <w:t>mipymes</w:t>
      </w:r>
      <w:proofErr w:type="spellEnd"/>
      <w:r w:rsidRPr="00EB2ED0">
        <w:rPr>
          <w:rFonts w:ascii="Arial" w:eastAsia="Calibri" w:hAnsi="Arial" w:cs="Arial"/>
          <w:color w:val="000000" w:themeColor="text1"/>
          <w:sz w:val="22"/>
          <w:szCs w:val="22"/>
          <w:lang w:val="es-ES_tradnl"/>
        </w:rPr>
        <w:t>–, mediante la racionalización y simplificación de los trámites y tarifas</w:t>
      </w:r>
      <w:r w:rsidRPr="00EB2ED0">
        <w:rPr>
          <w:rStyle w:val="Refdenotaalpie"/>
          <w:rFonts w:ascii="Arial" w:eastAsia="Calibri" w:hAnsi="Arial" w:cs="Arial"/>
          <w:color w:val="000000" w:themeColor="text1"/>
          <w:sz w:val="22"/>
          <w:szCs w:val="22"/>
          <w:lang w:val="es-ES_tradnl"/>
        </w:rPr>
        <w:footnoteReference w:id="2"/>
      </w:r>
      <w:r w:rsidRPr="00EB2ED0">
        <w:rPr>
          <w:rFonts w:ascii="Arial" w:eastAsia="Calibri" w:hAnsi="Arial" w:cs="Arial"/>
          <w:color w:val="000000" w:themeColor="text1"/>
          <w:sz w:val="22"/>
          <w:szCs w:val="22"/>
          <w:lang w:val="es-ES_tradnl"/>
        </w:rPr>
        <w:t>, así como incentivos a favor de aquellas dentro del sistema de compras y contratación pública</w:t>
      </w:r>
      <w:r w:rsidRPr="00EB2ED0">
        <w:rPr>
          <w:rStyle w:val="Refdenotaalpie"/>
          <w:rFonts w:ascii="Arial" w:eastAsia="Calibri" w:hAnsi="Arial" w:cs="Arial"/>
          <w:color w:val="000000" w:themeColor="text1"/>
          <w:sz w:val="22"/>
          <w:szCs w:val="22"/>
          <w:lang w:val="es-ES_tradnl"/>
        </w:rPr>
        <w:footnoteReference w:id="3"/>
      </w:r>
      <w:r w:rsidRPr="00EB2ED0">
        <w:rPr>
          <w:rFonts w:ascii="Arial" w:eastAsia="Calibri" w:hAnsi="Arial" w:cs="Arial"/>
          <w:color w:val="000000" w:themeColor="text1"/>
          <w:sz w:val="22"/>
          <w:szCs w:val="22"/>
          <w:lang w:val="es-ES_tradnl"/>
        </w:rPr>
        <w:t>. También se consagran mecanismos de acceso al financiamiento</w:t>
      </w:r>
      <w:r w:rsidRPr="00EB2ED0">
        <w:rPr>
          <w:rStyle w:val="Refdenotaalpie"/>
          <w:rFonts w:ascii="Arial" w:eastAsia="Calibri" w:hAnsi="Arial" w:cs="Arial"/>
          <w:color w:val="000000" w:themeColor="text1"/>
          <w:sz w:val="22"/>
          <w:szCs w:val="22"/>
          <w:lang w:val="es-ES_tradnl"/>
        </w:rPr>
        <w:footnoteReference w:id="4"/>
      </w:r>
      <w:r w:rsidRPr="00EB2ED0">
        <w:rPr>
          <w:rFonts w:ascii="Arial" w:eastAsia="Calibri" w:hAnsi="Arial" w:cs="Arial"/>
          <w:color w:val="000000" w:themeColor="text1"/>
          <w:sz w:val="22"/>
          <w:szCs w:val="22"/>
          <w:lang w:val="es-ES_tradnl"/>
        </w:rPr>
        <w:t>, se unifican las fuentes de emprendimiento y de desarrollo empresarial, para fortalecer y promover los distintos sectores de la economía</w:t>
      </w:r>
      <w:r w:rsidRPr="00EB2ED0">
        <w:rPr>
          <w:rStyle w:val="Refdenotaalpie"/>
          <w:rFonts w:ascii="Arial" w:eastAsia="Calibri" w:hAnsi="Arial" w:cs="Arial"/>
          <w:color w:val="000000" w:themeColor="text1"/>
          <w:sz w:val="22"/>
          <w:szCs w:val="22"/>
          <w:lang w:val="es-ES_tradnl"/>
        </w:rPr>
        <w:footnoteReference w:id="5"/>
      </w:r>
      <w:r w:rsidRPr="00EB2ED0">
        <w:rPr>
          <w:rFonts w:ascii="Arial" w:eastAsia="Calibri" w:hAnsi="Arial" w:cs="Arial"/>
          <w:color w:val="000000" w:themeColor="text1"/>
          <w:sz w:val="22"/>
          <w:szCs w:val="22"/>
          <w:lang w:val="es-ES_tradnl"/>
        </w:rPr>
        <w:t xml:space="preserve"> y se prevén medidas de educación para el emprendimiento y la innovación</w:t>
      </w:r>
      <w:r w:rsidRPr="00EB2ED0">
        <w:rPr>
          <w:rStyle w:val="Refdenotaalpie"/>
          <w:rFonts w:ascii="Arial" w:eastAsia="Calibri" w:hAnsi="Arial" w:cs="Arial"/>
          <w:color w:val="000000" w:themeColor="text1"/>
          <w:sz w:val="22"/>
          <w:szCs w:val="22"/>
          <w:lang w:val="es-ES_tradnl"/>
        </w:rPr>
        <w:footnoteReference w:id="6"/>
      </w:r>
      <w:r w:rsidRPr="00EB2ED0">
        <w:rPr>
          <w:rFonts w:ascii="Arial" w:eastAsia="Calibri" w:hAnsi="Arial" w:cs="Arial"/>
          <w:color w:val="000000" w:themeColor="text1"/>
          <w:sz w:val="22"/>
          <w:szCs w:val="22"/>
          <w:lang w:val="es-ES_tradnl"/>
        </w:rPr>
        <w:t>.</w:t>
      </w:r>
    </w:p>
    <w:p w14:paraId="2C722A30" w14:textId="77777777" w:rsidR="0099308E" w:rsidRPr="00EB2ED0" w:rsidRDefault="0099308E" w:rsidP="00EB2ED0">
      <w:pPr>
        <w:spacing w:before="120" w:line="276" w:lineRule="auto"/>
        <w:ind w:firstLine="709"/>
        <w:jc w:val="both"/>
        <w:rPr>
          <w:rFonts w:ascii="Arial" w:eastAsia="Calibri" w:hAnsi="Arial" w:cs="Arial"/>
          <w:color w:val="000000" w:themeColor="text1"/>
          <w:sz w:val="22"/>
          <w:szCs w:val="22"/>
          <w:lang w:val="es-ES_tradnl"/>
        </w:rPr>
      </w:pPr>
      <w:bookmarkStart w:id="2" w:name="_Hlk63883948"/>
      <w:r w:rsidRPr="00EB2ED0">
        <w:rPr>
          <w:rFonts w:ascii="Arial" w:eastAsia="Calibri" w:hAnsi="Arial" w:cs="Arial"/>
          <w:color w:val="000000" w:themeColor="text1"/>
          <w:sz w:val="22"/>
          <w:szCs w:val="22"/>
          <w:lang w:val="es-ES_tradnl"/>
        </w:rPr>
        <w:t xml:space="preserve">La Ley 2069 de 2020 guarda </w:t>
      </w:r>
      <w:r w:rsidRPr="00EB2ED0">
        <w:rPr>
          <w:rFonts w:ascii="Arial" w:eastAsia="Calibri" w:hAnsi="Arial" w:cs="Arial"/>
          <w:bCs/>
          <w:color w:val="000000" w:themeColor="text1"/>
          <w:sz w:val="22"/>
        </w:rPr>
        <w:t xml:space="preserve">congruencia con el «Pacto por el emprendimiento, la formalización y la productividad» del Plan Nacional de Desarrollo 2018-2022, pues busca impulsar el nacimiento de nuevas empresas que incentiven la generación de empleo en el país. En tal sentido, su finalidad principal es generar la reactivación de la economía y fomentar la actividad emprendedora, y por ello, tiene como uno de sus propósitos propiciar un entorno para ayudar al crecimiento, consolidación y sostenibilidad de esas iniciativas, </w:t>
      </w:r>
      <w:r w:rsidRPr="00EB2ED0">
        <w:rPr>
          <w:rFonts w:ascii="Arial" w:eastAsia="Calibri" w:hAnsi="Arial" w:cs="Arial"/>
          <w:bCs/>
          <w:color w:val="000000" w:themeColor="text1"/>
          <w:sz w:val="22"/>
        </w:rPr>
        <w:lastRenderedPageBreak/>
        <w:t xml:space="preserve">generando mayor desarrollo social, creación de las empresas y mejoras tanto en la productividad como en la competitividad. De esta manera, la ley en comento también concreta la </w:t>
      </w:r>
      <w:bookmarkStart w:id="3" w:name="_Hlk63692496"/>
      <w:r w:rsidRPr="00EB2ED0">
        <w:rPr>
          <w:rFonts w:ascii="Arial" w:eastAsia="Calibri" w:hAnsi="Arial" w:cs="Arial"/>
          <w:bCs/>
          <w:color w:val="000000" w:themeColor="text1"/>
          <w:sz w:val="22"/>
        </w:rPr>
        <w:t>«Política de formalización empresarial»</w:t>
      </w:r>
      <w:bookmarkEnd w:id="3"/>
      <w:r w:rsidRPr="00EB2ED0">
        <w:rPr>
          <w:rFonts w:ascii="Arial" w:eastAsia="Calibri" w:hAnsi="Arial" w:cs="Arial"/>
          <w:bCs/>
          <w:color w:val="000000" w:themeColor="text1"/>
          <w:sz w:val="22"/>
        </w:rPr>
        <w:t xml:space="preserve"> del Documento CONPES 3956 del 8 de enero de 2019</w:t>
      </w:r>
      <w:r w:rsidRPr="00EB2ED0">
        <w:rPr>
          <w:rStyle w:val="Refdenotaalpie"/>
          <w:rFonts w:ascii="Arial" w:eastAsia="Calibri" w:hAnsi="Arial" w:cs="Arial"/>
          <w:bCs/>
          <w:color w:val="000000" w:themeColor="text1"/>
          <w:sz w:val="22"/>
        </w:rPr>
        <w:footnoteReference w:id="7"/>
      </w:r>
      <w:r w:rsidRPr="00EB2ED0">
        <w:rPr>
          <w:rFonts w:ascii="Arial" w:eastAsia="Calibri" w:hAnsi="Arial" w:cs="Arial"/>
          <w:bCs/>
          <w:color w:val="000000" w:themeColor="text1"/>
          <w:sz w:val="22"/>
        </w:rPr>
        <w:t>.</w:t>
      </w:r>
      <w:bookmarkEnd w:id="2"/>
    </w:p>
    <w:p w14:paraId="32C93171" w14:textId="77777777" w:rsidR="0099308E" w:rsidRPr="00EB2ED0" w:rsidRDefault="0099308E" w:rsidP="00EB2ED0">
      <w:pPr>
        <w:tabs>
          <w:tab w:val="left" w:pos="709"/>
        </w:tabs>
        <w:spacing w:before="120" w:after="120" w:line="276" w:lineRule="auto"/>
        <w:jc w:val="both"/>
        <w:rPr>
          <w:rFonts w:ascii="Arial" w:eastAsia="Calibri" w:hAnsi="Arial" w:cs="Arial"/>
          <w:bCs/>
          <w:color w:val="000000" w:themeColor="text1"/>
          <w:sz w:val="22"/>
        </w:rPr>
      </w:pPr>
      <w:r w:rsidRPr="00EB2ED0">
        <w:rPr>
          <w:rFonts w:ascii="Arial" w:eastAsia="Calibri" w:hAnsi="Arial" w:cs="Arial"/>
          <w:bCs/>
          <w:color w:val="000000" w:themeColor="text1"/>
          <w:sz w:val="22"/>
        </w:rPr>
        <w:tab/>
        <w:t xml:space="preserve">Por ello, la ley impulsa medidas para i) reducir cargas y trámites para los emprendedores del país, </w:t>
      </w:r>
      <w:proofErr w:type="spellStart"/>
      <w:r w:rsidRPr="00EB2ED0">
        <w:rPr>
          <w:rFonts w:ascii="Arial" w:eastAsia="Calibri" w:hAnsi="Arial" w:cs="Arial"/>
          <w:bCs/>
          <w:color w:val="000000" w:themeColor="text1"/>
          <w:sz w:val="22"/>
        </w:rPr>
        <w:t>ii</w:t>
      </w:r>
      <w:proofErr w:type="spellEnd"/>
      <w:r w:rsidRPr="00EB2ED0">
        <w:rPr>
          <w:rFonts w:ascii="Arial" w:eastAsia="Calibri" w:hAnsi="Arial" w:cs="Arial"/>
          <w:bCs/>
          <w:color w:val="000000" w:themeColor="text1"/>
          <w:sz w:val="22"/>
        </w:rPr>
        <w:t xml:space="preserve">) facilitar su acceso al sistema de compras y contratación pública, </w:t>
      </w:r>
      <w:proofErr w:type="spellStart"/>
      <w:r w:rsidRPr="00EB2ED0">
        <w:rPr>
          <w:rFonts w:ascii="Arial" w:eastAsia="Calibri" w:hAnsi="Arial" w:cs="Arial"/>
          <w:bCs/>
          <w:color w:val="000000" w:themeColor="text1"/>
          <w:sz w:val="22"/>
        </w:rPr>
        <w:t>iii</w:t>
      </w:r>
      <w:proofErr w:type="spellEnd"/>
      <w:r w:rsidRPr="00EB2ED0">
        <w:rPr>
          <w:rFonts w:ascii="Arial" w:eastAsia="Calibri" w:hAnsi="Arial" w:cs="Arial"/>
          <w:bCs/>
          <w:color w:val="000000" w:themeColor="text1"/>
          <w:sz w:val="22"/>
        </w:rPr>
        <w:t xml:space="preserve">) incentivar el crecimiento económico con la llegada de más actores al ecosistema de inversión y financiación, </w:t>
      </w:r>
      <w:proofErr w:type="spellStart"/>
      <w:r w:rsidRPr="00EB2ED0">
        <w:rPr>
          <w:rFonts w:ascii="Arial" w:eastAsia="Calibri" w:hAnsi="Arial" w:cs="Arial"/>
          <w:bCs/>
          <w:color w:val="000000" w:themeColor="text1"/>
          <w:sz w:val="22"/>
        </w:rPr>
        <w:t>iv</w:t>
      </w:r>
      <w:proofErr w:type="spellEnd"/>
      <w:r w:rsidRPr="00EB2ED0">
        <w:rPr>
          <w:rFonts w:ascii="Arial" w:eastAsia="Calibri" w:hAnsi="Arial" w:cs="Arial"/>
          <w:bCs/>
          <w:color w:val="000000" w:themeColor="text1"/>
          <w:sz w:val="22"/>
        </w:rPr>
        <w:t>) focalizar esfuerzos, optimizar la gestión de recursos e incentivar una visión integral del desarrollo productivo a través del fortalecimiento institucional, v) facilitar la apropiación del emprendimiento y la cultura emprendedora en la juventud colombiana, así como vi) otorgar beneficios para emprendedores, especialmente, estableciendo un enfoque diferencial respecto a los miembros de las poblaciones más vulnerables, que les permita avanzar en su actividad y desarrollar sus iniciativas</w:t>
      </w:r>
      <w:r w:rsidRPr="00EB2ED0">
        <w:rPr>
          <w:rStyle w:val="Refdenotaalpie"/>
          <w:rFonts w:ascii="Arial" w:eastAsia="Calibri" w:hAnsi="Arial" w:cs="Arial"/>
          <w:bCs/>
          <w:color w:val="000000" w:themeColor="text1"/>
          <w:sz w:val="22"/>
        </w:rPr>
        <w:footnoteReference w:id="8"/>
      </w:r>
      <w:r w:rsidRPr="00EB2ED0">
        <w:rPr>
          <w:rFonts w:ascii="Arial" w:eastAsia="Calibri" w:hAnsi="Arial" w:cs="Arial"/>
          <w:bCs/>
          <w:color w:val="000000" w:themeColor="text1"/>
          <w:sz w:val="22"/>
        </w:rPr>
        <w:t>.</w:t>
      </w:r>
    </w:p>
    <w:p w14:paraId="6B7A8E82" w14:textId="496561D1" w:rsidR="0099308E" w:rsidRPr="00EB2ED0" w:rsidRDefault="0099308E" w:rsidP="00EB2ED0">
      <w:pPr>
        <w:spacing w:before="120" w:line="276" w:lineRule="auto"/>
        <w:ind w:firstLine="709"/>
        <w:jc w:val="both"/>
        <w:rPr>
          <w:rFonts w:ascii="Arial" w:eastAsia="Calibri" w:hAnsi="Arial" w:cs="Arial"/>
          <w:color w:val="000000" w:themeColor="text1"/>
          <w:sz w:val="22"/>
          <w:szCs w:val="22"/>
          <w:lang w:val="es-ES_tradnl"/>
        </w:rPr>
      </w:pPr>
      <w:r w:rsidRPr="00EB2ED0">
        <w:rPr>
          <w:rFonts w:ascii="Arial" w:eastAsia="Calibri" w:hAnsi="Arial" w:cs="Arial"/>
          <w:color w:val="000000" w:themeColor="text1"/>
          <w:sz w:val="22"/>
          <w:szCs w:val="22"/>
          <w:lang w:val="es-ES_tradnl"/>
        </w:rPr>
        <w:t xml:space="preserve">Además, como se indicó, parte de la Ley 2069 contiene normas que modifican algunos aspectos de la contratación estatal para promover el emprendimiento. Concretamente, aquellas se encuentran en el Capítulo III –artículos 30 al 36–. En su orden, tales artículos consagran: i) reglas sobre la participación de las </w:t>
      </w:r>
      <w:proofErr w:type="spellStart"/>
      <w:r w:rsidRPr="00EB2ED0">
        <w:rPr>
          <w:rFonts w:ascii="Arial" w:eastAsia="Calibri" w:hAnsi="Arial" w:cs="Arial"/>
          <w:color w:val="000000" w:themeColor="text1"/>
          <w:sz w:val="22"/>
          <w:szCs w:val="22"/>
          <w:lang w:val="es-ES_tradnl"/>
        </w:rPr>
        <w:t>mipymes</w:t>
      </w:r>
      <w:proofErr w:type="spellEnd"/>
      <w:r w:rsidRPr="00EB2ED0">
        <w:rPr>
          <w:rFonts w:ascii="Arial" w:eastAsia="Calibri" w:hAnsi="Arial" w:cs="Arial"/>
          <w:color w:val="000000" w:themeColor="text1"/>
          <w:sz w:val="22"/>
          <w:szCs w:val="22"/>
          <w:lang w:val="es-ES_tradnl"/>
        </w:rPr>
        <w:t xml:space="preserve"> en el procedimiento de mínima cuantía, </w:t>
      </w:r>
      <w:proofErr w:type="spellStart"/>
      <w:r w:rsidRPr="00EB2ED0">
        <w:rPr>
          <w:rFonts w:ascii="Arial" w:eastAsia="Calibri" w:hAnsi="Arial" w:cs="Arial"/>
          <w:color w:val="000000" w:themeColor="text1"/>
          <w:sz w:val="22"/>
          <w:szCs w:val="22"/>
          <w:lang w:val="es-ES_tradnl"/>
        </w:rPr>
        <w:t>ii</w:t>
      </w:r>
      <w:proofErr w:type="spellEnd"/>
      <w:r w:rsidRPr="00EB2ED0">
        <w:rPr>
          <w:rFonts w:ascii="Arial" w:eastAsia="Calibri" w:hAnsi="Arial" w:cs="Arial"/>
          <w:color w:val="000000" w:themeColor="text1"/>
          <w:sz w:val="22"/>
          <w:szCs w:val="22"/>
          <w:lang w:val="es-ES_tradnl"/>
        </w:rPr>
        <w:t xml:space="preserve">) criterios diferenciales para </w:t>
      </w:r>
      <w:proofErr w:type="spellStart"/>
      <w:r w:rsidRPr="00EB2ED0">
        <w:rPr>
          <w:rFonts w:ascii="Arial" w:eastAsia="Calibri" w:hAnsi="Arial" w:cs="Arial"/>
          <w:color w:val="000000" w:themeColor="text1"/>
          <w:sz w:val="22"/>
          <w:szCs w:val="22"/>
          <w:lang w:val="es-ES_tradnl"/>
        </w:rPr>
        <w:t>mipymes</w:t>
      </w:r>
      <w:proofErr w:type="spellEnd"/>
      <w:r w:rsidRPr="00EB2ED0">
        <w:rPr>
          <w:rFonts w:ascii="Arial" w:eastAsia="Calibri" w:hAnsi="Arial" w:cs="Arial"/>
          <w:color w:val="000000" w:themeColor="text1"/>
          <w:sz w:val="22"/>
          <w:szCs w:val="22"/>
          <w:lang w:val="es-ES_tradnl"/>
        </w:rPr>
        <w:t xml:space="preserve"> en el sistema de compras públicas, </w:t>
      </w:r>
      <w:proofErr w:type="spellStart"/>
      <w:r w:rsidRPr="00EB2ED0">
        <w:rPr>
          <w:rFonts w:ascii="Arial" w:eastAsia="Calibri" w:hAnsi="Arial" w:cs="Arial"/>
          <w:color w:val="000000" w:themeColor="text1"/>
          <w:sz w:val="22"/>
          <w:szCs w:val="22"/>
          <w:lang w:val="es-ES_tradnl"/>
        </w:rPr>
        <w:t>iii</w:t>
      </w:r>
      <w:proofErr w:type="spellEnd"/>
      <w:r w:rsidRPr="00EB2ED0">
        <w:rPr>
          <w:rFonts w:ascii="Arial" w:eastAsia="Calibri" w:hAnsi="Arial" w:cs="Arial"/>
          <w:color w:val="000000" w:themeColor="text1"/>
          <w:sz w:val="22"/>
          <w:szCs w:val="22"/>
          <w:lang w:val="es-ES_tradnl"/>
        </w:rPr>
        <w:t xml:space="preserve">) criterios diferenciales para emprendimientos y empresas de mujeres en el sistema de compras públicas, </w:t>
      </w:r>
      <w:proofErr w:type="spellStart"/>
      <w:r w:rsidRPr="00EB2ED0">
        <w:rPr>
          <w:rFonts w:ascii="Arial" w:eastAsia="Calibri" w:hAnsi="Arial" w:cs="Arial"/>
          <w:color w:val="000000" w:themeColor="text1"/>
          <w:sz w:val="22"/>
          <w:szCs w:val="22"/>
          <w:lang w:val="es-ES_tradnl"/>
        </w:rPr>
        <w:t>iv</w:t>
      </w:r>
      <w:proofErr w:type="spellEnd"/>
      <w:r w:rsidRPr="00EB2ED0">
        <w:rPr>
          <w:rFonts w:ascii="Arial" w:eastAsia="Calibri" w:hAnsi="Arial" w:cs="Arial"/>
          <w:color w:val="000000" w:themeColor="text1"/>
          <w:sz w:val="22"/>
          <w:szCs w:val="22"/>
          <w:lang w:val="es-ES_tradnl"/>
        </w:rPr>
        <w:t xml:space="preserve">) promoción del acceso de las </w:t>
      </w:r>
      <w:proofErr w:type="spellStart"/>
      <w:r w:rsidRPr="00EB2ED0">
        <w:rPr>
          <w:rFonts w:ascii="Arial" w:eastAsia="Calibri" w:hAnsi="Arial" w:cs="Arial"/>
          <w:color w:val="000000" w:themeColor="text1"/>
          <w:sz w:val="22"/>
          <w:szCs w:val="22"/>
          <w:lang w:val="es-ES_tradnl"/>
        </w:rPr>
        <w:t>mipymes</w:t>
      </w:r>
      <w:proofErr w:type="spellEnd"/>
      <w:r w:rsidRPr="00EB2ED0">
        <w:rPr>
          <w:rFonts w:ascii="Arial" w:eastAsia="Calibri" w:hAnsi="Arial" w:cs="Arial"/>
          <w:color w:val="000000" w:themeColor="text1"/>
          <w:sz w:val="22"/>
          <w:szCs w:val="22"/>
          <w:lang w:val="es-ES_tradnl"/>
        </w:rPr>
        <w:t xml:space="preserve"> al mercado de compras públicas, v) promoción del desarrollo en la contratación pública, vi) un nuevo régimen de factores de desempate y vi) un llamado a las entidades estatales para que promuevan compras públicas en el marco de la tecnología y la innovación. </w:t>
      </w:r>
    </w:p>
    <w:p w14:paraId="57B9FA3D" w14:textId="77777777" w:rsidR="0099308E" w:rsidRPr="00EB2ED0" w:rsidRDefault="0099308E" w:rsidP="00EB2ED0">
      <w:pPr>
        <w:spacing w:line="276" w:lineRule="auto"/>
        <w:jc w:val="both"/>
        <w:rPr>
          <w:rFonts w:ascii="Arial" w:hAnsi="Arial" w:cs="Arial"/>
          <w:sz w:val="22"/>
          <w:lang w:val="es-ES_tradnl"/>
        </w:rPr>
      </w:pPr>
    </w:p>
    <w:p w14:paraId="14C1D2B3" w14:textId="77777777" w:rsidR="0099308E" w:rsidRPr="00EB2ED0" w:rsidRDefault="0099308E" w:rsidP="00EB2ED0">
      <w:pPr>
        <w:tabs>
          <w:tab w:val="left" w:pos="709"/>
        </w:tabs>
        <w:spacing w:line="276" w:lineRule="auto"/>
        <w:jc w:val="both"/>
        <w:rPr>
          <w:rFonts w:ascii="Arial" w:eastAsia="Calibri" w:hAnsi="Arial" w:cs="Arial"/>
          <w:b/>
          <w:color w:val="000000" w:themeColor="text1"/>
          <w:sz w:val="22"/>
        </w:rPr>
      </w:pPr>
      <w:r w:rsidRPr="00EB2ED0">
        <w:rPr>
          <w:rFonts w:ascii="Arial" w:eastAsia="Calibri" w:hAnsi="Arial" w:cs="Arial"/>
          <w:b/>
          <w:color w:val="000000" w:themeColor="text1"/>
          <w:sz w:val="22"/>
        </w:rPr>
        <w:lastRenderedPageBreak/>
        <w:t xml:space="preserve">2.2. Intervención del reglamento para la efectividad de la Ley 2069 de 2020 en el </w:t>
      </w:r>
      <w:bookmarkStart w:id="5" w:name="_Hlk63693402"/>
      <w:r w:rsidRPr="00EB2ED0">
        <w:rPr>
          <w:rFonts w:ascii="Arial" w:eastAsia="Calibri" w:hAnsi="Arial" w:cs="Arial"/>
          <w:b/>
          <w:color w:val="000000" w:themeColor="text1"/>
          <w:sz w:val="22"/>
        </w:rPr>
        <w:t>sistema de compras pública</w:t>
      </w:r>
      <w:bookmarkEnd w:id="5"/>
      <w:r w:rsidRPr="00EB2ED0">
        <w:rPr>
          <w:rFonts w:ascii="Arial" w:eastAsia="Calibri" w:hAnsi="Arial" w:cs="Arial"/>
          <w:b/>
          <w:color w:val="000000" w:themeColor="text1"/>
          <w:sz w:val="22"/>
        </w:rPr>
        <w:t>s: la conclusión no es la misma frente a todos los artículos</w:t>
      </w:r>
    </w:p>
    <w:p w14:paraId="6ABCDD04" w14:textId="77777777" w:rsidR="0099308E" w:rsidRPr="00EB2ED0" w:rsidRDefault="0099308E" w:rsidP="00EB2ED0">
      <w:pPr>
        <w:tabs>
          <w:tab w:val="left" w:pos="709"/>
        </w:tabs>
        <w:spacing w:line="276" w:lineRule="auto"/>
        <w:jc w:val="both"/>
        <w:rPr>
          <w:rFonts w:ascii="Arial" w:eastAsia="Calibri" w:hAnsi="Arial" w:cs="Arial"/>
          <w:bCs/>
          <w:color w:val="000000" w:themeColor="text1"/>
          <w:sz w:val="22"/>
        </w:rPr>
      </w:pPr>
    </w:p>
    <w:p w14:paraId="6A77C0EF" w14:textId="77777777" w:rsidR="0099308E" w:rsidRPr="00EB2ED0" w:rsidRDefault="0099308E" w:rsidP="00EB2ED0">
      <w:pPr>
        <w:tabs>
          <w:tab w:val="left" w:pos="709"/>
        </w:tabs>
        <w:spacing w:after="120" w:line="276" w:lineRule="auto"/>
        <w:jc w:val="both"/>
        <w:rPr>
          <w:rFonts w:ascii="Arial" w:eastAsia="Calibri" w:hAnsi="Arial" w:cs="Arial"/>
          <w:bCs/>
          <w:color w:val="000000" w:themeColor="text1"/>
          <w:sz w:val="22"/>
        </w:rPr>
      </w:pPr>
      <w:r w:rsidRPr="00EB2ED0">
        <w:rPr>
          <w:rFonts w:ascii="Arial" w:eastAsia="Calibri" w:hAnsi="Arial" w:cs="Arial"/>
          <w:color w:val="000000" w:themeColor="text1"/>
          <w:sz w:val="22"/>
          <w:lang w:val="es-ES_tradnl"/>
        </w:rPr>
        <w:t>En la Ley 2069 de 2020 la exigencia de reglamentación como condición de eficacia de su articulado es diversa, o sea, no es similar frente a todos sus enunciados normativos. Verbigracia, los artículos 31, 32, 34 y 36 de la Ley 2069 de 2020</w:t>
      </w:r>
      <w:r w:rsidRPr="00EB2ED0">
        <w:rPr>
          <w:rFonts w:ascii="Arial" w:eastAsia="Calibri" w:hAnsi="Arial" w:cs="Arial"/>
          <w:bCs/>
          <w:color w:val="000000" w:themeColor="text1"/>
          <w:sz w:val="22"/>
        </w:rPr>
        <w:t xml:space="preserve"> disponen que el gobierno nacional reglamentará i) los criterios diferenciales para </w:t>
      </w:r>
      <w:proofErr w:type="spellStart"/>
      <w:r w:rsidRPr="00EB2ED0">
        <w:rPr>
          <w:rFonts w:ascii="Arial" w:eastAsia="Calibri" w:hAnsi="Arial" w:cs="Arial"/>
          <w:bCs/>
          <w:color w:val="000000" w:themeColor="text1"/>
          <w:sz w:val="22"/>
        </w:rPr>
        <w:t>mipymes</w:t>
      </w:r>
      <w:proofErr w:type="spellEnd"/>
      <w:r w:rsidRPr="00EB2ED0">
        <w:rPr>
          <w:rFonts w:ascii="Arial" w:eastAsia="Calibri" w:hAnsi="Arial" w:cs="Arial"/>
          <w:bCs/>
          <w:color w:val="000000" w:themeColor="text1"/>
          <w:sz w:val="22"/>
        </w:rPr>
        <w:t xml:space="preserve">, </w:t>
      </w:r>
      <w:proofErr w:type="spellStart"/>
      <w:r w:rsidRPr="00EB2ED0">
        <w:rPr>
          <w:rFonts w:ascii="Arial" w:eastAsia="Calibri" w:hAnsi="Arial" w:cs="Arial"/>
          <w:bCs/>
          <w:color w:val="000000" w:themeColor="text1"/>
          <w:sz w:val="22"/>
        </w:rPr>
        <w:t>ii</w:t>
      </w:r>
      <w:proofErr w:type="spellEnd"/>
      <w:r w:rsidRPr="00EB2ED0">
        <w:rPr>
          <w:rFonts w:ascii="Arial" w:eastAsia="Calibri" w:hAnsi="Arial" w:cs="Arial"/>
          <w:bCs/>
          <w:color w:val="000000" w:themeColor="text1"/>
          <w:sz w:val="22"/>
        </w:rPr>
        <w:t xml:space="preserve">) la definición de «emprendimientos y empresas de mujeres», </w:t>
      </w:r>
      <w:proofErr w:type="spellStart"/>
      <w:r w:rsidRPr="00EB2ED0">
        <w:rPr>
          <w:rFonts w:ascii="Arial" w:eastAsia="Calibri" w:hAnsi="Arial" w:cs="Arial"/>
          <w:bCs/>
          <w:color w:val="000000" w:themeColor="text1"/>
          <w:sz w:val="22"/>
        </w:rPr>
        <w:t>iii</w:t>
      </w:r>
      <w:proofErr w:type="spellEnd"/>
      <w:r w:rsidRPr="00EB2ED0">
        <w:rPr>
          <w:rFonts w:ascii="Arial" w:eastAsia="Calibri" w:hAnsi="Arial" w:cs="Arial"/>
          <w:bCs/>
          <w:color w:val="000000" w:themeColor="text1"/>
          <w:sz w:val="22"/>
        </w:rPr>
        <w:t xml:space="preserve">) las convocatorias limitadas a </w:t>
      </w:r>
      <w:proofErr w:type="spellStart"/>
      <w:r w:rsidRPr="00EB2ED0">
        <w:rPr>
          <w:rFonts w:ascii="Arial" w:eastAsia="Calibri" w:hAnsi="Arial" w:cs="Arial"/>
          <w:bCs/>
          <w:color w:val="000000" w:themeColor="text1"/>
          <w:sz w:val="22"/>
        </w:rPr>
        <w:t>mipymes</w:t>
      </w:r>
      <w:proofErr w:type="spellEnd"/>
      <w:r w:rsidRPr="00EB2ED0">
        <w:rPr>
          <w:rFonts w:ascii="Arial" w:eastAsia="Calibri" w:hAnsi="Arial" w:cs="Arial"/>
          <w:bCs/>
          <w:color w:val="000000" w:themeColor="text1"/>
          <w:sz w:val="22"/>
        </w:rPr>
        <w:t xml:space="preserve"> y el fomento en la ejecución de los contratos estatales por parte de sujetos de especial protección, así como </w:t>
      </w:r>
      <w:proofErr w:type="spellStart"/>
      <w:r w:rsidRPr="00EB2ED0">
        <w:rPr>
          <w:rFonts w:ascii="Arial" w:eastAsia="Calibri" w:hAnsi="Arial" w:cs="Arial"/>
          <w:bCs/>
          <w:color w:val="000000" w:themeColor="text1"/>
          <w:sz w:val="22"/>
        </w:rPr>
        <w:t>iv</w:t>
      </w:r>
      <w:proofErr w:type="spellEnd"/>
      <w:r w:rsidRPr="00EB2ED0">
        <w:rPr>
          <w:rFonts w:ascii="Arial" w:eastAsia="Calibri" w:hAnsi="Arial" w:cs="Arial"/>
          <w:bCs/>
          <w:color w:val="000000" w:themeColor="text1"/>
          <w:sz w:val="22"/>
        </w:rPr>
        <w:t xml:space="preserve">) la promoción de las compras públicas de tecnología e innovación. En este contexto, es necesario analizar si las entidades pueden aplicar directamente las normas citadas o, por el contrario, si su efectividad está condicionada a la expedición del reglamento correspondiente. </w:t>
      </w:r>
    </w:p>
    <w:p w14:paraId="0F3192E7" w14:textId="77777777" w:rsidR="0099308E" w:rsidRPr="00EB2ED0" w:rsidRDefault="0099308E" w:rsidP="00EB2ED0">
      <w:pPr>
        <w:tabs>
          <w:tab w:val="left" w:pos="709"/>
        </w:tabs>
        <w:spacing w:after="120" w:line="276" w:lineRule="auto"/>
        <w:jc w:val="both"/>
        <w:rPr>
          <w:rFonts w:ascii="Arial" w:eastAsia="Calibri" w:hAnsi="Arial" w:cs="Arial"/>
          <w:bCs/>
          <w:color w:val="000000" w:themeColor="text1"/>
          <w:sz w:val="22"/>
        </w:rPr>
      </w:pPr>
      <w:r w:rsidRPr="00EB2ED0">
        <w:rPr>
          <w:rFonts w:ascii="Arial" w:eastAsia="Calibri" w:hAnsi="Arial" w:cs="Arial"/>
          <w:bCs/>
          <w:color w:val="000000" w:themeColor="text1"/>
          <w:sz w:val="22"/>
        </w:rPr>
        <w:tab/>
        <w:t xml:space="preserve">La respuesta a la inquietud planteada en el párrafo precedente es de enorme importancia por los efectos prácticos de ambas posiciones. Por un lado, </w:t>
      </w:r>
      <w:bookmarkStart w:id="6" w:name="_Hlk63884320"/>
      <w:r w:rsidRPr="00EB2ED0">
        <w:rPr>
          <w:rFonts w:ascii="Arial" w:eastAsia="Calibri" w:hAnsi="Arial" w:cs="Arial"/>
          <w:bCs/>
          <w:color w:val="000000" w:themeColor="text1"/>
          <w:sz w:val="22"/>
        </w:rPr>
        <w:t xml:space="preserve">quien opte por la </w:t>
      </w:r>
      <w:r w:rsidRPr="00EB2ED0">
        <w:rPr>
          <w:rFonts w:ascii="Arial" w:eastAsia="Calibri" w:hAnsi="Arial" w:cs="Arial"/>
          <w:bCs/>
          <w:i/>
          <w:iCs/>
          <w:color w:val="000000" w:themeColor="text1"/>
          <w:sz w:val="22"/>
        </w:rPr>
        <w:t>tesis de la aplicación directa</w:t>
      </w:r>
      <w:r w:rsidRPr="00EB2ED0">
        <w:rPr>
          <w:rFonts w:ascii="Arial" w:eastAsia="Calibri" w:hAnsi="Arial" w:cs="Arial"/>
          <w:bCs/>
          <w:color w:val="000000" w:themeColor="text1"/>
          <w:sz w:val="22"/>
        </w:rPr>
        <w:t xml:space="preserve"> debe sostener que la intervención del reglamento es accesoria, no necesaria: el Congreso de la República ejerce su competencia para la expedición de las leyes sin que normas de inferior jerarquía condicionen su vigencia o aplicación. En este contexto, cualquier espacio abierto de decisión –siempre que no esté sometido a reserva– habilita el ejercicio de potestades discrecionales por parte de las entidades públicas, salvo que el reglamento eventualmente los limite. </w:t>
      </w:r>
      <w:bookmarkEnd w:id="6"/>
    </w:p>
    <w:p w14:paraId="7BDD67FA" w14:textId="77777777" w:rsidR="0099308E" w:rsidRPr="00EB2ED0" w:rsidRDefault="0099308E" w:rsidP="00EB2ED0">
      <w:pPr>
        <w:tabs>
          <w:tab w:val="left" w:pos="709"/>
        </w:tabs>
        <w:spacing w:after="120" w:line="276" w:lineRule="auto"/>
        <w:jc w:val="both"/>
        <w:rPr>
          <w:rFonts w:ascii="Arial" w:eastAsia="Calibri" w:hAnsi="Arial" w:cs="Arial"/>
          <w:bCs/>
          <w:color w:val="000000" w:themeColor="text1"/>
          <w:sz w:val="22"/>
        </w:rPr>
      </w:pPr>
      <w:r w:rsidRPr="00EB2ED0">
        <w:rPr>
          <w:rFonts w:ascii="Arial" w:eastAsia="Calibri" w:hAnsi="Arial" w:cs="Arial"/>
          <w:bCs/>
          <w:color w:val="000000" w:themeColor="text1"/>
          <w:sz w:val="22"/>
        </w:rPr>
        <w:tab/>
        <w:t>De esta manera, a menor precisión de la ley, mayor es el campo de acción del reglamento: en este el funcionario competente tiene libertad para expedir o no las normas correspondientes. Por ello, la jurisprudencia explica que la competencia reglamentaria prevista en el artículo 189.11 superior también corresponde a un poder discrecional</w:t>
      </w:r>
      <w:r w:rsidRPr="00EB2ED0">
        <w:rPr>
          <w:rStyle w:val="Refdenotaalpie"/>
          <w:rFonts w:ascii="Arial" w:eastAsia="Calibri" w:hAnsi="Arial" w:cs="Arial"/>
          <w:bCs/>
          <w:color w:val="000000" w:themeColor="text1"/>
          <w:sz w:val="22"/>
        </w:rPr>
        <w:footnoteReference w:id="9"/>
      </w:r>
      <w:r w:rsidRPr="00EB2ED0">
        <w:rPr>
          <w:rFonts w:ascii="Arial" w:eastAsia="Calibri" w:hAnsi="Arial" w:cs="Arial"/>
          <w:bCs/>
          <w:color w:val="000000" w:themeColor="text1"/>
          <w:sz w:val="22"/>
        </w:rPr>
        <w:t>. En este contexto, si la expedición de reglamentos no es obligatoria, la ausencia de estos no excusa la inaplicación de la ley, pues contiene unos elementos mínimos que vinculan directamente a los destinatarios.</w:t>
      </w:r>
    </w:p>
    <w:p w14:paraId="77EAEDA2" w14:textId="77777777" w:rsidR="0099308E" w:rsidRPr="00EB2ED0" w:rsidRDefault="0099308E" w:rsidP="00EB2ED0">
      <w:pPr>
        <w:tabs>
          <w:tab w:val="left" w:pos="709"/>
        </w:tabs>
        <w:spacing w:after="120" w:line="276" w:lineRule="auto"/>
        <w:jc w:val="both"/>
        <w:rPr>
          <w:rFonts w:ascii="Arial" w:eastAsia="Calibri" w:hAnsi="Arial" w:cs="Arial"/>
          <w:bCs/>
          <w:color w:val="000000" w:themeColor="text1"/>
          <w:sz w:val="22"/>
        </w:rPr>
      </w:pPr>
      <w:r w:rsidRPr="00EB2ED0">
        <w:rPr>
          <w:rFonts w:ascii="Arial" w:eastAsia="Calibri" w:hAnsi="Arial" w:cs="Arial"/>
          <w:bCs/>
          <w:color w:val="000000" w:themeColor="text1"/>
          <w:sz w:val="22"/>
        </w:rPr>
        <w:tab/>
        <w:t xml:space="preserve">Este es el caso de lo previsto en los artículos 30, 33 y 35 de la Ley de Emprendimiento. En relación con las </w:t>
      </w:r>
      <w:proofErr w:type="spellStart"/>
      <w:r w:rsidRPr="00EB2ED0">
        <w:rPr>
          <w:rFonts w:ascii="Arial" w:eastAsia="Calibri" w:hAnsi="Arial" w:cs="Arial"/>
          <w:bCs/>
          <w:color w:val="000000" w:themeColor="text1"/>
          <w:sz w:val="22"/>
        </w:rPr>
        <w:t>mipymes</w:t>
      </w:r>
      <w:proofErr w:type="spellEnd"/>
      <w:r w:rsidRPr="00EB2ED0">
        <w:rPr>
          <w:rFonts w:ascii="Arial" w:eastAsia="Calibri" w:hAnsi="Arial" w:cs="Arial"/>
          <w:bCs/>
          <w:color w:val="000000" w:themeColor="text1"/>
          <w:sz w:val="22"/>
        </w:rPr>
        <w:t xml:space="preserve"> y mínima cuantía, </w:t>
      </w:r>
      <w:r w:rsidRPr="00EB2ED0">
        <w:rPr>
          <w:rFonts w:ascii="Arial" w:eastAsia="Calibri" w:hAnsi="Arial" w:cs="Arial"/>
          <w:bCs/>
          <w:color w:val="000000" w:themeColor="text1"/>
          <w:sz w:val="22"/>
          <w:lang w:val="es-ES_tradnl"/>
        </w:rPr>
        <w:t xml:space="preserve">dado que el artículo 30 de la Ley 2069 de 2020 regula aspectos como i) el término mínimo para publicar la invitación, </w:t>
      </w:r>
      <w:proofErr w:type="spellStart"/>
      <w:r w:rsidRPr="00EB2ED0">
        <w:rPr>
          <w:rFonts w:ascii="Arial" w:eastAsia="Calibri" w:hAnsi="Arial" w:cs="Arial"/>
          <w:bCs/>
          <w:color w:val="000000" w:themeColor="text1"/>
          <w:sz w:val="22"/>
          <w:lang w:val="es-ES_tradnl"/>
        </w:rPr>
        <w:t>ii</w:t>
      </w:r>
      <w:proofErr w:type="spellEnd"/>
      <w:r w:rsidRPr="00EB2ED0">
        <w:rPr>
          <w:rFonts w:ascii="Arial" w:eastAsia="Calibri" w:hAnsi="Arial" w:cs="Arial"/>
          <w:bCs/>
          <w:color w:val="000000" w:themeColor="text1"/>
          <w:sz w:val="22"/>
          <w:lang w:val="es-ES_tradnl"/>
        </w:rPr>
        <w:t xml:space="preserve">) el plazo mínimo de recepción de las ofertas, </w:t>
      </w:r>
      <w:proofErr w:type="spellStart"/>
      <w:r w:rsidRPr="00EB2ED0">
        <w:rPr>
          <w:rFonts w:ascii="Arial" w:eastAsia="Calibri" w:hAnsi="Arial" w:cs="Arial"/>
          <w:bCs/>
          <w:color w:val="000000" w:themeColor="text1"/>
          <w:sz w:val="22"/>
          <w:lang w:val="es-ES_tradnl"/>
        </w:rPr>
        <w:t>iii</w:t>
      </w:r>
      <w:proofErr w:type="spellEnd"/>
      <w:r w:rsidRPr="00EB2ED0">
        <w:rPr>
          <w:rFonts w:ascii="Arial" w:eastAsia="Calibri" w:hAnsi="Arial" w:cs="Arial"/>
          <w:bCs/>
          <w:color w:val="000000" w:themeColor="text1"/>
          <w:sz w:val="22"/>
          <w:lang w:val="es-ES_tradnl"/>
        </w:rPr>
        <w:t xml:space="preserve">) el factor de evaluación que define la selección del proponente y </w:t>
      </w:r>
      <w:proofErr w:type="spellStart"/>
      <w:r w:rsidRPr="00EB2ED0">
        <w:rPr>
          <w:rFonts w:ascii="Arial" w:eastAsia="Calibri" w:hAnsi="Arial" w:cs="Arial"/>
          <w:bCs/>
          <w:color w:val="000000" w:themeColor="text1"/>
          <w:sz w:val="22"/>
          <w:lang w:val="es-ES_tradnl"/>
        </w:rPr>
        <w:t>iv</w:t>
      </w:r>
      <w:proofErr w:type="spellEnd"/>
      <w:r w:rsidRPr="00EB2ED0">
        <w:rPr>
          <w:rFonts w:ascii="Arial" w:eastAsia="Calibri" w:hAnsi="Arial" w:cs="Arial"/>
          <w:bCs/>
          <w:color w:val="000000" w:themeColor="text1"/>
          <w:sz w:val="22"/>
          <w:lang w:val="es-ES_tradnl"/>
        </w:rPr>
        <w:t xml:space="preserve">) el perfeccionamiento del contrato, las entidades deben estructurar sus procedimientos de selección de acuerdo con estos parámetros, los cuales tienen una aplicación inmediata sin que el reglamento condicione la vigencia de la mínima </w:t>
      </w:r>
      <w:r w:rsidRPr="00EB2ED0">
        <w:rPr>
          <w:rFonts w:ascii="Arial" w:eastAsia="Calibri" w:hAnsi="Arial" w:cs="Arial"/>
          <w:bCs/>
          <w:color w:val="000000" w:themeColor="text1"/>
          <w:sz w:val="22"/>
          <w:lang w:val="es-ES_tradnl"/>
        </w:rPr>
        <w:lastRenderedPageBreak/>
        <w:t xml:space="preserve">cuantía. Esto </w:t>
      </w:r>
      <w:r w:rsidRPr="00EB2ED0">
        <w:rPr>
          <w:rFonts w:ascii="Arial" w:eastAsia="Calibri" w:hAnsi="Arial" w:cs="Arial"/>
          <w:bCs/>
          <w:color w:val="000000" w:themeColor="text1"/>
          <w:sz w:val="22"/>
        </w:rPr>
        <w:t xml:space="preserve">sin perjuicio de que el Gobierno Nacional, conforme a lo dispuesto en el parágrafo 1 </w:t>
      </w:r>
      <w:r w:rsidRPr="00EB2ED0">
        <w:rPr>
          <w:rFonts w:ascii="Arial" w:eastAsia="Calibri" w:hAnsi="Arial" w:cs="Arial"/>
          <w:bCs/>
          <w:i/>
          <w:iCs/>
          <w:color w:val="000000" w:themeColor="text1"/>
          <w:sz w:val="22"/>
        </w:rPr>
        <w:t>ibidem</w:t>
      </w:r>
      <w:r w:rsidRPr="00EB2ED0">
        <w:rPr>
          <w:rFonts w:ascii="Arial" w:eastAsia="Calibri" w:hAnsi="Arial" w:cs="Arial"/>
          <w:bCs/>
          <w:color w:val="000000" w:themeColor="text1"/>
          <w:sz w:val="22"/>
        </w:rPr>
        <w:t xml:space="preserve">, ejerza la potestad reglamentaria para </w:t>
      </w:r>
      <w:r w:rsidRPr="00EB2ED0">
        <w:rPr>
          <w:rFonts w:ascii="Arial" w:eastAsia="Calibri" w:hAnsi="Arial" w:cs="Arial"/>
          <w:bCs/>
          <w:color w:val="000000" w:themeColor="text1"/>
          <w:sz w:val="22"/>
          <w:lang w:val="es-ES_tradnl"/>
        </w:rPr>
        <w:t xml:space="preserve">regular tanto las particularidades del procedimiento de selección como la posibilidad de realizar estas adquisiciones a </w:t>
      </w:r>
      <w:proofErr w:type="spellStart"/>
      <w:r w:rsidRPr="00EB2ED0">
        <w:rPr>
          <w:rFonts w:ascii="Arial" w:eastAsia="Calibri" w:hAnsi="Arial" w:cs="Arial"/>
          <w:bCs/>
          <w:color w:val="000000" w:themeColor="text1"/>
          <w:sz w:val="22"/>
          <w:lang w:val="es-ES_tradnl"/>
        </w:rPr>
        <w:t>mipymes</w:t>
      </w:r>
      <w:proofErr w:type="spellEnd"/>
      <w:r w:rsidRPr="00EB2ED0">
        <w:rPr>
          <w:rFonts w:ascii="Arial" w:eastAsia="Calibri" w:hAnsi="Arial" w:cs="Arial"/>
          <w:bCs/>
          <w:color w:val="000000" w:themeColor="text1"/>
          <w:sz w:val="22"/>
          <w:lang w:val="es-ES_tradnl"/>
        </w:rPr>
        <w:t xml:space="preserve"> o establecimientos que correspondan a la definición de «gran almacén».</w:t>
      </w:r>
    </w:p>
    <w:p w14:paraId="0AAB5DF6" w14:textId="301EB3F0" w:rsidR="0099308E" w:rsidRPr="00EB2ED0" w:rsidRDefault="0099308E" w:rsidP="00EB2ED0">
      <w:pPr>
        <w:tabs>
          <w:tab w:val="left" w:pos="709"/>
        </w:tabs>
        <w:spacing w:after="120" w:line="276" w:lineRule="auto"/>
        <w:jc w:val="both"/>
        <w:rPr>
          <w:rFonts w:ascii="Arial" w:eastAsia="Calibri" w:hAnsi="Arial" w:cs="Arial"/>
          <w:bCs/>
          <w:color w:val="000000" w:themeColor="text1"/>
          <w:sz w:val="22"/>
        </w:rPr>
      </w:pPr>
      <w:r w:rsidRPr="00EB2ED0">
        <w:rPr>
          <w:rFonts w:ascii="Arial" w:eastAsia="Calibri" w:hAnsi="Arial" w:cs="Arial"/>
          <w:bCs/>
          <w:color w:val="000000" w:themeColor="text1"/>
          <w:sz w:val="22"/>
        </w:rPr>
        <w:tab/>
        <w:t xml:space="preserve">En lo que se refiere a la promoción del acceso de las </w:t>
      </w:r>
      <w:proofErr w:type="spellStart"/>
      <w:r w:rsidRPr="00EB2ED0">
        <w:rPr>
          <w:rFonts w:ascii="Arial" w:eastAsia="Calibri" w:hAnsi="Arial" w:cs="Arial"/>
          <w:bCs/>
          <w:color w:val="000000" w:themeColor="text1"/>
          <w:sz w:val="22"/>
        </w:rPr>
        <w:t>mipymes</w:t>
      </w:r>
      <w:proofErr w:type="spellEnd"/>
      <w:r w:rsidRPr="00EB2ED0">
        <w:rPr>
          <w:rFonts w:ascii="Arial" w:eastAsia="Calibri" w:hAnsi="Arial" w:cs="Arial"/>
          <w:bCs/>
          <w:color w:val="000000" w:themeColor="text1"/>
          <w:sz w:val="22"/>
        </w:rPr>
        <w:t xml:space="preserve"> al mercado de compras públicas, la legislación consagra una serie de deberes que deben cumplir los destinatarios en su gestión contractual. Aunque el alcance de estas obligaciones puede delimitarse por otras leyes o reglamentos, lo importante es que el artículo 33 consagra elementos mínimos que las entidades deben acatar so pena de una causal de mala conducta.</w:t>
      </w:r>
      <w:r w:rsidR="00A97AE8" w:rsidRPr="00EB2ED0">
        <w:rPr>
          <w:rFonts w:ascii="Arial" w:eastAsia="Calibri" w:hAnsi="Arial" w:cs="Arial"/>
          <w:bCs/>
          <w:color w:val="000000" w:themeColor="text1"/>
          <w:sz w:val="22"/>
        </w:rPr>
        <w:t xml:space="preserve"> </w:t>
      </w:r>
      <w:r w:rsidR="00A97AE8" w:rsidRPr="00EB2ED0">
        <w:rPr>
          <w:rFonts w:ascii="Arial" w:hAnsi="Arial" w:cs="Arial"/>
          <w:sz w:val="22"/>
        </w:rPr>
        <w:t xml:space="preserve">Por tanto, conforme al marco normativo que regule el acceso de las </w:t>
      </w:r>
      <w:proofErr w:type="spellStart"/>
      <w:r w:rsidR="00A97AE8" w:rsidRPr="00EB2ED0">
        <w:rPr>
          <w:rFonts w:ascii="Arial" w:hAnsi="Arial" w:cs="Arial"/>
          <w:sz w:val="22"/>
        </w:rPr>
        <w:t>mipymes</w:t>
      </w:r>
      <w:proofErr w:type="spellEnd"/>
      <w:r w:rsidR="00A97AE8" w:rsidRPr="00EB2ED0">
        <w:rPr>
          <w:rFonts w:ascii="Arial" w:hAnsi="Arial" w:cs="Arial"/>
          <w:sz w:val="22"/>
        </w:rPr>
        <w:t xml:space="preserve"> al mercado de compras públicas, las entidades deberán adoptar las medidas necesarias para el acatamiento de esta disposición.</w:t>
      </w:r>
    </w:p>
    <w:p w14:paraId="6B404E74" w14:textId="77777777" w:rsidR="0099308E" w:rsidRPr="00EB2ED0" w:rsidRDefault="0099308E" w:rsidP="00EB2ED0">
      <w:pPr>
        <w:tabs>
          <w:tab w:val="left" w:pos="709"/>
        </w:tabs>
        <w:spacing w:after="120" w:line="276" w:lineRule="auto"/>
        <w:jc w:val="both"/>
        <w:rPr>
          <w:rFonts w:ascii="Arial" w:eastAsia="Calibri" w:hAnsi="Arial" w:cs="Arial"/>
          <w:bCs/>
          <w:color w:val="000000" w:themeColor="text1"/>
          <w:sz w:val="22"/>
        </w:rPr>
      </w:pPr>
      <w:r w:rsidRPr="00EB2ED0">
        <w:rPr>
          <w:rFonts w:ascii="Arial" w:eastAsia="Calibri" w:hAnsi="Arial" w:cs="Arial"/>
          <w:bCs/>
          <w:color w:val="000000" w:themeColor="text1"/>
          <w:sz w:val="22"/>
        </w:rPr>
        <w:tab/>
        <w:t xml:space="preserve">Igualmente, respecto a los factores de desempate, se encuentra que los mismos se elevaron a rango de ley, por lo que ni el reglamento ni el pliego de condiciones pueden modificarlos, adicionarlos o suprimirlos. En este sentido, las causales del artículo 35 son obligatorias en los procedimientos de selección de las entidades sometidas al Estatuto General, las entidades exceptuadas de la Ley 80 de 1993 y los patrimonios autónomos. De esta manera, sin perjuicio de lo dispuesto en el parágrafo 3 para los casos en que concurren dos o más de los factores de desempate, no requiere de una reglamentación previa para su exigibilidad. </w:t>
      </w:r>
    </w:p>
    <w:p w14:paraId="1D0E98CD" w14:textId="77777777" w:rsidR="0099308E" w:rsidRPr="00EB2ED0" w:rsidRDefault="0099308E" w:rsidP="00EB2ED0">
      <w:pPr>
        <w:tabs>
          <w:tab w:val="left" w:pos="709"/>
        </w:tabs>
        <w:spacing w:after="120" w:line="276" w:lineRule="auto"/>
        <w:jc w:val="both"/>
        <w:rPr>
          <w:rFonts w:ascii="Arial" w:eastAsia="Calibri" w:hAnsi="Arial" w:cs="Arial"/>
          <w:bCs/>
          <w:color w:val="000000" w:themeColor="text1"/>
          <w:sz w:val="22"/>
        </w:rPr>
      </w:pPr>
      <w:r w:rsidRPr="00EB2ED0">
        <w:rPr>
          <w:rFonts w:ascii="Arial" w:eastAsia="Calibri" w:hAnsi="Arial" w:cs="Arial"/>
          <w:bCs/>
          <w:color w:val="000000" w:themeColor="text1"/>
          <w:sz w:val="22"/>
        </w:rPr>
        <w:tab/>
        <w:t xml:space="preserve">Sin perjuicio de los anterior, es necesario considerar que el artículo 35 de la Ley 2069 de 2020 no establece un medio específico para acreditar las circunstancias a las que se refiere cada causal. Por lo tanto, conforme a lo explicado por esta Agencia en los Conceptos C-012, C-015 y C-016 del 4 de febrero de 2021, corresponde a la entidad contratante analizar si el ordenamiento jurídico, en otras disposiciones legales o reglamentarias, exige un documento especial o si, por el contrario, hay libertad probatoria. Este análisis debe realizarse de manera independiente frente a cada numeral.  </w:t>
      </w:r>
    </w:p>
    <w:p w14:paraId="5408B03C" w14:textId="77777777" w:rsidR="0099308E" w:rsidRPr="00EB2ED0" w:rsidRDefault="0099308E" w:rsidP="00EB2ED0">
      <w:pPr>
        <w:tabs>
          <w:tab w:val="left" w:pos="709"/>
        </w:tabs>
        <w:spacing w:after="120" w:line="276" w:lineRule="auto"/>
        <w:jc w:val="both"/>
        <w:rPr>
          <w:rFonts w:ascii="Arial" w:eastAsia="Calibri" w:hAnsi="Arial" w:cs="Arial"/>
          <w:bCs/>
          <w:color w:val="000000" w:themeColor="text1"/>
          <w:sz w:val="22"/>
        </w:rPr>
      </w:pPr>
      <w:r w:rsidRPr="00EB2ED0">
        <w:rPr>
          <w:rFonts w:ascii="Arial" w:eastAsia="Calibri" w:hAnsi="Arial" w:cs="Arial"/>
          <w:bCs/>
          <w:color w:val="000000" w:themeColor="text1"/>
          <w:sz w:val="22"/>
        </w:rPr>
        <w:tab/>
        <w:t>En caso de que no exista «tarifa legal», es decir, en el evento en que la ley o el reglamento no definan un medio probatorio para acreditar la circunstancia correspondiente, la entidad estatal contratante tiene discrecionalidad para establecer en el pliego de condiciones o en el documento equivalente de qué manera el proponente podrá probar que se halla en la condición que permite aplicar la regla de desempate. Por supuesto, el decreto reglamentario que expida el gobierno nacional para garantizar la cumplida ejecución de la Ley 2069 de 2020 podría establecer los medios de prueba, así como las autoridades encargadas de certificar las circunstancias del artículo 35. Sin embargo, mientras ello no suceda, deberá aplicarse el criterio indicado con anterioridad.</w:t>
      </w:r>
    </w:p>
    <w:p w14:paraId="6C5DDDBD" w14:textId="77777777" w:rsidR="0099308E" w:rsidRPr="00EB2ED0" w:rsidRDefault="0099308E" w:rsidP="00EB2ED0">
      <w:pPr>
        <w:tabs>
          <w:tab w:val="left" w:pos="709"/>
        </w:tabs>
        <w:spacing w:after="120" w:line="276" w:lineRule="auto"/>
        <w:jc w:val="both"/>
        <w:rPr>
          <w:rFonts w:ascii="Arial" w:eastAsia="Calibri" w:hAnsi="Arial" w:cs="Arial"/>
          <w:bCs/>
          <w:color w:val="000000" w:themeColor="text1"/>
          <w:sz w:val="22"/>
        </w:rPr>
      </w:pPr>
      <w:r w:rsidRPr="00EB2ED0">
        <w:rPr>
          <w:rFonts w:ascii="Arial" w:eastAsia="Calibri" w:hAnsi="Arial" w:cs="Arial"/>
          <w:bCs/>
          <w:color w:val="000000" w:themeColor="text1"/>
          <w:sz w:val="22"/>
        </w:rPr>
        <w:tab/>
      </w:r>
      <w:bookmarkStart w:id="7" w:name="_Hlk63884375"/>
      <w:r w:rsidRPr="00EB2ED0">
        <w:rPr>
          <w:rFonts w:ascii="Arial" w:eastAsia="Calibri" w:hAnsi="Arial" w:cs="Arial"/>
          <w:bCs/>
          <w:color w:val="000000" w:themeColor="text1"/>
          <w:sz w:val="22"/>
        </w:rPr>
        <w:t xml:space="preserve">Ahora bien, la relación entre estas dos (2) fuentes del derecho es totalmente diferente en la </w:t>
      </w:r>
      <w:r w:rsidRPr="00EB2ED0">
        <w:rPr>
          <w:rFonts w:ascii="Arial" w:eastAsia="Calibri" w:hAnsi="Arial" w:cs="Arial"/>
          <w:bCs/>
          <w:i/>
          <w:iCs/>
          <w:color w:val="000000" w:themeColor="text1"/>
          <w:sz w:val="22"/>
        </w:rPr>
        <w:t>tesis de la reglamentación</w:t>
      </w:r>
      <w:r w:rsidRPr="00EB2ED0">
        <w:rPr>
          <w:rFonts w:ascii="Arial" w:eastAsia="Calibri" w:hAnsi="Arial" w:cs="Arial"/>
          <w:bCs/>
          <w:color w:val="000000" w:themeColor="text1"/>
          <w:sz w:val="22"/>
        </w:rPr>
        <w:t xml:space="preserve">. Para estos efectos, si bien el Congreso de la </w:t>
      </w:r>
      <w:r w:rsidRPr="00EB2ED0">
        <w:rPr>
          <w:rFonts w:ascii="Arial" w:eastAsia="Calibri" w:hAnsi="Arial" w:cs="Arial"/>
          <w:bCs/>
          <w:color w:val="000000" w:themeColor="text1"/>
          <w:sz w:val="22"/>
        </w:rPr>
        <w:lastRenderedPageBreak/>
        <w:t>República conserva la cláusula general de competencia normativa para la expedición de las leyes, sujeta su aplicación a una norma de menor jerarquía que regule aspectos de detalle, por lo que exige la expedición del decreto reglamentario correspondiente</w:t>
      </w:r>
      <w:bookmarkEnd w:id="7"/>
      <w:r w:rsidRPr="00EB2ED0">
        <w:rPr>
          <w:rFonts w:ascii="Arial" w:eastAsia="Calibri" w:hAnsi="Arial" w:cs="Arial"/>
          <w:bCs/>
          <w:color w:val="000000" w:themeColor="text1"/>
          <w:sz w:val="22"/>
        </w:rPr>
        <w:t>. Este el caso de los</w:t>
      </w:r>
      <w:r w:rsidRPr="00EB2ED0">
        <w:rPr>
          <w:rFonts w:ascii="Arial" w:eastAsia="Calibri" w:hAnsi="Arial" w:cs="Arial"/>
          <w:color w:val="000000" w:themeColor="text1"/>
          <w:sz w:val="22"/>
          <w:lang w:val="es-ES_tradnl"/>
        </w:rPr>
        <w:t xml:space="preserve"> artículos 31, 32, 34 y 36 de la Ley de Emprendimiento</w:t>
      </w:r>
      <w:r w:rsidRPr="00EB2ED0">
        <w:rPr>
          <w:rFonts w:ascii="Arial" w:eastAsia="Calibri" w:hAnsi="Arial" w:cs="Arial"/>
          <w:bCs/>
          <w:color w:val="000000" w:themeColor="text1"/>
          <w:sz w:val="22"/>
        </w:rPr>
        <w:t xml:space="preserve">. </w:t>
      </w:r>
    </w:p>
    <w:p w14:paraId="681083BC" w14:textId="77777777" w:rsidR="0099308E" w:rsidRPr="00EB2ED0" w:rsidRDefault="0099308E" w:rsidP="00EB2ED0">
      <w:pPr>
        <w:tabs>
          <w:tab w:val="left" w:pos="709"/>
        </w:tabs>
        <w:spacing w:after="120" w:line="276" w:lineRule="auto"/>
        <w:jc w:val="both"/>
        <w:rPr>
          <w:rFonts w:ascii="Arial" w:eastAsia="Calibri" w:hAnsi="Arial" w:cs="Arial"/>
          <w:bCs/>
          <w:color w:val="000000" w:themeColor="text1"/>
          <w:sz w:val="22"/>
        </w:rPr>
      </w:pPr>
      <w:r w:rsidRPr="00EB2ED0">
        <w:rPr>
          <w:rFonts w:ascii="Arial" w:eastAsia="Calibri" w:hAnsi="Arial" w:cs="Arial"/>
          <w:bCs/>
          <w:color w:val="000000" w:themeColor="text1"/>
          <w:sz w:val="22"/>
        </w:rPr>
        <w:tab/>
        <w:t>En efecto, estas disposiciones contienen un mandato de reglamentación que debe acatar el Gobierno Nacional</w:t>
      </w:r>
      <w:r w:rsidRPr="00EB2ED0">
        <w:rPr>
          <w:rStyle w:val="Refdenotaalpie"/>
          <w:rFonts w:ascii="Arial" w:eastAsia="Calibri" w:hAnsi="Arial" w:cs="Arial"/>
          <w:bCs/>
          <w:color w:val="000000" w:themeColor="text1"/>
          <w:sz w:val="22"/>
        </w:rPr>
        <w:footnoteReference w:id="10"/>
      </w:r>
      <w:r w:rsidRPr="00EB2ED0">
        <w:rPr>
          <w:rFonts w:ascii="Arial" w:eastAsia="Calibri" w:hAnsi="Arial" w:cs="Arial"/>
          <w:bCs/>
          <w:color w:val="000000" w:themeColor="text1"/>
          <w:sz w:val="22"/>
        </w:rPr>
        <w:t xml:space="preserve">. Sin el decreto la ley es inaplicable, porque delega en una fuente de inferior jerarquía la definición de los aspectos relevantes para efectividad de los mandatos contenidos en la misma. En estos casos, la omisión reglamentaria genera una </w:t>
      </w:r>
      <w:r w:rsidRPr="00EB2ED0">
        <w:rPr>
          <w:rFonts w:ascii="Arial" w:eastAsia="Calibri" w:hAnsi="Arial" w:cs="Arial"/>
          <w:bCs/>
          <w:i/>
          <w:iCs/>
          <w:color w:val="000000" w:themeColor="text1"/>
          <w:sz w:val="22"/>
        </w:rPr>
        <w:t>laguna técnica</w:t>
      </w:r>
      <w:r w:rsidRPr="00EB2ED0">
        <w:rPr>
          <w:rFonts w:ascii="Arial" w:eastAsia="Calibri" w:hAnsi="Arial" w:cs="Arial"/>
          <w:bCs/>
          <w:color w:val="000000" w:themeColor="text1"/>
          <w:sz w:val="22"/>
        </w:rPr>
        <w:t>, la cual se produce «[…] cuando falta en [el ordenamiento] una norma cuya existencia es condición necesaria para la eficacia (y/o para la efectividad) de otra norma. Sucede por tanto que una norma no puede producir efectos jurídicos (y/o no puede ser obedecida o aplicada) en ausencia de otras normas que […] la concreten» (Corchetes fuera de texto)</w:t>
      </w:r>
      <w:r w:rsidRPr="00EB2ED0">
        <w:rPr>
          <w:rStyle w:val="Refdenotaalpie"/>
          <w:rFonts w:ascii="Arial" w:eastAsia="Calibri" w:hAnsi="Arial" w:cs="Arial"/>
          <w:bCs/>
          <w:color w:val="000000" w:themeColor="text1"/>
          <w:sz w:val="22"/>
        </w:rPr>
        <w:footnoteReference w:id="11"/>
      </w:r>
      <w:r w:rsidRPr="00EB2ED0">
        <w:rPr>
          <w:rFonts w:ascii="Arial" w:eastAsia="Calibri" w:hAnsi="Arial" w:cs="Arial"/>
          <w:bCs/>
          <w:color w:val="000000" w:themeColor="text1"/>
          <w:sz w:val="22"/>
        </w:rPr>
        <w:t>.</w:t>
      </w:r>
    </w:p>
    <w:p w14:paraId="5C9AA8AC" w14:textId="77777777" w:rsidR="0099308E" w:rsidRPr="00EB2ED0" w:rsidRDefault="0099308E" w:rsidP="00EB2ED0">
      <w:pPr>
        <w:tabs>
          <w:tab w:val="left" w:pos="709"/>
        </w:tabs>
        <w:spacing w:after="120" w:line="276" w:lineRule="auto"/>
        <w:jc w:val="both"/>
        <w:rPr>
          <w:rFonts w:ascii="Arial" w:eastAsia="Calibri" w:hAnsi="Arial" w:cs="Arial"/>
          <w:bCs/>
          <w:color w:val="000000" w:themeColor="text1"/>
          <w:sz w:val="22"/>
        </w:rPr>
      </w:pPr>
      <w:r w:rsidRPr="00EB2ED0">
        <w:rPr>
          <w:rFonts w:ascii="Arial" w:eastAsia="Calibri" w:hAnsi="Arial" w:cs="Arial"/>
          <w:bCs/>
          <w:color w:val="000000" w:themeColor="text1"/>
          <w:sz w:val="22"/>
        </w:rPr>
        <w:tab/>
        <w:t xml:space="preserve">Este tipo de lagunas no son ajenas a la contratación estatal, ya que –conforme a los antecedentes de la consulta– el procedimiento para la cesión unilateral del contrato del artículo 9 de la Ley 2014 de 2019 también estaba condicionado por su reglamentación previa en los términos del parágrafo 2 </w:t>
      </w:r>
      <w:r w:rsidRPr="00EB2ED0">
        <w:rPr>
          <w:rFonts w:ascii="Arial" w:eastAsia="Calibri" w:hAnsi="Arial" w:cs="Arial"/>
          <w:bCs/>
          <w:i/>
          <w:iCs/>
          <w:color w:val="000000" w:themeColor="text1"/>
          <w:sz w:val="22"/>
        </w:rPr>
        <w:t>ibidem</w:t>
      </w:r>
      <w:r w:rsidRPr="00EB2ED0">
        <w:rPr>
          <w:rFonts w:ascii="Arial" w:eastAsia="Calibri" w:hAnsi="Arial" w:cs="Arial"/>
          <w:bCs/>
          <w:color w:val="000000" w:themeColor="text1"/>
          <w:sz w:val="22"/>
        </w:rPr>
        <w:t xml:space="preserve"> antes de su declaratoria de inconstitucionalidad</w:t>
      </w:r>
      <w:r w:rsidRPr="00EB2ED0">
        <w:rPr>
          <w:rStyle w:val="Refdenotaalpie"/>
          <w:rFonts w:ascii="Arial" w:eastAsia="Calibri" w:hAnsi="Arial" w:cs="Arial"/>
          <w:bCs/>
          <w:color w:val="000000" w:themeColor="text1"/>
          <w:sz w:val="22"/>
        </w:rPr>
        <w:footnoteReference w:id="12"/>
      </w:r>
      <w:r w:rsidRPr="00EB2ED0">
        <w:rPr>
          <w:rFonts w:ascii="Arial" w:eastAsia="Calibri" w:hAnsi="Arial" w:cs="Arial"/>
          <w:bCs/>
          <w:color w:val="000000" w:themeColor="text1"/>
          <w:sz w:val="22"/>
        </w:rPr>
        <w:t xml:space="preserve">. Para llegar a esta conclusión, es necesario tener en cuenta que las </w:t>
      </w:r>
      <w:r w:rsidRPr="00EB2ED0">
        <w:rPr>
          <w:rFonts w:ascii="Arial" w:eastAsia="Calibri" w:hAnsi="Arial" w:cs="Arial"/>
          <w:bCs/>
          <w:color w:val="000000" w:themeColor="text1"/>
          <w:sz w:val="22"/>
        </w:rPr>
        <w:lastRenderedPageBreak/>
        <w:t>normas jurídicas, por regla general, producen efectos a partir de su promulgación o publicación. De allí se derivan principios tales como la irretroactividad de la ley y su efecto general inmediato</w:t>
      </w:r>
      <w:r w:rsidRPr="00EB2ED0">
        <w:rPr>
          <w:rStyle w:val="Refdenotaalpie"/>
          <w:rFonts w:ascii="Arial" w:eastAsia="Calibri" w:hAnsi="Arial" w:cs="Arial"/>
          <w:bCs/>
          <w:color w:val="000000" w:themeColor="text1"/>
          <w:sz w:val="22"/>
        </w:rPr>
        <w:footnoteReference w:id="13"/>
      </w:r>
      <w:r w:rsidRPr="00EB2ED0">
        <w:rPr>
          <w:rFonts w:ascii="Arial" w:eastAsia="Calibri" w:hAnsi="Arial" w:cs="Arial"/>
          <w:bCs/>
          <w:color w:val="000000" w:themeColor="text1"/>
          <w:sz w:val="22"/>
        </w:rPr>
        <w:t xml:space="preserve">. </w:t>
      </w:r>
    </w:p>
    <w:p w14:paraId="3445C579" w14:textId="77777777" w:rsidR="0099308E" w:rsidRPr="00EB2ED0" w:rsidRDefault="0099308E" w:rsidP="00EB2ED0">
      <w:pPr>
        <w:spacing w:after="120" w:line="276" w:lineRule="auto"/>
        <w:ind w:firstLine="709"/>
        <w:jc w:val="both"/>
        <w:rPr>
          <w:rFonts w:ascii="Arial" w:eastAsia="Calibri" w:hAnsi="Arial" w:cs="Arial"/>
          <w:color w:val="000000" w:themeColor="text1"/>
          <w:sz w:val="22"/>
          <w:lang w:val="es-ES"/>
        </w:rPr>
      </w:pPr>
      <w:r w:rsidRPr="00EB2ED0">
        <w:rPr>
          <w:rFonts w:ascii="Arial" w:eastAsia="Calibri" w:hAnsi="Arial" w:cs="Arial"/>
          <w:color w:val="000000" w:themeColor="text1"/>
          <w:sz w:val="22"/>
          <w:lang w:val="es-ES"/>
        </w:rPr>
        <w:t xml:space="preserve">Sin embargo, las leyes pueden modular sus efectos en el tiempo y establecer para el inicio de su entrada en vigor un plazo o una condición. Ejemplo de una norma que establece un plazo es la Ley 1952 de 2019, por medio de la cual se expide el Código Disciplinario Único, cuyo artículo 265 disponía «la presente ley entrará a regir cuatro meses después de su sanción y publicación». El artículo 140 de la Ley 1955 de 2019 prorrogó este plazo hasta el 1 de julio de 2021. </w:t>
      </w:r>
    </w:p>
    <w:p w14:paraId="73B57783" w14:textId="77777777" w:rsidR="0099308E" w:rsidRPr="00EB2ED0" w:rsidRDefault="0099308E" w:rsidP="00EB2ED0">
      <w:pPr>
        <w:spacing w:line="276" w:lineRule="auto"/>
        <w:ind w:firstLine="709"/>
        <w:jc w:val="both"/>
        <w:rPr>
          <w:rFonts w:ascii="Arial" w:eastAsia="Calibri" w:hAnsi="Arial" w:cs="Arial"/>
          <w:color w:val="000000" w:themeColor="text1"/>
          <w:sz w:val="22"/>
          <w:lang w:val="es-ES"/>
        </w:rPr>
      </w:pPr>
      <w:r w:rsidRPr="00EB2ED0">
        <w:rPr>
          <w:rFonts w:ascii="Arial" w:eastAsia="Calibri" w:hAnsi="Arial" w:cs="Arial"/>
          <w:color w:val="000000" w:themeColor="text1"/>
          <w:sz w:val="22"/>
          <w:lang w:val="es-ES"/>
        </w:rPr>
        <w:t xml:space="preserve">Pero las leyes pueden establecer no un plazo sino una condición para modular sus efectos en el tiempo. La condición más usual es someter la vigencia a la expedición de un reglamento. En este sentido, el parágrafo transitorio del artículo 2 de la Ley 1150 de 2007 estableció «Hasta tanto el Gobierno Nacional no expidiere el reglamento respectivo, no se podrá hacer uso de la selección abreviada como modalidad de selección». La ley creó una modalidad de selección, la selección abreviada; pero esas normas no podían aplicarse hasta que no se cumpliera la condición: la expedición del reglamento. Sobre este asunto, es preciso llamar la atención sobre la jurisprudencia. Al respecto, el Consejo de Estado considera que: </w:t>
      </w:r>
    </w:p>
    <w:p w14:paraId="13B6E483" w14:textId="77777777" w:rsidR="0099308E" w:rsidRPr="00EB2ED0" w:rsidRDefault="0099308E" w:rsidP="00EB2ED0">
      <w:pPr>
        <w:spacing w:line="276" w:lineRule="auto"/>
        <w:ind w:left="709" w:right="760"/>
        <w:jc w:val="both"/>
        <w:rPr>
          <w:rFonts w:ascii="Arial" w:eastAsia="Calibri" w:hAnsi="Arial" w:cs="Arial"/>
          <w:color w:val="000000" w:themeColor="text1"/>
          <w:sz w:val="22"/>
          <w:lang w:val="es-ES"/>
        </w:rPr>
      </w:pPr>
    </w:p>
    <w:p w14:paraId="6A693C3F" w14:textId="77777777" w:rsidR="0099308E" w:rsidRPr="00EB2ED0" w:rsidRDefault="0099308E" w:rsidP="00EB2ED0">
      <w:pPr>
        <w:ind w:left="709" w:right="760"/>
        <w:jc w:val="both"/>
        <w:rPr>
          <w:rFonts w:ascii="Arial" w:eastAsia="Calibri" w:hAnsi="Arial" w:cs="Arial"/>
          <w:color w:val="000000" w:themeColor="text1"/>
          <w:sz w:val="21"/>
          <w:szCs w:val="21"/>
          <w:lang w:val="es-ES"/>
        </w:rPr>
      </w:pPr>
      <w:r w:rsidRPr="00EB2ED0">
        <w:rPr>
          <w:rFonts w:ascii="Arial" w:eastAsia="Calibri" w:hAnsi="Arial" w:cs="Arial"/>
          <w:color w:val="000000" w:themeColor="text1"/>
          <w:sz w:val="21"/>
          <w:szCs w:val="21"/>
          <w:lang w:val="es-ES"/>
        </w:rPr>
        <w:t>[…] el Presidente de la República no requiere autorización por parte del Legislador para el ejercicio de su facultad reglamentaria, de manera que si éste establece en la ley que el mismo reglamentará la materia, dicha indicación debe entenderse simplemente como el reconocimiento de que para su efectivo cumplimiento es necesaria la expedición de una reglamentación, bajo el concepto de colaboración armónica que sustenta la estructura y el funcionamiento del Estado (inciso 2 del artículo 113 C.P)</w:t>
      </w:r>
      <w:r w:rsidRPr="00EB2ED0">
        <w:rPr>
          <w:rStyle w:val="Refdenotaalpie"/>
          <w:rFonts w:ascii="Arial" w:eastAsia="Calibri" w:hAnsi="Arial" w:cs="Arial"/>
          <w:color w:val="000000" w:themeColor="text1"/>
          <w:sz w:val="21"/>
          <w:szCs w:val="21"/>
          <w:lang w:val="es-ES"/>
        </w:rPr>
        <w:footnoteReference w:id="14"/>
      </w:r>
      <w:r w:rsidRPr="00EB2ED0">
        <w:rPr>
          <w:rFonts w:ascii="Arial" w:eastAsia="Calibri" w:hAnsi="Arial" w:cs="Arial"/>
          <w:color w:val="000000" w:themeColor="text1"/>
          <w:sz w:val="21"/>
          <w:szCs w:val="21"/>
          <w:lang w:val="es-ES"/>
        </w:rPr>
        <w:t>.</w:t>
      </w:r>
    </w:p>
    <w:p w14:paraId="623921BD" w14:textId="77777777" w:rsidR="0099308E" w:rsidRPr="00EB2ED0" w:rsidRDefault="0099308E" w:rsidP="00EB2ED0">
      <w:pPr>
        <w:spacing w:line="276" w:lineRule="auto"/>
        <w:ind w:left="709" w:right="760"/>
        <w:jc w:val="both"/>
        <w:rPr>
          <w:rFonts w:ascii="Arial" w:eastAsia="Calibri" w:hAnsi="Arial" w:cs="Arial"/>
          <w:color w:val="000000" w:themeColor="text1"/>
          <w:sz w:val="22"/>
          <w:lang w:val="es-ES"/>
        </w:rPr>
      </w:pPr>
    </w:p>
    <w:p w14:paraId="44D03C3B" w14:textId="77777777" w:rsidR="0099308E" w:rsidRPr="00EB2ED0" w:rsidRDefault="0099308E" w:rsidP="00EB2ED0">
      <w:pPr>
        <w:spacing w:after="120" w:line="276" w:lineRule="auto"/>
        <w:ind w:right="51" w:firstLine="709"/>
        <w:jc w:val="both"/>
        <w:rPr>
          <w:rFonts w:ascii="Arial" w:eastAsia="Calibri" w:hAnsi="Arial" w:cs="Arial"/>
          <w:color w:val="000000" w:themeColor="text1"/>
          <w:sz w:val="22"/>
          <w:lang w:val="es-ES"/>
        </w:rPr>
      </w:pPr>
      <w:bookmarkStart w:id="8" w:name="_Hlk63884655"/>
      <w:r w:rsidRPr="00EB2ED0">
        <w:rPr>
          <w:rFonts w:ascii="Arial" w:eastAsia="Calibri" w:hAnsi="Arial" w:cs="Arial"/>
          <w:color w:val="000000" w:themeColor="text1"/>
          <w:sz w:val="22"/>
          <w:lang w:val="es-ES"/>
        </w:rPr>
        <w:t xml:space="preserve">La referencia hecha en una ley a que el gobierno nacional reglamentará la materia indica que el reglamento es indispensable para el cumplimiento de </w:t>
      </w:r>
      <w:proofErr w:type="gramStart"/>
      <w:r w:rsidRPr="00EB2ED0">
        <w:rPr>
          <w:rFonts w:ascii="Arial" w:eastAsia="Calibri" w:hAnsi="Arial" w:cs="Arial"/>
          <w:color w:val="000000" w:themeColor="text1"/>
          <w:sz w:val="22"/>
          <w:lang w:val="es-ES"/>
        </w:rPr>
        <w:t>la misma</w:t>
      </w:r>
      <w:proofErr w:type="gramEnd"/>
      <w:r w:rsidRPr="00EB2ED0">
        <w:rPr>
          <w:rFonts w:ascii="Arial" w:eastAsia="Calibri" w:hAnsi="Arial" w:cs="Arial"/>
          <w:color w:val="000000" w:themeColor="text1"/>
          <w:sz w:val="22"/>
          <w:lang w:val="es-ES"/>
        </w:rPr>
        <w:t xml:space="preserve">. Naturalmente, este reconocimiento no siempre implica que la ley está sometida a condición para </w:t>
      </w:r>
      <w:proofErr w:type="gramStart"/>
      <w:r w:rsidRPr="00EB2ED0">
        <w:rPr>
          <w:rFonts w:ascii="Arial" w:eastAsia="Calibri" w:hAnsi="Arial" w:cs="Arial"/>
          <w:color w:val="000000" w:themeColor="text1"/>
          <w:sz w:val="22"/>
          <w:lang w:val="es-ES"/>
        </w:rPr>
        <w:t>entrar en vigencia</w:t>
      </w:r>
      <w:proofErr w:type="gramEnd"/>
      <w:r w:rsidRPr="00EB2ED0">
        <w:rPr>
          <w:rFonts w:ascii="Arial" w:eastAsia="Calibri" w:hAnsi="Arial" w:cs="Arial"/>
          <w:color w:val="000000" w:themeColor="text1"/>
          <w:sz w:val="22"/>
          <w:lang w:val="es-ES"/>
        </w:rPr>
        <w:t xml:space="preserve">; pero cuando ello se analiza con otros elementos que obran en este sentido, </w:t>
      </w:r>
      <w:r w:rsidRPr="00EB2ED0">
        <w:rPr>
          <w:rFonts w:ascii="Arial" w:eastAsia="Calibri" w:hAnsi="Arial" w:cs="Arial"/>
          <w:color w:val="000000" w:themeColor="text1"/>
          <w:sz w:val="22"/>
          <w:lang w:val="es-ES"/>
        </w:rPr>
        <w:lastRenderedPageBreak/>
        <w:t>como los antecedentes legislativos, es posible utilizar la referencia al reglamento como una prueba de que la ley moduló sus efectos en el tiempo y se encuentra sometida a condición.</w:t>
      </w:r>
    </w:p>
    <w:bookmarkEnd w:id="8"/>
    <w:p w14:paraId="03A384D8" w14:textId="77777777" w:rsidR="0099308E" w:rsidRPr="00EB2ED0" w:rsidRDefault="0099308E" w:rsidP="00EB2ED0">
      <w:pPr>
        <w:spacing w:after="120" w:line="276" w:lineRule="auto"/>
        <w:ind w:right="51" w:firstLine="709"/>
        <w:jc w:val="both"/>
        <w:rPr>
          <w:rFonts w:ascii="Arial" w:eastAsia="Calibri" w:hAnsi="Arial" w:cs="Arial"/>
          <w:bCs/>
          <w:color w:val="000000" w:themeColor="text1"/>
          <w:sz w:val="22"/>
        </w:rPr>
      </w:pPr>
      <w:r w:rsidRPr="00EB2ED0">
        <w:rPr>
          <w:rFonts w:ascii="Arial" w:eastAsia="Calibri" w:hAnsi="Arial" w:cs="Arial"/>
          <w:color w:val="000000" w:themeColor="text1"/>
          <w:sz w:val="22"/>
          <w:lang w:val="es-ES"/>
        </w:rPr>
        <w:t xml:space="preserve">En tal sentido, el Congreso de la República dispuso la expedición de un decreto reglamentario para detallar el contenido </w:t>
      </w:r>
      <w:r w:rsidRPr="00EB2ED0">
        <w:rPr>
          <w:rFonts w:ascii="Arial" w:eastAsia="Calibri" w:hAnsi="Arial" w:cs="Arial"/>
          <w:color w:val="000000" w:themeColor="text1"/>
          <w:sz w:val="22"/>
          <w:lang w:val="es-ES_tradnl"/>
        </w:rPr>
        <w:t>los artículos 31, 32, 34 y 36 de la Ley 2069 de 2020</w:t>
      </w:r>
      <w:r w:rsidRPr="00EB2ED0">
        <w:rPr>
          <w:rFonts w:ascii="Arial" w:eastAsia="Calibri" w:hAnsi="Arial" w:cs="Arial"/>
          <w:color w:val="000000" w:themeColor="text1"/>
          <w:sz w:val="22"/>
          <w:lang w:val="es-ES"/>
        </w:rPr>
        <w:t xml:space="preserve">. Por ello, en ausencia de desarrollo normativo posterior existe una </w:t>
      </w:r>
      <w:r w:rsidRPr="00EB2ED0">
        <w:rPr>
          <w:rFonts w:ascii="Arial" w:eastAsia="Calibri" w:hAnsi="Arial" w:cs="Arial"/>
          <w:i/>
          <w:iCs/>
          <w:color w:val="000000" w:themeColor="text1"/>
          <w:sz w:val="22"/>
          <w:lang w:val="es-ES"/>
        </w:rPr>
        <w:t>laguna técnica</w:t>
      </w:r>
      <w:r w:rsidRPr="00EB2ED0">
        <w:rPr>
          <w:rFonts w:ascii="Arial" w:eastAsia="Calibri" w:hAnsi="Arial" w:cs="Arial"/>
          <w:color w:val="000000" w:themeColor="text1"/>
          <w:sz w:val="22"/>
          <w:lang w:val="es-ES"/>
        </w:rPr>
        <w:t xml:space="preserve"> que impide aplicar estas disposiciones</w:t>
      </w:r>
      <w:r w:rsidRPr="00EB2ED0">
        <w:rPr>
          <w:rFonts w:ascii="Arial" w:eastAsia="Calibri" w:hAnsi="Arial" w:cs="Arial"/>
          <w:bCs/>
          <w:color w:val="000000" w:themeColor="text1"/>
          <w:sz w:val="22"/>
        </w:rPr>
        <w:t xml:space="preserve">. En este caso, la necesidad de la reglamentación previa también deriva de los antecedentes legislativos. En lo pertinente, el texto inicial de los artículos 15 y 17 del Proyecto de Ley No. 122 de 2020 disponía que la necesidad del reglamento en lo relacionado con i) los criterios diferenciales para </w:t>
      </w:r>
      <w:proofErr w:type="spellStart"/>
      <w:r w:rsidRPr="00EB2ED0">
        <w:rPr>
          <w:rFonts w:ascii="Arial" w:eastAsia="Calibri" w:hAnsi="Arial" w:cs="Arial"/>
          <w:bCs/>
          <w:color w:val="000000" w:themeColor="text1"/>
          <w:sz w:val="22"/>
        </w:rPr>
        <w:t>mipymes</w:t>
      </w:r>
      <w:proofErr w:type="spellEnd"/>
      <w:r w:rsidRPr="00EB2ED0">
        <w:rPr>
          <w:rFonts w:ascii="Arial" w:eastAsia="Calibri" w:hAnsi="Arial" w:cs="Arial"/>
          <w:bCs/>
          <w:color w:val="000000" w:themeColor="text1"/>
          <w:sz w:val="22"/>
        </w:rPr>
        <w:t xml:space="preserve"> y </w:t>
      </w:r>
      <w:proofErr w:type="spellStart"/>
      <w:r w:rsidRPr="00EB2ED0">
        <w:rPr>
          <w:rFonts w:ascii="Arial" w:eastAsia="Calibri" w:hAnsi="Arial" w:cs="Arial"/>
          <w:bCs/>
          <w:color w:val="000000" w:themeColor="text1"/>
          <w:sz w:val="22"/>
        </w:rPr>
        <w:t>ii</w:t>
      </w:r>
      <w:proofErr w:type="spellEnd"/>
      <w:r w:rsidRPr="00EB2ED0">
        <w:rPr>
          <w:rFonts w:ascii="Arial" w:eastAsia="Calibri" w:hAnsi="Arial" w:cs="Arial"/>
          <w:bCs/>
          <w:color w:val="000000" w:themeColor="text1"/>
          <w:sz w:val="22"/>
        </w:rPr>
        <w:t xml:space="preserve">) las convocatorias limitadas a </w:t>
      </w:r>
      <w:proofErr w:type="spellStart"/>
      <w:r w:rsidRPr="00EB2ED0">
        <w:rPr>
          <w:rFonts w:ascii="Arial" w:eastAsia="Calibri" w:hAnsi="Arial" w:cs="Arial"/>
          <w:bCs/>
          <w:color w:val="000000" w:themeColor="text1"/>
          <w:sz w:val="22"/>
        </w:rPr>
        <w:t>mipymes</w:t>
      </w:r>
      <w:proofErr w:type="spellEnd"/>
      <w:r w:rsidRPr="00EB2ED0">
        <w:rPr>
          <w:rFonts w:ascii="Arial" w:eastAsia="Calibri" w:hAnsi="Arial" w:cs="Arial"/>
          <w:bCs/>
          <w:color w:val="000000" w:themeColor="text1"/>
          <w:sz w:val="22"/>
        </w:rPr>
        <w:t>, así como el fomento en la ejecución de los contratos estatales por parte de sujetos de especial protección</w:t>
      </w:r>
      <w:r w:rsidRPr="00EB2ED0">
        <w:rPr>
          <w:rStyle w:val="Refdenotaalpie"/>
          <w:rFonts w:ascii="Arial" w:eastAsia="Calibri" w:hAnsi="Arial" w:cs="Arial"/>
          <w:bCs/>
          <w:color w:val="000000" w:themeColor="text1"/>
          <w:sz w:val="22"/>
        </w:rPr>
        <w:footnoteReference w:id="15"/>
      </w:r>
      <w:r w:rsidRPr="00EB2ED0">
        <w:rPr>
          <w:rFonts w:ascii="Arial" w:eastAsia="Calibri" w:hAnsi="Arial" w:cs="Arial"/>
          <w:bCs/>
          <w:color w:val="000000" w:themeColor="text1"/>
          <w:sz w:val="22"/>
        </w:rPr>
        <w:t xml:space="preserve">. </w:t>
      </w:r>
    </w:p>
    <w:p w14:paraId="332C0B0A" w14:textId="77777777" w:rsidR="0099308E" w:rsidRPr="00EB2ED0" w:rsidRDefault="0099308E" w:rsidP="00EB2ED0">
      <w:pPr>
        <w:spacing w:after="120" w:line="276" w:lineRule="auto"/>
        <w:ind w:right="51" w:firstLine="709"/>
        <w:jc w:val="both"/>
        <w:rPr>
          <w:rFonts w:ascii="Arial" w:eastAsia="Calibri" w:hAnsi="Arial" w:cs="Arial"/>
          <w:bCs/>
          <w:color w:val="000000" w:themeColor="text1"/>
          <w:sz w:val="22"/>
        </w:rPr>
      </w:pPr>
      <w:r w:rsidRPr="00EB2ED0">
        <w:rPr>
          <w:rFonts w:ascii="Arial" w:eastAsia="Calibri" w:hAnsi="Arial" w:cs="Arial"/>
          <w:bCs/>
          <w:color w:val="000000" w:themeColor="text1"/>
          <w:sz w:val="22"/>
        </w:rPr>
        <w:t xml:space="preserve">Como puede verificarse en las Gacetas del Congreso No. 1334 del 18 de noviembre de 2020 y 1389 de 14 de diciembre de 2020, además de que –para el segundo debate– el artículo 24 dispuso que la definición de «emprendimientos y empresas de mujeres» correspondería al reglamento, el artículo 36 del texto conciliado incluye lo propio para las compras públicas de tecnología e innovación. Incluso, tratándose de </w:t>
      </w:r>
      <w:r w:rsidRPr="00EB2ED0">
        <w:rPr>
          <w:rFonts w:ascii="Arial" w:eastAsia="Calibri" w:hAnsi="Arial" w:cs="Arial"/>
          <w:color w:val="000000" w:themeColor="text1"/>
          <w:sz w:val="22"/>
          <w:lang w:val="es-ES_tradnl"/>
        </w:rPr>
        <w:t>los artículos 31, 32, 34 y 36 de la Ley 2069 de 2020</w:t>
      </w:r>
      <w:r w:rsidRPr="00EB2ED0">
        <w:rPr>
          <w:rFonts w:ascii="Arial" w:eastAsia="Calibri" w:hAnsi="Arial" w:cs="Arial"/>
          <w:bCs/>
          <w:color w:val="000000" w:themeColor="text1"/>
          <w:sz w:val="22"/>
        </w:rPr>
        <w:t xml:space="preserve"> la remisión al reglamento es razonable y está justificada, pues si eventualmente la concreción de estos aspectos se dejara a la discrecionalidad de las entidades contratantes, generaría un clima de inseguridad e incertidumbre para los interesados en acceder al sistema de compras públicas. Desde esta perspectiva, la exigencia de la reglamentación tiene pretensiones unificadoras.    </w:t>
      </w:r>
    </w:p>
    <w:p w14:paraId="3BB05DCB" w14:textId="77777777" w:rsidR="0099308E" w:rsidRPr="00EB2ED0" w:rsidRDefault="0099308E" w:rsidP="00EB2ED0">
      <w:pPr>
        <w:spacing w:after="120" w:line="276" w:lineRule="auto"/>
        <w:ind w:right="51" w:firstLine="709"/>
        <w:jc w:val="both"/>
        <w:rPr>
          <w:rFonts w:ascii="Arial" w:eastAsia="Calibri" w:hAnsi="Arial" w:cs="Arial"/>
          <w:bCs/>
          <w:color w:val="000000" w:themeColor="text1"/>
          <w:sz w:val="22"/>
        </w:rPr>
      </w:pPr>
      <w:r w:rsidRPr="00EB2ED0">
        <w:rPr>
          <w:rFonts w:ascii="Arial" w:eastAsia="Calibri" w:hAnsi="Arial" w:cs="Arial"/>
          <w:bCs/>
          <w:color w:val="000000" w:themeColor="text1"/>
          <w:sz w:val="22"/>
        </w:rPr>
        <w:t xml:space="preserve">Por tanto, </w:t>
      </w:r>
      <w:bookmarkStart w:id="9" w:name="_Hlk51668471"/>
      <w:r w:rsidRPr="00EB2ED0">
        <w:rPr>
          <w:rFonts w:ascii="Arial" w:eastAsia="Calibri" w:hAnsi="Arial" w:cs="Arial"/>
          <w:bCs/>
          <w:color w:val="000000" w:themeColor="text1"/>
          <w:sz w:val="22"/>
        </w:rPr>
        <w:t>si bien en principio el ejercicio de la potestad reglamentaria es discrecional, esta puede ser excepcionalmente obligatoria para efectividad de la ley. Por ejemplo, para la doctrina esto último sucede cuando «[…] la necesidad del reglamento es inminente, y así nace desde la norma que confiere la potestad reglamentaria […]»</w:t>
      </w:r>
      <w:r w:rsidRPr="00EB2ED0">
        <w:rPr>
          <w:rStyle w:val="Refdenotaalpie"/>
          <w:rFonts w:ascii="Arial" w:eastAsia="Calibri" w:hAnsi="Arial" w:cs="Arial"/>
          <w:bCs/>
          <w:color w:val="000000" w:themeColor="text1"/>
          <w:sz w:val="22"/>
        </w:rPr>
        <w:footnoteReference w:id="16"/>
      </w:r>
      <w:r w:rsidRPr="00EB2ED0">
        <w:rPr>
          <w:rFonts w:ascii="Arial" w:eastAsia="Calibri" w:hAnsi="Arial" w:cs="Arial"/>
          <w:bCs/>
          <w:color w:val="000000" w:themeColor="text1"/>
          <w:sz w:val="22"/>
        </w:rPr>
        <w:t>. En este tipo de situaciones, «[…] las autoridades no tienen -ni tuvieron- la posibilidad de escoger entre expedir el acto o dejar de hacerlo. Es decir, se trata de una potestad reglada, desde el punto de vista de la necesidad de la actuación»</w:t>
      </w:r>
      <w:r w:rsidRPr="00EB2ED0">
        <w:rPr>
          <w:rStyle w:val="Refdenotaalpie"/>
          <w:rFonts w:ascii="Arial" w:eastAsia="Calibri" w:hAnsi="Arial" w:cs="Arial"/>
          <w:bCs/>
          <w:color w:val="000000" w:themeColor="text1"/>
          <w:sz w:val="22"/>
        </w:rPr>
        <w:footnoteReference w:id="17"/>
      </w:r>
      <w:r w:rsidRPr="00EB2ED0">
        <w:rPr>
          <w:rFonts w:ascii="Arial" w:eastAsia="Calibri" w:hAnsi="Arial" w:cs="Arial"/>
          <w:bCs/>
          <w:color w:val="000000" w:themeColor="text1"/>
          <w:sz w:val="22"/>
        </w:rPr>
        <w:t>.</w:t>
      </w:r>
    </w:p>
    <w:p w14:paraId="780B0272" w14:textId="77777777" w:rsidR="0099308E" w:rsidRPr="00EB2ED0" w:rsidRDefault="0099308E" w:rsidP="00EB2ED0">
      <w:pPr>
        <w:spacing w:line="276" w:lineRule="auto"/>
        <w:ind w:right="51" w:firstLine="709"/>
        <w:jc w:val="both"/>
        <w:rPr>
          <w:rFonts w:ascii="Arial" w:eastAsia="Calibri" w:hAnsi="Arial" w:cs="Arial"/>
          <w:bCs/>
          <w:color w:val="000000" w:themeColor="text1"/>
          <w:sz w:val="22"/>
        </w:rPr>
      </w:pPr>
      <w:r w:rsidRPr="00EB2ED0">
        <w:rPr>
          <w:rFonts w:ascii="Arial" w:eastAsia="Calibri" w:hAnsi="Arial" w:cs="Arial"/>
          <w:bCs/>
          <w:color w:val="000000" w:themeColor="text1"/>
          <w:sz w:val="22"/>
        </w:rPr>
        <w:t>En ese orden de ideas, es posible afirmar que</w:t>
      </w:r>
      <w:bookmarkEnd w:id="9"/>
      <w:r w:rsidRPr="00EB2ED0">
        <w:rPr>
          <w:rFonts w:ascii="Arial" w:eastAsia="Calibri" w:hAnsi="Arial" w:cs="Arial"/>
          <w:bCs/>
          <w:color w:val="000000" w:themeColor="text1"/>
          <w:sz w:val="22"/>
        </w:rPr>
        <w:t xml:space="preserve">, </w:t>
      </w:r>
      <w:bookmarkStart w:id="10" w:name="_Hlk63884107"/>
      <w:r w:rsidRPr="00EB2ED0">
        <w:rPr>
          <w:rFonts w:ascii="Arial" w:eastAsia="Calibri" w:hAnsi="Arial" w:cs="Arial"/>
          <w:bCs/>
          <w:color w:val="000000" w:themeColor="text1"/>
          <w:sz w:val="22"/>
        </w:rPr>
        <w:t xml:space="preserve">en </w:t>
      </w:r>
      <w:r w:rsidRPr="00EB2ED0">
        <w:rPr>
          <w:rFonts w:ascii="Arial" w:eastAsia="Calibri" w:hAnsi="Arial" w:cs="Arial"/>
          <w:color w:val="000000" w:themeColor="text1"/>
          <w:sz w:val="22"/>
          <w:lang w:val="es-ES_tradnl"/>
        </w:rPr>
        <w:t>los artículos 31, 32, 34 y 36</w:t>
      </w:r>
      <w:r w:rsidRPr="00EB2ED0">
        <w:rPr>
          <w:rFonts w:ascii="Arial" w:eastAsia="Calibri" w:hAnsi="Arial" w:cs="Arial"/>
          <w:bCs/>
          <w:color w:val="000000" w:themeColor="text1"/>
          <w:sz w:val="22"/>
        </w:rPr>
        <w:t xml:space="preserve">, el Congreso de la República reconoce la necesidad de un reglamento para el efectivo cumplimiento de la </w:t>
      </w:r>
      <w:r w:rsidRPr="00EB2ED0">
        <w:rPr>
          <w:rFonts w:ascii="Arial" w:eastAsia="Calibri" w:hAnsi="Arial" w:cs="Arial"/>
          <w:color w:val="000000" w:themeColor="text1"/>
          <w:sz w:val="22"/>
          <w:lang w:val="es-ES_tradnl"/>
        </w:rPr>
        <w:t>Ley 2069 de 2020</w:t>
      </w:r>
      <w:r w:rsidRPr="00EB2ED0">
        <w:rPr>
          <w:rFonts w:ascii="Arial" w:eastAsia="Calibri" w:hAnsi="Arial" w:cs="Arial"/>
          <w:bCs/>
          <w:color w:val="000000" w:themeColor="text1"/>
          <w:sz w:val="22"/>
        </w:rPr>
        <w:t xml:space="preserve">, lo que demuestra, para el caso concreto, una vigencia sometida a condición para los temas regulados en estas normas. Esta conclusión </w:t>
      </w:r>
      <w:r w:rsidRPr="00EB2ED0">
        <w:rPr>
          <w:rFonts w:ascii="Arial" w:eastAsia="Calibri" w:hAnsi="Arial" w:cs="Arial"/>
          <w:bCs/>
          <w:color w:val="000000" w:themeColor="text1"/>
          <w:sz w:val="22"/>
        </w:rPr>
        <w:lastRenderedPageBreak/>
        <w:t xml:space="preserve">se ajusta no solo a los antecedentes del proyecto de ley, sino también a la necesidad de claridad que debe introducir el reglamento en relación con i) los criterios diferenciales para </w:t>
      </w:r>
      <w:proofErr w:type="spellStart"/>
      <w:r w:rsidRPr="00EB2ED0">
        <w:rPr>
          <w:rFonts w:ascii="Arial" w:eastAsia="Calibri" w:hAnsi="Arial" w:cs="Arial"/>
          <w:bCs/>
          <w:color w:val="000000" w:themeColor="text1"/>
          <w:sz w:val="22"/>
        </w:rPr>
        <w:t>mipymes</w:t>
      </w:r>
      <w:proofErr w:type="spellEnd"/>
      <w:r w:rsidRPr="00EB2ED0">
        <w:rPr>
          <w:rFonts w:ascii="Arial" w:eastAsia="Calibri" w:hAnsi="Arial" w:cs="Arial"/>
          <w:bCs/>
          <w:color w:val="000000" w:themeColor="text1"/>
          <w:sz w:val="22"/>
        </w:rPr>
        <w:t xml:space="preserve">, </w:t>
      </w:r>
      <w:proofErr w:type="spellStart"/>
      <w:r w:rsidRPr="00EB2ED0">
        <w:rPr>
          <w:rFonts w:ascii="Arial" w:eastAsia="Calibri" w:hAnsi="Arial" w:cs="Arial"/>
          <w:bCs/>
          <w:color w:val="000000" w:themeColor="text1"/>
          <w:sz w:val="22"/>
        </w:rPr>
        <w:t>ii</w:t>
      </w:r>
      <w:proofErr w:type="spellEnd"/>
      <w:r w:rsidRPr="00EB2ED0">
        <w:rPr>
          <w:rFonts w:ascii="Arial" w:eastAsia="Calibri" w:hAnsi="Arial" w:cs="Arial"/>
          <w:bCs/>
          <w:color w:val="000000" w:themeColor="text1"/>
          <w:sz w:val="22"/>
        </w:rPr>
        <w:t xml:space="preserve">) la definición de «emprendimientos y empresas de mujeres», </w:t>
      </w:r>
      <w:proofErr w:type="spellStart"/>
      <w:r w:rsidRPr="00EB2ED0">
        <w:rPr>
          <w:rFonts w:ascii="Arial" w:eastAsia="Calibri" w:hAnsi="Arial" w:cs="Arial"/>
          <w:bCs/>
          <w:color w:val="000000" w:themeColor="text1"/>
          <w:sz w:val="22"/>
        </w:rPr>
        <w:t>iii</w:t>
      </w:r>
      <w:proofErr w:type="spellEnd"/>
      <w:r w:rsidRPr="00EB2ED0">
        <w:rPr>
          <w:rFonts w:ascii="Arial" w:eastAsia="Calibri" w:hAnsi="Arial" w:cs="Arial"/>
          <w:bCs/>
          <w:color w:val="000000" w:themeColor="text1"/>
          <w:sz w:val="22"/>
        </w:rPr>
        <w:t xml:space="preserve">) las convocatorias limitadas a </w:t>
      </w:r>
      <w:proofErr w:type="spellStart"/>
      <w:r w:rsidRPr="00EB2ED0">
        <w:rPr>
          <w:rFonts w:ascii="Arial" w:eastAsia="Calibri" w:hAnsi="Arial" w:cs="Arial"/>
          <w:bCs/>
          <w:color w:val="000000" w:themeColor="text1"/>
          <w:sz w:val="22"/>
        </w:rPr>
        <w:t>mipymes</w:t>
      </w:r>
      <w:proofErr w:type="spellEnd"/>
      <w:r w:rsidRPr="00EB2ED0">
        <w:rPr>
          <w:rFonts w:ascii="Arial" w:eastAsia="Calibri" w:hAnsi="Arial" w:cs="Arial"/>
          <w:bCs/>
          <w:color w:val="000000" w:themeColor="text1"/>
          <w:sz w:val="22"/>
        </w:rPr>
        <w:t xml:space="preserve"> y el fomento en la ejecución de los contratos estatales por parte de sujetos de especial protección, así como </w:t>
      </w:r>
      <w:proofErr w:type="spellStart"/>
      <w:r w:rsidRPr="00EB2ED0">
        <w:rPr>
          <w:rFonts w:ascii="Arial" w:eastAsia="Calibri" w:hAnsi="Arial" w:cs="Arial"/>
          <w:bCs/>
          <w:color w:val="000000" w:themeColor="text1"/>
          <w:sz w:val="22"/>
        </w:rPr>
        <w:t>iv</w:t>
      </w:r>
      <w:proofErr w:type="spellEnd"/>
      <w:r w:rsidRPr="00EB2ED0">
        <w:rPr>
          <w:rFonts w:ascii="Arial" w:eastAsia="Calibri" w:hAnsi="Arial" w:cs="Arial"/>
          <w:bCs/>
          <w:color w:val="000000" w:themeColor="text1"/>
          <w:sz w:val="22"/>
        </w:rPr>
        <w:t>) la promoción de las compras públicas de tecnología e innovación. A similar conclusión no se llega en relación con el artículo 30 de la Ley 2069 de 2020, porque, como se explicará a continuación, esta norma goza de eficacia directa, sin perjuicio de que el gobierno nacional la reglamente.</w:t>
      </w:r>
    </w:p>
    <w:bookmarkEnd w:id="10"/>
    <w:p w14:paraId="5969B71D" w14:textId="77777777" w:rsidR="0099308E" w:rsidRPr="00EB2ED0" w:rsidRDefault="0099308E" w:rsidP="00EB2ED0">
      <w:pPr>
        <w:spacing w:line="276" w:lineRule="auto"/>
        <w:jc w:val="both"/>
        <w:rPr>
          <w:rFonts w:ascii="Arial" w:hAnsi="Arial" w:cs="Arial"/>
          <w:sz w:val="22"/>
          <w:lang w:val="es-ES_tradnl"/>
        </w:rPr>
      </w:pPr>
    </w:p>
    <w:p w14:paraId="47A2BC5C" w14:textId="77777777" w:rsidR="0099308E" w:rsidRPr="00EB2ED0" w:rsidRDefault="0099308E" w:rsidP="00EB2ED0">
      <w:pPr>
        <w:tabs>
          <w:tab w:val="left" w:pos="709"/>
        </w:tabs>
        <w:spacing w:line="276" w:lineRule="auto"/>
        <w:jc w:val="both"/>
        <w:rPr>
          <w:rFonts w:ascii="Arial" w:eastAsia="Calibri" w:hAnsi="Arial" w:cs="Arial"/>
          <w:b/>
          <w:i/>
          <w:iCs/>
          <w:color w:val="000000" w:themeColor="text1"/>
          <w:sz w:val="22"/>
        </w:rPr>
      </w:pPr>
      <w:bookmarkStart w:id="11" w:name="_Hlk64292850"/>
      <w:r w:rsidRPr="00EB2ED0">
        <w:rPr>
          <w:rFonts w:ascii="Arial" w:eastAsia="Calibri" w:hAnsi="Arial" w:cs="Arial"/>
          <w:b/>
          <w:color w:val="000000" w:themeColor="text1"/>
          <w:sz w:val="22"/>
        </w:rPr>
        <w:t>2.3. Eficacia directa del artículo 30 de la Ley 2069 de 2020</w:t>
      </w:r>
      <w:bookmarkStart w:id="12" w:name="_Hlk69580086"/>
      <w:bookmarkEnd w:id="11"/>
      <w:r w:rsidRPr="00EB2ED0">
        <w:rPr>
          <w:rFonts w:ascii="Arial" w:eastAsia="Calibri" w:hAnsi="Arial" w:cs="Arial"/>
          <w:b/>
          <w:color w:val="000000" w:themeColor="text1"/>
          <w:sz w:val="22"/>
        </w:rPr>
        <w:t xml:space="preserve">: regulación de la mínima cuantía y vigencia del procedimiento previsto en el Decreto 1082 de 2015 </w:t>
      </w:r>
      <w:bookmarkEnd w:id="12"/>
    </w:p>
    <w:p w14:paraId="4920F3AE" w14:textId="77777777" w:rsidR="0099308E" w:rsidRPr="00EB2ED0" w:rsidRDefault="0099308E" w:rsidP="00EB2ED0">
      <w:pPr>
        <w:tabs>
          <w:tab w:val="left" w:pos="709"/>
        </w:tabs>
        <w:spacing w:line="276" w:lineRule="auto"/>
        <w:jc w:val="both"/>
        <w:rPr>
          <w:rFonts w:ascii="Arial" w:eastAsia="Calibri" w:hAnsi="Arial" w:cs="Arial"/>
          <w:b/>
          <w:color w:val="000000" w:themeColor="text1"/>
          <w:sz w:val="22"/>
        </w:rPr>
      </w:pPr>
    </w:p>
    <w:p w14:paraId="10314762" w14:textId="77777777" w:rsidR="0099308E" w:rsidRPr="00EB2ED0" w:rsidRDefault="0099308E" w:rsidP="00EB2ED0">
      <w:pPr>
        <w:tabs>
          <w:tab w:val="left" w:pos="709"/>
        </w:tabs>
        <w:spacing w:after="120" w:line="276" w:lineRule="auto"/>
        <w:jc w:val="both"/>
        <w:rPr>
          <w:rFonts w:ascii="Arial" w:eastAsia="Calibri" w:hAnsi="Arial" w:cs="Arial"/>
          <w:bCs/>
          <w:color w:val="000000" w:themeColor="text1"/>
          <w:sz w:val="22"/>
          <w:lang w:val="es-ES_tradnl"/>
        </w:rPr>
      </w:pPr>
      <w:r w:rsidRPr="00EB2ED0">
        <w:rPr>
          <w:rFonts w:ascii="Arial" w:eastAsia="Calibri" w:hAnsi="Arial" w:cs="Arial"/>
          <w:bCs/>
          <w:color w:val="000000" w:themeColor="text1"/>
          <w:sz w:val="22"/>
        </w:rPr>
        <w:t xml:space="preserve">El artículo 30 de la Ley 2069 de 2020 modifica el numeral 5 del artículo 2 de la Ley 1150 de 2007, el cual regula la mínima cuantía. </w:t>
      </w:r>
      <w:r w:rsidRPr="00EB2ED0">
        <w:rPr>
          <w:rFonts w:ascii="Arial" w:eastAsia="Calibri" w:hAnsi="Arial" w:cs="Arial"/>
          <w:bCs/>
          <w:color w:val="000000" w:themeColor="text1"/>
          <w:sz w:val="22"/>
          <w:lang w:val="es-ES_tradnl"/>
        </w:rPr>
        <w:t xml:space="preserve">En esta modalidad de selección, la entidad estatal realiza una convocatoria pública para recibir ofertas de bienes o servicios cuyo valor no excede el diez por ciento –10%– de la menor cuantía. Fue creada por el artículo 274 de la Ley 1450 de 2011 y modificada por </w:t>
      </w:r>
      <w:bookmarkStart w:id="13" w:name="_Hlk69566698"/>
      <w:r w:rsidRPr="00EB2ED0">
        <w:rPr>
          <w:rFonts w:ascii="Arial" w:eastAsia="Calibri" w:hAnsi="Arial" w:cs="Arial"/>
          <w:bCs/>
          <w:color w:val="000000" w:themeColor="text1"/>
          <w:sz w:val="22"/>
          <w:lang w:val="es-ES_tradnl"/>
        </w:rPr>
        <w:t>el artículo 94 de la Ley 1474 de 2011</w:t>
      </w:r>
      <w:bookmarkEnd w:id="13"/>
      <w:r w:rsidRPr="00EB2ED0">
        <w:rPr>
          <w:rFonts w:ascii="Arial" w:eastAsia="Calibri" w:hAnsi="Arial" w:cs="Arial"/>
          <w:bCs/>
          <w:color w:val="000000" w:themeColor="text1"/>
          <w:sz w:val="22"/>
          <w:lang w:val="es-ES_tradnl"/>
        </w:rPr>
        <w:t>, disponiendo que el factor determinante para adelantarla es el valor del presupuesto oficial con independencia de su objeto. Por lo demás, como en este procedimiento el contrato se perfecciona con la aceptación de la oferta, se considera un sucedáneo de los denominados «contratos sin formalidades plenas»</w:t>
      </w:r>
      <w:r w:rsidRPr="00EB2ED0">
        <w:rPr>
          <w:rStyle w:val="Refdenotaalpie"/>
          <w:rFonts w:ascii="Arial" w:eastAsia="Calibri" w:hAnsi="Arial" w:cs="Arial"/>
          <w:bCs/>
          <w:color w:val="000000" w:themeColor="text1"/>
          <w:sz w:val="22"/>
          <w:lang w:val="es-ES_tradnl"/>
        </w:rPr>
        <w:footnoteReference w:id="18"/>
      </w:r>
      <w:r w:rsidRPr="00EB2ED0">
        <w:rPr>
          <w:rFonts w:ascii="Arial" w:eastAsia="Calibri" w:hAnsi="Arial" w:cs="Arial"/>
          <w:bCs/>
          <w:color w:val="000000" w:themeColor="text1"/>
          <w:sz w:val="22"/>
          <w:lang w:val="es-ES_tradnl"/>
        </w:rPr>
        <w:t>.</w:t>
      </w:r>
    </w:p>
    <w:p w14:paraId="4D8C4707" w14:textId="77777777" w:rsidR="0099308E" w:rsidRPr="00EB2ED0" w:rsidRDefault="0099308E" w:rsidP="00EB2ED0">
      <w:pPr>
        <w:tabs>
          <w:tab w:val="left" w:pos="709"/>
        </w:tabs>
        <w:spacing w:after="120" w:line="276" w:lineRule="auto"/>
        <w:jc w:val="both"/>
        <w:rPr>
          <w:rFonts w:ascii="Arial" w:eastAsia="Calibri" w:hAnsi="Arial" w:cs="Arial"/>
          <w:bCs/>
          <w:color w:val="000000" w:themeColor="text1"/>
          <w:sz w:val="22"/>
          <w:lang w:val="es-ES_tradnl"/>
        </w:rPr>
      </w:pPr>
      <w:r w:rsidRPr="00EB2ED0">
        <w:rPr>
          <w:rFonts w:ascii="Arial" w:eastAsia="Calibri" w:hAnsi="Arial" w:cs="Arial"/>
          <w:bCs/>
          <w:color w:val="000000" w:themeColor="text1"/>
          <w:sz w:val="22"/>
          <w:lang w:val="es-ES_tradnl"/>
        </w:rPr>
        <w:tab/>
        <w:t xml:space="preserve">En esencia, </w:t>
      </w:r>
      <w:r w:rsidRPr="00EB2ED0">
        <w:rPr>
          <w:rFonts w:ascii="Arial" w:eastAsia="Calibri" w:hAnsi="Arial" w:cs="Arial"/>
          <w:bCs/>
          <w:color w:val="000000" w:themeColor="text1"/>
          <w:sz w:val="22"/>
        </w:rPr>
        <w:t xml:space="preserve">el artículo 30 de la Ley 2069 de 2020 conserva a grandes rasgos el procedimiento previsto en el derogado </w:t>
      </w:r>
      <w:r w:rsidRPr="00EB2ED0">
        <w:rPr>
          <w:rFonts w:ascii="Arial" w:eastAsia="Calibri" w:hAnsi="Arial" w:cs="Arial"/>
          <w:bCs/>
          <w:color w:val="000000" w:themeColor="text1"/>
          <w:sz w:val="22"/>
          <w:lang w:val="es-ES_tradnl"/>
        </w:rPr>
        <w:t>artículo 94 de la Ley 1474 de 2011, el cual define los aspectos generales del procedimiento contractual</w:t>
      </w:r>
      <w:r w:rsidRPr="00EB2ED0">
        <w:rPr>
          <w:rStyle w:val="Refdenotaalpie"/>
          <w:rFonts w:ascii="Arial" w:eastAsia="Calibri" w:hAnsi="Arial" w:cs="Arial"/>
          <w:bCs/>
          <w:color w:val="000000" w:themeColor="text1"/>
          <w:sz w:val="22"/>
          <w:lang w:val="es-ES_tradnl"/>
        </w:rPr>
        <w:footnoteReference w:id="19"/>
      </w:r>
      <w:r w:rsidRPr="00EB2ED0">
        <w:rPr>
          <w:rFonts w:ascii="Arial" w:eastAsia="Calibri" w:hAnsi="Arial" w:cs="Arial"/>
          <w:bCs/>
          <w:color w:val="000000" w:themeColor="text1"/>
          <w:sz w:val="22"/>
          <w:lang w:val="es-ES_tradnl"/>
        </w:rPr>
        <w:t xml:space="preserve">. No obstante, aludiendo expresamente </w:t>
      </w:r>
      <w:r w:rsidRPr="00EB2ED0">
        <w:rPr>
          <w:rFonts w:ascii="Arial" w:eastAsia="Calibri" w:hAnsi="Arial" w:cs="Arial"/>
          <w:bCs/>
          <w:color w:val="000000" w:themeColor="text1"/>
          <w:sz w:val="22"/>
          <w:lang w:val="es-ES_tradnl"/>
        </w:rPr>
        <w:lastRenderedPageBreak/>
        <w:t xml:space="preserve">al desarrollo reglamentario, el parágrafo primero introduce el siguiente cambio: «Las particularidades del procedimiento aquí previsto, así como la posibilidad que tengan las entidades de realizar estas adquisiciones </w:t>
      </w:r>
      <w:r w:rsidRPr="00EB2ED0">
        <w:rPr>
          <w:rFonts w:ascii="Arial" w:eastAsia="Calibri" w:hAnsi="Arial" w:cs="Arial"/>
          <w:bCs/>
          <w:i/>
          <w:iCs/>
          <w:color w:val="000000" w:themeColor="text1"/>
          <w:sz w:val="22"/>
          <w:lang w:val="es-ES_tradnl"/>
        </w:rPr>
        <w:t xml:space="preserve">a </w:t>
      </w:r>
      <w:proofErr w:type="spellStart"/>
      <w:r w:rsidRPr="00EB2ED0">
        <w:rPr>
          <w:rFonts w:ascii="Arial" w:eastAsia="Calibri" w:hAnsi="Arial" w:cs="Arial"/>
          <w:bCs/>
          <w:i/>
          <w:iCs/>
          <w:color w:val="000000" w:themeColor="text1"/>
          <w:sz w:val="22"/>
          <w:lang w:val="es-ES_tradnl"/>
        </w:rPr>
        <w:t>Mipymes</w:t>
      </w:r>
      <w:proofErr w:type="spellEnd"/>
      <w:r w:rsidRPr="00EB2ED0">
        <w:rPr>
          <w:rFonts w:ascii="Arial" w:eastAsia="Calibri" w:hAnsi="Arial" w:cs="Arial"/>
          <w:bCs/>
          <w:color w:val="000000" w:themeColor="text1"/>
          <w:sz w:val="22"/>
          <w:lang w:val="es-ES_tradnl"/>
        </w:rPr>
        <w:t xml:space="preserve"> o establecimientos que correspondan a la definición de "gran almacén" señalada por la Superintendencia de Industria y Comercio, se determinarán en el reglamento que para el efecto expida el Gobierno Nacional» (Énfasis fuera de texto). </w:t>
      </w:r>
    </w:p>
    <w:p w14:paraId="198DBBE0" w14:textId="77777777" w:rsidR="0099308E" w:rsidRPr="00EB2ED0" w:rsidRDefault="0099308E" w:rsidP="00EB2ED0">
      <w:pPr>
        <w:tabs>
          <w:tab w:val="left" w:pos="709"/>
        </w:tabs>
        <w:spacing w:after="120" w:line="276" w:lineRule="auto"/>
        <w:jc w:val="both"/>
        <w:rPr>
          <w:rFonts w:ascii="Arial" w:eastAsia="Calibri" w:hAnsi="Arial" w:cs="Arial"/>
          <w:bCs/>
          <w:color w:val="000000" w:themeColor="text1"/>
          <w:sz w:val="22"/>
          <w:lang w:val="es-ES_tradnl"/>
        </w:rPr>
      </w:pPr>
      <w:r w:rsidRPr="00EB2ED0">
        <w:rPr>
          <w:rFonts w:ascii="Arial" w:eastAsia="Calibri" w:hAnsi="Arial" w:cs="Arial"/>
          <w:bCs/>
          <w:color w:val="000000" w:themeColor="text1"/>
          <w:sz w:val="22"/>
          <w:lang w:val="es-ES_tradnl"/>
        </w:rPr>
        <w:tab/>
        <w:t xml:space="preserve">Esta modificación es importante, pues antes de la Ley de Emprendimiento era imposible limitar a </w:t>
      </w:r>
      <w:proofErr w:type="spellStart"/>
      <w:r w:rsidRPr="00EB2ED0">
        <w:rPr>
          <w:rFonts w:ascii="Arial" w:eastAsia="Calibri" w:hAnsi="Arial" w:cs="Arial"/>
          <w:bCs/>
          <w:color w:val="000000" w:themeColor="text1"/>
          <w:sz w:val="22"/>
          <w:lang w:val="es-ES_tradnl"/>
        </w:rPr>
        <w:t>mipymes</w:t>
      </w:r>
      <w:proofErr w:type="spellEnd"/>
      <w:r w:rsidRPr="00EB2ED0">
        <w:rPr>
          <w:rFonts w:ascii="Arial" w:eastAsia="Calibri" w:hAnsi="Arial" w:cs="Arial"/>
          <w:bCs/>
          <w:color w:val="000000" w:themeColor="text1"/>
          <w:sz w:val="22"/>
          <w:lang w:val="es-ES_tradnl"/>
        </w:rPr>
        <w:t xml:space="preserve"> la mínima cuantía, especialmente, cuando el artículo 94 la Ley 1474 de 2011 disponía que no era aplicable la Ley 816 de 2003, «Por medio de la cual se apoya a la industria nacional a través de la contratación pública</w:t>
      </w:r>
      <w:r w:rsidRPr="00EB2ED0">
        <w:rPr>
          <w:rFonts w:ascii="Arial" w:hAnsi="Arial" w:cs="Arial"/>
          <w:color w:val="000000"/>
          <w:sz w:val="22"/>
        </w:rPr>
        <w:t xml:space="preserve">», ni </w:t>
      </w:r>
      <w:r w:rsidRPr="00EB2ED0">
        <w:rPr>
          <w:rFonts w:ascii="Arial" w:eastAsia="Calibri" w:hAnsi="Arial" w:cs="Arial"/>
          <w:bCs/>
          <w:color w:val="000000" w:themeColor="text1"/>
          <w:sz w:val="22"/>
          <w:lang w:val="es-ES_tradnl"/>
        </w:rPr>
        <w:t xml:space="preserve">el artículo 12 de la Ley 1150 de 2007, relacionado con la promoción del desarrollo en la contratación pública. A partir de la expedición del artículo 30, parágrafo 2, de la Ley 2069 de 2020, «La contratación a que se refiere el presente artículo se realizará exclusivamente con las reglas en él contempladas y en su reglamentación. En particular no se aplicará lo previsto en la Ley 816 de 2003». Es decir, al no prohibir la aplicación del artículo 12 de la Ley 1150 de 2007, la norma –además de reiterar la importancia de su reglamentación posterior– permite las convocatorias limitadas a </w:t>
      </w:r>
      <w:proofErr w:type="spellStart"/>
      <w:r w:rsidRPr="00EB2ED0">
        <w:rPr>
          <w:rFonts w:ascii="Arial" w:eastAsia="Calibri" w:hAnsi="Arial" w:cs="Arial"/>
          <w:bCs/>
          <w:color w:val="000000" w:themeColor="text1"/>
          <w:sz w:val="22"/>
          <w:lang w:val="es-ES_tradnl"/>
        </w:rPr>
        <w:t>mipymes</w:t>
      </w:r>
      <w:proofErr w:type="spellEnd"/>
      <w:r w:rsidRPr="00EB2ED0">
        <w:rPr>
          <w:rFonts w:ascii="Arial" w:eastAsia="Calibri" w:hAnsi="Arial" w:cs="Arial"/>
          <w:bCs/>
          <w:color w:val="000000" w:themeColor="text1"/>
          <w:sz w:val="22"/>
          <w:lang w:val="es-ES_tradnl"/>
        </w:rPr>
        <w:t xml:space="preserve"> en esta modalidad de selección.</w:t>
      </w:r>
    </w:p>
    <w:p w14:paraId="6D6D3C2A" w14:textId="77777777" w:rsidR="0099308E" w:rsidRPr="00EB2ED0" w:rsidRDefault="0099308E" w:rsidP="00EB2ED0">
      <w:pPr>
        <w:tabs>
          <w:tab w:val="left" w:pos="709"/>
        </w:tabs>
        <w:spacing w:after="120" w:line="276" w:lineRule="auto"/>
        <w:jc w:val="both"/>
        <w:rPr>
          <w:rFonts w:ascii="Arial" w:eastAsia="Calibri" w:hAnsi="Arial" w:cs="Arial"/>
          <w:bCs/>
          <w:color w:val="000000" w:themeColor="text1"/>
          <w:sz w:val="22"/>
          <w:lang w:val="es-ES_tradnl"/>
        </w:rPr>
      </w:pPr>
      <w:r w:rsidRPr="00EB2ED0">
        <w:rPr>
          <w:rFonts w:ascii="Arial" w:eastAsia="Calibri" w:hAnsi="Arial" w:cs="Arial"/>
          <w:bCs/>
          <w:color w:val="000000" w:themeColor="text1"/>
          <w:sz w:val="22"/>
          <w:lang w:val="es-ES_tradnl"/>
        </w:rPr>
        <w:tab/>
        <w:t xml:space="preserve">Como se observa, el parágrafo 1 del artículo 30 de la Ley 2069 de 2020 dispone que el reglamento es importante para regular i) las «particularidades del procedimiento de selección» y </w:t>
      </w:r>
      <w:proofErr w:type="spellStart"/>
      <w:r w:rsidRPr="00EB2ED0">
        <w:rPr>
          <w:rFonts w:ascii="Arial" w:eastAsia="Calibri" w:hAnsi="Arial" w:cs="Arial"/>
          <w:bCs/>
          <w:color w:val="000000" w:themeColor="text1"/>
          <w:sz w:val="22"/>
          <w:lang w:val="es-ES_tradnl"/>
        </w:rPr>
        <w:t>ii</w:t>
      </w:r>
      <w:proofErr w:type="spellEnd"/>
      <w:r w:rsidRPr="00EB2ED0">
        <w:rPr>
          <w:rFonts w:ascii="Arial" w:eastAsia="Calibri" w:hAnsi="Arial" w:cs="Arial"/>
          <w:bCs/>
          <w:color w:val="000000" w:themeColor="text1"/>
          <w:sz w:val="22"/>
          <w:lang w:val="es-ES_tradnl"/>
        </w:rPr>
        <w:t xml:space="preserve">) la posibilidad de realizar estas adquisiciones a </w:t>
      </w:r>
      <w:proofErr w:type="spellStart"/>
      <w:r w:rsidRPr="00EB2ED0">
        <w:rPr>
          <w:rFonts w:ascii="Arial" w:eastAsia="Calibri" w:hAnsi="Arial" w:cs="Arial"/>
          <w:bCs/>
          <w:color w:val="000000" w:themeColor="text1"/>
          <w:sz w:val="22"/>
          <w:lang w:val="es-ES_tradnl"/>
        </w:rPr>
        <w:t>mipymes</w:t>
      </w:r>
      <w:proofErr w:type="spellEnd"/>
      <w:r w:rsidRPr="00EB2ED0">
        <w:rPr>
          <w:rFonts w:ascii="Arial" w:eastAsia="Calibri" w:hAnsi="Arial" w:cs="Arial"/>
          <w:bCs/>
          <w:color w:val="000000" w:themeColor="text1"/>
          <w:sz w:val="22"/>
          <w:lang w:val="es-ES_tradnl"/>
        </w:rPr>
        <w:t xml:space="preserve"> o establecimientos que correspondan a la definición de «gran almacén». No obstante, ¿es necesario el desarrollo normativo para la vigencia de la mínima cuantía? En principio, la respuesta positiva a esta inquietud se fundamentaría en la necesidad de que el reglamento precise los detalles del procedimiento de selección.</w:t>
      </w:r>
    </w:p>
    <w:p w14:paraId="12AA1584" w14:textId="77777777" w:rsidR="0099308E" w:rsidRPr="00EB2ED0" w:rsidRDefault="0099308E" w:rsidP="00EB2ED0">
      <w:pPr>
        <w:tabs>
          <w:tab w:val="left" w:pos="709"/>
        </w:tabs>
        <w:spacing w:after="120" w:line="276" w:lineRule="auto"/>
        <w:jc w:val="both"/>
        <w:rPr>
          <w:rFonts w:ascii="Arial" w:eastAsia="Calibri" w:hAnsi="Arial" w:cs="Arial"/>
          <w:bCs/>
          <w:color w:val="000000" w:themeColor="text1"/>
          <w:sz w:val="22"/>
          <w:lang w:val="es-ES_tradnl"/>
        </w:rPr>
      </w:pPr>
      <w:r w:rsidRPr="00EB2ED0">
        <w:rPr>
          <w:rFonts w:ascii="Arial" w:eastAsia="Calibri" w:hAnsi="Arial" w:cs="Arial"/>
          <w:bCs/>
          <w:color w:val="000000" w:themeColor="text1"/>
          <w:sz w:val="22"/>
          <w:lang w:val="es-ES_tradnl"/>
        </w:rPr>
        <w:tab/>
        <w:t>La Subdirección de Gestión Contractual no comparte esta tesis, porque si la ley define los aspectos generales del procedimiento, estos vinculan directamente a las entidades estatales. En efecto, «[…] el propósito del legislador fue delimitar sólo los principios que rigen la contratación pública, con el fin de orientar la gestión contractual. A diferencia de una ley general o de una ley marco, la técnica legislativa de los principios no busca un desarrollo ulterior a través del reglamento, sino unas bases para la actuación inmediata, sin que sea necesaria la intermediación del desarrollo reglamentario […]»</w:t>
      </w:r>
      <w:r w:rsidRPr="00EB2ED0">
        <w:rPr>
          <w:rStyle w:val="Refdenotaalpie"/>
          <w:rFonts w:ascii="Arial" w:eastAsia="Calibri" w:hAnsi="Arial" w:cs="Arial"/>
          <w:bCs/>
          <w:color w:val="000000" w:themeColor="text1"/>
          <w:sz w:val="22"/>
          <w:lang w:val="es-ES_tradnl"/>
        </w:rPr>
        <w:footnoteReference w:id="20"/>
      </w:r>
      <w:r w:rsidRPr="00EB2ED0">
        <w:rPr>
          <w:rFonts w:ascii="Arial" w:eastAsia="Calibri" w:hAnsi="Arial" w:cs="Arial"/>
          <w:bCs/>
          <w:color w:val="000000" w:themeColor="text1"/>
          <w:sz w:val="22"/>
          <w:lang w:val="es-ES_tradnl"/>
        </w:rPr>
        <w:t xml:space="preserve">. </w:t>
      </w:r>
    </w:p>
    <w:p w14:paraId="22081EFB" w14:textId="77777777" w:rsidR="0099308E" w:rsidRPr="00EB2ED0" w:rsidRDefault="0099308E" w:rsidP="00EB2ED0">
      <w:pPr>
        <w:spacing w:before="120" w:line="276" w:lineRule="auto"/>
        <w:jc w:val="both"/>
        <w:rPr>
          <w:rFonts w:ascii="Arial" w:eastAsia="Calibri" w:hAnsi="Arial" w:cs="Arial"/>
          <w:color w:val="000000" w:themeColor="text1"/>
          <w:sz w:val="22"/>
          <w:szCs w:val="22"/>
          <w:lang w:val="es-ES_tradnl"/>
        </w:rPr>
      </w:pPr>
      <w:r w:rsidRPr="00EB2ED0">
        <w:rPr>
          <w:rFonts w:ascii="Arial" w:eastAsia="Calibri" w:hAnsi="Arial" w:cs="Arial"/>
          <w:bCs/>
          <w:color w:val="000000" w:themeColor="text1"/>
          <w:sz w:val="22"/>
          <w:lang w:val="es-ES_tradnl"/>
        </w:rPr>
        <w:lastRenderedPageBreak/>
        <w:tab/>
        <w:t xml:space="preserve">Por tanto, dado que </w:t>
      </w:r>
      <w:bookmarkStart w:id="14" w:name="_Hlk69400380"/>
      <w:r w:rsidRPr="00EB2ED0">
        <w:rPr>
          <w:rFonts w:ascii="Arial" w:eastAsia="Calibri" w:hAnsi="Arial" w:cs="Arial"/>
          <w:bCs/>
          <w:color w:val="000000" w:themeColor="text1"/>
          <w:sz w:val="22"/>
          <w:lang w:val="es-ES_tradnl"/>
        </w:rPr>
        <w:t>el artículo 30 de la Ley 2069 de 2020</w:t>
      </w:r>
      <w:bookmarkEnd w:id="14"/>
      <w:r w:rsidRPr="00EB2ED0">
        <w:rPr>
          <w:rFonts w:ascii="Arial" w:eastAsia="Calibri" w:hAnsi="Arial" w:cs="Arial"/>
          <w:bCs/>
          <w:color w:val="000000" w:themeColor="text1"/>
          <w:sz w:val="22"/>
          <w:lang w:val="es-ES_tradnl"/>
        </w:rPr>
        <w:t xml:space="preserve"> regula aspectos de la mínima cuantía como i) el término mínimo para publicar la invitación, </w:t>
      </w:r>
      <w:proofErr w:type="spellStart"/>
      <w:r w:rsidRPr="00EB2ED0">
        <w:rPr>
          <w:rFonts w:ascii="Arial" w:eastAsia="Calibri" w:hAnsi="Arial" w:cs="Arial"/>
          <w:bCs/>
          <w:color w:val="000000" w:themeColor="text1"/>
          <w:sz w:val="22"/>
          <w:lang w:val="es-ES_tradnl"/>
        </w:rPr>
        <w:t>ii</w:t>
      </w:r>
      <w:proofErr w:type="spellEnd"/>
      <w:r w:rsidRPr="00EB2ED0">
        <w:rPr>
          <w:rFonts w:ascii="Arial" w:eastAsia="Calibri" w:hAnsi="Arial" w:cs="Arial"/>
          <w:bCs/>
          <w:color w:val="000000" w:themeColor="text1"/>
          <w:sz w:val="22"/>
          <w:lang w:val="es-ES_tradnl"/>
        </w:rPr>
        <w:t xml:space="preserve">) el plazo mínimo de recepción de las ofertas, </w:t>
      </w:r>
      <w:proofErr w:type="spellStart"/>
      <w:r w:rsidRPr="00EB2ED0">
        <w:rPr>
          <w:rFonts w:ascii="Arial" w:eastAsia="Calibri" w:hAnsi="Arial" w:cs="Arial"/>
          <w:bCs/>
          <w:color w:val="000000" w:themeColor="text1"/>
          <w:sz w:val="22"/>
          <w:lang w:val="es-ES_tradnl"/>
        </w:rPr>
        <w:t>iii</w:t>
      </w:r>
      <w:proofErr w:type="spellEnd"/>
      <w:r w:rsidRPr="00EB2ED0">
        <w:rPr>
          <w:rFonts w:ascii="Arial" w:eastAsia="Calibri" w:hAnsi="Arial" w:cs="Arial"/>
          <w:bCs/>
          <w:color w:val="000000" w:themeColor="text1"/>
          <w:sz w:val="22"/>
          <w:lang w:val="es-ES_tradnl"/>
        </w:rPr>
        <w:t xml:space="preserve">) el factor de evaluación que define la selección del proponente y </w:t>
      </w:r>
      <w:proofErr w:type="spellStart"/>
      <w:r w:rsidRPr="00EB2ED0">
        <w:rPr>
          <w:rFonts w:ascii="Arial" w:eastAsia="Calibri" w:hAnsi="Arial" w:cs="Arial"/>
          <w:bCs/>
          <w:color w:val="000000" w:themeColor="text1"/>
          <w:sz w:val="22"/>
          <w:lang w:val="es-ES_tradnl"/>
        </w:rPr>
        <w:t>iv</w:t>
      </w:r>
      <w:proofErr w:type="spellEnd"/>
      <w:r w:rsidRPr="00EB2ED0">
        <w:rPr>
          <w:rFonts w:ascii="Arial" w:eastAsia="Calibri" w:hAnsi="Arial" w:cs="Arial"/>
          <w:bCs/>
          <w:color w:val="000000" w:themeColor="text1"/>
          <w:sz w:val="22"/>
          <w:lang w:val="es-ES_tradnl"/>
        </w:rPr>
        <w:t xml:space="preserve">) el perfeccionamiento del contrato, las entidades deben estructurar sus procedimientos de selección de acuerdo con estos parámetros, los cuales tienen una aplicación inmediata sin que el reglamento condicione su vigencia. En otras palabras, la mínima cuantía es directamente aplicable, sin perjuicio de que a través del ejercicio de la potestad reglamentaria se desarrolle específicamente la «Singularidad, especialidad e individualidad» del trámite, así como realización estas adquisiciones a </w:t>
      </w:r>
      <w:proofErr w:type="spellStart"/>
      <w:r w:rsidRPr="00EB2ED0">
        <w:rPr>
          <w:rFonts w:ascii="Arial" w:eastAsia="Calibri" w:hAnsi="Arial" w:cs="Arial"/>
          <w:bCs/>
          <w:color w:val="000000" w:themeColor="text1"/>
          <w:sz w:val="22"/>
          <w:lang w:val="es-ES_tradnl"/>
        </w:rPr>
        <w:t>mipymes</w:t>
      </w:r>
      <w:proofErr w:type="spellEnd"/>
      <w:r w:rsidRPr="00EB2ED0">
        <w:rPr>
          <w:rFonts w:ascii="Arial" w:eastAsia="Calibri" w:hAnsi="Arial" w:cs="Arial"/>
          <w:bCs/>
          <w:color w:val="000000" w:themeColor="text1"/>
          <w:sz w:val="22"/>
          <w:lang w:val="es-ES_tradnl"/>
        </w:rPr>
        <w:t xml:space="preserve"> o establecimientos que correspondan a la definición de «gran almacén».</w:t>
      </w:r>
      <w:r w:rsidRPr="00EB2ED0">
        <w:rPr>
          <w:rFonts w:ascii="Arial" w:eastAsia="Calibri" w:hAnsi="Arial" w:cs="Arial"/>
          <w:color w:val="000000" w:themeColor="text1"/>
          <w:sz w:val="22"/>
          <w:szCs w:val="22"/>
          <w:lang w:val="es-ES_tradnl"/>
        </w:rPr>
        <w:t xml:space="preserve"> A partir de lo anterior, puede afirmarse que el artículo 30 de la Ley 2069 de 2020 </w:t>
      </w:r>
      <w:bookmarkStart w:id="15" w:name="_Hlk69396275"/>
      <w:r w:rsidRPr="00EB2ED0">
        <w:rPr>
          <w:rFonts w:ascii="Arial" w:eastAsia="Calibri" w:hAnsi="Arial" w:cs="Arial"/>
          <w:color w:val="000000" w:themeColor="text1"/>
          <w:sz w:val="22"/>
          <w:szCs w:val="22"/>
          <w:lang w:val="es-ES_tradnl"/>
        </w:rPr>
        <w:t>sustituyó el contenido del numeral 5, del artículo 2 de la Ley 1150 de 2007</w:t>
      </w:r>
      <w:bookmarkEnd w:id="15"/>
      <w:r w:rsidRPr="00EB2ED0">
        <w:rPr>
          <w:rFonts w:ascii="Arial" w:eastAsia="Calibri" w:hAnsi="Arial" w:cs="Arial"/>
          <w:color w:val="000000" w:themeColor="text1"/>
          <w:sz w:val="22"/>
          <w:szCs w:val="22"/>
          <w:lang w:val="es-ES_tradnl"/>
        </w:rPr>
        <w:t xml:space="preserve">. </w:t>
      </w:r>
    </w:p>
    <w:p w14:paraId="2C99353D" w14:textId="11616BFC" w:rsidR="0099308E" w:rsidRPr="00EB2ED0" w:rsidRDefault="0099308E" w:rsidP="00EB2ED0">
      <w:pPr>
        <w:spacing w:before="120" w:line="276" w:lineRule="auto"/>
        <w:jc w:val="both"/>
        <w:rPr>
          <w:rFonts w:ascii="Arial" w:eastAsia="Calibri" w:hAnsi="Arial" w:cs="Arial"/>
          <w:color w:val="000000" w:themeColor="text1"/>
          <w:sz w:val="22"/>
          <w:szCs w:val="22"/>
          <w:lang w:val="es-ES_tradnl"/>
        </w:rPr>
      </w:pPr>
      <w:r w:rsidRPr="00EB2ED0">
        <w:rPr>
          <w:rFonts w:ascii="Arial" w:eastAsia="Calibri" w:hAnsi="Arial" w:cs="Arial"/>
          <w:color w:val="000000" w:themeColor="text1"/>
          <w:sz w:val="22"/>
          <w:szCs w:val="22"/>
          <w:lang w:val="es-ES_tradnl"/>
        </w:rPr>
        <w:tab/>
        <w:t xml:space="preserve">Para efectos de la consulta, </w:t>
      </w:r>
      <w:r w:rsidR="00825FEE" w:rsidRPr="00EB2ED0">
        <w:rPr>
          <w:rFonts w:ascii="Arial" w:eastAsia="Calibri" w:hAnsi="Arial" w:cs="Arial"/>
          <w:color w:val="000000" w:themeColor="text1"/>
          <w:sz w:val="22"/>
          <w:szCs w:val="22"/>
          <w:lang w:val="es-ES_tradnl"/>
        </w:rPr>
        <w:t>es necesario</w:t>
      </w:r>
      <w:r w:rsidRPr="00EB2ED0">
        <w:rPr>
          <w:rFonts w:ascii="Arial" w:eastAsia="Calibri" w:hAnsi="Arial" w:cs="Arial"/>
          <w:color w:val="000000" w:themeColor="text1"/>
          <w:sz w:val="22"/>
          <w:szCs w:val="22"/>
          <w:lang w:val="es-ES_tradnl"/>
        </w:rPr>
        <w:t xml:space="preserve"> precisar si con el artículo 30 de la Ley 2069 de 2020 está vigente </w:t>
      </w:r>
      <w:r w:rsidR="00855760" w:rsidRPr="00EB2ED0">
        <w:rPr>
          <w:rFonts w:ascii="Arial" w:eastAsia="Calibri" w:hAnsi="Arial" w:cs="Arial"/>
          <w:color w:val="000000" w:themeColor="text1"/>
          <w:sz w:val="22"/>
          <w:szCs w:val="22"/>
          <w:lang w:val="es-ES_tradnl"/>
        </w:rPr>
        <w:t>el</w:t>
      </w:r>
      <w:r w:rsidRPr="00EB2ED0">
        <w:rPr>
          <w:rFonts w:ascii="Arial" w:eastAsia="Calibri" w:hAnsi="Arial" w:cs="Arial"/>
          <w:color w:val="000000" w:themeColor="text1"/>
          <w:sz w:val="22"/>
          <w:szCs w:val="22"/>
          <w:lang w:val="es-ES_tradnl"/>
        </w:rPr>
        <w:t xml:space="preserve"> artículo 2.2.1.2.1.5.</w:t>
      </w:r>
      <w:r w:rsidR="00260429" w:rsidRPr="00EB2ED0">
        <w:rPr>
          <w:rFonts w:ascii="Arial" w:eastAsia="Calibri" w:hAnsi="Arial" w:cs="Arial"/>
          <w:color w:val="000000" w:themeColor="text1"/>
          <w:sz w:val="22"/>
          <w:szCs w:val="22"/>
          <w:lang w:val="es-ES_tradnl"/>
        </w:rPr>
        <w:t>2</w:t>
      </w:r>
      <w:r w:rsidRPr="00EB2ED0">
        <w:rPr>
          <w:rFonts w:ascii="Arial" w:eastAsia="Calibri" w:hAnsi="Arial" w:cs="Arial"/>
          <w:color w:val="000000" w:themeColor="text1"/>
          <w:sz w:val="22"/>
          <w:szCs w:val="22"/>
          <w:lang w:val="es-ES_tradnl"/>
        </w:rPr>
        <w:t xml:space="preserve"> del Decreto 1082 de 2015, que regula el procedimiento de la mínima cuantía en el Decreto Único Reglamentario del Sector Administrativo de Planeación Nacional. En otras palabras, ¿la modificación de la Ley de Emprendimiento en la mínima cuantía supone la desaparición del fundamento jurídico de</w:t>
      </w:r>
      <w:r w:rsidR="003A647A" w:rsidRPr="00EB2ED0">
        <w:rPr>
          <w:rFonts w:ascii="Arial" w:eastAsia="Calibri" w:hAnsi="Arial" w:cs="Arial"/>
          <w:color w:val="000000" w:themeColor="text1"/>
          <w:sz w:val="22"/>
          <w:szCs w:val="22"/>
          <w:lang w:val="es-ES_tradnl"/>
        </w:rPr>
        <w:t>l</w:t>
      </w:r>
      <w:r w:rsidRPr="00EB2ED0">
        <w:rPr>
          <w:rFonts w:ascii="Arial" w:eastAsia="Calibri" w:hAnsi="Arial" w:cs="Arial"/>
          <w:color w:val="000000" w:themeColor="text1"/>
          <w:sz w:val="22"/>
          <w:szCs w:val="22"/>
          <w:lang w:val="es-ES_tradnl"/>
        </w:rPr>
        <w:t xml:space="preserve"> artículo </w:t>
      </w:r>
      <w:r w:rsidR="003A647A" w:rsidRPr="00EB2ED0">
        <w:rPr>
          <w:rFonts w:ascii="Arial" w:eastAsia="Calibri" w:hAnsi="Arial" w:cs="Arial"/>
          <w:color w:val="000000" w:themeColor="text1"/>
          <w:sz w:val="22"/>
          <w:szCs w:val="22"/>
          <w:lang w:val="es-ES_tradnl"/>
        </w:rPr>
        <w:t>reglamentario</w:t>
      </w:r>
      <w:r w:rsidRPr="00EB2ED0">
        <w:rPr>
          <w:rFonts w:ascii="Arial" w:eastAsia="Calibri" w:hAnsi="Arial" w:cs="Arial"/>
          <w:color w:val="000000" w:themeColor="text1"/>
          <w:sz w:val="22"/>
          <w:szCs w:val="22"/>
          <w:lang w:val="es-ES_tradnl"/>
        </w:rPr>
        <w:t xml:space="preserve"> previamente citado? </w:t>
      </w:r>
    </w:p>
    <w:p w14:paraId="0C9C2587" w14:textId="6513559E" w:rsidR="0099308E" w:rsidRPr="00EB2ED0" w:rsidRDefault="0099308E" w:rsidP="00EB2ED0">
      <w:pPr>
        <w:spacing w:before="120" w:after="120" w:line="276" w:lineRule="auto"/>
        <w:jc w:val="both"/>
        <w:rPr>
          <w:rFonts w:ascii="Arial" w:eastAsia="Calibri" w:hAnsi="Arial" w:cs="Arial"/>
          <w:color w:val="000000" w:themeColor="text1"/>
          <w:sz w:val="22"/>
          <w:szCs w:val="22"/>
          <w:lang w:val="es-ES_tradnl"/>
        </w:rPr>
      </w:pPr>
      <w:r w:rsidRPr="00EB2ED0">
        <w:rPr>
          <w:rFonts w:ascii="Arial" w:eastAsia="Calibri" w:hAnsi="Arial" w:cs="Arial"/>
          <w:color w:val="000000" w:themeColor="text1"/>
          <w:sz w:val="22"/>
          <w:szCs w:val="22"/>
          <w:lang w:val="es-ES_tradnl"/>
        </w:rPr>
        <w:tab/>
        <w:t xml:space="preserve">En principio, dado que </w:t>
      </w:r>
      <w:bookmarkStart w:id="16" w:name="_Hlk69395804"/>
      <w:r w:rsidRPr="00EB2ED0">
        <w:rPr>
          <w:rFonts w:ascii="Arial" w:eastAsia="Calibri" w:hAnsi="Arial" w:cs="Arial"/>
          <w:color w:val="000000" w:themeColor="text1"/>
          <w:sz w:val="22"/>
          <w:szCs w:val="22"/>
          <w:lang w:val="es-ES_tradnl"/>
        </w:rPr>
        <w:t>el artículo 94 de la Ley 1474 de 2011</w:t>
      </w:r>
      <w:bookmarkEnd w:id="16"/>
      <w:r w:rsidRPr="00EB2ED0">
        <w:rPr>
          <w:rFonts w:ascii="Arial" w:eastAsia="Calibri" w:hAnsi="Arial" w:cs="Arial"/>
          <w:color w:val="000000" w:themeColor="text1"/>
          <w:sz w:val="22"/>
          <w:szCs w:val="22"/>
          <w:lang w:val="es-ES_tradnl"/>
        </w:rPr>
        <w:t xml:space="preserve"> fue subrogado por el artículo 30 de la Ley 2069 de 2020, podría concluirse la pérdida de fuerza ejecutoria –o decaimiento– </w:t>
      </w:r>
      <w:r w:rsidR="003A647A" w:rsidRPr="00EB2ED0">
        <w:rPr>
          <w:rFonts w:ascii="Arial" w:eastAsia="Calibri" w:hAnsi="Arial" w:cs="Arial"/>
          <w:color w:val="000000" w:themeColor="text1"/>
          <w:sz w:val="22"/>
          <w:szCs w:val="22"/>
          <w:lang w:val="es-ES_tradnl"/>
        </w:rPr>
        <w:t>del artículo 2.2.1.2.1.5.2</w:t>
      </w:r>
      <w:r w:rsidRPr="00EB2ED0">
        <w:rPr>
          <w:rFonts w:ascii="Arial" w:eastAsia="Calibri" w:hAnsi="Arial" w:cs="Arial"/>
          <w:color w:val="000000" w:themeColor="text1"/>
          <w:sz w:val="22"/>
          <w:szCs w:val="22"/>
          <w:lang w:val="es-ES_tradnl"/>
        </w:rPr>
        <w:t xml:space="preserve"> del Decreto 1082 de 2015, </w:t>
      </w:r>
      <w:r w:rsidR="00B1003F" w:rsidRPr="00EB2ED0">
        <w:rPr>
          <w:rFonts w:ascii="Arial" w:eastAsia="Calibri" w:hAnsi="Arial" w:cs="Arial"/>
          <w:color w:val="000000" w:themeColor="text1"/>
          <w:sz w:val="22"/>
          <w:szCs w:val="22"/>
          <w:lang w:val="es-ES_tradnl"/>
        </w:rPr>
        <w:t>conforme a</w:t>
      </w:r>
      <w:r w:rsidRPr="00EB2ED0">
        <w:rPr>
          <w:rFonts w:ascii="Arial" w:eastAsia="Calibri" w:hAnsi="Arial" w:cs="Arial"/>
          <w:color w:val="000000" w:themeColor="text1"/>
          <w:sz w:val="22"/>
          <w:szCs w:val="22"/>
          <w:lang w:val="es-ES_tradnl"/>
        </w:rPr>
        <w:t>l artículo 91, numeral 2, de la Ley 1437 de 2011</w:t>
      </w:r>
      <w:r w:rsidRPr="00EB2ED0">
        <w:rPr>
          <w:rStyle w:val="Refdenotaalpie"/>
          <w:rFonts w:ascii="Arial" w:eastAsia="Calibri" w:hAnsi="Arial" w:cs="Arial"/>
          <w:color w:val="000000" w:themeColor="text1"/>
          <w:sz w:val="22"/>
          <w:szCs w:val="22"/>
          <w:lang w:val="es-ES_tradnl"/>
        </w:rPr>
        <w:footnoteReference w:id="21"/>
      </w:r>
      <w:r w:rsidRPr="00EB2ED0">
        <w:rPr>
          <w:rFonts w:ascii="Arial" w:eastAsia="Calibri" w:hAnsi="Arial" w:cs="Arial"/>
          <w:color w:val="000000" w:themeColor="text1"/>
          <w:sz w:val="22"/>
          <w:szCs w:val="22"/>
          <w:lang w:val="es-ES_tradnl"/>
        </w:rPr>
        <w:t xml:space="preserve">. Esta conclusión podría sustentarse en dos (2) argumentos. </w:t>
      </w:r>
      <w:r w:rsidRPr="00EB2ED0">
        <w:rPr>
          <w:rFonts w:ascii="Arial" w:eastAsia="Calibri" w:hAnsi="Arial" w:cs="Arial"/>
          <w:i/>
          <w:iCs/>
          <w:color w:val="000000" w:themeColor="text1"/>
          <w:sz w:val="22"/>
          <w:szCs w:val="22"/>
          <w:lang w:val="es-ES_tradnl"/>
        </w:rPr>
        <w:t>Por un lado</w:t>
      </w:r>
      <w:r w:rsidRPr="00EB2ED0">
        <w:rPr>
          <w:rFonts w:ascii="Arial" w:eastAsia="Calibri" w:hAnsi="Arial" w:cs="Arial"/>
          <w:color w:val="000000" w:themeColor="text1"/>
          <w:sz w:val="22"/>
          <w:szCs w:val="22"/>
          <w:lang w:val="es-ES_tradnl"/>
        </w:rPr>
        <w:t xml:space="preserve">, en que el artículo 30 de la Ley 2069 de 2020, en el parágrafo primero, contiene un nuevo mandato de reglamentación que debe cumplirse en el futuro. Esto significa que sería voluntad del legislador ordenarle al gobierno nacional que expidiera una nueva reglamentación en la que –además de regular la adquisición a </w:t>
      </w:r>
      <w:proofErr w:type="spellStart"/>
      <w:r w:rsidRPr="00EB2ED0">
        <w:rPr>
          <w:rFonts w:ascii="Arial" w:eastAsia="Calibri" w:hAnsi="Arial" w:cs="Arial"/>
          <w:color w:val="000000" w:themeColor="text1"/>
          <w:sz w:val="22"/>
          <w:szCs w:val="22"/>
          <w:lang w:val="es-ES_tradnl"/>
        </w:rPr>
        <w:t>mipymes</w:t>
      </w:r>
      <w:proofErr w:type="spellEnd"/>
      <w:r w:rsidRPr="00EB2ED0">
        <w:rPr>
          <w:rFonts w:ascii="Arial" w:eastAsia="Calibri" w:hAnsi="Arial" w:cs="Arial"/>
          <w:color w:val="000000" w:themeColor="text1"/>
          <w:sz w:val="22"/>
          <w:szCs w:val="22"/>
          <w:lang w:val="es-ES_tradnl"/>
        </w:rPr>
        <w:t xml:space="preserve">– disponga las particularidades del procedimiento contractual. Entonces, ese mandato, que debería cumplirse en el futuro, mal podría entenderse satisfecho con normas reglamentarias del pasado, como son las del Decreto 1082 de 2015. </w:t>
      </w:r>
      <w:r w:rsidRPr="00EB2ED0">
        <w:rPr>
          <w:rFonts w:ascii="Arial" w:eastAsia="Calibri" w:hAnsi="Arial" w:cs="Arial"/>
          <w:i/>
          <w:iCs/>
          <w:color w:val="000000" w:themeColor="text1"/>
          <w:sz w:val="22"/>
          <w:szCs w:val="22"/>
          <w:lang w:val="es-ES_tradnl"/>
        </w:rPr>
        <w:t>Por otra parte</w:t>
      </w:r>
      <w:r w:rsidRPr="00EB2ED0">
        <w:rPr>
          <w:rFonts w:ascii="Arial" w:eastAsia="Calibri" w:hAnsi="Arial" w:cs="Arial"/>
          <w:color w:val="000000" w:themeColor="text1"/>
          <w:sz w:val="22"/>
          <w:szCs w:val="22"/>
          <w:lang w:val="es-ES_tradnl"/>
        </w:rPr>
        <w:t xml:space="preserve">, los parágrafos 2 y 3 del numeral 5 del artículo 2 de la Ley 1150 de 2007 fueron modificados por el artículo 30 de la Ley 2069 de 2020, en lo que respecta a la posibilidad de contratar con </w:t>
      </w:r>
      <w:proofErr w:type="spellStart"/>
      <w:r w:rsidRPr="00EB2ED0">
        <w:rPr>
          <w:rFonts w:ascii="Arial" w:eastAsia="Calibri" w:hAnsi="Arial" w:cs="Arial"/>
          <w:color w:val="000000" w:themeColor="text1"/>
          <w:sz w:val="22"/>
          <w:szCs w:val="22"/>
          <w:lang w:val="es-ES_tradnl"/>
        </w:rPr>
        <w:t>mipymes</w:t>
      </w:r>
      <w:proofErr w:type="spellEnd"/>
      <w:r w:rsidRPr="00EB2ED0">
        <w:rPr>
          <w:rFonts w:ascii="Arial" w:eastAsia="Calibri" w:hAnsi="Arial" w:cs="Arial"/>
          <w:color w:val="000000" w:themeColor="text1"/>
          <w:sz w:val="22"/>
          <w:szCs w:val="22"/>
          <w:lang w:val="es-ES_tradnl"/>
        </w:rPr>
        <w:t xml:space="preserve"> y de aplicar el artículo 12 de la Ley 1150 de 2007. Tales cambios exigen una reglamentación distinta del mandato legal, aunque esto no obsta para la aplicación inmediata del artículo 30 de la Ley 2069 de 2020.</w:t>
      </w:r>
    </w:p>
    <w:p w14:paraId="5D5860A4" w14:textId="77777777" w:rsidR="0099308E" w:rsidRPr="00EB2ED0" w:rsidRDefault="0099308E" w:rsidP="00EB2ED0">
      <w:pPr>
        <w:spacing w:line="276" w:lineRule="auto"/>
        <w:jc w:val="both"/>
        <w:rPr>
          <w:rFonts w:ascii="Arial" w:eastAsia="Calibri" w:hAnsi="Arial" w:cs="Arial"/>
          <w:bCs/>
          <w:color w:val="000000" w:themeColor="text1"/>
          <w:sz w:val="22"/>
        </w:rPr>
      </w:pPr>
      <w:r w:rsidRPr="00EB2ED0">
        <w:rPr>
          <w:rFonts w:ascii="Arial" w:eastAsia="Calibri" w:hAnsi="Arial" w:cs="Arial"/>
          <w:color w:val="000000" w:themeColor="text1"/>
          <w:sz w:val="22"/>
          <w:szCs w:val="22"/>
          <w:lang w:val="es-ES_tradnl"/>
        </w:rPr>
        <w:tab/>
        <w:t xml:space="preserve">Esta argumentación sería coherente con lo explicado por esta Agencia a partir del </w:t>
      </w:r>
      <w:r w:rsidRPr="00EB2ED0">
        <w:rPr>
          <w:rFonts w:ascii="Arial" w:eastAsia="Calibri" w:hAnsi="Arial" w:cs="Arial"/>
          <w:bCs/>
          <w:sz w:val="22"/>
        </w:rPr>
        <w:t xml:space="preserve">Concepto C-043 del 9 de febrero de 2020, </w:t>
      </w:r>
      <w:r w:rsidRPr="00EB2ED0">
        <w:rPr>
          <w:rFonts w:ascii="Arial" w:eastAsia="Calibri" w:hAnsi="Arial" w:cs="Arial"/>
          <w:bCs/>
          <w:color w:val="000000" w:themeColor="text1"/>
          <w:sz w:val="22"/>
        </w:rPr>
        <w:t xml:space="preserve">en relación con las convocatorias limitadas a </w:t>
      </w:r>
      <w:proofErr w:type="spellStart"/>
      <w:r w:rsidRPr="00EB2ED0">
        <w:rPr>
          <w:rFonts w:ascii="Arial" w:eastAsia="Calibri" w:hAnsi="Arial" w:cs="Arial"/>
          <w:bCs/>
          <w:color w:val="000000" w:themeColor="text1"/>
          <w:sz w:val="22"/>
        </w:rPr>
        <w:lastRenderedPageBreak/>
        <w:t>mipymes</w:t>
      </w:r>
      <w:proofErr w:type="spellEnd"/>
      <w:r w:rsidRPr="00EB2ED0">
        <w:rPr>
          <w:rFonts w:ascii="Arial" w:eastAsia="Calibri" w:hAnsi="Arial" w:cs="Arial"/>
          <w:bCs/>
          <w:sz w:val="22"/>
        </w:rPr>
        <w:t xml:space="preserve">. Con las precisiones doctrinales posteriores, </w:t>
      </w:r>
      <w:r w:rsidRPr="00EB2ED0">
        <w:rPr>
          <w:rFonts w:ascii="Arial" w:eastAsia="Calibri" w:hAnsi="Arial" w:cs="Arial"/>
          <w:bCs/>
          <w:color w:val="000000" w:themeColor="text1"/>
          <w:sz w:val="22"/>
        </w:rPr>
        <w:t xml:space="preserve">además de la pérdida de fuerza ejecutoria de los artículos 2.2.1.2.4.2.2 y 2.2.1.2.4.2.3 del Decreto 1082 de 2015 por la desaparición de su fundamento de derecho, se advierte una manifiesta oposición entre dichos enunciados normativos y el nuevo contenido del artículo 12 de la Ley 1150 de 2007, modificado por el artículo 34 de la Ley 2069 de 2020. Ante esta contradicción, debe aplicarse la consecuencia jurídica prevista en el artículo 84 de la Ley 2069 de 2020, según la cual </w:t>
      </w:r>
      <w:proofErr w:type="spellStart"/>
      <w:r w:rsidRPr="00EB2ED0">
        <w:rPr>
          <w:rFonts w:ascii="Arial" w:eastAsia="Calibri" w:hAnsi="Arial" w:cs="Arial"/>
          <w:bCs/>
          <w:color w:val="000000" w:themeColor="text1"/>
          <w:sz w:val="22"/>
        </w:rPr>
        <w:t>esta</w:t>
      </w:r>
      <w:proofErr w:type="spellEnd"/>
      <w:r w:rsidRPr="00EB2ED0">
        <w:rPr>
          <w:rFonts w:ascii="Arial" w:eastAsia="Calibri" w:hAnsi="Arial" w:cs="Arial"/>
          <w:bCs/>
          <w:color w:val="000000" w:themeColor="text1"/>
          <w:sz w:val="22"/>
        </w:rPr>
        <w:t xml:space="preserve"> «deroga […] todas las disposiciones que le sean contrarias». Por ello, puede afirmarse que, además del decaimiento de los artículos 2.2.1.2.4.2.2 y 2.2.1.2.4.2.3 del Decreto 1082 de 2015, deben entenderse derogados. Al respecto, el concepto anteriormente citado precisa que:</w:t>
      </w:r>
    </w:p>
    <w:p w14:paraId="2280610D" w14:textId="77777777" w:rsidR="0099308E" w:rsidRPr="00EB2ED0" w:rsidRDefault="0099308E" w:rsidP="00EB2ED0">
      <w:pPr>
        <w:spacing w:line="276" w:lineRule="auto"/>
        <w:jc w:val="both"/>
        <w:rPr>
          <w:rFonts w:ascii="Arial" w:eastAsia="Calibri" w:hAnsi="Arial" w:cs="Arial"/>
          <w:bCs/>
          <w:color w:val="000000" w:themeColor="text1"/>
          <w:sz w:val="22"/>
        </w:rPr>
      </w:pPr>
      <w:r w:rsidRPr="00EB2ED0">
        <w:rPr>
          <w:rFonts w:ascii="Arial" w:eastAsia="Calibri" w:hAnsi="Arial" w:cs="Arial"/>
          <w:bCs/>
          <w:color w:val="000000" w:themeColor="text1"/>
          <w:sz w:val="22"/>
        </w:rPr>
        <w:t xml:space="preserve"> </w:t>
      </w:r>
    </w:p>
    <w:p w14:paraId="3217F1A9" w14:textId="77777777" w:rsidR="0099308E" w:rsidRPr="00EB2ED0" w:rsidRDefault="0099308E" w:rsidP="00EB2ED0">
      <w:pPr>
        <w:ind w:left="709" w:right="709"/>
        <w:jc w:val="both"/>
        <w:rPr>
          <w:rFonts w:ascii="Arial" w:eastAsia="Calibri" w:hAnsi="Arial" w:cs="Arial"/>
          <w:bCs/>
          <w:color w:val="000000" w:themeColor="text1"/>
          <w:sz w:val="21"/>
          <w:szCs w:val="21"/>
        </w:rPr>
      </w:pPr>
      <w:r w:rsidRPr="00EB2ED0">
        <w:rPr>
          <w:rFonts w:ascii="Arial" w:eastAsia="Calibri" w:hAnsi="Arial" w:cs="Arial"/>
          <w:bCs/>
          <w:color w:val="000000" w:themeColor="text1"/>
          <w:sz w:val="21"/>
          <w:szCs w:val="21"/>
        </w:rPr>
        <w:t xml:space="preserve">[…] el artículo 34, reiteradamente, señala que el gobierno nacional debe definir las condiciones para la aplicación de las reglas recientemente expedidas, que permitan llevar a cabo las convocatorias limitadas a </w:t>
      </w:r>
      <w:proofErr w:type="spellStart"/>
      <w:r w:rsidRPr="00EB2ED0">
        <w:rPr>
          <w:rFonts w:ascii="Arial" w:eastAsia="Calibri" w:hAnsi="Arial" w:cs="Arial"/>
          <w:bCs/>
          <w:color w:val="000000" w:themeColor="text1"/>
          <w:sz w:val="21"/>
          <w:szCs w:val="21"/>
        </w:rPr>
        <w:t>mipymes</w:t>
      </w:r>
      <w:proofErr w:type="spellEnd"/>
      <w:r w:rsidRPr="00EB2ED0">
        <w:rPr>
          <w:rFonts w:ascii="Arial" w:eastAsia="Calibri" w:hAnsi="Arial" w:cs="Arial"/>
          <w:bCs/>
          <w:color w:val="000000" w:themeColor="text1"/>
          <w:sz w:val="21"/>
          <w:szCs w:val="21"/>
        </w:rPr>
        <w:t xml:space="preserve">, lo cual demuestra la voluntad legislativa de establecer la necesidad de una nueva reglamentación de dicha materia. En tal sentido, el gobierno nacional podría, mediante el decreto reglamentario que expida, definir nuevas condiciones y montos para las convocatorias limitadas a </w:t>
      </w:r>
      <w:proofErr w:type="spellStart"/>
      <w:r w:rsidRPr="00EB2ED0">
        <w:rPr>
          <w:rFonts w:ascii="Arial" w:eastAsia="Calibri" w:hAnsi="Arial" w:cs="Arial"/>
          <w:bCs/>
          <w:color w:val="000000" w:themeColor="text1"/>
          <w:sz w:val="21"/>
          <w:szCs w:val="21"/>
        </w:rPr>
        <w:t>mipymes</w:t>
      </w:r>
      <w:proofErr w:type="spellEnd"/>
      <w:r w:rsidRPr="00EB2ED0">
        <w:rPr>
          <w:rFonts w:ascii="Arial" w:eastAsia="Calibri" w:hAnsi="Arial" w:cs="Arial"/>
          <w:bCs/>
          <w:color w:val="000000" w:themeColor="text1"/>
          <w:sz w:val="21"/>
          <w:szCs w:val="21"/>
        </w:rPr>
        <w:t xml:space="preserve">. Por ende, mientras ello no suceda, las entidades estatales, los patrimonios autónomos constituidos por estas y los particulares que ejecuten recursos públicos, no pueden adoptar convocatorias limitadas a </w:t>
      </w:r>
      <w:proofErr w:type="spellStart"/>
      <w:r w:rsidRPr="00EB2ED0">
        <w:rPr>
          <w:rFonts w:ascii="Arial" w:eastAsia="Calibri" w:hAnsi="Arial" w:cs="Arial"/>
          <w:bCs/>
          <w:color w:val="000000" w:themeColor="text1"/>
          <w:sz w:val="21"/>
          <w:szCs w:val="21"/>
        </w:rPr>
        <w:t>mipymes</w:t>
      </w:r>
      <w:proofErr w:type="spellEnd"/>
      <w:r w:rsidRPr="00EB2ED0">
        <w:rPr>
          <w:rFonts w:ascii="Arial" w:eastAsia="Calibri" w:hAnsi="Arial" w:cs="Arial"/>
          <w:bCs/>
          <w:color w:val="000000" w:themeColor="text1"/>
          <w:sz w:val="21"/>
          <w:szCs w:val="21"/>
        </w:rPr>
        <w:t>, pues al tenor del artículo 34 de la Ley 2069 de 2020, la eficacia de esta norma quedó condicionada a la expedición del decreto reglamentario que fije las condiciones de su operatividad.</w:t>
      </w:r>
    </w:p>
    <w:p w14:paraId="5B9EB43D" w14:textId="77777777" w:rsidR="0099308E" w:rsidRPr="00EB2ED0" w:rsidRDefault="0099308E" w:rsidP="00EB2ED0">
      <w:pPr>
        <w:spacing w:line="276" w:lineRule="auto"/>
        <w:ind w:left="709" w:right="709"/>
        <w:jc w:val="both"/>
        <w:rPr>
          <w:rFonts w:ascii="Arial" w:eastAsia="Calibri" w:hAnsi="Arial" w:cs="Arial"/>
          <w:bCs/>
          <w:color w:val="000000" w:themeColor="text1"/>
          <w:sz w:val="22"/>
        </w:rPr>
      </w:pPr>
    </w:p>
    <w:p w14:paraId="72756BD0" w14:textId="6E1EA28C" w:rsidR="0099308E" w:rsidRPr="00EB2ED0" w:rsidRDefault="0099308E" w:rsidP="00EB2ED0">
      <w:pPr>
        <w:spacing w:after="120" w:line="276" w:lineRule="auto"/>
        <w:jc w:val="both"/>
        <w:rPr>
          <w:rFonts w:ascii="Arial" w:eastAsia="Calibri" w:hAnsi="Arial" w:cs="Arial"/>
          <w:color w:val="000000" w:themeColor="text1"/>
          <w:sz w:val="22"/>
          <w:szCs w:val="22"/>
          <w:lang w:val="es-ES_tradnl"/>
        </w:rPr>
      </w:pPr>
      <w:r w:rsidRPr="00EB2ED0">
        <w:rPr>
          <w:rFonts w:ascii="Arial" w:eastAsia="Calibri" w:hAnsi="Arial" w:cs="Arial"/>
          <w:bCs/>
          <w:color w:val="000000" w:themeColor="text1"/>
          <w:sz w:val="22"/>
        </w:rPr>
        <w:tab/>
        <w:t xml:space="preserve">Aplicando analógicamente este razonamiento a la mínima cuantía, debería concluirse que, como </w:t>
      </w:r>
      <w:r w:rsidR="00972AB2" w:rsidRPr="00EB2ED0">
        <w:rPr>
          <w:rFonts w:ascii="Arial" w:eastAsia="Calibri" w:hAnsi="Arial" w:cs="Arial"/>
          <w:color w:val="000000" w:themeColor="text1"/>
          <w:sz w:val="22"/>
          <w:szCs w:val="22"/>
          <w:lang w:val="es-ES_tradnl"/>
        </w:rPr>
        <w:t>el artículo 2.2.1.2.1.5.2</w:t>
      </w:r>
      <w:r w:rsidRPr="00EB2ED0">
        <w:rPr>
          <w:rFonts w:ascii="Arial" w:eastAsia="Calibri" w:hAnsi="Arial" w:cs="Arial"/>
          <w:color w:val="000000" w:themeColor="text1"/>
          <w:sz w:val="22"/>
          <w:szCs w:val="22"/>
          <w:lang w:val="es-ES_tradnl"/>
        </w:rPr>
        <w:t xml:space="preserve"> del Decreto 1082 de 2015 reglamentaba el artículo 94 de la Ley 1474 de 2011, con el artículo 30 de la Ley 2069 de 2020 es necesaria una nueva reglamentación del parágrafo primero que defina las particularidades del procedimiento de selección. Esto en la medida que la norma citada del decreto reglamentario perdería</w:t>
      </w:r>
      <w:r w:rsidR="00E5158C" w:rsidRPr="00EB2ED0">
        <w:rPr>
          <w:rFonts w:ascii="Arial" w:eastAsia="Calibri" w:hAnsi="Arial" w:cs="Arial"/>
          <w:color w:val="000000" w:themeColor="text1"/>
          <w:sz w:val="22"/>
          <w:szCs w:val="22"/>
          <w:lang w:val="es-ES_tradnl"/>
        </w:rPr>
        <w:t xml:space="preserve"> </w:t>
      </w:r>
      <w:r w:rsidRPr="00EB2ED0">
        <w:rPr>
          <w:rFonts w:ascii="Arial" w:eastAsia="Calibri" w:hAnsi="Arial" w:cs="Arial"/>
          <w:color w:val="000000" w:themeColor="text1"/>
          <w:sz w:val="22"/>
          <w:szCs w:val="22"/>
          <w:lang w:val="es-ES_tradnl"/>
        </w:rPr>
        <w:t xml:space="preserve">su fundamento jurídico por la sustitución del contenido del numeral 5 del artículo 2 de la Ley 1150 de 2007. </w:t>
      </w:r>
    </w:p>
    <w:p w14:paraId="1DB5FABC" w14:textId="77777777" w:rsidR="0099308E" w:rsidRPr="00EB2ED0" w:rsidRDefault="0099308E" w:rsidP="00EB2ED0">
      <w:pPr>
        <w:tabs>
          <w:tab w:val="left" w:pos="709"/>
        </w:tabs>
        <w:spacing w:line="276" w:lineRule="auto"/>
        <w:jc w:val="both"/>
        <w:rPr>
          <w:rFonts w:ascii="Arial" w:eastAsia="Calibri" w:hAnsi="Arial" w:cs="Arial"/>
          <w:bCs/>
          <w:color w:val="000000" w:themeColor="text1"/>
          <w:sz w:val="22"/>
        </w:rPr>
      </w:pPr>
      <w:r w:rsidRPr="00EB2ED0">
        <w:rPr>
          <w:rFonts w:ascii="Arial" w:eastAsia="Calibri" w:hAnsi="Arial" w:cs="Arial"/>
          <w:color w:val="000000" w:themeColor="text1"/>
          <w:sz w:val="22"/>
          <w:szCs w:val="22"/>
          <w:lang w:val="es-ES_tradnl"/>
        </w:rPr>
        <w:tab/>
        <w:t xml:space="preserve">Aunque el argumento es plausible, para la Subdirección de Gestión Contractual las consideraciones relacionadas con la limitación a </w:t>
      </w:r>
      <w:proofErr w:type="spellStart"/>
      <w:r w:rsidRPr="00EB2ED0">
        <w:rPr>
          <w:rFonts w:ascii="Arial" w:eastAsia="Calibri" w:hAnsi="Arial" w:cs="Arial"/>
          <w:color w:val="000000" w:themeColor="text1"/>
          <w:sz w:val="22"/>
          <w:szCs w:val="22"/>
          <w:lang w:val="es-ES_tradnl"/>
        </w:rPr>
        <w:t>mipymes</w:t>
      </w:r>
      <w:proofErr w:type="spellEnd"/>
      <w:r w:rsidRPr="00EB2ED0">
        <w:rPr>
          <w:rFonts w:ascii="Arial" w:eastAsia="Calibri" w:hAnsi="Arial" w:cs="Arial"/>
          <w:color w:val="000000" w:themeColor="text1"/>
          <w:sz w:val="22"/>
          <w:szCs w:val="22"/>
          <w:lang w:val="es-ES_tradnl"/>
        </w:rPr>
        <w:t xml:space="preserve"> no son aplicables a la regulación de la mínima cuantía, ya que tienen un alcance diferente. E</w:t>
      </w:r>
      <w:r w:rsidRPr="00EB2ED0">
        <w:rPr>
          <w:rFonts w:ascii="Arial" w:eastAsia="Calibri" w:hAnsi="Arial" w:cs="Arial"/>
          <w:bCs/>
          <w:color w:val="000000" w:themeColor="text1"/>
          <w:sz w:val="22"/>
        </w:rPr>
        <w:t xml:space="preserve">l artículo 34 </w:t>
      </w:r>
      <w:r w:rsidRPr="00EB2ED0">
        <w:rPr>
          <w:rFonts w:ascii="Arial" w:eastAsia="Calibri" w:hAnsi="Arial" w:cs="Arial"/>
          <w:bCs/>
          <w:i/>
          <w:iCs/>
          <w:color w:val="000000" w:themeColor="text1"/>
          <w:sz w:val="22"/>
        </w:rPr>
        <w:t>ibidem</w:t>
      </w:r>
      <w:r w:rsidRPr="00EB2ED0">
        <w:rPr>
          <w:rFonts w:ascii="Arial" w:eastAsia="Calibri" w:hAnsi="Arial" w:cs="Arial"/>
          <w:bCs/>
          <w:color w:val="000000" w:themeColor="text1"/>
          <w:sz w:val="22"/>
        </w:rPr>
        <w:t xml:space="preserve"> modifica el artículo 12 de la Ley 1150 de 2007, el cual regula la promoción del desarrollo en la contratación pública. Inicialmente, la redacción de la Ley 1150 fue modificada por el artículo 32 de la Ley 1450 de 2011, pero esta última fue derogada con la expedición de la Ley de Emprendimiento. Al respecto, la norma dispone:   </w:t>
      </w:r>
    </w:p>
    <w:p w14:paraId="6960AEA0" w14:textId="77777777" w:rsidR="0099308E" w:rsidRPr="00EB2ED0" w:rsidRDefault="0099308E" w:rsidP="00EB2ED0">
      <w:pPr>
        <w:tabs>
          <w:tab w:val="left" w:pos="709"/>
        </w:tabs>
        <w:spacing w:line="276" w:lineRule="auto"/>
        <w:jc w:val="both"/>
        <w:rPr>
          <w:rFonts w:ascii="Arial" w:eastAsia="Calibri" w:hAnsi="Arial" w:cs="Arial"/>
          <w:bCs/>
          <w:color w:val="000000" w:themeColor="text1"/>
          <w:sz w:val="22"/>
        </w:rPr>
      </w:pPr>
    </w:p>
    <w:p w14:paraId="3D181009" w14:textId="77777777" w:rsidR="0099308E" w:rsidRPr="00EB2ED0" w:rsidRDefault="0099308E" w:rsidP="00EB2ED0">
      <w:pPr>
        <w:tabs>
          <w:tab w:val="left" w:pos="1276"/>
        </w:tabs>
        <w:ind w:left="709" w:right="709"/>
        <w:jc w:val="both"/>
        <w:rPr>
          <w:rFonts w:ascii="Arial" w:eastAsia="Calibri" w:hAnsi="Arial" w:cs="Arial"/>
          <w:bCs/>
          <w:color w:val="000000" w:themeColor="text1"/>
          <w:sz w:val="21"/>
          <w:szCs w:val="21"/>
        </w:rPr>
      </w:pPr>
      <w:r w:rsidRPr="00EB2ED0">
        <w:rPr>
          <w:rFonts w:ascii="Arial" w:eastAsia="Calibri" w:hAnsi="Arial" w:cs="Arial"/>
          <w:bCs/>
          <w:color w:val="000000" w:themeColor="text1"/>
          <w:sz w:val="21"/>
          <w:szCs w:val="21"/>
        </w:rPr>
        <w:t xml:space="preserve">De conformidad con lo dispuesto en los artículos 13, 333 y 334 de la Constitución Política, el Gobierno Nacional definirá las condiciones y los montos de acuerdo con los compromisos internacionales vigentes, para que, en desarrollo de los </w:t>
      </w:r>
      <w:r w:rsidRPr="00EB2ED0">
        <w:rPr>
          <w:rFonts w:ascii="Arial" w:eastAsia="Calibri" w:hAnsi="Arial" w:cs="Arial"/>
          <w:bCs/>
          <w:color w:val="000000" w:themeColor="text1"/>
          <w:sz w:val="21"/>
          <w:szCs w:val="21"/>
        </w:rPr>
        <w:lastRenderedPageBreak/>
        <w:t xml:space="preserve">Procesos de Contratación, las Entidades Estatales </w:t>
      </w:r>
      <w:r w:rsidRPr="00EB2ED0">
        <w:rPr>
          <w:rFonts w:ascii="Arial" w:eastAsia="Calibri" w:hAnsi="Arial" w:cs="Arial"/>
          <w:bCs/>
          <w:i/>
          <w:iCs/>
          <w:color w:val="000000" w:themeColor="text1"/>
          <w:sz w:val="21"/>
          <w:szCs w:val="21"/>
        </w:rPr>
        <w:t>indistintamente de su régimen de contratación, los patrimonios autónomos constituidos por Entidades Estatales y los particulares que ejecuten recursos públicos,</w:t>
      </w:r>
      <w:r w:rsidRPr="00EB2ED0">
        <w:rPr>
          <w:rFonts w:ascii="Arial" w:eastAsia="Calibri" w:hAnsi="Arial" w:cs="Arial"/>
          <w:bCs/>
          <w:color w:val="000000" w:themeColor="text1"/>
          <w:sz w:val="21"/>
          <w:szCs w:val="21"/>
        </w:rPr>
        <w:t xml:space="preserve"> adopten en beneficio de las </w:t>
      </w:r>
      <w:proofErr w:type="spellStart"/>
      <w:r w:rsidRPr="00EB2ED0">
        <w:rPr>
          <w:rFonts w:ascii="Arial" w:eastAsia="Calibri" w:hAnsi="Arial" w:cs="Arial"/>
          <w:bCs/>
          <w:color w:val="000000" w:themeColor="text1"/>
          <w:sz w:val="21"/>
          <w:szCs w:val="21"/>
        </w:rPr>
        <w:t>Mipyme</w:t>
      </w:r>
      <w:proofErr w:type="spellEnd"/>
      <w:r w:rsidRPr="00EB2ED0">
        <w:rPr>
          <w:rFonts w:ascii="Arial" w:eastAsia="Calibri" w:hAnsi="Arial" w:cs="Arial"/>
          <w:bCs/>
          <w:color w:val="000000" w:themeColor="text1"/>
          <w:sz w:val="21"/>
          <w:szCs w:val="21"/>
        </w:rPr>
        <w:t xml:space="preserve">, convocatorias limitadas a estas en las que, previo a la Resolución de apertura del proceso respectivo, se haya manifestado el interés </w:t>
      </w:r>
      <w:r w:rsidRPr="00EB2ED0">
        <w:rPr>
          <w:rFonts w:ascii="Arial" w:eastAsia="Calibri" w:hAnsi="Arial" w:cs="Arial"/>
          <w:bCs/>
          <w:i/>
          <w:iCs/>
          <w:color w:val="000000" w:themeColor="text1"/>
          <w:sz w:val="21"/>
          <w:szCs w:val="21"/>
        </w:rPr>
        <w:t xml:space="preserve">de por lo menos dos (2) </w:t>
      </w:r>
      <w:proofErr w:type="spellStart"/>
      <w:r w:rsidRPr="00EB2ED0">
        <w:rPr>
          <w:rFonts w:ascii="Arial" w:eastAsia="Calibri" w:hAnsi="Arial" w:cs="Arial"/>
          <w:bCs/>
          <w:i/>
          <w:iCs/>
          <w:color w:val="000000" w:themeColor="text1"/>
          <w:sz w:val="21"/>
          <w:szCs w:val="21"/>
        </w:rPr>
        <w:t>Mipyme</w:t>
      </w:r>
      <w:proofErr w:type="spellEnd"/>
      <w:r w:rsidRPr="00EB2ED0">
        <w:rPr>
          <w:rFonts w:ascii="Arial" w:eastAsia="Calibri" w:hAnsi="Arial" w:cs="Arial"/>
          <w:bCs/>
          <w:color w:val="000000" w:themeColor="text1"/>
          <w:sz w:val="21"/>
          <w:szCs w:val="21"/>
        </w:rPr>
        <w:t>.</w:t>
      </w:r>
    </w:p>
    <w:p w14:paraId="5F2BEFED" w14:textId="77777777" w:rsidR="0099308E" w:rsidRPr="00EB2ED0" w:rsidRDefault="0099308E" w:rsidP="00EB2ED0">
      <w:pPr>
        <w:tabs>
          <w:tab w:val="left" w:pos="1276"/>
        </w:tabs>
        <w:spacing w:before="120"/>
        <w:ind w:left="709" w:right="709"/>
        <w:jc w:val="both"/>
        <w:rPr>
          <w:rFonts w:ascii="Arial" w:eastAsia="Calibri" w:hAnsi="Arial" w:cs="Arial"/>
          <w:bCs/>
          <w:color w:val="000000" w:themeColor="text1"/>
          <w:sz w:val="21"/>
          <w:szCs w:val="21"/>
        </w:rPr>
      </w:pPr>
      <w:r w:rsidRPr="00EB2ED0">
        <w:rPr>
          <w:rFonts w:ascii="Arial" w:eastAsia="Calibri" w:hAnsi="Arial" w:cs="Arial"/>
          <w:bCs/>
          <w:color w:val="000000" w:themeColor="text1"/>
          <w:sz w:val="21"/>
          <w:szCs w:val="21"/>
        </w:rPr>
        <w:t xml:space="preserve">Asimismo, el reglamento podrá establecer condiciones preferenciales en favor de la oferta de bienes y servicios producidos por las </w:t>
      </w:r>
      <w:proofErr w:type="spellStart"/>
      <w:r w:rsidRPr="00EB2ED0">
        <w:rPr>
          <w:rFonts w:ascii="Arial" w:eastAsia="Calibri" w:hAnsi="Arial" w:cs="Arial"/>
          <w:bCs/>
          <w:color w:val="000000" w:themeColor="text1"/>
          <w:sz w:val="21"/>
          <w:szCs w:val="21"/>
        </w:rPr>
        <w:t>Mipyme</w:t>
      </w:r>
      <w:proofErr w:type="spellEnd"/>
      <w:r w:rsidRPr="00EB2ED0">
        <w:rPr>
          <w:rFonts w:ascii="Arial" w:eastAsia="Calibri" w:hAnsi="Arial" w:cs="Arial"/>
          <w:bCs/>
          <w:color w:val="000000" w:themeColor="text1"/>
          <w:sz w:val="21"/>
          <w:szCs w:val="21"/>
        </w:rPr>
        <w:t>, respetando los montos y las condiciones contenidas en los compromisos internacionales vigentes</w:t>
      </w:r>
      <w:r w:rsidRPr="00EB2ED0">
        <w:rPr>
          <w:rFonts w:ascii="Arial" w:eastAsia="Calibri" w:hAnsi="Arial" w:cs="Arial"/>
          <w:bCs/>
          <w:i/>
          <w:iCs/>
          <w:color w:val="000000" w:themeColor="text1"/>
          <w:sz w:val="21"/>
          <w:szCs w:val="21"/>
        </w:rPr>
        <w:t>, cuando sean aplicables</w:t>
      </w:r>
      <w:r w:rsidRPr="00EB2ED0">
        <w:rPr>
          <w:rFonts w:ascii="Arial" w:eastAsia="Calibri" w:hAnsi="Arial" w:cs="Arial"/>
          <w:bCs/>
          <w:color w:val="000000" w:themeColor="text1"/>
          <w:sz w:val="21"/>
          <w:szCs w:val="21"/>
        </w:rPr>
        <w:t>.</w:t>
      </w:r>
    </w:p>
    <w:p w14:paraId="33A03BF4" w14:textId="77777777" w:rsidR="0099308E" w:rsidRPr="00EB2ED0" w:rsidRDefault="0099308E" w:rsidP="00EB2ED0">
      <w:pPr>
        <w:tabs>
          <w:tab w:val="left" w:pos="1276"/>
        </w:tabs>
        <w:spacing w:before="120"/>
        <w:ind w:left="709" w:right="709"/>
        <w:jc w:val="both"/>
        <w:rPr>
          <w:rFonts w:ascii="Arial" w:eastAsia="Calibri" w:hAnsi="Arial" w:cs="Arial"/>
          <w:bCs/>
          <w:color w:val="000000" w:themeColor="text1"/>
          <w:sz w:val="21"/>
          <w:szCs w:val="21"/>
        </w:rPr>
      </w:pPr>
      <w:r w:rsidRPr="00EB2ED0">
        <w:rPr>
          <w:rFonts w:ascii="Arial" w:eastAsia="Calibri" w:hAnsi="Arial" w:cs="Arial"/>
          <w:bCs/>
          <w:color w:val="000000" w:themeColor="text1"/>
          <w:sz w:val="21"/>
          <w:szCs w:val="21"/>
        </w:rPr>
        <w:t>En todo caso, se deberá garantizar la satisfacción de las condiciones técnicas y económicas requeridas en el Proceso de Contratación</w:t>
      </w:r>
      <w:r w:rsidRPr="00EB2ED0">
        <w:rPr>
          <w:rStyle w:val="Refdenotaalpie"/>
          <w:rFonts w:ascii="Arial" w:eastAsia="Calibri" w:hAnsi="Arial" w:cs="Arial"/>
          <w:bCs/>
          <w:color w:val="000000" w:themeColor="text1"/>
          <w:sz w:val="21"/>
          <w:szCs w:val="21"/>
        </w:rPr>
        <w:footnoteReference w:id="22"/>
      </w:r>
      <w:r w:rsidRPr="00EB2ED0">
        <w:rPr>
          <w:rFonts w:ascii="Arial" w:eastAsia="Calibri" w:hAnsi="Arial" w:cs="Arial"/>
          <w:bCs/>
          <w:color w:val="000000" w:themeColor="text1"/>
          <w:sz w:val="21"/>
          <w:szCs w:val="21"/>
        </w:rPr>
        <w:t>. (Énfasis fuera de texto)</w:t>
      </w:r>
    </w:p>
    <w:p w14:paraId="2528C5DA" w14:textId="77777777" w:rsidR="0099308E" w:rsidRPr="00EB2ED0" w:rsidRDefault="0099308E" w:rsidP="00EB2ED0">
      <w:pPr>
        <w:tabs>
          <w:tab w:val="left" w:pos="1276"/>
        </w:tabs>
        <w:spacing w:line="276" w:lineRule="auto"/>
        <w:ind w:left="709" w:right="709"/>
        <w:jc w:val="both"/>
        <w:rPr>
          <w:rFonts w:ascii="Arial" w:eastAsia="Calibri" w:hAnsi="Arial" w:cs="Arial"/>
          <w:bCs/>
          <w:color w:val="000000" w:themeColor="text1"/>
          <w:sz w:val="22"/>
        </w:rPr>
      </w:pPr>
    </w:p>
    <w:p w14:paraId="283AF73E" w14:textId="77777777" w:rsidR="0099308E" w:rsidRPr="00EB2ED0" w:rsidRDefault="0099308E" w:rsidP="00EB2ED0">
      <w:pPr>
        <w:tabs>
          <w:tab w:val="left" w:pos="709"/>
        </w:tabs>
        <w:spacing w:after="120" w:line="276" w:lineRule="auto"/>
        <w:jc w:val="both"/>
        <w:rPr>
          <w:rFonts w:ascii="Arial" w:eastAsia="Calibri" w:hAnsi="Arial" w:cs="Arial"/>
          <w:bCs/>
          <w:color w:val="000000" w:themeColor="text1"/>
          <w:sz w:val="22"/>
        </w:rPr>
      </w:pPr>
      <w:r w:rsidRPr="00EB2ED0">
        <w:rPr>
          <w:rFonts w:ascii="Arial" w:eastAsia="Calibri" w:hAnsi="Arial" w:cs="Arial"/>
          <w:bCs/>
          <w:color w:val="000000" w:themeColor="text1"/>
          <w:sz w:val="22"/>
        </w:rPr>
        <w:tab/>
        <w:t xml:space="preserve">En contraste con la redacción de la Ley 1450 de 2011, la Ley de Emprendimiento amplía la limitación a </w:t>
      </w:r>
      <w:proofErr w:type="spellStart"/>
      <w:r w:rsidRPr="00EB2ED0">
        <w:rPr>
          <w:rFonts w:ascii="Arial" w:eastAsia="Calibri" w:hAnsi="Arial" w:cs="Arial"/>
          <w:bCs/>
          <w:color w:val="000000" w:themeColor="text1"/>
          <w:sz w:val="22"/>
        </w:rPr>
        <w:t>mipymes</w:t>
      </w:r>
      <w:proofErr w:type="spellEnd"/>
      <w:r w:rsidRPr="00EB2ED0">
        <w:rPr>
          <w:rFonts w:ascii="Arial" w:eastAsia="Calibri" w:hAnsi="Arial" w:cs="Arial"/>
          <w:bCs/>
          <w:color w:val="000000" w:themeColor="text1"/>
          <w:sz w:val="22"/>
        </w:rPr>
        <w:t xml:space="preserve"> de forma que ya no solo aplica en los procedimientos de selección de las entidades sometidas a la Ley 80 de 1993, sino que se extiende a la gestión contractual de las entidades exceptuadas, los patrimonios autónomos y los particulares que ejecuten recursos públicos. Incluso, la norma congela en el rango de ley el número de interesados que debe solicitar la limitación. </w:t>
      </w:r>
    </w:p>
    <w:p w14:paraId="792BBE17" w14:textId="60C26C09" w:rsidR="0099308E" w:rsidRPr="00EB2ED0" w:rsidRDefault="0099308E" w:rsidP="00EB2ED0">
      <w:pPr>
        <w:tabs>
          <w:tab w:val="left" w:pos="709"/>
        </w:tabs>
        <w:spacing w:after="120" w:line="276" w:lineRule="auto"/>
        <w:jc w:val="both"/>
        <w:rPr>
          <w:rFonts w:ascii="Arial" w:eastAsia="Calibri" w:hAnsi="Arial" w:cs="Arial"/>
          <w:bCs/>
          <w:color w:val="000000" w:themeColor="text1"/>
          <w:sz w:val="22"/>
        </w:rPr>
      </w:pPr>
      <w:r w:rsidRPr="00EB2ED0">
        <w:rPr>
          <w:rFonts w:ascii="Arial" w:eastAsia="Calibri" w:hAnsi="Arial" w:cs="Arial"/>
          <w:bCs/>
          <w:color w:val="000000" w:themeColor="text1"/>
          <w:sz w:val="22"/>
        </w:rPr>
        <w:tab/>
        <w:t xml:space="preserve">Además de que el artículo 34 de la Ley de Emprendimiento no es una norma de aplicación directa, contempla supuestos que no están previstos en el Decreto 1082 de 2015. Particularmente, conforme al artículo 2.2.1.2.4.2.2 </w:t>
      </w:r>
      <w:r w:rsidRPr="00EB2ED0">
        <w:rPr>
          <w:rFonts w:ascii="Arial" w:eastAsia="Calibri" w:hAnsi="Arial" w:cs="Arial"/>
          <w:bCs/>
          <w:i/>
          <w:iCs/>
          <w:color w:val="000000" w:themeColor="text1"/>
          <w:sz w:val="22"/>
        </w:rPr>
        <w:t>ibídem</w:t>
      </w:r>
      <w:r w:rsidRPr="00EB2ED0">
        <w:rPr>
          <w:rFonts w:ascii="Arial" w:eastAsia="Calibri" w:hAnsi="Arial" w:cs="Arial"/>
          <w:bCs/>
          <w:color w:val="000000" w:themeColor="text1"/>
          <w:sz w:val="22"/>
        </w:rPr>
        <w:t xml:space="preserve">, las convocatorias limitadas únicamente son obligatorias en la licitación pública, selección abreviada y concurso de méritos de las entidades sometidas a la Ley 80 de 1993, siempre que la entidad contratante reciba solicitudes de limitación de por lo menos tres (3) </w:t>
      </w:r>
      <w:proofErr w:type="spellStart"/>
      <w:r w:rsidRPr="00EB2ED0">
        <w:rPr>
          <w:rFonts w:ascii="Arial" w:eastAsia="Calibri" w:hAnsi="Arial" w:cs="Arial"/>
          <w:bCs/>
          <w:color w:val="000000" w:themeColor="text1"/>
          <w:sz w:val="22"/>
        </w:rPr>
        <w:t>mipyme</w:t>
      </w:r>
      <w:proofErr w:type="spellEnd"/>
      <w:r w:rsidRPr="00EB2ED0">
        <w:rPr>
          <w:rFonts w:ascii="Arial" w:eastAsia="Calibri" w:hAnsi="Arial" w:cs="Arial"/>
          <w:bCs/>
          <w:color w:val="000000" w:themeColor="text1"/>
          <w:sz w:val="22"/>
        </w:rPr>
        <w:t xml:space="preserve"> nacionales. Frente a este escenario, surge la necesidad de expedir una nueva reglamentación para las convocatorias limitadas que desarrolle los nuevos elementos previstos en la ley.</w:t>
      </w:r>
    </w:p>
    <w:p w14:paraId="1E287DE1" w14:textId="5383A67E" w:rsidR="0099308E" w:rsidRPr="00EB2ED0" w:rsidRDefault="0099308E" w:rsidP="00EB2ED0">
      <w:pPr>
        <w:tabs>
          <w:tab w:val="left" w:pos="709"/>
        </w:tabs>
        <w:spacing w:after="120" w:line="276" w:lineRule="auto"/>
        <w:jc w:val="both"/>
        <w:rPr>
          <w:rFonts w:ascii="Arial" w:eastAsia="Calibri" w:hAnsi="Arial" w:cs="Arial"/>
          <w:color w:val="000000" w:themeColor="text1"/>
          <w:sz w:val="22"/>
          <w:szCs w:val="22"/>
          <w:lang w:val="es-ES_tradnl"/>
        </w:rPr>
      </w:pPr>
      <w:r w:rsidRPr="00EB2ED0">
        <w:rPr>
          <w:rFonts w:ascii="Arial" w:eastAsia="Calibri" w:hAnsi="Arial" w:cs="Arial"/>
          <w:bCs/>
          <w:color w:val="000000" w:themeColor="text1"/>
          <w:sz w:val="22"/>
        </w:rPr>
        <w:lastRenderedPageBreak/>
        <w:tab/>
        <w:t>Por el contrario, el artículo 30 de la Ley 2069 de 2020 es directamente aplicable, pues –a diferencia de que sucedió en su momento con la selección abreviada– la mínima cuantía no requiere desarrollo reglamentario posterior para su vigencia. Aunque el parágrafo primero habilita el ejercicio de la potestad dispuesta en el artículo 189.11 superior, el grueso de</w:t>
      </w:r>
      <w:r w:rsidR="00511430" w:rsidRPr="00EB2ED0">
        <w:rPr>
          <w:rFonts w:ascii="Arial" w:eastAsia="Calibri" w:hAnsi="Arial" w:cs="Arial"/>
          <w:color w:val="000000" w:themeColor="text1"/>
          <w:sz w:val="22"/>
          <w:szCs w:val="22"/>
          <w:lang w:val="es-ES_tradnl"/>
        </w:rPr>
        <w:t>l artículo 2.2.1.2.1.5.2</w:t>
      </w:r>
      <w:r w:rsidRPr="00EB2ED0">
        <w:rPr>
          <w:rFonts w:ascii="Arial" w:eastAsia="Calibri" w:hAnsi="Arial" w:cs="Arial"/>
          <w:color w:val="000000" w:themeColor="text1"/>
          <w:sz w:val="22"/>
          <w:szCs w:val="22"/>
          <w:lang w:val="es-ES_tradnl"/>
        </w:rPr>
        <w:t xml:space="preserve"> del Decreto 1082 de 2015 es compatible con la norma vigente. Lo anterior considerando que, conforme a los parágrafos del artículo 30 de la Ley 2069 de 2020, el cambio consiste en la posibilidad de limitar a </w:t>
      </w:r>
      <w:proofErr w:type="spellStart"/>
      <w:r w:rsidRPr="00EB2ED0">
        <w:rPr>
          <w:rFonts w:ascii="Arial" w:eastAsia="Calibri" w:hAnsi="Arial" w:cs="Arial"/>
          <w:color w:val="000000" w:themeColor="text1"/>
          <w:sz w:val="22"/>
          <w:szCs w:val="22"/>
          <w:lang w:val="es-ES_tradnl"/>
        </w:rPr>
        <w:t>mypimes</w:t>
      </w:r>
      <w:proofErr w:type="spellEnd"/>
      <w:r w:rsidRPr="00EB2ED0">
        <w:rPr>
          <w:rFonts w:ascii="Arial" w:eastAsia="Calibri" w:hAnsi="Arial" w:cs="Arial"/>
          <w:color w:val="000000" w:themeColor="text1"/>
          <w:sz w:val="22"/>
          <w:szCs w:val="22"/>
          <w:lang w:val="es-ES_tradnl"/>
        </w:rPr>
        <w:t xml:space="preserve"> el procedimiento de selección. Esta materia corresponde al desarrollo reglamentario del artículo 34 </w:t>
      </w:r>
      <w:r w:rsidRPr="00EB2ED0">
        <w:rPr>
          <w:rFonts w:ascii="Arial" w:eastAsia="Calibri" w:hAnsi="Arial" w:cs="Arial"/>
          <w:i/>
          <w:iCs/>
          <w:color w:val="000000" w:themeColor="text1"/>
          <w:sz w:val="22"/>
          <w:szCs w:val="22"/>
          <w:lang w:val="es-ES_tradnl"/>
        </w:rPr>
        <w:t>ibídem</w:t>
      </w:r>
      <w:r w:rsidRPr="00EB2ED0">
        <w:rPr>
          <w:rFonts w:ascii="Arial" w:eastAsia="Calibri" w:hAnsi="Arial" w:cs="Arial"/>
          <w:color w:val="000000" w:themeColor="text1"/>
          <w:sz w:val="22"/>
          <w:szCs w:val="22"/>
          <w:lang w:val="es-ES_tradnl"/>
        </w:rPr>
        <w:t xml:space="preserve">, ya que –fuera del reducido margen de aplicación del artículo 2.2.1.2.4.2.2 del Decreto 1082 de 2015– las convocatorias limitadas son posibles en «[…] las Entidades Estatales indistintamente de su régimen de contratación, los patrimonios autónomos constituidos por Entidades Estatales y los particulares que ejecuten recursos públicos […]», sin distinguir entre procesos de contratación. </w:t>
      </w:r>
    </w:p>
    <w:p w14:paraId="1271EE98" w14:textId="77777777" w:rsidR="0099308E" w:rsidRPr="00EB2ED0" w:rsidRDefault="0099308E" w:rsidP="00EB2ED0">
      <w:pPr>
        <w:tabs>
          <w:tab w:val="left" w:pos="709"/>
        </w:tabs>
        <w:spacing w:after="120" w:line="276" w:lineRule="auto"/>
        <w:jc w:val="both"/>
        <w:rPr>
          <w:rFonts w:ascii="Arial" w:eastAsia="Calibri" w:hAnsi="Arial" w:cs="Arial"/>
          <w:color w:val="000000" w:themeColor="text1"/>
          <w:sz w:val="22"/>
          <w:szCs w:val="22"/>
          <w:lang w:val="es-ES_tradnl"/>
        </w:rPr>
      </w:pPr>
      <w:r w:rsidRPr="00EB2ED0">
        <w:rPr>
          <w:rFonts w:ascii="Arial" w:eastAsia="Calibri" w:hAnsi="Arial" w:cs="Arial"/>
          <w:color w:val="000000" w:themeColor="text1"/>
          <w:sz w:val="22"/>
          <w:szCs w:val="22"/>
          <w:lang w:val="es-ES_tradnl"/>
        </w:rPr>
        <w:tab/>
        <w:t xml:space="preserve">Por tanto, las diferencias entre el alcance de la mínima cuantía y de las convocatorias limitadas, impide aplicar por analogía las consideraciones realizadas por la Agencia a partir del </w:t>
      </w:r>
      <w:r w:rsidRPr="00EB2ED0">
        <w:rPr>
          <w:rFonts w:ascii="Arial" w:eastAsia="Calibri" w:hAnsi="Arial" w:cs="Arial"/>
          <w:bCs/>
          <w:sz w:val="22"/>
        </w:rPr>
        <w:t>Concepto C-043 del 9 de febrero de 2020 al artículo 30 de la Ley de Emprendimiento</w:t>
      </w:r>
      <w:r w:rsidRPr="00EB2ED0">
        <w:rPr>
          <w:rFonts w:ascii="Arial" w:eastAsia="Calibri" w:hAnsi="Arial" w:cs="Arial"/>
          <w:color w:val="000000" w:themeColor="text1"/>
          <w:sz w:val="22"/>
          <w:szCs w:val="22"/>
          <w:lang w:val="es-ES_tradnl"/>
        </w:rPr>
        <w:t xml:space="preserve">. En este caso no es posible sostener que la sustitución del contenido del numeral 5, del artículo 2 de la Ley 1150 de 2007 genera el decaimiento de los artículos 2.2.1.2.1.5.1 al 2.2.1.2.1.5.4 del Decreto 1082 de 2015, obligando a la expedición de un nuevo reglamento que detalle el procedimiento de selección. Lo anterior teniendo en cuenta </w:t>
      </w:r>
      <w:proofErr w:type="gramStart"/>
      <w:r w:rsidRPr="00EB2ED0">
        <w:rPr>
          <w:rFonts w:ascii="Arial" w:eastAsia="Calibri" w:hAnsi="Arial" w:cs="Arial"/>
          <w:color w:val="000000" w:themeColor="text1"/>
          <w:sz w:val="22"/>
          <w:szCs w:val="22"/>
          <w:lang w:val="es-ES_tradnl"/>
        </w:rPr>
        <w:t>que</w:t>
      </w:r>
      <w:proofErr w:type="gramEnd"/>
      <w:r w:rsidRPr="00EB2ED0">
        <w:rPr>
          <w:rFonts w:ascii="Arial" w:eastAsia="Calibri" w:hAnsi="Arial" w:cs="Arial"/>
          <w:color w:val="000000" w:themeColor="text1"/>
          <w:sz w:val="22"/>
          <w:szCs w:val="22"/>
          <w:lang w:val="es-ES_tradnl"/>
        </w:rPr>
        <w:t xml:space="preserve"> si bien existe un cambio formal en el fundamento jurídico, la doctrina considera que el decaimiento se produce –entre otras causas– por la «[…] derogación o modificación de la norma legal en que se fundó el acto administrativo, cuando dicha regla es condición indispensable para su vigencia […]»</w:t>
      </w:r>
      <w:r w:rsidRPr="00EB2ED0">
        <w:rPr>
          <w:rStyle w:val="Refdenotaalpie"/>
          <w:rFonts w:ascii="Arial" w:eastAsia="Calibri" w:hAnsi="Arial" w:cs="Arial"/>
          <w:color w:val="000000" w:themeColor="text1"/>
          <w:sz w:val="22"/>
          <w:szCs w:val="22"/>
          <w:lang w:val="es-ES_tradnl"/>
        </w:rPr>
        <w:footnoteReference w:id="23"/>
      </w:r>
      <w:r w:rsidRPr="00EB2ED0">
        <w:rPr>
          <w:rFonts w:ascii="Arial" w:eastAsia="Calibri" w:hAnsi="Arial" w:cs="Arial"/>
          <w:color w:val="000000" w:themeColor="text1"/>
          <w:sz w:val="22"/>
          <w:szCs w:val="22"/>
          <w:lang w:val="es-ES_tradnl"/>
        </w:rPr>
        <w:t xml:space="preserve">. </w:t>
      </w:r>
    </w:p>
    <w:p w14:paraId="37DAE621" w14:textId="77777777" w:rsidR="0099308E" w:rsidRPr="00EB2ED0" w:rsidRDefault="0099308E" w:rsidP="00EB2ED0">
      <w:pPr>
        <w:tabs>
          <w:tab w:val="left" w:pos="709"/>
        </w:tabs>
        <w:spacing w:after="120" w:line="276" w:lineRule="auto"/>
        <w:jc w:val="both"/>
        <w:rPr>
          <w:rFonts w:ascii="Arial" w:eastAsia="Calibri" w:hAnsi="Arial" w:cs="Arial"/>
          <w:color w:val="000000" w:themeColor="text1"/>
          <w:sz w:val="22"/>
          <w:szCs w:val="22"/>
          <w:lang w:val="es-ES_tradnl"/>
        </w:rPr>
      </w:pPr>
      <w:r w:rsidRPr="00EB2ED0">
        <w:rPr>
          <w:rFonts w:ascii="Arial" w:eastAsia="Calibri" w:hAnsi="Arial" w:cs="Arial"/>
          <w:color w:val="000000" w:themeColor="text1"/>
          <w:sz w:val="22"/>
          <w:szCs w:val="22"/>
          <w:lang w:val="es-ES_tradnl"/>
        </w:rPr>
        <w:tab/>
        <w:t xml:space="preserve">El decaimiento afecta los artículos </w:t>
      </w:r>
      <w:r w:rsidRPr="00EB2ED0">
        <w:rPr>
          <w:rFonts w:ascii="Arial" w:eastAsia="Calibri" w:hAnsi="Arial" w:cs="Arial"/>
          <w:bCs/>
          <w:color w:val="000000" w:themeColor="text1"/>
          <w:sz w:val="22"/>
        </w:rPr>
        <w:t xml:space="preserve">2.2.1.2.4.2.2 y 2.2.1.2.4.2.3 del Decreto 1082 de 2015 </w:t>
      </w:r>
      <w:r w:rsidRPr="00EB2ED0">
        <w:rPr>
          <w:rFonts w:ascii="Arial" w:eastAsia="Calibri" w:hAnsi="Arial" w:cs="Arial"/>
          <w:color w:val="000000" w:themeColor="text1"/>
          <w:sz w:val="22"/>
          <w:szCs w:val="22"/>
          <w:lang w:val="es-ES_tradnl"/>
        </w:rPr>
        <w:t xml:space="preserve">por la subrogación del artículo 32 de la Ley 1450 de 2011, el cual regulaba las convocatorias limitadas a </w:t>
      </w:r>
      <w:proofErr w:type="spellStart"/>
      <w:r w:rsidRPr="00EB2ED0">
        <w:rPr>
          <w:rFonts w:ascii="Arial" w:eastAsia="Calibri" w:hAnsi="Arial" w:cs="Arial"/>
          <w:color w:val="000000" w:themeColor="text1"/>
          <w:sz w:val="22"/>
          <w:szCs w:val="22"/>
          <w:lang w:val="es-ES_tradnl"/>
        </w:rPr>
        <w:t>mipymes</w:t>
      </w:r>
      <w:proofErr w:type="spellEnd"/>
      <w:r w:rsidRPr="00EB2ED0">
        <w:rPr>
          <w:rFonts w:ascii="Arial" w:eastAsia="Calibri" w:hAnsi="Arial" w:cs="Arial"/>
          <w:color w:val="000000" w:themeColor="text1"/>
          <w:sz w:val="22"/>
          <w:szCs w:val="22"/>
          <w:lang w:val="es-ES_tradnl"/>
        </w:rPr>
        <w:t xml:space="preserve">. En este caso, desaparece el fundamento jurídico de las normas citadas del Decreto Único Reglamentario del Sector Administrativo de Planeación Nacional, ya que el artículo 34 de la Ley de Emprendimiento introduce modificaciones sustanciales a la materia como se explicó </w:t>
      </w:r>
      <w:r w:rsidRPr="00EB2ED0">
        <w:rPr>
          <w:rFonts w:ascii="Arial" w:eastAsia="Calibri" w:hAnsi="Arial" w:cs="Arial"/>
          <w:i/>
          <w:iCs/>
          <w:color w:val="000000" w:themeColor="text1"/>
          <w:sz w:val="22"/>
          <w:szCs w:val="22"/>
          <w:lang w:val="es-ES_tradnl"/>
        </w:rPr>
        <w:t>ut supra</w:t>
      </w:r>
      <w:r w:rsidRPr="00EB2ED0">
        <w:rPr>
          <w:rFonts w:ascii="Arial" w:eastAsia="Calibri" w:hAnsi="Arial" w:cs="Arial"/>
          <w:color w:val="000000" w:themeColor="text1"/>
          <w:sz w:val="22"/>
          <w:szCs w:val="22"/>
          <w:lang w:val="es-ES_tradnl"/>
        </w:rPr>
        <w:t xml:space="preserve">, por lo que es necesario que un nuevo reglamento defina las reglas de las convocatorias limitadas como una condición para su exigibilidad en los procedimientos contractuales. </w:t>
      </w:r>
    </w:p>
    <w:p w14:paraId="63BB6092" w14:textId="77777777" w:rsidR="0099308E" w:rsidRPr="00EB2ED0" w:rsidRDefault="0099308E" w:rsidP="00EB2ED0">
      <w:pPr>
        <w:tabs>
          <w:tab w:val="left" w:pos="709"/>
        </w:tabs>
        <w:spacing w:after="120" w:line="276" w:lineRule="auto"/>
        <w:jc w:val="both"/>
        <w:rPr>
          <w:rFonts w:ascii="Arial" w:eastAsia="Calibri" w:hAnsi="Arial" w:cs="Arial"/>
          <w:color w:val="000000" w:themeColor="text1"/>
          <w:sz w:val="22"/>
          <w:szCs w:val="22"/>
          <w:lang w:val="es-ES_tradnl"/>
        </w:rPr>
      </w:pPr>
      <w:r w:rsidRPr="00EB2ED0">
        <w:rPr>
          <w:rFonts w:ascii="Arial" w:eastAsia="Calibri" w:hAnsi="Arial" w:cs="Arial"/>
          <w:color w:val="000000" w:themeColor="text1"/>
          <w:sz w:val="22"/>
          <w:szCs w:val="22"/>
          <w:lang w:val="es-ES_tradnl"/>
        </w:rPr>
        <w:tab/>
        <w:t xml:space="preserve">Lo mismo no sucede con la regulación de la mínima cuantía en el Decreto 1082 de 2015. </w:t>
      </w:r>
      <w:bookmarkStart w:id="18" w:name="_Hlk69487065"/>
      <w:bookmarkStart w:id="19" w:name="_Hlk69487402"/>
      <w:r w:rsidRPr="00EB2ED0">
        <w:rPr>
          <w:rFonts w:ascii="Arial" w:eastAsia="Calibri" w:hAnsi="Arial" w:cs="Arial"/>
          <w:color w:val="000000" w:themeColor="text1"/>
          <w:sz w:val="22"/>
          <w:szCs w:val="22"/>
          <w:lang w:val="es-ES_tradnl"/>
        </w:rPr>
        <w:t xml:space="preserve">Aunque el artículo 30 de la Ley de Emprendimiento subroga el contenido del numeral 5 del artículo 2 de la Ley 1150 de 2007, ambas disposiciones son de aplicación directa. </w:t>
      </w:r>
      <w:r w:rsidRPr="00EB2ED0">
        <w:rPr>
          <w:rFonts w:ascii="Arial" w:eastAsia="Calibri" w:hAnsi="Arial" w:cs="Arial"/>
          <w:color w:val="000000" w:themeColor="text1"/>
          <w:sz w:val="22"/>
          <w:szCs w:val="22"/>
          <w:lang w:val="es-ES_tradnl"/>
        </w:rPr>
        <w:lastRenderedPageBreak/>
        <w:t xml:space="preserve">Adicionalmente, pese a que la Ley de Emprendimiento permite las convocatorias limitadas a la </w:t>
      </w:r>
      <w:proofErr w:type="spellStart"/>
      <w:r w:rsidRPr="00EB2ED0">
        <w:rPr>
          <w:rFonts w:ascii="Arial" w:eastAsia="Calibri" w:hAnsi="Arial" w:cs="Arial"/>
          <w:color w:val="000000" w:themeColor="text1"/>
          <w:sz w:val="22"/>
          <w:szCs w:val="22"/>
          <w:lang w:val="es-ES_tradnl"/>
        </w:rPr>
        <w:t>mypimes</w:t>
      </w:r>
      <w:proofErr w:type="spellEnd"/>
      <w:r w:rsidRPr="00EB2ED0">
        <w:rPr>
          <w:rFonts w:ascii="Arial" w:eastAsia="Calibri" w:hAnsi="Arial" w:cs="Arial"/>
          <w:color w:val="000000" w:themeColor="text1"/>
          <w:sz w:val="22"/>
          <w:szCs w:val="22"/>
          <w:lang w:val="es-ES_tradnl"/>
        </w:rPr>
        <w:t xml:space="preserve"> en la mínima cuantía, el desarrollo reglamentario de este tema hace parte del artículo 34 </w:t>
      </w:r>
      <w:r w:rsidRPr="00EB2ED0">
        <w:rPr>
          <w:rFonts w:ascii="Arial" w:eastAsia="Calibri" w:hAnsi="Arial" w:cs="Arial"/>
          <w:i/>
          <w:iCs/>
          <w:color w:val="000000" w:themeColor="text1"/>
          <w:sz w:val="22"/>
          <w:szCs w:val="22"/>
          <w:lang w:val="es-ES_tradnl"/>
        </w:rPr>
        <w:t>ibídem</w:t>
      </w:r>
      <w:r w:rsidRPr="00EB2ED0">
        <w:rPr>
          <w:rFonts w:ascii="Arial" w:eastAsia="Calibri" w:hAnsi="Arial" w:cs="Arial"/>
          <w:color w:val="000000" w:themeColor="text1"/>
          <w:sz w:val="22"/>
          <w:szCs w:val="22"/>
          <w:lang w:val="es-ES_tradnl"/>
        </w:rPr>
        <w:t xml:space="preserve">. </w:t>
      </w:r>
      <w:bookmarkEnd w:id="18"/>
    </w:p>
    <w:p w14:paraId="2674A00D" w14:textId="56B18F0B" w:rsidR="0099308E" w:rsidRPr="00EB2ED0" w:rsidRDefault="0099308E" w:rsidP="00EB2ED0">
      <w:pPr>
        <w:tabs>
          <w:tab w:val="left" w:pos="709"/>
        </w:tabs>
        <w:spacing w:line="276" w:lineRule="auto"/>
        <w:jc w:val="both"/>
        <w:rPr>
          <w:rFonts w:ascii="Arial" w:eastAsia="Calibri" w:hAnsi="Arial" w:cs="Arial"/>
          <w:color w:val="000000" w:themeColor="text1"/>
          <w:sz w:val="22"/>
          <w:szCs w:val="22"/>
          <w:lang w:val="es-ES_tradnl"/>
        </w:rPr>
      </w:pPr>
      <w:r w:rsidRPr="00EB2ED0">
        <w:rPr>
          <w:rFonts w:ascii="Arial" w:eastAsia="Calibri" w:hAnsi="Arial" w:cs="Arial"/>
          <w:color w:val="000000" w:themeColor="text1"/>
          <w:sz w:val="22"/>
          <w:szCs w:val="22"/>
          <w:lang w:val="es-ES_tradnl"/>
        </w:rPr>
        <w:tab/>
      </w:r>
      <w:r w:rsidRPr="00EB2ED0">
        <w:rPr>
          <w:rFonts w:ascii="Arial" w:eastAsia="Calibri" w:hAnsi="Arial" w:cs="Arial"/>
          <w:bCs/>
          <w:color w:val="000000" w:themeColor="text1"/>
          <w:sz w:val="22"/>
          <w:szCs w:val="22"/>
          <w:lang w:val="es-ES_tradnl"/>
        </w:rPr>
        <w:t xml:space="preserve">Para permitir la adquisición a </w:t>
      </w:r>
      <w:proofErr w:type="spellStart"/>
      <w:r w:rsidRPr="00EB2ED0">
        <w:rPr>
          <w:rFonts w:ascii="Arial" w:eastAsia="Calibri" w:hAnsi="Arial" w:cs="Arial"/>
          <w:bCs/>
          <w:color w:val="000000" w:themeColor="text1"/>
          <w:sz w:val="22"/>
          <w:szCs w:val="22"/>
          <w:lang w:val="es-ES_tradnl"/>
        </w:rPr>
        <w:t>mipymes</w:t>
      </w:r>
      <w:proofErr w:type="spellEnd"/>
      <w:r w:rsidRPr="00EB2ED0">
        <w:rPr>
          <w:rFonts w:ascii="Arial" w:eastAsia="Calibri" w:hAnsi="Arial" w:cs="Arial"/>
          <w:bCs/>
          <w:color w:val="000000" w:themeColor="text1"/>
          <w:sz w:val="22"/>
          <w:szCs w:val="22"/>
          <w:lang w:val="es-ES_tradnl"/>
        </w:rPr>
        <w:t xml:space="preserve"> y la aplicación del artículo 12 de la Ley 1150 de 2007, </w:t>
      </w:r>
      <w:r w:rsidRPr="00EB2ED0">
        <w:rPr>
          <w:rFonts w:ascii="Arial" w:eastAsia="Calibri" w:hAnsi="Arial" w:cs="Arial"/>
          <w:color w:val="000000" w:themeColor="text1"/>
          <w:sz w:val="22"/>
          <w:szCs w:val="22"/>
          <w:lang w:val="es-ES_tradnl"/>
        </w:rPr>
        <w:t>la Ley de Emprendimiento pudo modificar únicamente los parágrafos 1 y 2 d</w:t>
      </w:r>
      <w:r w:rsidRPr="00EB2ED0">
        <w:rPr>
          <w:rFonts w:ascii="Arial" w:eastAsia="Calibri" w:hAnsi="Arial" w:cs="Arial"/>
          <w:bCs/>
          <w:color w:val="000000" w:themeColor="text1"/>
          <w:sz w:val="22"/>
          <w:szCs w:val="22"/>
          <w:lang w:val="es-ES_tradnl"/>
        </w:rPr>
        <w:t xml:space="preserve">el artículo 94 de la Ley 1474 de 2011. Pese a que el artículo 30 de la Ley 2069 de 2020 optó por sustituir integralmente la regulación anterior, </w:t>
      </w:r>
      <w:bookmarkStart w:id="20" w:name="_Hlk69572931"/>
      <w:r w:rsidRPr="00EB2ED0">
        <w:rPr>
          <w:rFonts w:ascii="Arial" w:eastAsia="Calibri" w:hAnsi="Arial" w:cs="Arial"/>
          <w:bCs/>
          <w:color w:val="000000" w:themeColor="text1"/>
          <w:sz w:val="22"/>
          <w:szCs w:val="22"/>
          <w:lang w:val="es-ES_tradnl"/>
        </w:rPr>
        <w:t>se observa que materialmente no existe una derogación de la mínima cuantía ni una modificación sustancial que incida en el procedimiento, por lo que no desaparece el fundamento jurídico de las normas reglamentarias que lo desarrollan</w:t>
      </w:r>
      <w:bookmarkEnd w:id="20"/>
      <w:r w:rsidRPr="00EB2ED0">
        <w:rPr>
          <w:rFonts w:ascii="Arial" w:eastAsia="Calibri" w:hAnsi="Arial" w:cs="Arial"/>
          <w:bCs/>
          <w:color w:val="000000" w:themeColor="text1"/>
          <w:sz w:val="22"/>
          <w:szCs w:val="22"/>
          <w:lang w:val="es-ES_tradnl"/>
        </w:rPr>
        <w:t xml:space="preserve">. En esta medida, </w:t>
      </w:r>
      <w:r w:rsidR="002E4526" w:rsidRPr="00EB2ED0">
        <w:rPr>
          <w:rFonts w:ascii="Arial" w:eastAsia="Calibri" w:hAnsi="Arial" w:cs="Arial"/>
          <w:bCs/>
          <w:color w:val="000000" w:themeColor="text1"/>
          <w:sz w:val="22"/>
          <w:szCs w:val="22"/>
          <w:lang w:val="es-ES_tradnl"/>
        </w:rPr>
        <w:t xml:space="preserve">sin perjuicio de lo que se explicará en el apartado siguiente </w:t>
      </w:r>
      <w:r w:rsidR="005B52B0" w:rsidRPr="00EB2ED0">
        <w:rPr>
          <w:rFonts w:ascii="Arial" w:eastAsia="Calibri" w:hAnsi="Arial" w:cs="Arial"/>
          <w:bCs/>
          <w:color w:val="000000" w:themeColor="text1"/>
          <w:sz w:val="22"/>
          <w:szCs w:val="22"/>
          <w:lang w:val="es-ES_tradnl"/>
        </w:rPr>
        <w:t xml:space="preserve">sobre el decaimiento del factor de desempate previsto en el numeral 7, </w:t>
      </w:r>
      <w:r w:rsidR="00000CFD" w:rsidRPr="00EB2ED0">
        <w:rPr>
          <w:rFonts w:ascii="Arial" w:eastAsia="Calibri" w:hAnsi="Arial" w:cs="Arial"/>
          <w:bCs/>
          <w:color w:val="000000" w:themeColor="text1"/>
          <w:sz w:val="22"/>
          <w:szCs w:val="22"/>
          <w:lang w:val="es-ES_tradnl"/>
        </w:rPr>
        <w:t xml:space="preserve">sigue vigente </w:t>
      </w:r>
      <w:r w:rsidR="00252FE3" w:rsidRPr="00EB2ED0">
        <w:rPr>
          <w:rFonts w:ascii="Arial" w:eastAsia="Calibri" w:hAnsi="Arial" w:cs="Arial"/>
          <w:color w:val="000000" w:themeColor="text1"/>
          <w:sz w:val="22"/>
          <w:szCs w:val="22"/>
          <w:lang w:val="es-ES_tradnl"/>
        </w:rPr>
        <w:t>el artículo 2.2.1.2.1.5.2</w:t>
      </w:r>
      <w:r w:rsidRPr="00EB2ED0">
        <w:rPr>
          <w:rFonts w:ascii="Arial" w:eastAsia="Calibri" w:hAnsi="Arial" w:cs="Arial"/>
          <w:color w:val="000000" w:themeColor="text1"/>
          <w:sz w:val="22"/>
          <w:szCs w:val="22"/>
          <w:lang w:val="es-ES_tradnl"/>
        </w:rPr>
        <w:t xml:space="preserve"> del Decreto Único Reglamentario del Sector Administrativo de Planeación Nacional. </w:t>
      </w:r>
      <w:bookmarkEnd w:id="19"/>
    </w:p>
    <w:p w14:paraId="47543921" w14:textId="77777777" w:rsidR="00FA4B97" w:rsidRPr="00EB2ED0" w:rsidRDefault="00FA4B97" w:rsidP="00EB2ED0">
      <w:pPr>
        <w:pStyle w:val="NormalWeb"/>
        <w:spacing w:before="0" w:beforeAutospacing="0" w:after="0" w:afterAutospacing="0" w:line="276" w:lineRule="auto"/>
        <w:jc w:val="both"/>
        <w:rPr>
          <w:rFonts w:ascii="Arial" w:eastAsia="Calibri" w:hAnsi="Arial" w:cs="Arial"/>
          <w:b/>
          <w:bCs/>
          <w:sz w:val="22"/>
          <w:szCs w:val="22"/>
          <w:lang w:val="es-ES_tradnl"/>
        </w:rPr>
      </w:pPr>
    </w:p>
    <w:p w14:paraId="0B4D89AB" w14:textId="7B295F5C" w:rsidR="00DF071C" w:rsidRPr="00EB2ED0" w:rsidRDefault="00DF071C" w:rsidP="00EB2ED0">
      <w:pPr>
        <w:pStyle w:val="NormalWeb"/>
        <w:spacing w:before="0" w:beforeAutospacing="0" w:after="0" w:afterAutospacing="0" w:line="276" w:lineRule="auto"/>
        <w:jc w:val="both"/>
        <w:rPr>
          <w:rFonts w:ascii="Arial" w:eastAsia="Calibri" w:hAnsi="Arial" w:cs="Arial"/>
          <w:sz w:val="22"/>
          <w:szCs w:val="22"/>
          <w:lang w:val="es-ES_tradnl"/>
        </w:rPr>
      </w:pPr>
      <w:r w:rsidRPr="00EB2ED0">
        <w:rPr>
          <w:rFonts w:ascii="Arial" w:eastAsia="Calibri" w:hAnsi="Arial" w:cs="Arial"/>
          <w:b/>
          <w:bCs/>
          <w:sz w:val="22"/>
          <w:szCs w:val="22"/>
          <w:lang w:val="es-ES_tradnl"/>
        </w:rPr>
        <w:t>2.4.</w:t>
      </w:r>
      <w:r w:rsidR="004B3152" w:rsidRPr="00EB2ED0">
        <w:rPr>
          <w:rFonts w:ascii="Arial" w:eastAsia="Calibri" w:hAnsi="Arial" w:cs="Arial"/>
          <w:sz w:val="22"/>
          <w:szCs w:val="22"/>
          <w:lang w:val="es-ES_tradnl"/>
        </w:rPr>
        <w:t xml:space="preserve"> </w:t>
      </w:r>
      <w:r w:rsidR="00F64CE7" w:rsidRPr="00EB2ED0">
        <w:rPr>
          <w:rFonts w:ascii="Arial" w:eastAsia="Calibri" w:hAnsi="Arial" w:cs="Arial"/>
          <w:b/>
          <w:bCs/>
          <w:sz w:val="22"/>
          <w:szCs w:val="22"/>
          <w:lang w:val="es-ES_tradnl"/>
        </w:rPr>
        <w:t xml:space="preserve">Aplicabilidad de los factores de desempate del artículo 35 de la Ley 2069 de 2015 al </w:t>
      </w:r>
      <w:r w:rsidR="00FA4B97" w:rsidRPr="00EB2ED0">
        <w:rPr>
          <w:rFonts w:ascii="Arial" w:eastAsia="Calibri" w:hAnsi="Arial" w:cs="Arial"/>
          <w:b/>
          <w:bCs/>
          <w:sz w:val="22"/>
          <w:szCs w:val="22"/>
          <w:lang w:val="es-ES_tradnl"/>
        </w:rPr>
        <w:t>procedimiento de mínima cuantía</w:t>
      </w:r>
      <w:r w:rsidR="000332E1" w:rsidRPr="00EB2ED0">
        <w:rPr>
          <w:rFonts w:ascii="Arial" w:eastAsia="Calibri" w:hAnsi="Arial" w:cs="Arial"/>
          <w:b/>
          <w:bCs/>
          <w:sz w:val="22"/>
          <w:szCs w:val="22"/>
          <w:lang w:val="es-ES_tradnl"/>
        </w:rPr>
        <w:t>:</w:t>
      </w:r>
      <w:r w:rsidR="005502B3" w:rsidRPr="00EB2ED0">
        <w:rPr>
          <w:rFonts w:ascii="Arial" w:eastAsia="Calibri" w:hAnsi="Arial" w:cs="Arial"/>
          <w:b/>
          <w:bCs/>
          <w:sz w:val="22"/>
          <w:szCs w:val="22"/>
          <w:lang w:val="es-ES_tradnl"/>
        </w:rPr>
        <w:t xml:space="preserve"> </w:t>
      </w:r>
      <w:r w:rsidR="000332E1" w:rsidRPr="00EB2ED0">
        <w:rPr>
          <w:rFonts w:ascii="Arial" w:eastAsia="Calibri" w:hAnsi="Arial" w:cs="Arial"/>
          <w:b/>
          <w:bCs/>
          <w:sz w:val="22"/>
          <w:szCs w:val="22"/>
          <w:lang w:val="es-ES_tradnl"/>
        </w:rPr>
        <w:t>d</w:t>
      </w:r>
      <w:r w:rsidR="005502B3" w:rsidRPr="00EB2ED0">
        <w:rPr>
          <w:rFonts w:ascii="Arial" w:eastAsia="Calibri" w:hAnsi="Arial" w:cs="Arial"/>
          <w:b/>
          <w:bCs/>
          <w:sz w:val="22"/>
          <w:szCs w:val="22"/>
          <w:lang w:val="es-ES_tradnl"/>
        </w:rPr>
        <w:t>erogatoria y decaimiento del</w:t>
      </w:r>
      <w:r w:rsidR="000332E1" w:rsidRPr="00EB2ED0">
        <w:rPr>
          <w:rFonts w:ascii="Arial" w:eastAsia="Calibri" w:hAnsi="Arial" w:cs="Arial"/>
          <w:b/>
          <w:bCs/>
          <w:sz w:val="22"/>
          <w:szCs w:val="22"/>
          <w:lang w:val="es-ES_tradnl"/>
        </w:rPr>
        <w:t xml:space="preserve"> </w:t>
      </w:r>
      <w:bookmarkStart w:id="21" w:name="_Hlk69751936"/>
      <w:r w:rsidR="000332E1" w:rsidRPr="00EB2ED0">
        <w:rPr>
          <w:rFonts w:ascii="Arial" w:eastAsia="Calibri" w:hAnsi="Arial" w:cs="Arial"/>
          <w:b/>
          <w:bCs/>
          <w:sz w:val="22"/>
          <w:szCs w:val="22"/>
          <w:lang w:val="es-ES_tradnl"/>
        </w:rPr>
        <w:t>numeral 7 del</w:t>
      </w:r>
      <w:r w:rsidR="005502B3" w:rsidRPr="00EB2ED0">
        <w:rPr>
          <w:rFonts w:ascii="Arial" w:eastAsia="Calibri" w:hAnsi="Arial" w:cs="Arial"/>
          <w:b/>
          <w:bCs/>
          <w:sz w:val="22"/>
          <w:szCs w:val="22"/>
          <w:lang w:val="es-ES_tradnl"/>
        </w:rPr>
        <w:t xml:space="preserve"> artículo 2.2.1.2.1.5.2 del Decreto 1082 de 2015</w:t>
      </w:r>
      <w:bookmarkEnd w:id="21"/>
    </w:p>
    <w:p w14:paraId="3ED00351" w14:textId="7B8ECDBB" w:rsidR="00682314" w:rsidRPr="00EB2ED0" w:rsidRDefault="00682314" w:rsidP="00EB2ED0">
      <w:pPr>
        <w:pStyle w:val="NormalWeb"/>
        <w:spacing w:before="0" w:beforeAutospacing="0" w:after="0" w:afterAutospacing="0" w:line="276" w:lineRule="auto"/>
        <w:jc w:val="both"/>
        <w:rPr>
          <w:rFonts w:ascii="Arial" w:eastAsia="Calibri" w:hAnsi="Arial" w:cs="Arial"/>
          <w:sz w:val="22"/>
          <w:szCs w:val="22"/>
          <w:lang w:val="es-ES_tradnl"/>
        </w:rPr>
      </w:pPr>
    </w:p>
    <w:p w14:paraId="6341A596" w14:textId="7D3EE3FA" w:rsidR="00A62B6D" w:rsidRPr="00EB2ED0" w:rsidRDefault="000C1D5C" w:rsidP="00EB2ED0">
      <w:pPr>
        <w:pStyle w:val="NormalWeb"/>
        <w:spacing w:before="0" w:beforeAutospacing="0" w:after="120" w:afterAutospacing="0" w:line="276" w:lineRule="auto"/>
        <w:jc w:val="both"/>
        <w:rPr>
          <w:rFonts w:ascii="Arial" w:eastAsia="Calibri" w:hAnsi="Arial" w:cs="Arial"/>
          <w:sz w:val="22"/>
          <w:szCs w:val="22"/>
          <w:lang w:val="es-ES_tradnl"/>
        </w:rPr>
      </w:pPr>
      <w:r w:rsidRPr="00EB2ED0">
        <w:rPr>
          <w:rFonts w:ascii="Arial" w:eastAsia="Calibri" w:hAnsi="Arial" w:cs="Arial"/>
          <w:sz w:val="22"/>
          <w:szCs w:val="22"/>
          <w:lang w:val="es-ES_tradnl"/>
        </w:rPr>
        <w:t xml:space="preserve">El numeral 7 del artículo 2.2.1.2.1.5.2 del Decreto 1082 de 2015 consagra un criterio de desempate especial para la modalidad de selección de mínima cuantía, </w:t>
      </w:r>
      <w:r w:rsidR="001E2452" w:rsidRPr="00EB2ED0">
        <w:rPr>
          <w:rFonts w:ascii="Arial" w:eastAsia="Calibri" w:hAnsi="Arial" w:cs="Arial"/>
          <w:sz w:val="22"/>
          <w:szCs w:val="22"/>
          <w:lang w:val="es-ES_tradnl"/>
        </w:rPr>
        <w:t xml:space="preserve">el cual </w:t>
      </w:r>
      <w:r w:rsidRPr="00EB2ED0">
        <w:rPr>
          <w:rFonts w:ascii="Arial" w:eastAsia="Calibri" w:hAnsi="Arial" w:cs="Arial"/>
          <w:sz w:val="22"/>
          <w:szCs w:val="22"/>
          <w:lang w:val="es-ES_tradnl"/>
        </w:rPr>
        <w:t>consiste en el deber de preferir</w:t>
      </w:r>
      <w:r w:rsidR="001E2452" w:rsidRPr="00EB2ED0">
        <w:rPr>
          <w:rFonts w:ascii="Arial" w:eastAsia="Calibri" w:hAnsi="Arial" w:cs="Arial"/>
          <w:sz w:val="22"/>
          <w:szCs w:val="22"/>
          <w:lang w:val="es-ES_tradnl"/>
        </w:rPr>
        <w:t xml:space="preserve"> </w:t>
      </w:r>
      <w:r w:rsidRPr="00EB2ED0">
        <w:rPr>
          <w:rFonts w:ascii="Arial" w:eastAsia="Calibri" w:hAnsi="Arial" w:cs="Arial"/>
          <w:sz w:val="22"/>
          <w:szCs w:val="22"/>
          <w:lang w:val="es-ES_tradnl"/>
        </w:rPr>
        <w:t xml:space="preserve">la oferta </w:t>
      </w:r>
      <w:r w:rsidR="00C7541F" w:rsidRPr="00EB2ED0">
        <w:rPr>
          <w:rFonts w:ascii="Arial" w:eastAsia="Calibri" w:hAnsi="Arial" w:cs="Arial"/>
          <w:sz w:val="22"/>
          <w:szCs w:val="22"/>
          <w:lang w:val="es-ES_tradnl"/>
        </w:rPr>
        <w:t>que presentada primero en el tiempo</w:t>
      </w:r>
      <w:r w:rsidRPr="00EB2ED0">
        <w:rPr>
          <w:rFonts w:ascii="Arial" w:eastAsia="Calibri" w:hAnsi="Arial" w:cs="Arial"/>
          <w:sz w:val="22"/>
          <w:szCs w:val="22"/>
          <w:lang w:val="es-ES_tradnl"/>
        </w:rPr>
        <w:t>.</w:t>
      </w:r>
      <w:r w:rsidR="00A62B6D" w:rsidRPr="00EB2ED0">
        <w:rPr>
          <w:rFonts w:ascii="Arial" w:eastAsia="Calibri" w:hAnsi="Arial" w:cs="Arial"/>
          <w:sz w:val="22"/>
          <w:szCs w:val="22"/>
          <w:lang w:val="es-ES_tradnl"/>
        </w:rPr>
        <w:t xml:space="preserve"> </w:t>
      </w:r>
      <w:r w:rsidR="00465F67" w:rsidRPr="00EB2ED0">
        <w:rPr>
          <w:rFonts w:ascii="Arial" w:eastAsia="Calibri" w:hAnsi="Arial" w:cs="Arial"/>
          <w:sz w:val="22"/>
          <w:szCs w:val="22"/>
          <w:lang w:val="es-ES_tradnl"/>
        </w:rPr>
        <w:t xml:space="preserve">Para </w:t>
      </w:r>
      <w:r w:rsidR="00C7541F" w:rsidRPr="00EB2ED0">
        <w:rPr>
          <w:rFonts w:ascii="Arial" w:eastAsia="Calibri" w:hAnsi="Arial" w:cs="Arial"/>
          <w:sz w:val="22"/>
          <w:szCs w:val="22"/>
          <w:lang w:val="es-ES_tradnl"/>
        </w:rPr>
        <w:t>determinar si está vigente este</w:t>
      </w:r>
      <w:r w:rsidR="00465F67" w:rsidRPr="00EB2ED0">
        <w:rPr>
          <w:rFonts w:ascii="Arial" w:eastAsia="Calibri" w:hAnsi="Arial" w:cs="Arial"/>
          <w:sz w:val="22"/>
          <w:szCs w:val="22"/>
          <w:lang w:val="es-ES_tradnl"/>
        </w:rPr>
        <w:t xml:space="preserve"> numeral, es indispensable </w:t>
      </w:r>
      <w:r w:rsidR="0081082C" w:rsidRPr="00EB2ED0">
        <w:rPr>
          <w:rFonts w:ascii="Arial" w:eastAsia="Calibri" w:hAnsi="Arial" w:cs="Arial"/>
          <w:sz w:val="22"/>
          <w:szCs w:val="22"/>
          <w:lang w:val="es-ES_tradnl"/>
        </w:rPr>
        <w:t>considerar</w:t>
      </w:r>
      <w:r w:rsidR="00465F67" w:rsidRPr="00EB2ED0">
        <w:rPr>
          <w:rFonts w:ascii="Arial" w:eastAsia="Calibri" w:hAnsi="Arial" w:cs="Arial"/>
          <w:sz w:val="22"/>
          <w:szCs w:val="22"/>
          <w:lang w:val="es-ES_tradnl"/>
        </w:rPr>
        <w:t xml:space="preserve"> </w:t>
      </w:r>
      <w:r w:rsidR="00466C74" w:rsidRPr="00EB2ED0">
        <w:rPr>
          <w:rFonts w:ascii="Arial" w:eastAsia="Calibri" w:hAnsi="Arial" w:cs="Arial"/>
          <w:sz w:val="22"/>
          <w:szCs w:val="22"/>
          <w:lang w:val="es-ES_tradnl"/>
        </w:rPr>
        <w:t xml:space="preserve">que el artículo 35 de la Ley 2069 de 2020 </w:t>
      </w:r>
      <w:r w:rsidR="00C7541F" w:rsidRPr="00EB2ED0">
        <w:rPr>
          <w:rFonts w:ascii="Arial" w:eastAsia="Calibri" w:hAnsi="Arial" w:cs="Arial"/>
          <w:sz w:val="22"/>
          <w:szCs w:val="22"/>
          <w:lang w:val="es-ES_tradnl"/>
        </w:rPr>
        <w:t>regula</w:t>
      </w:r>
      <w:r w:rsidR="00466C74" w:rsidRPr="00EB2ED0">
        <w:rPr>
          <w:rFonts w:ascii="Arial" w:eastAsia="Calibri" w:hAnsi="Arial" w:cs="Arial"/>
          <w:sz w:val="22"/>
          <w:szCs w:val="22"/>
          <w:lang w:val="es-ES_tradnl"/>
        </w:rPr>
        <w:t xml:space="preserve"> nuevos criterios de desempate</w:t>
      </w:r>
      <w:r w:rsidR="007E0D49" w:rsidRPr="00EB2ED0">
        <w:rPr>
          <w:rFonts w:ascii="Arial" w:eastAsia="Calibri" w:hAnsi="Arial" w:cs="Arial"/>
          <w:sz w:val="22"/>
          <w:szCs w:val="22"/>
          <w:lang w:val="es-ES_tradnl"/>
        </w:rPr>
        <w:t xml:space="preserve"> aplicables</w:t>
      </w:r>
      <w:r w:rsidR="00AE6188" w:rsidRPr="00EB2ED0">
        <w:rPr>
          <w:rFonts w:ascii="Arial" w:eastAsia="Calibri" w:hAnsi="Arial" w:cs="Arial"/>
          <w:sz w:val="22"/>
          <w:szCs w:val="22"/>
          <w:lang w:val="es-ES_tradnl"/>
        </w:rPr>
        <w:t xml:space="preserve"> en la</w:t>
      </w:r>
      <w:r w:rsidR="007E0D49" w:rsidRPr="00EB2ED0">
        <w:rPr>
          <w:rFonts w:ascii="Arial" w:eastAsia="Calibri" w:hAnsi="Arial" w:cs="Arial"/>
          <w:sz w:val="22"/>
          <w:szCs w:val="22"/>
          <w:lang w:val="es-ES_tradnl"/>
        </w:rPr>
        <w:t xml:space="preserve"> contratación estatal</w:t>
      </w:r>
      <w:r w:rsidR="00A54895" w:rsidRPr="00EB2ED0">
        <w:rPr>
          <w:rFonts w:ascii="Arial" w:eastAsia="Calibri" w:hAnsi="Arial" w:cs="Arial"/>
          <w:sz w:val="22"/>
          <w:szCs w:val="22"/>
          <w:lang w:val="es-ES_tradnl"/>
        </w:rPr>
        <w:t xml:space="preserve">. </w:t>
      </w:r>
    </w:p>
    <w:p w14:paraId="0F59547C" w14:textId="7CCB6C72" w:rsidR="007D7CCB" w:rsidRPr="00EB2ED0" w:rsidRDefault="00A54895" w:rsidP="00EB2ED0">
      <w:pPr>
        <w:pStyle w:val="NormalWeb"/>
        <w:spacing w:before="0" w:beforeAutospacing="0" w:after="120" w:afterAutospacing="0" w:line="276" w:lineRule="auto"/>
        <w:ind w:firstLine="708"/>
        <w:jc w:val="both"/>
        <w:rPr>
          <w:rFonts w:ascii="Arial" w:eastAsia="Calibri" w:hAnsi="Arial" w:cs="Arial"/>
          <w:sz w:val="22"/>
          <w:szCs w:val="22"/>
          <w:lang w:val="es-ES_tradnl"/>
        </w:rPr>
      </w:pPr>
      <w:r w:rsidRPr="00EB2ED0">
        <w:rPr>
          <w:rFonts w:ascii="Arial" w:eastAsia="Calibri" w:hAnsi="Arial" w:cs="Arial"/>
          <w:sz w:val="22"/>
          <w:szCs w:val="22"/>
          <w:lang w:val="es-ES_tradnl"/>
        </w:rPr>
        <w:t xml:space="preserve">Como </w:t>
      </w:r>
      <w:r w:rsidR="005D30AE" w:rsidRPr="00EB2ED0">
        <w:rPr>
          <w:rFonts w:ascii="Arial" w:eastAsia="Calibri" w:hAnsi="Arial" w:cs="Arial"/>
          <w:sz w:val="22"/>
          <w:szCs w:val="22"/>
          <w:lang w:val="es-ES_tradnl"/>
        </w:rPr>
        <w:t>se precisó</w:t>
      </w:r>
      <w:r w:rsidRPr="00EB2ED0">
        <w:rPr>
          <w:rFonts w:ascii="Arial" w:eastAsia="Calibri" w:hAnsi="Arial" w:cs="Arial"/>
          <w:sz w:val="22"/>
          <w:szCs w:val="22"/>
          <w:lang w:val="es-ES_tradnl"/>
        </w:rPr>
        <w:t xml:space="preserve"> en el numeral </w:t>
      </w:r>
      <w:r w:rsidR="00906D34" w:rsidRPr="00EB2ED0">
        <w:rPr>
          <w:rFonts w:ascii="Arial" w:eastAsia="Calibri" w:hAnsi="Arial" w:cs="Arial"/>
          <w:sz w:val="22"/>
          <w:szCs w:val="22"/>
          <w:lang w:val="es-ES_tradnl"/>
        </w:rPr>
        <w:t>2.</w:t>
      </w:r>
      <w:r w:rsidR="005D30AE" w:rsidRPr="00EB2ED0">
        <w:rPr>
          <w:rFonts w:ascii="Arial" w:eastAsia="Calibri" w:hAnsi="Arial" w:cs="Arial"/>
          <w:sz w:val="22"/>
          <w:szCs w:val="22"/>
          <w:lang w:val="es-ES_tradnl"/>
        </w:rPr>
        <w:t>2</w:t>
      </w:r>
      <w:r w:rsidR="00906D34" w:rsidRPr="00EB2ED0">
        <w:rPr>
          <w:rFonts w:ascii="Arial" w:eastAsia="Calibri" w:hAnsi="Arial" w:cs="Arial"/>
          <w:sz w:val="22"/>
          <w:szCs w:val="22"/>
          <w:lang w:val="es-ES_tradnl"/>
        </w:rPr>
        <w:t xml:space="preserve"> del presente concepto</w:t>
      </w:r>
      <w:r w:rsidRPr="00EB2ED0">
        <w:rPr>
          <w:rFonts w:ascii="Arial" w:eastAsia="Calibri" w:hAnsi="Arial" w:cs="Arial"/>
          <w:sz w:val="22"/>
          <w:szCs w:val="22"/>
          <w:lang w:val="es-ES_tradnl"/>
        </w:rPr>
        <w:t>, los factores de desempate del artículo 35</w:t>
      </w:r>
      <w:r w:rsidR="005D30AE" w:rsidRPr="00EB2ED0">
        <w:rPr>
          <w:rFonts w:ascii="Arial" w:eastAsia="Calibri" w:hAnsi="Arial" w:cs="Arial"/>
          <w:sz w:val="22"/>
          <w:szCs w:val="22"/>
          <w:lang w:val="es-ES_tradnl"/>
        </w:rPr>
        <w:t xml:space="preserve"> de la Ley de Emprendimiento</w:t>
      </w:r>
      <w:r w:rsidRPr="00EB2ED0">
        <w:rPr>
          <w:rFonts w:ascii="Arial" w:eastAsia="Calibri" w:hAnsi="Arial" w:cs="Arial"/>
          <w:i/>
          <w:iCs/>
          <w:sz w:val="22"/>
          <w:szCs w:val="22"/>
          <w:lang w:val="es-ES_tradnl"/>
        </w:rPr>
        <w:t xml:space="preserve">, </w:t>
      </w:r>
      <w:r w:rsidRPr="00EB2ED0">
        <w:rPr>
          <w:rFonts w:ascii="Arial" w:eastAsia="Calibri" w:hAnsi="Arial" w:cs="Arial"/>
          <w:sz w:val="22"/>
          <w:szCs w:val="22"/>
          <w:lang w:val="es-ES_tradnl"/>
        </w:rPr>
        <w:t xml:space="preserve">no solo son aplicables a la contratación de las entidades regidas por el EGCAP, sino también </w:t>
      </w:r>
      <w:r w:rsidR="00DF41DD" w:rsidRPr="00EB2ED0">
        <w:rPr>
          <w:rFonts w:ascii="Arial" w:eastAsia="Calibri" w:hAnsi="Arial" w:cs="Arial"/>
          <w:sz w:val="22"/>
          <w:szCs w:val="22"/>
          <w:lang w:val="es-ES_tradnl"/>
        </w:rPr>
        <w:t>a los procesos de selección de las entidades exceptuadas</w:t>
      </w:r>
      <w:r w:rsidR="00CA137B" w:rsidRPr="00EB2ED0">
        <w:rPr>
          <w:rFonts w:ascii="Arial" w:eastAsia="Calibri" w:hAnsi="Arial" w:cs="Arial"/>
          <w:sz w:val="22"/>
          <w:szCs w:val="22"/>
          <w:lang w:val="es-ES_tradnl"/>
        </w:rPr>
        <w:t xml:space="preserve">, </w:t>
      </w:r>
      <w:r w:rsidR="00AC51DF" w:rsidRPr="00EB2ED0">
        <w:rPr>
          <w:rFonts w:ascii="Arial" w:eastAsia="Calibri" w:hAnsi="Arial" w:cs="Arial"/>
          <w:sz w:val="22"/>
          <w:szCs w:val="22"/>
          <w:lang w:val="es-ES_tradnl"/>
        </w:rPr>
        <w:t>a los que realicen l</w:t>
      </w:r>
      <w:r w:rsidR="00906007" w:rsidRPr="00EB2ED0">
        <w:rPr>
          <w:rFonts w:ascii="Arial" w:eastAsia="Calibri" w:hAnsi="Arial" w:cs="Arial"/>
          <w:sz w:val="22"/>
          <w:szCs w:val="22"/>
          <w:lang w:val="es-ES_tradnl"/>
        </w:rPr>
        <w:t>o</w:t>
      </w:r>
      <w:r w:rsidR="00AC51DF" w:rsidRPr="00EB2ED0">
        <w:rPr>
          <w:rFonts w:ascii="Arial" w:eastAsia="Calibri" w:hAnsi="Arial" w:cs="Arial"/>
          <w:sz w:val="22"/>
          <w:szCs w:val="22"/>
          <w:lang w:val="es-ES_tradnl"/>
        </w:rPr>
        <w:t xml:space="preserve">s patrimonios autónomos </w:t>
      </w:r>
      <w:r w:rsidR="001F5EF9" w:rsidRPr="00EB2ED0">
        <w:rPr>
          <w:rFonts w:ascii="Arial" w:eastAsia="Calibri" w:hAnsi="Arial" w:cs="Arial"/>
          <w:sz w:val="22"/>
          <w:szCs w:val="22"/>
          <w:lang w:val="es-ES_tradnl"/>
        </w:rPr>
        <w:t xml:space="preserve">constituidos por entidades estatales, y en general, en los procesos de selección </w:t>
      </w:r>
      <w:r w:rsidR="004D1653" w:rsidRPr="00EB2ED0">
        <w:rPr>
          <w:rFonts w:ascii="Arial" w:eastAsia="Calibri" w:hAnsi="Arial" w:cs="Arial"/>
          <w:sz w:val="22"/>
          <w:szCs w:val="22"/>
          <w:lang w:val="es-ES_tradnl"/>
        </w:rPr>
        <w:t xml:space="preserve">realizados con cargo a recursos públicos. </w:t>
      </w:r>
      <w:r w:rsidR="00906D34" w:rsidRPr="00EB2ED0">
        <w:rPr>
          <w:rFonts w:ascii="Arial" w:eastAsia="Calibri" w:hAnsi="Arial" w:cs="Arial"/>
          <w:sz w:val="22"/>
          <w:szCs w:val="22"/>
          <w:lang w:val="es-ES_tradnl"/>
        </w:rPr>
        <w:t>Debido a que la norma no distingue</w:t>
      </w:r>
      <w:r w:rsidR="00762705" w:rsidRPr="00EB2ED0">
        <w:rPr>
          <w:rFonts w:ascii="Arial" w:eastAsia="Calibri" w:hAnsi="Arial" w:cs="Arial"/>
          <w:sz w:val="22"/>
          <w:szCs w:val="22"/>
          <w:lang w:val="es-ES_tradnl"/>
        </w:rPr>
        <w:t xml:space="preserve"> entre modalidades o procedimientos, </w:t>
      </w:r>
      <w:r w:rsidR="00353801" w:rsidRPr="00EB2ED0">
        <w:rPr>
          <w:rFonts w:ascii="Arial" w:eastAsia="Calibri" w:hAnsi="Arial" w:cs="Arial"/>
          <w:sz w:val="22"/>
          <w:szCs w:val="22"/>
          <w:lang w:val="es-ES_tradnl"/>
        </w:rPr>
        <w:t xml:space="preserve">los factores de desempate son aplicables </w:t>
      </w:r>
      <w:r w:rsidR="006E765A" w:rsidRPr="00EB2ED0">
        <w:rPr>
          <w:rFonts w:ascii="Arial" w:eastAsia="Calibri" w:hAnsi="Arial" w:cs="Arial"/>
          <w:sz w:val="22"/>
          <w:szCs w:val="22"/>
          <w:lang w:val="es-ES_tradnl"/>
        </w:rPr>
        <w:t>en todos los procesos de selección que celebren los sujetos mencionados</w:t>
      </w:r>
      <w:r w:rsidR="007E118A" w:rsidRPr="00EB2ED0">
        <w:rPr>
          <w:rFonts w:ascii="Arial" w:eastAsia="Calibri" w:hAnsi="Arial" w:cs="Arial"/>
          <w:sz w:val="22"/>
          <w:szCs w:val="22"/>
          <w:lang w:val="es-ES_tradnl"/>
        </w:rPr>
        <w:t>.</w:t>
      </w:r>
    </w:p>
    <w:p w14:paraId="404706C3" w14:textId="118F7AAC" w:rsidR="006B78F2" w:rsidRPr="00EB2ED0" w:rsidRDefault="00A35E91" w:rsidP="00EB2ED0">
      <w:pPr>
        <w:tabs>
          <w:tab w:val="left" w:pos="0"/>
        </w:tabs>
        <w:spacing w:after="120" w:line="276" w:lineRule="auto"/>
        <w:jc w:val="both"/>
        <w:rPr>
          <w:rFonts w:ascii="Arial" w:hAnsi="Arial" w:cs="Arial"/>
          <w:sz w:val="22"/>
          <w:szCs w:val="22"/>
          <w:lang w:val="es-ES_tradnl"/>
        </w:rPr>
      </w:pPr>
      <w:r w:rsidRPr="00EB2ED0">
        <w:rPr>
          <w:rFonts w:ascii="Arial" w:eastAsia="Calibri" w:hAnsi="Arial" w:cs="Arial"/>
          <w:sz w:val="22"/>
          <w:szCs w:val="22"/>
          <w:lang w:val="es-ES_tradnl"/>
        </w:rPr>
        <w:tab/>
      </w:r>
      <w:r w:rsidR="002B5392" w:rsidRPr="00EB2ED0">
        <w:rPr>
          <w:rFonts w:ascii="Arial" w:eastAsia="Calibri" w:hAnsi="Arial" w:cs="Arial"/>
          <w:sz w:val="22"/>
          <w:szCs w:val="22"/>
          <w:lang w:val="es-ES_tradnl"/>
        </w:rPr>
        <w:t xml:space="preserve">En ese sentido, </w:t>
      </w:r>
      <w:r w:rsidR="0037256F" w:rsidRPr="00EB2ED0">
        <w:rPr>
          <w:rFonts w:ascii="Arial" w:eastAsia="Calibri" w:hAnsi="Arial" w:cs="Arial"/>
          <w:sz w:val="22"/>
          <w:szCs w:val="22"/>
          <w:lang w:val="es-ES_tradnl"/>
        </w:rPr>
        <w:t>la</w:t>
      </w:r>
      <w:r w:rsidR="002B5392" w:rsidRPr="00EB2ED0">
        <w:rPr>
          <w:rFonts w:ascii="Arial" w:eastAsia="Calibri" w:hAnsi="Arial" w:cs="Arial"/>
          <w:sz w:val="22"/>
          <w:szCs w:val="22"/>
          <w:lang w:val="es-ES_tradnl"/>
        </w:rPr>
        <w:t xml:space="preserve"> Agencia ha estimado que la aplicación del artículo 35 de la Ley 2069 de 2020</w:t>
      </w:r>
      <w:r w:rsidR="00B1498E" w:rsidRPr="00EB2ED0">
        <w:rPr>
          <w:rFonts w:ascii="Arial" w:eastAsiaTheme="minorHAnsi" w:hAnsi="Arial" w:cs="Arial"/>
          <w:sz w:val="22"/>
          <w:szCs w:val="22"/>
          <w:lang w:eastAsia="en-US"/>
        </w:rPr>
        <w:t xml:space="preserve"> </w:t>
      </w:r>
      <w:r w:rsidR="00B74409" w:rsidRPr="00EB2ED0">
        <w:rPr>
          <w:rFonts w:ascii="Arial" w:eastAsiaTheme="minorHAnsi" w:hAnsi="Arial" w:cs="Arial"/>
          <w:sz w:val="22"/>
          <w:szCs w:val="22"/>
          <w:lang w:eastAsia="en-US"/>
        </w:rPr>
        <w:t xml:space="preserve">es </w:t>
      </w:r>
      <w:r w:rsidR="00B1498E" w:rsidRPr="00EB2ED0">
        <w:rPr>
          <w:rFonts w:ascii="Arial" w:eastAsiaTheme="minorHAnsi" w:hAnsi="Arial" w:cs="Arial"/>
          <w:sz w:val="22"/>
          <w:szCs w:val="22"/>
          <w:lang w:eastAsia="en-US"/>
        </w:rPr>
        <w:t>transversal a</w:t>
      </w:r>
      <w:r w:rsidR="00722495" w:rsidRPr="00EB2ED0">
        <w:rPr>
          <w:rFonts w:ascii="Arial" w:eastAsiaTheme="minorHAnsi" w:hAnsi="Arial" w:cs="Arial"/>
          <w:sz w:val="22"/>
          <w:szCs w:val="22"/>
          <w:lang w:eastAsia="en-US"/>
        </w:rPr>
        <w:t xml:space="preserve"> las distintas modalidades </w:t>
      </w:r>
      <w:r w:rsidR="003C2FB1" w:rsidRPr="00EB2ED0">
        <w:rPr>
          <w:rFonts w:ascii="Arial" w:eastAsiaTheme="minorHAnsi" w:hAnsi="Arial" w:cs="Arial"/>
          <w:sz w:val="22"/>
          <w:szCs w:val="22"/>
          <w:lang w:eastAsia="en-US"/>
        </w:rPr>
        <w:t>de contratación</w:t>
      </w:r>
      <w:r w:rsidR="00B20E85" w:rsidRPr="00EB2ED0">
        <w:rPr>
          <w:rFonts w:ascii="Arial" w:eastAsiaTheme="minorHAnsi" w:hAnsi="Arial" w:cs="Arial"/>
          <w:sz w:val="22"/>
          <w:szCs w:val="22"/>
          <w:lang w:eastAsia="en-US"/>
        </w:rPr>
        <w:t xml:space="preserve">. Concretamente, </w:t>
      </w:r>
      <w:r w:rsidR="003C2FB1" w:rsidRPr="00EB2ED0">
        <w:rPr>
          <w:rFonts w:ascii="Arial" w:eastAsiaTheme="minorHAnsi" w:hAnsi="Arial" w:cs="Arial"/>
          <w:sz w:val="22"/>
          <w:szCs w:val="22"/>
          <w:lang w:eastAsia="en-US"/>
        </w:rPr>
        <w:t>la vigencia de este</w:t>
      </w:r>
      <w:r w:rsidR="005B2C7D" w:rsidRPr="00EB2ED0">
        <w:rPr>
          <w:rFonts w:ascii="Arial" w:eastAsiaTheme="minorHAnsi" w:hAnsi="Arial" w:cs="Arial"/>
          <w:sz w:val="22"/>
          <w:szCs w:val="22"/>
          <w:lang w:eastAsia="en-US"/>
        </w:rPr>
        <w:t xml:space="preserve"> artículo </w:t>
      </w:r>
      <w:r w:rsidR="007D2DA3" w:rsidRPr="00EB2ED0">
        <w:rPr>
          <w:rFonts w:ascii="Arial" w:eastAsiaTheme="minorHAnsi" w:hAnsi="Arial" w:cs="Arial"/>
          <w:sz w:val="22"/>
          <w:szCs w:val="22"/>
          <w:lang w:eastAsia="en-US"/>
        </w:rPr>
        <w:t>ha generado la derogatoria</w:t>
      </w:r>
      <w:r w:rsidR="00F064DB" w:rsidRPr="00EB2ED0">
        <w:rPr>
          <w:rFonts w:ascii="Arial" w:eastAsiaTheme="minorHAnsi" w:hAnsi="Arial" w:cs="Arial"/>
          <w:sz w:val="22"/>
          <w:szCs w:val="22"/>
          <w:lang w:eastAsia="en-US"/>
        </w:rPr>
        <w:t xml:space="preserve"> </w:t>
      </w:r>
      <w:r w:rsidR="007D2DA3" w:rsidRPr="00EB2ED0">
        <w:rPr>
          <w:rFonts w:ascii="Arial" w:eastAsiaTheme="minorHAnsi" w:hAnsi="Arial" w:cs="Arial"/>
          <w:sz w:val="22"/>
          <w:szCs w:val="22"/>
          <w:lang w:eastAsia="en-US"/>
        </w:rPr>
        <w:t xml:space="preserve">del artículo </w:t>
      </w:r>
      <w:r w:rsidR="00F064DB" w:rsidRPr="00EB2ED0">
        <w:rPr>
          <w:rFonts w:ascii="Arial" w:eastAsiaTheme="minorHAnsi" w:hAnsi="Arial" w:cs="Arial"/>
          <w:sz w:val="22"/>
          <w:szCs w:val="22"/>
          <w:lang w:eastAsia="en-US"/>
        </w:rPr>
        <w:t>2.2.1.1.2.2.9 del Decreto 1082 de 2015</w:t>
      </w:r>
      <w:r w:rsidR="00207FCD" w:rsidRPr="00EB2ED0">
        <w:rPr>
          <w:rFonts w:ascii="Arial" w:eastAsiaTheme="minorHAnsi" w:hAnsi="Arial" w:cs="Arial"/>
          <w:sz w:val="22"/>
          <w:szCs w:val="22"/>
          <w:lang w:eastAsia="en-US"/>
        </w:rPr>
        <w:t xml:space="preserve">, conforme a lo dispuesto en artículo 84 de la Ley 2069 de 2020. </w:t>
      </w:r>
      <w:r w:rsidR="00A25833" w:rsidRPr="00EB2ED0">
        <w:rPr>
          <w:rFonts w:ascii="Arial" w:hAnsi="Arial" w:cs="Arial"/>
          <w:sz w:val="22"/>
          <w:szCs w:val="22"/>
          <w:lang w:val="es-ES_tradnl"/>
        </w:rPr>
        <w:t>Como argumento adicional</w:t>
      </w:r>
      <w:r w:rsidR="00207FCD" w:rsidRPr="00EB2ED0">
        <w:rPr>
          <w:rFonts w:ascii="Arial" w:hAnsi="Arial" w:cs="Arial"/>
          <w:sz w:val="22"/>
          <w:szCs w:val="22"/>
          <w:lang w:val="es-ES_tradnl"/>
        </w:rPr>
        <w:t xml:space="preserve">, </w:t>
      </w:r>
      <w:r w:rsidR="005B61AD" w:rsidRPr="00EB2ED0">
        <w:rPr>
          <w:rFonts w:ascii="Arial" w:hAnsi="Arial" w:cs="Arial"/>
          <w:sz w:val="22"/>
          <w:szCs w:val="22"/>
          <w:lang w:val="es-ES_tradnl"/>
        </w:rPr>
        <w:t>se ha sostenido</w:t>
      </w:r>
      <w:r w:rsidR="00A25833" w:rsidRPr="00EB2ED0">
        <w:rPr>
          <w:rFonts w:ascii="Arial" w:hAnsi="Arial" w:cs="Arial"/>
          <w:sz w:val="22"/>
          <w:szCs w:val="22"/>
          <w:lang w:val="es-ES_tradnl"/>
        </w:rPr>
        <w:t xml:space="preserve"> </w:t>
      </w:r>
      <w:r w:rsidR="000105D9" w:rsidRPr="00EB2ED0">
        <w:rPr>
          <w:rFonts w:ascii="Arial" w:hAnsi="Arial" w:cs="Arial"/>
          <w:sz w:val="22"/>
          <w:szCs w:val="22"/>
          <w:lang w:val="es-ES_tradnl"/>
        </w:rPr>
        <w:t>la configuración del</w:t>
      </w:r>
      <w:r w:rsidR="00A25833" w:rsidRPr="00EB2ED0">
        <w:rPr>
          <w:rFonts w:ascii="Arial" w:hAnsi="Arial" w:cs="Arial"/>
          <w:sz w:val="22"/>
          <w:szCs w:val="22"/>
          <w:lang w:val="es-ES_tradnl"/>
        </w:rPr>
        <w:t xml:space="preserve"> fenómeno de la pérdida de fuerza ejecutoria –o decaimiento– de los actos administrativos, </w:t>
      </w:r>
      <w:r w:rsidR="00700CA2" w:rsidRPr="00EB2ED0">
        <w:rPr>
          <w:rFonts w:ascii="Arial" w:hAnsi="Arial" w:cs="Arial"/>
          <w:sz w:val="22"/>
          <w:szCs w:val="22"/>
          <w:lang w:val="es-ES_tradnl"/>
        </w:rPr>
        <w:t xml:space="preserve">en virtud </w:t>
      </w:r>
      <w:r w:rsidR="00001CC9" w:rsidRPr="00EB2ED0">
        <w:rPr>
          <w:rFonts w:ascii="Arial" w:hAnsi="Arial" w:cs="Arial"/>
          <w:sz w:val="22"/>
          <w:szCs w:val="22"/>
          <w:lang w:val="es-ES_tradnl"/>
        </w:rPr>
        <w:t>d</w:t>
      </w:r>
      <w:r w:rsidR="00A25833" w:rsidRPr="00EB2ED0">
        <w:rPr>
          <w:rFonts w:ascii="Arial" w:hAnsi="Arial" w:cs="Arial"/>
          <w:sz w:val="22"/>
          <w:szCs w:val="22"/>
          <w:lang w:val="es-ES_tradnl"/>
        </w:rPr>
        <w:t>el numeral 2 del artículo 91 de la Ley 1437 de 2011</w:t>
      </w:r>
      <w:r w:rsidR="005B61AD" w:rsidRPr="00EB2ED0">
        <w:rPr>
          <w:rFonts w:ascii="Arial" w:hAnsi="Arial" w:cs="Arial"/>
          <w:sz w:val="22"/>
          <w:szCs w:val="22"/>
          <w:lang w:val="es-ES_tradnl"/>
        </w:rPr>
        <w:t>,</w:t>
      </w:r>
      <w:r w:rsidR="00A25833" w:rsidRPr="00EB2ED0">
        <w:rPr>
          <w:rFonts w:ascii="Arial" w:hAnsi="Arial" w:cs="Arial"/>
          <w:sz w:val="22"/>
          <w:szCs w:val="22"/>
          <w:lang w:val="es-ES_tradnl"/>
        </w:rPr>
        <w:t xml:space="preserve"> </w:t>
      </w:r>
      <w:r w:rsidR="00101129" w:rsidRPr="00EB2ED0">
        <w:rPr>
          <w:rFonts w:ascii="Arial" w:hAnsi="Arial" w:cs="Arial"/>
          <w:sz w:val="22"/>
          <w:szCs w:val="22"/>
          <w:lang w:val="es-ES_tradnl"/>
        </w:rPr>
        <w:t xml:space="preserve">considerando que esta última </w:t>
      </w:r>
      <w:r w:rsidR="00A25833" w:rsidRPr="00EB2ED0">
        <w:rPr>
          <w:rFonts w:ascii="Arial" w:hAnsi="Arial" w:cs="Arial"/>
          <w:sz w:val="22"/>
          <w:szCs w:val="22"/>
          <w:lang w:val="es-ES_tradnl"/>
        </w:rPr>
        <w:t xml:space="preserve">norma señala que los actos </w:t>
      </w:r>
      <w:r w:rsidR="00A25833" w:rsidRPr="00EB2ED0">
        <w:rPr>
          <w:rFonts w:ascii="Arial" w:hAnsi="Arial" w:cs="Arial"/>
          <w:sz w:val="22"/>
          <w:szCs w:val="22"/>
          <w:lang w:val="es-ES_tradnl"/>
        </w:rPr>
        <w:lastRenderedPageBreak/>
        <w:t xml:space="preserve">administrativos pierden fuerza ejecutoria «Cuando desaparezcan sus fundamentos de hecho o de derecho». </w:t>
      </w:r>
    </w:p>
    <w:p w14:paraId="130424E1" w14:textId="7D1E19C3" w:rsidR="00BD2C4A" w:rsidRPr="00EB2ED0" w:rsidRDefault="006B78F2" w:rsidP="00EB2ED0">
      <w:pPr>
        <w:tabs>
          <w:tab w:val="left" w:pos="0"/>
        </w:tabs>
        <w:spacing w:line="276" w:lineRule="auto"/>
        <w:jc w:val="both"/>
        <w:rPr>
          <w:rFonts w:ascii="Arial" w:eastAsiaTheme="minorHAnsi" w:hAnsi="Arial" w:cs="Arial"/>
          <w:sz w:val="22"/>
          <w:szCs w:val="22"/>
          <w:lang w:eastAsia="en-US"/>
        </w:rPr>
      </w:pPr>
      <w:r w:rsidRPr="00EB2ED0">
        <w:rPr>
          <w:rFonts w:ascii="Arial" w:hAnsi="Arial" w:cs="Arial"/>
          <w:sz w:val="22"/>
          <w:szCs w:val="22"/>
          <w:lang w:val="es-ES_tradnl"/>
        </w:rPr>
        <w:tab/>
      </w:r>
      <w:r w:rsidR="00A25833" w:rsidRPr="00EB2ED0">
        <w:rPr>
          <w:rFonts w:ascii="Arial" w:hAnsi="Arial" w:cs="Arial"/>
          <w:sz w:val="22"/>
          <w:szCs w:val="22"/>
          <w:lang w:val="es-ES_tradnl"/>
        </w:rPr>
        <w:t xml:space="preserve">Dado que el Decreto 1082 de 2015 es un reglamento </w:t>
      </w:r>
      <w:proofErr w:type="spellStart"/>
      <w:r w:rsidR="00A25833" w:rsidRPr="00EB2ED0">
        <w:rPr>
          <w:rFonts w:ascii="Arial" w:hAnsi="Arial" w:cs="Arial"/>
          <w:i/>
          <w:iCs/>
          <w:sz w:val="22"/>
          <w:szCs w:val="22"/>
          <w:lang w:val="es-ES_tradnl"/>
        </w:rPr>
        <w:t>secundum</w:t>
      </w:r>
      <w:proofErr w:type="spellEnd"/>
      <w:r w:rsidR="00A25833" w:rsidRPr="00EB2ED0">
        <w:rPr>
          <w:rFonts w:ascii="Arial" w:hAnsi="Arial" w:cs="Arial"/>
          <w:i/>
          <w:iCs/>
          <w:sz w:val="22"/>
          <w:szCs w:val="22"/>
          <w:lang w:val="es-ES_tradnl"/>
        </w:rPr>
        <w:t xml:space="preserve"> </w:t>
      </w:r>
      <w:proofErr w:type="spellStart"/>
      <w:r w:rsidR="00A25833" w:rsidRPr="00EB2ED0">
        <w:rPr>
          <w:rFonts w:ascii="Arial" w:hAnsi="Arial" w:cs="Arial"/>
          <w:i/>
          <w:iCs/>
          <w:sz w:val="22"/>
          <w:szCs w:val="22"/>
          <w:lang w:val="es-ES_tradnl"/>
        </w:rPr>
        <w:t>legem</w:t>
      </w:r>
      <w:proofErr w:type="spellEnd"/>
      <w:r w:rsidR="00A25833" w:rsidRPr="00EB2ED0">
        <w:rPr>
          <w:rFonts w:ascii="Arial" w:hAnsi="Arial" w:cs="Arial"/>
          <w:sz w:val="22"/>
          <w:szCs w:val="22"/>
          <w:lang w:val="es-ES_tradnl"/>
        </w:rPr>
        <w:t xml:space="preserve"> –es decir, que desarrolla una norma de mayor jerarquía–,</w:t>
      </w:r>
      <w:r w:rsidR="00B5534B" w:rsidRPr="00EB2ED0">
        <w:rPr>
          <w:rFonts w:ascii="Arial" w:hAnsi="Arial" w:cs="Arial"/>
          <w:sz w:val="22"/>
          <w:szCs w:val="22"/>
          <w:lang w:val="es-ES_tradnl"/>
        </w:rPr>
        <w:t xml:space="preserve"> por lo que</w:t>
      </w:r>
      <w:r w:rsidR="00A25833" w:rsidRPr="00EB2ED0">
        <w:rPr>
          <w:rFonts w:ascii="Arial" w:hAnsi="Arial" w:cs="Arial"/>
          <w:sz w:val="22"/>
          <w:szCs w:val="22"/>
          <w:lang w:val="es-ES_tradnl"/>
        </w:rPr>
        <w:t xml:space="preserve"> la expedición de una ley en sentido formal –es decir, una fuente que condiciona el contenido de este último–, hace que la </w:t>
      </w:r>
      <w:r w:rsidR="00101129" w:rsidRPr="00EB2ED0">
        <w:rPr>
          <w:rFonts w:ascii="Arial" w:hAnsi="Arial" w:cs="Arial"/>
          <w:sz w:val="22"/>
          <w:szCs w:val="22"/>
          <w:lang w:val="es-ES_tradnl"/>
        </w:rPr>
        <w:t xml:space="preserve">mencionada </w:t>
      </w:r>
      <w:r w:rsidR="00A25833" w:rsidRPr="00EB2ED0">
        <w:rPr>
          <w:rFonts w:ascii="Arial" w:hAnsi="Arial" w:cs="Arial"/>
          <w:sz w:val="22"/>
          <w:szCs w:val="22"/>
          <w:lang w:val="es-ES_tradnl"/>
        </w:rPr>
        <w:t>disposición reglamentaria decaiga</w:t>
      </w:r>
      <w:r w:rsidR="00735D76" w:rsidRPr="00EB2ED0">
        <w:rPr>
          <w:rFonts w:ascii="Arial" w:hAnsi="Arial" w:cs="Arial"/>
          <w:sz w:val="22"/>
          <w:szCs w:val="22"/>
          <w:lang w:val="es-ES_tradnl"/>
        </w:rPr>
        <w:t>.</w:t>
      </w:r>
      <w:r w:rsidR="00A25833" w:rsidRPr="00EB2ED0">
        <w:rPr>
          <w:rFonts w:ascii="Arial" w:hAnsi="Arial" w:cs="Arial"/>
          <w:sz w:val="22"/>
          <w:szCs w:val="22"/>
          <w:lang w:val="es-ES_tradnl"/>
        </w:rPr>
        <w:t xml:space="preserve"> </w:t>
      </w:r>
      <w:r w:rsidR="00845B36" w:rsidRPr="00EB2ED0">
        <w:rPr>
          <w:rFonts w:ascii="Arial" w:eastAsiaTheme="minorHAnsi" w:hAnsi="Arial" w:cs="Arial"/>
          <w:sz w:val="22"/>
          <w:szCs w:val="22"/>
          <w:lang w:eastAsia="en-US"/>
        </w:rPr>
        <w:t xml:space="preserve"> </w:t>
      </w:r>
      <w:r w:rsidR="00CC7597" w:rsidRPr="00EB2ED0">
        <w:rPr>
          <w:rFonts w:ascii="Arial" w:eastAsiaTheme="minorHAnsi" w:hAnsi="Arial" w:cs="Arial"/>
          <w:sz w:val="22"/>
          <w:szCs w:val="22"/>
          <w:lang w:eastAsia="en-US"/>
        </w:rPr>
        <w:t xml:space="preserve">Esta </w:t>
      </w:r>
      <w:r w:rsidR="00BB2236" w:rsidRPr="00EB2ED0">
        <w:rPr>
          <w:rFonts w:ascii="Arial" w:eastAsiaTheme="minorHAnsi" w:hAnsi="Arial" w:cs="Arial"/>
          <w:sz w:val="22"/>
          <w:szCs w:val="22"/>
          <w:lang w:eastAsia="en-US"/>
        </w:rPr>
        <w:t>Agencia ha determinado que</w:t>
      </w:r>
      <w:r w:rsidR="001870F5" w:rsidRPr="00EB2ED0">
        <w:rPr>
          <w:rFonts w:ascii="Arial" w:eastAsiaTheme="minorHAnsi" w:hAnsi="Arial" w:cs="Arial"/>
          <w:sz w:val="22"/>
          <w:szCs w:val="22"/>
          <w:lang w:eastAsia="en-US"/>
        </w:rPr>
        <w:t xml:space="preserve"> estos mismos</w:t>
      </w:r>
      <w:r w:rsidR="00BB2236" w:rsidRPr="00EB2ED0">
        <w:rPr>
          <w:rFonts w:ascii="Arial" w:eastAsiaTheme="minorHAnsi" w:hAnsi="Arial" w:cs="Arial"/>
          <w:sz w:val="22"/>
          <w:szCs w:val="22"/>
          <w:lang w:eastAsia="en-US"/>
        </w:rPr>
        <w:t xml:space="preserve"> </w:t>
      </w:r>
      <w:r w:rsidR="00845B36" w:rsidRPr="00EB2ED0">
        <w:rPr>
          <w:rFonts w:ascii="Arial" w:eastAsiaTheme="minorHAnsi" w:hAnsi="Arial" w:cs="Arial"/>
          <w:sz w:val="22"/>
          <w:szCs w:val="22"/>
          <w:lang w:eastAsia="en-US"/>
        </w:rPr>
        <w:t xml:space="preserve">argumentos </w:t>
      </w:r>
      <w:r w:rsidR="001870F5" w:rsidRPr="00EB2ED0">
        <w:rPr>
          <w:rFonts w:ascii="Arial" w:eastAsiaTheme="minorHAnsi" w:hAnsi="Arial" w:cs="Arial"/>
          <w:sz w:val="22"/>
          <w:szCs w:val="22"/>
          <w:lang w:eastAsia="en-US"/>
        </w:rPr>
        <w:t>son predicables del factor de desempate del procedimiento de mínima cuantía,</w:t>
      </w:r>
      <w:r w:rsidR="00CC7597" w:rsidRPr="00EB2ED0">
        <w:rPr>
          <w:rFonts w:ascii="Arial" w:eastAsiaTheme="minorHAnsi" w:hAnsi="Arial" w:cs="Arial"/>
          <w:sz w:val="22"/>
          <w:szCs w:val="22"/>
          <w:lang w:eastAsia="en-US"/>
        </w:rPr>
        <w:t xml:space="preserve"> </w:t>
      </w:r>
      <w:r w:rsidR="00A91C08" w:rsidRPr="00EB2ED0">
        <w:rPr>
          <w:rFonts w:ascii="Arial" w:eastAsiaTheme="minorHAnsi" w:hAnsi="Arial" w:cs="Arial"/>
          <w:sz w:val="22"/>
          <w:szCs w:val="22"/>
          <w:lang w:eastAsia="en-US"/>
        </w:rPr>
        <w:t>consagrado en el numeral 7</w:t>
      </w:r>
      <w:r w:rsidR="00CC7597" w:rsidRPr="00EB2ED0">
        <w:rPr>
          <w:rFonts w:ascii="Arial" w:eastAsiaTheme="minorHAnsi" w:hAnsi="Arial" w:cs="Arial"/>
          <w:sz w:val="22"/>
          <w:szCs w:val="22"/>
          <w:lang w:eastAsia="en-US"/>
        </w:rPr>
        <w:t xml:space="preserve"> del artículo </w:t>
      </w:r>
      <w:r w:rsidR="00CC7597" w:rsidRPr="00EB2ED0">
        <w:rPr>
          <w:rFonts w:ascii="Arial" w:eastAsia="Calibri" w:hAnsi="Arial" w:cs="Arial"/>
          <w:sz w:val="22"/>
          <w:szCs w:val="22"/>
          <w:lang w:val="es-ES_tradnl"/>
        </w:rPr>
        <w:t>2.2.1.2.1.5.2</w:t>
      </w:r>
      <w:r w:rsidR="004518B0" w:rsidRPr="00EB2ED0">
        <w:rPr>
          <w:rFonts w:ascii="Arial" w:eastAsiaTheme="minorHAnsi" w:hAnsi="Arial" w:cs="Arial"/>
          <w:sz w:val="22"/>
          <w:szCs w:val="22"/>
          <w:lang w:eastAsia="en-US"/>
        </w:rPr>
        <w:t xml:space="preserve">, </w:t>
      </w:r>
      <w:r w:rsidR="00001CC9" w:rsidRPr="00EB2ED0">
        <w:rPr>
          <w:rFonts w:ascii="Arial" w:eastAsiaTheme="minorHAnsi" w:hAnsi="Arial" w:cs="Arial"/>
          <w:sz w:val="22"/>
          <w:szCs w:val="22"/>
          <w:lang w:eastAsia="en-US"/>
        </w:rPr>
        <w:t xml:space="preserve">precisando </w:t>
      </w:r>
      <w:r w:rsidR="003D6E60" w:rsidRPr="00EB2ED0">
        <w:rPr>
          <w:rFonts w:ascii="Arial" w:eastAsiaTheme="minorHAnsi" w:hAnsi="Arial" w:cs="Arial"/>
          <w:sz w:val="22"/>
          <w:szCs w:val="22"/>
          <w:lang w:eastAsia="en-US"/>
        </w:rPr>
        <w:t>que respecto de este se</w:t>
      </w:r>
      <w:r w:rsidR="001E5C3A" w:rsidRPr="00EB2ED0">
        <w:rPr>
          <w:rFonts w:ascii="Arial" w:eastAsiaTheme="minorHAnsi" w:hAnsi="Arial" w:cs="Arial"/>
          <w:sz w:val="22"/>
          <w:szCs w:val="22"/>
          <w:lang w:eastAsia="en-US"/>
        </w:rPr>
        <w:t xml:space="preserve"> presenta tanto </w:t>
      </w:r>
      <w:r w:rsidR="004053EC" w:rsidRPr="00EB2ED0">
        <w:rPr>
          <w:rFonts w:ascii="Arial" w:eastAsiaTheme="minorHAnsi" w:hAnsi="Arial" w:cs="Arial"/>
          <w:sz w:val="22"/>
          <w:szCs w:val="22"/>
          <w:lang w:eastAsia="en-US"/>
        </w:rPr>
        <w:t xml:space="preserve">la </w:t>
      </w:r>
      <w:r w:rsidR="001E5C3A" w:rsidRPr="00EB2ED0">
        <w:rPr>
          <w:rFonts w:ascii="Arial" w:eastAsiaTheme="minorHAnsi" w:hAnsi="Arial" w:cs="Arial"/>
          <w:sz w:val="22"/>
          <w:szCs w:val="22"/>
          <w:lang w:eastAsia="en-US"/>
        </w:rPr>
        <w:t xml:space="preserve">derogación como decaimiento. </w:t>
      </w:r>
      <w:r w:rsidR="00BD2C4A" w:rsidRPr="00EB2ED0">
        <w:rPr>
          <w:rFonts w:ascii="Arial" w:eastAsiaTheme="minorHAnsi" w:hAnsi="Arial" w:cs="Arial"/>
          <w:sz w:val="22"/>
          <w:szCs w:val="22"/>
          <w:lang w:eastAsia="en-US"/>
        </w:rPr>
        <w:t>Sobre el particular</w:t>
      </w:r>
      <w:r w:rsidR="00A90AD3" w:rsidRPr="00EB2ED0">
        <w:rPr>
          <w:rFonts w:ascii="Arial" w:eastAsiaTheme="minorHAnsi" w:hAnsi="Arial" w:cs="Arial"/>
          <w:sz w:val="22"/>
          <w:szCs w:val="22"/>
          <w:lang w:eastAsia="en-US"/>
        </w:rPr>
        <w:t>,</w:t>
      </w:r>
      <w:r w:rsidR="00BD2C4A" w:rsidRPr="00EB2ED0">
        <w:rPr>
          <w:rFonts w:ascii="Arial" w:eastAsiaTheme="minorHAnsi" w:hAnsi="Arial" w:cs="Arial"/>
          <w:sz w:val="22"/>
          <w:szCs w:val="22"/>
          <w:lang w:eastAsia="en-US"/>
        </w:rPr>
        <w:t xml:space="preserve"> </w:t>
      </w:r>
      <w:r w:rsidR="00A90AD3" w:rsidRPr="00EB2ED0">
        <w:rPr>
          <w:rFonts w:ascii="Arial" w:eastAsiaTheme="minorHAnsi" w:hAnsi="Arial" w:cs="Arial"/>
          <w:sz w:val="22"/>
          <w:szCs w:val="22"/>
          <w:lang w:eastAsia="en-US"/>
        </w:rPr>
        <w:t>a partir del C</w:t>
      </w:r>
      <w:r w:rsidR="00BD2C4A" w:rsidRPr="00EB2ED0">
        <w:rPr>
          <w:rFonts w:ascii="Arial" w:eastAsiaTheme="minorHAnsi" w:hAnsi="Arial" w:cs="Arial"/>
          <w:sz w:val="22"/>
          <w:szCs w:val="22"/>
          <w:lang w:eastAsia="en-US"/>
        </w:rPr>
        <w:t>oncepto C-007 del 16 de febrero de 202</w:t>
      </w:r>
      <w:r w:rsidR="001E5C3A" w:rsidRPr="00EB2ED0">
        <w:rPr>
          <w:rFonts w:ascii="Arial" w:eastAsiaTheme="minorHAnsi" w:hAnsi="Arial" w:cs="Arial"/>
          <w:sz w:val="22"/>
          <w:szCs w:val="22"/>
          <w:lang w:eastAsia="en-US"/>
        </w:rPr>
        <w:t>1</w:t>
      </w:r>
      <w:r w:rsidR="00A90AD3" w:rsidRPr="00EB2ED0">
        <w:rPr>
          <w:rFonts w:ascii="Arial" w:eastAsiaTheme="minorHAnsi" w:hAnsi="Arial" w:cs="Arial"/>
          <w:sz w:val="22"/>
          <w:szCs w:val="22"/>
          <w:lang w:eastAsia="en-US"/>
        </w:rPr>
        <w:t xml:space="preserve">, la Agencia </w:t>
      </w:r>
      <w:r w:rsidR="008A66F2" w:rsidRPr="00EB2ED0">
        <w:rPr>
          <w:rFonts w:ascii="Arial" w:eastAsiaTheme="minorHAnsi" w:hAnsi="Arial" w:cs="Arial"/>
          <w:sz w:val="22"/>
          <w:szCs w:val="22"/>
          <w:lang w:eastAsia="en-US"/>
        </w:rPr>
        <w:t xml:space="preserve">ha sostenido </w:t>
      </w:r>
      <w:r w:rsidR="00A90AD3" w:rsidRPr="00EB2ED0">
        <w:rPr>
          <w:rFonts w:ascii="Arial" w:eastAsiaTheme="minorHAnsi" w:hAnsi="Arial" w:cs="Arial"/>
          <w:sz w:val="22"/>
          <w:szCs w:val="22"/>
          <w:lang w:eastAsia="en-US"/>
        </w:rPr>
        <w:t>que</w:t>
      </w:r>
      <w:r w:rsidR="00BD2C4A" w:rsidRPr="00EB2ED0">
        <w:rPr>
          <w:rFonts w:ascii="Arial" w:eastAsiaTheme="minorHAnsi" w:hAnsi="Arial" w:cs="Arial"/>
          <w:sz w:val="22"/>
          <w:szCs w:val="22"/>
          <w:lang w:eastAsia="en-US"/>
        </w:rPr>
        <w:t>:</w:t>
      </w:r>
    </w:p>
    <w:p w14:paraId="7DA514B8" w14:textId="77777777" w:rsidR="00D14E26" w:rsidRPr="00EB2ED0" w:rsidRDefault="00D14E26" w:rsidP="00EB2ED0">
      <w:pPr>
        <w:ind w:left="709" w:right="709"/>
        <w:jc w:val="both"/>
        <w:rPr>
          <w:rFonts w:ascii="Arial" w:hAnsi="Arial" w:cs="Arial"/>
          <w:sz w:val="21"/>
          <w:szCs w:val="21"/>
          <w:lang w:val="es-ES_tradnl"/>
        </w:rPr>
      </w:pPr>
    </w:p>
    <w:p w14:paraId="6F5B5E45" w14:textId="5A39AA6F" w:rsidR="00863664" w:rsidRPr="00EB2ED0" w:rsidRDefault="00A90AD3" w:rsidP="00EB2ED0">
      <w:pPr>
        <w:ind w:left="709" w:right="709"/>
        <w:jc w:val="both"/>
        <w:rPr>
          <w:rFonts w:ascii="Arial" w:hAnsi="Arial" w:cs="Arial"/>
          <w:sz w:val="21"/>
          <w:szCs w:val="21"/>
          <w:lang w:val="es-ES_tradnl"/>
        </w:rPr>
      </w:pPr>
      <w:r w:rsidRPr="00EB2ED0">
        <w:rPr>
          <w:rFonts w:ascii="Arial" w:hAnsi="Arial" w:cs="Arial"/>
          <w:sz w:val="21"/>
          <w:szCs w:val="21"/>
          <w:lang w:val="es-ES_tradnl"/>
        </w:rPr>
        <w:t>[…]</w:t>
      </w:r>
      <w:r w:rsidR="00D14E26" w:rsidRPr="00EB2ED0">
        <w:rPr>
          <w:rFonts w:ascii="Arial" w:hAnsi="Arial" w:cs="Arial"/>
          <w:sz w:val="21"/>
          <w:szCs w:val="21"/>
          <w:lang w:val="es-ES_tradnl"/>
        </w:rPr>
        <w:t xml:space="preserve"> una interpretación exegética del parágrafo 2 del artículo 30 de la Ley de Emprendimiento desconocería la aplicación de normas transversales al sistema de compras y contratación pública, tales como la capacidad de los consorcios y las uniones temporales, el régimen de inhabilidades e incompatibilidades, los requisitos para ejercer las potestades exorbitantes o los principios de la contratación estatal –arts. 6, 8, 14.2 y 23 de la Ley 80 de 1993, respectivamente–. Llevada al extremo, la idea de que el procedimiento de mínima cuantía solo se regula por el artículo 30 de la Ley 2069 de 2020 y su correspondiente reglamentación genera consecuencias absurdas, pues daría a entender que el reglamento podría llegar a modificar aspectos elevados a rango de ley, como lo son los criterios de desempate previstos en el artículo 35 de la Ley 2069 de 2020. </w:t>
      </w:r>
    </w:p>
    <w:p w14:paraId="4A90B51B" w14:textId="714C49C6" w:rsidR="00863664" w:rsidRPr="00EB2ED0" w:rsidRDefault="00863664" w:rsidP="00EB2ED0">
      <w:pPr>
        <w:spacing w:after="120"/>
        <w:ind w:left="709" w:right="709"/>
        <w:jc w:val="both"/>
        <w:rPr>
          <w:rFonts w:ascii="Arial" w:hAnsi="Arial" w:cs="Arial"/>
          <w:sz w:val="21"/>
          <w:szCs w:val="21"/>
          <w:lang w:val="es-ES_tradnl"/>
        </w:rPr>
      </w:pPr>
      <w:r w:rsidRPr="00EB2ED0">
        <w:rPr>
          <w:rFonts w:ascii="Arial" w:hAnsi="Arial" w:cs="Arial"/>
          <w:sz w:val="21"/>
          <w:szCs w:val="21"/>
          <w:lang w:val="es-ES_tradnl"/>
        </w:rPr>
        <w:t>[…]</w:t>
      </w:r>
    </w:p>
    <w:p w14:paraId="3782D456" w14:textId="3A13F889" w:rsidR="00BD2C4A" w:rsidRPr="00EB2ED0" w:rsidRDefault="00BD2C4A" w:rsidP="00EB2ED0">
      <w:pPr>
        <w:ind w:left="709" w:right="709"/>
        <w:jc w:val="both"/>
        <w:rPr>
          <w:rFonts w:ascii="Arial" w:eastAsia="Calibri" w:hAnsi="Arial" w:cs="Arial"/>
          <w:bCs/>
          <w:sz w:val="21"/>
          <w:szCs w:val="21"/>
        </w:rPr>
      </w:pPr>
      <w:r w:rsidRPr="00EB2ED0">
        <w:rPr>
          <w:rFonts w:ascii="Arial" w:hAnsi="Arial" w:cs="Arial"/>
          <w:sz w:val="21"/>
          <w:szCs w:val="21"/>
          <w:lang w:val="es-ES_tradnl"/>
        </w:rPr>
        <w:t xml:space="preserve">Tratándose de los factores de desempate, la intención del legislador es que el artículo 35 de la Ley de Emprendimiento sea una norma transversal al sistema de compras y contratación pública. Particularmente, </w:t>
      </w:r>
      <w:r w:rsidRPr="00EB2ED0">
        <w:rPr>
          <w:rFonts w:ascii="Arial" w:eastAsia="Calibri" w:hAnsi="Arial" w:cs="Arial"/>
          <w:bCs/>
          <w:sz w:val="21"/>
          <w:szCs w:val="21"/>
        </w:rPr>
        <w:t>conforme a la exposición de motivos, la ley «</w:t>
      </w:r>
      <w:r w:rsidRPr="00EB2ED0">
        <w:rPr>
          <w:rFonts w:ascii="Arial" w:hAnsi="Arial" w:cs="Arial"/>
          <w:sz w:val="21"/>
          <w:szCs w:val="21"/>
        </w:rPr>
        <w:t xml:space="preserve">[…] </w:t>
      </w:r>
      <w:r w:rsidRPr="00EB2ED0">
        <w:rPr>
          <w:rFonts w:ascii="Arial" w:eastAsia="Calibri" w:hAnsi="Arial" w:cs="Arial"/>
          <w:bCs/>
          <w:sz w:val="21"/>
          <w:szCs w:val="21"/>
        </w:rPr>
        <w:t xml:space="preserve">propone facilitar el acceso de las </w:t>
      </w:r>
      <w:proofErr w:type="spellStart"/>
      <w:r w:rsidRPr="00EB2ED0">
        <w:rPr>
          <w:rFonts w:ascii="Arial" w:eastAsia="Calibri" w:hAnsi="Arial" w:cs="Arial"/>
          <w:bCs/>
          <w:sz w:val="21"/>
          <w:szCs w:val="21"/>
        </w:rPr>
        <w:t>Mipymes</w:t>
      </w:r>
      <w:proofErr w:type="spellEnd"/>
      <w:r w:rsidRPr="00EB2ED0">
        <w:rPr>
          <w:rFonts w:ascii="Arial" w:eastAsia="Calibri" w:hAnsi="Arial" w:cs="Arial"/>
          <w:bCs/>
          <w:sz w:val="21"/>
          <w:szCs w:val="21"/>
        </w:rPr>
        <w:t xml:space="preserve"> a la modalidad de contratación de mínima cuantía, la limitación de estos procesos a </w:t>
      </w:r>
      <w:proofErr w:type="spellStart"/>
      <w:r w:rsidRPr="00EB2ED0">
        <w:rPr>
          <w:rFonts w:ascii="Arial" w:eastAsia="Calibri" w:hAnsi="Arial" w:cs="Arial"/>
          <w:bCs/>
          <w:sz w:val="21"/>
          <w:szCs w:val="21"/>
        </w:rPr>
        <w:t>Mipymes</w:t>
      </w:r>
      <w:proofErr w:type="spellEnd"/>
      <w:r w:rsidRPr="00EB2ED0">
        <w:rPr>
          <w:rFonts w:ascii="Arial" w:eastAsia="Calibri" w:hAnsi="Arial" w:cs="Arial"/>
          <w:bCs/>
          <w:sz w:val="21"/>
          <w:szCs w:val="21"/>
        </w:rPr>
        <w:t xml:space="preserve">, […] y </w:t>
      </w:r>
      <w:r w:rsidRPr="00EB2ED0">
        <w:rPr>
          <w:rFonts w:ascii="Arial" w:eastAsia="Calibri" w:hAnsi="Arial" w:cs="Arial"/>
          <w:bCs/>
          <w:i/>
          <w:iCs/>
          <w:sz w:val="21"/>
          <w:szCs w:val="21"/>
        </w:rPr>
        <w:t>define la inclusión de factores de desempate en los procesos de contratación pública que priorizan este segmento</w:t>
      </w:r>
      <w:r w:rsidRPr="00EB2ED0">
        <w:rPr>
          <w:rFonts w:ascii="Arial" w:eastAsia="Calibri" w:hAnsi="Arial" w:cs="Arial"/>
          <w:bCs/>
          <w:sz w:val="21"/>
          <w:szCs w:val="21"/>
        </w:rPr>
        <w:t xml:space="preserve">» (Énfasis fuera de texto). En esta medida, carece de sentido que los criterios de desempate sean inaplicables a la mínima cuantía, cuando la regla revista en el artículo citado obliga a todas las entidades exceptuadas sin consideración al valor del presupuesto oficial estimado. Teniendo en cuenta lo anterior, se concluye que el artículo </w:t>
      </w:r>
      <w:r w:rsidRPr="00EB2ED0">
        <w:rPr>
          <w:rFonts w:ascii="Arial" w:hAnsi="Arial" w:cs="Arial"/>
          <w:sz w:val="21"/>
          <w:szCs w:val="21"/>
          <w:lang w:val="es-ES_tradnl"/>
        </w:rPr>
        <w:t>35 de la Ley 2069 de 2020 es aplicable al procedimiento de mínima cuantía, por lo que se presenta tanto la derogación como el decaimiento de los criterios de desempate previstos en el Decreto 1082 de 2015 para esta modalidad de selección</w:t>
      </w:r>
      <w:r w:rsidRPr="00EB2ED0">
        <w:rPr>
          <w:rStyle w:val="Refdenotaalpie"/>
          <w:rFonts w:ascii="Arial" w:hAnsi="Arial" w:cs="Arial"/>
          <w:sz w:val="21"/>
          <w:szCs w:val="21"/>
          <w:lang w:val="es-ES_tradnl"/>
        </w:rPr>
        <w:footnoteReference w:id="24"/>
      </w:r>
      <w:r w:rsidRPr="00EB2ED0">
        <w:rPr>
          <w:rFonts w:ascii="Arial" w:hAnsi="Arial" w:cs="Arial"/>
          <w:sz w:val="21"/>
          <w:szCs w:val="21"/>
          <w:lang w:val="es-ES_tradnl"/>
        </w:rPr>
        <w:t xml:space="preserve">. </w:t>
      </w:r>
      <w:r w:rsidRPr="00EB2ED0">
        <w:rPr>
          <w:rFonts w:ascii="Arial" w:eastAsia="Calibri" w:hAnsi="Arial" w:cs="Arial"/>
          <w:bCs/>
          <w:sz w:val="21"/>
          <w:szCs w:val="21"/>
        </w:rPr>
        <w:t xml:space="preserve">   </w:t>
      </w:r>
      <w:r w:rsidRPr="00EB2ED0">
        <w:rPr>
          <w:rFonts w:ascii="Arial" w:hAnsi="Arial" w:cs="Arial"/>
          <w:sz w:val="21"/>
          <w:szCs w:val="21"/>
          <w:lang w:val="es-ES_tradnl"/>
        </w:rPr>
        <w:t xml:space="preserve">     </w:t>
      </w:r>
    </w:p>
    <w:p w14:paraId="5914EE3B" w14:textId="12288E33" w:rsidR="00BD2C4A" w:rsidRPr="00EB2ED0" w:rsidRDefault="001E5C3A" w:rsidP="00EB2ED0">
      <w:pPr>
        <w:tabs>
          <w:tab w:val="left" w:pos="0"/>
        </w:tabs>
        <w:spacing w:line="276" w:lineRule="auto"/>
        <w:jc w:val="both"/>
        <w:rPr>
          <w:rFonts w:ascii="Arial" w:eastAsiaTheme="minorHAnsi" w:hAnsi="Arial" w:cs="Arial"/>
          <w:sz w:val="22"/>
          <w:szCs w:val="22"/>
          <w:lang w:eastAsia="en-US"/>
        </w:rPr>
      </w:pPr>
      <w:r w:rsidRPr="00EB2ED0">
        <w:rPr>
          <w:rFonts w:ascii="Arial" w:eastAsiaTheme="minorHAnsi" w:hAnsi="Arial" w:cs="Arial"/>
          <w:sz w:val="22"/>
          <w:szCs w:val="22"/>
          <w:lang w:eastAsia="en-US"/>
        </w:rPr>
        <w:tab/>
      </w:r>
    </w:p>
    <w:p w14:paraId="3D8BAC6A" w14:textId="60F5207F" w:rsidR="005651C7" w:rsidRPr="00EB2ED0" w:rsidRDefault="001E5C3A" w:rsidP="00EB2ED0">
      <w:pPr>
        <w:tabs>
          <w:tab w:val="left" w:pos="0"/>
        </w:tabs>
        <w:spacing w:after="120" w:line="276" w:lineRule="auto"/>
        <w:jc w:val="both"/>
        <w:rPr>
          <w:rFonts w:ascii="Arial" w:eastAsia="Calibri" w:hAnsi="Arial" w:cs="Arial"/>
          <w:sz w:val="22"/>
          <w:szCs w:val="22"/>
          <w:lang w:val="es-ES_tradnl"/>
        </w:rPr>
      </w:pPr>
      <w:r w:rsidRPr="00EB2ED0">
        <w:rPr>
          <w:rFonts w:ascii="Arial" w:eastAsiaTheme="minorHAnsi" w:hAnsi="Arial" w:cs="Arial"/>
          <w:sz w:val="22"/>
          <w:szCs w:val="22"/>
          <w:lang w:eastAsia="en-US"/>
        </w:rPr>
        <w:tab/>
        <w:t>Conforme a lo anterior,</w:t>
      </w:r>
      <w:r w:rsidR="0006791B" w:rsidRPr="00EB2ED0">
        <w:rPr>
          <w:rFonts w:ascii="Arial" w:eastAsiaTheme="minorHAnsi" w:hAnsi="Arial" w:cs="Arial"/>
          <w:sz w:val="22"/>
          <w:szCs w:val="22"/>
          <w:lang w:eastAsia="en-US"/>
        </w:rPr>
        <w:t xml:space="preserve"> </w:t>
      </w:r>
      <w:r w:rsidR="0093110D" w:rsidRPr="00EB2ED0">
        <w:rPr>
          <w:rFonts w:ascii="Arial" w:eastAsiaTheme="minorHAnsi" w:hAnsi="Arial" w:cs="Arial"/>
          <w:sz w:val="22"/>
          <w:szCs w:val="22"/>
          <w:lang w:eastAsia="en-US"/>
        </w:rPr>
        <w:t>la aplicación del</w:t>
      </w:r>
      <w:r w:rsidR="00316AD8" w:rsidRPr="00EB2ED0">
        <w:rPr>
          <w:rFonts w:ascii="Arial" w:eastAsiaTheme="minorHAnsi" w:hAnsi="Arial" w:cs="Arial"/>
          <w:sz w:val="22"/>
          <w:szCs w:val="22"/>
          <w:lang w:eastAsia="en-US"/>
        </w:rPr>
        <w:t xml:space="preserve"> artículo 35 de la Ley 2069 de 2020</w:t>
      </w:r>
      <w:r w:rsidR="0093110D" w:rsidRPr="00EB2ED0">
        <w:rPr>
          <w:rFonts w:ascii="Arial" w:eastAsiaTheme="minorHAnsi" w:hAnsi="Arial" w:cs="Arial"/>
          <w:sz w:val="22"/>
          <w:szCs w:val="22"/>
          <w:lang w:eastAsia="en-US"/>
        </w:rPr>
        <w:t xml:space="preserve"> es transversal a los diferentes actores del sistema de compras públicas, quienes </w:t>
      </w:r>
      <w:r w:rsidR="006B722F" w:rsidRPr="00EB2ED0">
        <w:rPr>
          <w:rFonts w:ascii="Arial" w:eastAsiaTheme="minorHAnsi" w:hAnsi="Arial" w:cs="Arial"/>
          <w:sz w:val="22"/>
          <w:szCs w:val="22"/>
          <w:lang w:eastAsia="en-US"/>
        </w:rPr>
        <w:t>–</w:t>
      </w:r>
      <w:r w:rsidR="0093110D" w:rsidRPr="00EB2ED0">
        <w:rPr>
          <w:rFonts w:ascii="Arial" w:eastAsiaTheme="minorHAnsi" w:hAnsi="Arial" w:cs="Arial"/>
          <w:sz w:val="22"/>
          <w:szCs w:val="22"/>
          <w:lang w:eastAsia="en-US"/>
        </w:rPr>
        <w:lastRenderedPageBreak/>
        <w:t>indistintamente de</w:t>
      </w:r>
      <w:r w:rsidR="006B722F" w:rsidRPr="00EB2ED0">
        <w:rPr>
          <w:rFonts w:ascii="Arial" w:eastAsiaTheme="minorHAnsi" w:hAnsi="Arial" w:cs="Arial"/>
          <w:sz w:val="22"/>
          <w:szCs w:val="22"/>
          <w:lang w:eastAsia="en-US"/>
        </w:rPr>
        <w:t>l</w:t>
      </w:r>
      <w:r w:rsidR="00BF4154" w:rsidRPr="00EB2ED0">
        <w:rPr>
          <w:rFonts w:ascii="Arial" w:eastAsiaTheme="minorHAnsi" w:hAnsi="Arial" w:cs="Arial"/>
          <w:sz w:val="22"/>
          <w:szCs w:val="22"/>
          <w:lang w:eastAsia="en-US"/>
        </w:rPr>
        <w:t xml:space="preserve"> régimen de </w:t>
      </w:r>
      <w:r w:rsidR="006B722F" w:rsidRPr="00EB2ED0">
        <w:rPr>
          <w:rFonts w:ascii="Arial" w:eastAsiaTheme="minorHAnsi" w:hAnsi="Arial" w:cs="Arial"/>
          <w:sz w:val="22"/>
          <w:szCs w:val="22"/>
          <w:lang w:eastAsia="en-US"/>
        </w:rPr>
        <w:t>contractual y</w:t>
      </w:r>
      <w:r w:rsidR="003821F1" w:rsidRPr="00EB2ED0">
        <w:rPr>
          <w:rFonts w:ascii="Arial" w:eastAsiaTheme="minorHAnsi" w:hAnsi="Arial" w:cs="Arial"/>
          <w:sz w:val="22"/>
          <w:szCs w:val="22"/>
          <w:lang w:eastAsia="en-US"/>
        </w:rPr>
        <w:t xml:space="preserve"> el proceso de selección</w:t>
      </w:r>
      <w:r w:rsidR="006B722F" w:rsidRPr="00EB2ED0">
        <w:rPr>
          <w:rFonts w:ascii="Arial" w:eastAsiaTheme="minorHAnsi" w:hAnsi="Arial" w:cs="Arial"/>
          <w:sz w:val="22"/>
          <w:szCs w:val="22"/>
          <w:lang w:eastAsia="en-US"/>
        </w:rPr>
        <w:t>–</w:t>
      </w:r>
      <w:r w:rsidR="003821F1" w:rsidRPr="00EB2ED0">
        <w:rPr>
          <w:rFonts w:ascii="Arial" w:eastAsiaTheme="minorHAnsi" w:hAnsi="Arial" w:cs="Arial"/>
          <w:sz w:val="22"/>
          <w:szCs w:val="22"/>
          <w:lang w:eastAsia="en-US"/>
        </w:rPr>
        <w:t xml:space="preserve"> deben aplicar los criterios de desempate de </w:t>
      </w:r>
      <w:r w:rsidR="006B722F" w:rsidRPr="00EB2ED0">
        <w:rPr>
          <w:rFonts w:ascii="Arial" w:eastAsiaTheme="minorHAnsi" w:hAnsi="Arial" w:cs="Arial"/>
          <w:sz w:val="22"/>
          <w:szCs w:val="22"/>
          <w:lang w:eastAsia="en-US"/>
        </w:rPr>
        <w:t xml:space="preserve">esta </w:t>
      </w:r>
      <w:r w:rsidR="003821F1" w:rsidRPr="00EB2ED0">
        <w:rPr>
          <w:rFonts w:ascii="Arial" w:eastAsiaTheme="minorHAnsi" w:hAnsi="Arial" w:cs="Arial"/>
          <w:sz w:val="22"/>
          <w:szCs w:val="22"/>
          <w:lang w:eastAsia="en-US"/>
        </w:rPr>
        <w:t>norma, lo cual</w:t>
      </w:r>
      <w:r w:rsidR="00C37BD9" w:rsidRPr="00EB2ED0">
        <w:rPr>
          <w:rFonts w:ascii="Arial" w:eastAsiaTheme="minorHAnsi" w:hAnsi="Arial" w:cs="Arial"/>
          <w:sz w:val="22"/>
          <w:szCs w:val="22"/>
          <w:lang w:eastAsia="en-US"/>
        </w:rPr>
        <w:t xml:space="preserve"> aplica al procedimiento de mínima cuantía. </w:t>
      </w:r>
      <w:r w:rsidR="00495553" w:rsidRPr="00EB2ED0">
        <w:rPr>
          <w:rFonts w:ascii="Arial" w:eastAsiaTheme="minorHAnsi" w:hAnsi="Arial" w:cs="Arial"/>
          <w:sz w:val="22"/>
          <w:szCs w:val="22"/>
          <w:lang w:eastAsia="en-US"/>
        </w:rPr>
        <w:t>Conforme al</w:t>
      </w:r>
      <w:r w:rsidR="00C37BD9" w:rsidRPr="00EB2ED0">
        <w:rPr>
          <w:rFonts w:ascii="Arial" w:eastAsiaTheme="minorHAnsi" w:hAnsi="Arial" w:cs="Arial"/>
          <w:sz w:val="22"/>
          <w:szCs w:val="22"/>
          <w:lang w:eastAsia="en-US"/>
        </w:rPr>
        <w:t xml:space="preserve"> ámbito de aplicación, </w:t>
      </w:r>
      <w:r w:rsidR="005474DA" w:rsidRPr="00EB2ED0">
        <w:rPr>
          <w:rFonts w:ascii="Arial" w:eastAsiaTheme="minorHAnsi" w:hAnsi="Arial" w:cs="Arial"/>
          <w:sz w:val="22"/>
          <w:szCs w:val="22"/>
          <w:lang w:eastAsia="en-US"/>
        </w:rPr>
        <w:t>la regulación de</w:t>
      </w:r>
      <w:r w:rsidR="003D2E69" w:rsidRPr="00EB2ED0">
        <w:rPr>
          <w:rFonts w:ascii="Arial" w:eastAsiaTheme="minorHAnsi" w:hAnsi="Arial" w:cs="Arial"/>
          <w:sz w:val="22"/>
          <w:szCs w:val="22"/>
          <w:lang w:eastAsia="en-US"/>
        </w:rPr>
        <w:t>l tema en la Ley de Emprendimiento</w:t>
      </w:r>
      <w:r w:rsidR="00C37BD9" w:rsidRPr="00EB2ED0">
        <w:rPr>
          <w:rFonts w:ascii="Arial" w:eastAsiaTheme="minorHAnsi" w:hAnsi="Arial" w:cs="Arial"/>
          <w:sz w:val="22"/>
          <w:szCs w:val="22"/>
          <w:lang w:eastAsia="en-US"/>
        </w:rPr>
        <w:t xml:space="preserve"> ha generado la derogatoria y decaimiento </w:t>
      </w:r>
      <w:r w:rsidR="005357FA" w:rsidRPr="00EB2ED0">
        <w:rPr>
          <w:rFonts w:ascii="Arial" w:eastAsiaTheme="minorHAnsi" w:hAnsi="Arial" w:cs="Arial"/>
          <w:sz w:val="22"/>
          <w:szCs w:val="22"/>
          <w:lang w:eastAsia="en-US"/>
        </w:rPr>
        <w:t>del numeral 7 del artículo</w:t>
      </w:r>
      <w:r w:rsidR="002A725A" w:rsidRPr="00EB2ED0">
        <w:rPr>
          <w:rFonts w:ascii="Arial" w:eastAsiaTheme="minorHAnsi" w:hAnsi="Arial" w:cs="Arial"/>
          <w:sz w:val="22"/>
          <w:szCs w:val="22"/>
          <w:lang w:eastAsia="en-US"/>
        </w:rPr>
        <w:t xml:space="preserve"> </w:t>
      </w:r>
      <w:r w:rsidR="002A725A" w:rsidRPr="00EB2ED0">
        <w:rPr>
          <w:rFonts w:ascii="Arial" w:eastAsia="Calibri" w:hAnsi="Arial" w:cs="Arial"/>
          <w:sz w:val="22"/>
          <w:szCs w:val="22"/>
          <w:lang w:val="es-ES_tradnl"/>
        </w:rPr>
        <w:t>2.2.1.2.1.5.2</w:t>
      </w:r>
      <w:r w:rsidR="00463B3C" w:rsidRPr="00EB2ED0">
        <w:rPr>
          <w:rFonts w:ascii="Arial" w:eastAsia="Calibri" w:hAnsi="Arial" w:cs="Arial"/>
          <w:sz w:val="22"/>
          <w:szCs w:val="22"/>
          <w:lang w:val="es-ES_tradnl"/>
        </w:rPr>
        <w:t xml:space="preserve"> del Decreto 1082 de 2015</w:t>
      </w:r>
      <w:r w:rsidR="00127278" w:rsidRPr="00EB2ED0">
        <w:rPr>
          <w:rFonts w:ascii="Arial" w:eastAsia="Calibri" w:hAnsi="Arial" w:cs="Arial"/>
          <w:sz w:val="22"/>
          <w:szCs w:val="22"/>
          <w:lang w:val="es-ES_tradnl"/>
        </w:rPr>
        <w:t>.</w:t>
      </w:r>
      <w:r w:rsidR="00E47EFD" w:rsidRPr="00EB2ED0">
        <w:rPr>
          <w:rFonts w:ascii="Arial" w:eastAsia="Calibri" w:hAnsi="Arial" w:cs="Arial"/>
          <w:sz w:val="22"/>
          <w:szCs w:val="22"/>
          <w:lang w:val="es-ES_tradnl"/>
        </w:rPr>
        <w:t xml:space="preserve"> Esto</w:t>
      </w:r>
      <w:r w:rsidR="0067645B" w:rsidRPr="00EB2ED0">
        <w:rPr>
          <w:rFonts w:ascii="Arial" w:eastAsia="Calibri" w:hAnsi="Arial" w:cs="Arial"/>
          <w:sz w:val="22"/>
          <w:szCs w:val="22"/>
          <w:lang w:val="es-ES_tradnl"/>
        </w:rPr>
        <w:t xml:space="preserve"> significa que</w:t>
      </w:r>
      <w:r w:rsidR="00EC1F36" w:rsidRPr="00EB2ED0">
        <w:rPr>
          <w:rFonts w:ascii="Arial" w:eastAsia="Calibri" w:hAnsi="Arial" w:cs="Arial"/>
          <w:sz w:val="22"/>
          <w:szCs w:val="22"/>
          <w:lang w:val="es-ES_tradnl"/>
        </w:rPr>
        <w:t>, con excepción del numeral citado,</w:t>
      </w:r>
      <w:r w:rsidR="003D2E69" w:rsidRPr="00EB2ED0">
        <w:rPr>
          <w:rFonts w:ascii="Arial" w:eastAsia="Calibri" w:hAnsi="Arial" w:cs="Arial"/>
          <w:sz w:val="22"/>
          <w:szCs w:val="22"/>
          <w:lang w:val="es-ES_tradnl"/>
        </w:rPr>
        <w:t xml:space="preserve"> es posible</w:t>
      </w:r>
      <w:r w:rsidR="00303629" w:rsidRPr="00EB2ED0">
        <w:rPr>
          <w:rFonts w:ascii="Arial" w:eastAsia="Calibri" w:hAnsi="Arial" w:cs="Arial"/>
          <w:sz w:val="22"/>
          <w:szCs w:val="22"/>
          <w:lang w:val="es-ES_tradnl"/>
        </w:rPr>
        <w:t xml:space="preserve"> adelantar procesos de selección </w:t>
      </w:r>
      <w:r w:rsidR="00E32279" w:rsidRPr="00EB2ED0">
        <w:rPr>
          <w:rFonts w:ascii="Arial" w:eastAsia="Calibri" w:hAnsi="Arial" w:cs="Arial"/>
          <w:sz w:val="22"/>
          <w:szCs w:val="22"/>
          <w:lang w:val="es-ES_tradnl"/>
        </w:rPr>
        <w:t xml:space="preserve">de mínima cuantía </w:t>
      </w:r>
      <w:r w:rsidR="00E31FCF" w:rsidRPr="00EB2ED0">
        <w:rPr>
          <w:rFonts w:ascii="Arial" w:eastAsia="Calibri" w:hAnsi="Arial" w:cs="Arial"/>
          <w:sz w:val="22"/>
          <w:szCs w:val="22"/>
          <w:lang w:val="es-ES_tradnl"/>
        </w:rPr>
        <w:t xml:space="preserve">con </w:t>
      </w:r>
      <w:r w:rsidR="00E32279" w:rsidRPr="00EB2ED0">
        <w:rPr>
          <w:rFonts w:ascii="Arial" w:eastAsia="Calibri" w:hAnsi="Arial" w:cs="Arial"/>
          <w:sz w:val="22"/>
          <w:szCs w:val="22"/>
          <w:lang w:val="es-ES_tradnl"/>
        </w:rPr>
        <w:t xml:space="preserve">el procedimiento </w:t>
      </w:r>
      <w:r w:rsidR="00EC1F36" w:rsidRPr="00EB2ED0">
        <w:rPr>
          <w:rFonts w:ascii="Arial" w:eastAsia="Calibri" w:hAnsi="Arial" w:cs="Arial"/>
          <w:sz w:val="22"/>
          <w:szCs w:val="22"/>
          <w:lang w:val="es-ES_tradnl"/>
        </w:rPr>
        <w:t>d</w:t>
      </w:r>
      <w:r w:rsidR="00E32279" w:rsidRPr="00EB2ED0">
        <w:rPr>
          <w:rFonts w:ascii="Arial" w:eastAsia="Calibri" w:hAnsi="Arial" w:cs="Arial"/>
          <w:sz w:val="22"/>
          <w:szCs w:val="22"/>
          <w:lang w:val="es-ES_tradnl"/>
        </w:rPr>
        <w:t>el art</w:t>
      </w:r>
      <w:r w:rsidR="009B48F8" w:rsidRPr="00EB2ED0">
        <w:rPr>
          <w:rFonts w:ascii="Arial" w:eastAsia="Calibri" w:hAnsi="Arial" w:cs="Arial"/>
          <w:sz w:val="22"/>
          <w:szCs w:val="22"/>
          <w:lang w:val="es-ES_tradnl"/>
        </w:rPr>
        <w:t xml:space="preserve">ículo </w:t>
      </w:r>
      <w:r w:rsidR="00E32279" w:rsidRPr="00EB2ED0">
        <w:rPr>
          <w:rFonts w:ascii="Arial" w:eastAsia="Calibri" w:hAnsi="Arial" w:cs="Arial"/>
          <w:sz w:val="22"/>
          <w:szCs w:val="22"/>
          <w:lang w:val="es-ES_tradnl"/>
        </w:rPr>
        <w:t>2.2.1.2.1.5.2 del Decreto 1082 de 2015</w:t>
      </w:r>
      <w:r w:rsidR="009B48F8" w:rsidRPr="00EB2ED0">
        <w:rPr>
          <w:rFonts w:ascii="Arial" w:eastAsia="Calibri" w:hAnsi="Arial" w:cs="Arial"/>
          <w:sz w:val="22"/>
          <w:szCs w:val="22"/>
          <w:lang w:val="es-ES_tradnl"/>
        </w:rPr>
        <w:t xml:space="preserve">, </w:t>
      </w:r>
      <w:r w:rsidR="00E31FCF" w:rsidRPr="00EB2ED0">
        <w:rPr>
          <w:rFonts w:ascii="Arial" w:eastAsia="Calibri" w:hAnsi="Arial" w:cs="Arial"/>
          <w:sz w:val="22"/>
          <w:szCs w:val="22"/>
          <w:lang w:val="es-ES_tradnl"/>
        </w:rPr>
        <w:t>para lo</w:t>
      </w:r>
      <w:r w:rsidR="009B48F8" w:rsidRPr="00EB2ED0">
        <w:rPr>
          <w:rFonts w:ascii="Arial" w:eastAsia="Calibri" w:hAnsi="Arial" w:cs="Arial"/>
          <w:sz w:val="22"/>
          <w:szCs w:val="22"/>
          <w:lang w:val="es-ES_tradnl"/>
        </w:rPr>
        <w:t xml:space="preserve"> cual </w:t>
      </w:r>
      <w:r w:rsidR="00E31FCF" w:rsidRPr="00EB2ED0">
        <w:rPr>
          <w:rFonts w:ascii="Arial" w:eastAsia="Calibri" w:hAnsi="Arial" w:cs="Arial"/>
          <w:sz w:val="22"/>
          <w:szCs w:val="22"/>
          <w:lang w:val="es-ES_tradnl"/>
        </w:rPr>
        <w:t xml:space="preserve">–en caso de empate– </w:t>
      </w:r>
      <w:r w:rsidR="009B48F8" w:rsidRPr="00EB2ED0">
        <w:rPr>
          <w:rFonts w:ascii="Arial" w:eastAsia="Calibri" w:hAnsi="Arial" w:cs="Arial"/>
          <w:sz w:val="22"/>
          <w:szCs w:val="22"/>
          <w:lang w:val="es-ES_tradnl"/>
        </w:rPr>
        <w:t>debe aplicar</w:t>
      </w:r>
      <w:r w:rsidR="008D3FFE" w:rsidRPr="00EB2ED0">
        <w:rPr>
          <w:rFonts w:ascii="Arial" w:eastAsia="Calibri" w:hAnsi="Arial" w:cs="Arial"/>
          <w:sz w:val="22"/>
          <w:szCs w:val="22"/>
          <w:lang w:val="es-ES_tradnl"/>
        </w:rPr>
        <w:t>se</w:t>
      </w:r>
      <w:r w:rsidR="009B48F8" w:rsidRPr="00EB2ED0">
        <w:rPr>
          <w:rFonts w:ascii="Arial" w:eastAsia="Calibri" w:hAnsi="Arial" w:cs="Arial"/>
          <w:sz w:val="22"/>
          <w:szCs w:val="22"/>
          <w:lang w:val="es-ES_tradnl"/>
        </w:rPr>
        <w:t xml:space="preserve"> el artículo 35 de la Ley 2069 de 2020</w:t>
      </w:r>
      <w:r w:rsidR="008D3FFE" w:rsidRPr="00EB2ED0">
        <w:rPr>
          <w:rFonts w:ascii="Arial" w:eastAsia="Calibri" w:hAnsi="Arial" w:cs="Arial"/>
          <w:sz w:val="22"/>
          <w:szCs w:val="22"/>
          <w:lang w:val="es-ES_tradnl"/>
        </w:rPr>
        <w:t>.</w:t>
      </w:r>
    </w:p>
    <w:p w14:paraId="1F3F01C4" w14:textId="66B8FAFE" w:rsidR="00B57E74" w:rsidRPr="00EB2ED0" w:rsidRDefault="00127278" w:rsidP="00EB2ED0">
      <w:pPr>
        <w:tabs>
          <w:tab w:val="left" w:pos="0"/>
        </w:tabs>
        <w:spacing w:after="120" w:line="276" w:lineRule="auto"/>
        <w:jc w:val="both"/>
        <w:rPr>
          <w:rFonts w:ascii="Arial" w:eastAsia="Calibri" w:hAnsi="Arial" w:cs="Arial"/>
          <w:sz w:val="22"/>
          <w:szCs w:val="22"/>
          <w:lang w:val="es-ES_tradnl"/>
        </w:rPr>
      </w:pPr>
      <w:r w:rsidRPr="00EB2ED0">
        <w:rPr>
          <w:rFonts w:ascii="Arial" w:eastAsia="Calibri" w:hAnsi="Arial" w:cs="Arial"/>
          <w:sz w:val="22"/>
          <w:szCs w:val="22"/>
          <w:lang w:val="es-ES_tradnl"/>
        </w:rPr>
        <w:tab/>
        <w:t xml:space="preserve">Ahora bien, </w:t>
      </w:r>
      <w:r w:rsidR="001B4D36" w:rsidRPr="00EB2ED0">
        <w:rPr>
          <w:rFonts w:ascii="Arial" w:eastAsia="Calibri" w:hAnsi="Arial" w:cs="Arial"/>
          <w:sz w:val="22"/>
          <w:szCs w:val="22"/>
          <w:lang w:val="es-ES_tradnl"/>
        </w:rPr>
        <w:t xml:space="preserve">la consulta </w:t>
      </w:r>
      <w:r w:rsidR="00901765" w:rsidRPr="00EB2ED0">
        <w:rPr>
          <w:rFonts w:ascii="Arial" w:eastAsia="Calibri" w:hAnsi="Arial" w:cs="Arial"/>
          <w:sz w:val="22"/>
          <w:szCs w:val="22"/>
          <w:lang w:val="es-ES_tradnl"/>
        </w:rPr>
        <w:t>propone</w:t>
      </w:r>
      <w:r w:rsidR="001D28B0" w:rsidRPr="00EB2ED0">
        <w:rPr>
          <w:rFonts w:ascii="Arial" w:eastAsia="Calibri" w:hAnsi="Arial" w:cs="Arial"/>
          <w:sz w:val="22"/>
          <w:szCs w:val="22"/>
          <w:lang w:val="es-ES_tradnl"/>
        </w:rPr>
        <w:t xml:space="preserve"> </w:t>
      </w:r>
      <w:r w:rsidR="00A83C21" w:rsidRPr="00EB2ED0">
        <w:rPr>
          <w:rFonts w:ascii="Arial" w:eastAsia="Calibri" w:hAnsi="Arial" w:cs="Arial"/>
          <w:sz w:val="22"/>
          <w:szCs w:val="22"/>
          <w:lang w:val="es-ES_tradnl"/>
        </w:rPr>
        <w:t>otra</w:t>
      </w:r>
      <w:r w:rsidR="001D28B0" w:rsidRPr="00EB2ED0">
        <w:rPr>
          <w:rFonts w:ascii="Arial" w:eastAsia="Calibri" w:hAnsi="Arial" w:cs="Arial"/>
          <w:sz w:val="22"/>
          <w:szCs w:val="22"/>
          <w:lang w:val="es-ES_tradnl"/>
        </w:rPr>
        <w:t xml:space="preserve"> </w:t>
      </w:r>
      <w:r w:rsidR="00CC3FC8" w:rsidRPr="00EB2ED0">
        <w:rPr>
          <w:rFonts w:ascii="Arial" w:eastAsia="Calibri" w:hAnsi="Arial" w:cs="Arial"/>
          <w:sz w:val="22"/>
          <w:szCs w:val="22"/>
          <w:lang w:val="es-ES_tradnl"/>
        </w:rPr>
        <w:t>lectura</w:t>
      </w:r>
      <w:r w:rsidR="001B4D36" w:rsidRPr="00EB2ED0">
        <w:rPr>
          <w:rFonts w:ascii="Arial" w:eastAsia="Calibri" w:hAnsi="Arial" w:cs="Arial"/>
          <w:sz w:val="22"/>
          <w:szCs w:val="22"/>
          <w:lang w:val="es-ES_tradnl"/>
        </w:rPr>
        <w:t xml:space="preserve"> </w:t>
      </w:r>
      <w:r w:rsidR="001D28B0" w:rsidRPr="00EB2ED0">
        <w:rPr>
          <w:rFonts w:ascii="Arial" w:eastAsia="Calibri" w:hAnsi="Arial" w:cs="Arial"/>
          <w:sz w:val="22"/>
          <w:szCs w:val="22"/>
          <w:lang w:val="es-ES_tradnl"/>
        </w:rPr>
        <w:t>del artículo 35 de la Ley 2069 de 2020</w:t>
      </w:r>
      <w:r w:rsidR="00923A05" w:rsidRPr="00EB2ED0">
        <w:rPr>
          <w:rFonts w:ascii="Arial" w:eastAsia="Calibri" w:hAnsi="Arial" w:cs="Arial"/>
          <w:sz w:val="22"/>
          <w:szCs w:val="22"/>
          <w:lang w:val="es-ES_tradnl"/>
        </w:rPr>
        <w:t xml:space="preserve"> </w:t>
      </w:r>
      <w:r w:rsidR="00A83C21" w:rsidRPr="00EB2ED0">
        <w:rPr>
          <w:rFonts w:ascii="Arial" w:eastAsia="Calibri" w:hAnsi="Arial" w:cs="Arial"/>
          <w:sz w:val="22"/>
          <w:szCs w:val="22"/>
          <w:lang w:val="es-ES_tradnl"/>
        </w:rPr>
        <w:t xml:space="preserve">a </w:t>
      </w:r>
      <w:r w:rsidR="00923A05" w:rsidRPr="00EB2ED0">
        <w:rPr>
          <w:rFonts w:ascii="Arial" w:eastAsia="Calibri" w:hAnsi="Arial" w:cs="Arial"/>
          <w:sz w:val="22"/>
          <w:szCs w:val="22"/>
          <w:lang w:val="es-ES_tradnl"/>
        </w:rPr>
        <w:t xml:space="preserve">la modalidad de mínima cuantía. </w:t>
      </w:r>
      <w:r w:rsidR="00E31FCF" w:rsidRPr="00EB2ED0">
        <w:rPr>
          <w:rFonts w:ascii="Arial" w:eastAsia="Calibri" w:hAnsi="Arial" w:cs="Arial"/>
          <w:sz w:val="22"/>
          <w:szCs w:val="22"/>
          <w:lang w:val="es-ES_tradnl"/>
        </w:rPr>
        <w:t>Esta</w:t>
      </w:r>
      <w:r w:rsidR="0078165A" w:rsidRPr="00EB2ED0">
        <w:rPr>
          <w:rFonts w:ascii="Arial" w:eastAsia="Calibri" w:hAnsi="Arial" w:cs="Arial"/>
          <w:sz w:val="22"/>
          <w:szCs w:val="22"/>
          <w:lang w:val="es-ES_tradnl"/>
        </w:rPr>
        <w:t xml:space="preserve"> hipótesis consiste en que, d</w:t>
      </w:r>
      <w:r w:rsidR="002F07F5" w:rsidRPr="00EB2ED0">
        <w:rPr>
          <w:rFonts w:ascii="Arial" w:eastAsia="Calibri" w:hAnsi="Arial" w:cs="Arial"/>
          <w:sz w:val="22"/>
          <w:szCs w:val="22"/>
          <w:lang w:val="es-ES_tradnl"/>
        </w:rPr>
        <w:t>ado</w:t>
      </w:r>
      <w:r w:rsidR="0078165A" w:rsidRPr="00EB2ED0">
        <w:rPr>
          <w:rFonts w:ascii="Arial" w:eastAsia="Calibri" w:hAnsi="Arial" w:cs="Arial"/>
          <w:sz w:val="22"/>
          <w:szCs w:val="22"/>
          <w:lang w:val="es-ES_tradnl"/>
        </w:rPr>
        <w:t xml:space="preserve"> que </w:t>
      </w:r>
      <w:r w:rsidR="003B26A6" w:rsidRPr="00EB2ED0">
        <w:rPr>
          <w:rFonts w:ascii="Arial" w:eastAsia="Calibri" w:hAnsi="Arial" w:cs="Arial"/>
          <w:sz w:val="22"/>
          <w:szCs w:val="22"/>
          <w:lang w:val="es-ES_tradnl"/>
        </w:rPr>
        <w:t>la</w:t>
      </w:r>
      <w:r w:rsidR="0078165A" w:rsidRPr="00EB2ED0">
        <w:rPr>
          <w:rFonts w:ascii="Arial" w:eastAsia="Calibri" w:hAnsi="Arial" w:cs="Arial"/>
          <w:sz w:val="22"/>
          <w:szCs w:val="22"/>
          <w:lang w:val="es-ES_tradnl"/>
        </w:rPr>
        <w:t xml:space="preserve"> norma </w:t>
      </w:r>
      <w:r w:rsidR="00301D6C" w:rsidRPr="00EB2ED0">
        <w:rPr>
          <w:rFonts w:ascii="Arial" w:eastAsia="Calibri" w:hAnsi="Arial" w:cs="Arial"/>
          <w:sz w:val="22"/>
          <w:szCs w:val="22"/>
          <w:lang w:val="es-ES_tradnl"/>
        </w:rPr>
        <w:t>hace referencia</w:t>
      </w:r>
      <w:r w:rsidR="004076A7" w:rsidRPr="00EB2ED0">
        <w:rPr>
          <w:rFonts w:ascii="Arial" w:eastAsia="Calibri" w:hAnsi="Arial" w:cs="Arial"/>
          <w:sz w:val="22"/>
          <w:szCs w:val="22"/>
          <w:lang w:val="es-ES_tradnl"/>
        </w:rPr>
        <w:t xml:space="preserve"> a</w:t>
      </w:r>
      <w:r w:rsidR="003B26A6" w:rsidRPr="00EB2ED0">
        <w:rPr>
          <w:rFonts w:ascii="Arial" w:eastAsia="Calibri" w:hAnsi="Arial" w:cs="Arial"/>
          <w:sz w:val="22"/>
          <w:szCs w:val="22"/>
          <w:lang w:val="es-ES_tradnl"/>
        </w:rPr>
        <w:t>l</w:t>
      </w:r>
      <w:r w:rsidR="00301D6C" w:rsidRPr="00EB2ED0">
        <w:rPr>
          <w:rFonts w:ascii="Arial" w:eastAsia="Calibri" w:hAnsi="Arial" w:cs="Arial"/>
          <w:sz w:val="22"/>
          <w:szCs w:val="22"/>
          <w:lang w:val="es-ES_tradnl"/>
        </w:rPr>
        <w:t xml:space="preserve"> </w:t>
      </w:r>
      <w:r w:rsidR="0078165A" w:rsidRPr="00EB2ED0">
        <w:rPr>
          <w:rFonts w:ascii="Arial" w:eastAsia="Calibri" w:hAnsi="Arial" w:cs="Arial"/>
          <w:bCs/>
          <w:sz w:val="22"/>
          <w:szCs w:val="22"/>
        </w:rPr>
        <w:t>«</w:t>
      </w:r>
      <w:r w:rsidR="00301D6C" w:rsidRPr="00EB2ED0">
        <w:rPr>
          <w:rFonts w:ascii="Arial" w:eastAsia="Calibri" w:hAnsi="Arial" w:cs="Arial"/>
          <w:bCs/>
          <w:sz w:val="22"/>
          <w:szCs w:val="22"/>
        </w:rPr>
        <w:t>[…]</w:t>
      </w:r>
      <w:r w:rsidR="0078165A" w:rsidRPr="00EB2ED0">
        <w:rPr>
          <w:rFonts w:ascii="Arial" w:hAnsi="Arial" w:cs="Arial"/>
          <w:sz w:val="22"/>
          <w:szCs w:val="22"/>
        </w:rPr>
        <w:t xml:space="preserve"> </w:t>
      </w:r>
      <w:r w:rsidR="00996897" w:rsidRPr="00EB2ED0">
        <w:rPr>
          <w:rFonts w:ascii="Arial" w:hAnsi="Arial" w:cs="Arial"/>
          <w:sz w:val="22"/>
          <w:szCs w:val="22"/>
        </w:rPr>
        <w:t xml:space="preserve">empate </w:t>
      </w:r>
      <w:r w:rsidR="0078165A" w:rsidRPr="00EB2ED0">
        <w:rPr>
          <w:rFonts w:ascii="Arial" w:hAnsi="Arial" w:cs="Arial"/>
          <w:sz w:val="22"/>
          <w:szCs w:val="22"/>
        </w:rPr>
        <w:t>en el puntaje total de dos o más ofertas</w:t>
      </w:r>
      <w:r w:rsidR="002F07F5" w:rsidRPr="00EB2ED0">
        <w:rPr>
          <w:rFonts w:ascii="Arial" w:hAnsi="Arial" w:cs="Arial"/>
          <w:sz w:val="22"/>
          <w:szCs w:val="22"/>
        </w:rPr>
        <w:t xml:space="preserve"> </w:t>
      </w:r>
      <w:r w:rsidR="0078165A" w:rsidRPr="00EB2ED0">
        <w:rPr>
          <w:rFonts w:ascii="Arial" w:hAnsi="Arial" w:cs="Arial"/>
          <w:sz w:val="22"/>
          <w:szCs w:val="22"/>
        </w:rPr>
        <w:t>[…]</w:t>
      </w:r>
      <w:r w:rsidR="0078165A" w:rsidRPr="00EB2ED0">
        <w:rPr>
          <w:rFonts w:ascii="Arial" w:eastAsia="Calibri" w:hAnsi="Arial" w:cs="Arial"/>
          <w:bCs/>
          <w:sz w:val="22"/>
          <w:szCs w:val="22"/>
        </w:rPr>
        <w:t>»,</w:t>
      </w:r>
      <w:r w:rsidR="003B26A6" w:rsidRPr="00EB2ED0">
        <w:rPr>
          <w:rFonts w:ascii="Arial" w:eastAsia="Calibri" w:hAnsi="Arial" w:cs="Arial"/>
          <w:bCs/>
          <w:sz w:val="22"/>
          <w:szCs w:val="22"/>
        </w:rPr>
        <w:t xml:space="preserve"> </w:t>
      </w:r>
      <w:r w:rsidR="002F07F5" w:rsidRPr="00EB2ED0">
        <w:rPr>
          <w:rFonts w:ascii="Arial" w:eastAsia="Calibri" w:hAnsi="Arial" w:cs="Arial"/>
          <w:bCs/>
          <w:sz w:val="22"/>
          <w:szCs w:val="22"/>
        </w:rPr>
        <w:t>est</w:t>
      </w:r>
      <w:r w:rsidR="00B94498" w:rsidRPr="00EB2ED0">
        <w:rPr>
          <w:rFonts w:ascii="Arial" w:eastAsia="Calibri" w:hAnsi="Arial" w:cs="Arial"/>
          <w:bCs/>
          <w:sz w:val="22"/>
          <w:szCs w:val="22"/>
        </w:rPr>
        <w:t>a</w:t>
      </w:r>
      <w:r w:rsidR="002F07F5" w:rsidRPr="00EB2ED0">
        <w:rPr>
          <w:rFonts w:ascii="Arial" w:eastAsia="Calibri" w:hAnsi="Arial" w:cs="Arial"/>
          <w:bCs/>
          <w:sz w:val="22"/>
          <w:szCs w:val="22"/>
        </w:rPr>
        <w:t xml:space="preserve"> no sería aplicable al procedimiento de mínima cuantía</w:t>
      </w:r>
      <w:r w:rsidR="00B94498" w:rsidRPr="00EB2ED0">
        <w:rPr>
          <w:rFonts w:ascii="Arial" w:eastAsia="Calibri" w:hAnsi="Arial" w:cs="Arial"/>
          <w:bCs/>
          <w:sz w:val="22"/>
          <w:szCs w:val="22"/>
        </w:rPr>
        <w:t xml:space="preserve">, </w:t>
      </w:r>
      <w:r w:rsidR="002F07F5" w:rsidRPr="00EB2ED0">
        <w:rPr>
          <w:rFonts w:ascii="Arial" w:eastAsia="Calibri" w:hAnsi="Arial" w:cs="Arial"/>
          <w:bCs/>
          <w:sz w:val="22"/>
          <w:szCs w:val="22"/>
        </w:rPr>
        <w:t xml:space="preserve">considerando que </w:t>
      </w:r>
      <w:r w:rsidR="00B94498" w:rsidRPr="00EB2ED0">
        <w:rPr>
          <w:rFonts w:ascii="Arial" w:eastAsia="Calibri" w:hAnsi="Arial" w:cs="Arial"/>
          <w:bCs/>
          <w:sz w:val="22"/>
          <w:szCs w:val="22"/>
        </w:rPr>
        <w:t>–</w:t>
      </w:r>
      <w:r w:rsidR="002F07F5" w:rsidRPr="00EB2ED0">
        <w:rPr>
          <w:rFonts w:ascii="Arial" w:eastAsia="Calibri" w:hAnsi="Arial" w:cs="Arial"/>
          <w:bCs/>
          <w:sz w:val="22"/>
          <w:szCs w:val="22"/>
        </w:rPr>
        <w:t xml:space="preserve">conforme al literal </w:t>
      </w:r>
      <w:r w:rsidR="00CC3FC8" w:rsidRPr="00EB2ED0">
        <w:rPr>
          <w:rFonts w:ascii="Arial" w:eastAsia="Calibri" w:hAnsi="Arial" w:cs="Arial"/>
          <w:bCs/>
          <w:sz w:val="22"/>
          <w:szCs w:val="22"/>
        </w:rPr>
        <w:t>c)</w:t>
      </w:r>
      <w:r w:rsidR="002F07F5" w:rsidRPr="00EB2ED0">
        <w:rPr>
          <w:rFonts w:ascii="Arial" w:eastAsia="Calibri" w:hAnsi="Arial" w:cs="Arial"/>
          <w:bCs/>
          <w:sz w:val="22"/>
          <w:szCs w:val="22"/>
        </w:rPr>
        <w:t xml:space="preserve"> del artículo 2</w:t>
      </w:r>
      <w:r w:rsidR="002F07F5" w:rsidRPr="00EB2ED0">
        <w:rPr>
          <w:rFonts w:ascii="Arial" w:eastAsia="Calibri" w:hAnsi="Arial" w:cs="Arial"/>
          <w:bCs/>
          <w:sz w:val="22"/>
          <w:szCs w:val="22"/>
        </w:rPr>
        <w:softHyphen/>
      </w:r>
      <w:r w:rsidR="00A0789B" w:rsidRPr="00EB2ED0">
        <w:rPr>
          <w:rFonts w:ascii="Arial" w:eastAsia="Calibri" w:hAnsi="Arial" w:cs="Arial"/>
          <w:bCs/>
          <w:sz w:val="22"/>
          <w:szCs w:val="22"/>
        </w:rPr>
        <w:t>.</w:t>
      </w:r>
      <w:r w:rsidR="002F07F5" w:rsidRPr="00EB2ED0">
        <w:rPr>
          <w:rFonts w:ascii="Arial" w:eastAsia="Calibri" w:hAnsi="Arial" w:cs="Arial"/>
          <w:bCs/>
          <w:sz w:val="22"/>
          <w:szCs w:val="22"/>
        </w:rPr>
        <w:t>5 de la Ley 1150 de 2007</w:t>
      </w:r>
      <w:r w:rsidR="00B94498" w:rsidRPr="00EB2ED0">
        <w:rPr>
          <w:rFonts w:ascii="Arial" w:eastAsia="Calibri" w:hAnsi="Arial" w:cs="Arial"/>
          <w:bCs/>
          <w:sz w:val="22"/>
          <w:szCs w:val="22"/>
        </w:rPr>
        <w:t>–</w:t>
      </w:r>
      <w:r w:rsidR="002F07F5" w:rsidRPr="00EB2ED0">
        <w:rPr>
          <w:rFonts w:ascii="Arial" w:eastAsia="Calibri" w:hAnsi="Arial" w:cs="Arial"/>
          <w:bCs/>
          <w:sz w:val="22"/>
          <w:szCs w:val="22"/>
        </w:rPr>
        <w:t xml:space="preserve"> debe escogerse la oferta con el menor precio</w:t>
      </w:r>
      <w:r w:rsidR="00E92C2D" w:rsidRPr="00EB2ED0">
        <w:rPr>
          <w:rFonts w:ascii="Arial" w:eastAsia="Calibri" w:hAnsi="Arial" w:cs="Arial"/>
          <w:bCs/>
          <w:sz w:val="22"/>
          <w:szCs w:val="22"/>
        </w:rPr>
        <w:t xml:space="preserve">. </w:t>
      </w:r>
      <w:r w:rsidR="00190F38" w:rsidRPr="00EB2ED0">
        <w:rPr>
          <w:rFonts w:ascii="Arial" w:eastAsia="Calibri" w:hAnsi="Arial" w:cs="Arial"/>
          <w:sz w:val="22"/>
          <w:szCs w:val="22"/>
          <w:lang w:val="es-ES_tradnl"/>
        </w:rPr>
        <w:t>Dado que</w:t>
      </w:r>
      <w:r w:rsidR="00242F5E" w:rsidRPr="00EB2ED0">
        <w:rPr>
          <w:rFonts w:ascii="Arial" w:eastAsia="Calibri" w:hAnsi="Arial" w:cs="Arial"/>
          <w:sz w:val="22"/>
          <w:szCs w:val="22"/>
          <w:lang w:val="es-ES_tradnl"/>
        </w:rPr>
        <w:t xml:space="preserve"> el artículo 35</w:t>
      </w:r>
      <w:r w:rsidR="00190F38" w:rsidRPr="00EB2ED0">
        <w:rPr>
          <w:rFonts w:ascii="Arial" w:eastAsia="Calibri" w:hAnsi="Arial" w:cs="Arial"/>
          <w:sz w:val="22"/>
          <w:szCs w:val="22"/>
          <w:lang w:val="es-ES_tradnl"/>
        </w:rPr>
        <w:t xml:space="preserve"> no es aplicable</w:t>
      </w:r>
      <w:r w:rsidR="00242F5E" w:rsidRPr="00EB2ED0">
        <w:rPr>
          <w:rFonts w:ascii="Arial" w:eastAsia="Calibri" w:hAnsi="Arial" w:cs="Arial"/>
          <w:sz w:val="22"/>
          <w:szCs w:val="22"/>
          <w:lang w:val="es-ES_tradnl"/>
        </w:rPr>
        <w:t xml:space="preserve"> a la modalidad de selección de mínima cuantía, </w:t>
      </w:r>
      <w:r w:rsidR="009E794B" w:rsidRPr="00EB2ED0">
        <w:rPr>
          <w:rFonts w:ascii="Arial" w:eastAsia="Calibri" w:hAnsi="Arial" w:cs="Arial"/>
          <w:sz w:val="22"/>
          <w:szCs w:val="22"/>
          <w:lang w:val="es-ES_tradnl"/>
        </w:rPr>
        <w:t>el numeral 7</w:t>
      </w:r>
      <w:r w:rsidR="00BE2156" w:rsidRPr="00EB2ED0">
        <w:rPr>
          <w:rFonts w:ascii="Arial" w:eastAsia="Calibri" w:hAnsi="Arial" w:cs="Arial"/>
          <w:sz w:val="22"/>
          <w:szCs w:val="22"/>
          <w:lang w:val="es-ES_tradnl"/>
        </w:rPr>
        <w:t xml:space="preserve"> del artículo </w:t>
      </w:r>
      <w:r w:rsidR="001150A2" w:rsidRPr="00EB2ED0">
        <w:rPr>
          <w:rFonts w:ascii="Arial" w:eastAsia="Calibri" w:hAnsi="Arial" w:cs="Arial"/>
          <w:sz w:val="22"/>
          <w:szCs w:val="22"/>
          <w:lang w:val="es-ES_tradnl"/>
        </w:rPr>
        <w:t>2.2.1.2.1.5.2 del Decreto 1082 de 2015</w:t>
      </w:r>
      <w:r w:rsidR="00E47AAE" w:rsidRPr="00EB2ED0">
        <w:rPr>
          <w:rFonts w:ascii="Arial" w:eastAsia="Calibri" w:hAnsi="Arial" w:cs="Arial"/>
          <w:sz w:val="22"/>
          <w:szCs w:val="22"/>
          <w:lang w:val="es-ES_tradnl"/>
        </w:rPr>
        <w:t xml:space="preserve"> no estaría derogado</w:t>
      </w:r>
      <w:r w:rsidR="00B03C32" w:rsidRPr="00EB2ED0">
        <w:rPr>
          <w:rFonts w:ascii="Arial" w:eastAsia="Calibri" w:hAnsi="Arial" w:cs="Arial"/>
          <w:sz w:val="22"/>
          <w:szCs w:val="22"/>
          <w:lang w:val="es-ES_tradnl"/>
        </w:rPr>
        <w:t>, pues</w:t>
      </w:r>
      <w:r w:rsidR="00E60984" w:rsidRPr="00EB2ED0">
        <w:rPr>
          <w:rFonts w:ascii="Arial" w:eastAsia="Calibri" w:hAnsi="Arial" w:cs="Arial"/>
          <w:sz w:val="22"/>
          <w:szCs w:val="22"/>
          <w:lang w:val="es-ES_tradnl"/>
        </w:rPr>
        <w:t xml:space="preserve"> al</w:t>
      </w:r>
      <w:r w:rsidR="00EA039A" w:rsidRPr="00EB2ED0">
        <w:rPr>
          <w:rFonts w:ascii="Arial" w:eastAsia="Calibri" w:hAnsi="Arial" w:cs="Arial"/>
          <w:sz w:val="22"/>
          <w:szCs w:val="22"/>
          <w:lang w:val="es-ES_tradnl"/>
        </w:rPr>
        <w:t xml:space="preserve"> tener distinto</w:t>
      </w:r>
      <w:r w:rsidR="00155025" w:rsidRPr="00EB2ED0">
        <w:rPr>
          <w:rFonts w:ascii="Arial" w:eastAsia="Calibri" w:hAnsi="Arial" w:cs="Arial"/>
          <w:sz w:val="22"/>
          <w:szCs w:val="22"/>
          <w:lang w:val="es-ES_tradnl"/>
        </w:rPr>
        <w:t xml:space="preserve"> ámbito de aplicación</w:t>
      </w:r>
      <w:r w:rsidR="00E60984" w:rsidRPr="00EB2ED0">
        <w:rPr>
          <w:rFonts w:ascii="Arial" w:eastAsia="Calibri" w:hAnsi="Arial" w:cs="Arial"/>
          <w:sz w:val="22"/>
          <w:szCs w:val="22"/>
          <w:lang w:val="es-ES_tradnl"/>
        </w:rPr>
        <w:t>,</w:t>
      </w:r>
      <w:r w:rsidR="00EA039A" w:rsidRPr="00EB2ED0">
        <w:rPr>
          <w:rFonts w:ascii="Arial" w:eastAsia="Calibri" w:hAnsi="Arial" w:cs="Arial"/>
          <w:sz w:val="22"/>
          <w:szCs w:val="22"/>
          <w:lang w:val="es-ES_tradnl"/>
        </w:rPr>
        <w:t xml:space="preserve"> no </w:t>
      </w:r>
      <w:r w:rsidR="00B57E74" w:rsidRPr="00EB2ED0">
        <w:rPr>
          <w:rFonts w:ascii="Arial" w:eastAsia="Calibri" w:hAnsi="Arial" w:cs="Arial"/>
          <w:sz w:val="22"/>
          <w:szCs w:val="22"/>
          <w:lang w:val="es-ES_tradnl"/>
        </w:rPr>
        <w:t>existe</w:t>
      </w:r>
      <w:r w:rsidR="00EA039A" w:rsidRPr="00EB2ED0">
        <w:rPr>
          <w:rFonts w:ascii="Arial" w:eastAsia="Calibri" w:hAnsi="Arial" w:cs="Arial"/>
          <w:sz w:val="22"/>
          <w:szCs w:val="22"/>
          <w:lang w:val="es-ES_tradnl"/>
        </w:rPr>
        <w:t xml:space="preserve"> antinomia entre las mismas</w:t>
      </w:r>
      <w:r w:rsidR="00E60984" w:rsidRPr="00EB2ED0">
        <w:rPr>
          <w:rFonts w:ascii="Arial" w:eastAsia="Calibri" w:hAnsi="Arial" w:cs="Arial"/>
          <w:sz w:val="22"/>
          <w:szCs w:val="22"/>
          <w:lang w:val="es-ES_tradnl"/>
        </w:rPr>
        <w:t>.</w:t>
      </w:r>
      <w:r w:rsidR="001F43DA" w:rsidRPr="00EB2ED0">
        <w:rPr>
          <w:rFonts w:ascii="Arial" w:eastAsia="Calibri" w:hAnsi="Arial" w:cs="Arial"/>
          <w:sz w:val="22"/>
          <w:szCs w:val="22"/>
          <w:lang w:val="es-ES_tradnl"/>
        </w:rPr>
        <w:t xml:space="preserve"> </w:t>
      </w:r>
    </w:p>
    <w:p w14:paraId="4E673C3B" w14:textId="78917391" w:rsidR="007E7E0E" w:rsidRPr="00EB2ED0" w:rsidRDefault="001F43DA" w:rsidP="00EB2ED0">
      <w:pPr>
        <w:tabs>
          <w:tab w:val="left" w:pos="0"/>
        </w:tabs>
        <w:spacing w:after="120" w:line="276" w:lineRule="auto"/>
        <w:jc w:val="both"/>
        <w:rPr>
          <w:rFonts w:ascii="Arial" w:eastAsia="Calibri" w:hAnsi="Arial" w:cs="Arial"/>
          <w:bCs/>
          <w:sz w:val="22"/>
          <w:szCs w:val="22"/>
        </w:rPr>
      </w:pPr>
      <w:r w:rsidRPr="00EB2ED0">
        <w:rPr>
          <w:rFonts w:ascii="Arial" w:eastAsia="Calibri" w:hAnsi="Arial" w:cs="Arial"/>
          <w:sz w:val="22"/>
          <w:szCs w:val="22"/>
          <w:lang w:val="es-ES_tradnl"/>
        </w:rPr>
        <w:tab/>
      </w:r>
      <w:r w:rsidR="00437506" w:rsidRPr="00EB2ED0">
        <w:rPr>
          <w:rFonts w:ascii="Arial" w:eastAsia="Calibri" w:hAnsi="Arial" w:cs="Arial"/>
          <w:sz w:val="22"/>
          <w:szCs w:val="22"/>
          <w:lang w:val="es-ES_tradnl"/>
        </w:rPr>
        <w:t xml:space="preserve">No obstante, </w:t>
      </w:r>
      <w:r w:rsidR="007213A0" w:rsidRPr="00EB2ED0">
        <w:rPr>
          <w:rFonts w:ascii="Arial" w:eastAsia="Calibri" w:hAnsi="Arial" w:cs="Arial"/>
          <w:sz w:val="22"/>
          <w:szCs w:val="22"/>
          <w:lang w:val="es-ES_tradnl"/>
        </w:rPr>
        <w:t xml:space="preserve">esta </w:t>
      </w:r>
      <w:r w:rsidR="004076A7" w:rsidRPr="00EB2ED0">
        <w:rPr>
          <w:rFonts w:ascii="Arial" w:eastAsia="Calibri" w:hAnsi="Arial" w:cs="Arial"/>
          <w:sz w:val="22"/>
          <w:szCs w:val="22"/>
          <w:lang w:val="es-ES_tradnl"/>
        </w:rPr>
        <w:t xml:space="preserve">interpretación </w:t>
      </w:r>
      <w:r w:rsidR="006333F8" w:rsidRPr="00EB2ED0">
        <w:rPr>
          <w:rFonts w:ascii="Arial" w:eastAsia="Calibri" w:hAnsi="Arial" w:cs="Arial"/>
          <w:sz w:val="22"/>
          <w:szCs w:val="22"/>
          <w:lang w:val="es-ES_tradnl"/>
        </w:rPr>
        <w:t xml:space="preserve">no corresponde con la finalidad transversal de </w:t>
      </w:r>
      <w:r w:rsidR="00EB6A67" w:rsidRPr="00EB2ED0">
        <w:rPr>
          <w:rFonts w:ascii="Arial" w:eastAsia="Calibri" w:hAnsi="Arial" w:cs="Arial"/>
          <w:sz w:val="22"/>
          <w:szCs w:val="22"/>
          <w:lang w:val="es-ES_tradnl"/>
        </w:rPr>
        <w:t>la misma</w:t>
      </w:r>
      <w:r w:rsidR="00F60CFE" w:rsidRPr="00EB2ED0">
        <w:rPr>
          <w:rFonts w:ascii="Arial" w:eastAsia="Calibri" w:hAnsi="Arial" w:cs="Arial"/>
          <w:sz w:val="22"/>
          <w:szCs w:val="22"/>
          <w:lang w:val="es-ES_tradnl"/>
        </w:rPr>
        <w:t>. Esto en la medida que</w:t>
      </w:r>
      <w:r w:rsidR="007D1774" w:rsidRPr="00EB2ED0">
        <w:rPr>
          <w:rFonts w:ascii="Arial" w:eastAsia="Calibri" w:hAnsi="Arial" w:cs="Arial"/>
          <w:sz w:val="22"/>
          <w:szCs w:val="22"/>
          <w:lang w:val="es-ES_tradnl"/>
        </w:rPr>
        <w:t xml:space="preserve"> </w:t>
      </w:r>
      <w:r w:rsidR="00225CDE" w:rsidRPr="00EB2ED0">
        <w:rPr>
          <w:rFonts w:ascii="Arial" w:eastAsia="Calibri" w:hAnsi="Arial" w:cs="Arial"/>
          <w:sz w:val="22"/>
          <w:szCs w:val="22"/>
          <w:lang w:val="es-ES_tradnl"/>
        </w:rPr>
        <w:t>los factores de desempate de la Ley de Emprendimiento</w:t>
      </w:r>
      <w:r w:rsidR="00BB2FC4" w:rsidRPr="00EB2ED0">
        <w:rPr>
          <w:rFonts w:ascii="Arial" w:eastAsia="Calibri" w:hAnsi="Arial" w:cs="Arial"/>
          <w:sz w:val="22"/>
          <w:szCs w:val="22"/>
          <w:lang w:val="es-ES_tradnl"/>
        </w:rPr>
        <w:t xml:space="preserve"> </w:t>
      </w:r>
      <w:r w:rsidR="00F60CFE" w:rsidRPr="00EB2ED0">
        <w:rPr>
          <w:rFonts w:ascii="Arial" w:eastAsia="Calibri" w:hAnsi="Arial" w:cs="Arial"/>
          <w:sz w:val="22"/>
          <w:szCs w:val="22"/>
          <w:lang w:val="es-ES_tradnl"/>
        </w:rPr>
        <w:t>están concebidos para</w:t>
      </w:r>
      <w:r w:rsidR="002649F3" w:rsidRPr="00EB2ED0">
        <w:rPr>
          <w:rFonts w:ascii="Arial" w:eastAsia="Calibri" w:hAnsi="Arial" w:cs="Arial"/>
          <w:sz w:val="22"/>
          <w:szCs w:val="22"/>
          <w:lang w:val="es-ES_tradnl"/>
        </w:rPr>
        <w:t xml:space="preserve"> </w:t>
      </w:r>
      <w:r w:rsidR="002649F3" w:rsidRPr="00EB2ED0">
        <w:rPr>
          <w:rFonts w:ascii="Arial" w:eastAsia="Calibri" w:hAnsi="Arial" w:cs="Arial"/>
          <w:bCs/>
          <w:sz w:val="22"/>
          <w:szCs w:val="22"/>
        </w:rPr>
        <w:t>«[…]</w:t>
      </w:r>
      <w:r w:rsidR="002649F3" w:rsidRPr="00EB2ED0">
        <w:rPr>
          <w:rFonts w:ascii="Arial" w:hAnsi="Arial" w:cs="Arial"/>
          <w:sz w:val="22"/>
          <w:szCs w:val="22"/>
        </w:rPr>
        <w:t xml:space="preserve"> los Procesos de Contratación realizados con cargo a recursos públicos, los Procesos de Contratación realizados por las Entidades Estatales indistintamente de su régimen de contratación, así como los celebrados por los Procesos de Contratación de los patrimonios autónomos constituidos por Entidades Estatales</w:t>
      </w:r>
      <w:r w:rsidR="00BB12EA" w:rsidRPr="00EB2ED0">
        <w:rPr>
          <w:rFonts w:ascii="Arial" w:hAnsi="Arial" w:cs="Arial"/>
          <w:sz w:val="22"/>
          <w:szCs w:val="22"/>
        </w:rPr>
        <w:t xml:space="preserve"> </w:t>
      </w:r>
      <w:r w:rsidR="002649F3" w:rsidRPr="00EB2ED0">
        <w:rPr>
          <w:rFonts w:ascii="Arial" w:hAnsi="Arial" w:cs="Arial"/>
          <w:sz w:val="22"/>
          <w:szCs w:val="22"/>
        </w:rPr>
        <w:t>[…]</w:t>
      </w:r>
      <w:r w:rsidR="002649F3" w:rsidRPr="00EB2ED0">
        <w:rPr>
          <w:rFonts w:ascii="Arial" w:eastAsia="Calibri" w:hAnsi="Arial" w:cs="Arial"/>
          <w:bCs/>
          <w:sz w:val="22"/>
          <w:szCs w:val="22"/>
        </w:rPr>
        <w:t>»</w:t>
      </w:r>
      <w:r w:rsidR="007D1774" w:rsidRPr="00EB2ED0">
        <w:rPr>
          <w:rFonts w:ascii="Arial" w:eastAsia="Calibri" w:hAnsi="Arial" w:cs="Arial"/>
          <w:bCs/>
          <w:sz w:val="22"/>
          <w:szCs w:val="22"/>
        </w:rPr>
        <w:t>.</w:t>
      </w:r>
    </w:p>
    <w:p w14:paraId="0B672F1C" w14:textId="23D5FE1A" w:rsidR="00D82C77" w:rsidRPr="00EB2ED0" w:rsidRDefault="00D82C77" w:rsidP="00EB2ED0">
      <w:pPr>
        <w:tabs>
          <w:tab w:val="left" w:pos="0"/>
        </w:tabs>
        <w:spacing w:after="120" w:line="276" w:lineRule="auto"/>
        <w:jc w:val="both"/>
        <w:rPr>
          <w:rFonts w:ascii="Arial" w:eastAsia="Calibri" w:hAnsi="Arial" w:cs="Arial"/>
          <w:bCs/>
          <w:sz w:val="22"/>
          <w:szCs w:val="22"/>
        </w:rPr>
      </w:pPr>
      <w:r w:rsidRPr="00EB2ED0">
        <w:rPr>
          <w:rFonts w:ascii="Arial" w:eastAsia="Calibri" w:hAnsi="Arial" w:cs="Arial"/>
          <w:bCs/>
          <w:sz w:val="22"/>
          <w:szCs w:val="22"/>
        </w:rPr>
        <w:tab/>
      </w:r>
      <w:r w:rsidR="00F60CFE" w:rsidRPr="00EB2ED0">
        <w:rPr>
          <w:rFonts w:ascii="Arial" w:eastAsia="Calibri" w:hAnsi="Arial" w:cs="Arial"/>
          <w:bCs/>
          <w:sz w:val="22"/>
          <w:szCs w:val="22"/>
        </w:rPr>
        <w:t>Por lo anterior</w:t>
      </w:r>
      <w:r w:rsidR="0020797E" w:rsidRPr="00EB2ED0">
        <w:rPr>
          <w:rFonts w:ascii="Arial" w:eastAsia="Calibri" w:hAnsi="Arial" w:cs="Arial"/>
          <w:bCs/>
          <w:sz w:val="22"/>
          <w:szCs w:val="22"/>
        </w:rPr>
        <w:t xml:space="preserve">, se considera que el alcance de la expresión </w:t>
      </w:r>
      <w:r w:rsidR="0020797E" w:rsidRPr="00EB2ED0">
        <w:rPr>
          <w:rFonts w:ascii="Arial" w:eastAsia="Calibri" w:hAnsi="Arial" w:cs="Arial"/>
          <w:bCs/>
          <w:i/>
          <w:iCs/>
          <w:sz w:val="22"/>
          <w:szCs w:val="22"/>
        </w:rPr>
        <w:t xml:space="preserve">puntaje total, </w:t>
      </w:r>
      <w:r w:rsidR="0020797E" w:rsidRPr="00EB2ED0">
        <w:rPr>
          <w:rFonts w:ascii="Arial" w:eastAsia="Calibri" w:hAnsi="Arial" w:cs="Arial"/>
          <w:bCs/>
          <w:sz w:val="22"/>
          <w:szCs w:val="22"/>
        </w:rPr>
        <w:t>contenida en el artículo 35</w:t>
      </w:r>
      <w:r w:rsidR="000E54A9" w:rsidRPr="00EB2ED0">
        <w:rPr>
          <w:rFonts w:ascii="Arial" w:eastAsia="Calibri" w:hAnsi="Arial" w:cs="Arial"/>
          <w:bCs/>
          <w:sz w:val="22"/>
          <w:szCs w:val="22"/>
        </w:rPr>
        <w:t xml:space="preserve"> de la Ley 2069 de 2020, </w:t>
      </w:r>
      <w:r w:rsidR="00091957" w:rsidRPr="00EB2ED0">
        <w:rPr>
          <w:rFonts w:ascii="Arial" w:eastAsia="Calibri" w:hAnsi="Arial" w:cs="Arial"/>
          <w:bCs/>
          <w:sz w:val="22"/>
          <w:szCs w:val="22"/>
        </w:rPr>
        <w:t>debe interpretarse sistemáticamente</w:t>
      </w:r>
      <w:r w:rsidR="00BE7CE9" w:rsidRPr="00EB2ED0">
        <w:rPr>
          <w:rFonts w:ascii="Arial" w:eastAsia="Calibri" w:hAnsi="Arial" w:cs="Arial"/>
          <w:bCs/>
          <w:sz w:val="22"/>
          <w:szCs w:val="22"/>
        </w:rPr>
        <w:t xml:space="preserve">, </w:t>
      </w:r>
      <w:r w:rsidR="00091957" w:rsidRPr="00EB2ED0">
        <w:rPr>
          <w:rFonts w:ascii="Arial" w:eastAsia="Calibri" w:hAnsi="Arial" w:cs="Arial"/>
          <w:bCs/>
          <w:sz w:val="22"/>
          <w:szCs w:val="22"/>
        </w:rPr>
        <w:t>propiciando</w:t>
      </w:r>
      <w:r w:rsidR="00460B4F" w:rsidRPr="00EB2ED0">
        <w:rPr>
          <w:rFonts w:ascii="Arial" w:eastAsia="Calibri" w:hAnsi="Arial" w:cs="Arial"/>
          <w:bCs/>
          <w:sz w:val="22"/>
          <w:szCs w:val="22"/>
        </w:rPr>
        <w:t xml:space="preserve"> u</w:t>
      </w:r>
      <w:r w:rsidR="007E526E" w:rsidRPr="00EB2ED0">
        <w:rPr>
          <w:rFonts w:ascii="Arial" w:eastAsia="Calibri" w:hAnsi="Arial" w:cs="Arial"/>
          <w:bCs/>
          <w:sz w:val="22"/>
          <w:szCs w:val="22"/>
        </w:rPr>
        <w:t xml:space="preserve">na aplicación normativa </w:t>
      </w:r>
      <w:r w:rsidR="00460B4F" w:rsidRPr="00EB2ED0">
        <w:rPr>
          <w:rFonts w:ascii="Arial" w:eastAsia="Calibri" w:hAnsi="Arial" w:cs="Arial"/>
          <w:bCs/>
          <w:sz w:val="22"/>
          <w:szCs w:val="22"/>
        </w:rPr>
        <w:t xml:space="preserve">coherente </w:t>
      </w:r>
      <w:r w:rsidR="000829AE" w:rsidRPr="00EB2ED0">
        <w:rPr>
          <w:rFonts w:ascii="Arial" w:eastAsia="Calibri" w:hAnsi="Arial" w:cs="Arial"/>
          <w:bCs/>
          <w:sz w:val="22"/>
          <w:szCs w:val="22"/>
        </w:rPr>
        <w:t>con</w:t>
      </w:r>
      <w:r w:rsidR="00BE7CE9" w:rsidRPr="00EB2ED0">
        <w:rPr>
          <w:rFonts w:ascii="Arial" w:eastAsia="Calibri" w:hAnsi="Arial" w:cs="Arial"/>
          <w:bCs/>
          <w:sz w:val="22"/>
          <w:szCs w:val="22"/>
        </w:rPr>
        <w:t xml:space="preserve"> otras</w:t>
      </w:r>
      <w:r w:rsidR="000829AE" w:rsidRPr="00EB2ED0">
        <w:rPr>
          <w:rFonts w:ascii="Arial" w:eastAsia="Calibri" w:hAnsi="Arial" w:cs="Arial"/>
          <w:bCs/>
          <w:sz w:val="22"/>
          <w:szCs w:val="22"/>
        </w:rPr>
        <w:t xml:space="preserve"> disposiciones d</w:t>
      </w:r>
      <w:r w:rsidR="00BE7CE9" w:rsidRPr="00EB2ED0">
        <w:rPr>
          <w:rFonts w:ascii="Arial" w:eastAsia="Calibri" w:hAnsi="Arial" w:cs="Arial"/>
          <w:bCs/>
          <w:sz w:val="22"/>
          <w:szCs w:val="22"/>
        </w:rPr>
        <w:t>el sistema de compra pública</w:t>
      </w:r>
      <w:r w:rsidR="00B06530" w:rsidRPr="00EB2ED0">
        <w:rPr>
          <w:rFonts w:ascii="Arial" w:eastAsia="Calibri" w:hAnsi="Arial" w:cs="Arial"/>
          <w:bCs/>
          <w:sz w:val="22"/>
          <w:szCs w:val="22"/>
        </w:rPr>
        <w:t xml:space="preserve"> y</w:t>
      </w:r>
      <w:r w:rsidR="00BB401E" w:rsidRPr="00EB2ED0">
        <w:rPr>
          <w:rFonts w:ascii="Arial" w:eastAsia="Calibri" w:hAnsi="Arial" w:cs="Arial"/>
          <w:bCs/>
          <w:sz w:val="22"/>
          <w:szCs w:val="22"/>
        </w:rPr>
        <w:t xml:space="preserve"> que satisfaga</w:t>
      </w:r>
      <w:r w:rsidR="00B06530" w:rsidRPr="00EB2ED0">
        <w:rPr>
          <w:rFonts w:ascii="Arial" w:eastAsia="Calibri" w:hAnsi="Arial" w:cs="Arial"/>
          <w:bCs/>
          <w:sz w:val="22"/>
          <w:szCs w:val="22"/>
        </w:rPr>
        <w:t>n</w:t>
      </w:r>
      <w:r w:rsidR="00BB401E" w:rsidRPr="00EB2ED0">
        <w:rPr>
          <w:rFonts w:ascii="Arial" w:eastAsia="Calibri" w:hAnsi="Arial" w:cs="Arial"/>
          <w:bCs/>
          <w:sz w:val="22"/>
          <w:szCs w:val="22"/>
        </w:rPr>
        <w:t xml:space="preserve"> </w:t>
      </w:r>
      <w:r w:rsidR="00185C79" w:rsidRPr="00EB2ED0">
        <w:rPr>
          <w:rFonts w:ascii="Arial" w:eastAsia="Calibri" w:hAnsi="Arial" w:cs="Arial"/>
          <w:bCs/>
          <w:sz w:val="22"/>
          <w:szCs w:val="22"/>
        </w:rPr>
        <w:t xml:space="preserve">la </w:t>
      </w:r>
      <w:r w:rsidR="00BB401E" w:rsidRPr="00EB2ED0">
        <w:rPr>
          <w:rFonts w:ascii="Arial" w:eastAsia="Calibri" w:hAnsi="Arial" w:cs="Arial"/>
          <w:bCs/>
          <w:sz w:val="22"/>
          <w:szCs w:val="22"/>
        </w:rPr>
        <w:t>finalidad transversal</w:t>
      </w:r>
      <w:r w:rsidR="00B06530" w:rsidRPr="00EB2ED0">
        <w:rPr>
          <w:rFonts w:ascii="Arial" w:eastAsia="Calibri" w:hAnsi="Arial" w:cs="Arial"/>
          <w:bCs/>
          <w:sz w:val="22"/>
          <w:szCs w:val="22"/>
        </w:rPr>
        <w:t xml:space="preserve"> de la norma</w:t>
      </w:r>
      <w:r w:rsidR="00BB401E" w:rsidRPr="00EB2ED0">
        <w:rPr>
          <w:rFonts w:ascii="Arial" w:eastAsia="Calibri" w:hAnsi="Arial" w:cs="Arial"/>
          <w:bCs/>
          <w:sz w:val="22"/>
          <w:szCs w:val="22"/>
        </w:rPr>
        <w:t xml:space="preserve">. </w:t>
      </w:r>
      <w:r w:rsidR="00B06530" w:rsidRPr="00EB2ED0">
        <w:rPr>
          <w:rFonts w:ascii="Arial" w:eastAsia="Calibri" w:hAnsi="Arial" w:cs="Arial"/>
          <w:bCs/>
          <w:sz w:val="22"/>
          <w:szCs w:val="22"/>
        </w:rPr>
        <w:t>Con este</w:t>
      </w:r>
      <w:r w:rsidR="00B2306B" w:rsidRPr="00EB2ED0">
        <w:rPr>
          <w:rFonts w:ascii="Arial" w:eastAsia="Calibri" w:hAnsi="Arial" w:cs="Arial"/>
          <w:bCs/>
          <w:sz w:val="22"/>
          <w:szCs w:val="22"/>
        </w:rPr>
        <w:t xml:space="preserve"> propósito, es necesario acudir al artículo 5 de la Ley 1150 de 2007, el cual regula</w:t>
      </w:r>
      <w:r w:rsidR="00AE7388" w:rsidRPr="00EB2ED0">
        <w:rPr>
          <w:rFonts w:ascii="Arial" w:eastAsia="Calibri" w:hAnsi="Arial" w:cs="Arial"/>
          <w:bCs/>
          <w:sz w:val="22"/>
          <w:szCs w:val="22"/>
        </w:rPr>
        <w:t xml:space="preserve"> el deber de selección objetiva</w:t>
      </w:r>
      <w:r w:rsidR="00CE1641" w:rsidRPr="00EB2ED0">
        <w:rPr>
          <w:rFonts w:ascii="Arial" w:eastAsia="Calibri" w:hAnsi="Arial" w:cs="Arial"/>
          <w:bCs/>
          <w:sz w:val="22"/>
          <w:szCs w:val="22"/>
        </w:rPr>
        <w:t>, conforme al cual debe</w:t>
      </w:r>
      <w:r w:rsidR="00185C79" w:rsidRPr="00EB2ED0">
        <w:rPr>
          <w:rFonts w:ascii="Arial" w:eastAsia="Calibri" w:hAnsi="Arial" w:cs="Arial"/>
          <w:bCs/>
          <w:sz w:val="22"/>
          <w:szCs w:val="22"/>
        </w:rPr>
        <w:t xml:space="preserve"> determinarse cu</w:t>
      </w:r>
      <w:r w:rsidR="00CE48E7" w:rsidRPr="00EB2ED0">
        <w:rPr>
          <w:rFonts w:ascii="Arial" w:eastAsia="Calibri" w:hAnsi="Arial" w:cs="Arial"/>
          <w:bCs/>
          <w:sz w:val="22"/>
          <w:szCs w:val="22"/>
        </w:rPr>
        <w:t>á</w:t>
      </w:r>
      <w:r w:rsidR="00185C79" w:rsidRPr="00EB2ED0">
        <w:rPr>
          <w:rFonts w:ascii="Arial" w:eastAsia="Calibri" w:hAnsi="Arial" w:cs="Arial"/>
          <w:bCs/>
          <w:sz w:val="22"/>
          <w:szCs w:val="22"/>
        </w:rPr>
        <w:t>l e</w:t>
      </w:r>
      <w:r w:rsidR="00512BC0" w:rsidRPr="00EB2ED0">
        <w:rPr>
          <w:rFonts w:ascii="Arial" w:eastAsia="Calibri" w:hAnsi="Arial" w:cs="Arial"/>
          <w:bCs/>
          <w:sz w:val="22"/>
          <w:szCs w:val="22"/>
        </w:rPr>
        <w:t>s</w:t>
      </w:r>
      <w:r w:rsidR="00185C79" w:rsidRPr="00EB2ED0">
        <w:rPr>
          <w:rFonts w:ascii="Arial" w:eastAsia="Calibri" w:hAnsi="Arial" w:cs="Arial"/>
          <w:bCs/>
          <w:sz w:val="22"/>
          <w:szCs w:val="22"/>
        </w:rPr>
        <w:t xml:space="preserve"> la oferta más favorable para la entidad y los fines de </w:t>
      </w:r>
      <w:r w:rsidR="00512BC0" w:rsidRPr="00EB2ED0">
        <w:rPr>
          <w:rFonts w:ascii="Arial" w:eastAsia="Calibri" w:hAnsi="Arial" w:cs="Arial"/>
          <w:bCs/>
          <w:sz w:val="22"/>
          <w:szCs w:val="22"/>
        </w:rPr>
        <w:t>la contratación.</w:t>
      </w:r>
    </w:p>
    <w:p w14:paraId="6C13F6AD" w14:textId="2A9D3436" w:rsidR="00CE1641" w:rsidRPr="00EB2ED0" w:rsidRDefault="00CE1641" w:rsidP="00EB2ED0">
      <w:pPr>
        <w:tabs>
          <w:tab w:val="left" w:pos="0"/>
        </w:tabs>
        <w:spacing w:after="120" w:line="276" w:lineRule="auto"/>
        <w:jc w:val="both"/>
        <w:rPr>
          <w:rFonts w:ascii="Arial" w:eastAsia="Calibri" w:hAnsi="Arial" w:cs="Arial"/>
          <w:bCs/>
          <w:sz w:val="22"/>
          <w:szCs w:val="22"/>
        </w:rPr>
      </w:pPr>
      <w:r w:rsidRPr="00EB2ED0">
        <w:rPr>
          <w:rFonts w:ascii="Arial" w:eastAsia="Calibri" w:hAnsi="Arial" w:cs="Arial"/>
          <w:bCs/>
          <w:sz w:val="22"/>
          <w:szCs w:val="22"/>
        </w:rPr>
        <w:tab/>
      </w:r>
      <w:r w:rsidR="00310439" w:rsidRPr="00EB2ED0">
        <w:rPr>
          <w:rFonts w:ascii="Arial" w:eastAsia="Calibri" w:hAnsi="Arial" w:cs="Arial"/>
          <w:bCs/>
          <w:sz w:val="22"/>
          <w:szCs w:val="22"/>
        </w:rPr>
        <w:t>De acuerdo con el</w:t>
      </w:r>
      <w:r w:rsidRPr="00EB2ED0">
        <w:rPr>
          <w:rFonts w:ascii="Arial" w:eastAsia="Calibri" w:hAnsi="Arial" w:cs="Arial"/>
          <w:bCs/>
          <w:sz w:val="22"/>
          <w:szCs w:val="22"/>
        </w:rPr>
        <w:t xml:space="preserve"> artículo 5</w:t>
      </w:r>
      <w:r w:rsidR="002A0BC3" w:rsidRPr="00EB2ED0">
        <w:rPr>
          <w:rFonts w:ascii="Arial" w:eastAsia="Calibri" w:hAnsi="Arial" w:cs="Arial"/>
          <w:bCs/>
          <w:sz w:val="22"/>
          <w:szCs w:val="22"/>
        </w:rPr>
        <w:t xml:space="preserve"> de la Ley 1150 de 2007, </w:t>
      </w:r>
      <w:r w:rsidR="00310439" w:rsidRPr="00EB2ED0">
        <w:rPr>
          <w:rFonts w:ascii="Arial" w:eastAsia="Calibri" w:hAnsi="Arial" w:cs="Arial"/>
          <w:bCs/>
          <w:sz w:val="22"/>
          <w:szCs w:val="22"/>
        </w:rPr>
        <w:t>el deber de selección objetiva supone que las entidades escojan en los procesos de selección</w:t>
      </w:r>
      <w:r w:rsidR="00083480" w:rsidRPr="00EB2ED0">
        <w:rPr>
          <w:rFonts w:ascii="Arial" w:eastAsia="Calibri" w:hAnsi="Arial" w:cs="Arial"/>
          <w:bCs/>
          <w:sz w:val="22"/>
          <w:szCs w:val="22"/>
        </w:rPr>
        <w:t xml:space="preserve"> el «[…] ofrecimiento más favorable a la entidad y a los fines que ella busca </w:t>
      </w:r>
      <w:r w:rsidR="00083480" w:rsidRPr="00EB2ED0">
        <w:rPr>
          <w:rFonts w:ascii="Arial" w:hAnsi="Arial" w:cs="Arial"/>
          <w:sz w:val="22"/>
          <w:szCs w:val="22"/>
        </w:rPr>
        <w:t>[…]</w:t>
      </w:r>
      <w:r w:rsidR="00083480" w:rsidRPr="00EB2ED0">
        <w:rPr>
          <w:rFonts w:ascii="Arial" w:eastAsia="Calibri" w:hAnsi="Arial" w:cs="Arial"/>
          <w:bCs/>
          <w:sz w:val="22"/>
          <w:szCs w:val="22"/>
        </w:rPr>
        <w:t>»</w:t>
      </w:r>
      <w:r w:rsidR="001679EF" w:rsidRPr="00EB2ED0">
        <w:rPr>
          <w:rStyle w:val="Refdenotaalpie"/>
          <w:rFonts w:ascii="Arial" w:eastAsia="Calibri" w:hAnsi="Arial" w:cs="Arial"/>
          <w:bCs/>
          <w:sz w:val="22"/>
          <w:szCs w:val="22"/>
        </w:rPr>
        <w:footnoteReference w:id="25"/>
      </w:r>
      <w:r w:rsidR="00083480" w:rsidRPr="00EB2ED0">
        <w:rPr>
          <w:rFonts w:ascii="Arial" w:eastAsia="Calibri" w:hAnsi="Arial" w:cs="Arial"/>
          <w:bCs/>
          <w:sz w:val="22"/>
          <w:szCs w:val="22"/>
        </w:rPr>
        <w:t>.</w:t>
      </w:r>
      <w:r w:rsidR="00C065A4" w:rsidRPr="00EB2ED0">
        <w:rPr>
          <w:rFonts w:ascii="Arial" w:eastAsia="Calibri" w:hAnsi="Arial" w:cs="Arial"/>
          <w:bCs/>
          <w:sz w:val="22"/>
          <w:szCs w:val="22"/>
        </w:rPr>
        <w:t xml:space="preserve"> Tal favorabilidad debe </w:t>
      </w:r>
      <w:r w:rsidR="00367ABB" w:rsidRPr="00EB2ED0">
        <w:rPr>
          <w:rFonts w:ascii="Arial" w:eastAsia="Calibri" w:hAnsi="Arial" w:cs="Arial"/>
          <w:bCs/>
          <w:sz w:val="22"/>
          <w:szCs w:val="22"/>
        </w:rPr>
        <w:lastRenderedPageBreak/>
        <w:t>determinarse</w:t>
      </w:r>
      <w:r w:rsidR="00C065A4" w:rsidRPr="00EB2ED0">
        <w:rPr>
          <w:rFonts w:ascii="Arial" w:eastAsia="Calibri" w:hAnsi="Arial" w:cs="Arial"/>
          <w:bCs/>
          <w:sz w:val="22"/>
          <w:szCs w:val="22"/>
        </w:rPr>
        <w:t xml:space="preserve"> a partir</w:t>
      </w:r>
      <w:r w:rsidR="00CE48E7" w:rsidRPr="00EB2ED0">
        <w:rPr>
          <w:rFonts w:ascii="Arial" w:eastAsia="Calibri" w:hAnsi="Arial" w:cs="Arial"/>
          <w:bCs/>
          <w:sz w:val="22"/>
          <w:szCs w:val="22"/>
        </w:rPr>
        <w:t xml:space="preserve"> de</w:t>
      </w:r>
      <w:r w:rsidR="00C065A4" w:rsidRPr="00EB2ED0">
        <w:rPr>
          <w:rFonts w:ascii="Arial" w:eastAsia="Calibri" w:hAnsi="Arial" w:cs="Arial"/>
          <w:bCs/>
          <w:sz w:val="22"/>
          <w:szCs w:val="22"/>
        </w:rPr>
        <w:t xml:space="preserve"> criterio</w:t>
      </w:r>
      <w:r w:rsidR="00C025CC" w:rsidRPr="00EB2ED0">
        <w:rPr>
          <w:rFonts w:ascii="Arial" w:eastAsia="Calibri" w:hAnsi="Arial" w:cs="Arial"/>
          <w:bCs/>
          <w:sz w:val="22"/>
          <w:szCs w:val="22"/>
        </w:rPr>
        <w:t xml:space="preserve">s que pueden variar </w:t>
      </w:r>
      <w:proofErr w:type="gramStart"/>
      <w:r w:rsidR="00C025CC" w:rsidRPr="00EB2ED0">
        <w:rPr>
          <w:rFonts w:ascii="Arial" w:eastAsia="Calibri" w:hAnsi="Arial" w:cs="Arial"/>
          <w:bCs/>
          <w:sz w:val="22"/>
          <w:szCs w:val="22"/>
        </w:rPr>
        <w:t xml:space="preserve">de acuerdo </w:t>
      </w:r>
      <w:r w:rsidR="00F22F81" w:rsidRPr="00EB2ED0">
        <w:rPr>
          <w:rFonts w:ascii="Arial" w:eastAsia="Calibri" w:hAnsi="Arial" w:cs="Arial"/>
          <w:bCs/>
          <w:sz w:val="22"/>
          <w:szCs w:val="22"/>
        </w:rPr>
        <w:t>al</w:t>
      </w:r>
      <w:proofErr w:type="gramEnd"/>
      <w:r w:rsidR="00F22F81" w:rsidRPr="00EB2ED0">
        <w:rPr>
          <w:rFonts w:ascii="Arial" w:eastAsia="Calibri" w:hAnsi="Arial" w:cs="Arial"/>
          <w:bCs/>
          <w:sz w:val="22"/>
          <w:szCs w:val="22"/>
        </w:rPr>
        <w:t xml:space="preserve"> objeto contractual</w:t>
      </w:r>
      <w:r w:rsidR="00C025CC" w:rsidRPr="00EB2ED0">
        <w:rPr>
          <w:rFonts w:ascii="Arial" w:eastAsia="Calibri" w:hAnsi="Arial" w:cs="Arial"/>
          <w:bCs/>
          <w:sz w:val="22"/>
          <w:szCs w:val="22"/>
        </w:rPr>
        <w:t xml:space="preserve"> o la modalidad de selección aplicable</w:t>
      </w:r>
      <w:r w:rsidR="00D81E3C" w:rsidRPr="00EB2ED0">
        <w:rPr>
          <w:rFonts w:ascii="Arial" w:eastAsia="Calibri" w:hAnsi="Arial" w:cs="Arial"/>
          <w:bCs/>
          <w:sz w:val="22"/>
          <w:szCs w:val="22"/>
        </w:rPr>
        <w:t>, los cuales, en todo caso, para que la selección sea objetiva, deben estar señalados en el pliego de condiciones o documento equivalente.</w:t>
      </w:r>
      <w:r w:rsidR="009E2C0F" w:rsidRPr="00EB2ED0">
        <w:rPr>
          <w:rFonts w:ascii="Arial" w:eastAsia="Calibri" w:hAnsi="Arial" w:cs="Arial"/>
          <w:bCs/>
          <w:sz w:val="22"/>
          <w:szCs w:val="22"/>
        </w:rPr>
        <w:t xml:space="preserve"> </w:t>
      </w:r>
    </w:p>
    <w:p w14:paraId="7AE775F5" w14:textId="15972D55" w:rsidR="00F62172" w:rsidRPr="00EB2ED0" w:rsidRDefault="009E2C0F" w:rsidP="00EB2ED0">
      <w:pPr>
        <w:tabs>
          <w:tab w:val="left" w:pos="0"/>
        </w:tabs>
        <w:spacing w:after="120" w:line="276" w:lineRule="auto"/>
        <w:jc w:val="both"/>
        <w:rPr>
          <w:rFonts w:ascii="Arial" w:eastAsia="Calibri" w:hAnsi="Arial" w:cs="Arial"/>
          <w:bCs/>
          <w:sz w:val="22"/>
          <w:szCs w:val="22"/>
        </w:rPr>
      </w:pPr>
      <w:r w:rsidRPr="00EB2ED0">
        <w:rPr>
          <w:rFonts w:ascii="Arial" w:eastAsia="Calibri" w:hAnsi="Arial" w:cs="Arial"/>
          <w:bCs/>
          <w:sz w:val="22"/>
          <w:szCs w:val="22"/>
        </w:rPr>
        <w:tab/>
        <w:t xml:space="preserve">Al respecto, el numeral 1 del artículo 5 de la Ley 1150 de 2007 se refiere a </w:t>
      </w:r>
      <w:r w:rsidR="00894039" w:rsidRPr="00EB2ED0">
        <w:rPr>
          <w:rFonts w:ascii="Arial" w:eastAsia="Calibri" w:hAnsi="Arial" w:cs="Arial"/>
          <w:bCs/>
          <w:sz w:val="22"/>
          <w:szCs w:val="22"/>
        </w:rPr>
        <w:t xml:space="preserve">los </w:t>
      </w:r>
      <w:r w:rsidR="009A4C64" w:rsidRPr="00EB2ED0">
        <w:rPr>
          <w:rFonts w:ascii="Arial" w:eastAsia="Calibri" w:hAnsi="Arial" w:cs="Arial"/>
          <w:bCs/>
          <w:sz w:val="22"/>
          <w:szCs w:val="22"/>
        </w:rPr>
        <w:t xml:space="preserve">requisitos </w:t>
      </w:r>
      <w:r w:rsidR="00660B1A" w:rsidRPr="00EB2ED0">
        <w:rPr>
          <w:rFonts w:ascii="Arial" w:eastAsia="Calibri" w:hAnsi="Arial" w:cs="Arial"/>
          <w:bCs/>
          <w:sz w:val="22"/>
          <w:szCs w:val="22"/>
        </w:rPr>
        <w:t xml:space="preserve">exigibles en la </w:t>
      </w:r>
      <w:r w:rsidR="002F1549" w:rsidRPr="00EB2ED0">
        <w:rPr>
          <w:rFonts w:ascii="Arial" w:eastAsia="Calibri" w:hAnsi="Arial" w:cs="Arial"/>
          <w:bCs/>
          <w:sz w:val="22"/>
          <w:szCs w:val="22"/>
        </w:rPr>
        <w:t xml:space="preserve">generalidad de procesos de selección adelantados conforme al EGCAP, tales </w:t>
      </w:r>
      <w:r w:rsidR="009A4C64" w:rsidRPr="00EB2ED0">
        <w:rPr>
          <w:rFonts w:ascii="Arial" w:eastAsia="Calibri" w:hAnsi="Arial" w:cs="Arial"/>
          <w:bCs/>
          <w:sz w:val="22"/>
          <w:szCs w:val="22"/>
        </w:rPr>
        <w:t xml:space="preserve">como </w:t>
      </w:r>
      <w:r w:rsidR="00660B1A" w:rsidRPr="00EB2ED0">
        <w:rPr>
          <w:rFonts w:ascii="Arial" w:eastAsia="Calibri" w:hAnsi="Arial" w:cs="Arial"/>
          <w:bCs/>
          <w:sz w:val="22"/>
          <w:szCs w:val="22"/>
        </w:rPr>
        <w:t>la capacidad jurídica</w:t>
      </w:r>
      <w:r w:rsidR="002F1549" w:rsidRPr="00EB2ED0">
        <w:rPr>
          <w:rFonts w:ascii="Arial" w:eastAsia="Calibri" w:hAnsi="Arial" w:cs="Arial"/>
          <w:bCs/>
          <w:sz w:val="22"/>
          <w:szCs w:val="22"/>
        </w:rPr>
        <w:t xml:space="preserve">, </w:t>
      </w:r>
      <w:r w:rsidR="00660B1A" w:rsidRPr="00EB2ED0">
        <w:rPr>
          <w:rFonts w:ascii="Arial" w:eastAsia="Calibri" w:hAnsi="Arial" w:cs="Arial"/>
          <w:bCs/>
          <w:sz w:val="22"/>
          <w:szCs w:val="22"/>
        </w:rPr>
        <w:t>las condiciones de experiencia,</w:t>
      </w:r>
      <w:r w:rsidR="00865FC6" w:rsidRPr="00EB2ED0">
        <w:rPr>
          <w:rFonts w:ascii="Arial" w:eastAsia="Calibri" w:hAnsi="Arial" w:cs="Arial"/>
          <w:bCs/>
          <w:sz w:val="22"/>
          <w:szCs w:val="22"/>
        </w:rPr>
        <w:t xml:space="preserve"> la</w:t>
      </w:r>
      <w:r w:rsidR="00660B1A" w:rsidRPr="00EB2ED0">
        <w:rPr>
          <w:rFonts w:ascii="Arial" w:eastAsia="Calibri" w:hAnsi="Arial" w:cs="Arial"/>
          <w:bCs/>
          <w:sz w:val="22"/>
          <w:szCs w:val="22"/>
        </w:rPr>
        <w:t xml:space="preserve"> capacidad financiera y de organización</w:t>
      </w:r>
      <w:r w:rsidR="00865FC6" w:rsidRPr="00EB2ED0">
        <w:rPr>
          <w:rFonts w:ascii="Arial" w:eastAsia="Calibri" w:hAnsi="Arial" w:cs="Arial"/>
          <w:bCs/>
          <w:sz w:val="22"/>
          <w:szCs w:val="22"/>
        </w:rPr>
        <w:t>, denomi</w:t>
      </w:r>
      <w:r w:rsidR="00FA4048" w:rsidRPr="00EB2ED0">
        <w:rPr>
          <w:rFonts w:ascii="Arial" w:eastAsia="Calibri" w:hAnsi="Arial" w:cs="Arial"/>
          <w:bCs/>
          <w:sz w:val="22"/>
          <w:szCs w:val="22"/>
        </w:rPr>
        <w:t>n</w:t>
      </w:r>
      <w:r w:rsidR="00865FC6" w:rsidRPr="00EB2ED0">
        <w:rPr>
          <w:rFonts w:ascii="Arial" w:eastAsia="Calibri" w:hAnsi="Arial" w:cs="Arial"/>
          <w:bCs/>
          <w:sz w:val="22"/>
          <w:szCs w:val="22"/>
        </w:rPr>
        <w:t>ados requisitos habilitantes,</w:t>
      </w:r>
      <w:r w:rsidR="00894039" w:rsidRPr="00EB2ED0">
        <w:rPr>
          <w:rFonts w:ascii="Arial" w:eastAsia="Calibri" w:hAnsi="Arial" w:cs="Arial"/>
          <w:bCs/>
          <w:sz w:val="22"/>
          <w:szCs w:val="22"/>
        </w:rPr>
        <w:t xml:space="preserve"> los cuales</w:t>
      </w:r>
      <w:r w:rsidR="00865FC6" w:rsidRPr="00EB2ED0">
        <w:rPr>
          <w:rFonts w:ascii="Arial" w:eastAsia="Calibri" w:hAnsi="Arial" w:cs="Arial"/>
          <w:bCs/>
          <w:sz w:val="22"/>
          <w:szCs w:val="22"/>
        </w:rPr>
        <w:t xml:space="preserve"> </w:t>
      </w:r>
      <w:r w:rsidR="00894039" w:rsidRPr="00EB2ED0">
        <w:rPr>
          <w:rFonts w:ascii="Arial" w:eastAsia="Calibri" w:hAnsi="Arial" w:cs="Arial"/>
          <w:bCs/>
          <w:sz w:val="22"/>
          <w:szCs w:val="22"/>
        </w:rPr>
        <w:t>–</w:t>
      </w:r>
      <w:r w:rsidR="00865FC6" w:rsidRPr="00EB2ED0">
        <w:rPr>
          <w:rFonts w:ascii="Arial" w:eastAsia="Calibri" w:hAnsi="Arial" w:cs="Arial"/>
          <w:bCs/>
          <w:sz w:val="22"/>
          <w:szCs w:val="22"/>
        </w:rPr>
        <w:t>por expresa disposición</w:t>
      </w:r>
      <w:r w:rsidR="00894039" w:rsidRPr="00EB2ED0">
        <w:rPr>
          <w:rFonts w:ascii="Arial" w:eastAsia="Calibri" w:hAnsi="Arial" w:cs="Arial"/>
          <w:bCs/>
          <w:sz w:val="22"/>
          <w:szCs w:val="22"/>
        </w:rPr>
        <w:t xml:space="preserve"> legal–</w:t>
      </w:r>
      <w:r w:rsidR="00865FC6" w:rsidRPr="00EB2ED0">
        <w:rPr>
          <w:rFonts w:ascii="Arial" w:eastAsia="Calibri" w:hAnsi="Arial" w:cs="Arial"/>
          <w:bCs/>
          <w:sz w:val="22"/>
          <w:szCs w:val="22"/>
        </w:rPr>
        <w:t xml:space="preserve"> </w:t>
      </w:r>
      <w:r w:rsidR="00FA4048" w:rsidRPr="00EB2ED0">
        <w:rPr>
          <w:rFonts w:ascii="Arial" w:eastAsia="Calibri" w:hAnsi="Arial" w:cs="Arial"/>
          <w:bCs/>
          <w:sz w:val="22"/>
          <w:szCs w:val="22"/>
        </w:rPr>
        <w:t xml:space="preserve">no otorgan puntaje. </w:t>
      </w:r>
      <w:r w:rsidR="00306D1E" w:rsidRPr="00EB2ED0">
        <w:rPr>
          <w:rFonts w:ascii="Arial" w:eastAsia="Calibri" w:hAnsi="Arial" w:cs="Arial"/>
          <w:bCs/>
          <w:sz w:val="22"/>
          <w:szCs w:val="22"/>
        </w:rPr>
        <w:t xml:space="preserve">Esto comoquiera que estos, </w:t>
      </w:r>
      <w:r w:rsidR="005E6342" w:rsidRPr="00EB2ED0">
        <w:rPr>
          <w:rFonts w:ascii="Arial" w:eastAsia="Calibri" w:hAnsi="Arial" w:cs="Arial"/>
          <w:bCs/>
          <w:sz w:val="22"/>
          <w:szCs w:val="22"/>
        </w:rPr>
        <w:t>no se refieren a la oferta</w:t>
      </w:r>
      <w:r w:rsidR="00F62172" w:rsidRPr="00EB2ED0">
        <w:rPr>
          <w:rFonts w:ascii="Arial" w:eastAsia="Calibri" w:hAnsi="Arial" w:cs="Arial"/>
          <w:bCs/>
          <w:sz w:val="22"/>
          <w:szCs w:val="22"/>
        </w:rPr>
        <w:t xml:space="preserve"> mism</w:t>
      </w:r>
      <w:r w:rsidR="00512BC0" w:rsidRPr="00EB2ED0">
        <w:rPr>
          <w:rFonts w:ascii="Arial" w:eastAsia="Calibri" w:hAnsi="Arial" w:cs="Arial"/>
          <w:bCs/>
          <w:sz w:val="22"/>
          <w:szCs w:val="22"/>
        </w:rPr>
        <w:t>a</w:t>
      </w:r>
      <w:r w:rsidR="00F62172" w:rsidRPr="00EB2ED0">
        <w:rPr>
          <w:rFonts w:ascii="Arial" w:eastAsia="Calibri" w:hAnsi="Arial" w:cs="Arial"/>
          <w:bCs/>
          <w:sz w:val="22"/>
          <w:szCs w:val="22"/>
        </w:rPr>
        <w:t xml:space="preserve"> sino </w:t>
      </w:r>
      <w:r w:rsidR="00AF1FBF" w:rsidRPr="00EB2ED0">
        <w:rPr>
          <w:rFonts w:ascii="Arial" w:eastAsia="Calibri" w:hAnsi="Arial" w:cs="Arial"/>
          <w:bCs/>
          <w:sz w:val="22"/>
          <w:szCs w:val="22"/>
        </w:rPr>
        <w:t>l</w:t>
      </w:r>
      <w:r w:rsidR="00F62172" w:rsidRPr="00EB2ED0">
        <w:rPr>
          <w:rFonts w:ascii="Arial" w:eastAsia="Calibri" w:hAnsi="Arial" w:cs="Arial"/>
          <w:bCs/>
          <w:sz w:val="22"/>
          <w:szCs w:val="22"/>
        </w:rPr>
        <w:t>a idoneidad del oferente para asumir adecuadamente la ejecución del contrato</w:t>
      </w:r>
      <w:r w:rsidR="00AF1FBF" w:rsidRPr="00EB2ED0">
        <w:rPr>
          <w:rStyle w:val="Refdenotaalpie"/>
          <w:rFonts w:ascii="Arial" w:eastAsia="Calibri" w:hAnsi="Arial" w:cs="Arial"/>
          <w:bCs/>
          <w:sz w:val="22"/>
          <w:szCs w:val="22"/>
        </w:rPr>
        <w:footnoteReference w:id="26"/>
      </w:r>
      <w:r w:rsidR="00AF1FBF" w:rsidRPr="00EB2ED0">
        <w:rPr>
          <w:rFonts w:ascii="Arial" w:eastAsia="Calibri" w:hAnsi="Arial" w:cs="Arial"/>
          <w:bCs/>
          <w:sz w:val="22"/>
          <w:szCs w:val="22"/>
        </w:rPr>
        <w:t>.</w:t>
      </w:r>
      <w:r w:rsidR="00A928D0" w:rsidRPr="00EB2ED0">
        <w:rPr>
          <w:rFonts w:ascii="Arial" w:eastAsia="Calibri" w:hAnsi="Arial" w:cs="Arial"/>
          <w:bCs/>
          <w:sz w:val="22"/>
          <w:szCs w:val="22"/>
        </w:rPr>
        <w:t xml:space="preserve"> Los oferentes </w:t>
      </w:r>
      <w:r w:rsidR="0002504E" w:rsidRPr="00EB2ED0">
        <w:rPr>
          <w:rFonts w:ascii="Arial" w:eastAsia="Calibri" w:hAnsi="Arial" w:cs="Arial"/>
          <w:bCs/>
          <w:sz w:val="22"/>
          <w:szCs w:val="22"/>
        </w:rPr>
        <w:t xml:space="preserve">que cumplan estos requisitos habilitantes son considerados idóneos para ejecutar el objeto contractual, </w:t>
      </w:r>
      <w:r w:rsidR="001A1766" w:rsidRPr="00EB2ED0">
        <w:rPr>
          <w:rFonts w:ascii="Arial" w:eastAsia="Calibri" w:hAnsi="Arial" w:cs="Arial"/>
          <w:bCs/>
          <w:sz w:val="22"/>
          <w:szCs w:val="22"/>
        </w:rPr>
        <w:t>de manera</w:t>
      </w:r>
      <w:r w:rsidR="0002504E" w:rsidRPr="00EB2ED0">
        <w:rPr>
          <w:rFonts w:ascii="Arial" w:eastAsia="Calibri" w:hAnsi="Arial" w:cs="Arial"/>
          <w:bCs/>
          <w:sz w:val="22"/>
          <w:szCs w:val="22"/>
        </w:rPr>
        <w:t xml:space="preserve"> que sus ofertas </w:t>
      </w:r>
      <w:r w:rsidR="002B76F5" w:rsidRPr="00EB2ED0">
        <w:rPr>
          <w:rFonts w:ascii="Arial" w:eastAsia="Calibri" w:hAnsi="Arial" w:cs="Arial"/>
          <w:bCs/>
          <w:sz w:val="22"/>
          <w:szCs w:val="22"/>
        </w:rPr>
        <w:t xml:space="preserve">pueden ser consideradas en la evaluación dirigida a determinar </w:t>
      </w:r>
      <w:r w:rsidR="001A1766" w:rsidRPr="00EB2ED0">
        <w:rPr>
          <w:rFonts w:ascii="Arial" w:eastAsia="Calibri" w:hAnsi="Arial" w:cs="Arial"/>
          <w:bCs/>
          <w:sz w:val="22"/>
          <w:szCs w:val="22"/>
        </w:rPr>
        <w:t>cuál</w:t>
      </w:r>
      <w:r w:rsidR="002B76F5" w:rsidRPr="00EB2ED0">
        <w:rPr>
          <w:rFonts w:ascii="Arial" w:eastAsia="Calibri" w:hAnsi="Arial" w:cs="Arial"/>
          <w:bCs/>
          <w:sz w:val="22"/>
          <w:szCs w:val="22"/>
        </w:rPr>
        <w:t xml:space="preserve"> es la </w:t>
      </w:r>
      <w:r w:rsidR="00512BC0" w:rsidRPr="00EB2ED0">
        <w:rPr>
          <w:rFonts w:ascii="Arial" w:eastAsia="Calibri" w:hAnsi="Arial" w:cs="Arial"/>
          <w:bCs/>
          <w:sz w:val="22"/>
          <w:szCs w:val="22"/>
        </w:rPr>
        <w:t xml:space="preserve">más </w:t>
      </w:r>
      <w:r w:rsidR="002B76F5" w:rsidRPr="00EB2ED0">
        <w:rPr>
          <w:rFonts w:ascii="Arial" w:eastAsia="Calibri" w:hAnsi="Arial" w:cs="Arial"/>
          <w:bCs/>
          <w:sz w:val="22"/>
          <w:szCs w:val="22"/>
        </w:rPr>
        <w:t>favorable para la entidad y los fines de la contratación.</w:t>
      </w:r>
    </w:p>
    <w:p w14:paraId="3A672258" w14:textId="2E7B6B7E" w:rsidR="00DB1142" w:rsidRPr="00EB2ED0" w:rsidRDefault="00871B2E" w:rsidP="00EB2ED0">
      <w:pPr>
        <w:tabs>
          <w:tab w:val="left" w:pos="0"/>
        </w:tabs>
        <w:spacing w:after="120" w:line="276" w:lineRule="auto"/>
        <w:jc w:val="both"/>
        <w:rPr>
          <w:rFonts w:ascii="Arial" w:hAnsi="Arial" w:cs="Arial"/>
          <w:sz w:val="22"/>
          <w:szCs w:val="22"/>
        </w:rPr>
      </w:pPr>
      <w:r w:rsidRPr="00EB2ED0">
        <w:rPr>
          <w:rFonts w:ascii="Arial" w:eastAsia="Calibri" w:hAnsi="Arial" w:cs="Arial"/>
          <w:bCs/>
          <w:sz w:val="22"/>
          <w:szCs w:val="22"/>
        </w:rPr>
        <w:tab/>
      </w:r>
      <w:r w:rsidR="005107E3" w:rsidRPr="00EB2ED0">
        <w:rPr>
          <w:rFonts w:ascii="Arial" w:eastAsia="Calibri" w:hAnsi="Arial" w:cs="Arial"/>
          <w:bCs/>
          <w:sz w:val="22"/>
          <w:szCs w:val="22"/>
        </w:rPr>
        <w:t xml:space="preserve">En contraposición </w:t>
      </w:r>
      <w:r w:rsidR="00A50238" w:rsidRPr="00EB2ED0">
        <w:rPr>
          <w:rFonts w:ascii="Arial" w:eastAsia="Calibri" w:hAnsi="Arial" w:cs="Arial"/>
          <w:bCs/>
          <w:sz w:val="22"/>
          <w:szCs w:val="22"/>
        </w:rPr>
        <w:t>a</w:t>
      </w:r>
      <w:r w:rsidR="005107E3" w:rsidRPr="00EB2ED0">
        <w:rPr>
          <w:rFonts w:ascii="Arial" w:eastAsia="Calibri" w:hAnsi="Arial" w:cs="Arial"/>
          <w:bCs/>
          <w:sz w:val="22"/>
          <w:szCs w:val="22"/>
        </w:rPr>
        <w:t xml:space="preserve"> </w:t>
      </w:r>
      <w:r w:rsidR="00A50238" w:rsidRPr="00EB2ED0">
        <w:rPr>
          <w:rFonts w:ascii="Arial" w:eastAsia="Calibri" w:hAnsi="Arial" w:cs="Arial"/>
          <w:bCs/>
          <w:sz w:val="22"/>
          <w:szCs w:val="22"/>
        </w:rPr>
        <w:t>los requisitos habilitantes</w:t>
      </w:r>
      <w:r w:rsidR="005107E3" w:rsidRPr="00EB2ED0">
        <w:rPr>
          <w:rFonts w:ascii="Arial" w:eastAsia="Calibri" w:hAnsi="Arial" w:cs="Arial"/>
          <w:bCs/>
          <w:sz w:val="22"/>
          <w:szCs w:val="22"/>
        </w:rPr>
        <w:t>, el artículo 5 de la Ley 1150 de 2007</w:t>
      </w:r>
      <w:r w:rsidR="001A1766" w:rsidRPr="00EB2ED0">
        <w:rPr>
          <w:rFonts w:ascii="Arial" w:eastAsia="Calibri" w:hAnsi="Arial" w:cs="Arial"/>
          <w:bCs/>
          <w:sz w:val="22"/>
          <w:szCs w:val="22"/>
        </w:rPr>
        <w:t xml:space="preserve"> regula los</w:t>
      </w:r>
      <w:r w:rsidR="00A50238" w:rsidRPr="00EB2ED0">
        <w:rPr>
          <w:rFonts w:ascii="Arial" w:eastAsia="Calibri" w:hAnsi="Arial" w:cs="Arial"/>
          <w:bCs/>
          <w:sz w:val="22"/>
          <w:szCs w:val="22"/>
        </w:rPr>
        <w:t xml:space="preserve"> factores </w:t>
      </w:r>
      <w:r w:rsidR="008641D5" w:rsidRPr="00EB2ED0">
        <w:rPr>
          <w:rFonts w:ascii="Arial" w:eastAsia="Calibri" w:hAnsi="Arial" w:cs="Arial"/>
          <w:bCs/>
          <w:sz w:val="22"/>
          <w:szCs w:val="22"/>
        </w:rPr>
        <w:t xml:space="preserve">dirigidos a determinar </w:t>
      </w:r>
      <w:r w:rsidR="00C77E99" w:rsidRPr="00EB2ED0">
        <w:rPr>
          <w:rFonts w:ascii="Arial" w:eastAsia="Calibri" w:hAnsi="Arial" w:cs="Arial"/>
          <w:bCs/>
          <w:sz w:val="22"/>
          <w:szCs w:val="22"/>
        </w:rPr>
        <w:t>cuál</w:t>
      </w:r>
      <w:r w:rsidR="008641D5" w:rsidRPr="00EB2ED0">
        <w:rPr>
          <w:rFonts w:ascii="Arial" w:eastAsia="Calibri" w:hAnsi="Arial" w:cs="Arial"/>
          <w:bCs/>
          <w:sz w:val="22"/>
          <w:szCs w:val="22"/>
        </w:rPr>
        <w:t xml:space="preserve"> es la propuesta más favorable</w:t>
      </w:r>
      <w:r w:rsidR="00512BC0" w:rsidRPr="00EB2ED0">
        <w:rPr>
          <w:rFonts w:ascii="Arial" w:eastAsia="Calibri" w:hAnsi="Arial" w:cs="Arial"/>
          <w:bCs/>
          <w:sz w:val="22"/>
          <w:szCs w:val="22"/>
        </w:rPr>
        <w:t>.</w:t>
      </w:r>
      <w:r w:rsidR="008641D5" w:rsidRPr="00EB2ED0">
        <w:rPr>
          <w:rFonts w:ascii="Arial" w:eastAsia="Calibri" w:hAnsi="Arial" w:cs="Arial"/>
          <w:bCs/>
          <w:sz w:val="22"/>
          <w:szCs w:val="22"/>
        </w:rPr>
        <w:t xml:space="preserve"> En ese sentido, el inciso primero </w:t>
      </w:r>
      <w:r w:rsidR="00A17CA5" w:rsidRPr="00EB2ED0">
        <w:rPr>
          <w:rFonts w:ascii="Arial" w:eastAsia="Calibri" w:hAnsi="Arial" w:cs="Arial"/>
          <w:bCs/>
          <w:sz w:val="22"/>
          <w:szCs w:val="22"/>
        </w:rPr>
        <w:t>dispone los</w:t>
      </w:r>
      <w:r w:rsidR="008641D5" w:rsidRPr="00EB2ED0">
        <w:rPr>
          <w:rFonts w:ascii="Arial" w:eastAsia="Calibri" w:hAnsi="Arial" w:cs="Arial"/>
          <w:bCs/>
          <w:sz w:val="22"/>
          <w:szCs w:val="22"/>
        </w:rPr>
        <w:t xml:space="preserve"> </w:t>
      </w:r>
      <w:r w:rsidR="00C77E99" w:rsidRPr="00EB2ED0">
        <w:rPr>
          <w:rFonts w:ascii="Arial" w:eastAsia="Calibri" w:hAnsi="Arial" w:cs="Arial"/>
          <w:bCs/>
          <w:sz w:val="22"/>
          <w:szCs w:val="22"/>
        </w:rPr>
        <w:t>factores de escogencia y calificación que debe</w:t>
      </w:r>
      <w:r w:rsidR="008E6F19" w:rsidRPr="00EB2ED0">
        <w:rPr>
          <w:rFonts w:ascii="Arial" w:eastAsia="Calibri" w:hAnsi="Arial" w:cs="Arial"/>
          <w:bCs/>
          <w:sz w:val="22"/>
          <w:szCs w:val="22"/>
        </w:rPr>
        <w:t xml:space="preserve">n </w:t>
      </w:r>
      <w:r w:rsidR="00A17CA5" w:rsidRPr="00EB2ED0">
        <w:rPr>
          <w:rFonts w:ascii="Arial" w:eastAsia="Calibri" w:hAnsi="Arial" w:cs="Arial"/>
          <w:bCs/>
          <w:sz w:val="22"/>
          <w:szCs w:val="22"/>
        </w:rPr>
        <w:t>indicarse</w:t>
      </w:r>
      <w:r w:rsidR="008E6F19" w:rsidRPr="00EB2ED0">
        <w:rPr>
          <w:rFonts w:ascii="Arial" w:eastAsia="Calibri" w:hAnsi="Arial" w:cs="Arial"/>
          <w:bCs/>
          <w:sz w:val="22"/>
          <w:szCs w:val="22"/>
        </w:rPr>
        <w:t xml:space="preserve"> en los pliegos de condiciones. </w:t>
      </w:r>
      <w:r w:rsidR="00A17CA5" w:rsidRPr="00EB2ED0">
        <w:rPr>
          <w:rFonts w:ascii="Arial" w:eastAsia="Calibri" w:hAnsi="Arial" w:cs="Arial"/>
          <w:bCs/>
          <w:sz w:val="22"/>
          <w:szCs w:val="22"/>
        </w:rPr>
        <w:t>E</w:t>
      </w:r>
      <w:r w:rsidR="00793C6A" w:rsidRPr="00EB2ED0">
        <w:rPr>
          <w:rFonts w:ascii="Arial" w:eastAsia="Calibri" w:hAnsi="Arial" w:cs="Arial"/>
          <w:bCs/>
          <w:sz w:val="22"/>
          <w:szCs w:val="22"/>
        </w:rPr>
        <w:t xml:space="preserve">l numeral 2 de </w:t>
      </w:r>
      <w:r w:rsidR="00DE5716" w:rsidRPr="00EB2ED0">
        <w:rPr>
          <w:rFonts w:ascii="Arial" w:eastAsia="Calibri" w:hAnsi="Arial" w:cs="Arial"/>
          <w:bCs/>
          <w:sz w:val="22"/>
          <w:szCs w:val="22"/>
        </w:rPr>
        <w:t>esta</w:t>
      </w:r>
      <w:r w:rsidR="00793C6A" w:rsidRPr="00EB2ED0">
        <w:rPr>
          <w:rFonts w:ascii="Arial" w:eastAsia="Calibri" w:hAnsi="Arial" w:cs="Arial"/>
          <w:bCs/>
          <w:sz w:val="22"/>
          <w:szCs w:val="22"/>
        </w:rPr>
        <w:t xml:space="preserve"> norma</w:t>
      </w:r>
      <w:r w:rsidR="00DE5716" w:rsidRPr="00EB2ED0">
        <w:rPr>
          <w:rFonts w:ascii="Arial" w:eastAsia="Calibri" w:hAnsi="Arial" w:cs="Arial"/>
          <w:bCs/>
          <w:sz w:val="22"/>
          <w:szCs w:val="22"/>
        </w:rPr>
        <w:t xml:space="preserve"> </w:t>
      </w:r>
      <w:r w:rsidR="00793C6A" w:rsidRPr="00EB2ED0">
        <w:rPr>
          <w:rFonts w:ascii="Arial" w:eastAsia="Calibri" w:hAnsi="Arial" w:cs="Arial"/>
          <w:bCs/>
          <w:sz w:val="22"/>
          <w:szCs w:val="22"/>
        </w:rPr>
        <w:t>establece que la oferta más favorable</w:t>
      </w:r>
      <w:r w:rsidR="00FF5914" w:rsidRPr="00EB2ED0">
        <w:rPr>
          <w:rFonts w:ascii="Arial" w:eastAsia="Calibri" w:hAnsi="Arial" w:cs="Arial"/>
          <w:bCs/>
          <w:sz w:val="22"/>
          <w:szCs w:val="22"/>
        </w:rPr>
        <w:t xml:space="preserve"> es aquella que</w:t>
      </w:r>
      <w:r w:rsidR="00C144E4" w:rsidRPr="00EB2ED0">
        <w:rPr>
          <w:rFonts w:ascii="Arial" w:eastAsia="Calibri" w:hAnsi="Arial" w:cs="Arial"/>
          <w:bCs/>
          <w:sz w:val="22"/>
          <w:szCs w:val="22"/>
        </w:rPr>
        <w:t xml:space="preserve"> resulte ser la más ventajosa para la entidad, </w:t>
      </w:r>
      <w:r w:rsidR="00B50C5B" w:rsidRPr="00EB2ED0">
        <w:rPr>
          <w:rFonts w:ascii="Arial" w:eastAsia="Calibri" w:hAnsi="Arial" w:cs="Arial"/>
          <w:bCs/>
          <w:sz w:val="22"/>
          <w:szCs w:val="22"/>
        </w:rPr>
        <w:t>una vez se realice</w:t>
      </w:r>
      <w:r w:rsidR="00C144E4" w:rsidRPr="00EB2ED0">
        <w:rPr>
          <w:rFonts w:ascii="Arial" w:eastAsia="Calibri" w:hAnsi="Arial" w:cs="Arial"/>
          <w:bCs/>
          <w:sz w:val="22"/>
          <w:szCs w:val="22"/>
        </w:rPr>
        <w:t xml:space="preserve"> la ponderación</w:t>
      </w:r>
      <w:r w:rsidR="00FF5914" w:rsidRPr="00EB2ED0">
        <w:rPr>
          <w:rFonts w:ascii="Arial" w:eastAsia="Calibri" w:hAnsi="Arial" w:cs="Arial"/>
          <w:bCs/>
          <w:sz w:val="22"/>
          <w:szCs w:val="22"/>
        </w:rPr>
        <w:t xml:space="preserve"> precisa y detallada </w:t>
      </w:r>
      <w:r w:rsidR="00C144E4" w:rsidRPr="00EB2ED0">
        <w:rPr>
          <w:rFonts w:ascii="Arial" w:eastAsia="Calibri" w:hAnsi="Arial" w:cs="Arial"/>
          <w:bCs/>
          <w:sz w:val="22"/>
          <w:szCs w:val="22"/>
        </w:rPr>
        <w:t xml:space="preserve">de </w:t>
      </w:r>
      <w:r w:rsidR="00793C6A" w:rsidRPr="00EB2ED0">
        <w:rPr>
          <w:rFonts w:ascii="Arial" w:hAnsi="Arial" w:cs="Arial"/>
          <w:sz w:val="22"/>
          <w:szCs w:val="22"/>
        </w:rPr>
        <w:t>los factores técnicos y económicos de escogencia</w:t>
      </w:r>
      <w:r w:rsidR="00FB47C3" w:rsidRPr="00EB2ED0">
        <w:rPr>
          <w:rFonts w:ascii="Arial" w:hAnsi="Arial" w:cs="Arial"/>
          <w:sz w:val="22"/>
          <w:szCs w:val="22"/>
        </w:rPr>
        <w:t xml:space="preserve">, </w:t>
      </w:r>
      <w:r w:rsidR="00C144E4" w:rsidRPr="00EB2ED0">
        <w:rPr>
          <w:rFonts w:ascii="Arial" w:hAnsi="Arial" w:cs="Arial"/>
          <w:sz w:val="22"/>
          <w:szCs w:val="22"/>
        </w:rPr>
        <w:t>de acuerdo con</w:t>
      </w:r>
      <w:r w:rsidR="000D6B6C" w:rsidRPr="00EB2ED0">
        <w:rPr>
          <w:rFonts w:ascii="Arial" w:hAnsi="Arial" w:cs="Arial"/>
          <w:sz w:val="22"/>
          <w:szCs w:val="22"/>
        </w:rPr>
        <w:t xml:space="preserve"> los</w:t>
      </w:r>
      <w:r w:rsidR="00C144E4" w:rsidRPr="00EB2ED0">
        <w:rPr>
          <w:rFonts w:ascii="Arial" w:hAnsi="Arial" w:cs="Arial"/>
          <w:sz w:val="22"/>
          <w:szCs w:val="22"/>
        </w:rPr>
        <w:t xml:space="preserve"> parámetros establecidos en los pliegos de condiciones o equivalentes</w:t>
      </w:r>
      <w:r w:rsidR="000D6B6C" w:rsidRPr="00EB2ED0">
        <w:rPr>
          <w:rFonts w:ascii="Arial" w:hAnsi="Arial" w:cs="Arial"/>
          <w:sz w:val="22"/>
          <w:szCs w:val="22"/>
        </w:rPr>
        <w:t xml:space="preserve"> que permiten la comparación de ofertas.</w:t>
      </w:r>
      <w:r w:rsidR="00BD2640" w:rsidRPr="00EB2ED0">
        <w:rPr>
          <w:rFonts w:ascii="Arial" w:hAnsi="Arial" w:cs="Arial"/>
          <w:sz w:val="22"/>
          <w:szCs w:val="22"/>
        </w:rPr>
        <w:t xml:space="preserve"> </w:t>
      </w:r>
      <w:r w:rsidR="00512BC0" w:rsidRPr="00EB2ED0">
        <w:rPr>
          <w:rFonts w:ascii="Arial" w:hAnsi="Arial" w:cs="Arial"/>
          <w:sz w:val="22"/>
          <w:szCs w:val="22"/>
        </w:rPr>
        <w:t xml:space="preserve"> Este</w:t>
      </w:r>
      <w:r w:rsidR="004622A6" w:rsidRPr="00EB2ED0">
        <w:rPr>
          <w:rFonts w:ascii="Arial" w:hAnsi="Arial" w:cs="Arial"/>
          <w:sz w:val="22"/>
          <w:szCs w:val="22"/>
        </w:rPr>
        <w:t xml:space="preserve"> numeral </w:t>
      </w:r>
      <w:r w:rsidR="00BE5487" w:rsidRPr="00EB2ED0">
        <w:rPr>
          <w:rFonts w:ascii="Arial" w:hAnsi="Arial" w:cs="Arial"/>
          <w:sz w:val="22"/>
          <w:szCs w:val="22"/>
        </w:rPr>
        <w:t>2</w:t>
      </w:r>
      <w:r w:rsidR="004622A6" w:rsidRPr="00EB2ED0">
        <w:rPr>
          <w:rFonts w:ascii="Arial" w:hAnsi="Arial" w:cs="Arial"/>
          <w:sz w:val="22"/>
          <w:szCs w:val="22"/>
        </w:rPr>
        <w:t xml:space="preserve"> </w:t>
      </w:r>
      <w:r w:rsidR="00DE5716" w:rsidRPr="00EB2ED0">
        <w:rPr>
          <w:rFonts w:ascii="Arial" w:hAnsi="Arial" w:cs="Arial"/>
          <w:sz w:val="22"/>
          <w:szCs w:val="22"/>
        </w:rPr>
        <w:t>se divide</w:t>
      </w:r>
      <w:r w:rsidR="004622A6" w:rsidRPr="00EB2ED0">
        <w:rPr>
          <w:rFonts w:ascii="Arial" w:hAnsi="Arial" w:cs="Arial"/>
          <w:sz w:val="22"/>
          <w:szCs w:val="22"/>
        </w:rPr>
        <w:t xml:space="preserve"> en dos </w:t>
      </w:r>
      <w:r w:rsidR="00BE5487" w:rsidRPr="00EB2ED0">
        <w:rPr>
          <w:rFonts w:ascii="Arial" w:hAnsi="Arial" w:cs="Arial"/>
          <w:sz w:val="22"/>
          <w:szCs w:val="22"/>
        </w:rPr>
        <w:t>literales, cada uno de los cuales</w:t>
      </w:r>
      <w:r w:rsidR="002113CF" w:rsidRPr="00EB2ED0">
        <w:rPr>
          <w:rFonts w:ascii="Arial" w:hAnsi="Arial" w:cs="Arial"/>
          <w:sz w:val="22"/>
          <w:szCs w:val="22"/>
        </w:rPr>
        <w:t xml:space="preserve"> </w:t>
      </w:r>
      <w:r w:rsidR="00F246FF" w:rsidRPr="00EB2ED0">
        <w:rPr>
          <w:rFonts w:ascii="Arial" w:hAnsi="Arial" w:cs="Arial"/>
          <w:sz w:val="22"/>
          <w:szCs w:val="22"/>
        </w:rPr>
        <w:t>hace referencia a los mecanismos por los que pueden optar las entidades para ponderar los</w:t>
      </w:r>
      <w:r w:rsidR="009512EA" w:rsidRPr="00EB2ED0">
        <w:rPr>
          <w:rFonts w:ascii="Arial" w:hAnsi="Arial" w:cs="Arial"/>
          <w:sz w:val="22"/>
          <w:szCs w:val="22"/>
        </w:rPr>
        <w:t xml:space="preserve"> elementos de calidad y preci</w:t>
      </w:r>
      <w:r w:rsidR="00B32D71" w:rsidRPr="00EB2ED0">
        <w:rPr>
          <w:rFonts w:ascii="Arial" w:hAnsi="Arial" w:cs="Arial"/>
          <w:sz w:val="22"/>
          <w:szCs w:val="22"/>
        </w:rPr>
        <w:t>o</w:t>
      </w:r>
      <w:r w:rsidR="00F246FF" w:rsidRPr="00EB2ED0">
        <w:rPr>
          <w:rFonts w:ascii="Arial" w:hAnsi="Arial" w:cs="Arial"/>
          <w:sz w:val="22"/>
          <w:szCs w:val="22"/>
        </w:rPr>
        <w:t xml:space="preserve"> de las ofertas</w:t>
      </w:r>
      <w:r w:rsidR="00B32D71" w:rsidRPr="00EB2ED0">
        <w:rPr>
          <w:rFonts w:ascii="Arial" w:hAnsi="Arial" w:cs="Arial"/>
          <w:sz w:val="22"/>
          <w:szCs w:val="22"/>
        </w:rPr>
        <w:t xml:space="preserve">. El literal a) </w:t>
      </w:r>
      <w:r w:rsidR="00DE5716" w:rsidRPr="00EB2ED0">
        <w:rPr>
          <w:rFonts w:ascii="Arial" w:hAnsi="Arial" w:cs="Arial"/>
          <w:sz w:val="22"/>
          <w:szCs w:val="22"/>
        </w:rPr>
        <w:t>alude</w:t>
      </w:r>
      <w:r w:rsidR="00B32D71" w:rsidRPr="00EB2ED0">
        <w:rPr>
          <w:rFonts w:ascii="Arial" w:hAnsi="Arial" w:cs="Arial"/>
          <w:sz w:val="22"/>
          <w:szCs w:val="22"/>
        </w:rPr>
        <w:t xml:space="preserve"> a la po</w:t>
      </w:r>
      <w:r w:rsidR="00C205EF" w:rsidRPr="00EB2ED0">
        <w:rPr>
          <w:rFonts w:ascii="Arial" w:hAnsi="Arial" w:cs="Arial"/>
          <w:sz w:val="22"/>
          <w:szCs w:val="22"/>
        </w:rPr>
        <w:t>n</w:t>
      </w:r>
      <w:r w:rsidR="00B32D71" w:rsidRPr="00EB2ED0">
        <w:rPr>
          <w:rFonts w:ascii="Arial" w:hAnsi="Arial" w:cs="Arial"/>
          <w:sz w:val="22"/>
          <w:szCs w:val="22"/>
        </w:rPr>
        <w:t>deración de lo</w:t>
      </w:r>
      <w:r w:rsidR="00C205EF" w:rsidRPr="00EB2ED0">
        <w:rPr>
          <w:rFonts w:ascii="Arial" w:hAnsi="Arial" w:cs="Arial"/>
          <w:sz w:val="22"/>
          <w:szCs w:val="22"/>
        </w:rPr>
        <w:t xml:space="preserve">s referidos elementos mediante puntajes </w:t>
      </w:r>
      <w:r w:rsidR="00906166" w:rsidRPr="00EB2ED0">
        <w:rPr>
          <w:rFonts w:ascii="Arial" w:hAnsi="Arial" w:cs="Arial"/>
          <w:sz w:val="22"/>
          <w:szCs w:val="22"/>
        </w:rPr>
        <w:t>o</w:t>
      </w:r>
      <w:r w:rsidR="00C205EF" w:rsidRPr="00EB2ED0">
        <w:rPr>
          <w:rFonts w:ascii="Arial" w:hAnsi="Arial" w:cs="Arial"/>
          <w:sz w:val="22"/>
          <w:szCs w:val="22"/>
        </w:rPr>
        <w:t xml:space="preserve"> f</w:t>
      </w:r>
      <w:r w:rsidR="00DE5716" w:rsidRPr="00EB2ED0">
        <w:rPr>
          <w:rFonts w:ascii="Arial" w:hAnsi="Arial" w:cs="Arial"/>
          <w:sz w:val="22"/>
          <w:szCs w:val="22"/>
        </w:rPr>
        <w:t>ó</w:t>
      </w:r>
      <w:r w:rsidR="00C205EF" w:rsidRPr="00EB2ED0">
        <w:rPr>
          <w:rFonts w:ascii="Arial" w:hAnsi="Arial" w:cs="Arial"/>
          <w:sz w:val="22"/>
          <w:szCs w:val="22"/>
        </w:rPr>
        <w:t>rmulas</w:t>
      </w:r>
      <w:r w:rsidR="00DE5716" w:rsidRPr="00EB2ED0">
        <w:rPr>
          <w:rFonts w:ascii="Arial" w:hAnsi="Arial" w:cs="Arial"/>
          <w:sz w:val="22"/>
          <w:szCs w:val="22"/>
        </w:rPr>
        <w:t>,</w:t>
      </w:r>
      <w:r w:rsidR="00C205EF" w:rsidRPr="00EB2ED0">
        <w:rPr>
          <w:rFonts w:ascii="Arial" w:hAnsi="Arial" w:cs="Arial"/>
          <w:sz w:val="22"/>
          <w:szCs w:val="22"/>
        </w:rPr>
        <w:t xml:space="preserve"> </w:t>
      </w:r>
      <w:r w:rsidR="00F246FF" w:rsidRPr="00EB2ED0">
        <w:rPr>
          <w:rFonts w:ascii="Arial" w:hAnsi="Arial" w:cs="Arial"/>
          <w:sz w:val="22"/>
          <w:szCs w:val="22"/>
        </w:rPr>
        <w:t>mientras que el literal</w:t>
      </w:r>
      <w:r w:rsidR="00C205EF" w:rsidRPr="00EB2ED0">
        <w:rPr>
          <w:rFonts w:ascii="Arial" w:hAnsi="Arial" w:cs="Arial"/>
          <w:sz w:val="22"/>
          <w:szCs w:val="22"/>
        </w:rPr>
        <w:t xml:space="preserve"> b)</w:t>
      </w:r>
      <w:r w:rsidR="00F246FF" w:rsidRPr="00EB2ED0">
        <w:rPr>
          <w:rFonts w:ascii="Arial" w:hAnsi="Arial" w:cs="Arial"/>
          <w:sz w:val="22"/>
          <w:szCs w:val="22"/>
        </w:rPr>
        <w:t xml:space="preserve"> se refie</w:t>
      </w:r>
      <w:r w:rsidR="00C403CD" w:rsidRPr="00EB2ED0">
        <w:rPr>
          <w:rFonts w:ascii="Arial" w:hAnsi="Arial" w:cs="Arial"/>
          <w:sz w:val="22"/>
          <w:szCs w:val="22"/>
        </w:rPr>
        <w:t>re</w:t>
      </w:r>
      <w:r w:rsidR="00C205EF" w:rsidRPr="00EB2ED0">
        <w:rPr>
          <w:rFonts w:ascii="Arial" w:hAnsi="Arial" w:cs="Arial"/>
          <w:sz w:val="22"/>
          <w:szCs w:val="22"/>
        </w:rPr>
        <w:t xml:space="preserve"> </w:t>
      </w:r>
      <w:r w:rsidR="0061512C" w:rsidRPr="00EB2ED0">
        <w:rPr>
          <w:rFonts w:ascii="Arial" w:hAnsi="Arial" w:cs="Arial"/>
          <w:sz w:val="22"/>
          <w:szCs w:val="22"/>
        </w:rPr>
        <w:t xml:space="preserve">la elección de la oferta </w:t>
      </w:r>
      <w:r w:rsidR="006A0ADE" w:rsidRPr="00EB2ED0">
        <w:rPr>
          <w:rFonts w:ascii="Arial" w:hAnsi="Arial" w:cs="Arial"/>
          <w:sz w:val="22"/>
          <w:szCs w:val="22"/>
        </w:rPr>
        <w:t>que represent</w:t>
      </w:r>
      <w:r w:rsidR="00C403CD" w:rsidRPr="00EB2ED0">
        <w:rPr>
          <w:rFonts w:ascii="Arial" w:hAnsi="Arial" w:cs="Arial"/>
          <w:sz w:val="22"/>
          <w:szCs w:val="22"/>
        </w:rPr>
        <w:t>e</w:t>
      </w:r>
      <w:r w:rsidR="006A0ADE" w:rsidRPr="00EB2ED0">
        <w:rPr>
          <w:rFonts w:ascii="Arial" w:hAnsi="Arial" w:cs="Arial"/>
          <w:sz w:val="22"/>
          <w:szCs w:val="22"/>
        </w:rPr>
        <w:t xml:space="preserve"> la mejor relación costo – benefici</w:t>
      </w:r>
      <w:r w:rsidR="00C403CD" w:rsidRPr="00EB2ED0">
        <w:rPr>
          <w:rFonts w:ascii="Arial" w:hAnsi="Arial" w:cs="Arial"/>
          <w:sz w:val="22"/>
          <w:szCs w:val="22"/>
        </w:rPr>
        <w:t>o</w:t>
      </w:r>
      <w:r w:rsidR="00B86C04" w:rsidRPr="00EB2ED0">
        <w:rPr>
          <w:rFonts w:ascii="Arial" w:hAnsi="Arial" w:cs="Arial"/>
          <w:sz w:val="22"/>
          <w:szCs w:val="22"/>
        </w:rPr>
        <w:t xml:space="preserve"> para la entidad</w:t>
      </w:r>
      <w:r w:rsidR="00280754" w:rsidRPr="00EB2ED0">
        <w:rPr>
          <w:rFonts w:ascii="Arial" w:hAnsi="Arial" w:cs="Arial"/>
          <w:sz w:val="22"/>
          <w:szCs w:val="22"/>
        </w:rPr>
        <w:t xml:space="preserve">. </w:t>
      </w:r>
    </w:p>
    <w:p w14:paraId="00F9FBC5" w14:textId="2FF33BD5" w:rsidR="00E8617F" w:rsidRPr="00EB2ED0" w:rsidRDefault="00DB1142" w:rsidP="00EB2ED0">
      <w:pPr>
        <w:tabs>
          <w:tab w:val="left" w:pos="0"/>
        </w:tabs>
        <w:spacing w:after="120" w:line="276" w:lineRule="auto"/>
        <w:jc w:val="both"/>
        <w:rPr>
          <w:rFonts w:ascii="Arial" w:hAnsi="Arial" w:cs="Arial"/>
          <w:sz w:val="22"/>
          <w:szCs w:val="22"/>
        </w:rPr>
      </w:pPr>
      <w:r w:rsidRPr="00EB2ED0">
        <w:rPr>
          <w:rFonts w:ascii="Arial" w:hAnsi="Arial" w:cs="Arial"/>
          <w:sz w:val="22"/>
          <w:szCs w:val="22"/>
        </w:rPr>
        <w:tab/>
      </w:r>
      <w:r w:rsidR="002F6FF9" w:rsidRPr="00EB2ED0">
        <w:rPr>
          <w:rFonts w:ascii="Arial" w:hAnsi="Arial" w:cs="Arial"/>
          <w:sz w:val="22"/>
          <w:szCs w:val="22"/>
        </w:rPr>
        <w:t>Por su parte, el numeral 3 establece que en los procesos de selección</w:t>
      </w:r>
      <w:r w:rsidR="00133ED2" w:rsidRPr="00EB2ED0">
        <w:rPr>
          <w:rFonts w:ascii="Arial" w:hAnsi="Arial" w:cs="Arial"/>
          <w:sz w:val="22"/>
          <w:szCs w:val="22"/>
        </w:rPr>
        <w:t xml:space="preserve"> de bienes y servicios de características técnicas uniformes y de común utilización</w:t>
      </w:r>
      <w:r w:rsidR="009767BE" w:rsidRPr="00EB2ED0">
        <w:rPr>
          <w:rFonts w:ascii="Arial" w:hAnsi="Arial" w:cs="Arial"/>
          <w:sz w:val="22"/>
          <w:szCs w:val="22"/>
        </w:rPr>
        <w:t xml:space="preserve"> el único factor de evaluación</w:t>
      </w:r>
      <w:r w:rsidR="00245B9E" w:rsidRPr="00EB2ED0">
        <w:rPr>
          <w:rFonts w:ascii="Arial" w:hAnsi="Arial" w:cs="Arial"/>
          <w:sz w:val="22"/>
          <w:szCs w:val="22"/>
        </w:rPr>
        <w:t xml:space="preserve"> </w:t>
      </w:r>
      <w:r w:rsidR="005C514F" w:rsidRPr="00EB2ED0">
        <w:rPr>
          <w:rFonts w:ascii="Arial" w:hAnsi="Arial" w:cs="Arial"/>
          <w:sz w:val="22"/>
          <w:szCs w:val="22"/>
        </w:rPr>
        <w:t>consiste en</w:t>
      </w:r>
      <w:r w:rsidR="00245B9E" w:rsidRPr="00EB2ED0">
        <w:rPr>
          <w:rFonts w:ascii="Arial" w:hAnsi="Arial" w:cs="Arial"/>
          <w:sz w:val="22"/>
          <w:szCs w:val="22"/>
        </w:rPr>
        <w:t xml:space="preserve"> el menor precio.</w:t>
      </w:r>
      <w:r w:rsidR="00C403CD" w:rsidRPr="00EB2ED0">
        <w:rPr>
          <w:rFonts w:ascii="Arial" w:hAnsi="Arial" w:cs="Arial"/>
          <w:sz w:val="22"/>
          <w:szCs w:val="22"/>
        </w:rPr>
        <w:t xml:space="preserve"> Por último, el numeral </w:t>
      </w:r>
      <w:r w:rsidR="00604622" w:rsidRPr="00EB2ED0">
        <w:rPr>
          <w:rFonts w:ascii="Arial" w:hAnsi="Arial" w:cs="Arial"/>
          <w:sz w:val="22"/>
          <w:szCs w:val="22"/>
        </w:rPr>
        <w:t>4</w:t>
      </w:r>
      <w:r w:rsidR="00601055" w:rsidRPr="00EB2ED0">
        <w:rPr>
          <w:rFonts w:ascii="Arial" w:hAnsi="Arial" w:cs="Arial"/>
          <w:sz w:val="22"/>
          <w:szCs w:val="22"/>
        </w:rPr>
        <w:t>, referente a procedimientos para selección de consultores,</w:t>
      </w:r>
      <w:r w:rsidR="00CA424D" w:rsidRPr="00EB2ED0">
        <w:rPr>
          <w:rFonts w:ascii="Arial" w:hAnsi="Arial" w:cs="Arial"/>
          <w:sz w:val="22"/>
          <w:szCs w:val="22"/>
        </w:rPr>
        <w:t xml:space="preserve"> </w:t>
      </w:r>
      <w:r w:rsidR="00966948" w:rsidRPr="00EB2ED0">
        <w:rPr>
          <w:rFonts w:ascii="Arial" w:hAnsi="Arial" w:cs="Arial"/>
          <w:sz w:val="22"/>
          <w:szCs w:val="22"/>
        </w:rPr>
        <w:t>señala que debe hacer</w:t>
      </w:r>
      <w:r w:rsidR="00EC6044" w:rsidRPr="00EB2ED0">
        <w:rPr>
          <w:rFonts w:ascii="Arial" w:hAnsi="Arial" w:cs="Arial"/>
          <w:sz w:val="22"/>
          <w:szCs w:val="22"/>
        </w:rPr>
        <w:t>se</w:t>
      </w:r>
      <w:r w:rsidR="00966948" w:rsidRPr="00EB2ED0">
        <w:rPr>
          <w:rFonts w:ascii="Arial" w:hAnsi="Arial" w:cs="Arial"/>
          <w:sz w:val="22"/>
          <w:szCs w:val="22"/>
        </w:rPr>
        <w:t xml:space="preserve"> uso de factores </w:t>
      </w:r>
      <w:r w:rsidR="002B645D" w:rsidRPr="00EB2ED0">
        <w:rPr>
          <w:rFonts w:ascii="Arial" w:hAnsi="Arial" w:cs="Arial"/>
          <w:sz w:val="22"/>
          <w:szCs w:val="22"/>
        </w:rPr>
        <w:t xml:space="preserve">de </w:t>
      </w:r>
      <w:r w:rsidR="00966948" w:rsidRPr="00EB2ED0">
        <w:rPr>
          <w:rFonts w:ascii="Arial" w:hAnsi="Arial" w:cs="Arial"/>
          <w:sz w:val="22"/>
          <w:szCs w:val="22"/>
        </w:rPr>
        <w:t>calificación, para</w:t>
      </w:r>
      <w:r w:rsidR="00601055" w:rsidRPr="00EB2ED0">
        <w:rPr>
          <w:rFonts w:ascii="Arial" w:hAnsi="Arial" w:cs="Arial"/>
          <w:sz w:val="22"/>
          <w:szCs w:val="22"/>
        </w:rPr>
        <w:t xml:space="preserve"> valorar los aspectos técnicos de la oferta</w:t>
      </w:r>
      <w:r w:rsidR="00EC6044" w:rsidRPr="00EB2ED0">
        <w:rPr>
          <w:rFonts w:ascii="Arial" w:hAnsi="Arial" w:cs="Arial"/>
          <w:sz w:val="22"/>
          <w:szCs w:val="22"/>
        </w:rPr>
        <w:t xml:space="preserve">, permitiendo que entre ellos se </w:t>
      </w:r>
      <w:r w:rsidR="005C514F" w:rsidRPr="00EB2ED0">
        <w:rPr>
          <w:rFonts w:ascii="Arial" w:hAnsi="Arial" w:cs="Arial"/>
          <w:sz w:val="22"/>
          <w:szCs w:val="22"/>
        </w:rPr>
        <w:t xml:space="preserve">pondere </w:t>
      </w:r>
      <w:r w:rsidR="00EC6044" w:rsidRPr="00EB2ED0">
        <w:rPr>
          <w:rFonts w:ascii="Arial" w:hAnsi="Arial" w:cs="Arial"/>
          <w:sz w:val="22"/>
          <w:szCs w:val="22"/>
        </w:rPr>
        <w:t>la experiencia.</w:t>
      </w:r>
    </w:p>
    <w:p w14:paraId="36E6F7E3" w14:textId="4952FC03" w:rsidR="000F4141" w:rsidRPr="00EB2ED0" w:rsidRDefault="008C3F27" w:rsidP="00EB2ED0">
      <w:pPr>
        <w:tabs>
          <w:tab w:val="left" w:pos="0"/>
        </w:tabs>
        <w:spacing w:line="276" w:lineRule="auto"/>
        <w:jc w:val="both"/>
        <w:rPr>
          <w:rFonts w:ascii="Arial" w:eastAsiaTheme="minorHAnsi" w:hAnsi="Arial" w:cs="Arial"/>
          <w:sz w:val="22"/>
          <w:szCs w:val="22"/>
          <w:lang w:eastAsia="en-US"/>
        </w:rPr>
      </w:pPr>
      <w:r w:rsidRPr="00EB2ED0">
        <w:rPr>
          <w:rFonts w:ascii="Arial" w:hAnsi="Arial" w:cs="Arial"/>
          <w:sz w:val="22"/>
          <w:szCs w:val="22"/>
        </w:rPr>
        <w:tab/>
        <w:t>Conform</w:t>
      </w:r>
      <w:r w:rsidR="001D6F14" w:rsidRPr="00EB2ED0">
        <w:rPr>
          <w:rFonts w:ascii="Arial" w:hAnsi="Arial" w:cs="Arial"/>
          <w:sz w:val="22"/>
          <w:szCs w:val="22"/>
        </w:rPr>
        <w:t>e a</w:t>
      </w:r>
      <w:r w:rsidRPr="00EB2ED0">
        <w:rPr>
          <w:rFonts w:ascii="Arial" w:hAnsi="Arial" w:cs="Arial"/>
          <w:sz w:val="22"/>
          <w:szCs w:val="22"/>
        </w:rPr>
        <w:t xml:space="preserve"> lo anterior, el artículo 5 de la Ley 1150 de 2007, alude a diferentes conceptos como </w:t>
      </w:r>
      <w:r w:rsidR="001D3F00" w:rsidRPr="00EB2ED0">
        <w:rPr>
          <w:rFonts w:ascii="Arial" w:hAnsi="Arial" w:cs="Arial"/>
          <w:sz w:val="22"/>
          <w:szCs w:val="22"/>
        </w:rPr>
        <w:t>factores de escogencia</w:t>
      </w:r>
      <w:r w:rsidR="00DB1142" w:rsidRPr="00EB2ED0">
        <w:rPr>
          <w:rFonts w:ascii="Arial" w:hAnsi="Arial" w:cs="Arial"/>
          <w:sz w:val="22"/>
          <w:szCs w:val="22"/>
        </w:rPr>
        <w:t>,</w:t>
      </w:r>
      <w:r w:rsidR="00A622EA" w:rsidRPr="00EB2ED0">
        <w:rPr>
          <w:rFonts w:ascii="Arial" w:hAnsi="Arial" w:cs="Arial"/>
          <w:sz w:val="22"/>
          <w:szCs w:val="22"/>
        </w:rPr>
        <w:t xml:space="preserve"> de</w:t>
      </w:r>
      <w:r w:rsidR="0048478C" w:rsidRPr="00EB2ED0">
        <w:rPr>
          <w:rFonts w:ascii="Arial" w:hAnsi="Arial" w:cs="Arial"/>
          <w:sz w:val="22"/>
          <w:szCs w:val="22"/>
        </w:rPr>
        <w:t xml:space="preserve"> calificación</w:t>
      </w:r>
      <w:r w:rsidR="001D3F00" w:rsidRPr="00EB2ED0">
        <w:rPr>
          <w:rFonts w:ascii="Arial" w:hAnsi="Arial" w:cs="Arial"/>
          <w:sz w:val="22"/>
          <w:szCs w:val="22"/>
        </w:rPr>
        <w:t>,</w:t>
      </w:r>
      <w:r w:rsidR="003F051D" w:rsidRPr="00EB2ED0">
        <w:rPr>
          <w:rFonts w:ascii="Arial" w:hAnsi="Arial" w:cs="Arial"/>
          <w:sz w:val="22"/>
          <w:szCs w:val="22"/>
        </w:rPr>
        <w:t xml:space="preserve"> </w:t>
      </w:r>
      <w:r w:rsidR="0048478C" w:rsidRPr="00EB2ED0">
        <w:rPr>
          <w:rFonts w:ascii="Arial" w:hAnsi="Arial" w:cs="Arial"/>
          <w:sz w:val="22"/>
          <w:szCs w:val="22"/>
        </w:rPr>
        <w:t>técnicos y económicos</w:t>
      </w:r>
      <w:r w:rsidR="00FD72E7" w:rsidRPr="00EB2ED0">
        <w:rPr>
          <w:rFonts w:ascii="Arial" w:hAnsi="Arial" w:cs="Arial"/>
          <w:sz w:val="22"/>
          <w:szCs w:val="22"/>
        </w:rPr>
        <w:t xml:space="preserve"> de escogencia</w:t>
      </w:r>
      <w:r w:rsidR="00DB732A" w:rsidRPr="00EB2ED0">
        <w:rPr>
          <w:rFonts w:ascii="Arial" w:hAnsi="Arial" w:cs="Arial"/>
          <w:sz w:val="22"/>
          <w:szCs w:val="22"/>
        </w:rPr>
        <w:t xml:space="preserve">, </w:t>
      </w:r>
      <w:r w:rsidR="00274522" w:rsidRPr="00EB2ED0">
        <w:rPr>
          <w:rFonts w:ascii="Arial" w:hAnsi="Arial" w:cs="Arial"/>
          <w:sz w:val="22"/>
          <w:szCs w:val="22"/>
        </w:rPr>
        <w:t>de evaluación</w:t>
      </w:r>
      <w:r w:rsidR="00996851" w:rsidRPr="00EB2ED0">
        <w:rPr>
          <w:rFonts w:ascii="Arial" w:hAnsi="Arial" w:cs="Arial"/>
          <w:sz w:val="22"/>
          <w:szCs w:val="22"/>
        </w:rPr>
        <w:t xml:space="preserve"> y calificación. </w:t>
      </w:r>
      <w:r w:rsidR="00906166" w:rsidRPr="00EB2ED0">
        <w:rPr>
          <w:rFonts w:ascii="Arial" w:hAnsi="Arial" w:cs="Arial"/>
          <w:sz w:val="22"/>
          <w:szCs w:val="22"/>
        </w:rPr>
        <w:t>Además</w:t>
      </w:r>
      <w:r w:rsidR="00996851" w:rsidRPr="00EB2ED0">
        <w:rPr>
          <w:rFonts w:ascii="Arial" w:hAnsi="Arial" w:cs="Arial"/>
          <w:sz w:val="22"/>
          <w:szCs w:val="22"/>
        </w:rPr>
        <w:t xml:space="preserve">, el </w:t>
      </w:r>
      <w:r w:rsidR="00B94017" w:rsidRPr="00EB2ED0">
        <w:rPr>
          <w:rFonts w:ascii="Arial" w:hAnsi="Arial" w:cs="Arial"/>
          <w:sz w:val="22"/>
          <w:szCs w:val="22"/>
        </w:rPr>
        <w:t xml:space="preserve">artículo </w:t>
      </w:r>
      <w:r w:rsidR="00666D4B" w:rsidRPr="00EB2ED0">
        <w:rPr>
          <w:rFonts w:ascii="Arial" w:hAnsi="Arial" w:cs="Arial"/>
          <w:sz w:val="22"/>
          <w:szCs w:val="22"/>
        </w:rPr>
        <w:t>alude a</w:t>
      </w:r>
      <w:r w:rsidR="00B94017" w:rsidRPr="00EB2ED0">
        <w:rPr>
          <w:rFonts w:ascii="Arial" w:hAnsi="Arial" w:cs="Arial"/>
          <w:sz w:val="22"/>
          <w:szCs w:val="22"/>
        </w:rPr>
        <w:t xml:space="preserve"> unos factores que no </w:t>
      </w:r>
      <w:r w:rsidR="00B94017" w:rsidRPr="00EB2ED0">
        <w:rPr>
          <w:rFonts w:ascii="Arial" w:hAnsi="Arial" w:cs="Arial"/>
          <w:sz w:val="22"/>
          <w:szCs w:val="22"/>
        </w:rPr>
        <w:lastRenderedPageBreak/>
        <w:t xml:space="preserve">otorgan puntaje </w:t>
      </w:r>
      <w:r w:rsidR="003945C3" w:rsidRPr="00EB2ED0">
        <w:rPr>
          <w:rFonts w:ascii="Arial" w:hAnsi="Arial" w:cs="Arial"/>
          <w:sz w:val="22"/>
          <w:szCs w:val="22"/>
        </w:rPr>
        <w:t xml:space="preserve">y de </w:t>
      </w:r>
      <w:r w:rsidR="00666D4B" w:rsidRPr="00EB2ED0">
        <w:rPr>
          <w:rFonts w:ascii="Arial" w:hAnsi="Arial" w:cs="Arial"/>
          <w:sz w:val="22"/>
          <w:szCs w:val="22"/>
        </w:rPr>
        <w:t>otros</w:t>
      </w:r>
      <w:r w:rsidR="003945C3" w:rsidRPr="00EB2ED0">
        <w:rPr>
          <w:rFonts w:ascii="Arial" w:hAnsi="Arial" w:cs="Arial"/>
          <w:sz w:val="22"/>
          <w:szCs w:val="22"/>
        </w:rPr>
        <w:t xml:space="preserve"> que inciden en la comparación de ofertas. </w:t>
      </w:r>
      <w:r w:rsidR="00A622EA" w:rsidRPr="00EB2ED0">
        <w:rPr>
          <w:rFonts w:ascii="Arial" w:hAnsi="Arial" w:cs="Arial"/>
          <w:sz w:val="22"/>
          <w:szCs w:val="22"/>
        </w:rPr>
        <w:t>En línea con esto</w:t>
      </w:r>
      <w:r w:rsidR="00581FDB" w:rsidRPr="00EB2ED0">
        <w:rPr>
          <w:rFonts w:ascii="Arial" w:hAnsi="Arial" w:cs="Arial"/>
          <w:sz w:val="22"/>
          <w:szCs w:val="22"/>
        </w:rPr>
        <w:t xml:space="preserve"> último</w:t>
      </w:r>
      <w:r w:rsidR="00A622EA" w:rsidRPr="00EB2ED0">
        <w:rPr>
          <w:rFonts w:ascii="Arial" w:hAnsi="Arial" w:cs="Arial"/>
          <w:sz w:val="22"/>
          <w:szCs w:val="22"/>
        </w:rPr>
        <w:t>,</w:t>
      </w:r>
      <w:r w:rsidR="000572DE" w:rsidRPr="00EB2ED0">
        <w:rPr>
          <w:rFonts w:ascii="Arial" w:hAnsi="Arial" w:cs="Arial"/>
          <w:sz w:val="22"/>
          <w:szCs w:val="22"/>
        </w:rPr>
        <w:t xml:space="preserve"> la doctrina </w:t>
      </w:r>
      <w:r w:rsidR="00666D4B" w:rsidRPr="00EB2ED0">
        <w:rPr>
          <w:rFonts w:ascii="Arial" w:hAnsi="Arial" w:cs="Arial"/>
          <w:sz w:val="22"/>
          <w:szCs w:val="22"/>
        </w:rPr>
        <w:t>define los</w:t>
      </w:r>
      <w:r w:rsidR="000F4141" w:rsidRPr="00EB2ED0">
        <w:rPr>
          <w:rFonts w:ascii="Arial" w:hAnsi="Arial" w:cs="Arial"/>
          <w:sz w:val="22"/>
          <w:szCs w:val="22"/>
        </w:rPr>
        <w:t xml:space="preserve"> requisitos o factores ponderables</w:t>
      </w:r>
      <w:r w:rsidR="0024790F" w:rsidRPr="00EB2ED0">
        <w:rPr>
          <w:rFonts w:ascii="Arial" w:hAnsi="Arial" w:cs="Arial"/>
          <w:sz w:val="22"/>
          <w:szCs w:val="22"/>
        </w:rPr>
        <w:t xml:space="preserve"> como </w:t>
      </w:r>
      <w:r w:rsidR="0024790F" w:rsidRPr="00EB2ED0">
        <w:rPr>
          <w:rFonts w:ascii="Arial" w:hAnsi="Arial" w:cs="Arial"/>
          <w:sz w:val="22"/>
          <w:szCs w:val="22"/>
          <w:lang w:val="es-ES_tradnl"/>
        </w:rPr>
        <w:t>«[…]</w:t>
      </w:r>
      <w:r w:rsidR="0024790F" w:rsidRPr="00EB2ED0">
        <w:rPr>
          <w:rFonts w:ascii="Arial" w:eastAsiaTheme="minorHAnsi" w:hAnsi="Arial" w:cs="Arial"/>
          <w:sz w:val="22"/>
          <w:szCs w:val="22"/>
          <w:lang w:eastAsia="en-US"/>
        </w:rPr>
        <w:t xml:space="preserve"> </w:t>
      </w:r>
      <w:r w:rsidR="0024790F" w:rsidRPr="00EB2ED0">
        <w:rPr>
          <w:rFonts w:ascii="Arial" w:hAnsi="Arial" w:cs="Arial"/>
          <w:sz w:val="22"/>
          <w:szCs w:val="22"/>
        </w:rPr>
        <w:t xml:space="preserve">aquellas condiciones de la oferta y no de quien la presenta, que sí entrarán a ser evaluadas por la Administración y </w:t>
      </w:r>
      <w:proofErr w:type="gramStart"/>
      <w:r w:rsidR="0024790F" w:rsidRPr="00EB2ED0">
        <w:rPr>
          <w:rFonts w:ascii="Arial" w:hAnsi="Arial" w:cs="Arial"/>
          <w:sz w:val="22"/>
          <w:szCs w:val="22"/>
        </w:rPr>
        <w:t>que</w:t>
      </w:r>
      <w:proofErr w:type="gramEnd"/>
      <w:r w:rsidR="0024790F" w:rsidRPr="00EB2ED0">
        <w:rPr>
          <w:rFonts w:ascii="Arial" w:hAnsi="Arial" w:cs="Arial"/>
          <w:sz w:val="22"/>
          <w:szCs w:val="22"/>
        </w:rPr>
        <w:t xml:space="preserve"> en consecuencia, darán lugar a la escogencia objetiva de la mejor propuesta para la entidad</w:t>
      </w:r>
      <w:r w:rsidR="0024790F" w:rsidRPr="00EB2ED0">
        <w:rPr>
          <w:rFonts w:ascii="Arial" w:eastAsiaTheme="minorHAnsi" w:hAnsi="Arial" w:cs="Arial"/>
          <w:sz w:val="22"/>
          <w:szCs w:val="22"/>
          <w:lang w:eastAsia="en-US"/>
        </w:rPr>
        <w:t>»</w:t>
      </w:r>
      <w:r w:rsidR="000D2C93" w:rsidRPr="00EB2ED0">
        <w:rPr>
          <w:rStyle w:val="Refdenotaalpie"/>
          <w:rFonts w:ascii="Arial" w:hAnsi="Arial" w:cs="Arial"/>
          <w:sz w:val="22"/>
          <w:szCs w:val="22"/>
        </w:rPr>
        <w:footnoteReference w:id="27"/>
      </w:r>
      <w:r w:rsidR="0024790F" w:rsidRPr="00EB2ED0">
        <w:rPr>
          <w:rFonts w:ascii="Arial" w:eastAsiaTheme="minorHAnsi" w:hAnsi="Arial" w:cs="Arial"/>
          <w:sz w:val="22"/>
          <w:szCs w:val="22"/>
          <w:lang w:eastAsia="en-US"/>
        </w:rPr>
        <w:t>.</w:t>
      </w:r>
      <w:r w:rsidR="000374FB" w:rsidRPr="00EB2ED0">
        <w:rPr>
          <w:rFonts w:ascii="Arial" w:eastAsiaTheme="minorHAnsi" w:hAnsi="Arial" w:cs="Arial"/>
          <w:sz w:val="22"/>
          <w:szCs w:val="22"/>
          <w:lang w:eastAsia="en-US"/>
        </w:rPr>
        <w:t xml:space="preserve"> Todas estas categorías designa</w:t>
      </w:r>
      <w:r w:rsidR="00420547" w:rsidRPr="00EB2ED0">
        <w:rPr>
          <w:rFonts w:ascii="Arial" w:eastAsiaTheme="minorHAnsi" w:hAnsi="Arial" w:cs="Arial"/>
          <w:sz w:val="22"/>
          <w:szCs w:val="22"/>
          <w:lang w:eastAsia="en-US"/>
        </w:rPr>
        <w:t>n los</w:t>
      </w:r>
      <w:r w:rsidR="000374FB" w:rsidRPr="00EB2ED0">
        <w:rPr>
          <w:rFonts w:ascii="Arial" w:eastAsiaTheme="minorHAnsi" w:hAnsi="Arial" w:cs="Arial"/>
          <w:sz w:val="22"/>
          <w:szCs w:val="22"/>
          <w:lang w:eastAsia="en-US"/>
        </w:rPr>
        <w:t xml:space="preserve"> </w:t>
      </w:r>
      <w:r w:rsidR="00371563" w:rsidRPr="00EB2ED0">
        <w:rPr>
          <w:rFonts w:ascii="Arial" w:hAnsi="Arial" w:cs="Arial"/>
          <w:sz w:val="22"/>
          <w:szCs w:val="22"/>
          <w:lang w:val="es-ES_tradnl"/>
        </w:rPr>
        <w:t>«[…]</w:t>
      </w:r>
      <w:r w:rsidR="00371563" w:rsidRPr="00EB2ED0">
        <w:rPr>
          <w:rFonts w:ascii="Arial" w:eastAsiaTheme="minorHAnsi" w:hAnsi="Arial" w:cs="Arial"/>
          <w:sz w:val="22"/>
          <w:szCs w:val="22"/>
          <w:lang w:eastAsia="en-US"/>
        </w:rPr>
        <w:t xml:space="preserve"> </w:t>
      </w:r>
      <w:r w:rsidR="000374FB" w:rsidRPr="00EB2ED0">
        <w:rPr>
          <w:rFonts w:ascii="Arial" w:eastAsiaTheme="minorHAnsi" w:hAnsi="Arial" w:cs="Arial"/>
          <w:sz w:val="22"/>
          <w:szCs w:val="22"/>
          <w:lang w:eastAsia="en-US"/>
        </w:rPr>
        <w:t>factores a los cuales cabe otorgarles puntajes o que pueden ser ponderados, precisamente, pues estos son los factores que en últimas permiten una comparación de ofertas y una diferenciación entre ellas</w:t>
      </w:r>
      <w:r w:rsidR="00371563" w:rsidRPr="00EB2ED0">
        <w:rPr>
          <w:rFonts w:ascii="Arial" w:eastAsiaTheme="minorHAnsi" w:hAnsi="Arial" w:cs="Arial"/>
          <w:sz w:val="22"/>
          <w:szCs w:val="22"/>
          <w:lang w:eastAsia="en-US"/>
        </w:rPr>
        <w:t>»</w:t>
      </w:r>
      <w:r w:rsidR="00987E4B" w:rsidRPr="00EB2ED0">
        <w:rPr>
          <w:rStyle w:val="Refdenotaalpie"/>
          <w:rFonts w:ascii="Arial" w:eastAsiaTheme="minorHAnsi" w:hAnsi="Arial" w:cs="Arial"/>
          <w:sz w:val="22"/>
          <w:szCs w:val="22"/>
          <w:lang w:eastAsia="en-US"/>
        </w:rPr>
        <w:footnoteReference w:id="28"/>
      </w:r>
      <w:r w:rsidR="000374FB" w:rsidRPr="00EB2ED0">
        <w:rPr>
          <w:rFonts w:ascii="Arial" w:eastAsiaTheme="minorHAnsi" w:hAnsi="Arial" w:cs="Arial"/>
          <w:sz w:val="22"/>
          <w:szCs w:val="22"/>
          <w:lang w:eastAsia="en-US"/>
        </w:rPr>
        <w:t>.</w:t>
      </w:r>
      <w:r w:rsidR="00E26950" w:rsidRPr="00EB2ED0">
        <w:rPr>
          <w:rFonts w:ascii="Arial" w:eastAsiaTheme="minorHAnsi" w:hAnsi="Arial" w:cs="Arial"/>
          <w:sz w:val="22"/>
          <w:szCs w:val="22"/>
          <w:lang w:eastAsia="en-US"/>
        </w:rPr>
        <w:t xml:space="preserve"> Conforme a esto, </w:t>
      </w:r>
      <w:r w:rsidR="00096D15" w:rsidRPr="00EB2ED0">
        <w:rPr>
          <w:rFonts w:ascii="Arial" w:eastAsiaTheme="minorHAnsi" w:hAnsi="Arial" w:cs="Arial"/>
          <w:sz w:val="22"/>
          <w:szCs w:val="22"/>
          <w:lang w:eastAsia="en-US"/>
        </w:rPr>
        <w:t>la doctrina explica que</w:t>
      </w:r>
      <w:r w:rsidR="00D30FEA" w:rsidRPr="00EB2ED0">
        <w:rPr>
          <w:rFonts w:ascii="Arial" w:eastAsiaTheme="minorHAnsi" w:hAnsi="Arial" w:cs="Arial"/>
          <w:sz w:val="22"/>
          <w:szCs w:val="22"/>
          <w:lang w:eastAsia="en-US"/>
        </w:rPr>
        <w:t>:</w:t>
      </w:r>
    </w:p>
    <w:p w14:paraId="601D283A" w14:textId="77777777" w:rsidR="00705806" w:rsidRPr="00EB2ED0" w:rsidRDefault="00705806" w:rsidP="00EB2ED0">
      <w:pPr>
        <w:tabs>
          <w:tab w:val="left" w:pos="0"/>
        </w:tabs>
        <w:ind w:left="709" w:right="709"/>
        <w:jc w:val="both"/>
        <w:rPr>
          <w:rFonts w:ascii="Arial" w:eastAsia="Calibri" w:hAnsi="Arial" w:cs="Arial"/>
          <w:bCs/>
          <w:sz w:val="21"/>
          <w:szCs w:val="21"/>
        </w:rPr>
      </w:pPr>
    </w:p>
    <w:p w14:paraId="050FBF7A" w14:textId="5A03D55D" w:rsidR="00E26950" w:rsidRPr="00EB2ED0" w:rsidRDefault="00E26950" w:rsidP="00EB2ED0">
      <w:pPr>
        <w:tabs>
          <w:tab w:val="left" w:pos="0"/>
        </w:tabs>
        <w:spacing w:after="120"/>
        <w:ind w:left="709" w:right="709"/>
        <w:jc w:val="both"/>
        <w:rPr>
          <w:rFonts w:ascii="Arial" w:eastAsia="Calibri" w:hAnsi="Arial" w:cs="Arial"/>
          <w:bCs/>
          <w:sz w:val="21"/>
          <w:szCs w:val="21"/>
        </w:rPr>
      </w:pPr>
      <w:r w:rsidRPr="00EB2ED0">
        <w:rPr>
          <w:rFonts w:ascii="Arial" w:eastAsia="Calibri" w:hAnsi="Arial" w:cs="Arial"/>
          <w:bCs/>
          <w:sz w:val="21"/>
          <w:szCs w:val="21"/>
        </w:rPr>
        <w:t xml:space="preserve">De acuerdo con ese entendimiento, el numeral 2 del artículo 5.° de la Ley  1150 de 2007, modificado por el artículo 88 de la Ley 1474 de 2011, comienza por señalar que "la oferta más favorable será aquella que, teniendo en cuenta los factores técnicos y económicos de escogencia y la ponderación precisa y detallada de los mismos, contenida en los pliegos de condiciones o sus equivalentes, resulte ser la más ventajosa para la entidad, sin que la favorabilidad la constituyan factores diferentes a los contenidos en dichos documentos". Es decir que los factores de ponderación o de evaluación son los que en realidad determinan la propuesta que mejor satisface las necesidades de la Administración y no simplemente cuál de los proponentes es el más idóneo en la ejecución del contrato, pues, se insiste, todo oferente que supere los requisitos mínimos habilitantes se entiende que es suficientemente idóneo para la ejecución del objeto contractual.  </w:t>
      </w:r>
    </w:p>
    <w:p w14:paraId="0B69612A" w14:textId="77777777" w:rsidR="00493870" w:rsidRPr="00EB2ED0" w:rsidRDefault="00493870" w:rsidP="00EB2ED0">
      <w:pPr>
        <w:tabs>
          <w:tab w:val="left" w:pos="0"/>
        </w:tabs>
        <w:ind w:left="709" w:right="709"/>
        <w:jc w:val="both"/>
        <w:rPr>
          <w:rFonts w:ascii="Arial" w:eastAsia="Calibri" w:hAnsi="Arial" w:cs="Arial"/>
          <w:bCs/>
          <w:sz w:val="21"/>
          <w:szCs w:val="21"/>
        </w:rPr>
      </w:pPr>
      <w:r w:rsidRPr="00EB2ED0">
        <w:rPr>
          <w:rFonts w:ascii="Arial" w:eastAsia="Calibri" w:hAnsi="Arial" w:cs="Arial"/>
          <w:bCs/>
          <w:sz w:val="21"/>
          <w:szCs w:val="21"/>
        </w:rPr>
        <w:t xml:space="preserve">De nuevo, aquí es preciso señalar que es el pliego de condiciones el que debe determinar cuáles son esos factores que en cada caso concreto permiten hacer una comparación entre las ofertas presentadas y, con base en ello, determinar cuál es la más favorable para la Administración Pública. </w:t>
      </w:r>
    </w:p>
    <w:p w14:paraId="64C14DDD" w14:textId="77777777" w:rsidR="00493870" w:rsidRPr="00EB2ED0" w:rsidRDefault="00493870" w:rsidP="00EB2ED0">
      <w:pPr>
        <w:tabs>
          <w:tab w:val="left" w:pos="0"/>
        </w:tabs>
        <w:spacing w:after="120"/>
        <w:ind w:left="709" w:right="709"/>
        <w:jc w:val="both"/>
        <w:rPr>
          <w:rFonts w:ascii="Arial" w:eastAsia="Calibri" w:hAnsi="Arial" w:cs="Arial"/>
          <w:bCs/>
          <w:sz w:val="21"/>
          <w:szCs w:val="21"/>
        </w:rPr>
      </w:pPr>
      <w:r w:rsidRPr="00EB2ED0">
        <w:rPr>
          <w:rFonts w:ascii="Arial" w:eastAsia="Calibri" w:hAnsi="Arial" w:cs="Arial"/>
          <w:bCs/>
          <w:sz w:val="21"/>
          <w:szCs w:val="21"/>
        </w:rPr>
        <w:t>[…]</w:t>
      </w:r>
    </w:p>
    <w:p w14:paraId="66D50DAB" w14:textId="65628AC6" w:rsidR="00493870" w:rsidRPr="00EB2ED0" w:rsidRDefault="00493870" w:rsidP="00EB2ED0">
      <w:pPr>
        <w:tabs>
          <w:tab w:val="left" w:pos="0"/>
        </w:tabs>
        <w:ind w:left="709" w:right="709"/>
        <w:jc w:val="both"/>
        <w:rPr>
          <w:rFonts w:ascii="Arial" w:eastAsia="Calibri" w:hAnsi="Arial" w:cs="Arial"/>
          <w:bCs/>
          <w:sz w:val="21"/>
          <w:szCs w:val="21"/>
        </w:rPr>
      </w:pPr>
      <w:r w:rsidRPr="00EB2ED0">
        <w:rPr>
          <w:rFonts w:ascii="Arial" w:eastAsia="Calibri" w:hAnsi="Arial" w:cs="Arial"/>
          <w:bCs/>
          <w:sz w:val="21"/>
          <w:szCs w:val="21"/>
        </w:rPr>
        <w:t>Una siguiente conclusión que se deriva de la norma parcialmente transcrita consiste en que los pliegos de condiciones deben determinar dos situaciones por separado: 1. cuáles serán los factores o requisitos que serán evaluados por la Administración y 2. cuáles son los criterios para asignar puntaje a cada uno de los factores de evaluación y, con base en ello, poder hacer la comparación entre las ofertas y concluir cuál de ellas es la más ventajosa para la entidad estatal</w:t>
      </w:r>
      <w:r w:rsidRPr="00EB2ED0">
        <w:rPr>
          <w:rStyle w:val="Refdenotaalpie"/>
          <w:rFonts w:ascii="Arial" w:eastAsia="Calibri" w:hAnsi="Arial" w:cs="Arial"/>
          <w:bCs/>
          <w:sz w:val="21"/>
          <w:szCs w:val="21"/>
        </w:rPr>
        <w:footnoteReference w:id="29"/>
      </w:r>
      <w:r w:rsidRPr="00EB2ED0">
        <w:rPr>
          <w:rFonts w:ascii="Arial" w:eastAsia="Calibri" w:hAnsi="Arial" w:cs="Arial"/>
          <w:bCs/>
          <w:sz w:val="21"/>
          <w:szCs w:val="21"/>
        </w:rPr>
        <w:t>.</w:t>
      </w:r>
    </w:p>
    <w:p w14:paraId="21F59504" w14:textId="77777777" w:rsidR="00493870" w:rsidRPr="00EB2ED0" w:rsidRDefault="00493870" w:rsidP="00EB2ED0">
      <w:pPr>
        <w:tabs>
          <w:tab w:val="left" w:pos="0"/>
        </w:tabs>
        <w:ind w:left="709" w:right="709"/>
        <w:jc w:val="both"/>
        <w:rPr>
          <w:rFonts w:ascii="Arial" w:eastAsia="Calibri" w:hAnsi="Arial" w:cs="Arial"/>
          <w:bCs/>
          <w:sz w:val="21"/>
          <w:szCs w:val="21"/>
        </w:rPr>
      </w:pPr>
    </w:p>
    <w:p w14:paraId="28AA5F8D" w14:textId="54E3E4C7" w:rsidR="00C71304" w:rsidRPr="00EB2ED0" w:rsidRDefault="00FB551D" w:rsidP="00EB2ED0">
      <w:pPr>
        <w:tabs>
          <w:tab w:val="left" w:pos="0"/>
        </w:tabs>
        <w:spacing w:after="120" w:line="276" w:lineRule="auto"/>
        <w:jc w:val="both"/>
        <w:rPr>
          <w:rFonts w:ascii="Arial" w:eastAsia="Calibri" w:hAnsi="Arial" w:cs="Arial"/>
          <w:bCs/>
          <w:sz w:val="22"/>
          <w:szCs w:val="22"/>
        </w:rPr>
      </w:pPr>
      <w:r w:rsidRPr="00EB2ED0">
        <w:rPr>
          <w:rFonts w:ascii="Arial" w:eastAsia="Calibri" w:hAnsi="Arial" w:cs="Arial"/>
          <w:bCs/>
          <w:sz w:val="22"/>
          <w:szCs w:val="22"/>
        </w:rPr>
        <w:tab/>
        <w:t xml:space="preserve">De acuerdo </w:t>
      </w:r>
      <w:r w:rsidR="00FA4E49" w:rsidRPr="00EB2ED0">
        <w:rPr>
          <w:rFonts w:ascii="Arial" w:eastAsia="Calibri" w:hAnsi="Arial" w:cs="Arial"/>
          <w:bCs/>
          <w:sz w:val="22"/>
          <w:szCs w:val="22"/>
        </w:rPr>
        <w:t>con</w:t>
      </w:r>
      <w:r w:rsidRPr="00EB2ED0">
        <w:rPr>
          <w:rFonts w:ascii="Arial" w:eastAsia="Calibri" w:hAnsi="Arial" w:cs="Arial"/>
          <w:bCs/>
          <w:sz w:val="22"/>
          <w:szCs w:val="22"/>
        </w:rPr>
        <w:t xml:space="preserve"> lo anterior, es posible asimilar las</w:t>
      </w:r>
      <w:r w:rsidR="00D30041" w:rsidRPr="00EB2ED0">
        <w:rPr>
          <w:rFonts w:ascii="Arial" w:eastAsia="Calibri" w:hAnsi="Arial" w:cs="Arial"/>
          <w:bCs/>
          <w:sz w:val="22"/>
          <w:szCs w:val="22"/>
        </w:rPr>
        <w:t xml:space="preserve"> diferentes categorí</w:t>
      </w:r>
      <w:r w:rsidR="00BC244D" w:rsidRPr="00EB2ED0">
        <w:rPr>
          <w:rFonts w:ascii="Arial" w:eastAsia="Calibri" w:hAnsi="Arial" w:cs="Arial"/>
          <w:bCs/>
          <w:sz w:val="22"/>
          <w:szCs w:val="22"/>
        </w:rPr>
        <w:t xml:space="preserve">as a las que hace referencia el artículo 5 de la Ley 1150 de 2007, cuando alude a los factores que, a </w:t>
      </w:r>
      <w:r w:rsidR="00BC244D" w:rsidRPr="00EB2ED0">
        <w:rPr>
          <w:rFonts w:ascii="Arial" w:eastAsia="Calibri" w:hAnsi="Arial" w:cs="Arial"/>
          <w:bCs/>
          <w:sz w:val="22"/>
          <w:szCs w:val="22"/>
        </w:rPr>
        <w:lastRenderedPageBreak/>
        <w:t xml:space="preserve">diferencia de los requisitos habilitantes, determinan la oferta más favorable para la entidad, y que por lo tanto debe </w:t>
      </w:r>
      <w:r w:rsidR="00E17ABB" w:rsidRPr="00EB2ED0">
        <w:rPr>
          <w:rFonts w:ascii="Arial" w:eastAsia="Calibri" w:hAnsi="Arial" w:cs="Arial"/>
          <w:bCs/>
          <w:sz w:val="22"/>
          <w:szCs w:val="22"/>
        </w:rPr>
        <w:t xml:space="preserve">hacer </w:t>
      </w:r>
      <w:r w:rsidR="00983310" w:rsidRPr="00EB2ED0">
        <w:rPr>
          <w:rFonts w:ascii="Arial" w:eastAsia="Calibri" w:hAnsi="Arial" w:cs="Arial"/>
          <w:bCs/>
          <w:sz w:val="22"/>
          <w:szCs w:val="22"/>
        </w:rPr>
        <w:t xml:space="preserve">adjudicatario </w:t>
      </w:r>
      <w:r w:rsidR="00E17ABB" w:rsidRPr="00EB2ED0">
        <w:rPr>
          <w:rFonts w:ascii="Arial" w:eastAsia="Calibri" w:hAnsi="Arial" w:cs="Arial"/>
          <w:bCs/>
          <w:sz w:val="22"/>
          <w:szCs w:val="22"/>
        </w:rPr>
        <w:t>a quien la presentó</w:t>
      </w:r>
      <w:r w:rsidR="00AF6CBB" w:rsidRPr="00EB2ED0">
        <w:rPr>
          <w:rFonts w:ascii="Arial" w:eastAsia="Calibri" w:hAnsi="Arial" w:cs="Arial"/>
          <w:bCs/>
          <w:sz w:val="22"/>
          <w:szCs w:val="22"/>
        </w:rPr>
        <w:t xml:space="preserve"> en debida forma</w:t>
      </w:r>
      <w:r w:rsidR="00E17ABB" w:rsidRPr="00EB2ED0">
        <w:rPr>
          <w:rFonts w:ascii="Arial" w:eastAsia="Calibri" w:hAnsi="Arial" w:cs="Arial"/>
          <w:bCs/>
          <w:sz w:val="22"/>
          <w:szCs w:val="22"/>
        </w:rPr>
        <w:t>.</w:t>
      </w:r>
      <w:r w:rsidR="00183515" w:rsidRPr="00EB2ED0">
        <w:rPr>
          <w:rFonts w:ascii="Arial" w:eastAsia="Calibri" w:hAnsi="Arial" w:cs="Arial"/>
          <w:bCs/>
          <w:sz w:val="22"/>
          <w:szCs w:val="22"/>
        </w:rPr>
        <w:t xml:space="preserve"> Es frente a estos factores que la entidad concibe </w:t>
      </w:r>
      <w:r w:rsidR="001275E8" w:rsidRPr="00EB2ED0">
        <w:rPr>
          <w:rFonts w:ascii="Arial" w:eastAsia="Calibri" w:hAnsi="Arial" w:cs="Arial"/>
          <w:bCs/>
          <w:sz w:val="22"/>
          <w:szCs w:val="22"/>
        </w:rPr>
        <w:t>el otorgamiento de puntajes, como mecanismos para ponderar y comparar los ofrecimientos</w:t>
      </w:r>
      <w:r w:rsidR="00876BF7" w:rsidRPr="00EB2ED0">
        <w:rPr>
          <w:rFonts w:ascii="Arial" w:eastAsia="Calibri" w:hAnsi="Arial" w:cs="Arial"/>
          <w:bCs/>
          <w:sz w:val="22"/>
          <w:szCs w:val="22"/>
        </w:rPr>
        <w:t>,</w:t>
      </w:r>
      <w:r w:rsidR="00493870" w:rsidRPr="00EB2ED0">
        <w:rPr>
          <w:rFonts w:ascii="Arial" w:eastAsia="Calibri" w:hAnsi="Arial" w:cs="Arial"/>
          <w:bCs/>
          <w:sz w:val="22"/>
          <w:szCs w:val="22"/>
        </w:rPr>
        <w:t xml:space="preserve"> </w:t>
      </w:r>
      <w:r w:rsidR="00402ACD" w:rsidRPr="00EB2ED0">
        <w:rPr>
          <w:rFonts w:ascii="Arial" w:eastAsia="Calibri" w:hAnsi="Arial" w:cs="Arial"/>
          <w:bCs/>
          <w:sz w:val="22"/>
          <w:szCs w:val="22"/>
        </w:rPr>
        <w:t>con el fin de determinar objetivamente</w:t>
      </w:r>
      <w:r w:rsidR="00876BF7" w:rsidRPr="00EB2ED0">
        <w:rPr>
          <w:rFonts w:ascii="Arial" w:eastAsia="Calibri" w:hAnsi="Arial" w:cs="Arial"/>
          <w:bCs/>
          <w:sz w:val="22"/>
          <w:szCs w:val="22"/>
        </w:rPr>
        <w:t xml:space="preserve"> </w:t>
      </w:r>
      <w:r w:rsidR="00493870" w:rsidRPr="00EB2ED0">
        <w:rPr>
          <w:rFonts w:ascii="Arial" w:eastAsia="Calibri" w:hAnsi="Arial" w:cs="Arial"/>
          <w:bCs/>
          <w:sz w:val="22"/>
          <w:szCs w:val="22"/>
        </w:rPr>
        <w:t xml:space="preserve">la oferta más favorable, aplicando para ello las reglas establecidas en el pliego </w:t>
      </w:r>
      <w:r w:rsidR="000F0CCE" w:rsidRPr="00EB2ED0">
        <w:rPr>
          <w:rFonts w:ascii="Arial" w:eastAsia="Calibri" w:hAnsi="Arial" w:cs="Arial"/>
          <w:bCs/>
          <w:sz w:val="22"/>
          <w:szCs w:val="22"/>
        </w:rPr>
        <w:t>o documento equivalente</w:t>
      </w:r>
      <w:r w:rsidR="002B18E0" w:rsidRPr="00EB2ED0">
        <w:rPr>
          <w:rFonts w:ascii="Arial" w:eastAsia="Calibri" w:hAnsi="Arial" w:cs="Arial"/>
          <w:bCs/>
          <w:sz w:val="22"/>
          <w:szCs w:val="22"/>
        </w:rPr>
        <w:t xml:space="preserve"> para la ponderación de las ofertas. </w:t>
      </w:r>
    </w:p>
    <w:p w14:paraId="75A9DF40" w14:textId="1E0E2DF5" w:rsidR="00B3529F" w:rsidRPr="00EB2ED0" w:rsidRDefault="00C71304" w:rsidP="00EB2ED0">
      <w:pPr>
        <w:tabs>
          <w:tab w:val="left" w:pos="0"/>
        </w:tabs>
        <w:spacing w:after="120" w:line="276" w:lineRule="auto"/>
        <w:jc w:val="both"/>
        <w:rPr>
          <w:rFonts w:ascii="Arial" w:eastAsia="Calibri" w:hAnsi="Arial" w:cs="Arial"/>
          <w:bCs/>
          <w:sz w:val="22"/>
          <w:szCs w:val="22"/>
        </w:rPr>
      </w:pPr>
      <w:r w:rsidRPr="00EB2ED0">
        <w:rPr>
          <w:rFonts w:ascii="Arial" w:eastAsia="Calibri" w:hAnsi="Arial" w:cs="Arial"/>
          <w:bCs/>
          <w:sz w:val="22"/>
          <w:szCs w:val="22"/>
        </w:rPr>
        <w:tab/>
      </w:r>
      <w:r w:rsidR="00642D9F" w:rsidRPr="00EB2ED0">
        <w:rPr>
          <w:rFonts w:ascii="Arial" w:eastAsia="Calibri" w:hAnsi="Arial" w:cs="Arial"/>
          <w:bCs/>
          <w:sz w:val="22"/>
          <w:szCs w:val="22"/>
        </w:rPr>
        <w:t xml:space="preserve">En ese sentido, la asignación de puntaje es </w:t>
      </w:r>
      <w:r w:rsidR="00B94C02" w:rsidRPr="00EB2ED0">
        <w:rPr>
          <w:rFonts w:ascii="Arial" w:eastAsia="Calibri" w:hAnsi="Arial" w:cs="Arial"/>
          <w:bCs/>
          <w:sz w:val="22"/>
          <w:szCs w:val="22"/>
        </w:rPr>
        <w:t xml:space="preserve">un </w:t>
      </w:r>
      <w:r w:rsidR="00642D9F" w:rsidRPr="00EB2ED0">
        <w:rPr>
          <w:rFonts w:ascii="Arial" w:eastAsia="Calibri" w:hAnsi="Arial" w:cs="Arial"/>
          <w:bCs/>
          <w:sz w:val="22"/>
          <w:szCs w:val="22"/>
        </w:rPr>
        <w:t>mecanismo</w:t>
      </w:r>
      <w:r w:rsidR="00A13EEC" w:rsidRPr="00EB2ED0">
        <w:rPr>
          <w:rFonts w:ascii="Arial" w:eastAsia="Calibri" w:hAnsi="Arial" w:cs="Arial"/>
          <w:bCs/>
          <w:sz w:val="22"/>
          <w:szCs w:val="22"/>
        </w:rPr>
        <w:t xml:space="preserve"> </w:t>
      </w:r>
      <w:r w:rsidR="00AF6CBB" w:rsidRPr="00EB2ED0">
        <w:rPr>
          <w:rFonts w:ascii="Arial" w:eastAsia="Calibri" w:hAnsi="Arial" w:cs="Arial"/>
          <w:bCs/>
          <w:sz w:val="22"/>
          <w:szCs w:val="22"/>
        </w:rPr>
        <w:t xml:space="preserve">mediante </w:t>
      </w:r>
      <w:r w:rsidR="00A13EEC" w:rsidRPr="00EB2ED0">
        <w:rPr>
          <w:rFonts w:ascii="Arial" w:eastAsia="Calibri" w:hAnsi="Arial" w:cs="Arial"/>
          <w:bCs/>
          <w:sz w:val="22"/>
          <w:szCs w:val="22"/>
        </w:rPr>
        <w:t xml:space="preserve">el cual </w:t>
      </w:r>
      <w:r w:rsidR="00B94C02" w:rsidRPr="00EB2ED0">
        <w:rPr>
          <w:rFonts w:ascii="Arial" w:eastAsia="Calibri" w:hAnsi="Arial" w:cs="Arial"/>
          <w:bCs/>
          <w:sz w:val="22"/>
          <w:szCs w:val="22"/>
        </w:rPr>
        <w:t>las entidades</w:t>
      </w:r>
      <w:r w:rsidR="00A13EEC" w:rsidRPr="00EB2ED0">
        <w:rPr>
          <w:rFonts w:ascii="Arial" w:eastAsia="Calibri" w:hAnsi="Arial" w:cs="Arial"/>
          <w:bCs/>
          <w:sz w:val="22"/>
          <w:szCs w:val="22"/>
        </w:rPr>
        <w:t xml:space="preserve"> pondera</w:t>
      </w:r>
      <w:r w:rsidR="000F0CCE" w:rsidRPr="00EB2ED0">
        <w:rPr>
          <w:rFonts w:ascii="Arial" w:eastAsia="Calibri" w:hAnsi="Arial" w:cs="Arial"/>
          <w:bCs/>
          <w:sz w:val="22"/>
          <w:szCs w:val="22"/>
        </w:rPr>
        <w:t>n</w:t>
      </w:r>
      <w:r w:rsidR="00A13EEC" w:rsidRPr="00EB2ED0">
        <w:rPr>
          <w:rFonts w:ascii="Arial" w:eastAsia="Calibri" w:hAnsi="Arial" w:cs="Arial"/>
          <w:bCs/>
          <w:sz w:val="22"/>
          <w:szCs w:val="22"/>
        </w:rPr>
        <w:t xml:space="preserve"> los factores de calificación</w:t>
      </w:r>
      <w:r w:rsidR="00B94C02" w:rsidRPr="00EB2ED0">
        <w:rPr>
          <w:rFonts w:ascii="Arial" w:eastAsia="Calibri" w:hAnsi="Arial" w:cs="Arial"/>
          <w:bCs/>
          <w:sz w:val="22"/>
          <w:szCs w:val="22"/>
        </w:rPr>
        <w:t xml:space="preserve"> </w:t>
      </w:r>
      <w:r w:rsidR="00D37EAD" w:rsidRPr="00EB2ED0">
        <w:rPr>
          <w:rFonts w:ascii="Arial" w:eastAsia="Calibri" w:hAnsi="Arial" w:cs="Arial"/>
          <w:bCs/>
          <w:sz w:val="22"/>
          <w:szCs w:val="22"/>
        </w:rPr>
        <w:t>ꟷ</w:t>
      </w:r>
      <w:r w:rsidR="00B94C02" w:rsidRPr="00EB2ED0">
        <w:rPr>
          <w:rFonts w:ascii="Arial" w:eastAsia="Calibri" w:hAnsi="Arial" w:cs="Arial"/>
          <w:bCs/>
          <w:i/>
          <w:iCs/>
          <w:sz w:val="22"/>
          <w:szCs w:val="22"/>
        </w:rPr>
        <w:t>v</w:t>
      </w:r>
      <w:r w:rsidR="002D3E4A" w:rsidRPr="00EB2ED0">
        <w:rPr>
          <w:rFonts w:ascii="Arial" w:eastAsia="Calibri" w:hAnsi="Arial" w:cs="Arial"/>
          <w:bCs/>
          <w:i/>
          <w:iCs/>
          <w:sz w:val="22"/>
          <w:szCs w:val="22"/>
        </w:rPr>
        <w:t>.g.</w:t>
      </w:r>
      <w:r w:rsidR="002D3E4A" w:rsidRPr="00EB2ED0">
        <w:rPr>
          <w:rFonts w:ascii="Arial" w:eastAsia="Calibri" w:hAnsi="Arial" w:cs="Arial"/>
          <w:bCs/>
          <w:sz w:val="22"/>
          <w:szCs w:val="22"/>
        </w:rPr>
        <w:t xml:space="preserve"> t</w:t>
      </w:r>
      <w:r w:rsidR="00B94C02" w:rsidRPr="00EB2ED0">
        <w:rPr>
          <w:rFonts w:ascii="Arial" w:eastAsia="Calibri" w:hAnsi="Arial" w:cs="Arial"/>
          <w:bCs/>
          <w:sz w:val="22"/>
          <w:szCs w:val="22"/>
        </w:rPr>
        <w:t>écnicos y económicos, de calidad y precio</w:t>
      </w:r>
      <w:r w:rsidR="00B94C02" w:rsidRPr="00EB2ED0">
        <w:rPr>
          <w:rFonts w:ascii="Arial" w:eastAsia="Calibri" w:hAnsi="Arial" w:cs="Arial"/>
          <w:bCs/>
          <w:sz w:val="22"/>
          <w:szCs w:val="22"/>
        </w:rPr>
        <w:softHyphen/>
      </w:r>
      <w:r w:rsidR="00F540A3" w:rsidRPr="00EB2ED0">
        <w:rPr>
          <w:rFonts w:ascii="Arial" w:eastAsia="Calibri" w:hAnsi="Arial" w:cs="Arial"/>
          <w:bCs/>
          <w:sz w:val="22"/>
          <w:szCs w:val="22"/>
        </w:rPr>
        <w:t xml:space="preserve">, </w:t>
      </w:r>
      <w:r w:rsidR="000F0CCE" w:rsidRPr="00EB2ED0">
        <w:rPr>
          <w:rFonts w:ascii="Arial" w:eastAsia="Calibri" w:hAnsi="Arial" w:cs="Arial"/>
          <w:bCs/>
          <w:sz w:val="22"/>
          <w:szCs w:val="22"/>
        </w:rPr>
        <w:t>etc.</w:t>
      </w:r>
      <w:r w:rsidR="00D37EAD" w:rsidRPr="00EB2ED0">
        <w:rPr>
          <w:rFonts w:ascii="Arial" w:eastAsia="Calibri" w:hAnsi="Arial" w:cs="Arial"/>
          <w:bCs/>
          <w:sz w:val="22"/>
          <w:szCs w:val="22"/>
        </w:rPr>
        <w:t xml:space="preserve">ꟷ </w:t>
      </w:r>
      <w:r w:rsidR="00A13EEC" w:rsidRPr="00EB2ED0">
        <w:rPr>
          <w:rFonts w:ascii="Arial" w:eastAsia="Calibri" w:hAnsi="Arial" w:cs="Arial"/>
          <w:bCs/>
          <w:sz w:val="22"/>
          <w:szCs w:val="22"/>
        </w:rPr>
        <w:t>en un determinado proceso de selecci</w:t>
      </w:r>
      <w:r w:rsidR="002D3E4A" w:rsidRPr="00EB2ED0">
        <w:rPr>
          <w:rFonts w:ascii="Arial" w:eastAsia="Calibri" w:hAnsi="Arial" w:cs="Arial"/>
          <w:bCs/>
          <w:sz w:val="22"/>
          <w:szCs w:val="22"/>
        </w:rPr>
        <w:t>ón</w:t>
      </w:r>
      <w:r w:rsidR="008005A1" w:rsidRPr="00EB2ED0">
        <w:rPr>
          <w:rFonts w:ascii="Arial" w:eastAsia="Calibri" w:hAnsi="Arial" w:cs="Arial"/>
          <w:bCs/>
          <w:sz w:val="22"/>
          <w:szCs w:val="22"/>
        </w:rPr>
        <w:t>, como se desprende del</w:t>
      </w:r>
      <w:r w:rsidR="00687DAD" w:rsidRPr="00EB2ED0">
        <w:rPr>
          <w:rFonts w:ascii="Arial" w:eastAsia="Calibri" w:hAnsi="Arial" w:cs="Arial"/>
          <w:bCs/>
          <w:sz w:val="22"/>
          <w:szCs w:val="22"/>
        </w:rPr>
        <w:t xml:space="preserve"> literal a) del</w:t>
      </w:r>
      <w:r w:rsidR="008005A1" w:rsidRPr="00EB2ED0">
        <w:rPr>
          <w:rFonts w:ascii="Arial" w:eastAsia="Calibri" w:hAnsi="Arial" w:cs="Arial"/>
          <w:bCs/>
          <w:sz w:val="22"/>
          <w:szCs w:val="22"/>
        </w:rPr>
        <w:t xml:space="preserve"> </w:t>
      </w:r>
      <w:r w:rsidR="002E7B84" w:rsidRPr="00EB2ED0">
        <w:rPr>
          <w:rFonts w:ascii="Arial" w:eastAsia="Calibri" w:hAnsi="Arial" w:cs="Arial"/>
          <w:bCs/>
          <w:sz w:val="22"/>
          <w:szCs w:val="22"/>
        </w:rPr>
        <w:t>numeral 2</w:t>
      </w:r>
      <w:r w:rsidR="00C73AC2" w:rsidRPr="00EB2ED0">
        <w:rPr>
          <w:rFonts w:ascii="Arial" w:eastAsia="Calibri" w:hAnsi="Arial" w:cs="Arial"/>
          <w:bCs/>
          <w:sz w:val="22"/>
          <w:szCs w:val="22"/>
        </w:rPr>
        <w:t xml:space="preserve"> del artículo </w:t>
      </w:r>
      <w:r w:rsidR="002E7B84" w:rsidRPr="00EB2ED0">
        <w:rPr>
          <w:rFonts w:ascii="Arial" w:eastAsia="Calibri" w:hAnsi="Arial" w:cs="Arial"/>
          <w:bCs/>
          <w:sz w:val="22"/>
          <w:szCs w:val="22"/>
        </w:rPr>
        <w:t>5</w:t>
      </w:r>
      <w:r w:rsidR="00C73AC2" w:rsidRPr="00EB2ED0">
        <w:rPr>
          <w:rFonts w:ascii="Arial" w:eastAsia="Calibri" w:hAnsi="Arial" w:cs="Arial"/>
          <w:bCs/>
          <w:sz w:val="22"/>
          <w:szCs w:val="22"/>
        </w:rPr>
        <w:t xml:space="preserve"> de la Ley 1150 de 200</w:t>
      </w:r>
      <w:r w:rsidR="00B147B3" w:rsidRPr="00EB2ED0">
        <w:rPr>
          <w:rFonts w:ascii="Arial" w:eastAsia="Calibri" w:hAnsi="Arial" w:cs="Arial"/>
          <w:bCs/>
          <w:sz w:val="22"/>
          <w:szCs w:val="22"/>
        </w:rPr>
        <w:t xml:space="preserve">7, en el que expresamente se alude al puntaje. </w:t>
      </w:r>
      <w:r w:rsidR="00443259" w:rsidRPr="00EB2ED0">
        <w:rPr>
          <w:rFonts w:ascii="Arial" w:eastAsia="Calibri" w:hAnsi="Arial" w:cs="Arial"/>
          <w:bCs/>
          <w:sz w:val="22"/>
          <w:szCs w:val="22"/>
        </w:rPr>
        <w:t>Sin embargo</w:t>
      </w:r>
      <w:r w:rsidR="00045D5B" w:rsidRPr="00EB2ED0">
        <w:rPr>
          <w:rFonts w:ascii="Arial" w:eastAsia="Calibri" w:hAnsi="Arial" w:cs="Arial"/>
          <w:bCs/>
          <w:sz w:val="22"/>
          <w:szCs w:val="22"/>
        </w:rPr>
        <w:t>, no es este el único mecanismo de ponderación que tiene</w:t>
      </w:r>
      <w:r w:rsidR="00FD694E" w:rsidRPr="00EB2ED0">
        <w:rPr>
          <w:rFonts w:ascii="Arial" w:eastAsia="Calibri" w:hAnsi="Arial" w:cs="Arial"/>
          <w:bCs/>
          <w:sz w:val="22"/>
          <w:szCs w:val="22"/>
        </w:rPr>
        <w:t>n</w:t>
      </w:r>
      <w:r w:rsidR="00045D5B" w:rsidRPr="00EB2ED0">
        <w:rPr>
          <w:rFonts w:ascii="Arial" w:eastAsia="Calibri" w:hAnsi="Arial" w:cs="Arial"/>
          <w:bCs/>
          <w:sz w:val="22"/>
          <w:szCs w:val="22"/>
        </w:rPr>
        <w:t xml:space="preserve"> </w:t>
      </w:r>
      <w:r w:rsidR="00687DAD" w:rsidRPr="00EB2ED0">
        <w:rPr>
          <w:rFonts w:ascii="Arial" w:eastAsia="Calibri" w:hAnsi="Arial" w:cs="Arial"/>
          <w:bCs/>
          <w:sz w:val="22"/>
          <w:szCs w:val="22"/>
        </w:rPr>
        <w:t xml:space="preserve">a </w:t>
      </w:r>
      <w:r w:rsidR="00045D5B" w:rsidRPr="00EB2ED0">
        <w:rPr>
          <w:rFonts w:ascii="Arial" w:eastAsia="Calibri" w:hAnsi="Arial" w:cs="Arial"/>
          <w:bCs/>
          <w:sz w:val="22"/>
          <w:szCs w:val="22"/>
        </w:rPr>
        <w:t>su alcance las entidades estatales para determinar</w:t>
      </w:r>
      <w:r w:rsidR="00572959" w:rsidRPr="00EB2ED0">
        <w:rPr>
          <w:rFonts w:ascii="Arial" w:eastAsia="Calibri" w:hAnsi="Arial" w:cs="Arial"/>
          <w:bCs/>
          <w:sz w:val="22"/>
          <w:szCs w:val="22"/>
        </w:rPr>
        <w:t xml:space="preserve"> el ofrecimiento más favorable, ya que el propio </w:t>
      </w:r>
      <w:r w:rsidR="00585E80" w:rsidRPr="00EB2ED0">
        <w:rPr>
          <w:rFonts w:ascii="Arial" w:eastAsia="Calibri" w:hAnsi="Arial" w:cs="Arial"/>
          <w:bCs/>
          <w:sz w:val="22"/>
          <w:szCs w:val="22"/>
        </w:rPr>
        <w:t xml:space="preserve">literal </w:t>
      </w:r>
      <w:r w:rsidRPr="00EB2ED0">
        <w:rPr>
          <w:rFonts w:ascii="Arial" w:eastAsia="Calibri" w:hAnsi="Arial" w:cs="Arial"/>
          <w:bCs/>
          <w:sz w:val="22"/>
          <w:szCs w:val="22"/>
        </w:rPr>
        <w:t>b</w:t>
      </w:r>
      <w:r w:rsidR="00585E80" w:rsidRPr="00EB2ED0">
        <w:rPr>
          <w:rFonts w:ascii="Arial" w:eastAsia="Calibri" w:hAnsi="Arial" w:cs="Arial"/>
          <w:bCs/>
          <w:sz w:val="22"/>
          <w:szCs w:val="22"/>
        </w:rPr>
        <w:t>) del</w:t>
      </w:r>
      <w:r w:rsidR="00572959" w:rsidRPr="00EB2ED0">
        <w:rPr>
          <w:rFonts w:ascii="Arial" w:eastAsia="Calibri" w:hAnsi="Arial" w:cs="Arial"/>
          <w:bCs/>
          <w:sz w:val="22"/>
          <w:szCs w:val="22"/>
        </w:rPr>
        <w:t xml:space="preserve"> artículo 5</w:t>
      </w:r>
      <w:r w:rsidR="00443259" w:rsidRPr="00EB2ED0">
        <w:rPr>
          <w:rFonts w:ascii="Arial" w:eastAsia="Calibri" w:hAnsi="Arial" w:cs="Arial"/>
          <w:bCs/>
          <w:sz w:val="22"/>
          <w:szCs w:val="22"/>
        </w:rPr>
        <w:t>.</w:t>
      </w:r>
      <w:r w:rsidR="00FD694E" w:rsidRPr="00EB2ED0">
        <w:rPr>
          <w:rFonts w:ascii="Arial" w:eastAsia="Calibri" w:hAnsi="Arial" w:cs="Arial"/>
          <w:bCs/>
          <w:sz w:val="22"/>
          <w:szCs w:val="22"/>
        </w:rPr>
        <w:t>2</w:t>
      </w:r>
      <w:r w:rsidR="00572959" w:rsidRPr="00EB2ED0">
        <w:rPr>
          <w:rFonts w:ascii="Arial" w:eastAsia="Calibri" w:hAnsi="Arial" w:cs="Arial"/>
          <w:bCs/>
          <w:sz w:val="22"/>
          <w:szCs w:val="22"/>
        </w:rPr>
        <w:t xml:space="preserve"> </w:t>
      </w:r>
      <w:r w:rsidR="00585E80" w:rsidRPr="00EB2ED0">
        <w:rPr>
          <w:rFonts w:ascii="Arial" w:eastAsia="Calibri" w:hAnsi="Arial" w:cs="Arial"/>
          <w:bCs/>
          <w:sz w:val="22"/>
          <w:szCs w:val="22"/>
        </w:rPr>
        <w:t xml:space="preserve">posibilita que </w:t>
      </w:r>
      <w:r w:rsidR="00412110" w:rsidRPr="00EB2ED0">
        <w:rPr>
          <w:rFonts w:ascii="Arial" w:eastAsia="Calibri" w:hAnsi="Arial" w:cs="Arial"/>
          <w:bCs/>
          <w:sz w:val="22"/>
          <w:szCs w:val="22"/>
        </w:rPr>
        <w:t xml:space="preserve">el ofrecimiento más favorable se </w:t>
      </w:r>
      <w:r w:rsidR="00FD694E" w:rsidRPr="00EB2ED0">
        <w:rPr>
          <w:rFonts w:ascii="Arial" w:eastAsia="Calibri" w:hAnsi="Arial" w:cs="Arial"/>
          <w:bCs/>
          <w:sz w:val="22"/>
          <w:szCs w:val="22"/>
        </w:rPr>
        <w:t xml:space="preserve">determine </w:t>
      </w:r>
      <w:r w:rsidR="00C4330B" w:rsidRPr="00EB2ED0">
        <w:rPr>
          <w:rFonts w:ascii="Arial" w:eastAsia="Calibri" w:hAnsi="Arial" w:cs="Arial"/>
          <w:bCs/>
          <w:sz w:val="22"/>
          <w:szCs w:val="22"/>
        </w:rPr>
        <w:t>con</w:t>
      </w:r>
      <w:r w:rsidR="00412110" w:rsidRPr="00EB2ED0">
        <w:rPr>
          <w:rFonts w:ascii="Arial" w:eastAsia="Calibri" w:hAnsi="Arial" w:cs="Arial"/>
          <w:bCs/>
          <w:sz w:val="22"/>
          <w:szCs w:val="22"/>
        </w:rPr>
        <w:t xml:space="preserve"> un</w:t>
      </w:r>
      <w:r w:rsidR="00FD694E" w:rsidRPr="00EB2ED0">
        <w:rPr>
          <w:rFonts w:ascii="Arial" w:eastAsia="Calibri" w:hAnsi="Arial" w:cs="Arial"/>
          <w:bCs/>
          <w:sz w:val="22"/>
          <w:szCs w:val="22"/>
        </w:rPr>
        <w:t xml:space="preserve"> análisis</w:t>
      </w:r>
      <w:r w:rsidR="00412110" w:rsidRPr="00EB2ED0">
        <w:rPr>
          <w:rFonts w:ascii="Arial" w:eastAsia="Calibri" w:hAnsi="Arial" w:cs="Arial"/>
          <w:bCs/>
          <w:sz w:val="22"/>
          <w:szCs w:val="22"/>
        </w:rPr>
        <w:t xml:space="preserve"> </w:t>
      </w:r>
      <w:r w:rsidR="00FD694E" w:rsidRPr="00EB2ED0">
        <w:rPr>
          <w:rFonts w:ascii="Arial" w:eastAsia="Calibri" w:hAnsi="Arial" w:cs="Arial"/>
          <w:bCs/>
          <w:sz w:val="22"/>
          <w:szCs w:val="22"/>
        </w:rPr>
        <w:t xml:space="preserve">de la </w:t>
      </w:r>
      <w:r w:rsidR="00412110" w:rsidRPr="00EB2ED0">
        <w:rPr>
          <w:rFonts w:ascii="Arial" w:eastAsia="Calibri" w:hAnsi="Arial" w:cs="Arial"/>
          <w:bCs/>
          <w:sz w:val="22"/>
          <w:szCs w:val="22"/>
        </w:rPr>
        <w:t xml:space="preserve">relación </w:t>
      </w:r>
      <w:r w:rsidR="001716D9" w:rsidRPr="00EB2ED0">
        <w:rPr>
          <w:rFonts w:ascii="Arial" w:eastAsia="Calibri" w:hAnsi="Arial" w:cs="Arial"/>
          <w:bCs/>
          <w:sz w:val="22"/>
          <w:szCs w:val="22"/>
        </w:rPr>
        <w:t>costo</w:t>
      </w:r>
      <w:r w:rsidR="00FD694E" w:rsidRPr="00EB2ED0">
        <w:rPr>
          <w:rFonts w:ascii="Arial" w:eastAsia="Calibri" w:hAnsi="Arial" w:cs="Arial"/>
          <w:bCs/>
          <w:sz w:val="22"/>
          <w:szCs w:val="22"/>
        </w:rPr>
        <w:t>-</w:t>
      </w:r>
      <w:r w:rsidR="001716D9" w:rsidRPr="00EB2ED0">
        <w:rPr>
          <w:rFonts w:ascii="Arial" w:eastAsia="Calibri" w:hAnsi="Arial" w:cs="Arial"/>
          <w:bCs/>
          <w:sz w:val="22"/>
          <w:szCs w:val="22"/>
        </w:rPr>
        <w:t xml:space="preserve">beneficio, evento en </w:t>
      </w:r>
      <w:r w:rsidR="00AF6CBB" w:rsidRPr="00EB2ED0">
        <w:rPr>
          <w:rFonts w:ascii="Arial" w:eastAsia="Calibri" w:hAnsi="Arial" w:cs="Arial"/>
          <w:bCs/>
          <w:sz w:val="22"/>
          <w:szCs w:val="22"/>
        </w:rPr>
        <w:t>e</w:t>
      </w:r>
      <w:r w:rsidR="001716D9" w:rsidRPr="00EB2ED0">
        <w:rPr>
          <w:rFonts w:ascii="Arial" w:eastAsia="Calibri" w:hAnsi="Arial" w:cs="Arial"/>
          <w:bCs/>
          <w:sz w:val="22"/>
          <w:szCs w:val="22"/>
        </w:rPr>
        <w:t>l no ha</w:t>
      </w:r>
      <w:r w:rsidR="00AF6CBB" w:rsidRPr="00EB2ED0">
        <w:rPr>
          <w:rFonts w:ascii="Arial" w:eastAsia="Calibri" w:hAnsi="Arial" w:cs="Arial"/>
          <w:bCs/>
          <w:sz w:val="22"/>
          <w:szCs w:val="22"/>
        </w:rPr>
        <w:t xml:space="preserve">bría </w:t>
      </w:r>
      <w:r w:rsidR="001716D9" w:rsidRPr="00EB2ED0">
        <w:rPr>
          <w:rFonts w:ascii="Arial" w:eastAsia="Calibri" w:hAnsi="Arial" w:cs="Arial"/>
          <w:bCs/>
          <w:sz w:val="22"/>
          <w:szCs w:val="22"/>
        </w:rPr>
        <w:t>necesidad de acudir a sistemas de asignación de puntaje.</w:t>
      </w:r>
      <w:r w:rsidR="00687DAD" w:rsidRPr="00EB2ED0">
        <w:rPr>
          <w:rFonts w:ascii="Arial" w:eastAsia="Calibri" w:hAnsi="Arial" w:cs="Arial"/>
          <w:bCs/>
          <w:sz w:val="22"/>
          <w:szCs w:val="22"/>
        </w:rPr>
        <w:t xml:space="preserve"> </w:t>
      </w:r>
      <w:r w:rsidR="00FD694E" w:rsidRPr="00EB2ED0">
        <w:rPr>
          <w:rFonts w:ascii="Arial" w:eastAsia="Calibri" w:hAnsi="Arial" w:cs="Arial"/>
          <w:bCs/>
          <w:sz w:val="22"/>
          <w:szCs w:val="22"/>
        </w:rPr>
        <w:t xml:space="preserve">A estos se suman, los procesos de selección de bienes y servicios de características técnicas uniformes y de común utilización, así como los de mínima cuantía, en los que </w:t>
      </w:r>
      <w:r w:rsidR="00DA0C85" w:rsidRPr="00EB2ED0">
        <w:rPr>
          <w:rFonts w:ascii="Arial" w:eastAsia="Calibri" w:hAnsi="Arial" w:cs="Arial"/>
          <w:bCs/>
          <w:sz w:val="22"/>
          <w:szCs w:val="22"/>
        </w:rPr>
        <w:t xml:space="preserve">–según los artículos 5.3 y 2.5 de la Ley 1150 de 2007– </w:t>
      </w:r>
      <w:r w:rsidR="00FD694E" w:rsidRPr="00EB2ED0">
        <w:rPr>
          <w:rFonts w:ascii="Arial" w:eastAsia="Calibri" w:hAnsi="Arial" w:cs="Arial"/>
          <w:bCs/>
          <w:sz w:val="22"/>
          <w:szCs w:val="22"/>
        </w:rPr>
        <w:t>el único factor de selección es el menor precio ofertado, por lo que no hay lugar a ponderación mediante puntajes.</w:t>
      </w:r>
    </w:p>
    <w:p w14:paraId="6DFCF23E" w14:textId="2BDBEB94" w:rsidR="00BC71AD" w:rsidRPr="00EB2ED0" w:rsidRDefault="00B3529F" w:rsidP="00EB2ED0">
      <w:pPr>
        <w:spacing w:after="120" w:line="276" w:lineRule="auto"/>
        <w:jc w:val="both"/>
        <w:rPr>
          <w:rFonts w:ascii="Arial" w:hAnsi="Arial" w:cs="Arial"/>
          <w:sz w:val="22"/>
          <w:szCs w:val="22"/>
          <w:lang w:eastAsia="es-CO"/>
        </w:rPr>
      </w:pPr>
      <w:r w:rsidRPr="00EB2ED0">
        <w:rPr>
          <w:rFonts w:ascii="Arial" w:eastAsia="Calibri" w:hAnsi="Arial" w:cs="Arial"/>
          <w:bCs/>
          <w:sz w:val="22"/>
          <w:szCs w:val="22"/>
        </w:rPr>
        <w:tab/>
      </w:r>
      <w:r w:rsidR="00AF20DA" w:rsidRPr="00EB2ED0">
        <w:rPr>
          <w:rFonts w:ascii="Arial" w:eastAsia="Calibri" w:hAnsi="Arial" w:cs="Arial"/>
          <w:bCs/>
          <w:sz w:val="22"/>
          <w:szCs w:val="22"/>
        </w:rPr>
        <w:t xml:space="preserve">Es necesario destacar, que las reglas para </w:t>
      </w:r>
      <w:r w:rsidR="00FD694E" w:rsidRPr="00EB2ED0">
        <w:rPr>
          <w:rFonts w:ascii="Arial" w:eastAsia="Calibri" w:hAnsi="Arial" w:cs="Arial"/>
          <w:bCs/>
          <w:sz w:val="22"/>
          <w:szCs w:val="22"/>
        </w:rPr>
        <w:t>establecer</w:t>
      </w:r>
      <w:r w:rsidR="00AF20DA" w:rsidRPr="00EB2ED0">
        <w:rPr>
          <w:rFonts w:ascii="Arial" w:eastAsia="Calibri" w:hAnsi="Arial" w:cs="Arial"/>
          <w:bCs/>
          <w:sz w:val="22"/>
          <w:szCs w:val="22"/>
        </w:rPr>
        <w:t xml:space="preserve"> </w:t>
      </w:r>
      <w:r w:rsidR="00161AAD" w:rsidRPr="00EB2ED0">
        <w:rPr>
          <w:rFonts w:ascii="Arial" w:eastAsia="Calibri" w:hAnsi="Arial" w:cs="Arial"/>
          <w:bCs/>
          <w:sz w:val="22"/>
          <w:szCs w:val="22"/>
        </w:rPr>
        <w:t>la oferta más favorable conforme al artículo 5 de la Ley 1150 de 2007, se encuentra</w:t>
      </w:r>
      <w:r w:rsidR="00FD694E" w:rsidRPr="00EB2ED0">
        <w:rPr>
          <w:rFonts w:ascii="Arial" w:eastAsia="Calibri" w:hAnsi="Arial" w:cs="Arial"/>
          <w:bCs/>
          <w:sz w:val="22"/>
          <w:szCs w:val="22"/>
        </w:rPr>
        <w:t>n</w:t>
      </w:r>
      <w:r w:rsidR="00161AAD" w:rsidRPr="00EB2ED0">
        <w:rPr>
          <w:rFonts w:ascii="Arial" w:eastAsia="Calibri" w:hAnsi="Arial" w:cs="Arial"/>
          <w:bCs/>
          <w:sz w:val="22"/>
          <w:szCs w:val="22"/>
        </w:rPr>
        <w:t xml:space="preserve"> reglamentad</w:t>
      </w:r>
      <w:r w:rsidR="00FD694E" w:rsidRPr="00EB2ED0">
        <w:rPr>
          <w:rFonts w:ascii="Arial" w:eastAsia="Calibri" w:hAnsi="Arial" w:cs="Arial"/>
          <w:bCs/>
          <w:sz w:val="22"/>
          <w:szCs w:val="22"/>
        </w:rPr>
        <w:t>a</w:t>
      </w:r>
      <w:r w:rsidR="00161AAD" w:rsidRPr="00EB2ED0">
        <w:rPr>
          <w:rFonts w:ascii="Arial" w:eastAsia="Calibri" w:hAnsi="Arial" w:cs="Arial"/>
          <w:bCs/>
          <w:sz w:val="22"/>
          <w:szCs w:val="22"/>
        </w:rPr>
        <w:t xml:space="preserve">s en el artículo </w:t>
      </w:r>
      <w:r w:rsidR="00362668" w:rsidRPr="00EB2ED0">
        <w:rPr>
          <w:rFonts w:ascii="Arial" w:eastAsia="Calibri" w:hAnsi="Arial" w:cs="Arial"/>
          <w:bCs/>
          <w:sz w:val="22"/>
          <w:szCs w:val="22"/>
        </w:rPr>
        <w:t xml:space="preserve">2.2.1.1.2.2.2 del Decreto 1082 de 2015. Este artículo </w:t>
      </w:r>
      <w:r w:rsidR="000E3965" w:rsidRPr="00EB2ED0">
        <w:rPr>
          <w:rFonts w:ascii="Arial" w:eastAsia="Calibri" w:hAnsi="Arial" w:cs="Arial"/>
          <w:bCs/>
          <w:sz w:val="22"/>
          <w:szCs w:val="22"/>
        </w:rPr>
        <w:t>desarrolla</w:t>
      </w:r>
      <w:r w:rsidR="00A0109F" w:rsidRPr="00EB2ED0">
        <w:rPr>
          <w:rFonts w:ascii="Arial" w:eastAsia="Calibri" w:hAnsi="Arial" w:cs="Arial"/>
          <w:bCs/>
          <w:sz w:val="22"/>
          <w:szCs w:val="22"/>
        </w:rPr>
        <w:t xml:space="preserve"> los </w:t>
      </w:r>
      <w:r w:rsidR="007B1D33" w:rsidRPr="00EB2ED0">
        <w:rPr>
          <w:rFonts w:ascii="Arial" w:eastAsia="Calibri" w:hAnsi="Arial" w:cs="Arial"/>
          <w:bCs/>
          <w:sz w:val="22"/>
          <w:szCs w:val="22"/>
        </w:rPr>
        <w:t xml:space="preserve">mecanismos de ponderación </w:t>
      </w:r>
      <w:r w:rsidR="00A0109F" w:rsidRPr="00EB2ED0">
        <w:rPr>
          <w:rFonts w:ascii="Arial" w:eastAsia="Calibri" w:hAnsi="Arial" w:cs="Arial"/>
          <w:bCs/>
          <w:sz w:val="22"/>
          <w:szCs w:val="22"/>
        </w:rPr>
        <w:t>previstos en</w:t>
      </w:r>
      <w:r w:rsidR="007B1D33" w:rsidRPr="00EB2ED0">
        <w:rPr>
          <w:rFonts w:ascii="Arial" w:eastAsia="Calibri" w:hAnsi="Arial" w:cs="Arial"/>
          <w:bCs/>
          <w:sz w:val="22"/>
          <w:szCs w:val="22"/>
        </w:rPr>
        <w:t xml:space="preserve"> los literales a) y b) del artículo 5</w:t>
      </w:r>
      <w:r w:rsidR="007B1D33" w:rsidRPr="00EB2ED0">
        <w:rPr>
          <w:rFonts w:ascii="Arial" w:eastAsia="Calibri" w:hAnsi="Arial" w:cs="Arial"/>
          <w:bCs/>
          <w:sz w:val="22"/>
          <w:szCs w:val="22"/>
        </w:rPr>
        <w:softHyphen/>
      </w:r>
      <w:r w:rsidR="00A0109F" w:rsidRPr="00EB2ED0">
        <w:rPr>
          <w:rFonts w:ascii="Arial" w:eastAsia="Calibri" w:hAnsi="Arial" w:cs="Arial"/>
          <w:bCs/>
          <w:sz w:val="22"/>
          <w:szCs w:val="22"/>
        </w:rPr>
        <w:t>.</w:t>
      </w:r>
      <w:r w:rsidR="007B1D33" w:rsidRPr="00EB2ED0">
        <w:rPr>
          <w:rFonts w:ascii="Arial" w:eastAsia="Calibri" w:hAnsi="Arial" w:cs="Arial"/>
          <w:bCs/>
          <w:sz w:val="22"/>
          <w:szCs w:val="22"/>
        </w:rPr>
        <w:t xml:space="preserve">2 de la Ley 1150 de 2007, </w:t>
      </w:r>
      <w:r w:rsidR="00A0109F" w:rsidRPr="00EB2ED0">
        <w:rPr>
          <w:rFonts w:ascii="Arial" w:eastAsia="Calibri" w:hAnsi="Arial" w:cs="Arial"/>
          <w:bCs/>
          <w:sz w:val="22"/>
          <w:szCs w:val="22"/>
        </w:rPr>
        <w:t xml:space="preserve">disponiendo </w:t>
      </w:r>
      <w:r w:rsidR="007B1D33" w:rsidRPr="00EB2ED0">
        <w:rPr>
          <w:rFonts w:ascii="Arial" w:eastAsia="Calibri" w:hAnsi="Arial" w:cs="Arial"/>
          <w:bCs/>
          <w:sz w:val="22"/>
          <w:szCs w:val="22"/>
        </w:rPr>
        <w:t xml:space="preserve">unas pautas para </w:t>
      </w:r>
      <w:r w:rsidR="00904782" w:rsidRPr="00EB2ED0">
        <w:rPr>
          <w:rFonts w:ascii="Arial" w:eastAsia="Calibri" w:hAnsi="Arial" w:cs="Arial"/>
          <w:bCs/>
          <w:sz w:val="22"/>
          <w:szCs w:val="22"/>
        </w:rPr>
        <w:t>la p</w:t>
      </w:r>
      <w:r w:rsidR="00904782" w:rsidRPr="00EB2ED0">
        <w:rPr>
          <w:rFonts w:ascii="Arial" w:hAnsi="Arial" w:cs="Arial"/>
          <w:sz w:val="22"/>
          <w:szCs w:val="22"/>
        </w:rPr>
        <w:t xml:space="preserve">onderación de los elementos de calidad y precio que representen la mejor relación de costo-beneficio. </w:t>
      </w:r>
      <w:r w:rsidR="004C0BF9" w:rsidRPr="00EB2ED0">
        <w:rPr>
          <w:rFonts w:ascii="Arial" w:hAnsi="Arial" w:cs="Arial"/>
          <w:sz w:val="22"/>
          <w:szCs w:val="22"/>
        </w:rPr>
        <w:t xml:space="preserve">Conforme a </w:t>
      </w:r>
      <w:r w:rsidR="002D4F3D" w:rsidRPr="00EB2ED0">
        <w:rPr>
          <w:rFonts w:ascii="Arial" w:hAnsi="Arial" w:cs="Arial"/>
          <w:sz w:val="22"/>
          <w:szCs w:val="22"/>
        </w:rPr>
        <w:t>este</w:t>
      </w:r>
      <w:r w:rsidR="004C0BF9" w:rsidRPr="00EB2ED0">
        <w:rPr>
          <w:rFonts w:ascii="Arial" w:hAnsi="Arial" w:cs="Arial"/>
          <w:sz w:val="22"/>
          <w:szCs w:val="22"/>
        </w:rPr>
        <w:t xml:space="preserve"> artículo, la oferta más favorable en estos casos debe determinarse </w:t>
      </w:r>
      <w:r w:rsidR="006765DF" w:rsidRPr="00EB2ED0">
        <w:rPr>
          <w:rFonts w:ascii="Arial" w:hAnsi="Arial" w:cs="Arial"/>
          <w:sz w:val="22"/>
          <w:szCs w:val="22"/>
        </w:rPr>
        <w:t>ponderando</w:t>
      </w:r>
      <w:r w:rsidR="001D50DB" w:rsidRPr="00EB2ED0">
        <w:rPr>
          <w:rFonts w:ascii="Arial" w:hAnsi="Arial" w:cs="Arial"/>
          <w:sz w:val="22"/>
          <w:szCs w:val="22"/>
        </w:rPr>
        <w:t xml:space="preserve"> en las ofertas:</w:t>
      </w:r>
      <w:r w:rsidR="006765DF" w:rsidRPr="00EB2ED0">
        <w:rPr>
          <w:rFonts w:ascii="Arial" w:hAnsi="Arial" w:cs="Arial"/>
          <w:sz w:val="22"/>
          <w:szCs w:val="22"/>
        </w:rPr>
        <w:t xml:space="preserve"> i) </w:t>
      </w:r>
      <w:r w:rsidR="001D50DB" w:rsidRPr="00EB2ED0">
        <w:rPr>
          <w:rFonts w:ascii="Arial" w:hAnsi="Arial" w:cs="Arial"/>
          <w:sz w:val="22"/>
          <w:szCs w:val="22"/>
          <w:lang w:eastAsia="es-CO"/>
        </w:rPr>
        <w:t>l</w:t>
      </w:r>
      <w:r w:rsidR="006765DF" w:rsidRPr="00EB2ED0">
        <w:rPr>
          <w:rFonts w:ascii="Arial" w:hAnsi="Arial" w:cs="Arial"/>
          <w:sz w:val="22"/>
          <w:szCs w:val="22"/>
          <w:lang w:eastAsia="es-CO"/>
        </w:rPr>
        <w:t xml:space="preserve">as condiciones técnicas y económicas mínimas; </w:t>
      </w:r>
      <w:proofErr w:type="spellStart"/>
      <w:r w:rsidR="006765DF" w:rsidRPr="00EB2ED0">
        <w:rPr>
          <w:rFonts w:ascii="Arial" w:hAnsi="Arial" w:cs="Arial"/>
          <w:sz w:val="22"/>
          <w:szCs w:val="22"/>
          <w:lang w:eastAsia="es-CO"/>
        </w:rPr>
        <w:t>ii</w:t>
      </w:r>
      <w:proofErr w:type="spellEnd"/>
      <w:r w:rsidR="006765DF" w:rsidRPr="00EB2ED0">
        <w:rPr>
          <w:rFonts w:ascii="Arial" w:hAnsi="Arial" w:cs="Arial"/>
          <w:sz w:val="22"/>
          <w:szCs w:val="22"/>
          <w:lang w:eastAsia="es-CO"/>
        </w:rPr>
        <w:t xml:space="preserve">) </w:t>
      </w:r>
      <w:r w:rsidR="001D50DB" w:rsidRPr="00EB2ED0">
        <w:rPr>
          <w:rFonts w:ascii="Arial" w:hAnsi="Arial" w:cs="Arial"/>
          <w:sz w:val="22"/>
          <w:szCs w:val="22"/>
          <w:lang w:eastAsia="es-CO"/>
        </w:rPr>
        <w:t>l</w:t>
      </w:r>
      <w:r w:rsidR="006765DF" w:rsidRPr="00EB2ED0">
        <w:rPr>
          <w:rFonts w:ascii="Arial" w:hAnsi="Arial" w:cs="Arial"/>
          <w:sz w:val="22"/>
          <w:szCs w:val="22"/>
          <w:lang w:eastAsia="es-CO"/>
        </w:rPr>
        <w:t>as condiciones técnicas adicionales que representan ventajas de calidad o de funcionamiento;</w:t>
      </w:r>
      <w:r w:rsidR="001D50DB" w:rsidRPr="00EB2ED0">
        <w:rPr>
          <w:rFonts w:ascii="Arial" w:hAnsi="Arial" w:cs="Arial"/>
          <w:sz w:val="22"/>
          <w:szCs w:val="22"/>
          <w:lang w:eastAsia="es-CO"/>
        </w:rPr>
        <w:t xml:space="preserve"> </w:t>
      </w:r>
      <w:proofErr w:type="spellStart"/>
      <w:r w:rsidR="001D50DB" w:rsidRPr="00EB2ED0">
        <w:rPr>
          <w:rFonts w:ascii="Arial" w:hAnsi="Arial" w:cs="Arial"/>
          <w:sz w:val="22"/>
          <w:szCs w:val="22"/>
          <w:lang w:eastAsia="es-CO"/>
        </w:rPr>
        <w:t>iii</w:t>
      </w:r>
      <w:proofErr w:type="spellEnd"/>
      <w:r w:rsidR="001D50DB" w:rsidRPr="00EB2ED0">
        <w:rPr>
          <w:rFonts w:ascii="Arial" w:hAnsi="Arial" w:cs="Arial"/>
          <w:sz w:val="22"/>
          <w:szCs w:val="22"/>
          <w:lang w:eastAsia="es-CO"/>
        </w:rPr>
        <w:t>) las condiciones económicas adicionales que representen ventajas en términos de economía, eficiencia y eficacia</w:t>
      </w:r>
      <w:r w:rsidR="00312E92" w:rsidRPr="00EB2ED0">
        <w:rPr>
          <w:rFonts w:ascii="Arial" w:hAnsi="Arial" w:cs="Arial"/>
          <w:sz w:val="22"/>
          <w:szCs w:val="22"/>
          <w:lang w:eastAsia="es-CO"/>
        </w:rPr>
        <w:t xml:space="preserve">; y </w:t>
      </w:r>
      <w:proofErr w:type="spellStart"/>
      <w:r w:rsidR="00312E92" w:rsidRPr="00EB2ED0">
        <w:rPr>
          <w:rFonts w:ascii="Arial" w:hAnsi="Arial" w:cs="Arial"/>
          <w:sz w:val="22"/>
          <w:szCs w:val="22"/>
          <w:lang w:eastAsia="es-CO"/>
        </w:rPr>
        <w:t>iv</w:t>
      </w:r>
      <w:proofErr w:type="spellEnd"/>
      <w:r w:rsidR="00312E92" w:rsidRPr="00EB2ED0">
        <w:rPr>
          <w:rFonts w:ascii="Arial" w:hAnsi="Arial" w:cs="Arial"/>
          <w:sz w:val="22"/>
          <w:szCs w:val="22"/>
          <w:lang w:eastAsia="es-CO"/>
        </w:rPr>
        <w:t xml:space="preserve">) el valor en dinero que la </w:t>
      </w:r>
      <w:r w:rsidR="00FD694E" w:rsidRPr="00EB2ED0">
        <w:rPr>
          <w:rFonts w:ascii="Arial" w:hAnsi="Arial" w:cs="Arial"/>
          <w:sz w:val="22"/>
          <w:szCs w:val="22"/>
          <w:lang w:eastAsia="es-CO"/>
        </w:rPr>
        <w:t>e</w:t>
      </w:r>
      <w:r w:rsidR="00312E92" w:rsidRPr="00EB2ED0">
        <w:rPr>
          <w:rFonts w:ascii="Arial" w:hAnsi="Arial" w:cs="Arial"/>
          <w:sz w:val="22"/>
          <w:szCs w:val="22"/>
          <w:lang w:eastAsia="es-CO"/>
        </w:rPr>
        <w:t xml:space="preserve">ntidad </w:t>
      </w:r>
      <w:r w:rsidR="00FD694E" w:rsidRPr="00EB2ED0">
        <w:rPr>
          <w:rFonts w:ascii="Arial" w:hAnsi="Arial" w:cs="Arial"/>
          <w:sz w:val="22"/>
          <w:szCs w:val="22"/>
          <w:lang w:eastAsia="es-CO"/>
        </w:rPr>
        <w:t>e</w:t>
      </w:r>
      <w:r w:rsidR="00312E92" w:rsidRPr="00EB2ED0">
        <w:rPr>
          <w:rFonts w:ascii="Arial" w:hAnsi="Arial" w:cs="Arial"/>
          <w:sz w:val="22"/>
          <w:szCs w:val="22"/>
          <w:lang w:eastAsia="es-CO"/>
        </w:rPr>
        <w:t>statal asigna a cada ofrecimiento técnico o económico adicional</w:t>
      </w:r>
      <w:r w:rsidR="00BC71AD" w:rsidRPr="00EB2ED0">
        <w:rPr>
          <w:rFonts w:ascii="Arial" w:hAnsi="Arial" w:cs="Arial"/>
          <w:sz w:val="22"/>
          <w:szCs w:val="22"/>
          <w:lang w:eastAsia="es-CO"/>
        </w:rPr>
        <w:t xml:space="preserve">. Teniendo en cuenta estos elementos, la entidad estatal debe calcular la relación costo-beneficio de cada oferta </w:t>
      </w:r>
      <w:r w:rsidR="00F84A9E" w:rsidRPr="00EB2ED0">
        <w:rPr>
          <w:rFonts w:ascii="Arial" w:eastAsia="Calibri" w:hAnsi="Arial" w:cs="Arial"/>
          <w:bCs/>
          <w:sz w:val="22"/>
          <w:szCs w:val="22"/>
        </w:rPr>
        <w:t xml:space="preserve">«[…] </w:t>
      </w:r>
      <w:r w:rsidR="00BC71AD" w:rsidRPr="00EB2ED0">
        <w:rPr>
          <w:rFonts w:ascii="Arial" w:hAnsi="Arial" w:cs="Arial"/>
          <w:sz w:val="22"/>
          <w:szCs w:val="22"/>
          <w:lang w:eastAsia="es-CO"/>
        </w:rPr>
        <w:t>restando del precio total ofrecido los valores monetarios asignados a cada una de las condiciones técnicas y económicas adicionales ofrecidas. La mejor relación costo-beneficio para la Entidad Estatal es la de la oferta que una vez aplicada la metodología anterior tenga el resultado más bajo</w:t>
      </w:r>
      <w:r w:rsidR="00F84A9E" w:rsidRPr="00EB2ED0">
        <w:rPr>
          <w:rFonts w:ascii="Arial" w:eastAsia="Calibri" w:hAnsi="Arial" w:cs="Arial"/>
          <w:bCs/>
          <w:sz w:val="22"/>
          <w:szCs w:val="22"/>
        </w:rPr>
        <w:t xml:space="preserve"> </w:t>
      </w:r>
      <w:r w:rsidR="00F84A9E" w:rsidRPr="00EB2ED0">
        <w:rPr>
          <w:rFonts w:ascii="Arial" w:hAnsi="Arial" w:cs="Arial"/>
          <w:sz w:val="22"/>
          <w:szCs w:val="22"/>
        </w:rPr>
        <w:t>[…]</w:t>
      </w:r>
      <w:r w:rsidR="00F84A9E" w:rsidRPr="00EB2ED0">
        <w:rPr>
          <w:rFonts w:ascii="Arial" w:eastAsia="Calibri" w:hAnsi="Arial" w:cs="Arial"/>
          <w:bCs/>
          <w:sz w:val="22"/>
          <w:szCs w:val="22"/>
        </w:rPr>
        <w:t>»</w:t>
      </w:r>
      <w:r w:rsidR="000E3965" w:rsidRPr="00EB2ED0">
        <w:rPr>
          <w:rStyle w:val="Refdenotaalpie"/>
          <w:rFonts w:ascii="Arial" w:hAnsi="Arial" w:cs="Arial"/>
          <w:sz w:val="22"/>
          <w:szCs w:val="22"/>
          <w:lang w:eastAsia="es-CO"/>
        </w:rPr>
        <w:footnoteReference w:id="30"/>
      </w:r>
      <w:r w:rsidR="00F84A9E" w:rsidRPr="00EB2ED0">
        <w:rPr>
          <w:rFonts w:ascii="Arial" w:eastAsia="Calibri" w:hAnsi="Arial" w:cs="Arial"/>
          <w:bCs/>
          <w:sz w:val="22"/>
          <w:szCs w:val="22"/>
        </w:rPr>
        <w:t>.</w:t>
      </w:r>
    </w:p>
    <w:p w14:paraId="7650568A" w14:textId="0BE3DFAA" w:rsidR="002C0275" w:rsidRPr="00EB2ED0" w:rsidRDefault="000F6420" w:rsidP="00EB2ED0">
      <w:pPr>
        <w:spacing w:after="120" w:line="276" w:lineRule="auto"/>
        <w:jc w:val="both"/>
        <w:rPr>
          <w:rFonts w:ascii="Arial" w:hAnsi="Arial" w:cs="Arial"/>
          <w:sz w:val="22"/>
          <w:szCs w:val="22"/>
          <w:lang w:eastAsia="es-CO"/>
        </w:rPr>
      </w:pPr>
      <w:r w:rsidRPr="00EB2ED0">
        <w:rPr>
          <w:rFonts w:ascii="Arial" w:hAnsi="Arial" w:cs="Arial"/>
          <w:sz w:val="22"/>
          <w:szCs w:val="22"/>
          <w:lang w:eastAsia="es-CO"/>
        </w:rPr>
        <w:lastRenderedPageBreak/>
        <w:tab/>
      </w:r>
      <w:r w:rsidR="00FA44B1" w:rsidRPr="00EB2ED0">
        <w:rPr>
          <w:rFonts w:ascii="Arial" w:hAnsi="Arial" w:cs="Arial"/>
          <w:sz w:val="22"/>
          <w:szCs w:val="22"/>
          <w:lang w:eastAsia="es-CO"/>
        </w:rPr>
        <w:t>Conforme a lo anterior, el deber de selección objetiva está ligado a la determinación de</w:t>
      </w:r>
      <w:r w:rsidR="002E02B7" w:rsidRPr="00EB2ED0">
        <w:rPr>
          <w:rFonts w:ascii="Arial" w:hAnsi="Arial" w:cs="Arial"/>
          <w:sz w:val="22"/>
          <w:szCs w:val="22"/>
          <w:lang w:eastAsia="es-CO"/>
        </w:rPr>
        <w:t xml:space="preserve">l ofrecimiento más favorable, </w:t>
      </w:r>
      <w:r w:rsidR="009D0AF9" w:rsidRPr="00EB2ED0">
        <w:rPr>
          <w:rFonts w:ascii="Arial" w:hAnsi="Arial" w:cs="Arial"/>
          <w:sz w:val="22"/>
          <w:szCs w:val="22"/>
          <w:lang w:eastAsia="es-CO"/>
        </w:rPr>
        <w:t>cuyo contenido debe ser precisado a partir de las diferentes alternativas</w:t>
      </w:r>
      <w:r w:rsidR="000323FA" w:rsidRPr="00EB2ED0">
        <w:rPr>
          <w:rFonts w:ascii="Arial" w:hAnsi="Arial" w:cs="Arial"/>
          <w:sz w:val="22"/>
          <w:szCs w:val="22"/>
          <w:lang w:eastAsia="es-CO"/>
        </w:rPr>
        <w:t xml:space="preserve"> </w:t>
      </w:r>
      <w:r w:rsidR="001910D9" w:rsidRPr="00EB2ED0">
        <w:rPr>
          <w:rFonts w:ascii="Arial" w:hAnsi="Arial" w:cs="Arial"/>
          <w:sz w:val="22"/>
          <w:szCs w:val="22"/>
          <w:lang w:eastAsia="es-CO"/>
        </w:rPr>
        <w:t>d</w:t>
      </w:r>
      <w:r w:rsidR="009D0AF9" w:rsidRPr="00EB2ED0">
        <w:rPr>
          <w:rFonts w:ascii="Arial" w:hAnsi="Arial" w:cs="Arial"/>
          <w:sz w:val="22"/>
          <w:szCs w:val="22"/>
          <w:lang w:eastAsia="es-CO"/>
        </w:rPr>
        <w:t>el artículo 5 de la Ley 1150 de 2007</w:t>
      </w:r>
      <w:r w:rsidR="000323FA" w:rsidRPr="00EB2ED0">
        <w:rPr>
          <w:rFonts w:ascii="Arial" w:hAnsi="Arial" w:cs="Arial"/>
          <w:sz w:val="22"/>
          <w:szCs w:val="22"/>
          <w:lang w:eastAsia="es-CO"/>
        </w:rPr>
        <w:t>, reglamenta</w:t>
      </w:r>
      <w:r w:rsidR="001910D9" w:rsidRPr="00EB2ED0">
        <w:rPr>
          <w:rFonts w:ascii="Arial" w:hAnsi="Arial" w:cs="Arial"/>
          <w:sz w:val="22"/>
          <w:szCs w:val="22"/>
          <w:lang w:eastAsia="es-CO"/>
        </w:rPr>
        <w:t>do por</w:t>
      </w:r>
      <w:r w:rsidR="000323FA" w:rsidRPr="00EB2ED0">
        <w:rPr>
          <w:rFonts w:ascii="Arial" w:hAnsi="Arial" w:cs="Arial"/>
          <w:sz w:val="22"/>
          <w:szCs w:val="22"/>
          <w:lang w:eastAsia="es-CO"/>
        </w:rPr>
        <w:t xml:space="preserve"> el artículo 2.2.1.1.2.2.2 del Decreto 1082 de 2015</w:t>
      </w:r>
      <w:r w:rsidR="00C7356F" w:rsidRPr="00EB2ED0">
        <w:rPr>
          <w:rFonts w:ascii="Arial" w:hAnsi="Arial" w:cs="Arial"/>
          <w:sz w:val="22"/>
          <w:szCs w:val="22"/>
          <w:lang w:eastAsia="es-CO"/>
        </w:rPr>
        <w:t>, que en todo caso deben reflejarse en el pliego de condiciones</w:t>
      </w:r>
      <w:r w:rsidR="001910D9" w:rsidRPr="00EB2ED0">
        <w:rPr>
          <w:rFonts w:ascii="Arial" w:hAnsi="Arial" w:cs="Arial"/>
          <w:sz w:val="22"/>
          <w:szCs w:val="22"/>
          <w:lang w:eastAsia="es-CO"/>
        </w:rPr>
        <w:t xml:space="preserve"> o documento equivalente</w:t>
      </w:r>
      <w:r w:rsidR="00C7356F" w:rsidRPr="00EB2ED0">
        <w:rPr>
          <w:rFonts w:ascii="Arial" w:hAnsi="Arial" w:cs="Arial"/>
          <w:sz w:val="22"/>
          <w:szCs w:val="22"/>
          <w:lang w:eastAsia="es-CO"/>
        </w:rPr>
        <w:t xml:space="preserve"> para el respectivo proceso de selección.</w:t>
      </w:r>
      <w:r w:rsidR="00CB3C5E" w:rsidRPr="00EB2ED0">
        <w:rPr>
          <w:rFonts w:ascii="Arial" w:hAnsi="Arial" w:cs="Arial"/>
          <w:sz w:val="22"/>
          <w:szCs w:val="22"/>
          <w:lang w:eastAsia="es-CO"/>
        </w:rPr>
        <w:t xml:space="preserve"> </w:t>
      </w:r>
      <w:r w:rsidR="00815E70" w:rsidRPr="00EB2ED0">
        <w:rPr>
          <w:rFonts w:ascii="Arial" w:hAnsi="Arial" w:cs="Arial"/>
          <w:sz w:val="22"/>
          <w:szCs w:val="22"/>
          <w:lang w:eastAsia="es-CO"/>
        </w:rPr>
        <w:t xml:space="preserve">Estas </w:t>
      </w:r>
      <w:r w:rsidR="008D15D4" w:rsidRPr="00EB2ED0">
        <w:rPr>
          <w:rFonts w:ascii="Arial" w:hAnsi="Arial" w:cs="Arial"/>
          <w:sz w:val="22"/>
          <w:szCs w:val="22"/>
          <w:lang w:eastAsia="es-CO"/>
        </w:rPr>
        <w:t>disposiciones establecen</w:t>
      </w:r>
      <w:r w:rsidR="00FD694E" w:rsidRPr="00EB2ED0">
        <w:rPr>
          <w:rFonts w:ascii="Arial" w:hAnsi="Arial" w:cs="Arial"/>
          <w:sz w:val="22"/>
          <w:szCs w:val="22"/>
          <w:lang w:eastAsia="es-CO"/>
        </w:rPr>
        <w:t xml:space="preserve"> que en los</w:t>
      </w:r>
      <w:r w:rsidR="00CB3C5E" w:rsidRPr="00EB2ED0">
        <w:rPr>
          <w:rFonts w:ascii="Arial" w:hAnsi="Arial" w:cs="Arial"/>
          <w:sz w:val="22"/>
          <w:szCs w:val="22"/>
          <w:lang w:eastAsia="es-CO"/>
        </w:rPr>
        <w:t xml:space="preserve"> procesos de selección deben </w:t>
      </w:r>
      <w:r w:rsidR="00075567" w:rsidRPr="00EB2ED0">
        <w:rPr>
          <w:rFonts w:ascii="Arial" w:hAnsi="Arial" w:cs="Arial"/>
          <w:sz w:val="22"/>
          <w:szCs w:val="22"/>
          <w:lang w:eastAsia="es-CO"/>
        </w:rPr>
        <w:t>evaluarse, fuera de los requisitos habilitantes,</w:t>
      </w:r>
      <w:r w:rsidR="00CB3C5E" w:rsidRPr="00EB2ED0">
        <w:rPr>
          <w:rFonts w:ascii="Arial" w:hAnsi="Arial" w:cs="Arial"/>
          <w:sz w:val="22"/>
          <w:szCs w:val="22"/>
          <w:lang w:eastAsia="es-CO"/>
        </w:rPr>
        <w:t xml:space="preserve"> </w:t>
      </w:r>
      <w:r w:rsidR="00900861" w:rsidRPr="00EB2ED0">
        <w:rPr>
          <w:rFonts w:ascii="Arial" w:hAnsi="Arial" w:cs="Arial"/>
          <w:sz w:val="22"/>
          <w:szCs w:val="22"/>
          <w:lang w:eastAsia="es-CO"/>
        </w:rPr>
        <w:t>los</w:t>
      </w:r>
      <w:r w:rsidR="003419D7" w:rsidRPr="00EB2ED0">
        <w:rPr>
          <w:rFonts w:ascii="Arial" w:hAnsi="Arial" w:cs="Arial"/>
          <w:sz w:val="22"/>
          <w:szCs w:val="22"/>
          <w:lang w:eastAsia="es-CO"/>
        </w:rPr>
        <w:t xml:space="preserve"> factores de calificación, valoración</w:t>
      </w:r>
      <w:r w:rsidR="00337357" w:rsidRPr="00EB2ED0">
        <w:rPr>
          <w:rFonts w:ascii="Arial" w:hAnsi="Arial" w:cs="Arial"/>
          <w:sz w:val="22"/>
          <w:szCs w:val="22"/>
          <w:lang w:eastAsia="es-CO"/>
        </w:rPr>
        <w:t xml:space="preserve"> o</w:t>
      </w:r>
      <w:r w:rsidR="00075567" w:rsidRPr="00EB2ED0">
        <w:rPr>
          <w:rFonts w:ascii="Arial" w:hAnsi="Arial" w:cs="Arial"/>
          <w:sz w:val="22"/>
          <w:szCs w:val="22"/>
          <w:lang w:eastAsia="es-CO"/>
        </w:rPr>
        <w:t xml:space="preserve"> evaluación</w:t>
      </w:r>
      <w:r w:rsidR="00A90546" w:rsidRPr="00EB2ED0">
        <w:rPr>
          <w:rFonts w:ascii="Arial" w:hAnsi="Arial" w:cs="Arial"/>
          <w:sz w:val="22"/>
          <w:szCs w:val="22"/>
          <w:lang w:eastAsia="es-CO"/>
        </w:rPr>
        <w:t xml:space="preserve">. </w:t>
      </w:r>
      <w:r w:rsidR="008D15D4" w:rsidRPr="00EB2ED0">
        <w:rPr>
          <w:rFonts w:ascii="Arial" w:hAnsi="Arial" w:cs="Arial"/>
          <w:sz w:val="22"/>
          <w:szCs w:val="22"/>
          <w:lang w:eastAsia="es-CO"/>
        </w:rPr>
        <w:t xml:space="preserve">Estos </w:t>
      </w:r>
      <w:r w:rsidR="00900861" w:rsidRPr="00EB2ED0">
        <w:rPr>
          <w:rFonts w:ascii="Arial" w:hAnsi="Arial" w:cs="Arial"/>
          <w:sz w:val="22"/>
          <w:szCs w:val="22"/>
          <w:lang w:eastAsia="es-CO"/>
        </w:rPr>
        <w:t>pueden pondera</w:t>
      </w:r>
      <w:r w:rsidR="00B47428" w:rsidRPr="00EB2ED0">
        <w:rPr>
          <w:rFonts w:ascii="Arial" w:hAnsi="Arial" w:cs="Arial"/>
          <w:sz w:val="22"/>
          <w:szCs w:val="22"/>
          <w:lang w:eastAsia="es-CO"/>
        </w:rPr>
        <w:t>r</w:t>
      </w:r>
      <w:r w:rsidR="00900861" w:rsidRPr="00EB2ED0">
        <w:rPr>
          <w:rFonts w:ascii="Arial" w:hAnsi="Arial" w:cs="Arial"/>
          <w:sz w:val="22"/>
          <w:szCs w:val="22"/>
          <w:lang w:eastAsia="es-CO"/>
        </w:rPr>
        <w:t>s</w:t>
      </w:r>
      <w:r w:rsidR="00B47428" w:rsidRPr="00EB2ED0">
        <w:rPr>
          <w:rFonts w:ascii="Arial" w:hAnsi="Arial" w:cs="Arial"/>
          <w:sz w:val="22"/>
          <w:szCs w:val="22"/>
          <w:lang w:eastAsia="es-CO"/>
        </w:rPr>
        <w:t>e</w:t>
      </w:r>
      <w:r w:rsidR="00900861" w:rsidRPr="00EB2ED0">
        <w:rPr>
          <w:rFonts w:ascii="Arial" w:hAnsi="Arial" w:cs="Arial"/>
          <w:sz w:val="22"/>
          <w:szCs w:val="22"/>
          <w:lang w:eastAsia="es-CO"/>
        </w:rPr>
        <w:t xml:space="preserve"> </w:t>
      </w:r>
      <w:r w:rsidR="00476D6A" w:rsidRPr="00EB2ED0">
        <w:rPr>
          <w:rFonts w:ascii="Arial" w:hAnsi="Arial" w:cs="Arial"/>
          <w:sz w:val="22"/>
          <w:szCs w:val="22"/>
          <w:lang w:eastAsia="es-CO"/>
        </w:rPr>
        <w:t xml:space="preserve">mediante la asignación de puntaje, por lo que la norma </w:t>
      </w:r>
      <w:r w:rsidR="00B47428" w:rsidRPr="00EB2ED0">
        <w:rPr>
          <w:rFonts w:ascii="Arial" w:hAnsi="Arial" w:cs="Arial"/>
          <w:sz w:val="22"/>
          <w:szCs w:val="22"/>
          <w:lang w:eastAsia="es-CO"/>
        </w:rPr>
        <w:t>se refiere a</w:t>
      </w:r>
      <w:r w:rsidR="00476D6A" w:rsidRPr="00EB2ED0">
        <w:rPr>
          <w:rFonts w:ascii="Arial" w:hAnsi="Arial" w:cs="Arial"/>
          <w:sz w:val="22"/>
          <w:szCs w:val="22"/>
          <w:lang w:eastAsia="es-CO"/>
        </w:rPr>
        <w:t xml:space="preserve"> factores que no otorgan puntaje</w:t>
      </w:r>
      <w:r w:rsidR="00CF1AE3" w:rsidRPr="00EB2ED0">
        <w:rPr>
          <w:rFonts w:ascii="Arial" w:hAnsi="Arial" w:cs="Arial"/>
          <w:sz w:val="22"/>
          <w:szCs w:val="22"/>
          <w:lang w:eastAsia="es-CO"/>
        </w:rPr>
        <w:t xml:space="preserve"> para diferenciar los requisitos habilitantes de los mencionados factores de calificación</w:t>
      </w:r>
      <w:r w:rsidR="00A90546" w:rsidRPr="00EB2ED0">
        <w:rPr>
          <w:rFonts w:ascii="Arial" w:hAnsi="Arial" w:cs="Arial"/>
          <w:sz w:val="22"/>
          <w:szCs w:val="22"/>
          <w:lang w:eastAsia="es-CO"/>
        </w:rPr>
        <w:t>. Lo anterior,</w:t>
      </w:r>
      <w:r w:rsidR="00CF1AE3" w:rsidRPr="00EB2ED0">
        <w:rPr>
          <w:rFonts w:ascii="Arial" w:hAnsi="Arial" w:cs="Arial"/>
          <w:sz w:val="22"/>
          <w:szCs w:val="22"/>
          <w:lang w:eastAsia="es-CO"/>
        </w:rPr>
        <w:t xml:space="preserve"> </w:t>
      </w:r>
      <w:r w:rsidR="00130635" w:rsidRPr="00EB2ED0">
        <w:rPr>
          <w:rFonts w:ascii="Arial" w:hAnsi="Arial" w:cs="Arial"/>
          <w:sz w:val="22"/>
          <w:szCs w:val="22"/>
          <w:lang w:eastAsia="es-CO"/>
        </w:rPr>
        <w:t xml:space="preserve">bajo el entendido que son estos últimos los que determinan la oferta más favorable para la entidad </w:t>
      </w:r>
      <w:r w:rsidR="00D74364" w:rsidRPr="00EB2ED0">
        <w:rPr>
          <w:rFonts w:ascii="Arial" w:hAnsi="Arial" w:cs="Arial"/>
          <w:sz w:val="22"/>
          <w:szCs w:val="22"/>
          <w:lang w:eastAsia="es-CO"/>
        </w:rPr>
        <w:t xml:space="preserve">y </w:t>
      </w:r>
      <w:r w:rsidR="00601624" w:rsidRPr="00EB2ED0">
        <w:rPr>
          <w:rFonts w:ascii="Arial" w:hAnsi="Arial" w:cs="Arial"/>
          <w:sz w:val="22"/>
          <w:szCs w:val="22"/>
          <w:lang w:eastAsia="es-CO"/>
        </w:rPr>
        <w:t xml:space="preserve">la </w:t>
      </w:r>
      <w:r w:rsidR="00D74364" w:rsidRPr="00EB2ED0">
        <w:rPr>
          <w:rFonts w:ascii="Arial" w:hAnsi="Arial" w:cs="Arial"/>
          <w:sz w:val="22"/>
          <w:szCs w:val="22"/>
          <w:lang w:eastAsia="es-CO"/>
        </w:rPr>
        <w:t>que en consecuencia debe elegi</w:t>
      </w:r>
      <w:r w:rsidR="00B47428" w:rsidRPr="00EB2ED0">
        <w:rPr>
          <w:rFonts w:ascii="Arial" w:hAnsi="Arial" w:cs="Arial"/>
          <w:sz w:val="22"/>
          <w:szCs w:val="22"/>
          <w:lang w:eastAsia="es-CO"/>
        </w:rPr>
        <w:t>rse</w:t>
      </w:r>
      <w:r w:rsidR="00D74364" w:rsidRPr="00EB2ED0">
        <w:rPr>
          <w:rFonts w:ascii="Arial" w:hAnsi="Arial" w:cs="Arial"/>
          <w:sz w:val="22"/>
          <w:szCs w:val="22"/>
          <w:lang w:eastAsia="es-CO"/>
        </w:rPr>
        <w:t xml:space="preserve">. </w:t>
      </w:r>
    </w:p>
    <w:p w14:paraId="7E83BEFA" w14:textId="6413D1F9" w:rsidR="0060009C" w:rsidRPr="00EB2ED0" w:rsidRDefault="00902CC9" w:rsidP="00EB2ED0">
      <w:pPr>
        <w:tabs>
          <w:tab w:val="left" w:pos="0"/>
        </w:tabs>
        <w:spacing w:after="120" w:line="276" w:lineRule="auto"/>
        <w:jc w:val="both"/>
        <w:rPr>
          <w:rFonts w:ascii="Arial" w:eastAsia="Calibri" w:hAnsi="Arial" w:cs="Arial"/>
          <w:bCs/>
          <w:sz w:val="22"/>
          <w:lang w:val="es-ES_tradnl"/>
        </w:rPr>
      </w:pPr>
      <w:r w:rsidRPr="00EB2ED0">
        <w:rPr>
          <w:rFonts w:ascii="Arial" w:eastAsia="Calibri" w:hAnsi="Arial" w:cs="Arial"/>
          <w:b/>
          <w:sz w:val="22"/>
          <w:lang w:val="es-ES_tradnl"/>
        </w:rPr>
        <w:tab/>
      </w:r>
      <w:r w:rsidR="003467FE" w:rsidRPr="00EB2ED0">
        <w:rPr>
          <w:rFonts w:ascii="Arial" w:eastAsia="Calibri" w:hAnsi="Arial" w:cs="Arial"/>
          <w:bCs/>
          <w:sz w:val="22"/>
          <w:lang w:val="es-ES_tradnl"/>
        </w:rPr>
        <w:t xml:space="preserve">Considerando </w:t>
      </w:r>
      <w:r w:rsidR="00B1189E" w:rsidRPr="00EB2ED0">
        <w:rPr>
          <w:rFonts w:ascii="Arial" w:eastAsia="Calibri" w:hAnsi="Arial" w:cs="Arial"/>
          <w:bCs/>
          <w:sz w:val="22"/>
          <w:lang w:val="es-ES_tradnl"/>
        </w:rPr>
        <w:t>la explicación precedente</w:t>
      </w:r>
      <w:r w:rsidR="003467FE" w:rsidRPr="00EB2ED0">
        <w:rPr>
          <w:rFonts w:ascii="Arial" w:eastAsia="Calibri" w:hAnsi="Arial" w:cs="Arial"/>
          <w:bCs/>
          <w:sz w:val="22"/>
          <w:lang w:val="es-ES_tradnl"/>
        </w:rPr>
        <w:t>,</w:t>
      </w:r>
      <w:r w:rsidR="00841275" w:rsidRPr="00EB2ED0">
        <w:rPr>
          <w:rFonts w:ascii="Arial" w:eastAsia="Calibri" w:hAnsi="Arial" w:cs="Arial"/>
          <w:bCs/>
          <w:sz w:val="22"/>
          <w:lang w:val="es-ES_tradnl"/>
        </w:rPr>
        <w:t xml:space="preserve"> </w:t>
      </w:r>
      <w:r w:rsidR="00EF3CD4" w:rsidRPr="00EB2ED0">
        <w:rPr>
          <w:rFonts w:ascii="Arial" w:eastAsia="Calibri" w:hAnsi="Arial" w:cs="Arial"/>
          <w:bCs/>
          <w:sz w:val="22"/>
          <w:lang w:val="es-ES_tradnl"/>
        </w:rPr>
        <w:t xml:space="preserve">asumir </w:t>
      </w:r>
      <w:r w:rsidR="00B1189E" w:rsidRPr="00EB2ED0">
        <w:rPr>
          <w:rFonts w:ascii="Arial" w:eastAsia="Calibri" w:hAnsi="Arial" w:cs="Arial"/>
          <w:bCs/>
          <w:sz w:val="22"/>
          <w:lang w:val="es-ES_tradnl"/>
        </w:rPr>
        <w:t>que</w:t>
      </w:r>
      <w:r w:rsidR="00841275" w:rsidRPr="00EB2ED0">
        <w:rPr>
          <w:rFonts w:ascii="Arial" w:eastAsia="Calibri" w:hAnsi="Arial" w:cs="Arial"/>
          <w:bCs/>
          <w:sz w:val="22"/>
          <w:lang w:val="es-ES_tradnl"/>
        </w:rPr>
        <w:t xml:space="preserve"> </w:t>
      </w:r>
      <w:r w:rsidR="000D2C83" w:rsidRPr="00EB2ED0">
        <w:rPr>
          <w:rFonts w:ascii="Arial" w:eastAsia="Calibri" w:hAnsi="Arial" w:cs="Arial"/>
          <w:bCs/>
          <w:sz w:val="22"/>
          <w:lang w:val="es-ES_tradnl"/>
        </w:rPr>
        <w:t>los factores de desempate del artículo 35 de la Ley 2069 de 2020</w:t>
      </w:r>
      <w:r w:rsidR="00BB0156" w:rsidRPr="00EB2ED0">
        <w:rPr>
          <w:rFonts w:ascii="Arial" w:eastAsia="Calibri" w:hAnsi="Arial" w:cs="Arial"/>
          <w:bCs/>
          <w:sz w:val="22"/>
          <w:lang w:val="es-ES_tradnl"/>
        </w:rPr>
        <w:t xml:space="preserve"> </w:t>
      </w:r>
      <w:r w:rsidR="00B1189E" w:rsidRPr="00EB2ED0">
        <w:rPr>
          <w:rFonts w:ascii="Arial" w:eastAsia="Calibri" w:hAnsi="Arial" w:cs="Arial"/>
          <w:bCs/>
          <w:sz w:val="22"/>
          <w:lang w:val="es-ES_tradnl"/>
        </w:rPr>
        <w:t>únicamente</w:t>
      </w:r>
      <w:r w:rsidR="00BB0156" w:rsidRPr="00EB2ED0">
        <w:rPr>
          <w:rFonts w:ascii="Arial" w:eastAsia="Calibri" w:hAnsi="Arial" w:cs="Arial"/>
          <w:bCs/>
          <w:sz w:val="22"/>
          <w:lang w:val="es-ES_tradnl"/>
        </w:rPr>
        <w:t xml:space="preserve"> son aplicables a </w:t>
      </w:r>
      <w:r w:rsidR="00D975DD" w:rsidRPr="00EB2ED0">
        <w:rPr>
          <w:rFonts w:ascii="Arial" w:eastAsia="Calibri" w:hAnsi="Arial" w:cs="Arial"/>
          <w:bCs/>
          <w:sz w:val="22"/>
          <w:lang w:val="es-ES_tradnl"/>
        </w:rPr>
        <w:t xml:space="preserve">los </w:t>
      </w:r>
      <w:r w:rsidR="00BB0156" w:rsidRPr="00EB2ED0">
        <w:rPr>
          <w:rFonts w:ascii="Arial" w:eastAsia="Calibri" w:hAnsi="Arial" w:cs="Arial"/>
          <w:bCs/>
          <w:sz w:val="22"/>
          <w:lang w:val="es-ES_tradnl"/>
        </w:rPr>
        <w:t>proc</w:t>
      </w:r>
      <w:r w:rsidR="00D975DD" w:rsidRPr="00EB2ED0">
        <w:rPr>
          <w:rFonts w:ascii="Arial" w:eastAsia="Calibri" w:hAnsi="Arial" w:cs="Arial"/>
          <w:bCs/>
          <w:sz w:val="22"/>
          <w:lang w:val="es-ES_tradnl"/>
        </w:rPr>
        <w:t>esos de selección</w:t>
      </w:r>
      <w:r w:rsidR="00BB0156" w:rsidRPr="00EB2ED0">
        <w:rPr>
          <w:rFonts w:ascii="Arial" w:eastAsia="Calibri" w:hAnsi="Arial" w:cs="Arial"/>
          <w:bCs/>
          <w:sz w:val="22"/>
          <w:lang w:val="es-ES_tradnl"/>
        </w:rPr>
        <w:t xml:space="preserve"> en los que se empleen sistemas de asignación de puntaje para determinar </w:t>
      </w:r>
      <w:r w:rsidR="00EF3CD4" w:rsidRPr="00EB2ED0">
        <w:rPr>
          <w:rFonts w:ascii="Arial" w:eastAsia="Calibri" w:hAnsi="Arial" w:cs="Arial"/>
          <w:bCs/>
          <w:sz w:val="22"/>
          <w:lang w:val="es-ES_tradnl"/>
        </w:rPr>
        <w:t>la oferta más favorable</w:t>
      </w:r>
      <w:r w:rsidR="00482157" w:rsidRPr="00EB2ED0">
        <w:rPr>
          <w:rFonts w:ascii="Arial" w:eastAsia="Calibri" w:hAnsi="Arial" w:cs="Arial"/>
          <w:bCs/>
          <w:sz w:val="22"/>
          <w:lang w:val="es-ES_tradnl"/>
        </w:rPr>
        <w:t>, conduciría a entender que</w:t>
      </w:r>
      <w:r w:rsidR="00BC2BC5" w:rsidRPr="00EB2ED0">
        <w:rPr>
          <w:rFonts w:ascii="Arial" w:eastAsia="Calibri" w:hAnsi="Arial" w:cs="Arial"/>
          <w:bCs/>
          <w:sz w:val="22"/>
          <w:lang w:val="es-ES_tradnl"/>
        </w:rPr>
        <w:t xml:space="preserve"> estos no </w:t>
      </w:r>
      <w:r w:rsidR="00F311A1" w:rsidRPr="00EB2ED0">
        <w:rPr>
          <w:rFonts w:ascii="Arial" w:eastAsia="Calibri" w:hAnsi="Arial" w:cs="Arial"/>
          <w:bCs/>
          <w:sz w:val="22"/>
          <w:lang w:val="es-ES_tradnl"/>
        </w:rPr>
        <w:t>rigen</w:t>
      </w:r>
      <w:r w:rsidR="009928AF" w:rsidRPr="00EB2ED0">
        <w:rPr>
          <w:rFonts w:ascii="Arial" w:eastAsia="Calibri" w:hAnsi="Arial" w:cs="Arial"/>
          <w:bCs/>
          <w:sz w:val="22"/>
          <w:lang w:val="es-ES_tradnl"/>
        </w:rPr>
        <w:t xml:space="preserve"> en otros</w:t>
      </w:r>
      <w:r w:rsidR="00F311A1" w:rsidRPr="00EB2ED0">
        <w:rPr>
          <w:rFonts w:ascii="Arial" w:eastAsia="Calibri" w:hAnsi="Arial" w:cs="Arial"/>
          <w:bCs/>
          <w:sz w:val="22"/>
          <w:lang w:val="es-ES_tradnl"/>
        </w:rPr>
        <w:t xml:space="preserve"> procedimientos de selección</w:t>
      </w:r>
      <w:r w:rsidR="005A6886" w:rsidRPr="00EB2ED0">
        <w:rPr>
          <w:rFonts w:ascii="Arial" w:eastAsia="Calibri" w:hAnsi="Arial" w:cs="Arial"/>
          <w:bCs/>
          <w:sz w:val="22"/>
          <w:lang w:val="es-ES_tradnl"/>
        </w:rPr>
        <w:t xml:space="preserve">. Esto </w:t>
      </w:r>
      <w:r w:rsidR="00F311A1" w:rsidRPr="00EB2ED0">
        <w:rPr>
          <w:rFonts w:ascii="Arial" w:eastAsia="Calibri" w:hAnsi="Arial" w:cs="Arial"/>
          <w:bCs/>
          <w:sz w:val="22"/>
          <w:lang w:val="es-ES_tradnl"/>
        </w:rPr>
        <w:t xml:space="preserve">dado </w:t>
      </w:r>
      <w:r w:rsidR="005A6886" w:rsidRPr="00EB2ED0">
        <w:rPr>
          <w:rFonts w:ascii="Arial" w:eastAsia="Calibri" w:hAnsi="Arial" w:cs="Arial"/>
          <w:bCs/>
          <w:sz w:val="22"/>
          <w:lang w:val="es-ES_tradnl"/>
        </w:rPr>
        <w:t>que</w:t>
      </w:r>
      <w:r w:rsidR="00F311A1" w:rsidRPr="00EB2ED0">
        <w:rPr>
          <w:rFonts w:ascii="Arial" w:eastAsia="Calibri" w:hAnsi="Arial" w:cs="Arial"/>
          <w:bCs/>
          <w:sz w:val="22"/>
          <w:lang w:val="es-ES_tradnl"/>
        </w:rPr>
        <w:t xml:space="preserve"> no</w:t>
      </w:r>
      <w:r w:rsidR="00B455BD" w:rsidRPr="00EB2ED0">
        <w:rPr>
          <w:rFonts w:ascii="Arial" w:eastAsia="Calibri" w:hAnsi="Arial" w:cs="Arial"/>
          <w:bCs/>
          <w:sz w:val="22"/>
          <w:lang w:val="es-ES_tradnl"/>
        </w:rPr>
        <w:t xml:space="preserve"> habría lugar</w:t>
      </w:r>
      <w:r w:rsidR="00BC2BC5" w:rsidRPr="00EB2ED0">
        <w:rPr>
          <w:rFonts w:ascii="Arial" w:eastAsia="Calibri" w:hAnsi="Arial" w:cs="Arial"/>
          <w:bCs/>
          <w:sz w:val="22"/>
          <w:lang w:val="es-ES_tradnl"/>
        </w:rPr>
        <w:t xml:space="preserve"> </w:t>
      </w:r>
      <w:r w:rsidR="00B455BD" w:rsidRPr="00EB2ED0">
        <w:rPr>
          <w:rFonts w:ascii="Arial" w:eastAsia="Calibri" w:hAnsi="Arial" w:cs="Arial"/>
          <w:bCs/>
          <w:sz w:val="22"/>
          <w:lang w:val="es-ES_tradnl"/>
        </w:rPr>
        <w:t xml:space="preserve">a aplicar los referidos factores de desempate </w:t>
      </w:r>
      <w:r w:rsidR="00BC2BC5" w:rsidRPr="00EB2ED0">
        <w:rPr>
          <w:rFonts w:ascii="Arial" w:eastAsia="Calibri" w:hAnsi="Arial" w:cs="Arial"/>
          <w:bCs/>
          <w:sz w:val="22"/>
          <w:lang w:val="es-ES_tradnl"/>
        </w:rPr>
        <w:t xml:space="preserve">en </w:t>
      </w:r>
      <w:r w:rsidR="00810179" w:rsidRPr="00EB2ED0">
        <w:rPr>
          <w:rFonts w:ascii="Arial" w:eastAsia="Calibri" w:hAnsi="Arial" w:cs="Arial"/>
          <w:bCs/>
          <w:sz w:val="22"/>
          <w:lang w:val="es-ES_tradnl"/>
        </w:rPr>
        <w:t>procedimiento</w:t>
      </w:r>
      <w:r w:rsidR="00B455BD" w:rsidRPr="00EB2ED0">
        <w:rPr>
          <w:rFonts w:ascii="Arial" w:eastAsia="Calibri" w:hAnsi="Arial" w:cs="Arial"/>
          <w:bCs/>
          <w:sz w:val="22"/>
          <w:lang w:val="es-ES_tradnl"/>
        </w:rPr>
        <w:t>s</w:t>
      </w:r>
      <w:r w:rsidR="00810179" w:rsidRPr="00EB2ED0">
        <w:rPr>
          <w:rFonts w:ascii="Arial" w:eastAsia="Calibri" w:hAnsi="Arial" w:cs="Arial"/>
          <w:bCs/>
          <w:sz w:val="22"/>
          <w:lang w:val="es-ES_tradnl"/>
        </w:rPr>
        <w:t xml:space="preserve"> en </w:t>
      </w:r>
      <w:r w:rsidR="00B455BD" w:rsidRPr="00EB2ED0">
        <w:rPr>
          <w:rFonts w:ascii="Arial" w:eastAsia="Calibri" w:hAnsi="Arial" w:cs="Arial"/>
          <w:bCs/>
          <w:sz w:val="22"/>
          <w:lang w:val="es-ES_tradnl"/>
        </w:rPr>
        <w:t>los</w:t>
      </w:r>
      <w:r w:rsidR="00810179" w:rsidRPr="00EB2ED0">
        <w:rPr>
          <w:rFonts w:ascii="Arial" w:eastAsia="Calibri" w:hAnsi="Arial" w:cs="Arial"/>
          <w:bCs/>
          <w:sz w:val="22"/>
          <w:lang w:val="es-ES_tradnl"/>
        </w:rPr>
        <w:t xml:space="preserve"> que no se comparen las ofertas usando puntajes,</w:t>
      </w:r>
      <w:r w:rsidR="00E15DE3" w:rsidRPr="00EB2ED0">
        <w:rPr>
          <w:rFonts w:ascii="Arial" w:eastAsia="Calibri" w:hAnsi="Arial" w:cs="Arial"/>
          <w:bCs/>
          <w:sz w:val="22"/>
          <w:lang w:val="es-ES_tradnl"/>
        </w:rPr>
        <w:t xml:space="preserve"> como es el caso de los procesos en los que </w:t>
      </w:r>
      <w:r w:rsidR="00230E35" w:rsidRPr="00EB2ED0">
        <w:rPr>
          <w:rFonts w:ascii="Arial" w:eastAsia="Calibri" w:hAnsi="Arial" w:cs="Arial"/>
          <w:bCs/>
          <w:sz w:val="22"/>
          <w:lang w:val="es-ES_tradnl"/>
        </w:rPr>
        <w:t xml:space="preserve">ponderan </w:t>
      </w:r>
      <w:r w:rsidR="00E70C98" w:rsidRPr="00EB2ED0">
        <w:rPr>
          <w:rFonts w:ascii="Arial" w:eastAsia="Calibri" w:hAnsi="Arial" w:cs="Arial"/>
          <w:bCs/>
          <w:sz w:val="22"/>
          <w:lang w:val="es-ES_tradnl"/>
        </w:rPr>
        <w:t xml:space="preserve">condiciones técnicas y económicas </w:t>
      </w:r>
      <w:r w:rsidR="00CD710A" w:rsidRPr="00EB2ED0">
        <w:rPr>
          <w:rFonts w:ascii="Arial" w:eastAsia="Calibri" w:hAnsi="Arial" w:cs="Arial"/>
          <w:bCs/>
          <w:sz w:val="22"/>
          <w:lang w:val="es-ES_tradnl"/>
        </w:rPr>
        <w:t>mínimas</w:t>
      </w:r>
      <w:r w:rsidR="00E70C98" w:rsidRPr="00EB2ED0">
        <w:rPr>
          <w:rFonts w:ascii="Arial" w:eastAsia="Calibri" w:hAnsi="Arial" w:cs="Arial"/>
          <w:bCs/>
          <w:sz w:val="22"/>
          <w:lang w:val="es-ES_tradnl"/>
        </w:rPr>
        <w:t xml:space="preserve"> y adicionales para escoger la oferta que represente la mejor relación costo beneficio</w:t>
      </w:r>
      <w:r w:rsidR="00AD5523" w:rsidRPr="00EB2ED0">
        <w:rPr>
          <w:rFonts w:ascii="Arial" w:eastAsia="Calibri" w:hAnsi="Arial" w:cs="Arial"/>
          <w:bCs/>
          <w:sz w:val="22"/>
          <w:lang w:val="es-ES_tradnl"/>
        </w:rPr>
        <w:t>, procedimientos en los que también es posible que se presenten empate</w:t>
      </w:r>
      <w:r w:rsidR="001971FD" w:rsidRPr="00EB2ED0">
        <w:rPr>
          <w:rFonts w:ascii="Arial" w:eastAsia="Calibri" w:hAnsi="Arial" w:cs="Arial"/>
          <w:bCs/>
          <w:sz w:val="22"/>
          <w:lang w:val="es-ES_tradnl"/>
        </w:rPr>
        <w:t>s</w:t>
      </w:r>
      <w:r w:rsidR="00AD5523" w:rsidRPr="00EB2ED0">
        <w:rPr>
          <w:rFonts w:ascii="Arial" w:eastAsia="Calibri" w:hAnsi="Arial" w:cs="Arial"/>
          <w:bCs/>
          <w:sz w:val="22"/>
          <w:lang w:val="es-ES_tradnl"/>
        </w:rPr>
        <w:t>.</w:t>
      </w:r>
      <w:r w:rsidR="00E70C98" w:rsidRPr="00EB2ED0">
        <w:rPr>
          <w:rFonts w:ascii="Arial" w:eastAsia="Calibri" w:hAnsi="Arial" w:cs="Arial"/>
          <w:bCs/>
          <w:sz w:val="22"/>
          <w:lang w:val="es-ES_tradnl"/>
        </w:rPr>
        <w:t xml:space="preserve"> </w:t>
      </w:r>
    </w:p>
    <w:p w14:paraId="0D1A830E" w14:textId="17EEDE4F" w:rsidR="001E747D" w:rsidRPr="00EB2ED0" w:rsidRDefault="00AA5E49" w:rsidP="00EB2ED0">
      <w:pPr>
        <w:tabs>
          <w:tab w:val="left" w:pos="0"/>
        </w:tabs>
        <w:spacing w:after="120" w:line="276" w:lineRule="auto"/>
        <w:jc w:val="both"/>
        <w:rPr>
          <w:rFonts w:ascii="Arial" w:eastAsia="Calibri" w:hAnsi="Arial" w:cs="Arial"/>
          <w:bCs/>
          <w:sz w:val="22"/>
          <w:lang w:val="es-ES_tradnl"/>
        </w:rPr>
      </w:pPr>
      <w:r w:rsidRPr="00EB2ED0">
        <w:rPr>
          <w:rFonts w:ascii="Arial" w:eastAsia="Calibri" w:hAnsi="Arial" w:cs="Arial"/>
          <w:bCs/>
          <w:sz w:val="22"/>
          <w:lang w:val="es-ES_tradnl"/>
        </w:rPr>
        <w:lastRenderedPageBreak/>
        <w:tab/>
      </w:r>
      <w:r w:rsidR="001971FD" w:rsidRPr="00EB2ED0">
        <w:rPr>
          <w:rFonts w:ascii="Arial" w:eastAsia="Calibri" w:hAnsi="Arial" w:cs="Arial"/>
          <w:bCs/>
          <w:sz w:val="22"/>
          <w:lang w:val="es-ES_tradnl"/>
        </w:rPr>
        <w:t>Lo anterior</w:t>
      </w:r>
      <w:r w:rsidR="00314A22" w:rsidRPr="00EB2ED0">
        <w:rPr>
          <w:rFonts w:ascii="Arial" w:eastAsia="Calibri" w:hAnsi="Arial" w:cs="Arial"/>
          <w:bCs/>
          <w:sz w:val="22"/>
          <w:lang w:val="es-ES_tradnl"/>
        </w:rPr>
        <w:t xml:space="preserve"> implica que l</w:t>
      </w:r>
      <w:r w:rsidR="00F719FD" w:rsidRPr="00EB2ED0">
        <w:rPr>
          <w:rFonts w:ascii="Arial" w:eastAsia="Calibri" w:hAnsi="Arial" w:cs="Arial"/>
          <w:bCs/>
          <w:sz w:val="22"/>
          <w:lang w:val="es-ES_tradnl"/>
        </w:rPr>
        <w:t>as entidades estatales</w:t>
      </w:r>
      <w:r w:rsidR="00314A22" w:rsidRPr="00EB2ED0">
        <w:rPr>
          <w:rFonts w:ascii="Arial" w:eastAsia="Calibri" w:hAnsi="Arial" w:cs="Arial"/>
          <w:bCs/>
          <w:sz w:val="22"/>
          <w:lang w:val="es-ES_tradnl"/>
        </w:rPr>
        <w:t xml:space="preserve"> </w:t>
      </w:r>
      <w:r w:rsidR="008C6754" w:rsidRPr="00EB2ED0">
        <w:rPr>
          <w:rFonts w:ascii="Arial" w:eastAsia="Calibri" w:hAnsi="Arial" w:cs="Arial"/>
          <w:bCs/>
          <w:sz w:val="22"/>
          <w:lang w:val="es-ES_tradnl"/>
        </w:rPr>
        <w:t xml:space="preserve">tendrían </w:t>
      </w:r>
      <w:r w:rsidR="004F44D8" w:rsidRPr="00EB2ED0">
        <w:rPr>
          <w:rFonts w:ascii="Arial" w:eastAsia="Calibri" w:hAnsi="Arial" w:cs="Arial"/>
          <w:bCs/>
          <w:sz w:val="22"/>
          <w:lang w:val="es-ES_tradnl"/>
        </w:rPr>
        <w:t>a su alcance la posibilidad de determinar si aplica o no el artículo 35</w:t>
      </w:r>
      <w:r w:rsidR="008C6754" w:rsidRPr="00EB2ED0">
        <w:rPr>
          <w:rFonts w:ascii="Arial" w:eastAsia="Calibri" w:hAnsi="Arial" w:cs="Arial"/>
          <w:bCs/>
          <w:sz w:val="22"/>
          <w:lang w:val="es-ES_tradnl"/>
        </w:rPr>
        <w:t xml:space="preserve"> de la Ley de Emprendimiento</w:t>
      </w:r>
      <w:r w:rsidR="004F44D8" w:rsidRPr="00EB2ED0">
        <w:rPr>
          <w:rFonts w:ascii="Arial" w:eastAsia="Calibri" w:hAnsi="Arial" w:cs="Arial"/>
          <w:bCs/>
          <w:sz w:val="22"/>
          <w:lang w:val="es-ES_tradnl"/>
        </w:rPr>
        <w:t xml:space="preserve">, </w:t>
      </w:r>
      <w:r w:rsidR="00812C9E" w:rsidRPr="00EB2ED0">
        <w:rPr>
          <w:rFonts w:ascii="Arial" w:eastAsia="Calibri" w:hAnsi="Arial" w:cs="Arial"/>
          <w:bCs/>
          <w:sz w:val="22"/>
          <w:lang w:val="es-ES_tradnl"/>
        </w:rPr>
        <w:t xml:space="preserve">ya que al </w:t>
      </w:r>
      <w:r w:rsidR="008D15D4" w:rsidRPr="00EB2ED0">
        <w:rPr>
          <w:rFonts w:ascii="Arial" w:eastAsia="Calibri" w:hAnsi="Arial" w:cs="Arial"/>
          <w:bCs/>
          <w:sz w:val="22"/>
          <w:lang w:val="es-ES_tradnl"/>
        </w:rPr>
        <w:t>elaborar</w:t>
      </w:r>
      <w:r w:rsidR="00F719FD" w:rsidRPr="00EB2ED0">
        <w:rPr>
          <w:rFonts w:ascii="Arial" w:eastAsia="Calibri" w:hAnsi="Arial" w:cs="Arial"/>
          <w:bCs/>
          <w:sz w:val="22"/>
          <w:lang w:val="es-ES_tradnl"/>
        </w:rPr>
        <w:t xml:space="preserve"> los pliegos de condiciones </w:t>
      </w:r>
      <w:r w:rsidR="000A03F2" w:rsidRPr="00EB2ED0">
        <w:rPr>
          <w:rFonts w:ascii="Arial" w:eastAsia="Calibri" w:hAnsi="Arial" w:cs="Arial"/>
          <w:bCs/>
          <w:sz w:val="22"/>
          <w:lang w:val="es-ES_tradnl"/>
        </w:rPr>
        <w:t>est</w:t>
      </w:r>
      <w:r w:rsidR="00812C9E" w:rsidRPr="00EB2ED0">
        <w:rPr>
          <w:rFonts w:ascii="Arial" w:eastAsia="Calibri" w:hAnsi="Arial" w:cs="Arial"/>
          <w:bCs/>
          <w:sz w:val="22"/>
          <w:lang w:val="es-ES_tradnl"/>
        </w:rPr>
        <w:t>án</w:t>
      </w:r>
      <w:r w:rsidR="000A03F2" w:rsidRPr="00EB2ED0">
        <w:rPr>
          <w:rFonts w:ascii="Arial" w:eastAsia="Calibri" w:hAnsi="Arial" w:cs="Arial"/>
          <w:bCs/>
          <w:sz w:val="22"/>
          <w:lang w:val="es-ES_tradnl"/>
        </w:rPr>
        <w:t xml:space="preserve"> faculta</w:t>
      </w:r>
      <w:r w:rsidR="002E6A50" w:rsidRPr="00EB2ED0">
        <w:rPr>
          <w:rFonts w:ascii="Arial" w:eastAsia="Calibri" w:hAnsi="Arial" w:cs="Arial"/>
          <w:bCs/>
          <w:sz w:val="22"/>
          <w:lang w:val="es-ES_tradnl"/>
        </w:rPr>
        <w:t>da</w:t>
      </w:r>
      <w:r w:rsidR="000A03F2" w:rsidRPr="00EB2ED0">
        <w:rPr>
          <w:rFonts w:ascii="Arial" w:eastAsia="Calibri" w:hAnsi="Arial" w:cs="Arial"/>
          <w:bCs/>
          <w:sz w:val="22"/>
          <w:lang w:val="es-ES_tradnl"/>
        </w:rPr>
        <w:t>s para</w:t>
      </w:r>
      <w:r w:rsidR="00812C9E" w:rsidRPr="00EB2ED0">
        <w:rPr>
          <w:rFonts w:ascii="Arial" w:eastAsia="Calibri" w:hAnsi="Arial" w:cs="Arial"/>
          <w:bCs/>
          <w:sz w:val="22"/>
          <w:lang w:val="es-ES_tradnl"/>
        </w:rPr>
        <w:t xml:space="preserve"> </w:t>
      </w:r>
      <w:r w:rsidR="0071041A" w:rsidRPr="00EB2ED0">
        <w:rPr>
          <w:rFonts w:ascii="Arial" w:eastAsia="Calibri" w:hAnsi="Arial" w:cs="Arial"/>
          <w:bCs/>
          <w:sz w:val="22"/>
          <w:lang w:val="es-ES_tradnl"/>
        </w:rPr>
        <w:t>prescindir</w:t>
      </w:r>
      <w:r w:rsidR="00812C9E" w:rsidRPr="00EB2ED0">
        <w:rPr>
          <w:rFonts w:ascii="Arial" w:eastAsia="Calibri" w:hAnsi="Arial" w:cs="Arial"/>
          <w:bCs/>
          <w:sz w:val="22"/>
          <w:lang w:val="es-ES_tradnl"/>
        </w:rPr>
        <w:t xml:space="preserve"> de la asignación de puntaje,</w:t>
      </w:r>
      <w:r w:rsidR="000A03F2" w:rsidRPr="00EB2ED0">
        <w:rPr>
          <w:rFonts w:ascii="Arial" w:eastAsia="Calibri" w:hAnsi="Arial" w:cs="Arial"/>
          <w:bCs/>
          <w:sz w:val="22"/>
          <w:lang w:val="es-ES_tradnl"/>
        </w:rPr>
        <w:t xml:space="preserve"> opta</w:t>
      </w:r>
      <w:r w:rsidR="00812C9E" w:rsidRPr="00EB2ED0">
        <w:rPr>
          <w:rFonts w:ascii="Arial" w:eastAsia="Calibri" w:hAnsi="Arial" w:cs="Arial"/>
          <w:bCs/>
          <w:sz w:val="22"/>
          <w:lang w:val="es-ES_tradnl"/>
        </w:rPr>
        <w:t>ndo</w:t>
      </w:r>
      <w:r w:rsidR="0071041A" w:rsidRPr="00EB2ED0">
        <w:rPr>
          <w:rFonts w:ascii="Arial" w:eastAsia="Calibri" w:hAnsi="Arial" w:cs="Arial"/>
          <w:bCs/>
          <w:sz w:val="22"/>
          <w:lang w:val="es-ES_tradnl"/>
        </w:rPr>
        <w:t>,</w:t>
      </w:r>
      <w:r w:rsidR="000A03F2" w:rsidRPr="00EB2ED0">
        <w:rPr>
          <w:rFonts w:ascii="Arial" w:eastAsia="Calibri" w:hAnsi="Arial" w:cs="Arial"/>
          <w:bCs/>
          <w:sz w:val="22"/>
          <w:lang w:val="es-ES_tradnl"/>
        </w:rPr>
        <w:t xml:space="preserve"> por</w:t>
      </w:r>
      <w:r w:rsidR="0071041A" w:rsidRPr="00EB2ED0">
        <w:rPr>
          <w:rFonts w:ascii="Arial" w:eastAsia="Calibri" w:hAnsi="Arial" w:cs="Arial"/>
          <w:bCs/>
          <w:sz w:val="22"/>
          <w:lang w:val="es-ES_tradnl"/>
        </w:rPr>
        <w:t xml:space="preserve"> ejemplo, por</w:t>
      </w:r>
      <w:r w:rsidR="000A03F2" w:rsidRPr="00EB2ED0">
        <w:rPr>
          <w:rFonts w:ascii="Arial" w:eastAsia="Calibri" w:hAnsi="Arial" w:cs="Arial"/>
          <w:bCs/>
          <w:sz w:val="22"/>
          <w:lang w:val="es-ES_tradnl"/>
        </w:rPr>
        <w:t xml:space="preserve"> alternativas </w:t>
      </w:r>
      <w:r w:rsidR="00DD65ED" w:rsidRPr="00EB2ED0">
        <w:rPr>
          <w:rFonts w:ascii="Arial" w:eastAsia="Calibri" w:hAnsi="Arial" w:cs="Arial"/>
          <w:bCs/>
          <w:sz w:val="22"/>
          <w:lang w:val="es-ES_tradnl"/>
        </w:rPr>
        <w:t>en las que se valore la relación costo beneficio</w:t>
      </w:r>
      <w:r w:rsidR="003C4B46" w:rsidRPr="00EB2ED0">
        <w:rPr>
          <w:rFonts w:ascii="Arial" w:eastAsia="Calibri" w:hAnsi="Arial" w:cs="Arial"/>
          <w:bCs/>
          <w:sz w:val="22"/>
          <w:lang w:val="es-ES_tradnl"/>
        </w:rPr>
        <w:t xml:space="preserve">, lo que relevaría </w:t>
      </w:r>
      <w:r w:rsidR="002E6A50" w:rsidRPr="00EB2ED0">
        <w:rPr>
          <w:rFonts w:ascii="Arial" w:eastAsia="Calibri" w:hAnsi="Arial" w:cs="Arial"/>
          <w:bCs/>
          <w:sz w:val="22"/>
          <w:lang w:val="es-ES_tradnl"/>
        </w:rPr>
        <w:t xml:space="preserve">a la entidad de aplicar </w:t>
      </w:r>
      <w:r w:rsidR="004C74BD" w:rsidRPr="00EB2ED0">
        <w:rPr>
          <w:rFonts w:ascii="Arial" w:eastAsia="Calibri" w:hAnsi="Arial" w:cs="Arial"/>
          <w:bCs/>
          <w:sz w:val="22"/>
          <w:lang w:val="es-ES_tradnl"/>
        </w:rPr>
        <w:t>los factores de desempate</w:t>
      </w:r>
      <w:r w:rsidR="00314A22" w:rsidRPr="00EB2ED0">
        <w:rPr>
          <w:rFonts w:ascii="Arial" w:eastAsia="Calibri" w:hAnsi="Arial" w:cs="Arial"/>
          <w:bCs/>
          <w:sz w:val="22"/>
          <w:lang w:val="es-ES_tradnl"/>
        </w:rPr>
        <w:t>.</w:t>
      </w:r>
      <w:r w:rsidR="00AE7CF1" w:rsidRPr="00EB2ED0">
        <w:rPr>
          <w:rFonts w:ascii="Arial" w:eastAsia="Calibri" w:hAnsi="Arial" w:cs="Arial"/>
          <w:bCs/>
          <w:sz w:val="22"/>
          <w:lang w:val="es-ES_tradnl"/>
        </w:rPr>
        <w:t xml:space="preserve"> </w:t>
      </w:r>
      <w:r w:rsidR="002B3FBF" w:rsidRPr="00EB2ED0">
        <w:rPr>
          <w:rFonts w:ascii="Arial" w:eastAsia="Calibri" w:hAnsi="Arial" w:cs="Arial"/>
          <w:bCs/>
          <w:sz w:val="22"/>
          <w:lang w:val="es-ES_tradnl"/>
        </w:rPr>
        <w:t>Esta</w:t>
      </w:r>
      <w:r w:rsidR="00AE7CF1" w:rsidRPr="00EB2ED0">
        <w:rPr>
          <w:rFonts w:ascii="Arial" w:eastAsia="Calibri" w:hAnsi="Arial" w:cs="Arial"/>
          <w:bCs/>
          <w:sz w:val="22"/>
          <w:lang w:val="es-ES_tradnl"/>
        </w:rPr>
        <w:t xml:space="preserve"> consecuencia también se aprecia </w:t>
      </w:r>
      <w:r w:rsidR="005F5935" w:rsidRPr="00EB2ED0">
        <w:rPr>
          <w:rFonts w:ascii="Arial" w:eastAsia="Calibri" w:hAnsi="Arial" w:cs="Arial"/>
          <w:bCs/>
          <w:sz w:val="22"/>
          <w:lang w:val="es-ES_tradnl"/>
        </w:rPr>
        <w:t>en caso de las entidades exceptuadas</w:t>
      </w:r>
      <w:r w:rsidR="009C0783" w:rsidRPr="00EB2ED0">
        <w:rPr>
          <w:rFonts w:ascii="Arial" w:eastAsia="Calibri" w:hAnsi="Arial" w:cs="Arial"/>
          <w:bCs/>
          <w:sz w:val="22"/>
          <w:lang w:val="es-ES_tradnl"/>
        </w:rPr>
        <w:t>, quienes al no estar sujetas al artículo 5 de la Ley 1150 de 2007</w:t>
      </w:r>
      <w:r w:rsidR="005F7112" w:rsidRPr="00EB2ED0">
        <w:rPr>
          <w:rFonts w:ascii="Arial" w:eastAsia="Calibri" w:hAnsi="Arial" w:cs="Arial"/>
          <w:bCs/>
          <w:sz w:val="22"/>
          <w:lang w:val="es-ES_tradnl"/>
        </w:rPr>
        <w:t xml:space="preserve">, tienen a su alcance </w:t>
      </w:r>
      <w:r w:rsidR="00E85D69" w:rsidRPr="00EB2ED0">
        <w:rPr>
          <w:rFonts w:ascii="Arial" w:eastAsia="Calibri" w:hAnsi="Arial" w:cs="Arial"/>
          <w:bCs/>
          <w:sz w:val="22"/>
          <w:lang w:val="es-ES_tradnl"/>
        </w:rPr>
        <w:t xml:space="preserve">la posibilidad de </w:t>
      </w:r>
      <w:r w:rsidR="005F7112" w:rsidRPr="00EB2ED0">
        <w:rPr>
          <w:rFonts w:ascii="Arial" w:eastAsia="Calibri" w:hAnsi="Arial" w:cs="Arial"/>
          <w:bCs/>
          <w:sz w:val="22"/>
          <w:lang w:val="es-ES_tradnl"/>
        </w:rPr>
        <w:t xml:space="preserve">configurar procesos de selección </w:t>
      </w:r>
      <w:r w:rsidR="00057CBB" w:rsidRPr="00EB2ED0">
        <w:rPr>
          <w:rFonts w:ascii="Arial" w:eastAsia="Calibri" w:hAnsi="Arial" w:cs="Arial"/>
          <w:bCs/>
          <w:sz w:val="22"/>
          <w:lang w:val="es-ES_tradnl"/>
        </w:rPr>
        <w:t>en los que no se utilice</w:t>
      </w:r>
      <w:r w:rsidR="008013FB" w:rsidRPr="00EB2ED0">
        <w:rPr>
          <w:rFonts w:ascii="Arial" w:eastAsia="Calibri" w:hAnsi="Arial" w:cs="Arial"/>
          <w:bCs/>
          <w:sz w:val="22"/>
          <w:lang w:val="es-ES_tradnl"/>
        </w:rPr>
        <w:t>n</w:t>
      </w:r>
      <w:r w:rsidR="00057CBB" w:rsidRPr="00EB2ED0">
        <w:rPr>
          <w:rFonts w:ascii="Arial" w:eastAsia="Calibri" w:hAnsi="Arial" w:cs="Arial"/>
          <w:bCs/>
          <w:sz w:val="22"/>
          <w:lang w:val="es-ES_tradnl"/>
        </w:rPr>
        <w:t xml:space="preserve"> puntaje</w:t>
      </w:r>
      <w:r w:rsidR="008013FB" w:rsidRPr="00EB2ED0">
        <w:rPr>
          <w:rFonts w:ascii="Arial" w:eastAsia="Calibri" w:hAnsi="Arial" w:cs="Arial"/>
          <w:bCs/>
          <w:sz w:val="22"/>
          <w:lang w:val="es-ES_tradnl"/>
        </w:rPr>
        <w:t>s</w:t>
      </w:r>
      <w:r w:rsidR="00057CBB" w:rsidRPr="00EB2ED0">
        <w:rPr>
          <w:rFonts w:ascii="Arial" w:eastAsia="Calibri" w:hAnsi="Arial" w:cs="Arial"/>
          <w:bCs/>
          <w:sz w:val="22"/>
          <w:lang w:val="es-ES_tradnl"/>
        </w:rPr>
        <w:t xml:space="preserve"> para escoger la oferta ganadora,</w:t>
      </w:r>
      <w:r w:rsidR="001E747D" w:rsidRPr="00EB2ED0">
        <w:rPr>
          <w:rFonts w:ascii="Arial" w:eastAsia="Calibri" w:hAnsi="Arial" w:cs="Arial"/>
          <w:bCs/>
          <w:sz w:val="22"/>
          <w:lang w:val="es-ES_tradnl"/>
        </w:rPr>
        <w:t xml:space="preserve"> </w:t>
      </w:r>
      <w:r w:rsidR="007363DC" w:rsidRPr="00EB2ED0">
        <w:rPr>
          <w:rFonts w:ascii="Arial" w:eastAsia="Calibri" w:hAnsi="Arial" w:cs="Arial"/>
          <w:bCs/>
          <w:sz w:val="22"/>
          <w:lang w:val="es-ES_tradnl"/>
        </w:rPr>
        <w:t>inaplicando</w:t>
      </w:r>
      <w:r w:rsidR="001E747D" w:rsidRPr="00EB2ED0">
        <w:rPr>
          <w:rFonts w:ascii="Arial" w:eastAsia="Calibri" w:hAnsi="Arial" w:cs="Arial"/>
          <w:bCs/>
          <w:sz w:val="22"/>
          <w:lang w:val="es-ES_tradnl"/>
        </w:rPr>
        <w:t xml:space="preserve"> de los factores de desempate del artículo 35</w:t>
      </w:r>
      <w:r w:rsidR="008013FB" w:rsidRPr="00EB2ED0">
        <w:rPr>
          <w:rFonts w:ascii="Arial" w:eastAsia="Calibri" w:hAnsi="Arial" w:cs="Arial"/>
          <w:bCs/>
          <w:sz w:val="22"/>
          <w:lang w:val="es-ES_tradnl"/>
        </w:rPr>
        <w:t xml:space="preserve"> de la Ley 2069 de 2020.</w:t>
      </w:r>
    </w:p>
    <w:p w14:paraId="1DE74688" w14:textId="593AE8F9" w:rsidR="00AA5E49" w:rsidRPr="00EB2ED0" w:rsidRDefault="00A056D2" w:rsidP="00EB2ED0">
      <w:pPr>
        <w:tabs>
          <w:tab w:val="left" w:pos="0"/>
        </w:tabs>
        <w:spacing w:after="120" w:line="276" w:lineRule="auto"/>
        <w:jc w:val="both"/>
        <w:rPr>
          <w:rFonts w:ascii="Arial" w:eastAsia="Calibri" w:hAnsi="Arial" w:cs="Arial"/>
          <w:bCs/>
          <w:sz w:val="22"/>
          <w:lang w:val="es-ES_tradnl"/>
        </w:rPr>
      </w:pPr>
      <w:r w:rsidRPr="00EB2ED0">
        <w:rPr>
          <w:rFonts w:ascii="Arial" w:eastAsia="Calibri" w:hAnsi="Arial" w:cs="Arial"/>
          <w:bCs/>
          <w:sz w:val="22"/>
          <w:lang w:val="es-ES_tradnl"/>
        </w:rPr>
        <w:tab/>
        <w:t xml:space="preserve">Conforme a estas consideraciones, el entendimiento literal de la expresión </w:t>
      </w:r>
      <w:r w:rsidRPr="00EB2ED0">
        <w:rPr>
          <w:rFonts w:ascii="Arial" w:eastAsia="Calibri" w:hAnsi="Arial" w:cs="Arial"/>
          <w:bCs/>
          <w:i/>
          <w:iCs/>
          <w:sz w:val="22"/>
          <w:lang w:val="es-ES_tradnl"/>
        </w:rPr>
        <w:t>puntaje total</w:t>
      </w:r>
      <w:r w:rsidR="002036BA" w:rsidRPr="00EB2ED0">
        <w:rPr>
          <w:rFonts w:ascii="Arial" w:eastAsia="Calibri" w:hAnsi="Arial" w:cs="Arial"/>
          <w:bCs/>
          <w:sz w:val="22"/>
          <w:lang w:val="es-ES_tradnl"/>
        </w:rPr>
        <w:t xml:space="preserve"> contenida en el artículo 35 de la 2069 de 2020, priva </w:t>
      </w:r>
      <w:r w:rsidR="008627DE" w:rsidRPr="00EB2ED0">
        <w:rPr>
          <w:rFonts w:ascii="Arial" w:eastAsia="Calibri" w:hAnsi="Arial" w:cs="Arial"/>
          <w:bCs/>
          <w:sz w:val="22"/>
          <w:lang w:val="es-ES_tradnl"/>
        </w:rPr>
        <w:t>esta</w:t>
      </w:r>
      <w:r w:rsidR="002036BA" w:rsidRPr="00EB2ED0">
        <w:rPr>
          <w:rFonts w:ascii="Arial" w:eastAsia="Calibri" w:hAnsi="Arial" w:cs="Arial"/>
          <w:bCs/>
          <w:sz w:val="22"/>
          <w:lang w:val="es-ES_tradnl"/>
        </w:rPr>
        <w:t xml:space="preserve"> norma de un</w:t>
      </w:r>
      <w:r w:rsidR="00290805" w:rsidRPr="00EB2ED0">
        <w:rPr>
          <w:rFonts w:ascii="Arial" w:eastAsia="Calibri" w:hAnsi="Arial" w:cs="Arial"/>
          <w:bCs/>
          <w:sz w:val="22"/>
          <w:lang w:val="es-ES_tradnl"/>
        </w:rPr>
        <w:t xml:space="preserve">a gran parte de su </w:t>
      </w:r>
      <w:r w:rsidR="00B75628" w:rsidRPr="00EB2ED0">
        <w:rPr>
          <w:rFonts w:ascii="Arial" w:eastAsia="Calibri" w:hAnsi="Arial" w:cs="Arial"/>
          <w:bCs/>
          <w:sz w:val="22"/>
          <w:lang w:val="es-ES_tradnl"/>
        </w:rPr>
        <w:t>obligatoriedad</w:t>
      </w:r>
      <w:r w:rsidR="00290805" w:rsidRPr="00EB2ED0">
        <w:rPr>
          <w:rFonts w:ascii="Arial" w:eastAsia="Calibri" w:hAnsi="Arial" w:cs="Arial"/>
          <w:bCs/>
          <w:sz w:val="22"/>
          <w:lang w:val="es-ES_tradnl"/>
        </w:rPr>
        <w:t>,</w:t>
      </w:r>
      <w:r w:rsidR="00F8740F" w:rsidRPr="00EB2ED0">
        <w:rPr>
          <w:rFonts w:ascii="Arial" w:eastAsia="Calibri" w:hAnsi="Arial" w:cs="Arial"/>
          <w:bCs/>
          <w:sz w:val="22"/>
          <w:lang w:val="es-ES_tradnl"/>
        </w:rPr>
        <w:t xml:space="preserve"> al permitir que</w:t>
      </w:r>
      <w:r w:rsidR="00290805" w:rsidRPr="00EB2ED0">
        <w:rPr>
          <w:rFonts w:ascii="Arial" w:eastAsia="Calibri" w:hAnsi="Arial" w:cs="Arial"/>
          <w:bCs/>
          <w:sz w:val="22"/>
          <w:lang w:val="es-ES_tradnl"/>
        </w:rPr>
        <w:t xml:space="preserve"> los </w:t>
      </w:r>
      <w:r w:rsidR="00F8740F" w:rsidRPr="00EB2ED0">
        <w:rPr>
          <w:rFonts w:ascii="Arial" w:eastAsia="Calibri" w:hAnsi="Arial" w:cs="Arial"/>
          <w:bCs/>
          <w:sz w:val="22"/>
          <w:lang w:val="es-ES_tradnl"/>
        </w:rPr>
        <w:t xml:space="preserve">destinatarios de </w:t>
      </w:r>
      <w:proofErr w:type="gramStart"/>
      <w:r w:rsidR="00F8740F" w:rsidRPr="00EB2ED0">
        <w:rPr>
          <w:rFonts w:ascii="Arial" w:eastAsia="Calibri" w:hAnsi="Arial" w:cs="Arial"/>
          <w:bCs/>
          <w:sz w:val="22"/>
          <w:lang w:val="es-ES_tradnl"/>
        </w:rPr>
        <w:t xml:space="preserve">la </w:t>
      </w:r>
      <w:r w:rsidR="00136DD8" w:rsidRPr="00EB2ED0">
        <w:rPr>
          <w:rFonts w:ascii="Arial" w:eastAsia="Calibri" w:hAnsi="Arial" w:cs="Arial"/>
          <w:bCs/>
          <w:sz w:val="22"/>
          <w:lang w:val="es-ES_tradnl"/>
        </w:rPr>
        <w:t>misma</w:t>
      </w:r>
      <w:proofErr w:type="gramEnd"/>
      <w:r w:rsidR="00F8740F" w:rsidRPr="00EB2ED0">
        <w:rPr>
          <w:rFonts w:ascii="Arial" w:eastAsia="Calibri" w:hAnsi="Arial" w:cs="Arial"/>
          <w:bCs/>
          <w:sz w:val="22"/>
          <w:lang w:val="es-ES_tradnl"/>
        </w:rPr>
        <w:t xml:space="preserve"> </w:t>
      </w:r>
      <w:r w:rsidR="003A3EA0" w:rsidRPr="00EB2ED0">
        <w:rPr>
          <w:rFonts w:ascii="Arial" w:eastAsia="Calibri" w:hAnsi="Arial" w:cs="Arial"/>
          <w:bCs/>
          <w:sz w:val="22"/>
          <w:lang w:val="es-ES_tradnl"/>
        </w:rPr>
        <w:t>elud</w:t>
      </w:r>
      <w:r w:rsidR="00136DD8" w:rsidRPr="00EB2ED0">
        <w:rPr>
          <w:rFonts w:ascii="Arial" w:eastAsia="Calibri" w:hAnsi="Arial" w:cs="Arial"/>
          <w:bCs/>
          <w:sz w:val="22"/>
          <w:lang w:val="es-ES_tradnl"/>
        </w:rPr>
        <w:t>an</w:t>
      </w:r>
      <w:r w:rsidR="003A3EA0" w:rsidRPr="00EB2ED0">
        <w:rPr>
          <w:rFonts w:ascii="Arial" w:eastAsia="Calibri" w:hAnsi="Arial" w:cs="Arial"/>
          <w:bCs/>
          <w:sz w:val="22"/>
          <w:lang w:val="es-ES_tradnl"/>
        </w:rPr>
        <w:t xml:space="preserve"> su aplicación. </w:t>
      </w:r>
      <w:r w:rsidR="0092557B" w:rsidRPr="00EB2ED0">
        <w:rPr>
          <w:rFonts w:ascii="Arial" w:eastAsia="Calibri" w:hAnsi="Arial" w:cs="Arial"/>
          <w:bCs/>
          <w:sz w:val="22"/>
          <w:lang w:val="es-ES_tradnl"/>
        </w:rPr>
        <w:t xml:space="preserve">Esto </w:t>
      </w:r>
      <w:r w:rsidR="006C5215" w:rsidRPr="00EB2ED0">
        <w:rPr>
          <w:rFonts w:ascii="Arial" w:eastAsia="Calibri" w:hAnsi="Arial" w:cs="Arial"/>
          <w:bCs/>
          <w:sz w:val="22"/>
          <w:lang w:val="es-ES_tradnl"/>
        </w:rPr>
        <w:t>implica que la</w:t>
      </w:r>
      <w:r w:rsidR="0092557B" w:rsidRPr="00EB2ED0">
        <w:rPr>
          <w:rFonts w:ascii="Arial" w:eastAsia="Calibri" w:hAnsi="Arial" w:cs="Arial"/>
          <w:bCs/>
          <w:sz w:val="22"/>
          <w:lang w:val="es-ES_tradnl"/>
        </w:rPr>
        <w:t xml:space="preserve"> finalidad transversal del artículo 35 de la Ley 2069 de 2020</w:t>
      </w:r>
      <w:r w:rsidR="00BF6990" w:rsidRPr="00EB2ED0">
        <w:rPr>
          <w:rFonts w:ascii="Arial" w:eastAsia="Calibri" w:hAnsi="Arial" w:cs="Arial"/>
          <w:bCs/>
          <w:sz w:val="22"/>
          <w:lang w:val="es-ES_tradnl"/>
        </w:rPr>
        <w:t xml:space="preserve"> quedaría cercenada por </w:t>
      </w:r>
      <w:r w:rsidR="0071340B" w:rsidRPr="00EB2ED0">
        <w:rPr>
          <w:rFonts w:ascii="Arial" w:eastAsia="Calibri" w:hAnsi="Arial" w:cs="Arial"/>
          <w:bCs/>
          <w:sz w:val="22"/>
          <w:lang w:val="es-ES_tradnl"/>
        </w:rPr>
        <w:t xml:space="preserve">su </w:t>
      </w:r>
      <w:r w:rsidR="00BF6990" w:rsidRPr="00EB2ED0">
        <w:rPr>
          <w:rFonts w:ascii="Arial" w:eastAsia="Calibri" w:hAnsi="Arial" w:cs="Arial"/>
          <w:bCs/>
          <w:sz w:val="22"/>
          <w:lang w:val="es-ES_tradnl"/>
        </w:rPr>
        <w:t xml:space="preserve">interpretación exegética, </w:t>
      </w:r>
      <w:r w:rsidR="00B75628" w:rsidRPr="00EB2ED0">
        <w:rPr>
          <w:rFonts w:ascii="Arial" w:eastAsia="Calibri" w:hAnsi="Arial" w:cs="Arial"/>
          <w:bCs/>
          <w:sz w:val="22"/>
          <w:lang w:val="es-ES_tradnl"/>
        </w:rPr>
        <w:t>generando consecuencias absurdas como las descritas en el párrafo precedente</w:t>
      </w:r>
      <w:r w:rsidR="009E3BEE" w:rsidRPr="00EB2ED0">
        <w:rPr>
          <w:rFonts w:ascii="Arial" w:eastAsia="Calibri" w:hAnsi="Arial" w:cs="Arial"/>
          <w:bCs/>
          <w:sz w:val="22"/>
          <w:lang w:val="es-ES_tradnl"/>
        </w:rPr>
        <w:t>.</w:t>
      </w:r>
      <w:r w:rsidR="00511368" w:rsidRPr="00EB2ED0">
        <w:rPr>
          <w:rFonts w:ascii="Arial" w:eastAsia="Calibri" w:hAnsi="Arial" w:cs="Arial"/>
          <w:bCs/>
          <w:sz w:val="22"/>
          <w:lang w:val="es-ES_tradnl"/>
        </w:rPr>
        <w:t xml:space="preserve">  </w:t>
      </w:r>
    </w:p>
    <w:p w14:paraId="400AE1BF" w14:textId="33AF0065" w:rsidR="008D15D4" w:rsidRPr="009F7254" w:rsidRDefault="009D28E8" w:rsidP="00EB2ED0">
      <w:pPr>
        <w:tabs>
          <w:tab w:val="left" w:pos="0"/>
        </w:tabs>
        <w:spacing w:after="120" w:line="276" w:lineRule="auto"/>
        <w:jc w:val="both"/>
        <w:rPr>
          <w:rFonts w:ascii="Arial" w:eastAsia="Calibri" w:hAnsi="Arial" w:cs="Arial"/>
          <w:bCs/>
          <w:sz w:val="22"/>
          <w:szCs w:val="22"/>
          <w:lang w:val="es-ES_tradnl"/>
        </w:rPr>
      </w:pPr>
      <w:r w:rsidRPr="00EB2ED0">
        <w:rPr>
          <w:rFonts w:ascii="Arial" w:eastAsia="Calibri" w:hAnsi="Arial" w:cs="Arial"/>
          <w:bCs/>
          <w:sz w:val="22"/>
          <w:szCs w:val="22"/>
          <w:lang w:val="es-ES_tradnl"/>
        </w:rPr>
        <w:tab/>
        <w:t xml:space="preserve">En consideración a lo anterior, </w:t>
      </w:r>
      <w:r w:rsidR="00111026" w:rsidRPr="00EB2ED0">
        <w:rPr>
          <w:rFonts w:ascii="Arial" w:eastAsia="Calibri" w:hAnsi="Arial" w:cs="Arial"/>
          <w:bCs/>
          <w:sz w:val="22"/>
          <w:szCs w:val="22"/>
          <w:lang w:val="es-ES_tradnl"/>
        </w:rPr>
        <w:t>la</w:t>
      </w:r>
      <w:r w:rsidRPr="00EB2ED0">
        <w:rPr>
          <w:rFonts w:ascii="Arial" w:eastAsia="Calibri" w:hAnsi="Arial" w:cs="Arial"/>
          <w:bCs/>
          <w:sz w:val="22"/>
          <w:szCs w:val="22"/>
          <w:lang w:val="es-ES_tradnl"/>
        </w:rPr>
        <w:t xml:space="preserve"> Agencia</w:t>
      </w:r>
      <w:r w:rsidR="00F5237A" w:rsidRPr="00EB2ED0">
        <w:rPr>
          <w:rFonts w:ascii="Arial" w:eastAsia="Calibri" w:hAnsi="Arial" w:cs="Arial"/>
          <w:bCs/>
          <w:sz w:val="22"/>
          <w:szCs w:val="22"/>
          <w:lang w:val="es-ES_tradnl"/>
        </w:rPr>
        <w:t xml:space="preserve"> </w:t>
      </w:r>
      <w:r w:rsidR="0085694D" w:rsidRPr="00EB2ED0">
        <w:rPr>
          <w:rFonts w:ascii="Arial" w:eastAsia="Calibri" w:hAnsi="Arial" w:cs="Arial"/>
          <w:bCs/>
          <w:sz w:val="22"/>
          <w:szCs w:val="22"/>
          <w:lang w:val="es-ES_tradnl"/>
        </w:rPr>
        <w:t xml:space="preserve">no </w:t>
      </w:r>
      <w:r w:rsidR="006C219B" w:rsidRPr="00EB2ED0">
        <w:rPr>
          <w:rFonts w:ascii="Arial" w:eastAsia="Calibri" w:hAnsi="Arial" w:cs="Arial"/>
          <w:bCs/>
          <w:sz w:val="22"/>
          <w:szCs w:val="22"/>
          <w:lang w:val="es-ES_tradnl"/>
        </w:rPr>
        <w:t>comparte la posición según la cual el artículo 35</w:t>
      </w:r>
      <w:r w:rsidR="00111026" w:rsidRPr="00EB2ED0">
        <w:rPr>
          <w:rFonts w:ascii="Arial" w:eastAsia="Calibri" w:hAnsi="Arial" w:cs="Arial"/>
          <w:bCs/>
          <w:sz w:val="22"/>
          <w:szCs w:val="22"/>
          <w:lang w:val="es-ES_tradnl"/>
        </w:rPr>
        <w:t xml:space="preserve"> de la Ley de Emprendimiento</w:t>
      </w:r>
      <w:r w:rsidR="0047072B" w:rsidRPr="00EB2ED0">
        <w:rPr>
          <w:rFonts w:ascii="Arial" w:eastAsia="Calibri" w:hAnsi="Arial" w:cs="Arial"/>
          <w:bCs/>
          <w:i/>
          <w:iCs/>
          <w:sz w:val="22"/>
          <w:szCs w:val="22"/>
          <w:lang w:val="es-ES_tradnl"/>
        </w:rPr>
        <w:t>,</w:t>
      </w:r>
      <w:r w:rsidR="0047072B" w:rsidRPr="00EB2ED0">
        <w:rPr>
          <w:rFonts w:ascii="Arial" w:eastAsia="Calibri" w:hAnsi="Arial" w:cs="Arial"/>
          <w:bCs/>
          <w:sz w:val="22"/>
          <w:szCs w:val="22"/>
          <w:lang w:val="es-ES_tradnl"/>
        </w:rPr>
        <w:t xml:space="preserve"> solo es aplicable en caso de empate en el puntaje total entre dos o más ofertas.</w:t>
      </w:r>
      <w:r w:rsidR="005E717E" w:rsidRPr="00EB2ED0">
        <w:rPr>
          <w:rFonts w:ascii="Arial" w:eastAsia="Calibri" w:hAnsi="Arial" w:cs="Arial"/>
          <w:bCs/>
          <w:sz w:val="22"/>
          <w:szCs w:val="22"/>
          <w:lang w:val="es-ES_tradnl"/>
        </w:rPr>
        <w:t xml:space="preserve"> Por el contrario,</w:t>
      </w:r>
      <w:r w:rsidR="00DB3445" w:rsidRPr="00EB2ED0">
        <w:rPr>
          <w:rFonts w:ascii="Arial" w:eastAsia="Calibri" w:hAnsi="Arial" w:cs="Arial"/>
          <w:bCs/>
          <w:sz w:val="22"/>
          <w:szCs w:val="22"/>
          <w:lang w:val="es-ES_tradnl"/>
        </w:rPr>
        <w:t xml:space="preserve"> </w:t>
      </w:r>
      <w:bookmarkStart w:id="22" w:name="_Hlk69752682"/>
      <w:r w:rsidR="00DB3445" w:rsidRPr="00EB2ED0">
        <w:rPr>
          <w:rFonts w:ascii="Arial" w:eastAsia="Calibri" w:hAnsi="Arial" w:cs="Arial"/>
          <w:bCs/>
          <w:sz w:val="22"/>
          <w:szCs w:val="22"/>
          <w:lang w:val="es-ES_tradnl"/>
        </w:rPr>
        <w:t>debe interpreta</w:t>
      </w:r>
      <w:r w:rsidR="00111026" w:rsidRPr="00EB2ED0">
        <w:rPr>
          <w:rFonts w:ascii="Arial" w:eastAsia="Calibri" w:hAnsi="Arial" w:cs="Arial"/>
          <w:bCs/>
          <w:sz w:val="22"/>
          <w:szCs w:val="22"/>
          <w:lang w:val="es-ES_tradnl"/>
        </w:rPr>
        <w:t>rse</w:t>
      </w:r>
      <w:r w:rsidR="00DB3445" w:rsidRPr="00EB2ED0">
        <w:rPr>
          <w:rFonts w:ascii="Arial" w:eastAsia="Calibri" w:hAnsi="Arial" w:cs="Arial"/>
          <w:bCs/>
          <w:sz w:val="22"/>
          <w:szCs w:val="22"/>
          <w:lang w:val="es-ES_tradnl"/>
        </w:rPr>
        <w:t xml:space="preserve"> de manera sistemática con las demás disposiciones del EGCAP, particularmente, </w:t>
      </w:r>
      <w:r w:rsidR="0079281A" w:rsidRPr="00EB2ED0">
        <w:rPr>
          <w:rFonts w:ascii="Arial" w:eastAsia="Calibri" w:hAnsi="Arial" w:cs="Arial"/>
          <w:bCs/>
          <w:sz w:val="22"/>
          <w:szCs w:val="22"/>
          <w:lang w:val="es-ES_tradnl"/>
        </w:rPr>
        <w:t xml:space="preserve">con el artículo 5 de la Ley 1150 de 2007. Conforme </w:t>
      </w:r>
      <w:r w:rsidR="008D15D4" w:rsidRPr="00EB2ED0">
        <w:rPr>
          <w:rFonts w:ascii="Arial" w:eastAsia="Calibri" w:hAnsi="Arial" w:cs="Arial"/>
          <w:bCs/>
          <w:sz w:val="22"/>
          <w:szCs w:val="22"/>
          <w:lang w:val="es-ES_tradnl"/>
        </w:rPr>
        <w:t xml:space="preserve">a </w:t>
      </w:r>
      <w:r w:rsidR="00C113D8" w:rsidRPr="00EB2ED0">
        <w:rPr>
          <w:rFonts w:ascii="Arial" w:eastAsia="Calibri" w:hAnsi="Arial" w:cs="Arial"/>
          <w:bCs/>
          <w:sz w:val="22"/>
          <w:szCs w:val="22"/>
          <w:lang w:val="es-ES_tradnl"/>
        </w:rPr>
        <w:t>esta idea</w:t>
      </w:r>
      <w:r w:rsidR="008D15D4" w:rsidRPr="00EB2ED0">
        <w:rPr>
          <w:rFonts w:ascii="Arial" w:eastAsia="Calibri" w:hAnsi="Arial" w:cs="Arial"/>
          <w:bCs/>
          <w:sz w:val="22"/>
          <w:szCs w:val="22"/>
          <w:lang w:val="es-ES_tradnl"/>
        </w:rPr>
        <w:t xml:space="preserve"> interpretación</w:t>
      </w:r>
      <w:r w:rsidR="0079281A" w:rsidRPr="00EB2ED0">
        <w:rPr>
          <w:rFonts w:ascii="Arial" w:eastAsia="Calibri" w:hAnsi="Arial" w:cs="Arial"/>
          <w:bCs/>
          <w:sz w:val="22"/>
          <w:szCs w:val="22"/>
          <w:lang w:val="es-ES_tradnl"/>
        </w:rPr>
        <w:t xml:space="preserve">, la expresión </w:t>
      </w:r>
      <w:r w:rsidR="00F1689D" w:rsidRPr="00EB2ED0">
        <w:rPr>
          <w:rFonts w:ascii="Arial" w:hAnsi="Arial" w:cs="Arial"/>
          <w:i/>
          <w:iCs/>
          <w:sz w:val="22"/>
          <w:szCs w:val="22"/>
        </w:rPr>
        <w:t>empate en el puntaje total</w:t>
      </w:r>
      <w:r w:rsidR="00F1689D" w:rsidRPr="00EB2ED0">
        <w:rPr>
          <w:rFonts w:ascii="Arial" w:hAnsi="Arial" w:cs="Arial"/>
          <w:sz w:val="22"/>
          <w:szCs w:val="22"/>
        </w:rPr>
        <w:t xml:space="preserve"> </w:t>
      </w:r>
      <w:r w:rsidR="00A832DB" w:rsidRPr="00EB2ED0">
        <w:rPr>
          <w:rFonts w:ascii="Arial" w:hAnsi="Arial" w:cs="Arial"/>
          <w:sz w:val="22"/>
          <w:szCs w:val="22"/>
        </w:rPr>
        <w:t xml:space="preserve">apunta a </w:t>
      </w:r>
      <w:r w:rsidR="005255D6" w:rsidRPr="00EB2ED0">
        <w:rPr>
          <w:rFonts w:ascii="Arial" w:hAnsi="Arial" w:cs="Arial"/>
          <w:sz w:val="22"/>
          <w:szCs w:val="22"/>
        </w:rPr>
        <w:t xml:space="preserve">las </w:t>
      </w:r>
      <w:r w:rsidR="00A832DB" w:rsidRPr="00EB2ED0">
        <w:rPr>
          <w:rFonts w:ascii="Arial" w:hAnsi="Arial" w:cs="Arial"/>
          <w:sz w:val="22"/>
          <w:szCs w:val="22"/>
        </w:rPr>
        <w:t xml:space="preserve">situaciones </w:t>
      </w:r>
      <w:r w:rsidR="002A0928" w:rsidRPr="00EB2ED0">
        <w:rPr>
          <w:rFonts w:ascii="Arial" w:hAnsi="Arial" w:cs="Arial"/>
          <w:sz w:val="22"/>
          <w:szCs w:val="22"/>
        </w:rPr>
        <w:t>en l</w:t>
      </w:r>
      <w:r w:rsidR="00E04D00" w:rsidRPr="00EB2ED0">
        <w:rPr>
          <w:rFonts w:ascii="Arial" w:hAnsi="Arial" w:cs="Arial"/>
          <w:sz w:val="22"/>
          <w:szCs w:val="22"/>
        </w:rPr>
        <w:t xml:space="preserve">a evaluación </w:t>
      </w:r>
      <w:r w:rsidR="008B1C27" w:rsidRPr="00EB2ED0">
        <w:rPr>
          <w:rFonts w:ascii="Arial" w:hAnsi="Arial" w:cs="Arial"/>
          <w:sz w:val="22"/>
          <w:szCs w:val="22"/>
        </w:rPr>
        <w:t>final</w:t>
      </w:r>
      <w:r w:rsidR="007D242C" w:rsidRPr="00EB2ED0">
        <w:rPr>
          <w:rFonts w:ascii="Arial" w:hAnsi="Arial" w:cs="Arial"/>
          <w:sz w:val="22"/>
          <w:szCs w:val="22"/>
        </w:rPr>
        <w:t xml:space="preserve"> de las ofertas</w:t>
      </w:r>
      <w:r w:rsidR="008B1C27" w:rsidRPr="00EB2ED0">
        <w:rPr>
          <w:rFonts w:ascii="Arial" w:hAnsi="Arial" w:cs="Arial"/>
          <w:sz w:val="22"/>
          <w:szCs w:val="22"/>
        </w:rPr>
        <w:t xml:space="preserve"> en las que</w:t>
      </w:r>
      <w:r w:rsidR="002A0928" w:rsidRPr="00EB2ED0">
        <w:rPr>
          <w:rFonts w:ascii="Arial" w:hAnsi="Arial" w:cs="Arial"/>
          <w:sz w:val="22"/>
          <w:szCs w:val="22"/>
        </w:rPr>
        <w:t>,</w:t>
      </w:r>
      <w:r w:rsidR="008B1C27" w:rsidRPr="00EB2ED0">
        <w:rPr>
          <w:rFonts w:ascii="Arial" w:hAnsi="Arial" w:cs="Arial"/>
          <w:sz w:val="22"/>
          <w:szCs w:val="22"/>
        </w:rPr>
        <w:t xml:space="preserve"> </w:t>
      </w:r>
      <w:r w:rsidR="00C113D8" w:rsidRPr="00EB2ED0">
        <w:rPr>
          <w:rFonts w:ascii="Arial" w:hAnsi="Arial" w:cs="Arial"/>
          <w:sz w:val="22"/>
          <w:szCs w:val="22"/>
        </w:rPr>
        <w:t>realizándose la</w:t>
      </w:r>
      <w:r w:rsidR="002A0928" w:rsidRPr="00EB2ED0">
        <w:rPr>
          <w:rFonts w:ascii="Arial" w:hAnsi="Arial" w:cs="Arial"/>
          <w:sz w:val="22"/>
          <w:szCs w:val="22"/>
        </w:rPr>
        <w:t xml:space="preserve"> comparación </w:t>
      </w:r>
      <w:r w:rsidR="00FA4168" w:rsidRPr="00EB2ED0">
        <w:rPr>
          <w:rFonts w:ascii="Arial" w:hAnsi="Arial" w:cs="Arial"/>
          <w:sz w:val="22"/>
          <w:szCs w:val="22"/>
        </w:rPr>
        <w:t>de acuerdo con</w:t>
      </w:r>
      <w:r w:rsidR="00672E16" w:rsidRPr="00EB2ED0">
        <w:rPr>
          <w:rFonts w:ascii="Arial" w:hAnsi="Arial" w:cs="Arial"/>
          <w:sz w:val="22"/>
          <w:szCs w:val="22"/>
        </w:rPr>
        <w:t xml:space="preserve"> </w:t>
      </w:r>
      <w:r w:rsidR="008B1C27" w:rsidRPr="00EB2ED0">
        <w:rPr>
          <w:rFonts w:ascii="Arial" w:hAnsi="Arial" w:cs="Arial"/>
          <w:sz w:val="22"/>
          <w:szCs w:val="22"/>
        </w:rPr>
        <w:t>los factores de calificación, evaluación</w:t>
      </w:r>
      <w:r w:rsidR="00665C4C" w:rsidRPr="00EB2ED0">
        <w:rPr>
          <w:rFonts w:ascii="Arial" w:hAnsi="Arial" w:cs="Arial"/>
          <w:sz w:val="22"/>
          <w:szCs w:val="22"/>
        </w:rPr>
        <w:t xml:space="preserve"> o</w:t>
      </w:r>
      <w:r w:rsidR="008B1C27" w:rsidRPr="00EB2ED0">
        <w:rPr>
          <w:rFonts w:ascii="Arial" w:hAnsi="Arial" w:cs="Arial"/>
          <w:sz w:val="22"/>
          <w:szCs w:val="22"/>
        </w:rPr>
        <w:t xml:space="preserve"> ponderación</w:t>
      </w:r>
      <w:r w:rsidR="00BA0A51" w:rsidRPr="00EB2ED0">
        <w:rPr>
          <w:rFonts w:ascii="Arial" w:hAnsi="Arial" w:cs="Arial"/>
          <w:sz w:val="22"/>
          <w:szCs w:val="22"/>
        </w:rPr>
        <w:t xml:space="preserve"> </w:t>
      </w:r>
      <w:r w:rsidR="00672E16" w:rsidRPr="00EB2ED0">
        <w:rPr>
          <w:rFonts w:ascii="Arial" w:hAnsi="Arial" w:cs="Arial"/>
          <w:sz w:val="22"/>
          <w:szCs w:val="22"/>
        </w:rPr>
        <w:t xml:space="preserve">aplicables al respectivo procedimiento, se presenta un empate entre </w:t>
      </w:r>
      <w:r w:rsidR="007E327F" w:rsidRPr="00EB2ED0">
        <w:rPr>
          <w:rFonts w:ascii="Arial" w:hAnsi="Arial" w:cs="Arial"/>
          <w:sz w:val="22"/>
          <w:szCs w:val="22"/>
        </w:rPr>
        <w:t xml:space="preserve">dos o más </w:t>
      </w:r>
      <w:r w:rsidR="00CD614A" w:rsidRPr="00EB2ED0">
        <w:rPr>
          <w:rFonts w:ascii="Arial" w:hAnsi="Arial" w:cs="Arial"/>
          <w:sz w:val="22"/>
          <w:szCs w:val="22"/>
        </w:rPr>
        <w:t>propuestas</w:t>
      </w:r>
      <w:r w:rsidR="000F045A" w:rsidRPr="00EB2ED0">
        <w:rPr>
          <w:rFonts w:ascii="Arial" w:hAnsi="Arial" w:cs="Arial"/>
          <w:sz w:val="22"/>
          <w:szCs w:val="22"/>
        </w:rPr>
        <w:t xml:space="preserve">. </w:t>
      </w:r>
    </w:p>
    <w:p w14:paraId="7E9C2098" w14:textId="340E9583" w:rsidR="005F5935" w:rsidRPr="00EB2ED0" w:rsidRDefault="008D15D4" w:rsidP="00EB2ED0">
      <w:pPr>
        <w:tabs>
          <w:tab w:val="left" w:pos="0"/>
        </w:tabs>
        <w:spacing w:after="120" w:line="276" w:lineRule="auto"/>
        <w:jc w:val="both"/>
        <w:rPr>
          <w:rFonts w:ascii="Arial" w:hAnsi="Arial" w:cs="Arial"/>
          <w:sz w:val="22"/>
          <w:szCs w:val="22"/>
        </w:rPr>
      </w:pPr>
      <w:r w:rsidRPr="00EB2ED0">
        <w:rPr>
          <w:rFonts w:ascii="Arial" w:hAnsi="Arial" w:cs="Arial"/>
          <w:sz w:val="22"/>
          <w:szCs w:val="22"/>
        </w:rPr>
        <w:tab/>
      </w:r>
      <w:r w:rsidR="006407A5" w:rsidRPr="00EB2ED0">
        <w:rPr>
          <w:rFonts w:ascii="Arial" w:hAnsi="Arial" w:cs="Arial"/>
          <w:sz w:val="22"/>
          <w:szCs w:val="22"/>
        </w:rPr>
        <w:t xml:space="preserve">En ese entendido, </w:t>
      </w:r>
      <w:r w:rsidR="007969E1" w:rsidRPr="00EB2ED0">
        <w:rPr>
          <w:rFonts w:ascii="Arial" w:hAnsi="Arial" w:cs="Arial"/>
          <w:sz w:val="22"/>
          <w:szCs w:val="22"/>
        </w:rPr>
        <w:t xml:space="preserve">con independencia </w:t>
      </w:r>
      <w:r w:rsidR="006407A5" w:rsidRPr="00EB2ED0">
        <w:rPr>
          <w:rFonts w:ascii="Arial" w:hAnsi="Arial" w:cs="Arial"/>
          <w:sz w:val="22"/>
          <w:szCs w:val="22"/>
        </w:rPr>
        <w:t>de que la ponderación emple</w:t>
      </w:r>
      <w:r w:rsidR="00BE2661" w:rsidRPr="00EB2ED0">
        <w:rPr>
          <w:rFonts w:ascii="Arial" w:hAnsi="Arial" w:cs="Arial"/>
          <w:sz w:val="22"/>
          <w:szCs w:val="22"/>
        </w:rPr>
        <w:t>e</w:t>
      </w:r>
      <w:r w:rsidR="00023A0B" w:rsidRPr="00EB2ED0">
        <w:rPr>
          <w:rFonts w:ascii="Arial" w:hAnsi="Arial" w:cs="Arial"/>
          <w:sz w:val="22"/>
          <w:szCs w:val="22"/>
        </w:rPr>
        <w:t xml:space="preserve"> </w:t>
      </w:r>
      <w:r w:rsidR="006407A5" w:rsidRPr="00EB2ED0">
        <w:rPr>
          <w:rFonts w:ascii="Arial" w:hAnsi="Arial" w:cs="Arial"/>
          <w:sz w:val="22"/>
          <w:szCs w:val="22"/>
        </w:rPr>
        <w:t>puntajes</w:t>
      </w:r>
      <w:r w:rsidR="00B24007" w:rsidRPr="00EB2ED0">
        <w:rPr>
          <w:rFonts w:ascii="Arial" w:hAnsi="Arial" w:cs="Arial"/>
          <w:sz w:val="22"/>
          <w:szCs w:val="22"/>
        </w:rPr>
        <w:t xml:space="preserve">, </w:t>
      </w:r>
      <w:r w:rsidR="006407A5" w:rsidRPr="00EB2ED0">
        <w:rPr>
          <w:rFonts w:ascii="Arial" w:hAnsi="Arial" w:cs="Arial"/>
          <w:sz w:val="22"/>
          <w:szCs w:val="22"/>
        </w:rPr>
        <w:t xml:space="preserve"> f</w:t>
      </w:r>
      <w:r w:rsidR="00B24007" w:rsidRPr="00EB2ED0">
        <w:rPr>
          <w:rFonts w:ascii="Arial" w:hAnsi="Arial" w:cs="Arial"/>
          <w:sz w:val="22"/>
          <w:szCs w:val="22"/>
        </w:rPr>
        <w:t>ó</w:t>
      </w:r>
      <w:r w:rsidR="006407A5" w:rsidRPr="00EB2ED0">
        <w:rPr>
          <w:rFonts w:ascii="Arial" w:hAnsi="Arial" w:cs="Arial"/>
          <w:sz w:val="22"/>
          <w:szCs w:val="22"/>
        </w:rPr>
        <w:t>rmulas</w:t>
      </w:r>
      <w:r w:rsidR="00023A0B" w:rsidRPr="00EB2ED0">
        <w:rPr>
          <w:rFonts w:ascii="Arial" w:hAnsi="Arial" w:cs="Arial"/>
          <w:sz w:val="22"/>
          <w:szCs w:val="22"/>
        </w:rPr>
        <w:t>,</w:t>
      </w:r>
      <w:r w:rsidR="00B24007" w:rsidRPr="00EB2ED0">
        <w:rPr>
          <w:rFonts w:ascii="Arial" w:hAnsi="Arial" w:cs="Arial"/>
          <w:sz w:val="22"/>
          <w:szCs w:val="22"/>
        </w:rPr>
        <w:t xml:space="preserve"> criterios de relación co</w:t>
      </w:r>
      <w:r w:rsidR="00D15727" w:rsidRPr="00EB2ED0">
        <w:rPr>
          <w:rFonts w:ascii="Arial" w:hAnsi="Arial" w:cs="Arial"/>
          <w:sz w:val="22"/>
          <w:szCs w:val="22"/>
        </w:rPr>
        <w:t>s</w:t>
      </w:r>
      <w:r w:rsidR="00B24007" w:rsidRPr="00EB2ED0">
        <w:rPr>
          <w:rFonts w:ascii="Arial" w:hAnsi="Arial" w:cs="Arial"/>
          <w:sz w:val="22"/>
          <w:szCs w:val="22"/>
        </w:rPr>
        <w:t>to – beneficio</w:t>
      </w:r>
      <w:r w:rsidR="00023A0B" w:rsidRPr="00EB2ED0">
        <w:rPr>
          <w:rFonts w:ascii="Arial" w:hAnsi="Arial" w:cs="Arial"/>
          <w:sz w:val="22"/>
          <w:szCs w:val="22"/>
        </w:rPr>
        <w:t xml:space="preserve"> o de que el único criterio de evaluación sea el menor precio, </w:t>
      </w:r>
      <w:r w:rsidR="008B36BE" w:rsidRPr="00EB2ED0">
        <w:rPr>
          <w:rFonts w:ascii="Arial" w:hAnsi="Arial" w:cs="Arial"/>
          <w:sz w:val="22"/>
          <w:szCs w:val="22"/>
        </w:rPr>
        <w:t xml:space="preserve">deben aplicarse los factores de desempate </w:t>
      </w:r>
      <w:r w:rsidR="00F22E8B" w:rsidRPr="00EB2ED0">
        <w:rPr>
          <w:rFonts w:ascii="Arial" w:hAnsi="Arial" w:cs="Arial"/>
          <w:sz w:val="22"/>
          <w:szCs w:val="22"/>
        </w:rPr>
        <w:t>d</w:t>
      </w:r>
      <w:r w:rsidR="00032C89" w:rsidRPr="00EB2ED0">
        <w:rPr>
          <w:rFonts w:ascii="Arial" w:hAnsi="Arial" w:cs="Arial"/>
          <w:sz w:val="22"/>
          <w:szCs w:val="22"/>
        </w:rPr>
        <w:t>el artículo 35 de la Ley 2069 de 2020</w:t>
      </w:r>
      <w:r w:rsidR="007969E1" w:rsidRPr="00EB2ED0">
        <w:rPr>
          <w:rFonts w:ascii="Arial" w:hAnsi="Arial" w:cs="Arial"/>
          <w:sz w:val="22"/>
          <w:szCs w:val="22"/>
        </w:rPr>
        <w:t xml:space="preserve"> </w:t>
      </w:r>
      <w:r w:rsidR="00071CFC" w:rsidRPr="00EB2ED0">
        <w:rPr>
          <w:rFonts w:ascii="Arial" w:hAnsi="Arial" w:cs="Arial"/>
          <w:sz w:val="22"/>
          <w:szCs w:val="22"/>
        </w:rPr>
        <w:t>en los procesos de contratación realizados con cargo a recursos públicos, los procesos de contratación realizados por las entidades estatales indistintamente de su régimen de contratación, así como los celebrados por los procesos de contratación de los patrimonios autónomos constituidos por entidades estatales</w:t>
      </w:r>
      <w:r w:rsidR="00032C89" w:rsidRPr="00EB2ED0">
        <w:rPr>
          <w:rFonts w:ascii="Arial" w:hAnsi="Arial" w:cs="Arial"/>
          <w:sz w:val="22"/>
          <w:szCs w:val="22"/>
        </w:rPr>
        <w:t>.</w:t>
      </w:r>
    </w:p>
    <w:bookmarkEnd w:id="22"/>
    <w:p w14:paraId="005DA4CA" w14:textId="530D5A00" w:rsidR="000F6420" w:rsidRPr="00EB2ED0" w:rsidRDefault="00032C89" w:rsidP="00EB2ED0">
      <w:pPr>
        <w:tabs>
          <w:tab w:val="left" w:pos="0"/>
        </w:tabs>
        <w:spacing w:line="276" w:lineRule="auto"/>
        <w:jc w:val="both"/>
        <w:rPr>
          <w:rFonts w:ascii="Arial" w:eastAsia="Calibri" w:hAnsi="Arial" w:cs="Arial"/>
          <w:bCs/>
          <w:sz w:val="22"/>
          <w:lang w:val="es-ES_tradnl"/>
        </w:rPr>
      </w:pPr>
      <w:r w:rsidRPr="00EB2ED0">
        <w:rPr>
          <w:rFonts w:ascii="Arial" w:eastAsia="Calibri" w:hAnsi="Arial" w:cs="Arial"/>
          <w:bCs/>
          <w:sz w:val="22"/>
          <w:szCs w:val="22"/>
          <w:lang w:val="es-ES_tradnl"/>
        </w:rPr>
        <w:tab/>
      </w:r>
      <w:r w:rsidR="00D827B5" w:rsidRPr="00EB2ED0">
        <w:rPr>
          <w:rFonts w:ascii="Arial" w:eastAsia="Calibri" w:hAnsi="Arial" w:cs="Arial"/>
          <w:bCs/>
          <w:sz w:val="22"/>
          <w:szCs w:val="22"/>
          <w:lang w:val="es-ES_tradnl"/>
        </w:rPr>
        <w:t>Esta interpretación garantiza que el artículo 35 de la Ley 2069 de 2020</w:t>
      </w:r>
      <w:r w:rsidR="008453BA" w:rsidRPr="00EB2ED0">
        <w:rPr>
          <w:rFonts w:ascii="Arial" w:eastAsia="Calibri" w:hAnsi="Arial" w:cs="Arial"/>
          <w:bCs/>
          <w:sz w:val="22"/>
          <w:szCs w:val="22"/>
          <w:lang w:val="es-ES_tradnl"/>
        </w:rPr>
        <w:t xml:space="preserve"> cumpla la finalidad transversal con la que fue concebido,</w:t>
      </w:r>
      <w:r w:rsidR="006129AF" w:rsidRPr="00EB2ED0">
        <w:rPr>
          <w:rFonts w:ascii="Arial" w:eastAsia="Calibri" w:hAnsi="Arial" w:cs="Arial"/>
          <w:bCs/>
          <w:sz w:val="22"/>
          <w:szCs w:val="22"/>
          <w:lang w:val="es-ES_tradnl"/>
        </w:rPr>
        <w:t xml:space="preserve"> </w:t>
      </w:r>
      <w:r w:rsidR="005B6C2A" w:rsidRPr="00EB2ED0">
        <w:rPr>
          <w:rFonts w:ascii="Arial" w:eastAsia="Calibri" w:hAnsi="Arial" w:cs="Arial"/>
          <w:bCs/>
          <w:sz w:val="22"/>
          <w:szCs w:val="22"/>
          <w:lang w:val="es-ES_tradnl"/>
        </w:rPr>
        <w:t xml:space="preserve">a diferencia de </w:t>
      </w:r>
      <w:r w:rsidR="006129AF" w:rsidRPr="00EB2ED0">
        <w:rPr>
          <w:rFonts w:ascii="Arial" w:eastAsia="Calibri" w:hAnsi="Arial" w:cs="Arial"/>
          <w:bCs/>
          <w:sz w:val="22"/>
          <w:szCs w:val="22"/>
          <w:lang w:val="es-ES_tradnl"/>
        </w:rPr>
        <w:t>la interpretación literal del mismo, que priva a la nor</w:t>
      </w:r>
      <w:r w:rsidR="005945A4" w:rsidRPr="00EB2ED0">
        <w:rPr>
          <w:rFonts w:ascii="Arial" w:eastAsia="Calibri" w:hAnsi="Arial" w:cs="Arial"/>
          <w:bCs/>
          <w:sz w:val="22"/>
          <w:szCs w:val="22"/>
          <w:lang w:val="es-ES_tradnl"/>
        </w:rPr>
        <w:t xml:space="preserve">ma de una gran parte de su ámbito aplicación. En ese sentido, la interpretación sistemática </w:t>
      </w:r>
      <w:r w:rsidR="00071CFC" w:rsidRPr="00EB2ED0">
        <w:rPr>
          <w:rFonts w:ascii="Arial" w:eastAsia="Calibri" w:hAnsi="Arial" w:cs="Arial"/>
          <w:bCs/>
          <w:sz w:val="22"/>
          <w:szCs w:val="22"/>
          <w:lang w:val="es-ES_tradnl"/>
        </w:rPr>
        <w:t>está</w:t>
      </w:r>
      <w:r w:rsidR="00641B12" w:rsidRPr="00EB2ED0">
        <w:rPr>
          <w:rFonts w:ascii="Arial" w:eastAsia="Calibri" w:hAnsi="Arial" w:cs="Arial"/>
          <w:bCs/>
          <w:sz w:val="22"/>
          <w:szCs w:val="22"/>
          <w:lang w:val="es-ES_tradnl"/>
        </w:rPr>
        <w:t xml:space="preserve"> respalda</w:t>
      </w:r>
      <w:r w:rsidR="00C32A60" w:rsidRPr="00EB2ED0">
        <w:rPr>
          <w:rFonts w:ascii="Arial" w:eastAsia="Calibri" w:hAnsi="Arial" w:cs="Arial"/>
          <w:bCs/>
          <w:sz w:val="22"/>
          <w:szCs w:val="22"/>
          <w:lang w:val="es-ES_tradnl"/>
        </w:rPr>
        <w:t>da</w:t>
      </w:r>
      <w:r w:rsidR="00641B12" w:rsidRPr="00EB2ED0">
        <w:rPr>
          <w:rFonts w:ascii="Arial" w:eastAsia="Calibri" w:hAnsi="Arial" w:cs="Arial"/>
          <w:bCs/>
          <w:sz w:val="22"/>
          <w:szCs w:val="22"/>
          <w:lang w:val="es-ES_tradnl"/>
        </w:rPr>
        <w:t xml:space="preserve"> por </w:t>
      </w:r>
      <w:r w:rsidR="000F6787" w:rsidRPr="00EB2ED0">
        <w:rPr>
          <w:rFonts w:ascii="Arial" w:eastAsia="Calibri" w:hAnsi="Arial" w:cs="Arial"/>
          <w:bCs/>
          <w:sz w:val="22"/>
          <w:szCs w:val="22"/>
          <w:lang w:val="es-ES_tradnl"/>
        </w:rPr>
        <w:t xml:space="preserve">la aplicación del </w:t>
      </w:r>
      <w:r w:rsidR="00641B12" w:rsidRPr="00EB2ED0">
        <w:rPr>
          <w:rFonts w:ascii="Arial" w:eastAsia="Calibri" w:hAnsi="Arial" w:cs="Arial"/>
          <w:bCs/>
          <w:sz w:val="22"/>
          <w:szCs w:val="22"/>
          <w:lang w:val="es-ES_tradnl"/>
        </w:rPr>
        <w:t xml:space="preserve">principio </w:t>
      </w:r>
      <w:r w:rsidR="00C32A60" w:rsidRPr="00EB2ED0">
        <w:rPr>
          <w:rFonts w:ascii="Arial" w:eastAsia="Calibri" w:hAnsi="Arial" w:cs="Arial"/>
          <w:bCs/>
          <w:sz w:val="22"/>
          <w:szCs w:val="22"/>
          <w:lang w:val="es-ES_tradnl"/>
        </w:rPr>
        <w:t xml:space="preserve">hermenéutico </w:t>
      </w:r>
      <w:r w:rsidR="00641B12" w:rsidRPr="00EB2ED0">
        <w:rPr>
          <w:rFonts w:ascii="Arial" w:eastAsia="Calibri" w:hAnsi="Arial" w:cs="Arial"/>
          <w:bCs/>
          <w:sz w:val="22"/>
          <w:szCs w:val="22"/>
          <w:lang w:val="es-ES_tradnl"/>
        </w:rPr>
        <w:t>del</w:t>
      </w:r>
      <w:r w:rsidR="009E6BA8" w:rsidRPr="00EB2ED0">
        <w:rPr>
          <w:rFonts w:ascii="Arial" w:eastAsia="Calibri" w:hAnsi="Arial" w:cs="Arial"/>
          <w:bCs/>
          <w:i/>
          <w:iCs/>
          <w:sz w:val="22"/>
          <w:szCs w:val="22"/>
          <w:lang w:val="es-ES_tradnl"/>
        </w:rPr>
        <w:t xml:space="preserve"> efecto útil de las normas</w:t>
      </w:r>
      <w:r w:rsidR="009E6BA8" w:rsidRPr="00EB2ED0">
        <w:rPr>
          <w:rStyle w:val="Refdenotaalpie"/>
          <w:rFonts w:ascii="Arial" w:eastAsiaTheme="minorHAnsi" w:hAnsi="Arial" w:cs="Arial"/>
          <w:sz w:val="22"/>
          <w:szCs w:val="22"/>
          <w:lang w:eastAsia="en-US"/>
        </w:rPr>
        <w:footnoteReference w:id="31"/>
      </w:r>
      <w:r w:rsidR="009E6BA8" w:rsidRPr="00EB2ED0">
        <w:rPr>
          <w:rFonts w:ascii="Arial" w:eastAsiaTheme="minorHAnsi" w:hAnsi="Arial" w:cs="Arial"/>
          <w:sz w:val="22"/>
          <w:szCs w:val="22"/>
          <w:lang w:eastAsia="en-US"/>
        </w:rPr>
        <w:t>.</w:t>
      </w:r>
      <w:r w:rsidR="001419D7" w:rsidRPr="00EB2ED0">
        <w:rPr>
          <w:rFonts w:ascii="Arial" w:eastAsia="Calibri" w:hAnsi="Arial" w:cs="Arial"/>
          <w:b/>
          <w:sz w:val="22"/>
          <w:lang w:val="es-ES_tradnl"/>
        </w:rPr>
        <w:t xml:space="preserve"> </w:t>
      </w:r>
      <w:r w:rsidR="00BA5D36" w:rsidRPr="00EB2ED0">
        <w:rPr>
          <w:rFonts w:ascii="Arial" w:eastAsia="Calibri" w:hAnsi="Arial" w:cs="Arial"/>
          <w:bCs/>
          <w:sz w:val="22"/>
          <w:lang w:val="es-ES_tradnl"/>
        </w:rPr>
        <w:t>Por tanto</w:t>
      </w:r>
      <w:r w:rsidR="009E788D" w:rsidRPr="00EB2ED0">
        <w:rPr>
          <w:rFonts w:ascii="Arial" w:eastAsia="Calibri" w:hAnsi="Arial" w:cs="Arial"/>
          <w:bCs/>
          <w:sz w:val="22"/>
          <w:lang w:val="es-ES_tradnl"/>
        </w:rPr>
        <w:t>,</w:t>
      </w:r>
      <w:r w:rsidR="00B80F98" w:rsidRPr="00EB2ED0">
        <w:rPr>
          <w:rFonts w:ascii="Arial" w:eastAsia="Calibri" w:hAnsi="Arial" w:cs="Arial"/>
          <w:bCs/>
          <w:sz w:val="22"/>
          <w:lang w:val="es-ES_tradnl"/>
        </w:rPr>
        <w:t xml:space="preserve"> </w:t>
      </w:r>
      <w:r w:rsidR="005B6C2A" w:rsidRPr="00EB2ED0">
        <w:rPr>
          <w:rFonts w:ascii="Arial" w:eastAsia="Calibri" w:hAnsi="Arial" w:cs="Arial"/>
          <w:bCs/>
          <w:sz w:val="22"/>
          <w:lang w:val="es-ES_tradnl"/>
        </w:rPr>
        <w:t>los fac</w:t>
      </w:r>
      <w:r w:rsidR="00037510" w:rsidRPr="00EB2ED0">
        <w:rPr>
          <w:rFonts w:ascii="Arial" w:eastAsia="Calibri" w:hAnsi="Arial" w:cs="Arial"/>
          <w:bCs/>
          <w:sz w:val="22"/>
          <w:lang w:val="es-ES_tradnl"/>
        </w:rPr>
        <w:t xml:space="preserve">tores de desempate </w:t>
      </w:r>
      <w:r w:rsidR="001419D7" w:rsidRPr="00EB2ED0">
        <w:rPr>
          <w:rFonts w:ascii="Arial" w:eastAsia="Calibri" w:hAnsi="Arial" w:cs="Arial"/>
          <w:bCs/>
          <w:sz w:val="22"/>
          <w:lang w:val="es-ES_tradnl"/>
        </w:rPr>
        <w:t xml:space="preserve">de la Ley de </w:t>
      </w:r>
      <w:r w:rsidR="001419D7" w:rsidRPr="00EB2ED0">
        <w:rPr>
          <w:rFonts w:ascii="Arial" w:eastAsia="Calibri" w:hAnsi="Arial" w:cs="Arial"/>
          <w:bCs/>
          <w:sz w:val="22"/>
          <w:lang w:val="es-ES_tradnl"/>
        </w:rPr>
        <w:lastRenderedPageBreak/>
        <w:t>Emprendimiento aplican</w:t>
      </w:r>
      <w:r w:rsidR="00037510" w:rsidRPr="00EB2ED0">
        <w:rPr>
          <w:rFonts w:ascii="Arial" w:eastAsia="Calibri" w:hAnsi="Arial" w:cs="Arial"/>
          <w:bCs/>
          <w:sz w:val="22"/>
          <w:lang w:val="es-ES_tradnl"/>
        </w:rPr>
        <w:t xml:space="preserve"> </w:t>
      </w:r>
      <w:r w:rsidR="00BD3EC3" w:rsidRPr="00EB2ED0">
        <w:rPr>
          <w:rFonts w:ascii="Arial" w:eastAsia="Calibri" w:hAnsi="Arial" w:cs="Arial"/>
          <w:bCs/>
          <w:sz w:val="22"/>
          <w:lang w:val="es-ES_tradnl"/>
        </w:rPr>
        <w:t>a todos los procesos de selección de las entidades estatales</w:t>
      </w:r>
      <w:r w:rsidR="00147FCE" w:rsidRPr="00EB2ED0">
        <w:rPr>
          <w:rFonts w:ascii="Arial" w:eastAsia="Calibri" w:hAnsi="Arial" w:cs="Arial"/>
          <w:bCs/>
          <w:sz w:val="22"/>
          <w:lang w:val="es-ES_tradnl"/>
        </w:rPr>
        <w:t xml:space="preserve"> </w:t>
      </w:r>
      <w:r w:rsidR="00B76E53" w:rsidRPr="00EB2ED0">
        <w:rPr>
          <w:rFonts w:ascii="Arial" w:eastAsia="Calibri" w:hAnsi="Arial" w:cs="Arial"/>
          <w:bCs/>
          <w:sz w:val="22"/>
          <w:lang w:val="es-ES_tradnl"/>
        </w:rPr>
        <w:t xml:space="preserve">sin importar su régimen </w:t>
      </w:r>
      <w:r w:rsidR="00FA4408" w:rsidRPr="00EB2ED0">
        <w:rPr>
          <w:rFonts w:ascii="Arial" w:eastAsia="Calibri" w:hAnsi="Arial" w:cs="Arial"/>
          <w:bCs/>
          <w:sz w:val="22"/>
          <w:lang w:val="es-ES_tradnl"/>
        </w:rPr>
        <w:t>contractual</w:t>
      </w:r>
      <w:r w:rsidR="00BD3EC3" w:rsidRPr="00EB2ED0">
        <w:rPr>
          <w:rFonts w:ascii="Arial" w:eastAsia="Calibri" w:hAnsi="Arial" w:cs="Arial"/>
          <w:bCs/>
          <w:sz w:val="22"/>
          <w:lang w:val="es-ES_tradnl"/>
        </w:rPr>
        <w:t xml:space="preserve">, en los que </w:t>
      </w:r>
      <w:r w:rsidR="00B77271" w:rsidRPr="00EB2ED0">
        <w:rPr>
          <w:rFonts w:ascii="Arial" w:eastAsia="Calibri" w:hAnsi="Arial" w:cs="Arial"/>
          <w:bCs/>
          <w:sz w:val="22"/>
          <w:lang w:val="es-ES_tradnl"/>
        </w:rPr>
        <w:t xml:space="preserve">se </w:t>
      </w:r>
      <w:r w:rsidR="00BD3EC3" w:rsidRPr="00EB2ED0">
        <w:rPr>
          <w:rFonts w:ascii="Arial" w:eastAsia="Calibri" w:hAnsi="Arial" w:cs="Arial"/>
          <w:bCs/>
          <w:sz w:val="22"/>
          <w:lang w:val="es-ES_tradnl"/>
        </w:rPr>
        <w:t>present</w:t>
      </w:r>
      <w:r w:rsidR="00B77271" w:rsidRPr="00EB2ED0">
        <w:rPr>
          <w:rFonts w:ascii="Arial" w:eastAsia="Calibri" w:hAnsi="Arial" w:cs="Arial"/>
          <w:bCs/>
          <w:sz w:val="22"/>
          <w:lang w:val="es-ES_tradnl"/>
        </w:rPr>
        <w:t>e</w:t>
      </w:r>
      <w:r w:rsidR="00BD3EC3" w:rsidRPr="00EB2ED0">
        <w:rPr>
          <w:rFonts w:ascii="Arial" w:eastAsia="Calibri" w:hAnsi="Arial" w:cs="Arial"/>
          <w:bCs/>
          <w:sz w:val="22"/>
          <w:lang w:val="es-ES_tradnl"/>
        </w:rPr>
        <w:t xml:space="preserve"> </w:t>
      </w:r>
      <w:r w:rsidR="00151CD6" w:rsidRPr="00EB2ED0">
        <w:rPr>
          <w:rFonts w:ascii="Arial" w:eastAsia="Calibri" w:hAnsi="Arial" w:cs="Arial"/>
          <w:bCs/>
          <w:sz w:val="22"/>
          <w:lang w:val="es-ES_tradnl"/>
        </w:rPr>
        <w:t>esta situación</w:t>
      </w:r>
      <w:r w:rsidR="00BD3EC3" w:rsidRPr="00EB2ED0">
        <w:rPr>
          <w:rFonts w:ascii="Arial" w:eastAsia="Calibri" w:hAnsi="Arial" w:cs="Arial"/>
          <w:bCs/>
          <w:sz w:val="22"/>
          <w:lang w:val="es-ES_tradnl"/>
        </w:rPr>
        <w:t xml:space="preserve"> </w:t>
      </w:r>
      <w:r w:rsidR="00147FCE" w:rsidRPr="00EB2ED0">
        <w:rPr>
          <w:rFonts w:ascii="Arial" w:eastAsia="Calibri" w:hAnsi="Arial" w:cs="Arial"/>
          <w:bCs/>
          <w:sz w:val="22"/>
          <w:lang w:val="es-ES_tradnl"/>
        </w:rPr>
        <w:t>entre varias ofertas</w:t>
      </w:r>
      <w:r w:rsidR="009D3D06" w:rsidRPr="00EB2ED0">
        <w:rPr>
          <w:rFonts w:ascii="Arial" w:eastAsia="Calibri" w:hAnsi="Arial" w:cs="Arial"/>
          <w:bCs/>
          <w:sz w:val="22"/>
          <w:lang w:val="es-ES_tradnl"/>
        </w:rPr>
        <w:t xml:space="preserve">, una vez comparadas las mismas ponderando los factores de evaluación </w:t>
      </w:r>
      <w:r w:rsidR="00B076C1" w:rsidRPr="00EB2ED0">
        <w:rPr>
          <w:rFonts w:ascii="Arial" w:eastAsia="Calibri" w:hAnsi="Arial" w:cs="Arial"/>
          <w:bCs/>
          <w:sz w:val="22"/>
          <w:lang w:val="es-ES_tradnl"/>
        </w:rPr>
        <w:t xml:space="preserve">de acuerdo con </w:t>
      </w:r>
      <w:r w:rsidR="009D3D06" w:rsidRPr="00EB2ED0">
        <w:rPr>
          <w:rFonts w:ascii="Arial" w:eastAsia="Calibri" w:hAnsi="Arial" w:cs="Arial"/>
          <w:bCs/>
          <w:sz w:val="22"/>
          <w:lang w:val="es-ES_tradnl"/>
        </w:rPr>
        <w:t>las reglas establecidas en el pliego de condiciones</w:t>
      </w:r>
      <w:r w:rsidR="00151CD6" w:rsidRPr="00EB2ED0">
        <w:rPr>
          <w:rFonts w:ascii="Arial" w:eastAsia="Calibri" w:hAnsi="Arial" w:cs="Arial"/>
          <w:bCs/>
          <w:sz w:val="22"/>
          <w:lang w:val="es-ES_tradnl"/>
        </w:rPr>
        <w:t xml:space="preserve"> o documento equivalente</w:t>
      </w:r>
      <w:r w:rsidR="002530E2" w:rsidRPr="00EB2ED0">
        <w:rPr>
          <w:rFonts w:ascii="Arial" w:eastAsia="Calibri" w:hAnsi="Arial" w:cs="Arial"/>
          <w:bCs/>
          <w:sz w:val="22"/>
          <w:lang w:val="es-ES_tradnl"/>
        </w:rPr>
        <w:t>.</w:t>
      </w:r>
      <w:r w:rsidR="00F82421" w:rsidRPr="00EB2ED0">
        <w:rPr>
          <w:rFonts w:ascii="Arial" w:eastAsia="Calibri" w:hAnsi="Arial" w:cs="Arial"/>
          <w:bCs/>
          <w:sz w:val="22"/>
          <w:lang w:val="es-ES_tradnl"/>
        </w:rPr>
        <w:t xml:space="preserve"> Bajo este criterio</w:t>
      </w:r>
      <w:r w:rsidR="00151CD6" w:rsidRPr="00EB2ED0">
        <w:rPr>
          <w:rFonts w:ascii="Arial" w:eastAsia="Calibri" w:hAnsi="Arial" w:cs="Arial"/>
          <w:bCs/>
          <w:sz w:val="22"/>
          <w:lang w:val="es-ES_tradnl"/>
        </w:rPr>
        <w:t>, l</w:t>
      </w:r>
      <w:r w:rsidR="001419D7" w:rsidRPr="00EB2ED0">
        <w:rPr>
          <w:rFonts w:ascii="Arial" w:eastAsia="Calibri" w:hAnsi="Arial" w:cs="Arial"/>
          <w:bCs/>
          <w:sz w:val="22"/>
          <w:lang w:val="es-ES_tradnl"/>
        </w:rPr>
        <w:t>a norma</w:t>
      </w:r>
      <w:r w:rsidR="00FA4408" w:rsidRPr="00EB2ED0">
        <w:rPr>
          <w:rFonts w:ascii="Arial" w:eastAsia="Calibri" w:hAnsi="Arial" w:cs="Arial"/>
          <w:bCs/>
          <w:sz w:val="22"/>
          <w:lang w:val="es-ES_tradnl"/>
        </w:rPr>
        <w:t xml:space="preserve"> citada se extiende al procedimiento de mínima cuantía</w:t>
      </w:r>
      <w:r w:rsidR="00CD7B8B" w:rsidRPr="00EB2ED0">
        <w:rPr>
          <w:rFonts w:ascii="Arial" w:eastAsia="Calibri" w:hAnsi="Arial" w:cs="Arial"/>
          <w:bCs/>
          <w:sz w:val="22"/>
          <w:lang w:val="es-ES_tradnl"/>
        </w:rPr>
        <w:t>,</w:t>
      </w:r>
      <w:r w:rsidR="00FA4408" w:rsidRPr="00EB2ED0">
        <w:rPr>
          <w:rFonts w:ascii="Arial" w:eastAsia="Calibri" w:hAnsi="Arial" w:cs="Arial"/>
          <w:bCs/>
          <w:sz w:val="22"/>
          <w:lang w:val="es-ES_tradnl"/>
        </w:rPr>
        <w:t xml:space="preserve"> </w:t>
      </w:r>
      <w:r w:rsidR="00F82421" w:rsidRPr="00EB2ED0">
        <w:rPr>
          <w:rFonts w:ascii="Arial" w:eastAsia="Calibri" w:hAnsi="Arial" w:cs="Arial"/>
          <w:bCs/>
          <w:sz w:val="22"/>
          <w:lang w:val="es-ES_tradnl"/>
        </w:rPr>
        <w:t>por lo que el</w:t>
      </w:r>
      <w:r w:rsidR="00CD7B8B" w:rsidRPr="00EB2ED0">
        <w:rPr>
          <w:rFonts w:ascii="Arial" w:eastAsia="Calibri" w:hAnsi="Arial" w:cs="Arial"/>
          <w:bCs/>
          <w:sz w:val="22"/>
          <w:lang w:val="es-ES_tradnl"/>
        </w:rPr>
        <w:t xml:space="preserve"> numeral 7 del artículo 2.2.1.2.1.5.2 del Decreto 1082 de 2015 ha perdido vigencia.</w:t>
      </w:r>
      <w:r w:rsidR="00F82421" w:rsidRPr="00EB2ED0">
        <w:rPr>
          <w:rFonts w:ascii="Arial" w:eastAsia="Calibri" w:hAnsi="Arial" w:cs="Arial"/>
          <w:bCs/>
          <w:sz w:val="22"/>
          <w:lang w:val="es-ES_tradnl"/>
        </w:rPr>
        <w:t xml:space="preserve"> </w:t>
      </w:r>
      <w:r w:rsidR="001419D7" w:rsidRPr="00EB2ED0">
        <w:rPr>
          <w:rFonts w:ascii="Arial" w:eastAsia="Calibri" w:hAnsi="Arial" w:cs="Arial"/>
          <w:bCs/>
          <w:sz w:val="22"/>
          <w:lang w:val="es-ES_tradnl"/>
        </w:rPr>
        <w:t xml:space="preserve"> </w:t>
      </w:r>
      <w:r w:rsidR="002530E2" w:rsidRPr="00EB2ED0">
        <w:rPr>
          <w:rFonts w:ascii="Arial" w:eastAsia="Calibri" w:hAnsi="Arial" w:cs="Arial"/>
          <w:bCs/>
          <w:sz w:val="22"/>
          <w:lang w:val="es-ES_tradnl"/>
        </w:rPr>
        <w:t xml:space="preserve"> </w:t>
      </w:r>
    </w:p>
    <w:p w14:paraId="0DAAC712" w14:textId="77777777" w:rsidR="000F6420" w:rsidRPr="00EB2ED0" w:rsidRDefault="000F6420" w:rsidP="00EB2ED0">
      <w:pPr>
        <w:tabs>
          <w:tab w:val="left" w:pos="0"/>
        </w:tabs>
        <w:jc w:val="both"/>
        <w:rPr>
          <w:rFonts w:ascii="Arial" w:eastAsia="Calibri" w:hAnsi="Arial" w:cs="Arial"/>
          <w:b/>
          <w:sz w:val="22"/>
          <w:lang w:val="es-ES_tradnl"/>
        </w:rPr>
      </w:pPr>
    </w:p>
    <w:p w14:paraId="37CA9805" w14:textId="122A5ECE" w:rsidR="00DD5B04" w:rsidRPr="00EB2ED0" w:rsidRDefault="004177A6" w:rsidP="00EB2ED0">
      <w:pPr>
        <w:tabs>
          <w:tab w:val="left" w:pos="0"/>
        </w:tabs>
        <w:jc w:val="both"/>
        <w:rPr>
          <w:rFonts w:ascii="Arial" w:eastAsia="Calibri" w:hAnsi="Arial" w:cs="Arial"/>
          <w:b/>
          <w:sz w:val="22"/>
          <w:lang w:val="es-ES_tradnl"/>
        </w:rPr>
      </w:pPr>
      <w:r w:rsidRPr="00EB2ED0">
        <w:rPr>
          <w:rFonts w:ascii="Arial" w:eastAsia="Calibri" w:hAnsi="Arial" w:cs="Arial"/>
          <w:b/>
          <w:sz w:val="22"/>
          <w:lang w:val="es-ES_tradnl"/>
        </w:rPr>
        <w:t>3</w:t>
      </w:r>
      <w:r w:rsidR="00B011A9" w:rsidRPr="00EB2ED0">
        <w:rPr>
          <w:rFonts w:ascii="Arial" w:eastAsia="Calibri" w:hAnsi="Arial" w:cs="Arial"/>
          <w:b/>
          <w:sz w:val="22"/>
          <w:lang w:val="es-ES_tradnl"/>
        </w:rPr>
        <w:t xml:space="preserve">. </w:t>
      </w:r>
      <w:r w:rsidR="00DD5B04" w:rsidRPr="00EB2ED0">
        <w:rPr>
          <w:rFonts w:ascii="Arial" w:eastAsia="Calibri" w:hAnsi="Arial" w:cs="Arial"/>
          <w:b/>
          <w:sz w:val="22"/>
          <w:lang w:val="es-ES_tradnl"/>
        </w:rPr>
        <w:t>Respuesta</w:t>
      </w:r>
      <w:r w:rsidR="002A7D84" w:rsidRPr="00EB2ED0">
        <w:rPr>
          <w:rFonts w:ascii="Arial" w:eastAsia="Calibri" w:hAnsi="Arial" w:cs="Arial"/>
          <w:b/>
          <w:sz w:val="22"/>
          <w:lang w:val="es-ES_tradnl"/>
        </w:rPr>
        <w:t>s</w:t>
      </w:r>
    </w:p>
    <w:p w14:paraId="12DCA9F3" w14:textId="77777777" w:rsidR="004B25D8" w:rsidRPr="00EB2ED0" w:rsidRDefault="004B25D8" w:rsidP="00EB2ED0">
      <w:pPr>
        <w:ind w:right="709"/>
        <w:jc w:val="both"/>
        <w:rPr>
          <w:rFonts w:ascii="Arial" w:hAnsi="Arial" w:cs="Arial"/>
          <w:sz w:val="21"/>
          <w:szCs w:val="21"/>
          <w:lang w:val="es-ES_tradnl"/>
        </w:rPr>
      </w:pPr>
    </w:p>
    <w:p w14:paraId="5521BD84" w14:textId="0D660F81" w:rsidR="00C32A60" w:rsidRPr="00EB2ED0" w:rsidRDefault="00C32A60" w:rsidP="00EB2ED0">
      <w:pPr>
        <w:autoSpaceDE w:val="0"/>
        <w:autoSpaceDN w:val="0"/>
        <w:adjustRightInd w:val="0"/>
        <w:spacing w:after="120"/>
        <w:ind w:left="709" w:right="709"/>
        <w:jc w:val="both"/>
        <w:rPr>
          <w:rFonts w:ascii="Arial" w:eastAsiaTheme="minorHAnsi" w:hAnsi="Arial" w:cs="Arial"/>
          <w:sz w:val="21"/>
          <w:szCs w:val="21"/>
          <w:lang w:eastAsia="en-US"/>
        </w:rPr>
      </w:pPr>
      <w:r w:rsidRPr="00EB2ED0">
        <w:rPr>
          <w:rFonts w:ascii="Arial" w:hAnsi="Arial" w:cs="Arial"/>
          <w:sz w:val="21"/>
          <w:szCs w:val="21"/>
          <w:lang w:val="es-ES_tradnl"/>
        </w:rPr>
        <w:t>«[…]</w:t>
      </w:r>
      <w:r w:rsidRPr="00EB2ED0">
        <w:rPr>
          <w:rFonts w:ascii="Arial" w:eastAsiaTheme="minorHAnsi" w:hAnsi="Arial" w:cs="Arial"/>
          <w:sz w:val="21"/>
          <w:szCs w:val="21"/>
          <w:lang w:eastAsia="en-US"/>
        </w:rPr>
        <w:t xml:space="preserve"> 1. Se debe entender que, según lo dispuesto los artículos 30 y 84 de la Ley 2069 de 2020, el artículo 2.2.1.2.1.5.2 del Decreto 1082 de 2015 quedó derogado, perdiendo fuerza ejecutoria el procedimiento de la mínima cuantía y por ende el criterio de desempate para esta modalidad, esto es, la oferta que haya sido presentada primero en el tiempo, dispuesto en el numeral 7 de esta norma? </w:t>
      </w:r>
    </w:p>
    <w:p w14:paraId="0A70524A" w14:textId="77777777" w:rsidR="00C32A60" w:rsidRPr="00EB2ED0" w:rsidRDefault="00C32A60" w:rsidP="00EB2ED0">
      <w:pPr>
        <w:autoSpaceDE w:val="0"/>
        <w:autoSpaceDN w:val="0"/>
        <w:adjustRightInd w:val="0"/>
        <w:ind w:left="709" w:right="709"/>
        <w:jc w:val="both"/>
        <w:rPr>
          <w:rFonts w:ascii="Arial" w:hAnsi="Arial" w:cs="Arial"/>
          <w:sz w:val="21"/>
          <w:szCs w:val="21"/>
          <w:lang w:val="es-ES_tradnl"/>
        </w:rPr>
      </w:pPr>
      <w:r w:rsidRPr="00EB2ED0">
        <w:rPr>
          <w:rFonts w:ascii="Arial" w:eastAsiaTheme="minorHAnsi" w:hAnsi="Arial" w:cs="Arial"/>
          <w:sz w:val="21"/>
          <w:szCs w:val="21"/>
          <w:lang w:eastAsia="en-US"/>
        </w:rPr>
        <w:t xml:space="preserve">2. Por otra parte, si el artículo 35 de la Ley 2069 de 2020, que define nuevos criterios de desempate, no requiere reglamentación y su aplicación tiene efectos inmediatos, cuál sería entonces el criterio de desempate a tener en cuenta en los procesos de selección de mínima cuantía, ante la falta de disposición expresa, toda vez que el artículo 30 de la Ley 2069 de 2020, conserva el mismo criterio de selección del artículo 2.2.1.2.1.5.2 del Decreto 1082 de 2015, es decir, la propuesta con el menor precio, siempre y cuando cumpla con las condiciones exigidas, sin embargo el referido artículo 35, al definir los criterios de desempate señala "En caso de empate en el </w:t>
      </w:r>
      <w:proofErr w:type="spellStart"/>
      <w:r w:rsidRPr="00EB2ED0">
        <w:rPr>
          <w:rFonts w:ascii="Arial" w:eastAsiaTheme="minorHAnsi" w:hAnsi="Arial" w:cs="Arial"/>
          <w:sz w:val="21"/>
          <w:szCs w:val="21"/>
          <w:lang w:eastAsia="en-US"/>
        </w:rPr>
        <w:t>puntaie</w:t>
      </w:r>
      <w:proofErr w:type="spellEnd"/>
      <w:r w:rsidRPr="00EB2ED0">
        <w:rPr>
          <w:rFonts w:ascii="Arial" w:eastAsiaTheme="minorHAnsi" w:hAnsi="Arial" w:cs="Arial"/>
          <w:sz w:val="21"/>
          <w:szCs w:val="21"/>
          <w:lang w:eastAsia="en-US"/>
        </w:rPr>
        <w:t xml:space="preserve"> total de dos o más ofertas en los Procesos de Contratación realizados con cargo a recursos públicos..", en clara referencia a procesos cuya selección se define por puntaje, lo cual no aplicaría a la mínima cuantía, dado que en ésta, como lo señala la norma, la selección se define por el menor precio y no por puntaje?» [sic].</w:t>
      </w:r>
    </w:p>
    <w:p w14:paraId="206FDB48" w14:textId="77777777" w:rsidR="00E67714" w:rsidRPr="00EB2ED0" w:rsidRDefault="00E67714" w:rsidP="00EB2ED0">
      <w:pPr>
        <w:spacing w:line="276" w:lineRule="auto"/>
        <w:ind w:left="709" w:right="709"/>
        <w:jc w:val="both"/>
        <w:rPr>
          <w:rFonts w:ascii="Arial" w:hAnsi="Arial" w:cs="Arial"/>
          <w:sz w:val="22"/>
          <w:szCs w:val="22"/>
          <w:lang w:val="es-ES_tradnl"/>
        </w:rPr>
      </w:pPr>
    </w:p>
    <w:p w14:paraId="2B2EE186" w14:textId="5CBA4257" w:rsidR="005D3E5C" w:rsidRPr="00EB2ED0" w:rsidRDefault="001C3828" w:rsidP="00EB2ED0">
      <w:pPr>
        <w:tabs>
          <w:tab w:val="left" w:pos="709"/>
        </w:tabs>
        <w:spacing w:after="120" w:line="276" w:lineRule="auto"/>
        <w:jc w:val="both"/>
        <w:rPr>
          <w:rFonts w:ascii="Arial" w:eastAsia="Calibri" w:hAnsi="Arial" w:cs="Arial"/>
          <w:color w:val="000000" w:themeColor="text1"/>
          <w:sz w:val="22"/>
          <w:szCs w:val="22"/>
          <w:lang w:val="es-ES_tradnl"/>
        </w:rPr>
      </w:pPr>
      <w:r w:rsidRPr="00EB2ED0">
        <w:rPr>
          <w:rFonts w:ascii="Arial" w:eastAsia="Calibri" w:hAnsi="Arial" w:cs="Arial"/>
          <w:color w:val="000000" w:themeColor="text1"/>
          <w:sz w:val="22"/>
          <w:szCs w:val="22"/>
          <w:lang w:val="es-ES_tradnl"/>
        </w:rPr>
        <w:t>Conforme a lo explicado en la parte considerativa, continúa vigente el artículo 2.2.1.2.1.5.2 del Decreto Único Reglamentario del Sector Administrativo de Planeación Nacional</w:t>
      </w:r>
      <w:r w:rsidR="00AE6447" w:rsidRPr="00EB2ED0">
        <w:rPr>
          <w:rFonts w:ascii="Arial" w:eastAsia="Calibri" w:hAnsi="Arial" w:cs="Arial"/>
          <w:color w:val="000000" w:themeColor="text1"/>
          <w:sz w:val="22"/>
          <w:szCs w:val="22"/>
          <w:lang w:val="es-ES_tradnl"/>
        </w:rPr>
        <w:t xml:space="preserve">. </w:t>
      </w:r>
      <w:bookmarkStart w:id="23" w:name="_Hlk69487468"/>
      <w:r w:rsidR="00AE6447" w:rsidRPr="00EB2ED0">
        <w:rPr>
          <w:rFonts w:ascii="Arial" w:eastAsia="Calibri" w:hAnsi="Arial" w:cs="Arial"/>
          <w:color w:val="000000" w:themeColor="text1"/>
          <w:sz w:val="22"/>
          <w:szCs w:val="22"/>
          <w:lang w:val="es-ES_tradnl"/>
        </w:rPr>
        <w:t xml:space="preserve">Aunque el artículo 30 de la Ley de Emprendimiento subroga el contenido del numeral 5 del artículo 2 de la Ley 1150 de 2007, ambas disposiciones son de aplicación directa. Adicionalmente, pese a que la Ley de Emprendimiento permite las convocatorias limitadas a la </w:t>
      </w:r>
      <w:proofErr w:type="spellStart"/>
      <w:r w:rsidR="00AE6447" w:rsidRPr="00EB2ED0">
        <w:rPr>
          <w:rFonts w:ascii="Arial" w:eastAsia="Calibri" w:hAnsi="Arial" w:cs="Arial"/>
          <w:color w:val="000000" w:themeColor="text1"/>
          <w:sz w:val="22"/>
          <w:szCs w:val="22"/>
          <w:lang w:val="es-ES_tradnl"/>
        </w:rPr>
        <w:t>mypimes</w:t>
      </w:r>
      <w:proofErr w:type="spellEnd"/>
      <w:r w:rsidR="00AE6447" w:rsidRPr="00EB2ED0">
        <w:rPr>
          <w:rFonts w:ascii="Arial" w:eastAsia="Calibri" w:hAnsi="Arial" w:cs="Arial"/>
          <w:color w:val="000000" w:themeColor="text1"/>
          <w:sz w:val="22"/>
          <w:szCs w:val="22"/>
          <w:lang w:val="es-ES_tradnl"/>
        </w:rPr>
        <w:t xml:space="preserve"> en la mínima cuantía, el desarrollo reglamentario de este tema hace parte del artículo 34 </w:t>
      </w:r>
      <w:r w:rsidR="00AE6447" w:rsidRPr="00EB2ED0">
        <w:rPr>
          <w:rFonts w:ascii="Arial" w:eastAsia="Calibri" w:hAnsi="Arial" w:cs="Arial"/>
          <w:i/>
          <w:iCs/>
          <w:color w:val="000000" w:themeColor="text1"/>
          <w:sz w:val="22"/>
          <w:szCs w:val="22"/>
          <w:lang w:val="es-ES_tradnl"/>
        </w:rPr>
        <w:t>ibídem</w:t>
      </w:r>
      <w:r w:rsidR="00AE6447" w:rsidRPr="00EB2ED0">
        <w:rPr>
          <w:rFonts w:ascii="Arial" w:eastAsia="Calibri" w:hAnsi="Arial" w:cs="Arial"/>
          <w:color w:val="000000" w:themeColor="text1"/>
          <w:sz w:val="22"/>
          <w:szCs w:val="22"/>
          <w:lang w:val="es-ES_tradnl"/>
        </w:rPr>
        <w:t xml:space="preserve">. En esta medida, pese a la sustitución formal del artículo 94 de la Ley 1474 de 2011, se observa que materialmente no existe una derogación de la mínima cuantía ni una modificación sustancial que incida en el procedimiento, por lo que no desaparece el fundamento jurídico de la norma reglamentaria que lo desarrolla. </w:t>
      </w:r>
    </w:p>
    <w:p w14:paraId="3C681E36" w14:textId="1C541585" w:rsidR="005D3E5C" w:rsidRPr="00EB2ED0" w:rsidRDefault="005D3E5C" w:rsidP="00EB2ED0">
      <w:pPr>
        <w:tabs>
          <w:tab w:val="left" w:pos="709"/>
        </w:tabs>
        <w:spacing w:line="276" w:lineRule="auto"/>
        <w:jc w:val="both"/>
        <w:rPr>
          <w:rFonts w:ascii="Arial" w:eastAsia="Calibri" w:hAnsi="Arial" w:cs="Arial"/>
          <w:color w:val="000000" w:themeColor="text1"/>
          <w:sz w:val="22"/>
          <w:szCs w:val="22"/>
          <w:lang w:val="es-ES_tradnl"/>
        </w:rPr>
      </w:pPr>
      <w:r w:rsidRPr="00EB2ED0">
        <w:rPr>
          <w:rFonts w:ascii="Arial" w:eastAsia="Calibri" w:hAnsi="Arial" w:cs="Arial"/>
          <w:color w:val="000000" w:themeColor="text1"/>
          <w:sz w:val="22"/>
          <w:szCs w:val="22"/>
          <w:lang w:val="es-ES_tradnl"/>
        </w:rPr>
        <w:lastRenderedPageBreak/>
        <w:tab/>
        <w:t xml:space="preserve">No obstante, es necesario introducir un matiz en la conclusión precedente, ya que el factor de desempate previsto en el numeral 7 del artículo 2.2.1.2.1.5.2 </w:t>
      </w:r>
      <w:r w:rsidR="00B36AFD" w:rsidRPr="00EB2ED0">
        <w:rPr>
          <w:rFonts w:ascii="Arial" w:eastAsia="Calibri" w:hAnsi="Arial" w:cs="Arial"/>
          <w:color w:val="000000" w:themeColor="text1"/>
          <w:sz w:val="22"/>
          <w:szCs w:val="22"/>
          <w:lang w:val="es-ES_tradnl"/>
        </w:rPr>
        <w:t>h</w:t>
      </w:r>
      <w:r w:rsidRPr="00EB2ED0">
        <w:rPr>
          <w:rFonts w:ascii="Arial" w:eastAsia="Calibri" w:hAnsi="Arial" w:cs="Arial"/>
          <w:color w:val="000000" w:themeColor="text1"/>
          <w:sz w:val="22"/>
          <w:szCs w:val="22"/>
          <w:lang w:val="es-ES_tradnl"/>
        </w:rPr>
        <w:t>an perdido vigencia con la expedición del artículo 35 de la Ley de Emprendimiento.</w:t>
      </w:r>
      <w:r w:rsidR="00B36AFD" w:rsidRPr="00EB2ED0">
        <w:rPr>
          <w:rFonts w:ascii="Arial" w:eastAsia="Calibri" w:hAnsi="Arial" w:cs="Arial"/>
          <w:color w:val="000000" w:themeColor="text1"/>
          <w:sz w:val="22"/>
          <w:szCs w:val="22"/>
          <w:lang w:val="es-ES_tradnl"/>
        </w:rPr>
        <w:t xml:space="preserve"> </w:t>
      </w:r>
      <w:r w:rsidRPr="00EB2ED0">
        <w:rPr>
          <w:rFonts w:ascii="Arial" w:eastAsia="Calibri" w:hAnsi="Arial" w:cs="Arial"/>
          <w:color w:val="000000" w:themeColor="text1"/>
          <w:sz w:val="22"/>
          <w:szCs w:val="22"/>
          <w:lang w:val="es-ES_tradnl"/>
        </w:rPr>
        <w:t>Al respecto</w:t>
      </w:r>
      <w:r w:rsidRPr="00EB2ED0">
        <w:rPr>
          <w:rFonts w:ascii="Arial" w:hAnsi="Arial" w:cs="Arial"/>
          <w:color w:val="000000" w:themeColor="text1"/>
          <w:sz w:val="22"/>
          <w:szCs w:val="22"/>
          <w:lang w:val="es-ES_tradnl"/>
        </w:rPr>
        <w:t>, el artículo 2.2.1.1.2.2.9. del Decreto 1082 de 2015 regulaba los factores de desempate que debían aplicarse en los procesos de selección. En criterio de esta Agencia, dicha norma debe entenderse derogada por el artículo 35 de la Ley 2069 de 2020. Ello no solo porque el artículo 84 de esta ley dispone que «rige a partir del momento de su promulgación», es decir, desde el 31 de diciembre de 2020, sino además porque la misma disposición señala que la Ley 2069 de 2020 deroga «[…] todas las disposiciones que le sean contrarias»</w:t>
      </w:r>
      <w:r w:rsidRPr="00EB2ED0">
        <w:rPr>
          <w:rFonts w:ascii="Arial" w:eastAsia="Calibri" w:hAnsi="Arial" w:cs="Arial"/>
          <w:bCs/>
          <w:color w:val="000000" w:themeColor="text1"/>
          <w:sz w:val="22"/>
          <w:szCs w:val="22"/>
          <w:lang w:val="es-ES_tradnl"/>
        </w:rPr>
        <w:t>.</w:t>
      </w:r>
    </w:p>
    <w:p w14:paraId="015BE4A6" w14:textId="77777777" w:rsidR="005D3E5C" w:rsidRPr="00EB2ED0" w:rsidRDefault="005D3E5C" w:rsidP="00EB2ED0">
      <w:pPr>
        <w:spacing w:before="120" w:line="276" w:lineRule="auto"/>
        <w:ind w:firstLine="709"/>
        <w:jc w:val="both"/>
        <w:rPr>
          <w:rFonts w:ascii="Arial" w:eastAsia="Calibri" w:hAnsi="Arial" w:cs="Arial"/>
          <w:bCs/>
          <w:color w:val="000000" w:themeColor="text1"/>
          <w:sz w:val="22"/>
          <w:szCs w:val="22"/>
          <w:lang w:val="es-ES_tradnl"/>
        </w:rPr>
      </w:pPr>
      <w:r w:rsidRPr="00EB2ED0">
        <w:rPr>
          <w:rFonts w:ascii="Arial" w:eastAsia="Calibri" w:hAnsi="Arial" w:cs="Arial"/>
          <w:bCs/>
          <w:color w:val="000000" w:themeColor="text1"/>
          <w:sz w:val="22"/>
          <w:szCs w:val="22"/>
          <w:lang w:val="es-ES_tradnl"/>
        </w:rPr>
        <w:t xml:space="preserve">Un argumento adicional para sostener esta tesis tiene que ver con el fenómeno de la pérdida de fuerza ejecutoria –o decaimiento– de los actos administrativos, regulado en el numeral 2 del artículo 91 de la Ley 1437 de 2011. Dado que el Decreto 1082 de 2015 es un reglamento </w:t>
      </w:r>
      <w:proofErr w:type="spellStart"/>
      <w:r w:rsidRPr="00EB2ED0">
        <w:rPr>
          <w:rFonts w:ascii="Arial" w:eastAsia="Calibri" w:hAnsi="Arial" w:cs="Arial"/>
          <w:bCs/>
          <w:i/>
          <w:iCs/>
          <w:color w:val="000000" w:themeColor="text1"/>
          <w:sz w:val="22"/>
          <w:szCs w:val="22"/>
          <w:lang w:val="es-ES_tradnl"/>
        </w:rPr>
        <w:t>secundum</w:t>
      </w:r>
      <w:proofErr w:type="spellEnd"/>
      <w:r w:rsidRPr="00EB2ED0">
        <w:rPr>
          <w:rFonts w:ascii="Arial" w:eastAsia="Calibri" w:hAnsi="Arial" w:cs="Arial"/>
          <w:bCs/>
          <w:i/>
          <w:iCs/>
          <w:color w:val="000000" w:themeColor="text1"/>
          <w:sz w:val="22"/>
          <w:szCs w:val="22"/>
          <w:lang w:val="es-ES_tradnl"/>
        </w:rPr>
        <w:t xml:space="preserve"> </w:t>
      </w:r>
      <w:proofErr w:type="spellStart"/>
      <w:r w:rsidRPr="00EB2ED0">
        <w:rPr>
          <w:rFonts w:ascii="Arial" w:eastAsia="Calibri" w:hAnsi="Arial" w:cs="Arial"/>
          <w:bCs/>
          <w:i/>
          <w:iCs/>
          <w:color w:val="000000" w:themeColor="text1"/>
          <w:sz w:val="22"/>
          <w:szCs w:val="22"/>
          <w:lang w:val="es-ES_tradnl"/>
        </w:rPr>
        <w:t>legem</w:t>
      </w:r>
      <w:proofErr w:type="spellEnd"/>
      <w:r w:rsidRPr="00EB2ED0">
        <w:rPr>
          <w:rFonts w:ascii="Arial" w:eastAsia="Calibri" w:hAnsi="Arial" w:cs="Arial"/>
          <w:bCs/>
          <w:color w:val="000000" w:themeColor="text1"/>
          <w:sz w:val="22"/>
          <w:szCs w:val="22"/>
          <w:lang w:val="es-ES_tradnl"/>
        </w:rPr>
        <w:t xml:space="preserve"> –es decir, que desarrolla una norma de mayor jerarquía–, la expedición de una ley en sentido formal –es decir, una fuente que condiciona el contenido de este último–, hace que la disposición reglamentaria decaiga.  </w:t>
      </w:r>
    </w:p>
    <w:p w14:paraId="3D5F5E6A" w14:textId="6976AB88" w:rsidR="005D3E5C" w:rsidRPr="00EB2ED0" w:rsidRDefault="005D3E5C" w:rsidP="00EB2ED0">
      <w:pPr>
        <w:spacing w:before="120" w:after="120" w:line="276" w:lineRule="auto"/>
        <w:ind w:firstLine="709"/>
        <w:jc w:val="both"/>
        <w:rPr>
          <w:rFonts w:ascii="Arial" w:hAnsi="Arial" w:cs="Arial"/>
          <w:color w:val="000000" w:themeColor="text1"/>
          <w:sz w:val="22"/>
          <w:szCs w:val="22"/>
          <w:lang w:val="es-ES_tradnl"/>
        </w:rPr>
      </w:pPr>
      <w:r w:rsidRPr="00EB2ED0">
        <w:rPr>
          <w:rFonts w:ascii="Arial" w:hAnsi="Arial" w:cs="Arial"/>
          <w:color w:val="000000" w:themeColor="text1"/>
          <w:sz w:val="22"/>
          <w:szCs w:val="22"/>
          <w:lang w:val="es-ES_tradnl"/>
        </w:rPr>
        <w:t xml:space="preserve">Lo explicado en los párrafos precedentes también aplica </w:t>
      </w:r>
      <w:r w:rsidRPr="00EB2ED0">
        <w:rPr>
          <w:rFonts w:ascii="Arial" w:hAnsi="Arial" w:cs="Arial"/>
          <w:i/>
          <w:iCs/>
          <w:color w:val="000000" w:themeColor="text1"/>
          <w:sz w:val="22"/>
          <w:szCs w:val="22"/>
          <w:lang w:val="es-ES_tradnl"/>
        </w:rPr>
        <w:t>mutatis mutandis</w:t>
      </w:r>
      <w:r w:rsidRPr="00EB2ED0">
        <w:rPr>
          <w:rFonts w:ascii="Arial" w:hAnsi="Arial" w:cs="Arial"/>
          <w:color w:val="000000" w:themeColor="text1"/>
          <w:sz w:val="22"/>
          <w:szCs w:val="22"/>
          <w:lang w:val="es-ES_tradnl"/>
        </w:rPr>
        <w:t xml:space="preserve"> a los factores de desempate previstos en el Decreto Único Reglamentario del Sector Administrativo de Planeación Nacional para la mínima cuantía. En efecto, si bien el parágrafo 2 del artículo 30 de la Ley de Emprendimiento dispone que «La contratación a que se refiere el presente artículo se realizará exclusivamente con las reglas en él contempladas y en su reglamentación […], las causales del artículo 35 de la Ley 2069 de 2020 aplican a los «[…] los Procesos de Contratación realizados con cargo a recursos públicos, los Procesos de Contratación realizados por las Entidades Estatales indistintamente de su régimen de contratación, así como los celebrados por los Procesos de Contratación de los patrimonios autónomos constituidos por Entidades Estatales […]», sin distinguir entre modalidades de selección.</w:t>
      </w:r>
    </w:p>
    <w:p w14:paraId="089F77D8" w14:textId="4B040E2F" w:rsidR="0056510A" w:rsidRPr="00EB2ED0" w:rsidRDefault="0056510A" w:rsidP="00EB2ED0">
      <w:pPr>
        <w:spacing w:before="120" w:after="120" w:line="276" w:lineRule="auto"/>
        <w:ind w:firstLine="709"/>
        <w:jc w:val="both"/>
        <w:rPr>
          <w:rFonts w:ascii="Arial" w:hAnsi="Arial" w:cs="Arial"/>
          <w:color w:val="000000" w:themeColor="text1"/>
          <w:sz w:val="22"/>
          <w:szCs w:val="22"/>
          <w:lang w:val="es-ES_tradnl"/>
        </w:rPr>
      </w:pPr>
      <w:r w:rsidRPr="00EB2ED0">
        <w:rPr>
          <w:rFonts w:ascii="Arial" w:hAnsi="Arial" w:cs="Arial"/>
          <w:color w:val="000000" w:themeColor="text1"/>
          <w:sz w:val="22"/>
          <w:szCs w:val="22"/>
          <w:lang w:val="es-ES_tradnl"/>
        </w:rPr>
        <w:t xml:space="preserve">Adicionalmente, </w:t>
      </w:r>
      <w:r w:rsidR="00ED50E5" w:rsidRPr="00EB2ED0">
        <w:rPr>
          <w:rFonts w:ascii="Arial" w:hAnsi="Arial" w:cs="Arial"/>
          <w:color w:val="000000" w:themeColor="text1"/>
          <w:sz w:val="22"/>
          <w:szCs w:val="22"/>
          <w:lang w:val="es-ES_tradnl"/>
        </w:rPr>
        <w:t>esta norma</w:t>
      </w:r>
      <w:r w:rsidR="00467E2F" w:rsidRPr="00EB2ED0">
        <w:rPr>
          <w:rFonts w:ascii="Arial" w:hAnsi="Arial" w:cs="Arial"/>
          <w:color w:val="000000" w:themeColor="text1"/>
          <w:sz w:val="22"/>
          <w:szCs w:val="22"/>
          <w:lang w:val="es-ES_tradnl"/>
        </w:rPr>
        <w:t xml:space="preserve"> debe</w:t>
      </w:r>
      <w:r w:rsidRPr="00EB2ED0">
        <w:rPr>
          <w:rFonts w:ascii="Arial" w:hAnsi="Arial" w:cs="Arial"/>
          <w:color w:val="000000" w:themeColor="text1"/>
          <w:sz w:val="22"/>
          <w:szCs w:val="22"/>
          <w:lang w:val="es-ES_tradnl"/>
        </w:rPr>
        <w:t xml:space="preserve"> interpretarse de manera sistemática con las demás disposiciones del EGCAP, particularmente, con el artículo 5 de la Ley 1150 de 2007. Conforme esta idea, la expresión </w:t>
      </w:r>
      <w:r w:rsidRPr="00EB2ED0">
        <w:rPr>
          <w:rFonts w:ascii="Arial" w:hAnsi="Arial" w:cs="Arial"/>
          <w:i/>
          <w:iCs/>
          <w:color w:val="000000" w:themeColor="text1"/>
          <w:sz w:val="22"/>
          <w:szCs w:val="22"/>
          <w:lang w:val="es-ES_tradnl"/>
        </w:rPr>
        <w:t>empate en el puntaje total</w:t>
      </w:r>
      <w:r w:rsidRPr="00EB2ED0">
        <w:rPr>
          <w:rFonts w:ascii="Arial" w:hAnsi="Arial" w:cs="Arial"/>
          <w:color w:val="000000" w:themeColor="text1"/>
          <w:sz w:val="22"/>
          <w:szCs w:val="22"/>
          <w:lang w:val="es-ES_tradnl"/>
        </w:rPr>
        <w:t xml:space="preserve"> apunta a las situaciones en la evaluación final de las ofertas en las que, realizándose la comparación de acuerdo con los factores de calificación, evaluación o ponderación aplicables al respectivo procedimiento, se presenta un empate entre dos o más propuestas. En ese entendido, con independencia de que la ponderación emplee puntajes, fórmulas, criterios de relación costo – beneficio o de que el único criterio de evaluación sea el menor precio, deben aplicarse los factores de desempate del artículo 35 de la Ley 2069 de 2020.</w:t>
      </w:r>
    </w:p>
    <w:p w14:paraId="75A0F5AA" w14:textId="6B5E7141" w:rsidR="006718D8" w:rsidRPr="00EB2ED0" w:rsidRDefault="006718D8" w:rsidP="00EB2ED0">
      <w:pPr>
        <w:spacing w:before="120" w:after="120" w:line="276" w:lineRule="auto"/>
        <w:ind w:firstLine="709"/>
        <w:jc w:val="both"/>
        <w:rPr>
          <w:rFonts w:ascii="Arial" w:hAnsi="Arial" w:cs="Arial"/>
          <w:color w:val="000000" w:themeColor="text1"/>
          <w:sz w:val="22"/>
          <w:szCs w:val="22"/>
          <w:lang w:val="es-ES_tradnl"/>
        </w:rPr>
      </w:pPr>
      <w:r w:rsidRPr="00EB2ED0">
        <w:rPr>
          <w:rFonts w:ascii="Arial" w:hAnsi="Arial" w:cs="Arial"/>
          <w:color w:val="000000" w:themeColor="text1"/>
          <w:sz w:val="22"/>
          <w:szCs w:val="22"/>
          <w:lang w:val="es-ES_tradnl"/>
        </w:rPr>
        <w:t xml:space="preserve">Teniendo en cuenta lo anterior, se concluye que </w:t>
      </w:r>
      <w:r w:rsidR="00235987" w:rsidRPr="00EB2ED0">
        <w:rPr>
          <w:rFonts w:ascii="Arial" w:hAnsi="Arial" w:cs="Arial"/>
          <w:color w:val="000000" w:themeColor="text1"/>
          <w:sz w:val="22"/>
          <w:szCs w:val="22"/>
          <w:lang w:val="es-ES_tradnl"/>
        </w:rPr>
        <w:t>los factores de desempate</w:t>
      </w:r>
      <w:r w:rsidRPr="00EB2ED0">
        <w:rPr>
          <w:rFonts w:ascii="Arial" w:hAnsi="Arial" w:cs="Arial"/>
          <w:color w:val="000000" w:themeColor="text1"/>
          <w:sz w:val="22"/>
          <w:szCs w:val="22"/>
          <w:lang w:val="es-ES_tradnl"/>
        </w:rPr>
        <w:t xml:space="preserve"> de la </w:t>
      </w:r>
      <w:r w:rsidR="00D43F60" w:rsidRPr="00EB2ED0">
        <w:rPr>
          <w:rFonts w:ascii="Arial" w:hAnsi="Arial" w:cs="Arial"/>
          <w:color w:val="000000" w:themeColor="text1"/>
          <w:sz w:val="22"/>
          <w:szCs w:val="22"/>
          <w:lang w:val="es-ES_tradnl"/>
        </w:rPr>
        <w:t>Ley de Emprendimiento</w:t>
      </w:r>
      <w:r w:rsidRPr="00EB2ED0">
        <w:rPr>
          <w:rFonts w:ascii="Arial" w:hAnsi="Arial" w:cs="Arial"/>
          <w:color w:val="000000" w:themeColor="text1"/>
          <w:sz w:val="22"/>
          <w:szCs w:val="22"/>
          <w:lang w:val="es-ES_tradnl"/>
        </w:rPr>
        <w:t xml:space="preserve"> </w:t>
      </w:r>
      <w:r w:rsidR="00235987" w:rsidRPr="00EB2ED0">
        <w:rPr>
          <w:rFonts w:ascii="Arial" w:hAnsi="Arial" w:cs="Arial"/>
          <w:color w:val="000000" w:themeColor="text1"/>
          <w:sz w:val="22"/>
          <w:szCs w:val="22"/>
          <w:lang w:val="es-ES_tradnl"/>
        </w:rPr>
        <w:t>son</w:t>
      </w:r>
      <w:r w:rsidRPr="00EB2ED0">
        <w:rPr>
          <w:rFonts w:ascii="Arial" w:hAnsi="Arial" w:cs="Arial"/>
          <w:color w:val="000000" w:themeColor="text1"/>
          <w:sz w:val="22"/>
          <w:szCs w:val="22"/>
          <w:lang w:val="es-ES_tradnl"/>
        </w:rPr>
        <w:t xml:space="preserve"> aplicable</w:t>
      </w:r>
      <w:r w:rsidR="00235987" w:rsidRPr="00EB2ED0">
        <w:rPr>
          <w:rFonts w:ascii="Arial" w:hAnsi="Arial" w:cs="Arial"/>
          <w:color w:val="000000" w:themeColor="text1"/>
          <w:sz w:val="22"/>
          <w:szCs w:val="22"/>
          <w:lang w:val="es-ES_tradnl"/>
        </w:rPr>
        <w:t>s</w:t>
      </w:r>
      <w:r w:rsidRPr="00EB2ED0">
        <w:rPr>
          <w:rFonts w:ascii="Arial" w:hAnsi="Arial" w:cs="Arial"/>
          <w:color w:val="000000" w:themeColor="text1"/>
          <w:sz w:val="22"/>
          <w:szCs w:val="22"/>
          <w:lang w:val="es-ES_tradnl"/>
        </w:rPr>
        <w:t xml:space="preserve"> al procedimiento de mínima cuantía, por lo que se presenta tanto la derogación como el decaimiento de los previstos en el Decreto 1082 de </w:t>
      </w:r>
      <w:r w:rsidRPr="00EB2ED0">
        <w:rPr>
          <w:rFonts w:ascii="Arial" w:hAnsi="Arial" w:cs="Arial"/>
          <w:color w:val="000000" w:themeColor="text1"/>
          <w:sz w:val="22"/>
          <w:szCs w:val="22"/>
          <w:lang w:val="es-ES_tradnl"/>
        </w:rPr>
        <w:lastRenderedPageBreak/>
        <w:t xml:space="preserve">2015 para esta modalidad de selección. De esta manera, a excepción del numeral </w:t>
      </w:r>
      <w:r w:rsidR="00D43F60" w:rsidRPr="00EB2ED0">
        <w:rPr>
          <w:rFonts w:ascii="Arial" w:hAnsi="Arial" w:cs="Arial"/>
          <w:color w:val="000000" w:themeColor="text1"/>
          <w:sz w:val="22"/>
          <w:szCs w:val="22"/>
          <w:lang w:val="es-ES_tradnl"/>
        </w:rPr>
        <w:t xml:space="preserve">7, </w:t>
      </w:r>
      <w:r w:rsidRPr="00EB2ED0">
        <w:rPr>
          <w:rFonts w:ascii="Arial" w:hAnsi="Arial" w:cs="Arial"/>
          <w:color w:val="000000" w:themeColor="text1"/>
          <w:sz w:val="22"/>
          <w:szCs w:val="22"/>
          <w:lang w:val="es-ES_tradnl"/>
        </w:rPr>
        <w:t>el artículo 2.2.1.2.1.5.2 continúa vigente bajo</w:t>
      </w:r>
      <w:r w:rsidR="00554D6E" w:rsidRPr="00EB2ED0">
        <w:rPr>
          <w:rFonts w:ascii="Arial" w:hAnsi="Arial" w:cs="Arial"/>
          <w:color w:val="000000" w:themeColor="text1"/>
          <w:sz w:val="22"/>
          <w:szCs w:val="22"/>
          <w:lang w:val="es-ES_tradnl"/>
        </w:rPr>
        <w:t xml:space="preserve"> </w:t>
      </w:r>
      <w:r w:rsidRPr="00EB2ED0">
        <w:rPr>
          <w:rFonts w:ascii="Arial" w:hAnsi="Arial" w:cs="Arial"/>
          <w:color w:val="000000" w:themeColor="text1"/>
          <w:sz w:val="22"/>
          <w:szCs w:val="22"/>
          <w:lang w:val="es-ES_tradnl"/>
        </w:rPr>
        <w:t>el numeral 5 del artículo 2 de la Ley 1150 de 2007, modificado por el artículo 30 de la Ley de Emprendimiento.</w:t>
      </w:r>
    </w:p>
    <w:p w14:paraId="1B63DD7E" w14:textId="6B724F44" w:rsidR="002F0116" w:rsidRPr="00EB2ED0" w:rsidRDefault="00AE6447" w:rsidP="00EB2ED0">
      <w:pPr>
        <w:spacing w:before="120" w:line="276" w:lineRule="auto"/>
        <w:ind w:firstLine="709"/>
        <w:jc w:val="both"/>
        <w:rPr>
          <w:rFonts w:ascii="Arial" w:eastAsia="Calibri" w:hAnsi="Arial" w:cs="Arial"/>
          <w:sz w:val="22"/>
          <w:szCs w:val="22"/>
          <w:lang w:val="es-ES_tradnl"/>
        </w:rPr>
      </w:pPr>
      <w:r w:rsidRPr="00EB2ED0">
        <w:rPr>
          <w:rFonts w:ascii="Arial" w:eastAsia="Calibri" w:hAnsi="Arial" w:cs="Arial"/>
          <w:color w:val="000000" w:themeColor="text1"/>
          <w:sz w:val="22"/>
          <w:szCs w:val="22"/>
          <w:lang w:val="es-ES_tradnl"/>
        </w:rPr>
        <w:t xml:space="preserve">   </w:t>
      </w:r>
      <w:bookmarkEnd w:id="23"/>
      <w:r w:rsidR="001C3828" w:rsidRPr="00EB2ED0">
        <w:rPr>
          <w:rFonts w:ascii="Arial" w:eastAsia="Calibri" w:hAnsi="Arial" w:cs="Arial"/>
          <w:color w:val="000000" w:themeColor="text1"/>
          <w:sz w:val="22"/>
          <w:szCs w:val="22"/>
          <w:lang w:val="es-ES_tradnl"/>
        </w:rPr>
        <w:t xml:space="preserve"> </w:t>
      </w:r>
      <w:r w:rsidR="001C3828" w:rsidRPr="00EB2ED0" w:rsidDel="001C3828">
        <w:rPr>
          <w:rFonts w:ascii="Arial" w:eastAsia="Calibri" w:hAnsi="Arial" w:cs="Arial"/>
          <w:sz w:val="22"/>
          <w:szCs w:val="22"/>
          <w:lang w:val="es-ES_tradnl"/>
        </w:rPr>
        <w:t xml:space="preserve"> </w:t>
      </w:r>
    </w:p>
    <w:p w14:paraId="35405C2F" w14:textId="77777777" w:rsidR="0080376A" w:rsidRPr="00EB2ED0" w:rsidRDefault="00DD5B04" w:rsidP="00EB2ED0">
      <w:pPr>
        <w:spacing w:line="276" w:lineRule="auto"/>
        <w:jc w:val="both"/>
        <w:rPr>
          <w:rFonts w:ascii="Arial" w:hAnsi="Arial" w:cs="Arial"/>
          <w:sz w:val="22"/>
          <w:szCs w:val="22"/>
          <w:lang w:val="es-ES_tradnl"/>
        </w:rPr>
      </w:pPr>
      <w:r w:rsidRPr="00EB2ED0">
        <w:rPr>
          <w:rFonts w:ascii="Arial" w:hAnsi="Arial" w:cs="Arial"/>
          <w:sz w:val="22"/>
          <w:szCs w:val="22"/>
          <w:lang w:val="es-ES_tradnl"/>
        </w:rPr>
        <w:t>Este concepto tiene el alcance previsto en el artículo 28 del Código de Procedimiento Administrativo y de lo Contencioso Administrativo.</w:t>
      </w:r>
    </w:p>
    <w:p w14:paraId="2CCA8B64" w14:textId="77777777" w:rsidR="0080376A" w:rsidRPr="00EB2ED0" w:rsidRDefault="0080376A" w:rsidP="00EB2ED0">
      <w:pPr>
        <w:spacing w:line="276" w:lineRule="auto"/>
        <w:rPr>
          <w:rFonts w:ascii="Arial" w:hAnsi="Arial" w:cs="Arial"/>
          <w:sz w:val="22"/>
          <w:szCs w:val="22"/>
          <w:lang w:eastAsia="es-CO"/>
        </w:rPr>
      </w:pPr>
    </w:p>
    <w:p w14:paraId="011D45FA" w14:textId="5BE21C44" w:rsidR="0080376A" w:rsidRPr="00EB2ED0" w:rsidRDefault="0080376A" w:rsidP="00EB2ED0">
      <w:pPr>
        <w:spacing w:line="276" w:lineRule="auto"/>
        <w:rPr>
          <w:rFonts w:ascii="Arial" w:hAnsi="Arial" w:cs="Arial"/>
          <w:sz w:val="22"/>
          <w:szCs w:val="22"/>
        </w:rPr>
      </w:pPr>
      <w:r w:rsidRPr="00EB2ED0">
        <w:rPr>
          <w:rFonts w:ascii="Arial" w:hAnsi="Arial" w:cs="Arial"/>
          <w:sz w:val="22"/>
          <w:szCs w:val="22"/>
          <w:lang w:eastAsia="es-CO"/>
        </w:rPr>
        <w:t>Atentamente,</w:t>
      </w:r>
    </w:p>
    <w:p w14:paraId="5B12458F" w14:textId="77777777" w:rsidR="0080376A" w:rsidRPr="00EB2ED0" w:rsidRDefault="0080376A" w:rsidP="00EB2ED0">
      <w:pPr>
        <w:jc w:val="both"/>
        <w:rPr>
          <w:rFonts w:ascii="Arial" w:hAnsi="Arial" w:cs="Arial"/>
          <w:lang w:eastAsia="es-CO"/>
        </w:rPr>
      </w:pPr>
    </w:p>
    <w:p w14:paraId="67037290" w14:textId="77777777" w:rsidR="0080376A" w:rsidRPr="00EB2ED0" w:rsidRDefault="0080376A" w:rsidP="00EB2ED0">
      <w:pPr>
        <w:spacing w:after="18"/>
        <w:jc w:val="center"/>
        <w:rPr>
          <w:rFonts w:ascii="Arial" w:hAnsi="Arial" w:cs="Arial"/>
          <w:lang w:eastAsia="es-CO"/>
        </w:rPr>
      </w:pPr>
    </w:p>
    <w:p w14:paraId="0A4EEE09" w14:textId="77777777" w:rsidR="0080376A" w:rsidRPr="00EB2ED0" w:rsidRDefault="0080376A" w:rsidP="00EB2ED0">
      <w:pPr>
        <w:spacing w:after="18"/>
        <w:jc w:val="center"/>
        <w:rPr>
          <w:rFonts w:ascii="Arial" w:hAnsi="Arial" w:cs="Arial"/>
          <w:lang w:eastAsia="es-CO"/>
        </w:rPr>
      </w:pPr>
    </w:p>
    <w:p w14:paraId="110E7C14" w14:textId="19BC0090" w:rsidR="0080376A" w:rsidRPr="00EB2ED0" w:rsidRDefault="00315DCA" w:rsidP="00EB2ED0">
      <w:pPr>
        <w:spacing w:after="18"/>
        <w:jc w:val="center"/>
        <w:rPr>
          <w:rFonts w:ascii="Arial" w:hAnsi="Arial" w:cs="Arial"/>
          <w:lang w:eastAsia="es-CO"/>
        </w:rPr>
      </w:pPr>
      <w:r>
        <w:rPr>
          <w:noProof/>
        </w:rPr>
        <w:drawing>
          <wp:inline distT="0" distB="0" distL="0" distR="0" wp14:anchorId="5C6E58CC" wp14:editId="105164B3">
            <wp:extent cx="2457450" cy="1087755"/>
            <wp:effectExtent l="0" t="0" r="0" b="0"/>
            <wp:docPr id="113708403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pic:nvPicPr>
                  <pic:blipFill>
                    <a:blip r:embed="rId12">
                      <a:extLst>
                        <a:ext uri="{28A0092B-C50C-407E-A947-70E740481C1C}">
                          <a14:useLocalDpi xmlns:a14="http://schemas.microsoft.com/office/drawing/2010/main" val="0"/>
                        </a:ext>
                      </a:extLst>
                    </a:blip>
                    <a:stretch>
                      <a:fillRect/>
                    </a:stretch>
                  </pic:blipFill>
                  <pic:spPr bwMode="auto">
                    <a:xfrm>
                      <a:off x="0" y="0"/>
                      <a:ext cx="2457450" cy="1087755"/>
                    </a:xfrm>
                    <a:prstGeom prst="rect">
                      <a:avLst/>
                    </a:prstGeom>
                    <a:noFill/>
                    <a:ln>
                      <a:noFill/>
                    </a:ln>
                  </pic:spPr>
                </pic:pic>
              </a:graphicData>
            </a:graphic>
          </wp:inline>
        </w:drawing>
      </w:r>
    </w:p>
    <w:p w14:paraId="73BAD691" w14:textId="1C845272" w:rsidR="0080376A" w:rsidRPr="00EB2ED0" w:rsidRDefault="0080376A" w:rsidP="00EB2ED0">
      <w:pPr>
        <w:spacing w:after="18"/>
        <w:jc w:val="center"/>
        <w:rPr>
          <w:rFonts w:ascii="Arial" w:hAnsi="Arial" w:cs="Arial"/>
          <w:lang w:eastAsia="es-CO"/>
        </w:rPr>
      </w:pPr>
    </w:p>
    <w:p w14:paraId="61C66791" w14:textId="77777777" w:rsidR="0080376A" w:rsidRPr="00EB2ED0" w:rsidRDefault="0080376A" w:rsidP="00EB2ED0">
      <w:pPr>
        <w:spacing w:after="18"/>
        <w:jc w:val="center"/>
        <w:rPr>
          <w:rFonts w:ascii="Arial" w:hAnsi="Arial" w:cs="Arial"/>
          <w:lang w:eastAsia="es-CO"/>
        </w:rPr>
      </w:pPr>
    </w:p>
    <w:p w14:paraId="353D05CB" w14:textId="77777777" w:rsidR="0080376A" w:rsidRPr="00EB2ED0" w:rsidRDefault="0080376A" w:rsidP="00EB2ED0">
      <w:pPr>
        <w:spacing w:after="18"/>
        <w:jc w:val="center"/>
        <w:rPr>
          <w:rFonts w:ascii="Arial" w:hAnsi="Arial" w:cs="Arial"/>
          <w:lang w:eastAsia="es-CO"/>
        </w:rPr>
      </w:pPr>
    </w:p>
    <w:tbl>
      <w:tblPr>
        <w:tblStyle w:val="Tablaconcuadrcula1"/>
        <w:tblpPr w:leftFromText="141" w:rightFromText="141" w:vertAnchor="text" w:horzAnchor="margin" w:tblpY="-1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6"/>
        <w:gridCol w:w="4003"/>
      </w:tblGrid>
      <w:tr w:rsidR="00B94BD3" w:rsidRPr="00EB2ED0" w14:paraId="03974E28" w14:textId="77777777" w:rsidTr="00631B91">
        <w:trPr>
          <w:trHeight w:val="286"/>
        </w:trPr>
        <w:tc>
          <w:tcPr>
            <w:tcW w:w="886" w:type="dxa"/>
            <w:vAlign w:val="center"/>
            <w:hideMark/>
          </w:tcPr>
          <w:p w14:paraId="01140129" w14:textId="77777777" w:rsidR="0080376A" w:rsidRPr="00EB2ED0" w:rsidRDefault="0080376A" w:rsidP="00EB2ED0">
            <w:pPr>
              <w:rPr>
                <w:rFonts w:ascii="Arial" w:hAnsi="Arial" w:cs="Arial"/>
                <w:sz w:val="14"/>
                <w:szCs w:val="14"/>
                <w:lang w:eastAsia="es-ES"/>
              </w:rPr>
            </w:pPr>
            <w:r w:rsidRPr="00EB2ED0">
              <w:rPr>
                <w:rFonts w:ascii="Arial" w:hAnsi="Arial" w:cs="Arial"/>
                <w:sz w:val="14"/>
                <w:szCs w:val="14"/>
                <w:lang w:eastAsia="es-ES"/>
              </w:rPr>
              <w:t>Elaboró:</w:t>
            </w:r>
          </w:p>
        </w:tc>
        <w:tc>
          <w:tcPr>
            <w:tcW w:w="4003" w:type="dxa"/>
            <w:tcBorders>
              <w:top w:val="nil"/>
              <w:left w:val="nil"/>
              <w:bottom w:val="dotted" w:sz="4" w:space="0" w:color="7F7F7F"/>
              <w:right w:val="nil"/>
            </w:tcBorders>
            <w:vAlign w:val="center"/>
            <w:hideMark/>
          </w:tcPr>
          <w:p w14:paraId="777D2F26" w14:textId="77777777" w:rsidR="0080376A" w:rsidRPr="00EB2ED0" w:rsidRDefault="0080376A" w:rsidP="00EB2ED0">
            <w:pPr>
              <w:rPr>
                <w:rFonts w:ascii="Arial" w:hAnsi="Arial" w:cs="Arial"/>
                <w:sz w:val="14"/>
                <w:szCs w:val="14"/>
                <w:lang w:eastAsia="es-ES"/>
              </w:rPr>
            </w:pPr>
            <w:r w:rsidRPr="00EB2ED0">
              <w:rPr>
                <w:rFonts w:ascii="Arial" w:hAnsi="Arial" w:cs="Arial"/>
                <w:sz w:val="14"/>
                <w:szCs w:val="14"/>
                <w:lang w:eastAsia="es-ES"/>
              </w:rPr>
              <w:t>Alejandro Sarmiento Cantillo</w:t>
            </w:r>
          </w:p>
          <w:p w14:paraId="1886B9EC" w14:textId="77777777" w:rsidR="0080376A" w:rsidRPr="00EB2ED0" w:rsidRDefault="0080376A" w:rsidP="00EB2ED0">
            <w:pPr>
              <w:rPr>
                <w:rFonts w:ascii="Arial" w:hAnsi="Arial" w:cs="Arial"/>
                <w:sz w:val="14"/>
                <w:szCs w:val="14"/>
                <w:lang w:eastAsia="es-ES"/>
              </w:rPr>
            </w:pPr>
            <w:r w:rsidRPr="00EB2ED0">
              <w:rPr>
                <w:rFonts w:ascii="Arial" w:hAnsi="Arial" w:cs="Arial"/>
                <w:sz w:val="14"/>
                <w:szCs w:val="14"/>
                <w:lang w:eastAsia="es-ES"/>
              </w:rPr>
              <w:t>Gestor T1-11 de la Subdirección de Gestión Contractual</w:t>
            </w:r>
          </w:p>
        </w:tc>
      </w:tr>
      <w:tr w:rsidR="00B94BD3" w:rsidRPr="00EB2ED0" w14:paraId="1C6D880D" w14:textId="77777777" w:rsidTr="00631B91">
        <w:trPr>
          <w:trHeight w:val="299"/>
        </w:trPr>
        <w:tc>
          <w:tcPr>
            <w:tcW w:w="886" w:type="dxa"/>
            <w:vAlign w:val="center"/>
          </w:tcPr>
          <w:p w14:paraId="5E9E0994" w14:textId="77777777" w:rsidR="0080376A" w:rsidRPr="00EB2ED0" w:rsidRDefault="0080376A" w:rsidP="00EB2ED0">
            <w:pPr>
              <w:rPr>
                <w:rFonts w:ascii="Arial" w:hAnsi="Arial" w:cs="Arial"/>
                <w:sz w:val="14"/>
                <w:szCs w:val="14"/>
                <w:lang w:eastAsia="es-ES"/>
              </w:rPr>
            </w:pPr>
            <w:r w:rsidRPr="00EB2ED0">
              <w:rPr>
                <w:rFonts w:ascii="Arial" w:hAnsi="Arial" w:cs="Arial"/>
                <w:sz w:val="14"/>
                <w:szCs w:val="14"/>
                <w:lang w:eastAsia="es-ES"/>
              </w:rPr>
              <w:t>Revisó:</w:t>
            </w:r>
          </w:p>
        </w:tc>
        <w:tc>
          <w:tcPr>
            <w:tcW w:w="4003" w:type="dxa"/>
            <w:tcBorders>
              <w:top w:val="dotted" w:sz="4" w:space="0" w:color="7F7F7F"/>
              <w:left w:val="nil"/>
              <w:bottom w:val="dotted" w:sz="4" w:space="0" w:color="7F7F7F"/>
              <w:right w:val="nil"/>
            </w:tcBorders>
            <w:vAlign w:val="center"/>
          </w:tcPr>
          <w:p w14:paraId="6FE263AE" w14:textId="77777777" w:rsidR="0080376A" w:rsidRPr="00EB2ED0" w:rsidRDefault="0080376A" w:rsidP="00EB2ED0">
            <w:pPr>
              <w:rPr>
                <w:rFonts w:ascii="Arial" w:hAnsi="Arial" w:cs="Arial"/>
                <w:sz w:val="14"/>
                <w:szCs w:val="14"/>
                <w:lang w:eastAsia="es-ES"/>
              </w:rPr>
            </w:pPr>
            <w:r w:rsidRPr="00EB2ED0">
              <w:rPr>
                <w:rFonts w:ascii="Arial" w:hAnsi="Arial" w:cs="Arial"/>
                <w:sz w:val="14"/>
                <w:szCs w:val="14"/>
                <w:lang w:eastAsia="es-ES"/>
              </w:rPr>
              <w:t>Juan David Montoya Penagos</w:t>
            </w:r>
          </w:p>
          <w:p w14:paraId="5B170026" w14:textId="77777777" w:rsidR="0080376A" w:rsidRPr="00EB2ED0" w:rsidRDefault="0080376A" w:rsidP="00EB2ED0">
            <w:pPr>
              <w:rPr>
                <w:rFonts w:ascii="Arial" w:hAnsi="Arial" w:cs="Arial"/>
                <w:sz w:val="14"/>
                <w:szCs w:val="14"/>
                <w:lang w:eastAsia="es-ES"/>
              </w:rPr>
            </w:pPr>
            <w:r w:rsidRPr="00EB2ED0">
              <w:rPr>
                <w:rFonts w:ascii="Arial" w:hAnsi="Arial" w:cs="Arial"/>
                <w:sz w:val="14"/>
                <w:szCs w:val="14"/>
                <w:lang w:eastAsia="es-ES"/>
              </w:rPr>
              <w:t xml:space="preserve">Gestor T1-15 de la Subdirección de Gestión Contractual  </w:t>
            </w:r>
          </w:p>
        </w:tc>
      </w:tr>
      <w:tr w:rsidR="00B94BD3" w:rsidRPr="005502B3" w14:paraId="69EA51B1" w14:textId="77777777" w:rsidTr="00631B91">
        <w:trPr>
          <w:trHeight w:val="272"/>
        </w:trPr>
        <w:tc>
          <w:tcPr>
            <w:tcW w:w="886" w:type="dxa"/>
            <w:vAlign w:val="center"/>
            <w:hideMark/>
          </w:tcPr>
          <w:p w14:paraId="310910D2" w14:textId="77777777" w:rsidR="0080376A" w:rsidRPr="00EB2ED0" w:rsidRDefault="0080376A" w:rsidP="00EB2ED0">
            <w:pPr>
              <w:rPr>
                <w:rFonts w:ascii="Arial" w:hAnsi="Arial" w:cs="Arial"/>
                <w:sz w:val="14"/>
                <w:szCs w:val="14"/>
                <w:lang w:eastAsia="es-ES"/>
              </w:rPr>
            </w:pPr>
            <w:r w:rsidRPr="00EB2ED0">
              <w:rPr>
                <w:rFonts w:ascii="Arial" w:hAnsi="Arial" w:cs="Arial"/>
                <w:sz w:val="14"/>
                <w:szCs w:val="14"/>
                <w:lang w:eastAsia="es-ES"/>
              </w:rPr>
              <w:t>Aprobó:</w:t>
            </w:r>
          </w:p>
        </w:tc>
        <w:tc>
          <w:tcPr>
            <w:tcW w:w="4003" w:type="dxa"/>
            <w:tcBorders>
              <w:top w:val="dotted" w:sz="4" w:space="0" w:color="7F7F7F"/>
              <w:left w:val="nil"/>
              <w:bottom w:val="dotted" w:sz="4" w:space="0" w:color="7F7F7F"/>
              <w:right w:val="nil"/>
            </w:tcBorders>
            <w:vAlign w:val="center"/>
            <w:hideMark/>
          </w:tcPr>
          <w:p w14:paraId="43D727AC" w14:textId="77777777" w:rsidR="0080376A" w:rsidRPr="00EB2ED0" w:rsidRDefault="0080376A" w:rsidP="00EB2ED0">
            <w:pPr>
              <w:rPr>
                <w:rFonts w:ascii="Arial" w:hAnsi="Arial" w:cs="Arial"/>
                <w:sz w:val="14"/>
                <w:szCs w:val="14"/>
                <w:lang w:eastAsia="es-ES"/>
              </w:rPr>
            </w:pPr>
            <w:r w:rsidRPr="00EB2ED0">
              <w:rPr>
                <w:rFonts w:ascii="Arial" w:hAnsi="Arial" w:cs="Arial"/>
                <w:sz w:val="14"/>
                <w:szCs w:val="14"/>
                <w:lang w:eastAsia="es-ES"/>
              </w:rPr>
              <w:t>Jorge Augusto Tirado Navarro</w:t>
            </w:r>
          </w:p>
          <w:p w14:paraId="3019D417" w14:textId="633936DE" w:rsidR="0080376A" w:rsidRPr="005502B3" w:rsidRDefault="0080376A" w:rsidP="00EB2ED0">
            <w:pPr>
              <w:rPr>
                <w:rFonts w:ascii="Arial" w:hAnsi="Arial" w:cs="Arial"/>
                <w:sz w:val="14"/>
                <w:szCs w:val="14"/>
                <w:lang w:eastAsia="es-ES"/>
              </w:rPr>
            </w:pPr>
            <w:r w:rsidRPr="00EB2ED0">
              <w:rPr>
                <w:rFonts w:ascii="Arial" w:hAnsi="Arial" w:cs="Arial"/>
                <w:sz w:val="14"/>
                <w:szCs w:val="14"/>
                <w:lang w:eastAsia="es-ES"/>
              </w:rPr>
              <w:t>Subdirector de Gestión Contractual</w:t>
            </w:r>
            <w:r w:rsidR="008C3903" w:rsidRPr="00EB2ED0">
              <w:rPr>
                <w:rFonts w:ascii="Arial" w:hAnsi="Arial" w:cs="Arial"/>
                <w:sz w:val="14"/>
                <w:szCs w:val="14"/>
                <w:lang w:eastAsia="es-ES"/>
              </w:rPr>
              <w:t xml:space="preserve"> ANCP – CCE</w:t>
            </w:r>
          </w:p>
        </w:tc>
      </w:tr>
    </w:tbl>
    <w:p w14:paraId="5D4CDD3F" w14:textId="77777777" w:rsidR="0080376A" w:rsidRPr="005502B3" w:rsidRDefault="0080376A" w:rsidP="00EB2ED0">
      <w:pPr>
        <w:rPr>
          <w:rFonts w:ascii="Arial" w:hAnsi="Arial" w:cs="Arial"/>
          <w:lang w:eastAsia="es-ES"/>
        </w:rPr>
      </w:pPr>
    </w:p>
    <w:p w14:paraId="35B56F46" w14:textId="68D0B3F1" w:rsidR="00746E08" w:rsidRPr="005502B3" w:rsidRDefault="00746E08" w:rsidP="00EB2ED0">
      <w:pPr>
        <w:spacing w:line="276" w:lineRule="auto"/>
        <w:jc w:val="both"/>
        <w:rPr>
          <w:rFonts w:ascii="Arial" w:hAnsi="Arial" w:cs="Arial"/>
          <w:lang w:val="es-ES_tradnl"/>
        </w:rPr>
      </w:pPr>
    </w:p>
    <w:sectPr w:rsidR="00746E08" w:rsidRPr="005502B3"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021FD5" w14:textId="77777777" w:rsidR="007E4193" w:rsidRDefault="007E4193">
      <w:r>
        <w:separator/>
      </w:r>
    </w:p>
  </w:endnote>
  <w:endnote w:type="continuationSeparator" w:id="0">
    <w:p w14:paraId="224E629A" w14:textId="77777777" w:rsidR="007E4193" w:rsidRDefault="007E4193">
      <w:r>
        <w:continuationSeparator/>
      </w:r>
    </w:p>
  </w:endnote>
  <w:endnote w:type="continuationNotice" w:id="1">
    <w:p w14:paraId="36E3ABDC" w14:textId="77777777" w:rsidR="007E4193" w:rsidRDefault="007E419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02A34" w14:textId="77777777" w:rsidR="007B1929" w:rsidRDefault="007B1929" w:rsidP="00322937">
    <w:pPr>
      <w:pStyle w:val="Sinespaciado"/>
      <w:jc w:val="right"/>
      <w:rPr>
        <w:rFonts w:ascii="Arial" w:hAnsi="Arial" w:cs="Arial"/>
        <w:sz w:val="18"/>
        <w:szCs w:val="18"/>
      </w:rPr>
    </w:pPr>
  </w:p>
  <w:p w14:paraId="7A3785F3" w14:textId="2EF28465" w:rsidR="007B1929" w:rsidRPr="008217B7" w:rsidRDefault="007B1929"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48FC6A04" w14:textId="5FD1A7C9" w:rsidR="007B1929" w:rsidRDefault="007B1929" w:rsidP="00322937">
    <w:pPr>
      <w:pStyle w:val="Piedepgina"/>
      <w:jc w:val="center"/>
      <w:rPr>
        <w:lang w:val="es-ES"/>
      </w:rPr>
    </w:pPr>
    <w:r>
      <w:rPr>
        <w:noProof/>
      </w:rPr>
      <w:drawing>
        <wp:inline distT="0" distB="0" distL="0" distR="0" wp14:anchorId="608B196D" wp14:editId="5BB3F60A">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7B1929" w:rsidRDefault="007B1929" w:rsidP="007B0854">
    <w:pPr>
      <w:pStyle w:val="Piedepgina"/>
      <w:jc w:val="center"/>
      <w:rPr>
        <w:lang w:val="es-ES"/>
      </w:rPr>
    </w:pPr>
  </w:p>
  <w:p w14:paraId="6C0EFC49" w14:textId="77777777" w:rsidR="007B1929" w:rsidRPr="007B0854" w:rsidRDefault="007B1929"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379662" w14:textId="77777777" w:rsidR="007E4193" w:rsidRDefault="007E4193">
      <w:r>
        <w:separator/>
      </w:r>
    </w:p>
  </w:footnote>
  <w:footnote w:type="continuationSeparator" w:id="0">
    <w:p w14:paraId="1E9D774B" w14:textId="77777777" w:rsidR="007E4193" w:rsidRDefault="007E4193">
      <w:r>
        <w:continuationSeparator/>
      </w:r>
    </w:p>
  </w:footnote>
  <w:footnote w:type="continuationNotice" w:id="1">
    <w:p w14:paraId="140F28D9" w14:textId="77777777" w:rsidR="007E4193" w:rsidRDefault="007E4193"/>
  </w:footnote>
  <w:footnote w:id="2">
    <w:p w14:paraId="632CD27C" w14:textId="77777777" w:rsidR="007B1929" w:rsidRPr="008640C4" w:rsidRDefault="007B1929" w:rsidP="0099308E">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Artículos 2 al 29.</w:t>
      </w:r>
    </w:p>
    <w:p w14:paraId="4993CEFD" w14:textId="77777777" w:rsidR="007B1929" w:rsidRPr="008640C4" w:rsidRDefault="007B1929" w:rsidP="0099308E">
      <w:pPr>
        <w:pStyle w:val="Textonotapie"/>
        <w:ind w:firstLine="709"/>
        <w:jc w:val="both"/>
        <w:rPr>
          <w:rFonts w:ascii="Arial" w:hAnsi="Arial" w:cs="Arial"/>
          <w:sz w:val="19"/>
          <w:szCs w:val="19"/>
          <w:lang w:val="es-ES"/>
        </w:rPr>
      </w:pPr>
    </w:p>
  </w:footnote>
  <w:footnote w:id="3">
    <w:p w14:paraId="4678A7FC" w14:textId="77777777" w:rsidR="007B1929" w:rsidRPr="008640C4" w:rsidRDefault="007B1929" w:rsidP="0099308E">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Artículos 30 al 36.</w:t>
      </w:r>
    </w:p>
    <w:p w14:paraId="1DD153DA" w14:textId="77777777" w:rsidR="007B1929" w:rsidRPr="008640C4" w:rsidRDefault="007B1929" w:rsidP="0099308E">
      <w:pPr>
        <w:pStyle w:val="Textonotapie"/>
        <w:ind w:firstLine="709"/>
        <w:jc w:val="both"/>
        <w:rPr>
          <w:rFonts w:ascii="Arial" w:hAnsi="Arial" w:cs="Arial"/>
          <w:sz w:val="19"/>
          <w:szCs w:val="19"/>
          <w:lang w:val="es-ES"/>
        </w:rPr>
      </w:pPr>
    </w:p>
  </w:footnote>
  <w:footnote w:id="4">
    <w:p w14:paraId="028A9BDB" w14:textId="77777777" w:rsidR="007B1929" w:rsidRPr="008640C4" w:rsidRDefault="007B1929" w:rsidP="0099308E">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Artículos 37 al 45.</w:t>
      </w:r>
    </w:p>
    <w:p w14:paraId="1A89C2E1" w14:textId="77777777" w:rsidR="007B1929" w:rsidRPr="008640C4" w:rsidRDefault="007B1929" w:rsidP="0099308E">
      <w:pPr>
        <w:pStyle w:val="Textonotapie"/>
        <w:ind w:firstLine="709"/>
        <w:jc w:val="both"/>
        <w:rPr>
          <w:rFonts w:ascii="Arial" w:hAnsi="Arial" w:cs="Arial"/>
          <w:sz w:val="19"/>
          <w:szCs w:val="19"/>
          <w:lang w:val="es-ES"/>
        </w:rPr>
      </w:pPr>
    </w:p>
  </w:footnote>
  <w:footnote w:id="5">
    <w:p w14:paraId="3205EC8F" w14:textId="77777777" w:rsidR="007B1929" w:rsidRPr="008640C4" w:rsidRDefault="007B1929" w:rsidP="0099308E">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Artículos 46 al 73.</w:t>
      </w:r>
    </w:p>
    <w:p w14:paraId="28510AFC" w14:textId="77777777" w:rsidR="007B1929" w:rsidRPr="008640C4" w:rsidRDefault="007B1929" w:rsidP="0099308E">
      <w:pPr>
        <w:pStyle w:val="Textonotapie"/>
        <w:ind w:firstLine="709"/>
        <w:jc w:val="both"/>
        <w:rPr>
          <w:rFonts w:ascii="Arial" w:hAnsi="Arial" w:cs="Arial"/>
          <w:sz w:val="19"/>
          <w:szCs w:val="19"/>
          <w:lang w:val="es-ES"/>
        </w:rPr>
      </w:pPr>
    </w:p>
  </w:footnote>
  <w:footnote w:id="6">
    <w:p w14:paraId="481F21A4" w14:textId="77777777" w:rsidR="007B1929" w:rsidRPr="008640C4" w:rsidRDefault="007B1929" w:rsidP="0099308E">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Artículos 74 al 83.</w:t>
      </w:r>
    </w:p>
    <w:p w14:paraId="6D5A5DFA" w14:textId="77777777" w:rsidR="007B1929" w:rsidRPr="008640C4" w:rsidRDefault="007B1929" w:rsidP="0099308E">
      <w:pPr>
        <w:pStyle w:val="Textonotapie"/>
        <w:ind w:firstLine="709"/>
        <w:jc w:val="both"/>
        <w:rPr>
          <w:rFonts w:ascii="Arial" w:hAnsi="Arial" w:cs="Arial"/>
          <w:sz w:val="19"/>
          <w:szCs w:val="19"/>
          <w:lang w:val="es-ES"/>
        </w:rPr>
      </w:pPr>
    </w:p>
  </w:footnote>
  <w:footnote w:id="7">
    <w:p w14:paraId="3ED43203" w14:textId="77777777" w:rsidR="007B1929" w:rsidRPr="001F5C3E" w:rsidRDefault="007B1929" w:rsidP="0099308E">
      <w:pPr>
        <w:pStyle w:val="Textonotapie"/>
        <w:ind w:firstLine="708"/>
        <w:jc w:val="both"/>
        <w:rPr>
          <w:rFonts w:ascii="Arial" w:hAnsi="Arial" w:cs="Arial"/>
          <w:bCs/>
          <w:color w:val="000000" w:themeColor="text1"/>
          <w:sz w:val="19"/>
          <w:szCs w:val="19"/>
        </w:rPr>
      </w:pPr>
      <w:r w:rsidRPr="001F5C3E">
        <w:rPr>
          <w:rStyle w:val="Refdenotaalpie"/>
          <w:rFonts w:ascii="Arial" w:hAnsi="Arial" w:cs="Arial"/>
          <w:color w:val="000000" w:themeColor="text1"/>
          <w:sz w:val="19"/>
          <w:szCs w:val="19"/>
        </w:rPr>
        <w:footnoteRef/>
      </w:r>
      <w:r w:rsidRPr="001F5C3E">
        <w:rPr>
          <w:rFonts w:ascii="Arial" w:hAnsi="Arial" w:cs="Arial"/>
          <w:color w:val="000000" w:themeColor="text1"/>
          <w:sz w:val="19"/>
          <w:szCs w:val="19"/>
        </w:rPr>
        <w:t xml:space="preserve"> </w:t>
      </w:r>
      <w:r w:rsidRPr="001F5C3E">
        <w:rPr>
          <w:rFonts w:ascii="Arial" w:hAnsi="Arial" w:cs="Arial"/>
          <w:bCs/>
          <w:color w:val="000000" w:themeColor="text1"/>
          <w:sz w:val="19"/>
          <w:szCs w:val="19"/>
        </w:rPr>
        <w:t xml:space="preserve">Esta política se justifica en la medida que: «Cuando una empresa decide ser formal se generan beneficios para la sociedad más allá de los que la empresa recibe (externalidades positivas). Estos beneficios […] incluyen la inserción de más trabajadores al sistema de aseguramiento social, un mayor cumplimiento de las normas sectoriales que buscan proteger la salud de los consumidores y mayores ingresos tributarios para la inversión pública. De igual manera, cuando una empresa decide ser informal, su decisión genera costos para la sociedad más allá de los asumidos por la empresa (externalidades negativas). Algunos de estos son competencia desleal con empresas formales, ya que estas últimas asumen costos adicionales (por ejemplo, pago de registros, seguridad social e impuestos), y el aumento de la corrupción porque, en ocasiones, la manera en que empresas informales evaden el control de los requisitos de formalidad es vía pagos ilegales» (Cfr. </w:t>
      </w:r>
      <w:r w:rsidRPr="001F5C3E">
        <w:rPr>
          <w:rFonts w:ascii="Arial" w:hAnsi="Arial" w:cs="Arial"/>
          <w:color w:val="000000" w:themeColor="text1"/>
          <w:sz w:val="19"/>
          <w:szCs w:val="19"/>
        </w:rPr>
        <w:t xml:space="preserve">CONSEJO NACIONAL DE POLÍTICA ECONÓMICA Y SOCIAL. Documento 3956 del 8 de enero de 2019: «Política de formalización empresarial». Archivo consultado el 8 de febrero de 2021 en la página web </w:t>
      </w:r>
      <w:hyperlink r:id="rId1" w:history="1">
        <w:r w:rsidRPr="001F5C3E">
          <w:rPr>
            <w:rStyle w:val="Hipervnculo"/>
            <w:rFonts w:ascii="Arial" w:hAnsi="Arial" w:cs="Arial"/>
            <w:color w:val="000000" w:themeColor="text1"/>
            <w:sz w:val="19"/>
            <w:szCs w:val="19"/>
          </w:rPr>
          <w:t>https://colaboracion.dnp.gov.co/CDT/Conpes/Econ%C3%B3micos/3956.pdf</w:t>
        </w:r>
      </w:hyperlink>
      <w:r w:rsidRPr="001F5C3E">
        <w:rPr>
          <w:rFonts w:ascii="Arial" w:hAnsi="Arial" w:cs="Arial"/>
          <w:color w:val="000000" w:themeColor="text1"/>
          <w:sz w:val="19"/>
          <w:szCs w:val="19"/>
        </w:rPr>
        <w:t xml:space="preserve">).  </w:t>
      </w:r>
    </w:p>
    <w:p w14:paraId="6D8F7008" w14:textId="77777777" w:rsidR="007B1929" w:rsidRPr="00AA2812" w:rsidRDefault="007B1929" w:rsidP="0099308E">
      <w:pPr>
        <w:pStyle w:val="Textonotapie"/>
        <w:ind w:firstLine="708"/>
        <w:jc w:val="both"/>
        <w:rPr>
          <w:rFonts w:ascii="Arial" w:hAnsi="Arial" w:cs="Arial"/>
          <w:sz w:val="19"/>
          <w:szCs w:val="19"/>
          <w:lang w:val="es-ES"/>
        </w:rPr>
      </w:pPr>
    </w:p>
  </w:footnote>
  <w:footnote w:id="8">
    <w:p w14:paraId="32C9E608" w14:textId="77777777" w:rsidR="007B1929" w:rsidRPr="00A1541C" w:rsidRDefault="007B1929" w:rsidP="0099308E">
      <w:pPr>
        <w:pStyle w:val="Textonotapie"/>
        <w:ind w:firstLine="708"/>
        <w:jc w:val="both"/>
        <w:rPr>
          <w:rFonts w:ascii="Arial" w:hAnsi="Arial" w:cs="Arial"/>
          <w:sz w:val="19"/>
          <w:szCs w:val="19"/>
          <w:lang w:val="es-ES"/>
        </w:rPr>
      </w:pPr>
      <w:r w:rsidRPr="00A1541C">
        <w:rPr>
          <w:rStyle w:val="Refdenotaalpie"/>
          <w:rFonts w:ascii="Arial" w:hAnsi="Arial" w:cs="Arial"/>
          <w:sz w:val="19"/>
          <w:szCs w:val="19"/>
        </w:rPr>
        <w:footnoteRef/>
      </w:r>
      <w:r>
        <w:rPr>
          <w:rFonts w:ascii="Arial" w:hAnsi="Arial" w:cs="Arial"/>
          <w:sz w:val="19"/>
          <w:szCs w:val="19"/>
        </w:rPr>
        <w:t xml:space="preserve"> </w:t>
      </w:r>
      <w:bookmarkStart w:id="4" w:name="_Hlk63862868"/>
      <w:r>
        <w:rPr>
          <w:rFonts w:ascii="Arial" w:hAnsi="Arial" w:cs="Arial"/>
          <w:sz w:val="19"/>
          <w:szCs w:val="19"/>
        </w:rPr>
        <w:t xml:space="preserve">CONGRESO DE LA REPÚBLICA. Gaceta No. 670 del 11 de agosto de 2020. Exposición de motivos del Proyecto de Ley No. 122 de 2020 Cámara. p. 13. </w:t>
      </w:r>
    </w:p>
    <w:bookmarkEnd w:id="4"/>
  </w:footnote>
  <w:footnote w:id="9">
    <w:p w14:paraId="068A95F4" w14:textId="77777777" w:rsidR="007B1929" w:rsidRPr="00614771" w:rsidRDefault="007B1929" w:rsidP="0099308E">
      <w:pPr>
        <w:pStyle w:val="Textonotapie"/>
        <w:ind w:firstLine="708"/>
        <w:jc w:val="both"/>
        <w:rPr>
          <w:rFonts w:ascii="Arial" w:hAnsi="Arial" w:cs="Arial"/>
          <w:sz w:val="19"/>
          <w:szCs w:val="19"/>
          <w:lang w:val="es-ES"/>
        </w:rPr>
      </w:pPr>
      <w:r w:rsidRPr="00614771">
        <w:rPr>
          <w:rStyle w:val="Refdenotaalpie"/>
          <w:rFonts w:ascii="Arial" w:hAnsi="Arial" w:cs="Arial"/>
          <w:sz w:val="19"/>
          <w:szCs w:val="19"/>
        </w:rPr>
        <w:footnoteRef/>
      </w:r>
      <w:r w:rsidRPr="00614771">
        <w:rPr>
          <w:rFonts w:ascii="Arial" w:hAnsi="Arial" w:cs="Arial"/>
          <w:sz w:val="19"/>
          <w:szCs w:val="19"/>
        </w:rPr>
        <w:t xml:space="preserve"> </w:t>
      </w:r>
      <w:r>
        <w:rPr>
          <w:rFonts w:ascii="Arial" w:hAnsi="Arial" w:cs="Arial"/>
          <w:sz w:val="19"/>
          <w:szCs w:val="19"/>
        </w:rPr>
        <w:t xml:space="preserve">El artículo 189.11 de la Constitución Política de 1991 dispone que corresponde al </w:t>
      </w:r>
      <w:r>
        <w:rPr>
          <w:rFonts w:ascii="Arial" w:hAnsi="Arial" w:cs="Arial"/>
          <w:sz w:val="19"/>
          <w:szCs w:val="19"/>
        </w:rPr>
        <w:t>Presidente de la República «</w:t>
      </w:r>
      <w:r w:rsidRPr="00614771">
        <w:rPr>
          <w:rFonts w:ascii="Arial" w:hAnsi="Arial" w:cs="Arial"/>
          <w:sz w:val="19"/>
          <w:szCs w:val="19"/>
        </w:rPr>
        <w:t>Ejercer la potestad reglamentaria, mediante la expedición de los decretos, resoluciones y órdenes necesarios para la cumplida ejecución de las leyes</w:t>
      </w:r>
      <w:r>
        <w:rPr>
          <w:rFonts w:ascii="Arial" w:hAnsi="Arial" w:cs="Arial"/>
          <w:sz w:val="19"/>
          <w:szCs w:val="19"/>
        </w:rPr>
        <w:t xml:space="preserve">».  </w:t>
      </w:r>
    </w:p>
  </w:footnote>
  <w:footnote w:id="10">
    <w:p w14:paraId="0DA76B57" w14:textId="77777777" w:rsidR="007B1929" w:rsidRDefault="007B1929" w:rsidP="0099308E">
      <w:pPr>
        <w:pStyle w:val="Textonotapie"/>
        <w:ind w:firstLine="708"/>
        <w:jc w:val="both"/>
        <w:rPr>
          <w:rFonts w:ascii="Arial" w:hAnsi="Arial" w:cs="Arial"/>
          <w:sz w:val="19"/>
          <w:szCs w:val="19"/>
        </w:rPr>
      </w:pPr>
      <w:r w:rsidRPr="00DA1F59">
        <w:rPr>
          <w:rStyle w:val="Refdenotaalpie"/>
          <w:rFonts w:ascii="Arial" w:hAnsi="Arial" w:cs="Arial"/>
          <w:sz w:val="19"/>
          <w:szCs w:val="19"/>
        </w:rPr>
        <w:footnoteRef/>
      </w:r>
      <w:r w:rsidRPr="00DA1F59">
        <w:rPr>
          <w:rFonts w:ascii="Arial" w:hAnsi="Arial" w:cs="Arial"/>
          <w:sz w:val="19"/>
          <w:szCs w:val="19"/>
        </w:rPr>
        <w:t xml:space="preserve"> No en vano, la Corte Constitucional explica que</w:t>
      </w:r>
      <w:r>
        <w:rPr>
          <w:rFonts w:ascii="Arial" w:hAnsi="Arial" w:cs="Arial"/>
          <w:sz w:val="19"/>
          <w:szCs w:val="19"/>
        </w:rPr>
        <w:t xml:space="preserve"> estos casos la potestad reglamentaria</w:t>
      </w:r>
      <w:r w:rsidRPr="00DA1F59">
        <w:rPr>
          <w:rFonts w:ascii="Arial" w:hAnsi="Arial" w:cs="Arial"/>
          <w:sz w:val="19"/>
          <w:szCs w:val="19"/>
        </w:rPr>
        <w:t xml:space="preserve"> «[…] puede ejercerse por </w:t>
      </w:r>
      <w:r>
        <w:rPr>
          <w:rFonts w:ascii="Arial" w:hAnsi="Arial" w:cs="Arial"/>
          <w:sz w:val="19"/>
          <w:szCs w:val="19"/>
        </w:rPr>
        <w:t>[el Gobierno Nacional]</w:t>
      </w:r>
      <w:r w:rsidRPr="00DA1F59">
        <w:rPr>
          <w:rFonts w:ascii="Arial" w:hAnsi="Arial" w:cs="Arial"/>
          <w:sz w:val="19"/>
          <w:szCs w:val="19"/>
        </w:rPr>
        <w:t xml:space="preserve"> en cualquier tiempo, sin que sea posible que por ley se introduzca en esta materia limitación temporal alguna. Ello no quiere decir, sin embargo, que el legislador no pueda, para lograr la efectividad de una ley, disponer que el Gobierno deba reglamentarla dentro de un tiempo determinado</w:t>
      </w:r>
      <w:r>
        <w:rPr>
          <w:rFonts w:ascii="Arial" w:hAnsi="Arial" w:cs="Arial"/>
          <w:sz w:val="19"/>
          <w:szCs w:val="19"/>
        </w:rPr>
        <w:t xml:space="preserve">. </w:t>
      </w:r>
      <w:r w:rsidRPr="00132DBE">
        <w:rPr>
          <w:rFonts w:ascii="Arial" w:hAnsi="Arial" w:cs="Arial"/>
          <w:sz w:val="19"/>
          <w:szCs w:val="19"/>
        </w:rPr>
        <w:t xml:space="preserve">Tal mandato del legislador no impide que el </w:t>
      </w:r>
      <w:r w:rsidRPr="00132DBE">
        <w:rPr>
          <w:rFonts w:ascii="Arial" w:hAnsi="Arial" w:cs="Arial"/>
          <w:sz w:val="19"/>
          <w:szCs w:val="19"/>
        </w:rPr>
        <w:t xml:space="preserve">Presidente expida la reglamentación antes del término previsto, ni lo inhabilita para el ejercicio de la potestad reglamentaria vencido ese plazo. Tampoco implica que expedida una reglamentación dentro del plazo fijado por el legislador el Presidente pierda competencia para expedir nuevos reglamentos o para modificar, adicionar o derogar sus propios reglamentos. </w:t>
      </w:r>
      <w:r w:rsidRPr="00132DBE">
        <w:rPr>
          <w:rFonts w:ascii="Arial" w:hAnsi="Arial" w:cs="Arial"/>
          <w:i/>
          <w:iCs/>
          <w:sz w:val="19"/>
          <w:szCs w:val="19"/>
        </w:rPr>
        <w:t>La única consecuencia normativa del término establecido por el legislador es la de imponerle al Presidente de la República el deber de reglamentar la ley dentro de dicho plazo</w:t>
      </w:r>
      <w:r>
        <w:rPr>
          <w:rFonts w:ascii="Arial" w:hAnsi="Arial" w:cs="Arial"/>
          <w:sz w:val="19"/>
          <w:szCs w:val="19"/>
        </w:rPr>
        <w:t>» (CORTE CONSTITUCIONAL. Sentencia C-805 de 2001. M.P. Rodrigo Escobar Gil. Corchetes y énfasis fuera de texto).</w:t>
      </w:r>
      <w:r w:rsidRPr="00DA1F59">
        <w:rPr>
          <w:rFonts w:ascii="Arial" w:hAnsi="Arial" w:cs="Arial"/>
          <w:sz w:val="19"/>
          <w:szCs w:val="19"/>
        </w:rPr>
        <w:t xml:space="preserve">  </w:t>
      </w:r>
    </w:p>
    <w:p w14:paraId="6ACD96D5" w14:textId="77777777" w:rsidR="007B1929" w:rsidRPr="00DA1F59" w:rsidRDefault="007B1929" w:rsidP="0099308E">
      <w:pPr>
        <w:pStyle w:val="Textonotapie"/>
        <w:ind w:firstLine="708"/>
        <w:jc w:val="both"/>
        <w:rPr>
          <w:rFonts w:ascii="Arial" w:hAnsi="Arial" w:cs="Arial"/>
          <w:sz w:val="19"/>
          <w:szCs w:val="19"/>
          <w:lang w:val="es-ES"/>
        </w:rPr>
      </w:pPr>
    </w:p>
  </w:footnote>
  <w:footnote w:id="11">
    <w:p w14:paraId="6C206C5A" w14:textId="77777777" w:rsidR="007B1929" w:rsidRDefault="007B1929" w:rsidP="0099308E">
      <w:pPr>
        <w:pStyle w:val="Textonotapie"/>
        <w:ind w:firstLine="708"/>
        <w:jc w:val="both"/>
        <w:rPr>
          <w:rFonts w:ascii="Arial" w:hAnsi="Arial" w:cs="Arial"/>
          <w:sz w:val="19"/>
          <w:szCs w:val="19"/>
        </w:rPr>
      </w:pPr>
      <w:r w:rsidRPr="0053325A">
        <w:rPr>
          <w:rStyle w:val="Refdenotaalpie"/>
          <w:rFonts w:ascii="Arial" w:hAnsi="Arial" w:cs="Arial"/>
          <w:sz w:val="19"/>
          <w:szCs w:val="19"/>
        </w:rPr>
        <w:footnoteRef/>
      </w:r>
      <w:r w:rsidRPr="0053325A">
        <w:rPr>
          <w:rFonts w:ascii="Arial" w:hAnsi="Arial" w:cs="Arial"/>
          <w:sz w:val="19"/>
          <w:szCs w:val="19"/>
        </w:rPr>
        <w:t xml:space="preserve"> </w:t>
      </w:r>
      <w:r>
        <w:rPr>
          <w:rFonts w:ascii="Arial" w:hAnsi="Arial" w:cs="Arial"/>
          <w:sz w:val="19"/>
          <w:szCs w:val="19"/>
        </w:rPr>
        <w:t xml:space="preserve">GUASTINI, </w:t>
      </w:r>
      <w:r>
        <w:rPr>
          <w:rFonts w:ascii="Arial" w:hAnsi="Arial" w:cs="Arial"/>
          <w:sz w:val="19"/>
          <w:szCs w:val="19"/>
        </w:rPr>
        <w:t xml:space="preserve">Riccardo. Interpretar y argumentar. Madrid: Centro de Estudios Políticos y Constitucionales, 2014. p. 145. El autor también propone los siguientes ejemplos de </w:t>
      </w:r>
      <w:r w:rsidRPr="00122311">
        <w:rPr>
          <w:rFonts w:ascii="Arial" w:hAnsi="Arial" w:cs="Arial"/>
          <w:i/>
          <w:iCs/>
          <w:sz w:val="19"/>
          <w:szCs w:val="19"/>
        </w:rPr>
        <w:t>lagunas técnicas</w:t>
      </w:r>
      <w:r>
        <w:rPr>
          <w:rFonts w:ascii="Arial" w:hAnsi="Arial" w:cs="Arial"/>
          <w:sz w:val="19"/>
          <w:szCs w:val="19"/>
        </w:rPr>
        <w:t xml:space="preserve">: «[…] </w:t>
      </w:r>
      <w:r w:rsidRPr="00122311">
        <w:rPr>
          <w:rFonts w:ascii="Arial" w:hAnsi="Arial" w:cs="Arial"/>
          <w:sz w:val="19"/>
          <w:szCs w:val="19"/>
        </w:rPr>
        <w:t>una norma prescribe la periódica convocatoria de un</w:t>
      </w:r>
      <w:r>
        <w:rPr>
          <w:rFonts w:ascii="Arial" w:hAnsi="Arial" w:cs="Arial"/>
          <w:sz w:val="19"/>
          <w:szCs w:val="19"/>
        </w:rPr>
        <w:t xml:space="preserve"> </w:t>
      </w:r>
      <w:r w:rsidRPr="00122311">
        <w:rPr>
          <w:rFonts w:ascii="Arial" w:hAnsi="Arial" w:cs="Arial"/>
          <w:sz w:val="19"/>
          <w:szCs w:val="19"/>
        </w:rPr>
        <w:t>órgano; pero ninguna norma determina qué sujeto es el competente para</w:t>
      </w:r>
      <w:r>
        <w:rPr>
          <w:rFonts w:ascii="Arial" w:hAnsi="Arial" w:cs="Arial"/>
          <w:sz w:val="19"/>
          <w:szCs w:val="19"/>
        </w:rPr>
        <w:t xml:space="preserve"> </w:t>
      </w:r>
      <w:r w:rsidRPr="00122311">
        <w:rPr>
          <w:rFonts w:ascii="Arial" w:hAnsi="Arial" w:cs="Arial"/>
          <w:sz w:val="19"/>
          <w:szCs w:val="19"/>
        </w:rPr>
        <w:t>convocarlo; una norma instituye cierto órgano electivo, pero ninguna</w:t>
      </w:r>
      <w:r>
        <w:rPr>
          <w:rFonts w:ascii="Arial" w:hAnsi="Arial" w:cs="Arial"/>
          <w:sz w:val="19"/>
          <w:szCs w:val="19"/>
        </w:rPr>
        <w:t xml:space="preserve"> </w:t>
      </w:r>
      <w:r w:rsidRPr="00122311">
        <w:rPr>
          <w:rFonts w:ascii="Arial" w:hAnsi="Arial" w:cs="Arial"/>
          <w:sz w:val="19"/>
          <w:szCs w:val="19"/>
        </w:rPr>
        <w:t>norma establece qué sistema electoral debe adoptarse; una norma recomienda perseguir cierto fin, pero ninguna norma establece qué medios</w:t>
      </w:r>
      <w:r>
        <w:rPr>
          <w:rFonts w:ascii="Arial" w:hAnsi="Arial" w:cs="Arial"/>
          <w:sz w:val="19"/>
          <w:szCs w:val="19"/>
        </w:rPr>
        <w:t xml:space="preserve"> </w:t>
      </w:r>
      <w:r w:rsidRPr="00122311">
        <w:rPr>
          <w:rFonts w:ascii="Arial" w:hAnsi="Arial" w:cs="Arial"/>
          <w:sz w:val="19"/>
          <w:szCs w:val="19"/>
        </w:rPr>
        <w:t>deben utilizarse; etc</w:t>
      </w:r>
      <w:r>
        <w:rPr>
          <w:rFonts w:ascii="Arial" w:hAnsi="Arial" w:cs="Arial"/>
          <w:sz w:val="19"/>
          <w:szCs w:val="19"/>
        </w:rPr>
        <w:t>.» (</w:t>
      </w:r>
      <w:r w:rsidRPr="0040085D">
        <w:rPr>
          <w:rFonts w:ascii="Arial" w:hAnsi="Arial" w:cs="Arial"/>
          <w:i/>
          <w:iCs/>
          <w:sz w:val="19"/>
          <w:szCs w:val="19"/>
        </w:rPr>
        <w:t>Ibidem</w:t>
      </w:r>
      <w:r>
        <w:rPr>
          <w:rFonts w:ascii="Arial" w:hAnsi="Arial" w:cs="Arial"/>
          <w:sz w:val="19"/>
          <w:szCs w:val="19"/>
        </w:rPr>
        <w:t xml:space="preserve">).  </w:t>
      </w:r>
    </w:p>
    <w:p w14:paraId="32E9A604" w14:textId="77777777" w:rsidR="007B1929" w:rsidRPr="00122311" w:rsidRDefault="007B1929" w:rsidP="0099308E">
      <w:pPr>
        <w:pStyle w:val="Textonotapie"/>
        <w:ind w:firstLine="708"/>
        <w:jc w:val="both"/>
        <w:rPr>
          <w:rFonts w:ascii="Arial" w:hAnsi="Arial" w:cs="Arial"/>
          <w:sz w:val="19"/>
          <w:szCs w:val="19"/>
        </w:rPr>
      </w:pPr>
    </w:p>
  </w:footnote>
  <w:footnote w:id="12">
    <w:p w14:paraId="4892C1E4" w14:textId="77777777" w:rsidR="007B1929" w:rsidRPr="006B567C" w:rsidRDefault="007B1929" w:rsidP="0099308E">
      <w:pPr>
        <w:spacing w:line="259" w:lineRule="auto"/>
        <w:ind w:firstLine="708"/>
        <w:jc w:val="both"/>
        <w:rPr>
          <w:rFonts w:ascii="Arial" w:hAnsi="Arial" w:cs="Arial"/>
          <w:sz w:val="19"/>
          <w:szCs w:val="19"/>
        </w:rPr>
      </w:pPr>
      <w:r w:rsidRPr="00E611D3">
        <w:rPr>
          <w:rStyle w:val="Refdenotaalpie"/>
          <w:rFonts w:ascii="Arial" w:hAnsi="Arial" w:cs="Arial"/>
          <w:sz w:val="19"/>
          <w:szCs w:val="19"/>
        </w:rPr>
        <w:footnoteRef/>
      </w:r>
      <w:r w:rsidRPr="00E611D3">
        <w:rPr>
          <w:rFonts w:ascii="Arial" w:hAnsi="Arial" w:cs="Arial"/>
          <w:sz w:val="19"/>
          <w:szCs w:val="19"/>
        </w:rPr>
        <w:t xml:space="preserve"> </w:t>
      </w:r>
      <w:r w:rsidRPr="00092D39">
        <w:rPr>
          <w:rFonts w:ascii="Arial" w:hAnsi="Arial" w:cs="Arial"/>
          <w:sz w:val="19"/>
          <w:szCs w:val="19"/>
        </w:rPr>
        <w:t xml:space="preserve">El parágrafo 2 de la norma citada disponía que «El Gobierno nacional reglamentará el procedimiento de la cesión del contrato de que trata este artículo, en término no mayor a seis (6) meses». No obstante, conforme al comunicado de prensa del 25 de febrero de 2021, la norma fue declarada inexequible por la Corte Constitucional. Para estos efectos, «[…] la Corte consideró inexequible la atribución de facultades reglamentarias para el propósito de señalar cómo y a quién se va a ceder el contrato, pues tales asuntos deben ser definidos directamente por la ley […]». Por lo demás, «[…] Aclaró que la potestad reglamentaria opera solamente después de esta determinación legislativa» (Cfr. </w:t>
      </w:r>
      <w:hyperlink r:id="rId2" w:history="1">
        <w:r w:rsidRPr="00852C30">
          <w:rPr>
            <w:rStyle w:val="Hipervnculo"/>
            <w:rFonts w:ascii="Arial" w:hAnsi="Arial" w:cs="Arial"/>
            <w:color w:val="0E63A8" w:themeColor="text2"/>
            <w:sz w:val="19"/>
            <w:szCs w:val="19"/>
          </w:rPr>
          <w:t>https://www.beltranpardo.com/wp-content/uploads/2021/02/CorteConstitucional_Inexequibilidadpar%C3%A1grafo2Art6L2014.pdf</w:t>
        </w:r>
      </w:hyperlink>
      <w:r w:rsidRPr="00092D39">
        <w:rPr>
          <w:rFonts w:ascii="Arial" w:hAnsi="Arial" w:cs="Arial"/>
          <w:sz w:val="19"/>
          <w:szCs w:val="19"/>
        </w:rPr>
        <w:t>).</w:t>
      </w:r>
      <w:r>
        <w:rPr>
          <w:rFonts w:ascii="Arial" w:hAnsi="Arial" w:cs="Arial"/>
          <w:sz w:val="19"/>
          <w:szCs w:val="19"/>
        </w:rPr>
        <w:t xml:space="preserve">  </w:t>
      </w:r>
    </w:p>
    <w:p w14:paraId="41252AE2" w14:textId="77777777" w:rsidR="007B1929" w:rsidRPr="00E611D3" w:rsidRDefault="007B1929" w:rsidP="0099308E">
      <w:pPr>
        <w:pStyle w:val="Textonotapie"/>
        <w:ind w:firstLine="708"/>
        <w:jc w:val="both"/>
        <w:rPr>
          <w:rFonts w:ascii="Arial" w:hAnsi="Arial" w:cs="Arial"/>
          <w:sz w:val="19"/>
          <w:szCs w:val="19"/>
          <w:lang w:val="es-ES"/>
        </w:rPr>
      </w:pPr>
    </w:p>
  </w:footnote>
  <w:footnote w:id="13">
    <w:p w14:paraId="49EAFEE3" w14:textId="77777777" w:rsidR="007B1929" w:rsidRPr="0040085D" w:rsidRDefault="007B1929" w:rsidP="0099308E">
      <w:pPr>
        <w:pStyle w:val="Textonotapie"/>
        <w:ind w:firstLine="708"/>
        <w:jc w:val="both"/>
        <w:rPr>
          <w:rFonts w:ascii="Arial" w:hAnsi="Arial" w:cs="Arial"/>
          <w:sz w:val="19"/>
          <w:szCs w:val="19"/>
          <w:lang w:val="es-ES"/>
        </w:rPr>
      </w:pPr>
      <w:r w:rsidRPr="0040085D">
        <w:rPr>
          <w:rStyle w:val="Refdenotaalpie"/>
          <w:rFonts w:ascii="Arial" w:hAnsi="Arial" w:cs="Arial"/>
          <w:sz w:val="19"/>
          <w:szCs w:val="19"/>
        </w:rPr>
        <w:footnoteRef/>
      </w:r>
      <w:r w:rsidRPr="0040085D">
        <w:rPr>
          <w:rFonts w:ascii="Arial" w:hAnsi="Arial" w:cs="Arial"/>
          <w:sz w:val="19"/>
          <w:szCs w:val="19"/>
        </w:rPr>
        <w:t xml:space="preserve"> </w:t>
      </w:r>
      <w:r>
        <w:rPr>
          <w:rFonts w:ascii="Arial" w:hAnsi="Arial" w:cs="Arial"/>
          <w:sz w:val="19"/>
          <w:szCs w:val="19"/>
        </w:rPr>
        <w:t xml:space="preserve">Cfr. </w:t>
      </w:r>
      <w:r w:rsidRPr="0040085D">
        <w:rPr>
          <w:rFonts w:ascii="Arial" w:hAnsi="Arial" w:cs="Arial"/>
          <w:sz w:val="19"/>
          <w:szCs w:val="19"/>
        </w:rPr>
        <w:t>CORTE CONSTITUCIONAL. Sentencia C-619 del 14 de junio de 2001. M.P. Marco Gerardo Monr</w:t>
      </w:r>
      <w:r>
        <w:rPr>
          <w:rFonts w:ascii="Arial" w:hAnsi="Arial" w:cs="Arial"/>
          <w:sz w:val="19"/>
          <w:szCs w:val="19"/>
        </w:rPr>
        <w:t>o</w:t>
      </w:r>
      <w:r w:rsidRPr="0040085D">
        <w:rPr>
          <w:rFonts w:ascii="Arial" w:hAnsi="Arial" w:cs="Arial"/>
          <w:sz w:val="19"/>
          <w:szCs w:val="19"/>
        </w:rPr>
        <w:t>y Cabra</w:t>
      </w:r>
      <w:r>
        <w:rPr>
          <w:rFonts w:ascii="Arial" w:hAnsi="Arial" w:cs="Arial"/>
          <w:sz w:val="19"/>
          <w:szCs w:val="19"/>
        </w:rPr>
        <w:t xml:space="preserve">. </w:t>
      </w:r>
    </w:p>
  </w:footnote>
  <w:footnote w:id="14">
    <w:p w14:paraId="57411BB0" w14:textId="77777777" w:rsidR="007B1929" w:rsidRDefault="007B1929" w:rsidP="0099308E">
      <w:pPr>
        <w:pStyle w:val="Textonotapie"/>
        <w:ind w:firstLine="708"/>
        <w:jc w:val="both"/>
        <w:rPr>
          <w:rFonts w:ascii="Arial" w:hAnsi="Arial" w:cs="Arial"/>
          <w:sz w:val="19"/>
          <w:szCs w:val="19"/>
        </w:rPr>
      </w:pPr>
    </w:p>
    <w:p w14:paraId="77D004E1" w14:textId="77777777" w:rsidR="007B1929" w:rsidRDefault="007B1929" w:rsidP="0099308E">
      <w:pPr>
        <w:pStyle w:val="Textonotapie"/>
        <w:ind w:firstLine="708"/>
        <w:jc w:val="both"/>
        <w:rPr>
          <w:rFonts w:ascii="Arial" w:hAnsi="Arial" w:cs="Arial"/>
          <w:sz w:val="19"/>
          <w:szCs w:val="19"/>
        </w:rPr>
      </w:pPr>
      <w:r w:rsidRPr="00002995">
        <w:rPr>
          <w:rStyle w:val="Refdenotaalpie"/>
          <w:rFonts w:ascii="Arial" w:hAnsi="Arial" w:cs="Arial"/>
          <w:sz w:val="19"/>
          <w:szCs w:val="19"/>
        </w:rPr>
        <w:footnoteRef/>
      </w:r>
      <w:r w:rsidRPr="00002995">
        <w:rPr>
          <w:rFonts w:ascii="Arial" w:hAnsi="Arial" w:cs="Arial"/>
          <w:sz w:val="19"/>
          <w:szCs w:val="19"/>
        </w:rPr>
        <w:t xml:space="preserve"> CONSEJO DE ESTADO. Sección Tercera. Auto de 1 de abril de 2009. </w:t>
      </w:r>
      <w:r w:rsidRPr="00002995">
        <w:rPr>
          <w:rFonts w:ascii="Arial" w:hAnsi="Arial" w:cs="Arial"/>
          <w:sz w:val="19"/>
          <w:szCs w:val="19"/>
        </w:rPr>
        <w:t xml:space="preserve">Exp. 36476. M.P. Ruth Stella Correa Palacio.  </w:t>
      </w:r>
    </w:p>
    <w:p w14:paraId="025812B2" w14:textId="77777777" w:rsidR="007B1929" w:rsidRPr="00002995" w:rsidRDefault="007B1929" w:rsidP="0099308E">
      <w:pPr>
        <w:pStyle w:val="Textonotapie"/>
        <w:ind w:firstLine="708"/>
        <w:jc w:val="both"/>
        <w:rPr>
          <w:rFonts w:ascii="Arial" w:hAnsi="Arial" w:cs="Arial"/>
          <w:sz w:val="19"/>
          <w:szCs w:val="19"/>
        </w:rPr>
      </w:pPr>
    </w:p>
  </w:footnote>
  <w:footnote w:id="15">
    <w:p w14:paraId="07D1D9F6" w14:textId="77777777" w:rsidR="007B1929" w:rsidRPr="005716A8" w:rsidRDefault="007B1929" w:rsidP="0099308E">
      <w:pPr>
        <w:pStyle w:val="Textonotapie"/>
        <w:ind w:firstLine="708"/>
        <w:jc w:val="both"/>
        <w:rPr>
          <w:rFonts w:ascii="Arial" w:hAnsi="Arial" w:cs="Arial"/>
          <w:sz w:val="19"/>
          <w:szCs w:val="19"/>
          <w:lang w:val="es-ES"/>
        </w:rPr>
      </w:pPr>
      <w:r w:rsidRPr="002267EA">
        <w:rPr>
          <w:rStyle w:val="Refdenotaalpie"/>
          <w:rFonts w:ascii="Arial" w:hAnsi="Arial" w:cs="Arial"/>
          <w:sz w:val="19"/>
          <w:szCs w:val="19"/>
        </w:rPr>
        <w:footnoteRef/>
      </w:r>
      <w:r w:rsidRPr="002267EA">
        <w:rPr>
          <w:rFonts w:ascii="Arial" w:hAnsi="Arial" w:cs="Arial"/>
          <w:sz w:val="19"/>
          <w:szCs w:val="19"/>
        </w:rPr>
        <w:t xml:space="preserve"> CONGRESO DE LA REPÚBLICA. Gaceta No. 670 del 11 de agosto de 2020. Exposición de motivos del Proyecto de Ley No. 122 de 2020 Cámara. pp. 3-4.</w:t>
      </w:r>
    </w:p>
  </w:footnote>
  <w:footnote w:id="16">
    <w:p w14:paraId="18A354B0" w14:textId="77777777" w:rsidR="007B1929" w:rsidRDefault="007B1929" w:rsidP="0099308E">
      <w:pPr>
        <w:pStyle w:val="Textonotapie"/>
        <w:ind w:firstLine="708"/>
        <w:jc w:val="both"/>
        <w:rPr>
          <w:rFonts w:ascii="Arial" w:hAnsi="Arial" w:cs="Arial"/>
          <w:sz w:val="19"/>
          <w:szCs w:val="19"/>
        </w:rPr>
      </w:pPr>
    </w:p>
    <w:p w14:paraId="4CF4B5C0" w14:textId="77777777" w:rsidR="007B1929" w:rsidRDefault="007B1929" w:rsidP="0099308E">
      <w:pPr>
        <w:pStyle w:val="Textonotapie"/>
        <w:ind w:firstLine="708"/>
        <w:jc w:val="both"/>
        <w:rPr>
          <w:rFonts w:ascii="Arial" w:hAnsi="Arial" w:cs="Arial"/>
          <w:sz w:val="19"/>
          <w:szCs w:val="19"/>
        </w:rPr>
      </w:pPr>
      <w:r w:rsidRPr="00AC3DCF">
        <w:rPr>
          <w:rStyle w:val="Refdenotaalpie"/>
          <w:rFonts w:ascii="Arial" w:hAnsi="Arial" w:cs="Arial"/>
          <w:sz w:val="19"/>
          <w:szCs w:val="19"/>
        </w:rPr>
        <w:footnoteRef/>
      </w:r>
      <w:r w:rsidRPr="00AC3DCF">
        <w:rPr>
          <w:rFonts w:ascii="Arial" w:hAnsi="Arial" w:cs="Arial"/>
          <w:sz w:val="19"/>
          <w:szCs w:val="19"/>
        </w:rPr>
        <w:t xml:space="preserve"> </w:t>
      </w:r>
      <w:r>
        <w:rPr>
          <w:rFonts w:ascii="Arial" w:hAnsi="Arial" w:cs="Arial"/>
          <w:sz w:val="19"/>
          <w:szCs w:val="19"/>
        </w:rPr>
        <w:t>MARÍN CORTÉS, Fabián Gonzalo. El reglamento, como fuente del derecho administrativo. En: las fuentes del derecho administrativo. Texto inédito. p. 203.</w:t>
      </w:r>
    </w:p>
    <w:p w14:paraId="62ED5ED4" w14:textId="77777777" w:rsidR="007B1929" w:rsidRPr="00AC3DCF" w:rsidRDefault="007B1929" w:rsidP="0099308E">
      <w:pPr>
        <w:pStyle w:val="Textonotapie"/>
        <w:ind w:firstLine="708"/>
        <w:jc w:val="both"/>
        <w:rPr>
          <w:rFonts w:ascii="Arial" w:hAnsi="Arial" w:cs="Arial"/>
          <w:sz w:val="19"/>
          <w:szCs w:val="19"/>
          <w:lang w:val="es-ES"/>
        </w:rPr>
      </w:pPr>
    </w:p>
  </w:footnote>
  <w:footnote w:id="17">
    <w:p w14:paraId="475BC587" w14:textId="77777777" w:rsidR="007B1929" w:rsidRPr="00AC3DCF" w:rsidRDefault="007B1929" w:rsidP="0099308E">
      <w:pPr>
        <w:pStyle w:val="Textonotapie"/>
        <w:ind w:firstLine="708"/>
        <w:jc w:val="both"/>
        <w:rPr>
          <w:rFonts w:ascii="Arial" w:hAnsi="Arial" w:cs="Arial"/>
          <w:sz w:val="19"/>
          <w:szCs w:val="19"/>
          <w:lang w:val="es-ES"/>
        </w:rPr>
      </w:pPr>
      <w:r w:rsidRPr="00AC3DCF">
        <w:rPr>
          <w:rStyle w:val="Refdenotaalpie"/>
          <w:rFonts w:ascii="Arial" w:hAnsi="Arial" w:cs="Arial"/>
          <w:sz w:val="19"/>
          <w:szCs w:val="19"/>
        </w:rPr>
        <w:footnoteRef/>
      </w:r>
      <w:r w:rsidRPr="00AC3DCF">
        <w:rPr>
          <w:rFonts w:ascii="Arial" w:hAnsi="Arial" w:cs="Arial"/>
          <w:sz w:val="19"/>
          <w:szCs w:val="19"/>
        </w:rPr>
        <w:t xml:space="preserve"> </w:t>
      </w:r>
      <w:r w:rsidRPr="002B3689">
        <w:rPr>
          <w:rFonts w:ascii="Arial" w:hAnsi="Arial" w:cs="Arial"/>
          <w:i/>
          <w:iCs/>
          <w:sz w:val="19"/>
          <w:szCs w:val="19"/>
        </w:rPr>
        <w:t>Ibidem</w:t>
      </w:r>
      <w:r>
        <w:rPr>
          <w:rFonts w:ascii="Arial" w:hAnsi="Arial" w:cs="Arial"/>
          <w:sz w:val="19"/>
          <w:szCs w:val="19"/>
        </w:rPr>
        <w:t>.</w:t>
      </w:r>
    </w:p>
  </w:footnote>
  <w:footnote w:id="18">
    <w:p w14:paraId="26B5B612" w14:textId="77777777" w:rsidR="007B1929" w:rsidRDefault="007B1929" w:rsidP="0099308E">
      <w:pPr>
        <w:pStyle w:val="Textonotapie"/>
        <w:ind w:firstLine="708"/>
        <w:jc w:val="both"/>
        <w:rPr>
          <w:rFonts w:ascii="Arial" w:hAnsi="Arial" w:cs="Arial"/>
          <w:sz w:val="19"/>
          <w:szCs w:val="19"/>
        </w:rPr>
      </w:pPr>
      <w:r w:rsidRPr="00CD087C">
        <w:rPr>
          <w:rStyle w:val="Refdenotaalpie"/>
          <w:rFonts w:ascii="Arial" w:hAnsi="Arial" w:cs="Arial"/>
          <w:sz w:val="19"/>
          <w:szCs w:val="19"/>
        </w:rPr>
        <w:footnoteRef/>
      </w:r>
      <w:r w:rsidRPr="00CD087C">
        <w:rPr>
          <w:rFonts w:ascii="Arial" w:hAnsi="Arial" w:cs="Arial"/>
          <w:sz w:val="19"/>
          <w:szCs w:val="19"/>
        </w:rPr>
        <w:t xml:space="preserve"> Al respecto</w:t>
      </w:r>
      <w:r>
        <w:rPr>
          <w:rFonts w:ascii="Arial" w:hAnsi="Arial" w:cs="Arial"/>
          <w:sz w:val="19"/>
          <w:szCs w:val="19"/>
        </w:rPr>
        <w:t xml:space="preserve">, la jurisprudencia explica que «[…] </w:t>
      </w:r>
      <w:r w:rsidRPr="00CD087C">
        <w:rPr>
          <w:rFonts w:ascii="Arial" w:hAnsi="Arial" w:cs="Arial"/>
          <w:sz w:val="19"/>
          <w:szCs w:val="19"/>
        </w:rPr>
        <w:t>los contratos sin formalidades plenas no están previstos por la legislación nacional, pues</w:t>
      </w:r>
      <w:r>
        <w:rPr>
          <w:rFonts w:ascii="Arial" w:hAnsi="Arial" w:cs="Arial"/>
          <w:sz w:val="19"/>
          <w:szCs w:val="19"/>
        </w:rPr>
        <w:t xml:space="preserve"> […]</w:t>
      </w:r>
      <w:r w:rsidRPr="00CD087C">
        <w:rPr>
          <w:rFonts w:ascii="Arial" w:hAnsi="Arial" w:cs="Arial"/>
          <w:sz w:val="19"/>
          <w:szCs w:val="19"/>
        </w:rPr>
        <w:t xml:space="preserve"> el parágrafo del artículo 39 de la Ley 80 de 1993 fue derogado por el artículo 32 de la Ley 1150 de 2007. Ahora se les denomina contratos de mínima cuantía y se encuentran regulados por los artículos 2 de la Ley 1150 de 2007 y 94 de la Ley 1474 de 2011 </w:t>
      </w:r>
      <w:r>
        <w:rPr>
          <w:rFonts w:ascii="Arial" w:hAnsi="Arial" w:cs="Arial"/>
          <w:sz w:val="19"/>
          <w:szCs w:val="19"/>
        </w:rPr>
        <w:t>[…]</w:t>
      </w:r>
      <w:r w:rsidRPr="00CD087C">
        <w:rPr>
          <w:rFonts w:ascii="Arial" w:hAnsi="Arial" w:cs="Arial"/>
          <w:sz w:val="19"/>
          <w:szCs w:val="19"/>
        </w:rPr>
        <w:t>; no obstante la denominación que reciban, realmente los contratos de mínima cuantía están desprovistos de algunas formalidades, como la instrumentación por escrito del acto contractual y ello hace que el tratamiento sea muy similar al que reciben los denominados contratos sin formalidades plenas; sin embargo, es de anotar que en el proceso de formación del consentimiento en los contratos de mínima cuantía, quien presenta la oferta es quien tiene la expectativa de contratar con la entidad estatal y ésta, a su turno, es la que acepta, de manera expresa e incondicional, la oferta presentada por el particular, sin que en estos casos pueda darse el perfeccionamiento del contrato por el consentimiento tácito de los intervinientes, contrario a lo que sucedía en los contratos sin formalidades plenas</w:t>
      </w:r>
      <w:r>
        <w:rPr>
          <w:rFonts w:ascii="Arial" w:hAnsi="Arial" w:cs="Arial"/>
          <w:sz w:val="19"/>
          <w:szCs w:val="19"/>
        </w:rPr>
        <w:t xml:space="preserve">» (CONSEJO DE ESTADO. Sección Tercera. Subsección A. Sentencia del 3 de octubre de 2012. </w:t>
      </w:r>
      <w:r>
        <w:rPr>
          <w:rFonts w:ascii="Arial" w:hAnsi="Arial" w:cs="Arial"/>
          <w:sz w:val="19"/>
          <w:szCs w:val="19"/>
        </w:rPr>
        <w:t xml:space="preserve">Exp. 26.140. C.P. </w:t>
      </w:r>
      <w:r w:rsidRPr="0005595F">
        <w:rPr>
          <w:rFonts w:ascii="Arial" w:hAnsi="Arial" w:cs="Arial"/>
          <w:sz w:val="19"/>
          <w:szCs w:val="19"/>
        </w:rPr>
        <w:t>Carlos Alberto Zambrano Barrera</w:t>
      </w:r>
      <w:r>
        <w:rPr>
          <w:rFonts w:ascii="Arial" w:hAnsi="Arial" w:cs="Arial"/>
          <w:sz w:val="19"/>
          <w:szCs w:val="19"/>
        </w:rPr>
        <w:t>).</w:t>
      </w:r>
    </w:p>
    <w:p w14:paraId="241684D7" w14:textId="77777777" w:rsidR="007B1929" w:rsidRPr="00CD087C" w:rsidRDefault="007B1929" w:rsidP="0099308E">
      <w:pPr>
        <w:pStyle w:val="Textonotapie"/>
        <w:ind w:firstLine="708"/>
        <w:jc w:val="both"/>
        <w:rPr>
          <w:rFonts w:ascii="Arial" w:hAnsi="Arial" w:cs="Arial"/>
          <w:sz w:val="19"/>
          <w:szCs w:val="19"/>
          <w:lang w:val="es-ES"/>
        </w:rPr>
      </w:pPr>
    </w:p>
  </w:footnote>
  <w:footnote w:id="19">
    <w:p w14:paraId="0EF2FDB5" w14:textId="77777777" w:rsidR="007B1929" w:rsidRPr="00660495" w:rsidRDefault="007B1929" w:rsidP="0099308E">
      <w:pPr>
        <w:pStyle w:val="Textonotapie"/>
        <w:ind w:firstLine="708"/>
        <w:jc w:val="both"/>
        <w:rPr>
          <w:rFonts w:ascii="Arial" w:hAnsi="Arial" w:cs="Arial"/>
          <w:sz w:val="19"/>
          <w:szCs w:val="19"/>
        </w:rPr>
      </w:pPr>
      <w:r w:rsidRPr="00660495">
        <w:rPr>
          <w:rStyle w:val="Refdenotaalpie"/>
          <w:rFonts w:ascii="Arial" w:hAnsi="Arial" w:cs="Arial"/>
          <w:sz w:val="19"/>
          <w:szCs w:val="19"/>
        </w:rPr>
        <w:footnoteRef/>
      </w:r>
      <w:r w:rsidRPr="00660495">
        <w:rPr>
          <w:rFonts w:ascii="Arial" w:hAnsi="Arial" w:cs="Arial"/>
          <w:sz w:val="19"/>
          <w:szCs w:val="19"/>
        </w:rPr>
        <w:t xml:space="preserve"> </w:t>
      </w:r>
      <w:r>
        <w:rPr>
          <w:rFonts w:ascii="Arial" w:hAnsi="Arial" w:cs="Arial"/>
          <w:sz w:val="19"/>
          <w:szCs w:val="19"/>
        </w:rPr>
        <w:t>Ambas normas disponen lo siguiente: «</w:t>
      </w:r>
      <w:r w:rsidRPr="00660495">
        <w:rPr>
          <w:rFonts w:ascii="Arial" w:hAnsi="Arial" w:cs="Arial"/>
          <w:sz w:val="19"/>
          <w:szCs w:val="19"/>
        </w:rPr>
        <w:t>5) Contratación mínima cuantía. La contratación cuyo valor no excede del 10 por ciento de la menor cuantía de la entidad independientemente de su objeto, se efectuará de conformidad con las siguientes reglas:</w:t>
      </w:r>
    </w:p>
    <w:p w14:paraId="1AFBB4D0" w14:textId="77777777" w:rsidR="007B1929" w:rsidRPr="00660495" w:rsidRDefault="007B1929" w:rsidP="0099308E">
      <w:pPr>
        <w:pStyle w:val="Textonotapie"/>
        <w:ind w:firstLine="708"/>
        <w:jc w:val="both"/>
        <w:rPr>
          <w:rFonts w:ascii="Arial" w:hAnsi="Arial" w:cs="Arial"/>
          <w:sz w:val="19"/>
          <w:szCs w:val="19"/>
        </w:rPr>
      </w:pPr>
      <w:r>
        <w:rPr>
          <w:rFonts w:ascii="Arial" w:hAnsi="Arial" w:cs="Arial"/>
          <w:sz w:val="19"/>
          <w:szCs w:val="19"/>
        </w:rPr>
        <w:t>»</w:t>
      </w:r>
      <w:r w:rsidRPr="00660495">
        <w:rPr>
          <w:rFonts w:ascii="Arial" w:hAnsi="Arial" w:cs="Arial"/>
          <w:sz w:val="19"/>
          <w:szCs w:val="19"/>
        </w:rPr>
        <w:t>a) Se publicará una invitación, por un término no inferior a un día hábil, en la cual se señalará el objeto a contratar, el presupuesto destinado para tal fin, así como las condiciones técnicas exigidas;</w:t>
      </w:r>
    </w:p>
    <w:p w14:paraId="455461E9" w14:textId="77777777" w:rsidR="007B1929" w:rsidRPr="00660495" w:rsidRDefault="007B1929" w:rsidP="0099308E">
      <w:pPr>
        <w:pStyle w:val="Textonotapie"/>
        <w:ind w:firstLine="708"/>
        <w:jc w:val="both"/>
        <w:rPr>
          <w:rFonts w:ascii="Arial" w:hAnsi="Arial" w:cs="Arial"/>
          <w:sz w:val="19"/>
          <w:szCs w:val="19"/>
        </w:rPr>
      </w:pPr>
      <w:r>
        <w:rPr>
          <w:rFonts w:ascii="Arial" w:hAnsi="Arial" w:cs="Arial"/>
          <w:sz w:val="19"/>
          <w:szCs w:val="19"/>
        </w:rPr>
        <w:t>»</w:t>
      </w:r>
      <w:r w:rsidRPr="00660495">
        <w:rPr>
          <w:rFonts w:ascii="Arial" w:hAnsi="Arial" w:cs="Arial"/>
          <w:sz w:val="19"/>
          <w:szCs w:val="19"/>
        </w:rPr>
        <w:t>b) El término previsto en la invitación para presentar la oferta no podrá ser inferior a un día hábil;</w:t>
      </w:r>
    </w:p>
    <w:p w14:paraId="513CF306" w14:textId="77777777" w:rsidR="007B1929" w:rsidRPr="00660495" w:rsidRDefault="007B1929" w:rsidP="0099308E">
      <w:pPr>
        <w:pStyle w:val="Textonotapie"/>
        <w:ind w:firstLine="708"/>
        <w:jc w:val="both"/>
        <w:rPr>
          <w:rFonts w:ascii="Arial" w:hAnsi="Arial" w:cs="Arial"/>
          <w:sz w:val="19"/>
          <w:szCs w:val="19"/>
        </w:rPr>
      </w:pPr>
      <w:r>
        <w:rPr>
          <w:rFonts w:ascii="Arial" w:hAnsi="Arial" w:cs="Arial"/>
          <w:sz w:val="19"/>
          <w:szCs w:val="19"/>
        </w:rPr>
        <w:t>»</w:t>
      </w:r>
      <w:r w:rsidRPr="00660495">
        <w:rPr>
          <w:rFonts w:ascii="Arial" w:hAnsi="Arial" w:cs="Arial"/>
          <w:sz w:val="19"/>
          <w:szCs w:val="19"/>
        </w:rPr>
        <w:t>c) La entidad seleccionará, mediante comunicación de aceptación de la oferta, la propuesta con el menor precio, siempre y cuando cumpla con las condiciones exigidas;</w:t>
      </w:r>
    </w:p>
    <w:p w14:paraId="2A43FCAE" w14:textId="77777777" w:rsidR="007B1929" w:rsidRPr="00660495" w:rsidRDefault="007B1929" w:rsidP="0099308E">
      <w:pPr>
        <w:pStyle w:val="Textonotapie"/>
        <w:ind w:firstLine="708"/>
        <w:jc w:val="both"/>
        <w:rPr>
          <w:rFonts w:ascii="Arial" w:hAnsi="Arial" w:cs="Arial"/>
          <w:sz w:val="19"/>
          <w:szCs w:val="19"/>
          <w:lang w:val="es-ES"/>
        </w:rPr>
      </w:pPr>
      <w:r>
        <w:rPr>
          <w:rFonts w:ascii="Arial" w:hAnsi="Arial" w:cs="Arial"/>
          <w:sz w:val="19"/>
          <w:szCs w:val="19"/>
        </w:rPr>
        <w:t>»</w:t>
      </w:r>
      <w:r w:rsidRPr="00660495">
        <w:rPr>
          <w:rFonts w:ascii="Arial" w:hAnsi="Arial" w:cs="Arial"/>
          <w:sz w:val="19"/>
          <w:szCs w:val="19"/>
        </w:rPr>
        <w:t>d) La comunicación de aceptación junto con la oferta constituye para todos los efectos el contrato celebrado, con base en lo cual se efectuará el respectivo registro presupuestal</w:t>
      </w:r>
      <w:r>
        <w:rPr>
          <w:rFonts w:ascii="Arial" w:hAnsi="Arial" w:cs="Arial"/>
          <w:sz w:val="19"/>
          <w:szCs w:val="19"/>
        </w:rPr>
        <w:t>»</w:t>
      </w:r>
      <w:r w:rsidRPr="00660495">
        <w:rPr>
          <w:rFonts w:ascii="Arial" w:hAnsi="Arial" w:cs="Arial"/>
          <w:sz w:val="19"/>
          <w:szCs w:val="19"/>
        </w:rPr>
        <w:t>.</w:t>
      </w:r>
    </w:p>
  </w:footnote>
  <w:footnote w:id="20">
    <w:p w14:paraId="0D416E57" w14:textId="77777777" w:rsidR="007B1929" w:rsidRPr="001E0DB0" w:rsidRDefault="007B1929" w:rsidP="0099308E">
      <w:pPr>
        <w:pStyle w:val="Textonotapie"/>
        <w:ind w:firstLine="708"/>
        <w:jc w:val="both"/>
        <w:rPr>
          <w:rFonts w:ascii="Arial" w:hAnsi="Arial" w:cs="Arial"/>
          <w:sz w:val="19"/>
          <w:szCs w:val="19"/>
          <w:lang w:val="es-ES"/>
        </w:rPr>
      </w:pPr>
      <w:r w:rsidRPr="001E0DB0">
        <w:rPr>
          <w:rStyle w:val="Refdenotaalpie"/>
          <w:rFonts w:ascii="Arial" w:hAnsi="Arial" w:cs="Arial"/>
          <w:sz w:val="19"/>
          <w:szCs w:val="19"/>
        </w:rPr>
        <w:footnoteRef/>
      </w:r>
      <w:r w:rsidRPr="001E0DB0">
        <w:rPr>
          <w:rFonts w:ascii="Arial" w:hAnsi="Arial" w:cs="Arial"/>
          <w:sz w:val="19"/>
          <w:szCs w:val="19"/>
        </w:rPr>
        <w:t xml:space="preserve"> </w:t>
      </w:r>
      <w:r>
        <w:rPr>
          <w:rFonts w:ascii="Arial" w:hAnsi="Arial" w:cs="Arial"/>
          <w:sz w:val="19"/>
          <w:szCs w:val="19"/>
        </w:rPr>
        <w:t xml:space="preserve">BENAVIDES, José Luis. La potestad reglamentaria en la contratación pública. En: Contratos públicos: Estudios. Bogotá: Universidad Externado de Colombia, 2014. </w:t>
      </w:r>
      <w:r w:rsidRPr="001E0DB0">
        <w:rPr>
          <w:rFonts w:ascii="Arial" w:hAnsi="Arial" w:cs="Arial"/>
          <w:sz w:val="19"/>
          <w:szCs w:val="19"/>
        </w:rPr>
        <w:t>p. 174</w:t>
      </w:r>
      <w:r>
        <w:rPr>
          <w:rFonts w:ascii="Arial" w:hAnsi="Arial" w:cs="Arial"/>
          <w:sz w:val="19"/>
          <w:szCs w:val="19"/>
        </w:rPr>
        <w:t>.</w:t>
      </w:r>
    </w:p>
  </w:footnote>
  <w:footnote w:id="21">
    <w:p w14:paraId="2232ABE4" w14:textId="77777777" w:rsidR="007B1929" w:rsidRPr="00852C30" w:rsidRDefault="007B1929" w:rsidP="0099308E">
      <w:pPr>
        <w:pStyle w:val="Textonotapie"/>
        <w:ind w:firstLine="708"/>
        <w:jc w:val="both"/>
        <w:rPr>
          <w:rFonts w:ascii="Arial" w:hAnsi="Arial" w:cs="Arial"/>
          <w:sz w:val="19"/>
          <w:szCs w:val="19"/>
        </w:rPr>
      </w:pPr>
      <w:r w:rsidRPr="00852C30">
        <w:rPr>
          <w:rStyle w:val="Refdenotaalpie"/>
          <w:rFonts w:ascii="Arial" w:hAnsi="Arial" w:cs="Arial"/>
          <w:sz w:val="19"/>
          <w:szCs w:val="19"/>
        </w:rPr>
        <w:footnoteRef/>
      </w:r>
      <w:r w:rsidRPr="00852C30">
        <w:rPr>
          <w:rFonts w:ascii="Arial" w:hAnsi="Arial" w:cs="Arial"/>
          <w:sz w:val="19"/>
          <w:szCs w:val="19"/>
        </w:rPr>
        <w:t xml:space="preserve"> </w:t>
      </w:r>
      <w:r w:rsidRPr="00104AD6">
        <w:rPr>
          <w:rFonts w:ascii="Arial" w:hAnsi="Arial" w:cs="Arial"/>
          <w:sz w:val="19"/>
          <w:szCs w:val="19"/>
        </w:rPr>
        <w:t>Esta norma dispone que los actos administrativos no pueden ejecutarse «Cuando desaparezcan sus fundamentos de hecho o de derecho».</w:t>
      </w:r>
    </w:p>
  </w:footnote>
  <w:footnote w:id="22">
    <w:p w14:paraId="0CF90AB8" w14:textId="77777777" w:rsidR="007B1929" w:rsidRPr="004C0463" w:rsidRDefault="007B1929" w:rsidP="0099308E">
      <w:pPr>
        <w:pStyle w:val="Textonotapie"/>
        <w:ind w:firstLine="708"/>
        <w:jc w:val="both"/>
        <w:rPr>
          <w:rFonts w:ascii="Arial" w:hAnsi="Arial" w:cs="Arial"/>
          <w:sz w:val="19"/>
          <w:szCs w:val="19"/>
        </w:rPr>
      </w:pPr>
      <w:r w:rsidRPr="004C0463">
        <w:rPr>
          <w:rStyle w:val="Refdenotaalpie"/>
          <w:rFonts w:ascii="Arial" w:hAnsi="Arial" w:cs="Arial"/>
          <w:sz w:val="19"/>
          <w:szCs w:val="19"/>
        </w:rPr>
        <w:footnoteRef/>
      </w:r>
      <w:r w:rsidRPr="004C0463">
        <w:rPr>
          <w:rFonts w:ascii="Arial" w:hAnsi="Arial" w:cs="Arial"/>
          <w:sz w:val="19"/>
          <w:szCs w:val="19"/>
        </w:rPr>
        <w:t xml:space="preserve"> </w:t>
      </w:r>
      <w:r>
        <w:rPr>
          <w:rFonts w:ascii="Arial" w:hAnsi="Arial" w:cs="Arial"/>
          <w:sz w:val="19"/>
          <w:szCs w:val="19"/>
        </w:rPr>
        <w:t>En los demás incisos, ambas normas tienen una redacción similar cuando prescriben que: «</w:t>
      </w:r>
      <w:r w:rsidRPr="004C0463">
        <w:rPr>
          <w:rFonts w:ascii="Arial" w:hAnsi="Arial" w:cs="Arial"/>
          <w:sz w:val="19"/>
          <w:szCs w:val="19"/>
        </w:rPr>
        <w:t xml:space="preserve">De igual forma, en los pliegos de condiciones </w:t>
      </w:r>
      <w:bookmarkStart w:id="17" w:name="_Hlk63844516"/>
      <w:r w:rsidRPr="004C0463">
        <w:rPr>
          <w:rFonts w:ascii="Arial" w:hAnsi="Arial" w:cs="Arial"/>
          <w:sz w:val="19"/>
          <w:szCs w:val="19"/>
        </w:rPr>
        <w:t>las entidades estatales, dispondrán, de mecanismos que fomenten en la ejecución de los contratos estatales la provisión de bienes y servicios por población en pobreza extrema, desplazados por la violencia, personas en proceso de reintegración y, sujetos de especial protección constitucional en las condiciones que señale el reglamento</w:t>
      </w:r>
      <w:bookmarkEnd w:id="17"/>
      <w:r w:rsidRPr="004C0463">
        <w:rPr>
          <w:rFonts w:ascii="Arial" w:hAnsi="Arial" w:cs="Arial"/>
          <w:sz w:val="19"/>
          <w:szCs w:val="19"/>
        </w:rPr>
        <w:t>; siempre que se garanticen las condiciones de calidad y cumplimiento del objeto contractual</w:t>
      </w:r>
      <w:r>
        <w:rPr>
          <w:rFonts w:ascii="Arial" w:hAnsi="Arial" w:cs="Arial"/>
          <w:sz w:val="19"/>
          <w:szCs w:val="19"/>
        </w:rPr>
        <w:t>.</w:t>
      </w:r>
    </w:p>
    <w:p w14:paraId="491CF3DC" w14:textId="77777777" w:rsidR="007B1929" w:rsidRPr="004C0463" w:rsidRDefault="007B1929" w:rsidP="0099308E">
      <w:pPr>
        <w:pStyle w:val="Textonotapie"/>
        <w:ind w:firstLine="708"/>
        <w:jc w:val="both"/>
        <w:rPr>
          <w:rFonts w:ascii="Arial" w:hAnsi="Arial" w:cs="Arial"/>
          <w:sz w:val="19"/>
          <w:szCs w:val="19"/>
        </w:rPr>
      </w:pPr>
      <w:r>
        <w:rPr>
          <w:rFonts w:ascii="Arial" w:hAnsi="Arial" w:cs="Arial"/>
          <w:sz w:val="19"/>
          <w:szCs w:val="19"/>
        </w:rPr>
        <w:t>»</w:t>
      </w:r>
      <w:r w:rsidRPr="004C0463">
        <w:rPr>
          <w:rFonts w:ascii="Arial" w:hAnsi="Arial" w:cs="Arial"/>
          <w:sz w:val="19"/>
          <w:szCs w:val="19"/>
        </w:rPr>
        <w:t xml:space="preserve">Parágrafo 1°. En los procesos de selección que se desarrollen con base en el primer inciso, las entidades podrán realizar las convocatorias limitadas que beneficien a las </w:t>
      </w:r>
      <w:r w:rsidRPr="004C0463">
        <w:rPr>
          <w:rFonts w:ascii="Arial" w:hAnsi="Arial" w:cs="Arial"/>
          <w:sz w:val="19"/>
          <w:szCs w:val="19"/>
        </w:rPr>
        <w:t>Mipymes del ámbito municipal o departamental correspondiente al de la ejecución del contrato.</w:t>
      </w:r>
    </w:p>
    <w:p w14:paraId="76C40F8B" w14:textId="77777777" w:rsidR="007B1929" w:rsidRPr="004C0463" w:rsidRDefault="007B1929" w:rsidP="0099308E">
      <w:pPr>
        <w:pStyle w:val="Textonotapie"/>
        <w:ind w:firstLine="708"/>
        <w:jc w:val="both"/>
        <w:rPr>
          <w:rFonts w:ascii="Arial" w:hAnsi="Arial" w:cs="Arial"/>
          <w:sz w:val="19"/>
          <w:szCs w:val="19"/>
        </w:rPr>
      </w:pPr>
      <w:r>
        <w:rPr>
          <w:rFonts w:ascii="Arial" w:hAnsi="Arial" w:cs="Arial"/>
          <w:sz w:val="19"/>
          <w:szCs w:val="19"/>
        </w:rPr>
        <w:t>»</w:t>
      </w:r>
      <w:r w:rsidRPr="004C0463">
        <w:rPr>
          <w:rFonts w:ascii="Arial" w:hAnsi="Arial" w:cs="Arial"/>
          <w:sz w:val="19"/>
          <w:szCs w:val="19"/>
        </w:rPr>
        <w:t>Parágrafo 2°. Sin perjuicio de lo dispuesto en los artículos 5 y 6 de la Ley 1150 de 2007, para que las Mipymes puedan participar en las convocatorias a las que se refiere este artículo, deberán acreditar como mínimo un año de existencia, para lo cual deberán presentar el certificado expedido por la cámara de comercio o por la autoridad que sea competente para dicha acreditación.</w:t>
      </w:r>
    </w:p>
    <w:p w14:paraId="5A95326B" w14:textId="77777777" w:rsidR="007B1929" w:rsidRDefault="007B1929" w:rsidP="0099308E">
      <w:pPr>
        <w:pStyle w:val="Textonotapie"/>
        <w:ind w:firstLine="708"/>
        <w:jc w:val="both"/>
        <w:rPr>
          <w:rFonts w:ascii="Arial" w:hAnsi="Arial" w:cs="Arial"/>
          <w:sz w:val="19"/>
          <w:szCs w:val="19"/>
        </w:rPr>
      </w:pPr>
      <w:r>
        <w:rPr>
          <w:rFonts w:ascii="Arial" w:hAnsi="Arial" w:cs="Arial"/>
          <w:sz w:val="19"/>
          <w:szCs w:val="19"/>
        </w:rPr>
        <w:t>»</w:t>
      </w:r>
      <w:r w:rsidRPr="004C0463">
        <w:rPr>
          <w:rFonts w:ascii="Arial" w:hAnsi="Arial" w:cs="Arial"/>
          <w:sz w:val="19"/>
          <w:szCs w:val="19"/>
        </w:rPr>
        <w:t>Parágrafo 3°. En la ejecución de los contratos a que se refiere el presente artículo, las entidades y los contratistas, deberán observar lo dispuesto en los artículos 90 a 95 de la Ley 418 de 1997 y las normas que la modifiquen, adicionen o subroguen.</w:t>
      </w:r>
      <w:r>
        <w:rPr>
          <w:rFonts w:ascii="Arial" w:hAnsi="Arial" w:cs="Arial"/>
          <w:sz w:val="19"/>
          <w:szCs w:val="19"/>
        </w:rPr>
        <w:t xml:space="preserve"> </w:t>
      </w:r>
    </w:p>
    <w:p w14:paraId="28BC1481" w14:textId="77777777" w:rsidR="007B1929" w:rsidRPr="004C0463" w:rsidRDefault="007B1929" w:rsidP="0099308E">
      <w:pPr>
        <w:pStyle w:val="Textonotapie"/>
        <w:ind w:firstLine="708"/>
        <w:jc w:val="both"/>
        <w:rPr>
          <w:rFonts w:ascii="Arial" w:hAnsi="Arial" w:cs="Arial"/>
          <w:sz w:val="19"/>
          <w:szCs w:val="19"/>
          <w:lang w:val="es-ES"/>
        </w:rPr>
      </w:pPr>
    </w:p>
  </w:footnote>
  <w:footnote w:id="23">
    <w:p w14:paraId="526B6657" w14:textId="77777777" w:rsidR="007B1929" w:rsidRPr="00852C30" w:rsidRDefault="007B1929" w:rsidP="0099308E">
      <w:pPr>
        <w:pStyle w:val="Textonotapie"/>
        <w:ind w:firstLine="708"/>
        <w:jc w:val="both"/>
        <w:rPr>
          <w:rFonts w:ascii="Arial" w:hAnsi="Arial" w:cs="Arial"/>
          <w:sz w:val="19"/>
          <w:szCs w:val="19"/>
        </w:rPr>
      </w:pPr>
      <w:r w:rsidRPr="00852C30">
        <w:rPr>
          <w:rStyle w:val="Refdenotaalpie"/>
          <w:rFonts w:ascii="Arial" w:hAnsi="Arial" w:cs="Arial"/>
          <w:sz w:val="19"/>
          <w:szCs w:val="19"/>
        </w:rPr>
        <w:footnoteRef/>
      </w:r>
      <w:r w:rsidRPr="00852C30">
        <w:rPr>
          <w:rFonts w:ascii="Arial" w:hAnsi="Arial" w:cs="Arial"/>
          <w:sz w:val="19"/>
          <w:szCs w:val="19"/>
        </w:rPr>
        <w:t xml:space="preserve"> </w:t>
      </w:r>
      <w:r>
        <w:rPr>
          <w:rFonts w:ascii="Arial" w:hAnsi="Arial" w:cs="Arial"/>
          <w:sz w:val="19"/>
          <w:szCs w:val="19"/>
        </w:rPr>
        <w:t xml:space="preserve">Cfr. SANTOFIMIO GAMBOA, Jaime Orlando. Acto administrativo: procedimiento, eficacia y validez. Segunda Edición. Bogotá: Universidad Externado de Colombia, 1994. p. 252. Lo anterior, con apoyo de CONSEJO DE ESTADO. Sección Primera. Sentencia del 1° de agosto de 1991. Rad. </w:t>
      </w:r>
      <w:r w:rsidRPr="005A123E">
        <w:rPr>
          <w:rFonts w:ascii="Arial" w:hAnsi="Arial" w:cs="Arial"/>
          <w:sz w:val="19"/>
          <w:szCs w:val="19"/>
        </w:rPr>
        <w:t>949</w:t>
      </w:r>
      <w:r>
        <w:rPr>
          <w:rFonts w:ascii="Arial" w:hAnsi="Arial" w:cs="Arial"/>
          <w:sz w:val="19"/>
          <w:szCs w:val="19"/>
        </w:rPr>
        <w:t xml:space="preserve">. C.P. </w:t>
      </w:r>
      <w:r w:rsidRPr="005A123E">
        <w:rPr>
          <w:rFonts w:ascii="Arial" w:hAnsi="Arial" w:cs="Arial"/>
          <w:sz w:val="19"/>
          <w:szCs w:val="19"/>
        </w:rPr>
        <w:t>Miguel González Rodríguez</w:t>
      </w:r>
      <w:r>
        <w:rPr>
          <w:rFonts w:ascii="Arial" w:hAnsi="Arial" w:cs="Arial"/>
          <w:sz w:val="19"/>
          <w:szCs w:val="19"/>
        </w:rPr>
        <w:t>.</w:t>
      </w:r>
    </w:p>
  </w:footnote>
  <w:footnote w:id="24">
    <w:p w14:paraId="3118A97B" w14:textId="77777777" w:rsidR="007B1929" w:rsidRPr="00705806" w:rsidRDefault="007B1929" w:rsidP="00BD2C4A">
      <w:pPr>
        <w:pStyle w:val="Textonotapie"/>
        <w:ind w:firstLine="708"/>
        <w:rPr>
          <w:rFonts w:ascii="Arial" w:hAnsi="Arial" w:cs="Arial"/>
          <w:sz w:val="19"/>
          <w:szCs w:val="19"/>
          <w:lang w:val="es-CO"/>
        </w:rPr>
      </w:pPr>
      <w:r w:rsidRPr="00705806">
        <w:rPr>
          <w:rStyle w:val="Refdenotaalpie"/>
          <w:rFonts w:ascii="Arial" w:hAnsi="Arial" w:cs="Arial"/>
          <w:sz w:val="19"/>
          <w:szCs w:val="19"/>
        </w:rPr>
        <w:footnoteRef/>
      </w:r>
      <w:r w:rsidRPr="00705806">
        <w:rPr>
          <w:rFonts w:ascii="Arial" w:hAnsi="Arial" w:cs="Arial"/>
          <w:sz w:val="19"/>
          <w:szCs w:val="19"/>
        </w:rPr>
        <w:t xml:space="preserve"> Agencia Nacional de Contratación Pública – Colombia Compra Eficiente. Concepto C-007 del 16 de febrero de 2021.  </w:t>
      </w:r>
    </w:p>
  </w:footnote>
  <w:footnote w:id="25">
    <w:p w14:paraId="690EE671" w14:textId="22974CEC" w:rsidR="007B1929" w:rsidRPr="007B1929" w:rsidRDefault="007B1929" w:rsidP="003D41B1">
      <w:pPr>
        <w:pStyle w:val="NormalWeb"/>
        <w:spacing w:before="0" w:beforeAutospacing="0" w:after="0" w:afterAutospacing="0"/>
        <w:ind w:firstLine="708"/>
        <w:jc w:val="both"/>
        <w:rPr>
          <w:rFonts w:ascii="Arial" w:hAnsi="Arial" w:cs="Arial"/>
          <w:sz w:val="19"/>
          <w:szCs w:val="19"/>
        </w:rPr>
      </w:pPr>
      <w:r w:rsidRPr="003D41B1">
        <w:rPr>
          <w:rStyle w:val="Refdenotaalpie"/>
          <w:rFonts w:ascii="Arial" w:hAnsi="Arial" w:cs="Arial"/>
          <w:sz w:val="19"/>
          <w:szCs w:val="19"/>
        </w:rPr>
        <w:footnoteRef/>
      </w:r>
      <w:r w:rsidRPr="003D41B1">
        <w:rPr>
          <w:rFonts w:ascii="Arial" w:hAnsi="Arial" w:cs="Arial"/>
          <w:sz w:val="19"/>
          <w:szCs w:val="19"/>
        </w:rPr>
        <w:t xml:space="preserve"> Ley 1150 de 2007: </w:t>
      </w:r>
      <w:r w:rsidRPr="007B1929">
        <w:rPr>
          <w:rFonts w:ascii="Arial" w:eastAsia="Calibri" w:hAnsi="Arial" w:cs="Arial"/>
          <w:bCs/>
          <w:sz w:val="19"/>
          <w:szCs w:val="19"/>
        </w:rPr>
        <w:t>«</w:t>
      </w:r>
      <w:r w:rsidRPr="007B1929">
        <w:rPr>
          <w:rFonts w:ascii="Arial" w:hAnsi="Arial" w:cs="Arial"/>
          <w:sz w:val="19"/>
          <w:szCs w:val="19"/>
        </w:rPr>
        <w:t>Artículo 5°.</w:t>
      </w:r>
      <w:r w:rsidRPr="007B1929">
        <w:rPr>
          <w:rFonts w:ascii="Arial" w:hAnsi="Arial" w:cs="Arial"/>
          <w:i/>
          <w:iCs/>
          <w:sz w:val="19"/>
          <w:szCs w:val="19"/>
        </w:rPr>
        <w:t xml:space="preserve"> </w:t>
      </w:r>
      <w:r w:rsidRPr="007B1929">
        <w:rPr>
          <w:rFonts w:ascii="Arial" w:hAnsi="Arial" w:cs="Arial"/>
          <w:sz w:val="19"/>
          <w:szCs w:val="19"/>
        </w:rPr>
        <w:t>De la selección objetiva.</w:t>
      </w:r>
      <w:r w:rsidRPr="007B1929">
        <w:rPr>
          <w:rFonts w:ascii="Arial" w:hAnsi="Arial" w:cs="Arial"/>
          <w:i/>
          <w:iCs/>
          <w:sz w:val="19"/>
          <w:szCs w:val="19"/>
        </w:rPr>
        <w:t> </w:t>
      </w:r>
      <w:r w:rsidRPr="007B1929">
        <w:rPr>
          <w:rFonts w:ascii="Arial" w:hAnsi="Arial" w:cs="Arial"/>
          <w:sz w:val="19"/>
          <w:szCs w:val="19"/>
        </w:rPr>
        <w:t xml:space="preserve">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w:t>
      </w:r>
      <w:r w:rsidRPr="007B1929">
        <w:rPr>
          <w:rFonts w:ascii="Arial" w:hAnsi="Arial" w:cs="Arial"/>
          <w:sz w:val="19"/>
          <w:szCs w:val="19"/>
        </w:rPr>
        <w:t>equivalentes, tendrán en cuenta los siguientes criterios: </w:t>
      </w:r>
    </w:p>
    <w:p w14:paraId="7A53366A" w14:textId="0F96ADD4" w:rsidR="007B1929" w:rsidRPr="007B1929" w:rsidRDefault="007B1929" w:rsidP="003D41B1">
      <w:pPr>
        <w:jc w:val="both"/>
        <w:rPr>
          <w:rFonts w:ascii="Arial" w:hAnsi="Arial" w:cs="Arial"/>
          <w:sz w:val="19"/>
          <w:szCs w:val="19"/>
          <w:lang w:eastAsia="es-CO"/>
        </w:rPr>
      </w:pPr>
      <w:r w:rsidRPr="007B1929">
        <w:rPr>
          <w:rFonts w:ascii="Arial" w:hAnsi="Arial" w:cs="Arial"/>
          <w:sz w:val="19"/>
          <w:szCs w:val="19"/>
          <w:lang w:eastAsia="es-CO"/>
        </w:rPr>
        <w:t>  </w:t>
      </w:r>
      <w:r w:rsidRPr="007B1929">
        <w:rPr>
          <w:rFonts w:ascii="Arial" w:hAnsi="Arial" w:cs="Arial"/>
          <w:sz w:val="19"/>
          <w:szCs w:val="19"/>
          <w:lang w:eastAsia="es-CO"/>
        </w:rPr>
        <w:tab/>
      </w:r>
      <w:r w:rsidRPr="007B1929">
        <w:rPr>
          <w:rFonts w:ascii="Arial" w:eastAsia="Calibri" w:hAnsi="Arial" w:cs="Arial"/>
          <w:bCs/>
          <w:sz w:val="19"/>
          <w:szCs w:val="19"/>
        </w:rPr>
        <w:t>»</w:t>
      </w:r>
      <w:r w:rsidRPr="007B1929">
        <w:rPr>
          <w:rFonts w:ascii="Arial" w:hAnsi="Arial" w:cs="Arial"/>
          <w:sz w:val="19"/>
          <w:szCs w:val="19"/>
          <w:lang w:eastAsia="es-CO"/>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 de la presente ley, de acuerdo con lo cual se expedirá la respectiva certificación. </w:t>
      </w:r>
    </w:p>
    <w:p w14:paraId="02825693" w14:textId="58999814" w:rsidR="007B1929" w:rsidRPr="007B1929" w:rsidRDefault="007B1929" w:rsidP="003D41B1">
      <w:pPr>
        <w:jc w:val="both"/>
        <w:rPr>
          <w:rFonts w:ascii="Arial" w:hAnsi="Arial" w:cs="Arial"/>
          <w:sz w:val="19"/>
          <w:szCs w:val="19"/>
          <w:lang w:eastAsia="es-CO"/>
        </w:rPr>
      </w:pPr>
      <w:r w:rsidRPr="007B1929">
        <w:rPr>
          <w:rFonts w:ascii="Arial" w:hAnsi="Arial" w:cs="Arial"/>
          <w:sz w:val="19"/>
          <w:szCs w:val="19"/>
          <w:lang w:eastAsia="es-CO"/>
        </w:rPr>
        <w:t>  </w:t>
      </w:r>
      <w:r w:rsidRPr="007B1929">
        <w:rPr>
          <w:rFonts w:ascii="Arial" w:hAnsi="Arial" w:cs="Arial"/>
          <w:sz w:val="19"/>
          <w:szCs w:val="19"/>
          <w:lang w:eastAsia="es-CO"/>
        </w:rPr>
        <w:tab/>
      </w:r>
      <w:r w:rsidRPr="007B1929">
        <w:rPr>
          <w:rFonts w:ascii="Arial" w:eastAsia="Calibri" w:hAnsi="Arial" w:cs="Arial"/>
          <w:bCs/>
          <w:sz w:val="19"/>
          <w:szCs w:val="19"/>
        </w:rPr>
        <w:t>»</w:t>
      </w:r>
      <w:r w:rsidRPr="007B1929">
        <w:rPr>
          <w:rFonts w:ascii="Arial" w:hAnsi="Arial" w:cs="Arial"/>
          <w:sz w:val="19"/>
          <w:szCs w:val="19"/>
          <w:lang w:eastAsia="es-CO"/>
        </w:rPr>
        <w:t>2. La oferta más favorable será aquella que, teniendo en cuenta los factores técnicos y económicos de escogencia y la ponderación precisa y detallada de los mismos contenida en los pliegos de condiciones o sus equivalentes, resulte ser la más ventajosa para la entidad, sin que la favorabilidad la constituyan factores diferentes a los contenidos en dichos documentos. En los contratos de obra pública, el menor plazo ofrecido no será objeto de evaluación. La entidad efectuará las comparaciones del caso mediante el cotejo de los ofrecimientos recibidos y la consulta de precios o condiciones del mercado y los estudios y deducciones de la entidad o de los organismos consultores o asesores designados para ello.  </w:t>
      </w:r>
    </w:p>
    <w:p w14:paraId="7AC87B12" w14:textId="206DB77A" w:rsidR="007B1929" w:rsidRPr="007B1929" w:rsidRDefault="007B1929" w:rsidP="003D41B1">
      <w:pPr>
        <w:jc w:val="both"/>
        <w:rPr>
          <w:rFonts w:ascii="Arial" w:hAnsi="Arial" w:cs="Arial"/>
          <w:sz w:val="19"/>
          <w:szCs w:val="19"/>
          <w:lang w:eastAsia="es-CO"/>
        </w:rPr>
      </w:pPr>
      <w:r w:rsidRPr="007B1929">
        <w:rPr>
          <w:rFonts w:ascii="Arial" w:hAnsi="Arial" w:cs="Arial"/>
          <w:sz w:val="19"/>
          <w:szCs w:val="19"/>
          <w:lang w:eastAsia="es-CO"/>
        </w:rPr>
        <w:t> </w:t>
      </w:r>
      <w:r w:rsidRPr="007B1929">
        <w:rPr>
          <w:rFonts w:ascii="Arial" w:hAnsi="Arial" w:cs="Arial"/>
          <w:sz w:val="19"/>
          <w:szCs w:val="19"/>
          <w:lang w:eastAsia="es-CO"/>
        </w:rPr>
        <w:tab/>
      </w:r>
      <w:r w:rsidRPr="007B1929">
        <w:rPr>
          <w:rFonts w:ascii="Arial" w:eastAsia="Calibri" w:hAnsi="Arial" w:cs="Arial"/>
          <w:bCs/>
          <w:sz w:val="19"/>
          <w:szCs w:val="19"/>
        </w:rPr>
        <w:t>»</w:t>
      </w:r>
      <w:r w:rsidRPr="007B1929">
        <w:rPr>
          <w:rFonts w:ascii="Arial" w:hAnsi="Arial" w:cs="Arial"/>
          <w:sz w:val="19"/>
          <w:szCs w:val="19"/>
          <w:lang w:eastAsia="es-CO"/>
        </w:rPr>
        <w:t>En los procesos de selección en los que se tenga en cuenta los factores técnicos y económicos, la oferta más ventajosa será la que resulte de aplicar alguna de las siguientes alternativas:  </w:t>
      </w:r>
    </w:p>
    <w:p w14:paraId="755DB24D" w14:textId="6A14370E" w:rsidR="007B1929" w:rsidRPr="007B1929" w:rsidRDefault="007B1929" w:rsidP="003D41B1">
      <w:pPr>
        <w:jc w:val="both"/>
        <w:rPr>
          <w:rFonts w:ascii="Arial" w:hAnsi="Arial" w:cs="Arial"/>
          <w:sz w:val="19"/>
          <w:szCs w:val="19"/>
          <w:lang w:eastAsia="es-CO"/>
        </w:rPr>
      </w:pPr>
      <w:r w:rsidRPr="007B1929">
        <w:rPr>
          <w:rFonts w:ascii="Arial" w:hAnsi="Arial" w:cs="Arial"/>
          <w:sz w:val="19"/>
          <w:szCs w:val="19"/>
          <w:lang w:eastAsia="es-CO"/>
        </w:rPr>
        <w:t> </w:t>
      </w:r>
      <w:r w:rsidRPr="007B1929">
        <w:rPr>
          <w:rFonts w:ascii="Arial" w:hAnsi="Arial" w:cs="Arial"/>
          <w:sz w:val="19"/>
          <w:szCs w:val="19"/>
          <w:lang w:eastAsia="es-CO"/>
        </w:rPr>
        <w:tab/>
      </w:r>
      <w:r w:rsidRPr="007B1929">
        <w:rPr>
          <w:rFonts w:ascii="Arial" w:eastAsia="Calibri" w:hAnsi="Arial" w:cs="Arial"/>
          <w:bCs/>
          <w:sz w:val="19"/>
          <w:szCs w:val="19"/>
        </w:rPr>
        <w:t>»</w:t>
      </w:r>
      <w:r w:rsidRPr="007B1929">
        <w:rPr>
          <w:rFonts w:ascii="Arial" w:hAnsi="Arial" w:cs="Arial"/>
          <w:sz w:val="19"/>
          <w:szCs w:val="19"/>
          <w:lang w:eastAsia="es-CO"/>
        </w:rPr>
        <w:t>a) La ponderación de los elementos de calidad y precio soportados en puntajes o fórmulas señaladas en el pliego de condiciones; o  </w:t>
      </w:r>
    </w:p>
    <w:p w14:paraId="34A8DFCF" w14:textId="528A84F1" w:rsidR="007B1929" w:rsidRPr="007B1929" w:rsidRDefault="007B1929" w:rsidP="003D41B1">
      <w:pPr>
        <w:jc w:val="both"/>
        <w:rPr>
          <w:rFonts w:ascii="Arial" w:hAnsi="Arial" w:cs="Arial"/>
          <w:sz w:val="19"/>
          <w:szCs w:val="19"/>
          <w:lang w:eastAsia="es-CO"/>
        </w:rPr>
      </w:pPr>
      <w:r w:rsidRPr="007B1929">
        <w:rPr>
          <w:rFonts w:ascii="Arial" w:hAnsi="Arial" w:cs="Arial"/>
          <w:sz w:val="19"/>
          <w:szCs w:val="19"/>
          <w:lang w:eastAsia="es-CO"/>
        </w:rPr>
        <w:t>  </w:t>
      </w:r>
      <w:r w:rsidRPr="007B1929">
        <w:rPr>
          <w:rFonts w:ascii="Arial" w:hAnsi="Arial" w:cs="Arial"/>
          <w:sz w:val="19"/>
          <w:szCs w:val="19"/>
          <w:lang w:eastAsia="es-CO"/>
        </w:rPr>
        <w:tab/>
      </w:r>
      <w:r w:rsidRPr="007B1929">
        <w:rPr>
          <w:rFonts w:ascii="Arial" w:eastAsia="Calibri" w:hAnsi="Arial" w:cs="Arial"/>
          <w:bCs/>
          <w:sz w:val="19"/>
          <w:szCs w:val="19"/>
        </w:rPr>
        <w:t>»</w:t>
      </w:r>
      <w:r w:rsidRPr="007B1929">
        <w:rPr>
          <w:rFonts w:ascii="Arial" w:hAnsi="Arial" w:cs="Arial"/>
          <w:sz w:val="19"/>
          <w:szCs w:val="19"/>
          <w:lang w:eastAsia="es-CO"/>
        </w:rPr>
        <w:t>b) La ponderación de los elementos de calidad y precio que representen la mejor relación de costo-beneficio para la entidad.  </w:t>
      </w:r>
    </w:p>
    <w:p w14:paraId="6052EDD5" w14:textId="2E3A1BA4" w:rsidR="007B1929" w:rsidRPr="007B1929" w:rsidRDefault="007B1929" w:rsidP="003D41B1">
      <w:pPr>
        <w:jc w:val="both"/>
        <w:rPr>
          <w:rFonts w:ascii="Arial" w:hAnsi="Arial" w:cs="Arial"/>
          <w:sz w:val="19"/>
          <w:szCs w:val="19"/>
          <w:lang w:eastAsia="es-CO"/>
        </w:rPr>
      </w:pPr>
      <w:r w:rsidRPr="007B1929">
        <w:rPr>
          <w:rFonts w:ascii="Arial" w:hAnsi="Arial" w:cs="Arial"/>
          <w:sz w:val="19"/>
          <w:szCs w:val="19"/>
          <w:lang w:eastAsia="es-CO"/>
        </w:rPr>
        <w:t>  </w:t>
      </w:r>
      <w:r w:rsidRPr="007B1929">
        <w:rPr>
          <w:rFonts w:ascii="Arial" w:hAnsi="Arial" w:cs="Arial"/>
          <w:sz w:val="19"/>
          <w:szCs w:val="19"/>
          <w:lang w:eastAsia="es-CO"/>
        </w:rPr>
        <w:tab/>
      </w:r>
      <w:r w:rsidRPr="007B1929">
        <w:rPr>
          <w:rFonts w:ascii="Arial" w:eastAsia="Calibri" w:hAnsi="Arial" w:cs="Arial"/>
          <w:bCs/>
          <w:sz w:val="19"/>
          <w:szCs w:val="19"/>
        </w:rPr>
        <w:t>»</w:t>
      </w:r>
      <w:r w:rsidRPr="007B1929">
        <w:rPr>
          <w:rFonts w:ascii="Arial" w:hAnsi="Arial" w:cs="Arial"/>
          <w:sz w:val="19"/>
          <w:szCs w:val="19"/>
          <w:lang w:eastAsia="es-CO"/>
        </w:rPr>
        <w:t>3. Sin perjuicio de lo previsto en el numeral 1 del presente artículo, en los pliegos de condiciones para las contrataciones cuyo objeto sea la adquisición o suministro de bienes y servicios de características técnicas uniformes y común utilización, las entidades estatales incluirán como único factor de evaluación el menor precio ofrecido. </w:t>
      </w:r>
    </w:p>
    <w:p w14:paraId="5085CFA8" w14:textId="5422DBD3" w:rsidR="007B1929" w:rsidRPr="007B1929" w:rsidRDefault="007B1929" w:rsidP="003D41B1">
      <w:pPr>
        <w:jc w:val="both"/>
        <w:rPr>
          <w:rFonts w:ascii="Arial" w:hAnsi="Arial" w:cs="Arial"/>
          <w:sz w:val="19"/>
          <w:szCs w:val="19"/>
          <w:lang w:eastAsia="es-CO"/>
        </w:rPr>
      </w:pPr>
      <w:r w:rsidRPr="007B1929">
        <w:rPr>
          <w:rFonts w:ascii="Arial" w:hAnsi="Arial" w:cs="Arial"/>
          <w:sz w:val="19"/>
          <w:szCs w:val="19"/>
          <w:lang w:eastAsia="es-CO"/>
        </w:rPr>
        <w:t>  </w:t>
      </w:r>
      <w:r w:rsidRPr="007B1929">
        <w:rPr>
          <w:rFonts w:ascii="Arial" w:hAnsi="Arial" w:cs="Arial"/>
          <w:sz w:val="19"/>
          <w:szCs w:val="19"/>
          <w:lang w:eastAsia="es-CO"/>
        </w:rPr>
        <w:tab/>
      </w:r>
      <w:r w:rsidRPr="007B1929">
        <w:rPr>
          <w:rFonts w:ascii="Arial" w:eastAsia="Calibri" w:hAnsi="Arial" w:cs="Arial"/>
          <w:bCs/>
          <w:sz w:val="19"/>
          <w:szCs w:val="19"/>
        </w:rPr>
        <w:t>»</w:t>
      </w:r>
      <w:r w:rsidRPr="007B1929">
        <w:rPr>
          <w:rFonts w:ascii="Arial" w:hAnsi="Arial" w:cs="Arial"/>
          <w:sz w:val="19"/>
          <w:szCs w:val="19"/>
          <w:lang w:eastAsia="es-CO"/>
        </w:rPr>
        <w:t>4. En los procesos para la selección de consultores se hará uso de factores de calificación destinados a valorar los aspectos técnicos de la oferta o proyecto. De conformidad con las condiciones que señale el reglamento, se podrán utilizar criterios de experiencia específica del oferente y del equipo de trabajo, en el campo de que se trate. </w:t>
      </w:r>
    </w:p>
    <w:p w14:paraId="1196C83F" w14:textId="432DDCA9" w:rsidR="007B1929" w:rsidRPr="007B1929" w:rsidRDefault="007B1929" w:rsidP="003D41B1">
      <w:pPr>
        <w:jc w:val="both"/>
        <w:rPr>
          <w:rFonts w:ascii="Arial" w:hAnsi="Arial" w:cs="Arial"/>
          <w:sz w:val="19"/>
          <w:szCs w:val="19"/>
          <w:lang w:eastAsia="es-CO"/>
        </w:rPr>
      </w:pPr>
      <w:r w:rsidRPr="007B1929">
        <w:rPr>
          <w:rFonts w:ascii="Arial" w:hAnsi="Arial" w:cs="Arial"/>
          <w:sz w:val="19"/>
          <w:szCs w:val="19"/>
          <w:lang w:eastAsia="es-CO"/>
        </w:rPr>
        <w:t>  </w:t>
      </w:r>
      <w:r w:rsidRPr="007B1929">
        <w:rPr>
          <w:rFonts w:ascii="Arial" w:hAnsi="Arial" w:cs="Arial"/>
          <w:sz w:val="19"/>
          <w:szCs w:val="19"/>
          <w:lang w:eastAsia="es-CO"/>
        </w:rPr>
        <w:tab/>
      </w:r>
      <w:r w:rsidRPr="007B1929">
        <w:rPr>
          <w:rFonts w:ascii="Arial" w:eastAsia="Calibri" w:hAnsi="Arial" w:cs="Arial"/>
          <w:bCs/>
          <w:sz w:val="19"/>
          <w:szCs w:val="19"/>
        </w:rPr>
        <w:t>»</w:t>
      </w:r>
      <w:r w:rsidRPr="007B1929">
        <w:rPr>
          <w:rFonts w:ascii="Arial" w:hAnsi="Arial" w:cs="Arial"/>
          <w:sz w:val="19"/>
          <w:szCs w:val="19"/>
          <w:lang w:eastAsia="es-CO"/>
        </w:rPr>
        <w:t>En ningún caso se podrá incluir el precio, como factor de escogencia para la selección de consultores. </w:t>
      </w:r>
    </w:p>
    <w:p w14:paraId="156073C3" w14:textId="03AADB59" w:rsidR="007B1929" w:rsidRPr="007B1929" w:rsidRDefault="007B1929" w:rsidP="003D41B1">
      <w:pPr>
        <w:jc w:val="both"/>
        <w:rPr>
          <w:rFonts w:ascii="Arial" w:hAnsi="Arial" w:cs="Arial"/>
          <w:sz w:val="19"/>
          <w:szCs w:val="19"/>
          <w:lang w:eastAsia="es-CO"/>
        </w:rPr>
      </w:pPr>
      <w:r w:rsidRPr="007B1929">
        <w:rPr>
          <w:rFonts w:ascii="Arial" w:hAnsi="Arial" w:cs="Arial"/>
          <w:sz w:val="19"/>
          <w:szCs w:val="19"/>
          <w:lang w:eastAsia="es-CO"/>
        </w:rPr>
        <w:t>  </w:t>
      </w:r>
      <w:r w:rsidRPr="007B1929">
        <w:rPr>
          <w:rFonts w:ascii="Arial" w:hAnsi="Arial" w:cs="Arial"/>
          <w:sz w:val="19"/>
          <w:szCs w:val="19"/>
          <w:lang w:eastAsia="es-CO"/>
        </w:rPr>
        <w:tab/>
      </w:r>
      <w:r w:rsidRPr="007B1929">
        <w:rPr>
          <w:rFonts w:ascii="Arial" w:eastAsia="Calibri" w:hAnsi="Arial" w:cs="Arial"/>
          <w:bCs/>
          <w:sz w:val="19"/>
          <w:szCs w:val="19"/>
        </w:rPr>
        <w:t>»</w:t>
      </w:r>
      <w:r w:rsidRPr="007B1929">
        <w:rPr>
          <w:rFonts w:ascii="Arial" w:hAnsi="Arial" w:cs="Arial"/>
          <w:sz w:val="19"/>
          <w:szCs w:val="19"/>
          <w:lang w:eastAsia="es-CO"/>
        </w:rPr>
        <w:t>Parágrafo 1°.</w:t>
      </w:r>
      <w:r w:rsidRPr="007B1929">
        <w:rPr>
          <w:rFonts w:ascii="Arial" w:hAnsi="Arial" w:cs="Arial"/>
          <w:b/>
          <w:bCs/>
          <w:sz w:val="19"/>
          <w:szCs w:val="19"/>
          <w:lang w:eastAsia="es-CO"/>
        </w:rPr>
        <w:t> </w:t>
      </w:r>
      <w:r w:rsidRPr="007B1929">
        <w:rPr>
          <w:rFonts w:ascii="Arial" w:hAnsi="Arial" w:cs="Arial"/>
          <w:sz w:val="19"/>
          <w:szCs w:val="19"/>
          <w:lang w:eastAsia="es-CO"/>
        </w:rPr>
        <w:t>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 </w:t>
      </w:r>
    </w:p>
    <w:p w14:paraId="3045B0B2" w14:textId="6C2BFCD3" w:rsidR="007B1929" w:rsidRPr="007B1929" w:rsidRDefault="007B1929" w:rsidP="003D41B1">
      <w:pPr>
        <w:ind w:firstLine="708"/>
        <w:jc w:val="both"/>
        <w:rPr>
          <w:rFonts w:ascii="Arial" w:hAnsi="Arial" w:cs="Arial"/>
          <w:sz w:val="19"/>
          <w:szCs w:val="19"/>
          <w:lang w:eastAsia="es-CO"/>
        </w:rPr>
      </w:pPr>
      <w:r w:rsidRPr="007B1929">
        <w:rPr>
          <w:rFonts w:ascii="Arial" w:eastAsia="Calibri" w:hAnsi="Arial" w:cs="Arial"/>
          <w:bCs/>
          <w:sz w:val="19"/>
          <w:szCs w:val="19"/>
        </w:rPr>
        <w:t>»</w:t>
      </w:r>
      <w:r w:rsidRPr="007B1929">
        <w:rPr>
          <w:rFonts w:ascii="Arial" w:hAnsi="Arial" w:cs="Arial"/>
          <w:sz w:val="19"/>
          <w:szCs w:val="19"/>
          <w:lang w:eastAsia="es-CO"/>
        </w:rPr>
        <w:t>Durante el término otorgado para subsanar las ofertas, los proponentes no podrán acreditar circunstancias ocurridas con posterioridad al cierre del proceso. </w:t>
      </w:r>
    </w:p>
    <w:p w14:paraId="7CBFAA4B" w14:textId="1E9F9BE2" w:rsidR="007B1929" w:rsidRPr="007B1929" w:rsidRDefault="007B1929" w:rsidP="003D41B1">
      <w:pPr>
        <w:jc w:val="both"/>
        <w:rPr>
          <w:rFonts w:ascii="Arial" w:hAnsi="Arial" w:cs="Arial"/>
          <w:sz w:val="19"/>
          <w:szCs w:val="19"/>
          <w:lang w:eastAsia="es-CO"/>
        </w:rPr>
      </w:pPr>
      <w:r w:rsidRPr="007B1929">
        <w:rPr>
          <w:rFonts w:ascii="Arial" w:hAnsi="Arial" w:cs="Arial"/>
          <w:sz w:val="19"/>
          <w:szCs w:val="19"/>
          <w:lang w:eastAsia="es-CO"/>
        </w:rPr>
        <w:t>  </w:t>
      </w:r>
      <w:r w:rsidRPr="007B1929">
        <w:rPr>
          <w:rFonts w:ascii="Arial" w:hAnsi="Arial" w:cs="Arial"/>
          <w:sz w:val="19"/>
          <w:szCs w:val="19"/>
          <w:lang w:eastAsia="es-CO"/>
        </w:rPr>
        <w:tab/>
      </w:r>
      <w:r w:rsidRPr="007B1929">
        <w:rPr>
          <w:rFonts w:ascii="Arial" w:eastAsia="Calibri" w:hAnsi="Arial" w:cs="Arial"/>
          <w:bCs/>
          <w:sz w:val="19"/>
          <w:szCs w:val="19"/>
        </w:rPr>
        <w:t>»</w:t>
      </w:r>
      <w:r w:rsidRPr="007B1929">
        <w:rPr>
          <w:rFonts w:ascii="Arial" w:hAnsi="Arial" w:cs="Arial"/>
          <w:sz w:val="19"/>
          <w:szCs w:val="19"/>
          <w:lang w:eastAsia="es-CO"/>
        </w:rPr>
        <w:t>Parágrafo 2°. Las certificaciones de sistemas de gestión de calidad no serán objeto de calificación, ni podrán establecerse como documento habilitante para participar en licitaciones o concursos. </w:t>
      </w:r>
    </w:p>
    <w:p w14:paraId="5FF50D3C" w14:textId="7E20C0B5" w:rsidR="007B1929" w:rsidRPr="007B1929" w:rsidRDefault="007B1929" w:rsidP="003D41B1">
      <w:pPr>
        <w:ind w:firstLine="708"/>
        <w:jc w:val="both"/>
        <w:rPr>
          <w:rFonts w:ascii="Arial" w:hAnsi="Arial" w:cs="Arial"/>
          <w:sz w:val="19"/>
          <w:szCs w:val="19"/>
          <w:lang w:eastAsia="es-CO"/>
        </w:rPr>
      </w:pPr>
      <w:r w:rsidRPr="007B1929">
        <w:rPr>
          <w:rFonts w:ascii="Arial" w:eastAsia="Calibri" w:hAnsi="Arial" w:cs="Arial"/>
          <w:bCs/>
          <w:sz w:val="19"/>
          <w:szCs w:val="19"/>
        </w:rPr>
        <w:t>»</w:t>
      </w:r>
      <w:r w:rsidRPr="007B1929">
        <w:rPr>
          <w:rFonts w:ascii="Arial" w:hAnsi="Arial" w:cs="Arial"/>
          <w:sz w:val="19"/>
          <w:szCs w:val="19"/>
          <w:lang w:eastAsia="es-CO"/>
        </w:rPr>
        <w:t>Parágrafo 3°. La no entrega de la garantía de seriedad junto con la propuesta no será subsanable y será causal de rechazo de la misma. </w:t>
      </w:r>
    </w:p>
    <w:p w14:paraId="570998BA" w14:textId="57B60D15" w:rsidR="007B1929" w:rsidRPr="007B1929" w:rsidRDefault="007B1929" w:rsidP="003D41B1">
      <w:pPr>
        <w:ind w:firstLine="708"/>
        <w:jc w:val="both"/>
        <w:rPr>
          <w:rFonts w:ascii="Arial" w:hAnsi="Arial" w:cs="Arial"/>
          <w:sz w:val="19"/>
          <w:szCs w:val="19"/>
          <w:lang w:eastAsia="es-CO"/>
        </w:rPr>
      </w:pPr>
      <w:r w:rsidRPr="007B1929">
        <w:rPr>
          <w:rFonts w:ascii="Arial" w:eastAsia="Calibri" w:hAnsi="Arial" w:cs="Arial"/>
          <w:bCs/>
          <w:sz w:val="19"/>
          <w:szCs w:val="19"/>
        </w:rPr>
        <w:t>»</w:t>
      </w:r>
      <w:r w:rsidRPr="007B1929">
        <w:rPr>
          <w:rFonts w:ascii="Arial" w:hAnsi="Arial" w:cs="Arial"/>
          <w:sz w:val="19"/>
          <w:szCs w:val="19"/>
          <w:lang w:eastAsia="es-CO"/>
        </w:rPr>
        <w:t>Parágrafo 4°.</w:t>
      </w:r>
      <w:r w:rsidRPr="007B1929">
        <w:rPr>
          <w:rFonts w:ascii="Arial" w:hAnsi="Arial" w:cs="Arial"/>
          <w:b/>
          <w:bCs/>
          <w:sz w:val="19"/>
          <w:szCs w:val="19"/>
          <w:lang w:eastAsia="es-CO"/>
        </w:rPr>
        <w:t> </w:t>
      </w:r>
      <w:r w:rsidRPr="007B1929">
        <w:rPr>
          <w:rFonts w:ascii="Arial" w:hAnsi="Arial" w:cs="Arial"/>
          <w:sz w:val="19"/>
          <w:szCs w:val="19"/>
          <w:lang w:eastAsia="es-CO"/>
        </w:rPr>
        <w:t>En aquellos procesos de selección en los que se utilice el mecanismo de subasta, los documentos referentes a la futura contratación o al proponente, no necesarios para la comparación de las propuestas, deberán ser solicitados hasta el momento previo a su realización. </w:t>
      </w:r>
    </w:p>
    <w:p w14:paraId="17C96F86" w14:textId="5789ACC6" w:rsidR="007B1929" w:rsidRPr="007B1929" w:rsidRDefault="007B1929" w:rsidP="003D41B1">
      <w:pPr>
        <w:jc w:val="both"/>
        <w:rPr>
          <w:rFonts w:ascii="Arial" w:hAnsi="Arial" w:cs="Arial"/>
          <w:sz w:val="19"/>
          <w:szCs w:val="19"/>
          <w:lang w:eastAsia="es-CO"/>
        </w:rPr>
      </w:pPr>
      <w:r w:rsidRPr="007B1929">
        <w:rPr>
          <w:rFonts w:ascii="Arial" w:hAnsi="Arial" w:cs="Arial"/>
          <w:sz w:val="19"/>
          <w:szCs w:val="19"/>
          <w:lang w:eastAsia="es-CO"/>
        </w:rPr>
        <w:t>  </w:t>
      </w:r>
      <w:r w:rsidRPr="007B1929">
        <w:rPr>
          <w:rFonts w:ascii="Arial" w:hAnsi="Arial" w:cs="Arial"/>
          <w:sz w:val="19"/>
          <w:szCs w:val="19"/>
          <w:lang w:eastAsia="es-CO"/>
        </w:rPr>
        <w:tab/>
      </w:r>
      <w:r w:rsidRPr="007B1929">
        <w:rPr>
          <w:rFonts w:ascii="Arial" w:eastAsia="Calibri" w:hAnsi="Arial" w:cs="Arial"/>
          <w:bCs/>
          <w:sz w:val="19"/>
          <w:szCs w:val="19"/>
        </w:rPr>
        <w:t>»</w:t>
      </w:r>
      <w:r w:rsidRPr="007B1929">
        <w:rPr>
          <w:rFonts w:ascii="Arial" w:hAnsi="Arial" w:cs="Arial"/>
          <w:sz w:val="19"/>
          <w:szCs w:val="19"/>
          <w:lang w:eastAsia="es-CO"/>
        </w:rPr>
        <w:t>Parágrafo 5°. En los procesos de contratación, las entidades estatales deberán aceptar la experiencia adquirida por los proponentes a través de la ejecución de contratos con particulares</w:t>
      </w:r>
      <w:r w:rsidRPr="007B1929">
        <w:rPr>
          <w:rFonts w:ascii="Arial" w:eastAsia="Calibri" w:hAnsi="Arial" w:cs="Arial"/>
          <w:bCs/>
          <w:sz w:val="19"/>
          <w:szCs w:val="19"/>
        </w:rPr>
        <w:t>».</w:t>
      </w:r>
    </w:p>
    <w:p w14:paraId="0BB8761D" w14:textId="7B521A57" w:rsidR="007B1929" w:rsidRPr="001679EF" w:rsidRDefault="007B1929" w:rsidP="001679EF">
      <w:pPr>
        <w:pStyle w:val="Textonotapie"/>
        <w:ind w:firstLine="708"/>
        <w:rPr>
          <w:lang w:val="es-CO"/>
        </w:rPr>
      </w:pPr>
      <w:r>
        <w:t xml:space="preserve"> </w:t>
      </w:r>
    </w:p>
  </w:footnote>
  <w:footnote w:id="26">
    <w:p w14:paraId="2BF86794" w14:textId="73D886D5" w:rsidR="007B1929" w:rsidRDefault="007B1929" w:rsidP="002647FD">
      <w:pPr>
        <w:pStyle w:val="Textonotapie"/>
        <w:ind w:firstLine="708"/>
        <w:jc w:val="both"/>
        <w:rPr>
          <w:rFonts w:ascii="Arial" w:hAnsi="Arial" w:cs="Arial"/>
          <w:sz w:val="19"/>
          <w:szCs w:val="19"/>
          <w:lang w:val="es-CO"/>
        </w:rPr>
      </w:pPr>
      <w:r w:rsidRPr="00705806">
        <w:rPr>
          <w:rStyle w:val="Refdenotaalpie"/>
          <w:rFonts w:ascii="Arial" w:hAnsi="Arial" w:cs="Arial"/>
          <w:sz w:val="19"/>
          <w:szCs w:val="19"/>
        </w:rPr>
        <w:footnoteRef/>
      </w:r>
      <w:r w:rsidRPr="00705806">
        <w:rPr>
          <w:rFonts w:ascii="Arial" w:hAnsi="Arial" w:cs="Arial"/>
          <w:sz w:val="19"/>
          <w:szCs w:val="19"/>
        </w:rPr>
        <w:t xml:space="preserve"> </w:t>
      </w:r>
      <w:r w:rsidRPr="00705806">
        <w:rPr>
          <w:rFonts w:ascii="Arial" w:hAnsi="Arial" w:cs="Arial"/>
          <w:sz w:val="19"/>
          <w:szCs w:val="19"/>
          <w:lang w:val="es-CO"/>
        </w:rPr>
        <w:t>DÁVILA VINUEZA, Luis Guillermo. Régimen jurídico de la contratación estatal, Tercera edición, Legis Editores, 2016, Bogotá, pág. 355.</w:t>
      </w:r>
    </w:p>
    <w:p w14:paraId="54B981E7" w14:textId="77777777" w:rsidR="007B1929" w:rsidRPr="00705806" w:rsidRDefault="007B1929" w:rsidP="002647FD">
      <w:pPr>
        <w:pStyle w:val="Textonotapie"/>
        <w:ind w:firstLine="708"/>
        <w:jc w:val="both"/>
        <w:rPr>
          <w:rFonts w:ascii="Arial" w:hAnsi="Arial" w:cs="Arial"/>
          <w:sz w:val="19"/>
          <w:szCs w:val="19"/>
          <w:lang w:val="es-CO"/>
        </w:rPr>
      </w:pPr>
    </w:p>
  </w:footnote>
  <w:footnote w:id="27">
    <w:p w14:paraId="4E38897F" w14:textId="558C5678" w:rsidR="007B1929" w:rsidRDefault="007B1929" w:rsidP="00E13AE1">
      <w:pPr>
        <w:pStyle w:val="Textonotapie"/>
        <w:ind w:firstLine="708"/>
        <w:jc w:val="both"/>
        <w:rPr>
          <w:rFonts w:ascii="Arial" w:eastAsia="Calibri" w:hAnsi="Arial" w:cs="Arial"/>
          <w:sz w:val="19"/>
          <w:szCs w:val="19"/>
          <w:lang w:val="es-ES_tradnl"/>
        </w:rPr>
      </w:pPr>
      <w:r w:rsidRPr="00420547">
        <w:rPr>
          <w:rStyle w:val="Refdenotaalpie"/>
          <w:rFonts w:ascii="Arial" w:hAnsi="Arial" w:cs="Arial"/>
          <w:sz w:val="19"/>
          <w:szCs w:val="19"/>
        </w:rPr>
        <w:footnoteRef/>
      </w:r>
      <w:r w:rsidRPr="00420547">
        <w:rPr>
          <w:rFonts w:ascii="Arial" w:hAnsi="Arial" w:cs="Arial"/>
          <w:sz w:val="19"/>
          <w:szCs w:val="19"/>
        </w:rPr>
        <w:t xml:space="preserve"> </w:t>
      </w:r>
      <w:r w:rsidRPr="007B1929">
        <w:rPr>
          <w:rFonts w:ascii="Arial" w:eastAsia="Calibri" w:hAnsi="Arial" w:cs="Arial"/>
          <w:sz w:val="19"/>
          <w:szCs w:val="19"/>
          <w:lang w:val="es-ES_tradnl"/>
        </w:rPr>
        <w:t>RODRÍGUEZ TAMAYO, Mauricio F. Evaluación y rechazo de ofertas en la Ley 80 de 1993. Primera edición, Editorial Librería Jurídica Sánchez, Medellín, 2016, págs. 110-111.</w:t>
      </w:r>
    </w:p>
    <w:p w14:paraId="03DE0F17" w14:textId="77777777" w:rsidR="00212BC8" w:rsidRPr="00420547" w:rsidRDefault="00212BC8" w:rsidP="00E13AE1">
      <w:pPr>
        <w:pStyle w:val="Textonotapie"/>
        <w:ind w:firstLine="708"/>
        <w:jc w:val="both"/>
        <w:rPr>
          <w:rFonts w:ascii="Arial" w:hAnsi="Arial" w:cs="Arial"/>
          <w:sz w:val="19"/>
          <w:szCs w:val="19"/>
          <w:lang w:val="es-CO"/>
        </w:rPr>
      </w:pPr>
    </w:p>
  </w:footnote>
  <w:footnote w:id="28">
    <w:p w14:paraId="38C229EE" w14:textId="2E82E09D" w:rsidR="007B1929" w:rsidRDefault="007B1929" w:rsidP="000C7648">
      <w:pPr>
        <w:pStyle w:val="Textonotapie"/>
        <w:ind w:firstLine="708"/>
        <w:jc w:val="both"/>
        <w:rPr>
          <w:rFonts w:ascii="Arial" w:hAnsi="Arial" w:cs="Arial"/>
          <w:sz w:val="19"/>
          <w:szCs w:val="19"/>
        </w:rPr>
      </w:pPr>
      <w:r w:rsidRPr="00705806">
        <w:rPr>
          <w:rStyle w:val="Refdenotaalpie"/>
          <w:rFonts w:ascii="Arial" w:hAnsi="Arial" w:cs="Arial"/>
          <w:sz w:val="19"/>
          <w:szCs w:val="19"/>
        </w:rPr>
        <w:footnoteRef/>
      </w:r>
      <w:r w:rsidRPr="00705806">
        <w:rPr>
          <w:rFonts w:ascii="Arial" w:hAnsi="Arial" w:cs="Arial"/>
          <w:sz w:val="19"/>
          <w:szCs w:val="19"/>
        </w:rPr>
        <w:t xml:space="preserve"> EXPÓSITO VELEZ, Juan C., El deber de selección objetiva, en: Del contrato estatal a los sistemas de compras públicas, por COVILLA MARTINEZ Juan C. y LOZANO VILLEGAS Germán (Eds.). Universidad Externado de Colombia, Bogotá, 2019, págs. 118-184.</w:t>
      </w:r>
    </w:p>
    <w:p w14:paraId="6DEFBCD3" w14:textId="77777777" w:rsidR="007B1929" w:rsidRPr="00705806" w:rsidRDefault="007B1929" w:rsidP="000C7648">
      <w:pPr>
        <w:pStyle w:val="Textonotapie"/>
        <w:ind w:firstLine="708"/>
        <w:jc w:val="both"/>
        <w:rPr>
          <w:rFonts w:ascii="Arial" w:hAnsi="Arial" w:cs="Arial"/>
          <w:sz w:val="19"/>
          <w:szCs w:val="19"/>
          <w:lang w:val="es-CO"/>
        </w:rPr>
      </w:pPr>
    </w:p>
  </w:footnote>
  <w:footnote w:id="29">
    <w:p w14:paraId="167A5907" w14:textId="77777777" w:rsidR="007B1929" w:rsidRPr="00705806" w:rsidRDefault="007B1929" w:rsidP="00493870">
      <w:pPr>
        <w:pStyle w:val="Textonotapie"/>
        <w:ind w:firstLine="708"/>
        <w:rPr>
          <w:rFonts w:ascii="Arial" w:hAnsi="Arial" w:cs="Arial"/>
          <w:sz w:val="19"/>
          <w:szCs w:val="19"/>
          <w:lang w:val="es-CO"/>
        </w:rPr>
      </w:pPr>
      <w:r w:rsidRPr="00705806">
        <w:rPr>
          <w:rStyle w:val="Refdenotaalpie"/>
          <w:rFonts w:ascii="Arial" w:hAnsi="Arial" w:cs="Arial"/>
          <w:sz w:val="19"/>
          <w:szCs w:val="19"/>
        </w:rPr>
        <w:footnoteRef/>
      </w:r>
      <w:r w:rsidRPr="00705806">
        <w:rPr>
          <w:rFonts w:ascii="Arial" w:hAnsi="Arial" w:cs="Arial"/>
          <w:i/>
          <w:iCs/>
          <w:sz w:val="19"/>
          <w:szCs w:val="19"/>
        </w:rPr>
        <w:t xml:space="preserve"> </w:t>
      </w:r>
      <w:r w:rsidRPr="00705806">
        <w:rPr>
          <w:rFonts w:ascii="Arial" w:hAnsi="Arial" w:cs="Arial"/>
          <w:i/>
          <w:iCs/>
          <w:sz w:val="19"/>
          <w:szCs w:val="19"/>
          <w:lang w:val="es-CO"/>
        </w:rPr>
        <w:t>Ibídem.</w:t>
      </w:r>
    </w:p>
  </w:footnote>
  <w:footnote w:id="30">
    <w:p w14:paraId="740A1CFC" w14:textId="77777777" w:rsidR="007B1929" w:rsidRPr="00C93A42" w:rsidRDefault="007B1929" w:rsidP="000E3965">
      <w:pPr>
        <w:ind w:firstLine="708"/>
        <w:jc w:val="both"/>
        <w:rPr>
          <w:rFonts w:ascii="Arial" w:hAnsi="Arial" w:cs="Arial"/>
          <w:sz w:val="19"/>
          <w:szCs w:val="19"/>
          <w:lang w:eastAsia="es-CO"/>
        </w:rPr>
      </w:pPr>
      <w:r w:rsidRPr="00C93A42">
        <w:rPr>
          <w:rStyle w:val="Refdenotaalpie"/>
          <w:rFonts w:ascii="Arial" w:hAnsi="Arial" w:cs="Arial"/>
          <w:sz w:val="19"/>
          <w:szCs w:val="19"/>
        </w:rPr>
        <w:footnoteRef/>
      </w:r>
      <w:r w:rsidRPr="00C93A42">
        <w:rPr>
          <w:rFonts w:ascii="Arial" w:hAnsi="Arial" w:cs="Arial"/>
          <w:sz w:val="19"/>
          <w:szCs w:val="19"/>
        </w:rPr>
        <w:t xml:space="preserve"> Decreto 1082 de 2015 </w:t>
      </w:r>
      <w:r w:rsidRPr="00C93A42">
        <w:rPr>
          <w:rFonts w:ascii="Arial" w:eastAsia="Calibri" w:hAnsi="Arial" w:cs="Arial"/>
          <w:bCs/>
          <w:sz w:val="19"/>
          <w:szCs w:val="19"/>
        </w:rPr>
        <w:t>«</w:t>
      </w:r>
      <w:r w:rsidRPr="00C93A42">
        <w:rPr>
          <w:rFonts w:ascii="Arial" w:hAnsi="Arial" w:cs="Arial"/>
          <w:sz w:val="19"/>
          <w:szCs w:val="19"/>
          <w:lang w:eastAsia="es-CO"/>
        </w:rPr>
        <w:t>Artículo 2.2.1.1.2.2.2. Ofrecimiento más favorable. La Entidad Estatal debe determinar la oferta más favorable teniendo en cuenta las normas aplicables a cada modalidad de selección del contratista. </w:t>
      </w:r>
    </w:p>
    <w:p w14:paraId="4306D8F9" w14:textId="77777777" w:rsidR="007B1929" w:rsidRPr="00C93A42" w:rsidRDefault="007B1929" w:rsidP="000E3965">
      <w:pPr>
        <w:jc w:val="both"/>
        <w:rPr>
          <w:rFonts w:ascii="Arial" w:hAnsi="Arial" w:cs="Arial"/>
          <w:sz w:val="19"/>
          <w:szCs w:val="19"/>
          <w:lang w:eastAsia="es-CO"/>
        </w:rPr>
      </w:pPr>
      <w:r w:rsidRPr="00C93A42">
        <w:rPr>
          <w:rFonts w:ascii="Arial" w:hAnsi="Arial" w:cs="Arial"/>
          <w:sz w:val="19"/>
          <w:szCs w:val="19"/>
          <w:lang w:eastAsia="es-CO"/>
        </w:rPr>
        <w:t>  </w:t>
      </w:r>
      <w:r w:rsidRPr="00C93A42">
        <w:rPr>
          <w:rFonts w:ascii="Arial" w:hAnsi="Arial" w:cs="Arial"/>
          <w:sz w:val="19"/>
          <w:szCs w:val="19"/>
          <w:lang w:eastAsia="es-CO"/>
        </w:rPr>
        <w:tab/>
      </w:r>
      <w:r w:rsidRPr="00C93A42">
        <w:rPr>
          <w:rFonts w:ascii="Arial" w:eastAsia="Calibri" w:hAnsi="Arial" w:cs="Arial"/>
          <w:bCs/>
          <w:sz w:val="19"/>
          <w:szCs w:val="19"/>
        </w:rPr>
        <w:t>»</w:t>
      </w:r>
      <w:r w:rsidRPr="00C93A42">
        <w:rPr>
          <w:rFonts w:ascii="Arial" w:hAnsi="Arial" w:cs="Arial"/>
          <w:sz w:val="19"/>
          <w:szCs w:val="19"/>
          <w:lang w:eastAsia="es-CO"/>
        </w:rPr>
        <w:t>En la licitación y la selección abreviada de menor cuantía, la Entidad Estatal debe determinar la oferta más favorable teniendo en cuenta: (a) la ponderación de los elementos de calidad y precio soportados en puntajes o fórmulas; o (b) la ponderación de los elementos de calidad y precio que representen la mejor relación de costo-beneficio. Si la Entidad Estatal decide determinar la oferta de acuerdo con el literal (b) anterior debe señalar en los pliegos de condiciones: </w:t>
      </w:r>
    </w:p>
    <w:p w14:paraId="78BE91CF" w14:textId="77777777" w:rsidR="007B1929" w:rsidRPr="00C93A42" w:rsidRDefault="007B1929" w:rsidP="000E3965">
      <w:pPr>
        <w:jc w:val="both"/>
        <w:rPr>
          <w:rFonts w:ascii="Arial" w:hAnsi="Arial" w:cs="Arial"/>
          <w:sz w:val="19"/>
          <w:szCs w:val="19"/>
          <w:lang w:eastAsia="es-CO"/>
        </w:rPr>
      </w:pPr>
      <w:r w:rsidRPr="00C93A42">
        <w:rPr>
          <w:rFonts w:ascii="Arial" w:hAnsi="Arial" w:cs="Arial"/>
          <w:sz w:val="19"/>
          <w:szCs w:val="19"/>
          <w:lang w:eastAsia="es-CO"/>
        </w:rPr>
        <w:t>  </w:t>
      </w:r>
      <w:r w:rsidRPr="00C93A42">
        <w:rPr>
          <w:rFonts w:ascii="Arial" w:hAnsi="Arial" w:cs="Arial"/>
          <w:sz w:val="19"/>
          <w:szCs w:val="19"/>
          <w:lang w:eastAsia="es-CO"/>
        </w:rPr>
        <w:tab/>
      </w:r>
      <w:r w:rsidRPr="00C93A42">
        <w:rPr>
          <w:rFonts w:ascii="Arial" w:eastAsia="Calibri" w:hAnsi="Arial" w:cs="Arial"/>
          <w:bCs/>
          <w:sz w:val="19"/>
          <w:szCs w:val="19"/>
        </w:rPr>
        <w:t>»</w:t>
      </w:r>
      <w:r w:rsidRPr="00C93A42">
        <w:rPr>
          <w:rFonts w:ascii="Arial" w:hAnsi="Arial" w:cs="Arial"/>
          <w:sz w:val="19"/>
          <w:szCs w:val="19"/>
          <w:lang w:eastAsia="es-CO"/>
        </w:rPr>
        <w:t>1. Las condiciones técnicas y económicas mínimas de la oferta. </w:t>
      </w:r>
    </w:p>
    <w:p w14:paraId="41ECABBC" w14:textId="77777777" w:rsidR="007B1929" w:rsidRPr="00C93A42" w:rsidRDefault="007B1929" w:rsidP="000E3965">
      <w:pPr>
        <w:jc w:val="both"/>
        <w:rPr>
          <w:rFonts w:ascii="Arial" w:hAnsi="Arial" w:cs="Arial"/>
          <w:sz w:val="19"/>
          <w:szCs w:val="19"/>
          <w:lang w:eastAsia="es-CO"/>
        </w:rPr>
      </w:pPr>
      <w:r w:rsidRPr="00C93A42">
        <w:rPr>
          <w:rFonts w:ascii="Arial" w:hAnsi="Arial" w:cs="Arial"/>
          <w:sz w:val="19"/>
          <w:szCs w:val="19"/>
          <w:lang w:eastAsia="es-CO"/>
        </w:rPr>
        <w:t>  </w:t>
      </w:r>
      <w:r w:rsidRPr="00C93A42">
        <w:rPr>
          <w:rFonts w:ascii="Arial" w:hAnsi="Arial" w:cs="Arial"/>
          <w:sz w:val="19"/>
          <w:szCs w:val="19"/>
          <w:lang w:eastAsia="es-CO"/>
        </w:rPr>
        <w:tab/>
      </w:r>
      <w:r w:rsidRPr="00C93A42">
        <w:rPr>
          <w:rFonts w:ascii="Arial" w:eastAsia="Calibri" w:hAnsi="Arial" w:cs="Arial"/>
          <w:bCs/>
          <w:sz w:val="19"/>
          <w:szCs w:val="19"/>
        </w:rPr>
        <w:t>»</w:t>
      </w:r>
      <w:r w:rsidRPr="00C93A42">
        <w:rPr>
          <w:rFonts w:ascii="Arial" w:hAnsi="Arial" w:cs="Arial"/>
          <w:sz w:val="19"/>
          <w:szCs w:val="19"/>
          <w:lang w:eastAsia="es-CO"/>
        </w:rPr>
        <w:t>2. Las condiciones técnicas adicionales que representan ventajas de calidad o de funcionamiento, tales como el uso de tecnología o materiales que generen mayor eficiencia, rendimiento o duración del bien, obra o servicio. </w:t>
      </w:r>
    </w:p>
    <w:p w14:paraId="2F8516C0" w14:textId="77777777" w:rsidR="007B1929" w:rsidRPr="00C93A42" w:rsidRDefault="007B1929" w:rsidP="000E3965">
      <w:pPr>
        <w:jc w:val="both"/>
        <w:rPr>
          <w:rFonts w:ascii="Arial" w:hAnsi="Arial" w:cs="Arial"/>
          <w:sz w:val="19"/>
          <w:szCs w:val="19"/>
          <w:lang w:eastAsia="es-CO"/>
        </w:rPr>
      </w:pPr>
      <w:r w:rsidRPr="00C93A42">
        <w:rPr>
          <w:rFonts w:ascii="Arial" w:hAnsi="Arial" w:cs="Arial"/>
          <w:sz w:val="19"/>
          <w:szCs w:val="19"/>
          <w:lang w:eastAsia="es-CO"/>
        </w:rPr>
        <w:t>  </w:t>
      </w:r>
      <w:r w:rsidRPr="00C93A42">
        <w:rPr>
          <w:rFonts w:ascii="Arial" w:hAnsi="Arial" w:cs="Arial"/>
          <w:sz w:val="19"/>
          <w:szCs w:val="19"/>
          <w:lang w:eastAsia="es-CO"/>
        </w:rPr>
        <w:tab/>
      </w:r>
      <w:r w:rsidRPr="00C93A42">
        <w:rPr>
          <w:rFonts w:ascii="Arial" w:eastAsia="Calibri" w:hAnsi="Arial" w:cs="Arial"/>
          <w:bCs/>
          <w:sz w:val="19"/>
          <w:szCs w:val="19"/>
        </w:rPr>
        <w:t>»</w:t>
      </w:r>
      <w:r w:rsidRPr="00C93A42">
        <w:rPr>
          <w:rFonts w:ascii="Arial" w:hAnsi="Arial" w:cs="Arial"/>
          <w:sz w:val="19"/>
          <w:szCs w:val="19"/>
          <w:lang w:eastAsia="es-CO"/>
        </w:rPr>
        <w:t>3. Las condiciones económicas adicionales que representen ventajas en términos de economía, eficiencia y eficacia, que puedan ser valoradas en dinero, como por ejemplo la forma de pago, descuentos por adjudicación de varios lotes, descuentos por variaciones en programas de entregas, mayor garantía del bien o servicio respecto de la mínima requerida, impacto económico sobre las condiciones existentes de la Entidad Estatal relacionadas con el objeto a contratar, mayor asunción de los Riesgos, servicios o bienes adicionales y que representen un mayor grado de satisfacción para la entidad, entre otras. </w:t>
      </w:r>
    </w:p>
    <w:p w14:paraId="1FC69A38" w14:textId="77777777" w:rsidR="007B1929" w:rsidRPr="00C93A42" w:rsidRDefault="007B1929" w:rsidP="000E3965">
      <w:pPr>
        <w:jc w:val="both"/>
        <w:rPr>
          <w:rFonts w:ascii="Arial" w:hAnsi="Arial" w:cs="Arial"/>
          <w:sz w:val="19"/>
          <w:szCs w:val="19"/>
          <w:lang w:eastAsia="es-CO"/>
        </w:rPr>
      </w:pPr>
      <w:r w:rsidRPr="00C93A42">
        <w:rPr>
          <w:rFonts w:ascii="Arial" w:hAnsi="Arial" w:cs="Arial"/>
          <w:sz w:val="19"/>
          <w:szCs w:val="19"/>
          <w:lang w:eastAsia="es-CO"/>
        </w:rPr>
        <w:t>  </w:t>
      </w:r>
      <w:r w:rsidRPr="00C93A42">
        <w:rPr>
          <w:rFonts w:ascii="Arial" w:hAnsi="Arial" w:cs="Arial"/>
          <w:sz w:val="19"/>
          <w:szCs w:val="19"/>
          <w:lang w:eastAsia="es-CO"/>
        </w:rPr>
        <w:tab/>
      </w:r>
      <w:r w:rsidRPr="00C93A42">
        <w:rPr>
          <w:rFonts w:ascii="Arial" w:eastAsia="Calibri" w:hAnsi="Arial" w:cs="Arial"/>
          <w:bCs/>
          <w:sz w:val="19"/>
          <w:szCs w:val="19"/>
        </w:rPr>
        <w:t>»</w:t>
      </w:r>
      <w:r w:rsidRPr="00C93A42">
        <w:rPr>
          <w:rFonts w:ascii="Arial" w:hAnsi="Arial" w:cs="Arial"/>
          <w:sz w:val="19"/>
          <w:szCs w:val="19"/>
          <w:lang w:eastAsia="es-CO"/>
        </w:rPr>
        <w:t>4. El valor en dinero que la Entidad Estatal asigna a cada ofrecimiento técnico o económico adicional, para permitir la ponderación de las ofertas presentadas. </w:t>
      </w:r>
    </w:p>
    <w:p w14:paraId="21172159" w14:textId="77777777" w:rsidR="007B1929" w:rsidRPr="00C93A42" w:rsidRDefault="007B1929" w:rsidP="000E3965">
      <w:pPr>
        <w:jc w:val="both"/>
        <w:rPr>
          <w:rFonts w:ascii="Arial" w:hAnsi="Arial" w:cs="Arial"/>
          <w:sz w:val="19"/>
          <w:szCs w:val="19"/>
          <w:lang w:eastAsia="es-CO"/>
        </w:rPr>
      </w:pPr>
      <w:r w:rsidRPr="00C93A42">
        <w:rPr>
          <w:rFonts w:ascii="Arial" w:hAnsi="Arial" w:cs="Arial"/>
          <w:sz w:val="19"/>
          <w:szCs w:val="19"/>
          <w:lang w:eastAsia="es-CO"/>
        </w:rPr>
        <w:t>  </w:t>
      </w:r>
      <w:r w:rsidRPr="00C93A42">
        <w:rPr>
          <w:rFonts w:ascii="Arial" w:hAnsi="Arial" w:cs="Arial"/>
          <w:sz w:val="19"/>
          <w:szCs w:val="19"/>
          <w:lang w:eastAsia="es-CO"/>
        </w:rPr>
        <w:tab/>
      </w:r>
      <w:r w:rsidRPr="00C93A42">
        <w:rPr>
          <w:rFonts w:ascii="Arial" w:eastAsia="Calibri" w:hAnsi="Arial" w:cs="Arial"/>
          <w:bCs/>
          <w:sz w:val="19"/>
          <w:szCs w:val="19"/>
        </w:rPr>
        <w:t>»</w:t>
      </w:r>
      <w:r w:rsidRPr="00C93A42">
        <w:rPr>
          <w:rFonts w:ascii="Arial" w:hAnsi="Arial" w:cs="Arial"/>
          <w:sz w:val="19"/>
          <w:szCs w:val="19"/>
          <w:lang w:eastAsia="es-CO"/>
        </w:rPr>
        <w:t>La Entidad Estatal debe calcular la relación costo-beneficio de cada oferta restando del precio total ofrecido los valores monetarios asignados a cada una de las condiciones técnicas y económicas adicionales ofrecidas. La mejor relación costo-beneficio para la Entidad Estatal es la de la oferta que una vez aplicada la metodología anterior tenga el resultado más bajo. </w:t>
      </w:r>
    </w:p>
    <w:p w14:paraId="0F67265B" w14:textId="77777777" w:rsidR="007B1929" w:rsidRPr="00C93A42" w:rsidRDefault="007B1929" w:rsidP="000E3965">
      <w:pPr>
        <w:jc w:val="both"/>
      </w:pPr>
      <w:r w:rsidRPr="00C93A42">
        <w:rPr>
          <w:rFonts w:ascii="Arial" w:hAnsi="Arial" w:cs="Arial"/>
          <w:sz w:val="19"/>
          <w:szCs w:val="19"/>
          <w:lang w:eastAsia="es-CO"/>
        </w:rPr>
        <w:t>  </w:t>
      </w:r>
      <w:r w:rsidRPr="00C93A42">
        <w:rPr>
          <w:rFonts w:ascii="Arial" w:hAnsi="Arial" w:cs="Arial"/>
          <w:sz w:val="19"/>
          <w:szCs w:val="19"/>
          <w:lang w:eastAsia="es-CO"/>
        </w:rPr>
        <w:tab/>
      </w:r>
      <w:r w:rsidRPr="00C93A42">
        <w:rPr>
          <w:rFonts w:ascii="Arial" w:eastAsia="Calibri" w:hAnsi="Arial" w:cs="Arial"/>
          <w:bCs/>
          <w:sz w:val="19"/>
          <w:szCs w:val="19"/>
        </w:rPr>
        <w:t>»</w:t>
      </w:r>
      <w:r w:rsidRPr="00C93A42">
        <w:rPr>
          <w:rFonts w:ascii="Arial" w:hAnsi="Arial" w:cs="Arial"/>
          <w:sz w:val="19"/>
          <w:szCs w:val="19"/>
          <w:lang w:eastAsia="es-CO"/>
        </w:rPr>
        <w:t>La Entidad Estatal debe adjudicar al oferente que presentó la oferta con la mejor relación costo-beneficio y suscribir el contrato por el precio total ofrecido</w:t>
      </w:r>
      <w:r w:rsidRPr="00C93A42">
        <w:rPr>
          <w:rFonts w:ascii="Arial" w:eastAsia="Calibri" w:hAnsi="Arial" w:cs="Arial"/>
          <w:bCs/>
          <w:sz w:val="19"/>
          <w:szCs w:val="19"/>
        </w:rPr>
        <w:t>»</w:t>
      </w:r>
      <w:r w:rsidRPr="00C93A42">
        <w:rPr>
          <w:rFonts w:ascii="Arial" w:hAnsi="Arial" w:cs="Arial"/>
          <w:sz w:val="19"/>
          <w:szCs w:val="19"/>
          <w:lang w:eastAsia="es-CO"/>
        </w:rPr>
        <w:t>. </w:t>
      </w:r>
    </w:p>
  </w:footnote>
  <w:footnote w:id="31">
    <w:p w14:paraId="320D8222" w14:textId="16463427" w:rsidR="007B1929" w:rsidRPr="00576186" w:rsidRDefault="007B1929" w:rsidP="00DF24C4">
      <w:pPr>
        <w:pStyle w:val="Textonotapie"/>
        <w:ind w:firstLine="708"/>
        <w:jc w:val="both"/>
        <w:rPr>
          <w:rFonts w:ascii="Arial" w:hAnsi="Arial" w:cs="Arial"/>
          <w:sz w:val="19"/>
          <w:szCs w:val="19"/>
          <w:lang w:val="es-CO"/>
        </w:rPr>
      </w:pPr>
      <w:r w:rsidRPr="00576186">
        <w:rPr>
          <w:rStyle w:val="Refdenotaalpie"/>
          <w:rFonts w:ascii="Arial" w:hAnsi="Arial" w:cs="Arial"/>
          <w:sz w:val="19"/>
          <w:szCs w:val="19"/>
        </w:rPr>
        <w:footnoteRef/>
      </w:r>
      <w:r w:rsidRPr="00576186">
        <w:rPr>
          <w:rFonts w:ascii="Arial" w:hAnsi="Arial" w:cs="Arial"/>
          <w:sz w:val="19"/>
          <w:szCs w:val="19"/>
        </w:rPr>
        <w:t xml:space="preserve"> Según este principio, «[…] en caso de perplejidades hermenéuticas, el operador jurídico debe preferir, entre las diversas interpretaciones de las disposiciones aplicables al caso, aquella que produzca efectos, sobre aquella que no, o sobre aquella que sea superflua o irrazonable […]» (</w:t>
      </w:r>
      <w:r w:rsidRPr="00576186">
        <w:rPr>
          <w:rFonts w:ascii="Arial" w:hAnsi="Arial" w:cs="Arial"/>
          <w:sz w:val="19"/>
          <w:szCs w:val="19"/>
          <w:lang w:val="es-CO"/>
        </w:rPr>
        <w:t xml:space="preserve">CORTE CONSTITUCIONAL. Sentencia C-569 del 8 de junio de 2004. M.P. (E). </w:t>
      </w:r>
      <w:r w:rsidRPr="007B1929">
        <w:rPr>
          <w:rFonts w:ascii="Arial" w:hAnsi="Arial" w:cs="Arial"/>
          <w:sz w:val="19"/>
          <w:szCs w:val="19"/>
          <w:shd w:val="clear" w:color="auto" w:fill="FFFFFF"/>
        </w:rPr>
        <w:t>Rodrigo Uprimny Yepes).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7B1929" w:rsidRDefault="007B1929">
    <w:pPr>
      <w:pStyle w:val="Encabezado"/>
    </w:pPr>
    <w:r>
      <w:rPr>
        <w:noProof/>
        <w:lang w:val="es-ES_tradnl" w:eastAsia="es-ES_tradnl"/>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6"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1"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51F2084E"/>
    <w:multiLevelType w:val="hybridMultilevel"/>
    <w:tmpl w:val="6C4AF576"/>
    <w:lvl w:ilvl="0" w:tplc="CED44512">
      <w:start w:val="1"/>
      <w:numFmt w:val="decimal"/>
      <w:lvlText w:val="%1."/>
      <w:lvlJc w:val="left"/>
      <w:pPr>
        <w:tabs>
          <w:tab w:val="num" w:pos="720"/>
        </w:tabs>
        <w:ind w:left="720" w:hanging="360"/>
      </w:pPr>
    </w:lvl>
    <w:lvl w:ilvl="1" w:tplc="2DB862AE" w:tentative="1">
      <w:start w:val="1"/>
      <w:numFmt w:val="decimal"/>
      <w:lvlText w:val="%2."/>
      <w:lvlJc w:val="left"/>
      <w:pPr>
        <w:tabs>
          <w:tab w:val="num" w:pos="1440"/>
        </w:tabs>
        <w:ind w:left="1440" w:hanging="360"/>
      </w:pPr>
    </w:lvl>
    <w:lvl w:ilvl="2" w:tplc="03AC466C" w:tentative="1">
      <w:start w:val="1"/>
      <w:numFmt w:val="decimal"/>
      <w:lvlText w:val="%3."/>
      <w:lvlJc w:val="left"/>
      <w:pPr>
        <w:tabs>
          <w:tab w:val="num" w:pos="2160"/>
        </w:tabs>
        <w:ind w:left="2160" w:hanging="360"/>
      </w:pPr>
    </w:lvl>
    <w:lvl w:ilvl="3" w:tplc="1820C460" w:tentative="1">
      <w:start w:val="1"/>
      <w:numFmt w:val="decimal"/>
      <w:lvlText w:val="%4."/>
      <w:lvlJc w:val="left"/>
      <w:pPr>
        <w:tabs>
          <w:tab w:val="num" w:pos="2880"/>
        </w:tabs>
        <w:ind w:left="2880" w:hanging="360"/>
      </w:pPr>
    </w:lvl>
    <w:lvl w:ilvl="4" w:tplc="3294A48C" w:tentative="1">
      <w:start w:val="1"/>
      <w:numFmt w:val="decimal"/>
      <w:lvlText w:val="%5."/>
      <w:lvlJc w:val="left"/>
      <w:pPr>
        <w:tabs>
          <w:tab w:val="num" w:pos="3600"/>
        </w:tabs>
        <w:ind w:left="3600" w:hanging="360"/>
      </w:pPr>
    </w:lvl>
    <w:lvl w:ilvl="5" w:tplc="F77A9290" w:tentative="1">
      <w:start w:val="1"/>
      <w:numFmt w:val="decimal"/>
      <w:lvlText w:val="%6."/>
      <w:lvlJc w:val="left"/>
      <w:pPr>
        <w:tabs>
          <w:tab w:val="num" w:pos="4320"/>
        </w:tabs>
        <w:ind w:left="4320" w:hanging="360"/>
      </w:pPr>
    </w:lvl>
    <w:lvl w:ilvl="6" w:tplc="303A9F5E" w:tentative="1">
      <w:start w:val="1"/>
      <w:numFmt w:val="decimal"/>
      <w:lvlText w:val="%7."/>
      <w:lvlJc w:val="left"/>
      <w:pPr>
        <w:tabs>
          <w:tab w:val="num" w:pos="5040"/>
        </w:tabs>
        <w:ind w:left="5040" w:hanging="360"/>
      </w:pPr>
    </w:lvl>
    <w:lvl w:ilvl="7" w:tplc="895C1678" w:tentative="1">
      <w:start w:val="1"/>
      <w:numFmt w:val="decimal"/>
      <w:lvlText w:val="%8."/>
      <w:lvlJc w:val="left"/>
      <w:pPr>
        <w:tabs>
          <w:tab w:val="num" w:pos="5760"/>
        </w:tabs>
        <w:ind w:left="5760" w:hanging="360"/>
      </w:pPr>
    </w:lvl>
    <w:lvl w:ilvl="8" w:tplc="665C70BC" w:tentative="1">
      <w:start w:val="1"/>
      <w:numFmt w:val="decimal"/>
      <w:lvlText w:val="%9."/>
      <w:lvlJc w:val="left"/>
      <w:pPr>
        <w:tabs>
          <w:tab w:val="num" w:pos="6480"/>
        </w:tabs>
        <w:ind w:left="6480" w:hanging="360"/>
      </w:pPr>
    </w:lvl>
  </w:abstractNum>
  <w:abstractNum w:abstractNumId="1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6" w15:restartNumberingAfterBreak="0">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8"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9"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0"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1"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2"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268467527">
    <w:abstractNumId w:val="9"/>
  </w:num>
  <w:num w:numId="2" w16cid:durableId="1497451735">
    <w:abstractNumId w:val="7"/>
  </w:num>
  <w:num w:numId="3" w16cid:durableId="869413699">
    <w:abstractNumId w:val="12"/>
  </w:num>
  <w:num w:numId="4" w16cid:durableId="1183931139">
    <w:abstractNumId w:val="15"/>
  </w:num>
  <w:num w:numId="5" w16cid:durableId="155415871">
    <w:abstractNumId w:val="19"/>
  </w:num>
  <w:num w:numId="6" w16cid:durableId="1111784073">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333763">
    <w:abstractNumId w:val="17"/>
  </w:num>
  <w:num w:numId="8" w16cid:durableId="949357687">
    <w:abstractNumId w:val="0"/>
  </w:num>
  <w:num w:numId="9" w16cid:durableId="161970180">
    <w:abstractNumId w:val="3"/>
  </w:num>
  <w:num w:numId="10" w16cid:durableId="12720142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121789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62382268">
    <w:abstractNumId w:val="8"/>
  </w:num>
  <w:num w:numId="13" w16cid:durableId="121270298">
    <w:abstractNumId w:val="11"/>
  </w:num>
  <w:num w:numId="14" w16cid:durableId="1495142602">
    <w:abstractNumId w:val="6"/>
  </w:num>
  <w:num w:numId="15" w16cid:durableId="1469712373">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257251853">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772356548">
    <w:abstractNumId w:val="21"/>
  </w:num>
  <w:num w:numId="18" w16cid:durableId="910231530">
    <w:abstractNumId w:val="13"/>
  </w:num>
  <w:num w:numId="19" w16cid:durableId="1692681271">
    <w:abstractNumId w:val="2"/>
  </w:num>
  <w:num w:numId="20" w16cid:durableId="1802385316">
    <w:abstractNumId w:val="22"/>
  </w:num>
  <w:num w:numId="21" w16cid:durableId="381487548">
    <w:abstractNumId w:val="14"/>
  </w:num>
  <w:num w:numId="22" w16cid:durableId="250700611">
    <w:abstractNumId w:val="5"/>
  </w:num>
  <w:num w:numId="23" w16cid:durableId="1592590818">
    <w:abstractNumId w:val="4"/>
  </w:num>
  <w:num w:numId="24" w16cid:durableId="879899961">
    <w:abstractNumId w:val="20"/>
  </w:num>
  <w:num w:numId="25" w16cid:durableId="108819203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0CFD"/>
    <w:rsid w:val="0000162E"/>
    <w:rsid w:val="00001A1C"/>
    <w:rsid w:val="00001CC9"/>
    <w:rsid w:val="00001FFD"/>
    <w:rsid w:val="00002027"/>
    <w:rsid w:val="000020FE"/>
    <w:rsid w:val="00002173"/>
    <w:rsid w:val="0000248C"/>
    <w:rsid w:val="00002588"/>
    <w:rsid w:val="00003020"/>
    <w:rsid w:val="000031A8"/>
    <w:rsid w:val="00003C5C"/>
    <w:rsid w:val="00003D39"/>
    <w:rsid w:val="000040D7"/>
    <w:rsid w:val="00004173"/>
    <w:rsid w:val="00004556"/>
    <w:rsid w:val="000051AF"/>
    <w:rsid w:val="000059D3"/>
    <w:rsid w:val="00005B6D"/>
    <w:rsid w:val="0000600A"/>
    <w:rsid w:val="00006081"/>
    <w:rsid w:val="00007750"/>
    <w:rsid w:val="000077FD"/>
    <w:rsid w:val="00007948"/>
    <w:rsid w:val="00007DAD"/>
    <w:rsid w:val="00007E37"/>
    <w:rsid w:val="000105D9"/>
    <w:rsid w:val="00010C40"/>
    <w:rsid w:val="000112B4"/>
    <w:rsid w:val="00011DCC"/>
    <w:rsid w:val="00011EA4"/>
    <w:rsid w:val="00012532"/>
    <w:rsid w:val="00012B9E"/>
    <w:rsid w:val="00012EFA"/>
    <w:rsid w:val="00012F37"/>
    <w:rsid w:val="00012FBA"/>
    <w:rsid w:val="00013C6B"/>
    <w:rsid w:val="0001406B"/>
    <w:rsid w:val="000140E5"/>
    <w:rsid w:val="000143F8"/>
    <w:rsid w:val="00014624"/>
    <w:rsid w:val="00015126"/>
    <w:rsid w:val="00015B44"/>
    <w:rsid w:val="00016081"/>
    <w:rsid w:val="000165AC"/>
    <w:rsid w:val="00016651"/>
    <w:rsid w:val="000171A2"/>
    <w:rsid w:val="00017B65"/>
    <w:rsid w:val="00020158"/>
    <w:rsid w:val="000207E0"/>
    <w:rsid w:val="000209E2"/>
    <w:rsid w:val="00020F8F"/>
    <w:rsid w:val="00021A95"/>
    <w:rsid w:val="00021C8A"/>
    <w:rsid w:val="0002256F"/>
    <w:rsid w:val="00023A0B"/>
    <w:rsid w:val="00023DAE"/>
    <w:rsid w:val="00024896"/>
    <w:rsid w:val="00024A81"/>
    <w:rsid w:val="0002504E"/>
    <w:rsid w:val="000255FA"/>
    <w:rsid w:val="00025D0A"/>
    <w:rsid w:val="000263F0"/>
    <w:rsid w:val="00026407"/>
    <w:rsid w:val="000265C7"/>
    <w:rsid w:val="00026608"/>
    <w:rsid w:val="00027787"/>
    <w:rsid w:val="000278D2"/>
    <w:rsid w:val="00027C93"/>
    <w:rsid w:val="000303E4"/>
    <w:rsid w:val="00030B30"/>
    <w:rsid w:val="00030DFB"/>
    <w:rsid w:val="00031364"/>
    <w:rsid w:val="000315E1"/>
    <w:rsid w:val="0003236E"/>
    <w:rsid w:val="000323C6"/>
    <w:rsid w:val="000323FA"/>
    <w:rsid w:val="00032689"/>
    <w:rsid w:val="00032C89"/>
    <w:rsid w:val="000332E1"/>
    <w:rsid w:val="0003339A"/>
    <w:rsid w:val="000341F2"/>
    <w:rsid w:val="00035046"/>
    <w:rsid w:val="000351F2"/>
    <w:rsid w:val="00035328"/>
    <w:rsid w:val="0003535C"/>
    <w:rsid w:val="00035768"/>
    <w:rsid w:val="000368FE"/>
    <w:rsid w:val="00036D03"/>
    <w:rsid w:val="00036E03"/>
    <w:rsid w:val="000374FB"/>
    <w:rsid w:val="00037510"/>
    <w:rsid w:val="000406DB"/>
    <w:rsid w:val="0004094D"/>
    <w:rsid w:val="00041029"/>
    <w:rsid w:val="00041357"/>
    <w:rsid w:val="0004149B"/>
    <w:rsid w:val="00041FC6"/>
    <w:rsid w:val="00042961"/>
    <w:rsid w:val="00042C25"/>
    <w:rsid w:val="00042D03"/>
    <w:rsid w:val="00043086"/>
    <w:rsid w:val="000430A0"/>
    <w:rsid w:val="00043652"/>
    <w:rsid w:val="00043A34"/>
    <w:rsid w:val="00043D3B"/>
    <w:rsid w:val="0004418C"/>
    <w:rsid w:val="00044204"/>
    <w:rsid w:val="0004477A"/>
    <w:rsid w:val="000449D4"/>
    <w:rsid w:val="00045D5B"/>
    <w:rsid w:val="0004600D"/>
    <w:rsid w:val="000463B5"/>
    <w:rsid w:val="00046717"/>
    <w:rsid w:val="00046A63"/>
    <w:rsid w:val="00046C09"/>
    <w:rsid w:val="0004716A"/>
    <w:rsid w:val="00047385"/>
    <w:rsid w:val="000473E8"/>
    <w:rsid w:val="000504DE"/>
    <w:rsid w:val="00051074"/>
    <w:rsid w:val="000526F0"/>
    <w:rsid w:val="0005273D"/>
    <w:rsid w:val="00052B79"/>
    <w:rsid w:val="00052E4B"/>
    <w:rsid w:val="00052EA0"/>
    <w:rsid w:val="000536A7"/>
    <w:rsid w:val="000536E3"/>
    <w:rsid w:val="00053896"/>
    <w:rsid w:val="00053A00"/>
    <w:rsid w:val="0005450D"/>
    <w:rsid w:val="0005474D"/>
    <w:rsid w:val="00055A41"/>
    <w:rsid w:val="00055CB9"/>
    <w:rsid w:val="00056C51"/>
    <w:rsid w:val="00056F66"/>
    <w:rsid w:val="0005702F"/>
    <w:rsid w:val="000572DE"/>
    <w:rsid w:val="000578FF"/>
    <w:rsid w:val="00057CBB"/>
    <w:rsid w:val="00060446"/>
    <w:rsid w:val="00061010"/>
    <w:rsid w:val="00061D06"/>
    <w:rsid w:val="00062CDD"/>
    <w:rsid w:val="00062DB3"/>
    <w:rsid w:val="00063472"/>
    <w:rsid w:val="000640AF"/>
    <w:rsid w:val="0006460D"/>
    <w:rsid w:val="00064940"/>
    <w:rsid w:val="00064CAE"/>
    <w:rsid w:val="00064DB7"/>
    <w:rsid w:val="00064FA7"/>
    <w:rsid w:val="00065195"/>
    <w:rsid w:val="0006536C"/>
    <w:rsid w:val="0006626E"/>
    <w:rsid w:val="00066A7F"/>
    <w:rsid w:val="0006791B"/>
    <w:rsid w:val="00070AF1"/>
    <w:rsid w:val="000714DE"/>
    <w:rsid w:val="00071CFC"/>
    <w:rsid w:val="0007254F"/>
    <w:rsid w:val="0007357C"/>
    <w:rsid w:val="00073C30"/>
    <w:rsid w:val="00074305"/>
    <w:rsid w:val="000744D0"/>
    <w:rsid w:val="00074B2A"/>
    <w:rsid w:val="00074E6F"/>
    <w:rsid w:val="00074EEE"/>
    <w:rsid w:val="000753D5"/>
    <w:rsid w:val="00075567"/>
    <w:rsid w:val="00075B3E"/>
    <w:rsid w:val="00076456"/>
    <w:rsid w:val="0007779B"/>
    <w:rsid w:val="000777E7"/>
    <w:rsid w:val="0007790A"/>
    <w:rsid w:val="000779F2"/>
    <w:rsid w:val="0008017B"/>
    <w:rsid w:val="0008049A"/>
    <w:rsid w:val="00080ACD"/>
    <w:rsid w:val="000811ED"/>
    <w:rsid w:val="00081D62"/>
    <w:rsid w:val="00081FFA"/>
    <w:rsid w:val="0008269B"/>
    <w:rsid w:val="000829AE"/>
    <w:rsid w:val="00082B74"/>
    <w:rsid w:val="00083099"/>
    <w:rsid w:val="00083480"/>
    <w:rsid w:val="0008389B"/>
    <w:rsid w:val="00083EDC"/>
    <w:rsid w:val="00084B97"/>
    <w:rsid w:val="00084F87"/>
    <w:rsid w:val="00085033"/>
    <w:rsid w:val="0008510E"/>
    <w:rsid w:val="000856DE"/>
    <w:rsid w:val="00085F17"/>
    <w:rsid w:val="00085FB0"/>
    <w:rsid w:val="00085FB3"/>
    <w:rsid w:val="0008614E"/>
    <w:rsid w:val="0008686B"/>
    <w:rsid w:val="00086B2A"/>
    <w:rsid w:val="00086ED2"/>
    <w:rsid w:val="00087A64"/>
    <w:rsid w:val="0009082C"/>
    <w:rsid w:val="00090C39"/>
    <w:rsid w:val="000914D6"/>
    <w:rsid w:val="00091569"/>
    <w:rsid w:val="00091957"/>
    <w:rsid w:val="00092654"/>
    <w:rsid w:val="00092CDB"/>
    <w:rsid w:val="00092DCA"/>
    <w:rsid w:val="000932BB"/>
    <w:rsid w:val="00093851"/>
    <w:rsid w:val="000942EB"/>
    <w:rsid w:val="00095B70"/>
    <w:rsid w:val="0009617E"/>
    <w:rsid w:val="0009628D"/>
    <w:rsid w:val="0009670F"/>
    <w:rsid w:val="00096D15"/>
    <w:rsid w:val="000970E4"/>
    <w:rsid w:val="000979CF"/>
    <w:rsid w:val="00097F53"/>
    <w:rsid w:val="000A03C8"/>
    <w:rsid w:val="000A03F2"/>
    <w:rsid w:val="000A05F2"/>
    <w:rsid w:val="000A06C4"/>
    <w:rsid w:val="000A0861"/>
    <w:rsid w:val="000A0EC4"/>
    <w:rsid w:val="000A0ED1"/>
    <w:rsid w:val="000A12DB"/>
    <w:rsid w:val="000A17C8"/>
    <w:rsid w:val="000A1B74"/>
    <w:rsid w:val="000A20D7"/>
    <w:rsid w:val="000A2128"/>
    <w:rsid w:val="000A362F"/>
    <w:rsid w:val="000A3B49"/>
    <w:rsid w:val="000A45E2"/>
    <w:rsid w:val="000A467C"/>
    <w:rsid w:val="000A46FE"/>
    <w:rsid w:val="000A47E6"/>
    <w:rsid w:val="000A52C0"/>
    <w:rsid w:val="000A5AAF"/>
    <w:rsid w:val="000A5ACE"/>
    <w:rsid w:val="000A5F97"/>
    <w:rsid w:val="000A609A"/>
    <w:rsid w:val="000A648E"/>
    <w:rsid w:val="000A7268"/>
    <w:rsid w:val="000A73BB"/>
    <w:rsid w:val="000A73E8"/>
    <w:rsid w:val="000A7EF4"/>
    <w:rsid w:val="000B046C"/>
    <w:rsid w:val="000B0A15"/>
    <w:rsid w:val="000B103F"/>
    <w:rsid w:val="000B1437"/>
    <w:rsid w:val="000B1470"/>
    <w:rsid w:val="000B175E"/>
    <w:rsid w:val="000B244D"/>
    <w:rsid w:val="000B2A1A"/>
    <w:rsid w:val="000B2B86"/>
    <w:rsid w:val="000B3051"/>
    <w:rsid w:val="000B419B"/>
    <w:rsid w:val="000B56F9"/>
    <w:rsid w:val="000B5781"/>
    <w:rsid w:val="000B5CB1"/>
    <w:rsid w:val="000B6D8B"/>
    <w:rsid w:val="000B75F4"/>
    <w:rsid w:val="000C0185"/>
    <w:rsid w:val="000C084E"/>
    <w:rsid w:val="000C0F81"/>
    <w:rsid w:val="000C128D"/>
    <w:rsid w:val="000C17A3"/>
    <w:rsid w:val="000C1D4B"/>
    <w:rsid w:val="000C1D5C"/>
    <w:rsid w:val="000C2DC4"/>
    <w:rsid w:val="000C3260"/>
    <w:rsid w:val="000C3B77"/>
    <w:rsid w:val="000C3F6D"/>
    <w:rsid w:val="000C47E0"/>
    <w:rsid w:val="000C487D"/>
    <w:rsid w:val="000C4F49"/>
    <w:rsid w:val="000C5861"/>
    <w:rsid w:val="000C5BDE"/>
    <w:rsid w:val="000C639D"/>
    <w:rsid w:val="000C6988"/>
    <w:rsid w:val="000C6C31"/>
    <w:rsid w:val="000C6DBC"/>
    <w:rsid w:val="000C6F79"/>
    <w:rsid w:val="000C7476"/>
    <w:rsid w:val="000C7480"/>
    <w:rsid w:val="000C7648"/>
    <w:rsid w:val="000C7711"/>
    <w:rsid w:val="000C7AA2"/>
    <w:rsid w:val="000D0462"/>
    <w:rsid w:val="000D053D"/>
    <w:rsid w:val="000D0ED2"/>
    <w:rsid w:val="000D107D"/>
    <w:rsid w:val="000D13FD"/>
    <w:rsid w:val="000D1CEB"/>
    <w:rsid w:val="000D2563"/>
    <w:rsid w:val="000D25BF"/>
    <w:rsid w:val="000D2C83"/>
    <w:rsid w:val="000D2C93"/>
    <w:rsid w:val="000D2F14"/>
    <w:rsid w:val="000D2F86"/>
    <w:rsid w:val="000D2FE4"/>
    <w:rsid w:val="000D3FDC"/>
    <w:rsid w:val="000D490B"/>
    <w:rsid w:val="000D4E38"/>
    <w:rsid w:val="000D50DB"/>
    <w:rsid w:val="000D6288"/>
    <w:rsid w:val="000D6B6C"/>
    <w:rsid w:val="000D6C10"/>
    <w:rsid w:val="000D728B"/>
    <w:rsid w:val="000D7541"/>
    <w:rsid w:val="000D75E1"/>
    <w:rsid w:val="000D786C"/>
    <w:rsid w:val="000E05E2"/>
    <w:rsid w:val="000E22CF"/>
    <w:rsid w:val="000E2977"/>
    <w:rsid w:val="000E2CC0"/>
    <w:rsid w:val="000E30AC"/>
    <w:rsid w:val="000E3965"/>
    <w:rsid w:val="000E3B46"/>
    <w:rsid w:val="000E3E11"/>
    <w:rsid w:val="000E4596"/>
    <w:rsid w:val="000E4B94"/>
    <w:rsid w:val="000E4D50"/>
    <w:rsid w:val="000E54A9"/>
    <w:rsid w:val="000E5768"/>
    <w:rsid w:val="000E5843"/>
    <w:rsid w:val="000E6139"/>
    <w:rsid w:val="000E63B7"/>
    <w:rsid w:val="000E653C"/>
    <w:rsid w:val="000E6BE1"/>
    <w:rsid w:val="000E7E0B"/>
    <w:rsid w:val="000F0060"/>
    <w:rsid w:val="000F0136"/>
    <w:rsid w:val="000F045A"/>
    <w:rsid w:val="000F078A"/>
    <w:rsid w:val="000F0CCE"/>
    <w:rsid w:val="000F122D"/>
    <w:rsid w:val="000F1450"/>
    <w:rsid w:val="000F14E8"/>
    <w:rsid w:val="000F1BBD"/>
    <w:rsid w:val="000F290F"/>
    <w:rsid w:val="000F4141"/>
    <w:rsid w:val="000F4403"/>
    <w:rsid w:val="000F4765"/>
    <w:rsid w:val="000F47F3"/>
    <w:rsid w:val="000F480B"/>
    <w:rsid w:val="000F4A7F"/>
    <w:rsid w:val="000F4E17"/>
    <w:rsid w:val="000F55A8"/>
    <w:rsid w:val="000F5615"/>
    <w:rsid w:val="000F5DFB"/>
    <w:rsid w:val="000F613B"/>
    <w:rsid w:val="000F6420"/>
    <w:rsid w:val="000F6578"/>
    <w:rsid w:val="000F6787"/>
    <w:rsid w:val="000F6F92"/>
    <w:rsid w:val="000F7E8F"/>
    <w:rsid w:val="000F7FBB"/>
    <w:rsid w:val="001000FB"/>
    <w:rsid w:val="00100A9E"/>
    <w:rsid w:val="00100F6A"/>
    <w:rsid w:val="00101129"/>
    <w:rsid w:val="00102605"/>
    <w:rsid w:val="00102686"/>
    <w:rsid w:val="00102745"/>
    <w:rsid w:val="00103795"/>
    <w:rsid w:val="00103915"/>
    <w:rsid w:val="001039AA"/>
    <w:rsid w:val="00103EA0"/>
    <w:rsid w:val="00104149"/>
    <w:rsid w:val="00104F1C"/>
    <w:rsid w:val="001051E5"/>
    <w:rsid w:val="001056CE"/>
    <w:rsid w:val="00105A74"/>
    <w:rsid w:val="00105ACB"/>
    <w:rsid w:val="00105AEF"/>
    <w:rsid w:val="00105B76"/>
    <w:rsid w:val="00106259"/>
    <w:rsid w:val="001068EB"/>
    <w:rsid w:val="001078CE"/>
    <w:rsid w:val="00110F61"/>
    <w:rsid w:val="00111026"/>
    <w:rsid w:val="001111BD"/>
    <w:rsid w:val="0011165A"/>
    <w:rsid w:val="00111B2B"/>
    <w:rsid w:val="00112774"/>
    <w:rsid w:val="00112B2E"/>
    <w:rsid w:val="00113003"/>
    <w:rsid w:val="00113062"/>
    <w:rsid w:val="0011318E"/>
    <w:rsid w:val="0011359A"/>
    <w:rsid w:val="00113705"/>
    <w:rsid w:val="00113975"/>
    <w:rsid w:val="00113CFC"/>
    <w:rsid w:val="00113FEA"/>
    <w:rsid w:val="00114A22"/>
    <w:rsid w:val="00114E9D"/>
    <w:rsid w:val="0011507B"/>
    <w:rsid w:val="001150A2"/>
    <w:rsid w:val="001156A7"/>
    <w:rsid w:val="00115C37"/>
    <w:rsid w:val="00116328"/>
    <w:rsid w:val="001163CF"/>
    <w:rsid w:val="00116EC5"/>
    <w:rsid w:val="001174C9"/>
    <w:rsid w:val="001177FE"/>
    <w:rsid w:val="00117E69"/>
    <w:rsid w:val="00120E33"/>
    <w:rsid w:val="00121103"/>
    <w:rsid w:val="00121B78"/>
    <w:rsid w:val="00121BAB"/>
    <w:rsid w:val="00121E3C"/>
    <w:rsid w:val="001223CD"/>
    <w:rsid w:val="00122B23"/>
    <w:rsid w:val="00122B7E"/>
    <w:rsid w:val="00123E27"/>
    <w:rsid w:val="00123FB5"/>
    <w:rsid w:val="0012400F"/>
    <w:rsid w:val="001249DC"/>
    <w:rsid w:val="0012572D"/>
    <w:rsid w:val="00125BED"/>
    <w:rsid w:val="00125C59"/>
    <w:rsid w:val="00125D4F"/>
    <w:rsid w:val="00126F53"/>
    <w:rsid w:val="00127004"/>
    <w:rsid w:val="00127278"/>
    <w:rsid w:val="001275E8"/>
    <w:rsid w:val="0012770B"/>
    <w:rsid w:val="00127AF2"/>
    <w:rsid w:val="00127EDC"/>
    <w:rsid w:val="00127F42"/>
    <w:rsid w:val="00127F6D"/>
    <w:rsid w:val="00130355"/>
    <w:rsid w:val="00130365"/>
    <w:rsid w:val="001304E5"/>
    <w:rsid w:val="00130635"/>
    <w:rsid w:val="00131B5A"/>
    <w:rsid w:val="001329BC"/>
    <w:rsid w:val="00132C30"/>
    <w:rsid w:val="00132EFD"/>
    <w:rsid w:val="00133AED"/>
    <w:rsid w:val="00133ED2"/>
    <w:rsid w:val="00134BCD"/>
    <w:rsid w:val="00134E09"/>
    <w:rsid w:val="001350AB"/>
    <w:rsid w:val="00135DB9"/>
    <w:rsid w:val="00135E5D"/>
    <w:rsid w:val="0013695C"/>
    <w:rsid w:val="00136BF7"/>
    <w:rsid w:val="00136C78"/>
    <w:rsid w:val="00136DD8"/>
    <w:rsid w:val="00137440"/>
    <w:rsid w:val="001378B9"/>
    <w:rsid w:val="00137FFA"/>
    <w:rsid w:val="00140109"/>
    <w:rsid w:val="0014029B"/>
    <w:rsid w:val="00140464"/>
    <w:rsid w:val="00140A4F"/>
    <w:rsid w:val="001413AB"/>
    <w:rsid w:val="001419D7"/>
    <w:rsid w:val="00141DBF"/>
    <w:rsid w:val="00142EFD"/>
    <w:rsid w:val="00144335"/>
    <w:rsid w:val="0014502F"/>
    <w:rsid w:val="00145282"/>
    <w:rsid w:val="001453B0"/>
    <w:rsid w:val="001454D9"/>
    <w:rsid w:val="00145D8E"/>
    <w:rsid w:val="00146083"/>
    <w:rsid w:val="001462F7"/>
    <w:rsid w:val="001471AB"/>
    <w:rsid w:val="00147EAD"/>
    <w:rsid w:val="00147F35"/>
    <w:rsid w:val="00147FCE"/>
    <w:rsid w:val="00150005"/>
    <w:rsid w:val="00151AEB"/>
    <w:rsid w:val="00151B99"/>
    <w:rsid w:val="00151CD6"/>
    <w:rsid w:val="00151E79"/>
    <w:rsid w:val="001521B2"/>
    <w:rsid w:val="00152EDD"/>
    <w:rsid w:val="00153491"/>
    <w:rsid w:val="0015361C"/>
    <w:rsid w:val="0015372F"/>
    <w:rsid w:val="00153BFB"/>
    <w:rsid w:val="0015407E"/>
    <w:rsid w:val="0015448E"/>
    <w:rsid w:val="00154A6F"/>
    <w:rsid w:val="00154B68"/>
    <w:rsid w:val="00155025"/>
    <w:rsid w:val="00155B07"/>
    <w:rsid w:val="00155BED"/>
    <w:rsid w:val="00155D08"/>
    <w:rsid w:val="0015623B"/>
    <w:rsid w:val="00156BE5"/>
    <w:rsid w:val="00157232"/>
    <w:rsid w:val="00160401"/>
    <w:rsid w:val="00160AA1"/>
    <w:rsid w:val="00160C01"/>
    <w:rsid w:val="00160D4E"/>
    <w:rsid w:val="00161AAD"/>
    <w:rsid w:val="00161DDA"/>
    <w:rsid w:val="00161E62"/>
    <w:rsid w:val="00161F1C"/>
    <w:rsid w:val="0016200B"/>
    <w:rsid w:val="0016204B"/>
    <w:rsid w:val="00163D7A"/>
    <w:rsid w:val="00164281"/>
    <w:rsid w:val="00165703"/>
    <w:rsid w:val="00165E5C"/>
    <w:rsid w:val="00166204"/>
    <w:rsid w:val="00166797"/>
    <w:rsid w:val="0016685F"/>
    <w:rsid w:val="0016712F"/>
    <w:rsid w:val="00167503"/>
    <w:rsid w:val="001676A9"/>
    <w:rsid w:val="001679EF"/>
    <w:rsid w:val="00167A15"/>
    <w:rsid w:val="00167A50"/>
    <w:rsid w:val="00167D1A"/>
    <w:rsid w:val="00167DF5"/>
    <w:rsid w:val="00170001"/>
    <w:rsid w:val="001716D9"/>
    <w:rsid w:val="00171736"/>
    <w:rsid w:val="00172198"/>
    <w:rsid w:val="00172612"/>
    <w:rsid w:val="00172817"/>
    <w:rsid w:val="001733CF"/>
    <w:rsid w:val="001734E3"/>
    <w:rsid w:val="001742BF"/>
    <w:rsid w:val="001742E1"/>
    <w:rsid w:val="00175E49"/>
    <w:rsid w:val="0017649F"/>
    <w:rsid w:val="0017655B"/>
    <w:rsid w:val="001778A6"/>
    <w:rsid w:val="00177EAA"/>
    <w:rsid w:val="001805C1"/>
    <w:rsid w:val="00180A2E"/>
    <w:rsid w:val="00180F75"/>
    <w:rsid w:val="001813AF"/>
    <w:rsid w:val="001826C9"/>
    <w:rsid w:val="001829CD"/>
    <w:rsid w:val="00182F01"/>
    <w:rsid w:val="001833E1"/>
    <w:rsid w:val="00183515"/>
    <w:rsid w:val="00184219"/>
    <w:rsid w:val="00184F27"/>
    <w:rsid w:val="00185070"/>
    <w:rsid w:val="0018519B"/>
    <w:rsid w:val="001858C9"/>
    <w:rsid w:val="00185966"/>
    <w:rsid w:val="00185A2D"/>
    <w:rsid w:val="00185AFE"/>
    <w:rsid w:val="00185C79"/>
    <w:rsid w:val="00185E78"/>
    <w:rsid w:val="001868D9"/>
    <w:rsid w:val="001870F5"/>
    <w:rsid w:val="00187177"/>
    <w:rsid w:val="00187ABD"/>
    <w:rsid w:val="001904E3"/>
    <w:rsid w:val="0019087A"/>
    <w:rsid w:val="00190F38"/>
    <w:rsid w:val="001910D9"/>
    <w:rsid w:val="00191C5A"/>
    <w:rsid w:val="00191CEB"/>
    <w:rsid w:val="00191E63"/>
    <w:rsid w:val="00192D68"/>
    <w:rsid w:val="0019388B"/>
    <w:rsid w:val="00193ADE"/>
    <w:rsid w:val="00193B9A"/>
    <w:rsid w:val="001940ED"/>
    <w:rsid w:val="001945DF"/>
    <w:rsid w:val="001946AE"/>
    <w:rsid w:val="001946D5"/>
    <w:rsid w:val="00194E8C"/>
    <w:rsid w:val="001962EC"/>
    <w:rsid w:val="001963DD"/>
    <w:rsid w:val="001965DB"/>
    <w:rsid w:val="00196D01"/>
    <w:rsid w:val="00196DC9"/>
    <w:rsid w:val="00196E95"/>
    <w:rsid w:val="001971FD"/>
    <w:rsid w:val="00197341"/>
    <w:rsid w:val="00197758"/>
    <w:rsid w:val="001A0236"/>
    <w:rsid w:val="001A0915"/>
    <w:rsid w:val="001A0AF8"/>
    <w:rsid w:val="001A0E1B"/>
    <w:rsid w:val="001A1490"/>
    <w:rsid w:val="001A1766"/>
    <w:rsid w:val="001A18AA"/>
    <w:rsid w:val="001A18D5"/>
    <w:rsid w:val="001A1A38"/>
    <w:rsid w:val="001A1BE0"/>
    <w:rsid w:val="001A1D4A"/>
    <w:rsid w:val="001A260A"/>
    <w:rsid w:val="001A2F0E"/>
    <w:rsid w:val="001A3011"/>
    <w:rsid w:val="001A3078"/>
    <w:rsid w:val="001A419E"/>
    <w:rsid w:val="001A4314"/>
    <w:rsid w:val="001A4A9B"/>
    <w:rsid w:val="001A4B32"/>
    <w:rsid w:val="001A4DAF"/>
    <w:rsid w:val="001A54CD"/>
    <w:rsid w:val="001A611F"/>
    <w:rsid w:val="001A66DF"/>
    <w:rsid w:val="001A67D0"/>
    <w:rsid w:val="001A6863"/>
    <w:rsid w:val="001A7591"/>
    <w:rsid w:val="001A75B1"/>
    <w:rsid w:val="001A7B06"/>
    <w:rsid w:val="001B0366"/>
    <w:rsid w:val="001B0444"/>
    <w:rsid w:val="001B096B"/>
    <w:rsid w:val="001B0F9F"/>
    <w:rsid w:val="001B123C"/>
    <w:rsid w:val="001B1A0D"/>
    <w:rsid w:val="001B1BF1"/>
    <w:rsid w:val="001B21AC"/>
    <w:rsid w:val="001B2456"/>
    <w:rsid w:val="001B3B25"/>
    <w:rsid w:val="001B449C"/>
    <w:rsid w:val="001B4AA2"/>
    <w:rsid w:val="001B4ADE"/>
    <w:rsid w:val="001B4D36"/>
    <w:rsid w:val="001B5530"/>
    <w:rsid w:val="001B5EF8"/>
    <w:rsid w:val="001B71E8"/>
    <w:rsid w:val="001B73C6"/>
    <w:rsid w:val="001C033E"/>
    <w:rsid w:val="001C07C6"/>
    <w:rsid w:val="001C120D"/>
    <w:rsid w:val="001C16DA"/>
    <w:rsid w:val="001C19CD"/>
    <w:rsid w:val="001C2119"/>
    <w:rsid w:val="001C22D5"/>
    <w:rsid w:val="001C2515"/>
    <w:rsid w:val="001C26FB"/>
    <w:rsid w:val="001C33C1"/>
    <w:rsid w:val="001C3828"/>
    <w:rsid w:val="001C3C82"/>
    <w:rsid w:val="001C3E30"/>
    <w:rsid w:val="001C3E5C"/>
    <w:rsid w:val="001C5072"/>
    <w:rsid w:val="001C5B2A"/>
    <w:rsid w:val="001C600B"/>
    <w:rsid w:val="001C6898"/>
    <w:rsid w:val="001C6DD8"/>
    <w:rsid w:val="001C76FA"/>
    <w:rsid w:val="001C79A4"/>
    <w:rsid w:val="001C7C7B"/>
    <w:rsid w:val="001D068D"/>
    <w:rsid w:val="001D12D1"/>
    <w:rsid w:val="001D15DF"/>
    <w:rsid w:val="001D1A1E"/>
    <w:rsid w:val="001D2552"/>
    <w:rsid w:val="001D28B0"/>
    <w:rsid w:val="001D2EEE"/>
    <w:rsid w:val="001D2FA6"/>
    <w:rsid w:val="001D30F3"/>
    <w:rsid w:val="001D31A0"/>
    <w:rsid w:val="001D338E"/>
    <w:rsid w:val="001D3F00"/>
    <w:rsid w:val="001D4562"/>
    <w:rsid w:val="001D50DB"/>
    <w:rsid w:val="001D56E9"/>
    <w:rsid w:val="001D6944"/>
    <w:rsid w:val="001D6CD2"/>
    <w:rsid w:val="001D6F14"/>
    <w:rsid w:val="001D796A"/>
    <w:rsid w:val="001D7A84"/>
    <w:rsid w:val="001D7C79"/>
    <w:rsid w:val="001E003B"/>
    <w:rsid w:val="001E1CC4"/>
    <w:rsid w:val="001E1D38"/>
    <w:rsid w:val="001E2452"/>
    <w:rsid w:val="001E28A0"/>
    <w:rsid w:val="001E3FFE"/>
    <w:rsid w:val="001E4258"/>
    <w:rsid w:val="001E4868"/>
    <w:rsid w:val="001E5140"/>
    <w:rsid w:val="001E5C3A"/>
    <w:rsid w:val="001E5D6A"/>
    <w:rsid w:val="001E6A94"/>
    <w:rsid w:val="001E70FB"/>
    <w:rsid w:val="001E747D"/>
    <w:rsid w:val="001E780A"/>
    <w:rsid w:val="001F0325"/>
    <w:rsid w:val="001F0806"/>
    <w:rsid w:val="001F0D15"/>
    <w:rsid w:val="001F0FA0"/>
    <w:rsid w:val="001F10E8"/>
    <w:rsid w:val="001F1349"/>
    <w:rsid w:val="001F1863"/>
    <w:rsid w:val="001F1E65"/>
    <w:rsid w:val="001F2356"/>
    <w:rsid w:val="001F2462"/>
    <w:rsid w:val="001F2A68"/>
    <w:rsid w:val="001F2C47"/>
    <w:rsid w:val="001F43DA"/>
    <w:rsid w:val="001F4773"/>
    <w:rsid w:val="001F4DC8"/>
    <w:rsid w:val="001F5008"/>
    <w:rsid w:val="001F56AA"/>
    <w:rsid w:val="001F57EB"/>
    <w:rsid w:val="001F58AA"/>
    <w:rsid w:val="001F5A4E"/>
    <w:rsid w:val="001F5EF6"/>
    <w:rsid w:val="001F5EF9"/>
    <w:rsid w:val="001F63AE"/>
    <w:rsid w:val="001F657F"/>
    <w:rsid w:val="001F6FB6"/>
    <w:rsid w:val="001F72BB"/>
    <w:rsid w:val="001F7978"/>
    <w:rsid w:val="001F7A0E"/>
    <w:rsid w:val="001F7A4B"/>
    <w:rsid w:val="0020022E"/>
    <w:rsid w:val="0020054E"/>
    <w:rsid w:val="002013E8"/>
    <w:rsid w:val="00201508"/>
    <w:rsid w:val="00201AC4"/>
    <w:rsid w:val="00201F1E"/>
    <w:rsid w:val="00202761"/>
    <w:rsid w:val="0020299B"/>
    <w:rsid w:val="00202B2A"/>
    <w:rsid w:val="00202E44"/>
    <w:rsid w:val="002036BA"/>
    <w:rsid w:val="002037AA"/>
    <w:rsid w:val="00203FE3"/>
    <w:rsid w:val="002042D8"/>
    <w:rsid w:val="00204515"/>
    <w:rsid w:val="0020492B"/>
    <w:rsid w:val="00204BA0"/>
    <w:rsid w:val="00204BF5"/>
    <w:rsid w:val="00204E6B"/>
    <w:rsid w:val="002053EF"/>
    <w:rsid w:val="002058D4"/>
    <w:rsid w:val="0020632A"/>
    <w:rsid w:val="0020697F"/>
    <w:rsid w:val="00206F4D"/>
    <w:rsid w:val="0020726E"/>
    <w:rsid w:val="00207389"/>
    <w:rsid w:val="0020797E"/>
    <w:rsid w:val="00207C4B"/>
    <w:rsid w:val="00207FCD"/>
    <w:rsid w:val="002110EB"/>
    <w:rsid w:val="00211338"/>
    <w:rsid w:val="00211388"/>
    <w:rsid w:val="002113CF"/>
    <w:rsid w:val="0021148C"/>
    <w:rsid w:val="00211694"/>
    <w:rsid w:val="0021201A"/>
    <w:rsid w:val="00212545"/>
    <w:rsid w:val="00212BC8"/>
    <w:rsid w:val="002138FE"/>
    <w:rsid w:val="00213A1F"/>
    <w:rsid w:val="00213C63"/>
    <w:rsid w:val="00214502"/>
    <w:rsid w:val="00214741"/>
    <w:rsid w:val="00214938"/>
    <w:rsid w:val="00214B7E"/>
    <w:rsid w:val="0021539A"/>
    <w:rsid w:val="00215852"/>
    <w:rsid w:val="00215B01"/>
    <w:rsid w:val="00215B8E"/>
    <w:rsid w:val="00216264"/>
    <w:rsid w:val="002169A0"/>
    <w:rsid w:val="002176B6"/>
    <w:rsid w:val="0021792D"/>
    <w:rsid w:val="00217DB8"/>
    <w:rsid w:val="00220206"/>
    <w:rsid w:val="002202CE"/>
    <w:rsid w:val="0022032A"/>
    <w:rsid w:val="002212FB"/>
    <w:rsid w:val="0022194E"/>
    <w:rsid w:val="002220B1"/>
    <w:rsid w:val="002221CE"/>
    <w:rsid w:val="00222BE8"/>
    <w:rsid w:val="00222D61"/>
    <w:rsid w:val="00222DF6"/>
    <w:rsid w:val="00223102"/>
    <w:rsid w:val="002232CB"/>
    <w:rsid w:val="00223E0B"/>
    <w:rsid w:val="00224022"/>
    <w:rsid w:val="00225147"/>
    <w:rsid w:val="00225CDE"/>
    <w:rsid w:val="00226055"/>
    <w:rsid w:val="0022609C"/>
    <w:rsid w:val="0022613F"/>
    <w:rsid w:val="0022614F"/>
    <w:rsid w:val="00226236"/>
    <w:rsid w:val="002266AF"/>
    <w:rsid w:val="002270C9"/>
    <w:rsid w:val="00227A8B"/>
    <w:rsid w:val="00230ADA"/>
    <w:rsid w:val="00230E35"/>
    <w:rsid w:val="0023146B"/>
    <w:rsid w:val="002315A0"/>
    <w:rsid w:val="00231748"/>
    <w:rsid w:val="00231A18"/>
    <w:rsid w:val="00231DCC"/>
    <w:rsid w:val="00231EC7"/>
    <w:rsid w:val="00232E15"/>
    <w:rsid w:val="00233079"/>
    <w:rsid w:val="002334C1"/>
    <w:rsid w:val="0023382C"/>
    <w:rsid w:val="00233977"/>
    <w:rsid w:val="00233C58"/>
    <w:rsid w:val="00233C71"/>
    <w:rsid w:val="002345B6"/>
    <w:rsid w:val="002347A6"/>
    <w:rsid w:val="00234B84"/>
    <w:rsid w:val="002352F0"/>
    <w:rsid w:val="00235987"/>
    <w:rsid w:val="00235D09"/>
    <w:rsid w:val="00236016"/>
    <w:rsid w:val="00237065"/>
    <w:rsid w:val="00237589"/>
    <w:rsid w:val="0023758D"/>
    <w:rsid w:val="002375A7"/>
    <w:rsid w:val="0024019A"/>
    <w:rsid w:val="00240DA2"/>
    <w:rsid w:val="00240EC1"/>
    <w:rsid w:val="0024120F"/>
    <w:rsid w:val="0024131D"/>
    <w:rsid w:val="002415B8"/>
    <w:rsid w:val="00241B82"/>
    <w:rsid w:val="00242D5F"/>
    <w:rsid w:val="00242D62"/>
    <w:rsid w:val="00242F5E"/>
    <w:rsid w:val="002430D0"/>
    <w:rsid w:val="0024316E"/>
    <w:rsid w:val="002431D7"/>
    <w:rsid w:val="00244058"/>
    <w:rsid w:val="00244FC3"/>
    <w:rsid w:val="00245718"/>
    <w:rsid w:val="002457E9"/>
    <w:rsid w:val="00245B9E"/>
    <w:rsid w:val="00245E07"/>
    <w:rsid w:val="0024665E"/>
    <w:rsid w:val="00247712"/>
    <w:rsid w:val="0024790F"/>
    <w:rsid w:val="00247D41"/>
    <w:rsid w:val="00250A9E"/>
    <w:rsid w:val="00250EC6"/>
    <w:rsid w:val="00250F5C"/>
    <w:rsid w:val="002515C7"/>
    <w:rsid w:val="00251866"/>
    <w:rsid w:val="00251A9F"/>
    <w:rsid w:val="00252492"/>
    <w:rsid w:val="00252B35"/>
    <w:rsid w:val="00252F57"/>
    <w:rsid w:val="00252FE3"/>
    <w:rsid w:val="00253070"/>
    <w:rsid w:val="002530E2"/>
    <w:rsid w:val="0025316D"/>
    <w:rsid w:val="00253723"/>
    <w:rsid w:val="00253A02"/>
    <w:rsid w:val="00253B81"/>
    <w:rsid w:val="00254AE9"/>
    <w:rsid w:val="002554DE"/>
    <w:rsid w:val="00255575"/>
    <w:rsid w:val="00255AD7"/>
    <w:rsid w:val="00255E11"/>
    <w:rsid w:val="002564B7"/>
    <w:rsid w:val="00256835"/>
    <w:rsid w:val="002569F0"/>
    <w:rsid w:val="00256C01"/>
    <w:rsid w:val="00256E1A"/>
    <w:rsid w:val="00256ECF"/>
    <w:rsid w:val="00257730"/>
    <w:rsid w:val="00257999"/>
    <w:rsid w:val="00257BED"/>
    <w:rsid w:val="00260429"/>
    <w:rsid w:val="002604AA"/>
    <w:rsid w:val="00260523"/>
    <w:rsid w:val="00260869"/>
    <w:rsid w:val="0026129B"/>
    <w:rsid w:val="00261560"/>
    <w:rsid w:val="00261715"/>
    <w:rsid w:val="00261CF9"/>
    <w:rsid w:val="00261EC0"/>
    <w:rsid w:val="0026231B"/>
    <w:rsid w:val="00263101"/>
    <w:rsid w:val="002631D1"/>
    <w:rsid w:val="00263201"/>
    <w:rsid w:val="00263A37"/>
    <w:rsid w:val="00264266"/>
    <w:rsid w:val="0026471F"/>
    <w:rsid w:val="002647FD"/>
    <w:rsid w:val="0026480D"/>
    <w:rsid w:val="002649F3"/>
    <w:rsid w:val="002653A6"/>
    <w:rsid w:val="002661F1"/>
    <w:rsid w:val="00266316"/>
    <w:rsid w:val="00266DB6"/>
    <w:rsid w:val="0027046B"/>
    <w:rsid w:val="00271107"/>
    <w:rsid w:val="002711A4"/>
    <w:rsid w:val="00271230"/>
    <w:rsid w:val="00271F13"/>
    <w:rsid w:val="00272640"/>
    <w:rsid w:val="00272945"/>
    <w:rsid w:val="00272E89"/>
    <w:rsid w:val="002742D0"/>
    <w:rsid w:val="00274522"/>
    <w:rsid w:val="0027482E"/>
    <w:rsid w:val="002748F1"/>
    <w:rsid w:val="00274DB5"/>
    <w:rsid w:val="00275BB1"/>
    <w:rsid w:val="00275F73"/>
    <w:rsid w:val="00276EF7"/>
    <w:rsid w:val="0027746E"/>
    <w:rsid w:val="0027770B"/>
    <w:rsid w:val="00277933"/>
    <w:rsid w:val="00277F8D"/>
    <w:rsid w:val="00277FA7"/>
    <w:rsid w:val="00280046"/>
    <w:rsid w:val="00280754"/>
    <w:rsid w:val="002809B4"/>
    <w:rsid w:val="00280B4F"/>
    <w:rsid w:val="00280F3D"/>
    <w:rsid w:val="0028106A"/>
    <w:rsid w:val="00281BF0"/>
    <w:rsid w:val="00281EB4"/>
    <w:rsid w:val="00282A39"/>
    <w:rsid w:val="00282E03"/>
    <w:rsid w:val="0028308E"/>
    <w:rsid w:val="002834E9"/>
    <w:rsid w:val="002837BA"/>
    <w:rsid w:val="00283A52"/>
    <w:rsid w:val="00283C5E"/>
    <w:rsid w:val="00283E26"/>
    <w:rsid w:val="0028428F"/>
    <w:rsid w:val="0028448F"/>
    <w:rsid w:val="00284CFC"/>
    <w:rsid w:val="00285832"/>
    <w:rsid w:val="00285969"/>
    <w:rsid w:val="0028599C"/>
    <w:rsid w:val="00285EAE"/>
    <w:rsid w:val="0028663B"/>
    <w:rsid w:val="00286CEC"/>
    <w:rsid w:val="00286E35"/>
    <w:rsid w:val="002870F9"/>
    <w:rsid w:val="002871A9"/>
    <w:rsid w:val="00287505"/>
    <w:rsid w:val="00287BDB"/>
    <w:rsid w:val="00290781"/>
    <w:rsid w:val="00290805"/>
    <w:rsid w:val="00291784"/>
    <w:rsid w:val="002920DF"/>
    <w:rsid w:val="002928A3"/>
    <w:rsid w:val="002929BB"/>
    <w:rsid w:val="00292A27"/>
    <w:rsid w:val="00294368"/>
    <w:rsid w:val="00294B78"/>
    <w:rsid w:val="00294B85"/>
    <w:rsid w:val="00295416"/>
    <w:rsid w:val="00295949"/>
    <w:rsid w:val="00295D7C"/>
    <w:rsid w:val="0029624A"/>
    <w:rsid w:val="00296922"/>
    <w:rsid w:val="00297098"/>
    <w:rsid w:val="002A05D4"/>
    <w:rsid w:val="002A06DB"/>
    <w:rsid w:val="002A0928"/>
    <w:rsid w:val="002A09FF"/>
    <w:rsid w:val="002A0BC3"/>
    <w:rsid w:val="002A0E60"/>
    <w:rsid w:val="002A1A58"/>
    <w:rsid w:val="002A1B02"/>
    <w:rsid w:val="002A1C53"/>
    <w:rsid w:val="002A1F84"/>
    <w:rsid w:val="002A244B"/>
    <w:rsid w:val="002A28FC"/>
    <w:rsid w:val="002A2B44"/>
    <w:rsid w:val="002A2C56"/>
    <w:rsid w:val="002A2EA5"/>
    <w:rsid w:val="002A301E"/>
    <w:rsid w:val="002A3555"/>
    <w:rsid w:val="002A3D94"/>
    <w:rsid w:val="002A3F66"/>
    <w:rsid w:val="002A4736"/>
    <w:rsid w:val="002A4B1C"/>
    <w:rsid w:val="002A55FE"/>
    <w:rsid w:val="002A625C"/>
    <w:rsid w:val="002A6AFB"/>
    <w:rsid w:val="002A725A"/>
    <w:rsid w:val="002A733D"/>
    <w:rsid w:val="002A774A"/>
    <w:rsid w:val="002A7840"/>
    <w:rsid w:val="002A78F3"/>
    <w:rsid w:val="002A7D84"/>
    <w:rsid w:val="002A7E5C"/>
    <w:rsid w:val="002A7F6D"/>
    <w:rsid w:val="002B0D83"/>
    <w:rsid w:val="002B1342"/>
    <w:rsid w:val="002B18E0"/>
    <w:rsid w:val="002B1F83"/>
    <w:rsid w:val="002B27C8"/>
    <w:rsid w:val="002B2A7F"/>
    <w:rsid w:val="002B330B"/>
    <w:rsid w:val="002B39BE"/>
    <w:rsid w:val="002B3FBF"/>
    <w:rsid w:val="002B438C"/>
    <w:rsid w:val="002B48DB"/>
    <w:rsid w:val="002B4B34"/>
    <w:rsid w:val="002B5392"/>
    <w:rsid w:val="002B541A"/>
    <w:rsid w:val="002B5EAB"/>
    <w:rsid w:val="002B5F2E"/>
    <w:rsid w:val="002B6407"/>
    <w:rsid w:val="002B6416"/>
    <w:rsid w:val="002B6459"/>
    <w:rsid w:val="002B645D"/>
    <w:rsid w:val="002B662D"/>
    <w:rsid w:val="002B6F22"/>
    <w:rsid w:val="002B7014"/>
    <w:rsid w:val="002B73B0"/>
    <w:rsid w:val="002B76F5"/>
    <w:rsid w:val="002B7F77"/>
    <w:rsid w:val="002C0275"/>
    <w:rsid w:val="002C0589"/>
    <w:rsid w:val="002C0E0D"/>
    <w:rsid w:val="002C1EE4"/>
    <w:rsid w:val="002C24B4"/>
    <w:rsid w:val="002C2B3A"/>
    <w:rsid w:val="002C2B87"/>
    <w:rsid w:val="002C3A5E"/>
    <w:rsid w:val="002C3CF4"/>
    <w:rsid w:val="002C441A"/>
    <w:rsid w:val="002C4A2B"/>
    <w:rsid w:val="002C4A73"/>
    <w:rsid w:val="002C4B84"/>
    <w:rsid w:val="002C4C0C"/>
    <w:rsid w:val="002C5016"/>
    <w:rsid w:val="002C5C2F"/>
    <w:rsid w:val="002C5D0F"/>
    <w:rsid w:val="002C60B9"/>
    <w:rsid w:val="002C68BC"/>
    <w:rsid w:val="002C6B17"/>
    <w:rsid w:val="002C6F77"/>
    <w:rsid w:val="002C704D"/>
    <w:rsid w:val="002C712D"/>
    <w:rsid w:val="002D0845"/>
    <w:rsid w:val="002D0933"/>
    <w:rsid w:val="002D1555"/>
    <w:rsid w:val="002D15B6"/>
    <w:rsid w:val="002D19BB"/>
    <w:rsid w:val="002D1A9B"/>
    <w:rsid w:val="002D1F51"/>
    <w:rsid w:val="002D20F8"/>
    <w:rsid w:val="002D22BD"/>
    <w:rsid w:val="002D22C5"/>
    <w:rsid w:val="002D302A"/>
    <w:rsid w:val="002D36C6"/>
    <w:rsid w:val="002D37C1"/>
    <w:rsid w:val="002D3E4A"/>
    <w:rsid w:val="002D444B"/>
    <w:rsid w:val="002D46A6"/>
    <w:rsid w:val="002D46B4"/>
    <w:rsid w:val="002D46CE"/>
    <w:rsid w:val="002D49C2"/>
    <w:rsid w:val="002D4A45"/>
    <w:rsid w:val="002D4B42"/>
    <w:rsid w:val="002D4B43"/>
    <w:rsid w:val="002D4F3D"/>
    <w:rsid w:val="002D5A1B"/>
    <w:rsid w:val="002D63A7"/>
    <w:rsid w:val="002D6558"/>
    <w:rsid w:val="002D65BC"/>
    <w:rsid w:val="002E02B7"/>
    <w:rsid w:val="002E055C"/>
    <w:rsid w:val="002E1050"/>
    <w:rsid w:val="002E107E"/>
    <w:rsid w:val="002E1880"/>
    <w:rsid w:val="002E18E5"/>
    <w:rsid w:val="002E1953"/>
    <w:rsid w:val="002E26FB"/>
    <w:rsid w:val="002E2C3F"/>
    <w:rsid w:val="002E2CB5"/>
    <w:rsid w:val="002E2D7D"/>
    <w:rsid w:val="002E32D0"/>
    <w:rsid w:val="002E3931"/>
    <w:rsid w:val="002E3D76"/>
    <w:rsid w:val="002E40A1"/>
    <w:rsid w:val="002E4526"/>
    <w:rsid w:val="002E48EC"/>
    <w:rsid w:val="002E4B44"/>
    <w:rsid w:val="002E4ECB"/>
    <w:rsid w:val="002E4F23"/>
    <w:rsid w:val="002E635A"/>
    <w:rsid w:val="002E6A50"/>
    <w:rsid w:val="002E6D68"/>
    <w:rsid w:val="002E7847"/>
    <w:rsid w:val="002E7B84"/>
    <w:rsid w:val="002F0073"/>
    <w:rsid w:val="002F0116"/>
    <w:rsid w:val="002F07F5"/>
    <w:rsid w:val="002F1549"/>
    <w:rsid w:val="002F1B27"/>
    <w:rsid w:val="002F1C67"/>
    <w:rsid w:val="002F240B"/>
    <w:rsid w:val="002F24DA"/>
    <w:rsid w:val="002F28B3"/>
    <w:rsid w:val="002F2F50"/>
    <w:rsid w:val="002F33EC"/>
    <w:rsid w:val="002F34E3"/>
    <w:rsid w:val="002F3601"/>
    <w:rsid w:val="002F40E2"/>
    <w:rsid w:val="002F44E1"/>
    <w:rsid w:val="002F45F6"/>
    <w:rsid w:val="002F5A6F"/>
    <w:rsid w:val="002F692F"/>
    <w:rsid w:val="002F6FF9"/>
    <w:rsid w:val="002F7031"/>
    <w:rsid w:val="002F7961"/>
    <w:rsid w:val="002F7B66"/>
    <w:rsid w:val="00300CB4"/>
    <w:rsid w:val="00300E24"/>
    <w:rsid w:val="00301D6C"/>
    <w:rsid w:val="0030257B"/>
    <w:rsid w:val="00302C8C"/>
    <w:rsid w:val="003033BA"/>
    <w:rsid w:val="00303629"/>
    <w:rsid w:val="00303C19"/>
    <w:rsid w:val="003043A3"/>
    <w:rsid w:val="0030462D"/>
    <w:rsid w:val="00304BD4"/>
    <w:rsid w:val="00304F54"/>
    <w:rsid w:val="0030500A"/>
    <w:rsid w:val="0030527D"/>
    <w:rsid w:val="003052EB"/>
    <w:rsid w:val="00305E5F"/>
    <w:rsid w:val="00305FCB"/>
    <w:rsid w:val="003063C3"/>
    <w:rsid w:val="003069DC"/>
    <w:rsid w:val="00306A13"/>
    <w:rsid w:val="00306B44"/>
    <w:rsid w:val="00306D1E"/>
    <w:rsid w:val="00307C44"/>
    <w:rsid w:val="0031040A"/>
    <w:rsid w:val="00310439"/>
    <w:rsid w:val="0031088E"/>
    <w:rsid w:val="00310D01"/>
    <w:rsid w:val="00311376"/>
    <w:rsid w:val="00311A1F"/>
    <w:rsid w:val="00311B47"/>
    <w:rsid w:val="00311D52"/>
    <w:rsid w:val="00312190"/>
    <w:rsid w:val="003125E0"/>
    <w:rsid w:val="0031271D"/>
    <w:rsid w:val="00312E92"/>
    <w:rsid w:val="003132BB"/>
    <w:rsid w:val="00313337"/>
    <w:rsid w:val="00313447"/>
    <w:rsid w:val="00313748"/>
    <w:rsid w:val="00313EA3"/>
    <w:rsid w:val="00314A22"/>
    <w:rsid w:val="003151FE"/>
    <w:rsid w:val="00315365"/>
    <w:rsid w:val="00315457"/>
    <w:rsid w:val="00315DCA"/>
    <w:rsid w:val="003161A4"/>
    <w:rsid w:val="00316955"/>
    <w:rsid w:val="00316AD8"/>
    <w:rsid w:val="0031713F"/>
    <w:rsid w:val="0031720A"/>
    <w:rsid w:val="0031749B"/>
    <w:rsid w:val="003174E5"/>
    <w:rsid w:val="00317C9D"/>
    <w:rsid w:val="00317CD2"/>
    <w:rsid w:val="00317D99"/>
    <w:rsid w:val="003206F2"/>
    <w:rsid w:val="0032078D"/>
    <w:rsid w:val="00320ADF"/>
    <w:rsid w:val="0032137B"/>
    <w:rsid w:val="00321A70"/>
    <w:rsid w:val="00321BD6"/>
    <w:rsid w:val="00321FA3"/>
    <w:rsid w:val="003227D3"/>
    <w:rsid w:val="0032283C"/>
    <w:rsid w:val="00322937"/>
    <w:rsid w:val="00323881"/>
    <w:rsid w:val="00324885"/>
    <w:rsid w:val="003251A8"/>
    <w:rsid w:val="003254B1"/>
    <w:rsid w:val="00325700"/>
    <w:rsid w:val="00325AD9"/>
    <w:rsid w:val="00325D79"/>
    <w:rsid w:val="00325D98"/>
    <w:rsid w:val="0032682A"/>
    <w:rsid w:val="00327A5C"/>
    <w:rsid w:val="00327DB8"/>
    <w:rsid w:val="003305BD"/>
    <w:rsid w:val="0033092C"/>
    <w:rsid w:val="0033122A"/>
    <w:rsid w:val="003315AC"/>
    <w:rsid w:val="00331932"/>
    <w:rsid w:val="00331F74"/>
    <w:rsid w:val="00332382"/>
    <w:rsid w:val="00332453"/>
    <w:rsid w:val="0033251B"/>
    <w:rsid w:val="003328CF"/>
    <w:rsid w:val="00333A88"/>
    <w:rsid w:val="003351FF"/>
    <w:rsid w:val="00335B15"/>
    <w:rsid w:val="00335B21"/>
    <w:rsid w:val="00335D3F"/>
    <w:rsid w:val="00336104"/>
    <w:rsid w:val="00336729"/>
    <w:rsid w:val="00336CD9"/>
    <w:rsid w:val="0033701C"/>
    <w:rsid w:val="0033726D"/>
    <w:rsid w:val="00337357"/>
    <w:rsid w:val="00337CA8"/>
    <w:rsid w:val="00340D3F"/>
    <w:rsid w:val="0034174B"/>
    <w:rsid w:val="0034177C"/>
    <w:rsid w:val="003419D7"/>
    <w:rsid w:val="003420E9"/>
    <w:rsid w:val="00342345"/>
    <w:rsid w:val="00342361"/>
    <w:rsid w:val="00342C27"/>
    <w:rsid w:val="0034308C"/>
    <w:rsid w:val="003430C8"/>
    <w:rsid w:val="003431F6"/>
    <w:rsid w:val="003432C8"/>
    <w:rsid w:val="003434B3"/>
    <w:rsid w:val="00343536"/>
    <w:rsid w:val="00343EFB"/>
    <w:rsid w:val="00344760"/>
    <w:rsid w:val="003454E8"/>
    <w:rsid w:val="00345574"/>
    <w:rsid w:val="00345965"/>
    <w:rsid w:val="003467FE"/>
    <w:rsid w:val="0034680A"/>
    <w:rsid w:val="00346C62"/>
    <w:rsid w:val="0034713F"/>
    <w:rsid w:val="00347202"/>
    <w:rsid w:val="0034778E"/>
    <w:rsid w:val="00347A5A"/>
    <w:rsid w:val="003501E2"/>
    <w:rsid w:val="003514B8"/>
    <w:rsid w:val="00351E10"/>
    <w:rsid w:val="0035322F"/>
    <w:rsid w:val="003533F4"/>
    <w:rsid w:val="003536F6"/>
    <w:rsid w:val="00353801"/>
    <w:rsid w:val="00353DD5"/>
    <w:rsid w:val="00353F36"/>
    <w:rsid w:val="003548AB"/>
    <w:rsid w:val="00355131"/>
    <w:rsid w:val="00355F74"/>
    <w:rsid w:val="003560DB"/>
    <w:rsid w:val="003564DB"/>
    <w:rsid w:val="00356F87"/>
    <w:rsid w:val="00357E83"/>
    <w:rsid w:val="003602B1"/>
    <w:rsid w:val="00360CF3"/>
    <w:rsid w:val="00361A59"/>
    <w:rsid w:val="00361DC7"/>
    <w:rsid w:val="00362668"/>
    <w:rsid w:val="00363348"/>
    <w:rsid w:val="00363857"/>
    <w:rsid w:val="00363A24"/>
    <w:rsid w:val="00363D59"/>
    <w:rsid w:val="00363F08"/>
    <w:rsid w:val="003640F7"/>
    <w:rsid w:val="003651C2"/>
    <w:rsid w:val="0036594A"/>
    <w:rsid w:val="00365AE5"/>
    <w:rsid w:val="00365D3A"/>
    <w:rsid w:val="003664FF"/>
    <w:rsid w:val="00366BD2"/>
    <w:rsid w:val="003670B8"/>
    <w:rsid w:val="00367ABB"/>
    <w:rsid w:val="003704A3"/>
    <w:rsid w:val="003706F2"/>
    <w:rsid w:val="003709E8"/>
    <w:rsid w:val="0037124F"/>
    <w:rsid w:val="00371563"/>
    <w:rsid w:val="0037256F"/>
    <w:rsid w:val="00373827"/>
    <w:rsid w:val="0037401C"/>
    <w:rsid w:val="00374EBA"/>
    <w:rsid w:val="0037507B"/>
    <w:rsid w:val="00375C7C"/>
    <w:rsid w:val="00375F02"/>
    <w:rsid w:val="00377027"/>
    <w:rsid w:val="00377135"/>
    <w:rsid w:val="00380272"/>
    <w:rsid w:val="003805DB"/>
    <w:rsid w:val="0038152A"/>
    <w:rsid w:val="003821F1"/>
    <w:rsid w:val="0038245D"/>
    <w:rsid w:val="00382BAD"/>
    <w:rsid w:val="003835FD"/>
    <w:rsid w:val="00383DE4"/>
    <w:rsid w:val="00383EDF"/>
    <w:rsid w:val="00384494"/>
    <w:rsid w:val="0038484C"/>
    <w:rsid w:val="00384C5E"/>
    <w:rsid w:val="00384DF1"/>
    <w:rsid w:val="00384FF3"/>
    <w:rsid w:val="00386456"/>
    <w:rsid w:val="003865A9"/>
    <w:rsid w:val="003869CD"/>
    <w:rsid w:val="0039047D"/>
    <w:rsid w:val="003906FD"/>
    <w:rsid w:val="0039092B"/>
    <w:rsid w:val="00390BD9"/>
    <w:rsid w:val="00390F32"/>
    <w:rsid w:val="0039135E"/>
    <w:rsid w:val="00391867"/>
    <w:rsid w:val="003922B4"/>
    <w:rsid w:val="0039285D"/>
    <w:rsid w:val="00392C17"/>
    <w:rsid w:val="0039319C"/>
    <w:rsid w:val="00393577"/>
    <w:rsid w:val="00393CAE"/>
    <w:rsid w:val="003945C3"/>
    <w:rsid w:val="003945F4"/>
    <w:rsid w:val="00394B30"/>
    <w:rsid w:val="00394EB5"/>
    <w:rsid w:val="003953B4"/>
    <w:rsid w:val="00395558"/>
    <w:rsid w:val="0039615F"/>
    <w:rsid w:val="003966A0"/>
    <w:rsid w:val="00396A29"/>
    <w:rsid w:val="00396DD1"/>
    <w:rsid w:val="00397BA9"/>
    <w:rsid w:val="00397FF0"/>
    <w:rsid w:val="003A0496"/>
    <w:rsid w:val="003A058E"/>
    <w:rsid w:val="003A0878"/>
    <w:rsid w:val="003A1561"/>
    <w:rsid w:val="003A1D25"/>
    <w:rsid w:val="003A22A2"/>
    <w:rsid w:val="003A2447"/>
    <w:rsid w:val="003A2AA1"/>
    <w:rsid w:val="003A31A5"/>
    <w:rsid w:val="003A329A"/>
    <w:rsid w:val="003A3603"/>
    <w:rsid w:val="003A3851"/>
    <w:rsid w:val="003A39DD"/>
    <w:rsid w:val="003A3EA0"/>
    <w:rsid w:val="003A40DB"/>
    <w:rsid w:val="003A4199"/>
    <w:rsid w:val="003A41C5"/>
    <w:rsid w:val="003A4A8E"/>
    <w:rsid w:val="003A4C7B"/>
    <w:rsid w:val="003A563C"/>
    <w:rsid w:val="003A581E"/>
    <w:rsid w:val="003A5E7E"/>
    <w:rsid w:val="003A6160"/>
    <w:rsid w:val="003A647A"/>
    <w:rsid w:val="003A65A5"/>
    <w:rsid w:val="003A65AC"/>
    <w:rsid w:val="003A65B8"/>
    <w:rsid w:val="003A72F5"/>
    <w:rsid w:val="003A78E5"/>
    <w:rsid w:val="003B0153"/>
    <w:rsid w:val="003B0341"/>
    <w:rsid w:val="003B1961"/>
    <w:rsid w:val="003B1E57"/>
    <w:rsid w:val="003B2662"/>
    <w:rsid w:val="003B26A6"/>
    <w:rsid w:val="003B2EF3"/>
    <w:rsid w:val="003B534F"/>
    <w:rsid w:val="003B5391"/>
    <w:rsid w:val="003B58CE"/>
    <w:rsid w:val="003B65D7"/>
    <w:rsid w:val="003B65E0"/>
    <w:rsid w:val="003B6BD4"/>
    <w:rsid w:val="003B6F4D"/>
    <w:rsid w:val="003B6FE7"/>
    <w:rsid w:val="003C0491"/>
    <w:rsid w:val="003C0C0F"/>
    <w:rsid w:val="003C0D1F"/>
    <w:rsid w:val="003C116A"/>
    <w:rsid w:val="003C14F0"/>
    <w:rsid w:val="003C1AF4"/>
    <w:rsid w:val="003C1CB8"/>
    <w:rsid w:val="003C21B1"/>
    <w:rsid w:val="003C22DA"/>
    <w:rsid w:val="003C2550"/>
    <w:rsid w:val="003C287F"/>
    <w:rsid w:val="003C2FB1"/>
    <w:rsid w:val="003C3339"/>
    <w:rsid w:val="003C375A"/>
    <w:rsid w:val="003C4317"/>
    <w:rsid w:val="003C4B46"/>
    <w:rsid w:val="003C4D9F"/>
    <w:rsid w:val="003C5247"/>
    <w:rsid w:val="003C5B02"/>
    <w:rsid w:val="003C5E8A"/>
    <w:rsid w:val="003C622C"/>
    <w:rsid w:val="003C6505"/>
    <w:rsid w:val="003C73C7"/>
    <w:rsid w:val="003C7CFB"/>
    <w:rsid w:val="003D02F3"/>
    <w:rsid w:val="003D050B"/>
    <w:rsid w:val="003D0B98"/>
    <w:rsid w:val="003D0C3C"/>
    <w:rsid w:val="003D0DE5"/>
    <w:rsid w:val="003D1351"/>
    <w:rsid w:val="003D21C1"/>
    <w:rsid w:val="003D2E69"/>
    <w:rsid w:val="003D3B15"/>
    <w:rsid w:val="003D3B2E"/>
    <w:rsid w:val="003D3F28"/>
    <w:rsid w:val="003D4101"/>
    <w:rsid w:val="003D41B1"/>
    <w:rsid w:val="003D484D"/>
    <w:rsid w:val="003D49CB"/>
    <w:rsid w:val="003D4F41"/>
    <w:rsid w:val="003D5F10"/>
    <w:rsid w:val="003D65E0"/>
    <w:rsid w:val="003D6B8F"/>
    <w:rsid w:val="003D6E60"/>
    <w:rsid w:val="003D7566"/>
    <w:rsid w:val="003E0224"/>
    <w:rsid w:val="003E09BB"/>
    <w:rsid w:val="003E13D2"/>
    <w:rsid w:val="003E159D"/>
    <w:rsid w:val="003E20EA"/>
    <w:rsid w:val="003E210C"/>
    <w:rsid w:val="003E2F55"/>
    <w:rsid w:val="003E324A"/>
    <w:rsid w:val="003E34DB"/>
    <w:rsid w:val="003E36D8"/>
    <w:rsid w:val="003E3833"/>
    <w:rsid w:val="003E3AF9"/>
    <w:rsid w:val="003E4A70"/>
    <w:rsid w:val="003E4C48"/>
    <w:rsid w:val="003E4CD9"/>
    <w:rsid w:val="003E52C2"/>
    <w:rsid w:val="003E54B3"/>
    <w:rsid w:val="003E5780"/>
    <w:rsid w:val="003E5B9F"/>
    <w:rsid w:val="003E6049"/>
    <w:rsid w:val="003E6072"/>
    <w:rsid w:val="003E60D6"/>
    <w:rsid w:val="003E6AB6"/>
    <w:rsid w:val="003E6E0B"/>
    <w:rsid w:val="003E71CD"/>
    <w:rsid w:val="003E78DA"/>
    <w:rsid w:val="003E7A8B"/>
    <w:rsid w:val="003F02A2"/>
    <w:rsid w:val="003F051D"/>
    <w:rsid w:val="003F060E"/>
    <w:rsid w:val="003F0F7F"/>
    <w:rsid w:val="003F115C"/>
    <w:rsid w:val="003F153A"/>
    <w:rsid w:val="003F300D"/>
    <w:rsid w:val="003F391F"/>
    <w:rsid w:val="003F4599"/>
    <w:rsid w:val="003F45E1"/>
    <w:rsid w:val="003F4A61"/>
    <w:rsid w:val="003F4F6C"/>
    <w:rsid w:val="003F559E"/>
    <w:rsid w:val="003F6181"/>
    <w:rsid w:val="003F6BFC"/>
    <w:rsid w:val="003F7343"/>
    <w:rsid w:val="00400002"/>
    <w:rsid w:val="00400054"/>
    <w:rsid w:val="00400A1B"/>
    <w:rsid w:val="00400E06"/>
    <w:rsid w:val="00401533"/>
    <w:rsid w:val="004016A3"/>
    <w:rsid w:val="00401B31"/>
    <w:rsid w:val="0040202B"/>
    <w:rsid w:val="0040219D"/>
    <w:rsid w:val="00402ACD"/>
    <w:rsid w:val="00402DE1"/>
    <w:rsid w:val="00402EEB"/>
    <w:rsid w:val="00402FAF"/>
    <w:rsid w:val="004037C2"/>
    <w:rsid w:val="00404041"/>
    <w:rsid w:val="004040D4"/>
    <w:rsid w:val="00404B43"/>
    <w:rsid w:val="00404C61"/>
    <w:rsid w:val="004053EC"/>
    <w:rsid w:val="0040547B"/>
    <w:rsid w:val="00405487"/>
    <w:rsid w:val="00405B8A"/>
    <w:rsid w:val="0040602B"/>
    <w:rsid w:val="0040606C"/>
    <w:rsid w:val="004060DC"/>
    <w:rsid w:val="00406DF5"/>
    <w:rsid w:val="00406F35"/>
    <w:rsid w:val="00407325"/>
    <w:rsid w:val="004076A7"/>
    <w:rsid w:val="004077D0"/>
    <w:rsid w:val="00407937"/>
    <w:rsid w:val="00407A7A"/>
    <w:rsid w:val="00407ABC"/>
    <w:rsid w:val="00407F1E"/>
    <w:rsid w:val="00410A88"/>
    <w:rsid w:val="00410CC8"/>
    <w:rsid w:val="00411317"/>
    <w:rsid w:val="00411692"/>
    <w:rsid w:val="00411A9E"/>
    <w:rsid w:val="00412110"/>
    <w:rsid w:val="0041259F"/>
    <w:rsid w:val="00412B1B"/>
    <w:rsid w:val="00412B4D"/>
    <w:rsid w:val="00412C51"/>
    <w:rsid w:val="00413262"/>
    <w:rsid w:val="0041329C"/>
    <w:rsid w:val="004139F4"/>
    <w:rsid w:val="00413D35"/>
    <w:rsid w:val="00413FFA"/>
    <w:rsid w:val="00414246"/>
    <w:rsid w:val="0041463D"/>
    <w:rsid w:val="00414D9A"/>
    <w:rsid w:val="00415194"/>
    <w:rsid w:val="00415816"/>
    <w:rsid w:val="00415B88"/>
    <w:rsid w:val="00415D32"/>
    <w:rsid w:val="004160A2"/>
    <w:rsid w:val="0041674B"/>
    <w:rsid w:val="004170D7"/>
    <w:rsid w:val="004177A6"/>
    <w:rsid w:val="00417C23"/>
    <w:rsid w:val="00417EFD"/>
    <w:rsid w:val="004200EE"/>
    <w:rsid w:val="00420547"/>
    <w:rsid w:val="00420786"/>
    <w:rsid w:val="004207F3"/>
    <w:rsid w:val="004209D2"/>
    <w:rsid w:val="00420BBA"/>
    <w:rsid w:val="00420D6E"/>
    <w:rsid w:val="00420F50"/>
    <w:rsid w:val="0042158C"/>
    <w:rsid w:val="00421617"/>
    <w:rsid w:val="004217A7"/>
    <w:rsid w:val="00421BD2"/>
    <w:rsid w:val="00421E00"/>
    <w:rsid w:val="00421FCB"/>
    <w:rsid w:val="0042226E"/>
    <w:rsid w:val="00422DCA"/>
    <w:rsid w:val="00423D04"/>
    <w:rsid w:val="00423F9F"/>
    <w:rsid w:val="004243B7"/>
    <w:rsid w:val="00425B2E"/>
    <w:rsid w:val="00425C43"/>
    <w:rsid w:val="00426CFB"/>
    <w:rsid w:val="004273FA"/>
    <w:rsid w:val="004275A7"/>
    <w:rsid w:val="0042773E"/>
    <w:rsid w:val="004278D8"/>
    <w:rsid w:val="00430186"/>
    <w:rsid w:val="00430D44"/>
    <w:rsid w:val="00430DD2"/>
    <w:rsid w:val="00430F17"/>
    <w:rsid w:val="00431CC7"/>
    <w:rsid w:val="00431F03"/>
    <w:rsid w:val="0043260C"/>
    <w:rsid w:val="0043269A"/>
    <w:rsid w:val="00432E92"/>
    <w:rsid w:val="004333C2"/>
    <w:rsid w:val="00434787"/>
    <w:rsid w:val="00434C13"/>
    <w:rsid w:val="00434D8B"/>
    <w:rsid w:val="00435294"/>
    <w:rsid w:val="00435703"/>
    <w:rsid w:val="00435BD5"/>
    <w:rsid w:val="00436323"/>
    <w:rsid w:val="0043683F"/>
    <w:rsid w:val="00436F40"/>
    <w:rsid w:val="004370FA"/>
    <w:rsid w:val="0043741B"/>
    <w:rsid w:val="00437506"/>
    <w:rsid w:val="00437AF3"/>
    <w:rsid w:val="00440096"/>
    <w:rsid w:val="004403DD"/>
    <w:rsid w:val="00440CF3"/>
    <w:rsid w:val="00440DB0"/>
    <w:rsid w:val="00440DDC"/>
    <w:rsid w:val="00440FAD"/>
    <w:rsid w:val="00441291"/>
    <w:rsid w:val="00441E04"/>
    <w:rsid w:val="004420AB"/>
    <w:rsid w:val="004422D6"/>
    <w:rsid w:val="004427AC"/>
    <w:rsid w:val="00442C7D"/>
    <w:rsid w:val="00442D13"/>
    <w:rsid w:val="00442D4D"/>
    <w:rsid w:val="00443259"/>
    <w:rsid w:val="0044361F"/>
    <w:rsid w:val="0044374D"/>
    <w:rsid w:val="00443B55"/>
    <w:rsid w:val="00443D27"/>
    <w:rsid w:val="00444D7D"/>
    <w:rsid w:val="0044500B"/>
    <w:rsid w:val="004451C5"/>
    <w:rsid w:val="00446037"/>
    <w:rsid w:val="00446270"/>
    <w:rsid w:val="0044642F"/>
    <w:rsid w:val="004466BA"/>
    <w:rsid w:val="00446709"/>
    <w:rsid w:val="00446922"/>
    <w:rsid w:val="0044772C"/>
    <w:rsid w:val="00450846"/>
    <w:rsid w:val="004518B0"/>
    <w:rsid w:val="00451A52"/>
    <w:rsid w:val="0045271D"/>
    <w:rsid w:val="00452755"/>
    <w:rsid w:val="00452803"/>
    <w:rsid w:val="004529C6"/>
    <w:rsid w:val="00452A7C"/>
    <w:rsid w:val="00452EAD"/>
    <w:rsid w:val="004533D1"/>
    <w:rsid w:val="004534D1"/>
    <w:rsid w:val="004540B8"/>
    <w:rsid w:val="00454548"/>
    <w:rsid w:val="00454717"/>
    <w:rsid w:val="00454DF8"/>
    <w:rsid w:val="00455004"/>
    <w:rsid w:val="00455047"/>
    <w:rsid w:val="00455354"/>
    <w:rsid w:val="0045558D"/>
    <w:rsid w:val="00455BD3"/>
    <w:rsid w:val="004567DA"/>
    <w:rsid w:val="00456970"/>
    <w:rsid w:val="00456BB1"/>
    <w:rsid w:val="00456CD4"/>
    <w:rsid w:val="00456DDB"/>
    <w:rsid w:val="00456E61"/>
    <w:rsid w:val="00457031"/>
    <w:rsid w:val="00460915"/>
    <w:rsid w:val="00460946"/>
    <w:rsid w:val="00460B4F"/>
    <w:rsid w:val="004614A9"/>
    <w:rsid w:val="00461E97"/>
    <w:rsid w:val="004622A6"/>
    <w:rsid w:val="0046268F"/>
    <w:rsid w:val="0046284F"/>
    <w:rsid w:val="00462B10"/>
    <w:rsid w:val="00462C04"/>
    <w:rsid w:val="0046320A"/>
    <w:rsid w:val="00463347"/>
    <w:rsid w:val="004633EC"/>
    <w:rsid w:val="004636CC"/>
    <w:rsid w:val="004638E2"/>
    <w:rsid w:val="00463B3C"/>
    <w:rsid w:val="00464030"/>
    <w:rsid w:val="004647F8"/>
    <w:rsid w:val="004647FB"/>
    <w:rsid w:val="00465347"/>
    <w:rsid w:val="00465677"/>
    <w:rsid w:val="00465F67"/>
    <w:rsid w:val="00466616"/>
    <w:rsid w:val="00466A0C"/>
    <w:rsid w:val="00466A53"/>
    <w:rsid w:val="00466C74"/>
    <w:rsid w:val="00467E2F"/>
    <w:rsid w:val="0047072B"/>
    <w:rsid w:val="00470A6A"/>
    <w:rsid w:val="00470D73"/>
    <w:rsid w:val="00470D92"/>
    <w:rsid w:val="00471DF7"/>
    <w:rsid w:val="00472512"/>
    <w:rsid w:val="004727B1"/>
    <w:rsid w:val="004734CF"/>
    <w:rsid w:val="00473F33"/>
    <w:rsid w:val="0047480D"/>
    <w:rsid w:val="0047586C"/>
    <w:rsid w:val="00475C5A"/>
    <w:rsid w:val="00475C9C"/>
    <w:rsid w:val="0047676B"/>
    <w:rsid w:val="00476D6A"/>
    <w:rsid w:val="004774C3"/>
    <w:rsid w:val="0047773C"/>
    <w:rsid w:val="00477C5F"/>
    <w:rsid w:val="00480050"/>
    <w:rsid w:val="0048011C"/>
    <w:rsid w:val="004808DE"/>
    <w:rsid w:val="00480F9A"/>
    <w:rsid w:val="00481912"/>
    <w:rsid w:val="00481AC4"/>
    <w:rsid w:val="00481DC1"/>
    <w:rsid w:val="00482157"/>
    <w:rsid w:val="00482507"/>
    <w:rsid w:val="0048268A"/>
    <w:rsid w:val="00482A64"/>
    <w:rsid w:val="004835CA"/>
    <w:rsid w:val="004836F8"/>
    <w:rsid w:val="004836FE"/>
    <w:rsid w:val="0048478C"/>
    <w:rsid w:val="00484A39"/>
    <w:rsid w:val="00484F0F"/>
    <w:rsid w:val="00484F40"/>
    <w:rsid w:val="0048540C"/>
    <w:rsid w:val="00485E3F"/>
    <w:rsid w:val="004861B4"/>
    <w:rsid w:val="00486226"/>
    <w:rsid w:val="004862CD"/>
    <w:rsid w:val="00486BD0"/>
    <w:rsid w:val="00486D00"/>
    <w:rsid w:val="00486FF7"/>
    <w:rsid w:val="00487263"/>
    <w:rsid w:val="0048734F"/>
    <w:rsid w:val="0049029D"/>
    <w:rsid w:val="0049030C"/>
    <w:rsid w:val="004903C0"/>
    <w:rsid w:val="0049114B"/>
    <w:rsid w:val="004912A8"/>
    <w:rsid w:val="00491577"/>
    <w:rsid w:val="004918E1"/>
    <w:rsid w:val="0049196A"/>
    <w:rsid w:val="0049196E"/>
    <w:rsid w:val="00491C74"/>
    <w:rsid w:val="0049241A"/>
    <w:rsid w:val="00492844"/>
    <w:rsid w:val="00492C1F"/>
    <w:rsid w:val="00492E4C"/>
    <w:rsid w:val="00493664"/>
    <w:rsid w:val="00493870"/>
    <w:rsid w:val="004938FD"/>
    <w:rsid w:val="00493E04"/>
    <w:rsid w:val="004940E3"/>
    <w:rsid w:val="004941CD"/>
    <w:rsid w:val="0049530F"/>
    <w:rsid w:val="004954AB"/>
    <w:rsid w:val="00495553"/>
    <w:rsid w:val="00496664"/>
    <w:rsid w:val="00496786"/>
    <w:rsid w:val="0049695B"/>
    <w:rsid w:val="00496AC4"/>
    <w:rsid w:val="00496D8F"/>
    <w:rsid w:val="00497463"/>
    <w:rsid w:val="00497CED"/>
    <w:rsid w:val="004A054C"/>
    <w:rsid w:val="004A0834"/>
    <w:rsid w:val="004A08D1"/>
    <w:rsid w:val="004A0FA9"/>
    <w:rsid w:val="004A10A0"/>
    <w:rsid w:val="004A16C1"/>
    <w:rsid w:val="004A1CE2"/>
    <w:rsid w:val="004A1D75"/>
    <w:rsid w:val="004A34D2"/>
    <w:rsid w:val="004A4301"/>
    <w:rsid w:val="004A4D93"/>
    <w:rsid w:val="004A546E"/>
    <w:rsid w:val="004A58EE"/>
    <w:rsid w:val="004A59B7"/>
    <w:rsid w:val="004A6051"/>
    <w:rsid w:val="004A623B"/>
    <w:rsid w:val="004A6A04"/>
    <w:rsid w:val="004A6A52"/>
    <w:rsid w:val="004B0A44"/>
    <w:rsid w:val="004B0F0B"/>
    <w:rsid w:val="004B205A"/>
    <w:rsid w:val="004B2197"/>
    <w:rsid w:val="004B25D8"/>
    <w:rsid w:val="004B298A"/>
    <w:rsid w:val="004B2BB8"/>
    <w:rsid w:val="004B2F47"/>
    <w:rsid w:val="004B3152"/>
    <w:rsid w:val="004B50CB"/>
    <w:rsid w:val="004B578D"/>
    <w:rsid w:val="004B5BE7"/>
    <w:rsid w:val="004B5E2D"/>
    <w:rsid w:val="004B65D9"/>
    <w:rsid w:val="004B6C07"/>
    <w:rsid w:val="004B74D3"/>
    <w:rsid w:val="004B755E"/>
    <w:rsid w:val="004B788E"/>
    <w:rsid w:val="004B7E5D"/>
    <w:rsid w:val="004C0947"/>
    <w:rsid w:val="004C0BF9"/>
    <w:rsid w:val="004C1198"/>
    <w:rsid w:val="004C22F7"/>
    <w:rsid w:val="004C234B"/>
    <w:rsid w:val="004C2B27"/>
    <w:rsid w:val="004C3929"/>
    <w:rsid w:val="004C4160"/>
    <w:rsid w:val="004C5212"/>
    <w:rsid w:val="004C5EF0"/>
    <w:rsid w:val="004C64C9"/>
    <w:rsid w:val="004C7226"/>
    <w:rsid w:val="004C74BD"/>
    <w:rsid w:val="004C74C9"/>
    <w:rsid w:val="004C764F"/>
    <w:rsid w:val="004C7915"/>
    <w:rsid w:val="004C7D70"/>
    <w:rsid w:val="004D02F9"/>
    <w:rsid w:val="004D03FE"/>
    <w:rsid w:val="004D0446"/>
    <w:rsid w:val="004D06A3"/>
    <w:rsid w:val="004D0F95"/>
    <w:rsid w:val="004D106A"/>
    <w:rsid w:val="004D15C7"/>
    <w:rsid w:val="004D1653"/>
    <w:rsid w:val="004D1C7E"/>
    <w:rsid w:val="004D245A"/>
    <w:rsid w:val="004D29D2"/>
    <w:rsid w:val="004D31EE"/>
    <w:rsid w:val="004D36AF"/>
    <w:rsid w:val="004D3BD1"/>
    <w:rsid w:val="004D3C52"/>
    <w:rsid w:val="004D4BA1"/>
    <w:rsid w:val="004D584D"/>
    <w:rsid w:val="004D5A7E"/>
    <w:rsid w:val="004D5E72"/>
    <w:rsid w:val="004D6120"/>
    <w:rsid w:val="004D6826"/>
    <w:rsid w:val="004D7497"/>
    <w:rsid w:val="004D7F7A"/>
    <w:rsid w:val="004E023F"/>
    <w:rsid w:val="004E0546"/>
    <w:rsid w:val="004E0556"/>
    <w:rsid w:val="004E0742"/>
    <w:rsid w:val="004E0C64"/>
    <w:rsid w:val="004E0F6B"/>
    <w:rsid w:val="004E1545"/>
    <w:rsid w:val="004E1F1C"/>
    <w:rsid w:val="004E2A35"/>
    <w:rsid w:val="004E2CCF"/>
    <w:rsid w:val="004E3B71"/>
    <w:rsid w:val="004E40CE"/>
    <w:rsid w:val="004E5736"/>
    <w:rsid w:val="004E5A3C"/>
    <w:rsid w:val="004E5B36"/>
    <w:rsid w:val="004E5D5D"/>
    <w:rsid w:val="004E6045"/>
    <w:rsid w:val="004E6F43"/>
    <w:rsid w:val="004E71B7"/>
    <w:rsid w:val="004E7200"/>
    <w:rsid w:val="004E7729"/>
    <w:rsid w:val="004E787E"/>
    <w:rsid w:val="004E7AA1"/>
    <w:rsid w:val="004F0805"/>
    <w:rsid w:val="004F0960"/>
    <w:rsid w:val="004F0A5C"/>
    <w:rsid w:val="004F1596"/>
    <w:rsid w:val="004F163F"/>
    <w:rsid w:val="004F18A0"/>
    <w:rsid w:val="004F1A08"/>
    <w:rsid w:val="004F2364"/>
    <w:rsid w:val="004F2B64"/>
    <w:rsid w:val="004F2C6F"/>
    <w:rsid w:val="004F31B8"/>
    <w:rsid w:val="004F375E"/>
    <w:rsid w:val="004F3764"/>
    <w:rsid w:val="004F3EEF"/>
    <w:rsid w:val="004F44D8"/>
    <w:rsid w:val="004F5180"/>
    <w:rsid w:val="004F57C9"/>
    <w:rsid w:val="004F5930"/>
    <w:rsid w:val="004F5970"/>
    <w:rsid w:val="004F5F0C"/>
    <w:rsid w:val="004F6121"/>
    <w:rsid w:val="004F6161"/>
    <w:rsid w:val="004F66BC"/>
    <w:rsid w:val="004F6C26"/>
    <w:rsid w:val="004F7AC9"/>
    <w:rsid w:val="004F7E04"/>
    <w:rsid w:val="0050062F"/>
    <w:rsid w:val="00500E74"/>
    <w:rsid w:val="0050160F"/>
    <w:rsid w:val="0050284E"/>
    <w:rsid w:val="0050306F"/>
    <w:rsid w:val="00503534"/>
    <w:rsid w:val="00503A17"/>
    <w:rsid w:val="005042E8"/>
    <w:rsid w:val="00505892"/>
    <w:rsid w:val="00505DCB"/>
    <w:rsid w:val="0050674C"/>
    <w:rsid w:val="00507066"/>
    <w:rsid w:val="005075CA"/>
    <w:rsid w:val="00507B06"/>
    <w:rsid w:val="00507BF1"/>
    <w:rsid w:val="0051074C"/>
    <w:rsid w:val="005107E3"/>
    <w:rsid w:val="00510DE9"/>
    <w:rsid w:val="005111E2"/>
    <w:rsid w:val="00511231"/>
    <w:rsid w:val="00511368"/>
    <w:rsid w:val="00511430"/>
    <w:rsid w:val="005115FD"/>
    <w:rsid w:val="00511741"/>
    <w:rsid w:val="00512BC0"/>
    <w:rsid w:val="00512C4F"/>
    <w:rsid w:val="00513042"/>
    <w:rsid w:val="00513240"/>
    <w:rsid w:val="0051334F"/>
    <w:rsid w:val="00513399"/>
    <w:rsid w:val="00513795"/>
    <w:rsid w:val="00513AF2"/>
    <w:rsid w:val="00514575"/>
    <w:rsid w:val="00514579"/>
    <w:rsid w:val="00514C03"/>
    <w:rsid w:val="00514D67"/>
    <w:rsid w:val="00514F2F"/>
    <w:rsid w:val="0051522A"/>
    <w:rsid w:val="00515515"/>
    <w:rsid w:val="0051635C"/>
    <w:rsid w:val="00516C5B"/>
    <w:rsid w:val="00517612"/>
    <w:rsid w:val="00517CFB"/>
    <w:rsid w:val="00517F85"/>
    <w:rsid w:val="0052002F"/>
    <w:rsid w:val="00520235"/>
    <w:rsid w:val="00520340"/>
    <w:rsid w:val="00520899"/>
    <w:rsid w:val="00520922"/>
    <w:rsid w:val="005209FC"/>
    <w:rsid w:val="00520C09"/>
    <w:rsid w:val="00520EC1"/>
    <w:rsid w:val="00521292"/>
    <w:rsid w:val="00521A30"/>
    <w:rsid w:val="00521D7C"/>
    <w:rsid w:val="00521EA7"/>
    <w:rsid w:val="005224E5"/>
    <w:rsid w:val="0052311A"/>
    <w:rsid w:val="00523854"/>
    <w:rsid w:val="00523903"/>
    <w:rsid w:val="005239B6"/>
    <w:rsid w:val="00523C45"/>
    <w:rsid w:val="00523F41"/>
    <w:rsid w:val="00524165"/>
    <w:rsid w:val="005244FC"/>
    <w:rsid w:val="005246E7"/>
    <w:rsid w:val="00524B08"/>
    <w:rsid w:val="00524C38"/>
    <w:rsid w:val="00524FD2"/>
    <w:rsid w:val="005255D6"/>
    <w:rsid w:val="00525621"/>
    <w:rsid w:val="00526431"/>
    <w:rsid w:val="00527440"/>
    <w:rsid w:val="00527532"/>
    <w:rsid w:val="005279B9"/>
    <w:rsid w:val="00527DEB"/>
    <w:rsid w:val="00527E57"/>
    <w:rsid w:val="00527F2C"/>
    <w:rsid w:val="00530405"/>
    <w:rsid w:val="00530458"/>
    <w:rsid w:val="00530522"/>
    <w:rsid w:val="005305E5"/>
    <w:rsid w:val="0053086F"/>
    <w:rsid w:val="00530CBA"/>
    <w:rsid w:val="00530F38"/>
    <w:rsid w:val="00531F26"/>
    <w:rsid w:val="00531F75"/>
    <w:rsid w:val="00532501"/>
    <w:rsid w:val="0053277C"/>
    <w:rsid w:val="005327C0"/>
    <w:rsid w:val="00533101"/>
    <w:rsid w:val="00533750"/>
    <w:rsid w:val="00533CA9"/>
    <w:rsid w:val="005346AD"/>
    <w:rsid w:val="00534EFB"/>
    <w:rsid w:val="00534F60"/>
    <w:rsid w:val="0053524B"/>
    <w:rsid w:val="005357F1"/>
    <w:rsid w:val="005357FA"/>
    <w:rsid w:val="00535C73"/>
    <w:rsid w:val="00535D15"/>
    <w:rsid w:val="00536053"/>
    <w:rsid w:val="005363C6"/>
    <w:rsid w:val="005367B6"/>
    <w:rsid w:val="005369E6"/>
    <w:rsid w:val="005371AC"/>
    <w:rsid w:val="00537672"/>
    <w:rsid w:val="005376B5"/>
    <w:rsid w:val="0053772F"/>
    <w:rsid w:val="00537A70"/>
    <w:rsid w:val="00537B64"/>
    <w:rsid w:val="00537B77"/>
    <w:rsid w:val="00540C4C"/>
    <w:rsid w:val="00541469"/>
    <w:rsid w:val="00541571"/>
    <w:rsid w:val="005419DA"/>
    <w:rsid w:val="00541B1F"/>
    <w:rsid w:val="0054275A"/>
    <w:rsid w:val="005428B8"/>
    <w:rsid w:val="005428BE"/>
    <w:rsid w:val="00542BD7"/>
    <w:rsid w:val="00543084"/>
    <w:rsid w:val="00543584"/>
    <w:rsid w:val="00543A9E"/>
    <w:rsid w:val="0054413A"/>
    <w:rsid w:val="00544288"/>
    <w:rsid w:val="005446BB"/>
    <w:rsid w:val="00544DA5"/>
    <w:rsid w:val="00544F43"/>
    <w:rsid w:val="00545997"/>
    <w:rsid w:val="00545E30"/>
    <w:rsid w:val="00545EA3"/>
    <w:rsid w:val="00546C9B"/>
    <w:rsid w:val="00547378"/>
    <w:rsid w:val="005474DA"/>
    <w:rsid w:val="00547778"/>
    <w:rsid w:val="00547BF6"/>
    <w:rsid w:val="00547FB3"/>
    <w:rsid w:val="005502B3"/>
    <w:rsid w:val="00551098"/>
    <w:rsid w:val="00551598"/>
    <w:rsid w:val="0055162B"/>
    <w:rsid w:val="00551A56"/>
    <w:rsid w:val="00551B40"/>
    <w:rsid w:val="00551BFF"/>
    <w:rsid w:val="00551D68"/>
    <w:rsid w:val="00551DFF"/>
    <w:rsid w:val="005525C9"/>
    <w:rsid w:val="00552B3E"/>
    <w:rsid w:val="00553A23"/>
    <w:rsid w:val="00554578"/>
    <w:rsid w:val="00554B00"/>
    <w:rsid w:val="00554D57"/>
    <w:rsid w:val="00554D6E"/>
    <w:rsid w:val="005551AA"/>
    <w:rsid w:val="00555239"/>
    <w:rsid w:val="005557FA"/>
    <w:rsid w:val="00555BCE"/>
    <w:rsid w:val="005564CA"/>
    <w:rsid w:val="005568BD"/>
    <w:rsid w:val="005568EA"/>
    <w:rsid w:val="00557140"/>
    <w:rsid w:val="0055715A"/>
    <w:rsid w:val="0055729E"/>
    <w:rsid w:val="00557968"/>
    <w:rsid w:val="00557984"/>
    <w:rsid w:val="00557A3F"/>
    <w:rsid w:val="00560BC1"/>
    <w:rsid w:val="00560C87"/>
    <w:rsid w:val="00560F51"/>
    <w:rsid w:val="00561249"/>
    <w:rsid w:val="0056182B"/>
    <w:rsid w:val="00561A88"/>
    <w:rsid w:val="00561AF3"/>
    <w:rsid w:val="00561E0B"/>
    <w:rsid w:val="00562141"/>
    <w:rsid w:val="00562D86"/>
    <w:rsid w:val="00563161"/>
    <w:rsid w:val="005640CA"/>
    <w:rsid w:val="00564704"/>
    <w:rsid w:val="00564712"/>
    <w:rsid w:val="0056510A"/>
    <w:rsid w:val="005651C7"/>
    <w:rsid w:val="005657A8"/>
    <w:rsid w:val="00565952"/>
    <w:rsid w:val="00566866"/>
    <w:rsid w:val="005670A5"/>
    <w:rsid w:val="00567285"/>
    <w:rsid w:val="00567723"/>
    <w:rsid w:val="0056772D"/>
    <w:rsid w:val="005678F5"/>
    <w:rsid w:val="00567AB8"/>
    <w:rsid w:val="00570A26"/>
    <w:rsid w:val="00570CFD"/>
    <w:rsid w:val="0057104B"/>
    <w:rsid w:val="0057179E"/>
    <w:rsid w:val="00571872"/>
    <w:rsid w:val="0057221F"/>
    <w:rsid w:val="00572421"/>
    <w:rsid w:val="00572539"/>
    <w:rsid w:val="00572959"/>
    <w:rsid w:val="00572AEA"/>
    <w:rsid w:val="00573355"/>
    <w:rsid w:val="0057337D"/>
    <w:rsid w:val="00573504"/>
    <w:rsid w:val="0057355F"/>
    <w:rsid w:val="005737DA"/>
    <w:rsid w:val="00573BA3"/>
    <w:rsid w:val="00574708"/>
    <w:rsid w:val="00574D81"/>
    <w:rsid w:val="005756AA"/>
    <w:rsid w:val="00576186"/>
    <w:rsid w:val="0057696F"/>
    <w:rsid w:val="00576C8A"/>
    <w:rsid w:val="00576D0E"/>
    <w:rsid w:val="005774FE"/>
    <w:rsid w:val="0058040C"/>
    <w:rsid w:val="00580D6D"/>
    <w:rsid w:val="00580FD8"/>
    <w:rsid w:val="005813DE"/>
    <w:rsid w:val="00581796"/>
    <w:rsid w:val="0058195C"/>
    <w:rsid w:val="00581B45"/>
    <w:rsid w:val="00581FDB"/>
    <w:rsid w:val="00582361"/>
    <w:rsid w:val="00582480"/>
    <w:rsid w:val="005826A5"/>
    <w:rsid w:val="00582805"/>
    <w:rsid w:val="0058290E"/>
    <w:rsid w:val="00582CAB"/>
    <w:rsid w:val="00582DCD"/>
    <w:rsid w:val="00582FA6"/>
    <w:rsid w:val="005836D5"/>
    <w:rsid w:val="0058375E"/>
    <w:rsid w:val="0058394B"/>
    <w:rsid w:val="00584233"/>
    <w:rsid w:val="005842D0"/>
    <w:rsid w:val="005845FB"/>
    <w:rsid w:val="005855AE"/>
    <w:rsid w:val="00585829"/>
    <w:rsid w:val="00585CA8"/>
    <w:rsid w:val="00585E80"/>
    <w:rsid w:val="00586412"/>
    <w:rsid w:val="005864B9"/>
    <w:rsid w:val="00586564"/>
    <w:rsid w:val="005866C4"/>
    <w:rsid w:val="00590F1A"/>
    <w:rsid w:val="00591C03"/>
    <w:rsid w:val="00591E2A"/>
    <w:rsid w:val="005923C4"/>
    <w:rsid w:val="0059397D"/>
    <w:rsid w:val="00593EA2"/>
    <w:rsid w:val="00593F75"/>
    <w:rsid w:val="005940A0"/>
    <w:rsid w:val="0059429A"/>
    <w:rsid w:val="005945A4"/>
    <w:rsid w:val="00594CBE"/>
    <w:rsid w:val="00594FDC"/>
    <w:rsid w:val="00595197"/>
    <w:rsid w:val="00595561"/>
    <w:rsid w:val="00596AF7"/>
    <w:rsid w:val="00596CCE"/>
    <w:rsid w:val="00597516"/>
    <w:rsid w:val="005A13F5"/>
    <w:rsid w:val="005A1976"/>
    <w:rsid w:val="005A1F51"/>
    <w:rsid w:val="005A2120"/>
    <w:rsid w:val="005A2130"/>
    <w:rsid w:val="005A2501"/>
    <w:rsid w:val="005A2C80"/>
    <w:rsid w:val="005A3066"/>
    <w:rsid w:val="005A3B35"/>
    <w:rsid w:val="005A3C4B"/>
    <w:rsid w:val="005A3E5A"/>
    <w:rsid w:val="005A43F3"/>
    <w:rsid w:val="005A496F"/>
    <w:rsid w:val="005A4A56"/>
    <w:rsid w:val="005A5608"/>
    <w:rsid w:val="005A5A3D"/>
    <w:rsid w:val="005A6035"/>
    <w:rsid w:val="005A6886"/>
    <w:rsid w:val="005A6B75"/>
    <w:rsid w:val="005A6E00"/>
    <w:rsid w:val="005A718A"/>
    <w:rsid w:val="005A72DD"/>
    <w:rsid w:val="005A7885"/>
    <w:rsid w:val="005B12B2"/>
    <w:rsid w:val="005B143B"/>
    <w:rsid w:val="005B19BD"/>
    <w:rsid w:val="005B1E45"/>
    <w:rsid w:val="005B21C4"/>
    <w:rsid w:val="005B2A28"/>
    <w:rsid w:val="005B2C7D"/>
    <w:rsid w:val="005B35AB"/>
    <w:rsid w:val="005B3621"/>
    <w:rsid w:val="005B3A88"/>
    <w:rsid w:val="005B3EBE"/>
    <w:rsid w:val="005B4948"/>
    <w:rsid w:val="005B501D"/>
    <w:rsid w:val="005B52B0"/>
    <w:rsid w:val="005B54CC"/>
    <w:rsid w:val="005B61AD"/>
    <w:rsid w:val="005B6C2A"/>
    <w:rsid w:val="005B71BB"/>
    <w:rsid w:val="005B741C"/>
    <w:rsid w:val="005B74AD"/>
    <w:rsid w:val="005B76B3"/>
    <w:rsid w:val="005B7E96"/>
    <w:rsid w:val="005C0429"/>
    <w:rsid w:val="005C06A5"/>
    <w:rsid w:val="005C084F"/>
    <w:rsid w:val="005C0EE9"/>
    <w:rsid w:val="005C169F"/>
    <w:rsid w:val="005C16A8"/>
    <w:rsid w:val="005C1716"/>
    <w:rsid w:val="005C1954"/>
    <w:rsid w:val="005C1C0B"/>
    <w:rsid w:val="005C2011"/>
    <w:rsid w:val="005C3EA3"/>
    <w:rsid w:val="005C44DE"/>
    <w:rsid w:val="005C5011"/>
    <w:rsid w:val="005C506F"/>
    <w:rsid w:val="005C514F"/>
    <w:rsid w:val="005C5241"/>
    <w:rsid w:val="005C529E"/>
    <w:rsid w:val="005C57BA"/>
    <w:rsid w:val="005C5C52"/>
    <w:rsid w:val="005C5D3D"/>
    <w:rsid w:val="005C5F05"/>
    <w:rsid w:val="005C6186"/>
    <w:rsid w:val="005C6397"/>
    <w:rsid w:val="005C64D6"/>
    <w:rsid w:val="005C6CF7"/>
    <w:rsid w:val="005C6D19"/>
    <w:rsid w:val="005C721D"/>
    <w:rsid w:val="005C7E45"/>
    <w:rsid w:val="005C7F3E"/>
    <w:rsid w:val="005D06D3"/>
    <w:rsid w:val="005D0C3B"/>
    <w:rsid w:val="005D0C87"/>
    <w:rsid w:val="005D103E"/>
    <w:rsid w:val="005D1051"/>
    <w:rsid w:val="005D1606"/>
    <w:rsid w:val="005D170F"/>
    <w:rsid w:val="005D1C70"/>
    <w:rsid w:val="005D1D10"/>
    <w:rsid w:val="005D2044"/>
    <w:rsid w:val="005D209E"/>
    <w:rsid w:val="005D2917"/>
    <w:rsid w:val="005D2EB2"/>
    <w:rsid w:val="005D2F48"/>
    <w:rsid w:val="005D30AE"/>
    <w:rsid w:val="005D33C2"/>
    <w:rsid w:val="005D3B32"/>
    <w:rsid w:val="005D3E5C"/>
    <w:rsid w:val="005D464B"/>
    <w:rsid w:val="005D466F"/>
    <w:rsid w:val="005D49F0"/>
    <w:rsid w:val="005D51F7"/>
    <w:rsid w:val="005D51FA"/>
    <w:rsid w:val="005D53E8"/>
    <w:rsid w:val="005D5A9D"/>
    <w:rsid w:val="005D5D15"/>
    <w:rsid w:val="005D6651"/>
    <w:rsid w:val="005D691D"/>
    <w:rsid w:val="005D6A72"/>
    <w:rsid w:val="005D6F38"/>
    <w:rsid w:val="005D7452"/>
    <w:rsid w:val="005D791B"/>
    <w:rsid w:val="005D7CF2"/>
    <w:rsid w:val="005D7F92"/>
    <w:rsid w:val="005E003C"/>
    <w:rsid w:val="005E04C5"/>
    <w:rsid w:val="005E062C"/>
    <w:rsid w:val="005E0D7B"/>
    <w:rsid w:val="005E1595"/>
    <w:rsid w:val="005E1F1D"/>
    <w:rsid w:val="005E2694"/>
    <w:rsid w:val="005E273D"/>
    <w:rsid w:val="005E3278"/>
    <w:rsid w:val="005E363B"/>
    <w:rsid w:val="005E3736"/>
    <w:rsid w:val="005E4B72"/>
    <w:rsid w:val="005E52C9"/>
    <w:rsid w:val="005E6342"/>
    <w:rsid w:val="005E665F"/>
    <w:rsid w:val="005E717E"/>
    <w:rsid w:val="005E781C"/>
    <w:rsid w:val="005F0B10"/>
    <w:rsid w:val="005F2D8B"/>
    <w:rsid w:val="005F305B"/>
    <w:rsid w:val="005F3361"/>
    <w:rsid w:val="005F361A"/>
    <w:rsid w:val="005F370A"/>
    <w:rsid w:val="005F3B47"/>
    <w:rsid w:val="005F3E43"/>
    <w:rsid w:val="005F4481"/>
    <w:rsid w:val="005F467E"/>
    <w:rsid w:val="005F47AC"/>
    <w:rsid w:val="005F49AF"/>
    <w:rsid w:val="005F4A58"/>
    <w:rsid w:val="005F54DF"/>
    <w:rsid w:val="005F5888"/>
    <w:rsid w:val="005F5935"/>
    <w:rsid w:val="005F5984"/>
    <w:rsid w:val="005F5EAB"/>
    <w:rsid w:val="005F6CE2"/>
    <w:rsid w:val="005F6EC8"/>
    <w:rsid w:val="005F6F24"/>
    <w:rsid w:val="005F7112"/>
    <w:rsid w:val="005F72E9"/>
    <w:rsid w:val="005F780B"/>
    <w:rsid w:val="005F7DE2"/>
    <w:rsid w:val="0060009C"/>
    <w:rsid w:val="00600473"/>
    <w:rsid w:val="00600516"/>
    <w:rsid w:val="00601055"/>
    <w:rsid w:val="0060139A"/>
    <w:rsid w:val="006013C9"/>
    <w:rsid w:val="00601624"/>
    <w:rsid w:val="00601A39"/>
    <w:rsid w:val="00602931"/>
    <w:rsid w:val="00602B45"/>
    <w:rsid w:val="00603499"/>
    <w:rsid w:val="006035F5"/>
    <w:rsid w:val="00603CC2"/>
    <w:rsid w:val="00604622"/>
    <w:rsid w:val="006047D1"/>
    <w:rsid w:val="006048A4"/>
    <w:rsid w:val="00604A55"/>
    <w:rsid w:val="00604D4E"/>
    <w:rsid w:val="00604E3E"/>
    <w:rsid w:val="00605AC3"/>
    <w:rsid w:val="00606908"/>
    <w:rsid w:val="0060691B"/>
    <w:rsid w:val="00607860"/>
    <w:rsid w:val="00607996"/>
    <w:rsid w:val="00607A37"/>
    <w:rsid w:val="00607E9F"/>
    <w:rsid w:val="0061085E"/>
    <w:rsid w:val="00610B91"/>
    <w:rsid w:val="006112A7"/>
    <w:rsid w:val="00611398"/>
    <w:rsid w:val="006113B4"/>
    <w:rsid w:val="0061186D"/>
    <w:rsid w:val="00612322"/>
    <w:rsid w:val="006123C0"/>
    <w:rsid w:val="006129AB"/>
    <w:rsid w:val="006129AF"/>
    <w:rsid w:val="00613191"/>
    <w:rsid w:val="006133F9"/>
    <w:rsid w:val="006134B3"/>
    <w:rsid w:val="00613DE1"/>
    <w:rsid w:val="0061401F"/>
    <w:rsid w:val="00614166"/>
    <w:rsid w:val="00614817"/>
    <w:rsid w:val="006149CC"/>
    <w:rsid w:val="0061512C"/>
    <w:rsid w:val="006154A6"/>
    <w:rsid w:val="006157A9"/>
    <w:rsid w:val="0061591D"/>
    <w:rsid w:val="00615ED0"/>
    <w:rsid w:val="0061604C"/>
    <w:rsid w:val="00616C2B"/>
    <w:rsid w:val="00616D7F"/>
    <w:rsid w:val="006178D1"/>
    <w:rsid w:val="00617A92"/>
    <w:rsid w:val="00620719"/>
    <w:rsid w:val="006212C9"/>
    <w:rsid w:val="0062131B"/>
    <w:rsid w:val="00621D0C"/>
    <w:rsid w:val="00622229"/>
    <w:rsid w:val="00622470"/>
    <w:rsid w:val="0062267E"/>
    <w:rsid w:val="00622725"/>
    <w:rsid w:val="00622785"/>
    <w:rsid w:val="0062293F"/>
    <w:rsid w:val="00622B63"/>
    <w:rsid w:val="006231AA"/>
    <w:rsid w:val="00623482"/>
    <w:rsid w:val="00623AC2"/>
    <w:rsid w:val="00623EBC"/>
    <w:rsid w:val="0062475D"/>
    <w:rsid w:val="00625642"/>
    <w:rsid w:val="00625DF2"/>
    <w:rsid w:val="006266D7"/>
    <w:rsid w:val="00626D42"/>
    <w:rsid w:val="00626EE3"/>
    <w:rsid w:val="006274AD"/>
    <w:rsid w:val="00627519"/>
    <w:rsid w:val="00627532"/>
    <w:rsid w:val="006302AA"/>
    <w:rsid w:val="006310C3"/>
    <w:rsid w:val="0063161E"/>
    <w:rsid w:val="00631B91"/>
    <w:rsid w:val="00631BB5"/>
    <w:rsid w:val="00631DD0"/>
    <w:rsid w:val="0063247E"/>
    <w:rsid w:val="00632CE0"/>
    <w:rsid w:val="006333F8"/>
    <w:rsid w:val="00633833"/>
    <w:rsid w:val="00633A17"/>
    <w:rsid w:val="00633DBF"/>
    <w:rsid w:val="00634122"/>
    <w:rsid w:val="0063444B"/>
    <w:rsid w:val="00634BEF"/>
    <w:rsid w:val="00635E32"/>
    <w:rsid w:val="006360FC"/>
    <w:rsid w:val="006361C9"/>
    <w:rsid w:val="00636405"/>
    <w:rsid w:val="006365DE"/>
    <w:rsid w:val="00636BE4"/>
    <w:rsid w:val="00636C0C"/>
    <w:rsid w:val="00636F88"/>
    <w:rsid w:val="0063732C"/>
    <w:rsid w:val="00637802"/>
    <w:rsid w:val="00637836"/>
    <w:rsid w:val="00637C26"/>
    <w:rsid w:val="00637F44"/>
    <w:rsid w:val="00640680"/>
    <w:rsid w:val="006407A5"/>
    <w:rsid w:val="00641078"/>
    <w:rsid w:val="00641242"/>
    <w:rsid w:val="00641761"/>
    <w:rsid w:val="00641899"/>
    <w:rsid w:val="00641B12"/>
    <w:rsid w:val="00642126"/>
    <w:rsid w:val="006429C0"/>
    <w:rsid w:val="00642A32"/>
    <w:rsid w:val="00642B8E"/>
    <w:rsid w:val="00642D9F"/>
    <w:rsid w:val="00642F7C"/>
    <w:rsid w:val="00642FC5"/>
    <w:rsid w:val="006433D5"/>
    <w:rsid w:val="00643412"/>
    <w:rsid w:val="00643CF5"/>
    <w:rsid w:val="00644E8F"/>
    <w:rsid w:val="00645844"/>
    <w:rsid w:val="00645CEB"/>
    <w:rsid w:val="00645E63"/>
    <w:rsid w:val="0064673C"/>
    <w:rsid w:val="00646B20"/>
    <w:rsid w:val="00646D0F"/>
    <w:rsid w:val="00647A36"/>
    <w:rsid w:val="00647DCC"/>
    <w:rsid w:val="00647E8E"/>
    <w:rsid w:val="00647EFA"/>
    <w:rsid w:val="00647F14"/>
    <w:rsid w:val="00650027"/>
    <w:rsid w:val="00650E89"/>
    <w:rsid w:val="006516E6"/>
    <w:rsid w:val="00651B9C"/>
    <w:rsid w:val="00651C47"/>
    <w:rsid w:val="00652483"/>
    <w:rsid w:val="00652E70"/>
    <w:rsid w:val="0065339A"/>
    <w:rsid w:val="00653469"/>
    <w:rsid w:val="0065443A"/>
    <w:rsid w:val="00654A38"/>
    <w:rsid w:val="00655301"/>
    <w:rsid w:val="00655371"/>
    <w:rsid w:val="00655507"/>
    <w:rsid w:val="006564A5"/>
    <w:rsid w:val="00656C4B"/>
    <w:rsid w:val="006572A7"/>
    <w:rsid w:val="006573EA"/>
    <w:rsid w:val="006577C9"/>
    <w:rsid w:val="006606A4"/>
    <w:rsid w:val="00660B18"/>
    <w:rsid w:val="00660B1A"/>
    <w:rsid w:val="00661029"/>
    <w:rsid w:val="006610C3"/>
    <w:rsid w:val="0066135A"/>
    <w:rsid w:val="00661A38"/>
    <w:rsid w:val="0066272D"/>
    <w:rsid w:val="00662E58"/>
    <w:rsid w:val="00662F39"/>
    <w:rsid w:val="0066352A"/>
    <w:rsid w:val="006635A0"/>
    <w:rsid w:val="00663D26"/>
    <w:rsid w:val="00664351"/>
    <w:rsid w:val="00665968"/>
    <w:rsid w:val="00665BF7"/>
    <w:rsid w:val="00665C4C"/>
    <w:rsid w:val="00665E65"/>
    <w:rsid w:val="006660F0"/>
    <w:rsid w:val="00666178"/>
    <w:rsid w:val="0066639E"/>
    <w:rsid w:val="00666473"/>
    <w:rsid w:val="00666B49"/>
    <w:rsid w:val="00666C72"/>
    <w:rsid w:val="00666D4B"/>
    <w:rsid w:val="00666E6C"/>
    <w:rsid w:val="0066707F"/>
    <w:rsid w:val="00667457"/>
    <w:rsid w:val="00667ED8"/>
    <w:rsid w:val="0067064C"/>
    <w:rsid w:val="00670B20"/>
    <w:rsid w:val="00670E12"/>
    <w:rsid w:val="00670F27"/>
    <w:rsid w:val="006718D8"/>
    <w:rsid w:val="00672E16"/>
    <w:rsid w:val="00672E80"/>
    <w:rsid w:val="0067333F"/>
    <w:rsid w:val="006739E4"/>
    <w:rsid w:val="00673ECF"/>
    <w:rsid w:val="0067426B"/>
    <w:rsid w:val="00674A1B"/>
    <w:rsid w:val="00674D08"/>
    <w:rsid w:val="00674F1C"/>
    <w:rsid w:val="006754F8"/>
    <w:rsid w:val="00676127"/>
    <w:rsid w:val="0067645B"/>
    <w:rsid w:val="006765DF"/>
    <w:rsid w:val="00676AED"/>
    <w:rsid w:val="00677212"/>
    <w:rsid w:val="00677F26"/>
    <w:rsid w:val="006800EE"/>
    <w:rsid w:val="006802A7"/>
    <w:rsid w:val="00680A86"/>
    <w:rsid w:val="00680E4A"/>
    <w:rsid w:val="00680FBE"/>
    <w:rsid w:val="006811C9"/>
    <w:rsid w:val="006812CE"/>
    <w:rsid w:val="0068132A"/>
    <w:rsid w:val="00682314"/>
    <w:rsid w:val="006826C1"/>
    <w:rsid w:val="00682C89"/>
    <w:rsid w:val="006832B8"/>
    <w:rsid w:val="00683329"/>
    <w:rsid w:val="006836DF"/>
    <w:rsid w:val="006837B2"/>
    <w:rsid w:val="00683800"/>
    <w:rsid w:val="0068420B"/>
    <w:rsid w:val="00684462"/>
    <w:rsid w:val="00684C0D"/>
    <w:rsid w:val="00684C8A"/>
    <w:rsid w:val="00684CF5"/>
    <w:rsid w:val="00684DAB"/>
    <w:rsid w:val="00685022"/>
    <w:rsid w:val="00685188"/>
    <w:rsid w:val="0068553E"/>
    <w:rsid w:val="00685D37"/>
    <w:rsid w:val="00685E7B"/>
    <w:rsid w:val="00686551"/>
    <w:rsid w:val="00686CAB"/>
    <w:rsid w:val="00687049"/>
    <w:rsid w:val="0068717F"/>
    <w:rsid w:val="0068730C"/>
    <w:rsid w:val="00687504"/>
    <w:rsid w:val="00687A14"/>
    <w:rsid w:val="00687A8C"/>
    <w:rsid w:val="00687DAD"/>
    <w:rsid w:val="006901B2"/>
    <w:rsid w:val="00690839"/>
    <w:rsid w:val="006908DB"/>
    <w:rsid w:val="00690DE9"/>
    <w:rsid w:val="00691563"/>
    <w:rsid w:val="00691DE9"/>
    <w:rsid w:val="00691EAA"/>
    <w:rsid w:val="00692245"/>
    <w:rsid w:val="00692745"/>
    <w:rsid w:val="00692FFA"/>
    <w:rsid w:val="006934CB"/>
    <w:rsid w:val="00693772"/>
    <w:rsid w:val="006937EA"/>
    <w:rsid w:val="00693984"/>
    <w:rsid w:val="00693B77"/>
    <w:rsid w:val="00694156"/>
    <w:rsid w:val="00694160"/>
    <w:rsid w:val="00694E8B"/>
    <w:rsid w:val="006959A5"/>
    <w:rsid w:val="00695C0C"/>
    <w:rsid w:val="00696736"/>
    <w:rsid w:val="00696A05"/>
    <w:rsid w:val="00697665"/>
    <w:rsid w:val="00697C9A"/>
    <w:rsid w:val="00697E68"/>
    <w:rsid w:val="00697FC1"/>
    <w:rsid w:val="006A0274"/>
    <w:rsid w:val="006A0ADE"/>
    <w:rsid w:val="006A1ED5"/>
    <w:rsid w:val="006A27BC"/>
    <w:rsid w:val="006A2A43"/>
    <w:rsid w:val="006A2BF1"/>
    <w:rsid w:val="006A2F9A"/>
    <w:rsid w:val="006A34E4"/>
    <w:rsid w:val="006A35AC"/>
    <w:rsid w:val="006A3A5A"/>
    <w:rsid w:val="006A4249"/>
    <w:rsid w:val="006A44CF"/>
    <w:rsid w:val="006A457D"/>
    <w:rsid w:val="006A4B5A"/>
    <w:rsid w:val="006A4C06"/>
    <w:rsid w:val="006A55EE"/>
    <w:rsid w:val="006A575B"/>
    <w:rsid w:val="006A5824"/>
    <w:rsid w:val="006A59DE"/>
    <w:rsid w:val="006A64C6"/>
    <w:rsid w:val="006A6655"/>
    <w:rsid w:val="006A6BF9"/>
    <w:rsid w:val="006A6D7B"/>
    <w:rsid w:val="006A7AB8"/>
    <w:rsid w:val="006A7CB5"/>
    <w:rsid w:val="006A7FD0"/>
    <w:rsid w:val="006B025C"/>
    <w:rsid w:val="006B04DB"/>
    <w:rsid w:val="006B08ED"/>
    <w:rsid w:val="006B2170"/>
    <w:rsid w:val="006B2534"/>
    <w:rsid w:val="006B2CB2"/>
    <w:rsid w:val="006B347D"/>
    <w:rsid w:val="006B3E19"/>
    <w:rsid w:val="006B4488"/>
    <w:rsid w:val="006B4D5D"/>
    <w:rsid w:val="006B50C4"/>
    <w:rsid w:val="006B53AE"/>
    <w:rsid w:val="006B58B4"/>
    <w:rsid w:val="006B60DA"/>
    <w:rsid w:val="006B66FA"/>
    <w:rsid w:val="006B67AC"/>
    <w:rsid w:val="006B722F"/>
    <w:rsid w:val="006B786A"/>
    <w:rsid w:val="006B78F2"/>
    <w:rsid w:val="006B7E4E"/>
    <w:rsid w:val="006C003A"/>
    <w:rsid w:val="006C0B6B"/>
    <w:rsid w:val="006C107C"/>
    <w:rsid w:val="006C127C"/>
    <w:rsid w:val="006C189C"/>
    <w:rsid w:val="006C219B"/>
    <w:rsid w:val="006C2454"/>
    <w:rsid w:val="006C2551"/>
    <w:rsid w:val="006C27B9"/>
    <w:rsid w:val="006C2CC0"/>
    <w:rsid w:val="006C32CF"/>
    <w:rsid w:val="006C32EC"/>
    <w:rsid w:val="006C337B"/>
    <w:rsid w:val="006C37CA"/>
    <w:rsid w:val="006C39AE"/>
    <w:rsid w:val="006C40D2"/>
    <w:rsid w:val="006C4B85"/>
    <w:rsid w:val="006C4BBD"/>
    <w:rsid w:val="006C4E02"/>
    <w:rsid w:val="006C5215"/>
    <w:rsid w:val="006C551E"/>
    <w:rsid w:val="006C5B15"/>
    <w:rsid w:val="006C5D32"/>
    <w:rsid w:val="006C5DCB"/>
    <w:rsid w:val="006C6475"/>
    <w:rsid w:val="006C70C4"/>
    <w:rsid w:val="006C741F"/>
    <w:rsid w:val="006D04DA"/>
    <w:rsid w:val="006D10F6"/>
    <w:rsid w:val="006D1254"/>
    <w:rsid w:val="006D1544"/>
    <w:rsid w:val="006D1688"/>
    <w:rsid w:val="006D1BE1"/>
    <w:rsid w:val="006D1DD3"/>
    <w:rsid w:val="006D1FF3"/>
    <w:rsid w:val="006D2C65"/>
    <w:rsid w:val="006D32C6"/>
    <w:rsid w:val="006D360E"/>
    <w:rsid w:val="006D3697"/>
    <w:rsid w:val="006D39D2"/>
    <w:rsid w:val="006D3A94"/>
    <w:rsid w:val="006D3F2A"/>
    <w:rsid w:val="006D4370"/>
    <w:rsid w:val="006D46A3"/>
    <w:rsid w:val="006D58F2"/>
    <w:rsid w:val="006D5DCB"/>
    <w:rsid w:val="006D6168"/>
    <w:rsid w:val="006D62E0"/>
    <w:rsid w:val="006D62EA"/>
    <w:rsid w:val="006D658F"/>
    <w:rsid w:val="006D66B2"/>
    <w:rsid w:val="006D6712"/>
    <w:rsid w:val="006D6A12"/>
    <w:rsid w:val="006D712D"/>
    <w:rsid w:val="006D7687"/>
    <w:rsid w:val="006D7D1F"/>
    <w:rsid w:val="006D7D8A"/>
    <w:rsid w:val="006E0158"/>
    <w:rsid w:val="006E046C"/>
    <w:rsid w:val="006E0572"/>
    <w:rsid w:val="006E05D8"/>
    <w:rsid w:val="006E08EE"/>
    <w:rsid w:val="006E0F32"/>
    <w:rsid w:val="006E155A"/>
    <w:rsid w:val="006E2C34"/>
    <w:rsid w:val="006E359B"/>
    <w:rsid w:val="006E39D1"/>
    <w:rsid w:val="006E3B05"/>
    <w:rsid w:val="006E437F"/>
    <w:rsid w:val="006E4D5B"/>
    <w:rsid w:val="006E602F"/>
    <w:rsid w:val="006E6720"/>
    <w:rsid w:val="006E7275"/>
    <w:rsid w:val="006E765A"/>
    <w:rsid w:val="006E77B8"/>
    <w:rsid w:val="006E7AAF"/>
    <w:rsid w:val="006F0F74"/>
    <w:rsid w:val="006F13BA"/>
    <w:rsid w:val="006F15CC"/>
    <w:rsid w:val="006F15F6"/>
    <w:rsid w:val="006F36EA"/>
    <w:rsid w:val="006F3BF9"/>
    <w:rsid w:val="006F4147"/>
    <w:rsid w:val="006F4315"/>
    <w:rsid w:val="006F47A7"/>
    <w:rsid w:val="006F4CB0"/>
    <w:rsid w:val="006F4F78"/>
    <w:rsid w:val="006F50C2"/>
    <w:rsid w:val="006F5251"/>
    <w:rsid w:val="006F5389"/>
    <w:rsid w:val="006F547E"/>
    <w:rsid w:val="006F5CCF"/>
    <w:rsid w:val="006F6F04"/>
    <w:rsid w:val="006F71F5"/>
    <w:rsid w:val="006F72A8"/>
    <w:rsid w:val="006F79BB"/>
    <w:rsid w:val="007000A6"/>
    <w:rsid w:val="00700610"/>
    <w:rsid w:val="00700AAB"/>
    <w:rsid w:val="00700CA2"/>
    <w:rsid w:val="00701234"/>
    <w:rsid w:val="0070138A"/>
    <w:rsid w:val="0070157E"/>
    <w:rsid w:val="007030D4"/>
    <w:rsid w:val="00703279"/>
    <w:rsid w:val="007034D9"/>
    <w:rsid w:val="00703B61"/>
    <w:rsid w:val="00703E11"/>
    <w:rsid w:val="00704102"/>
    <w:rsid w:val="0070437C"/>
    <w:rsid w:val="0070461C"/>
    <w:rsid w:val="00704A76"/>
    <w:rsid w:val="00704C11"/>
    <w:rsid w:val="00704F37"/>
    <w:rsid w:val="00705631"/>
    <w:rsid w:val="00705806"/>
    <w:rsid w:val="00705818"/>
    <w:rsid w:val="00705F62"/>
    <w:rsid w:val="00706813"/>
    <w:rsid w:val="0070773F"/>
    <w:rsid w:val="00707A2E"/>
    <w:rsid w:val="00707ED3"/>
    <w:rsid w:val="007101B7"/>
    <w:rsid w:val="0071041A"/>
    <w:rsid w:val="00710668"/>
    <w:rsid w:val="00711019"/>
    <w:rsid w:val="007110F4"/>
    <w:rsid w:val="007112B1"/>
    <w:rsid w:val="0071130F"/>
    <w:rsid w:val="00712044"/>
    <w:rsid w:val="00712507"/>
    <w:rsid w:val="00712714"/>
    <w:rsid w:val="007129AB"/>
    <w:rsid w:val="00712B63"/>
    <w:rsid w:val="00712E5F"/>
    <w:rsid w:val="0071340B"/>
    <w:rsid w:val="00713526"/>
    <w:rsid w:val="00713FC5"/>
    <w:rsid w:val="00714BB9"/>
    <w:rsid w:val="00714DCA"/>
    <w:rsid w:val="00714EC3"/>
    <w:rsid w:val="007150F3"/>
    <w:rsid w:val="00715BBF"/>
    <w:rsid w:val="00715C29"/>
    <w:rsid w:val="00715CBD"/>
    <w:rsid w:val="00715EAA"/>
    <w:rsid w:val="00716119"/>
    <w:rsid w:val="00716630"/>
    <w:rsid w:val="00716BB0"/>
    <w:rsid w:val="00716CAD"/>
    <w:rsid w:val="00716CD3"/>
    <w:rsid w:val="00716F18"/>
    <w:rsid w:val="00717363"/>
    <w:rsid w:val="00717786"/>
    <w:rsid w:val="00717ACB"/>
    <w:rsid w:val="00717F8F"/>
    <w:rsid w:val="0072138B"/>
    <w:rsid w:val="007213A0"/>
    <w:rsid w:val="00721BFF"/>
    <w:rsid w:val="00722495"/>
    <w:rsid w:val="007227EB"/>
    <w:rsid w:val="007232EE"/>
    <w:rsid w:val="00723475"/>
    <w:rsid w:val="007236C4"/>
    <w:rsid w:val="00724635"/>
    <w:rsid w:val="00724F21"/>
    <w:rsid w:val="00725134"/>
    <w:rsid w:val="0072554B"/>
    <w:rsid w:val="0072571F"/>
    <w:rsid w:val="00725AFD"/>
    <w:rsid w:val="00726603"/>
    <w:rsid w:val="007266AC"/>
    <w:rsid w:val="00727B1D"/>
    <w:rsid w:val="00727DDC"/>
    <w:rsid w:val="00730CD6"/>
    <w:rsid w:val="00730F74"/>
    <w:rsid w:val="0073114B"/>
    <w:rsid w:val="00732151"/>
    <w:rsid w:val="00732EBC"/>
    <w:rsid w:val="00734952"/>
    <w:rsid w:val="00734987"/>
    <w:rsid w:val="00734990"/>
    <w:rsid w:val="00734FF5"/>
    <w:rsid w:val="00735B78"/>
    <w:rsid w:val="00735CA5"/>
    <w:rsid w:val="00735D76"/>
    <w:rsid w:val="00735DA7"/>
    <w:rsid w:val="007363DC"/>
    <w:rsid w:val="00736700"/>
    <w:rsid w:val="007368B4"/>
    <w:rsid w:val="007378E0"/>
    <w:rsid w:val="0074040E"/>
    <w:rsid w:val="00740529"/>
    <w:rsid w:val="00740876"/>
    <w:rsid w:val="00741358"/>
    <w:rsid w:val="00741626"/>
    <w:rsid w:val="00741B0C"/>
    <w:rsid w:val="00742332"/>
    <w:rsid w:val="00742886"/>
    <w:rsid w:val="00742A3A"/>
    <w:rsid w:val="00742DD2"/>
    <w:rsid w:val="007437C6"/>
    <w:rsid w:val="00743834"/>
    <w:rsid w:val="00743F4B"/>
    <w:rsid w:val="007441A2"/>
    <w:rsid w:val="00744273"/>
    <w:rsid w:val="00744E80"/>
    <w:rsid w:val="00745035"/>
    <w:rsid w:val="0074531C"/>
    <w:rsid w:val="00745547"/>
    <w:rsid w:val="007459D0"/>
    <w:rsid w:val="00745A63"/>
    <w:rsid w:val="00745D39"/>
    <w:rsid w:val="0074623A"/>
    <w:rsid w:val="00746420"/>
    <w:rsid w:val="00746A60"/>
    <w:rsid w:val="00746E04"/>
    <w:rsid w:val="00746E08"/>
    <w:rsid w:val="00746E3D"/>
    <w:rsid w:val="007473B9"/>
    <w:rsid w:val="00747C96"/>
    <w:rsid w:val="00750075"/>
    <w:rsid w:val="0075022F"/>
    <w:rsid w:val="007502EC"/>
    <w:rsid w:val="00750382"/>
    <w:rsid w:val="0075094E"/>
    <w:rsid w:val="00750FA8"/>
    <w:rsid w:val="00750FB5"/>
    <w:rsid w:val="007520F0"/>
    <w:rsid w:val="0075226F"/>
    <w:rsid w:val="007522E8"/>
    <w:rsid w:val="007529DB"/>
    <w:rsid w:val="007534AD"/>
    <w:rsid w:val="00753BAC"/>
    <w:rsid w:val="00753E86"/>
    <w:rsid w:val="0075408D"/>
    <w:rsid w:val="00754A0B"/>
    <w:rsid w:val="00755229"/>
    <w:rsid w:val="007552DB"/>
    <w:rsid w:val="0075549F"/>
    <w:rsid w:val="00755B08"/>
    <w:rsid w:val="00755DD0"/>
    <w:rsid w:val="0075647A"/>
    <w:rsid w:val="00756A2F"/>
    <w:rsid w:val="007573E1"/>
    <w:rsid w:val="0075749E"/>
    <w:rsid w:val="00757722"/>
    <w:rsid w:val="00757796"/>
    <w:rsid w:val="00757B2D"/>
    <w:rsid w:val="00757BAD"/>
    <w:rsid w:val="00757C31"/>
    <w:rsid w:val="00757D62"/>
    <w:rsid w:val="00760021"/>
    <w:rsid w:val="00760561"/>
    <w:rsid w:val="00760867"/>
    <w:rsid w:val="00760EB6"/>
    <w:rsid w:val="007616DB"/>
    <w:rsid w:val="00761AB7"/>
    <w:rsid w:val="00761CE6"/>
    <w:rsid w:val="0076228A"/>
    <w:rsid w:val="00762440"/>
    <w:rsid w:val="00762499"/>
    <w:rsid w:val="0076253F"/>
    <w:rsid w:val="00762705"/>
    <w:rsid w:val="0076275B"/>
    <w:rsid w:val="007629B7"/>
    <w:rsid w:val="00762E60"/>
    <w:rsid w:val="00762E6C"/>
    <w:rsid w:val="00762F54"/>
    <w:rsid w:val="007634AD"/>
    <w:rsid w:val="0076424F"/>
    <w:rsid w:val="0076445F"/>
    <w:rsid w:val="00764863"/>
    <w:rsid w:val="00764EC5"/>
    <w:rsid w:val="007651EF"/>
    <w:rsid w:val="00766D49"/>
    <w:rsid w:val="00766ECC"/>
    <w:rsid w:val="007672F3"/>
    <w:rsid w:val="007677B5"/>
    <w:rsid w:val="007678B1"/>
    <w:rsid w:val="007708A8"/>
    <w:rsid w:val="00772100"/>
    <w:rsid w:val="00772275"/>
    <w:rsid w:val="00772684"/>
    <w:rsid w:val="00772AAF"/>
    <w:rsid w:val="00772C9A"/>
    <w:rsid w:val="00772E2A"/>
    <w:rsid w:val="00773131"/>
    <w:rsid w:val="007732BA"/>
    <w:rsid w:val="007734E4"/>
    <w:rsid w:val="0077380D"/>
    <w:rsid w:val="00773BC8"/>
    <w:rsid w:val="00774337"/>
    <w:rsid w:val="00774549"/>
    <w:rsid w:val="0077466F"/>
    <w:rsid w:val="007752B7"/>
    <w:rsid w:val="007759A8"/>
    <w:rsid w:val="00775C27"/>
    <w:rsid w:val="00775D98"/>
    <w:rsid w:val="00775E31"/>
    <w:rsid w:val="00776B93"/>
    <w:rsid w:val="00776FE5"/>
    <w:rsid w:val="00777101"/>
    <w:rsid w:val="007774E7"/>
    <w:rsid w:val="0077768C"/>
    <w:rsid w:val="00777696"/>
    <w:rsid w:val="00777EDF"/>
    <w:rsid w:val="00777FF4"/>
    <w:rsid w:val="00780251"/>
    <w:rsid w:val="007804FE"/>
    <w:rsid w:val="00780F32"/>
    <w:rsid w:val="00781049"/>
    <w:rsid w:val="0078122E"/>
    <w:rsid w:val="0078165A"/>
    <w:rsid w:val="00781939"/>
    <w:rsid w:val="00781D29"/>
    <w:rsid w:val="007825EF"/>
    <w:rsid w:val="0078286B"/>
    <w:rsid w:val="00782D2C"/>
    <w:rsid w:val="00782FC2"/>
    <w:rsid w:val="0078347A"/>
    <w:rsid w:val="0078410A"/>
    <w:rsid w:val="00784938"/>
    <w:rsid w:val="00784EBF"/>
    <w:rsid w:val="00784FC4"/>
    <w:rsid w:val="00785BBB"/>
    <w:rsid w:val="00785FB2"/>
    <w:rsid w:val="00786937"/>
    <w:rsid w:val="00786FAD"/>
    <w:rsid w:val="007872D6"/>
    <w:rsid w:val="00787B1B"/>
    <w:rsid w:val="00787CCC"/>
    <w:rsid w:val="00787D90"/>
    <w:rsid w:val="00787F5E"/>
    <w:rsid w:val="00790164"/>
    <w:rsid w:val="0079041B"/>
    <w:rsid w:val="007905C6"/>
    <w:rsid w:val="00790A24"/>
    <w:rsid w:val="00790A37"/>
    <w:rsid w:val="00790A60"/>
    <w:rsid w:val="0079131A"/>
    <w:rsid w:val="0079146D"/>
    <w:rsid w:val="00791C32"/>
    <w:rsid w:val="00791FF0"/>
    <w:rsid w:val="007923D0"/>
    <w:rsid w:val="0079281A"/>
    <w:rsid w:val="007930D3"/>
    <w:rsid w:val="007936E2"/>
    <w:rsid w:val="0079381F"/>
    <w:rsid w:val="0079398D"/>
    <w:rsid w:val="00793A57"/>
    <w:rsid w:val="00793B2E"/>
    <w:rsid w:val="00793C6A"/>
    <w:rsid w:val="007948F5"/>
    <w:rsid w:val="00795647"/>
    <w:rsid w:val="007963F6"/>
    <w:rsid w:val="007969E1"/>
    <w:rsid w:val="00796DC8"/>
    <w:rsid w:val="00796E80"/>
    <w:rsid w:val="0079744F"/>
    <w:rsid w:val="0079776F"/>
    <w:rsid w:val="007979AD"/>
    <w:rsid w:val="00797A9C"/>
    <w:rsid w:val="007A0502"/>
    <w:rsid w:val="007A0EAB"/>
    <w:rsid w:val="007A2341"/>
    <w:rsid w:val="007A2754"/>
    <w:rsid w:val="007A38A1"/>
    <w:rsid w:val="007A3BBE"/>
    <w:rsid w:val="007A4347"/>
    <w:rsid w:val="007A4766"/>
    <w:rsid w:val="007A4B70"/>
    <w:rsid w:val="007A5947"/>
    <w:rsid w:val="007A717B"/>
    <w:rsid w:val="007A7714"/>
    <w:rsid w:val="007A7775"/>
    <w:rsid w:val="007A7C14"/>
    <w:rsid w:val="007B00EF"/>
    <w:rsid w:val="007B0302"/>
    <w:rsid w:val="007B0313"/>
    <w:rsid w:val="007B0854"/>
    <w:rsid w:val="007B0E48"/>
    <w:rsid w:val="007B14BA"/>
    <w:rsid w:val="007B1929"/>
    <w:rsid w:val="007B1D1B"/>
    <w:rsid w:val="007B1D33"/>
    <w:rsid w:val="007B21AA"/>
    <w:rsid w:val="007B2504"/>
    <w:rsid w:val="007B2549"/>
    <w:rsid w:val="007B303E"/>
    <w:rsid w:val="007B32C0"/>
    <w:rsid w:val="007B32F7"/>
    <w:rsid w:val="007B3659"/>
    <w:rsid w:val="007B38B5"/>
    <w:rsid w:val="007B3BF3"/>
    <w:rsid w:val="007B431B"/>
    <w:rsid w:val="007B4558"/>
    <w:rsid w:val="007B4632"/>
    <w:rsid w:val="007B46A2"/>
    <w:rsid w:val="007B4828"/>
    <w:rsid w:val="007B4B2D"/>
    <w:rsid w:val="007B4D4A"/>
    <w:rsid w:val="007B5428"/>
    <w:rsid w:val="007B59B7"/>
    <w:rsid w:val="007B6C64"/>
    <w:rsid w:val="007B6EC8"/>
    <w:rsid w:val="007B6F81"/>
    <w:rsid w:val="007B7EA2"/>
    <w:rsid w:val="007C06DB"/>
    <w:rsid w:val="007C097D"/>
    <w:rsid w:val="007C0AF2"/>
    <w:rsid w:val="007C1672"/>
    <w:rsid w:val="007C17AE"/>
    <w:rsid w:val="007C21E1"/>
    <w:rsid w:val="007C227C"/>
    <w:rsid w:val="007C24EE"/>
    <w:rsid w:val="007C312A"/>
    <w:rsid w:val="007C3538"/>
    <w:rsid w:val="007C3570"/>
    <w:rsid w:val="007C3F3B"/>
    <w:rsid w:val="007C4097"/>
    <w:rsid w:val="007C4241"/>
    <w:rsid w:val="007C425E"/>
    <w:rsid w:val="007C44DF"/>
    <w:rsid w:val="007C55FF"/>
    <w:rsid w:val="007C5642"/>
    <w:rsid w:val="007C6339"/>
    <w:rsid w:val="007C6B63"/>
    <w:rsid w:val="007C753F"/>
    <w:rsid w:val="007C7C43"/>
    <w:rsid w:val="007C7E15"/>
    <w:rsid w:val="007C7F0D"/>
    <w:rsid w:val="007D06E3"/>
    <w:rsid w:val="007D09E4"/>
    <w:rsid w:val="007D1134"/>
    <w:rsid w:val="007D1774"/>
    <w:rsid w:val="007D231B"/>
    <w:rsid w:val="007D23F7"/>
    <w:rsid w:val="007D242C"/>
    <w:rsid w:val="007D24F0"/>
    <w:rsid w:val="007D2566"/>
    <w:rsid w:val="007D2C18"/>
    <w:rsid w:val="007D2D74"/>
    <w:rsid w:val="007D2DA3"/>
    <w:rsid w:val="007D3693"/>
    <w:rsid w:val="007D3C6D"/>
    <w:rsid w:val="007D481A"/>
    <w:rsid w:val="007D4B96"/>
    <w:rsid w:val="007D4ED0"/>
    <w:rsid w:val="007D54D9"/>
    <w:rsid w:val="007D5648"/>
    <w:rsid w:val="007D58C5"/>
    <w:rsid w:val="007D5DE8"/>
    <w:rsid w:val="007D7CCB"/>
    <w:rsid w:val="007D7CFC"/>
    <w:rsid w:val="007E0812"/>
    <w:rsid w:val="007E0825"/>
    <w:rsid w:val="007E0D49"/>
    <w:rsid w:val="007E118A"/>
    <w:rsid w:val="007E18DF"/>
    <w:rsid w:val="007E1E45"/>
    <w:rsid w:val="007E1F52"/>
    <w:rsid w:val="007E214A"/>
    <w:rsid w:val="007E238D"/>
    <w:rsid w:val="007E2C36"/>
    <w:rsid w:val="007E327F"/>
    <w:rsid w:val="007E350D"/>
    <w:rsid w:val="007E3ACA"/>
    <w:rsid w:val="007E3B28"/>
    <w:rsid w:val="007E3F4A"/>
    <w:rsid w:val="007E4193"/>
    <w:rsid w:val="007E526E"/>
    <w:rsid w:val="007E564D"/>
    <w:rsid w:val="007E5C4A"/>
    <w:rsid w:val="007E64D4"/>
    <w:rsid w:val="007E66E9"/>
    <w:rsid w:val="007E69F2"/>
    <w:rsid w:val="007E7432"/>
    <w:rsid w:val="007E74BF"/>
    <w:rsid w:val="007E7657"/>
    <w:rsid w:val="007E7B55"/>
    <w:rsid w:val="007E7D2E"/>
    <w:rsid w:val="007E7E0E"/>
    <w:rsid w:val="007E7E80"/>
    <w:rsid w:val="007F14D3"/>
    <w:rsid w:val="007F1655"/>
    <w:rsid w:val="007F1814"/>
    <w:rsid w:val="007F1D9D"/>
    <w:rsid w:val="007F1E28"/>
    <w:rsid w:val="007F1F63"/>
    <w:rsid w:val="007F22A0"/>
    <w:rsid w:val="007F2902"/>
    <w:rsid w:val="007F2903"/>
    <w:rsid w:val="007F2F90"/>
    <w:rsid w:val="007F3320"/>
    <w:rsid w:val="007F3AC1"/>
    <w:rsid w:val="007F4976"/>
    <w:rsid w:val="007F4B40"/>
    <w:rsid w:val="007F5A56"/>
    <w:rsid w:val="007F5D42"/>
    <w:rsid w:val="007F616E"/>
    <w:rsid w:val="007F6B46"/>
    <w:rsid w:val="007F72CB"/>
    <w:rsid w:val="007F736A"/>
    <w:rsid w:val="007F7635"/>
    <w:rsid w:val="007F785F"/>
    <w:rsid w:val="007F7961"/>
    <w:rsid w:val="007F7AF6"/>
    <w:rsid w:val="007F7E36"/>
    <w:rsid w:val="008005A1"/>
    <w:rsid w:val="00800E6D"/>
    <w:rsid w:val="008013FB"/>
    <w:rsid w:val="008014D9"/>
    <w:rsid w:val="0080150F"/>
    <w:rsid w:val="0080153A"/>
    <w:rsid w:val="00801A2A"/>
    <w:rsid w:val="00801EBB"/>
    <w:rsid w:val="00802041"/>
    <w:rsid w:val="008022C9"/>
    <w:rsid w:val="00802605"/>
    <w:rsid w:val="00802F9E"/>
    <w:rsid w:val="00803566"/>
    <w:rsid w:val="00803700"/>
    <w:rsid w:val="0080376A"/>
    <w:rsid w:val="00803D9D"/>
    <w:rsid w:val="0080434C"/>
    <w:rsid w:val="008056C1"/>
    <w:rsid w:val="008059C6"/>
    <w:rsid w:val="00805AD7"/>
    <w:rsid w:val="00805BD6"/>
    <w:rsid w:val="00805DE3"/>
    <w:rsid w:val="00807C35"/>
    <w:rsid w:val="00807F35"/>
    <w:rsid w:val="00807F69"/>
    <w:rsid w:val="008100F7"/>
    <w:rsid w:val="00810179"/>
    <w:rsid w:val="00810206"/>
    <w:rsid w:val="0081022B"/>
    <w:rsid w:val="0081082C"/>
    <w:rsid w:val="00810A15"/>
    <w:rsid w:val="00811898"/>
    <w:rsid w:val="00811CDC"/>
    <w:rsid w:val="008124D8"/>
    <w:rsid w:val="00812C9E"/>
    <w:rsid w:val="00812DAE"/>
    <w:rsid w:val="008139F9"/>
    <w:rsid w:val="00813A7B"/>
    <w:rsid w:val="00813F04"/>
    <w:rsid w:val="0081513E"/>
    <w:rsid w:val="00815DA5"/>
    <w:rsid w:val="00815E70"/>
    <w:rsid w:val="00816221"/>
    <w:rsid w:val="0081749A"/>
    <w:rsid w:val="008174F3"/>
    <w:rsid w:val="0081766B"/>
    <w:rsid w:val="008201DE"/>
    <w:rsid w:val="008205AC"/>
    <w:rsid w:val="00820705"/>
    <w:rsid w:val="00820CBF"/>
    <w:rsid w:val="00820FA8"/>
    <w:rsid w:val="008212FD"/>
    <w:rsid w:val="00821489"/>
    <w:rsid w:val="0082168D"/>
    <w:rsid w:val="008217B7"/>
    <w:rsid w:val="00822069"/>
    <w:rsid w:val="0082239B"/>
    <w:rsid w:val="0082292E"/>
    <w:rsid w:val="00822D06"/>
    <w:rsid w:val="00822EC4"/>
    <w:rsid w:val="0082348D"/>
    <w:rsid w:val="008236BE"/>
    <w:rsid w:val="008241CE"/>
    <w:rsid w:val="0082520B"/>
    <w:rsid w:val="00825240"/>
    <w:rsid w:val="008255CB"/>
    <w:rsid w:val="00825B43"/>
    <w:rsid w:val="00825FEE"/>
    <w:rsid w:val="00826F71"/>
    <w:rsid w:val="008273EC"/>
    <w:rsid w:val="008275DC"/>
    <w:rsid w:val="00827CC0"/>
    <w:rsid w:val="008306AB"/>
    <w:rsid w:val="00831026"/>
    <w:rsid w:val="0083119B"/>
    <w:rsid w:val="00831BAE"/>
    <w:rsid w:val="00832216"/>
    <w:rsid w:val="00832513"/>
    <w:rsid w:val="00832CD0"/>
    <w:rsid w:val="00833430"/>
    <w:rsid w:val="00833ADA"/>
    <w:rsid w:val="00833FFC"/>
    <w:rsid w:val="00834128"/>
    <w:rsid w:val="0083417F"/>
    <w:rsid w:val="00835143"/>
    <w:rsid w:val="0083569B"/>
    <w:rsid w:val="00835741"/>
    <w:rsid w:val="00836E74"/>
    <w:rsid w:val="00836EAB"/>
    <w:rsid w:val="00837673"/>
    <w:rsid w:val="00837937"/>
    <w:rsid w:val="00837D82"/>
    <w:rsid w:val="00837EF3"/>
    <w:rsid w:val="008402C1"/>
    <w:rsid w:val="00840893"/>
    <w:rsid w:val="00840E88"/>
    <w:rsid w:val="008410B1"/>
    <w:rsid w:val="00841275"/>
    <w:rsid w:val="00841515"/>
    <w:rsid w:val="00841677"/>
    <w:rsid w:val="00842181"/>
    <w:rsid w:val="008423EC"/>
    <w:rsid w:val="008429A6"/>
    <w:rsid w:val="00843615"/>
    <w:rsid w:val="00843698"/>
    <w:rsid w:val="00843A4B"/>
    <w:rsid w:val="00843B57"/>
    <w:rsid w:val="00843B60"/>
    <w:rsid w:val="00843D33"/>
    <w:rsid w:val="008444F0"/>
    <w:rsid w:val="00844D4F"/>
    <w:rsid w:val="00844F38"/>
    <w:rsid w:val="008453BA"/>
    <w:rsid w:val="00845AE3"/>
    <w:rsid w:val="00845B36"/>
    <w:rsid w:val="008466A0"/>
    <w:rsid w:val="00846FE7"/>
    <w:rsid w:val="00847535"/>
    <w:rsid w:val="00847B6D"/>
    <w:rsid w:val="0085092D"/>
    <w:rsid w:val="008509A5"/>
    <w:rsid w:val="00850C79"/>
    <w:rsid w:val="00850D82"/>
    <w:rsid w:val="00850F79"/>
    <w:rsid w:val="0085100B"/>
    <w:rsid w:val="008510A1"/>
    <w:rsid w:val="008518A3"/>
    <w:rsid w:val="00851D77"/>
    <w:rsid w:val="0085220E"/>
    <w:rsid w:val="0085304C"/>
    <w:rsid w:val="008536BB"/>
    <w:rsid w:val="00853A3C"/>
    <w:rsid w:val="00853B48"/>
    <w:rsid w:val="008548CA"/>
    <w:rsid w:val="00855760"/>
    <w:rsid w:val="008563B0"/>
    <w:rsid w:val="0085694D"/>
    <w:rsid w:val="00856C06"/>
    <w:rsid w:val="00857638"/>
    <w:rsid w:val="0085790B"/>
    <w:rsid w:val="008579B9"/>
    <w:rsid w:val="00857C95"/>
    <w:rsid w:val="00857E78"/>
    <w:rsid w:val="00860AEF"/>
    <w:rsid w:val="00860B18"/>
    <w:rsid w:val="00860D5E"/>
    <w:rsid w:val="0086122C"/>
    <w:rsid w:val="00861310"/>
    <w:rsid w:val="00861C4D"/>
    <w:rsid w:val="00861F53"/>
    <w:rsid w:val="008627DE"/>
    <w:rsid w:val="0086289E"/>
    <w:rsid w:val="008629CB"/>
    <w:rsid w:val="00863664"/>
    <w:rsid w:val="0086394E"/>
    <w:rsid w:val="00863F8A"/>
    <w:rsid w:val="00863FE3"/>
    <w:rsid w:val="008640C4"/>
    <w:rsid w:val="008641D5"/>
    <w:rsid w:val="00864241"/>
    <w:rsid w:val="008645AA"/>
    <w:rsid w:val="0086468A"/>
    <w:rsid w:val="00864E22"/>
    <w:rsid w:val="008650BE"/>
    <w:rsid w:val="00865EAF"/>
    <w:rsid w:val="00865FC6"/>
    <w:rsid w:val="0086633B"/>
    <w:rsid w:val="00866495"/>
    <w:rsid w:val="00866881"/>
    <w:rsid w:val="00866931"/>
    <w:rsid w:val="008673AE"/>
    <w:rsid w:val="00867512"/>
    <w:rsid w:val="008678A3"/>
    <w:rsid w:val="00867C13"/>
    <w:rsid w:val="00867C1D"/>
    <w:rsid w:val="0087033C"/>
    <w:rsid w:val="008715ED"/>
    <w:rsid w:val="008717D8"/>
    <w:rsid w:val="00871B2E"/>
    <w:rsid w:val="00871E3C"/>
    <w:rsid w:val="00872F97"/>
    <w:rsid w:val="008741E9"/>
    <w:rsid w:val="00874607"/>
    <w:rsid w:val="008747E9"/>
    <w:rsid w:val="00874915"/>
    <w:rsid w:val="00874B89"/>
    <w:rsid w:val="00875403"/>
    <w:rsid w:val="00875434"/>
    <w:rsid w:val="00875C1F"/>
    <w:rsid w:val="00876215"/>
    <w:rsid w:val="0087646C"/>
    <w:rsid w:val="00876815"/>
    <w:rsid w:val="00876BF7"/>
    <w:rsid w:val="00877932"/>
    <w:rsid w:val="008808C7"/>
    <w:rsid w:val="0088106B"/>
    <w:rsid w:val="0088107D"/>
    <w:rsid w:val="0088187A"/>
    <w:rsid w:val="00881E64"/>
    <w:rsid w:val="00882E39"/>
    <w:rsid w:val="00883559"/>
    <w:rsid w:val="008850EB"/>
    <w:rsid w:val="00885228"/>
    <w:rsid w:val="008857E3"/>
    <w:rsid w:val="00886844"/>
    <w:rsid w:val="00886DF2"/>
    <w:rsid w:val="00886FB9"/>
    <w:rsid w:val="00887057"/>
    <w:rsid w:val="00887080"/>
    <w:rsid w:val="00887C79"/>
    <w:rsid w:val="008908DC"/>
    <w:rsid w:val="0089107B"/>
    <w:rsid w:val="008913CC"/>
    <w:rsid w:val="008914AE"/>
    <w:rsid w:val="008919CF"/>
    <w:rsid w:val="00891F84"/>
    <w:rsid w:val="00891FC3"/>
    <w:rsid w:val="008924EF"/>
    <w:rsid w:val="00892703"/>
    <w:rsid w:val="008928EC"/>
    <w:rsid w:val="00892A15"/>
    <w:rsid w:val="00892E5D"/>
    <w:rsid w:val="008935CF"/>
    <w:rsid w:val="00893E9B"/>
    <w:rsid w:val="00894039"/>
    <w:rsid w:val="0089436B"/>
    <w:rsid w:val="00894436"/>
    <w:rsid w:val="00894BB1"/>
    <w:rsid w:val="008951D0"/>
    <w:rsid w:val="00895442"/>
    <w:rsid w:val="00895556"/>
    <w:rsid w:val="008955CE"/>
    <w:rsid w:val="0089582D"/>
    <w:rsid w:val="008959C6"/>
    <w:rsid w:val="0089606D"/>
    <w:rsid w:val="00896129"/>
    <w:rsid w:val="00896316"/>
    <w:rsid w:val="008963DE"/>
    <w:rsid w:val="008963ED"/>
    <w:rsid w:val="0089675F"/>
    <w:rsid w:val="00896B51"/>
    <w:rsid w:val="0089774F"/>
    <w:rsid w:val="00897875"/>
    <w:rsid w:val="00897B8F"/>
    <w:rsid w:val="008A00D9"/>
    <w:rsid w:val="008A07D5"/>
    <w:rsid w:val="008A1C96"/>
    <w:rsid w:val="008A1FB7"/>
    <w:rsid w:val="008A229A"/>
    <w:rsid w:val="008A2A23"/>
    <w:rsid w:val="008A2AF5"/>
    <w:rsid w:val="008A2B5A"/>
    <w:rsid w:val="008A37F9"/>
    <w:rsid w:val="008A3F9D"/>
    <w:rsid w:val="008A41F8"/>
    <w:rsid w:val="008A52A0"/>
    <w:rsid w:val="008A5474"/>
    <w:rsid w:val="008A5C9A"/>
    <w:rsid w:val="008A6005"/>
    <w:rsid w:val="008A614F"/>
    <w:rsid w:val="008A66F2"/>
    <w:rsid w:val="008A6A55"/>
    <w:rsid w:val="008A6DF0"/>
    <w:rsid w:val="008A6F6E"/>
    <w:rsid w:val="008A7888"/>
    <w:rsid w:val="008A796E"/>
    <w:rsid w:val="008B0862"/>
    <w:rsid w:val="008B088C"/>
    <w:rsid w:val="008B1BF5"/>
    <w:rsid w:val="008B1C27"/>
    <w:rsid w:val="008B214B"/>
    <w:rsid w:val="008B263F"/>
    <w:rsid w:val="008B3045"/>
    <w:rsid w:val="008B36BE"/>
    <w:rsid w:val="008B47A6"/>
    <w:rsid w:val="008B5C7C"/>
    <w:rsid w:val="008B63FE"/>
    <w:rsid w:val="008B672C"/>
    <w:rsid w:val="008B7045"/>
    <w:rsid w:val="008B7108"/>
    <w:rsid w:val="008C065F"/>
    <w:rsid w:val="008C0743"/>
    <w:rsid w:val="008C0B4C"/>
    <w:rsid w:val="008C11F0"/>
    <w:rsid w:val="008C1918"/>
    <w:rsid w:val="008C1DBA"/>
    <w:rsid w:val="008C1EAE"/>
    <w:rsid w:val="008C24E7"/>
    <w:rsid w:val="008C2500"/>
    <w:rsid w:val="008C2CAC"/>
    <w:rsid w:val="008C3903"/>
    <w:rsid w:val="008C3C57"/>
    <w:rsid w:val="008C3E2A"/>
    <w:rsid w:val="008C3F27"/>
    <w:rsid w:val="008C45BD"/>
    <w:rsid w:val="008C4B19"/>
    <w:rsid w:val="008C5983"/>
    <w:rsid w:val="008C62D4"/>
    <w:rsid w:val="008C6754"/>
    <w:rsid w:val="008C6B89"/>
    <w:rsid w:val="008C6B97"/>
    <w:rsid w:val="008C7EF7"/>
    <w:rsid w:val="008C7F13"/>
    <w:rsid w:val="008D094D"/>
    <w:rsid w:val="008D0ECE"/>
    <w:rsid w:val="008D15D4"/>
    <w:rsid w:val="008D18AA"/>
    <w:rsid w:val="008D1A2A"/>
    <w:rsid w:val="008D1ADE"/>
    <w:rsid w:val="008D3199"/>
    <w:rsid w:val="008D35D9"/>
    <w:rsid w:val="008D3B36"/>
    <w:rsid w:val="008D3B85"/>
    <w:rsid w:val="008D3FFE"/>
    <w:rsid w:val="008D42D2"/>
    <w:rsid w:val="008D4596"/>
    <w:rsid w:val="008D462D"/>
    <w:rsid w:val="008D6084"/>
    <w:rsid w:val="008D64AC"/>
    <w:rsid w:val="008D656F"/>
    <w:rsid w:val="008D65FB"/>
    <w:rsid w:val="008D66CA"/>
    <w:rsid w:val="008D69B1"/>
    <w:rsid w:val="008D7338"/>
    <w:rsid w:val="008D785E"/>
    <w:rsid w:val="008D7D66"/>
    <w:rsid w:val="008E0012"/>
    <w:rsid w:val="008E0DF7"/>
    <w:rsid w:val="008E0FAD"/>
    <w:rsid w:val="008E11E4"/>
    <w:rsid w:val="008E1252"/>
    <w:rsid w:val="008E1347"/>
    <w:rsid w:val="008E16E0"/>
    <w:rsid w:val="008E1C15"/>
    <w:rsid w:val="008E1C9A"/>
    <w:rsid w:val="008E28BD"/>
    <w:rsid w:val="008E2BE6"/>
    <w:rsid w:val="008E30C4"/>
    <w:rsid w:val="008E38B4"/>
    <w:rsid w:val="008E3BA4"/>
    <w:rsid w:val="008E3F17"/>
    <w:rsid w:val="008E44AB"/>
    <w:rsid w:val="008E45FC"/>
    <w:rsid w:val="008E4CAE"/>
    <w:rsid w:val="008E5179"/>
    <w:rsid w:val="008E57FE"/>
    <w:rsid w:val="008E6598"/>
    <w:rsid w:val="008E6F19"/>
    <w:rsid w:val="008E710F"/>
    <w:rsid w:val="008E7214"/>
    <w:rsid w:val="008E7471"/>
    <w:rsid w:val="008E7497"/>
    <w:rsid w:val="008E7884"/>
    <w:rsid w:val="008E7D6E"/>
    <w:rsid w:val="008F1056"/>
    <w:rsid w:val="008F13FF"/>
    <w:rsid w:val="008F2E8D"/>
    <w:rsid w:val="008F361D"/>
    <w:rsid w:val="008F387B"/>
    <w:rsid w:val="008F3DD9"/>
    <w:rsid w:val="008F40DC"/>
    <w:rsid w:val="008F4163"/>
    <w:rsid w:val="008F4814"/>
    <w:rsid w:val="008F4B18"/>
    <w:rsid w:val="008F4DA6"/>
    <w:rsid w:val="008F538E"/>
    <w:rsid w:val="008F5751"/>
    <w:rsid w:val="008F5A20"/>
    <w:rsid w:val="008F5ABA"/>
    <w:rsid w:val="008F5B57"/>
    <w:rsid w:val="008F6157"/>
    <w:rsid w:val="008F71AB"/>
    <w:rsid w:val="008F7905"/>
    <w:rsid w:val="008F7989"/>
    <w:rsid w:val="00900861"/>
    <w:rsid w:val="00900912"/>
    <w:rsid w:val="009013B8"/>
    <w:rsid w:val="00901765"/>
    <w:rsid w:val="00901F1D"/>
    <w:rsid w:val="009028E8"/>
    <w:rsid w:val="00902CC9"/>
    <w:rsid w:val="00902E5C"/>
    <w:rsid w:val="0090363E"/>
    <w:rsid w:val="00903679"/>
    <w:rsid w:val="00903788"/>
    <w:rsid w:val="00903C57"/>
    <w:rsid w:val="009046E5"/>
    <w:rsid w:val="00904782"/>
    <w:rsid w:val="009047C5"/>
    <w:rsid w:val="00906007"/>
    <w:rsid w:val="00906166"/>
    <w:rsid w:val="00906C54"/>
    <w:rsid w:val="00906D34"/>
    <w:rsid w:val="009100A1"/>
    <w:rsid w:val="00910683"/>
    <w:rsid w:val="00910E00"/>
    <w:rsid w:val="00910E04"/>
    <w:rsid w:val="009116CE"/>
    <w:rsid w:val="00911714"/>
    <w:rsid w:val="00911D04"/>
    <w:rsid w:val="00911EFF"/>
    <w:rsid w:val="00913035"/>
    <w:rsid w:val="0091310F"/>
    <w:rsid w:val="009136D4"/>
    <w:rsid w:val="00914B9A"/>
    <w:rsid w:val="00914C3F"/>
    <w:rsid w:val="00914F33"/>
    <w:rsid w:val="00915EFE"/>
    <w:rsid w:val="00915FCE"/>
    <w:rsid w:val="00916907"/>
    <w:rsid w:val="00916AFE"/>
    <w:rsid w:val="00916FC8"/>
    <w:rsid w:val="009170D3"/>
    <w:rsid w:val="0091759C"/>
    <w:rsid w:val="00917CBE"/>
    <w:rsid w:val="00920026"/>
    <w:rsid w:val="009203E2"/>
    <w:rsid w:val="009207DF"/>
    <w:rsid w:val="00920BF5"/>
    <w:rsid w:val="00920F61"/>
    <w:rsid w:val="00921304"/>
    <w:rsid w:val="00921395"/>
    <w:rsid w:val="00921805"/>
    <w:rsid w:val="00921E63"/>
    <w:rsid w:val="009220F6"/>
    <w:rsid w:val="00923396"/>
    <w:rsid w:val="00923A05"/>
    <w:rsid w:val="00923F56"/>
    <w:rsid w:val="009242A6"/>
    <w:rsid w:val="00924770"/>
    <w:rsid w:val="00925022"/>
    <w:rsid w:val="00925346"/>
    <w:rsid w:val="0092557B"/>
    <w:rsid w:val="00925743"/>
    <w:rsid w:val="0092579F"/>
    <w:rsid w:val="00927E8D"/>
    <w:rsid w:val="00927F23"/>
    <w:rsid w:val="009307CD"/>
    <w:rsid w:val="0093110D"/>
    <w:rsid w:val="00931364"/>
    <w:rsid w:val="00931365"/>
    <w:rsid w:val="00931427"/>
    <w:rsid w:val="00931451"/>
    <w:rsid w:val="009314FA"/>
    <w:rsid w:val="0093194F"/>
    <w:rsid w:val="00931BF3"/>
    <w:rsid w:val="00931C55"/>
    <w:rsid w:val="0093228F"/>
    <w:rsid w:val="00933333"/>
    <w:rsid w:val="0093349A"/>
    <w:rsid w:val="0093360C"/>
    <w:rsid w:val="009338BA"/>
    <w:rsid w:val="00933FCB"/>
    <w:rsid w:val="009346C8"/>
    <w:rsid w:val="00934CEC"/>
    <w:rsid w:val="00934E69"/>
    <w:rsid w:val="0093576F"/>
    <w:rsid w:val="00935E70"/>
    <w:rsid w:val="0093609A"/>
    <w:rsid w:val="00937401"/>
    <w:rsid w:val="009376FB"/>
    <w:rsid w:val="00937D6B"/>
    <w:rsid w:val="00937EB5"/>
    <w:rsid w:val="00940207"/>
    <w:rsid w:val="00940477"/>
    <w:rsid w:val="00940876"/>
    <w:rsid w:val="00940A53"/>
    <w:rsid w:val="00940F3C"/>
    <w:rsid w:val="009410E0"/>
    <w:rsid w:val="00941B72"/>
    <w:rsid w:val="00941FA9"/>
    <w:rsid w:val="009439B6"/>
    <w:rsid w:val="009444B4"/>
    <w:rsid w:val="00944644"/>
    <w:rsid w:val="00945281"/>
    <w:rsid w:val="009459EA"/>
    <w:rsid w:val="00945DAE"/>
    <w:rsid w:val="00946A24"/>
    <w:rsid w:val="009470D4"/>
    <w:rsid w:val="00947337"/>
    <w:rsid w:val="009477BD"/>
    <w:rsid w:val="00947E6E"/>
    <w:rsid w:val="009512EA"/>
    <w:rsid w:val="009512FA"/>
    <w:rsid w:val="009516A9"/>
    <w:rsid w:val="00951E57"/>
    <w:rsid w:val="00952350"/>
    <w:rsid w:val="00952505"/>
    <w:rsid w:val="00953018"/>
    <w:rsid w:val="009533E2"/>
    <w:rsid w:val="00953554"/>
    <w:rsid w:val="0095385A"/>
    <w:rsid w:val="00954F3A"/>
    <w:rsid w:val="00955541"/>
    <w:rsid w:val="00955DFD"/>
    <w:rsid w:val="0095674F"/>
    <w:rsid w:val="0095747E"/>
    <w:rsid w:val="0095780A"/>
    <w:rsid w:val="009578C3"/>
    <w:rsid w:val="009579E4"/>
    <w:rsid w:val="00957AA4"/>
    <w:rsid w:val="00957ACB"/>
    <w:rsid w:val="00957F27"/>
    <w:rsid w:val="00960BDB"/>
    <w:rsid w:val="0096105C"/>
    <w:rsid w:val="0096147D"/>
    <w:rsid w:val="0096181D"/>
    <w:rsid w:val="00961C14"/>
    <w:rsid w:val="00961D53"/>
    <w:rsid w:val="00961E5F"/>
    <w:rsid w:val="009625C6"/>
    <w:rsid w:val="009629B5"/>
    <w:rsid w:val="00962A50"/>
    <w:rsid w:val="00962C93"/>
    <w:rsid w:val="00963550"/>
    <w:rsid w:val="00964138"/>
    <w:rsid w:val="009648D6"/>
    <w:rsid w:val="00964B3F"/>
    <w:rsid w:val="00964C98"/>
    <w:rsid w:val="00966948"/>
    <w:rsid w:val="00971441"/>
    <w:rsid w:val="00971555"/>
    <w:rsid w:val="009715D4"/>
    <w:rsid w:val="009715E1"/>
    <w:rsid w:val="0097179A"/>
    <w:rsid w:val="00971B0A"/>
    <w:rsid w:val="00972AB2"/>
    <w:rsid w:val="009731F4"/>
    <w:rsid w:val="009732A4"/>
    <w:rsid w:val="00973AB3"/>
    <w:rsid w:val="00973C05"/>
    <w:rsid w:val="0097494E"/>
    <w:rsid w:val="00974999"/>
    <w:rsid w:val="00974B58"/>
    <w:rsid w:val="00974CBD"/>
    <w:rsid w:val="00974EF6"/>
    <w:rsid w:val="00975445"/>
    <w:rsid w:val="009761ED"/>
    <w:rsid w:val="009767BE"/>
    <w:rsid w:val="00976FFF"/>
    <w:rsid w:val="00977F52"/>
    <w:rsid w:val="0098022F"/>
    <w:rsid w:val="009810DE"/>
    <w:rsid w:val="00981B91"/>
    <w:rsid w:val="009822D7"/>
    <w:rsid w:val="009827E6"/>
    <w:rsid w:val="00982F84"/>
    <w:rsid w:val="009831C3"/>
    <w:rsid w:val="00983310"/>
    <w:rsid w:val="009838C1"/>
    <w:rsid w:val="0098427D"/>
    <w:rsid w:val="00984567"/>
    <w:rsid w:val="00985102"/>
    <w:rsid w:val="009854BC"/>
    <w:rsid w:val="00985A66"/>
    <w:rsid w:val="0098606C"/>
    <w:rsid w:val="009865D5"/>
    <w:rsid w:val="009866A4"/>
    <w:rsid w:val="00986CD7"/>
    <w:rsid w:val="0098721B"/>
    <w:rsid w:val="009876F2"/>
    <w:rsid w:val="00987C77"/>
    <w:rsid w:val="00987E4B"/>
    <w:rsid w:val="00987FED"/>
    <w:rsid w:val="00990345"/>
    <w:rsid w:val="00990701"/>
    <w:rsid w:val="009909A8"/>
    <w:rsid w:val="0099119C"/>
    <w:rsid w:val="0099137A"/>
    <w:rsid w:val="00991A9D"/>
    <w:rsid w:val="00991AED"/>
    <w:rsid w:val="0099211C"/>
    <w:rsid w:val="009928AF"/>
    <w:rsid w:val="00993013"/>
    <w:rsid w:val="0099308E"/>
    <w:rsid w:val="009930AB"/>
    <w:rsid w:val="00993125"/>
    <w:rsid w:val="00993B78"/>
    <w:rsid w:val="00994743"/>
    <w:rsid w:val="00994F3F"/>
    <w:rsid w:val="00995119"/>
    <w:rsid w:val="0099531F"/>
    <w:rsid w:val="009953AD"/>
    <w:rsid w:val="00995461"/>
    <w:rsid w:val="009957D7"/>
    <w:rsid w:val="0099583D"/>
    <w:rsid w:val="0099591E"/>
    <w:rsid w:val="00996020"/>
    <w:rsid w:val="0099629E"/>
    <w:rsid w:val="009967A4"/>
    <w:rsid w:val="00996851"/>
    <w:rsid w:val="00996897"/>
    <w:rsid w:val="00996992"/>
    <w:rsid w:val="00996CE5"/>
    <w:rsid w:val="00996E1E"/>
    <w:rsid w:val="00997148"/>
    <w:rsid w:val="00997392"/>
    <w:rsid w:val="0099747C"/>
    <w:rsid w:val="0099771C"/>
    <w:rsid w:val="009A01E4"/>
    <w:rsid w:val="009A0917"/>
    <w:rsid w:val="009A0A33"/>
    <w:rsid w:val="009A10B2"/>
    <w:rsid w:val="009A1351"/>
    <w:rsid w:val="009A2041"/>
    <w:rsid w:val="009A2435"/>
    <w:rsid w:val="009A2B60"/>
    <w:rsid w:val="009A2D3B"/>
    <w:rsid w:val="009A306E"/>
    <w:rsid w:val="009A35DC"/>
    <w:rsid w:val="009A38AB"/>
    <w:rsid w:val="009A38EC"/>
    <w:rsid w:val="009A39EE"/>
    <w:rsid w:val="009A3A33"/>
    <w:rsid w:val="009A3D47"/>
    <w:rsid w:val="009A4C64"/>
    <w:rsid w:val="009A4D63"/>
    <w:rsid w:val="009A5356"/>
    <w:rsid w:val="009A5468"/>
    <w:rsid w:val="009A55D8"/>
    <w:rsid w:val="009A5D99"/>
    <w:rsid w:val="009A5DC6"/>
    <w:rsid w:val="009A608C"/>
    <w:rsid w:val="009A62E5"/>
    <w:rsid w:val="009A6FDF"/>
    <w:rsid w:val="009A715F"/>
    <w:rsid w:val="009A76D6"/>
    <w:rsid w:val="009A7BEB"/>
    <w:rsid w:val="009B03F1"/>
    <w:rsid w:val="009B1481"/>
    <w:rsid w:val="009B2374"/>
    <w:rsid w:val="009B28D6"/>
    <w:rsid w:val="009B2E29"/>
    <w:rsid w:val="009B3163"/>
    <w:rsid w:val="009B422F"/>
    <w:rsid w:val="009B46BC"/>
    <w:rsid w:val="009B48F8"/>
    <w:rsid w:val="009B4D1A"/>
    <w:rsid w:val="009B519D"/>
    <w:rsid w:val="009B558B"/>
    <w:rsid w:val="009B5DAA"/>
    <w:rsid w:val="009B663F"/>
    <w:rsid w:val="009B6D21"/>
    <w:rsid w:val="009B78ED"/>
    <w:rsid w:val="009C0783"/>
    <w:rsid w:val="009C08D7"/>
    <w:rsid w:val="009C181C"/>
    <w:rsid w:val="009C1A44"/>
    <w:rsid w:val="009C1C7F"/>
    <w:rsid w:val="009C1EC7"/>
    <w:rsid w:val="009C2210"/>
    <w:rsid w:val="009C28A2"/>
    <w:rsid w:val="009C3239"/>
    <w:rsid w:val="009C3828"/>
    <w:rsid w:val="009C3AD3"/>
    <w:rsid w:val="009C3AF4"/>
    <w:rsid w:val="009C3D2C"/>
    <w:rsid w:val="009C4987"/>
    <w:rsid w:val="009C4FDE"/>
    <w:rsid w:val="009C523F"/>
    <w:rsid w:val="009C59BF"/>
    <w:rsid w:val="009C5E4F"/>
    <w:rsid w:val="009C5F64"/>
    <w:rsid w:val="009C5F82"/>
    <w:rsid w:val="009C60EA"/>
    <w:rsid w:val="009C6495"/>
    <w:rsid w:val="009C6BFC"/>
    <w:rsid w:val="009C70F8"/>
    <w:rsid w:val="009C78A3"/>
    <w:rsid w:val="009C7E68"/>
    <w:rsid w:val="009D00D7"/>
    <w:rsid w:val="009D0156"/>
    <w:rsid w:val="009D03B4"/>
    <w:rsid w:val="009D05DA"/>
    <w:rsid w:val="009D0AF9"/>
    <w:rsid w:val="009D11F6"/>
    <w:rsid w:val="009D1A14"/>
    <w:rsid w:val="009D1E2A"/>
    <w:rsid w:val="009D1FA0"/>
    <w:rsid w:val="009D23D3"/>
    <w:rsid w:val="009D28E8"/>
    <w:rsid w:val="009D2BDF"/>
    <w:rsid w:val="009D3736"/>
    <w:rsid w:val="009D3D06"/>
    <w:rsid w:val="009D4529"/>
    <w:rsid w:val="009D460F"/>
    <w:rsid w:val="009D604F"/>
    <w:rsid w:val="009D61BB"/>
    <w:rsid w:val="009D6410"/>
    <w:rsid w:val="009D68BB"/>
    <w:rsid w:val="009D6909"/>
    <w:rsid w:val="009D700F"/>
    <w:rsid w:val="009D70C2"/>
    <w:rsid w:val="009D7244"/>
    <w:rsid w:val="009D7ADB"/>
    <w:rsid w:val="009D7B33"/>
    <w:rsid w:val="009E0490"/>
    <w:rsid w:val="009E06C3"/>
    <w:rsid w:val="009E0703"/>
    <w:rsid w:val="009E0767"/>
    <w:rsid w:val="009E1035"/>
    <w:rsid w:val="009E13D2"/>
    <w:rsid w:val="009E16DA"/>
    <w:rsid w:val="009E1CD4"/>
    <w:rsid w:val="009E2103"/>
    <w:rsid w:val="009E2391"/>
    <w:rsid w:val="009E2A11"/>
    <w:rsid w:val="009E2C0F"/>
    <w:rsid w:val="009E3BEE"/>
    <w:rsid w:val="009E476A"/>
    <w:rsid w:val="009E4A16"/>
    <w:rsid w:val="009E4E05"/>
    <w:rsid w:val="009E56FF"/>
    <w:rsid w:val="009E5CB1"/>
    <w:rsid w:val="009E5E56"/>
    <w:rsid w:val="009E61EA"/>
    <w:rsid w:val="009E6990"/>
    <w:rsid w:val="009E6BA8"/>
    <w:rsid w:val="009E6FEE"/>
    <w:rsid w:val="009E7068"/>
    <w:rsid w:val="009E788D"/>
    <w:rsid w:val="009E790A"/>
    <w:rsid w:val="009E794B"/>
    <w:rsid w:val="009F00B9"/>
    <w:rsid w:val="009F060F"/>
    <w:rsid w:val="009F0781"/>
    <w:rsid w:val="009F0850"/>
    <w:rsid w:val="009F15A8"/>
    <w:rsid w:val="009F1950"/>
    <w:rsid w:val="009F1BDF"/>
    <w:rsid w:val="009F1EAE"/>
    <w:rsid w:val="009F210A"/>
    <w:rsid w:val="009F2732"/>
    <w:rsid w:val="009F2848"/>
    <w:rsid w:val="009F2A31"/>
    <w:rsid w:val="009F369D"/>
    <w:rsid w:val="009F36FE"/>
    <w:rsid w:val="009F3865"/>
    <w:rsid w:val="009F3C87"/>
    <w:rsid w:val="009F4990"/>
    <w:rsid w:val="009F4F25"/>
    <w:rsid w:val="009F59C2"/>
    <w:rsid w:val="009F6DD3"/>
    <w:rsid w:val="009F7254"/>
    <w:rsid w:val="009F7263"/>
    <w:rsid w:val="009F76EA"/>
    <w:rsid w:val="009F78EB"/>
    <w:rsid w:val="009F7DB2"/>
    <w:rsid w:val="009F7F32"/>
    <w:rsid w:val="009F7FEB"/>
    <w:rsid w:val="00A003D5"/>
    <w:rsid w:val="00A0056C"/>
    <w:rsid w:val="00A00F5E"/>
    <w:rsid w:val="00A0109F"/>
    <w:rsid w:val="00A0120D"/>
    <w:rsid w:val="00A01852"/>
    <w:rsid w:val="00A0188B"/>
    <w:rsid w:val="00A01C35"/>
    <w:rsid w:val="00A01E73"/>
    <w:rsid w:val="00A01F7E"/>
    <w:rsid w:val="00A023E7"/>
    <w:rsid w:val="00A02B88"/>
    <w:rsid w:val="00A02EF9"/>
    <w:rsid w:val="00A03160"/>
    <w:rsid w:val="00A036AC"/>
    <w:rsid w:val="00A03C54"/>
    <w:rsid w:val="00A03DE5"/>
    <w:rsid w:val="00A041BC"/>
    <w:rsid w:val="00A0447F"/>
    <w:rsid w:val="00A04532"/>
    <w:rsid w:val="00A046D2"/>
    <w:rsid w:val="00A04A54"/>
    <w:rsid w:val="00A056D2"/>
    <w:rsid w:val="00A058B8"/>
    <w:rsid w:val="00A05B4B"/>
    <w:rsid w:val="00A066C3"/>
    <w:rsid w:val="00A06754"/>
    <w:rsid w:val="00A069E0"/>
    <w:rsid w:val="00A06E4A"/>
    <w:rsid w:val="00A06EB6"/>
    <w:rsid w:val="00A070E9"/>
    <w:rsid w:val="00A07630"/>
    <w:rsid w:val="00A0789B"/>
    <w:rsid w:val="00A078FB"/>
    <w:rsid w:val="00A10209"/>
    <w:rsid w:val="00A1036D"/>
    <w:rsid w:val="00A1057A"/>
    <w:rsid w:val="00A1069F"/>
    <w:rsid w:val="00A10ACA"/>
    <w:rsid w:val="00A10D08"/>
    <w:rsid w:val="00A11720"/>
    <w:rsid w:val="00A11E78"/>
    <w:rsid w:val="00A12355"/>
    <w:rsid w:val="00A12574"/>
    <w:rsid w:val="00A127D2"/>
    <w:rsid w:val="00A1284E"/>
    <w:rsid w:val="00A12AFA"/>
    <w:rsid w:val="00A13CF5"/>
    <w:rsid w:val="00A13EEC"/>
    <w:rsid w:val="00A143EC"/>
    <w:rsid w:val="00A149E8"/>
    <w:rsid w:val="00A1500F"/>
    <w:rsid w:val="00A15621"/>
    <w:rsid w:val="00A15670"/>
    <w:rsid w:val="00A157A0"/>
    <w:rsid w:val="00A1585B"/>
    <w:rsid w:val="00A15C19"/>
    <w:rsid w:val="00A15FE9"/>
    <w:rsid w:val="00A16809"/>
    <w:rsid w:val="00A17584"/>
    <w:rsid w:val="00A17769"/>
    <w:rsid w:val="00A17CA5"/>
    <w:rsid w:val="00A17EA2"/>
    <w:rsid w:val="00A20264"/>
    <w:rsid w:val="00A20997"/>
    <w:rsid w:val="00A210D4"/>
    <w:rsid w:val="00A213DD"/>
    <w:rsid w:val="00A21454"/>
    <w:rsid w:val="00A216CE"/>
    <w:rsid w:val="00A22025"/>
    <w:rsid w:val="00A22498"/>
    <w:rsid w:val="00A22571"/>
    <w:rsid w:val="00A2298D"/>
    <w:rsid w:val="00A235E1"/>
    <w:rsid w:val="00A24560"/>
    <w:rsid w:val="00A25088"/>
    <w:rsid w:val="00A25833"/>
    <w:rsid w:val="00A25B0F"/>
    <w:rsid w:val="00A25BBB"/>
    <w:rsid w:val="00A27FB6"/>
    <w:rsid w:val="00A30121"/>
    <w:rsid w:val="00A30368"/>
    <w:rsid w:val="00A3043A"/>
    <w:rsid w:val="00A30E02"/>
    <w:rsid w:val="00A30F6A"/>
    <w:rsid w:val="00A31060"/>
    <w:rsid w:val="00A31C3E"/>
    <w:rsid w:val="00A331E4"/>
    <w:rsid w:val="00A34538"/>
    <w:rsid w:val="00A34677"/>
    <w:rsid w:val="00A3540F"/>
    <w:rsid w:val="00A35630"/>
    <w:rsid w:val="00A35914"/>
    <w:rsid w:val="00A35E91"/>
    <w:rsid w:val="00A36189"/>
    <w:rsid w:val="00A361D8"/>
    <w:rsid w:val="00A3677A"/>
    <w:rsid w:val="00A37E73"/>
    <w:rsid w:val="00A37FB6"/>
    <w:rsid w:val="00A409E2"/>
    <w:rsid w:val="00A4104A"/>
    <w:rsid w:val="00A41081"/>
    <w:rsid w:val="00A411CA"/>
    <w:rsid w:val="00A42080"/>
    <w:rsid w:val="00A42096"/>
    <w:rsid w:val="00A426F3"/>
    <w:rsid w:val="00A42FDF"/>
    <w:rsid w:val="00A430A9"/>
    <w:rsid w:val="00A431FE"/>
    <w:rsid w:val="00A4384F"/>
    <w:rsid w:val="00A439E5"/>
    <w:rsid w:val="00A4414E"/>
    <w:rsid w:val="00A4497A"/>
    <w:rsid w:val="00A44AB5"/>
    <w:rsid w:val="00A44BE8"/>
    <w:rsid w:val="00A44C96"/>
    <w:rsid w:val="00A44CDD"/>
    <w:rsid w:val="00A44F54"/>
    <w:rsid w:val="00A45F9B"/>
    <w:rsid w:val="00A46574"/>
    <w:rsid w:val="00A46A5F"/>
    <w:rsid w:val="00A47701"/>
    <w:rsid w:val="00A47849"/>
    <w:rsid w:val="00A500B1"/>
    <w:rsid w:val="00A50238"/>
    <w:rsid w:val="00A51D65"/>
    <w:rsid w:val="00A52A53"/>
    <w:rsid w:val="00A52EE5"/>
    <w:rsid w:val="00A53037"/>
    <w:rsid w:val="00A532B9"/>
    <w:rsid w:val="00A5351D"/>
    <w:rsid w:val="00A53E79"/>
    <w:rsid w:val="00A5402C"/>
    <w:rsid w:val="00A54031"/>
    <w:rsid w:val="00A5426D"/>
    <w:rsid w:val="00A54895"/>
    <w:rsid w:val="00A54FC2"/>
    <w:rsid w:val="00A55122"/>
    <w:rsid w:val="00A55806"/>
    <w:rsid w:val="00A55CEA"/>
    <w:rsid w:val="00A560A9"/>
    <w:rsid w:val="00A56A00"/>
    <w:rsid w:val="00A56DE7"/>
    <w:rsid w:val="00A57EB2"/>
    <w:rsid w:val="00A6009E"/>
    <w:rsid w:val="00A60265"/>
    <w:rsid w:val="00A60540"/>
    <w:rsid w:val="00A60B1F"/>
    <w:rsid w:val="00A611B1"/>
    <w:rsid w:val="00A6144B"/>
    <w:rsid w:val="00A61C60"/>
    <w:rsid w:val="00A622EA"/>
    <w:rsid w:val="00A62589"/>
    <w:rsid w:val="00A62AD0"/>
    <w:rsid w:val="00A62B6D"/>
    <w:rsid w:val="00A62C3A"/>
    <w:rsid w:val="00A6319C"/>
    <w:rsid w:val="00A63812"/>
    <w:rsid w:val="00A63DF7"/>
    <w:rsid w:val="00A6454D"/>
    <w:rsid w:val="00A64767"/>
    <w:rsid w:val="00A64F2F"/>
    <w:rsid w:val="00A65960"/>
    <w:rsid w:val="00A6611E"/>
    <w:rsid w:val="00A6662C"/>
    <w:rsid w:val="00A668BA"/>
    <w:rsid w:val="00A66FA7"/>
    <w:rsid w:val="00A67170"/>
    <w:rsid w:val="00A67775"/>
    <w:rsid w:val="00A67E16"/>
    <w:rsid w:val="00A67EB1"/>
    <w:rsid w:val="00A67F1C"/>
    <w:rsid w:val="00A703CC"/>
    <w:rsid w:val="00A70C5C"/>
    <w:rsid w:val="00A710A2"/>
    <w:rsid w:val="00A71EA7"/>
    <w:rsid w:val="00A730AD"/>
    <w:rsid w:val="00A73855"/>
    <w:rsid w:val="00A73D64"/>
    <w:rsid w:val="00A74216"/>
    <w:rsid w:val="00A74360"/>
    <w:rsid w:val="00A744B4"/>
    <w:rsid w:val="00A751E3"/>
    <w:rsid w:val="00A7536B"/>
    <w:rsid w:val="00A753B9"/>
    <w:rsid w:val="00A7549A"/>
    <w:rsid w:val="00A75504"/>
    <w:rsid w:val="00A75F2E"/>
    <w:rsid w:val="00A75FD7"/>
    <w:rsid w:val="00A77168"/>
    <w:rsid w:val="00A7723B"/>
    <w:rsid w:val="00A773C3"/>
    <w:rsid w:val="00A7793C"/>
    <w:rsid w:val="00A77D21"/>
    <w:rsid w:val="00A80085"/>
    <w:rsid w:val="00A8043B"/>
    <w:rsid w:val="00A80DA0"/>
    <w:rsid w:val="00A81323"/>
    <w:rsid w:val="00A820CB"/>
    <w:rsid w:val="00A82342"/>
    <w:rsid w:val="00A8236F"/>
    <w:rsid w:val="00A82D06"/>
    <w:rsid w:val="00A83096"/>
    <w:rsid w:val="00A832DB"/>
    <w:rsid w:val="00A83BEF"/>
    <w:rsid w:val="00A83C21"/>
    <w:rsid w:val="00A84443"/>
    <w:rsid w:val="00A8487F"/>
    <w:rsid w:val="00A84935"/>
    <w:rsid w:val="00A849A3"/>
    <w:rsid w:val="00A84A0E"/>
    <w:rsid w:val="00A8575D"/>
    <w:rsid w:val="00A861F4"/>
    <w:rsid w:val="00A86E0B"/>
    <w:rsid w:val="00A90546"/>
    <w:rsid w:val="00A90AD3"/>
    <w:rsid w:val="00A90F12"/>
    <w:rsid w:val="00A91C08"/>
    <w:rsid w:val="00A91DAA"/>
    <w:rsid w:val="00A928D0"/>
    <w:rsid w:val="00A93101"/>
    <w:rsid w:val="00A93239"/>
    <w:rsid w:val="00A9413E"/>
    <w:rsid w:val="00A94293"/>
    <w:rsid w:val="00A9496E"/>
    <w:rsid w:val="00A949F0"/>
    <w:rsid w:val="00A94BDE"/>
    <w:rsid w:val="00A94FCA"/>
    <w:rsid w:val="00A95E4C"/>
    <w:rsid w:val="00A96418"/>
    <w:rsid w:val="00A96C60"/>
    <w:rsid w:val="00A9740B"/>
    <w:rsid w:val="00A9766C"/>
    <w:rsid w:val="00A977F8"/>
    <w:rsid w:val="00A979DB"/>
    <w:rsid w:val="00A97A40"/>
    <w:rsid w:val="00A97AE8"/>
    <w:rsid w:val="00A97C93"/>
    <w:rsid w:val="00AA06C6"/>
    <w:rsid w:val="00AA08E7"/>
    <w:rsid w:val="00AA0A06"/>
    <w:rsid w:val="00AA1351"/>
    <w:rsid w:val="00AA184C"/>
    <w:rsid w:val="00AA1AF4"/>
    <w:rsid w:val="00AA1C84"/>
    <w:rsid w:val="00AA31C5"/>
    <w:rsid w:val="00AA3D7B"/>
    <w:rsid w:val="00AA42A0"/>
    <w:rsid w:val="00AA442B"/>
    <w:rsid w:val="00AA46A4"/>
    <w:rsid w:val="00AA47FA"/>
    <w:rsid w:val="00AA4BEB"/>
    <w:rsid w:val="00AA5779"/>
    <w:rsid w:val="00AA58A1"/>
    <w:rsid w:val="00AA5E49"/>
    <w:rsid w:val="00AA61C7"/>
    <w:rsid w:val="00AA669D"/>
    <w:rsid w:val="00AA66ED"/>
    <w:rsid w:val="00AA6B59"/>
    <w:rsid w:val="00AA6BE1"/>
    <w:rsid w:val="00AA6DB2"/>
    <w:rsid w:val="00AA7416"/>
    <w:rsid w:val="00AA7A60"/>
    <w:rsid w:val="00AA7B42"/>
    <w:rsid w:val="00AB041C"/>
    <w:rsid w:val="00AB0493"/>
    <w:rsid w:val="00AB14E8"/>
    <w:rsid w:val="00AB1B1D"/>
    <w:rsid w:val="00AB1CD8"/>
    <w:rsid w:val="00AB2216"/>
    <w:rsid w:val="00AB358D"/>
    <w:rsid w:val="00AB37A1"/>
    <w:rsid w:val="00AB3BAD"/>
    <w:rsid w:val="00AB3CFD"/>
    <w:rsid w:val="00AB49BC"/>
    <w:rsid w:val="00AB4DEE"/>
    <w:rsid w:val="00AB4E32"/>
    <w:rsid w:val="00AB5C19"/>
    <w:rsid w:val="00AB60F5"/>
    <w:rsid w:val="00AB724B"/>
    <w:rsid w:val="00AB726C"/>
    <w:rsid w:val="00AB72B4"/>
    <w:rsid w:val="00AB7549"/>
    <w:rsid w:val="00AB7A7A"/>
    <w:rsid w:val="00AC02AA"/>
    <w:rsid w:val="00AC0537"/>
    <w:rsid w:val="00AC0A84"/>
    <w:rsid w:val="00AC1508"/>
    <w:rsid w:val="00AC2A0B"/>
    <w:rsid w:val="00AC2BEE"/>
    <w:rsid w:val="00AC2E53"/>
    <w:rsid w:val="00AC484F"/>
    <w:rsid w:val="00AC4AD2"/>
    <w:rsid w:val="00AC4B20"/>
    <w:rsid w:val="00AC51DF"/>
    <w:rsid w:val="00AC5395"/>
    <w:rsid w:val="00AC55C7"/>
    <w:rsid w:val="00AC56F2"/>
    <w:rsid w:val="00AC5D9D"/>
    <w:rsid w:val="00AC71C3"/>
    <w:rsid w:val="00AD0861"/>
    <w:rsid w:val="00AD09F7"/>
    <w:rsid w:val="00AD1EFA"/>
    <w:rsid w:val="00AD2072"/>
    <w:rsid w:val="00AD2DBD"/>
    <w:rsid w:val="00AD2FBF"/>
    <w:rsid w:val="00AD30DB"/>
    <w:rsid w:val="00AD33A1"/>
    <w:rsid w:val="00AD340E"/>
    <w:rsid w:val="00AD4511"/>
    <w:rsid w:val="00AD455D"/>
    <w:rsid w:val="00AD463C"/>
    <w:rsid w:val="00AD470B"/>
    <w:rsid w:val="00AD4864"/>
    <w:rsid w:val="00AD4F60"/>
    <w:rsid w:val="00AD5044"/>
    <w:rsid w:val="00AD5114"/>
    <w:rsid w:val="00AD51D2"/>
    <w:rsid w:val="00AD5523"/>
    <w:rsid w:val="00AD5740"/>
    <w:rsid w:val="00AD604D"/>
    <w:rsid w:val="00AD6236"/>
    <w:rsid w:val="00AD69D5"/>
    <w:rsid w:val="00AD7619"/>
    <w:rsid w:val="00AD7770"/>
    <w:rsid w:val="00AE0053"/>
    <w:rsid w:val="00AE15DF"/>
    <w:rsid w:val="00AE1713"/>
    <w:rsid w:val="00AE1772"/>
    <w:rsid w:val="00AE1990"/>
    <w:rsid w:val="00AE25E8"/>
    <w:rsid w:val="00AE2AD4"/>
    <w:rsid w:val="00AE2CA7"/>
    <w:rsid w:val="00AE2F1D"/>
    <w:rsid w:val="00AE4C81"/>
    <w:rsid w:val="00AE586F"/>
    <w:rsid w:val="00AE6188"/>
    <w:rsid w:val="00AE62F6"/>
    <w:rsid w:val="00AE62FE"/>
    <w:rsid w:val="00AE6447"/>
    <w:rsid w:val="00AE6582"/>
    <w:rsid w:val="00AE6DC5"/>
    <w:rsid w:val="00AE7388"/>
    <w:rsid w:val="00AE7686"/>
    <w:rsid w:val="00AE799A"/>
    <w:rsid w:val="00AE7CF1"/>
    <w:rsid w:val="00AF038D"/>
    <w:rsid w:val="00AF0E81"/>
    <w:rsid w:val="00AF117A"/>
    <w:rsid w:val="00AF134E"/>
    <w:rsid w:val="00AF16CA"/>
    <w:rsid w:val="00AF186E"/>
    <w:rsid w:val="00AF19DF"/>
    <w:rsid w:val="00AF1D41"/>
    <w:rsid w:val="00AF1FBF"/>
    <w:rsid w:val="00AF20DA"/>
    <w:rsid w:val="00AF26CF"/>
    <w:rsid w:val="00AF3124"/>
    <w:rsid w:val="00AF344D"/>
    <w:rsid w:val="00AF39B3"/>
    <w:rsid w:val="00AF3C1F"/>
    <w:rsid w:val="00AF3FED"/>
    <w:rsid w:val="00AF4402"/>
    <w:rsid w:val="00AF4639"/>
    <w:rsid w:val="00AF4E92"/>
    <w:rsid w:val="00AF554B"/>
    <w:rsid w:val="00AF5C9B"/>
    <w:rsid w:val="00AF5D53"/>
    <w:rsid w:val="00AF5E2D"/>
    <w:rsid w:val="00AF644B"/>
    <w:rsid w:val="00AF69EB"/>
    <w:rsid w:val="00AF6CA6"/>
    <w:rsid w:val="00AF6CBB"/>
    <w:rsid w:val="00AF6DEC"/>
    <w:rsid w:val="00AF6EB6"/>
    <w:rsid w:val="00AF7796"/>
    <w:rsid w:val="00AF7E8F"/>
    <w:rsid w:val="00AF7EA3"/>
    <w:rsid w:val="00B011A9"/>
    <w:rsid w:val="00B01BAF"/>
    <w:rsid w:val="00B024ED"/>
    <w:rsid w:val="00B026B8"/>
    <w:rsid w:val="00B02EB3"/>
    <w:rsid w:val="00B02F7C"/>
    <w:rsid w:val="00B02FCB"/>
    <w:rsid w:val="00B033F8"/>
    <w:rsid w:val="00B0343B"/>
    <w:rsid w:val="00B03C1E"/>
    <w:rsid w:val="00B03C32"/>
    <w:rsid w:val="00B04400"/>
    <w:rsid w:val="00B04835"/>
    <w:rsid w:val="00B05901"/>
    <w:rsid w:val="00B05A55"/>
    <w:rsid w:val="00B05DE1"/>
    <w:rsid w:val="00B05F6C"/>
    <w:rsid w:val="00B06530"/>
    <w:rsid w:val="00B06595"/>
    <w:rsid w:val="00B06862"/>
    <w:rsid w:val="00B076C1"/>
    <w:rsid w:val="00B1003F"/>
    <w:rsid w:val="00B10109"/>
    <w:rsid w:val="00B1085E"/>
    <w:rsid w:val="00B10FD1"/>
    <w:rsid w:val="00B112D5"/>
    <w:rsid w:val="00B11378"/>
    <w:rsid w:val="00B1189E"/>
    <w:rsid w:val="00B11CC6"/>
    <w:rsid w:val="00B1219D"/>
    <w:rsid w:val="00B12735"/>
    <w:rsid w:val="00B12F44"/>
    <w:rsid w:val="00B12FBB"/>
    <w:rsid w:val="00B1345E"/>
    <w:rsid w:val="00B13C48"/>
    <w:rsid w:val="00B13E35"/>
    <w:rsid w:val="00B13EC0"/>
    <w:rsid w:val="00B14102"/>
    <w:rsid w:val="00B147B3"/>
    <w:rsid w:val="00B1498E"/>
    <w:rsid w:val="00B14D32"/>
    <w:rsid w:val="00B1507C"/>
    <w:rsid w:val="00B1557C"/>
    <w:rsid w:val="00B155DC"/>
    <w:rsid w:val="00B15766"/>
    <w:rsid w:val="00B15E4A"/>
    <w:rsid w:val="00B1666A"/>
    <w:rsid w:val="00B167C8"/>
    <w:rsid w:val="00B1686D"/>
    <w:rsid w:val="00B16BF7"/>
    <w:rsid w:val="00B17129"/>
    <w:rsid w:val="00B1741D"/>
    <w:rsid w:val="00B17447"/>
    <w:rsid w:val="00B17719"/>
    <w:rsid w:val="00B1771D"/>
    <w:rsid w:val="00B17B91"/>
    <w:rsid w:val="00B20209"/>
    <w:rsid w:val="00B203C9"/>
    <w:rsid w:val="00B205FA"/>
    <w:rsid w:val="00B2088D"/>
    <w:rsid w:val="00B208FF"/>
    <w:rsid w:val="00B20E85"/>
    <w:rsid w:val="00B21271"/>
    <w:rsid w:val="00B22E22"/>
    <w:rsid w:val="00B22F5F"/>
    <w:rsid w:val="00B2306B"/>
    <w:rsid w:val="00B23353"/>
    <w:rsid w:val="00B237E6"/>
    <w:rsid w:val="00B23813"/>
    <w:rsid w:val="00B23FBA"/>
    <w:rsid w:val="00B23FD9"/>
    <w:rsid w:val="00B24007"/>
    <w:rsid w:val="00B24591"/>
    <w:rsid w:val="00B245D5"/>
    <w:rsid w:val="00B245EF"/>
    <w:rsid w:val="00B24C36"/>
    <w:rsid w:val="00B24D9F"/>
    <w:rsid w:val="00B24F94"/>
    <w:rsid w:val="00B25126"/>
    <w:rsid w:val="00B25703"/>
    <w:rsid w:val="00B25A52"/>
    <w:rsid w:val="00B25EAF"/>
    <w:rsid w:val="00B25FC3"/>
    <w:rsid w:val="00B2692F"/>
    <w:rsid w:val="00B27875"/>
    <w:rsid w:val="00B3008D"/>
    <w:rsid w:val="00B3039D"/>
    <w:rsid w:val="00B30884"/>
    <w:rsid w:val="00B30E11"/>
    <w:rsid w:val="00B30EAE"/>
    <w:rsid w:val="00B30EEB"/>
    <w:rsid w:val="00B31423"/>
    <w:rsid w:val="00B314B3"/>
    <w:rsid w:val="00B317AE"/>
    <w:rsid w:val="00B323E0"/>
    <w:rsid w:val="00B32D71"/>
    <w:rsid w:val="00B32DC0"/>
    <w:rsid w:val="00B32E31"/>
    <w:rsid w:val="00B32F53"/>
    <w:rsid w:val="00B3346C"/>
    <w:rsid w:val="00B3353B"/>
    <w:rsid w:val="00B335E4"/>
    <w:rsid w:val="00B33C23"/>
    <w:rsid w:val="00B345B4"/>
    <w:rsid w:val="00B348B1"/>
    <w:rsid w:val="00B34A28"/>
    <w:rsid w:val="00B35046"/>
    <w:rsid w:val="00B3529F"/>
    <w:rsid w:val="00B357F4"/>
    <w:rsid w:val="00B35B6A"/>
    <w:rsid w:val="00B3692A"/>
    <w:rsid w:val="00B36AFD"/>
    <w:rsid w:val="00B36D2B"/>
    <w:rsid w:val="00B37657"/>
    <w:rsid w:val="00B37AFD"/>
    <w:rsid w:val="00B37B07"/>
    <w:rsid w:val="00B4046F"/>
    <w:rsid w:val="00B406B3"/>
    <w:rsid w:val="00B40A36"/>
    <w:rsid w:val="00B41BCA"/>
    <w:rsid w:val="00B41D39"/>
    <w:rsid w:val="00B41E2B"/>
    <w:rsid w:val="00B422C0"/>
    <w:rsid w:val="00B426CA"/>
    <w:rsid w:val="00B426E1"/>
    <w:rsid w:val="00B434C1"/>
    <w:rsid w:val="00B43718"/>
    <w:rsid w:val="00B4387A"/>
    <w:rsid w:val="00B43A29"/>
    <w:rsid w:val="00B44746"/>
    <w:rsid w:val="00B44854"/>
    <w:rsid w:val="00B44BA5"/>
    <w:rsid w:val="00B455BD"/>
    <w:rsid w:val="00B458D0"/>
    <w:rsid w:val="00B47428"/>
    <w:rsid w:val="00B4792C"/>
    <w:rsid w:val="00B507A9"/>
    <w:rsid w:val="00B50C5B"/>
    <w:rsid w:val="00B50CAE"/>
    <w:rsid w:val="00B512AD"/>
    <w:rsid w:val="00B51680"/>
    <w:rsid w:val="00B5196C"/>
    <w:rsid w:val="00B525CB"/>
    <w:rsid w:val="00B52697"/>
    <w:rsid w:val="00B53D1A"/>
    <w:rsid w:val="00B54215"/>
    <w:rsid w:val="00B54D8F"/>
    <w:rsid w:val="00B5534B"/>
    <w:rsid w:val="00B55857"/>
    <w:rsid w:val="00B55C69"/>
    <w:rsid w:val="00B56851"/>
    <w:rsid w:val="00B56D6E"/>
    <w:rsid w:val="00B572F7"/>
    <w:rsid w:val="00B57B9D"/>
    <w:rsid w:val="00B57DAF"/>
    <w:rsid w:val="00B57E74"/>
    <w:rsid w:val="00B60094"/>
    <w:rsid w:val="00B6022C"/>
    <w:rsid w:val="00B6040C"/>
    <w:rsid w:val="00B61119"/>
    <w:rsid w:val="00B614F8"/>
    <w:rsid w:val="00B61994"/>
    <w:rsid w:val="00B61B18"/>
    <w:rsid w:val="00B61FD4"/>
    <w:rsid w:val="00B6235B"/>
    <w:rsid w:val="00B62880"/>
    <w:rsid w:val="00B62CA0"/>
    <w:rsid w:val="00B63872"/>
    <w:rsid w:val="00B63CB2"/>
    <w:rsid w:val="00B64246"/>
    <w:rsid w:val="00B64EDB"/>
    <w:rsid w:val="00B65938"/>
    <w:rsid w:val="00B65C8A"/>
    <w:rsid w:val="00B65CE2"/>
    <w:rsid w:val="00B660AD"/>
    <w:rsid w:val="00B66109"/>
    <w:rsid w:val="00B66349"/>
    <w:rsid w:val="00B66515"/>
    <w:rsid w:val="00B669B3"/>
    <w:rsid w:val="00B67BE7"/>
    <w:rsid w:val="00B67FBF"/>
    <w:rsid w:val="00B70090"/>
    <w:rsid w:val="00B70832"/>
    <w:rsid w:val="00B71376"/>
    <w:rsid w:val="00B716D7"/>
    <w:rsid w:val="00B72110"/>
    <w:rsid w:val="00B72419"/>
    <w:rsid w:val="00B72B91"/>
    <w:rsid w:val="00B73019"/>
    <w:rsid w:val="00B7315F"/>
    <w:rsid w:val="00B7323A"/>
    <w:rsid w:val="00B7353B"/>
    <w:rsid w:val="00B737FB"/>
    <w:rsid w:val="00B73E5D"/>
    <w:rsid w:val="00B73EF3"/>
    <w:rsid w:val="00B7423D"/>
    <w:rsid w:val="00B74366"/>
    <w:rsid w:val="00B74409"/>
    <w:rsid w:val="00B744EF"/>
    <w:rsid w:val="00B74D05"/>
    <w:rsid w:val="00B74EF8"/>
    <w:rsid w:val="00B75628"/>
    <w:rsid w:val="00B75893"/>
    <w:rsid w:val="00B763F4"/>
    <w:rsid w:val="00B76E53"/>
    <w:rsid w:val="00B771F4"/>
    <w:rsid w:val="00B77271"/>
    <w:rsid w:val="00B7762A"/>
    <w:rsid w:val="00B777FA"/>
    <w:rsid w:val="00B77850"/>
    <w:rsid w:val="00B7796B"/>
    <w:rsid w:val="00B80C72"/>
    <w:rsid w:val="00B80F98"/>
    <w:rsid w:val="00B8101E"/>
    <w:rsid w:val="00B81964"/>
    <w:rsid w:val="00B81E6F"/>
    <w:rsid w:val="00B82123"/>
    <w:rsid w:val="00B8225B"/>
    <w:rsid w:val="00B82BB5"/>
    <w:rsid w:val="00B83182"/>
    <w:rsid w:val="00B837C8"/>
    <w:rsid w:val="00B839F0"/>
    <w:rsid w:val="00B851E4"/>
    <w:rsid w:val="00B8535C"/>
    <w:rsid w:val="00B854CE"/>
    <w:rsid w:val="00B85681"/>
    <w:rsid w:val="00B857EB"/>
    <w:rsid w:val="00B858AD"/>
    <w:rsid w:val="00B86162"/>
    <w:rsid w:val="00B86877"/>
    <w:rsid w:val="00B8695D"/>
    <w:rsid w:val="00B86C04"/>
    <w:rsid w:val="00B86E66"/>
    <w:rsid w:val="00B873BA"/>
    <w:rsid w:val="00B8746F"/>
    <w:rsid w:val="00B8760D"/>
    <w:rsid w:val="00B87706"/>
    <w:rsid w:val="00B90A49"/>
    <w:rsid w:val="00B90A73"/>
    <w:rsid w:val="00B91B8E"/>
    <w:rsid w:val="00B92531"/>
    <w:rsid w:val="00B92618"/>
    <w:rsid w:val="00B92751"/>
    <w:rsid w:val="00B92B69"/>
    <w:rsid w:val="00B92CC6"/>
    <w:rsid w:val="00B935C9"/>
    <w:rsid w:val="00B93E3D"/>
    <w:rsid w:val="00B94017"/>
    <w:rsid w:val="00B94498"/>
    <w:rsid w:val="00B94BD3"/>
    <w:rsid w:val="00B94C02"/>
    <w:rsid w:val="00B95464"/>
    <w:rsid w:val="00B955CE"/>
    <w:rsid w:val="00B95C30"/>
    <w:rsid w:val="00B95E3D"/>
    <w:rsid w:val="00B9691F"/>
    <w:rsid w:val="00B96EEC"/>
    <w:rsid w:val="00B97392"/>
    <w:rsid w:val="00B976C7"/>
    <w:rsid w:val="00B97A73"/>
    <w:rsid w:val="00BA087B"/>
    <w:rsid w:val="00BA0A51"/>
    <w:rsid w:val="00BA0C54"/>
    <w:rsid w:val="00BA1382"/>
    <w:rsid w:val="00BA15E3"/>
    <w:rsid w:val="00BA1A8C"/>
    <w:rsid w:val="00BA1D07"/>
    <w:rsid w:val="00BA20B6"/>
    <w:rsid w:val="00BA20D8"/>
    <w:rsid w:val="00BA22FC"/>
    <w:rsid w:val="00BA2C2A"/>
    <w:rsid w:val="00BA2F30"/>
    <w:rsid w:val="00BA3982"/>
    <w:rsid w:val="00BA405F"/>
    <w:rsid w:val="00BA4771"/>
    <w:rsid w:val="00BA482B"/>
    <w:rsid w:val="00BA5027"/>
    <w:rsid w:val="00BA543F"/>
    <w:rsid w:val="00BA5589"/>
    <w:rsid w:val="00BA55E0"/>
    <w:rsid w:val="00BA5D36"/>
    <w:rsid w:val="00BA665B"/>
    <w:rsid w:val="00BA6FE8"/>
    <w:rsid w:val="00BA732D"/>
    <w:rsid w:val="00BA7370"/>
    <w:rsid w:val="00BA778B"/>
    <w:rsid w:val="00BB0156"/>
    <w:rsid w:val="00BB0888"/>
    <w:rsid w:val="00BB0DF1"/>
    <w:rsid w:val="00BB0E49"/>
    <w:rsid w:val="00BB0E9B"/>
    <w:rsid w:val="00BB12EA"/>
    <w:rsid w:val="00BB1DCA"/>
    <w:rsid w:val="00BB2236"/>
    <w:rsid w:val="00BB2841"/>
    <w:rsid w:val="00BB2FC4"/>
    <w:rsid w:val="00BB300F"/>
    <w:rsid w:val="00BB32C9"/>
    <w:rsid w:val="00BB35C5"/>
    <w:rsid w:val="00BB3F26"/>
    <w:rsid w:val="00BB401E"/>
    <w:rsid w:val="00BB4048"/>
    <w:rsid w:val="00BB4C8E"/>
    <w:rsid w:val="00BB5324"/>
    <w:rsid w:val="00BB57ED"/>
    <w:rsid w:val="00BB5A2D"/>
    <w:rsid w:val="00BB606C"/>
    <w:rsid w:val="00BB65C3"/>
    <w:rsid w:val="00BB662E"/>
    <w:rsid w:val="00BB67A9"/>
    <w:rsid w:val="00BB6C01"/>
    <w:rsid w:val="00BB7942"/>
    <w:rsid w:val="00BB7B13"/>
    <w:rsid w:val="00BB7CD1"/>
    <w:rsid w:val="00BC0F33"/>
    <w:rsid w:val="00BC14A7"/>
    <w:rsid w:val="00BC17CC"/>
    <w:rsid w:val="00BC209F"/>
    <w:rsid w:val="00BC244D"/>
    <w:rsid w:val="00BC24AD"/>
    <w:rsid w:val="00BC2898"/>
    <w:rsid w:val="00BC2928"/>
    <w:rsid w:val="00BC29BD"/>
    <w:rsid w:val="00BC2BB1"/>
    <w:rsid w:val="00BC2BC5"/>
    <w:rsid w:val="00BC30B3"/>
    <w:rsid w:val="00BC34A3"/>
    <w:rsid w:val="00BC3DD4"/>
    <w:rsid w:val="00BC3FF9"/>
    <w:rsid w:val="00BC4834"/>
    <w:rsid w:val="00BC4A97"/>
    <w:rsid w:val="00BC5A25"/>
    <w:rsid w:val="00BC5A3F"/>
    <w:rsid w:val="00BC5FDD"/>
    <w:rsid w:val="00BC68B4"/>
    <w:rsid w:val="00BC71AD"/>
    <w:rsid w:val="00BC7277"/>
    <w:rsid w:val="00BD0140"/>
    <w:rsid w:val="00BD02CC"/>
    <w:rsid w:val="00BD088E"/>
    <w:rsid w:val="00BD0A08"/>
    <w:rsid w:val="00BD0F18"/>
    <w:rsid w:val="00BD182E"/>
    <w:rsid w:val="00BD2063"/>
    <w:rsid w:val="00BD2640"/>
    <w:rsid w:val="00BD2950"/>
    <w:rsid w:val="00BD2C4A"/>
    <w:rsid w:val="00BD337A"/>
    <w:rsid w:val="00BD33D9"/>
    <w:rsid w:val="00BD38C5"/>
    <w:rsid w:val="00BD3A6D"/>
    <w:rsid w:val="00BD3AF1"/>
    <w:rsid w:val="00BD3DEA"/>
    <w:rsid w:val="00BD3E97"/>
    <w:rsid w:val="00BD3EC3"/>
    <w:rsid w:val="00BD40E4"/>
    <w:rsid w:val="00BD52FE"/>
    <w:rsid w:val="00BD62CF"/>
    <w:rsid w:val="00BD67B2"/>
    <w:rsid w:val="00BD68E2"/>
    <w:rsid w:val="00BD6D41"/>
    <w:rsid w:val="00BD76E5"/>
    <w:rsid w:val="00BD78FE"/>
    <w:rsid w:val="00BE0149"/>
    <w:rsid w:val="00BE0767"/>
    <w:rsid w:val="00BE07A6"/>
    <w:rsid w:val="00BE0CDF"/>
    <w:rsid w:val="00BE0F24"/>
    <w:rsid w:val="00BE12D7"/>
    <w:rsid w:val="00BE1372"/>
    <w:rsid w:val="00BE1775"/>
    <w:rsid w:val="00BE18DA"/>
    <w:rsid w:val="00BE2156"/>
    <w:rsid w:val="00BE2661"/>
    <w:rsid w:val="00BE26C0"/>
    <w:rsid w:val="00BE3442"/>
    <w:rsid w:val="00BE3700"/>
    <w:rsid w:val="00BE37CD"/>
    <w:rsid w:val="00BE47B2"/>
    <w:rsid w:val="00BE4881"/>
    <w:rsid w:val="00BE48C7"/>
    <w:rsid w:val="00BE4F66"/>
    <w:rsid w:val="00BE4FBF"/>
    <w:rsid w:val="00BE5238"/>
    <w:rsid w:val="00BE5487"/>
    <w:rsid w:val="00BE5742"/>
    <w:rsid w:val="00BE6074"/>
    <w:rsid w:val="00BE68E2"/>
    <w:rsid w:val="00BE6D73"/>
    <w:rsid w:val="00BE7257"/>
    <w:rsid w:val="00BE7CE9"/>
    <w:rsid w:val="00BF020D"/>
    <w:rsid w:val="00BF0532"/>
    <w:rsid w:val="00BF0609"/>
    <w:rsid w:val="00BF0B32"/>
    <w:rsid w:val="00BF0EE8"/>
    <w:rsid w:val="00BF10ED"/>
    <w:rsid w:val="00BF1DD2"/>
    <w:rsid w:val="00BF23A3"/>
    <w:rsid w:val="00BF2A7E"/>
    <w:rsid w:val="00BF3331"/>
    <w:rsid w:val="00BF3A45"/>
    <w:rsid w:val="00BF4154"/>
    <w:rsid w:val="00BF436F"/>
    <w:rsid w:val="00BF4C4A"/>
    <w:rsid w:val="00BF5C05"/>
    <w:rsid w:val="00BF65E3"/>
    <w:rsid w:val="00BF6990"/>
    <w:rsid w:val="00BF6A12"/>
    <w:rsid w:val="00BF6FC6"/>
    <w:rsid w:val="00BF775D"/>
    <w:rsid w:val="00BF7C52"/>
    <w:rsid w:val="00BF7F3A"/>
    <w:rsid w:val="00BF7F99"/>
    <w:rsid w:val="00C00713"/>
    <w:rsid w:val="00C009A0"/>
    <w:rsid w:val="00C01F74"/>
    <w:rsid w:val="00C020C1"/>
    <w:rsid w:val="00C02558"/>
    <w:rsid w:val="00C025CC"/>
    <w:rsid w:val="00C025FE"/>
    <w:rsid w:val="00C0285F"/>
    <w:rsid w:val="00C028F5"/>
    <w:rsid w:val="00C02F35"/>
    <w:rsid w:val="00C03305"/>
    <w:rsid w:val="00C03515"/>
    <w:rsid w:val="00C03738"/>
    <w:rsid w:val="00C037A6"/>
    <w:rsid w:val="00C03910"/>
    <w:rsid w:val="00C04221"/>
    <w:rsid w:val="00C043F5"/>
    <w:rsid w:val="00C044E3"/>
    <w:rsid w:val="00C04607"/>
    <w:rsid w:val="00C04BDB"/>
    <w:rsid w:val="00C04F1B"/>
    <w:rsid w:val="00C052C6"/>
    <w:rsid w:val="00C05A61"/>
    <w:rsid w:val="00C05FBA"/>
    <w:rsid w:val="00C05FEE"/>
    <w:rsid w:val="00C065A4"/>
    <w:rsid w:val="00C066B4"/>
    <w:rsid w:val="00C06CCF"/>
    <w:rsid w:val="00C0794D"/>
    <w:rsid w:val="00C10E78"/>
    <w:rsid w:val="00C113D8"/>
    <w:rsid w:val="00C1159D"/>
    <w:rsid w:val="00C1233E"/>
    <w:rsid w:val="00C1276C"/>
    <w:rsid w:val="00C12FB3"/>
    <w:rsid w:val="00C138BC"/>
    <w:rsid w:val="00C13D85"/>
    <w:rsid w:val="00C144E4"/>
    <w:rsid w:val="00C14575"/>
    <w:rsid w:val="00C14639"/>
    <w:rsid w:val="00C14E82"/>
    <w:rsid w:val="00C14F61"/>
    <w:rsid w:val="00C14FF6"/>
    <w:rsid w:val="00C156B5"/>
    <w:rsid w:val="00C15A85"/>
    <w:rsid w:val="00C1637C"/>
    <w:rsid w:val="00C1641B"/>
    <w:rsid w:val="00C165FC"/>
    <w:rsid w:val="00C167F7"/>
    <w:rsid w:val="00C16DCE"/>
    <w:rsid w:val="00C176D5"/>
    <w:rsid w:val="00C17D24"/>
    <w:rsid w:val="00C205EF"/>
    <w:rsid w:val="00C2082C"/>
    <w:rsid w:val="00C20EB0"/>
    <w:rsid w:val="00C21004"/>
    <w:rsid w:val="00C21005"/>
    <w:rsid w:val="00C2186B"/>
    <w:rsid w:val="00C218DF"/>
    <w:rsid w:val="00C21F0C"/>
    <w:rsid w:val="00C220B6"/>
    <w:rsid w:val="00C22D7C"/>
    <w:rsid w:val="00C22DDE"/>
    <w:rsid w:val="00C2338B"/>
    <w:rsid w:val="00C233CE"/>
    <w:rsid w:val="00C237DD"/>
    <w:rsid w:val="00C238F4"/>
    <w:rsid w:val="00C2393A"/>
    <w:rsid w:val="00C23A99"/>
    <w:rsid w:val="00C23AB5"/>
    <w:rsid w:val="00C245EE"/>
    <w:rsid w:val="00C24AE1"/>
    <w:rsid w:val="00C24B8D"/>
    <w:rsid w:val="00C24BD7"/>
    <w:rsid w:val="00C24F7A"/>
    <w:rsid w:val="00C25813"/>
    <w:rsid w:val="00C26C71"/>
    <w:rsid w:val="00C27143"/>
    <w:rsid w:val="00C27490"/>
    <w:rsid w:val="00C27D37"/>
    <w:rsid w:val="00C309E8"/>
    <w:rsid w:val="00C309FE"/>
    <w:rsid w:val="00C30C6E"/>
    <w:rsid w:val="00C32017"/>
    <w:rsid w:val="00C32571"/>
    <w:rsid w:val="00C325CD"/>
    <w:rsid w:val="00C32A60"/>
    <w:rsid w:val="00C3322E"/>
    <w:rsid w:val="00C337F5"/>
    <w:rsid w:val="00C3383E"/>
    <w:rsid w:val="00C33B90"/>
    <w:rsid w:val="00C34161"/>
    <w:rsid w:val="00C34B5F"/>
    <w:rsid w:val="00C358D4"/>
    <w:rsid w:val="00C35EBE"/>
    <w:rsid w:val="00C365C6"/>
    <w:rsid w:val="00C366F4"/>
    <w:rsid w:val="00C36785"/>
    <w:rsid w:val="00C3711C"/>
    <w:rsid w:val="00C37256"/>
    <w:rsid w:val="00C37A7B"/>
    <w:rsid w:val="00C37BD9"/>
    <w:rsid w:val="00C37DC1"/>
    <w:rsid w:val="00C37FFE"/>
    <w:rsid w:val="00C40217"/>
    <w:rsid w:val="00C403CD"/>
    <w:rsid w:val="00C40B50"/>
    <w:rsid w:val="00C419E3"/>
    <w:rsid w:val="00C419F4"/>
    <w:rsid w:val="00C41E6A"/>
    <w:rsid w:val="00C42247"/>
    <w:rsid w:val="00C428E7"/>
    <w:rsid w:val="00C42C9A"/>
    <w:rsid w:val="00C4317B"/>
    <w:rsid w:val="00C4330B"/>
    <w:rsid w:val="00C438A2"/>
    <w:rsid w:val="00C439BE"/>
    <w:rsid w:val="00C43E53"/>
    <w:rsid w:val="00C451B2"/>
    <w:rsid w:val="00C4539B"/>
    <w:rsid w:val="00C45466"/>
    <w:rsid w:val="00C455C1"/>
    <w:rsid w:val="00C4581D"/>
    <w:rsid w:val="00C47472"/>
    <w:rsid w:val="00C47F18"/>
    <w:rsid w:val="00C500F0"/>
    <w:rsid w:val="00C504A7"/>
    <w:rsid w:val="00C506C9"/>
    <w:rsid w:val="00C50A16"/>
    <w:rsid w:val="00C51C4F"/>
    <w:rsid w:val="00C51C9A"/>
    <w:rsid w:val="00C52C68"/>
    <w:rsid w:val="00C52D98"/>
    <w:rsid w:val="00C52DA1"/>
    <w:rsid w:val="00C53D24"/>
    <w:rsid w:val="00C53ED1"/>
    <w:rsid w:val="00C54640"/>
    <w:rsid w:val="00C547A6"/>
    <w:rsid w:val="00C54A3A"/>
    <w:rsid w:val="00C54AF8"/>
    <w:rsid w:val="00C55C32"/>
    <w:rsid w:val="00C56A67"/>
    <w:rsid w:val="00C56CC2"/>
    <w:rsid w:val="00C56D0B"/>
    <w:rsid w:val="00C56D8D"/>
    <w:rsid w:val="00C57498"/>
    <w:rsid w:val="00C5763C"/>
    <w:rsid w:val="00C5780C"/>
    <w:rsid w:val="00C5796B"/>
    <w:rsid w:val="00C57C64"/>
    <w:rsid w:val="00C6031F"/>
    <w:rsid w:val="00C60C9F"/>
    <w:rsid w:val="00C612C4"/>
    <w:rsid w:val="00C61863"/>
    <w:rsid w:val="00C619A1"/>
    <w:rsid w:val="00C62370"/>
    <w:rsid w:val="00C62BBB"/>
    <w:rsid w:val="00C6305F"/>
    <w:rsid w:val="00C6325B"/>
    <w:rsid w:val="00C63DDD"/>
    <w:rsid w:val="00C63E99"/>
    <w:rsid w:val="00C649B8"/>
    <w:rsid w:val="00C64A64"/>
    <w:rsid w:val="00C65151"/>
    <w:rsid w:val="00C657F4"/>
    <w:rsid w:val="00C6598D"/>
    <w:rsid w:val="00C660FE"/>
    <w:rsid w:val="00C66119"/>
    <w:rsid w:val="00C66292"/>
    <w:rsid w:val="00C672A3"/>
    <w:rsid w:val="00C672F1"/>
    <w:rsid w:val="00C673D0"/>
    <w:rsid w:val="00C6742E"/>
    <w:rsid w:val="00C67B0B"/>
    <w:rsid w:val="00C67C0E"/>
    <w:rsid w:val="00C70012"/>
    <w:rsid w:val="00C71304"/>
    <w:rsid w:val="00C71E2A"/>
    <w:rsid w:val="00C7238B"/>
    <w:rsid w:val="00C7248D"/>
    <w:rsid w:val="00C733BA"/>
    <w:rsid w:val="00C7356F"/>
    <w:rsid w:val="00C73AC2"/>
    <w:rsid w:val="00C741CF"/>
    <w:rsid w:val="00C742F6"/>
    <w:rsid w:val="00C7541F"/>
    <w:rsid w:val="00C760DC"/>
    <w:rsid w:val="00C771A5"/>
    <w:rsid w:val="00C772E8"/>
    <w:rsid w:val="00C77777"/>
    <w:rsid w:val="00C77D00"/>
    <w:rsid w:val="00C77E99"/>
    <w:rsid w:val="00C8082B"/>
    <w:rsid w:val="00C80C6B"/>
    <w:rsid w:val="00C81A88"/>
    <w:rsid w:val="00C81D46"/>
    <w:rsid w:val="00C82298"/>
    <w:rsid w:val="00C82DC7"/>
    <w:rsid w:val="00C8331F"/>
    <w:rsid w:val="00C833B4"/>
    <w:rsid w:val="00C84284"/>
    <w:rsid w:val="00C84E33"/>
    <w:rsid w:val="00C85528"/>
    <w:rsid w:val="00C85FFC"/>
    <w:rsid w:val="00C861FC"/>
    <w:rsid w:val="00C86C87"/>
    <w:rsid w:val="00C9005E"/>
    <w:rsid w:val="00C90111"/>
    <w:rsid w:val="00C9038E"/>
    <w:rsid w:val="00C9077B"/>
    <w:rsid w:val="00C90AA7"/>
    <w:rsid w:val="00C90CA9"/>
    <w:rsid w:val="00C90F88"/>
    <w:rsid w:val="00C915F2"/>
    <w:rsid w:val="00C917B1"/>
    <w:rsid w:val="00C9193C"/>
    <w:rsid w:val="00C91B77"/>
    <w:rsid w:val="00C920E2"/>
    <w:rsid w:val="00C923F6"/>
    <w:rsid w:val="00C92568"/>
    <w:rsid w:val="00C9370F"/>
    <w:rsid w:val="00C93765"/>
    <w:rsid w:val="00C93877"/>
    <w:rsid w:val="00C93D8C"/>
    <w:rsid w:val="00C93E07"/>
    <w:rsid w:val="00C94065"/>
    <w:rsid w:val="00C946CC"/>
    <w:rsid w:val="00C959BD"/>
    <w:rsid w:val="00C95DFE"/>
    <w:rsid w:val="00C95F44"/>
    <w:rsid w:val="00C96331"/>
    <w:rsid w:val="00C96D1B"/>
    <w:rsid w:val="00C97106"/>
    <w:rsid w:val="00C978D4"/>
    <w:rsid w:val="00C97FB2"/>
    <w:rsid w:val="00CA0031"/>
    <w:rsid w:val="00CA0413"/>
    <w:rsid w:val="00CA043A"/>
    <w:rsid w:val="00CA0E51"/>
    <w:rsid w:val="00CA137B"/>
    <w:rsid w:val="00CA1691"/>
    <w:rsid w:val="00CA41E7"/>
    <w:rsid w:val="00CA424D"/>
    <w:rsid w:val="00CA4A99"/>
    <w:rsid w:val="00CA4CCC"/>
    <w:rsid w:val="00CA5520"/>
    <w:rsid w:val="00CA5812"/>
    <w:rsid w:val="00CA5984"/>
    <w:rsid w:val="00CA5BD4"/>
    <w:rsid w:val="00CA5C14"/>
    <w:rsid w:val="00CA7019"/>
    <w:rsid w:val="00CA7230"/>
    <w:rsid w:val="00CA76FC"/>
    <w:rsid w:val="00CA7E7B"/>
    <w:rsid w:val="00CB0236"/>
    <w:rsid w:val="00CB0CB1"/>
    <w:rsid w:val="00CB137C"/>
    <w:rsid w:val="00CB1881"/>
    <w:rsid w:val="00CB1969"/>
    <w:rsid w:val="00CB19E3"/>
    <w:rsid w:val="00CB2C3A"/>
    <w:rsid w:val="00CB2D38"/>
    <w:rsid w:val="00CB2F5E"/>
    <w:rsid w:val="00CB3C5E"/>
    <w:rsid w:val="00CB4137"/>
    <w:rsid w:val="00CB50D0"/>
    <w:rsid w:val="00CB52D0"/>
    <w:rsid w:val="00CB5578"/>
    <w:rsid w:val="00CB5671"/>
    <w:rsid w:val="00CB591C"/>
    <w:rsid w:val="00CB5943"/>
    <w:rsid w:val="00CB61B3"/>
    <w:rsid w:val="00CB6801"/>
    <w:rsid w:val="00CB6F83"/>
    <w:rsid w:val="00CB72AE"/>
    <w:rsid w:val="00CB7AC0"/>
    <w:rsid w:val="00CB7B53"/>
    <w:rsid w:val="00CC00CD"/>
    <w:rsid w:val="00CC0579"/>
    <w:rsid w:val="00CC0AF3"/>
    <w:rsid w:val="00CC0BC6"/>
    <w:rsid w:val="00CC0E68"/>
    <w:rsid w:val="00CC1780"/>
    <w:rsid w:val="00CC194E"/>
    <w:rsid w:val="00CC21AC"/>
    <w:rsid w:val="00CC232E"/>
    <w:rsid w:val="00CC2514"/>
    <w:rsid w:val="00CC2D34"/>
    <w:rsid w:val="00CC2F69"/>
    <w:rsid w:val="00CC315F"/>
    <w:rsid w:val="00CC3D38"/>
    <w:rsid w:val="00CC3F2F"/>
    <w:rsid w:val="00CC3FC8"/>
    <w:rsid w:val="00CC40C3"/>
    <w:rsid w:val="00CC45A5"/>
    <w:rsid w:val="00CC4AA0"/>
    <w:rsid w:val="00CC4CB4"/>
    <w:rsid w:val="00CC4E5D"/>
    <w:rsid w:val="00CC4EF4"/>
    <w:rsid w:val="00CC50AE"/>
    <w:rsid w:val="00CC5FFE"/>
    <w:rsid w:val="00CC61B7"/>
    <w:rsid w:val="00CC61CA"/>
    <w:rsid w:val="00CC69EC"/>
    <w:rsid w:val="00CC71D3"/>
    <w:rsid w:val="00CC743D"/>
    <w:rsid w:val="00CC7597"/>
    <w:rsid w:val="00CD02ED"/>
    <w:rsid w:val="00CD050A"/>
    <w:rsid w:val="00CD1017"/>
    <w:rsid w:val="00CD205D"/>
    <w:rsid w:val="00CD2A22"/>
    <w:rsid w:val="00CD2B50"/>
    <w:rsid w:val="00CD3172"/>
    <w:rsid w:val="00CD3913"/>
    <w:rsid w:val="00CD4506"/>
    <w:rsid w:val="00CD520B"/>
    <w:rsid w:val="00CD592E"/>
    <w:rsid w:val="00CD5982"/>
    <w:rsid w:val="00CD5A1A"/>
    <w:rsid w:val="00CD614A"/>
    <w:rsid w:val="00CD64A3"/>
    <w:rsid w:val="00CD710A"/>
    <w:rsid w:val="00CD7B8B"/>
    <w:rsid w:val="00CD7EFA"/>
    <w:rsid w:val="00CE020E"/>
    <w:rsid w:val="00CE0566"/>
    <w:rsid w:val="00CE1215"/>
    <w:rsid w:val="00CE1641"/>
    <w:rsid w:val="00CE1CD4"/>
    <w:rsid w:val="00CE2761"/>
    <w:rsid w:val="00CE28FC"/>
    <w:rsid w:val="00CE314E"/>
    <w:rsid w:val="00CE3A85"/>
    <w:rsid w:val="00CE3D5C"/>
    <w:rsid w:val="00CE3E09"/>
    <w:rsid w:val="00CE3E14"/>
    <w:rsid w:val="00CE44C7"/>
    <w:rsid w:val="00CE48E7"/>
    <w:rsid w:val="00CE53CC"/>
    <w:rsid w:val="00CE5F60"/>
    <w:rsid w:val="00CE65A7"/>
    <w:rsid w:val="00CE68FE"/>
    <w:rsid w:val="00CE69CC"/>
    <w:rsid w:val="00CE6EC4"/>
    <w:rsid w:val="00CE7F26"/>
    <w:rsid w:val="00CF04EE"/>
    <w:rsid w:val="00CF1226"/>
    <w:rsid w:val="00CF1ABB"/>
    <w:rsid w:val="00CF1AE3"/>
    <w:rsid w:val="00CF1E1D"/>
    <w:rsid w:val="00CF24FE"/>
    <w:rsid w:val="00CF287F"/>
    <w:rsid w:val="00CF35D0"/>
    <w:rsid w:val="00CF3B57"/>
    <w:rsid w:val="00CF3DD5"/>
    <w:rsid w:val="00CF43E7"/>
    <w:rsid w:val="00CF4AF7"/>
    <w:rsid w:val="00CF4D20"/>
    <w:rsid w:val="00CF73F8"/>
    <w:rsid w:val="00CF7928"/>
    <w:rsid w:val="00CF7CA2"/>
    <w:rsid w:val="00D00911"/>
    <w:rsid w:val="00D00A8E"/>
    <w:rsid w:val="00D00DE0"/>
    <w:rsid w:val="00D00F79"/>
    <w:rsid w:val="00D012BF"/>
    <w:rsid w:val="00D01760"/>
    <w:rsid w:val="00D01838"/>
    <w:rsid w:val="00D01A26"/>
    <w:rsid w:val="00D0368E"/>
    <w:rsid w:val="00D03AC3"/>
    <w:rsid w:val="00D03D2D"/>
    <w:rsid w:val="00D03E7B"/>
    <w:rsid w:val="00D0401A"/>
    <w:rsid w:val="00D047E0"/>
    <w:rsid w:val="00D04B9F"/>
    <w:rsid w:val="00D04D43"/>
    <w:rsid w:val="00D04FFB"/>
    <w:rsid w:val="00D055FE"/>
    <w:rsid w:val="00D058E9"/>
    <w:rsid w:val="00D0612A"/>
    <w:rsid w:val="00D1060D"/>
    <w:rsid w:val="00D10D14"/>
    <w:rsid w:val="00D10E7C"/>
    <w:rsid w:val="00D11182"/>
    <w:rsid w:val="00D1137B"/>
    <w:rsid w:val="00D11508"/>
    <w:rsid w:val="00D11687"/>
    <w:rsid w:val="00D11807"/>
    <w:rsid w:val="00D11DB3"/>
    <w:rsid w:val="00D12081"/>
    <w:rsid w:val="00D12D82"/>
    <w:rsid w:val="00D12F77"/>
    <w:rsid w:val="00D1306E"/>
    <w:rsid w:val="00D130B7"/>
    <w:rsid w:val="00D134CD"/>
    <w:rsid w:val="00D1401E"/>
    <w:rsid w:val="00D1485D"/>
    <w:rsid w:val="00D14B5F"/>
    <w:rsid w:val="00D14E13"/>
    <w:rsid w:val="00D14E26"/>
    <w:rsid w:val="00D14F23"/>
    <w:rsid w:val="00D15727"/>
    <w:rsid w:val="00D15DDD"/>
    <w:rsid w:val="00D160F6"/>
    <w:rsid w:val="00D165EE"/>
    <w:rsid w:val="00D16740"/>
    <w:rsid w:val="00D16A8B"/>
    <w:rsid w:val="00D16E39"/>
    <w:rsid w:val="00D171DE"/>
    <w:rsid w:val="00D172A4"/>
    <w:rsid w:val="00D175B2"/>
    <w:rsid w:val="00D17951"/>
    <w:rsid w:val="00D17AD8"/>
    <w:rsid w:val="00D2104A"/>
    <w:rsid w:val="00D21A58"/>
    <w:rsid w:val="00D21BB5"/>
    <w:rsid w:val="00D21DB2"/>
    <w:rsid w:val="00D21FFC"/>
    <w:rsid w:val="00D223B6"/>
    <w:rsid w:val="00D223E8"/>
    <w:rsid w:val="00D224E1"/>
    <w:rsid w:val="00D22B0F"/>
    <w:rsid w:val="00D22BDD"/>
    <w:rsid w:val="00D22DC8"/>
    <w:rsid w:val="00D23BF6"/>
    <w:rsid w:val="00D2477B"/>
    <w:rsid w:val="00D2522A"/>
    <w:rsid w:val="00D2531C"/>
    <w:rsid w:val="00D25428"/>
    <w:rsid w:val="00D25514"/>
    <w:rsid w:val="00D2553E"/>
    <w:rsid w:val="00D2587F"/>
    <w:rsid w:val="00D26DE7"/>
    <w:rsid w:val="00D2742F"/>
    <w:rsid w:val="00D2754F"/>
    <w:rsid w:val="00D277C5"/>
    <w:rsid w:val="00D279D9"/>
    <w:rsid w:val="00D30041"/>
    <w:rsid w:val="00D30FEA"/>
    <w:rsid w:val="00D312DC"/>
    <w:rsid w:val="00D31566"/>
    <w:rsid w:val="00D31B84"/>
    <w:rsid w:val="00D31C6A"/>
    <w:rsid w:val="00D31EDF"/>
    <w:rsid w:val="00D31FF9"/>
    <w:rsid w:val="00D32149"/>
    <w:rsid w:val="00D32256"/>
    <w:rsid w:val="00D32A27"/>
    <w:rsid w:val="00D32ABC"/>
    <w:rsid w:val="00D33BAF"/>
    <w:rsid w:val="00D33FA4"/>
    <w:rsid w:val="00D34B25"/>
    <w:rsid w:val="00D34C7F"/>
    <w:rsid w:val="00D34F4E"/>
    <w:rsid w:val="00D357F3"/>
    <w:rsid w:val="00D35C0E"/>
    <w:rsid w:val="00D36FBF"/>
    <w:rsid w:val="00D373A8"/>
    <w:rsid w:val="00D379A5"/>
    <w:rsid w:val="00D37BB3"/>
    <w:rsid w:val="00D37EAD"/>
    <w:rsid w:val="00D401BE"/>
    <w:rsid w:val="00D4043A"/>
    <w:rsid w:val="00D40DB0"/>
    <w:rsid w:val="00D41093"/>
    <w:rsid w:val="00D41858"/>
    <w:rsid w:val="00D41EEB"/>
    <w:rsid w:val="00D422DB"/>
    <w:rsid w:val="00D42AC2"/>
    <w:rsid w:val="00D43F60"/>
    <w:rsid w:val="00D4498E"/>
    <w:rsid w:val="00D4515F"/>
    <w:rsid w:val="00D451E8"/>
    <w:rsid w:val="00D45DA5"/>
    <w:rsid w:val="00D466C9"/>
    <w:rsid w:val="00D47275"/>
    <w:rsid w:val="00D47ADA"/>
    <w:rsid w:val="00D500ED"/>
    <w:rsid w:val="00D5054C"/>
    <w:rsid w:val="00D50DB9"/>
    <w:rsid w:val="00D517F6"/>
    <w:rsid w:val="00D51AB7"/>
    <w:rsid w:val="00D51E15"/>
    <w:rsid w:val="00D52190"/>
    <w:rsid w:val="00D52B7E"/>
    <w:rsid w:val="00D52E2F"/>
    <w:rsid w:val="00D52F59"/>
    <w:rsid w:val="00D53445"/>
    <w:rsid w:val="00D53E3E"/>
    <w:rsid w:val="00D54620"/>
    <w:rsid w:val="00D55904"/>
    <w:rsid w:val="00D55DFF"/>
    <w:rsid w:val="00D5614E"/>
    <w:rsid w:val="00D5616F"/>
    <w:rsid w:val="00D57940"/>
    <w:rsid w:val="00D60327"/>
    <w:rsid w:val="00D61384"/>
    <w:rsid w:val="00D61526"/>
    <w:rsid w:val="00D61C39"/>
    <w:rsid w:val="00D61F81"/>
    <w:rsid w:val="00D620A6"/>
    <w:rsid w:val="00D623C0"/>
    <w:rsid w:val="00D62BE6"/>
    <w:rsid w:val="00D63359"/>
    <w:rsid w:val="00D63766"/>
    <w:rsid w:val="00D63912"/>
    <w:rsid w:val="00D63923"/>
    <w:rsid w:val="00D640F5"/>
    <w:rsid w:val="00D6451B"/>
    <w:rsid w:val="00D64B57"/>
    <w:rsid w:val="00D64FF1"/>
    <w:rsid w:val="00D651A1"/>
    <w:rsid w:val="00D65DEA"/>
    <w:rsid w:val="00D6650F"/>
    <w:rsid w:val="00D66579"/>
    <w:rsid w:val="00D66CF2"/>
    <w:rsid w:val="00D676D3"/>
    <w:rsid w:val="00D67B06"/>
    <w:rsid w:val="00D67BC7"/>
    <w:rsid w:val="00D67C3B"/>
    <w:rsid w:val="00D701F1"/>
    <w:rsid w:val="00D705D3"/>
    <w:rsid w:val="00D70E00"/>
    <w:rsid w:val="00D70F7C"/>
    <w:rsid w:val="00D715AC"/>
    <w:rsid w:val="00D71851"/>
    <w:rsid w:val="00D718CF"/>
    <w:rsid w:val="00D71B68"/>
    <w:rsid w:val="00D71E93"/>
    <w:rsid w:val="00D728F5"/>
    <w:rsid w:val="00D72E9D"/>
    <w:rsid w:val="00D73249"/>
    <w:rsid w:val="00D73419"/>
    <w:rsid w:val="00D73881"/>
    <w:rsid w:val="00D73CA9"/>
    <w:rsid w:val="00D73E45"/>
    <w:rsid w:val="00D74364"/>
    <w:rsid w:val="00D751B7"/>
    <w:rsid w:val="00D7524B"/>
    <w:rsid w:val="00D75396"/>
    <w:rsid w:val="00D755C6"/>
    <w:rsid w:val="00D75832"/>
    <w:rsid w:val="00D759C0"/>
    <w:rsid w:val="00D75E99"/>
    <w:rsid w:val="00D765CE"/>
    <w:rsid w:val="00D766C7"/>
    <w:rsid w:val="00D7692B"/>
    <w:rsid w:val="00D7734F"/>
    <w:rsid w:val="00D7791D"/>
    <w:rsid w:val="00D8039E"/>
    <w:rsid w:val="00D8044C"/>
    <w:rsid w:val="00D805D6"/>
    <w:rsid w:val="00D8075E"/>
    <w:rsid w:val="00D80860"/>
    <w:rsid w:val="00D80D4C"/>
    <w:rsid w:val="00D8184D"/>
    <w:rsid w:val="00D81A7B"/>
    <w:rsid w:val="00D81E3C"/>
    <w:rsid w:val="00D8223C"/>
    <w:rsid w:val="00D827B5"/>
    <w:rsid w:val="00D82A7D"/>
    <w:rsid w:val="00D82B57"/>
    <w:rsid w:val="00D82C77"/>
    <w:rsid w:val="00D82CE5"/>
    <w:rsid w:val="00D831E3"/>
    <w:rsid w:val="00D8342C"/>
    <w:rsid w:val="00D83D08"/>
    <w:rsid w:val="00D84983"/>
    <w:rsid w:val="00D84C00"/>
    <w:rsid w:val="00D85494"/>
    <w:rsid w:val="00D8582C"/>
    <w:rsid w:val="00D85D61"/>
    <w:rsid w:val="00D8616D"/>
    <w:rsid w:val="00D8711B"/>
    <w:rsid w:val="00D87384"/>
    <w:rsid w:val="00D9015D"/>
    <w:rsid w:val="00D90683"/>
    <w:rsid w:val="00D90B2A"/>
    <w:rsid w:val="00D91483"/>
    <w:rsid w:val="00D915C8"/>
    <w:rsid w:val="00D928ED"/>
    <w:rsid w:val="00D9310B"/>
    <w:rsid w:val="00D931F3"/>
    <w:rsid w:val="00D93726"/>
    <w:rsid w:val="00D93F3E"/>
    <w:rsid w:val="00D9405B"/>
    <w:rsid w:val="00D94942"/>
    <w:rsid w:val="00D95145"/>
    <w:rsid w:val="00D96594"/>
    <w:rsid w:val="00D967CB"/>
    <w:rsid w:val="00D968D4"/>
    <w:rsid w:val="00D96E12"/>
    <w:rsid w:val="00D96EE0"/>
    <w:rsid w:val="00D975DD"/>
    <w:rsid w:val="00D97BD1"/>
    <w:rsid w:val="00D97EF0"/>
    <w:rsid w:val="00DA00C3"/>
    <w:rsid w:val="00DA01E9"/>
    <w:rsid w:val="00DA06B8"/>
    <w:rsid w:val="00DA0C85"/>
    <w:rsid w:val="00DA14A9"/>
    <w:rsid w:val="00DA152F"/>
    <w:rsid w:val="00DA286D"/>
    <w:rsid w:val="00DA2969"/>
    <w:rsid w:val="00DA29B7"/>
    <w:rsid w:val="00DA2E5F"/>
    <w:rsid w:val="00DA337C"/>
    <w:rsid w:val="00DA36B3"/>
    <w:rsid w:val="00DA40C1"/>
    <w:rsid w:val="00DA422F"/>
    <w:rsid w:val="00DA4514"/>
    <w:rsid w:val="00DA4842"/>
    <w:rsid w:val="00DA4C97"/>
    <w:rsid w:val="00DA5989"/>
    <w:rsid w:val="00DA5AB1"/>
    <w:rsid w:val="00DA5DFE"/>
    <w:rsid w:val="00DA5F9D"/>
    <w:rsid w:val="00DA6719"/>
    <w:rsid w:val="00DA69B2"/>
    <w:rsid w:val="00DA7115"/>
    <w:rsid w:val="00DA7462"/>
    <w:rsid w:val="00DA7AD0"/>
    <w:rsid w:val="00DB02D7"/>
    <w:rsid w:val="00DB0301"/>
    <w:rsid w:val="00DB03CC"/>
    <w:rsid w:val="00DB03F3"/>
    <w:rsid w:val="00DB1142"/>
    <w:rsid w:val="00DB12D4"/>
    <w:rsid w:val="00DB14F0"/>
    <w:rsid w:val="00DB1745"/>
    <w:rsid w:val="00DB19BB"/>
    <w:rsid w:val="00DB1A00"/>
    <w:rsid w:val="00DB1AFF"/>
    <w:rsid w:val="00DB219A"/>
    <w:rsid w:val="00DB244C"/>
    <w:rsid w:val="00DB3024"/>
    <w:rsid w:val="00DB3165"/>
    <w:rsid w:val="00DB3445"/>
    <w:rsid w:val="00DB372F"/>
    <w:rsid w:val="00DB387B"/>
    <w:rsid w:val="00DB39DE"/>
    <w:rsid w:val="00DB4292"/>
    <w:rsid w:val="00DB4DF0"/>
    <w:rsid w:val="00DB5023"/>
    <w:rsid w:val="00DB6E46"/>
    <w:rsid w:val="00DB7117"/>
    <w:rsid w:val="00DB732A"/>
    <w:rsid w:val="00DB7760"/>
    <w:rsid w:val="00DB7DD4"/>
    <w:rsid w:val="00DC00B4"/>
    <w:rsid w:val="00DC0954"/>
    <w:rsid w:val="00DC0DF8"/>
    <w:rsid w:val="00DC15BA"/>
    <w:rsid w:val="00DC18CD"/>
    <w:rsid w:val="00DC1A68"/>
    <w:rsid w:val="00DC30B8"/>
    <w:rsid w:val="00DC478F"/>
    <w:rsid w:val="00DC482E"/>
    <w:rsid w:val="00DC4D92"/>
    <w:rsid w:val="00DC50AA"/>
    <w:rsid w:val="00DC61AC"/>
    <w:rsid w:val="00DC62E5"/>
    <w:rsid w:val="00DC69D2"/>
    <w:rsid w:val="00DC6D70"/>
    <w:rsid w:val="00DC6DAA"/>
    <w:rsid w:val="00DC6F33"/>
    <w:rsid w:val="00DC7349"/>
    <w:rsid w:val="00DC7389"/>
    <w:rsid w:val="00DD0EA9"/>
    <w:rsid w:val="00DD14D8"/>
    <w:rsid w:val="00DD1599"/>
    <w:rsid w:val="00DD16F1"/>
    <w:rsid w:val="00DD1B03"/>
    <w:rsid w:val="00DD1E43"/>
    <w:rsid w:val="00DD1EDF"/>
    <w:rsid w:val="00DD1FF6"/>
    <w:rsid w:val="00DD2A62"/>
    <w:rsid w:val="00DD2F2F"/>
    <w:rsid w:val="00DD2F7A"/>
    <w:rsid w:val="00DD36D2"/>
    <w:rsid w:val="00DD37C4"/>
    <w:rsid w:val="00DD3885"/>
    <w:rsid w:val="00DD5808"/>
    <w:rsid w:val="00DD5946"/>
    <w:rsid w:val="00DD5B04"/>
    <w:rsid w:val="00DD5DAE"/>
    <w:rsid w:val="00DD5EC6"/>
    <w:rsid w:val="00DD605F"/>
    <w:rsid w:val="00DD65ED"/>
    <w:rsid w:val="00DD6A79"/>
    <w:rsid w:val="00DD72A0"/>
    <w:rsid w:val="00DD735D"/>
    <w:rsid w:val="00DD756A"/>
    <w:rsid w:val="00DD7F7D"/>
    <w:rsid w:val="00DD7FBE"/>
    <w:rsid w:val="00DE0159"/>
    <w:rsid w:val="00DE064A"/>
    <w:rsid w:val="00DE082D"/>
    <w:rsid w:val="00DE1410"/>
    <w:rsid w:val="00DE20C6"/>
    <w:rsid w:val="00DE2ABA"/>
    <w:rsid w:val="00DE3119"/>
    <w:rsid w:val="00DE34EF"/>
    <w:rsid w:val="00DE3C24"/>
    <w:rsid w:val="00DE3FF0"/>
    <w:rsid w:val="00DE4105"/>
    <w:rsid w:val="00DE4BEA"/>
    <w:rsid w:val="00DE4E67"/>
    <w:rsid w:val="00DE5189"/>
    <w:rsid w:val="00DE5716"/>
    <w:rsid w:val="00DE7108"/>
    <w:rsid w:val="00DE78D1"/>
    <w:rsid w:val="00DE78FF"/>
    <w:rsid w:val="00DE7C6E"/>
    <w:rsid w:val="00DF0263"/>
    <w:rsid w:val="00DF071C"/>
    <w:rsid w:val="00DF09E3"/>
    <w:rsid w:val="00DF0EB4"/>
    <w:rsid w:val="00DF0FFD"/>
    <w:rsid w:val="00DF158B"/>
    <w:rsid w:val="00DF170E"/>
    <w:rsid w:val="00DF193C"/>
    <w:rsid w:val="00DF1E36"/>
    <w:rsid w:val="00DF236B"/>
    <w:rsid w:val="00DF24C4"/>
    <w:rsid w:val="00DF258A"/>
    <w:rsid w:val="00DF2A91"/>
    <w:rsid w:val="00DF3889"/>
    <w:rsid w:val="00DF3CC9"/>
    <w:rsid w:val="00DF41DD"/>
    <w:rsid w:val="00DF4451"/>
    <w:rsid w:val="00DF49FF"/>
    <w:rsid w:val="00DF4FFB"/>
    <w:rsid w:val="00DF5236"/>
    <w:rsid w:val="00DF651F"/>
    <w:rsid w:val="00DF6F43"/>
    <w:rsid w:val="00DF71EA"/>
    <w:rsid w:val="00DF752F"/>
    <w:rsid w:val="00DF76A2"/>
    <w:rsid w:val="00E00634"/>
    <w:rsid w:val="00E00B25"/>
    <w:rsid w:val="00E00B7A"/>
    <w:rsid w:val="00E01677"/>
    <w:rsid w:val="00E02186"/>
    <w:rsid w:val="00E025C2"/>
    <w:rsid w:val="00E026BB"/>
    <w:rsid w:val="00E027C5"/>
    <w:rsid w:val="00E03124"/>
    <w:rsid w:val="00E031C3"/>
    <w:rsid w:val="00E03951"/>
    <w:rsid w:val="00E03DB8"/>
    <w:rsid w:val="00E03F17"/>
    <w:rsid w:val="00E0420C"/>
    <w:rsid w:val="00E04D00"/>
    <w:rsid w:val="00E04EDD"/>
    <w:rsid w:val="00E04F86"/>
    <w:rsid w:val="00E05402"/>
    <w:rsid w:val="00E05E70"/>
    <w:rsid w:val="00E064BC"/>
    <w:rsid w:val="00E070C1"/>
    <w:rsid w:val="00E07225"/>
    <w:rsid w:val="00E076B4"/>
    <w:rsid w:val="00E07ADF"/>
    <w:rsid w:val="00E07B55"/>
    <w:rsid w:val="00E10579"/>
    <w:rsid w:val="00E109DD"/>
    <w:rsid w:val="00E11229"/>
    <w:rsid w:val="00E114CA"/>
    <w:rsid w:val="00E127D1"/>
    <w:rsid w:val="00E13867"/>
    <w:rsid w:val="00E1397F"/>
    <w:rsid w:val="00E13AB8"/>
    <w:rsid w:val="00E13AE1"/>
    <w:rsid w:val="00E1482E"/>
    <w:rsid w:val="00E152D7"/>
    <w:rsid w:val="00E15DE3"/>
    <w:rsid w:val="00E16382"/>
    <w:rsid w:val="00E167AF"/>
    <w:rsid w:val="00E1699C"/>
    <w:rsid w:val="00E16E75"/>
    <w:rsid w:val="00E1746D"/>
    <w:rsid w:val="00E17ABB"/>
    <w:rsid w:val="00E17CAC"/>
    <w:rsid w:val="00E2012A"/>
    <w:rsid w:val="00E205A2"/>
    <w:rsid w:val="00E20BA4"/>
    <w:rsid w:val="00E210D0"/>
    <w:rsid w:val="00E21887"/>
    <w:rsid w:val="00E21CC0"/>
    <w:rsid w:val="00E22EFD"/>
    <w:rsid w:val="00E23137"/>
    <w:rsid w:val="00E23980"/>
    <w:rsid w:val="00E23AB0"/>
    <w:rsid w:val="00E241E9"/>
    <w:rsid w:val="00E24F12"/>
    <w:rsid w:val="00E257C3"/>
    <w:rsid w:val="00E25CB3"/>
    <w:rsid w:val="00E25DA4"/>
    <w:rsid w:val="00E26237"/>
    <w:rsid w:val="00E26950"/>
    <w:rsid w:val="00E26CB8"/>
    <w:rsid w:val="00E26D16"/>
    <w:rsid w:val="00E26FCF"/>
    <w:rsid w:val="00E27165"/>
    <w:rsid w:val="00E275D9"/>
    <w:rsid w:val="00E3044A"/>
    <w:rsid w:val="00E30E49"/>
    <w:rsid w:val="00E31A4A"/>
    <w:rsid w:val="00E31FCF"/>
    <w:rsid w:val="00E3212A"/>
    <w:rsid w:val="00E32279"/>
    <w:rsid w:val="00E3344A"/>
    <w:rsid w:val="00E33B29"/>
    <w:rsid w:val="00E33B62"/>
    <w:rsid w:val="00E3403D"/>
    <w:rsid w:val="00E344BD"/>
    <w:rsid w:val="00E34548"/>
    <w:rsid w:val="00E34E6C"/>
    <w:rsid w:val="00E353E2"/>
    <w:rsid w:val="00E360D8"/>
    <w:rsid w:val="00E36345"/>
    <w:rsid w:val="00E36C86"/>
    <w:rsid w:val="00E36CEB"/>
    <w:rsid w:val="00E37158"/>
    <w:rsid w:val="00E37A28"/>
    <w:rsid w:val="00E400C7"/>
    <w:rsid w:val="00E40430"/>
    <w:rsid w:val="00E40690"/>
    <w:rsid w:val="00E40AEB"/>
    <w:rsid w:val="00E40E82"/>
    <w:rsid w:val="00E40FB8"/>
    <w:rsid w:val="00E41141"/>
    <w:rsid w:val="00E4143A"/>
    <w:rsid w:val="00E420B7"/>
    <w:rsid w:val="00E424C8"/>
    <w:rsid w:val="00E4251D"/>
    <w:rsid w:val="00E427EB"/>
    <w:rsid w:val="00E427EF"/>
    <w:rsid w:val="00E43D00"/>
    <w:rsid w:val="00E443B4"/>
    <w:rsid w:val="00E445E4"/>
    <w:rsid w:val="00E457CB"/>
    <w:rsid w:val="00E45D47"/>
    <w:rsid w:val="00E45DE4"/>
    <w:rsid w:val="00E45E63"/>
    <w:rsid w:val="00E4759C"/>
    <w:rsid w:val="00E47AAE"/>
    <w:rsid w:val="00E47EFD"/>
    <w:rsid w:val="00E50A7B"/>
    <w:rsid w:val="00E50B0B"/>
    <w:rsid w:val="00E50C57"/>
    <w:rsid w:val="00E510FE"/>
    <w:rsid w:val="00E514BA"/>
    <w:rsid w:val="00E51513"/>
    <w:rsid w:val="00E5158C"/>
    <w:rsid w:val="00E51E25"/>
    <w:rsid w:val="00E5205B"/>
    <w:rsid w:val="00E521AE"/>
    <w:rsid w:val="00E529A3"/>
    <w:rsid w:val="00E533EE"/>
    <w:rsid w:val="00E53A21"/>
    <w:rsid w:val="00E53BCA"/>
    <w:rsid w:val="00E53DE2"/>
    <w:rsid w:val="00E53F02"/>
    <w:rsid w:val="00E5428D"/>
    <w:rsid w:val="00E54534"/>
    <w:rsid w:val="00E54874"/>
    <w:rsid w:val="00E548C3"/>
    <w:rsid w:val="00E54F27"/>
    <w:rsid w:val="00E55FF1"/>
    <w:rsid w:val="00E56090"/>
    <w:rsid w:val="00E561DA"/>
    <w:rsid w:val="00E56408"/>
    <w:rsid w:val="00E565B9"/>
    <w:rsid w:val="00E56E7B"/>
    <w:rsid w:val="00E5733B"/>
    <w:rsid w:val="00E5756C"/>
    <w:rsid w:val="00E5768D"/>
    <w:rsid w:val="00E57811"/>
    <w:rsid w:val="00E57FB0"/>
    <w:rsid w:val="00E600F4"/>
    <w:rsid w:val="00E601BE"/>
    <w:rsid w:val="00E60984"/>
    <w:rsid w:val="00E60A44"/>
    <w:rsid w:val="00E60B5F"/>
    <w:rsid w:val="00E613AE"/>
    <w:rsid w:val="00E61429"/>
    <w:rsid w:val="00E61ABB"/>
    <w:rsid w:val="00E61FD7"/>
    <w:rsid w:val="00E623E6"/>
    <w:rsid w:val="00E62BBF"/>
    <w:rsid w:val="00E62C76"/>
    <w:rsid w:val="00E630A2"/>
    <w:rsid w:val="00E630C0"/>
    <w:rsid w:val="00E63107"/>
    <w:rsid w:val="00E6312C"/>
    <w:rsid w:val="00E63299"/>
    <w:rsid w:val="00E634E6"/>
    <w:rsid w:val="00E63DCE"/>
    <w:rsid w:val="00E642EF"/>
    <w:rsid w:val="00E645CF"/>
    <w:rsid w:val="00E64700"/>
    <w:rsid w:val="00E65074"/>
    <w:rsid w:val="00E65857"/>
    <w:rsid w:val="00E65E70"/>
    <w:rsid w:val="00E6607B"/>
    <w:rsid w:val="00E66087"/>
    <w:rsid w:val="00E66D79"/>
    <w:rsid w:val="00E66FF9"/>
    <w:rsid w:val="00E6706F"/>
    <w:rsid w:val="00E673A2"/>
    <w:rsid w:val="00E674EB"/>
    <w:rsid w:val="00E67714"/>
    <w:rsid w:val="00E67856"/>
    <w:rsid w:val="00E679C8"/>
    <w:rsid w:val="00E67B8A"/>
    <w:rsid w:val="00E70314"/>
    <w:rsid w:val="00E70C98"/>
    <w:rsid w:val="00E724E7"/>
    <w:rsid w:val="00E72B41"/>
    <w:rsid w:val="00E7347B"/>
    <w:rsid w:val="00E73792"/>
    <w:rsid w:val="00E73D03"/>
    <w:rsid w:val="00E7471C"/>
    <w:rsid w:val="00E7498A"/>
    <w:rsid w:val="00E7514E"/>
    <w:rsid w:val="00E76537"/>
    <w:rsid w:val="00E77784"/>
    <w:rsid w:val="00E77AF5"/>
    <w:rsid w:val="00E801CE"/>
    <w:rsid w:val="00E8035B"/>
    <w:rsid w:val="00E805CD"/>
    <w:rsid w:val="00E80FC3"/>
    <w:rsid w:val="00E820F4"/>
    <w:rsid w:val="00E82263"/>
    <w:rsid w:val="00E823F9"/>
    <w:rsid w:val="00E82C1F"/>
    <w:rsid w:val="00E83671"/>
    <w:rsid w:val="00E83D1E"/>
    <w:rsid w:val="00E83F8E"/>
    <w:rsid w:val="00E840EE"/>
    <w:rsid w:val="00E84314"/>
    <w:rsid w:val="00E849CA"/>
    <w:rsid w:val="00E84A71"/>
    <w:rsid w:val="00E853F3"/>
    <w:rsid w:val="00E8556F"/>
    <w:rsid w:val="00E85D69"/>
    <w:rsid w:val="00E8617F"/>
    <w:rsid w:val="00E86556"/>
    <w:rsid w:val="00E86D35"/>
    <w:rsid w:val="00E86DC2"/>
    <w:rsid w:val="00E86E32"/>
    <w:rsid w:val="00E86F2E"/>
    <w:rsid w:val="00E8732E"/>
    <w:rsid w:val="00E879C7"/>
    <w:rsid w:val="00E90067"/>
    <w:rsid w:val="00E9011F"/>
    <w:rsid w:val="00E906EB"/>
    <w:rsid w:val="00E90CE2"/>
    <w:rsid w:val="00E9109D"/>
    <w:rsid w:val="00E9170E"/>
    <w:rsid w:val="00E919FB"/>
    <w:rsid w:val="00E9241E"/>
    <w:rsid w:val="00E92460"/>
    <w:rsid w:val="00E92C2D"/>
    <w:rsid w:val="00E92E62"/>
    <w:rsid w:val="00E93804"/>
    <w:rsid w:val="00E9429D"/>
    <w:rsid w:val="00E95434"/>
    <w:rsid w:val="00E96033"/>
    <w:rsid w:val="00E96467"/>
    <w:rsid w:val="00E966DA"/>
    <w:rsid w:val="00E96948"/>
    <w:rsid w:val="00E9737B"/>
    <w:rsid w:val="00E97A3F"/>
    <w:rsid w:val="00E97F0A"/>
    <w:rsid w:val="00EA0100"/>
    <w:rsid w:val="00EA039A"/>
    <w:rsid w:val="00EA0455"/>
    <w:rsid w:val="00EA08BA"/>
    <w:rsid w:val="00EA0BCE"/>
    <w:rsid w:val="00EA10E4"/>
    <w:rsid w:val="00EA17BC"/>
    <w:rsid w:val="00EA2744"/>
    <w:rsid w:val="00EA37B9"/>
    <w:rsid w:val="00EA39F7"/>
    <w:rsid w:val="00EA3DC2"/>
    <w:rsid w:val="00EA434E"/>
    <w:rsid w:val="00EA4757"/>
    <w:rsid w:val="00EA560B"/>
    <w:rsid w:val="00EA5669"/>
    <w:rsid w:val="00EA5CC6"/>
    <w:rsid w:val="00EA63EF"/>
    <w:rsid w:val="00EA705C"/>
    <w:rsid w:val="00EA7CBF"/>
    <w:rsid w:val="00EB0A89"/>
    <w:rsid w:val="00EB0BD8"/>
    <w:rsid w:val="00EB1573"/>
    <w:rsid w:val="00EB1910"/>
    <w:rsid w:val="00EB1B7C"/>
    <w:rsid w:val="00EB2564"/>
    <w:rsid w:val="00EB2D83"/>
    <w:rsid w:val="00EB2E97"/>
    <w:rsid w:val="00EB2ED0"/>
    <w:rsid w:val="00EB3416"/>
    <w:rsid w:val="00EB4AE1"/>
    <w:rsid w:val="00EB52F4"/>
    <w:rsid w:val="00EB5694"/>
    <w:rsid w:val="00EB5779"/>
    <w:rsid w:val="00EB5C68"/>
    <w:rsid w:val="00EB5D2F"/>
    <w:rsid w:val="00EB61CC"/>
    <w:rsid w:val="00EB67F1"/>
    <w:rsid w:val="00EB6A67"/>
    <w:rsid w:val="00EB6ADA"/>
    <w:rsid w:val="00EB7132"/>
    <w:rsid w:val="00EB72CD"/>
    <w:rsid w:val="00EB749A"/>
    <w:rsid w:val="00EB76B6"/>
    <w:rsid w:val="00EB7D8A"/>
    <w:rsid w:val="00EC0487"/>
    <w:rsid w:val="00EC04F7"/>
    <w:rsid w:val="00EC05E2"/>
    <w:rsid w:val="00EC0E84"/>
    <w:rsid w:val="00EC16E2"/>
    <w:rsid w:val="00EC1CE7"/>
    <w:rsid w:val="00EC1DAE"/>
    <w:rsid w:val="00EC1F36"/>
    <w:rsid w:val="00EC224E"/>
    <w:rsid w:val="00EC26F1"/>
    <w:rsid w:val="00EC33A8"/>
    <w:rsid w:val="00EC3ABE"/>
    <w:rsid w:val="00EC3BA2"/>
    <w:rsid w:val="00EC3C94"/>
    <w:rsid w:val="00EC44DF"/>
    <w:rsid w:val="00EC4FB9"/>
    <w:rsid w:val="00EC5393"/>
    <w:rsid w:val="00EC567C"/>
    <w:rsid w:val="00EC5741"/>
    <w:rsid w:val="00EC5DA3"/>
    <w:rsid w:val="00EC6014"/>
    <w:rsid w:val="00EC6044"/>
    <w:rsid w:val="00EC6565"/>
    <w:rsid w:val="00EC6B3E"/>
    <w:rsid w:val="00EC73DE"/>
    <w:rsid w:val="00EC7637"/>
    <w:rsid w:val="00EC7C07"/>
    <w:rsid w:val="00EC7CF2"/>
    <w:rsid w:val="00ED046C"/>
    <w:rsid w:val="00ED053A"/>
    <w:rsid w:val="00ED1257"/>
    <w:rsid w:val="00ED1F03"/>
    <w:rsid w:val="00ED249D"/>
    <w:rsid w:val="00ED2D27"/>
    <w:rsid w:val="00ED2F68"/>
    <w:rsid w:val="00ED3347"/>
    <w:rsid w:val="00ED3441"/>
    <w:rsid w:val="00ED3860"/>
    <w:rsid w:val="00ED3954"/>
    <w:rsid w:val="00ED39AC"/>
    <w:rsid w:val="00ED43A2"/>
    <w:rsid w:val="00ED4967"/>
    <w:rsid w:val="00ED4CA9"/>
    <w:rsid w:val="00ED50E5"/>
    <w:rsid w:val="00ED5140"/>
    <w:rsid w:val="00ED538C"/>
    <w:rsid w:val="00ED572F"/>
    <w:rsid w:val="00ED5771"/>
    <w:rsid w:val="00ED587F"/>
    <w:rsid w:val="00ED5964"/>
    <w:rsid w:val="00ED623F"/>
    <w:rsid w:val="00ED63A5"/>
    <w:rsid w:val="00ED69BA"/>
    <w:rsid w:val="00ED6D1A"/>
    <w:rsid w:val="00ED72E9"/>
    <w:rsid w:val="00ED732E"/>
    <w:rsid w:val="00ED74B3"/>
    <w:rsid w:val="00ED77F0"/>
    <w:rsid w:val="00ED7813"/>
    <w:rsid w:val="00ED7FBC"/>
    <w:rsid w:val="00EE0253"/>
    <w:rsid w:val="00EE0297"/>
    <w:rsid w:val="00EE1258"/>
    <w:rsid w:val="00EE13CA"/>
    <w:rsid w:val="00EE13DA"/>
    <w:rsid w:val="00EE1668"/>
    <w:rsid w:val="00EE1EDB"/>
    <w:rsid w:val="00EE24E2"/>
    <w:rsid w:val="00EE2A20"/>
    <w:rsid w:val="00EE366D"/>
    <w:rsid w:val="00EE3F80"/>
    <w:rsid w:val="00EE40A4"/>
    <w:rsid w:val="00EE41AA"/>
    <w:rsid w:val="00EE5454"/>
    <w:rsid w:val="00EE59B5"/>
    <w:rsid w:val="00EE5FB7"/>
    <w:rsid w:val="00EE6783"/>
    <w:rsid w:val="00EE678B"/>
    <w:rsid w:val="00EE7B54"/>
    <w:rsid w:val="00EE7C47"/>
    <w:rsid w:val="00EE7C88"/>
    <w:rsid w:val="00EE7C8B"/>
    <w:rsid w:val="00EF0209"/>
    <w:rsid w:val="00EF0EA4"/>
    <w:rsid w:val="00EF19A5"/>
    <w:rsid w:val="00EF1E97"/>
    <w:rsid w:val="00EF2436"/>
    <w:rsid w:val="00EF2547"/>
    <w:rsid w:val="00EF26F4"/>
    <w:rsid w:val="00EF28D8"/>
    <w:rsid w:val="00EF2B2B"/>
    <w:rsid w:val="00EF2E1C"/>
    <w:rsid w:val="00EF2FD6"/>
    <w:rsid w:val="00EF326A"/>
    <w:rsid w:val="00EF397D"/>
    <w:rsid w:val="00EF3CD4"/>
    <w:rsid w:val="00EF427A"/>
    <w:rsid w:val="00EF45DF"/>
    <w:rsid w:val="00EF4944"/>
    <w:rsid w:val="00EF4952"/>
    <w:rsid w:val="00EF498F"/>
    <w:rsid w:val="00EF4A42"/>
    <w:rsid w:val="00EF510C"/>
    <w:rsid w:val="00EF55C4"/>
    <w:rsid w:val="00EF57BC"/>
    <w:rsid w:val="00EF5A41"/>
    <w:rsid w:val="00EF5CA8"/>
    <w:rsid w:val="00EF6784"/>
    <w:rsid w:val="00EF688A"/>
    <w:rsid w:val="00EF6A03"/>
    <w:rsid w:val="00EF6DC2"/>
    <w:rsid w:val="00EF7506"/>
    <w:rsid w:val="00EF760B"/>
    <w:rsid w:val="00EF7BF4"/>
    <w:rsid w:val="00F0030F"/>
    <w:rsid w:val="00F00674"/>
    <w:rsid w:val="00F01657"/>
    <w:rsid w:val="00F01E67"/>
    <w:rsid w:val="00F01EF4"/>
    <w:rsid w:val="00F02744"/>
    <w:rsid w:val="00F02BFD"/>
    <w:rsid w:val="00F02D25"/>
    <w:rsid w:val="00F03A60"/>
    <w:rsid w:val="00F03C3D"/>
    <w:rsid w:val="00F0435D"/>
    <w:rsid w:val="00F04580"/>
    <w:rsid w:val="00F04986"/>
    <w:rsid w:val="00F04ECA"/>
    <w:rsid w:val="00F04F8B"/>
    <w:rsid w:val="00F064DB"/>
    <w:rsid w:val="00F06CA4"/>
    <w:rsid w:val="00F06E19"/>
    <w:rsid w:val="00F06F84"/>
    <w:rsid w:val="00F06FCD"/>
    <w:rsid w:val="00F0749E"/>
    <w:rsid w:val="00F076E7"/>
    <w:rsid w:val="00F07A86"/>
    <w:rsid w:val="00F07AA1"/>
    <w:rsid w:val="00F105AE"/>
    <w:rsid w:val="00F10618"/>
    <w:rsid w:val="00F10BB3"/>
    <w:rsid w:val="00F10E7D"/>
    <w:rsid w:val="00F1108B"/>
    <w:rsid w:val="00F114FA"/>
    <w:rsid w:val="00F11768"/>
    <w:rsid w:val="00F11951"/>
    <w:rsid w:val="00F12059"/>
    <w:rsid w:val="00F12262"/>
    <w:rsid w:val="00F12564"/>
    <w:rsid w:val="00F128D9"/>
    <w:rsid w:val="00F12AF8"/>
    <w:rsid w:val="00F12C52"/>
    <w:rsid w:val="00F13381"/>
    <w:rsid w:val="00F13828"/>
    <w:rsid w:val="00F13E62"/>
    <w:rsid w:val="00F13F51"/>
    <w:rsid w:val="00F146E9"/>
    <w:rsid w:val="00F148B7"/>
    <w:rsid w:val="00F14BF6"/>
    <w:rsid w:val="00F14EA9"/>
    <w:rsid w:val="00F15505"/>
    <w:rsid w:val="00F15BFF"/>
    <w:rsid w:val="00F15FFF"/>
    <w:rsid w:val="00F1634B"/>
    <w:rsid w:val="00F1689D"/>
    <w:rsid w:val="00F16E4F"/>
    <w:rsid w:val="00F171B2"/>
    <w:rsid w:val="00F17244"/>
    <w:rsid w:val="00F20931"/>
    <w:rsid w:val="00F20ECE"/>
    <w:rsid w:val="00F213A0"/>
    <w:rsid w:val="00F21D54"/>
    <w:rsid w:val="00F21EF4"/>
    <w:rsid w:val="00F221A2"/>
    <w:rsid w:val="00F22831"/>
    <w:rsid w:val="00F22E8B"/>
    <w:rsid w:val="00F22F81"/>
    <w:rsid w:val="00F23113"/>
    <w:rsid w:val="00F23255"/>
    <w:rsid w:val="00F23393"/>
    <w:rsid w:val="00F23759"/>
    <w:rsid w:val="00F24644"/>
    <w:rsid w:val="00F246FF"/>
    <w:rsid w:val="00F24B57"/>
    <w:rsid w:val="00F24BB1"/>
    <w:rsid w:val="00F25947"/>
    <w:rsid w:val="00F25CC9"/>
    <w:rsid w:val="00F262D6"/>
    <w:rsid w:val="00F26F33"/>
    <w:rsid w:val="00F273D5"/>
    <w:rsid w:val="00F2748A"/>
    <w:rsid w:val="00F276C0"/>
    <w:rsid w:val="00F2786C"/>
    <w:rsid w:val="00F300A8"/>
    <w:rsid w:val="00F302C6"/>
    <w:rsid w:val="00F30400"/>
    <w:rsid w:val="00F3079E"/>
    <w:rsid w:val="00F311A1"/>
    <w:rsid w:val="00F31289"/>
    <w:rsid w:val="00F3232D"/>
    <w:rsid w:val="00F32356"/>
    <w:rsid w:val="00F32F80"/>
    <w:rsid w:val="00F3399B"/>
    <w:rsid w:val="00F33F4B"/>
    <w:rsid w:val="00F346ED"/>
    <w:rsid w:val="00F34945"/>
    <w:rsid w:val="00F34E1E"/>
    <w:rsid w:val="00F3570C"/>
    <w:rsid w:val="00F363A4"/>
    <w:rsid w:val="00F36765"/>
    <w:rsid w:val="00F368FF"/>
    <w:rsid w:val="00F37068"/>
    <w:rsid w:val="00F37E5F"/>
    <w:rsid w:val="00F37F3F"/>
    <w:rsid w:val="00F40190"/>
    <w:rsid w:val="00F40992"/>
    <w:rsid w:val="00F40F72"/>
    <w:rsid w:val="00F41596"/>
    <w:rsid w:val="00F41D8B"/>
    <w:rsid w:val="00F42121"/>
    <w:rsid w:val="00F424B3"/>
    <w:rsid w:val="00F428B1"/>
    <w:rsid w:val="00F428B4"/>
    <w:rsid w:val="00F43416"/>
    <w:rsid w:val="00F4345D"/>
    <w:rsid w:val="00F4387B"/>
    <w:rsid w:val="00F45921"/>
    <w:rsid w:val="00F45B91"/>
    <w:rsid w:val="00F46502"/>
    <w:rsid w:val="00F46639"/>
    <w:rsid w:val="00F47026"/>
    <w:rsid w:val="00F476FD"/>
    <w:rsid w:val="00F50183"/>
    <w:rsid w:val="00F5033A"/>
    <w:rsid w:val="00F50D92"/>
    <w:rsid w:val="00F51765"/>
    <w:rsid w:val="00F51A51"/>
    <w:rsid w:val="00F51BC6"/>
    <w:rsid w:val="00F51CB4"/>
    <w:rsid w:val="00F52200"/>
    <w:rsid w:val="00F52324"/>
    <w:rsid w:val="00F5237A"/>
    <w:rsid w:val="00F52950"/>
    <w:rsid w:val="00F52C9D"/>
    <w:rsid w:val="00F533F1"/>
    <w:rsid w:val="00F5345B"/>
    <w:rsid w:val="00F53F4F"/>
    <w:rsid w:val="00F540A3"/>
    <w:rsid w:val="00F54EA2"/>
    <w:rsid w:val="00F55185"/>
    <w:rsid w:val="00F55679"/>
    <w:rsid w:val="00F561E3"/>
    <w:rsid w:val="00F56466"/>
    <w:rsid w:val="00F565E6"/>
    <w:rsid w:val="00F56AFA"/>
    <w:rsid w:val="00F575E2"/>
    <w:rsid w:val="00F579FF"/>
    <w:rsid w:val="00F600E0"/>
    <w:rsid w:val="00F605EC"/>
    <w:rsid w:val="00F60CFE"/>
    <w:rsid w:val="00F60F60"/>
    <w:rsid w:val="00F612CE"/>
    <w:rsid w:val="00F6133C"/>
    <w:rsid w:val="00F61405"/>
    <w:rsid w:val="00F62172"/>
    <w:rsid w:val="00F62227"/>
    <w:rsid w:val="00F624A7"/>
    <w:rsid w:val="00F62AB6"/>
    <w:rsid w:val="00F6378A"/>
    <w:rsid w:val="00F64CE7"/>
    <w:rsid w:val="00F65A3C"/>
    <w:rsid w:val="00F66009"/>
    <w:rsid w:val="00F66282"/>
    <w:rsid w:val="00F6639E"/>
    <w:rsid w:val="00F670E9"/>
    <w:rsid w:val="00F6749F"/>
    <w:rsid w:val="00F67AF1"/>
    <w:rsid w:val="00F67D8B"/>
    <w:rsid w:val="00F700CD"/>
    <w:rsid w:val="00F701C5"/>
    <w:rsid w:val="00F70961"/>
    <w:rsid w:val="00F70A8F"/>
    <w:rsid w:val="00F71397"/>
    <w:rsid w:val="00F719FD"/>
    <w:rsid w:val="00F72389"/>
    <w:rsid w:val="00F72516"/>
    <w:rsid w:val="00F72FB4"/>
    <w:rsid w:val="00F732CF"/>
    <w:rsid w:val="00F735E5"/>
    <w:rsid w:val="00F73B82"/>
    <w:rsid w:val="00F73E80"/>
    <w:rsid w:val="00F7469C"/>
    <w:rsid w:val="00F7492E"/>
    <w:rsid w:val="00F74945"/>
    <w:rsid w:val="00F749A3"/>
    <w:rsid w:val="00F74AE8"/>
    <w:rsid w:val="00F75169"/>
    <w:rsid w:val="00F76768"/>
    <w:rsid w:val="00F76C11"/>
    <w:rsid w:val="00F77021"/>
    <w:rsid w:val="00F770AB"/>
    <w:rsid w:val="00F77E61"/>
    <w:rsid w:val="00F80221"/>
    <w:rsid w:val="00F802B0"/>
    <w:rsid w:val="00F80A0A"/>
    <w:rsid w:val="00F80C81"/>
    <w:rsid w:val="00F815AC"/>
    <w:rsid w:val="00F82421"/>
    <w:rsid w:val="00F82E28"/>
    <w:rsid w:val="00F83B33"/>
    <w:rsid w:val="00F83CAE"/>
    <w:rsid w:val="00F840BF"/>
    <w:rsid w:val="00F8427A"/>
    <w:rsid w:val="00F843DF"/>
    <w:rsid w:val="00F84646"/>
    <w:rsid w:val="00F84899"/>
    <w:rsid w:val="00F84A9E"/>
    <w:rsid w:val="00F85585"/>
    <w:rsid w:val="00F859F0"/>
    <w:rsid w:val="00F85CC1"/>
    <w:rsid w:val="00F86B5D"/>
    <w:rsid w:val="00F8740F"/>
    <w:rsid w:val="00F87634"/>
    <w:rsid w:val="00F87809"/>
    <w:rsid w:val="00F87C13"/>
    <w:rsid w:val="00F87C5A"/>
    <w:rsid w:val="00F87E29"/>
    <w:rsid w:val="00F87F18"/>
    <w:rsid w:val="00F87F37"/>
    <w:rsid w:val="00F87F68"/>
    <w:rsid w:val="00F90C4D"/>
    <w:rsid w:val="00F9165C"/>
    <w:rsid w:val="00F9167D"/>
    <w:rsid w:val="00F91CB2"/>
    <w:rsid w:val="00F91E21"/>
    <w:rsid w:val="00F927E8"/>
    <w:rsid w:val="00F9289C"/>
    <w:rsid w:val="00F92FC1"/>
    <w:rsid w:val="00F932D1"/>
    <w:rsid w:val="00F93DBC"/>
    <w:rsid w:val="00F93E41"/>
    <w:rsid w:val="00F94644"/>
    <w:rsid w:val="00F952E4"/>
    <w:rsid w:val="00F9537B"/>
    <w:rsid w:val="00F96079"/>
    <w:rsid w:val="00F963FC"/>
    <w:rsid w:val="00F97CF1"/>
    <w:rsid w:val="00FA015F"/>
    <w:rsid w:val="00FA0FAC"/>
    <w:rsid w:val="00FA10F7"/>
    <w:rsid w:val="00FA1817"/>
    <w:rsid w:val="00FA1DA2"/>
    <w:rsid w:val="00FA2258"/>
    <w:rsid w:val="00FA313F"/>
    <w:rsid w:val="00FA3414"/>
    <w:rsid w:val="00FA347A"/>
    <w:rsid w:val="00FA3CDE"/>
    <w:rsid w:val="00FA3D45"/>
    <w:rsid w:val="00FA4048"/>
    <w:rsid w:val="00FA4168"/>
    <w:rsid w:val="00FA4408"/>
    <w:rsid w:val="00FA44B1"/>
    <w:rsid w:val="00FA49B7"/>
    <w:rsid w:val="00FA4B97"/>
    <w:rsid w:val="00FA4E49"/>
    <w:rsid w:val="00FA5043"/>
    <w:rsid w:val="00FA60C1"/>
    <w:rsid w:val="00FA63DD"/>
    <w:rsid w:val="00FA65A3"/>
    <w:rsid w:val="00FA66F9"/>
    <w:rsid w:val="00FA6BCA"/>
    <w:rsid w:val="00FA6F8B"/>
    <w:rsid w:val="00FA727C"/>
    <w:rsid w:val="00FA7A30"/>
    <w:rsid w:val="00FA7A9B"/>
    <w:rsid w:val="00FB033F"/>
    <w:rsid w:val="00FB0880"/>
    <w:rsid w:val="00FB12E3"/>
    <w:rsid w:val="00FB1570"/>
    <w:rsid w:val="00FB193B"/>
    <w:rsid w:val="00FB1FBC"/>
    <w:rsid w:val="00FB27B7"/>
    <w:rsid w:val="00FB35E3"/>
    <w:rsid w:val="00FB4743"/>
    <w:rsid w:val="00FB47C3"/>
    <w:rsid w:val="00FB4C98"/>
    <w:rsid w:val="00FB4CE3"/>
    <w:rsid w:val="00FB551D"/>
    <w:rsid w:val="00FB583C"/>
    <w:rsid w:val="00FB630E"/>
    <w:rsid w:val="00FB6738"/>
    <w:rsid w:val="00FB691B"/>
    <w:rsid w:val="00FB6BC4"/>
    <w:rsid w:val="00FB6BE6"/>
    <w:rsid w:val="00FB731C"/>
    <w:rsid w:val="00FB7628"/>
    <w:rsid w:val="00FB7651"/>
    <w:rsid w:val="00FC0078"/>
    <w:rsid w:val="00FC0363"/>
    <w:rsid w:val="00FC05A0"/>
    <w:rsid w:val="00FC0811"/>
    <w:rsid w:val="00FC09B3"/>
    <w:rsid w:val="00FC1196"/>
    <w:rsid w:val="00FC15EB"/>
    <w:rsid w:val="00FC162C"/>
    <w:rsid w:val="00FC18DC"/>
    <w:rsid w:val="00FC2477"/>
    <w:rsid w:val="00FC2AC4"/>
    <w:rsid w:val="00FC2D17"/>
    <w:rsid w:val="00FC2F73"/>
    <w:rsid w:val="00FC3A9B"/>
    <w:rsid w:val="00FC3AE1"/>
    <w:rsid w:val="00FC3DFC"/>
    <w:rsid w:val="00FC3EF4"/>
    <w:rsid w:val="00FC431B"/>
    <w:rsid w:val="00FC434C"/>
    <w:rsid w:val="00FC472C"/>
    <w:rsid w:val="00FC4FDF"/>
    <w:rsid w:val="00FC5CF4"/>
    <w:rsid w:val="00FC5D64"/>
    <w:rsid w:val="00FC61D6"/>
    <w:rsid w:val="00FC6A39"/>
    <w:rsid w:val="00FC6DB9"/>
    <w:rsid w:val="00FC7174"/>
    <w:rsid w:val="00FC76A9"/>
    <w:rsid w:val="00FC79AB"/>
    <w:rsid w:val="00FC7BE7"/>
    <w:rsid w:val="00FC7DAC"/>
    <w:rsid w:val="00FD005D"/>
    <w:rsid w:val="00FD0216"/>
    <w:rsid w:val="00FD04AE"/>
    <w:rsid w:val="00FD0DFA"/>
    <w:rsid w:val="00FD1890"/>
    <w:rsid w:val="00FD1994"/>
    <w:rsid w:val="00FD3290"/>
    <w:rsid w:val="00FD3508"/>
    <w:rsid w:val="00FD393C"/>
    <w:rsid w:val="00FD3AFF"/>
    <w:rsid w:val="00FD43BB"/>
    <w:rsid w:val="00FD4AF3"/>
    <w:rsid w:val="00FD5443"/>
    <w:rsid w:val="00FD6675"/>
    <w:rsid w:val="00FD67F9"/>
    <w:rsid w:val="00FD694E"/>
    <w:rsid w:val="00FD6DC5"/>
    <w:rsid w:val="00FD7250"/>
    <w:rsid w:val="00FD72B1"/>
    <w:rsid w:val="00FD72E7"/>
    <w:rsid w:val="00FD798D"/>
    <w:rsid w:val="00FE04AB"/>
    <w:rsid w:val="00FE141E"/>
    <w:rsid w:val="00FE144E"/>
    <w:rsid w:val="00FE1768"/>
    <w:rsid w:val="00FE1DD5"/>
    <w:rsid w:val="00FE1E8C"/>
    <w:rsid w:val="00FE24F4"/>
    <w:rsid w:val="00FE2560"/>
    <w:rsid w:val="00FE35D0"/>
    <w:rsid w:val="00FE42ED"/>
    <w:rsid w:val="00FE4E06"/>
    <w:rsid w:val="00FE55A7"/>
    <w:rsid w:val="00FE5C5A"/>
    <w:rsid w:val="00FE601E"/>
    <w:rsid w:val="00FE6432"/>
    <w:rsid w:val="00FE72A0"/>
    <w:rsid w:val="00FF0050"/>
    <w:rsid w:val="00FF03EA"/>
    <w:rsid w:val="00FF045F"/>
    <w:rsid w:val="00FF0816"/>
    <w:rsid w:val="00FF13D4"/>
    <w:rsid w:val="00FF2053"/>
    <w:rsid w:val="00FF3B37"/>
    <w:rsid w:val="00FF3CC7"/>
    <w:rsid w:val="00FF3D6F"/>
    <w:rsid w:val="00FF441A"/>
    <w:rsid w:val="00FF44D7"/>
    <w:rsid w:val="00FF4BD8"/>
    <w:rsid w:val="00FF4D11"/>
    <w:rsid w:val="00FF5214"/>
    <w:rsid w:val="00FF5914"/>
    <w:rsid w:val="00FF596E"/>
    <w:rsid w:val="00FF5B59"/>
    <w:rsid w:val="00FF5BFD"/>
    <w:rsid w:val="00FF6095"/>
    <w:rsid w:val="00FF62FE"/>
    <w:rsid w:val="00FF6553"/>
    <w:rsid w:val="00FF70BD"/>
    <w:rsid w:val="00FF7124"/>
    <w:rsid w:val="00FF7A39"/>
    <w:rsid w:val="029BC757"/>
    <w:rsid w:val="3569F5A8"/>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4FC2"/>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paragraph" w:styleId="Ttulo2">
    <w:name w:val="heading 2"/>
    <w:basedOn w:val="Normal"/>
    <w:next w:val="Normal"/>
    <w:link w:val="Ttulo2Car"/>
    <w:uiPriority w:val="9"/>
    <w:semiHidden/>
    <w:unhideWhenUsed/>
    <w:qFormat/>
    <w:rsid w:val="00E8431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styleId="Mencinsinresolver">
    <w:name w:val="Unresolved Mention"/>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character" w:customStyle="1" w:styleId="Ttulo2Car">
    <w:name w:val="Título 2 Car"/>
    <w:basedOn w:val="Fuentedeprrafopredeter"/>
    <w:link w:val="Ttulo2"/>
    <w:uiPriority w:val="9"/>
    <w:semiHidden/>
    <w:rsid w:val="00E84314"/>
    <w:rPr>
      <w:rFonts w:asciiTheme="majorHAnsi" w:eastAsiaTheme="majorEastAsia" w:hAnsiTheme="majorHAnsi" w:cstheme="majorBidi"/>
      <w:color w:val="365F91" w:themeColor="accent1" w:themeShade="BF"/>
      <w:sz w:val="26"/>
      <w:szCs w:val="26"/>
      <w:lang w:eastAsia="es-ES_tradnl"/>
    </w:rPr>
  </w:style>
  <w:style w:type="paragraph" w:styleId="Textonotaalfinal">
    <w:name w:val="endnote text"/>
    <w:basedOn w:val="Normal"/>
    <w:link w:val="TextonotaalfinalCar"/>
    <w:uiPriority w:val="99"/>
    <w:semiHidden/>
    <w:unhideWhenUsed/>
    <w:rsid w:val="001679EF"/>
    <w:rPr>
      <w:sz w:val="20"/>
      <w:szCs w:val="20"/>
    </w:rPr>
  </w:style>
  <w:style w:type="character" w:customStyle="1" w:styleId="TextonotaalfinalCar">
    <w:name w:val="Texto nota al final Car"/>
    <w:basedOn w:val="Fuentedeprrafopredeter"/>
    <w:link w:val="Textonotaalfinal"/>
    <w:uiPriority w:val="99"/>
    <w:semiHidden/>
    <w:rsid w:val="001679EF"/>
    <w:rPr>
      <w:rFonts w:ascii="Times New Roman" w:eastAsia="Times New Roman" w:hAnsi="Times New Roman" w:cs="Times New Roman"/>
      <w:sz w:val="20"/>
      <w:szCs w:val="20"/>
      <w:lang w:eastAsia="es-ES_tradnl"/>
    </w:rPr>
  </w:style>
  <w:style w:type="character" w:styleId="Refdenotaalfinal">
    <w:name w:val="endnote reference"/>
    <w:basedOn w:val="Fuentedeprrafopredeter"/>
    <w:uiPriority w:val="99"/>
    <w:semiHidden/>
    <w:unhideWhenUsed/>
    <w:rsid w:val="001679E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144344">
      <w:bodyDiv w:val="1"/>
      <w:marLeft w:val="0"/>
      <w:marRight w:val="0"/>
      <w:marTop w:val="0"/>
      <w:marBottom w:val="0"/>
      <w:divBdr>
        <w:top w:val="none" w:sz="0" w:space="0" w:color="auto"/>
        <w:left w:val="none" w:sz="0" w:space="0" w:color="auto"/>
        <w:bottom w:val="none" w:sz="0" w:space="0" w:color="auto"/>
        <w:right w:val="none" w:sz="0" w:space="0" w:color="auto"/>
      </w:divBdr>
      <w:divsChild>
        <w:div w:id="1610551597">
          <w:marLeft w:val="0"/>
          <w:marRight w:val="0"/>
          <w:marTop w:val="0"/>
          <w:marBottom w:val="0"/>
          <w:divBdr>
            <w:top w:val="none" w:sz="0" w:space="0" w:color="auto"/>
            <w:left w:val="none" w:sz="0" w:space="0" w:color="auto"/>
            <w:bottom w:val="none" w:sz="0" w:space="0" w:color="auto"/>
            <w:right w:val="none" w:sz="0" w:space="0" w:color="auto"/>
          </w:divBdr>
          <w:divsChild>
            <w:div w:id="2038459412">
              <w:marLeft w:val="0"/>
              <w:marRight w:val="0"/>
              <w:marTop w:val="0"/>
              <w:marBottom w:val="0"/>
              <w:divBdr>
                <w:top w:val="none" w:sz="0" w:space="0" w:color="auto"/>
                <w:left w:val="none" w:sz="0" w:space="0" w:color="auto"/>
                <w:bottom w:val="none" w:sz="0" w:space="0" w:color="auto"/>
                <w:right w:val="none" w:sz="0" w:space="0" w:color="auto"/>
              </w:divBdr>
              <w:divsChild>
                <w:div w:id="20606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1826938">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5637734">
      <w:bodyDiv w:val="1"/>
      <w:marLeft w:val="0"/>
      <w:marRight w:val="0"/>
      <w:marTop w:val="0"/>
      <w:marBottom w:val="0"/>
      <w:divBdr>
        <w:top w:val="none" w:sz="0" w:space="0" w:color="auto"/>
        <w:left w:val="none" w:sz="0" w:space="0" w:color="auto"/>
        <w:bottom w:val="none" w:sz="0" w:space="0" w:color="auto"/>
        <w:right w:val="none" w:sz="0" w:space="0" w:color="auto"/>
      </w:divBdr>
      <w:divsChild>
        <w:div w:id="2103181439">
          <w:marLeft w:val="0"/>
          <w:marRight w:val="0"/>
          <w:marTop w:val="0"/>
          <w:marBottom w:val="0"/>
          <w:divBdr>
            <w:top w:val="none" w:sz="0" w:space="0" w:color="auto"/>
            <w:left w:val="none" w:sz="0" w:space="0" w:color="auto"/>
            <w:bottom w:val="none" w:sz="0" w:space="0" w:color="auto"/>
            <w:right w:val="none" w:sz="0" w:space="0" w:color="auto"/>
          </w:divBdr>
          <w:divsChild>
            <w:div w:id="2070616539">
              <w:marLeft w:val="0"/>
              <w:marRight w:val="0"/>
              <w:marTop w:val="0"/>
              <w:marBottom w:val="0"/>
              <w:divBdr>
                <w:top w:val="none" w:sz="0" w:space="0" w:color="auto"/>
                <w:left w:val="none" w:sz="0" w:space="0" w:color="auto"/>
                <w:bottom w:val="none" w:sz="0" w:space="0" w:color="auto"/>
                <w:right w:val="none" w:sz="0" w:space="0" w:color="auto"/>
              </w:divBdr>
              <w:divsChild>
                <w:div w:id="758605140">
                  <w:marLeft w:val="0"/>
                  <w:marRight w:val="0"/>
                  <w:marTop w:val="0"/>
                  <w:marBottom w:val="0"/>
                  <w:divBdr>
                    <w:top w:val="none" w:sz="0" w:space="0" w:color="auto"/>
                    <w:left w:val="none" w:sz="0" w:space="0" w:color="auto"/>
                    <w:bottom w:val="none" w:sz="0" w:space="0" w:color="auto"/>
                    <w:right w:val="none" w:sz="0" w:space="0" w:color="auto"/>
                  </w:divBdr>
                  <w:divsChild>
                    <w:div w:id="1845318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79496941">
      <w:bodyDiv w:val="1"/>
      <w:marLeft w:val="0"/>
      <w:marRight w:val="0"/>
      <w:marTop w:val="0"/>
      <w:marBottom w:val="0"/>
      <w:divBdr>
        <w:top w:val="none" w:sz="0" w:space="0" w:color="auto"/>
        <w:left w:val="none" w:sz="0" w:space="0" w:color="auto"/>
        <w:bottom w:val="none" w:sz="0" w:space="0" w:color="auto"/>
        <w:right w:val="none" w:sz="0" w:space="0" w:color="auto"/>
      </w:divBdr>
      <w:divsChild>
        <w:div w:id="689528428">
          <w:marLeft w:val="0"/>
          <w:marRight w:val="0"/>
          <w:marTop w:val="0"/>
          <w:marBottom w:val="0"/>
          <w:divBdr>
            <w:top w:val="none" w:sz="0" w:space="0" w:color="auto"/>
            <w:left w:val="none" w:sz="0" w:space="0" w:color="auto"/>
            <w:bottom w:val="none" w:sz="0" w:space="0" w:color="auto"/>
            <w:right w:val="none" w:sz="0" w:space="0" w:color="auto"/>
          </w:divBdr>
          <w:divsChild>
            <w:div w:id="23706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4449001">
      <w:bodyDiv w:val="1"/>
      <w:marLeft w:val="0"/>
      <w:marRight w:val="0"/>
      <w:marTop w:val="0"/>
      <w:marBottom w:val="0"/>
      <w:divBdr>
        <w:top w:val="none" w:sz="0" w:space="0" w:color="auto"/>
        <w:left w:val="none" w:sz="0" w:space="0" w:color="auto"/>
        <w:bottom w:val="none" w:sz="0" w:space="0" w:color="auto"/>
        <w:right w:val="none" w:sz="0" w:space="0" w:color="auto"/>
      </w:divBdr>
    </w:div>
    <w:div w:id="94985693">
      <w:bodyDiv w:val="1"/>
      <w:marLeft w:val="0"/>
      <w:marRight w:val="0"/>
      <w:marTop w:val="0"/>
      <w:marBottom w:val="0"/>
      <w:divBdr>
        <w:top w:val="none" w:sz="0" w:space="0" w:color="auto"/>
        <w:left w:val="none" w:sz="0" w:space="0" w:color="auto"/>
        <w:bottom w:val="none" w:sz="0" w:space="0" w:color="auto"/>
        <w:right w:val="none" w:sz="0" w:space="0" w:color="auto"/>
      </w:divBdr>
    </w:div>
    <w:div w:id="110173570">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90619">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15430727">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056181">
      <w:bodyDiv w:val="1"/>
      <w:marLeft w:val="0"/>
      <w:marRight w:val="0"/>
      <w:marTop w:val="0"/>
      <w:marBottom w:val="0"/>
      <w:divBdr>
        <w:top w:val="none" w:sz="0" w:space="0" w:color="auto"/>
        <w:left w:val="none" w:sz="0" w:space="0" w:color="auto"/>
        <w:bottom w:val="none" w:sz="0" w:space="0" w:color="auto"/>
        <w:right w:val="none" w:sz="0" w:space="0" w:color="auto"/>
      </w:divBdr>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58679361">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0133555">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1881237">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48802467">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5446229">
      <w:bodyDiv w:val="1"/>
      <w:marLeft w:val="0"/>
      <w:marRight w:val="0"/>
      <w:marTop w:val="0"/>
      <w:marBottom w:val="0"/>
      <w:divBdr>
        <w:top w:val="none" w:sz="0" w:space="0" w:color="auto"/>
        <w:left w:val="none" w:sz="0" w:space="0" w:color="auto"/>
        <w:bottom w:val="none" w:sz="0" w:space="0" w:color="auto"/>
        <w:right w:val="none" w:sz="0" w:space="0" w:color="auto"/>
      </w:divBdr>
      <w:divsChild>
        <w:div w:id="1042360156">
          <w:marLeft w:val="0"/>
          <w:marRight w:val="0"/>
          <w:marTop w:val="0"/>
          <w:marBottom w:val="0"/>
          <w:divBdr>
            <w:top w:val="none" w:sz="0" w:space="0" w:color="auto"/>
            <w:left w:val="none" w:sz="0" w:space="0" w:color="auto"/>
            <w:bottom w:val="none" w:sz="0" w:space="0" w:color="auto"/>
            <w:right w:val="none" w:sz="0" w:space="0" w:color="auto"/>
          </w:divBdr>
          <w:divsChild>
            <w:div w:id="469910124">
              <w:marLeft w:val="0"/>
              <w:marRight w:val="0"/>
              <w:marTop w:val="0"/>
              <w:marBottom w:val="0"/>
              <w:divBdr>
                <w:top w:val="none" w:sz="0" w:space="0" w:color="auto"/>
                <w:left w:val="none" w:sz="0" w:space="0" w:color="auto"/>
                <w:bottom w:val="none" w:sz="0" w:space="0" w:color="auto"/>
                <w:right w:val="none" w:sz="0" w:space="0" w:color="auto"/>
              </w:divBdr>
              <w:divsChild>
                <w:div w:id="1034884912">
                  <w:marLeft w:val="0"/>
                  <w:marRight w:val="0"/>
                  <w:marTop w:val="0"/>
                  <w:marBottom w:val="0"/>
                  <w:divBdr>
                    <w:top w:val="none" w:sz="0" w:space="0" w:color="auto"/>
                    <w:left w:val="none" w:sz="0" w:space="0" w:color="auto"/>
                    <w:bottom w:val="none" w:sz="0" w:space="0" w:color="auto"/>
                    <w:right w:val="none" w:sz="0" w:space="0" w:color="auto"/>
                  </w:divBdr>
                  <w:divsChild>
                    <w:div w:id="17216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61339907">
      <w:bodyDiv w:val="1"/>
      <w:marLeft w:val="0"/>
      <w:marRight w:val="0"/>
      <w:marTop w:val="0"/>
      <w:marBottom w:val="0"/>
      <w:divBdr>
        <w:top w:val="none" w:sz="0" w:space="0" w:color="auto"/>
        <w:left w:val="none" w:sz="0" w:space="0" w:color="auto"/>
        <w:bottom w:val="none" w:sz="0" w:space="0" w:color="auto"/>
        <w:right w:val="none" w:sz="0" w:space="0" w:color="auto"/>
      </w:divBdr>
      <w:divsChild>
        <w:div w:id="1982536059">
          <w:marLeft w:val="0"/>
          <w:marRight w:val="0"/>
          <w:marTop w:val="0"/>
          <w:marBottom w:val="0"/>
          <w:divBdr>
            <w:top w:val="none" w:sz="0" w:space="0" w:color="auto"/>
            <w:left w:val="none" w:sz="0" w:space="0" w:color="auto"/>
            <w:bottom w:val="none" w:sz="0" w:space="0" w:color="auto"/>
            <w:right w:val="none" w:sz="0" w:space="0" w:color="auto"/>
          </w:divBdr>
          <w:divsChild>
            <w:div w:id="2022706307">
              <w:marLeft w:val="0"/>
              <w:marRight w:val="0"/>
              <w:marTop w:val="0"/>
              <w:marBottom w:val="0"/>
              <w:divBdr>
                <w:top w:val="none" w:sz="0" w:space="0" w:color="auto"/>
                <w:left w:val="none" w:sz="0" w:space="0" w:color="auto"/>
                <w:bottom w:val="none" w:sz="0" w:space="0" w:color="auto"/>
                <w:right w:val="none" w:sz="0" w:space="0" w:color="auto"/>
              </w:divBdr>
              <w:divsChild>
                <w:div w:id="894196165">
                  <w:marLeft w:val="0"/>
                  <w:marRight w:val="0"/>
                  <w:marTop w:val="0"/>
                  <w:marBottom w:val="0"/>
                  <w:divBdr>
                    <w:top w:val="none" w:sz="0" w:space="0" w:color="auto"/>
                    <w:left w:val="none" w:sz="0" w:space="0" w:color="auto"/>
                    <w:bottom w:val="none" w:sz="0" w:space="0" w:color="auto"/>
                    <w:right w:val="none" w:sz="0" w:space="0" w:color="auto"/>
                  </w:divBdr>
                  <w:divsChild>
                    <w:div w:id="38015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78150842">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641010">
      <w:bodyDiv w:val="1"/>
      <w:marLeft w:val="0"/>
      <w:marRight w:val="0"/>
      <w:marTop w:val="0"/>
      <w:marBottom w:val="0"/>
      <w:divBdr>
        <w:top w:val="none" w:sz="0" w:space="0" w:color="auto"/>
        <w:left w:val="none" w:sz="0" w:space="0" w:color="auto"/>
        <w:bottom w:val="none" w:sz="0" w:space="0" w:color="auto"/>
        <w:right w:val="none" w:sz="0" w:space="0" w:color="auto"/>
      </w:divBdr>
      <w:divsChild>
        <w:div w:id="2075425971">
          <w:marLeft w:val="0"/>
          <w:marRight w:val="0"/>
          <w:marTop w:val="0"/>
          <w:marBottom w:val="0"/>
          <w:divBdr>
            <w:top w:val="none" w:sz="0" w:space="0" w:color="auto"/>
            <w:left w:val="none" w:sz="0" w:space="0" w:color="auto"/>
            <w:bottom w:val="none" w:sz="0" w:space="0" w:color="auto"/>
            <w:right w:val="none" w:sz="0" w:space="0" w:color="auto"/>
          </w:divBdr>
          <w:divsChild>
            <w:div w:id="205337403">
              <w:marLeft w:val="0"/>
              <w:marRight w:val="0"/>
              <w:marTop w:val="0"/>
              <w:marBottom w:val="0"/>
              <w:divBdr>
                <w:top w:val="none" w:sz="0" w:space="0" w:color="auto"/>
                <w:left w:val="none" w:sz="0" w:space="0" w:color="auto"/>
                <w:bottom w:val="none" w:sz="0" w:space="0" w:color="auto"/>
                <w:right w:val="none" w:sz="0" w:space="0" w:color="auto"/>
              </w:divBdr>
              <w:divsChild>
                <w:div w:id="1457597653">
                  <w:marLeft w:val="0"/>
                  <w:marRight w:val="0"/>
                  <w:marTop w:val="0"/>
                  <w:marBottom w:val="0"/>
                  <w:divBdr>
                    <w:top w:val="none" w:sz="0" w:space="0" w:color="auto"/>
                    <w:left w:val="none" w:sz="0" w:space="0" w:color="auto"/>
                    <w:bottom w:val="none" w:sz="0" w:space="0" w:color="auto"/>
                    <w:right w:val="none" w:sz="0" w:space="0" w:color="auto"/>
                  </w:divBdr>
                  <w:divsChild>
                    <w:div w:id="1452169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12846565">
      <w:bodyDiv w:val="1"/>
      <w:marLeft w:val="0"/>
      <w:marRight w:val="0"/>
      <w:marTop w:val="0"/>
      <w:marBottom w:val="0"/>
      <w:divBdr>
        <w:top w:val="none" w:sz="0" w:space="0" w:color="auto"/>
        <w:left w:val="none" w:sz="0" w:space="0" w:color="auto"/>
        <w:bottom w:val="none" w:sz="0" w:space="0" w:color="auto"/>
        <w:right w:val="none" w:sz="0" w:space="0" w:color="auto"/>
      </w:divBdr>
    </w:div>
    <w:div w:id="512959422">
      <w:bodyDiv w:val="1"/>
      <w:marLeft w:val="0"/>
      <w:marRight w:val="0"/>
      <w:marTop w:val="0"/>
      <w:marBottom w:val="0"/>
      <w:divBdr>
        <w:top w:val="none" w:sz="0" w:space="0" w:color="auto"/>
        <w:left w:val="none" w:sz="0" w:space="0" w:color="auto"/>
        <w:bottom w:val="none" w:sz="0" w:space="0" w:color="auto"/>
        <w:right w:val="none" w:sz="0" w:space="0" w:color="auto"/>
      </w:divBdr>
    </w:div>
    <w:div w:id="519860012">
      <w:bodyDiv w:val="1"/>
      <w:marLeft w:val="0"/>
      <w:marRight w:val="0"/>
      <w:marTop w:val="0"/>
      <w:marBottom w:val="0"/>
      <w:divBdr>
        <w:top w:val="none" w:sz="0" w:space="0" w:color="auto"/>
        <w:left w:val="none" w:sz="0" w:space="0" w:color="auto"/>
        <w:bottom w:val="none" w:sz="0" w:space="0" w:color="auto"/>
        <w:right w:val="none" w:sz="0" w:space="0" w:color="auto"/>
      </w:divBdr>
      <w:divsChild>
        <w:div w:id="935869752">
          <w:marLeft w:val="0"/>
          <w:marRight w:val="0"/>
          <w:marTop w:val="0"/>
          <w:marBottom w:val="0"/>
          <w:divBdr>
            <w:top w:val="none" w:sz="0" w:space="0" w:color="auto"/>
            <w:left w:val="none" w:sz="0" w:space="0" w:color="auto"/>
            <w:bottom w:val="none" w:sz="0" w:space="0" w:color="auto"/>
            <w:right w:val="none" w:sz="0" w:space="0" w:color="auto"/>
          </w:divBdr>
          <w:divsChild>
            <w:div w:id="1469087117">
              <w:marLeft w:val="0"/>
              <w:marRight w:val="0"/>
              <w:marTop w:val="0"/>
              <w:marBottom w:val="0"/>
              <w:divBdr>
                <w:top w:val="none" w:sz="0" w:space="0" w:color="auto"/>
                <w:left w:val="none" w:sz="0" w:space="0" w:color="auto"/>
                <w:bottom w:val="none" w:sz="0" w:space="0" w:color="auto"/>
                <w:right w:val="none" w:sz="0" w:space="0" w:color="auto"/>
              </w:divBdr>
              <w:divsChild>
                <w:div w:id="1080370908">
                  <w:marLeft w:val="0"/>
                  <w:marRight w:val="0"/>
                  <w:marTop w:val="0"/>
                  <w:marBottom w:val="0"/>
                  <w:divBdr>
                    <w:top w:val="none" w:sz="0" w:space="0" w:color="auto"/>
                    <w:left w:val="none" w:sz="0" w:space="0" w:color="auto"/>
                    <w:bottom w:val="none" w:sz="0" w:space="0" w:color="auto"/>
                    <w:right w:val="none" w:sz="0" w:space="0" w:color="auto"/>
                  </w:divBdr>
                  <w:divsChild>
                    <w:div w:id="1690063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59361122">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69076510">
      <w:bodyDiv w:val="1"/>
      <w:marLeft w:val="0"/>
      <w:marRight w:val="0"/>
      <w:marTop w:val="0"/>
      <w:marBottom w:val="0"/>
      <w:divBdr>
        <w:top w:val="none" w:sz="0" w:space="0" w:color="auto"/>
        <w:left w:val="none" w:sz="0" w:space="0" w:color="auto"/>
        <w:bottom w:val="none" w:sz="0" w:space="0" w:color="auto"/>
        <w:right w:val="none" w:sz="0" w:space="0" w:color="auto"/>
      </w:divBdr>
    </w:div>
    <w:div w:id="581140375">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08127359">
      <w:bodyDiv w:val="1"/>
      <w:marLeft w:val="0"/>
      <w:marRight w:val="0"/>
      <w:marTop w:val="0"/>
      <w:marBottom w:val="0"/>
      <w:divBdr>
        <w:top w:val="none" w:sz="0" w:space="0" w:color="auto"/>
        <w:left w:val="none" w:sz="0" w:space="0" w:color="auto"/>
        <w:bottom w:val="none" w:sz="0" w:space="0" w:color="auto"/>
        <w:right w:val="none" w:sz="0" w:space="0" w:color="auto"/>
      </w:divBdr>
      <w:divsChild>
        <w:div w:id="1523393933">
          <w:marLeft w:val="0"/>
          <w:marRight w:val="0"/>
          <w:marTop w:val="0"/>
          <w:marBottom w:val="0"/>
          <w:divBdr>
            <w:top w:val="none" w:sz="0" w:space="0" w:color="auto"/>
            <w:left w:val="none" w:sz="0" w:space="0" w:color="auto"/>
            <w:bottom w:val="none" w:sz="0" w:space="0" w:color="auto"/>
            <w:right w:val="none" w:sz="0" w:space="0" w:color="auto"/>
          </w:divBdr>
          <w:divsChild>
            <w:div w:id="668682271">
              <w:marLeft w:val="0"/>
              <w:marRight w:val="0"/>
              <w:marTop w:val="0"/>
              <w:marBottom w:val="0"/>
              <w:divBdr>
                <w:top w:val="none" w:sz="0" w:space="0" w:color="auto"/>
                <w:left w:val="none" w:sz="0" w:space="0" w:color="auto"/>
                <w:bottom w:val="none" w:sz="0" w:space="0" w:color="auto"/>
                <w:right w:val="none" w:sz="0" w:space="0" w:color="auto"/>
              </w:divBdr>
              <w:divsChild>
                <w:div w:id="899948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66786160">
      <w:bodyDiv w:val="1"/>
      <w:marLeft w:val="0"/>
      <w:marRight w:val="0"/>
      <w:marTop w:val="0"/>
      <w:marBottom w:val="0"/>
      <w:divBdr>
        <w:top w:val="none" w:sz="0" w:space="0" w:color="auto"/>
        <w:left w:val="none" w:sz="0" w:space="0" w:color="auto"/>
        <w:bottom w:val="none" w:sz="0" w:space="0" w:color="auto"/>
        <w:right w:val="none" w:sz="0" w:space="0" w:color="auto"/>
      </w:divBdr>
    </w:div>
    <w:div w:id="670984687">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27996429">
      <w:bodyDiv w:val="1"/>
      <w:marLeft w:val="0"/>
      <w:marRight w:val="0"/>
      <w:marTop w:val="0"/>
      <w:marBottom w:val="0"/>
      <w:divBdr>
        <w:top w:val="none" w:sz="0" w:space="0" w:color="auto"/>
        <w:left w:val="none" w:sz="0" w:space="0" w:color="auto"/>
        <w:bottom w:val="none" w:sz="0" w:space="0" w:color="auto"/>
        <w:right w:val="none" w:sz="0" w:space="0" w:color="auto"/>
      </w:divBdr>
      <w:divsChild>
        <w:div w:id="1994790054">
          <w:marLeft w:val="0"/>
          <w:marRight w:val="0"/>
          <w:marTop w:val="0"/>
          <w:marBottom w:val="0"/>
          <w:divBdr>
            <w:top w:val="none" w:sz="0" w:space="0" w:color="auto"/>
            <w:left w:val="none" w:sz="0" w:space="0" w:color="auto"/>
            <w:bottom w:val="none" w:sz="0" w:space="0" w:color="auto"/>
            <w:right w:val="none" w:sz="0" w:space="0" w:color="auto"/>
          </w:divBdr>
          <w:divsChild>
            <w:div w:id="1492988414">
              <w:marLeft w:val="0"/>
              <w:marRight w:val="0"/>
              <w:marTop w:val="0"/>
              <w:marBottom w:val="0"/>
              <w:divBdr>
                <w:top w:val="none" w:sz="0" w:space="0" w:color="auto"/>
                <w:left w:val="none" w:sz="0" w:space="0" w:color="auto"/>
                <w:bottom w:val="none" w:sz="0" w:space="0" w:color="auto"/>
                <w:right w:val="none" w:sz="0" w:space="0" w:color="auto"/>
              </w:divBdr>
              <w:divsChild>
                <w:div w:id="6345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7657133">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2238690">
      <w:bodyDiv w:val="1"/>
      <w:marLeft w:val="0"/>
      <w:marRight w:val="0"/>
      <w:marTop w:val="0"/>
      <w:marBottom w:val="0"/>
      <w:divBdr>
        <w:top w:val="none" w:sz="0" w:space="0" w:color="auto"/>
        <w:left w:val="none" w:sz="0" w:space="0" w:color="auto"/>
        <w:bottom w:val="none" w:sz="0" w:space="0" w:color="auto"/>
        <w:right w:val="none" w:sz="0" w:space="0" w:color="auto"/>
      </w:divBdr>
      <w:divsChild>
        <w:div w:id="1005858410">
          <w:marLeft w:val="0"/>
          <w:marRight w:val="0"/>
          <w:marTop w:val="0"/>
          <w:marBottom w:val="0"/>
          <w:divBdr>
            <w:top w:val="none" w:sz="0" w:space="0" w:color="auto"/>
            <w:left w:val="none" w:sz="0" w:space="0" w:color="auto"/>
            <w:bottom w:val="none" w:sz="0" w:space="0" w:color="auto"/>
            <w:right w:val="none" w:sz="0" w:space="0" w:color="auto"/>
          </w:divBdr>
          <w:divsChild>
            <w:div w:id="874081206">
              <w:marLeft w:val="0"/>
              <w:marRight w:val="0"/>
              <w:marTop w:val="0"/>
              <w:marBottom w:val="0"/>
              <w:divBdr>
                <w:top w:val="none" w:sz="0" w:space="0" w:color="auto"/>
                <w:left w:val="none" w:sz="0" w:space="0" w:color="auto"/>
                <w:bottom w:val="none" w:sz="0" w:space="0" w:color="auto"/>
                <w:right w:val="none" w:sz="0" w:space="0" w:color="auto"/>
              </w:divBdr>
              <w:divsChild>
                <w:div w:id="1299800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4404285">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76798332">
      <w:bodyDiv w:val="1"/>
      <w:marLeft w:val="0"/>
      <w:marRight w:val="0"/>
      <w:marTop w:val="0"/>
      <w:marBottom w:val="0"/>
      <w:divBdr>
        <w:top w:val="none" w:sz="0" w:space="0" w:color="auto"/>
        <w:left w:val="none" w:sz="0" w:space="0" w:color="auto"/>
        <w:bottom w:val="none" w:sz="0" w:space="0" w:color="auto"/>
        <w:right w:val="none" w:sz="0" w:space="0" w:color="auto"/>
      </w:divBdr>
      <w:divsChild>
        <w:div w:id="642001577">
          <w:marLeft w:val="0"/>
          <w:marRight w:val="0"/>
          <w:marTop w:val="0"/>
          <w:marBottom w:val="0"/>
          <w:divBdr>
            <w:top w:val="none" w:sz="0" w:space="0" w:color="auto"/>
            <w:left w:val="none" w:sz="0" w:space="0" w:color="auto"/>
            <w:bottom w:val="none" w:sz="0" w:space="0" w:color="auto"/>
            <w:right w:val="none" w:sz="0" w:space="0" w:color="auto"/>
          </w:divBdr>
          <w:divsChild>
            <w:div w:id="1454715168">
              <w:marLeft w:val="0"/>
              <w:marRight w:val="0"/>
              <w:marTop w:val="0"/>
              <w:marBottom w:val="0"/>
              <w:divBdr>
                <w:top w:val="none" w:sz="0" w:space="0" w:color="auto"/>
                <w:left w:val="none" w:sz="0" w:space="0" w:color="auto"/>
                <w:bottom w:val="none" w:sz="0" w:space="0" w:color="auto"/>
                <w:right w:val="none" w:sz="0" w:space="0" w:color="auto"/>
              </w:divBdr>
              <w:divsChild>
                <w:div w:id="973949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41503518">
      <w:bodyDiv w:val="1"/>
      <w:marLeft w:val="0"/>
      <w:marRight w:val="0"/>
      <w:marTop w:val="0"/>
      <w:marBottom w:val="0"/>
      <w:divBdr>
        <w:top w:val="none" w:sz="0" w:space="0" w:color="auto"/>
        <w:left w:val="none" w:sz="0" w:space="0" w:color="auto"/>
        <w:bottom w:val="none" w:sz="0" w:space="0" w:color="auto"/>
        <w:right w:val="none" w:sz="0" w:space="0" w:color="auto"/>
      </w:divBdr>
      <w:divsChild>
        <w:div w:id="1472594732">
          <w:marLeft w:val="0"/>
          <w:marRight w:val="0"/>
          <w:marTop w:val="0"/>
          <w:marBottom w:val="0"/>
          <w:divBdr>
            <w:top w:val="none" w:sz="0" w:space="0" w:color="auto"/>
            <w:left w:val="none" w:sz="0" w:space="0" w:color="auto"/>
            <w:bottom w:val="none" w:sz="0" w:space="0" w:color="auto"/>
            <w:right w:val="none" w:sz="0" w:space="0" w:color="auto"/>
          </w:divBdr>
          <w:divsChild>
            <w:div w:id="558857304">
              <w:marLeft w:val="0"/>
              <w:marRight w:val="0"/>
              <w:marTop w:val="0"/>
              <w:marBottom w:val="0"/>
              <w:divBdr>
                <w:top w:val="none" w:sz="0" w:space="0" w:color="auto"/>
                <w:left w:val="none" w:sz="0" w:space="0" w:color="auto"/>
                <w:bottom w:val="none" w:sz="0" w:space="0" w:color="auto"/>
                <w:right w:val="none" w:sz="0" w:space="0" w:color="auto"/>
              </w:divBdr>
              <w:divsChild>
                <w:div w:id="164450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830520">
      <w:bodyDiv w:val="1"/>
      <w:marLeft w:val="0"/>
      <w:marRight w:val="0"/>
      <w:marTop w:val="0"/>
      <w:marBottom w:val="0"/>
      <w:divBdr>
        <w:top w:val="none" w:sz="0" w:space="0" w:color="auto"/>
        <w:left w:val="none" w:sz="0" w:space="0" w:color="auto"/>
        <w:bottom w:val="none" w:sz="0" w:space="0" w:color="auto"/>
        <w:right w:val="none" w:sz="0" w:space="0" w:color="auto"/>
      </w:divBdr>
    </w:div>
    <w:div w:id="850337716">
      <w:bodyDiv w:val="1"/>
      <w:marLeft w:val="0"/>
      <w:marRight w:val="0"/>
      <w:marTop w:val="0"/>
      <w:marBottom w:val="0"/>
      <w:divBdr>
        <w:top w:val="none" w:sz="0" w:space="0" w:color="auto"/>
        <w:left w:val="none" w:sz="0" w:space="0" w:color="auto"/>
        <w:bottom w:val="none" w:sz="0" w:space="0" w:color="auto"/>
        <w:right w:val="none" w:sz="0" w:space="0" w:color="auto"/>
      </w:divBdr>
      <w:divsChild>
        <w:div w:id="1303539871">
          <w:marLeft w:val="0"/>
          <w:marRight w:val="0"/>
          <w:marTop w:val="0"/>
          <w:marBottom w:val="0"/>
          <w:divBdr>
            <w:top w:val="none" w:sz="0" w:space="0" w:color="auto"/>
            <w:left w:val="none" w:sz="0" w:space="0" w:color="auto"/>
            <w:bottom w:val="none" w:sz="0" w:space="0" w:color="auto"/>
            <w:right w:val="none" w:sz="0" w:space="0" w:color="auto"/>
          </w:divBdr>
          <w:divsChild>
            <w:div w:id="494688211">
              <w:marLeft w:val="0"/>
              <w:marRight w:val="0"/>
              <w:marTop w:val="0"/>
              <w:marBottom w:val="0"/>
              <w:divBdr>
                <w:top w:val="none" w:sz="0" w:space="0" w:color="auto"/>
                <w:left w:val="none" w:sz="0" w:space="0" w:color="auto"/>
                <w:bottom w:val="none" w:sz="0" w:space="0" w:color="auto"/>
                <w:right w:val="none" w:sz="0" w:space="0" w:color="auto"/>
              </w:divBdr>
              <w:divsChild>
                <w:div w:id="1644038439">
                  <w:marLeft w:val="0"/>
                  <w:marRight w:val="0"/>
                  <w:marTop w:val="0"/>
                  <w:marBottom w:val="0"/>
                  <w:divBdr>
                    <w:top w:val="none" w:sz="0" w:space="0" w:color="auto"/>
                    <w:left w:val="none" w:sz="0" w:space="0" w:color="auto"/>
                    <w:bottom w:val="none" w:sz="0" w:space="0" w:color="auto"/>
                    <w:right w:val="none" w:sz="0" w:space="0" w:color="auto"/>
                  </w:divBdr>
                  <w:divsChild>
                    <w:div w:id="93240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048670">
      <w:bodyDiv w:val="1"/>
      <w:marLeft w:val="0"/>
      <w:marRight w:val="0"/>
      <w:marTop w:val="0"/>
      <w:marBottom w:val="0"/>
      <w:divBdr>
        <w:top w:val="none" w:sz="0" w:space="0" w:color="auto"/>
        <w:left w:val="none" w:sz="0" w:space="0" w:color="auto"/>
        <w:bottom w:val="none" w:sz="0" w:space="0" w:color="auto"/>
        <w:right w:val="none" w:sz="0" w:space="0" w:color="auto"/>
      </w:divBdr>
    </w:div>
    <w:div w:id="879591178">
      <w:bodyDiv w:val="1"/>
      <w:marLeft w:val="0"/>
      <w:marRight w:val="0"/>
      <w:marTop w:val="0"/>
      <w:marBottom w:val="0"/>
      <w:divBdr>
        <w:top w:val="none" w:sz="0" w:space="0" w:color="auto"/>
        <w:left w:val="none" w:sz="0" w:space="0" w:color="auto"/>
        <w:bottom w:val="none" w:sz="0" w:space="0" w:color="auto"/>
        <w:right w:val="none" w:sz="0" w:space="0" w:color="auto"/>
      </w:divBdr>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94200762">
      <w:bodyDiv w:val="1"/>
      <w:marLeft w:val="0"/>
      <w:marRight w:val="0"/>
      <w:marTop w:val="0"/>
      <w:marBottom w:val="0"/>
      <w:divBdr>
        <w:top w:val="none" w:sz="0" w:space="0" w:color="auto"/>
        <w:left w:val="none" w:sz="0" w:space="0" w:color="auto"/>
        <w:bottom w:val="none" w:sz="0" w:space="0" w:color="auto"/>
        <w:right w:val="none" w:sz="0" w:space="0" w:color="auto"/>
      </w:divBdr>
    </w:div>
    <w:div w:id="894463004">
      <w:bodyDiv w:val="1"/>
      <w:marLeft w:val="0"/>
      <w:marRight w:val="0"/>
      <w:marTop w:val="0"/>
      <w:marBottom w:val="0"/>
      <w:divBdr>
        <w:top w:val="none" w:sz="0" w:space="0" w:color="auto"/>
        <w:left w:val="none" w:sz="0" w:space="0" w:color="auto"/>
        <w:bottom w:val="none" w:sz="0" w:space="0" w:color="auto"/>
        <w:right w:val="none" w:sz="0" w:space="0" w:color="auto"/>
      </w:divBdr>
      <w:divsChild>
        <w:div w:id="68617061">
          <w:marLeft w:val="0"/>
          <w:marRight w:val="0"/>
          <w:marTop w:val="0"/>
          <w:marBottom w:val="0"/>
          <w:divBdr>
            <w:top w:val="none" w:sz="0" w:space="0" w:color="auto"/>
            <w:left w:val="none" w:sz="0" w:space="0" w:color="auto"/>
            <w:bottom w:val="none" w:sz="0" w:space="0" w:color="auto"/>
            <w:right w:val="none" w:sz="0" w:space="0" w:color="auto"/>
          </w:divBdr>
          <w:divsChild>
            <w:div w:id="1053651746">
              <w:marLeft w:val="0"/>
              <w:marRight w:val="0"/>
              <w:marTop w:val="0"/>
              <w:marBottom w:val="0"/>
              <w:divBdr>
                <w:top w:val="none" w:sz="0" w:space="0" w:color="auto"/>
                <w:left w:val="none" w:sz="0" w:space="0" w:color="auto"/>
                <w:bottom w:val="none" w:sz="0" w:space="0" w:color="auto"/>
                <w:right w:val="none" w:sz="0" w:space="0" w:color="auto"/>
              </w:divBdr>
              <w:divsChild>
                <w:div w:id="443117741">
                  <w:marLeft w:val="0"/>
                  <w:marRight w:val="0"/>
                  <w:marTop w:val="0"/>
                  <w:marBottom w:val="0"/>
                  <w:divBdr>
                    <w:top w:val="none" w:sz="0" w:space="0" w:color="auto"/>
                    <w:left w:val="none" w:sz="0" w:space="0" w:color="auto"/>
                    <w:bottom w:val="none" w:sz="0" w:space="0" w:color="auto"/>
                    <w:right w:val="none" w:sz="0" w:space="0" w:color="auto"/>
                  </w:divBdr>
                  <w:divsChild>
                    <w:div w:id="302927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3639335">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2814326">
      <w:bodyDiv w:val="1"/>
      <w:marLeft w:val="0"/>
      <w:marRight w:val="0"/>
      <w:marTop w:val="0"/>
      <w:marBottom w:val="0"/>
      <w:divBdr>
        <w:top w:val="none" w:sz="0" w:space="0" w:color="auto"/>
        <w:left w:val="none" w:sz="0" w:space="0" w:color="auto"/>
        <w:bottom w:val="none" w:sz="0" w:space="0" w:color="auto"/>
        <w:right w:val="none" w:sz="0" w:space="0" w:color="auto"/>
      </w:divBdr>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3296817">
      <w:bodyDiv w:val="1"/>
      <w:marLeft w:val="0"/>
      <w:marRight w:val="0"/>
      <w:marTop w:val="0"/>
      <w:marBottom w:val="0"/>
      <w:divBdr>
        <w:top w:val="none" w:sz="0" w:space="0" w:color="auto"/>
        <w:left w:val="none" w:sz="0" w:space="0" w:color="auto"/>
        <w:bottom w:val="none" w:sz="0" w:space="0" w:color="auto"/>
        <w:right w:val="none" w:sz="0" w:space="0" w:color="auto"/>
      </w:divBdr>
    </w:div>
    <w:div w:id="925843760">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1285824">
      <w:bodyDiv w:val="1"/>
      <w:marLeft w:val="0"/>
      <w:marRight w:val="0"/>
      <w:marTop w:val="0"/>
      <w:marBottom w:val="0"/>
      <w:divBdr>
        <w:top w:val="none" w:sz="0" w:space="0" w:color="auto"/>
        <w:left w:val="none" w:sz="0" w:space="0" w:color="auto"/>
        <w:bottom w:val="none" w:sz="0" w:space="0" w:color="auto"/>
        <w:right w:val="none" w:sz="0" w:space="0" w:color="auto"/>
      </w:divBdr>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25904290">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86416888">
      <w:bodyDiv w:val="1"/>
      <w:marLeft w:val="0"/>
      <w:marRight w:val="0"/>
      <w:marTop w:val="0"/>
      <w:marBottom w:val="0"/>
      <w:divBdr>
        <w:top w:val="none" w:sz="0" w:space="0" w:color="auto"/>
        <w:left w:val="none" w:sz="0" w:space="0" w:color="auto"/>
        <w:bottom w:val="none" w:sz="0" w:space="0" w:color="auto"/>
        <w:right w:val="none" w:sz="0" w:space="0" w:color="auto"/>
      </w:divBdr>
    </w:div>
    <w:div w:id="1102533683">
      <w:bodyDiv w:val="1"/>
      <w:marLeft w:val="0"/>
      <w:marRight w:val="0"/>
      <w:marTop w:val="0"/>
      <w:marBottom w:val="0"/>
      <w:divBdr>
        <w:top w:val="none" w:sz="0" w:space="0" w:color="auto"/>
        <w:left w:val="none" w:sz="0" w:space="0" w:color="auto"/>
        <w:bottom w:val="none" w:sz="0" w:space="0" w:color="auto"/>
        <w:right w:val="none" w:sz="0" w:space="0" w:color="auto"/>
      </w:divBdr>
      <w:divsChild>
        <w:div w:id="937952928">
          <w:marLeft w:val="0"/>
          <w:marRight w:val="0"/>
          <w:marTop w:val="0"/>
          <w:marBottom w:val="0"/>
          <w:divBdr>
            <w:top w:val="none" w:sz="0" w:space="0" w:color="auto"/>
            <w:left w:val="none" w:sz="0" w:space="0" w:color="auto"/>
            <w:bottom w:val="none" w:sz="0" w:space="0" w:color="auto"/>
            <w:right w:val="none" w:sz="0" w:space="0" w:color="auto"/>
          </w:divBdr>
          <w:divsChild>
            <w:div w:id="266161672">
              <w:marLeft w:val="0"/>
              <w:marRight w:val="0"/>
              <w:marTop w:val="0"/>
              <w:marBottom w:val="0"/>
              <w:divBdr>
                <w:top w:val="none" w:sz="0" w:space="0" w:color="auto"/>
                <w:left w:val="none" w:sz="0" w:space="0" w:color="auto"/>
                <w:bottom w:val="none" w:sz="0" w:space="0" w:color="auto"/>
                <w:right w:val="none" w:sz="0" w:space="0" w:color="auto"/>
              </w:divBdr>
              <w:divsChild>
                <w:div w:id="1082483636">
                  <w:marLeft w:val="0"/>
                  <w:marRight w:val="0"/>
                  <w:marTop w:val="0"/>
                  <w:marBottom w:val="0"/>
                  <w:divBdr>
                    <w:top w:val="none" w:sz="0" w:space="0" w:color="auto"/>
                    <w:left w:val="none" w:sz="0" w:space="0" w:color="auto"/>
                    <w:bottom w:val="none" w:sz="0" w:space="0" w:color="auto"/>
                    <w:right w:val="none" w:sz="0" w:space="0" w:color="auto"/>
                  </w:divBdr>
                  <w:divsChild>
                    <w:div w:id="167137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08046331">
      <w:bodyDiv w:val="1"/>
      <w:marLeft w:val="0"/>
      <w:marRight w:val="0"/>
      <w:marTop w:val="0"/>
      <w:marBottom w:val="0"/>
      <w:divBdr>
        <w:top w:val="none" w:sz="0" w:space="0" w:color="auto"/>
        <w:left w:val="none" w:sz="0" w:space="0" w:color="auto"/>
        <w:bottom w:val="none" w:sz="0" w:space="0" w:color="auto"/>
        <w:right w:val="none" w:sz="0" w:space="0" w:color="auto"/>
      </w:divBdr>
      <w:divsChild>
        <w:div w:id="1363172650">
          <w:marLeft w:val="0"/>
          <w:marRight w:val="0"/>
          <w:marTop w:val="0"/>
          <w:marBottom w:val="0"/>
          <w:divBdr>
            <w:top w:val="none" w:sz="0" w:space="0" w:color="auto"/>
            <w:left w:val="none" w:sz="0" w:space="0" w:color="auto"/>
            <w:bottom w:val="none" w:sz="0" w:space="0" w:color="auto"/>
            <w:right w:val="none" w:sz="0" w:space="0" w:color="auto"/>
          </w:divBdr>
          <w:divsChild>
            <w:div w:id="1155224784">
              <w:marLeft w:val="0"/>
              <w:marRight w:val="0"/>
              <w:marTop w:val="0"/>
              <w:marBottom w:val="0"/>
              <w:divBdr>
                <w:top w:val="none" w:sz="0" w:space="0" w:color="auto"/>
                <w:left w:val="none" w:sz="0" w:space="0" w:color="auto"/>
                <w:bottom w:val="none" w:sz="0" w:space="0" w:color="auto"/>
                <w:right w:val="none" w:sz="0" w:space="0" w:color="auto"/>
              </w:divBdr>
              <w:divsChild>
                <w:div w:id="1605845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715178">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4709385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1649574">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2572790">
      <w:bodyDiv w:val="1"/>
      <w:marLeft w:val="0"/>
      <w:marRight w:val="0"/>
      <w:marTop w:val="0"/>
      <w:marBottom w:val="0"/>
      <w:divBdr>
        <w:top w:val="none" w:sz="0" w:space="0" w:color="auto"/>
        <w:left w:val="none" w:sz="0" w:space="0" w:color="auto"/>
        <w:bottom w:val="none" w:sz="0" w:space="0" w:color="auto"/>
        <w:right w:val="none" w:sz="0" w:space="0" w:color="auto"/>
      </w:divBdr>
    </w:div>
    <w:div w:id="1213425965">
      <w:bodyDiv w:val="1"/>
      <w:marLeft w:val="0"/>
      <w:marRight w:val="0"/>
      <w:marTop w:val="0"/>
      <w:marBottom w:val="0"/>
      <w:divBdr>
        <w:top w:val="none" w:sz="0" w:space="0" w:color="auto"/>
        <w:left w:val="none" w:sz="0" w:space="0" w:color="auto"/>
        <w:bottom w:val="none" w:sz="0" w:space="0" w:color="auto"/>
        <w:right w:val="none" w:sz="0" w:space="0" w:color="auto"/>
      </w:divBdr>
      <w:divsChild>
        <w:div w:id="1898123514">
          <w:marLeft w:val="0"/>
          <w:marRight w:val="0"/>
          <w:marTop w:val="0"/>
          <w:marBottom w:val="0"/>
          <w:divBdr>
            <w:top w:val="none" w:sz="0" w:space="0" w:color="auto"/>
            <w:left w:val="none" w:sz="0" w:space="0" w:color="auto"/>
            <w:bottom w:val="none" w:sz="0" w:space="0" w:color="auto"/>
            <w:right w:val="none" w:sz="0" w:space="0" w:color="auto"/>
          </w:divBdr>
          <w:divsChild>
            <w:div w:id="577178891">
              <w:marLeft w:val="0"/>
              <w:marRight w:val="0"/>
              <w:marTop w:val="0"/>
              <w:marBottom w:val="0"/>
              <w:divBdr>
                <w:top w:val="none" w:sz="0" w:space="0" w:color="auto"/>
                <w:left w:val="none" w:sz="0" w:space="0" w:color="auto"/>
                <w:bottom w:val="none" w:sz="0" w:space="0" w:color="auto"/>
                <w:right w:val="none" w:sz="0" w:space="0" w:color="auto"/>
              </w:divBdr>
              <w:divsChild>
                <w:div w:id="1346323552">
                  <w:marLeft w:val="0"/>
                  <w:marRight w:val="0"/>
                  <w:marTop w:val="0"/>
                  <w:marBottom w:val="0"/>
                  <w:divBdr>
                    <w:top w:val="none" w:sz="0" w:space="0" w:color="auto"/>
                    <w:left w:val="none" w:sz="0" w:space="0" w:color="auto"/>
                    <w:bottom w:val="none" w:sz="0" w:space="0" w:color="auto"/>
                    <w:right w:val="none" w:sz="0" w:space="0" w:color="auto"/>
                  </w:divBdr>
                  <w:divsChild>
                    <w:div w:id="53616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27375474">
      <w:bodyDiv w:val="1"/>
      <w:marLeft w:val="0"/>
      <w:marRight w:val="0"/>
      <w:marTop w:val="0"/>
      <w:marBottom w:val="0"/>
      <w:divBdr>
        <w:top w:val="none" w:sz="0" w:space="0" w:color="auto"/>
        <w:left w:val="none" w:sz="0" w:space="0" w:color="auto"/>
        <w:bottom w:val="none" w:sz="0" w:space="0" w:color="auto"/>
        <w:right w:val="none" w:sz="0" w:space="0" w:color="auto"/>
      </w:divBdr>
    </w:div>
    <w:div w:id="1246646857">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09088797">
      <w:bodyDiv w:val="1"/>
      <w:marLeft w:val="0"/>
      <w:marRight w:val="0"/>
      <w:marTop w:val="0"/>
      <w:marBottom w:val="0"/>
      <w:divBdr>
        <w:top w:val="none" w:sz="0" w:space="0" w:color="auto"/>
        <w:left w:val="none" w:sz="0" w:space="0" w:color="auto"/>
        <w:bottom w:val="none" w:sz="0" w:space="0" w:color="auto"/>
        <w:right w:val="none" w:sz="0" w:space="0" w:color="auto"/>
      </w:divBdr>
    </w:div>
    <w:div w:id="1312295347">
      <w:bodyDiv w:val="1"/>
      <w:marLeft w:val="0"/>
      <w:marRight w:val="0"/>
      <w:marTop w:val="0"/>
      <w:marBottom w:val="0"/>
      <w:divBdr>
        <w:top w:val="none" w:sz="0" w:space="0" w:color="auto"/>
        <w:left w:val="none" w:sz="0" w:space="0" w:color="auto"/>
        <w:bottom w:val="none" w:sz="0" w:space="0" w:color="auto"/>
        <w:right w:val="none" w:sz="0" w:space="0" w:color="auto"/>
      </w:divBdr>
    </w:div>
    <w:div w:id="1314288308">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0426134">
      <w:bodyDiv w:val="1"/>
      <w:marLeft w:val="0"/>
      <w:marRight w:val="0"/>
      <w:marTop w:val="0"/>
      <w:marBottom w:val="0"/>
      <w:divBdr>
        <w:top w:val="none" w:sz="0" w:space="0" w:color="auto"/>
        <w:left w:val="none" w:sz="0" w:space="0" w:color="auto"/>
        <w:bottom w:val="none" w:sz="0" w:space="0" w:color="auto"/>
        <w:right w:val="none" w:sz="0" w:space="0" w:color="auto"/>
      </w:divBdr>
    </w:div>
    <w:div w:id="1327973237">
      <w:bodyDiv w:val="1"/>
      <w:marLeft w:val="0"/>
      <w:marRight w:val="0"/>
      <w:marTop w:val="0"/>
      <w:marBottom w:val="0"/>
      <w:divBdr>
        <w:top w:val="none" w:sz="0" w:space="0" w:color="auto"/>
        <w:left w:val="none" w:sz="0" w:space="0" w:color="auto"/>
        <w:bottom w:val="none" w:sz="0" w:space="0" w:color="auto"/>
        <w:right w:val="none" w:sz="0" w:space="0" w:color="auto"/>
      </w:divBdr>
    </w:div>
    <w:div w:id="1329864676">
      <w:bodyDiv w:val="1"/>
      <w:marLeft w:val="0"/>
      <w:marRight w:val="0"/>
      <w:marTop w:val="0"/>
      <w:marBottom w:val="0"/>
      <w:divBdr>
        <w:top w:val="none" w:sz="0" w:space="0" w:color="auto"/>
        <w:left w:val="none" w:sz="0" w:space="0" w:color="auto"/>
        <w:bottom w:val="none" w:sz="0" w:space="0" w:color="auto"/>
        <w:right w:val="none" w:sz="0" w:space="0" w:color="auto"/>
      </w:divBdr>
      <w:divsChild>
        <w:div w:id="385421705">
          <w:marLeft w:val="0"/>
          <w:marRight w:val="0"/>
          <w:marTop w:val="0"/>
          <w:marBottom w:val="0"/>
          <w:divBdr>
            <w:top w:val="none" w:sz="0" w:space="0" w:color="auto"/>
            <w:left w:val="none" w:sz="0" w:space="0" w:color="auto"/>
            <w:bottom w:val="none" w:sz="0" w:space="0" w:color="auto"/>
            <w:right w:val="none" w:sz="0" w:space="0" w:color="auto"/>
          </w:divBdr>
          <w:divsChild>
            <w:div w:id="17966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4213872">
      <w:bodyDiv w:val="1"/>
      <w:marLeft w:val="0"/>
      <w:marRight w:val="0"/>
      <w:marTop w:val="0"/>
      <w:marBottom w:val="0"/>
      <w:divBdr>
        <w:top w:val="none" w:sz="0" w:space="0" w:color="auto"/>
        <w:left w:val="none" w:sz="0" w:space="0" w:color="auto"/>
        <w:bottom w:val="none" w:sz="0" w:space="0" w:color="auto"/>
        <w:right w:val="none" w:sz="0" w:space="0" w:color="auto"/>
      </w:divBdr>
      <w:divsChild>
        <w:div w:id="694817135">
          <w:marLeft w:val="0"/>
          <w:marRight w:val="0"/>
          <w:marTop w:val="0"/>
          <w:marBottom w:val="0"/>
          <w:divBdr>
            <w:top w:val="none" w:sz="0" w:space="0" w:color="auto"/>
            <w:left w:val="none" w:sz="0" w:space="0" w:color="auto"/>
            <w:bottom w:val="none" w:sz="0" w:space="0" w:color="auto"/>
            <w:right w:val="none" w:sz="0" w:space="0" w:color="auto"/>
          </w:divBdr>
          <w:divsChild>
            <w:div w:id="1524246835">
              <w:marLeft w:val="0"/>
              <w:marRight w:val="0"/>
              <w:marTop w:val="0"/>
              <w:marBottom w:val="0"/>
              <w:divBdr>
                <w:top w:val="none" w:sz="0" w:space="0" w:color="auto"/>
                <w:left w:val="none" w:sz="0" w:space="0" w:color="auto"/>
                <w:bottom w:val="none" w:sz="0" w:space="0" w:color="auto"/>
                <w:right w:val="none" w:sz="0" w:space="0" w:color="auto"/>
              </w:divBdr>
              <w:divsChild>
                <w:div w:id="667445988">
                  <w:marLeft w:val="0"/>
                  <w:marRight w:val="0"/>
                  <w:marTop w:val="0"/>
                  <w:marBottom w:val="0"/>
                  <w:divBdr>
                    <w:top w:val="none" w:sz="0" w:space="0" w:color="auto"/>
                    <w:left w:val="none" w:sz="0" w:space="0" w:color="auto"/>
                    <w:bottom w:val="none" w:sz="0" w:space="0" w:color="auto"/>
                    <w:right w:val="none" w:sz="0" w:space="0" w:color="auto"/>
                  </w:divBdr>
                  <w:divsChild>
                    <w:div w:id="1787580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8334555">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4376343">
      <w:bodyDiv w:val="1"/>
      <w:marLeft w:val="0"/>
      <w:marRight w:val="0"/>
      <w:marTop w:val="0"/>
      <w:marBottom w:val="0"/>
      <w:divBdr>
        <w:top w:val="none" w:sz="0" w:space="0" w:color="auto"/>
        <w:left w:val="none" w:sz="0" w:space="0" w:color="auto"/>
        <w:bottom w:val="none" w:sz="0" w:space="0" w:color="auto"/>
        <w:right w:val="none" w:sz="0" w:space="0" w:color="auto"/>
      </w:divBdr>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48960988">
      <w:bodyDiv w:val="1"/>
      <w:marLeft w:val="0"/>
      <w:marRight w:val="0"/>
      <w:marTop w:val="0"/>
      <w:marBottom w:val="0"/>
      <w:divBdr>
        <w:top w:val="none" w:sz="0" w:space="0" w:color="auto"/>
        <w:left w:val="none" w:sz="0" w:space="0" w:color="auto"/>
        <w:bottom w:val="none" w:sz="0" w:space="0" w:color="auto"/>
        <w:right w:val="none" w:sz="0" w:space="0" w:color="auto"/>
      </w:divBdr>
    </w:div>
    <w:div w:id="1462529466">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89908005">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7138254">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66140219">
      <w:bodyDiv w:val="1"/>
      <w:marLeft w:val="0"/>
      <w:marRight w:val="0"/>
      <w:marTop w:val="0"/>
      <w:marBottom w:val="0"/>
      <w:divBdr>
        <w:top w:val="none" w:sz="0" w:space="0" w:color="auto"/>
        <w:left w:val="none" w:sz="0" w:space="0" w:color="auto"/>
        <w:bottom w:val="none" w:sz="0" w:space="0" w:color="auto"/>
        <w:right w:val="none" w:sz="0" w:space="0" w:color="auto"/>
      </w:divBdr>
    </w:div>
    <w:div w:id="1573925530">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01329495">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0284887">
      <w:bodyDiv w:val="1"/>
      <w:marLeft w:val="0"/>
      <w:marRight w:val="0"/>
      <w:marTop w:val="0"/>
      <w:marBottom w:val="0"/>
      <w:divBdr>
        <w:top w:val="none" w:sz="0" w:space="0" w:color="auto"/>
        <w:left w:val="none" w:sz="0" w:space="0" w:color="auto"/>
        <w:bottom w:val="none" w:sz="0" w:space="0" w:color="auto"/>
        <w:right w:val="none" w:sz="0" w:space="0" w:color="auto"/>
      </w:divBdr>
      <w:divsChild>
        <w:div w:id="927079769">
          <w:marLeft w:val="0"/>
          <w:marRight w:val="0"/>
          <w:marTop w:val="0"/>
          <w:marBottom w:val="0"/>
          <w:divBdr>
            <w:top w:val="none" w:sz="0" w:space="0" w:color="auto"/>
            <w:left w:val="none" w:sz="0" w:space="0" w:color="auto"/>
            <w:bottom w:val="none" w:sz="0" w:space="0" w:color="auto"/>
            <w:right w:val="none" w:sz="0" w:space="0" w:color="auto"/>
          </w:divBdr>
          <w:divsChild>
            <w:div w:id="1644701967">
              <w:marLeft w:val="0"/>
              <w:marRight w:val="0"/>
              <w:marTop w:val="0"/>
              <w:marBottom w:val="0"/>
              <w:divBdr>
                <w:top w:val="none" w:sz="0" w:space="0" w:color="auto"/>
                <w:left w:val="none" w:sz="0" w:space="0" w:color="auto"/>
                <w:bottom w:val="none" w:sz="0" w:space="0" w:color="auto"/>
                <w:right w:val="none" w:sz="0" w:space="0" w:color="auto"/>
              </w:divBdr>
              <w:divsChild>
                <w:div w:id="371923142">
                  <w:marLeft w:val="0"/>
                  <w:marRight w:val="0"/>
                  <w:marTop w:val="0"/>
                  <w:marBottom w:val="0"/>
                  <w:divBdr>
                    <w:top w:val="none" w:sz="0" w:space="0" w:color="auto"/>
                    <w:left w:val="none" w:sz="0" w:space="0" w:color="auto"/>
                    <w:bottom w:val="none" w:sz="0" w:space="0" w:color="auto"/>
                    <w:right w:val="none" w:sz="0" w:space="0" w:color="auto"/>
                  </w:divBdr>
                  <w:divsChild>
                    <w:div w:id="1952516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3193784">
      <w:bodyDiv w:val="1"/>
      <w:marLeft w:val="0"/>
      <w:marRight w:val="0"/>
      <w:marTop w:val="0"/>
      <w:marBottom w:val="0"/>
      <w:divBdr>
        <w:top w:val="none" w:sz="0" w:space="0" w:color="auto"/>
        <w:left w:val="none" w:sz="0" w:space="0" w:color="auto"/>
        <w:bottom w:val="none" w:sz="0" w:space="0" w:color="auto"/>
        <w:right w:val="none" w:sz="0" w:space="0" w:color="auto"/>
      </w:divBdr>
      <w:divsChild>
        <w:div w:id="1417903108">
          <w:marLeft w:val="0"/>
          <w:marRight w:val="0"/>
          <w:marTop w:val="0"/>
          <w:marBottom w:val="0"/>
          <w:divBdr>
            <w:top w:val="none" w:sz="0" w:space="0" w:color="auto"/>
            <w:left w:val="none" w:sz="0" w:space="0" w:color="auto"/>
            <w:bottom w:val="none" w:sz="0" w:space="0" w:color="auto"/>
            <w:right w:val="none" w:sz="0" w:space="0" w:color="auto"/>
          </w:divBdr>
          <w:divsChild>
            <w:div w:id="1264530621">
              <w:marLeft w:val="0"/>
              <w:marRight w:val="0"/>
              <w:marTop w:val="0"/>
              <w:marBottom w:val="0"/>
              <w:divBdr>
                <w:top w:val="none" w:sz="0" w:space="0" w:color="auto"/>
                <w:left w:val="none" w:sz="0" w:space="0" w:color="auto"/>
                <w:bottom w:val="none" w:sz="0" w:space="0" w:color="auto"/>
                <w:right w:val="none" w:sz="0" w:space="0" w:color="auto"/>
              </w:divBdr>
              <w:divsChild>
                <w:div w:id="1960649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5423701">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410328">
      <w:bodyDiv w:val="1"/>
      <w:marLeft w:val="0"/>
      <w:marRight w:val="0"/>
      <w:marTop w:val="0"/>
      <w:marBottom w:val="0"/>
      <w:divBdr>
        <w:top w:val="none" w:sz="0" w:space="0" w:color="auto"/>
        <w:left w:val="none" w:sz="0" w:space="0" w:color="auto"/>
        <w:bottom w:val="none" w:sz="0" w:space="0" w:color="auto"/>
        <w:right w:val="none" w:sz="0" w:space="0" w:color="auto"/>
      </w:divBdr>
      <w:divsChild>
        <w:div w:id="932855324">
          <w:marLeft w:val="0"/>
          <w:marRight w:val="0"/>
          <w:marTop w:val="0"/>
          <w:marBottom w:val="0"/>
          <w:divBdr>
            <w:top w:val="none" w:sz="0" w:space="0" w:color="auto"/>
            <w:left w:val="none" w:sz="0" w:space="0" w:color="auto"/>
            <w:bottom w:val="none" w:sz="0" w:space="0" w:color="auto"/>
            <w:right w:val="none" w:sz="0" w:space="0" w:color="auto"/>
          </w:divBdr>
          <w:divsChild>
            <w:div w:id="984509499">
              <w:marLeft w:val="0"/>
              <w:marRight w:val="0"/>
              <w:marTop w:val="0"/>
              <w:marBottom w:val="0"/>
              <w:divBdr>
                <w:top w:val="none" w:sz="0" w:space="0" w:color="auto"/>
                <w:left w:val="none" w:sz="0" w:space="0" w:color="auto"/>
                <w:bottom w:val="none" w:sz="0" w:space="0" w:color="auto"/>
                <w:right w:val="none" w:sz="0" w:space="0" w:color="auto"/>
              </w:divBdr>
              <w:divsChild>
                <w:div w:id="1891262088">
                  <w:marLeft w:val="0"/>
                  <w:marRight w:val="0"/>
                  <w:marTop w:val="0"/>
                  <w:marBottom w:val="0"/>
                  <w:divBdr>
                    <w:top w:val="none" w:sz="0" w:space="0" w:color="auto"/>
                    <w:left w:val="none" w:sz="0" w:space="0" w:color="auto"/>
                    <w:bottom w:val="none" w:sz="0" w:space="0" w:color="auto"/>
                    <w:right w:val="none" w:sz="0" w:space="0" w:color="auto"/>
                  </w:divBdr>
                  <w:divsChild>
                    <w:div w:id="69195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48769308">
      <w:bodyDiv w:val="1"/>
      <w:marLeft w:val="0"/>
      <w:marRight w:val="0"/>
      <w:marTop w:val="0"/>
      <w:marBottom w:val="0"/>
      <w:divBdr>
        <w:top w:val="none" w:sz="0" w:space="0" w:color="auto"/>
        <w:left w:val="none" w:sz="0" w:space="0" w:color="auto"/>
        <w:bottom w:val="none" w:sz="0" w:space="0" w:color="auto"/>
        <w:right w:val="none" w:sz="0" w:space="0" w:color="auto"/>
      </w:divBdr>
      <w:divsChild>
        <w:div w:id="849875501">
          <w:marLeft w:val="0"/>
          <w:marRight w:val="0"/>
          <w:marTop w:val="0"/>
          <w:marBottom w:val="0"/>
          <w:divBdr>
            <w:top w:val="none" w:sz="0" w:space="0" w:color="auto"/>
            <w:left w:val="none" w:sz="0" w:space="0" w:color="auto"/>
            <w:bottom w:val="none" w:sz="0" w:space="0" w:color="auto"/>
            <w:right w:val="none" w:sz="0" w:space="0" w:color="auto"/>
          </w:divBdr>
          <w:divsChild>
            <w:div w:id="627515589">
              <w:marLeft w:val="0"/>
              <w:marRight w:val="0"/>
              <w:marTop w:val="0"/>
              <w:marBottom w:val="0"/>
              <w:divBdr>
                <w:top w:val="none" w:sz="0" w:space="0" w:color="auto"/>
                <w:left w:val="none" w:sz="0" w:space="0" w:color="auto"/>
                <w:bottom w:val="none" w:sz="0" w:space="0" w:color="auto"/>
                <w:right w:val="none" w:sz="0" w:space="0" w:color="auto"/>
              </w:divBdr>
              <w:divsChild>
                <w:div w:id="2104102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400849">
      <w:bodyDiv w:val="1"/>
      <w:marLeft w:val="0"/>
      <w:marRight w:val="0"/>
      <w:marTop w:val="0"/>
      <w:marBottom w:val="0"/>
      <w:divBdr>
        <w:top w:val="none" w:sz="0" w:space="0" w:color="auto"/>
        <w:left w:val="none" w:sz="0" w:space="0" w:color="auto"/>
        <w:bottom w:val="none" w:sz="0" w:space="0" w:color="auto"/>
        <w:right w:val="none" w:sz="0" w:space="0" w:color="auto"/>
      </w:divBdr>
      <w:divsChild>
        <w:div w:id="2108649876">
          <w:marLeft w:val="0"/>
          <w:marRight w:val="0"/>
          <w:marTop w:val="0"/>
          <w:marBottom w:val="0"/>
          <w:divBdr>
            <w:top w:val="none" w:sz="0" w:space="0" w:color="auto"/>
            <w:left w:val="none" w:sz="0" w:space="0" w:color="auto"/>
            <w:bottom w:val="none" w:sz="0" w:space="0" w:color="auto"/>
            <w:right w:val="none" w:sz="0" w:space="0" w:color="auto"/>
          </w:divBdr>
          <w:divsChild>
            <w:div w:id="955403916">
              <w:marLeft w:val="0"/>
              <w:marRight w:val="0"/>
              <w:marTop w:val="0"/>
              <w:marBottom w:val="0"/>
              <w:divBdr>
                <w:top w:val="none" w:sz="0" w:space="0" w:color="auto"/>
                <w:left w:val="none" w:sz="0" w:space="0" w:color="auto"/>
                <w:bottom w:val="none" w:sz="0" w:space="0" w:color="auto"/>
                <w:right w:val="none" w:sz="0" w:space="0" w:color="auto"/>
              </w:divBdr>
              <w:divsChild>
                <w:div w:id="933324785">
                  <w:marLeft w:val="0"/>
                  <w:marRight w:val="0"/>
                  <w:marTop w:val="0"/>
                  <w:marBottom w:val="0"/>
                  <w:divBdr>
                    <w:top w:val="none" w:sz="0" w:space="0" w:color="auto"/>
                    <w:left w:val="none" w:sz="0" w:space="0" w:color="auto"/>
                    <w:bottom w:val="none" w:sz="0" w:space="0" w:color="auto"/>
                    <w:right w:val="none" w:sz="0" w:space="0" w:color="auto"/>
                  </w:divBdr>
                  <w:divsChild>
                    <w:div w:id="31676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682798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46305">
      <w:bodyDiv w:val="1"/>
      <w:marLeft w:val="0"/>
      <w:marRight w:val="0"/>
      <w:marTop w:val="0"/>
      <w:marBottom w:val="0"/>
      <w:divBdr>
        <w:top w:val="none" w:sz="0" w:space="0" w:color="auto"/>
        <w:left w:val="none" w:sz="0" w:space="0" w:color="auto"/>
        <w:bottom w:val="none" w:sz="0" w:space="0" w:color="auto"/>
        <w:right w:val="none" w:sz="0" w:space="0" w:color="auto"/>
      </w:divBdr>
    </w:div>
    <w:div w:id="1789466845">
      <w:bodyDiv w:val="1"/>
      <w:marLeft w:val="0"/>
      <w:marRight w:val="0"/>
      <w:marTop w:val="0"/>
      <w:marBottom w:val="0"/>
      <w:divBdr>
        <w:top w:val="none" w:sz="0" w:space="0" w:color="auto"/>
        <w:left w:val="none" w:sz="0" w:space="0" w:color="auto"/>
        <w:bottom w:val="none" w:sz="0" w:space="0" w:color="auto"/>
        <w:right w:val="none" w:sz="0" w:space="0" w:color="auto"/>
      </w:divBdr>
    </w:div>
    <w:div w:id="1790707619">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6777416">
      <w:bodyDiv w:val="1"/>
      <w:marLeft w:val="0"/>
      <w:marRight w:val="0"/>
      <w:marTop w:val="0"/>
      <w:marBottom w:val="0"/>
      <w:divBdr>
        <w:top w:val="none" w:sz="0" w:space="0" w:color="auto"/>
        <w:left w:val="none" w:sz="0" w:space="0" w:color="auto"/>
        <w:bottom w:val="none" w:sz="0" w:space="0" w:color="auto"/>
        <w:right w:val="none" w:sz="0" w:space="0" w:color="auto"/>
      </w:divBdr>
      <w:divsChild>
        <w:div w:id="878473400">
          <w:marLeft w:val="0"/>
          <w:marRight w:val="0"/>
          <w:marTop w:val="0"/>
          <w:marBottom w:val="0"/>
          <w:divBdr>
            <w:top w:val="none" w:sz="0" w:space="0" w:color="auto"/>
            <w:left w:val="none" w:sz="0" w:space="0" w:color="auto"/>
            <w:bottom w:val="none" w:sz="0" w:space="0" w:color="auto"/>
            <w:right w:val="none" w:sz="0" w:space="0" w:color="auto"/>
          </w:divBdr>
          <w:divsChild>
            <w:div w:id="636031269">
              <w:marLeft w:val="0"/>
              <w:marRight w:val="0"/>
              <w:marTop w:val="0"/>
              <w:marBottom w:val="0"/>
              <w:divBdr>
                <w:top w:val="none" w:sz="0" w:space="0" w:color="auto"/>
                <w:left w:val="none" w:sz="0" w:space="0" w:color="auto"/>
                <w:bottom w:val="none" w:sz="0" w:space="0" w:color="auto"/>
                <w:right w:val="none" w:sz="0" w:space="0" w:color="auto"/>
              </w:divBdr>
              <w:divsChild>
                <w:div w:id="990787999">
                  <w:marLeft w:val="0"/>
                  <w:marRight w:val="0"/>
                  <w:marTop w:val="0"/>
                  <w:marBottom w:val="0"/>
                  <w:divBdr>
                    <w:top w:val="none" w:sz="0" w:space="0" w:color="auto"/>
                    <w:left w:val="none" w:sz="0" w:space="0" w:color="auto"/>
                    <w:bottom w:val="none" w:sz="0" w:space="0" w:color="auto"/>
                    <w:right w:val="none" w:sz="0" w:space="0" w:color="auto"/>
                  </w:divBdr>
                  <w:divsChild>
                    <w:div w:id="21004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085538">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4857320">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73372197">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333555">
      <w:bodyDiv w:val="1"/>
      <w:marLeft w:val="0"/>
      <w:marRight w:val="0"/>
      <w:marTop w:val="0"/>
      <w:marBottom w:val="0"/>
      <w:divBdr>
        <w:top w:val="none" w:sz="0" w:space="0" w:color="auto"/>
        <w:left w:val="none" w:sz="0" w:space="0" w:color="auto"/>
        <w:bottom w:val="none" w:sz="0" w:space="0" w:color="auto"/>
        <w:right w:val="none" w:sz="0" w:space="0" w:color="auto"/>
      </w:divBdr>
      <w:divsChild>
        <w:div w:id="1618832351">
          <w:marLeft w:val="0"/>
          <w:marRight w:val="0"/>
          <w:marTop w:val="0"/>
          <w:marBottom w:val="0"/>
          <w:divBdr>
            <w:top w:val="none" w:sz="0" w:space="0" w:color="auto"/>
            <w:left w:val="none" w:sz="0" w:space="0" w:color="auto"/>
            <w:bottom w:val="none" w:sz="0" w:space="0" w:color="auto"/>
            <w:right w:val="none" w:sz="0" w:space="0" w:color="auto"/>
          </w:divBdr>
          <w:divsChild>
            <w:div w:id="438573280">
              <w:marLeft w:val="0"/>
              <w:marRight w:val="0"/>
              <w:marTop w:val="0"/>
              <w:marBottom w:val="0"/>
              <w:divBdr>
                <w:top w:val="none" w:sz="0" w:space="0" w:color="auto"/>
                <w:left w:val="none" w:sz="0" w:space="0" w:color="auto"/>
                <w:bottom w:val="none" w:sz="0" w:space="0" w:color="auto"/>
                <w:right w:val="none" w:sz="0" w:space="0" w:color="auto"/>
              </w:divBdr>
              <w:divsChild>
                <w:div w:id="371198100">
                  <w:marLeft w:val="0"/>
                  <w:marRight w:val="0"/>
                  <w:marTop w:val="0"/>
                  <w:marBottom w:val="0"/>
                  <w:divBdr>
                    <w:top w:val="none" w:sz="0" w:space="0" w:color="auto"/>
                    <w:left w:val="none" w:sz="0" w:space="0" w:color="auto"/>
                    <w:bottom w:val="none" w:sz="0" w:space="0" w:color="auto"/>
                    <w:right w:val="none" w:sz="0" w:space="0" w:color="auto"/>
                  </w:divBdr>
                  <w:divsChild>
                    <w:div w:id="915288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67008671">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0964369">
      <w:bodyDiv w:val="1"/>
      <w:marLeft w:val="0"/>
      <w:marRight w:val="0"/>
      <w:marTop w:val="0"/>
      <w:marBottom w:val="0"/>
      <w:divBdr>
        <w:top w:val="none" w:sz="0" w:space="0" w:color="auto"/>
        <w:left w:val="none" w:sz="0" w:space="0" w:color="auto"/>
        <w:bottom w:val="none" w:sz="0" w:space="0" w:color="auto"/>
        <w:right w:val="none" w:sz="0" w:space="0" w:color="auto"/>
      </w:divBdr>
    </w:div>
    <w:div w:id="2007396015">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09597345">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20890118">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45056635">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86803058">
      <w:bodyDiv w:val="1"/>
      <w:marLeft w:val="0"/>
      <w:marRight w:val="0"/>
      <w:marTop w:val="0"/>
      <w:marBottom w:val="0"/>
      <w:divBdr>
        <w:top w:val="none" w:sz="0" w:space="0" w:color="auto"/>
        <w:left w:val="none" w:sz="0" w:space="0" w:color="auto"/>
        <w:bottom w:val="none" w:sz="0" w:space="0" w:color="auto"/>
        <w:right w:val="none" w:sz="0" w:space="0" w:color="auto"/>
      </w:divBdr>
      <w:divsChild>
        <w:div w:id="177240049">
          <w:marLeft w:val="0"/>
          <w:marRight w:val="0"/>
          <w:marTop w:val="0"/>
          <w:marBottom w:val="0"/>
          <w:divBdr>
            <w:top w:val="none" w:sz="0" w:space="0" w:color="auto"/>
            <w:left w:val="none" w:sz="0" w:space="0" w:color="auto"/>
            <w:bottom w:val="none" w:sz="0" w:space="0" w:color="auto"/>
            <w:right w:val="none" w:sz="0" w:space="0" w:color="auto"/>
          </w:divBdr>
          <w:divsChild>
            <w:div w:id="1581257025">
              <w:marLeft w:val="0"/>
              <w:marRight w:val="0"/>
              <w:marTop w:val="0"/>
              <w:marBottom w:val="0"/>
              <w:divBdr>
                <w:top w:val="none" w:sz="0" w:space="0" w:color="auto"/>
                <w:left w:val="none" w:sz="0" w:space="0" w:color="auto"/>
                <w:bottom w:val="none" w:sz="0" w:space="0" w:color="auto"/>
                <w:right w:val="none" w:sz="0" w:space="0" w:color="auto"/>
              </w:divBdr>
              <w:divsChild>
                <w:div w:id="810488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398012">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1393228">
      <w:bodyDiv w:val="1"/>
      <w:marLeft w:val="0"/>
      <w:marRight w:val="0"/>
      <w:marTop w:val="0"/>
      <w:marBottom w:val="0"/>
      <w:divBdr>
        <w:top w:val="none" w:sz="0" w:space="0" w:color="auto"/>
        <w:left w:val="none" w:sz="0" w:space="0" w:color="auto"/>
        <w:bottom w:val="none" w:sz="0" w:space="0" w:color="auto"/>
        <w:right w:val="none" w:sz="0" w:space="0" w:color="auto"/>
      </w:divBdr>
      <w:divsChild>
        <w:div w:id="1693536321">
          <w:marLeft w:val="0"/>
          <w:marRight w:val="0"/>
          <w:marTop w:val="0"/>
          <w:marBottom w:val="0"/>
          <w:divBdr>
            <w:top w:val="none" w:sz="0" w:space="0" w:color="auto"/>
            <w:left w:val="none" w:sz="0" w:space="0" w:color="auto"/>
            <w:bottom w:val="none" w:sz="0" w:space="0" w:color="auto"/>
            <w:right w:val="none" w:sz="0" w:space="0" w:color="auto"/>
          </w:divBdr>
        </w:div>
      </w:divsChild>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2" Type="http://schemas.openxmlformats.org/officeDocument/2006/relationships/hyperlink" Target="https://www.beltranpardo.com/wp-content/uploads/2021/02/CorteConstitucional_Inexequibilidadpar%C3%A1grafo2Art6L2014.pdf" TargetMode="External"/><Relationship Id="rId1" Type="http://schemas.openxmlformats.org/officeDocument/2006/relationships/hyperlink" Target="https://colaboracion.dnp.gov.co/CDT/Conpes/Econ%C3%B3micos/3956.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F8521671-D56A-F342-8BC5-FA15744391E7}">
  <ds:schemaRefs>
    <ds:schemaRef ds:uri="http://schemas.openxmlformats.org/officeDocument/2006/bibliography"/>
  </ds:schemaRefs>
</ds:datastoreItem>
</file>

<file path=customXml/itemProps3.xml><?xml version="1.0" encoding="utf-8"?>
<ds:datastoreItem xmlns:ds="http://schemas.openxmlformats.org/officeDocument/2006/customXml" ds:itemID="{CA709260-3D27-4AEB-AD3E-BA91CA5854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2</TotalTime>
  <Pages>30</Pages>
  <Words>11217</Words>
  <Characters>61697</Characters>
  <Application>Microsoft Office Word</Application>
  <DocSecurity>0</DocSecurity>
  <Lines>514</Lines>
  <Paragraphs>145</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72769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Martin Rojas Mejia</cp:lastModifiedBy>
  <cp:revision>2</cp:revision>
  <cp:lastPrinted>2020-01-30T15:05:00Z</cp:lastPrinted>
  <dcterms:created xsi:type="dcterms:W3CDTF">2022-04-07T15:39:00Z</dcterms:created>
  <dcterms:modified xsi:type="dcterms:W3CDTF">2022-04-07T15:39:00Z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