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E206C" w:rsidR="00852642" w:rsidP="00852642" w:rsidRDefault="00852642" w14:paraId="46622F9F" w14:textId="4D1300DC">
      <w:pPr>
        <w:jc w:val="both"/>
        <w:rPr>
          <w:rFonts w:ascii="Arial" w:hAnsi="Arial" w:eastAsia="Calibri" w:cs="Arial"/>
          <w:b/>
          <w:lang w:val="es-ES_tradnl"/>
        </w:rPr>
      </w:pPr>
      <w:r w:rsidRPr="00DE206C">
        <w:rPr>
          <w:rFonts w:ascii="Arial" w:hAnsi="Arial" w:eastAsia="Calibri" w:cs="Arial"/>
          <w:b/>
          <w:lang w:val="es-ES_tradnl"/>
        </w:rPr>
        <w:t xml:space="preserve">PRINCIPIO DE PLANEACIÓN – Estudios previos </w:t>
      </w:r>
    </w:p>
    <w:p w:rsidRPr="00DE206C" w:rsidR="00852642" w:rsidP="00852642" w:rsidRDefault="00852642" w14:paraId="3FC9C000" w14:textId="77777777">
      <w:pPr>
        <w:spacing w:after="120"/>
        <w:jc w:val="both"/>
        <w:rPr>
          <w:rFonts w:ascii="Arial" w:hAnsi="Arial" w:eastAsia="Calibri" w:cs="Arial"/>
          <w:bCs/>
          <w:sz w:val="20"/>
          <w:szCs w:val="20"/>
          <w:lang w:val="es-MX"/>
        </w:rPr>
      </w:pPr>
      <w:r w:rsidRPr="00DE206C">
        <w:rPr>
          <w:rFonts w:ascii="Arial" w:hAnsi="Arial" w:eastAsia="Calibri" w:cs="Arial"/>
          <w:bCs/>
          <w:sz w:val="20"/>
          <w:szCs w:val="20"/>
          <w:lang w:val="es-MX"/>
        </w:rPr>
        <w:t>El Estatuto General de Contratación de la Administración Pública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rsidRPr="00DE206C" w:rsidR="00852642" w:rsidP="00852642" w:rsidRDefault="00852642" w14:paraId="39D7A6A7" w14:textId="77777777">
      <w:pPr>
        <w:spacing w:after="120"/>
        <w:jc w:val="both"/>
        <w:rPr>
          <w:rFonts w:ascii="Arial" w:hAnsi="Arial" w:eastAsia="Calibri" w:cs="Arial"/>
          <w:sz w:val="20"/>
          <w:szCs w:val="20"/>
          <w:lang w:val="es-ES_tradnl"/>
        </w:rPr>
      </w:pPr>
      <w:r w:rsidRPr="00DE206C">
        <w:rPr>
          <w:rFonts w:ascii="Arial" w:hAnsi="Arial" w:eastAsia="Calibri" w:cs="Arial"/>
          <w:sz w:val="20"/>
          <w:szCs w:val="20"/>
          <w:lang w:val="es-ES_tradnl"/>
        </w:rPr>
        <w:t xml:space="preserve">[…] antes de iniciar un procedimiento de selección, la entidad estatal podrá determinar con los estudios previos: i) la verdadera necesidad de la celebración del contrato; </w:t>
      </w:r>
      <w:proofErr w:type="spellStart"/>
      <w:r w:rsidRPr="00DE206C">
        <w:rPr>
          <w:rFonts w:ascii="Arial" w:hAnsi="Arial" w:eastAsia="Calibri" w:cs="Arial"/>
          <w:sz w:val="20"/>
          <w:szCs w:val="20"/>
          <w:lang w:val="es-ES_tradnl"/>
        </w:rPr>
        <w:t>ii</w:t>
      </w:r>
      <w:proofErr w:type="spellEnd"/>
      <w:r w:rsidRPr="00DE206C">
        <w:rPr>
          <w:rFonts w:ascii="Arial" w:hAnsi="Arial" w:eastAsia="Calibri" w:cs="Arial"/>
          <w:sz w:val="20"/>
          <w:szCs w:val="20"/>
          <w:lang w:val="es-ES_tradnl"/>
        </w:rPr>
        <w:t xml:space="preserve">) las modalidades existentes para satisfacer esa necesidad y las razones que justifiquen la modalidad o tipo contractual que se escoja; </w:t>
      </w:r>
      <w:proofErr w:type="spellStart"/>
      <w:r w:rsidRPr="00DE206C">
        <w:rPr>
          <w:rFonts w:ascii="Arial" w:hAnsi="Arial" w:eastAsia="Calibri" w:cs="Arial"/>
          <w:sz w:val="20"/>
          <w:szCs w:val="20"/>
          <w:lang w:val="es-ES_tradnl"/>
        </w:rPr>
        <w:t>iii</w:t>
      </w:r>
      <w:proofErr w:type="spellEnd"/>
      <w:r w:rsidRPr="00DE206C">
        <w:rPr>
          <w:rFonts w:ascii="Arial" w:hAnsi="Arial" w:eastAsia="Calibri" w:cs="Arial"/>
          <w:sz w:val="20"/>
          <w:szCs w:val="20"/>
          <w:lang w:val="es-ES_tradnl"/>
        </w:rPr>
        <w:t xml:space="preserve">) las calidades, especificaciones, cantidades y demás características que puedan o deban reunir los bienes, las obras o los servicios cuya contratación se haya determinado necesaria, </w:t>
      </w:r>
      <w:proofErr w:type="spellStart"/>
      <w:r w:rsidRPr="00DE206C">
        <w:rPr>
          <w:rFonts w:ascii="Arial" w:hAnsi="Arial" w:eastAsia="Calibri" w:cs="Arial"/>
          <w:sz w:val="20"/>
          <w:szCs w:val="20"/>
          <w:lang w:val="es-ES_tradnl"/>
        </w:rPr>
        <w:t>iv</w:t>
      </w:r>
      <w:proofErr w:type="spellEnd"/>
      <w:r w:rsidRPr="00DE206C">
        <w:rPr>
          <w:rFonts w:ascii="Arial" w:hAnsi="Arial" w:eastAsia="Calibri" w:cs="Arial"/>
          <w:sz w:val="20"/>
          <w:szCs w:val="20"/>
          <w:lang w:val="es-ES_tradn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DE206C">
        <w:rPr>
          <w:rFonts w:ascii="Arial" w:hAnsi="Arial" w:eastAsia="Calibri" w:cs="Arial"/>
          <w:sz w:val="20"/>
          <w:szCs w:val="20"/>
          <w:lang w:val="es-ES_tradnl"/>
        </w:rPr>
        <w:t>vii</w:t>
      </w:r>
      <w:proofErr w:type="spellEnd"/>
      <w:r w:rsidRPr="00DE206C">
        <w:rPr>
          <w:rFonts w:ascii="Arial" w:hAnsi="Arial" w:eastAsia="Calibri" w:cs="Arial"/>
          <w:sz w:val="20"/>
          <w:szCs w:val="20"/>
          <w:lang w:val="es-ES_tradnl"/>
        </w:rPr>
        <w:t>) los procedimientos, trámites y requisitos que deban satisfacerse, reunirse u obtenerse para llevar a cabo la selección del respectivo contratista y la celebración del contrato que se pretenda celebrar.</w:t>
      </w:r>
    </w:p>
    <w:p w:rsidRPr="00DE206C" w:rsidR="00E60401" w:rsidP="00852642" w:rsidRDefault="00E60401" w14:paraId="38A8004B" w14:textId="77777777">
      <w:pPr>
        <w:spacing w:after="120"/>
        <w:jc w:val="both"/>
        <w:rPr>
          <w:rFonts w:ascii="Arial" w:hAnsi="Arial" w:eastAsia="Calibri" w:cs="Arial"/>
          <w:sz w:val="20"/>
          <w:szCs w:val="20"/>
          <w:lang w:val="es-ES_tradnl"/>
        </w:rPr>
      </w:pPr>
    </w:p>
    <w:p w:rsidRPr="00DE206C" w:rsidR="00E60401" w:rsidP="00E60401" w:rsidRDefault="00E60401" w14:paraId="6995CCD9" w14:textId="77777777">
      <w:pPr>
        <w:tabs>
          <w:tab w:val="center" w:pos="4394"/>
        </w:tabs>
        <w:jc w:val="both"/>
        <w:rPr>
          <w:rFonts w:ascii="Arial" w:hAnsi="Arial" w:eastAsia="Calibri" w:cs="Arial"/>
          <w:b/>
          <w:bCs/>
          <w:lang w:val="es-ES_tradnl"/>
        </w:rPr>
      </w:pPr>
      <w:r w:rsidRPr="00DE206C">
        <w:rPr>
          <w:rFonts w:ascii="Arial" w:hAnsi="Arial" w:eastAsia="Calibri" w:cs="Arial"/>
          <w:b/>
          <w:lang w:val="es-ES_tradnl"/>
        </w:rPr>
        <w:t>ANÁLISIS DEL SECTOR – Perspectiva multidisciplinaria – Estudio de la oferta – Estudio del mercado</w:t>
      </w:r>
      <w:r w:rsidRPr="00DE206C">
        <w:rPr>
          <w:rFonts w:ascii="Arial" w:hAnsi="Arial" w:eastAsia="Calibri" w:cs="Arial"/>
          <w:b/>
          <w:lang w:val="es-ES_tradnl"/>
        </w:rPr>
        <w:tab/>
      </w:r>
    </w:p>
    <w:p w:rsidRPr="00DE206C" w:rsidR="00E60401" w:rsidP="00E60401" w:rsidRDefault="00E60401" w14:paraId="676035B8" w14:textId="77777777">
      <w:pPr>
        <w:tabs>
          <w:tab w:val="center" w:pos="4394"/>
        </w:tabs>
        <w:jc w:val="both"/>
        <w:rPr>
          <w:rFonts w:ascii="Arial" w:hAnsi="Arial" w:eastAsia="Calibri" w:cs="Arial"/>
          <w:b/>
          <w:bCs/>
          <w:lang w:val="es-ES_tradnl"/>
        </w:rPr>
      </w:pPr>
      <w:r w:rsidRPr="00DE206C">
        <w:rPr>
          <w:rFonts w:ascii="Arial" w:hAnsi="Arial" w:eastAsia="Calibri" w:cs="Arial"/>
          <w:bCs/>
          <w:sz w:val="20"/>
          <w:szCs w:val="20"/>
          <w:lang w:val="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rsidRPr="00DE206C" w:rsidR="00E60401" w:rsidP="00E60401" w:rsidRDefault="00E60401" w14:paraId="59FD4FAC" w14:textId="5E406499">
      <w:pPr>
        <w:tabs>
          <w:tab w:val="center" w:pos="4394"/>
        </w:tabs>
        <w:jc w:val="both"/>
        <w:rPr>
          <w:rFonts w:ascii="Arial" w:hAnsi="Arial" w:eastAsia="Calibri" w:cs="Arial"/>
          <w:b/>
          <w:bCs/>
          <w:lang w:val="es-ES_tradnl"/>
        </w:rPr>
      </w:pPr>
      <w:r w:rsidRPr="00DE206C">
        <w:rPr>
          <w:rFonts w:ascii="Arial" w:hAnsi="Arial" w:eastAsia="Calibri" w:cs="Arial"/>
          <w:sz w:val="20"/>
          <w:szCs w:val="20"/>
          <w:lang w:val="es-ES_tradnl"/>
        </w:rPr>
        <w:t>[…]</w:t>
      </w:r>
      <w:r w:rsidRPr="00DE206C">
        <w:rPr>
          <w:rFonts w:ascii="Arial" w:hAnsi="Arial" w:eastAsia="Calibri" w:cs="Arial"/>
          <w:bCs/>
          <w:sz w:val="20"/>
          <w:szCs w:val="20"/>
          <w:lang w:val="es-ES_tradnl"/>
        </w:rPr>
        <w:t xml:space="preserve">el análisis del sector 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w:t>
      </w:r>
      <w:r w:rsidRPr="00DE206C">
        <w:rPr>
          <w:rFonts w:ascii="Arial" w:hAnsi="Arial" w:eastAsia="Calibri" w:cs="Arial"/>
          <w:sz w:val="20"/>
          <w:szCs w:val="20"/>
          <w:lang w:val="es-ES"/>
        </w:rPr>
        <w:t xml:space="preserve">debe consignar en los </w:t>
      </w:r>
      <w:r w:rsidRPr="00DE206C">
        <w:rPr>
          <w:rFonts w:ascii="Arial" w:hAnsi="Arial" w:eastAsia="Calibri" w:cs="Arial"/>
          <w:i/>
          <w:iCs/>
          <w:sz w:val="20"/>
          <w:szCs w:val="20"/>
          <w:lang w:val="es-ES"/>
        </w:rPr>
        <w:t>Documentos del Proceso</w:t>
      </w:r>
      <w:r w:rsidRPr="00DE206C">
        <w:rPr>
          <w:rFonts w:ascii="Arial" w:hAnsi="Arial" w:eastAsia="Calibri" w:cs="Arial"/>
          <w:sz w:val="20"/>
          <w:szCs w:val="20"/>
          <w:lang w:val="es-ES"/>
        </w:rPr>
        <w:t xml:space="preserve">, bien sea en los estudios previos o en la información soporte de </w:t>
      </w:r>
      <w:proofErr w:type="gramStart"/>
      <w:r w:rsidRPr="00DE206C">
        <w:rPr>
          <w:rFonts w:ascii="Arial" w:hAnsi="Arial" w:eastAsia="Calibri" w:cs="Arial"/>
          <w:sz w:val="20"/>
          <w:szCs w:val="20"/>
          <w:lang w:val="es-ES"/>
        </w:rPr>
        <w:t>los mismos</w:t>
      </w:r>
      <w:proofErr w:type="gramEnd"/>
      <w:r w:rsidRPr="00DE206C">
        <w:rPr>
          <w:rFonts w:ascii="Arial" w:hAnsi="Arial" w:eastAsia="Calibri" w:cs="Arial"/>
          <w:sz w:val="20"/>
          <w:szCs w:val="20"/>
          <w:lang w:val="es-ES"/>
        </w:rPr>
        <w:t xml:space="preserve">. </w:t>
      </w:r>
    </w:p>
    <w:p w:rsidRPr="00DE206C" w:rsidR="00852642" w:rsidP="00852642" w:rsidRDefault="00852642" w14:paraId="54FBFDC6" w14:textId="77777777">
      <w:pPr>
        <w:spacing w:after="120"/>
        <w:jc w:val="both"/>
        <w:rPr>
          <w:rFonts w:ascii="Arial" w:hAnsi="Arial" w:eastAsia="Calibri" w:cs="Arial"/>
          <w:sz w:val="20"/>
          <w:szCs w:val="20"/>
          <w:lang w:val="es-ES_tradnl"/>
        </w:rPr>
      </w:pPr>
    </w:p>
    <w:p w:rsidRPr="00DE206C" w:rsidR="00833452" w:rsidP="00526E9D" w:rsidRDefault="00833452" w14:paraId="7D54A0D3" w14:textId="77777777">
      <w:pPr>
        <w:rPr>
          <w:rFonts w:ascii="Arial" w:hAnsi="Arial" w:eastAsia="Times New Roman" w:cs="Arial"/>
          <w:b/>
          <w:bCs/>
          <w:lang w:val="es-MX" w:eastAsia="es-CO"/>
        </w:rPr>
      </w:pPr>
    </w:p>
    <w:p w:rsidRPr="00DE206C" w:rsidR="00156B0C" w:rsidP="008322CC" w:rsidRDefault="00156B0C" w14:paraId="0C8A3676" w14:textId="77777777">
      <w:pPr>
        <w:rPr>
          <w:rFonts w:ascii="Arial" w:hAnsi="Arial" w:eastAsia="Geomanist Light" w:cs="Arial"/>
          <w:lang w:val="es-MX"/>
        </w:rPr>
      </w:pPr>
      <w:bookmarkStart w:name="_Hlk34951122" w:id="0"/>
    </w:p>
    <w:p w:rsidRPr="00DE206C" w:rsidR="00156B0C" w:rsidP="008322CC" w:rsidRDefault="00156B0C" w14:paraId="26E3812F" w14:textId="77777777">
      <w:pPr>
        <w:rPr>
          <w:rFonts w:ascii="Arial" w:hAnsi="Arial" w:eastAsia="Geomanist Light" w:cs="Arial"/>
          <w:lang w:val="es-MX"/>
        </w:rPr>
      </w:pPr>
    </w:p>
    <w:p w:rsidRPr="00DE206C" w:rsidR="008322CC" w:rsidP="008322CC" w:rsidRDefault="008322CC" w14:paraId="0AB72286" w14:textId="6F09909B">
      <w:pPr>
        <w:rPr>
          <w:rFonts w:ascii="Arial" w:hAnsi="Arial" w:eastAsia="Geomanist Light" w:cs="Arial"/>
          <w:lang w:val="es-MX"/>
        </w:rPr>
      </w:pPr>
      <w:r w:rsidRPr="00DE206C">
        <w:rPr>
          <w:rFonts w:ascii="Arial" w:hAnsi="Arial" w:eastAsia="Geomanist Light" w:cs="Arial"/>
          <w:lang w:val="es-MX"/>
        </w:rPr>
        <w:t>Bogotá D.C., 0</w:t>
      </w:r>
      <w:r w:rsidR="00282F23">
        <w:rPr>
          <w:rFonts w:ascii="Arial" w:hAnsi="Arial" w:eastAsia="Geomanist Light" w:cs="Arial"/>
          <w:lang w:val="es-MX"/>
        </w:rPr>
        <w:t>1</w:t>
      </w:r>
      <w:r w:rsidRPr="00DE206C">
        <w:rPr>
          <w:rFonts w:ascii="Arial" w:hAnsi="Arial" w:eastAsia="Geomanist Light" w:cs="Arial"/>
          <w:lang w:val="es-MX"/>
        </w:rPr>
        <w:t xml:space="preserve"> de junio del 2023</w:t>
      </w:r>
    </w:p>
    <w:p w:rsidRPr="00DE206C" w:rsidR="008322CC" w:rsidP="00282F23" w:rsidRDefault="00282F23" w14:paraId="50FC39C7" w14:textId="5DA25DEA">
      <w:pPr>
        <w:spacing w:after="0" w:line="276" w:lineRule="auto"/>
        <w:jc w:val="right"/>
        <w:rPr>
          <w:rFonts w:ascii="Arial" w:hAnsi="Arial" w:cs="Arial"/>
          <w:lang w:val="es-MX"/>
        </w:rPr>
      </w:pPr>
      <w:r>
        <w:rPr>
          <w:rFonts w:ascii="Arial" w:hAnsi="Arial" w:cs="Arial"/>
          <w:noProof/>
          <w:lang w:val="es-MX"/>
        </w:rPr>
        <w:drawing>
          <wp:inline distT="0" distB="0" distL="0" distR="0" wp14:anchorId="38F9BC17" wp14:editId="5A05CE23">
            <wp:extent cx="2698750" cy="762000"/>
            <wp:effectExtent l="0" t="0" r="6350" b="0"/>
            <wp:docPr id="85352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528361" name="Imagen 853528361"/>
                    <pic:cNvPicPr/>
                  </pic:nvPicPr>
                  <pic:blipFill>
                    <a:blip r:embed="rId11">
                      <a:extLst>
                        <a:ext uri="{28A0092B-C50C-407E-A947-70E740481C1C}">
                          <a14:useLocalDpi xmlns:a14="http://schemas.microsoft.com/office/drawing/2010/main" val="0"/>
                        </a:ext>
                      </a:extLst>
                    </a:blip>
                    <a:stretch>
                      <a:fillRect/>
                    </a:stretch>
                  </pic:blipFill>
                  <pic:spPr>
                    <a:xfrm>
                      <a:off x="0" y="0"/>
                      <a:ext cx="2698899" cy="762042"/>
                    </a:xfrm>
                    <a:prstGeom prst="rect">
                      <a:avLst/>
                    </a:prstGeom>
                  </pic:spPr>
                </pic:pic>
              </a:graphicData>
            </a:graphic>
          </wp:inline>
        </w:drawing>
      </w:r>
    </w:p>
    <w:p w:rsidRPr="00DE206C" w:rsidR="008322CC" w:rsidP="008322CC" w:rsidRDefault="008322CC" w14:paraId="77416E64" w14:textId="77777777">
      <w:pPr>
        <w:spacing w:after="0" w:line="276" w:lineRule="auto"/>
        <w:rPr>
          <w:rFonts w:ascii="Arial" w:hAnsi="Arial" w:cs="Arial"/>
          <w:lang w:val="es-MX"/>
        </w:rPr>
      </w:pPr>
    </w:p>
    <w:p w:rsidRPr="00DE206C" w:rsidR="008322CC" w:rsidP="008322CC" w:rsidRDefault="008322CC" w14:paraId="2434F022" w14:textId="548EBC3F">
      <w:pPr>
        <w:spacing w:after="0" w:line="276" w:lineRule="auto"/>
        <w:rPr>
          <w:rFonts w:ascii="Arial" w:hAnsi="Arial" w:cs="Arial"/>
          <w:lang w:val="es-MX"/>
        </w:rPr>
      </w:pPr>
      <w:r w:rsidRPr="00DE206C">
        <w:rPr>
          <w:rFonts w:ascii="Arial" w:hAnsi="Arial" w:cs="Arial"/>
          <w:lang w:val="es-MX"/>
        </w:rPr>
        <w:t>Seño</w:t>
      </w:r>
      <w:r w:rsidRPr="00DE206C" w:rsidR="00C15EBE">
        <w:rPr>
          <w:rFonts w:ascii="Arial" w:hAnsi="Arial" w:cs="Arial"/>
          <w:lang w:val="es-MX"/>
        </w:rPr>
        <w:t>ra</w:t>
      </w:r>
      <w:r w:rsidRPr="00DE206C">
        <w:rPr>
          <w:rFonts w:ascii="Arial" w:hAnsi="Arial" w:cs="Arial"/>
          <w:lang w:val="es-MX"/>
        </w:rPr>
        <w:t>:</w:t>
      </w:r>
    </w:p>
    <w:p w:rsidRPr="00DE206C" w:rsidR="008322CC" w:rsidP="008322CC" w:rsidRDefault="00C15EBE" w14:paraId="1DED214B" w14:textId="5DC70981">
      <w:pPr>
        <w:spacing w:after="0" w:line="276" w:lineRule="auto"/>
        <w:rPr>
          <w:rFonts w:ascii="Arial" w:hAnsi="Arial" w:cs="Arial"/>
          <w:b/>
          <w:bCs/>
          <w:lang w:val="es-MX"/>
        </w:rPr>
      </w:pPr>
      <w:r w:rsidRPr="00DE206C">
        <w:rPr>
          <w:rFonts w:ascii="Arial" w:hAnsi="Arial" w:cs="Arial"/>
          <w:b/>
          <w:bCs/>
          <w:lang w:val="es-MX"/>
        </w:rPr>
        <w:t>Yuly Tatiana Muñoz Arciniegas</w:t>
      </w:r>
    </w:p>
    <w:p w:rsidRPr="00DE206C" w:rsidR="008322CC" w:rsidP="008322CC" w:rsidRDefault="00505681" w14:paraId="2D230507" w14:textId="218FB666">
      <w:pPr>
        <w:spacing w:after="0" w:line="276" w:lineRule="auto"/>
        <w:rPr>
          <w:rFonts w:ascii="Arial" w:hAnsi="Arial" w:cs="Arial"/>
          <w:lang w:val="es-MX"/>
        </w:rPr>
      </w:pPr>
      <w:r w:rsidRPr="00DE206C">
        <w:rPr>
          <w:rFonts w:ascii="Arial" w:hAnsi="Arial" w:cs="Arial"/>
          <w:lang w:val="es-MX"/>
        </w:rPr>
        <w:t>Bogotá D.C.</w:t>
      </w:r>
    </w:p>
    <w:p w:rsidRPr="00DE206C" w:rsidR="008322CC" w:rsidP="008322CC" w:rsidRDefault="008322CC" w14:paraId="33849BA9" w14:textId="77777777">
      <w:pPr>
        <w:spacing w:after="0" w:line="276" w:lineRule="auto"/>
        <w:rPr>
          <w:rFonts w:ascii="Arial" w:hAnsi="Arial" w:cs="Arial"/>
          <w:lang w:val="es-MX"/>
        </w:rPr>
      </w:pPr>
    </w:p>
    <w:p w:rsidRPr="00DE206C" w:rsidR="008322CC" w:rsidP="008322CC" w:rsidRDefault="008322CC" w14:paraId="01546C21" w14:textId="5E461974">
      <w:pPr>
        <w:spacing w:after="0" w:line="276" w:lineRule="auto"/>
        <w:ind w:left="2832"/>
        <w:rPr>
          <w:rFonts w:ascii="Arial" w:hAnsi="Arial" w:eastAsia="Calibri" w:cs="Arial"/>
          <w:b/>
          <w:bCs/>
          <w:lang w:val="es-ES"/>
        </w:rPr>
      </w:pPr>
      <w:r w:rsidRPr="00DE206C">
        <w:rPr>
          <w:rFonts w:ascii="Arial" w:hAnsi="Arial" w:eastAsia="Calibri" w:cs="Arial"/>
          <w:b/>
          <w:bCs/>
          <w:lang w:val="es-ES"/>
        </w:rPr>
        <w:t>Concepto C–</w:t>
      </w:r>
      <w:r w:rsidRPr="00DE206C" w:rsidR="00505681">
        <w:rPr>
          <w:rFonts w:ascii="Arial" w:hAnsi="Arial" w:eastAsia="Calibri" w:cs="Arial"/>
          <w:b/>
          <w:bCs/>
          <w:lang w:val="es-ES"/>
        </w:rPr>
        <w:t>166</w:t>
      </w:r>
      <w:r w:rsidRPr="00DE206C">
        <w:rPr>
          <w:rFonts w:ascii="Arial" w:hAnsi="Arial" w:eastAsia="Calibri" w:cs="Arial"/>
          <w:b/>
          <w:bCs/>
          <w:lang w:val="es-ES"/>
        </w:rPr>
        <w:t xml:space="preserve"> del 2023</w:t>
      </w:r>
    </w:p>
    <w:p w:rsidRPr="00DE206C" w:rsidR="008322CC" w:rsidP="008322CC" w:rsidRDefault="008322CC" w14:paraId="1EC4D747" w14:textId="77777777">
      <w:pPr>
        <w:spacing w:after="0" w:line="276" w:lineRule="auto"/>
        <w:jc w:val="both"/>
        <w:rPr>
          <w:rFonts w:ascii="Arial" w:hAnsi="Arial" w:eastAsia="Calibri" w:cs="Arial"/>
          <w:lang w:val="es-ES_tradnl"/>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DE206C" w:rsidR="00DE206C" w:rsidTr="2DE1788B" w14:paraId="6A6E3B7F" w14:textId="77777777">
        <w:trPr>
          <w:jc w:val="right"/>
        </w:trPr>
        <w:tc>
          <w:tcPr>
            <w:tcW w:w="1838" w:type="dxa"/>
            <w:tcMar/>
          </w:tcPr>
          <w:p w:rsidRPr="00DE206C" w:rsidR="008322CC" w:rsidP="001F5466" w:rsidRDefault="008322CC" w14:paraId="0083757F" w14:textId="77777777">
            <w:pPr>
              <w:spacing w:line="276" w:lineRule="auto"/>
              <w:jc w:val="center"/>
              <w:rPr>
                <w:rFonts w:ascii="Arial" w:hAnsi="Arial" w:eastAsia="Calibri" w:cs="Arial"/>
                <w:lang w:val="es-ES_tradnl"/>
              </w:rPr>
            </w:pPr>
            <w:r w:rsidRPr="00DE206C">
              <w:rPr>
                <w:rFonts w:ascii="Arial" w:hAnsi="Arial" w:eastAsia="Calibri" w:cs="Arial"/>
                <w:b/>
                <w:lang w:val="es-ES_tradnl"/>
              </w:rPr>
              <w:t>Temas:</w:t>
            </w:r>
          </w:p>
        </w:tc>
        <w:tc>
          <w:tcPr>
            <w:tcW w:w="6237" w:type="dxa"/>
            <w:tcMar/>
          </w:tcPr>
          <w:p w:rsidRPr="00DE206C" w:rsidR="008322CC" w:rsidP="001F5466" w:rsidRDefault="00CF4520" w14:paraId="4E3F38AE" w14:textId="7DD40D0A">
            <w:pPr>
              <w:spacing w:line="276" w:lineRule="auto"/>
              <w:jc w:val="both"/>
              <w:rPr>
                <w:rFonts w:ascii="Arial" w:hAnsi="Arial" w:cs="Arial"/>
                <w:lang w:val="es-ES"/>
              </w:rPr>
            </w:pPr>
            <w:r w:rsidRPr="00DE206C">
              <w:rPr>
                <w:rFonts w:ascii="Arial" w:hAnsi="Arial" w:eastAsia="Calibri" w:cs="Arial"/>
                <w:bCs/>
                <w:lang w:val="es-ES_tradnl"/>
              </w:rPr>
              <w:t xml:space="preserve">PRINCIPIO DE PLANEACIÓN – Estudios previos </w:t>
            </w:r>
            <w:r w:rsidRPr="00DE206C">
              <w:rPr>
                <w:rFonts w:ascii="Arial" w:hAnsi="Arial" w:eastAsia="Calibri" w:cs="Arial"/>
                <w:bCs/>
              </w:rPr>
              <w:t xml:space="preserve">/ </w:t>
            </w:r>
            <w:r w:rsidRPr="00DE206C">
              <w:rPr>
                <w:rFonts w:ascii="Arial" w:hAnsi="Arial" w:eastAsia="Calibri" w:cs="Arial"/>
                <w:bCs/>
                <w:lang w:val="es-ES_tradnl"/>
              </w:rPr>
              <w:t>ANÁLISIS DEL SECTOR – Perspectiva multidisciplinaria – Estudio de la oferta – Estudio del mercado</w:t>
            </w:r>
            <w:r w:rsidRPr="00DE206C" w:rsidR="008322CC">
              <w:rPr>
                <w:rFonts w:ascii="Arial" w:hAnsi="Arial" w:cs="Arial"/>
                <w:bCs/>
                <w:lang w:val="es-ES_tradnl"/>
              </w:rPr>
              <w:t>.</w:t>
            </w:r>
          </w:p>
        </w:tc>
      </w:tr>
      <w:tr w:rsidRPr="00DE206C" w:rsidR="00DE206C" w:rsidTr="2DE1788B" w14:paraId="50B44938" w14:textId="77777777">
        <w:trPr>
          <w:jc w:val="right"/>
          <w:trHeight w:val="300"/>
        </w:trPr>
        <w:tc>
          <w:tcPr>
            <w:tcW w:w="1838" w:type="dxa"/>
            <w:tcMar/>
          </w:tcPr>
          <w:p w:rsidRPr="00DE206C" w:rsidR="008322CC" w:rsidP="001F5466" w:rsidRDefault="008322CC" w14:paraId="21ED6163" w14:textId="77777777">
            <w:pPr>
              <w:spacing w:line="276" w:lineRule="auto"/>
              <w:jc w:val="center"/>
              <w:rPr>
                <w:rFonts w:ascii="Arial" w:hAnsi="Arial" w:eastAsia="Calibri" w:cs="Arial"/>
                <w:b/>
                <w:lang w:val="es-ES"/>
              </w:rPr>
            </w:pPr>
            <w:r w:rsidRPr="00DE206C">
              <w:rPr>
                <w:rFonts w:ascii="Arial" w:hAnsi="Arial" w:eastAsia="Calibri" w:cs="Arial"/>
                <w:b/>
                <w:lang w:val="es-ES"/>
              </w:rPr>
              <w:t>Radicación:</w:t>
            </w:r>
          </w:p>
        </w:tc>
        <w:tc>
          <w:tcPr>
            <w:tcW w:w="6237" w:type="dxa"/>
            <w:tcMar/>
          </w:tcPr>
          <w:p w:rsidRPr="00DE206C" w:rsidR="008322CC" w:rsidP="001F5466" w:rsidRDefault="008322CC" w14:paraId="2ABDDC2C" w14:textId="0A50B76E">
            <w:pPr>
              <w:spacing w:line="276" w:lineRule="auto"/>
              <w:jc w:val="both"/>
              <w:rPr>
                <w:rFonts w:ascii="Arial" w:hAnsi="Arial" w:eastAsia="Calibri" w:cs="Arial"/>
                <w:lang w:val="es-ES"/>
              </w:rPr>
            </w:pPr>
            <w:r w:rsidRPr="00DE206C">
              <w:rPr>
                <w:rFonts w:ascii="Arial" w:hAnsi="Arial" w:eastAsia="Calibri" w:cs="Arial"/>
                <w:lang w:val="es-ES"/>
              </w:rPr>
              <w:t xml:space="preserve">Respuesta a consulta </w:t>
            </w:r>
            <w:r w:rsidRPr="00DE206C" w:rsidR="0046498F">
              <w:rPr>
                <w:rFonts w:ascii="Arial" w:hAnsi="Arial" w:eastAsia="Calibri" w:cs="Arial"/>
                <w:lang w:val="es-ES"/>
              </w:rPr>
              <w:t>P20230419003482</w:t>
            </w:r>
            <w:r w:rsidRPr="00DE206C" w:rsidR="00F36100">
              <w:rPr>
                <w:rFonts w:ascii="Arial" w:hAnsi="Arial" w:eastAsia="Calibri" w:cs="Arial"/>
                <w:lang w:val="es-ES"/>
              </w:rPr>
              <w:t>.</w:t>
            </w:r>
          </w:p>
        </w:tc>
      </w:tr>
    </w:tbl>
    <w:p w:rsidRPr="00DE206C" w:rsidR="008322CC" w:rsidP="008322CC" w:rsidRDefault="008322CC" w14:paraId="2F69BCE4" w14:textId="77777777">
      <w:pPr>
        <w:spacing w:after="0" w:line="276" w:lineRule="auto"/>
        <w:rPr>
          <w:rFonts w:ascii="Arial" w:hAnsi="Arial" w:cs="Arial"/>
          <w:lang w:val="es-MX"/>
        </w:rPr>
      </w:pPr>
    </w:p>
    <w:p w:rsidRPr="00DE206C" w:rsidR="008322CC" w:rsidP="008322CC" w:rsidRDefault="008322CC" w14:paraId="06803E9D" w14:textId="77777777">
      <w:pPr>
        <w:spacing w:after="0" w:line="276" w:lineRule="auto"/>
        <w:jc w:val="both"/>
        <w:rPr>
          <w:rFonts w:ascii="Arial" w:hAnsi="Arial" w:eastAsia="Calibri" w:cs="Arial"/>
          <w:lang w:val="es-ES_tradnl"/>
        </w:rPr>
      </w:pPr>
    </w:p>
    <w:p w:rsidRPr="00DE206C" w:rsidR="008322CC" w:rsidP="008322CC" w:rsidRDefault="008322CC" w14:paraId="00EEC0F7" w14:textId="3D336CE3">
      <w:pPr>
        <w:spacing w:after="0" w:line="276" w:lineRule="auto"/>
        <w:jc w:val="both"/>
        <w:rPr>
          <w:rFonts w:ascii="Arial" w:hAnsi="Arial" w:eastAsia="Calibri" w:cs="Arial"/>
          <w:bCs/>
          <w:lang w:val="es-ES_tradnl"/>
        </w:rPr>
      </w:pPr>
      <w:r w:rsidRPr="00DE206C">
        <w:rPr>
          <w:rFonts w:ascii="Arial" w:hAnsi="Arial" w:eastAsia="Calibri" w:cs="Arial"/>
          <w:lang w:val="es-ES_tradnl"/>
        </w:rPr>
        <w:t>Estimad</w:t>
      </w:r>
      <w:r w:rsidRPr="00DE206C" w:rsidR="00505681">
        <w:rPr>
          <w:rFonts w:ascii="Arial" w:hAnsi="Arial" w:eastAsia="Calibri" w:cs="Arial"/>
          <w:lang w:val="es-ES_tradnl"/>
        </w:rPr>
        <w:t xml:space="preserve">a </w:t>
      </w:r>
      <w:r w:rsidRPr="00DE206C">
        <w:rPr>
          <w:rFonts w:ascii="Arial" w:hAnsi="Arial" w:eastAsia="Calibri" w:cs="Arial"/>
          <w:lang w:val="es-ES_tradnl"/>
        </w:rPr>
        <w:t>señor</w:t>
      </w:r>
      <w:r w:rsidRPr="00DE206C" w:rsidR="00505681">
        <w:rPr>
          <w:rFonts w:ascii="Arial" w:hAnsi="Arial" w:eastAsia="Calibri" w:cs="Arial"/>
          <w:lang w:val="es-ES_tradnl"/>
        </w:rPr>
        <w:t>a</w:t>
      </w:r>
      <w:r w:rsidRPr="00DE206C">
        <w:rPr>
          <w:rFonts w:ascii="Arial" w:hAnsi="Arial" w:eastAsia="Calibri" w:cs="Arial"/>
          <w:lang w:val="es-ES_tradnl"/>
        </w:rPr>
        <w:t xml:space="preserve"> </w:t>
      </w:r>
      <w:r w:rsidRPr="00DE206C" w:rsidR="00505681">
        <w:rPr>
          <w:rFonts w:ascii="Arial" w:hAnsi="Arial" w:cs="Arial"/>
          <w:lang w:val="es-MX"/>
        </w:rPr>
        <w:t>Muñoz Arciniegas</w:t>
      </w:r>
      <w:r w:rsidRPr="00DE206C">
        <w:rPr>
          <w:rFonts w:ascii="Arial" w:hAnsi="Arial" w:eastAsia="Calibri" w:cs="Arial"/>
          <w:bCs/>
          <w:lang w:val="es-ES_tradnl"/>
        </w:rPr>
        <w:t>:</w:t>
      </w:r>
    </w:p>
    <w:p w:rsidRPr="00DE206C" w:rsidR="008322CC" w:rsidP="008322CC" w:rsidRDefault="008322CC" w14:paraId="626D727C" w14:textId="77777777">
      <w:pPr>
        <w:spacing w:after="0" w:line="276" w:lineRule="auto"/>
        <w:jc w:val="both"/>
        <w:rPr>
          <w:rFonts w:ascii="Arial" w:hAnsi="Arial" w:eastAsia="Calibri" w:cs="Arial"/>
          <w:bCs/>
          <w:lang w:val="es-ES_tradnl"/>
        </w:rPr>
      </w:pPr>
    </w:p>
    <w:p w:rsidRPr="00DE206C" w:rsidR="008322CC" w:rsidP="008322CC" w:rsidRDefault="008322CC" w14:paraId="1BCDE614" w14:textId="0EC076C2">
      <w:pPr>
        <w:spacing w:after="0" w:line="276" w:lineRule="auto"/>
        <w:jc w:val="both"/>
        <w:rPr>
          <w:rFonts w:ascii="Arial" w:hAnsi="Arial" w:eastAsia="Calibri" w:cs="Arial"/>
          <w:lang w:val="es-ES"/>
        </w:rPr>
      </w:pPr>
      <w:r w:rsidRPr="00DE206C">
        <w:rPr>
          <w:rFonts w:ascii="Arial" w:hAnsi="Arial" w:eastAsia="Calibri"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Pr="00DE206C" w:rsidR="00505681">
        <w:rPr>
          <w:rFonts w:ascii="Arial" w:hAnsi="Arial" w:eastAsia="Calibri" w:cs="Arial"/>
          <w:lang w:val="es-ES"/>
        </w:rPr>
        <w:t>19 de abril del 2023</w:t>
      </w:r>
      <w:r w:rsidRPr="00DE206C">
        <w:rPr>
          <w:rFonts w:ascii="Arial" w:hAnsi="Arial" w:eastAsia="Calibri" w:cs="Arial"/>
          <w:lang w:val="es-ES"/>
        </w:rPr>
        <w:t>.</w:t>
      </w:r>
    </w:p>
    <w:p w:rsidRPr="00DE206C" w:rsidR="008322CC" w:rsidP="008322CC" w:rsidRDefault="008322CC" w14:paraId="450042D7" w14:textId="77777777">
      <w:pPr>
        <w:spacing w:after="0" w:line="276" w:lineRule="auto"/>
        <w:jc w:val="both"/>
        <w:rPr>
          <w:rFonts w:ascii="Arial" w:hAnsi="Arial" w:eastAsia="Calibri" w:cs="Arial"/>
          <w:lang w:val="es-ES"/>
        </w:rPr>
      </w:pPr>
    </w:p>
    <w:p w:rsidRPr="00DE206C" w:rsidR="008322CC" w:rsidP="008322CC" w:rsidRDefault="008322CC" w14:paraId="36110713" w14:textId="77777777">
      <w:pPr>
        <w:pStyle w:val="Prrafodelista"/>
        <w:numPr>
          <w:ilvl w:val="0"/>
          <w:numId w:val="4"/>
        </w:numPr>
        <w:tabs>
          <w:tab w:val="left" w:pos="0"/>
          <w:tab w:val="left" w:pos="142"/>
          <w:tab w:val="left" w:pos="284"/>
        </w:tabs>
        <w:spacing w:after="0" w:line="276" w:lineRule="auto"/>
        <w:ind w:left="0" w:firstLine="0"/>
        <w:jc w:val="both"/>
        <w:rPr>
          <w:rFonts w:ascii="Arial" w:hAnsi="Arial" w:eastAsia="Calibri" w:cs="Arial"/>
          <w:b/>
          <w:lang w:val="es-ES_tradnl"/>
        </w:rPr>
      </w:pPr>
      <w:r w:rsidRPr="00DE206C">
        <w:rPr>
          <w:rFonts w:ascii="Arial" w:hAnsi="Arial" w:eastAsia="Calibri" w:cs="Arial"/>
          <w:b/>
          <w:lang w:val="es-ES_tradnl"/>
        </w:rPr>
        <w:t xml:space="preserve">Problema planteado </w:t>
      </w:r>
    </w:p>
    <w:p w:rsidRPr="00DE206C" w:rsidR="008322CC" w:rsidP="008322CC" w:rsidRDefault="008322CC" w14:paraId="46493CFE" w14:textId="77777777">
      <w:pPr>
        <w:pStyle w:val="Prrafodelista"/>
        <w:tabs>
          <w:tab w:val="left" w:pos="0"/>
          <w:tab w:val="left" w:pos="142"/>
          <w:tab w:val="left" w:pos="284"/>
        </w:tabs>
        <w:spacing w:after="0" w:line="276" w:lineRule="auto"/>
        <w:ind w:left="0"/>
        <w:jc w:val="both"/>
        <w:rPr>
          <w:rFonts w:ascii="Arial" w:hAnsi="Arial" w:eastAsia="Calibri" w:cs="Arial"/>
          <w:b/>
          <w:lang w:val="es-ES_tradnl"/>
        </w:rPr>
      </w:pPr>
    </w:p>
    <w:p w:rsidRPr="00DE206C" w:rsidR="008322CC" w:rsidP="008322CC" w:rsidRDefault="008322CC" w14:paraId="02B5B4FE" w14:textId="3F23EA50">
      <w:pPr>
        <w:spacing w:after="0" w:line="276" w:lineRule="auto"/>
        <w:jc w:val="both"/>
        <w:rPr>
          <w:rFonts w:ascii="Arial" w:hAnsi="Arial" w:cs="Arial"/>
          <w:lang w:val="es-ES_tradnl"/>
        </w:rPr>
      </w:pPr>
      <w:r w:rsidRPr="00DE206C">
        <w:rPr>
          <w:rFonts w:ascii="Arial" w:hAnsi="Arial" w:cs="Arial"/>
          <w:lang w:val="es-ES_tradnl"/>
        </w:rPr>
        <w:t>Respecto a</w:t>
      </w:r>
      <w:r w:rsidRPr="00DE206C" w:rsidR="00DC40D4">
        <w:rPr>
          <w:rFonts w:ascii="Arial" w:hAnsi="Arial" w:cs="Arial"/>
          <w:lang w:val="es-ES_tradnl"/>
        </w:rPr>
        <w:t xml:space="preserve">l estudio del mercado y </w:t>
      </w:r>
      <w:r w:rsidRPr="00DE206C" w:rsidR="00BE552F">
        <w:rPr>
          <w:rFonts w:ascii="Arial" w:hAnsi="Arial" w:cs="Arial"/>
          <w:lang w:val="es-ES_tradnl"/>
        </w:rPr>
        <w:t>el estudio del sector</w:t>
      </w:r>
      <w:r w:rsidRPr="00DE206C">
        <w:rPr>
          <w:rFonts w:ascii="Arial" w:hAnsi="Arial" w:cs="Arial"/>
          <w:lang w:val="es-ES_tradnl"/>
        </w:rPr>
        <w:t xml:space="preserve">, usted realiza la siguiente consulta: </w:t>
      </w:r>
    </w:p>
    <w:p w:rsidRPr="00DE206C" w:rsidR="008322CC" w:rsidP="008322CC" w:rsidRDefault="008322CC" w14:paraId="0FED2A26" w14:textId="77777777">
      <w:pPr>
        <w:spacing w:after="0" w:line="240" w:lineRule="auto"/>
        <w:ind w:right="709"/>
        <w:jc w:val="both"/>
        <w:rPr>
          <w:rFonts w:ascii="Arial" w:hAnsi="Arial" w:cs="Arial"/>
          <w:sz w:val="21"/>
          <w:szCs w:val="21"/>
          <w:lang w:val="es-ES_tradnl"/>
        </w:rPr>
      </w:pPr>
    </w:p>
    <w:p w:rsidRPr="00DE206C" w:rsidR="00BF2577" w:rsidP="00A44703" w:rsidRDefault="008322CC" w14:paraId="3721CD04" w14:textId="113959FA">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 xml:space="preserve">“1. </w:t>
      </w:r>
      <w:r w:rsidRPr="00DE206C" w:rsidR="00BF2577">
        <w:rPr>
          <w:rFonts w:ascii="Arial" w:hAnsi="Arial" w:cs="Arial"/>
          <w:sz w:val="21"/>
          <w:szCs w:val="21"/>
          <w:lang w:val="es-ES_tradnl"/>
        </w:rPr>
        <w:t>¿</w:t>
      </w:r>
      <w:r w:rsidRPr="00DE206C" w:rsidR="00BF2577">
        <w:rPr>
          <w:rFonts w:ascii="Arial" w:hAnsi="Arial" w:cs="Arial"/>
        </w:rPr>
        <w:t>Cuál</w:t>
      </w:r>
      <w:r w:rsidRPr="00DE206C" w:rsidR="00752CC7">
        <w:rPr>
          <w:rFonts w:ascii="Arial" w:hAnsi="Arial" w:cs="Arial"/>
          <w:sz w:val="21"/>
          <w:szCs w:val="21"/>
          <w:lang w:val="es-ES_tradnl"/>
        </w:rPr>
        <w:t xml:space="preserve"> es la diferencia entre estudio del mercado y estudio del sector</w:t>
      </w:r>
      <w:r w:rsidRPr="00DE206C" w:rsidR="00A44703">
        <w:rPr>
          <w:rFonts w:ascii="Arial" w:hAnsi="Arial" w:cs="Arial"/>
          <w:sz w:val="21"/>
          <w:szCs w:val="21"/>
          <w:lang w:val="es-ES_tradnl"/>
        </w:rPr>
        <w:t xml:space="preserve">? </w:t>
      </w:r>
    </w:p>
    <w:p w:rsidRPr="00DE206C" w:rsidR="00BF2577" w:rsidP="00A44703" w:rsidRDefault="00A44703" w14:paraId="1EF2AACA" w14:textId="77777777">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 xml:space="preserve">2. ¿Cuál el contenido de un estudio del sector? </w:t>
      </w:r>
    </w:p>
    <w:p w:rsidRPr="00DE206C" w:rsidR="00BF2577" w:rsidP="00A44703" w:rsidRDefault="00A44703" w14:paraId="29B3C145" w14:textId="77777777">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3.</w:t>
      </w:r>
      <w:r w:rsidRPr="00DE206C" w:rsidR="00B917DB">
        <w:rPr>
          <w:rFonts w:ascii="Arial" w:hAnsi="Arial" w:cs="Arial"/>
          <w:sz w:val="21"/>
          <w:szCs w:val="21"/>
          <w:lang w:val="es-ES_tradnl"/>
        </w:rPr>
        <w:t xml:space="preserve"> ¿Cuáles son los criterios que se evalúan en el estudio del sector? </w:t>
      </w:r>
    </w:p>
    <w:p w:rsidRPr="00DE206C" w:rsidR="00BF2577" w:rsidP="00A44703" w:rsidRDefault="00B917DB" w14:paraId="53B80D58" w14:textId="77777777">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 xml:space="preserve">4. ¿Cuál el contenido de un estudio de mercado? </w:t>
      </w:r>
    </w:p>
    <w:p w:rsidRPr="00DE206C" w:rsidR="00A44703" w:rsidP="00A44703" w:rsidRDefault="00B917DB" w14:paraId="1D80EF41" w14:textId="08463743">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5.</w:t>
      </w:r>
      <w:r w:rsidRPr="00DE206C" w:rsidR="00BF2577">
        <w:rPr>
          <w:rFonts w:ascii="Arial" w:hAnsi="Arial" w:cs="Arial"/>
          <w:sz w:val="21"/>
          <w:szCs w:val="21"/>
          <w:lang w:val="es-ES_tradnl"/>
        </w:rPr>
        <w:t xml:space="preserve"> ¿Cuáles son los criterios que se evalúan en el estudio mercado?</w:t>
      </w:r>
      <w:r w:rsidRPr="00DE206C" w:rsidR="00241D9A">
        <w:rPr>
          <w:rFonts w:ascii="Arial" w:hAnsi="Arial" w:cs="Arial"/>
          <w:sz w:val="21"/>
          <w:szCs w:val="21"/>
          <w:lang w:val="es-ES_tradnl"/>
        </w:rPr>
        <w:t>”</w:t>
      </w:r>
    </w:p>
    <w:p w:rsidRPr="00DE206C" w:rsidR="00A44703" w:rsidP="00A44703" w:rsidRDefault="00A44703" w14:paraId="785C3271" w14:textId="77777777">
      <w:pPr>
        <w:spacing w:after="0" w:line="240" w:lineRule="auto"/>
        <w:ind w:left="708" w:right="709"/>
        <w:jc w:val="both"/>
        <w:rPr>
          <w:rFonts w:ascii="Arial" w:hAnsi="Arial" w:cs="Arial"/>
          <w:sz w:val="21"/>
          <w:szCs w:val="21"/>
        </w:rPr>
      </w:pPr>
    </w:p>
    <w:p w:rsidRPr="00DE206C" w:rsidR="008322CC" w:rsidP="008322CC" w:rsidRDefault="008322CC" w14:paraId="0AE74D03" w14:textId="77777777">
      <w:pPr>
        <w:pStyle w:val="Prrafodelista"/>
        <w:numPr>
          <w:ilvl w:val="0"/>
          <w:numId w:val="4"/>
        </w:numPr>
        <w:tabs>
          <w:tab w:val="left" w:pos="0"/>
          <w:tab w:val="left" w:pos="284"/>
        </w:tabs>
        <w:spacing w:after="0" w:line="276" w:lineRule="auto"/>
        <w:ind w:left="0" w:firstLine="0"/>
        <w:contextualSpacing w:val="0"/>
        <w:jc w:val="both"/>
        <w:rPr>
          <w:rFonts w:ascii="Arial" w:hAnsi="Arial" w:eastAsia="Calibri" w:cs="Arial"/>
          <w:b/>
          <w:lang w:val="es-ES_tradnl"/>
        </w:rPr>
      </w:pPr>
      <w:r w:rsidRPr="00DE206C">
        <w:rPr>
          <w:rFonts w:ascii="Arial" w:hAnsi="Arial" w:eastAsia="Calibri" w:cs="Arial"/>
          <w:b/>
          <w:lang w:val="es-ES_tradnl"/>
        </w:rPr>
        <w:t>Consideraciones</w:t>
      </w:r>
    </w:p>
    <w:p w:rsidRPr="00DE206C" w:rsidR="008322CC" w:rsidP="008322CC" w:rsidRDefault="008322CC" w14:paraId="6682354B" w14:textId="77777777">
      <w:pPr>
        <w:pStyle w:val="Prrafodelista"/>
        <w:tabs>
          <w:tab w:val="left" w:pos="0"/>
          <w:tab w:val="left" w:pos="284"/>
        </w:tabs>
        <w:spacing w:after="0" w:line="276" w:lineRule="auto"/>
        <w:ind w:left="0"/>
        <w:contextualSpacing w:val="0"/>
        <w:jc w:val="both"/>
        <w:rPr>
          <w:rFonts w:ascii="Arial" w:hAnsi="Arial" w:eastAsia="Calibri" w:cs="Arial"/>
          <w:b/>
          <w:lang w:val="es-ES_tradnl"/>
        </w:rPr>
      </w:pPr>
    </w:p>
    <w:p w:rsidRPr="00DE206C" w:rsidR="008322CC" w:rsidP="008322CC" w:rsidRDefault="008322CC" w14:paraId="2C4369D8" w14:textId="77777777">
      <w:pPr>
        <w:spacing w:after="120" w:line="276" w:lineRule="auto"/>
        <w:jc w:val="both"/>
        <w:rPr>
          <w:rFonts w:ascii="Arial" w:hAnsi="Arial" w:cs="Arial"/>
          <w:lang w:val="es-ES"/>
        </w:rPr>
      </w:pPr>
      <w:r w:rsidRPr="00DE206C">
        <w:rPr>
          <w:rFonts w:ascii="Arial" w:hAnsi="Arial" w:cs="Arial"/>
        </w:rPr>
        <w:t xml:space="preserve">En ejercicio de las competencias establecidas en los artículos 3, numeral 5° y 11, numeral 8° del Decreto Ley 4170 de 2011, la Agencia Nacional de Contratación Pública – Colombia Compra </w:t>
      </w:r>
      <w:r w:rsidRPr="00DE206C">
        <w:rPr>
          <w:rFonts w:ascii="Arial" w:hAnsi="Arial" w:cs="Arial"/>
        </w:rPr>
        <w:lastRenderedPageBreak/>
        <w:t>Eficiente resuelve las consultas sobre los asuntos de su competencia, esto es, sobre las temáticas de la contratación estatal y compras públicas relacionadas en los artículos citados</w:t>
      </w:r>
      <w:bookmarkStart w:name="_Hlk61701014" w:id="1"/>
      <w:bookmarkStart w:name="_Hlk62136649" w:id="2"/>
      <w:r w:rsidRPr="00DE206C">
        <w:rPr>
          <w:rFonts w:ascii="Arial" w:hAnsi="Arial" w:cs="Arial"/>
        </w:rPr>
        <w:t xml:space="preserve">. </w:t>
      </w:r>
      <w:r w:rsidRPr="00DE206C">
        <w:rPr>
          <w:rFonts w:ascii="Arial" w:hAnsi="Arial" w:cs="Arial"/>
          <w:lang w:val="es-ES"/>
        </w:rPr>
        <w:t xml:space="preserve">Es necesario tener en cuenta que </w:t>
      </w:r>
      <w:bookmarkStart w:name="_Hlk61026958" w:id="3"/>
      <w:r w:rsidRPr="00DE206C">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DE206C">
        <w:rPr>
          <w:rFonts w:ascii="Arial" w:hAnsi="Arial" w:cs="Arial"/>
        </w:rPr>
        <w:t xml:space="preserve"> de todos los partícipes de la contratación estatal.</w:t>
      </w:r>
      <w:r w:rsidRPr="00DE206C">
        <w:rPr>
          <w:rFonts w:ascii="Arial" w:hAnsi="Arial" w:cs="Arial"/>
          <w:lang w:val="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E206C">
        <w:rPr>
          <w:rStyle w:val="Refdenotaalpie"/>
          <w:rFonts w:ascii="Arial" w:hAnsi="Arial" w:cs="Arial"/>
          <w:lang w:val="es-ES"/>
        </w:rPr>
        <w:footnoteReference w:id="2"/>
      </w:r>
      <w:r w:rsidRPr="00DE206C">
        <w:rPr>
          <w:rFonts w:ascii="Arial" w:hAnsi="Arial" w:cs="Arial"/>
          <w:lang w:val="es-ES"/>
        </w:rPr>
        <w:t xml:space="preserve">. Esta competencia de interpretación de normas generales, por definición, no puede extenderse a la resolución de controversias, ni a brindar asesorías sobre casos puntuales. </w:t>
      </w:r>
      <w:bookmarkEnd w:id="3"/>
      <w:r w:rsidRPr="00DE206C">
        <w:rPr>
          <w:rFonts w:ascii="Arial" w:hAnsi="Arial" w:cs="Arial"/>
          <w:lang w:val="es-ES"/>
        </w:rPr>
        <w:t xml:space="preserve"> </w:t>
      </w:r>
      <w:bookmarkEnd w:id="1"/>
      <w:bookmarkEnd w:id="2"/>
    </w:p>
    <w:p w:rsidRPr="00DE206C" w:rsidR="004557E2" w:rsidP="00C4571B" w:rsidRDefault="00DA1471" w14:paraId="0264295F" w14:textId="77777777">
      <w:pPr>
        <w:spacing w:after="120"/>
        <w:ind w:firstLine="709"/>
        <w:jc w:val="both"/>
        <w:rPr>
          <w:rFonts w:ascii="Arial" w:hAnsi="Arial" w:eastAsia="Calibri" w:cs="Arial"/>
          <w:lang w:val="es-ES"/>
        </w:rPr>
      </w:pPr>
      <w:r w:rsidRPr="00DE206C">
        <w:rPr>
          <w:rFonts w:ascii="Arial" w:hAnsi="Arial" w:eastAsia="Calibri" w:cs="Arial"/>
          <w:lang w:val="es-ES"/>
        </w:rPr>
        <w:t>La Agencia Nacional de Contratación Pública – Colombia Compra Eficiente se pronunció, en términos generales, sobre el deber de elaborar el análisis del sector frente a los procesos de contratación en los Conceptos 2202013000000037 del 7 de enero de 2020 y C-223 del 29 de abril de 2020 –radicado No. 2202013000003261– y C–148 de 2021. Igualmente, en los Conceptos C-387 del 23 de junio de 2020 –radicado No. 2202013000005289–, C-415 del 7 de julio –radicado No. 2202013000005931–, C-443 del 7 de julio de 2020 –radicado No. 2202013000005933–, C-387 del 23 de junio de 2020 –radicado No. 4202013000004275–, 2202013000000037 del 7 de enero de 2020, C-223 del 29 de abril de 2020, C-671 de 2020 de 23 de noviembre de 2020, C-215 del 12 de mayo de 2021, C-742 de 27 de diciembre de 202, C-017 del 22 de febrero de 2022, C-680 del 19 de septiembre de 2022 y C-</w:t>
      </w:r>
      <w:r w:rsidRPr="00DE206C" w:rsidR="00FC3764">
        <w:rPr>
          <w:rFonts w:ascii="Arial" w:hAnsi="Arial" w:eastAsia="Calibri" w:cs="Arial"/>
          <w:lang w:val="es-ES"/>
        </w:rPr>
        <w:t xml:space="preserve">678 del </w:t>
      </w:r>
      <w:r w:rsidRPr="00DE206C" w:rsidR="00E96547">
        <w:rPr>
          <w:rFonts w:ascii="Arial" w:hAnsi="Arial" w:eastAsia="Calibri" w:cs="Arial"/>
          <w:lang w:val="es-ES"/>
        </w:rPr>
        <w:t>13 de diciembre</w:t>
      </w:r>
      <w:r w:rsidRPr="00DE206C" w:rsidR="00FC3764">
        <w:rPr>
          <w:rFonts w:ascii="Arial" w:hAnsi="Arial" w:eastAsia="Calibri" w:cs="Arial"/>
          <w:lang w:val="es-ES"/>
        </w:rPr>
        <w:t xml:space="preserve"> del 2022</w:t>
      </w:r>
      <w:r w:rsidRPr="00DE206C">
        <w:rPr>
          <w:rStyle w:val="Refdenotaalpie"/>
          <w:rFonts w:ascii="Arial" w:hAnsi="Arial" w:eastAsia="Calibri" w:cs="Arial"/>
          <w:lang w:val="es-ES_tradnl"/>
        </w:rPr>
        <w:footnoteReference w:id="3"/>
      </w:r>
      <w:r w:rsidRPr="00DE206C">
        <w:rPr>
          <w:rFonts w:ascii="Arial" w:hAnsi="Arial" w:eastAsia="Calibri" w:cs="Arial"/>
          <w:lang w:val="es-ES"/>
        </w:rPr>
        <w:t xml:space="preserve">, se pronunció sobre la planeación y los estudios previos en el Estatuto General de Contratación de la Administración Pública. </w:t>
      </w:r>
    </w:p>
    <w:p w:rsidRPr="00DE206C" w:rsidR="00C4571B" w:rsidP="00C4571B" w:rsidRDefault="004750F3" w14:paraId="6293690C" w14:textId="77777777">
      <w:pPr>
        <w:spacing w:after="120"/>
        <w:ind w:firstLine="709"/>
        <w:jc w:val="both"/>
        <w:rPr>
          <w:rFonts w:ascii="Arial" w:hAnsi="Arial" w:eastAsia="Calibri" w:cs="Arial"/>
          <w:lang w:val="es-ES"/>
        </w:rPr>
      </w:pPr>
      <w:r w:rsidRPr="00DE206C">
        <w:rPr>
          <w:rFonts w:ascii="Arial" w:hAnsi="Arial" w:eastAsia="Calibri" w:cs="Arial"/>
          <w:bCs/>
          <w:lang w:val="es-ES_tradnl"/>
        </w:rPr>
        <w:t xml:space="preserve">La planeación contractual es una herramienta de gerencia pública, que exige estructurar el proceso contractual dedicando tiempo y esfuerzos para elaborar estudios previos, con el fin de determinar la necesidad que pretende satisfacer la </w:t>
      </w:r>
      <w:r w:rsidRPr="00DE206C" w:rsidR="004557E2">
        <w:rPr>
          <w:rFonts w:ascii="Arial" w:hAnsi="Arial" w:eastAsia="Calibri" w:cs="Arial"/>
          <w:bCs/>
          <w:lang w:val="es-ES_tradnl"/>
        </w:rPr>
        <w:t>E</w:t>
      </w:r>
      <w:r w:rsidRPr="00DE206C">
        <w:rPr>
          <w:rFonts w:ascii="Arial" w:hAnsi="Arial" w:eastAsia="Calibri" w:cs="Arial"/>
          <w:bCs/>
          <w:lang w:val="es-ES_tradnl"/>
        </w:rPr>
        <w:t xml:space="preserve">ntidad </w:t>
      </w:r>
      <w:r w:rsidRPr="00DE206C" w:rsidR="004557E2">
        <w:rPr>
          <w:rFonts w:ascii="Arial" w:hAnsi="Arial" w:eastAsia="Calibri" w:cs="Arial"/>
          <w:bCs/>
          <w:lang w:val="es-ES_tradnl"/>
        </w:rPr>
        <w:t>E</w:t>
      </w:r>
      <w:r w:rsidRPr="00DE206C">
        <w:rPr>
          <w:rFonts w:ascii="Arial" w:hAnsi="Arial" w:eastAsia="Calibri" w:cs="Arial"/>
          <w:bCs/>
          <w:lang w:val="es-ES_tradnl"/>
        </w:rPr>
        <w:t>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r w:rsidRPr="00DE206C">
        <w:rPr>
          <w:rFonts w:ascii="Arial" w:hAnsi="Arial" w:eastAsia="Calibri" w:cs="Arial"/>
          <w:bCs/>
          <w:sz w:val="21"/>
          <w:szCs w:val="21"/>
          <w:lang w:val="es-ES_tradnl"/>
        </w:rPr>
        <w:t>.</w:t>
      </w:r>
    </w:p>
    <w:p w:rsidRPr="00DE206C" w:rsidR="004750F3" w:rsidP="00F50016" w:rsidRDefault="004750F3" w14:paraId="42B001F1" w14:textId="6DCBFB3B">
      <w:pPr>
        <w:spacing w:after="0"/>
        <w:ind w:firstLine="709"/>
        <w:jc w:val="both"/>
        <w:rPr>
          <w:rFonts w:ascii="Arial" w:hAnsi="Arial" w:eastAsia="Calibri" w:cs="Arial"/>
          <w:lang w:val="es-ES"/>
        </w:rPr>
      </w:pPr>
      <w:r w:rsidRPr="00DE206C">
        <w:rPr>
          <w:rFonts w:ascii="Arial" w:hAnsi="Arial" w:eastAsia="Calibri" w:cs="Arial"/>
          <w:bCs/>
          <w:lang w:val="es-MX"/>
        </w:rPr>
        <w:lastRenderedPageBreak/>
        <w:t xml:space="preserve">El Estatuto General de Contratación de la Administración Pública contiene disposiciones que exigen a las </w:t>
      </w:r>
      <w:r w:rsidRPr="00DE206C" w:rsidR="00F50016">
        <w:rPr>
          <w:rFonts w:ascii="Arial" w:hAnsi="Arial" w:eastAsia="Calibri" w:cs="Arial"/>
          <w:bCs/>
          <w:lang w:val="es-MX"/>
        </w:rPr>
        <w:t>E</w:t>
      </w:r>
      <w:r w:rsidRPr="00DE206C">
        <w:rPr>
          <w:rFonts w:ascii="Arial" w:hAnsi="Arial" w:eastAsia="Calibri" w:cs="Arial"/>
          <w:bCs/>
          <w:lang w:val="es-MX"/>
        </w:rPr>
        <w:t xml:space="preserve">ntidades </w:t>
      </w:r>
      <w:r w:rsidRPr="00DE206C" w:rsidR="00F50016">
        <w:rPr>
          <w:rFonts w:ascii="Arial" w:hAnsi="Arial" w:eastAsia="Calibri" w:cs="Arial"/>
          <w:bCs/>
          <w:lang w:val="es-MX"/>
        </w:rPr>
        <w:t>E</w:t>
      </w:r>
      <w:r w:rsidRPr="00DE206C">
        <w:rPr>
          <w:rFonts w:ascii="Arial" w:hAnsi="Arial" w:eastAsia="Calibri" w:cs="Arial"/>
          <w:bCs/>
          <w:lang w:val="es-MX"/>
        </w:rPr>
        <w:t xml:space="preserv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rsidRPr="00DE206C" w:rsidR="004750F3" w:rsidP="00F50016" w:rsidRDefault="004750F3" w14:paraId="75474B9F" w14:textId="77777777">
      <w:pPr>
        <w:spacing w:after="0" w:line="276" w:lineRule="auto"/>
        <w:ind w:firstLine="708"/>
        <w:jc w:val="both"/>
        <w:rPr>
          <w:rFonts w:ascii="Arial" w:hAnsi="Arial" w:eastAsia="Calibri" w:cs="Arial"/>
          <w:bCs/>
          <w:lang w:val="es-ES"/>
        </w:rPr>
      </w:pPr>
    </w:p>
    <w:p w:rsidRPr="00DE206C" w:rsidR="004750F3" w:rsidP="002C23C5" w:rsidRDefault="79EC6082" w14:paraId="4B2D0121" w14:textId="617BE3B3">
      <w:pPr>
        <w:spacing w:after="0" w:line="240" w:lineRule="auto"/>
        <w:ind w:left="709" w:right="709"/>
        <w:jc w:val="both"/>
        <w:rPr>
          <w:rFonts w:ascii="Arial" w:hAnsi="Arial" w:eastAsia="Calibri" w:cs="Arial"/>
          <w:sz w:val="21"/>
          <w:szCs w:val="21"/>
          <w:lang w:val="es-MX"/>
        </w:rPr>
      </w:pPr>
      <w:r w:rsidRPr="6D5D51A5">
        <w:rPr>
          <w:rFonts w:ascii="Arial" w:hAnsi="Arial" w:eastAsia="Calibri" w:cs="Arial"/>
          <w:sz w:val="21"/>
          <w:szCs w:val="21"/>
          <w:lang w:val="es-MX"/>
        </w:rPr>
        <w:t>“</w:t>
      </w:r>
      <w:r w:rsidRPr="00DE206C" w:rsidR="004750F3">
        <w:rPr>
          <w:rFonts w:ascii="Arial" w:hAnsi="Arial" w:eastAsia="Calibri" w:cs="Arial"/>
          <w:sz w:val="21"/>
          <w:szCs w:val="21"/>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rsidRPr="00DE206C" w:rsidR="004750F3" w:rsidP="002C23C5" w:rsidRDefault="004750F3" w14:paraId="18913E42" w14:textId="77777777">
      <w:pPr>
        <w:spacing w:after="0" w:line="240" w:lineRule="auto"/>
        <w:ind w:left="709" w:right="709"/>
        <w:jc w:val="both"/>
        <w:rPr>
          <w:rFonts w:ascii="Arial" w:hAnsi="Arial" w:eastAsia="Calibri" w:cs="Arial"/>
          <w:sz w:val="21"/>
          <w:szCs w:val="21"/>
          <w:lang w:val="es-MX"/>
        </w:rPr>
      </w:pPr>
      <w:r w:rsidRPr="00DE206C">
        <w:rPr>
          <w:rFonts w:ascii="Arial" w:hAnsi="Arial" w:eastAsia="Calibri" w:cs="Arial"/>
          <w:sz w:val="21"/>
          <w:szCs w:val="21"/>
          <w:lang w:val="es-MX"/>
        </w:rPr>
        <w:t>[…]</w:t>
      </w:r>
    </w:p>
    <w:p w:rsidRPr="00DE206C" w:rsidR="002C23C5" w:rsidP="002C23C5" w:rsidRDefault="002C23C5" w14:paraId="19D65EE6" w14:textId="77777777">
      <w:pPr>
        <w:spacing w:after="0" w:line="240" w:lineRule="auto"/>
        <w:ind w:left="709" w:right="709"/>
        <w:jc w:val="both"/>
        <w:rPr>
          <w:rFonts w:ascii="Arial" w:hAnsi="Arial" w:eastAsia="Calibri" w:cs="Arial"/>
          <w:sz w:val="21"/>
          <w:szCs w:val="21"/>
          <w:lang w:val="es-MX"/>
        </w:rPr>
      </w:pPr>
    </w:p>
    <w:p w:rsidRPr="00DE206C" w:rsidR="004750F3" w:rsidP="002C23C5" w:rsidRDefault="004750F3" w14:paraId="170E39B4" w14:textId="77777777">
      <w:pPr>
        <w:spacing w:after="0" w:line="240" w:lineRule="auto"/>
        <w:ind w:left="709" w:right="709"/>
        <w:jc w:val="both"/>
        <w:rPr>
          <w:rFonts w:ascii="Arial" w:hAnsi="Arial" w:eastAsia="Calibri" w:cs="Arial"/>
          <w:sz w:val="21"/>
          <w:szCs w:val="21"/>
          <w:lang w:val="es-MX"/>
        </w:rPr>
      </w:pPr>
      <w:r w:rsidRPr="00DE206C">
        <w:rPr>
          <w:rFonts w:ascii="Arial" w:hAnsi="Arial" w:eastAsia="Calibri" w:cs="Arial"/>
          <w:sz w:val="21"/>
          <w:szCs w:val="21"/>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rsidRPr="00DE206C" w:rsidR="002C23C5" w:rsidP="002C23C5" w:rsidRDefault="002C23C5" w14:paraId="2A34527C" w14:textId="77777777">
      <w:pPr>
        <w:spacing w:after="0" w:line="240" w:lineRule="auto"/>
        <w:ind w:left="709" w:right="709"/>
        <w:jc w:val="both"/>
        <w:rPr>
          <w:rFonts w:ascii="Arial" w:hAnsi="Arial" w:eastAsia="Calibri" w:cs="Arial"/>
          <w:sz w:val="21"/>
          <w:szCs w:val="21"/>
          <w:lang w:val="es-MX"/>
        </w:rPr>
      </w:pPr>
    </w:p>
    <w:p w:rsidRPr="00DE206C" w:rsidR="004750F3" w:rsidP="002C23C5" w:rsidRDefault="004750F3" w14:paraId="17C86C0F" w14:textId="77777777">
      <w:pPr>
        <w:spacing w:after="0" w:line="240" w:lineRule="auto"/>
        <w:ind w:left="709" w:right="709"/>
        <w:jc w:val="both"/>
        <w:rPr>
          <w:rFonts w:ascii="Arial" w:hAnsi="Arial" w:eastAsia="Calibri" w:cs="Arial"/>
          <w:sz w:val="21"/>
          <w:szCs w:val="21"/>
          <w:lang w:val="es-MX"/>
        </w:rPr>
      </w:pPr>
      <w:r w:rsidRPr="00DE206C">
        <w:rPr>
          <w:rFonts w:ascii="Arial" w:hAnsi="Arial" w:eastAsia="Calibri" w:cs="Arial"/>
          <w:sz w:val="21"/>
          <w:szCs w:val="21"/>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rsidRPr="00DE206C" w:rsidR="002C23C5" w:rsidP="002C23C5" w:rsidRDefault="002C23C5" w14:paraId="100DDF57" w14:textId="77777777">
      <w:pPr>
        <w:spacing w:after="0" w:line="240" w:lineRule="auto"/>
        <w:ind w:left="709" w:right="709"/>
        <w:jc w:val="both"/>
        <w:rPr>
          <w:rFonts w:ascii="Arial" w:hAnsi="Arial" w:eastAsia="Calibri" w:cs="Arial"/>
          <w:sz w:val="21"/>
          <w:szCs w:val="21"/>
          <w:lang w:val="es-MX"/>
        </w:rPr>
      </w:pPr>
    </w:p>
    <w:p w:rsidRPr="00DE206C" w:rsidR="004750F3" w:rsidP="002C23C5" w:rsidRDefault="004750F3" w14:paraId="7EE641BA" w14:textId="77777777">
      <w:pPr>
        <w:spacing w:after="0" w:line="240" w:lineRule="auto"/>
        <w:ind w:left="709" w:right="709"/>
        <w:jc w:val="both"/>
        <w:rPr>
          <w:rFonts w:ascii="Arial" w:hAnsi="Arial" w:cs="Arial"/>
          <w:sz w:val="21"/>
          <w:szCs w:val="21"/>
        </w:rPr>
      </w:pPr>
      <w:r w:rsidRPr="00DE206C">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rsidRPr="00DE206C" w:rsidR="002C23C5" w:rsidP="002C23C5" w:rsidRDefault="002C23C5" w14:paraId="00940512" w14:textId="77777777">
      <w:pPr>
        <w:spacing w:after="0" w:line="240" w:lineRule="auto"/>
        <w:ind w:left="709" w:right="709"/>
        <w:jc w:val="both"/>
        <w:rPr>
          <w:rFonts w:ascii="Arial" w:hAnsi="Arial" w:cs="Arial"/>
          <w:sz w:val="21"/>
          <w:szCs w:val="21"/>
        </w:rPr>
      </w:pPr>
    </w:p>
    <w:p w:rsidRPr="00DE206C" w:rsidR="004750F3" w:rsidP="002C23C5" w:rsidRDefault="004750F3" w14:paraId="62748B4F" w14:textId="6989CCCC">
      <w:pPr>
        <w:spacing w:after="0" w:line="240" w:lineRule="auto"/>
        <w:ind w:left="709" w:right="709"/>
        <w:jc w:val="both"/>
        <w:rPr>
          <w:rFonts w:ascii="Arial" w:hAnsi="Arial" w:cs="Arial"/>
          <w:sz w:val="21"/>
          <w:szCs w:val="21"/>
        </w:rPr>
      </w:pPr>
      <w:r w:rsidRPr="00DE206C">
        <w:rPr>
          <w:rFonts w:ascii="Arial" w:hAnsi="Arial" w:cs="Arial"/>
          <w:sz w:val="21"/>
          <w:szCs w:val="21"/>
        </w:rPr>
        <w:t xml:space="preserve">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Pr="6D5D51A5">
        <w:rPr>
          <w:rFonts w:ascii="Arial" w:hAnsi="Arial" w:cs="Arial"/>
          <w:sz w:val="21"/>
          <w:szCs w:val="21"/>
        </w:rPr>
        <w:t>[…]</w:t>
      </w:r>
      <w:r w:rsidRPr="6D5D51A5" w:rsidR="60716D85">
        <w:rPr>
          <w:rFonts w:ascii="Arial" w:hAnsi="Arial" w:cs="Arial"/>
          <w:sz w:val="21"/>
          <w:szCs w:val="21"/>
        </w:rPr>
        <w:t>”</w:t>
      </w:r>
      <w:r w:rsidRPr="6D5D51A5">
        <w:rPr>
          <w:rFonts w:ascii="Arial" w:hAnsi="Arial" w:cs="Arial"/>
          <w:sz w:val="21"/>
          <w:szCs w:val="21"/>
        </w:rPr>
        <w:t>.</w:t>
      </w:r>
    </w:p>
    <w:p w:rsidRPr="00DE206C" w:rsidR="00F50016" w:rsidP="00F50016" w:rsidRDefault="00F50016" w14:paraId="1244999B" w14:textId="77777777">
      <w:pPr>
        <w:spacing w:after="0"/>
        <w:ind w:left="709" w:right="709"/>
        <w:jc w:val="both"/>
        <w:rPr>
          <w:rFonts w:ascii="Arial" w:hAnsi="Arial" w:cs="Arial"/>
          <w:sz w:val="21"/>
          <w:szCs w:val="21"/>
        </w:rPr>
      </w:pPr>
    </w:p>
    <w:p w:rsidRPr="00DE206C" w:rsidR="004750F3" w:rsidP="002C23C5" w:rsidRDefault="004750F3" w14:paraId="2A81D0FF" w14:textId="56F86C9E">
      <w:pPr>
        <w:spacing w:after="0" w:line="276" w:lineRule="auto"/>
        <w:ind w:firstLine="708"/>
        <w:jc w:val="both"/>
        <w:rPr>
          <w:rFonts w:ascii="Arial" w:hAnsi="Arial" w:cs="Arial"/>
        </w:rPr>
      </w:pPr>
      <w:r w:rsidRPr="00DE206C">
        <w:rPr>
          <w:rFonts w:ascii="Arial" w:hAnsi="Arial" w:cs="Arial"/>
        </w:rPr>
        <w:t xml:space="preserve">Lo anterior le permitirá a la </w:t>
      </w:r>
      <w:r w:rsidRPr="00DE206C" w:rsidR="009E0A83">
        <w:rPr>
          <w:rFonts w:ascii="Arial" w:hAnsi="Arial" w:cs="Arial"/>
        </w:rPr>
        <w:t>E</w:t>
      </w:r>
      <w:r w:rsidRPr="00DE206C">
        <w:rPr>
          <w:rFonts w:ascii="Arial" w:hAnsi="Arial" w:cs="Arial"/>
        </w:rPr>
        <w:t xml:space="preserve">ntidad </w:t>
      </w:r>
      <w:r w:rsidRPr="00DE206C" w:rsidR="009E0A83">
        <w:rPr>
          <w:rFonts w:ascii="Arial" w:hAnsi="Arial" w:cs="Arial"/>
        </w:rPr>
        <w:t>E</w:t>
      </w:r>
      <w:r w:rsidRPr="00DE206C">
        <w:rPr>
          <w:rFonts w:ascii="Arial" w:hAnsi="Arial" w:cs="Arial"/>
        </w:rPr>
        <w:t xml:space="preserv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w:t>
      </w:r>
      <w:r w:rsidRPr="00DE206C" w:rsidR="00190AB4">
        <w:rPr>
          <w:rFonts w:ascii="Arial" w:hAnsi="Arial" w:cs="Arial"/>
        </w:rPr>
        <w:t>“</w:t>
      </w:r>
      <w:r w:rsidRPr="00DE206C">
        <w:rPr>
          <w:rFonts w:ascii="Arial" w:hAnsi="Arial" w:cs="Arial"/>
        </w:rPr>
        <w:t xml:space="preserve">genera prácticas indebidas, revocatoria de actos administrativos de apertura, declaratorias de desierta de procesos de selección, comisión de faltas disciplinarias, mayores costos o mayor permanencia de la obra y, en general, el fracaso en la ejecución de contratos </w:t>
      </w:r>
      <w:r w:rsidRPr="00DE206C">
        <w:rPr>
          <w:rFonts w:ascii="Arial" w:hAnsi="Arial" w:cs="Arial"/>
        </w:rPr>
        <w:lastRenderedPageBreak/>
        <w:t>estatales</w:t>
      </w:r>
      <w:r w:rsidRPr="00DE206C" w:rsidR="00190AB4">
        <w:rPr>
          <w:rFonts w:ascii="Arial" w:hAnsi="Arial" w:cs="Arial"/>
        </w:rPr>
        <w:t>”</w:t>
      </w:r>
      <w:r w:rsidRPr="00DE206C">
        <w:rPr>
          <w:rFonts w:ascii="Arial" w:hAnsi="Arial" w:cs="Arial"/>
          <w:vertAlign w:val="superscript"/>
        </w:rPr>
        <w:footnoteReference w:id="4"/>
      </w:r>
      <w:r w:rsidRPr="00DE206C">
        <w:rPr>
          <w:rFonts w:ascii="Arial" w:hAnsi="Arial" w:cs="Arial"/>
        </w:rPr>
        <w:t>. En congruencia con el artículo 25 de la Ley 80 de 1993, el Decreto Único Reglamentario del Sector Administrativo de Planeación Nacional –Decreto 1082 de 2015–, dispone en el artículo 2.2.1.1.2.1.1 el contenido mínimo de los estudios y documentos previos:</w:t>
      </w:r>
    </w:p>
    <w:p w:rsidRPr="00DE206C" w:rsidR="004750F3" w:rsidP="002C23C5" w:rsidRDefault="004750F3" w14:paraId="513B8CB2" w14:textId="77777777">
      <w:pPr>
        <w:spacing w:after="0" w:line="276" w:lineRule="auto"/>
        <w:ind w:left="709" w:right="709"/>
        <w:rPr>
          <w:rFonts w:ascii="Arial" w:hAnsi="Arial" w:cs="Arial"/>
          <w:lang w:eastAsia="es-CO"/>
        </w:rPr>
      </w:pPr>
    </w:p>
    <w:p w:rsidRPr="00DE206C" w:rsidR="004750F3" w:rsidP="002C23C5" w:rsidRDefault="002C23C5" w14:paraId="74915C22" w14:textId="7B6BBE8F">
      <w:pPr>
        <w:spacing w:after="0" w:line="240" w:lineRule="auto"/>
        <w:ind w:left="709" w:right="709"/>
        <w:jc w:val="both"/>
        <w:rPr>
          <w:rFonts w:ascii="Arial" w:hAnsi="Arial" w:cs="Arial"/>
          <w:sz w:val="21"/>
          <w:szCs w:val="21"/>
        </w:rPr>
      </w:pPr>
      <w:r w:rsidRPr="00DE206C">
        <w:rPr>
          <w:rFonts w:ascii="Arial" w:hAnsi="Arial" w:cs="Arial"/>
          <w:sz w:val="21"/>
          <w:szCs w:val="21"/>
        </w:rPr>
        <w:t>“</w:t>
      </w:r>
      <w:r w:rsidRPr="00DE206C" w:rsidR="004750F3">
        <w:rPr>
          <w:rFonts w:ascii="Arial" w:hAnsi="Arial" w:cs="Arial"/>
          <w:sz w:val="21"/>
          <w:szCs w:val="21"/>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rsidRPr="00DE206C" w:rsidR="002C23C5" w:rsidP="002C23C5" w:rsidRDefault="002C23C5" w14:paraId="35EA857A" w14:textId="77777777">
      <w:pPr>
        <w:spacing w:after="0" w:line="240" w:lineRule="auto"/>
        <w:ind w:left="709" w:right="709"/>
        <w:jc w:val="both"/>
        <w:rPr>
          <w:rFonts w:ascii="Arial" w:hAnsi="Arial" w:cs="Arial"/>
          <w:sz w:val="21"/>
          <w:szCs w:val="21"/>
        </w:rPr>
      </w:pPr>
    </w:p>
    <w:p w:rsidRPr="00DE206C" w:rsidR="004750F3" w:rsidP="002C23C5" w:rsidRDefault="004750F3" w14:paraId="07886B88" w14:textId="4415C9EB">
      <w:pPr>
        <w:pStyle w:val="Prrafodelista"/>
        <w:numPr>
          <w:ilvl w:val="0"/>
          <w:numId w:val="7"/>
        </w:numPr>
        <w:spacing w:after="0" w:line="240" w:lineRule="auto"/>
        <w:ind w:right="709"/>
        <w:jc w:val="both"/>
        <w:rPr>
          <w:rFonts w:ascii="Arial" w:hAnsi="Arial" w:cs="Arial"/>
          <w:sz w:val="21"/>
          <w:szCs w:val="21"/>
        </w:rPr>
      </w:pPr>
      <w:r w:rsidRPr="00DE206C">
        <w:rPr>
          <w:rFonts w:ascii="Arial" w:hAnsi="Arial" w:cs="Arial"/>
          <w:sz w:val="21"/>
          <w:szCs w:val="21"/>
        </w:rPr>
        <w:t>La descripción de la necesidad que la Entidad Estatal pretende satisfacer con el Proceso de Contratación. ​</w:t>
      </w:r>
    </w:p>
    <w:p w:rsidRPr="00DE206C" w:rsidR="002C23C5" w:rsidP="002C23C5" w:rsidRDefault="004750F3" w14:paraId="653BC7C3" w14:textId="77777777">
      <w:pPr>
        <w:pStyle w:val="Prrafodelista"/>
        <w:numPr>
          <w:ilvl w:val="0"/>
          <w:numId w:val="7"/>
        </w:numPr>
        <w:spacing w:after="0" w:line="240" w:lineRule="auto"/>
        <w:ind w:right="709"/>
        <w:jc w:val="both"/>
        <w:rPr>
          <w:rFonts w:ascii="Arial" w:hAnsi="Arial" w:cs="Arial"/>
          <w:sz w:val="21"/>
          <w:szCs w:val="21"/>
        </w:rPr>
      </w:pPr>
      <w:proofErr w:type="gramStart"/>
      <w:r w:rsidRPr="00DE206C">
        <w:rPr>
          <w:rFonts w:ascii="Arial" w:hAnsi="Arial" w:cs="Arial"/>
          <w:sz w:val="21"/>
          <w:szCs w:val="21"/>
        </w:rPr>
        <w:t>El objeto a contratar</w:t>
      </w:r>
      <w:proofErr w:type="gramEnd"/>
      <w:r w:rsidRPr="00DE206C">
        <w:rPr>
          <w:rFonts w:ascii="Arial" w:hAnsi="Arial" w:cs="Arial"/>
          <w:sz w:val="21"/>
          <w:szCs w:val="21"/>
        </w:rPr>
        <w:t xml:space="preserve">, con sus especificaciones, las autorizaciones, permisos y licencias requeridos para su ejecución, y cuando el contrato incluye diseño y construcción, los documentos técnicos para el desarrollo del proyecto. </w:t>
      </w:r>
    </w:p>
    <w:p w:rsidRPr="00DE206C" w:rsidR="002C23C5" w:rsidP="002C23C5" w:rsidRDefault="004750F3" w14:paraId="3B96ED3E" w14:textId="77777777">
      <w:pPr>
        <w:pStyle w:val="Prrafodelista"/>
        <w:numPr>
          <w:ilvl w:val="0"/>
          <w:numId w:val="7"/>
        </w:numPr>
        <w:spacing w:after="0" w:line="240" w:lineRule="auto"/>
        <w:ind w:right="709"/>
        <w:jc w:val="both"/>
        <w:rPr>
          <w:rFonts w:ascii="Arial" w:hAnsi="Arial" w:cs="Arial"/>
          <w:sz w:val="21"/>
          <w:szCs w:val="21"/>
        </w:rPr>
      </w:pPr>
      <w:r w:rsidRPr="00DE206C">
        <w:rPr>
          <w:rFonts w:ascii="Arial" w:hAnsi="Arial" w:cs="Arial"/>
          <w:sz w:val="21"/>
          <w:szCs w:val="21"/>
        </w:rPr>
        <w:t xml:space="preserve">La modalidad de selección del contratista y su justificación, incluyendo los fundamentos jurídicos. </w:t>
      </w:r>
    </w:p>
    <w:p w:rsidRPr="00DE206C" w:rsidR="002C23C5" w:rsidP="002C23C5" w:rsidRDefault="004750F3" w14:paraId="0E4A3C95" w14:textId="77777777">
      <w:pPr>
        <w:pStyle w:val="Prrafodelista"/>
        <w:numPr>
          <w:ilvl w:val="0"/>
          <w:numId w:val="7"/>
        </w:numPr>
        <w:spacing w:after="0" w:line="240" w:lineRule="auto"/>
        <w:ind w:right="709"/>
        <w:jc w:val="both"/>
        <w:rPr>
          <w:rFonts w:ascii="Arial" w:hAnsi="Arial" w:cs="Arial"/>
          <w:sz w:val="21"/>
          <w:szCs w:val="21"/>
        </w:rPr>
      </w:pPr>
      <w:r w:rsidRPr="00DE206C">
        <w:rPr>
          <w:rFonts w:ascii="Arial" w:hAnsi="Arial" w:cs="Arial"/>
          <w:sz w:val="21"/>
          <w:szCs w:val="21"/>
        </w:rPr>
        <w:t xml:space="preserve">El valor estimado del contrato y la justificación </w:t>
      </w:r>
      <w:proofErr w:type="gramStart"/>
      <w:r w:rsidRPr="00DE206C">
        <w:rPr>
          <w:rFonts w:ascii="Arial" w:hAnsi="Arial" w:cs="Arial"/>
          <w:sz w:val="21"/>
          <w:szCs w:val="21"/>
        </w:rPr>
        <w:t>del mismo</w:t>
      </w:r>
      <w:proofErr w:type="gramEnd"/>
      <w:r w:rsidRPr="00DE206C">
        <w:rPr>
          <w:rFonts w:ascii="Arial" w:hAnsi="Arial" w:cs="Arial"/>
          <w:sz w:val="21"/>
          <w:szCs w:val="21"/>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rsidRPr="00DE206C" w:rsidR="002C23C5" w:rsidP="002C23C5" w:rsidRDefault="004750F3" w14:paraId="3C44F51B" w14:textId="77777777">
      <w:pPr>
        <w:pStyle w:val="Prrafodelista"/>
        <w:numPr>
          <w:ilvl w:val="0"/>
          <w:numId w:val="7"/>
        </w:numPr>
        <w:spacing w:after="0" w:line="240" w:lineRule="auto"/>
        <w:ind w:right="709"/>
        <w:jc w:val="both"/>
        <w:rPr>
          <w:rFonts w:ascii="Arial" w:hAnsi="Arial" w:cs="Arial"/>
          <w:sz w:val="21"/>
          <w:szCs w:val="21"/>
        </w:rPr>
      </w:pPr>
      <w:r w:rsidRPr="00DE206C">
        <w:rPr>
          <w:rFonts w:ascii="Arial" w:hAnsi="Arial" w:cs="Arial"/>
          <w:sz w:val="21"/>
          <w:szCs w:val="21"/>
        </w:rPr>
        <w:t xml:space="preserve">Los criterios para seleccionar la oferta más favorable. </w:t>
      </w:r>
    </w:p>
    <w:p w:rsidRPr="00DE206C" w:rsidR="002C23C5" w:rsidP="002C23C5" w:rsidRDefault="004750F3" w14:paraId="699A55DC" w14:textId="77777777">
      <w:pPr>
        <w:pStyle w:val="Prrafodelista"/>
        <w:numPr>
          <w:ilvl w:val="0"/>
          <w:numId w:val="7"/>
        </w:numPr>
        <w:spacing w:after="0" w:line="240" w:lineRule="auto"/>
        <w:ind w:right="709"/>
        <w:jc w:val="both"/>
        <w:rPr>
          <w:rFonts w:ascii="Arial" w:hAnsi="Arial" w:cs="Arial"/>
          <w:sz w:val="21"/>
          <w:szCs w:val="21"/>
        </w:rPr>
      </w:pPr>
      <w:r w:rsidRPr="00DE206C">
        <w:rPr>
          <w:rFonts w:ascii="Arial" w:hAnsi="Arial" w:cs="Arial"/>
          <w:sz w:val="21"/>
          <w:szCs w:val="21"/>
        </w:rPr>
        <w:t xml:space="preserve">El análisis de Riesgo y la forma de mitigarlo. </w:t>
      </w:r>
    </w:p>
    <w:p w:rsidRPr="00DE206C" w:rsidR="002C23C5" w:rsidP="002C23C5" w:rsidRDefault="004750F3" w14:paraId="0D8E467F" w14:textId="77777777">
      <w:pPr>
        <w:pStyle w:val="Prrafodelista"/>
        <w:numPr>
          <w:ilvl w:val="0"/>
          <w:numId w:val="7"/>
        </w:numPr>
        <w:spacing w:after="0" w:line="240" w:lineRule="auto"/>
        <w:ind w:right="709"/>
        <w:jc w:val="both"/>
        <w:rPr>
          <w:rFonts w:ascii="Arial" w:hAnsi="Arial" w:cs="Arial"/>
          <w:sz w:val="21"/>
          <w:szCs w:val="21"/>
        </w:rPr>
      </w:pPr>
      <w:r w:rsidRPr="00DE206C">
        <w:rPr>
          <w:rFonts w:ascii="Arial" w:hAnsi="Arial" w:cs="Arial"/>
          <w:sz w:val="21"/>
          <w:szCs w:val="21"/>
        </w:rPr>
        <w:t xml:space="preserve">Las garantías que la Entidad Estatal contempla exigir en el proceso de contratación. </w:t>
      </w:r>
    </w:p>
    <w:p w:rsidRPr="00DE206C" w:rsidR="002C23C5" w:rsidP="002C23C5" w:rsidRDefault="004750F3" w14:paraId="485D906F" w14:textId="77777777">
      <w:pPr>
        <w:pStyle w:val="Prrafodelista"/>
        <w:numPr>
          <w:ilvl w:val="0"/>
          <w:numId w:val="7"/>
        </w:numPr>
        <w:spacing w:after="0" w:line="240" w:lineRule="auto"/>
        <w:ind w:right="709"/>
        <w:jc w:val="both"/>
        <w:rPr>
          <w:rFonts w:ascii="Arial" w:hAnsi="Arial" w:cs="Arial"/>
          <w:sz w:val="21"/>
          <w:szCs w:val="21"/>
        </w:rPr>
      </w:pPr>
      <w:r w:rsidRPr="00DE206C">
        <w:rPr>
          <w:rFonts w:ascii="Arial" w:hAnsi="Arial" w:cs="Arial"/>
          <w:sz w:val="21"/>
          <w:szCs w:val="21"/>
        </w:rPr>
        <w:t xml:space="preserve">La indicación de si el proceso de contratación está cobijado por un acuerdo comercial. </w:t>
      </w:r>
    </w:p>
    <w:p w:rsidRPr="00DE206C" w:rsidR="002C23C5" w:rsidP="002C23C5" w:rsidRDefault="002C23C5" w14:paraId="71677DAE" w14:textId="77777777">
      <w:pPr>
        <w:spacing w:after="0" w:line="240" w:lineRule="auto"/>
        <w:ind w:left="709" w:right="709"/>
        <w:jc w:val="both"/>
        <w:rPr>
          <w:rFonts w:ascii="Arial" w:hAnsi="Arial" w:cs="Arial"/>
          <w:sz w:val="21"/>
          <w:szCs w:val="21"/>
        </w:rPr>
      </w:pPr>
    </w:p>
    <w:p w:rsidRPr="00DE206C" w:rsidR="004750F3" w:rsidP="002C23C5" w:rsidRDefault="004750F3" w14:paraId="74AD7D05" w14:textId="00D473B4">
      <w:pPr>
        <w:spacing w:after="0" w:line="240" w:lineRule="auto"/>
        <w:ind w:left="709" w:right="709"/>
        <w:jc w:val="both"/>
        <w:rPr>
          <w:rFonts w:ascii="Arial" w:hAnsi="Arial" w:cs="Arial"/>
          <w:sz w:val="21"/>
          <w:szCs w:val="21"/>
        </w:rPr>
      </w:pPr>
      <w:r w:rsidRPr="00DE206C">
        <w:rPr>
          <w:rFonts w:ascii="Arial" w:hAnsi="Arial" w:cs="Arial"/>
          <w:sz w:val="21"/>
          <w:szCs w:val="21"/>
        </w:rPr>
        <w:t>El presente artículo no es aplicable a la contratación por mínima cuantía.</w:t>
      </w:r>
      <w:r w:rsidRPr="00DE206C" w:rsidR="002C23C5">
        <w:rPr>
          <w:rFonts w:ascii="Arial" w:hAnsi="Arial" w:cs="Arial"/>
          <w:sz w:val="21"/>
          <w:szCs w:val="21"/>
        </w:rPr>
        <w:t>”</w:t>
      </w:r>
    </w:p>
    <w:p w:rsidRPr="00DE206C" w:rsidR="002C23C5" w:rsidP="002C23C5" w:rsidRDefault="002C23C5" w14:paraId="1934ED3E" w14:textId="77777777">
      <w:pPr>
        <w:spacing w:after="0"/>
        <w:ind w:left="709" w:right="709"/>
        <w:jc w:val="both"/>
        <w:rPr>
          <w:rFonts w:ascii="Arial" w:hAnsi="Arial" w:cs="Arial"/>
          <w:sz w:val="21"/>
          <w:szCs w:val="21"/>
        </w:rPr>
      </w:pPr>
    </w:p>
    <w:p w:rsidRPr="00DE206C" w:rsidR="004750F3" w:rsidP="002C23C5" w:rsidRDefault="004750F3" w14:paraId="3EA21F81" w14:textId="1DA713FA">
      <w:pPr>
        <w:spacing w:after="0" w:line="276" w:lineRule="auto"/>
        <w:ind w:firstLine="709"/>
        <w:jc w:val="both"/>
        <w:rPr>
          <w:rFonts w:ascii="Arial" w:hAnsi="Arial" w:cs="Arial"/>
        </w:rPr>
      </w:pPr>
      <w:bookmarkStart w:name="_Hlk54011351" w:id="4"/>
      <w:r w:rsidRPr="00DE206C">
        <w:rPr>
          <w:rFonts w:ascii="Arial" w:hAnsi="Arial" w:cs="Arial"/>
        </w:rPr>
        <w:t xml:space="preserve">De esta manera, antes de iniciar un procedimiento de selección, la </w:t>
      </w:r>
      <w:r w:rsidRPr="00DE206C" w:rsidR="007B3918">
        <w:rPr>
          <w:rFonts w:ascii="Arial" w:hAnsi="Arial" w:cs="Arial"/>
        </w:rPr>
        <w:t>E</w:t>
      </w:r>
      <w:r w:rsidRPr="00DE206C">
        <w:rPr>
          <w:rFonts w:ascii="Arial" w:hAnsi="Arial" w:cs="Arial"/>
        </w:rPr>
        <w:t xml:space="preserve">ntidad </w:t>
      </w:r>
      <w:r w:rsidRPr="00DE206C" w:rsidR="007B3918">
        <w:rPr>
          <w:rFonts w:ascii="Arial" w:hAnsi="Arial" w:cs="Arial"/>
        </w:rPr>
        <w:t>E</w:t>
      </w:r>
      <w:r w:rsidRPr="00DE206C">
        <w:rPr>
          <w:rFonts w:ascii="Arial" w:hAnsi="Arial" w:cs="Arial"/>
        </w:rPr>
        <w:t xml:space="preserve">statal podrá determinar con los estudios previos: i) la verdadera necesidad de la celebración del contrato; </w:t>
      </w:r>
      <w:proofErr w:type="spellStart"/>
      <w:r w:rsidRPr="00DE206C">
        <w:rPr>
          <w:rFonts w:ascii="Arial" w:hAnsi="Arial" w:cs="Arial"/>
        </w:rPr>
        <w:t>ii</w:t>
      </w:r>
      <w:proofErr w:type="spellEnd"/>
      <w:r w:rsidRPr="00DE206C">
        <w:rPr>
          <w:rFonts w:ascii="Arial" w:hAnsi="Arial" w:cs="Arial"/>
        </w:rPr>
        <w:t xml:space="preserve">) las modalidades existentes para satisfacer esa necesidad y las razones que justifiquen la modalidad o tipo contractual que se escoja; </w:t>
      </w:r>
      <w:proofErr w:type="spellStart"/>
      <w:r w:rsidRPr="00DE206C">
        <w:rPr>
          <w:rFonts w:ascii="Arial" w:hAnsi="Arial" w:cs="Arial"/>
        </w:rPr>
        <w:t>iii</w:t>
      </w:r>
      <w:proofErr w:type="spellEnd"/>
      <w:r w:rsidRPr="00DE206C">
        <w:rPr>
          <w:rFonts w:ascii="Arial" w:hAnsi="Arial" w:cs="Arial"/>
        </w:rPr>
        <w:t xml:space="preserve">) las calidades, especificaciones, cantidades y demás características que puedan o deban reunir los bienes, las obras o los servicios cuya contratación se haya determinado necesaria, </w:t>
      </w:r>
      <w:proofErr w:type="spellStart"/>
      <w:r w:rsidRPr="00DE206C">
        <w:rPr>
          <w:rFonts w:ascii="Arial" w:hAnsi="Arial" w:cs="Arial"/>
        </w:rPr>
        <w:t>iv</w:t>
      </w:r>
      <w:proofErr w:type="spellEnd"/>
      <w:r w:rsidRPr="00DE206C">
        <w:rPr>
          <w:rFonts w:ascii="Arial" w:hAnsi="Arial"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w:t>
      </w:r>
      <w:r w:rsidRPr="00DE206C">
        <w:rPr>
          <w:rFonts w:ascii="Arial" w:hAnsi="Arial" w:cs="Arial"/>
        </w:rPr>
        <w:lastRenderedPageBreak/>
        <w:t xml:space="preserve">el mercado nacional o internacional, de proveedores, constructores, profesionales, etc., en condiciones de atender los requerimientos y satisfacer las necesidades y </w:t>
      </w:r>
      <w:proofErr w:type="spellStart"/>
      <w:r w:rsidRPr="00DE206C">
        <w:rPr>
          <w:rFonts w:ascii="Arial" w:hAnsi="Arial" w:cs="Arial"/>
        </w:rPr>
        <w:t>vii</w:t>
      </w:r>
      <w:proofErr w:type="spellEnd"/>
      <w:r w:rsidRPr="00DE206C">
        <w:rPr>
          <w:rFonts w:ascii="Arial" w:hAnsi="Arial" w:cs="Arial"/>
        </w:rPr>
        <w:t>) los procedimientos, trámites y requisitos que deban satisfacerse, reunirse u obtenerse para llevar a cabo la selección del respectivo contratista y la celebración del contrato que se pretenda celebrar.</w:t>
      </w:r>
    </w:p>
    <w:bookmarkEnd w:id="4"/>
    <w:p w:rsidRPr="00DE206C" w:rsidR="004750F3" w:rsidP="004750F3" w:rsidRDefault="004750F3" w14:paraId="6C9F66E9" w14:textId="77777777">
      <w:pPr>
        <w:spacing w:before="120" w:line="276" w:lineRule="auto"/>
        <w:ind w:firstLine="709"/>
        <w:jc w:val="both"/>
        <w:rPr>
          <w:rFonts w:ascii="Arial" w:hAnsi="Arial" w:cs="Arial"/>
        </w:rPr>
      </w:pPr>
      <w:r w:rsidRPr="00DE206C">
        <w:rPr>
          <w:rFonts w:ascii="Arial" w:hAnsi="Arial" w:cs="Arial"/>
        </w:rPr>
        <w:t xml:space="preserve">Por ello, el hecho que las entidades cumplan con los elementos mínimos establecidos en la norma y aquellos adicionales que identifiquen en la etapa de planeación de los </w:t>
      </w:r>
      <w:r w:rsidRPr="00DE206C">
        <w:rPr>
          <w:rFonts w:ascii="Arial" w:hAnsi="Arial" w:eastAsia="Calibri" w:cs="Arial"/>
          <w:bCs/>
          <w:lang w:val="es-ES_tradnl"/>
        </w:rPr>
        <w:t xml:space="preserve">procedimientos de contratación, permite que los contratos resultantes cuenten con el sustento técnico, económico y jurídico que incidirá </w:t>
      </w:r>
      <w:r w:rsidRPr="00DE206C">
        <w:rPr>
          <w:rFonts w:ascii="Arial" w:hAnsi="Arial" w:cs="Arial"/>
        </w:rPr>
        <w:t>en una adecuada ejecución.</w:t>
      </w:r>
    </w:p>
    <w:p w:rsidRPr="00DE206C" w:rsidR="004750F3" w:rsidP="004750F3" w:rsidRDefault="004750F3" w14:paraId="3A3BEAB0" w14:textId="1E64FA41">
      <w:pPr>
        <w:spacing w:before="120" w:line="276" w:lineRule="auto"/>
        <w:ind w:right="103" w:firstLine="708"/>
        <w:jc w:val="both"/>
        <w:rPr>
          <w:rFonts w:ascii="Arial" w:hAnsi="Arial" w:cs="Arial"/>
        </w:rPr>
      </w:pPr>
      <w:r w:rsidRPr="00DE206C">
        <w:rPr>
          <w:rFonts w:ascii="Arial" w:hAnsi="Arial" w:cs="Arial"/>
        </w:rPr>
        <w:t xml:space="preserve">Mas allá del cumplimiento de la normativa, </w:t>
      </w:r>
      <w:r w:rsidRPr="00DE206C" w:rsidR="007B3918">
        <w:rPr>
          <w:rFonts w:ascii="Arial" w:hAnsi="Arial" w:cs="Arial"/>
        </w:rPr>
        <w:t>“</w:t>
      </w:r>
      <w:r w:rsidRPr="00DE206C">
        <w:rPr>
          <w:rFonts w:ascii="Arial" w:hAnsi="Arial" w:cs="Arial"/>
        </w:rPr>
        <w:t>los estudios y documentos previos son el soporte para elaborar el proyecto de pliegos, los pliegos de condiciones, y el contrato</w:t>
      </w:r>
      <w:r w:rsidRPr="00DE206C" w:rsidR="007B3918">
        <w:rPr>
          <w:rFonts w:ascii="Arial" w:hAnsi="Arial" w:cs="Arial"/>
        </w:rPr>
        <w:t>”</w:t>
      </w:r>
      <w:r w:rsidRPr="00DE206C">
        <w:rPr>
          <w:rFonts w:ascii="Arial" w:hAnsi="Arial" w:cs="Arial"/>
          <w:vertAlign w:val="superscript"/>
        </w:rPr>
        <w:footnoteReference w:id="5"/>
      </w:r>
      <w:r w:rsidRPr="00DE206C">
        <w:rPr>
          <w:rFonts w:ascii="Arial" w:hAnsi="Arial" w:cs="Arial"/>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rsidRPr="00DE206C" w:rsidR="004750F3" w:rsidP="004750F3" w:rsidRDefault="004750F3" w14:paraId="27A72719" w14:textId="77777777">
      <w:pPr>
        <w:spacing w:before="120" w:line="276" w:lineRule="auto"/>
        <w:ind w:right="105" w:firstLine="709"/>
        <w:jc w:val="both"/>
        <w:rPr>
          <w:rFonts w:ascii="Arial" w:hAnsi="Arial" w:cs="Arial"/>
        </w:rPr>
      </w:pPr>
      <w:bookmarkStart w:name="_Hlk54011438" w:id="6"/>
      <w:r w:rsidRPr="00DE206C">
        <w:rPr>
          <w:rFonts w:ascii="Arial" w:hAnsi="Arial" w:cs="Arial"/>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6"/>
      <w:r w:rsidRPr="00DE206C">
        <w:rPr>
          <w:rFonts w:ascii="Arial" w:hAnsi="Arial" w:cs="Arial"/>
          <w:vertAlign w:val="superscript"/>
        </w:rPr>
        <w:footnoteReference w:id="6"/>
      </w:r>
      <w:r w:rsidRPr="00DE206C">
        <w:rPr>
          <w:rFonts w:ascii="Arial" w:hAnsi="Arial" w:cs="Arial"/>
        </w:rPr>
        <w:t>.</w:t>
      </w:r>
    </w:p>
    <w:p w:rsidRPr="00DE206C" w:rsidR="004750F3" w:rsidP="004750F3" w:rsidRDefault="004750F3" w14:paraId="5293B6A8" w14:textId="77777777">
      <w:pPr>
        <w:spacing w:before="120" w:line="276" w:lineRule="auto"/>
        <w:ind w:right="104" w:firstLine="709"/>
        <w:jc w:val="both"/>
        <w:rPr>
          <w:rFonts w:ascii="Arial" w:hAnsi="Arial" w:cs="Arial"/>
        </w:rPr>
      </w:pPr>
      <w:r w:rsidRPr="00DE206C">
        <w:rPr>
          <w:rFonts w:ascii="Arial" w:hAnsi="Arial" w:cs="Arial"/>
        </w:rPr>
        <w:t xml:space="preserve">El numeral 12 del artículo 25 de la Ley 80 de 1993, antes citado, establece el deber de las entidades de realizar estudios previos en dos momentos específicos: i) previo a la apertura de un proceso de selección y </w:t>
      </w:r>
      <w:proofErr w:type="spellStart"/>
      <w:r w:rsidRPr="00DE206C">
        <w:rPr>
          <w:rFonts w:ascii="Arial" w:hAnsi="Arial" w:cs="Arial"/>
        </w:rPr>
        <w:t>ii</w:t>
      </w:r>
      <w:proofErr w:type="spellEnd"/>
      <w:r w:rsidRPr="00DE206C">
        <w:rPr>
          <w:rFonts w:ascii="Arial" w:hAnsi="Arial" w:cs="Arial"/>
        </w:rPr>
        <w:t xml:space="preserve">) previo a la firma del contrato en el caso en que la modalidad de selección sea contratación directa. </w:t>
      </w:r>
    </w:p>
    <w:p w:rsidRPr="00DE206C" w:rsidR="004750F3" w:rsidP="004750F3" w:rsidRDefault="004750F3" w14:paraId="07D33D4D" w14:textId="77777777">
      <w:pPr>
        <w:spacing w:before="120" w:line="276" w:lineRule="auto"/>
        <w:ind w:firstLine="708"/>
        <w:jc w:val="both"/>
        <w:rPr>
          <w:rFonts w:ascii="Arial" w:hAnsi="Arial" w:eastAsia="Calibri" w:cs="Arial"/>
          <w:bCs/>
          <w:lang w:val="es-ES_tradnl"/>
        </w:rPr>
      </w:pPr>
      <w:r w:rsidRPr="00DE206C">
        <w:rPr>
          <w:rFonts w:ascii="Arial" w:hAnsi="Arial" w:cs="Arial"/>
        </w:rPr>
        <w:t xml:space="preserve">Por otra parte, los numerales 2 y 4 del artículo 2.2.1.1.2.1.1 del Decreto 1082 de 2015 exigen que en los estudios previos se determine el objeto a contratar con sus especificaciones, y se señale el valor estimado del contrato y la justificación </w:t>
      </w:r>
      <w:proofErr w:type="gramStart"/>
      <w:r w:rsidRPr="00DE206C">
        <w:rPr>
          <w:rFonts w:ascii="Arial" w:hAnsi="Arial" w:cs="Arial"/>
        </w:rPr>
        <w:t>del mismo</w:t>
      </w:r>
      <w:proofErr w:type="gramEnd"/>
      <w:r w:rsidRPr="00DE206C">
        <w:rPr>
          <w:rFonts w:ascii="Arial" w:hAnsi="Arial" w:cs="Arial"/>
        </w:rPr>
        <w:t xml:space="preserve">. </w:t>
      </w:r>
      <w:r w:rsidRPr="00DE206C">
        <w:rPr>
          <w:rFonts w:ascii="Arial" w:hAnsi="Arial" w:eastAsia="Calibri" w:cs="Arial"/>
          <w:bCs/>
          <w:lang w:val="es-ES_tradnl"/>
        </w:rPr>
        <w:t xml:space="preserve">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name="_Hlk36117416" w:id="7"/>
      <w:r w:rsidRPr="00DE206C">
        <w:rPr>
          <w:rFonts w:ascii="Arial" w:hAnsi="Arial" w:eastAsia="Calibri" w:cs="Arial"/>
          <w:bCs/>
          <w:lang w:val="es-ES_tradnl"/>
        </w:rPr>
        <w:t>2.2.1.1.1.6.1 del Decreto 1082 de 2015</w:t>
      </w:r>
      <w:bookmarkEnd w:id="7"/>
      <w:r w:rsidRPr="00DE206C">
        <w:rPr>
          <w:rFonts w:ascii="Arial" w:hAnsi="Arial" w:eastAsia="Calibri" w:cs="Arial"/>
          <w:bCs/>
          <w:lang w:val="es-ES_tradnl"/>
        </w:rPr>
        <w:t xml:space="preserve"> dispone que «La </w:t>
      </w:r>
      <w:r w:rsidRPr="00DE206C">
        <w:rPr>
          <w:rFonts w:ascii="Arial" w:hAnsi="Arial" w:eastAsia="Calibri" w:cs="Arial"/>
          <w:bCs/>
          <w:lang w:val="es-ES_tradnl"/>
        </w:rPr>
        <w:lastRenderedPageBreak/>
        <w:t>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rsidRPr="00DE206C" w:rsidR="004750F3" w:rsidP="004750F3" w:rsidRDefault="004750F3" w14:paraId="4DE36686" w14:textId="77777777">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 xml:space="preserve">De acuerdo con la norma citada, </w:t>
      </w:r>
      <w:bookmarkStart w:name="_Hlk36140682" w:id="8"/>
      <w:r w:rsidRPr="00DE206C">
        <w:rPr>
          <w:rFonts w:ascii="Arial" w:hAnsi="Arial" w:eastAsia="Calibri" w:cs="Arial"/>
          <w:bCs/>
          <w:lang w:val="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rsidRPr="00DE206C" w:rsidR="004750F3" w:rsidP="004750F3" w:rsidRDefault="004750F3" w14:paraId="27E0FB52" w14:textId="77777777">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rsidRPr="00DE206C" w:rsidR="004750F3" w:rsidP="004750F3" w:rsidRDefault="004750F3" w14:paraId="7D164E0E" w14:textId="3AF9FD7B">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las </w:t>
      </w:r>
      <w:r w:rsidRPr="00DE206C" w:rsidR="00B738FD">
        <w:rPr>
          <w:rFonts w:ascii="Arial" w:hAnsi="Arial" w:eastAsia="Calibri" w:cs="Arial"/>
          <w:bCs/>
          <w:lang w:val="es-ES_tradnl"/>
        </w:rPr>
        <w:t>E</w:t>
      </w:r>
      <w:r w:rsidRPr="00DE206C">
        <w:rPr>
          <w:rFonts w:ascii="Arial" w:hAnsi="Arial" w:eastAsia="Calibri" w:cs="Arial"/>
          <w:bCs/>
          <w:lang w:val="es-ES_tradnl"/>
        </w:rPr>
        <w:t xml:space="preserve">ntidades </w:t>
      </w:r>
      <w:r w:rsidRPr="00DE206C" w:rsidR="00B738FD">
        <w:rPr>
          <w:rFonts w:ascii="Arial" w:hAnsi="Arial" w:eastAsia="Calibri" w:cs="Arial"/>
          <w:bCs/>
          <w:lang w:val="es-ES_tradnl"/>
        </w:rPr>
        <w:t>E</w:t>
      </w:r>
      <w:r w:rsidRPr="00DE206C">
        <w:rPr>
          <w:rFonts w:ascii="Arial" w:hAnsi="Arial" w:eastAsia="Calibri" w:cs="Arial"/>
          <w:bCs/>
          <w:lang w:val="es-ES_tradnl"/>
        </w:rPr>
        <w:t xml:space="preserve">statales y los particulares cómo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rsidRPr="00DE206C" w:rsidR="004750F3" w:rsidP="004750F3" w:rsidRDefault="004750F3" w14:paraId="5BBD640C" w14:textId="77777777">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DE206C">
        <w:rPr>
          <w:rFonts w:ascii="Arial" w:hAnsi="Arial" w:cs="Arial"/>
          <w:lang w:eastAsia="es-CO"/>
        </w:rPr>
        <w:t xml:space="preserve">son autónomas para estructurarlo, para lo cual deberán cumplir lo dispuesto en el artículo </w:t>
      </w:r>
      <w:r w:rsidRPr="00DE206C">
        <w:rPr>
          <w:rFonts w:ascii="Arial" w:hAnsi="Arial" w:eastAsia="Calibri" w:cs="Arial"/>
          <w:bCs/>
          <w:lang w:val="es-ES_tradnl"/>
        </w:rPr>
        <w:lastRenderedPageBreak/>
        <w:t xml:space="preserve">2.2.1.1.1.6.1 del Decreto 1082 de 2015 y realizar un análisis integral de planeación que </w:t>
      </w:r>
      <w:r w:rsidRPr="00DE206C">
        <w:rPr>
          <w:rFonts w:ascii="Arial" w:hAnsi="Arial" w:cs="Arial"/>
        </w:rPr>
        <w:t xml:space="preserve">sirva de sustento a la decisión de </w:t>
      </w:r>
      <w:r w:rsidRPr="00DE206C">
        <w:rPr>
          <w:rFonts w:ascii="Arial" w:hAnsi="Arial" w:cs="Arial"/>
          <w:bCs/>
          <w:lang w:val="es-ES_tradnl"/>
        </w:rPr>
        <w:t>realizar un proceso de contratación.</w:t>
      </w:r>
    </w:p>
    <w:bookmarkEnd w:id="8"/>
    <w:p w:rsidRPr="00DE206C" w:rsidR="004750F3" w:rsidP="004750F3" w:rsidRDefault="004750F3" w14:paraId="0BB40F08" w14:textId="0224FCC4">
      <w:pPr>
        <w:spacing w:before="120" w:line="276" w:lineRule="auto"/>
        <w:ind w:firstLine="709"/>
        <w:jc w:val="both"/>
        <w:rPr>
          <w:rFonts w:ascii="Arial" w:hAnsi="Arial" w:eastAsia="Calibri" w:cs="Arial"/>
          <w:bCs/>
          <w:lang w:val="es-ES"/>
        </w:rPr>
      </w:pPr>
      <w:r w:rsidRPr="00DE206C">
        <w:rPr>
          <w:rFonts w:ascii="Arial" w:hAnsi="Arial" w:eastAsia="Calibri" w:cs="Arial"/>
          <w:bCs/>
          <w:lang w:val="es-ES_tradnl"/>
        </w:rPr>
        <w:t xml:space="preserve">La Agencia Nacional de Contratación Pública - Colombia Compra Eficiente dispone de la </w:t>
      </w:r>
      <w:r w:rsidRPr="00DE206C" w:rsidR="00B738FD">
        <w:rPr>
          <w:rFonts w:ascii="Arial" w:hAnsi="Arial" w:eastAsia="Calibri" w:cs="Arial"/>
          <w:bCs/>
          <w:lang w:val="es-ES_tradnl"/>
        </w:rPr>
        <w:t>“</w:t>
      </w:r>
      <w:r w:rsidRPr="00DE206C">
        <w:rPr>
          <w:rFonts w:ascii="Arial" w:hAnsi="Arial" w:eastAsia="Calibri" w:cs="Arial"/>
          <w:bCs/>
          <w:lang w:val="es-ES_tradnl"/>
        </w:rPr>
        <w:t>Guía de Elaboración del Estudio del Sector</w:t>
      </w:r>
      <w:r w:rsidRPr="00DE206C" w:rsidR="00B738FD">
        <w:rPr>
          <w:rFonts w:ascii="Arial" w:hAnsi="Arial" w:eastAsia="Calibri" w:cs="Arial"/>
          <w:bCs/>
          <w:lang w:val="es-ES_tradnl"/>
        </w:rPr>
        <w:t>”</w:t>
      </w:r>
      <w:r w:rsidRPr="00DE206C">
        <w:rPr>
          <w:rFonts w:ascii="Arial" w:hAnsi="Arial" w:eastAsia="Calibri" w:cs="Arial"/>
          <w:bCs/>
          <w:lang w:val="es-ES_tradnl"/>
        </w:rPr>
        <w:t>,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w:t>
      </w:r>
      <w:r w:rsidRPr="00DE206C">
        <w:rPr>
          <w:rStyle w:val="Refdenotaalpie"/>
          <w:rFonts w:ascii="Arial" w:hAnsi="Arial" w:eastAsia="Calibri" w:cs="Arial"/>
          <w:bCs/>
          <w:lang w:val="es-ES_tradnl"/>
        </w:rPr>
        <w:footnoteReference w:id="7"/>
      </w:r>
      <w:r w:rsidRPr="00DE206C">
        <w:rPr>
          <w:rFonts w:ascii="Arial" w:hAnsi="Arial" w:eastAsia="Calibri" w:cs="Arial"/>
          <w:bCs/>
          <w:lang w:val="es-ES_tradnl"/>
        </w:rPr>
        <w:t>.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DE206C">
        <w:rPr>
          <w:rFonts w:ascii="Arial" w:hAnsi="Arial" w:eastAsia="Calibri" w:cs="Arial"/>
          <w:bCs/>
          <w:lang w:val="es-ES"/>
        </w:rPr>
        <w:t xml:space="preserve"> recomendaciones generales por lo que no debe aplicarse de manera mecánica, pues la profundidad del estudio del sector depende de la complejidad y particularidades de cada Proceso de Contratación. </w:t>
      </w:r>
    </w:p>
    <w:p w:rsidRPr="00DE206C" w:rsidR="004750F3" w:rsidP="004750F3" w:rsidRDefault="004750F3" w14:paraId="15B16440" w14:textId="77777777">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rsidRPr="00DE206C" w:rsidR="004750F3" w:rsidP="004750F3" w:rsidRDefault="004750F3" w14:paraId="515FA385" w14:textId="77777777">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 xml:space="preserve">Así mismo, en la Guía se indica que como parte de la estructura del estudio del sector se debe realizar un análisis del comportamiento del gasto histórico, el estudio de la oferta y el estudio del mercado. En </w:t>
      </w:r>
      <w:r w:rsidRPr="00DE206C">
        <w:rPr>
          <w:rFonts w:ascii="Arial" w:hAnsi="Arial" w:eastAsia="Calibri" w:cs="Arial"/>
          <w:bCs/>
          <w:lang w:val="es-ES"/>
        </w:rPr>
        <w:t xml:space="preserve">el marco del comportamiento del gasto histórico se recomienda que la entidad analice el comportamiento de sus adquisiciones anteriores del bien, obra o servicio teniendo en cuenta distintas variables como la modalidad de selección, el objeto del contrato, el presupuesto, entre otros. También es importante que se analice la forma en la cual otras entidades o particulares han adquirido bienes y servicios iguales o comparables similares mediante plataformas de información como datos abiertos o las herramientas de visualización </w:t>
      </w:r>
      <w:r w:rsidRPr="00DE206C">
        <w:rPr>
          <w:rFonts w:ascii="Arial" w:hAnsi="Arial" w:eastAsia="Arial MT" w:cs="Arial"/>
          <w:lang w:val="es-ES"/>
        </w:rPr>
        <w:t>desarrolladas por esta Agencia en el marco del modelo de abastecimiento estratégico</w:t>
      </w:r>
      <w:r w:rsidRPr="00DE206C">
        <w:rPr>
          <w:rStyle w:val="Refdenotaalpie"/>
          <w:rFonts w:ascii="Arial" w:hAnsi="Arial" w:eastAsia="Arial MT" w:cs="Arial"/>
        </w:rPr>
        <w:footnoteReference w:id="8"/>
      </w:r>
      <w:r w:rsidRPr="00DE206C">
        <w:rPr>
          <w:rFonts w:ascii="Arial" w:hAnsi="Arial" w:eastAsia="Arial MT" w:cs="Arial"/>
          <w:lang w:val="es-ES"/>
        </w:rPr>
        <w:t xml:space="preserve">. </w:t>
      </w:r>
    </w:p>
    <w:p w:rsidRPr="00DE206C" w:rsidR="004750F3" w:rsidP="004750F3" w:rsidRDefault="004750F3" w14:paraId="5D110EF7" w14:textId="77777777">
      <w:pPr>
        <w:spacing w:before="120" w:line="276" w:lineRule="auto"/>
        <w:ind w:firstLine="709"/>
        <w:jc w:val="both"/>
        <w:rPr>
          <w:rFonts w:ascii="Arial" w:hAnsi="Arial" w:eastAsia="Calibri" w:cs="Arial"/>
          <w:lang w:val="es-ES"/>
        </w:rPr>
      </w:pPr>
      <w:r w:rsidRPr="00DE206C">
        <w:rPr>
          <w:rFonts w:ascii="Arial" w:hAnsi="Arial" w:eastAsia="Calibri" w:cs="Arial"/>
          <w:lang w:val="es-ES"/>
        </w:rPr>
        <w:t xml:space="preserve">Por su parte, según la Guía, el </w:t>
      </w:r>
      <w:r w:rsidRPr="00DE206C">
        <w:rPr>
          <w:rFonts w:ascii="Arial" w:hAnsi="Arial" w:eastAsia="Calibri" w:cs="Arial"/>
          <w:i/>
          <w:iCs/>
          <w:lang w:val="es-ES"/>
        </w:rPr>
        <w:t>estudio de la oferta</w:t>
      </w:r>
      <w:r w:rsidRPr="00DE206C">
        <w:rPr>
          <w:rFonts w:ascii="Arial" w:hAnsi="Arial" w:eastAsia="Calibri" w:cs="Arial"/>
          <w:lang w:val="es-ES"/>
        </w:rPr>
        <w:t xml:space="preserve"> tiene como objetivo </w:t>
      </w:r>
      <w:r w:rsidRPr="00DE206C">
        <w:rPr>
          <w:rFonts w:ascii="Arial" w:hAnsi="Arial" w:eastAsia="Calibri" w:cs="Arial"/>
        </w:rPr>
        <w:t>identificar las opciones de suministro para las categorías de compra definidas, y los posibles proveedores que pueden suministrar los bienes, obras o servicios que requiere para satisfacer su necesidad</w:t>
      </w:r>
      <w:r w:rsidRPr="00DE206C">
        <w:rPr>
          <w:rFonts w:ascii="Arial" w:hAnsi="Arial" w:eastAsia="Calibri" w:cs="Arial"/>
          <w:lang w:val="es-ES"/>
        </w:rPr>
        <w:t xml:space="preserve">. En </w:t>
      </w:r>
      <w:r w:rsidRPr="00DE206C">
        <w:rPr>
          <w:rFonts w:ascii="Arial" w:hAnsi="Arial" w:eastAsia="Calibri" w:cs="Arial"/>
          <w:lang w:val="es-ES"/>
        </w:rPr>
        <w:lastRenderedPageBreak/>
        <w:t xml:space="preserve">esta actividad las entidades estatales deben realizar un estudio de la oferta, que responda, entre otras, las siguientes preguntas: i) «¿Cuál es la dinámica de producción, distribución y entrega de bienes, obras o servicios?» –teniendo en cuenta elementos como la producción, la distribución, transporte etc.– y </w:t>
      </w:r>
      <w:proofErr w:type="spellStart"/>
      <w:r w:rsidRPr="00DE206C">
        <w:rPr>
          <w:rFonts w:ascii="Arial" w:hAnsi="Arial" w:eastAsia="Calibri" w:cs="Arial"/>
          <w:lang w:val="es-ES"/>
        </w:rPr>
        <w:t>ii</w:t>
      </w:r>
      <w:proofErr w:type="spellEnd"/>
      <w:r w:rsidRPr="00DE206C">
        <w:rPr>
          <w:rFonts w:ascii="Arial" w:hAnsi="Arial" w:eastAsia="Calibri" w:cs="Arial"/>
          <w:lang w:val="es-ES"/>
        </w:rPr>
        <w:t>) «¿A quién se va a comprar?». En relación con la primera pregunta, la Guía señala que «para la Entidad Estatal es importante conocer, entre otras, el proceso de producción, distribución y entrega de los bienes o servicios que pretende adquirir, así como los costos asociados a tales procesos, cuáles son las formas de distribución y entrega de los bienes o suministros del servicio, y demás criterios que apliquen». Para estos efectos, se recomienda a la entidad diseñar e implementar escenarios y procedimientos de consulta de información abiertos e incluyentes con el mercado, en los cuales se defina qué información, cuándo, por qué medio y a quienes se solicitará.</w:t>
      </w:r>
      <w:bookmarkStart w:name="_Hlk78204338" w:id="9"/>
      <w:r w:rsidRPr="00DE206C">
        <w:rPr>
          <w:rFonts w:ascii="Arial" w:hAnsi="Arial" w:eastAsia="Calibri" w:cs="Arial"/>
          <w:lang w:val="es-ES"/>
        </w:rPr>
        <w:t xml:space="preserve"> En relación con la segunda pregunta, la Guía</w:t>
      </w:r>
      <w:r w:rsidRPr="00DE206C">
        <w:rPr>
          <w:rFonts w:ascii="Arial" w:hAnsi="Arial" w:eastAsia="Calibri" w:cs="Arial"/>
        </w:rPr>
        <w:t xml:space="preserve"> indica que </w:t>
      </w:r>
      <w:r w:rsidRPr="00DE206C">
        <w:rPr>
          <w:rFonts w:ascii="Arial" w:hAnsi="Arial" w:eastAsia="Calibri" w:cs="Arial"/>
          <w:lang w:val="es-ES"/>
        </w:rPr>
        <w:t>«la Entidad Estatal debe identificar los proveedores en el mercado del bien o servicio, así como sus principales características como tamaño empresarial, ubicación, esquemas de producción y comportamiento financiero»</w:t>
      </w:r>
      <w:r w:rsidRPr="00DE206C">
        <w:rPr>
          <w:rFonts w:ascii="Arial" w:hAnsi="Arial" w:eastAsia="Calibri" w:cs="Arial"/>
        </w:rPr>
        <w:t>.</w:t>
      </w:r>
      <w:bookmarkEnd w:id="9"/>
      <w:r w:rsidRPr="00DE206C">
        <w:rPr>
          <w:rFonts w:ascii="Arial" w:hAnsi="Arial" w:eastAsia="Calibri" w:cs="Arial"/>
        </w:rPr>
        <w:t xml:space="preserve"> Para la identificación de los proveedores se propone analizar el listado de los proveedores que participaron en los procesos de contratación iguales o similares que haya realizado la entidad y los que hayan realizado otras entidades con objetos comparables.</w:t>
      </w:r>
    </w:p>
    <w:p w:rsidRPr="00DE206C" w:rsidR="004750F3" w:rsidP="004750F3" w:rsidRDefault="004750F3" w14:paraId="7277F7EA" w14:textId="77777777">
      <w:pPr>
        <w:spacing w:before="120" w:line="276" w:lineRule="auto"/>
        <w:ind w:firstLine="709"/>
        <w:jc w:val="both"/>
        <w:rPr>
          <w:rFonts w:ascii="Arial" w:hAnsi="Arial" w:eastAsia="Calibri" w:cs="Arial"/>
          <w:lang w:val="es-ES"/>
        </w:rPr>
      </w:pPr>
      <w:r w:rsidRPr="00DE206C">
        <w:rPr>
          <w:rFonts w:ascii="Arial" w:hAnsi="Arial" w:eastAsia="Calibri" w:cs="Arial"/>
          <w:lang w:val="es-ES"/>
        </w:rPr>
        <w:t xml:space="preserve">Por último, el estudio del mercado 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cuáles son las dinámicas de precio y, de esta manera, establecer el presupuesto oficial del proceso de contratación. </w:t>
      </w:r>
    </w:p>
    <w:p w:rsidRPr="00DE206C" w:rsidR="004750F3" w:rsidP="004750F3" w:rsidRDefault="004750F3" w14:paraId="7F6EB235" w14:textId="08950BB4">
      <w:pPr>
        <w:spacing w:before="120" w:line="276" w:lineRule="auto"/>
        <w:ind w:firstLine="709"/>
        <w:jc w:val="both"/>
        <w:rPr>
          <w:rFonts w:ascii="Arial" w:hAnsi="Arial" w:eastAsia="Calibri" w:cs="Arial"/>
          <w:lang w:val="es-ES"/>
        </w:rPr>
      </w:pPr>
      <w:r w:rsidRPr="00DE206C">
        <w:rPr>
          <w:rFonts w:ascii="Arial" w:hAnsi="Arial" w:eastAsia="Calibri" w:cs="Arial"/>
          <w:lang w:val="es-ES"/>
        </w:rPr>
        <w:t>En relación con la revisión de precios por solicitud de cotizaciones, 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como, por ejemplo, especificaciones técnicas del bien o servicio a contratar, plazo del contrato, así como toda aquella información relevante que incida en el precio del bien o servicio. Asimismo, se indica que</w:t>
      </w:r>
      <w:r w:rsidRPr="6D5D51A5" w:rsidR="41EFF46B">
        <w:rPr>
          <w:rFonts w:ascii="Arial" w:hAnsi="Arial" w:eastAsia="Calibri" w:cs="Arial"/>
          <w:lang w:val="es-ES"/>
        </w:rPr>
        <w:t>,</w:t>
      </w:r>
      <w:r w:rsidRPr="00DE206C">
        <w:rPr>
          <w:rFonts w:ascii="Arial" w:hAnsi="Arial" w:eastAsia="Calibri" w:cs="Arial"/>
          <w:lang w:val="es-ES"/>
        </w:rPr>
        <w:t xml:space="preserve"> al recibir las cotizaciones, debe verificarse la ocurrencia de circunstancias que eventualmente pueden distorsionar los precios del mercado, como ofertas especiales de almacenes de cadena, fenómenos de escasez o abundancia del producto, entre otros aspectos. </w:t>
      </w:r>
    </w:p>
    <w:p w:rsidRPr="00DE206C" w:rsidR="004750F3" w:rsidP="004750F3" w:rsidRDefault="004750F3" w14:paraId="54B7922A" w14:textId="77777777">
      <w:pPr>
        <w:spacing w:before="120" w:line="276" w:lineRule="auto"/>
        <w:ind w:firstLine="709"/>
        <w:jc w:val="both"/>
        <w:rPr>
          <w:rFonts w:ascii="Arial" w:hAnsi="Arial" w:eastAsia="Calibri" w:cs="Arial"/>
          <w:bCs/>
          <w:lang w:val="es-ES_tradnl"/>
        </w:rPr>
      </w:pPr>
      <w:r w:rsidRPr="00DE206C">
        <w:rPr>
          <w:rFonts w:ascii="Arial" w:hAnsi="Arial" w:eastAsia="Calibri" w:cs="Arial"/>
          <w:lang w:val="es-ES"/>
        </w:rPr>
        <w:t xml:space="preserve">Al respecto, es pertinente precisar que los mecanismos señalados para realizar el estudio del mercado no están determinados por la ley o el reglamento, por lo que no existen lineamientos obligatorios para su estructuración. De esta manera, </w:t>
      </w:r>
      <w:r w:rsidRPr="00DE206C">
        <w:rPr>
          <w:rFonts w:ascii="Arial" w:hAnsi="Arial" w:eastAsia="Calibri" w:cs="Arial"/>
          <w:bCs/>
          <w:lang w:val="es-ES_tradnl"/>
        </w:rPr>
        <w:t xml:space="preserve">las entidades </w:t>
      </w:r>
      <w:r w:rsidRPr="00DE206C">
        <w:rPr>
          <w:rFonts w:ascii="Arial" w:hAnsi="Arial" w:cs="Arial"/>
          <w:lang w:eastAsia="es-CO"/>
        </w:rPr>
        <w:t xml:space="preserve">son autónomas para establecer la forma en la cual se recopilará la información que sustente el análisis del sector, así </w:t>
      </w:r>
      <w:r w:rsidRPr="00DE206C">
        <w:rPr>
          <w:rFonts w:ascii="Arial" w:hAnsi="Arial" w:cs="Arial"/>
          <w:lang w:eastAsia="es-CO"/>
        </w:rPr>
        <w:lastRenderedPageBreak/>
        <w:t xml:space="preserve">como lo referente a la solicitud de cotizaciones. Como se mencionó, la </w:t>
      </w:r>
      <w:r w:rsidRPr="00DE206C">
        <w:rPr>
          <w:rFonts w:ascii="Arial" w:hAnsi="Arial" w:eastAsia="Calibri" w:cs="Arial"/>
          <w:bCs/>
          <w:lang w:val="es-ES_tradnl"/>
        </w:rPr>
        <w:t xml:space="preserve">«Guía de Elaboración del Estudio del Sector» desarrolla recomendaciones y buenas prácticas que servirán a las entidades para entender el mercado del bien, obra o servicio que pretende adquirir, pero no es un instrumento vinculante para la entidad. </w:t>
      </w:r>
    </w:p>
    <w:p w:rsidRPr="00DE206C" w:rsidR="004750F3" w:rsidP="004750F3" w:rsidRDefault="004750F3" w14:paraId="216F394A" w14:textId="77777777">
      <w:pPr>
        <w:pStyle w:val="paragraph"/>
        <w:spacing w:before="120" w:beforeAutospacing="0" w:after="0" w:afterAutospacing="0" w:line="276" w:lineRule="auto"/>
        <w:ind w:firstLine="705"/>
        <w:jc w:val="both"/>
        <w:textAlignment w:val="baseline"/>
        <w:rPr>
          <w:rFonts w:ascii="Arial" w:hAnsi="Arial" w:cs="Arial"/>
          <w:sz w:val="18"/>
          <w:szCs w:val="18"/>
        </w:rPr>
      </w:pPr>
      <w:r w:rsidRPr="00DE206C">
        <w:rPr>
          <w:rStyle w:val="normaltextrun"/>
          <w:rFonts w:ascii="Arial" w:hAnsi="Arial" w:cs="Arial"/>
          <w:sz w:val="22"/>
          <w:szCs w:val="22"/>
          <w:lang w:val="es-ES"/>
        </w:rPr>
        <w:t>El Consejo de Estado, se pronunció sobre la relación existente entre el estudio del sector y la estimación del valor del contrato, indicando que se deben tener en cuenta las diferentes variables del mercado como los costos de la cadena de producción. Pero, con independencia de esto, la entidad debe obtener el menor precio o uno razonable. En todo caso, el valor debe estar justificado para que no corresponda a sobrecostos ni a precios artificialmente bajos, y que con ello la entidad pague un valor adecuado. Esto se logra con el estudio del mercado y sus costos, el cual debe estar a disposición de los participantes del procedimiento contractual</w:t>
      </w:r>
      <w:r w:rsidRPr="00DE206C">
        <w:rPr>
          <w:rStyle w:val="Refdenotaalpie"/>
          <w:rFonts w:ascii="Arial" w:hAnsi="Arial" w:cs="Arial"/>
          <w:sz w:val="22"/>
          <w:szCs w:val="22"/>
        </w:rPr>
        <w:footnoteReference w:id="9"/>
      </w:r>
      <w:r w:rsidRPr="00DE206C">
        <w:rPr>
          <w:rStyle w:val="normaltextrun"/>
          <w:rFonts w:ascii="Arial" w:hAnsi="Arial" w:cs="Arial"/>
          <w:sz w:val="22"/>
          <w:szCs w:val="22"/>
          <w:lang w:val="es-ES"/>
        </w:rPr>
        <w:t>.</w:t>
      </w:r>
    </w:p>
    <w:p w:rsidRPr="00DE206C" w:rsidR="004750F3" w:rsidP="004750F3" w:rsidRDefault="004750F3" w14:paraId="42F5922A" w14:textId="77777777">
      <w:pPr>
        <w:pStyle w:val="paragraph"/>
        <w:spacing w:before="120" w:beforeAutospacing="0" w:after="0" w:afterAutospacing="0" w:line="276" w:lineRule="auto"/>
        <w:ind w:firstLine="705"/>
        <w:jc w:val="both"/>
        <w:textAlignment w:val="baseline"/>
        <w:rPr>
          <w:rFonts w:ascii="Arial" w:hAnsi="Arial" w:cs="Arial"/>
          <w:sz w:val="18"/>
          <w:szCs w:val="18"/>
        </w:rPr>
      </w:pPr>
      <w:r w:rsidRPr="00DE206C">
        <w:rPr>
          <w:rStyle w:val="normaltextrun"/>
          <w:rFonts w:ascii="Arial" w:hAnsi="Arial" w:cs="Arial"/>
          <w:sz w:val="22"/>
          <w:szCs w:val="22"/>
          <w:lang w:val="es-ES"/>
        </w:rPr>
        <w:t>Así, previo al cumplimiento de las obligaciones de carácter presupuestal, la entidad deberá fijar el presupuesto oficial del proceso, para que los interesados en presentar una oferta no hagan ofrecimientos que superen el valor con el que cuenta la entidad para pagarle al contratista por el respectivo bien o servicio, no solo porque la entidad no cuente con recursos disponibles para cubrir esa diferencia, sino porque fue el valor que arrojó el estudio del mercado.</w:t>
      </w:r>
    </w:p>
    <w:p w:rsidRPr="00DE206C" w:rsidR="004750F3" w:rsidP="004750F3" w:rsidRDefault="004750F3" w14:paraId="61F53DA2" w14:textId="77777777">
      <w:pPr>
        <w:spacing w:before="120" w:line="276" w:lineRule="auto"/>
        <w:ind w:firstLine="709"/>
        <w:jc w:val="both"/>
        <w:rPr>
          <w:rFonts w:ascii="Arial" w:hAnsi="Arial" w:cs="Arial"/>
          <w:bCs/>
          <w:lang w:val="es-ES_tradnl"/>
        </w:rPr>
      </w:pPr>
      <w:r w:rsidRPr="00DE206C">
        <w:rPr>
          <w:rFonts w:ascii="Arial" w:hAnsi="Arial" w:eastAsia="Calibri" w:cs="Arial"/>
          <w:bCs/>
          <w:lang w:val="es-ES_tradnl"/>
        </w:rPr>
        <w:t xml:space="preserve">En este contexto, el análisis del sector </w:t>
      </w:r>
      <w:r w:rsidRPr="00DE206C">
        <w:rPr>
          <w:rFonts w:ascii="Arial" w:hAnsi="Arial" w:cs="Arial"/>
          <w:bCs/>
          <w:lang w:val="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w:t>
      </w:r>
      <w:r w:rsidRPr="00DE206C">
        <w:rPr>
          <w:rStyle w:val="normaltextrun"/>
          <w:rFonts w:ascii="Arial" w:hAnsi="Arial" w:cs="Arial"/>
          <w:lang w:val="es-ES"/>
        </w:rPr>
        <w:t xml:space="preserve">debe consignar en los </w:t>
      </w:r>
      <w:r w:rsidRPr="00DE206C">
        <w:rPr>
          <w:rStyle w:val="normaltextrun"/>
          <w:rFonts w:ascii="Arial" w:hAnsi="Arial" w:cs="Arial"/>
          <w:i/>
          <w:iCs/>
          <w:lang w:val="es-ES"/>
        </w:rPr>
        <w:t>Documentos del Proceso</w:t>
      </w:r>
      <w:r w:rsidRPr="00DE206C">
        <w:rPr>
          <w:rStyle w:val="normaltextrun"/>
          <w:rFonts w:ascii="Arial" w:hAnsi="Arial" w:cs="Arial"/>
          <w:lang w:val="es-ES"/>
        </w:rPr>
        <w:t xml:space="preserve">, bien sea en los estudios previos o en la información soporte de </w:t>
      </w:r>
      <w:proofErr w:type="gramStart"/>
      <w:r w:rsidRPr="00DE206C">
        <w:rPr>
          <w:rStyle w:val="normaltextrun"/>
          <w:rFonts w:ascii="Arial" w:hAnsi="Arial" w:cs="Arial"/>
          <w:lang w:val="es-ES"/>
        </w:rPr>
        <w:t>los mismos</w:t>
      </w:r>
      <w:proofErr w:type="gramEnd"/>
      <w:r w:rsidRPr="00DE206C">
        <w:rPr>
          <w:rStyle w:val="normaltextrun"/>
          <w:rFonts w:ascii="Arial" w:hAnsi="Arial" w:cs="Arial"/>
          <w:lang w:val="es-ES"/>
        </w:rPr>
        <w:t xml:space="preserve">. </w:t>
      </w:r>
    </w:p>
    <w:p w:rsidRPr="00DE206C" w:rsidR="004750F3" w:rsidP="004750F3" w:rsidRDefault="004750F3" w14:paraId="184A4AAB" w14:textId="77777777">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Adicionalmente, vale anotar que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La Entidad Estatal debe consignar en los Documentos del Proceso, bien sea en los estudios previos o en la información de soporte de estos, los aspectos de que trata el artículo 2.2.1.1.1.6.1 del Decreto 1082 de 2015</w:t>
      </w:r>
      <w:r w:rsidRPr="00DE206C">
        <w:rPr>
          <w:rFonts w:ascii="Arial" w:hAnsi="Arial" w:cs="Arial"/>
        </w:rPr>
        <w:t xml:space="preserve"> </w:t>
      </w:r>
      <w:r w:rsidRPr="00DE206C">
        <w:rPr>
          <w:rFonts w:ascii="Arial" w:hAnsi="Arial" w:eastAsia="Calibri" w:cs="Arial"/>
          <w:bCs/>
          <w:lang w:val="es-ES_tradnl"/>
        </w:rPr>
        <w:t>esto es, el análisis desde la perspectiva legal, comercial, financiera, organizacional, técnica, y de análisis de riesgo».</w:t>
      </w:r>
      <w:bookmarkStart w:name="_Hlk91231640" w:id="10"/>
    </w:p>
    <w:p w:rsidRPr="00DE206C" w:rsidR="00B34262" w:rsidP="00B34262" w:rsidRDefault="004750F3" w14:paraId="1A02708C" w14:textId="77777777">
      <w:pPr>
        <w:pStyle w:val="paragraph"/>
        <w:spacing w:before="120" w:beforeAutospacing="0" w:after="0" w:afterAutospacing="0" w:line="276" w:lineRule="auto"/>
        <w:ind w:firstLine="705"/>
        <w:jc w:val="both"/>
        <w:textAlignment w:val="baseline"/>
        <w:rPr>
          <w:rStyle w:val="eop"/>
          <w:rFonts w:ascii="Arial" w:hAnsi="Arial" w:cs="Arial"/>
          <w:sz w:val="22"/>
          <w:szCs w:val="22"/>
        </w:rPr>
      </w:pPr>
      <w:r w:rsidRPr="00DE206C">
        <w:rPr>
          <w:rStyle w:val="normaltextrun"/>
          <w:rFonts w:ascii="Arial" w:hAnsi="Arial" w:cs="Arial"/>
          <w:sz w:val="22"/>
          <w:szCs w:val="22"/>
          <w:lang w:val="es-ES"/>
        </w:rPr>
        <w:lastRenderedPageBreak/>
        <w:t>De esta manera, en la contratación directa también deben existir unos estudios previos para fijar los criterios de escogencia del contratista. Dichos criterios tienen fundamento en el análisis del mercado, en el cual, aunque no es obligatorio, nada obsta para que la entidad identifique a varios proveedores en condiciones de cumplir el objeto del contrato.</w:t>
      </w:r>
      <w:r w:rsidRPr="00DE206C">
        <w:rPr>
          <w:rStyle w:val="eop"/>
          <w:rFonts w:ascii="Arial" w:hAnsi="Arial" w:cs="Arial"/>
          <w:sz w:val="22"/>
          <w:szCs w:val="22"/>
        </w:rPr>
        <w:t> </w:t>
      </w:r>
    </w:p>
    <w:p w:rsidRPr="00DE206C" w:rsidR="00B34262" w:rsidP="00B34262" w:rsidRDefault="004750F3" w14:paraId="6CA3D976" w14:textId="4311B967">
      <w:pPr>
        <w:pStyle w:val="paragraph"/>
        <w:spacing w:before="120" w:beforeAutospacing="0" w:after="0" w:afterAutospacing="0" w:line="276" w:lineRule="auto"/>
        <w:ind w:firstLine="705"/>
        <w:jc w:val="both"/>
        <w:textAlignment w:val="baseline"/>
        <w:rPr>
          <w:rFonts w:ascii="Arial" w:hAnsi="Arial" w:cs="Arial"/>
          <w:sz w:val="18"/>
          <w:szCs w:val="18"/>
        </w:rPr>
      </w:pPr>
      <w:r w:rsidRPr="00DE206C">
        <w:rPr>
          <w:rFonts w:ascii="Arial" w:hAnsi="Arial" w:cs="Arial" w:eastAsiaTheme="minorHAnsi"/>
          <w:sz w:val="22"/>
          <w:szCs w:val="22"/>
          <w:lang w:eastAsia="en-US"/>
        </w:rPr>
        <w:t xml:space="preserve">En conclusión, el análisis del sector debe ser visto desde una perspectiva funcional, como una labor enfocada a situar la adquisición de bienes y servicios por parte de entidades estatales dentro de las condiciones del mercado o del sector en el que serán adquiridos, el cual constituye una manifestación de los principios de planeación y economía. Dicha labor debe evidenciarse de manera palpable en los </w:t>
      </w:r>
      <w:r w:rsidRPr="00DE206C">
        <w:rPr>
          <w:rFonts w:ascii="Arial" w:hAnsi="Arial" w:cs="Arial" w:eastAsiaTheme="minorHAnsi"/>
          <w:i/>
          <w:iCs/>
          <w:sz w:val="22"/>
          <w:szCs w:val="22"/>
          <w:lang w:eastAsia="en-US"/>
        </w:rPr>
        <w:t>Documentos del Proceso</w:t>
      </w:r>
      <w:r w:rsidRPr="00DE206C">
        <w:rPr>
          <w:rFonts w:ascii="Arial" w:hAnsi="Arial" w:cs="Arial" w:eastAsiaTheme="minorHAnsi"/>
          <w:sz w:val="22"/>
          <w:szCs w:val="22"/>
          <w:lang w:eastAsia="en-US"/>
        </w:rPr>
        <w:t xml:space="preserve">, ya sea dentro de los estudios previos, como documento autónomo o dentro de alguno de los soportes del proceso de contratación, abarcando los campos legal, comercial, financiero, organizacional, técnico y de riesgos, de conformidad con el artículo </w:t>
      </w:r>
      <w:r w:rsidRPr="00DE206C">
        <w:rPr>
          <w:rFonts w:ascii="Arial" w:hAnsi="Arial" w:cs="Arial" w:eastAsiaTheme="minorHAnsi"/>
          <w:sz w:val="22"/>
          <w:szCs w:val="22"/>
          <w:lang w:val="es-MX" w:eastAsia="en-US"/>
        </w:rPr>
        <w:t>2.2.1.1.1.6.1 del Decreto 1082 del 2015.</w:t>
      </w:r>
      <w:bookmarkEnd w:id="10"/>
      <w:r w:rsidRPr="00DE206C">
        <w:rPr>
          <w:rFonts w:ascii="Arial" w:hAnsi="Arial" w:eastAsia="Calibri" w:cs="Arial"/>
          <w:bCs/>
          <w:sz w:val="22"/>
          <w:lang w:val="es-ES_tradnl"/>
        </w:rPr>
        <w:tab/>
      </w:r>
      <w:r w:rsidRPr="00DE206C">
        <w:rPr>
          <w:rFonts w:ascii="Arial" w:hAnsi="Arial" w:eastAsia="Calibri" w:cs="Arial"/>
          <w:bCs/>
          <w:sz w:val="22"/>
          <w:lang w:val="es-ES_tradnl"/>
        </w:rPr>
        <w:tab/>
      </w:r>
    </w:p>
    <w:p w:rsidRPr="00DE206C" w:rsidR="00B34262" w:rsidP="00B34262" w:rsidRDefault="00B34262" w14:paraId="0FE17563" w14:textId="77777777">
      <w:pPr>
        <w:spacing w:after="0" w:line="276" w:lineRule="auto"/>
        <w:ind w:firstLine="708"/>
        <w:jc w:val="both"/>
        <w:rPr>
          <w:rFonts w:ascii="Arial" w:hAnsi="Arial" w:eastAsia="Calibri" w:cs="Arial"/>
          <w:bCs/>
          <w:lang w:val="es-ES_tradnl"/>
        </w:rPr>
      </w:pPr>
    </w:p>
    <w:p w:rsidRPr="00DE206C" w:rsidR="004750F3" w:rsidP="00B34262" w:rsidRDefault="004750F3" w14:paraId="55715EBD" w14:textId="624B2AD2">
      <w:pPr>
        <w:pStyle w:val="Prrafodelista"/>
        <w:numPr>
          <w:ilvl w:val="0"/>
          <w:numId w:val="4"/>
        </w:numPr>
        <w:tabs>
          <w:tab w:val="left" w:pos="0"/>
        </w:tabs>
        <w:spacing w:after="0"/>
        <w:ind w:left="360"/>
        <w:jc w:val="both"/>
        <w:rPr>
          <w:rFonts w:ascii="Arial" w:hAnsi="Arial" w:eastAsia="Calibri" w:cs="Arial"/>
          <w:b/>
          <w:lang w:val="es-ES_tradnl"/>
        </w:rPr>
      </w:pPr>
      <w:r w:rsidRPr="00DE206C">
        <w:rPr>
          <w:rFonts w:ascii="Arial" w:hAnsi="Arial" w:eastAsia="Calibri" w:cs="Arial"/>
          <w:b/>
          <w:lang w:val="es-ES_tradnl"/>
        </w:rPr>
        <w:t>Respuesta</w:t>
      </w:r>
    </w:p>
    <w:p w:rsidRPr="00DE206C" w:rsidR="00B34262" w:rsidP="00B34262" w:rsidRDefault="00B34262" w14:paraId="2AC4FDD9" w14:textId="77777777">
      <w:pPr>
        <w:pStyle w:val="Prrafodelista"/>
        <w:tabs>
          <w:tab w:val="left" w:pos="0"/>
        </w:tabs>
        <w:spacing w:after="0"/>
        <w:ind w:left="6601"/>
        <w:jc w:val="both"/>
        <w:rPr>
          <w:rFonts w:ascii="Arial" w:hAnsi="Arial" w:eastAsia="Calibri" w:cs="Arial"/>
          <w:b/>
          <w:lang w:val="es-ES_tradnl"/>
        </w:rPr>
      </w:pPr>
    </w:p>
    <w:p w:rsidRPr="00DE206C" w:rsidR="006C74EA" w:rsidP="006C74EA" w:rsidRDefault="006C74EA" w14:paraId="63A322D1" w14:textId="77777777">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“1. ¿</w:t>
      </w:r>
      <w:r w:rsidRPr="00DE206C">
        <w:rPr>
          <w:rFonts w:ascii="Arial" w:hAnsi="Arial" w:cs="Arial"/>
        </w:rPr>
        <w:t>Cuál</w:t>
      </w:r>
      <w:r w:rsidRPr="00DE206C">
        <w:rPr>
          <w:rFonts w:ascii="Arial" w:hAnsi="Arial" w:cs="Arial"/>
          <w:sz w:val="21"/>
          <w:szCs w:val="21"/>
          <w:lang w:val="es-ES_tradnl"/>
        </w:rPr>
        <w:t xml:space="preserve"> es la diferencia entre estudio del mercado y estudio del sector? </w:t>
      </w:r>
    </w:p>
    <w:p w:rsidRPr="00DE206C" w:rsidR="006C74EA" w:rsidP="006C74EA" w:rsidRDefault="006C74EA" w14:paraId="047B8BFD" w14:textId="77777777">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 xml:space="preserve">2. ¿Cuál el contenido de un estudio del sector? </w:t>
      </w:r>
    </w:p>
    <w:p w:rsidRPr="00DE206C" w:rsidR="006C74EA" w:rsidP="006C74EA" w:rsidRDefault="006C74EA" w14:paraId="12B61725" w14:textId="77777777">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 xml:space="preserve">3. ¿Cuáles son los criterios que se evalúan en el estudio del sector? </w:t>
      </w:r>
    </w:p>
    <w:p w:rsidRPr="00DE206C" w:rsidR="006C74EA" w:rsidP="006C74EA" w:rsidRDefault="006C74EA" w14:paraId="6EA29CB0" w14:textId="77777777">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 xml:space="preserve">4. ¿Cuál el contenido de un estudio de mercado? </w:t>
      </w:r>
    </w:p>
    <w:p w:rsidRPr="00DE206C" w:rsidR="006C74EA" w:rsidP="006C74EA" w:rsidRDefault="006C74EA" w14:paraId="6F61F941" w14:textId="77777777">
      <w:pPr>
        <w:spacing w:after="0" w:line="240" w:lineRule="auto"/>
        <w:ind w:left="708" w:right="709"/>
        <w:jc w:val="both"/>
        <w:rPr>
          <w:rFonts w:ascii="Arial" w:hAnsi="Arial" w:cs="Arial"/>
          <w:sz w:val="21"/>
          <w:szCs w:val="21"/>
          <w:lang w:val="es-ES_tradnl"/>
        </w:rPr>
      </w:pPr>
      <w:r w:rsidRPr="00DE206C">
        <w:rPr>
          <w:rFonts w:ascii="Arial" w:hAnsi="Arial" w:cs="Arial"/>
          <w:sz w:val="21"/>
          <w:szCs w:val="21"/>
          <w:lang w:val="es-ES_tradnl"/>
        </w:rPr>
        <w:t>5. ¿Cuáles son los criterios que se evalúan en el estudio mercado?”</w:t>
      </w:r>
    </w:p>
    <w:p w:rsidRPr="00DE206C" w:rsidR="006C74EA" w:rsidP="006C74EA" w:rsidRDefault="006C74EA" w14:paraId="19916646" w14:textId="5BF03ECB">
      <w:pPr>
        <w:spacing w:after="0"/>
        <w:jc w:val="both"/>
        <w:rPr>
          <w:rFonts w:ascii="Arial" w:hAnsi="Arial" w:eastAsia="Calibri" w:cs="Arial"/>
          <w:lang w:val="es-ES"/>
        </w:rPr>
      </w:pPr>
    </w:p>
    <w:p w:rsidRPr="00DE206C" w:rsidR="00BB1F36" w:rsidP="00BB1F36" w:rsidRDefault="006C74EA" w14:paraId="6F91B454" w14:textId="08101AB7">
      <w:pPr>
        <w:spacing w:line="276" w:lineRule="auto"/>
        <w:jc w:val="both"/>
        <w:rPr>
          <w:rFonts w:ascii="Arial" w:hAnsi="Arial" w:eastAsia="Calibri" w:cs="Arial"/>
          <w:bCs/>
          <w:lang w:val="es-ES_tradnl"/>
        </w:rPr>
      </w:pPr>
      <w:r w:rsidRPr="00DE206C">
        <w:rPr>
          <w:rFonts w:ascii="Arial" w:hAnsi="Arial" w:eastAsia="Calibri" w:cs="Arial"/>
          <w:lang w:val="es-ES"/>
        </w:rPr>
        <w:tab/>
      </w:r>
      <w:r w:rsidRPr="00DE206C" w:rsidR="00BB1F36">
        <w:rPr>
          <w:rFonts w:ascii="Arial" w:hAnsi="Arial" w:cs="Arial"/>
        </w:rPr>
        <w:t xml:space="preserve">De acuerdo con las consideraciones de este concepto, los numerales 2 y 4 del artículo 2.2.1.1.2.1.1 del Decreto 1082 de 2015 exigen que en los estudios previos se determine el objeto a contratar con sus especificaciones, y se señale el valor estimado del contrato y la justificación </w:t>
      </w:r>
      <w:proofErr w:type="gramStart"/>
      <w:r w:rsidRPr="00DE206C" w:rsidR="00BB1F36">
        <w:rPr>
          <w:rFonts w:ascii="Arial" w:hAnsi="Arial" w:cs="Arial"/>
        </w:rPr>
        <w:t>del mismo</w:t>
      </w:r>
      <w:proofErr w:type="gramEnd"/>
      <w:r w:rsidRPr="00DE206C" w:rsidR="00BB1F36">
        <w:rPr>
          <w:rFonts w:ascii="Arial" w:hAnsi="Arial" w:cs="Arial"/>
        </w:rPr>
        <w:t>. En concordancia, e</w:t>
      </w:r>
      <w:r w:rsidRPr="00DE206C" w:rsidR="00BB1F36">
        <w:rPr>
          <w:rFonts w:ascii="Arial" w:hAnsi="Arial" w:eastAsia="Calibri" w:cs="Arial"/>
          <w:bCs/>
          <w:lang w:val="es-ES_tradnl"/>
        </w:rPr>
        <w:t xml:space="preserve">l artículo 2.2.1.1.1.6.1 del Decreto 1082 de 2015 establece el deber de las </w:t>
      </w:r>
      <w:r w:rsidRPr="00DE206C" w:rsidR="00FD600A">
        <w:rPr>
          <w:rFonts w:ascii="Arial" w:hAnsi="Arial" w:eastAsia="Calibri" w:cs="Arial"/>
          <w:bCs/>
          <w:lang w:val="es-ES_tradnl"/>
        </w:rPr>
        <w:t>E</w:t>
      </w:r>
      <w:r w:rsidRPr="00DE206C" w:rsidR="00BB1F36">
        <w:rPr>
          <w:rFonts w:ascii="Arial" w:hAnsi="Arial" w:eastAsia="Calibri" w:cs="Arial"/>
          <w:bCs/>
          <w:lang w:val="es-ES_tradnl"/>
        </w:rPr>
        <w:t xml:space="preserve">ntidades de realizar, durante la etapa de planeación, el análisis necesario para conocer el sector relativo al objeto del Proceso de Contratación desde la perspectiva legal, comercial, financiera, organizacional, técnica, y de análisis de Riesgo. La </w:t>
      </w:r>
      <w:r w:rsidRPr="00DE206C" w:rsidR="00FD600A">
        <w:rPr>
          <w:rFonts w:ascii="Arial" w:hAnsi="Arial" w:eastAsia="Calibri" w:cs="Arial"/>
          <w:bCs/>
          <w:lang w:val="es-ES_tradnl"/>
        </w:rPr>
        <w:t>E</w:t>
      </w:r>
      <w:r w:rsidRPr="00DE206C" w:rsidR="00BB1F36">
        <w:rPr>
          <w:rFonts w:ascii="Arial" w:hAnsi="Arial" w:eastAsia="Calibri" w:cs="Arial"/>
          <w:bCs/>
          <w:lang w:val="es-ES_tradnl"/>
        </w:rPr>
        <w:t xml:space="preserve">ntidad debe dejar constancia de este análisis en los Documentos del Proceso. </w:t>
      </w:r>
    </w:p>
    <w:p w:rsidRPr="00DE206C" w:rsidR="00BB1F36" w:rsidP="00BB1F36" w:rsidRDefault="00BB1F36" w14:paraId="43BFE3DD" w14:textId="4AAB2AD0">
      <w:pPr>
        <w:spacing w:before="120" w:line="276" w:lineRule="auto"/>
        <w:ind w:firstLine="709"/>
        <w:jc w:val="both"/>
        <w:rPr>
          <w:rFonts w:ascii="Arial" w:hAnsi="Arial" w:cs="Arial"/>
          <w:bCs/>
          <w:lang w:val="es-ES_tradnl"/>
        </w:rPr>
      </w:pPr>
      <w:r w:rsidRPr="00DE206C">
        <w:rPr>
          <w:rFonts w:ascii="Arial" w:hAnsi="Arial" w:eastAsia="Calibri" w:cs="Arial"/>
          <w:bCs/>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w:t>
      </w:r>
      <w:r w:rsidRPr="00DE206C" w:rsidR="00765F2F">
        <w:rPr>
          <w:rFonts w:ascii="Arial" w:hAnsi="Arial" w:eastAsia="Calibri" w:cs="Arial"/>
          <w:bCs/>
          <w:lang w:val="es-ES_tradnl"/>
        </w:rPr>
        <w:t>E</w:t>
      </w:r>
      <w:r w:rsidRPr="00DE206C">
        <w:rPr>
          <w:rFonts w:ascii="Arial" w:hAnsi="Arial" w:eastAsia="Calibri" w:cs="Arial"/>
          <w:bCs/>
          <w:lang w:val="es-ES_tradnl"/>
        </w:rPr>
        <w:t xml:space="preserve">ntidades </w:t>
      </w:r>
      <w:r w:rsidRPr="00DE206C">
        <w:rPr>
          <w:rFonts w:ascii="Arial" w:hAnsi="Arial" w:cs="Arial"/>
          <w:lang w:eastAsia="es-CO"/>
        </w:rPr>
        <w:t xml:space="preserve">son autónomas para estructurarlo, para lo cual deberán cumplir lo establecido en el artículo </w:t>
      </w:r>
      <w:r w:rsidRPr="00DE206C">
        <w:rPr>
          <w:rFonts w:ascii="Arial" w:hAnsi="Arial" w:eastAsia="Calibri" w:cs="Arial"/>
          <w:bCs/>
          <w:lang w:val="es-ES_tradnl"/>
        </w:rPr>
        <w:t xml:space="preserve">2.2.1.1.1.6.1 del Decreto 1082 de 2015 y realizar un análisis integral de planeación que </w:t>
      </w:r>
      <w:r w:rsidRPr="00DE206C">
        <w:rPr>
          <w:rFonts w:ascii="Arial" w:hAnsi="Arial" w:cs="Arial"/>
        </w:rPr>
        <w:t xml:space="preserve">sirva de sustento a la decisión de </w:t>
      </w:r>
      <w:r w:rsidRPr="00DE206C">
        <w:rPr>
          <w:rFonts w:ascii="Arial" w:hAnsi="Arial" w:cs="Arial"/>
          <w:bCs/>
          <w:lang w:val="es-ES_tradnl"/>
        </w:rPr>
        <w:t>realizar un proceso de contratación.</w:t>
      </w:r>
    </w:p>
    <w:p w:rsidRPr="00DE206C" w:rsidR="00BB1F36" w:rsidP="00BB1F36" w:rsidRDefault="00BB1F36" w14:paraId="33957E1C" w14:textId="65C66ED6">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 xml:space="preserve">La Agencia Nacional de Contratación Pública – Colombia Compra Eficiente dispone de la </w:t>
      </w:r>
      <w:r w:rsidRPr="00DE206C" w:rsidR="00F444BD">
        <w:rPr>
          <w:rFonts w:ascii="Arial" w:hAnsi="Arial" w:eastAsia="Calibri" w:cs="Arial"/>
          <w:bCs/>
          <w:lang w:val="es-ES_tradnl"/>
        </w:rPr>
        <w:t>“</w:t>
      </w:r>
      <w:r w:rsidRPr="00DE206C">
        <w:rPr>
          <w:rFonts w:ascii="Arial" w:hAnsi="Arial" w:eastAsia="Calibri" w:cs="Arial"/>
          <w:bCs/>
          <w:lang w:val="es-ES_tradnl"/>
        </w:rPr>
        <w:t>Guía de Elaboración del Estudio del Sector</w:t>
      </w:r>
      <w:r w:rsidRPr="00DE206C" w:rsidR="00F444BD">
        <w:rPr>
          <w:rFonts w:ascii="Arial" w:hAnsi="Arial" w:eastAsia="Calibri" w:cs="Arial"/>
          <w:bCs/>
          <w:lang w:val="es-ES_tradnl"/>
        </w:rPr>
        <w:t>”</w:t>
      </w:r>
      <w:r w:rsidRPr="00DE206C">
        <w:rPr>
          <w:rFonts w:ascii="Arial" w:hAnsi="Arial" w:eastAsia="Calibri" w:cs="Arial"/>
          <w:bCs/>
          <w:lang w:val="es-ES_tradnl"/>
        </w:rPr>
        <w:t xml:space="preserve">, instrumento que sirve de apoyo para entender el mercado del bien, obra o servicio que la </w:t>
      </w:r>
      <w:r w:rsidRPr="00DE206C" w:rsidR="00F444BD">
        <w:rPr>
          <w:rFonts w:ascii="Arial" w:hAnsi="Arial" w:eastAsia="Calibri" w:cs="Arial"/>
          <w:bCs/>
          <w:lang w:val="es-ES_tradnl"/>
        </w:rPr>
        <w:t>E</w:t>
      </w:r>
      <w:r w:rsidRPr="00DE206C">
        <w:rPr>
          <w:rFonts w:ascii="Arial" w:hAnsi="Arial" w:eastAsia="Calibri" w:cs="Arial"/>
          <w:bCs/>
          <w:lang w:val="es-ES_tradnl"/>
        </w:rPr>
        <w:t xml:space="preserve">ntidad </w:t>
      </w:r>
      <w:r w:rsidRPr="00DE206C" w:rsidR="00F444BD">
        <w:rPr>
          <w:rFonts w:ascii="Arial" w:hAnsi="Arial" w:eastAsia="Calibri" w:cs="Arial"/>
          <w:bCs/>
          <w:lang w:val="es-ES_tradnl"/>
        </w:rPr>
        <w:t>E</w:t>
      </w:r>
      <w:r w:rsidRPr="00DE206C">
        <w:rPr>
          <w:rFonts w:ascii="Arial" w:hAnsi="Arial" w:eastAsia="Calibri" w:cs="Arial"/>
          <w:bCs/>
          <w:lang w:val="es-ES_tradnl"/>
        </w:rPr>
        <w:t xml:space="preserve">statal pretende adquirir y diseñar el proceso de contratación con la información necesaria para alcanzar los objetivos de eficacia, eficiencia, </w:t>
      </w:r>
      <w:r w:rsidRPr="00DE206C">
        <w:rPr>
          <w:rFonts w:ascii="Arial" w:hAnsi="Arial" w:eastAsia="Calibri" w:cs="Arial"/>
          <w:bCs/>
          <w:lang w:val="es-ES_tradnl"/>
        </w:rPr>
        <w:lastRenderedPageBreak/>
        <w:t>economía, promoción de la competencia y manejo del riesgo. Esta Guía es un insumo para realizar el estudio del sector relativo al proceso de contratación, pero carece de fuerza vinculante por lo que su aplicación no exime a las entidades de acatar las normas vigentes.</w:t>
      </w:r>
    </w:p>
    <w:p w:rsidRPr="00DE206C" w:rsidR="00BB1F36" w:rsidP="00BB1F36" w:rsidRDefault="00BB1F36" w14:paraId="0913D66F" w14:textId="17AD8BCB">
      <w:pPr>
        <w:spacing w:before="120" w:after="120" w:line="276" w:lineRule="auto"/>
        <w:ind w:firstLine="709"/>
        <w:jc w:val="both"/>
        <w:rPr>
          <w:rFonts w:ascii="Arial" w:hAnsi="Arial" w:eastAsia="Calibri" w:cs="Arial"/>
          <w:bCs/>
          <w:lang w:val="es-ES"/>
        </w:rPr>
      </w:pPr>
      <w:r w:rsidRPr="00DE206C">
        <w:rPr>
          <w:rFonts w:ascii="Arial" w:hAnsi="Arial" w:eastAsia="Calibri" w:cs="Arial"/>
          <w:bCs/>
          <w:lang w:val="es-ES_tradnl"/>
        </w:rPr>
        <w:t xml:space="preserve">En este instrumento se recomienda un análisis integral sobre varios aspectos del mercado –económico, técnico, regulatorio, etc.–, lo cual permitirá que la </w:t>
      </w:r>
      <w:r w:rsidRPr="00DE206C" w:rsidR="0047077E">
        <w:rPr>
          <w:rFonts w:ascii="Arial" w:hAnsi="Arial" w:eastAsia="Calibri" w:cs="Arial"/>
          <w:bCs/>
          <w:lang w:val="es-ES_tradnl"/>
        </w:rPr>
        <w:t>E</w:t>
      </w:r>
      <w:r w:rsidRPr="00DE206C">
        <w:rPr>
          <w:rFonts w:ascii="Arial" w:hAnsi="Arial" w:eastAsia="Calibri" w:cs="Arial"/>
          <w:bCs/>
          <w:lang w:val="es-ES_tradnl"/>
        </w:rPr>
        <w:t>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rsidRPr="00DE206C" w:rsidR="00236AB0" w:rsidP="00236AB0" w:rsidRDefault="00BB1F36" w14:paraId="74277122" w14:textId="77777777">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 xml:space="preserve">Asimismo, en la Guía se indica que como parte de la estructura del estudio del sector se debe realizar un análisis del comportamiento del gasto histórico, el estudio de la oferta y el estudio del mercado. Este último </w:t>
      </w:r>
      <w:r w:rsidRPr="00DE206C">
        <w:rPr>
          <w:rFonts w:ascii="Arial" w:hAnsi="Arial" w:eastAsia="Calibri" w:cs="Arial"/>
          <w:lang w:val="es-ES"/>
        </w:rPr>
        <w:t>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cuáles son las dinámicas de precio y, de esta manera, servir de insumo para establecer el presupuesto oficial del proceso de contratación.</w:t>
      </w:r>
    </w:p>
    <w:p w:rsidRPr="00DE206C" w:rsidR="007E510B" w:rsidP="00236AB0" w:rsidRDefault="0047077E" w14:paraId="055729DA" w14:textId="217E9B49">
      <w:pPr>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Igualmente</w:t>
      </w:r>
      <w:r w:rsidRPr="00DE206C" w:rsidR="007E510B">
        <w:rPr>
          <w:rFonts w:ascii="Arial" w:hAnsi="Arial" w:eastAsia="Calibri" w:cs="Arial"/>
          <w:bCs/>
          <w:lang w:val="es-ES_tradnl"/>
        </w:rPr>
        <w:t xml:space="preserve">, se </w:t>
      </w:r>
      <w:r w:rsidRPr="00DE206C" w:rsidR="00236AB0">
        <w:rPr>
          <w:rFonts w:ascii="Arial" w:hAnsi="Arial" w:eastAsia="Calibri" w:cs="Arial"/>
          <w:bCs/>
          <w:lang w:val="es-ES_tradnl"/>
        </w:rPr>
        <w:t>reitera</w:t>
      </w:r>
      <w:r w:rsidRPr="00DE206C" w:rsidR="007E510B">
        <w:rPr>
          <w:rFonts w:ascii="Arial" w:hAnsi="Arial" w:eastAsia="Calibri" w:cs="Arial"/>
          <w:bCs/>
          <w:lang w:val="es-ES_tradnl"/>
        </w:rPr>
        <w:t xml:space="preserve"> que la normativa en materia de contratación estatal no establece lineamientos obligatorios precisos para la estructuración del análisis del sector y el respectivo estudio de mercado, ni de forma particular los requisitos que deban cumplir las cotizaciones, como se explicó en las consideraciones. </w:t>
      </w:r>
      <w:r w:rsidRPr="00DE206C" w:rsidR="00533D79">
        <w:rPr>
          <w:rFonts w:ascii="Arial" w:hAnsi="Arial" w:eastAsia="Calibri" w:cs="Arial"/>
          <w:bCs/>
          <w:lang w:val="es-ES_tradnl"/>
        </w:rPr>
        <w:t>Así las cosas</w:t>
      </w:r>
      <w:r w:rsidRPr="00DE206C" w:rsidR="007E510B">
        <w:rPr>
          <w:rFonts w:ascii="Arial" w:hAnsi="Arial" w:eastAsia="Calibri" w:cs="Arial"/>
          <w:bCs/>
          <w:lang w:val="es-ES_tradnl"/>
        </w:rPr>
        <w:t xml:space="preserve">, las </w:t>
      </w:r>
      <w:r w:rsidRPr="00DE206C" w:rsidR="00533D79">
        <w:rPr>
          <w:rFonts w:ascii="Arial" w:hAnsi="Arial" w:eastAsia="Calibri" w:cs="Arial"/>
          <w:bCs/>
          <w:lang w:val="es-ES_tradnl"/>
        </w:rPr>
        <w:t>E</w:t>
      </w:r>
      <w:r w:rsidRPr="00DE206C" w:rsidR="007E510B">
        <w:rPr>
          <w:rFonts w:ascii="Arial" w:hAnsi="Arial" w:eastAsia="Calibri" w:cs="Arial"/>
          <w:bCs/>
          <w:lang w:val="es-ES_tradnl"/>
        </w:rPr>
        <w:t xml:space="preserve">ntidades son autónomas para establecer la forma en la cual se recopilará la información que sustenten el análisis del sector, así como lo referente a la solicitud de cotizaciones. </w:t>
      </w:r>
    </w:p>
    <w:p w:rsidRPr="00DE206C" w:rsidR="005E28C2" w:rsidP="005E28C2" w:rsidRDefault="007E510B" w14:paraId="38F9E9DD" w14:textId="348A9A30">
      <w:pPr>
        <w:tabs>
          <w:tab w:val="left" w:pos="1155"/>
        </w:tabs>
        <w:autoSpaceDE w:val="0"/>
        <w:autoSpaceDN w:val="0"/>
        <w:adjustRightInd w:val="0"/>
        <w:spacing w:before="120" w:line="276" w:lineRule="auto"/>
        <w:ind w:firstLine="709"/>
        <w:jc w:val="both"/>
        <w:rPr>
          <w:rFonts w:ascii="Arial" w:hAnsi="Arial" w:eastAsia="Calibri" w:cs="Arial"/>
          <w:bCs/>
          <w:lang w:val="es-ES_tradnl"/>
        </w:rPr>
      </w:pPr>
      <w:r w:rsidRPr="00DE206C">
        <w:rPr>
          <w:rFonts w:ascii="Arial" w:hAnsi="Arial" w:eastAsia="Calibri" w:cs="Arial"/>
          <w:bCs/>
          <w:lang w:val="es-ES_tradnl"/>
        </w:rPr>
        <w:t xml:space="preserve">En relación con este aspecto, en </w:t>
      </w:r>
      <w:r w:rsidRPr="00DE206C">
        <w:rPr>
          <w:rFonts w:ascii="Arial" w:hAnsi="Arial" w:eastAsia="Calibri" w:cs="Arial"/>
          <w:lang w:val="es-ES"/>
        </w:rPr>
        <w:t xml:space="preserve">la </w:t>
      </w:r>
      <w:r w:rsidRPr="00DE206C" w:rsidR="0037704B">
        <w:rPr>
          <w:rFonts w:ascii="Arial" w:hAnsi="Arial" w:eastAsia="Calibri" w:cs="Arial"/>
          <w:bCs/>
          <w:lang w:val="es-ES_tradnl"/>
        </w:rPr>
        <w:t>“</w:t>
      </w:r>
      <w:r w:rsidRPr="00DE206C">
        <w:rPr>
          <w:rFonts w:ascii="Arial" w:hAnsi="Arial" w:eastAsia="Calibri" w:cs="Arial"/>
          <w:bCs/>
          <w:lang w:val="es-ES_tradnl"/>
        </w:rPr>
        <w:t>Guía de Elaboración del Estudio del Sector</w:t>
      </w:r>
      <w:r w:rsidRPr="00DE206C" w:rsidR="0037704B">
        <w:rPr>
          <w:rFonts w:ascii="Arial" w:hAnsi="Arial" w:eastAsia="Calibri" w:cs="Arial"/>
          <w:bCs/>
          <w:lang w:val="es-ES_tradnl"/>
        </w:rPr>
        <w:t>”</w:t>
      </w:r>
      <w:r w:rsidRPr="00DE206C">
        <w:rPr>
          <w:rFonts w:ascii="Arial" w:hAnsi="Arial" w:eastAsia="Calibri" w:cs="Arial"/>
          <w:bCs/>
          <w:lang w:val="es-ES_tradnl"/>
        </w:rPr>
        <w:t xml:space="preserve"> </w:t>
      </w:r>
      <w:r w:rsidRPr="00DE206C">
        <w:rPr>
          <w:rFonts w:ascii="Arial" w:hAnsi="Arial" w:eastAsia="Calibri" w:cs="Arial"/>
          <w:lang w:val="es-ES"/>
        </w:rPr>
        <w:t xml:space="preserve">se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como, por ejemplo, especificaciones técnicas del bien o servicio a contratar, plazo del contrato, así como toda aquella información relevante que incida en el precio del bien o servicio. Al recibir las cotizaciones, debe verificarse la ocurrencia de circunstancias que eventualmente pueden distorsionar los precios del mercado, como ofertas especiales de almacenes de cadena, fenómenos de escasez o abundancia del producto, entre otros aspectos. </w:t>
      </w:r>
      <w:r w:rsidRPr="00DE206C">
        <w:rPr>
          <w:rFonts w:ascii="Arial" w:hAnsi="Arial" w:eastAsia="Calibri" w:cs="Arial"/>
          <w:bCs/>
          <w:lang w:val="es-ES_tradnl"/>
        </w:rPr>
        <w:t>Como se mencionó, la Guía citada desarrolla recomendaciones y buenas prácticas que servirán a las entidades para entender el mercado del bien, obra o servicio que pretende adquirir, pero no es un instrumento vinculante para la entidad.</w:t>
      </w:r>
      <w:r w:rsidRPr="00DE206C" w:rsidR="005E28C2">
        <w:rPr>
          <w:rFonts w:ascii="Arial" w:hAnsi="Arial" w:eastAsia="Calibri" w:cs="Arial"/>
          <w:bCs/>
          <w:lang w:val="es-ES_tradnl"/>
        </w:rPr>
        <w:tab/>
      </w:r>
    </w:p>
    <w:p w:rsidRPr="00DE206C" w:rsidR="005E28C2" w:rsidP="005E28C2" w:rsidRDefault="005E28C2" w14:paraId="7D602A23" w14:textId="0A63FD52">
      <w:pPr>
        <w:tabs>
          <w:tab w:val="left" w:pos="1155"/>
        </w:tabs>
        <w:autoSpaceDE w:val="0"/>
        <w:autoSpaceDN w:val="0"/>
        <w:adjustRightInd w:val="0"/>
        <w:spacing w:before="120" w:line="276" w:lineRule="auto"/>
        <w:ind w:firstLine="709"/>
        <w:jc w:val="both"/>
        <w:rPr>
          <w:rFonts w:ascii="Arial" w:hAnsi="Arial" w:eastAsia="Calibri" w:cs="Arial"/>
          <w:lang w:val="es-ES"/>
        </w:rPr>
      </w:pPr>
      <w:r w:rsidRPr="00DE206C">
        <w:rPr>
          <w:rFonts w:ascii="Arial" w:hAnsi="Arial" w:eastAsia="Calibri" w:cs="Arial"/>
          <w:bCs/>
          <w:lang w:val="es-ES_tradnl"/>
        </w:rPr>
        <w:lastRenderedPageBreak/>
        <w:t xml:space="preserve">Como se explicó en las consideraciones, el análisis del sector </w:t>
      </w:r>
      <w:r w:rsidRPr="00DE206C">
        <w:rPr>
          <w:rFonts w:ascii="Arial" w:hAnsi="Arial" w:cs="Arial"/>
          <w:bCs/>
          <w:lang w:val="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w:t>
      </w:r>
    </w:p>
    <w:p w:rsidRPr="00DE206C" w:rsidR="005E28C2" w:rsidP="005E28C2" w:rsidRDefault="0037704B" w14:paraId="6D3D6D22" w14:textId="65BA6371">
      <w:pPr>
        <w:spacing w:before="120" w:line="276" w:lineRule="auto"/>
        <w:ind w:firstLine="708"/>
        <w:jc w:val="both"/>
        <w:rPr>
          <w:rFonts w:ascii="Arial" w:hAnsi="Arial" w:cs="Arial"/>
          <w:lang w:val="es-MX"/>
        </w:rPr>
      </w:pPr>
      <w:r w:rsidRPr="00DE206C">
        <w:rPr>
          <w:rFonts w:ascii="Arial" w:hAnsi="Arial" w:cs="Arial"/>
        </w:rPr>
        <w:t>En conclusión,</w:t>
      </w:r>
      <w:r w:rsidRPr="00DE206C" w:rsidR="005E28C2">
        <w:rPr>
          <w:rFonts w:ascii="Arial" w:hAnsi="Arial" w:cs="Arial"/>
        </w:rPr>
        <w:t xml:space="preserve"> el análisis del sector debe ser visto desde una perspectiva funcional, como una labor enfocada a situar la adquisición de bienes y servicios por parte de </w:t>
      </w:r>
      <w:r w:rsidRPr="00DE206C" w:rsidR="0041220E">
        <w:rPr>
          <w:rFonts w:ascii="Arial" w:hAnsi="Arial" w:cs="Arial"/>
        </w:rPr>
        <w:t>E</w:t>
      </w:r>
      <w:r w:rsidRPr="00DE206C" w:rsidR="005E28C2">
        <w:rPr>
          <w:rFonts w:ascii="Arial" w:hAnsi="Arial" w:cs="Arial"/>
        </w:rPr>
        <w:t xml:space="preserve">ntidades </w:t>
      </w:r>
      <w:r w:rsidRPr="00DE206C" w:rsidR="0041220E">
        <w:rPr>
          <w:rFonts w:ascii="Arial" w:hAnsi="Arial" w:cs="Arial"/>
        </w:rPr>
        <w:t>E</w:t>
      </w:r>
      <w:r w:rsidRPr="00DE206C" w:rsidR="005E28C2">
        <w:rPr>
          <w:rFonts w:ascii="Arial" w:hAnsi="Arial" w:cs="Arial"/>
        </w:rPr>
        <w:t xml:space="preserve">statales dentro de las condiciones del mercado o del sector en el que serán adquiridos, la cual constituye una aplicación de los principios de planeación y economía. Dicha labor debe evidenciarse de manera </w:t>
      </w:r>
      <w:r w:rsidRPr="00DE206C" w:rsidR="002C6D1E">
        <w:rPr>
          <w:rFonts w:ascii="Arial" w:hAnsi="Arial" w:cs="Arial"/>
        </w:rPr>
        <w:t>clara</w:t>
      </w:r>
      <w:r w:rsidRPr="00DE206C" w:rsidR="005E28C2">
        <w:rPr>
          <w:rFonts w:ascii="Arial" w:hAnsi="Arial" w:cs="Arial"/>
        </w:rPr>
        <w:t xml:space="preserve"> en los </w:t>
      </w:r>
      <w:r w:rsidRPr="00DE206C" w:rsidR="005E28C2">
        <w:rPr>
          <w:rFonts w:ascii="Arial" w:hAnsi="Arial" w:cs="Arial"/>
          <w:i/>
          <w:iCs/>
        </w:rPr>
        <w:t>Documentos del Proceso</w:t>
      </w:r>
      <w:r w:rsidRPr="00DE206C" w:rsidR="005E28C2">
        <w:rPr>
          <w:rFonts w:ascii="Arial" w:hAnsi="Arial" w:cs="Arial"/>
        </w:rPr>
        <w:t xml:space="preserve">, ya sea dentro de los estudios previos, como documento autónomo o dentro de alguno de los soportes del proceso de contratación, abarcando los campos legal, comercial, financiero, organizacional, técnico y de riesgos, de conformidad con el artículo </w:t>
      </w:r>
      <w:r w:rsidRPr="00DE206C" w:rsidR="005E28C2">
        <w:rPr>
          <w:rFonts w:ascii="Arial" w:hAnsi="Arial" w:cs="Arial"/>
          <w:lang w:val="es-MX"/>
        </w:rPr>
        <w:t>2.2.1.1.1.6.1 del Decreto 1082 del 2015.</w:t>
      </w:r>
    </w:p>
    <w:p w:rsidRPr="00DE206C" w:rsidR="00C67F92" w:rsidP="00C67F92" w:rsidRDefault="00C67F92" w14:paraId="2BA5481C" w14:textId="77777777">
      <w:pPr>
        <w:spacing w:after="120" w:line="276" w:lineRule="auto"/>
        <w:jc w:val="both"/>
        <w:rPr>
          <w:rFonts w:ascii="Arial" w:hAnsi="Arial" w:cs="Arial"/>
          <w:lang w:eastAsia="es-MX"/>
        </w:rPr>
      </w:pPr>
      <w:r w:rsidRPr="00DE206C">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DE206C" w:rsidR="00C67F92" w:rsidP="00C67F92" w:rsidRDefault="00C67F92" w14:paraId="7ECC26F8" w14:textId="77777777">
      <w:pPr>
        <w:spacing w:after="120" w:line="276" w:lineRule="auto"/>
        <w:jc w:val="both"/>
        <w:rPr>
          <w:rFonts w:ascii="Arial" w:hAnsi="Arial" w:cs="Arial"/>
          <w:lang w:val="es-ES_tradnl"/>
        </w:rPr>
      </w:pPr>
      <w:r w:rsidRPr="00DE206C">
        <w:rPr>
          <w:rFonts w:ascii="Arial" w:hAnsi="Arial" w:cs="Arial"/>
          <w:lang w:val="es-ES_tradnl"/>
        </w:rPr>
        <w:t>Atentamente,</w:t>
      </w:r>
    </w:p>
    <w:p w:rsidRPr="00DE206C" w:rsidR="006C608E" w:rsidP="006477D6" w:rsidRDefault="00AE5BB9" w14:paraId="4E74F4BB" w14:textId="7B5AA396">
      <w:pPr>
        <w:spacing w:after="120" w:line="276" w:lineRule="auto"/>
        <w:jc w:val="center"/>
        <w:rPr>
          <w:rFonts w:ascii="Arial" w:hAnsi="Arial" w:cs="Arial"/>
          <w:lang w:val="es-ES_tradnl"/>
        </w:rPr>
      </w:pPr>
      <w:r>
        <w:rPr>
          <w:rFonts w:ascii="Arial" w:hAnsi="Arial" w:cs="Arial"/>
          <w:noProof/>
          <w:lang w:val="es-ES_tradnl"/>
        </w:rPr>
        <w:drawing>
          <wp:inline distT="0" distB="0" distL="0" distR="0" wp14:anchorId="23044A87" wp14:editId="662A2F04">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r>
        <w:rPr>
          <w:rFonts w:ascii="Arial" w:hAnsi="Arial" w:cs="Arial"/>
          <w:color w:val="000000"/>
          <w:shd w:val="clear" w:color="auto" w:fill="FFFFFF"/>
        </w:rPr>
        <w:br/>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5284"/>
      </w:tblGrid>
      <w:tr w:rsidRPr="00DE206C" w:rsidR="00DE206C" w:rsidTr="001F5466" w14:paraId="1B97540A" w14:textId="77777777">
        <w:trPr>
          <w:trHeight w:val="315"/>
        </w:trPr>
        <w:tc>
          <w:tcPr>
            <w:tcW w:w="812" w:type="dxa"/>
            <w:vAlign w:val="center"/>
            <w:hideMark/>
          </w:tcPr>
          <w:p w:rsidRPr="00DE206C" w:rsidR="006C608E" w:rsidP="001F5466" w:rsidRDefault="006C608E" w14:paraId="79ACCCBC" w14:textId="77777777">
            <w:pPr>
              <w:spacing w:line="276" w:lineRule="auto"/>
              <w:rPr>
                <w:rFonts w:ascii="Arial" w:hAnsi="Arial" w:eastAsia="Times New Roman" w:cs="Arial"/>
                <w:sz w:val="16"/>
                <w:szCs w:val="16"/>
                <w:lang w:val="es-ES" w:eastAsia="es-ES"/>
              </w:rPr>
            </w:pPr>
            <w:r w:rsidRPr="00DE206C">
              <w:rPr>
                <w:rFonts w:ascii="Arial" w:hAnsi="Arial" w:eastAsia="Times New Roman" w:cs="Arial"/>
                <w:sz w:val="16"/>
                <w:szCs w:val="16"/>
                <w:lang w:val="es-ES" w:eastAsia="es-ES"/>
              </w:rPr>
              <w:t>Elaboró:</w:t>
            </w:r>
          </w:p>
        </w:tc>
        <w:tc>
          <w:tcPr>
            <w:tcW w:w="5284" w:type="dxa"/>
            <w:tcBorders>
              <w:top w:val="nil"/>
              <w:left w:val="nil"/>
              <w:bottom w:val="dotted" w:color="7F7F7F" w:themeColor="text1" w:themeTint="80" w:sz="4" w:space="0"/>
              <w:right w:val="nil"/>
            </w:tcBorders>
            <w:vAlign w:val="center"/>
            <w:hideMark/>
          </w:tcPr>
          <w:p w:rsidRPr="00DE206C" w:rsidR="006C608E" w:rsidP="001F5466" w:rsidRDefault="006C608E" w14:paraId="75372F3F" w14:textId="77777777">
            <w:pPr>
              <w:jc w:val="both"/>
              <w:rPr>
                <w:rFonts w:ascii="Arial" w:hAnsi="Arial" w:eastAsia="Times New Roman" w:cs="Arial"/>
                <w:sz w:val="16"/>
                <w:szCs w:val="16"/>
                <w:lang w:val="es-ES" w:eastAsia="es-ES"/>
              </w:rPr>
            </w:pPr>
            <w:r w:rsidRPr="00DE206C">
              <w:rPr>
                <w:rFonts w:ascii="Arial" w:hAnsi="Arial" w:eastAsia="Times New Roman" w:cs="Arial"/>
                <w:sz w:val="16"/>
                <w:szCs w:val="16"/>
                <w:lang w:val="es-ES" w:eastAsia="es-ES"/>
              </w:rPr>
              <w:t>Ana María Ortiz Ballesteros</w:t>
            </w:r>
          </w:p>
          <w:p w:rsidRPr="00DE206C" w:rsidR="006C608E" w:rsidP="001F5466" w:rsidRDefault="006C608E" w14:paraId="611C73E7" w14:textId="77777777">
            <w:pPr>
              <w:jc w:val="both"/>
              <w:rPr>
                <w:rFonts w:ascii="Arial" w:hAnsi="Arial" w:eastAsia="Times New Roman" w:cs="Arial"/>
                <w:sz w:val="16"/>
                <w:szCs w:val="16"/>
                <w:lang w:val="es-ES" w:eastAsia="es-ES"/>
              </w:rPr>
            </w:pPr>
            <w:r w:rsidRPr="00DE206C">
              <w:rPr>
                <w:rFonts w:ascii="Arial" w:hAnsi="Arial" w:eastAsia="Times New Roman" w:cs="Arial"/>
                <w:sz w:val="16"/>
                <w:szCs w:val="16"/>
                <w:lang w:val="es-ES" w:eastAsia="es-ES"/>
              </w:rPr>
              <w:t>Contratista de la Subdirección de Gestión Contractual</w:t>
            </w:r>
          </w:p>
        </w:tc>
      </w:tr>
      <w:tr w:rsidRPr="00DE206C" w:rsidR="00DE206C" w:rsidTr="001F5466" w14:paraId="44BD85E0" w14:textId="77777777">
        <w:trPr>
          <w:trHeight w:val="330"/>
        </w:trPr>
        <w:tc>
          <w:tcPr>
            <w:tcW w:w="812" w:type="dxa"/>
            <w:vAlign w:val="center"/>
            <w:hideMark/>
          </w:tcPr>
          <w:p w:rsidRPr="00DE206C" w:rsidR="006C608E" w:rsidP="001F5466" w:rsidRDefault="006C608E" w14:paraId="177FC56C" w14:textId="77777777">
            <w:pPr>
              <w:spacing w:line="276" w:lineRule="auto"/>
              <w:rPr>
                <w:rFonts w:ascii="Arial" w:hAnsi="Arial" w:eastAsia="Times New Roman" w:cs="Arial"/>
                <w:sz w:val="16"/>
                <w:szCs w:val="16"/>
                <w:lang w:val="es-ES" w:eastAsia="es-ES"/>
              </w:rPr>
            </w:pPr>
            <w:r w:rsidRPr="00DE206C">
              <w:rPr>
                <w:rFonts w:ascii="Arial" w:hAnsi="Arial" w:eastAsia="Times New Roman" w:cs="Arial"/>
                <w:sz w:val="16"/>
                <w:szCs w:val="16"/>
                <w:lang w:val="es-ES" w:eastAsia="es-ES"/>
              </w:rPr>
              <w:t>Revisó:</w:t>
            </w:r>
          </w:p>
        </w:tc>
        <w:tc>
          <w:tcPr>
            <w:tcW w:w="5284" w:type="dxa"/>
            <w:tcBorders>
              <w:top w:val="dotted" w:color="7F7F7F" w:themeColor="text1" w:themeTint="80" w:sz="4" w:space="0"/>
              <w:left w:val="nil"/>
              <w:bottom w:val="dotted" w:color="7F7F7F" w:themeColor="text1" w:themeTint="80" w:sz="4" w:space="0"/>
              <w:right w:val="nil"/>
            </w:tcBorders>
            <w:vAlign w:val="center"/>
            <w:hideMark/>
          </w:tcPr>
          <w:p w:rsidRPr="00DE206C" w:rsidR="006C608E" w:rsidP="001F5466" w:rsidRDefault="006C608E" w14:paraId="1BC58625" w14:textId="0250B86F">
            <w:pPr>
              <w:jc w:val="both"/>
              <w:rPr>
                <w:rFonts w:ascii="Arial" w:hAnsi="Arial" w:cs="Arial"/>
                <w:sz w:val="16"/>
                <w:szCs w:val="16"/>
              </w:rPr>
            </w:pPr>
            <w:r w:rsidRPr="00DE206C">
              <w:rPr>
                <w:rFonts w:ascii="Arial" w:hAnsi="Arial" w:cs="Arial"/>
                <w:sz w:val="16"/>
                <w:szCs w:val="16"/>
              </w:rPr>
              <w:t>Martha Alicia Romero Vargas</w:t>
            </w:r>
          </w:p>
          <w:p w:rsidRPr="00DE206C" w:rsidR="006C608E" w:rsidP="001F5466" w:rsidRDefault="006C608E" w14:paraId="03B7FEFB" w14:textId="77777777">
            <w:pPr>
              <w:rPr>
                <w:rFonts w:ascii="Arial" w:hAnsi="Arial" w:eastAsia="Times New Roman" w:cs="Arial"/>
                <w:sz w:val="16"/>
                <w:szCs w:val="16"/>
                <w:lang w:eastAsia="es-ES"/>
              </w:rPr>
            </w:pPr>
            <w:r w:rsidRPr="00DE206C">
              <w:rPr>
                <w:rFonts w:ascii="Arial" w:hAnsi="Arial" w:cs="Arial"/>
                <w:sz w:val="16"/>
                <w:szCs w:val="16"/>
              </w:rPr>
              <w:t>Gestor T1 ‒ 15 de la Subdirección de Gestión Contractual</w:t>
            </w:r>
          </w:p>
        </w:tc>
      </w:tr>
      <w:tr w:rsidRPr="00DE206C" w:rsidR="00DE206C" w:rsidTr="001F5466" w14:paraId="3B9DDB04" w14:textId="77777777">
        <w:trPr>
          <w:trHeight w:val="178"/>
        </w:trPr>
        <w:tc>
          <w:tcPr>
            <w:tcW w:w="812" w:type="dxa"/>
            <w:vAlign w:val="center"/>
            <w:hideMark/>
          </w:tcPr>
          <w:p w:rsidRPr="00DE206C" w:rsidR="006C608E" w:rsidP="001F5466" w:rsidRDefault="006C608E" w14:paraId="35C5C009" w14:textId="77777777">
            <w:pPr>
              <w:spacing w:line="276" w:lineRule="auto"/>
              <w:rPr>
                <w:rFonts w:ascii="Arial" w:hAnsi="Arial" w:eastAsia="Times New Roman" w:cs="Arial"/>
                <w:sz w:val="16"/>
                <w:szCs w:val="16"/>
                <w:lang w:val="es-ES" w:eastAsia="es-ES"/>
              </w:rPr>
            </w:pPr>
            <w:r w:rsidRPr="00DE206C">
              <w:rPr>
                <w:rFonts w:ascii="Arial" w:hAnsi="Arial" w:eastAsia="Times New Roman" w:cs="Arial"/>
                <w:sz w:val="16"/>
                <w:szCs w:val="16"/>
                <w:lang w:val="es-ES" w:eastAsia="es-ES"/>
              </w:rPr>
              <w:t>Aprobó:</w:t>
            </w:r>
          </w:p>
        </w:tc>
        <w:tc>
          <w:tcPr>
            <w:tcW w:w="5284" w:type="dxa"/>
            <w:tcBorders>
              <w:top w:val="dotted" w:color="7F7F7F" w:themeColor="text1" w:themeTint="80" w:sz="4" w:space="0"/>
              <w:left w:val="nil"/>
              <w:bottom w:val="dotted" w:color="7F7F7F" w:themeColor="text1" w:themeTint="80" w:sz="4" w:space="0"/>
              <w:right w:val="nil"/>
            </w:tcBorders>
            <w:vAlign w:val="center"/>
            <w:hideMark/>
          </w:tcPr>
          <w:p w:rsidRPr="00DE206C" w:rsidR="006C608E" w:rsidP="001F5466" w:rsidRDefault="006C608E" w14:paraId="7E64F50E" w14:textId="77777777">
            <w:pPr>
              <w:textAlignment w:val="baseline"/>
              <w:rPr>
                <w:rFonts w:ascii="Arial" w:hAnsi="Arial" w:eastAsia="Times New Roman" w:cs="Arial"/>
                <w:sz w:val="16"/>
                <w:szCs w:val="16"/>
                <w:lang w:val="es-ES" w:eastAsia="es-CO"/>
              </w:rPr>
            </w:pPr>
            <w:bookmarkStart w:name="_Hlk116036152" w:id="11"/>
            <w:r w:rsidRPr="00DE206C">
              <w:rPr>
                <w:rFonts w:ascii="Arial" w:hAnsi="Arial" w:eastAsia="Times New Roman" w:cs="Arial"/>
                <w:sz w:val="16"/>
                <w:szCs w:val="16"/>
                <w:lang w:val="es-ES" w:eastAsia="es-CO"/>
              </w:rPr>
              <w:t>Nohelia del Carmen Zawady Palacio</w:t>
            </w:r>
          </w:p>
          <w:p w:rsidRPr="00DE206C" w:rsidR="006C608E" w:rsidP="001F5466" w:rsidRDefault="006C608E" w14:paraId="021A077C" w14:textId="77777777">
            <w:pPr>
              <w:rPr>
                <w:rFonts w:ascii="Arial" w:hAnsi="Arial" w:eastAsia="Times New Roman" w:cs="Arial"/>
                <w:sz w:val="16"/>
                <w:szCs w:val="16"/>
                <w:lang w:val="es-ES" w:eastAsia="es-ES"/>
              </w:rPr>
            </w:pPr>
            <w:r w:rsidRPr="00DE206C">
              <w:rPr>
                <w:rFonts w:ascii="Arial" w:hAnsi="Arial" w:eastAsia="Times New Roman" w:cs="Arial"/>
                <w:sz w:val="16"/>
                <w:szCs w:val="16"/>
                <w:lang w:val="es-ES" w:eastAsia="es-ES"/>
              </w:rPr>
              <w:t xml:space="preserve">Subdirectora de Gestión Contractual </w:t>
            </w:r>
            <w:bookmarkEnd w:id="11"/>
            <w:r w:rsidRPr="00DE206C">
              <w:rPr>
                <w:rFonts w:ascii="Arial" w:hAnsi="Arial" w:eastAsia="Times New Roman" w:cs="Arial"/>
                <w:sz w:val="16"/>
                <w:szCs w:val="16"/>
                <w:lang w:val="es-ES" w:eastAsia="es-ES"/>
              </w:rPr>
              <w:t>ANCP – CCE</w:t>
            </w:r>
          </w:p>
        </w:tc>
      </w:tr>
    </w:tbl>
    <w:p w:rsidRPr="00DE206C" w:rsidR="001A1011" w:rsidP="006219F8" w:rsidRDefault="001A1011" w14:paraId="154D43B2" w14:textId="13A83168">
      <w:pPr>
        <w:spacing w:after="0" w:line="240" w:lineRule="auto"/>
        <w:rPr>
          <w:rFonts w:ascii="Arial" w:hAnsi="Arial" w:cs="Arial"/>
          <w:b/>
          <w:lang w:val="es-ES"/>
        </w:rPr>
      </w:pPr>
    </w:p>
    <w:p w:rsidRPr="00DE206C" w:rsidR="00C9405D" w:rsidP="006219F8" w:rsidRDefault="00C9405D" w14:paraId="7B23AD64" w14:textId="22BFE0EC">
      <w:pPr>
        <w:spacing w:after="0" w:line="240" w:lineRule="auto"/>
        <w:rPr>
          <w:rFonts w:ascii="Arial" w:hAnsi="Arial" w:cs="Arial"/>
          <w:b/>
          <w:lang w:val="es-ES"/>
        </w:rPr>
      </w:pPr>
    </w:p>
    <w:p w:rsidRPr="00DE206C" w:rsidR="00C9405D" w:rsidP="006219F8" w:rsidRDefault="00C9405D" w14:paraId="3624807F" w14:textId="31625BE8">
      <w:pPr>
        <w:spacing w:after="0" w:line="240" w:lineRule="auto"/>
        <w:rPr>
          <w:rFonts w:ascii="Arial" w:hAnsi="Arial" w:cs="Arial"/>
          <w:b/>
          <w:lang w:val="es-ES"/>
        </w:rPr>
      </w:pPr>
    </w:p>
    <w:bookmarkEnd w:id="0"/>
    <w:p w:rsidRPr="00DE206C" w:rsidR="00127233" w:rsidRDefault="00127233" w14:paraId="0F293BF4" w14:textId="0F6FB6C1">
      <w:pPr>
        <w:rPr>
          <w:rFonts w:ascii="Arial" w:hAnsi="Arial" w:cs="Arial"/>
          <w:lang w:val="es-MX"/>
        </w:rPr>
      </w:pPr>
    </w:p>
    <w:sectPr w:rsidRPr="00DE206C" w:rsidR="00127233" w:rsidSect="0039439C">
      <w:headerReference w:type="default" r:id="rId13"/>
      <w:footerReference w:type="default" r:id="rId14"/>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D1535" w:rsidP="004A1847" w:rsidRDefault="00BD1535" w14:paraId="18E6E95F" w14:textId="77777777">
      <w:pPr>
        <w:spacing w:after="0" w:line="240" w:lineRule="auto"/>
      </w:pPr>
      <w:r>
        <w:separator/>
      </w:r>
    </w:p>
  </w:endnote>
  <w:endnote w:type="continuationSeparator" w:id="0">
    <w:p w:rsidR="00BD1535" w:rsidP="004A1847" w:rsidRDefault="00BD1535" w14:paraId="546B0131" w14:textId="77777777">
      <w:pPr>
        <w:spacing w:after="0" w:line="240" w:lineRule="auto"/>
      </w:pPr>
      <w:r>
        <w:continuationSeparator/>
      </w:r>
    </w:p>
  </w:endnote>
  <w:endnote w:type="continuationNotice" w:id="1">
    <w:p w:rsidR="00BD1535" w:rsidRDefault="00BD1535" w14:paraId="760C4C0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P="008614E5" w:rsidRDefault="004A1847" w14:paraId="18911A32" w14:textId="460CCDF7">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0534DA7F"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4B28DD0E" w14:textId="403BB573">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79B52F09" w14:textId="22188FC9">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36DA5B04" w14:textId="372D5633">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6219F8" w:rsidP="00A07532" w:rsidRDefault="00906B3C" w14:paraId="71E26DE9" w14:textId="227155A8">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w:t>
          </w:r>
          <w:r w:rsidR="004B6B0E">
            <w:rPr>
              <w:rFonts w:ascii="Geomanist Light" w:hAnsi="Geomanist Light" w:eastAsia="Geo" w:cs="Geo"/>
              <w:b/>
              <w:color w:val="000000"/>
              <w:sz w:val="18"/>
              <w:szCs w:val="18"/>
              <w:lang w:eastAsia="es-CO"/>
            </w:rPr>
            <w:t>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169F6C19"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A07532" w:rsidP="00A07532" w:rsidRDefault="00906B3C" w14:paraId="7D02B6A6" w14:textId="04459FA8">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Pr="00080DA3" w:rsidR="006219F8">
            <w:rPr>
              <w:rFonts w:ascii="Geomanist Light" w:hAnsi="Geomanist Light"/>
              <w:sz w:val="18"/>
              <w:szCs w:val="18"/>
            </w:rPr>
            <w:t xml:space="preserve"> de </w:t>
          </w:r>
          <w:r w:rsidR="00C9405D">
            <w:rPr>
              <w:rFonts w:ascii="Geomanist Light" w:hAnsi="Geomanist Light"/>
              <w:sz w:val="18"/>
              <w:szCs w:val="18"/>
            </w:rPr>
            <w:t>septiembre</w:t>
          </w:r>
          <w:r w:rsidRPr="00080DA3" w:rsidR="006219F8">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6C25E7A7" w14:textId="74CFB824">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6219F8" w:rsidP="00A07532" w:rsidRDefault="006219F8" w14:paraId="744661F5"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D1535" w:rsidP="004A1847" w:rsidRDefault="00BD1535" w14:paraId="1BCF7FBB" w14:textId="77777777">
      <w:pPr>
        <w:spacing w:after="0" w:line="240" w:lineRule="auto"/>
      </w:pPr>
      <w:r>
        <w:separator/>
      </w:r>
    </w:p>
  </w:footnote>
  <w:footnote w:type="continuationSeparator" w:id="0">
    <w:p w:rsidR="00BD1535" w:rsidP="004A1847" w:rsidRDefault="00BD1535" w14:paraId="4B9B5EDC" w14:textId="77777777">
      <w:pPr>
        <w:spacing w:after="0" w:line="240" w:lineRule="auto"/>
      </w:pPr>
      <w:r>
        <w:continuationSeparator/>
      </w:r>
    </w:p>
  </w:footnote>
  <w:footnote w:type="continuationNotice" w:id="1">
    <w:p w:rsidR="00BD1535" w:rsidRDefault="00BD1535" w14:paraId="7C3D70BE" w14:textId="77777777">
      <w:pPr>
        <w:spacing w:after="0" w:line="240" w:lineRule="auto"/>
      </w:pPr>
    </w:p>
  </w:footnote>
  <w:footnote w:id="2">
    <w:p w:rsidRPr="00CA4F8E" w:rsidR="008322CC" w:rsidP="00CA4F8E" w:rsidRDefault="008322CC" w14:paraId="739C74A2" w14:textId="77777777">
      <w:pPr>
        <w:spacing w:after="0" w:line="240" w:lineRule="auto"/>
        <w:ind w:firstLine="720"/>
        <w:jc w:val="both"/>
        <w:rPr>
          <w:rFonts w:ascii="Arial" w:hAnsi="Arial" w:cs="Arial"/>
          <w:sz w:val="18"/>
          <w:szCs w:val="18"/>
          <w:lang w:val="es-ES"/>
        </w:rPr>
      </w:pPr>
      <w:r w:rsidRPr="00CA4F8E">
        <w:rPr>
          <w:rStyle w:val="Refdenotaalpie"/>
          <w:rFonts w:ascii="Arial" w:hAnsi="Arial" w:cs="Arial"/>
          <w:sz w:val="18"/>
          <w:szCs w:val="18"/>
        </w:rPr>
        <w:footnoteRef/>
      </w:r>
      <w:r w:rsidRPr="00CA4F8E">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CA4F8E">
        <w:rPr>
          <w:rFonts w:ascii="Arial" w:hAnsi="Arial" w:cs="Arial"/>
          <w:sz w:val="18"/>
          <w:szCs w:val="18"/>
        </w:rPr>
        <w:t>bsolver</w:t>
      </w:r>
      <w:proofErr w:type="spellEnd"/>
      <w:r w:rsidRPr="00CA4F8E">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A4F8E">
        <w:rPr>
          <w:rFonts w:ascii="Arial" w:hAnsi="Arial" w:cs="Arial"/>
          <w:sz w:val="18"/>
          <w:szCs w:val="18"/>
        </w:rPr>
        <w:t>bsolver</w:t>
      </w:r>
      <w:proofErr w:type="spellEnd"/>
      <w:r w:rsidRPr="00CA4F8E">
        <w:rPr>
          <w:rFonts w:ascii="Arial" w:hAnsi="Arial" w:cs="Arial"/>
          <w:sz w:val="18"/>
          <w:szCs w:val="18"/>
        </w:rPr>
        <w:t xml:space="preserve"> consultas sobre la aplicación de normas de carácter general”.</w:t>
      </w:r>
    </w:p>
  </w:footnote>
  <w:footnote w:id="3">
    <w:p w:rsidRPr="003512FF" w:rsidR="00DA1471" w:rsidP="00CA4F8E" w:rsidRDefault="00DA1471" w14:paraId="4BF497A1" w14:textId="77777777">
      <w:pPr>
        <w:pStyle w:val="Textonotapie"/>
        <w:ind w:firstLine="709"/>
        <w:jc w:val="both"/>
        <w:rPr>
          <w:rFonts w:ascii="Geomanist Light" w:hAnsi="Geomanist Light"/>
          <w:sz w:val="18"/>
          <w:szCs w:val="18"/>
          <w:lang w:val="es-CO"/>
        </w:rPr>
      </w:pPr>
      <w:r w:rsidRPr="00CA4F8E">
        <w:rPr>
          <w:rStyle w:val="Refdenotaalpie"/>
          <w:rFonts w:ascii="Arial" w:hAnsi="Arial" w:cs="Arial"/>
          <w:sz w:val="18"/>
          <w:szCs w:val="18"/>
        </w:rPr>
        <w:footnoteRef/>
      </w:r>
      <w:r w:rsidRPr="00CA4F8E">
        <w:rPr>
          <w:rFonts w:ascii="Arial" w:hAnsi="Arial" w:cs="Arial"/>
          <w:sz w:val="18"/>
          <w:szCs w:val="18"/>
        </w:rPr>
        <w:t xml:space="preserve"> </w:t>
      </w:r>
      <w:r w:rsidRPr="00CA4F8E">
        <w:rPr>
          <w:rFonts w:ascii="Arial" w:hAnsi="Arial" w:cs="Arial"/>
          <w:sz w:val="18"/>
          <w:szCs w:val="18"/>
          <w:lang w:val="es-CO"/>
        </w:rPr>
        <w:t xml:space="preserve">Estos conceptos pueden ser consultados en la relatoría de la Agencia en el siguiente enlace: </w:t>
      </w:r>
      <w:hyperlink w:history="1" r:id="rId1">
        <w:r w:rsidRPr="00CA4F8E">
          <w:rPr>
            <w:rStyle w:val="Hipervnculo"/>
            <w:rFonts w:ascii="Arial" w:hAnsi="Arial" w:cs="Arial"/>
            <w:color w:val="000000" w:themeColor="text1"/>
            <w:sz w:val="18"/>
            <w:szCs w:val="18"/>
            <w:lang w:val="es-CO"/>
          </w:rPr>
          <w:t>https://relatoria.colombiacompra.gov.co/busqueda/conceptos#</w:t>
        </w:r>
      </w:hyperlink>
    </w:p>
  </w:footnote>
  <w:footnote w:id="4">
    <w:p w:rsidRPr="00286492" w:rsidR="004750F3" w:rsidP="004750F3" w:rsidRDefault="004750F3" w14:paraId="794C636E" w14:textId="77777777">
      <w:pPr>
        <w:ind w:firstLine="707"/>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position w:val="6"/>
          <w:sz w:val="19"/>
          <w:szCs w:val="19"/>
        </w:rPr>
        <w:t xml:space="preserve"> </w:t>
      </w:r>
      <w:r w:rsidRPr="00286492">
        <w:rPr>
          <w:rFonts w:ascii="Arial" w:hAnsi="Arial" w:cs="Arial"/>
          <w:sz w:val="19"/>
          <w:szCs w:val="19"/>
        </w:rPr>
        <w:t>DEIK ACOSTAMADIEDO, Carolina, Guía de Contratación Estatal: Deber de planeación y modalidades de selección, Buenos Aires, 2015, p. 59.</w:t>
      </w:r>
    </w:p>
    <w:p w:rsidRPr="00AF6A98" w:rsidR="004750F3" w:rsidP="004750F3" w:rsidRDefault="004750F3" w14:paraId="028F6CF3" w14:textId="77777777">
      <w:pPr>
        <w:pStyle w:val="Textonotapie"/>
        <w:jc w:val="both"/>
        <w:rPr>
          <w:rFonts w:ascii="Arial" w:hAnsi="Arial" w:cs="Arial"/>
          <w:sz w:val="19"/>
          <w:szCs w:val="19"/>
        </w:rPr>
      </w:pPr>
    </w:p>
  </w:footnote>
  <w:footnote w:id="5">
    <w:p w:rsidRPr="00286492" w:rsidR="004750F3" w:rsidP="004750F3" w:rsidRDefault="004750F3" w14:paraId="53534EAA" w14:textId="77777777">
      <w:pPr>
        <w:pStyle w:val="Textoindependiente"/>
        <w:spacing w:after="0" w:line="240" w:lineRule="auto"/>
        <w:ind w:firstLine="709"/>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w:t>
      </w:r>
      <w:r w:rsidRPr="00286492">
        <w:rPr>
          <w:rFonts w:ascii="Arial" w:hAnsi="Arial" w:cs="Arial"/>
          <w:position w:val="6"/>
          <w:sz w:val="19"/>
          <w:szCs w:val="19"/>
        </w:rPr>
        <w:t xml:space="preserve"> </w:t>
      </w:r>
      <w:r w:rsidRPr="00286492">
        <w:rPr>
          <w:rFonts w:ascii="Arial" w:hAnsi="Arial" w:cs="Arial"/>
          <w:sz w:val="19"/>
          <w:szCs w:val="19"/>
        </w:rPr>
        <w:t xml:space="preserve">«Artículo </w:t>
      </w:r>
      <w:bookmarkStart w:name="_Hlk54173885" w:id="5"/>
      <w:r w:rsidRPr="00286492">
        <w:rPr>
          <w:rFonts w:ascii="Arial" w:hAnsi="Arial" w:cs="Arial"/>
          <w:sz w:val="19"/>
          <w:szCs w:val="19"/>
        </w:rPr>
        <w:t>2.2.1.1.2.1.1</w:t>
      </w:r>
      <w:bookmarkEnd w:id="5"/>
      <w:r w:rsidRPr="00286492">
        <w:rPr>
          <w:rFonts w:ascii="Arial" w:hAnsi="Arial" w:cs="Arial"/>
          <w:sz w:val="19"/>
          <w:szCs w:val="19"/>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6">
    <w:p w:rsidRPr="00AF6A98" w:rsidR="004750F3" w:rsidP="004750F3" w:rsidRDefault="004750F3" w14:paraId="3DFDA5EE" w14:textId="77777777">
      <w:pPr>
        <w:pStyle w:val="Textoindependiente"/>
        <w:spacing w:after="0" w:line="240" w:lineRule="auto"/>
        <w:ind w:firstLine="709"/>
        <w:jc w:val="both"/>
        <w:rPr>
          <w:rFonts w:ascii="Arial" w:hAnsi="Arial" w:cs="Arial"/>
          <w:sz w:val="19"/>
          <w:szCs w:val="19"/>
        </w:rPr>
      </w:pPr>
      <w:r w:rsidRPr="00286492">
        <w:rPr>
          <w:rStyle w:val="Refdenotaalpie"/>
          <w:rFonts w:ascii="Arial" w:hAnsi="Arial" w:cs="Arial"/>
          <w:sz w:val="19"/>
          <w:szCs w:val="19"/>
        </w:rPr>
        <w:footnoteRef/>
      </w:r>
      <w:r w:rsidRPr="00286492">
        <w:rPr>
          <w:rFonts w:ascii="Arial" w:hAnsi="Arial" w:cs="Arial"/>
          <w:sz w:val="19"/>
          <w:szCs w:val="19"/>
        </w:rPr>
        <w:t xml:space="preserve"> Consejo de Estado. Sección Tercera. Subsección B. Sentencia del 31 de agosto de 2011. </w:t>
      </w:r>
      <w:proofErr w:type="spellStart"/>
      <w:r w:rsidRPr="00286492">
        <w:rPr>
          <w:rFonts w:ascii="Arial" w:hAnsi="Arial" w:cs="Arial"/>
          <w:sz w:val="19"/>
          <w:szCs w:val="19"/>
        </w:rPr>
        <w:t>Exp</w:t>
      </w:r>
      <w:proofErr w:type="spellEnd"/>
      <w:r w:rsidRPr="00286492">
        <w:rPr>
          <w:rFonts w:ascii="Arial" w:hAnsi="Arial" w:cs="Arial"/>
          <w:sz w:val="19"/>
          <w:szCs w:val="19"/>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7">
    <w:p w:rsidRPr="00785888" w:rsidR="004750F3" w:rsidP="004750F3" w:rsidRDefault="004750F3" w14:paraId="46D36198" w14:textId="77777777">
      <w:pPr>
        <w:pStyle w:val="Textonotapie"/>
        <w:ind w:firstLine="709"/>
        <w:jc w:val="both"/>
        <w:rPr>
          <w:rFonts w:ascii="Arial" w:hAnsi="Arial" w:cs="Arial"/>
          <w:color w:val="000000" w:themeColor="text1"/>
          <w:sz w:val="14"/>
          <w:szCs w:val="14"/>
        </w:rPr>
      </w:pPr>
      <w:r w:rsidRPr="007E4AD4">
        <w:rPr>
          <w:rStyle w:val="Refdenotaalpie"/>
          <w:rFonts w:ascii="Arial" w:hAnsi="Arial" w:cs="Arial"/>
          <w:sz w:val="19"/>
          <w:szCs w:val="19"/>
        </w:rPr>
        <w:footnoteRef/>
      </w:r>
      <w:r w:rsidRPr="007E4AD4">
        <w:rPr>
          <w:rFonts w:ascii="Arial" w:hAnsi="Arial" w:cs="Arial"/>
          <w:sz w:val="19"/>
          <w:szCs w:val="19"/>
        </w:rPr>
        <w:t xml:space="preserve"> </w:t>
      </w:r>
      <w:r w:rsidRPr="00785888">
        <w:rPr>
          <w:rFonts w:ascii="Arial" w:hAnsi="Arial" w:cs="Arial"/>
          <w:sz w:val="19"/>
          <w:szCs w:val="19"/>
          <w:lang w:val="es-CO"/>
        </w:rPr>
        <w:t xml:space="preserve">La Versión 02 de esta Guía fue adoptada el 24 de junio de 2022. Disponible en </w:t>
      </w:r>
      <w:hyperlink w:history="1" r:id="rId2">
        <w:r w:rsidRPr="00785888">
          <w:rPr>
            <w:rStyle w:val="Hipervnculo"/>
            <w:rFonts w:ascii="Arial" w:hAnsi="Arial" w:cs="Arial"/>
            <w:color w:val="000000" w:themeColor="text1"/>
            <w:sz w:val="14"/>
            <w:szCs w:val="14"/>
          </w:rPr>
          <w:t>https://colombiacompra.gov.co/sites/cce_public/files/cce_documentos/cce-eicp-gi-18._gees_v.2_2.pdf</w:t>
        </w:r>
      </w:hyperlink>
      <w:r w:rsidRPr="00785888">
        <w:rPr>
          <w:rFonts w:ascii="Arial" w:hAnsi="Arial" w:cs="Arial"/>
          <w:color w:val="000000" w:themeColor="text1"/>
          <w:sz w:val="14"/>
          <w:szCs w:val="14"/>
        </w:rPr>
        <w:t xml:space="preserve">  </w:t>
      </w:r>
    </w:p>
    <w:p w:rsidRPr="00785888" w:rsidR="004750F3" w:rsidP="004750F3" w:rsidRDefault="004750F3" w14:paraId="3653DEA8" w14:textId="77777777">
      <w:pPr>
        <w:pStyle w:val="Textonotapie"/>
        <w:ind w:firstLine="709"/>
        <w:jc w:val="both"/>
        <w:rPr>
          <w:rFonts w:ascii="Arial" w:hAnsi="Arial" w:cs="Arial"/>
          <w:sz w:val="19"/>
          <w:szCs w:val="19"/>
          <w:lang w:val="es-CO"/>
        </w:rPr>
      </w:pPr>
    </w:p>
  </w:footnote>
  <w:footnote w:id="8">
    <w:p w:rsidRPr="00352139" w:rsidR="004750F3" w:rsidP="004750F3" w:rsidRDefault="004750F3" w14:paraId="4A91B616" w14:textId="77777777">
      <w:pPr>
        <w:pStyle w:val="Textonotapie"/>
        <w:ind w:firstLine="709"/>
        <w:jc w:val="both"/>
        <w:rPr>
          <w:rFonts w:ascii="Arial" w:hAnsi="Arial" w:cs="Arial"/>
          <w:sz w:val="19"/>
          <w:szCs w:val="19"/>
          <w:lang w:val="es-ES"/>
        </w:rPr>
      </w:pPr>
      <w:r w:rsidRPr="00785888">
        <w:rPr>
          <w:rStyle w:val="Refdenotaalpie"/>
          <w:rFonts w:ascii="Arial" w:hAnsi="Arial" w:cs="Arial"/>
        </w:rPr>
        <w:footnoteRef/>
      </w:r>
      <w:r w:rsidRPr="00785888">
        <w:rPr>
          <w:rFonts w:ascii="Arial" w:hAnsi="Arial" w:cs="Arial"/>
        </w:rPr>
        <w:t xml:space="preserve"> </w:t>
      </w:r>
      <w:r w:rsidRPr="00785888">
        <w:rPr>
          <w:rFonts w:ascii="Arial" w:hAnsi="Arial" w:cs="Arial"/>
          <w:sz w:val="19"/>
          <w:szCs w:val="19"/>
        </w:rPr>
        <w:t>De conformidad con lo indicado en la Guía, e</w:t>
      </w:r>
      <w:r w:rsidRPr="00785888">
        <w:rPr>
          <w:rFonts w:ascii="Arial" w:hAnsi="Arial" w:cs="Arial"/>
          <w:sz w:val="19"/>
          <w:szCs w:val="19"/>
          <w:lang w:val="es-ES"/>
        </w:rPr>
        <w:t>l MAE hace parte de la Política de Compras y Contratación Pública, enmarcada dentro del Modelo Integrado de Planeación y Gestión- MIPG, y se articula con las demás buenas prácticas y herramientas usadas en los procesos de compra y contratación estatal que han sido desarrolladas por la Agencia Nacional de Contratación Pública – Colombia Compra Eficiente, con el fin de generar una mayor eficiencia, transparencia y optimización de los recursos del Estado.</w:t>
      </w:r>
    </w:p>
  </w:footnote>
  <w:footnote w:id="9">
    <w:p w:rsidRPr="009E37A5" w:rsidR="004750F3" w:rsidP="004750F3" w:rsidRDefault="004750F3" w14:paraId="530348C7" w14:textId="77777777">
      <w:pPr>
        <w:pStyle w:val="Textonotapie"/>
        <w:ind w:firstLine="708"/>
        <w:jc w:val="both"/>
        <w:rPr>
          <w:rFonts w:ascii="Arial" w:hAnsi="Arial" w:cs="Arial"/>
          <w:sz w:val="18"/>
          <w:szCs w:val="18"/>
        </w:rPr>
      </w:pPr>
      <w:r w:rsidRPr="009E37A5">
        <w:rPr>
          <w:rStyle w:val="Refdenotaalpie"/>
          <w:rFonts w:ascii="Arial" w:hAnsi="Arial" w:cs="Arial"/>
          <w:sz w:val="18"/>
          <w:szCs w:val="18"/>
        </w:rPr>
        <w:footnoteRef/>
      </w:r>
      <w:r w:rsidRPr="009E37A5">
        <w:rPr>
          <w:rFonts w:ascii="Arial" w:hAnsi="Arial" w:cs="Arial"/>
          <w:sz w:val="18"/>
          <w:szCs w:val="18"/>
        </w:rPr>
        <w:t xml:space="preserve"> Consejo de Estado. Sección Tercera. Sentencia del 27 de abril de 2011. </w:t>
      </w:r>
      <w:proofErr w:type="spellStart"/>
      <w:r w:rsidRPr="009E37A5">
        <w:rPr>
          <w:rFonts w:ascii="Arial" w:hAnsi="Arial" w:cs="Arial"/>
          <w:sz w:val="18"/>
          <w:szCs w:val="18"/>
        </w:rPr>
        <w:t>Exp</w:t>
      </w:r>
      <w:proofErr w:type="spellEnd"/>
      <w:r w:rsidRPr="009E37A5">
        <w:rPr>
          <w:rFonts w:ascii="Arial" w:hAnsi="Arial" w:cs="Arial"/>
          <w:sz w:val="18"/>
          <w:szCs w:val="18"/>
        </w:rPr>
        <w:t>. 18.293. C.P. Ruth Stella Correa Palacio.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7566FE" w:rsidR="00906B3C" w:rsidP="008614E5" w:rsidRDefault="00906B3C" w14:paraId="2E51F6A5" w14:textId="0DD925F5">
    <w:pPr>
      <w:spacing w:after="0"/>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sidR="00B01ED6">
      <w:rPr>
        <w:rFonts w:ascii="Geomanist Light" w:hAnsi="Geomanist Light"/>
        <w:color w:val="002060"/>
        <w:sz w:val="16"/>
        <w:szCs w:val="16"/>
      </w:rPr>
      <w:t>FORMATO PQRSD</w:t>
    </w:r>
  </w:p>
  <w:p w:rsidRPr="007566FE" w:rsidR="007566FE" w:rsidP="00793403" w:rsidRDefault="007566FE" w14:paraId="077278A1" w14:textId="2CAB5B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793403" w:rsidP="008614E5" w:rsidRDefault="00793403" w14:paraId="74FC5262" w14:textId="51A6AFCE">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sidR="007566FE">
      <w:rPr>
        <w:rFonts w:ascii="Geomanist Light" w:hAnsi="Geomanist Light" w:eastAsia="Geo" w:cs="Geo"/>
        <w:b/>
        <w:color w:val="000000"/>
        <w:sz w:val="16"/>
        <w:szCs w:val="16"/>
        <w:lang w:eastAsia="es-CO"/>
      </w:rPr>
      <w:t>Versión</w:t>
    </w:r>
    <w:r w:rsidRPr="007566FE" w:rsidR="007566FE">
      <w:rPr>
        <w:rFonts w:ascii="Geomanist Light" w:hAnsi="Geomanist Light" w:eastAsia="Arial Nova" w:cs="Arial Nova"/>
        <w:b/>
        <w:color w:val="000000"/>
        <w:sz w:val="16"/>
        <w:szCs w:val="16"/>
        <w:lang w:eastAsia="es-CO"/>
      </w:rPr>
      <w:t xml:space="preserve">: </w:t>
    </w:r>
    <w:r w:rsidRPr="007566FE" w:rsidR="007566FE">
      <w:rPr>
        <w:rFonts w:ascii="Geomanist Light" w:hAnsi="Geomanist Light" w:eastAsia="Geo" w:cs="Geo"/>
        <w:sz w:val="16"/>
        <w:szCs w:val="16"/>
        <w:lang w:eastAsia="es-CO"/>
      </w:rPr>
      <w:t>0</w:t>
    </w:r>
    <w:r w:rsidR="00C9405D">
      <w:rPr>
        <w:rFonts w:ascii="Geomanist Light" w:hAnsi="Geomanist Light" w:eastAsia="Geo" w:cs="Geo"/>
        <w:sz w:val="16"/>
        <w:szCs w:val="16"/>
        <w:lang w:eastAsia="es-CO"/>
      </w:rPr>
      <w:t>2</w:t>
    </w:r>
    <w:r w:rsidRPr="007566FE" w:rsidR="007566FE">
      <w:rPr>
        <w:rFonts w:ascii="Geomanist Light" w:hAnsi="Geomanist Light" w:eastAsia="Geo" w:cs="Geo"/>
        <w:sz w:val="16"/>
        <w:szCs w:val="16"/>
        <w:lang w:eastAsia="es-CO"/>
      </w:rPr>
      <w:t xml:space="preserve"> DEL </w:t>
    </w:r>
    <w:r w:rsidR="00C9405D">
      <w:rPr>
        <w:rFonts w:ascii="Geomanist Light" w:hAnsi="Geomanist Light" w:eastAsia="Geo" w:cs="Geo"/>
        <w:sz w:val="16"/>
        <w:szCs w:val="16"/>
        <w:lang w:eastAsia="es-CO"/>
      </w:rPr>
      <w:t>28</w:t>
    </w:r>
    <w:r w:rsidRPr="007566FE" w:rsidR="007566FE">
      <w:rPr>
        <w:rFonts w:ascii="Geomanist Light" w:hAnsi="Geomanist Light" w:eastAsia="Geo" w:cs="Geo"/>
        <w:sz w:val="16"/>
        <w:szCs w:val="16"/>
        <w:lang w:eastAsia="es-CO"/>
      </w:rPr>
      <w:t xml:space="preserve"> DE </w:t>
    </w:r>
    <w:r w:rsidR="00C9405D">
      <w:rPr>
        <w:rFonts w:ascii="Geomanist Light" w:hAnsi="Geomanist Light" w:eastAsia="Geo" w:cs="Geo"/>
        <w:sz w:val="16"/>
        <w:szCs w:val="16"/>
        <w:lang w:eastAsia="es-CO"/>
      </w:rPr>
      <w:t>SEPTIEMBRE</w:t>
    </w:r>
    <w:r w:rsidRPr="007566FE" w:rsidR="007566FE">
      <w:rPr>
        <w:rFonts w:ascii="Geomanist Light" w:hAnsi="Geomanist Light" w:eastAsia="Geo" w:cs="Geo"/>
        <w:sz w:val="16"/>
        <w:szCs w:val="16"/>
        <w:lang w:eastAsia="es-CO"/>
      </w:rPr>
      <w:t xml:space="preserve"> DE 2022</w:t>
    </w:r>
  </w:p>
  <w:p w:rsidRPr="007566FE" w:rsidR="00793403" w:rsidP="008614E5" w:rsidRDefault="00793403" w14:paraId="60144E94" w14:textId="49B57718">
    <w:pPr>
      <w:spacing w:after="0"/>
      <w:rPr>
        <w:rFonts w:ascii="Geomanist Light" w:hAnsi="Geomanist Light"/>
        <w:color w:val="002060"/>
        <w:sz w:val="16"/>
        <w:szCs w:val="16"/>
      </w:rPr>
    </w:pPr>
  </w:p>
  <w:p w:rsidRPr="00906B3C" w:rsidR="004A1847" w:rsidP="00906B3C" w:rsidRDefault="004A1847" w14:paraId="1D9AD711" w14:textId="5827BD16">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2CBD023D"/>
    <w:multiLevelType w:val="hybridMultilevel"/>
    <w:tmpl w:val="CDCE0F14"/>
    <w:lvl w:ilvl="0" w:tplc="A3C65540">
      <w:start w:val="2"/>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8746AA5"/>
    <w:multiLevelType w:val="hybridMultilevel"/>
    <w:tmpl w:val="6254BE86"/>
    <w:lvl w:ilvl="0" w:tplc="ED185E3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57F06790"/>
    <w:multiLevelType w:val="hybridMultilevel"/>
    <w:tmpl w:val="98AEE800"/>
    <w:lvl w:ilvl="0" w:tplc="45A08AE2">
      <w:start w:val="2"/>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500395951">
    <w:abstractNumId w:val="4"/>
  </w:num>
  <w:num w:numId="2" w16cid:durableId="1408454564">
    <w:abstractNumId w:val="1"/>
  </w:num>
  <w:num w:numId="3" w16cid:durableId="1897622572">
    <w:abstractNumId w:val="2"/>
  </w:num>
  <w:num w:numId="4" w16cid:durableId="1951400333">
    <w:abstractNumId w:val="0"/>
  </w:num>
  <w:num w:numId="5" w16cid:durableId="423648223">
    <w:abstractNumId w:val="3"/>
  </w:num>
  <w:num w:numId="6" w16cid:durableId="2035619468">
    <w:abstractNumId w:val="6"/>
  </w:num>
  <w:num w:numId="7" w16cid:durableId="11379194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0828"/>
    <w:rsid w:val="00083334"/>
    <w:rsid w:val="000956CF"/>
    <w:rsid w:val="000A683E"/>
    <w:rsid w:val="0011595A"/>
    <w:rsid w:val="001220C5"/>
    <w:rsid w:val="001267F7"/>
    <w:rsid w:val="00127233"/>
    <w:rsid w:val="001279D0"/>
    <w:rsid w:val="00130999"/>
    <w:rsid w:val="00132A1E"/>
    <w:rsid w:val="001423A1"/>
    <w:rsid w:val="00156B0C"/>
    <w:rsid w:val="00164D81"/>
    <w:rsid w:val="00190AB4"/>
    <w:rsid w:val="001A1011"/>
    <w:rsid w:val="001A48D0"/>
    <w:rsid w:val="00236AB0"/>
    <w:rsid w:val="00241D9A"/>
    <w:rsid w:val="002653C1"/>
    <w:rsid w:val="0026611D"/>
    <w:rsid w:val="00282F23"/>
    <w:rsid w:val="002951A0"/>
    <w:rsid w:val="002A64FD"/>
    <w:rsid w:val="002C23C5"/>
    <w:rsid w:val="002C6D1E"/>
    <w:rsid w:val="002F0839"/>
    <w:rsid w:val="00301469"/>
    <w:rsid w:val="00306EE1"/>
    <w:rsid w:val="00310B9B"/>
    <w:rsid w:val="0036461C"/>
    <w:rsid w:val="00367884"/>
    <w:rsid w:val="0037704B"/>
    <w:rsid w:val="0039439C"/>
    <w:rsid w:val="003B69E7"/>
    <w:rsid w:val="003C013B"/>
    <w:rsid w:val="003D0F4D"/>
    <w:rsid w:val="003E4612"/>
    <w:rsid w:val="003F58A1"/>
    <w:rsid w:val="00410DD6"/>
    <w:rsid w:val="004110AB"/>
    <w:rsid w:val="0041220E"/>
    <w:rsid w:val="004134C9"/>
    <w:rsid w:val="0043138C"/>
    <w:rsid w:val="004557E2"/>
    <w:rsid w:val="00462A59"/>
    <w:rsid w:val="0046498F"/>
    <w:rsid w:val="0047077E"/>
    <w:rsid w:val="004750F3"/>
    <w:rsid w:val="004A1847"/>
    <w:rsid w:val="004B6B0E"/>
    <w:rsid w:val="004D25B3"/>
    <w:rsid w:val="004E3243"/>
    <w:rsid w:val="00505681"/>
    <w:rsid w:val="0051019E"/>
    <w:rsid w:val="00511405"/>
    <w:rsid w:val="00526E9D"/>
    <w:rsid w:val="00533D79"/>
    <w:rsid w:val="00547856"/>
    <w:rsid w:val="00547A74"/>
    <w:rsid w:val="005566E8"/>
    <w:rsid w:val="005746AB"/>
    <w:rsid w:val="0059357F"/>
    <w:rsid w:val="005A1130"/>
    <w:rsid w:val="005D65C8"/>
    <w:rsid w:val="005E28C2"/>
    <w:rsid w:val="006219F8"/>
    <w:rsid w:val="006477D6"/>
    <w:rsid w:val="00681FDB"/>
    <w:rsid w:val="00687341"/>
    <w:rsid w:val="006A7DAD"/>
    <w:rsid w:val="006C608E"/>
    <w:rsid w:val="006C74EA"/>
    <w:rsid w:val="006D70BA"/>
    <w:rsid w:val="00752CC7"/>
    <w:rsid w:val="007566FE"/>
    <w:rsid w:val="00765F2F"/>
    <w:rsid w:val="0076726F"/>
    <w:rsid w:val="0077144B"/>
    <w:rsid w:val="00793403"/>
    <w:rsid w:val="007B3918"/>
    <w:rsid w:val="007C0CDF"/>
    <w:rsid w:val="007E2A2F"/>
    <w:rsid w:val="007E510B"/>
    <w:rsid w:val="007F2B7C"/>
    <w:rsid w:val="00811651"/>
    <w:rsid w:val="00820F5B"/>
    <w:rsid w:val="008322CC"/>
    <w:rsid w:val="00833452"/>
    <w:rsid w:val="00852642"/>
    <w:rsid w:val="008614E5"/>
    <w:rsid w:val="008678EB"/>
    <w:rsid w:val="00875894"/>
    <w:rsid w:val="00881C10"/>
    <w:rsid w:val="00890411"/>
    <w:rsid w:val="008D5C70"/>
    <w:rsid w:val="009025AF"/>
    <w:rsid w:val="00904F23"/>
    <w:rsid w:val="00906B3C"/>
    <w:rsid w:val="009236DB"/>
    <w:rsid w:val="0095342C"/>
    <w:rsid w:val="009D6F5B"/>
    <w:rsid w:val="009E0A83"/>
    <w:rsid w:val="009E7549"/>
    <w:rsid w:val="009F33F2"/>
    <w:rsid w:val="009F6C77"/>
    <w:rsid w:val="00A07532"/>
    <w:rsid w:val="00A1085C"/>
    <w:rsid w:val="00A309E2"/>
    <w:rsid w:val="00A44703"/>
    <w:rsid w:val="00A8066E"/>
    <w:rsid w:val="00AA4B8A"/>
    <w:rsid w:val="00AA6BF7"/>
    <w:rsid w:val="00AC0BE5"/>
    <w:rsid w:val="00AE5BB9"/>
    <w:rsid w:val="00B01ED6"/>
    <w:rsid w:val="00B06D09"/>
    <w:rsid w:val="00B34262"/>
    <w:rsid w:val="00B738FD"/>
    <w:rsid w:val="00B771A9"/>
    <w:rsid w:val="00B809BB"/>
    <w:rsid w:val="00B8248A"/>
    <w:rsid w:val="00B917DB"/>
    <w:rsid w:val="00BB1F36"/>
    <w:rsid w:val="00BB7726"/>
    <w:rsid w:val="00BD1535"/>
    <w:rsid w:val="00BD4678"/>
    <w:rsid w:val="00BE552F"/>
    <w:rsid w:val="00BF2577"/>
    <w:rsid w:val="00C15EBE"/>
    <w:rsid w:val="00C2329E"/>
    <w:rsid w:val="00C30461"/>
    <w:rsid w:val="00C4571B"/>
    <w:rsid w:val="00C67F92"/>
    <w:rsid w:val="00C754BE"/>
    <w:rsid w:val="00C87572"/>
    <w:rsid w:val="00C9405D"/>
    <w:rsid w:val="00CA4F8E"/>
    <w:rsid w:val="00CC1B26"/>
    <w:rsid w:val="00CD284F"/>
    <w:rsid w:val="00CF23AA"/>
    <w:rsid w:val="00CF4520"/>
    <w:rsid w:val="00D01921"/>
    <w:rsid w:val="00D752B7"/>
    <w:rsid w:val="00DA1471"/>
    <w:rsid w:val="00DA1854"/>
    <w:rsid w:val="00DB0887"/>
    <w:rsid w:val="00DC40D4"/>
    <w:rsid w:val="00DC6739"/>
    <w:rsid w:val="00DE206C"/>
    <w:rsid w:val="00DF1E43"/>
    <w:rsid w:val="00E20894"/>
    <w:rsid w:val="00E26B7C"/>
    <w:rsid w:val="00E60401"/>
    <w:rsid w:val="00E96547"/>
    <w:rsid w:val="00EA3003"/>
    <w:rsid w:val="00EB3C91"/>
    <w:rsid w:val="00EB66DA"/>
    <w:rsid w:val="00F1505F"/>
    <w:rsid w:val="00F36100"/>
    <w:rsid w:val="00F444BD"/>
    <w:rsid w:val="00F50016"/>
    <w:rsid w:val="00F605F2"/>
    <w:rsid w:val="00F76AFC"/>
    <w:rsid w:val="00F8319B"/>
    <w:rsid w:val="00FA5516"/>
    <w:rsid w:val="00FC3764"/>
    <w:rsid w:val="00FD600A"/>
    <w:rsid w:val="00FD6F73"/>
    <w:rsid w:val="1CC63BF5"/>
    <w:rsid w:val="28C55878"/>
    <w:rsid w:val="2DE1788B"/>
    <w:rsid w:val="2F9951DC"/>
    <w:rsid w:val="3EA2D60F"/>
    <w:rsid w:val="41EFF46B"/>
    <w:rsid w:val="60716D85"/>
    <w:rsid w:val="6B8BD3AC"/>
    <w:rsid w:val="6D5D51A5"/>
    <w:rsid w:val="777950C3"/>
    <w:rsid w:val="79EC6082"/>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Ttulo1Car" w:customStyle="1">
    <w:name w:val="Título 1 Car"/>
    <w:basedOn w:val="Fuentedeprrafopredeter"/>
    <w:link w:val="Ttulo1"/>
    <w:uiPriority w:val="9"/>
    <w:rsid w:val="00904F23"/>
    <w:rPr>
      <w:rFonts w:ascii="Arial" w:hAnsi="Arial" w:eastAsia="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styleId="TextocomentarioCar" w:customStyle="1">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styleId="AsuntodelcomentarioCar" w:customStyle="1">
    <w:name w:val="Asunto del comentario Car"/>
    <w:basedOn w:val="TextocomentarioCar"/>
    <w:link w:val="Asuntodelcomentario"/>
    <w:uiPriority w:val="99"/>
    <w:semiHidden/>
    <w:rsid w:val="00511405"/>
    <w:rPr>
      <w:b/>
      <w:bCs/>
      <w:sz w:val="20"/>
      <w:szCs w:val="20"/>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322CC"/>
    <w:rPr>
      <w:rFonts w:ascii="Geomanist Light" w:hAnsi="Geomanist Light"/>
      <w:lang w:val="es-ES"/>
    </w:rPr>
  </w:style>
  <w:style w:type="paragraph" w:styleId="Appelnotedebasde" w:customStyle="1">
    <w:name w:val="Appel note de bas de..."/>
    <w:basedOn w:val="Normal"/>
    <w:link w:val="Refdenotaalpie"/>
    <w:uiPriority w:val="99"/>
    <w:rsid w:val="008322CC"/>
    <w:pPr>
      <w:spacing w:line="240" w:lineRule="exact"/>
    </w:pPr>
    <w:rPr>
      <w:vertAlign w:val="superscript"/>
    </w:rPr>
  </w:style>
  <w:style w:type="character" w:styleId="Hipervnculo">
    <w:name w:val="Hyperlink"/>
    <w:basedOn w:val="Fuentedeprrafopredeter"/>
    <w:uiPriority w:val="99"/>
    <w:unhideWhenUsed/>
    <w:rsid w:val="00030828"/>
    <w:rPr>
      <w:color w:val="0563C1" w:themeColor="hyperlink"/>
      <w:u w:val="single"/>
    </w:rPr>
  </w:style>
  <w:style w:type="paragraph" w:styleId="Textoindependiente">
    <w:name w:val="Body Text"/>
    <w:basedOn w:val="Normal"/>
    <w:link w:val="TextoindependienteCar"/>
    <w:uiPriority w:val="99"/>
    <w:unhideWhenUsed/>
    <w:rsid w:val="004750F3"/>
    <w:pPr>
      <w:spacing w:after="120" w:line="276" w:lineRule="auto"/>
    </w:pPr>
    <w:rPr>
      <w:rFonts w:eastAsiaTheme="minorEastAsia"/>
      <w:lang w:eastAsia="es-CO"/>
    </w:rPr>
  </w:style>
  <w:style w:type="character" w:styleId="TextoindependienteCar" w:customStyle="1">
    <w:name w:val="Texto independiente Car"/>
    <w:basedOn w:val="Fuentedeprrafopredeter"/>
    <w:link w:val="Textoindependiente"/>
    <w:uiPriority w:val="99"/>
    <w:rsid w:val="004750F3"/>
    <w:rPr>
      <w:rFonts w:eastAsiaTheme="minorEastAsia"/>
      <w:lang w:eastAsia="es-CO"/>
    </w:rPr>
  </w:style>
  <w:style w:type="paragraph" w:styleId="paragraph" w:customStyle="1">
    <w:name w:val="paragraph"/>
    <w:basedOn w:val="Normal"/>
    <w:rsid w:val="004750F3"/>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eop" w:customStyle="1">
    <w:name w:val="eop"/>
    <w:basedOn w:val="Fuentedeprrafopredeter"/>
    <w:rsid w:val="00475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236384">
      <w:bodyDiv w:val="1"/>
      <w:marLeft w:val="0"/>
      <w:marRight w:val="0"/>
      <w:marTop w:val="0"/>
      <w:marBottom w:val="0"/>
      <w:divBdr>
        <w:top w:val="none" w:sz="0" w:space="0" w:color="auto"/>
        <w:left w:val="none" w:sz="0" w:space="0" w:color="auto"/>
        <w:bottom w:val="none" w:sz="0" w:space="0" w:color="auto"/>
        <w:right w:val="none" w:sz="0" w:space="0" w:color="auto"/>
      </w:divBdr>
    </w:div>
    <w:div w:id="1352293675">
      <w:bodyDiv w:val="1"/>
      <w:marLeft w:val="0"/>
      <w:marRight w:val="0"/>
      <w:marTop w:val="0"/>
      <w:marBottom w:val="0"/>
      <w:divBdr>
        <w:top w:val="none" w:sz="0" w:space="0" w:color="auto"/>
        <w:left w:val="none" w:sz="0" w:space="0" w:color="auto"/>
        <w:bottom w:val="none" w:sz="0" w:space="0" w:color="auto"/>
        <w:right w:val="none" w:sz="0" w:space="0" w:color="auto"/>
      </w:divBdr>
    </w:div>
    <w:div w:id="1359426251">
      <w:bodyDiv w:val="1"/>
      <w:marLeft w:val="0"/>
      <w:marRight w:val="0"/>
      <w:marTop w:val="0"/>
      <w:marBottom w:val="0"/>
      <w:divBdr>
        <w:top w:val="none" w:sz="0" w:space="0" w:color="auto"/>
        <w:left w:val="none" w:sz="0" w:space="0" w:color="auto"/>
        <w:bottom w:val="none" w:sz="0" w:space="0" w:color="auto"/>
        <w:right w:val="none" w:sz="0" w:space="0" w:color="auto"/>
      </w:divBdr>
    </w:div>
    <w:div w:id="189808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tmp"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cce_documentos/cce-eicp-gi-18._gees_v.2_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8E928E-21F3-4ED4-9B09-85C2D3EB1380}"/>
</file>

<file path=customXml/itemProps2.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http://purl.org/dc/dcmitype/"/>
    <ds:schemaRef ds:uri="http://schemas.microsoft.com/office/2006/documentManagement/types"/>
    <ds:schemaRef ds:uri="http://purl.org/dc/terms/"/>
    <ds:schemaRef ds:uri="8ae15d26-076e-464e-81a7-6f76a0fb3917"/>
    <ds:schemaRef ds:uri="http://schemas.microsoft.com/office/infopath/2007/PartnerControls"/>
    <ds:schemaRef ds:uri="http://www.w3.org/XML/1998/namespace"/>
    <ds:schemaRef ds:uri="http://schemas.openxmlformats.org/package/2006/metadata/core-properties"/>
    <ds:schemaRef ds:uri="cabc2350-70b2-4dba-bb42-96a3175f4d5a"/>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3</cp:revision>
  <dcterms:created xsi:type="dcterms:W3CDTF">2023-06-02T01:03:00Z</dcterms:created>
  <dcterms:modified xsi:type="dcterms:W3CDTF">2023-07-14T15:26:24Z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