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50023C" w14:textId="77777777" w:rsidR="001141A7" w:rsidRPr="00EA2CFE" w:rsidRDefault="001141A7" w:rsidP="001141A7">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ESTABILIDAD LABORAL REFORZADA DE MUJER EMBARAZADA – Concepto</w:t>
      </w:r>
    </w:p>
    <w:p w14:paraId="4F728858" w14:textId="77777777" w:rsidR="001141A7" w:rsidRPr="00EA2CFE" w:rsidRDefault="001141A7" w:rsidP="001141A7">
      <w:pPr>
        <w:contextualSpacing/>
        <w:jc w:val="both"/>
        <w:rPr>
          <w:rFonts w:ascii="Verdana" w:eastAsia="Yu Gothic UI Semibold" w:hAnsi="Verdana" w:cs="Arial"/>
          <w:b/>
          <w:bCs/>
          <w:color w:val="000000" w:themeColor="text1"/>
          <w:lang w:val="es-MX"/>
        </w:rPr>
      </w:pPr>
    </w:p>
    <w:p w14:paraId="77E57BEC" w14:textId="77777777" w:rsidR="001141A7" w:rsidRPr="00EA2CFE" w:rsidRDefault="001141A7" w:rsidP="001141A7">
      <w:pPr>
        <w:contextualSpacing/>
        <w:jc w:val="both"/>
        <w:rPr>
          <w:rFonts w:ascii="Verdana" w:eastAsia="Yu Gothic UI Semibold" w:hAnsi="Verdana" w:cs="Arial"/>
          <w:b/>
          <w:bCs/>
          <w:color w:val="000000" w:themeColor="text1"/>
          <w:sz w:val="20"/>
          <w:szCs w:val="20"/>
          <w:lang w:val="es-MX"/>
        </w:rPr>
      </w:pPr>
      <w:r w:rsidRPr="00EA2CFE">
        <w:rPr>
          <w:rFonts w:ascii="Verdana" w:eastAsia="Calibri" w:hAnsi="Verdana" w:cs="Arial"/>
          <w:bCs/>
          <w:sz w:val="20"/>
          <w:szCs w:val="20"/>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Verdana" w:eastAsia="Calibri" w:hAnsi="Verdana" w:cs="Arial"/>
          <w:bCs/>
          <w:sz w:val="20"/>
          <w:szCs w:val="20"/>
          <w:lang w:val="es-MX"/>
        </w:rPr>
        <w:t>“</w:t>
      </w:r>
      <w:r w:rsidRPr="00EA2CFE">
        <w:rPr>
          <w:rFonts w:ascii="Verdana" w:eastAsia="Calibri" w:hAnsi="Verdana" w:cs="Arial"/>
          <w:bCs/>
          <w:sz w:val="20"/>
          <w:szCs w:val="20"/>
          <w:lang w:val="es-MX"/>
        </w:rPr>
        <w:t>impedir la discriminación constituida por el despido, la terminación o la no renovación del contrato por causa o con ocasión del embarazo o la lactancia</w:t>
      </w:r>
      <w:r>
        <w:rPr>
          <w:rFonts w:ascii="Verdana" w:eastAsia="Calibri" w:hAnsi="Verdana" w:cs="Arial"/>
          <w:bCs/>
          <w:sz w:val="20"/>
          <w:szCs w:val="20"/>
          <w:lang w:val="es-MX"/>
        </w:rPr>
        <w:t>”</w:t>
      </w:r>
      <w:r w:rsidRPr="00EA2CFE">
        <w:rPr>
          <w:rFonts w:ascii="Verdana" w:eastAsia="Calibri" w:hAnsi="Verdana" w:cs="Arial"/>
          <w:bCs/>
          <w:sz w:val="20"/>
          <w:szCs w:val="20"/>
          <w:lang w:val="es-MX"/>
        </w:rPr>
        <w:t>.</w:t>
      </w:r>
    </w:p>
    <w:p w14:paraId="39CFF26A" w14:textId="77777777" w:rsidR="001141A7" w:rsidRPr="00EA2CFE" w:rsidRDefault="001141A7" w:rsidP="001141A7">
      <w:pPr>
        <w:contextualSpacing/>
        <w:jc w:val="both"/>
        <w:rPr>
          <w:rFonts w:ascii="Verdana" w:eastAsia="Yu Gothic UI Semibold" w:hAnsi="Verdana" w:cs="Arial"/>
          <w:b/>
          <w:bCs/>
          <w:color w:val="000000" w:themeColor="text1"/>
          <w:sz w:val="20"/>
          <w:szCs w:val="20"/>
          <w:lang w:val="es-MX"/>
        </w:rPr>
      </w:pPr>
    </w:p>
    <w:p w14:paraId="799392B6" w14:textId="77777777" w:rsidR="001141A7" w:rsidRPr="00EA2CFE" w:rsidRDefault="001141A7" w:rsidP="001141A7">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ESTABILIDAD LABORAL REFORZADA DE MUJER EMBARAZADA – Unificación jurisprudencial </w:t>
      </w:r>
    </w:p>
    <w:p w14:paraId="2D7057E4" w14:textId="77777777" w:rsidR="001141A7" w:rsidRPr="00EA2CFE" w:rsidRDefault="001141A7" w:rsidP="001141A7">
      <w:pPr>
        <w:contextualSpacing/>
        <w:jc w:val="both"/>
        <w:rPr>
          <w:rFonts w:ascii="Verdana" w:eastAsia="Yu Gothic UI Semibold" w:hAnsi="Verdana" w:cs="Arial"/>
          <w:b/>
          <w:bCs/>
          <w:color w:val="000000" w:themeColor="text1"/>
          <w:sz w:val="20"/>
          <w:szCs w:val="20"/>
          <w:lang w:val="es-MX"/>
        </w:rPr>
      </w:pPr>
    </w:p>
    <w:p w14:paraId="49E87E66" w14:textId="77777777" w:rsidR="001141A7" w:rsidRPr="00EA2CFE" w:rsidRDefault="001141A7" w:rsidP="001141A7">
      <w:pPr>
        <w:contextualSpacing/>
        <w:jc w:val="both"/>
        <w:rPr>
          <w:rFonts w:ascii="Verdana" w:eastAsia="Yu Gothic UI Semibold" w:hAnsi="Verdana" w:cs="Arial"/>
          <w:sz w:val="20"/>
          <w:szCs w:val="20"/>
          <w:shd w:val="clear" w:color="auto" w:fill="FFFFFF"/>
          <w:lang w:val="es-ES_tradnl"/>
        </w:rPr>
      </w:pPr>
      <w:r w:rsidRPr="00EA2CFE">
        <w:rPr>
          <w:rFonts w:ascii="Verdana" w:eastAsia="Yu Gothic UI Semibold" w:hAnsi="Verdana" w:cs="Arial"/>
          <w:sz w:val="20"/>
          <w:szCs w:val="20"/>
          <w:shd w:val="clear" w:color="auto" w:fill="FFFFFF"/>
          <w:lang w:val="es-ES_tradnl"/>
        </w:rPr>
        <w:t xml:space="preserve">[…] </w:t>
      </w:r>
      <w:r w:rsidRPr="00EA2CFE">
        <w:rPr>
          <w:rFonts w:ascii="Verdana" w:eastAsia="Yu Gothic UI Semibold" w:hAnsi="Verdana"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EA2CFE">
        <w:rPr>
          <w:rFonts w:ascii="Verdana" w:eastAsia="Yu Gothic UI Semibold" w:hAnsi="Verdana" w:cs="Arial"/>
          <w:i/>
          <w:sz w:val="20"/>
          <w:szCs w:val="20"/>
        </w:rPr>
        <w:t xml:space="preserve">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fuero de maternidad</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w:t>
      </w:r>
      <w:r w:rsidRPr="00EA2CFE">
        <w:rPr>
          <w:rFonts w:ascii="Verdana" w:eastAsia="Yu Gothic UI Semibold" w:hAnsi="Verdana" w:cs="Arial"/>
          <w:sz w:val="20"/>
          <w:szCs w:val="20"/>
        </w:rPr>
        <w:t xml:space="preserve"> encuentra también su sustento en la cláusula general de igualdad de la Constitución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sz w:val="20"/>
          <w:szCs w:val="20"/>
          <w:lang w:eastAsia="es-MX"/>
        </w:rPr>
        <w:t>”</w:t>
      </w:r>
    </w:p>
    <w:p w14:paraId="7745EE36" w14:textId="77777777" w:rsidR="001141A7" w:rsidRPr="00EA2CFE" w:rsidRDefault="001141A7" w:rsidP="001141A7">
      <w:pPr>
        <w:contextualSpacing/>
        <w:rPr>
          <w:rFonts w:ascii="Verdana" w:hAnsi="Verdana" w:cs="Arial"/>
          <w:sz w:val="20"/>
          <w:szCs w:val="20"/>
        </w:rPr>
      </w:pPr>
    </w:p>
    <w:p w14:paraId="50D081AE" w14:textId="77777777" w:rsidR="001141A7" w:rsidRPr="00EA2CFE" w:rsidRDefault="001141A7" w:rsidP="001141A7">
      <w:pPr>
        <w:contextualSpacing/>
        <w:jc w:val="both"/>
        <w:rPr>
          <w:rFonts w:ascii="Verdana" w:eastAsia="Yu Gothic UI Semibold" w:hAnsi="Verdana" w:cs="Arial"/>
          <w:b/>
          <w:bCs/>
          <w:color w:val="000000" w:themeColor="text1"/>
          <w:sz w:val="20"/>
          <w:szCs w:val="20"/>
          <w:lang w:val="es-MX"/>
        </w:rPr>
      </w:pPr>
      <w:r w:rsidRPr="00EA2CFE">
        <w:rPr>
          <w:rFonts w:ascii="Verdana" w:eastAsia="Yu Gothic UI Semibold" w:hAnsi="Verdana" w:cs="Arial"/>
          <w:b/>
          <w:bCs/>
          <w:color w:val="000000" w:themeColor="text1"/>
          <w:lang w:val="es-MX"/>
        </w:rPr>
        <w:t>ESTABILIDAD LABORAL REFORZADA DE MUJER EMBARAZADA – Procedencia</w:t>
      </w:r>
    </w:p>
    <w:p w14:paraId="6A0BD7FC" w14:textId="77777777" w:rsidR="001141A7" w:rsidRPr="00EA2CFE" w:rsidRDefault="001141A7" w:rsidP="001141A7">
      <w:pPr>
        <w:contextualSpacing/>
        <w:jc w:val="both"/>
        <w:rPr>
          <w:rFonts w:ascii="Verdana" w:hAnsi="Verdana" w:cs="Arial"/>
          <w:sz w:val="20"/>
          <w:szCs w:val="20"/>
        </w:rPr>
      </w:pPr>
    </w:p>
    <w:p w14:paraId="6369CE57" w14:textId="77777777" w:rsidR="001141A7" w:rsidRPr="00EA2CFE" w:rsidRDefault="001141A7" w:rsidP="001141A7">
      <w:pPr>
        <w:widowControl w:val="0"/>
        <w:autoSpaceDE w:val="0"/>
        <w:autoSpaceDN w:val="0"/>
        <w:contextualSpacing/>
        <w:jc w:val="both"/>
        <w:rPr>
          <w:rFonts w:ascii="Verdana" w:eastAsia="Arial" w:hAnsi="Verdana" w:cs="Arial"/>
          <w:sz w:val="20"/>
          <w:szCs w:val="20"/>
          <w:lang w:val="es-ES"/>
        </w:rPr>
      </w:pPr>
      <w:r w:rsidRPr="00EA2CFE">
        <w:rPr>
          <w:rFonts w:ascii="Verdana" w:eastAsia="Arial" w:hAnsi="Verdana"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6D1DB9BE" w14:textId="77777777" w:rsidR="001141A7" w:rsidRPr="00EA2CFE" w:rsidRDefault="001141A7" w:rsidP="001141A7">
      <w:pPr>
        <w:widowControl w:val="0"/>
        <w:autoSpaceDE w:val="0"/>
        <w:autoSpaceDN w:val="0"/>
        <w:contextualSpacing/>
        <w:jc w:val="both"/>
        <w:rPr>
          <w:rFonts w:ascii="Verdana" w:eastAsia="Arial" w:hAnsi="Verdana" w:cs="Arial"/>
          <w:sz w:val="20"/>
          <w:szCs w:val="20"/>
          <w:lang w:val="es-ES"/>
        </w:rPr>
      </w:pPr>
    </w:p>
    <w:p w14:paraId="286B9B92" w14:textId="77777777" w:rsidR="001141A7" w:rsidRPr="00EA2CFE" w:rsidRDefault="001141A7" w:rsidP="001141A7">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SUSPENSIÓN DEL CONTRATO – Estado de embarazo y licencia de maternidad </w:t>
      </w:r>
    </w:p>
    <w:p w14:paraId="433BF918" w14:textId="77777777" w:rsidR="001141A7" w:rsidRPr="00EA2CFE" w:rsidRDefault="001141A7" w:rsidP="001141A7">
      <w:pPr>
        <w:contextualSpacing/>
        <w:jc w:val="both"/>
        <w:rPr>
          <w:rFonts w:ascii="Verdana" w:hAnsi="Verdana" w:cs="Arial"/>
          <w:sz w:val="20"/>
          <w:szCs w:val="20"/>
        </w:rPr>
      </w:pPr>
    </w:p>
    <w:p w14:paraId="6ECFEB60" w14:textId="77777777" w:rsidR="001141A7" w:rsidRPr="00EA2CFE" w:rsidRDefault="001141A7" w:rsidP="001141A7">
      <w:pPr>
        <w:contextualSpacing/>
        <w:jc w:val="both"/>
        <w:rPr>
          <w:rFonts w:ascii="Verdana" w:hAnsi="Verdana" w:cs="Arial"/>
          <w:color w:val="333333"/>
          <w:sz w:val="20"/>
          <w:szCs w:val="20"/>
          <w:shd w:val="clear" w:color="auto" w:fill="FFFFFF"/>
        </w:rPr>
      </w:pPr>
      <w:r w:rsidRPr="00EA2CFE">
        <w:rPr>
          <w:rFonts w:ascii="Verdana" w:hAnsi="Verdana" w:cs="Arial"/>
          <w:sz w:val="20"/>
          <w:szCs w:val="20"/>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w:t>
      </w:r>
      <w:r w:rsidRPr="00EA2CFE">
        <w:rPr>
          <w:rFonts w:ascii="Verdana" w:hAnsi="Verdana" w:cs="Arial"/>
          <w:sz w:val="20"/>
          <w:szCs w:val="20"/>
          <w:shd w:val="clear" w:color="auto" w:fill="FFFFFF"/>
        </w:rPr>
        <w:t xml:space="preserve"> En ese sentido, s</w:t>
      </w:r>
      <w:r w:rsidRPr="00EA2CFE">
        <w:rPr>
          <w:rFonts w:ascii="Verdana" w:hAnsi="Verdana" w:cs="Arial"/>
          <w:color w:val="333333"/>
          <w:sz w:val="20"/>
          <w:szCs w:val="20"/>
          <w:shd w:val="clear" w:color="auto" w:fill="FFFFFF"/>
        </w:rPr>
        <w:t>i a pesar de la licencia, las partes acuerdan no suspender el contrato y la contratista acredita el cumplimiento de las actividades contratadas, habría lugar al pago de honorarios, pues el objeto contractual estaría siendo ejecutado. Por el contrario, </w:t>
      </w:r>
      <w:r w:rsidRPr="00EA2CFE">
        <w:rPr>
          <w:rStyle w:val="Textoennegrita"/>
          <w:rFonts w:ascii="Verdana" w:hAnsi="Verdana" w:cs="Arial"/>
          <w:color w:val="333333"/>
          <w:sz w:val="20"/>
          <w:szCs w:val="20"/>
          <w:shd w:val="clear" w:color="auto" w:fill="FFFFFF"/>
        </w:rPr>
        <w:t xml:space="preserve">si deciden suspenderlo, teniendo en cuenta que no se estarían cumpliendo las obligaciones contractuales no habría lugar al pago de honorarios y la prestación económica sería asumida por el Sistema General de Seguridad Social en salud, es decir, estaría a cargo de las ESP. </w:t>
      </w:r>
    </w:p>
    <w:p w14:paraId="3985C407" w14:textId="77777777" w:rsidR="001141A7" w:rsidRPr="00CC5C68" w:rsidRDefault="001141A7" w:rsidP="001141A7">
      <w:pPr>
        <w:spacing w:after="0" w:line="240" w:lineRule="auto"/>
        <w:jc w:val="both"/>
        <w:rPr>
          <w:rFonts w:ascii="Verdana" w:eastAsia="Times New Roman" w:hAnsi="Verdana" w:cs="Arial"/>
          <w:noProof/>
          <w:lang w:val="es-ES_tradnl" w:eastAsia="es-ES_tradnl"/>
        </w:rPr>
      </w:pPr>
    </w:p>
    <w:p w14:paraId="5BBE07A6"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2438539B"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1FEC3528"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43BFFCD3"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3752F475"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04790320"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31799534"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205DB6AC"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4635A29A"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12ABB7AE"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60B2377F"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3007E033"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3930CEEF"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207F6877"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52D75533"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29EC79AB"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70045D6D"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7281034C"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5A687F9B"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75F44708"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3755E30F"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74F498AD"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66922A11"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1064CCE2"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0614B380"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6336EE38"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4D5DC770"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21B8FF83" w14:textId="77777777" w:rsidR="001141A7" w:rsidRDefault="001141A7" w:rsidP="001141A7">
      <w:pPr>
        <w:spacing w:after="0" w:line="240" w:lineRule="auto"/>
        <w:jc w:val="both"/>
        <w:rPr>
          <w:rFonts w:ascii="Verdana" w:eastAsia="Times New Roman" w:hAnsi="Verdana" w:cs="Arial"/>
          <w:noProof/>
          <w:lang w:val="es-ES_tradnl" w:eastAsia="es-ES_tradnl"/>
        </w:rPr>
      </w:pPr>
    </w:p>
    <w:p w14:paraId="2A2B87E7" w14:textId="7E7AF6E9" w:rsidR="001141A7" w:rsidRDefault="001141A7" w:rsidP="001141A7">
      <w:pPr>
        <w:spacing w:after="0" w:line="240" w:lineRule="auto"/>
        <w:jc w:val="both"/>
        <w:rPr>
          <w:rFonts w:ascii="Verdana" w:eastAsia="Times New Roman" w:hAnsi="Verdana" w:cs="Arial"/>
          <w:noProof/>
          <w:lang w:val="es-ES_tradnl" w:eastAsia="es-ES_tradnl"/>
        </w:rPr>
      </w:pPr>
      <w:r w:rsidRPr="00450868">
        <w:rPr>
          <w:rFonts w:ascii="Verdana" w:eastAsia="Times New Roman" w:hAnsi="Verdana" w:cs="Arial"/>
          <w:noProof/>
          <w:lang w:val="es-ES_tradnl" w:eastAsia="es-ES_tradnl"/>
        </w:rPr>
        <w:lastRenderedPageBreak/>
        <w:t xml:space="preserve">Bogotá D.C., </w:t>
      </w:r>
      <w:r w:rsidR="001D4BB2">
        <w:rPr>
          <w:rFonts w:ascii="Verdana" w:eastAsia="Times New Roman" w:hAnsi="Verdana" w:cs="Arial"/>
          <w:noProof/>
          <w:lang w:val="es-ES_tradnl" w:eastAsia="es-ES_tradnl"/>
        </w:rPr>
        <w:t>19 de diciembre de 2025</w:t>
      </w:r>
    </w:p>
    <w:p w14:paraId="21B5D042" w14:textId="4A8FF6F1" w:rsidR="001D4BB2" w:rsidRDefault="001D4BB2" w:rsidP="001D4BB2">
      <w:pPr>
        <w:spacing w:after="0" w:line="240" w:lineRule="auto"/>
        <w:jc w:val="right"/>
        <w:rPr>
          <w:rFonts w:ascii="Verdana" w:eastAsia="Times New Roman" w:hAnsi="Verdana" w:cs="Arial"/>
          <w:noProof/>
          <w:lang w:val="es-ES_tradnl" w:eastAsia="es-ES_tradnl"/>
        </w:rPr>
      </w:pPr>
    </w:p>
    <w:p w14:paraId="63097378" w14:textId="31617353" w:rsidR="001141A7" w:rsidRPr="00CC5C68" w:rsidRDefault="001141A7" w:rsidP="001141A7">
      <w:pPr>
        <w:spacing w:after="0" w:line="240" w:lineRule="auto"/>
        <w:jc w:val="both"/>
        <w:rPr>
          <w:rFonts w:ascii="Verdana" w:eastAsia="Times New Roman" w:hAnsi="Verdana" w:cs="Arial"/>
          <w:noProof/>
          <w:lang w:val="es-ES_tradnl" w:eastAsia="es-ES_tradnl"/>
        </w:rPr>
      </w:pPr>
    </w:p>
    <w:p w14:paraId="7C9FB887" w14:textId="0291FA71" w:rsidR="001141A7" w:rsidRPr="00CC5C68" w:rsidRDefault="00793CDF" w:rsidP="001141A7">
      <w:pPr>
        <w:spacing w:after="0" w:line="240" w:lineRule="auto"/>
        <w:jc w:val="right"/>
        <w:rPr>
          <w:rFonts w:ascii="Verdana" w:eastAsia="Times New Roman" w:hAnsi="Verdana" w:cs="Arial"/>
          <w:noProof/>
          <w:lang w:val="es-ES_tradnl" w:eastAsia="es-ES_tradnl"/>
        </w:rPr>
      </w:pPr>
      <w:r w:rsidRPr="001D4BB2">
        <w:rPr>
          <w:rFonts w:ascii="Verdana" w:eastAsia="Times New Roman" w:hAnsi="Verdana" w:cs="Arial"/>
          <w:noProof/>
          <w:lang w:val="es-ES_tradnl" w:eastAsia="es-ES_tradnl"/>
        </w:rPr>
        <w:drawing>
          <wp:anchor distT="0" distB="0" distL="114300" distR="114300" simplePos="0" relativeHeight="251658240" behindDoc="0" locked="0" layoutInCell="1" allowOverlap="1" wp14:anchorId="7F5D9023" wp14:editId="354178E0">
            <wp:simplePos x="0" y="0"/>
            <wp:positionH relativeFrom="margin">
              <wp:align>right</wp:align>
            </wp:positionH>
            <wp:positionV relativeFrom="paragraph">
              <wp:posOffset>8780</wp:posOffset>
            </wp:positionV>
            <wp:extent cx="2981325" cy="741680"/>
            <wp:effectExtent l="0" t="0" r="9525" b="1270"/>
            <wp:wrapSquare wrapText="bothSides"/>
            <wp:docPr id="3876392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639254" name=""/>
                    <pic:cNvPicPr/>
                  </pic:nvPicPr>
                  <pic:blipFill>
                    <a:blip r:embed="rId10">
                      <a:extLst>
                        <a:ext uri="{28A0092B-C50C-407E-A947-70E740481C1C}">
                          <a14:useLocalDpi xmlns:a14="http://schemas.microsoft.com/office/drawing/2010/main" val="0"/>
                        </a:ext>
                      </a:extLst>
                    </a:blip>
                    <a:stretch>
                      <a:fillRect/>
                    </a:stretch>
                  </pic:blipFill>
                  <pic:spPr>
                    <a:xfrm>
                      <a:off x="0" y="0"/>
                      <a:ext cx="2981325" cy="741680"/>
                    </a:xfrm>
                    <a:prstGeom prst="rect">
                      <a:avLst/>
                    </a:prstGeom>
                  </pic:spPr>
                </pic:pic>
              </a:graphicData>
            </a:graphic>
            <wp14:sizeRelH relativeFrom="margin">
              <wp14:pctWidth>0</wp14:pctWidth>
            </wp14:sizeRelH>
            <wp14:sizeRelV relativeFrom="margin">
              <wp14:pctHeight>0</wp14:pctHeight>
            </wp14:sizeRelV>
          </wp:anchor>
        </w:drawing>
      </w:r>
    </w:p>
    <w:p w14:paraId="16770F80" w14:textId="77777777" w:rsidR="001141A7" w:rsidRPr="00CC5C68" w:rsidRDefault="001141A7" w:rsidP="001141A7">
      <w:pPr>
        <w:spacing w:after="0" w:line="240" w:lineRule="auto"/>
        <w:jc w:val="both"/>
        <w:rPr>
          <w:rFonts w:ascii="Verdana" w:eastAsia="Calibri" w:hAnsi="Verdana" w:cs="Arial"/>
          <w:lang w:val="es-ES" w:eastAsia="es-ES_tradnl"/>
        </w:rPr>
      </w:pPr>
      <w:r w:rsidRPr="00CC5C68">
        <w:rPr>
          <w:rFonts w:ascii="Verdana" w:eastAsia="Calibri" w:hAnsi="Verdana" w:cs="Arial"/>
          <w:lang w:val="es-ES" w:eastAsia="es-ES_tradnl"/>
        </w:rPr>
        <w:t>Señor</w:t>
      </w:r>
    </w:p>
    <w:p w14:paraId="709A7019" w14:textId="77777777" w:rsidR="001141A7" w:rsidRPr="00CC5C68" w:rsidRDefault="001141A7" w:rsidP="001141A7">
      <w:pPr>
        <w:spacing w:after="0" w:line="240" w:lineRule="auto"/>
        <w:rPr>
          <w:rFonts w:ascii="Verdana" w:eastAsia="Calibri" w:hAnsi="Verdana" w:cs="Arial"/>
          <w:b/>
          <w:bCs/>
          <w:lang w:val="es-ES" w:eastAsia="es-ES_tradnl"/>
        </w:rPr>
      </w:pPr>
      <w:r>
        <w:rPr>
          <w:rFonts w:ascii="Verdana" w:eastAsia="Calibri" w:hAnsi="Verdana" w:cs="Arial"/>
          <w:b/>
          <w:bCs/>
          <w:lang w:val="es-ES" w:eastAsia="es-ES_tradnl"/>
        </w:rPr>
        <w:t>José Vásquez Arboleda</w:t>
      </w:r>
    </w:p>
    <w:p w14:paraId="6FCB5DAC" w14:textId="77777777" w:rsidR="001141A7" w:rsidRPr="00CC5C68" w:rsidRDefault="001141A7" w:rsidP="001141A7">
      <w:pPr>
        <w:spacing w:after="0" w:line="240" w:lineRule="auto"/>
        <w:rPr>
          <w:rFonts w:ascii="Verdana" w:eastAsia="Calibri" w:hAnsi="Verdana" w:cs="Arial"/>
          <w:lang w:val="es-ES_tradnl" w:eastAsia="es-ES_tradnl"/>
        </w:rPr>
      </w:pPr>
      <w:r>
        <w:rPr>
          <w:rFonts w:ascii="Verdana" w:eastAsia="Calibri" w:hAnsi="Verdana" w:cs="Arial"/>
          <w:bCs/>
          <w:lang w:val="es-ES_tradnl" w:eastAsia="es-ES_tradnl"/>
        </w:rPr>
        <w:t>Ciudad</w:t>
      </w:r>
    </w:p>
    <w:p w14:paraId="67D59395" w14:textId="77777777" w:rsidR="001141A7" w:rsidRPr="00CC5C68" w:rsidRDefault="001141A7" w:rsidP="001141A7">
      <w:pPr>
        <w:spacing w:after="0" w:line="240" w:lineRule="auto"/>
        <w:rPr>
          <w:rFonts w:ascii="Verdana" w:eastAsia="Calibri" w:hAnsi="Verdana" w:cs="Arial"/>
          <w:lang w:val="es-ES_tradnl" w:eastAsia="es-ES_tradnl"/>
        </w:rPr>
      </w:pPr>
    </w:p>
    <w:p w14:paraId="078B9DF7" w14:textId="77777777" w:rsidR="001141A7" w:rsidRPr="00CC5C68" w:rsidRDefault="001141A7" w:rsidP="001141A7">
      <w:pPr>
        <w:spacing w:after="0" w:line="240" w:lineRule="auto"/>
        <w:rPr>
          <w:rFonts w:ascii="Verdana" w:eastAsia="Calibri" w:hAnsi="Verdana" w:cs="Arial"/>
          <w:lang w:val="es-ES_tradnl" w:eastAsia="es-ES_tradnl"/>
        </w:rPr>
      </w:pPr>
    </w:p>
    <w:p w14:paraId="1237B040" w14:textId="77777777" w:rsidR="001141A7" w:rsidRPr="00CC5C68" w:rsidRDefault="001141A7" w:rsidP="001141A7">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1672</w:t>
      </w:r>
      <w:r w:rsidRPr="00CC5C68">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7D713E78" w14:textId="77777777" w:rsidR="001141A7" w:rsidRPr="00CC5C68" w:rsidRDefault="001141A7" w:rsidP="001141A7">
      <w:pPr>
        <w:spacing w:after="0" w:line="240" w:lineRule="auto"/>
        <w:jc w:val="both"/>
        <w:rPr>
          <w:rFonts w:ascii="Verdana" w:eastAsia="Calibri" w:hAnsi="Verdana" w:cs="Arial"/>
          <w:lang w:val="es-ES_tradnl" w:eastAsia="es-ES_tradnl"/>
        </w:rPr>
      </w:pPr>
    </w:p>
    <w:tbl>
      <w:tblPr>
        <w:tblStyle w:val="Tablaconcuadrcula"/>
        <w:tblW w:w="8075"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6237"/>
      </w:tblGrid>
      <w:tr w:rsidR="001141A7" w:rsidRPr="00CC5C68" w14:paraId="037A5B73" w14:textId="77777777" w:rsidTr="007435C4">
        <w:trPr>
          <w:jc w:val="right"/>
        </w:trPr>
        <w:tc>
          <w:tcPr>
            <w:tcW w:w="1838" w:type="dxa"/>
          </w:tcPr>
          <w:p w14:paraId="7C767CC6" w14:textId="77777777" w:rsidR="001141A7" w:rsidRPr="00CC5C68" w:rsidRDefault="001141A7" w:rsidP="007435C4">
            <w:pPr>
              <w:jc w:val="cente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237" w:type="dxa"/>
          </w:tcPr>
          <w:p w14:paraId="5BAAA90D" w14:textId="77777777" w:rsidR="001141A7" w:rsidRDefault="001141A7" w:rsidP="007435C4">
            <w:pPr>
              <w:jc w:val="both"/>
              <w:textAlignment w:val="baseline"/>
              <w:rPr>
                <w:rFonts w:ascii="Verdana" w:eastAsia="Times New Roman" w:hAnsi="Verdana" w:cs="Arial"/>
                <w:lang w:eastAsia="es-ES_tradnl"/>
              </w:rPr>
            </w:pPr>
            <w:r w:rsidRPr="00EA2CFE">
              <w:rPr>
                <w:rFonts w:ascii="Verdana" w:eastAsia="Times New Roman" w:hAnsi="Verdana" w:cs="Arial"/>
                <w:lang w:eastAsia="es-ES_tradnl"/>
              </w:rPr>
              <w:t>ESTABILIDAD LABORAL REFORZADA DE MUJER EMBARAZADA – Concepto / ESTABILIDAD LABORAL REFORZADA DE MUJER EMBARAZADA – Unificación jurisprudencial / ESTABILIDAD LABORAL REFORZADA DE MUJER EMBARAZADA – Procedencia / SUSPENSIÓN DEL CONTRATO – Estado de embarazo y licencia de maternidad</w:t>
            </w:r>
          </w:p>
          <w:p w14:paraId="689DA972" w14:textId="0740CAA4" w:rsidR="00274E54" w:rsidRPr="00CC5C68" w:rsidRDefault="00274E54" w:rsidP="007435C4">
            <w:pPr>
              <w:jc w:val="both"/>
              <w:textAlignment w:val="baseline"/>
              <w:rPr>
                <w:rFonts w:ascii="Verdana" w:eastAsia="Times New Roman" w:hAnsi="Verdana" w:cs="Arial"/>
                <w:lang w:val="es-ES_tradnl" w:eastAsia="es-ES_tradnl"/>
              </w:rPr>
            </w:pPr>
          </w:p>
        </w:tc>
      </w:tr>
      <w:tr w:rsidR="001141A7" w:rsidRPr="00CC5C68" w14:paraId="3394BC56" w14:textId="77777777" w:rsidTr="007435C4">
        <w:trPr>
          <w:jc w:val="right"/>
        </w:trPr>
        <w:tc>
          <w:tcPr>
            <w:tcW w:w="1838" w:type="dxa"/>
          </w:tcPr>
          <w:p w14:paraId="081306E0" w14:textId="77777777" w:rsidR="001141A7" w:rsidRPr="00CC5C68" w:rsidRDefault="001141A7" w:rsidP="007435C4">
            <w:pPr>
              <w:jc w:val="center"/>
              <w:rPr>
                <w:rFonts w:ascii="Verdana" w:eastAsia="Calibri" w:hAnsi="Verdana" w:cs="Arial"/>
                <w:b/>
                <w:lang w:val="es-ES" w:eastAsia="es-ES_tradnl"/>
              </w:rPr>
            </w:pPr>
            <w:r w:rsidRPr="00CC5C68">
              <w:rPr>
                <w:rFonts w:ascii="Verdana" w:eastAsia="Calibri" w:hAnsi="Verdana" w:cs="Arial"/>
                <w:b/>
                <w:lang w:val="es-ES" w:eastAsia="es-ES_tradnl"/>
              </w:rPr>
              <w:t>Radicación:</w:t>
            </w:r>
          </w:p>
        </w:tc>
        <w:tc>
          <w:tcPr>
            <w:tcW w:w="6237" w:type="dxa"/>
          </w:tcPr>
          <w:p w14:paraId="5CFB6669" w14:textId="77777777" w:rsidR="001141A7" w:rsidRPr="00CC5C68" w:rsidRDefault="001141A7" w:rsidP="007435C4">
            <w:pPr>
              <w:jc w:val="both"/>
              <w:rPr>
                <w:rFonts w:ascii="Verdana" w:eastAsia="Calibri" w:hAnsi="Verdana" w:cs="Arial"/>
                <w:lang w:val="es-ES" w:eastAsia="es-ES_tradnl"/>
              </w:rPr>
            </w:pPr>
            <w:r w:rsidRPr="00CC5C68">
              <w:rPr>
                <w:rFonts w:ascii="Verdana" w:eastAsia="Calibri" w:hAnsi="Verdana" w:cs="Arial"/>
                <w:lang w:val="es-ES" w:eastAsia="es-ES_tradnl"/>
              </w:rPr>
              <w:t>Respuesta a consulta</w:t>
            </w:r>
            <w:r>
              <w:rPr>
                <w:rFonts w:ascii="Verdana" w:eastAsia="Calibri" w:hAnsi="Verdana" w:cs="Arial"/>
                <w:lang w:val="es-ES" w:eastAsia="es-ES_tradnl"/>
              </w:rPr>
              <w:t xml:space="preserve"> </w:t>
            </w:r>
            <w:r>
              <w:rPr>
                <w:rFonts w:ascii="Verdana" w:eastAsia="Calibri" w:hAnsi="Verdana"/>
                <w:lang w:val="es-ES" w:eastAsia="es-ES_tradnl"/>
              </w:rPr>
              <w:t>con</w:t>
            </w:r>
            <w:r w:rsidRPr="00CC5C68">
              <w:rPr>
                <w:rFonts w:ascii="Verdana" w:eastAsia="Calibri" w:hAnsi="Verdana" w:cs="Arial"/>
                <w:lang w:val="es-ES" w:eastAsia="es-ES_tradnl"/>
              </w:rPr>
              <w:t xml:space="preserve"> radicado No. </w:t>
            </w:r>
            <w:r w:rsidRPr="00E5326B">
              <w:rPr>
                <w:rFonts w:ascii="Verdana" w:eastAsia="Times New Roman" w:hAnsi="Verdana" w:cs="Arial"/>
                <w:lang w:eastAsia="es-ES_tradnl"/>
              </w:rPr>
              <w:t>1_2025_11_12_012765</w:t>
            </w:r>
          </w:p>
        </w:tc>
      </w:tr>
    </w:tbl>
    <w:p w14:paraId="6C0A022F" w14:textId="77777777" w:rsidR="001141A7" w:rsidRPr="00CC5C68" w:rsidRDefault="001141A7" w:rsidP="001141A7">
      <w:pPr>
        <w:spacing w:after="0" w:line="240" w:lineRule="auto"/>
        <w:jc w:val="both"/>
        <w:rPr>
          <w:rFonts w:ascii="Verdana" w:eastAsia="Calibri" w:hAnsi="Verdana" w:cs="Arial"/>
          <w:lang w:val="es-ES_tradnl" w:eastAsia="es-ES_tradnl"/>
        </w:rPr>
      </w:pPr>
    </w:p>
    <w:p w14:paraId="5702C833" w14:textId="77777777" w:rsidR="001141A7" w:rsidRPr="00CC5C68" w:rsidRDefault="001141A7" w:rsidP="001141A7">
      <w:pPr>
        <w:spacing w:after="0" w:line="240" w:lineRule="auto"/>
        <w:jc w:val="both"/>
        <w:rPr>
          <w:rFonts w:ascii="Verdana" w:eastAsia="Calibri" w:hAnsi="Verdana" w:cs="Arial"/>
          <w:lang w:val="es-ES_tradnl" w:eastAsia="es-ES_tradnl"/>
        </w:rPr>
      </w:pPr>
    </w:p>
    <w:p w14:paraId="20C72193" w14:textId="77777777" w:rsidR="001141A7" w:rsidRPr="00CC5C68" w:rsidRDefault="001141A7" w:rsidP="001141A7">
      <w:pPr>
        <w:spacing w:after="0" w:line="276" w:lineRule="auto"/>
        <w:contextualSpacing/>
        <w:jc w:val="both"/>
        <w:rPr>
          <w:rFonts w:ascii="Verdana" w:eastAsia="Calibri" w:hAnsi="Verdana" w:cs="Arial"/>
          <w:bCs/>
          <w:lang w:val="es-ES_tradnl" w:eastAsia="es-ES_tradnl"/>
        </w:rPr>
      </w:pPr>
      <w:r w:rsidRPr="00CC5C68">
        <w:rPr>
          <w:rFonts w:ascii="Verdana" w:eastAsia="Calibri" w:hAnsi="Verdana" w:cs="Arial"/>
          <w:lang w:val="es-ES_tradnl" w:eastAsia="es-ES_tradnl"/>
        </w:rPr>
        <w:t>Estimad</w:t>
      </w:r>
      <w:r>
        <w:rPr>
          <w:rFonts w:ascii="Verdana" w:eastAsia="Calibri" w:hAnsi="Verdana" w:cs="Arial"/>
          <w:lang w:val="es-ES_tradnl" w:eastAsia="es-ES_tradnl"/>
        </w:rPr>
        <w:t>o</w:t>
      </w:r>
      <w:r w:rsidRPr="00CC5C68">
        <w:rPr>
          <w:rFonts w:ascii="Verdana" w:eastAsia="Calibri" w:hAnsi="Verdana" w:cs="Arial"/>
          <w:lang w:val="es-ES_tradnl" w:eastAsia="es-ES_tradnl"/>
        </w:rPr>
        <w:t xml:space="preserve"> seño</w:t>
      </w:r>
      <w:r>
        <w:rPr>
          <w:rFonts w:ascii="Verdana" w:eastAsia="Calibri" w:hAnsi="Verdana" w:cs="Arial"/>
          <w:lang w:val="es-ES_tradnl" w:eastAsia="es-ES_tradnl"/>
        </w:rPr>
        <w:t>r</w:t>
      </w:r>
      <w:r w:rsidRPr="00CC5C68">
        <w:rPr>
          <w:rFonts w:ascii="Verdana" w:eastAsia="Calibri" w:hAnsi="Verdana" w:cs="Arial"/>
          <w:lang w:val="es-ES_tradnl" w:eastAsia="es-ES_tradnl"/>
        </w:rPr>
        <w:t xml:space="preserve"> </w:t>
      </w:r>
      <w:r>
        <w:rPr>
          <w:rFonts w:ascii="Verdana" w:eastAsia="Calibri" w:hAnsi="Verdana" w:cs="Arial"/>
          <w:lang w:val="es-ES_tradnl" w:eastAsia="es-ES_tradnl"/>
        </w:rPr>
        <w:t>Vásquez</w:t>
      </w:r>
      <w:r w:rsidRPr="00CC5C68">
        <w:rPr>
          <w:rFonts w:ascii="Verdana" w:eastAsia="Calibri" w:hAnsi="Verdana" w:cs="Arial"/>
          <w:bCs/>
          <w:lang w:val="es-ES_tradnl" w:eastAsia="es-ES_tradnl"/>
        </w:rPr>
        <w:t>:</w:t>
      </w:r>
    </w:p>
    <w:p w14:paraId="125FBE1A" w14:textId="77777777" w:rsidR="001141A7" w:rsidRPr="00CC5C68" w:rsidRDefault="001141A7" w:rsidP="001141A7">
      <w:pPr>
        <w:spacing w:after="0" w:line="276" w:lineRule="auto"/>
        <w:contextualSpacing/>
        <w:jc w:val="both"/>
        <w:rPr>
          <w:rFonts w:ascii="Verdana" w:eastAsia="Calibri" w:hAnsi="Verdana" w:cs="Arial"/>
          <w:lang w:val="es-ES_tradnl" w:eastAsia="es-ES_tradnl"/>
        </w:rPr>
      </w:pPr>
    </w:p>
    <w:p w14:paraId="7E0C99AC" w14:textId="77777777" w:rsidR="001141A7" w:rsidRPr="00CC5C68" w:rsidRDefault="001141A7" w:rsidP="001141A7">
      <w:pPr>
        <w:spacing w:after="0" w:line="276" w:lineRule="auto"/>
        <w:contextualSpacing/>
        <w:jc w:val="both"/>
        <w:rPr>
          <w:rFonts w:ascii="Verdana" w:eastAsia="Calibri" w:hAnsi="Verdana" w:cs="Arial"/>
          <w:lang w:val="es-ES" w:eastAsia="es-ES_tradnl"/>
        </w:rPr>
      </w:pPr>
      <w:r w:rsidRPr="00CC5C68">
        <w:rPr>
          <w:rFonts w:ascii="Verdana" w:eastAsia="Calibri" w:hAnsi="Verdana" w:cs="Arial"/>
          <w:lang w:val="es-ES" w:eastAsia="es-ES_tradnl"/>
        </w:rPr>
        <w:t>En ejercicio de la competencia otorgada por los artículos 3, numeral 5º, y 11, numeral 8º, del Decreto Ley 4170 de 2011, así como lo establecido en el artículo 4 de la Resolución 1707 de 2018 expedida por esta Entidad, la Agencia Nacional de Contratación Pública – Colombia Compra Eficiente– responde su solicitud de consulta de fecha</w:t>
      </w:r>
      <w:r>
        <w:rPr>
          <w:rFonts w:ascii="Verdana" w:eastAsia="Calibri" w:hAnsi="Verdana" w:cs="Arial"/>
          <w:lang w:val="es-ES" w:eastAsia="es-ES_tradnl"/>
        </w:rPr>
        <w:t xml:space="preserve"> 12 de noviembre de</w:t>
      </w:r>
      <w:r w:rsidRPr="00CC5C68">
        <w:rPr>
          <w:rFonts w:ascii="Verdana" w:eastAsia="Calibri" w:hAnsi="Verdana" w:cs="Arial"/>
          <w:lang w:val="es-ES" w:eastAsia="es-ES_tradnl"/>
        </w:rPr>
        <w:t xml:space="preserve"> 202</w:t>
      </w:r>
      <w:r>
        <w:rPr>
          <w:rFonts w:ascii="Verdana" w:eastAsia="Calibri" w:hAnsi="Verdana" w:cs="Arial"/>
          <w:lang w:val="es-ES" w:eastAsia="es-ES_tradnl"/>
        </w:rPr>
        <w:t>5</w:t>
      </w:r>
      <w:r w:rsidRPr="00CC5C68">
        <w:rPr>
          <w:rFonts w:ascii="Verdana" w:eastAsia="Calibri" w:hAnsi="Verdana" w:cs="Arial"/>
          <w:lang w:val="es-ES" w:eastAsia="es-ES_tradnl"/>
        </w:rPr>
        <w:t>,</w:t>
      </w:r>
      <w:r>
        <w:rPr>
          <w:rFonts w:ascii="Verdana" w:eastAsia="Calibri" w:hAnsi="Verdana" w:cs="Arial"/>
          <w:lang w:val="es-ES" w:eastAsia="es-ES_tradnl"/>
        </w:rPr>
        <w:t xml:space="preserve"> remitida por el Departamento Administrativo de la Función Pública con oficio remisorio No. </w:t>
      </w:r>
      <w:r w:rsidRPr="00BE009A">
        <w:rPr>
          <w:rFonts w:ascii="Verdana" w:eastAsia="Calibri" w:hAnsi="Verdana" w:cs="Arial"/>
          <w:lang w:val="es-ES" w:eastAsia="es-ES_tradnl"/>
        </w:rPr>
        <w:t>20252040543881</w:t>
      </w:r>
      <w:r>
        <w:rPr>
          <w:rFonts w:ascii="Verdana" w:eastAsia="Calibri" w:hAnsi="Verdana" w:cs="Arial"/>
          <w:lang w:val="es-ES" w:eastAsia="es-ES_tradnl"/>
        </w:rPr>
        <w:t xml:space="preserve"> </w:t>
      </w:r>
      <w:r w:rsidRPr="00CC5C68">
        <w:rPr>
          <w:rFonts w:ascii="Verdana" w:eastAsia="Calibri" w:hAnsi="Verdana" w:cs="Arial"/>
          <w:lang w:val="es-ES" w:eastAsia="es-ES_tradnl"/>
        </w:rPr>
        <w:t>en la cual manifiesta lo siguiente:</w:t>
      </w:r>
    </w:p>
    <w:p w14:paraId="44705E76" w14:textId="77777777" w:rsidR="001141A7" w:rsidRPr="00CC5C68" w:rsidRDefault="001141A7" w:rsidP="001141A7">
      <w:pPr>
        <w:spacing w:after="0" w:line="276" w:lineRule="auto"/>
        <w:contextualSpacing/>
        <w:jc w:val="both"/>
        <w:rPr>
          <w:rFonts w:ascii="Verdana" w:eastAsia="Calibri" w:hAnsi="Verdana" w:cs="Arial"/>
          <w:b/>
          <w:szCs w:val="24"/>
          <w:lang w:val="es-ES_tradnl" w:eastAsia="es-ES_tradnl"/>
        </w:rPr>
      </w:pPr>
    </w:p>
    <w:p w14:paraId="25E49BD4" w14:textId="77777777" w:rsidR="001141A7" w:rsidRPr="00CC5C68" w:rsidRDefault="001141A7" w:rsidP="001141A7">
      <w:pPr>
        <w:spacing w:after="0" w:line="240" w:lineRule="auto"/>
        <w:ind w:left="709" w:right="709"/>
        <w:contextualSpacing/>
        <w:jc w:val="both"/>
        <w:rPr>
          <w:rFonts w:ascii="Verdana" w:eastAsia="Times New Roman" w:hAnsi="Verdana" w:cs="Arial"/>
          <w:sz w:val="21"/>
          <w:szCs w:val="21"/>
          <w:lang w:eastAsia="es-ES_tradnl"/>
        </w:rPr>
      </w:pPr>
      <w:r w:rsidRPr="00CC5C68">
        <w:rPr>
          <w:rFonts w:ascii="Verdana" w:eastAsia="Times New Roman" w:hAnsi="Verdana" w:cs="Arial"/>
          <w:sz w:val="21"/>
          <w:szCs w:val="21"/>
          <w:lang w:eastAsia="es-ES_tradnl"/>
        </w:rPr>
        <w:t>“</w:t>
      </w:r>
      <w:r w:rsidRPr="00761CC6">
        <w:rPr>
          <w:rFonts w:ascii="Verdana" w:eastAsia="Times New Roman" w:hAnsi="Verdana" w:cs="Arial"/>
          <w:sz w:val="21"/>
          <w:szCs w:val="21"/>
          <w:lang w:eastAsia="es-ES_tradnl"/>
        </w:rPr>
        <w:t>Buenas tardes, resulta que tengo una trabajadora contratada por prestación de servicios en un establecimiento público que se encuentra en embarazo y goza de la estabilidad laboral reforzada,</w:t>
      </w:r>
      <w:r>
        <w:rPr>
          <w:rFonts w:ascii="Verdana" w:eastAsia="Times New Roman" w:hAnsi="Verdana" w:cs="Arial"/>
          <w:sz w:val="21"/>
          <w:szCs w:val="21"/>
          <w:lang w:eastAsia="es-ES_tradnl"/>
        </w:rPr>
        <w:t xml:space="preserve"> </w:t>
      </w:r>
      <w:r w:rsidRPr="00761CC6">
        <w:rPr>
          <w:rFonts w:ascii="Verdana" w:eastAsia="Times New Roman" w:hAnsi="Verdana" w:cs="Arial"/>
          <w:sz w:val="21"/>
          <w:szCs w:val="21"/>
          <w:lang w:eastAsia="es-ES_tradnl"/>
        </w:rPr>
        <w:t xml:space="preserve">Ella solicita que se suspenda el contrato sólo por un mes después de tener el bebé, es decir, que una vez tenga el bebé se le suspenda el contrato por un mes y que luego se proceda a cancelarle los honorarios por prestación de servicios una vez se venza el plazo del mes por el cual se suspendió </w:t>
      </w:r>
      <w:r w:rsidRPr="00761CC6">
        <w:rPr>
          <w:rFonts w:ascii="Verdana" w:eastAsia="Times New Roman" w:hAnsi="Verdana" w:cs="Arial"/>
          <w:sz w:val="21"/>
          <w:szCs w:val="21"/>
          <w:lang w:eastAsia="es-ES_tradnl"/>
        </w:rPr>
        <w:lastRenderedPageBreak/>
        <w:t>el contrato con la entidad pública Puedo aceptar que renuncie al resto del tiempo de su licencia para permitirle reanudar las labores del contrato a sabiendas que el derecho a la licencia por maternidad es un derecho irrenunciable?, A además si se puede suspender sólo por ese mes, la EPS está obligada a seguirle pagando la remuneración por la licencia de maternidad a sabiendas de que ya se reanudó su contrato?</w:t>
      </w:r>
      <w:r w:rsidRPr="00175448">
        <w:t xml:space="preserve"> </w:t>
      </w:r>
      <w:r w:rsidRPr="00175448">
        <w:rPr>
          <w:rFonts w:ascii="Verdana" w:eastAsia="Times New Roman" w:hAnsi="Verdana" w:cs="Arial"/>
          <w:sz w:val="21"/>
          <w:szCs w:val="21"/>
          <w:lang w:eastAsia="es-ES_tradnl"/>
        </w:rPr>
        <w:t>Además, el contrato se vence el 30 de diciembre de 2025. si se suspende, la reanudación se haría solo por el tiempo que le resta, esto es hasta el 30 de diciembre o el periodo del contrato en atención a la suspensión se correría un mes más, esto es hasta el 30 de enero debido a la suspensión?</w:t>
      </w:r>
      <w:r w:rsidRPr="00CC5C68">
        <w:rPr>
          <w:rFonts w:ascii="Verdana" w:eastAsia="Times New Roman" w:hAnsi="Verdana" w:cs="Arial"/>
          <w:sz w:val="21"/>
          <w:szCs w:val="21"/>
          <w:lang w:eastAsia="es-ES_tradnl"/>
        </w:rPr>
        <w:t>”.</w:t>
      </w:r>
    </w:p>
    <w:p w14:paraId="4E3AC804" w14:textId="77777777" w:rsidR="001141A7" w:rsidRPr="00CC5C68" w:rsidRDefault="001141A7" w:rsidP="001141A7">
      <w:pPr>
        <w:spacing w:after="0" w:line="240" w:lineRule="auto"/>
        <w:ind w:left="709" w:right="709"/>
        <w:contextualSpacing/>
        <w:jc w:val="both"/>
        <w:rPr>
          <w:rFonts w:ascii="Verdana" w:eastAsia="Times New Roman" w:hAnsi="Verdana" w:cs="Arial"/>
          <w:sz w:val="21"/>
          <w:szCs w:val="21"/>
          <w:lang w:eastAsia="es-ES_tradnl"/>
        </w:rPr>
      </w:pPr>
    </w:p>
    <w:p w14:paraId="40181D8A" w14:textId="77777777" w:rsidR="001141A7" w:rsidRPr="00CC5C68" w:rsidRDefault="001141A7" w:rsidP="001141A7">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78321A09" w14:textId="77777777" w:rsidR="001141A7" w:rsidRPr="00CC5C68" w:rsidRDefault="001141A7" w:rsidP="001141A7">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351DC27B" w14:textId="77777777" w:rsidR="001141A7" w:rsidRPr="00CC5C68" w:rsidRDefault="001141A7" w:rsidP="001141A7">
      <w:pPr>
        <w:spacing w:after="0" w:line="276" w:lineRule="auto"/>
        <w:contextualSpacing/>
        <w:jc w:val="both"/>
        <w:rPr>
          <w:rFonts w:ascii="Verdana" w:eastAsia="Times New Roman" w:hAnsi="Verdana" w:cs="Arial"/>
          <w:szCs w:val="24"/>
          <w:lang w:val="es-ES_tradnl" w:eastAsia="es-ES_tradnl"/>
        </w:rPr>
      </w:pPr>
    </w:p>
    <w:p w14:paraId="51BAC239" w14:textId="77777777" w:rsidR="001141A7" w:rsidRPr="00CC5C68" w:rsidRDefault="001141A7" w:rsidP="001141A7">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04B9E0DF" w14:textId="77777777" w:rsidR="001141A7" w:rsidRPr="00CC5C68" w:rsidRDefault="001141A7" w:rsidP="001141A7">
      <w:pPr>
        <w:tabs>
          <w:tab w:val="left" w:pos="0"/>
          <w:tab w:val="left" w:pos="284"/>
        </w:tabs>
        <w:spacing w:after="0" w:line="276" w:lineRule="auto"/>
        <w:contextualSpacing/>
        <w:jc w:val="both"/>
        <w:rPr>
          <w:rFonts w:ascii="Verdana" w:eastAsia="Calibri" w:hAnsi="Verdana" w:cs="Arial"/>
          <w:b/>
          <w:lang w:val="es-ES_tradnl"/>
        </w:rPr>
      </w:pPr>
    </w:p>
    <w:p w14:paraId="69F48E85" w14:textId="77777777" w:rsidR="001141A7" w:rsidRPr="00CC5C68" w:rsidRDefault="001141A7" w:rsidP="001141A7">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el siguiente problema jurídico: ¿Es </w:t>
      </w:r>
      <w:r>
        <w:rPr>
          <w:rFonts w:ascii="Verdana" w:eastAsia="Century Gothic" w:hAnsi="Verdana" w:cs="Century Gothic"/>
        </w:rPr>
        <w:t>posible suspender o continuar un contrato de prestación de servicios por licencia de maternidad</w:t>
      </w:r>
      <w:r w:rsidRPr="00CC5C68">
        <w:rPr>
          <w:rFonts w:ascii="Verdana" w:eastAsia="Century Gothic" w:hAnsi="Verdana" w:cs="Century Gothic"/>
        </w:rPr>
        <w:t xml:space="preserve">? </w:t>
      </w:r>
    </w:p>
    <w:p w14:paraId="660C7767" w14:textId="77777777" w:rsidR="001141A7" w:rsidRPr="00CC5C68" w:rsidRDefault="001141A7" w:rsidP="001141A7">
      <w:pPr>
        <w:spacing w:after="0" w:line="276" w:lineRule="auto"/>
        <w:ind w:firstLine="709"/>
        <w:jc w:val="both"/>
        <w:rPr>
          <w:rFonts w:ascii="Verdana" w:eastAsia="Calibri" w:hAnsi="Verdana" w:cs="Arial"/>
          <w:lang w:val="es-ES" w:eastAsia="es-ES_tradnl"/>
        </w:rPr>
      </w:pPr>
    </w:p>
    <w:p w14:paraId="074DAAA0" w14:textId="77777777" w:rsidR="001141A7" w:rsidRPr="00CC5C68" w:rsidRDefault="001141A7" w:rsidP="001141A7">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4997676F" w14:textId="77777777" w:rsidR="001141A7" w:rsidRPr="00CC5C68" w:rsidRDefault="001141A7" w:rsidP="001141A7">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1141A7" w:rsidRPr="00CC5C68" w14:paraId="1125D887" w14:textId="77777777" w:rsidTr="007435C4">
        <w:tc>
          <w:tcPr>
            <w:tcW w:w="8828" w:type="dxa"/>
          </w:tcPr>
          <w:p w14:paraId="5067E6B7" w14:textId="77777777" w:rsidR="001141A7" w:rsidRPr="009E57A7" w:rsidRDefault="001141A7" w:rsidP="007435C4">
            <w:pPr>
              <w:spacing w:after="120" w:line="276" w:lineRule="auto"/>
              <w:jc w:val="both"/>
              <w:rPr>
                <w:rFonts w:ascii="Verdana" w:eastAsia="Times New Roman" w:hAnsi="Verdana" w:cs="Arial"/>
                <w:lang w:eastAsia="es-ES_tradnl"/>
              </w:rPr>
            </w:pPr>
            <w:r w:rsidRPr="009E57A7">
              <w:rPr>
                <w:rFonts w:ascii="Verdana" w:eastAsia="Times New Roman" w:hAnsi="Verdana" w:cs="Arial"/>
                <w:lang w:eastAsia="es-ES_tradnl"/>
              </w:rPr>
              <w:t xml:space="preserve">Conforme </w:t>
            </w:r>
            <w:r>
              <w:rPr>
                <w:rFonts w:ascii="Verdana" w:eastAsia="Times New Roman" w:hAnsi="Verdana" w:cs="Arial"/>
                <w:lang w:eastAsia="es-ES_tradnl"/>
              </w:rPr>
              <w:t>l</w:t>
            </w:r>
            <w:r w:rsidRPr="009E57A7">
              <w:rPr>
                <w:rFonts w:ascii="Verdana" w:eastAsia="Times New Roman" w:hAnsi="Verdana" w:cs="Arial"/>
                <w:lang w:eastAsia="es-ES_tradnl"/>
              </w:rPr>
              <w:t>o expuesto a lo largo del presente concepto,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3D0AC8B5" w14:textId="77777777" w:rsidR="001141A7" w:rsidRPr="009E57A7" w:rsidRDefault="001141A7" w:rsidP="007435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61C29381" w14:textId="77777777" w:rsidR="001141A7" w:rsidRPr="009E57A7" w:rsidRDefault="001141A7" w:rsidP="007435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00A1AE35" w14:textId="77777777" w:rsidR="001141A7" w:rsidRPr="009E57A7" w:rsidRDefault="001141A7" w:rsidP="007435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 xml:space="preserve">Ahora bien, frente a la consulta planteada acerca de si es procedente o no suspender un contrato de prestación de servicios cuando la contratista está en estado de embarazo o durante la licencia de maternidad debe señalarse que, no existe disposición normativa que consagre de forma expresa las causales de suspensión del contrato, mucho menos en virtud del estado de embarazo o de la licencia de maternidad. En ejercicio de la autonomía de las partes contratantes, las mismas podrán convenir la cláusula de suspensión del contrato de prestación de servicios, fijando las reglas por las cuales procederán las mismas teniendo en cuenta las disposiciones referidas en la Ley 80 de 1993 y Ley 1150 de 2007. Así las cosas, las partes son quienes determinan las condiciones y términos según los cuales deben llevarse a cabo la suspensión </w:t>
            </w:r>
            <w:r w:rsidRPr="009E57A7">
              <w:rPr>
                <w:rFonts w:ascii="Verdana" w:eastAsia="Times New Roman" w:hAnsi="Verdana" w:cs="Arial"/>
                <w:lang w:eastAsia="es-ES_tradnl"/>
              </w:rPr>
              <w:lastRenderedPageBreak/>
              <w:t>del contrato, por lo que ninguna de las partes de manera unilateral puede declararla por fuera de lo convenido.</w:t>
            </w:r>
          </w:p>
          <w:p w14:paraId="55A4E1C6" w14:textId="77777777" w:rsidR="001141A7" w:rsidRDefault="001141A7" w:rsidP="007435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 En ese sentido, si a pesar de la licencia, las partes acuerdan no suspender el contrato y la contratista acredita el cumplimiento de las actividades contratadas, habría lugar al pago de honorarios, pues el objeto contractual estaría siendo ejecutado. Por el contrario, si deciden suspenderlo, teniendo en cuenta que no se estarían cumpliendo las obligaciones contractuales no habría lugar al pago de honorarios y la prestación económica sería asumida por el Sistema General de Seguridad Social en salud, es decir, estaría a cargo de las ESP.</w:t>
            </w:r>
          </w:p>
          <w:p w14:paraId="31763D74" w14:textId="77777777" w:rsidR="001141A7" w:rsidRDefault="001141A7" w:rsidP="007435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Finalmente, se debe tener en cuenta que la suspensión del contrato no implica la ampliación de su plazo de ejecución, sino solamente la determinación de un periodo en el cual cesará el cumplimiento de las actividades pactadas, por tanto, no habrá lugar al pago de honorarios correspondientes a este tiempo y el plazo de ejecución continuará siendo el mismo inicialmente pactado.</w:t>
            </w:r>
          </w:p>
          <w:p w14:paraId="202045E3" w14:textId="77777777" w:rsidR="001141A7" w:rsidRPr="00CC5C68" w:rsidRDefault="001141A7" w:rsidP="007435C4">
            <w:pPr>
              <w:spacing w:after="120" w:line="276" w:lineRule="auto"/>
              <w:ind w:firstLine="709"/>
              <w:jc w:val="both"/>
              <w:rPr>
                <w:rFonts w:ascii="Verdana" w:eastAsia="Calibri" w:hAnsi="Verdana" w:cs="Arial"/>
                <w:color w:val="7030A0"/>
              </w:rPr>
            </w:pPr>
            <w:r w:rsidRPr="00CC5C68">
              <w:rPr>
                <w:rFonts w:ascii="Verdana" w:eastAsia="Times New Roman" w:hAnsi="Verdana" w:cs="Arial"/>
                <w:lang w:eastAsia="es-ES_tradnl"/>
              </w:rPr>
              <w:t xml:space="preserve">Sin perjuicio de las aclaraciones anteriores, debe advertirse que es la entidad contratante, al momento de adelantar su actividad contractual, quien debe determinar lo correspondiente </w:t>
            </w:r>
            <w:r>
              <w:rPr>
                <w:rFonts w:ascii="Verdana" w:eastAsia="Times New Roman" w:hAnsi="Verdana" w:cs="Arial"/>
                <w:lang w:eastAsia="es-ES_tradnl"/>
              </w:rPr>
              <w:t>a la licencia de maternidad</w:t>
            </w:r>
            <w:r w:rsidRPr="00CC5C68">
              <w:rPr>
                <w:rFonts w:ascii="Verdana" w:eastAsia="Times New Roman" w:hAnsi="Verdana" w:cs="Arial"/>
                <w:lang w:eastAsia="es-ES_tradnl"/>
              </w:rPr>
              <w:t>. Dado esto, y en atención al alcance la función consultiva atribuida a esta Agencia, lo aquí mencionado no constituye un juicio de valor sobre un proceso contractual particular.</w:t>
            </w:r>
          </w:p>
        </w:tc>
      </w:tr>
    </w:tbl>
    <w:p w14:paraId="73F07C52" w14:textId="77777777" w:rsidR="001141A7" w:rsidRPr="00274E54" w:rsidRDefault="001141A7" w:rsidP="00E65094">
      <w:pPr>
        <w:spacing w:after="0" w:line="276" w:lineRule="auto"/>
        <w:jc w:val="both"/>
        <w:rPr>
          <w:rFonts w:ascii="Verdana" w:eastAsia="Times New Roman" w:hAnsi="Verdana" w:cs="Arial"/>
          <w:lang w:eastAsia="es-ES_tradnl"/>
        </w:rPr>
      </w:pPr>
    </w:p>
    <w:p w14:paraId="6BDE485A" w14:textId="77777777" w:rsidR="001141A7" w:rsidRPr="00274E54" w:rsidRDefault="001141A7" w:rsidP="00AF7CDB">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274E54">
        <w:rPr>
          <w:rFonts w:ascii="Verdana" w:eastAsia="Century Gothic" w:hAnsi="Verdana" w:cs="Century Gothic"/>
          <w:b/>
          <w:bCs/>
        </w:rPr>
        <w:t>3. Razones de la respuesta:</w:t>
      </w:r>
    </w:p>
    <w:p w14:paraId="498A9A8F" w14:textId="77777777" w:rsidR="001141A7" w:rsidRPr="00AF7CDB" w:rsidRDefault="001141A7" w:rsidP="00577FA9">
      <w:pPr>
        <w:spacing w:after="0" w:line="276" w:lineRule="auto"/>
        <w:jc w:val="both"/>
        <w:rPr>
          <w:rFonts w:ascii="Verdana" w:eastAsia="Calibri" w:hAnsi="Verdana" w:cs="Arial"/>
          <w:color w:val="7030A0"/>
          <w:lang w:val="es-ES"/>
        </w:rPr>
      </w:pPr>
    </w:p>
    <w:p w14:paraId="65582F25" w14:textId="77777777" w:rsidR="001141A7" w:rsidRPr="00AF7CDB" w:rsidRDefault="001141A7">
      <w:pPr>
        <w:spacing w:after="0" w:line="276" w:lineRule="auto"/>
        <w:jc w:val="both"/>
        <w:rPr>
          <w:rFonts w:ascii="Verdana" w:eastAsia="Calibri" w:hAnsi="Verdana" w:cs="Arial"/>
          <w:lang w:val="es-ES"/>
        </w:rPr>
      </w:pPr>
      <w:r w:rsidRPr="00AF7CDB">
        <w:rPr>
          <w:rFonts w:ascii="Verdana" w:eastAsia="Calibri" w:hAnsi="Verdana" w:cs="Arial"/>
          <w:lang w:val="es-ES"/>
        </w:rPr>
        <w:t xml:space="preserve">Lo anterior se sustenta en las siguientes consideraciones: </w:t>
      </w:r>
    </w:p>
    <w:p w14:paraId="0D3735AB" w14:textId="77777777" w:rsidR="00274E54" w:rsidRPr="00577FA9" w:rsidRDefault="00274E54">
      <w:pPr>
        <w:spacing w:after="0" w:line="276" w:lineRule="auto"/>
        <w:jc w:val="both"/>
        <w:rPr>
          <w:rFonts w:ascii="Verdana" w:eastAsia="Calibri" w:hAnsi="Verdana" w:cs="Arial"/>
          <w:lang w:val="es-ES"/>
        </w:rPr>
      </w:pPr>
    </w:p>
    <w:p w14:paraId="5562C8AF" w14:textId="787C5011" w:rsidR="00274E54" w:rsidRPr="00E65094" w:rsidRDefault="001141A7" w:rsidP="00E65094">
      <w:pPr>
        <w:spacing w:after="120" w:line="276" w:lineRule="auto"/>
        <w:jc w:val="both"/>
        <w:rPr>
          <w:rFonts w:ascii="Verdana" w:eastAsia="Calibri" w:hAnsi="Verdana" w:cs="Arial"/>
          <w:bCs/>
          <w:lang w:val="es-MX"/>
        </w:rPr>
      </w:pPr>
      <w:r w:rsidRPr="00E65094">
        <w:rPr>
          <w:rFonts w:ascii="Verdana" w:eastAsia="Calibri" w:hAnsi="Verdana" w:cs="Arial"/>
          <w:bCs/>
          <w:lang w:val="es-MX"/>
        </w:rPr>
        <w:t xml:space="preserve">El fuero de maternidad es una figura que otorga una protección reforzada a la futura madre y a la que acaba de serlo, es decir, a la mujer que se encuentra en estado de embarazo y en periodo de lactancia, con el fin de que el proceso de </w:t>
      </w:r>
      <w:r w:rsidRPr="00E65094">
        <w:rPr>
          <w:rFonts w:ascii="Verdana" w:eastAsia="Calibri" w:hAnsi="Verdana" w:cs="Arial"/>
          <w:bCs/>
          <w:lang w:val="es-MX"/>
        </w:rPr>
        <w:lastRenderedPageBreak/>
        <w:t>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discriminación constituida por el despido, la terminación o la no renovación del contrato por causa o con ocasión del embarazo o la lactancia”</w:t>
      </w:r>
      <w:r w:rsidRPr="00274E54">
        <w:rPr>
          <w:rStyle w:val="Refdenotaalpie"/>
          <w:rFonts w:ascii="Verdana" w:eastAsia="Calibri" w:hAnsi="Verdana" w:cs="Arial"/>
          <w:bCs/>
        </w:rPr>
        <w:footnoteReference w:id="1"/>
      </w:r>
      <w:r w:rsidRPr="00E65094">
        <w:rPr>
          <w:rFonts w:ascii="Verdana" w:eastAsia="Calibri" w:hAnsi="Verdana" w:cs="Arial"/>
          <w:bCs/>
          <w:lang w:val="es-MX"/>
        </w:rPr>
        <w:t>.</w:t>
      </w:r>
      <w:r w:rsidR="00274E54" w:rsidRPr="00274E54">
        <w:rPr>
          <w:rFonts w:ascii="Verdana" w:eastAsia="Calibri" w:hAnsi="Verdana" w:cs="Arial"/>
          <w:bCs/>
          <w:lang w:val="es-MX"/>
        </w:rPr>
        <w:tab/>
      </w:r>
    </w:p>
    <w:p w14:paraId="0485D91D" w14:textId="203EBC33" w:rsidR="00274E54" w:rsidRPr="00E65094" w:rsidRDefault="001141A7" w:rsidP="00E65094">
      <w:pPr>
        <w:spacing w:after="120" w:line="276" w:lineRule="auto"/>
        <w:ind w:firstLine="708"/>
        <w:jc w:val="both"/>
        <w:rPr>
          <w:rFonts w:ascii="Verdana" w:hAnsi="Verdana"/>
        </w:rPr>
      </w:pPr>
      <w:r w:rsidRPr="00E65094">
        <w:rPr>
          <w:rFonts w:ascii="Verdana" w:hAnsi="Verdana"/>
        </w:rPr>
        <w:t>Para desarrollar el problema planteado, se explicarán las dos posiciones que ha definido la Corte Constitucional para proteger el fuero de maternidad a una mujer que está vinculada</w:t>
      </w:r>
      <w:r w:rsidRPr="00E65094">
        <w:rPr>
          <w:rFonts w:ascii="Verdana" w:hAnsi="Verdana"/>
          <w:spacing w:val="19"/>
        </w:rPr>
        <w:t xml:space="preserve"> </w:t>
      </w:r>
      <w:r w:rsidRPr="00E65094">
        <w:rPr>
          <w:rFonts w:ascii="Verdana" w:hAnsi="Verdana"/>
        </w:rPr>
        <w:t>a</w:t>
      </w:r>
      <w:r w:rsidRPr="00E65094">
        <w:rPr>
          <w:rFonts w:ascii="Verdana" w:hAnsi="Verdana"/>
          <w:spacing w:val="19"/>
        </w:rPr>
        <w:t xml:space="preserve"> </w:t>
      </w:r>
      <w:r w:rsidRPr="00E65094">
        <w:rPr>
          <w:rFonts w:ascii="Verdana" w:hAnsi="Verdana"/>
        </w:rPr>
        <w:t>través</w:t>
      </w:r>
      <w:r w:rsidRPr="00E65094">
        <w:rPr>
          <w:rFonts w:ascii="Verdana" w:hAnsi="Verdana"/>
          <w:spacing w:val="19"/>
        </w:rPr>
        <w:t xml:space="preserve"> </w:t>
      </w:r>
      <w:r w:rsidRPr="00E65094">
        <w:rPr>
          <w:rFonts w:ascii="Verdana" w:hAnsi="Verdana"/>
        </w:rPr>
        <w:t>de</w:t>
      </w:r>
      <w:r w:rsidRPr="00E65094">
        <w:rPr>
          <w:rFonts w:ascii="Verdana" w:hAnsi="Verdana"/>
          <w:spacing w:val="18"/>
        </w:rPr>
        <w:t xml:space="preserve"> </w:t>
      </w:r>
      <w:r w:rsidRPr="00E65094">
        <w:rPr>
          <w:rFonts w:ascii="Verdana" w:hAnsi="Verdana"/>
        </w:rPr>
        <w:t>un</w:t>
      </w:r>
      <w:r w:rsidRPr="00E65094">
        <w:rPr>
          <w:rFonts w:ascii="Verdana" w:hAnsi="Verdana"/>
          <w:spacing w:val="19"/>
        </w:rPr>
        <w:t xml:space="preserve"> </w:t>
      </w:r>
      <w:r w:rsidRPr="00E65094">
        <w:rPr>
          <w:rFonts w:ascii="Verdana" w:hAnsi="Verdana"/>
        </w:rPr>
        <w:t>contrato</w:t>
      </w:r>
      <w:r w:rsidRPr="00E65094">
        <w:rPr>
          <w:rFonts w:ascii="Verdana" w:hAnsi="Verdana"/>
          <w:spacing w:val="19"/>
        </w:rPr>
        <w:t xml:space="preserve"> </w:t>
      </w:r>
      <w:r w:rsidRPr="00E65094">
        <w:rPr>
          <w:rFonts w:ascii="Verdana" w:hAnsi="Verdana"/>
        </w:rPr>
        <w:t>de</w:t>
      </w:r>
      <w:r w:rsidRPr="00E65094">
        <w:rPr>
          <w:rFonts w:ascii="Verdana" w:hAnsi="Verdana"/>
          <w:spacing w:val="18"/>
        </w:rPr>
        <w:t xml:space="preserve"> </w:t>
      </w:r>
      <w:r w:rsidRPr="00E65094">
        <w:rPr>
          <w:rFonts w:ascii="Verdana" w:hAnsi="Verdana"/>
        </w:rPr>
        <w:t>prestación</w:t>
      </w:r>
      <w:r w:rsidRPr="00E65094">
        <w:rPr>
          <w:rFonts w:ascii="Verdana" w:hAnsi="Verdana"/>
          <w:spacing w:val="19"/>
        </w:rPr>
        <w:t xml:space="preserve"> </w:t>
      </w:r>
      <w:r w:rsidRPr="00E65094">
        <w:rPr>
          <w:rFonts w:ascii="Verdana" w:hAnsi="Verdana"/>
        </w:rPr>
        <w:t>de</w:t>
      </w:r>
      <w:r w:rsidRPr="00E65094">
        <w:rPr>
          <w:rFonts w:ascii="Verdana" w:hAnsi="Verdana"/>
          <w:spacing w:val="19"/>
        </w:rPr>
        <w:t xml:space="preserve"> </w:t>
      </w:r>
      <w:r w:rsidRPr="00E65094">
        <w:rPr>
          <w:rFonts w:ascii="Verdana" w:hAnsi="Verdana"/>
        </w:rPr>
        <w:t>servicios.</w:t>
      </w:r>
      <w:r w:rsidRPr="00E65094">
        <w:rPr>
          <w:rFonts w:ascii="Verdana" w:hAnsi="Verdana"/>
          <w:spacing w:val="18"/>
        </w:rPr>
        <w:t xml:space="preserve"> </w:t>
      </w:r>
      <w:r w:rsidRPr="00E65094">
        <w:rPr>
          <w:rFonts w:ascii="Verdana" w:hAnsi="Verdana"/>
        </w:rPr>
        <w:t>Lo</w:t>
      </w:r>
      <w:r w:rsidRPr="00E65094">
        <w:rPr>
          <w:rFonts w:ascii="Verdana" w:hAnsi="Verdana"/>
          <w:spacing w:val="24"/>
        </w:rPr>
        <w:t xml:space="preserve"> </w:t>
      </w:r>
      <w:r w:rsidRPr="00E65094">
        <w:rPr>
          <w:rFonts w:ascii="Verdana" w:hAnsi="Verdana"/>
        </w:rPr>
        <w:t>anterior</w:t>
      </w:r>
      <w:r w:rsidRPr="00E65094">
        <w:rPr>
          <w:rFonts w:ascii="Verdana" w:hAnsi="Verdana"/>
          <w:spacing w:val="18"/>
        </w:rPr>
        <w:t xml:space="preserve"> </w:t>
      </w:r>
      <w:r w:rsidRPr="00E65094">
        <w:rPr>
          <w:rFonts w:ascii="Verdana" w:hAnsi="Verdana"/>
        </w:rPr>
        <w:t>para</w:t>
      </w:r>
      <w:r w:rsidRPr="00E65094">
        <w:rPr>
          <w:rFonts w:ascii="Verdana" w:hAnsi="Verdana"/>
          <w:spacing w:val="18"/>
        </w:rPr>
        <w:t xml:space="preserve"> </w:t>
      </w:r>
      <w:r w:rsidRPr="00E65094">
        <w:rPr>
          <w:rFonts w:ascii="Verdana" w:hAnsi="Verdana"/>
        </w:rPr>
        <w:t>determinar cuál es la posición actual del Alto Tribunal Constitucional en la defensa el derecho a la estabilidad laboral reforzada</w:t>
      </w:r>
    </w:p>
    <w:p w14:paraId="28CAB635" w14:textId="2067613F" w:rsidR="00274E54" w:rsidRPr="00E65094" w:rsidRDefault="001141A7" w:rsidP="00E65094">
      <w:pPr>
        <w:spacing w:after="120" w:line="276" w:lineRule="auto"/>
        <w:ind w:firstLine="708"/>
        <w:jc w:val="both"/>
        <w:rPr>
          <w:rFonts w:ascii="Verdana" w:hAnsi="Verdana"/>
          <w:lang w:eastAsia="es-CO"/>
        </w:rPr>
      </w:pPr>
      <w:r w:rsidRPr="00E65094">
        <w:rPr>
          <w:rFonts w:ascii="Verdana" w:hAnsi="Verdana"/>
        </w:rPr>
        <w:t>La Corte Constitucional, en la Sentencia de Unificación 070 de 2013, con ponencia de la magistrada Gloria Stella Ortiz Delgado,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274E54">
        <w:rPr>
          <w:rStyle w:val="Refdenotaalpie"/>
          <w:rFonts w:ascii="Verdana" w:hAnsi="Verdana" w:cs="Arial"/>
        </w:rPr>
        <w:footnoteReference w:id="2"/>
      </w:r>
      <w:r w:rsidRPr="00E65094">
        <w:rPr>
          <w:rFonts w:ascii="Verdana" w:hAnsi="Verdana"/>
        </w:rPr>
        <w:t>. De esta forma, la protección a la estabilidad laboral reforzada de mujeres vinculadas a través de un contrato de prestación de servicios sólo procede frente aquellos casos donde se verifique la concurrencia de los tres (3) elementos del contrato de trabajo.</w:t>
      </w:r>
    </w:p>
    <w:p w14:paraId="004CFAA5" w14:textId="1CB35FBE" w:rsidR="00274E54" w:rsidRPr="00E65094" w:rsidRDefault="001141A7" w:rsidP="00E65094">
      <w:pPr>
        <w:spacing w:after="120" w:line="276" w:lineRule="auto"/>
        <w:ind w:firstLine="708"/>
        <w:jc w:val="both"/>
        <w:rPr>
          <w:rFonts w:ascii="Verdana" w:hAnsi="Verdana" w:cs="Arial"/>
          <w:lang w:eastAsia="es-CO"/>
        </w:rPr>
      </w:pPr>
      <w:r w:rsidRPr="00E65094">
        <w:rPr>
          <w:rFonts w:ascii="Verdana" w:hAnsi="Verdana" w:cs="Arial"/>
        </w:rPr>
        <w:lastRenderedPageBreak/>
        <w:t>Ahora bien, el Alto Tribunal Constitucional, en las sentencias T-102 de 2016</w:t>
      </w:r>
      <w:r w:rsidRPr="00274E54">
        <w:rPr>
          <w:rStyle w:val="Refdenotaalpie"/>
          <w:rFonts w:ascii="Verdana" w:hAnsi="Verdana" w:cs="Arial"/>
        </w:rPr>
        <w:footnoteReference w:id="3"/>
      </w:r>
      <w:r w:rsidRPr="00E65094">
        <w:rPr>
          <w:rFonts w:ascii="Verdana" w:hAnsi="Verdana" w:cs="Arial"/>
        </w:rPr>
        <w:t xml:space="preserve"> y T-564 de 2017</w:t>
      </w:r>
      <w:r w:rsidRPr="00274E54">
        <w:rPr>
          <w:rStyle w:val="Refdenotaalpie"/>
          <w:rFonts w:ascii="Verdana" w:hAnsi="Verdana" w:cs="Arial"/>
        </w:rPr>
        <w:footnoteReference w:id="4"/>
      </w:r>
      <w:r w:rsidRPr="00E65094">
        <w:rPr>
          <w:rFonts w:ascii="Verdana" w:hAnsi="Verdana" w:cs="Arial"/>
        </w:rPr>
        <w:t xml:space="preserve"> estableció otra posición, en los eventos donde no se prueba la configuración del contrato realidad en el contrato de prestación de servicios, señalando que este no es un motivo suficiente para desproteger los derechos de la estabilidad laboral reforzada de la mujer embarazada, si se comprueba que la terminación del contrato es discriminatoria y no atiende a un motivo objetivo.</w:t>
      </w:r>
    </w:p>
    <w:p w14:paraId="1ED1476F" w14:textId="54DC528C" w:rsidR="00274E54" w:rsidRPr="00E65094" w:rsidRDefault="001141A7" w:rsidP="00E65094">
      <w:pPr>
        <w:spacing w:after="120" w:line="276" w:lineRule="auto"/>
        <w:ind w:firstLine="708"/>
        <w:jc w:val="both"/>
        <w:rPr>
          <w:rFonts w:ascii="Verdana" w:hAnsi="Verdana"/>
        </w:rPr>
      </w:pPr>
      <w:r w:rsidRPr="00E65094">
        <w:rPr>
          <w:rFonts w:ascii="Verdana" w:hAnsi="Verdana"/>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E65094">
        <w:rPr>
          <w:rFonts w:ascii="Verdana" w:hAnsi="Verdana"/>
          <w:spacing w:val="3"/>
        </w:rPr>
        <w:t xml:space="preserve">T- </w:t>
      </w:r>
      <w:r w:rsidRPr="00E65094">
        <w:rPr>
          <w:rFonts w:ascii="Verdana" w:hAnsi="Verdana"/>
        </w:rPr>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E65094">
        <w:rPr>
          <w:rFonts w:ascii="Verdana" w:hAnsi="Verdana"/>
          <w:spacing w:val="-12"/>
        </w:rPr>
        <w:t xml:space="preserve"> </w:t>
      </w:r>
      <w:r w:rsidRPr="00E65094">
        <w:rPr>
          <w:rFonts w:ascii="Verdana" w:hAnsi="Verdana"/>
        </w:rPr>
        <w:t>otros.</w:t>
      </w:r>
    </w:p>
    <w:p w14:paraId="7B934CA4" w14:textId="77777777" w:rsidR="001141A7" w:rsidRPr="00E65094" w:rsidRDefault="001141A7" w:rsidP="00E65094">
      <w:pPr>
        <w:spacing w:after="0" w:line="276" w:lineRule="auto"/>
        <w:ind w:firstLine="708"/>
        <w:jc w:val="both"/>
        <w:rPr>
          <w:rFonts w:ascii="Verdana" w:hAnsi="Verdana"/>
        </w:rPr>
      </w:pPr>
      <w:r w:rsidRPr="00E65094">
        <w:rPr>
          <w:rFonts w:ascii="Verdana" w:hAnsi="Verdana"/>
        </w:rPr>
        <w:lastRenderedPageBreak/>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5CF02F41" w14:textId="77777777" w:rsidR="001141A7" w:rsidRPr="00274E54" w:rsidRDefault="001141A7" w:rsidP="00E65094">
      <w:pPr>
        <w:spacing w:after="0" w:line="276" w:lineRule="auto"/>
        <w:ind w:left="709" w:right="709"/>
        <w:jc w:val="both"/>
        <w:rPr>
          <w:rFonts w:ascii="Verdana" w:hAnsi="Verdana" w:cs="Arial"/>
        </w:rPr>
      </w:pPr>
    </w:p>
    <w:p w14:paraId="0551BE3D" w14:textId="77777777" w:rsidR="001141A7" w:rsidRPr="00E65094" w:rsidRDefault="001141A7" w:rsidP="00E65094">
      <w:pPr>
        <w:spacing w:after="0" w:line="240" w:lineRule="auto"/>
        <w:ind w:left="709" w:right="709"/>
        <w:contextualSpacing/>
        <w:jc w:val="both"/>
        <w:rPr>
          <w:rFonts w:ascii="Verdana" w:hAnsi="Verdana" w:cs="Arial"/>
          <w:i/>
          <w:sz w:val="20"/>
          <w:szCs w:val="20"/>
        </w:rPr>
      </w:pPr>
      <w:r w:rsidRPr="00E65094">
        <w:rPr>
          <w:rFonts w:ascii="Verdana" w:eastAsia="Yu Gothic UI Semibold" w:hAnsi="Verdana" w:cs="Arial"/>
          <w:iCs/>
          <w:sz w:val="20"/>
          <w:szCs w:val="20"/>
          <w:lang w:eastAsia="es-MX"/>
        </w:rPr>
        <w:t>“</w:t>
      </w:r>
      <w:r w:rsidRPr="00E65094">
        <w:rPr>
          <w:rFonts w:ascii="Verdana" w:hAnsi="Verdana" w:cs="Arial"/>
          <w:sz w:val="20"/>
          <w:szCs w:val="20"/>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considero que existen sentencias recientes de las diferentes Salas de Revisión que han establecido que en el marco de relaciones de prestación de servicios, el juez de tutela, </w:t>
      </w:r>
      <w:r w:rsidRPr="00E65094">
        <w:rPr>
          <w:rFonts w:ascii="Verdana" w:hAnsi="Verdana" w:cs="Arial"/>
          <w:i/>
          <w:sz w:val="20"/>
          <w:szCs w:val="20"/>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E65094">
        <w:rPr>
          <w:rFonts w:ascii="Verdana" w:hAnsi="Verdana" w:cs="Arial"/>
          <w:i/>
          <w:spacing w:val="-5"/>
          <w:sz w:val="20"/>
          <w:szCs w:val="20"/>
        </w:rPr>
        <w:t xml:space="preserve"> </w:t>
      </w:r>
      <w:r w:rsidRPr="00E65094">
        <w:rPr>
          <w:rFonts w:ascii="Verdana" w:hAnsi="Verdana" w:cs="Arial"/>
          <w:i/>
          <w:sz w:val="20"/>
          <w:szCs w:val="20"/>
        </w:rPr>
        <w:t>objetivo.</w:t>
      </w:r>
    </w:p>
    <w:p w14:paraId="2BFBD3AC" w14:textId="77777777" w:rsidR="001141A7" w:rsidRPr="00E65094" w:rsidRDefault="001141A7" w:rsidP="00E65094">
      <w:pPr>
        <w:spacing w:after="0" w:line="240" w:lineRule="auto"/>
        <w:ind w:left="709" w:right="709"/>
        <w:contextualSpacing/>
        <w:jc w:val="both"/>
        <w:rPr>
          <w:rFonts w:ascii="Verdana" w:hAnsi="Verdana" w:cs="Arial"/>
          <w:i/>
          <w:sz w:val="20"/>
          <w:szCs w:val="20"/>
        </w:rPr>
      </w:pPr>
    </w:p>
    <w:p w14:paraId="76F43916" w14:textId="3F32260B" w:rsidR="001141A7" w:rsidRDefault="001141A7" w:rsidP="00AF7CDB">
      <w:pPr>
        <w:spacing w:after="0" w:line="240" w:lineRule="auto"/>
        <w:ind w:left="709" w:right="709"/>
        <w:contextualSpacing/>
        <w:jc w:val="both"/>
        <w:rPr>
          <w:rFonts w:ascii="Verdana" w:hAnsi="Verdana" w:cs="Arial"/>
          <w:sz w:val="20"/>
          <w:szCs w:val="20"/>
        </w:rPr>
      </w:pPr>
      <w:r w:rsidRPr="00E65094">
        <w:rPr>
          <w:rFonts w:ascii="Verdana" w:hAnsi="Verdana" w:cs="Arial"/>
          <w:sz w:val="20"/>
          <w:szCs w:val="20"/>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sidRPr="00E65094">
        <w:rPr>
          <w:rFonts w:ascii="Verdana" w:hAnsi="Verdana" w:cs="Arial"/>
          <w:noProof/>
          <w:sz w:val="20"/>
          <w:szCs w:val="20"/>
          <w:lang w:val="es-ES_tradnl"/>
        </w:rPr>
        <w:t>”</w:t>
      </w:r>
      <w:r w:rsidRPr="00E65094">
        <w:rPr>
          <w:rFonts w:ascii="Verdana" w:hAnsi="Verdana" w:cs="Arial"/>
          <w:sz w:val="20"/>
          <w:szCs w:val="20"/>
        </w:rPr>
        <w:t>. [Cursiva por fuera del</w:t>
      </w:r>
      <w:r w:rsidRPr="00E65094">
        <w:rPr>
          <w:rFonts w:ascii="Verdana" w:hAnsi="Verdana" w:cs="Arial"/>
          <w:spacing w:val="-16"/>
          <w:sz w:val="20"/>
          <w:szCs w:val="20"/>
        </w:rPr>
        <w:t xml:space="preserve"> </w:t>
      </w:r>
      <w:r w:rsidRPr="00E65094">
        <w:rPr>
          <w:rFonts w:ascii="Verdana" w:hAnsi="Verdana" w:cs="Arial"/>
          <w:sz w:val="20"/>
          <w:szCs w:val="20"/>
        </w:rPr>
        <w:t>texto].</w:t>
      </w:r>
    </w:p>
    <w:p w14:paraId="01EA46B9" w14:textId="77777777" w:rsidR="00AF7CDB" w:rsidRPr="00E65094" w:rsidRDefault="00AF7CDB" w:rsidP="00E65094">
      <w:pPr>
        <w:spacing w:after="0" w:line="276" w:lineRule="auto"/>
        <w:ind w:left="709" w:right="709"/>
        <w:contextualSpacing/>
        <w:jc w:val="both"/>
        <w:rPr>
          <w:rFonts w:ascii="Verdana" w:hAnsi="Verdana" w:cs="Arial"/>
          <w:i/>
        </w:rPr>
      </w:pPr>
    </w:p>
    <w:p w14:paraId="48562C35" w14:textId="49D7943B" w:rsidR="00274E54" w:rsidRPr="00AF7CDB" w:rsidRDefault="001141A7" w:rsidP="00E65094">
      <w:pPr>
        <w:pStyle w:val="Textoindependiente"/>
        <w:spacing w:line="276" w:lineRule="auto"/>
        <w:ind w:right="108" w:firstLine="709"/>
        <w:jc w:val="both"/>
        <w:rPr>
          <w:rFonts w:ascii="Verdana" w:eastAsia="Yu Gothic UI Semibold" w:hAnsi="Verdana" w:cs="Arial"/>
        </w:rPr>
      </w:pPr>
      <w:r w:rsidRPr="00AF7CDB">
        <w:rPr>
          <w:rFonts w:ascii="Verdana" w:eastAsia="Yu Gothic UI Semibold" w:hAnsi="Verdana" w:cs="Arial"/>
        </w:rPr>
        <w:t>Finalmente, en el año 2018 la Corte Constitucional profirió la sentencia de unificación SU-075 de 2018, en la cual recoge, entre otras, las sentencias T-030 de 2018 y T-350 del 2016. En esta providencia, el Alto Tribunal establece unos criterios con el fin de impedir la discriminación que</w:t>
      </w:r>
      <w:r w:rsidRPr="00577FA9">
        <w:rPr>
          <w:rFonts w:ascii="Verdana" w:eastAsia="Yu Gothic UI Semibold" w:hAnsi="Verdana" w:cs="Arial"/>
        </w:rPr>
        <w:t xml:space="preserve"> se puede presentar a una mujer en estado de embarazo o lactancia, específicamente, respecto a la terminación o la no renovación del contrato. Dando paso a establecer que el denominado</w:t>
      </w:r>
      <w:r w:rsidRPr="00AF7CDB">
        <w:rPr>
          <w:rFonts w:ascii="Verdana" w:eastAsia="Yu Gothic UI Semibold" w:hAnsi="Verdana" w:cs="Arial"/>
          <w:i/>
        </w:rPr>
        <w:t xml:space="preserve"> </w:t>
      </w:r>
      <w:r w:rsidRPr="00AF7CDB">
        <w:rPr>
          <w:rFonts w:ascii="Verdana" w:eastAsia="Yu Gothic UI Semibold" w:hAnsi="Verdana" w:cs="Arial"/>
          <w:i/>
          <w:lang w:eastAsia="es-MX"/>
        </w:rPr>
        <w:t>“</w:t>
      </w:r>
      <w:r w:rsidRPr="00AF7CDB">
        <w:rPr>
          <w:rFonts w:ascii="Verdana" w:eastAsia="Yu Gothic UI Semibold" w:hAnsi="Verdana" w:cs="Arial"/>
          <w:i/>
        </w:rPr>
        <w:t>fuero de maternidad</w:t>
      </w:r>
      <w:r w:rsidRPr="00AF7CDB">
        <w:rPr>
          <w:rFonts w:ascii="Verdana" w:eastAsia="Yu Gothic UI Semibold" w:hAnsi="Verdana" w:cs="Arial"/>
          <w:i/>
          <w:lang w:eastAsia="es-MX"/>
        </w:rPr>
        <w:t>”</w:t>
      </w:r>
      <w:r w:rsidRPr="00AF7CDB">
        <w:rPr>
          <w:rFonts w:ascii="Verdana" w:eastAsia="Yu Gothic UI Semibold" w:hAnsi="Verdana" w:cs="Arial"/>
          <w:i/>
        </w:rPr>
        <w:t>,</w:t>
      </w:r>
      <w:r w:rsidRPr="00AF7CDB">
        <w:rPr>
          <w:rFonts w:ascii="Verdana" w:eastAsia="Yu Gothic UI Semibold" w:hAnsi="Verdana" w:cs="Arial"/>
        </w:rPr>
        <w:t xml:space="preserve"> encuentra también su sustento en la cláusula general de igualdad de la Constitución </w:t>
      </w:r>
      <w:r w:rsidRPr="00AF7CDB">
        <w:rPr>
          <w:rFonts w:ascii="Verdana" w:eastAsia="Yu Gothic UI Semibold" w:hAnsi="Verdana" w:cs="Arial"/>
          <w:i/>
          <w:lang w:eastAsia="es-MX"/>
        </w:rPr>
        <w:t>“</w:t>
      </w:r>
      <w:r w:rsidRPr="00AF7CDB">
        <w:rPr>
          <w:rFonts w:ascii="Verdana" w:eastAsia="Yu Gothic UI Semibold" w:hAnsi="Verdana" w:cs="Arial"/>
          <w:i/>
        </w:rPr>
        <w:t xml:space="preserve">que proscribe la discriminación </w:t>
      </w:r>
      <w:r w:rsidRPr="00AF7CDB">
        <w:rPr>
          <w:rFonts w:ascii="Verdana" w:eastAsia="Yu Gothic UI Semibold" w:hAnsi="Verdana" w:cs="Arial"/>
          <w:i/>
        </w:rPr>
        <w:lastRenderedPageBreak/>
        <w:t>por razones de sexo, así como en el ya mencionado artículo 43 Superior, que dispone la igualdad de derechos y oportunidades entre hombres y mujeres</w:t>
      </w:r>
      <w:r w:rsidRPr="00AF7CDB">
        <w:rPr>
          <w:rFonts w:ascii="Verdana" w:eastAsia="Yu Gothic UI Semibold" w:hAnsi="Verdana" w:cs="Arial"/>
          <w:i/>
          <w:lang w:eastAsia="es-MX"/>
        </w:rPr>
        <w:t>”</w:t>
      </w:r>
      <w:r w:rsidRPr="00AF7CDB">
        <w:rPr>
          <w:rStyle w:val="Refdenotaalpie"/>
          <w:rFonts w:ascii="Verdana" w:eastAsia="Yu Gothic UI Semibold" w:hAnsi="Verdana" w:cs="Arial"/>
          <w:i/>
          <w:lang w:eastAsia="es-MX"/>
        </w:rPr>
        <w:footnoteReference w:id="5"/>
      </w:r>
      <w:r w:rsidRPr="00AF7CDB">
        <w:rPr>
          <w:rFonts w:ascii="Verdana" w:eastAsia="Yu Gothic UI Semibold" w:hAnsi="Verdana" w:cs="Arial"/>
          <w:i/>
          <w:lang w:eastAsia="es-MX"/>
        </w:rPr>
        <w:t>.</w:t>
      </w:r>
    </w:p>
    <w:p w14:paraId="11F33CD2" w14:textId="77777777" w:rsidR="001141A7" w:rsidRPr="00E65094" w:rsidRDefault="001141A7" w:rsidP="00E65094">
      <w:pPr>
        <w:pStyle w:val="Textoindependiente"/>
        <w:spacing w:after="0" w:line="276" w:lineRule="auto"/>
        <w:ind w:right="108" w:firstLine="709"/>
        <w:jc w:val="both"/>
        <w:rPr>
          <w:rFonts w:ascii="Verdana" w:hAnsi="Verdana"/>
          <w:lang w:eastAsia="es-CO"/>
        </w:rPr>
      </w:pPr>
      <w:r w:rsidRPr="00E65094">
        <w:rPr>
          <w:rFonts w:ascii="Verdana" w:hAnsi="Verdana"/>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3B70F1B2" w14:textId="77777777" w:rsidR="001141A7" w:rsidRPr="00AF7CDB" w:rsidRDefault="001141A7" w:rsidP="001141A7">
      <w:pPr>
        <w:shd w:val="clear" w:color="auto" w:fill="FFFFFF"/>
        <w:spacing w:after="120" w:line="276" w:lineRule="auto"/>
        <w:ind w:left="709" w:right="709"/>
        <w:contextualSpacing/>
        <w:jc w:val="both"/>
        <w:rPr>
          <w:rFonts w:ascii="Verdana" w:eastAsia="Yu Gothic UI Semibold" w:hAnsi="Verdana" w:cs="Arial"/>
          <w:sz w:val="21"/>
          <w:szCs w:val="21"/>
          <w:highlight w:val="red"/>
          <w:lang w:eastAsia="es-CO"/>
        </w:rPr>
      </w:pPr>
    </w:p>
    <w:p w14:paraId="76F51659"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iCs/>
          <w:sz w:val="20"/>
          <w:szCs w:val="20"/>
          <w:lang w:eastAsia="es-MX"/>
        </w:rPr>
        <w:t>“</w:t>
      </w:r>
      <w:r w:rsidRPr="00E65094">
        <w:rPr>
          <w:rFonts w:ascii="Verdana" w:eastAsia="Yu Gothic UI Semibold" w:hAnsi="Verdana" w:cs="Arial"/>
          <w:sz w:val="20"/>
          <w:szCs w:val="20"/>
          <w:lang w:eastAsia="es-CO"/>
        </w:rPr>
        <w:t>La protección reforzada a la maternidad y la lactancia en el ámbito del trabajo procede cuando se demuestre, sin ninguna otra exigencia adicional, lo siguiente: </w:t>
      </w:r>
    </w:p>
    <w:p w14:paraId="3367489F"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 </w:t>
      </w:r>
    </w:p>
    <w:p w14:paraId="1C59D202"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(a) La existencia de una relación laboral o de prestación de servicios y; </w:t>
      </w:r>
    </w:p>
    <w:p w14:paraId="3CDA4CD3"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 </w:t>
      </w:r>
    </w:p>
    <w:p w14:paraId="1DC21A0A"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(b) Que la mujer se encuentra en estado de embarazo o dentro de los tres meses siguientes al parto, en vigencia de dicha relación laboral o de prestación.</w:t>
      </w:r>
    </w:p>
    <w:p w14:paraId="3A6DADE0"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 </w:t>
      </w:r>
    </w:p>
    <w:p w14:paraId="1CB445B7"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No obstante, el alcance de la protección se debe determinar a partir de dos factores:</w:t>
      </w:r>
    </w:p>
    <w:p w14:paraId="4AE34111"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 </w:t>
      </w:r>
    </w:p>
    <w:p w14:paraId="0B43FCE0"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(a) El conocimiento del embarazo por parte del empleador; y</w:t>
      </w:r>
    </w:p>
    <w:p w14:paraId="4A48CCBB"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 </w:t>
      </w:r>
    </w:p>
    <w:p w14:paraId="65E2F3FA" w14:textId="77777777" w:rsidR="001141A7" w:rsidRPr="00E65094" w:rsidRDefault="001141A7" w:rsidP="00E65094">
      <w:pPr>
        <w:shd w:val="clear" w:color="auto" w:fill="FFFFFF"/>
        <w:spacing w:line="240" w:lineRule="auto"/>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sz w:val="20"/>
          <w:szCs w:val="20"/>
          <w:lang w:eastAsia="es-CO"/>
        </w:rPr>
        <w:t>(b) La alternativa laboral mediante la cual se encontraba vinculada la mujer embarazada</w:t>
      </w:r>
      <w:r w:rsidRPr="00E65094">
        <w:rPr>
          <w:rFonts w:ascii="Verdana" w:hAnsi="Verdana" w:cs="Arial"/>
          <w:noProof/>
          <w:sz w:val="20"/>
          <w:szCs w:val="20"/>
          <w:lang w:val="es-ES_tradnl"/>
        </w:rPr>
        <w:t>”.</w:t>
      </w:r>
    </w:p>
    <w:p w14:paraId="5076655C" w14:textId="77777777" w:rsidR="00AF7CDB" w:rsidRDefault="00AF7CDB" w:rsidP="00E65094">
      <w:pPr>
        <w:shd w:val="clear" w:color="auto" w:fill="FFFFFF"/>
        <w:spacing w:after="0" w:line="276" w:lineRule="auto"/>
        <w:ind w:right="51"/>
        <w:jc w:val="both"/>
        <w:rPr>
          <w:rFonts w:ascii="Verdana" w:eastAsia="Yu Gothic UI Semibold" w:hAnsi="Verdana" w:cs="Arial"/>
          <w:lang w:eastAsia="es-CO"/>
        </w:rPr>
      </w:pPr>
    </w:p>
    <w:p w14:paraId="4EB6BA0D" w14:textId="351A63E0" w:rsidR="001141A7" w:rsidRPr="00E65094" w:rsidRDefault="001141A7" w:rsidP="00E65094">
      <w:pPr>
        <w:shd w:val="clear" w:color="auto" w:fill="FFFFFF"/>
        <w:spacing w:after="0" w:line="276" w:lineRule="auto"/>
        <w:ind w:right="51" w:firstLine="708"/>
        <w:jc w:val="both"/>
        <w:rPr>
          <w:rFonts w:ascii="Verdana" w:eastAsia="Yu Gothic UI Semibold" w:hAnsi="Verdana" w:cs="Arial"/>
          <w:lang w:eastAsia="es-CO"/>
        </w:rPr>
      </w:pPr>
      <w:r w:rsidRPr="00E65094">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14:paraId="530C64B4" w14:textId="77777777" w:rsidR="001141A7" w:rsidRPr="009954A8" w:rsidRDefault="001141A7" w:rsidP="00E65094">
      <w:pPr>
        <w:shd w:val="clear" w:color="auto" w:fill="FFFFFF"/>
        <w:spacing w:after="0" w:line="276" w:lineRule="auto"/>
        <w:ind w:left="709" w:right="51"/>
        <w:jc w:val="both"/>
        <w:rPr>
          <w:rFonts w:ascii="Verdana" w:eastAsia="Yu Gothic UI Semibold" w:hAnsi="Verdana" w:cs="Arial"/>
          <w:lang w:eastAsia="es-CO"/>
        </w:rPr>
      </w:pPr>
    </w:p>
    <w:p w14:paraId="1D804162" w14:textId="77777777" w:rsidR="001141A7" w:rsidRPr="00E65094" w:rsidRDefault="001141A7" w:rsidP="00E65094">
      <w:pPr>
        <w:shd w:val="clear" w:color="auto" w:fill="FFFFFF"/>
        <w:spacing w:after="0"/>
        <w:ind w:left="709" w:right="709"/>
        <w:contextualSpacing/>
        <w:jc w:val="both"/>
        <w:rPr>
          <w:rFonts w:ascii="Verdana" w:eastAsia="Yu Gothic UI Semibold" w:hAnsi="Verdana" w:cs="Arial"/>
          <w:sz w:val="20"/>
          <w:szCs w:val="20"/>
          <w:lang w:eastAsia="es-CO"/>
        </w:rPr>
      </w:pPr>
      <w:r w:rsidRPr="00E65094">
        <w:rPr>
          <w:rFonts w:ascii="Verdana" w:eastAsia="Yu Gothic UI Semibold" w:hAnsi="Verdana" w:cs="Arial"/>
          <w:iCs/>
          <w:sz w:val="20"/>
          <w:szCs w:val="20"/>
          <w:lang w:eastAsia="es-MX"/>
        </w:rPr>
        <w:t>“</w:t>
      </w:r>
      <w:r w:rsidRPr="00E65094">
        <w:rPr>
          <w:rFonts w:ascii="Verdana" w:eastAsia="Yu Gothic UI Semibold" w:hAnsi="Verdana" w:cs="Arial"/>
          <w:sz w:val="20"/>
          <w:szCs w:val="20"/>
          <w:lang w:eastAsia="es-CO"/>
        </w:rPr>
        <w:t xml:space="preserve">[…]  en el supuesto en que la trabajadora gestante o lactante haya estado vinculada mediante un contrato de prestación de servicios </w:t>
      </w:r>
      <w:r w:rsidRPr="00E65094">
        <w:rPr>
          <w:rFonts w:ascii="Verdana" w:eastAsia="Yu Gothic UI Semibold" w:hAnsi="Verdana" w:cs="Arial"/>
          <w:sz w:val="20"/>
          <w:szCs w:val="20"/>
          <w:u w:val="single"/>
          <w:lang w:eastAsia="es-CO"/>
        </w:rPr>
        <w:t>y logre demostrar la existencia de un contrato realidad, se deberán aplicar las reglas propuestas para los contratos a término fijo</w:t>
      </w:r>
      <w:r w:rsidRPr="00E65094">
        <w:rPr>
          <w:rFonts w:ascii="Verdana" w:eastAsia="Yu Gothic UI Semibold" w:hAnsi="Verdana" w:cs="Arial"/>
          <w:sz w:val="20"/>
          <w:szCs w:val="20"/>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sidRPr="00E65094">
        <w:rPr>
          <w:rFonts w:ascii="Verdana" w:hAnsi="Verdana" w:cs="Arial"/>
          <w:noProof/>
          <w:sz w:val="20"/>
          <w:szCs w:val="20"/>
          <w:lang w:val="es-ES_tradnl"/>
        </w:rPr>
        <w:t>”.</w:t>
      </w:r>
    </w:p>
    <w:p w14:paraId="5C5906F8" w14:textId="77777777" w:rsidR="001141A7" w:rsidRPr="009954A8" w:rsidRDefault="001141A7" w:rsidP="00E65094">
      <w:pPr>
        <w:shd w:val="clear" w:color="auto" w:fill="FFFFFF"/>
        <w:spacing w:after="0" w:line="276" w:lineRule="auto"/>
        <w:ind w:right="51"/>
        <w:contextualSpacing/>
        <w:jc w:val="both"/>
        <w:rPr>
          <w:rFonts w:ascii="Verdana" w:eastAsia="Yu Gothic UI Semibold" w:hAnsi="Verdana" w:cs="Arial"/>
          <w:lang w:eastAsia="es-CO"/>
        </w:rPr>
      </w:pPr>
    </w:p>
    <w:p w14:paraId="5E6D450A" w14:textId="77777777" w:rsidR="001141A7" w:rsidRPr="00E65094" w:rsidRDefault="001141A7" w:rsidP="00E65094">
      <w:pPr>
        <w:widowControl w:val="0"/>
        <w:autoSpaceDE w:val="0"/>
        <w:autoSpaceDN w:val="0"/>
        <w:spacing w:after="120" w:line="276" w:lineRule="auto"/>
        <w:ind w:firstLine="708"/>
        <w:jc w:val="both"/>
        <w:rPr>
          <w:rFonts w:ascii="Verdana" w:eastAsia="Arial" w:hAnsi="Verdana" w:cs="Arial"/>
        </w:rPr>
      </w:pPr>
      <w:r w:rsidRPr="00E65094">
        <w:rPr>
          <w:rFonts w:ascii="Verdana" w:eastAsia="Arial" w:hAnsi="Verdana" w:cs="Arial"/>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(ii) cuando a pesar de no probarse la configuración de un contrato realidad la terminación del contrato de prestación de servicios se fundamenta en criterios discriminatorios, y no en motivos objetivos.</w:t>
      </w:r>
    </w:p>
    <w:p w14:paraId="20FE6E85" w14:textId="77777777" w:rsidR="001141A7" w:rsidRPr="00E65094" w:rsidRDefault="001141A7" w:rsidP="00E65094">
      <w:pPr>
        <w:widowControl w:val="0"/>
        <w:autoSpaceDE w:val="0"/>
        <w:autoSpaceDN w:val="0"/>
        <w:spacing w:after="120" w:line="276" w:lineRule="auto"/>
        <w:ind w:firstLine="708"/>
        <w:jc w:val="both"/>
        <w:rPr>
          <w:rFonts w:ascii="Verdana" w:eastAsia="Arial" w:hAnsi="Verdana" w:cs="Arial"/>
        </w:rPr>
      </w:pPr>
      <w:r w:rsidRPr="00E65094">
        <w:rPr>
          <w:rFonts w:ascii="Verdana" w:eastAsia="Arial" w:hAnsi="Verdana" w:cs="Arial"/>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(ii) la contención de prácticas discriminatorias en el escenario laboral contra la mujer, con ocasión del estado de embarazo; (iii) la protección a la vida y a la mujer como su gestora; y (iv) la relevancia de la familia en el ordenamiento social colombiano.</w:t>
      </w:r>
    </w:p>
    <w:p w14:paraId="5BE2AEA5" w14:textId="77777777" w:rsidR="001141A7" w:rsidRPr="00E65094" w:rsidRDefault="001141A7" w:rsidP="00E65094">
      <w:pPr>
        <w:widowControl w:val="0"/>
        <w:autoSpaceDE w:val="0"/>
        <w:autoSpaceDN w:val="0"/>
        <w:spacing w:after="120" w:line="276" w:lineRule="auto"/>
        <w:ind w:firstLine="708"/>
        <w:jc w:val="both"/>
        <w:rPr>
          <w:rFonts w:ascii="Verdana" w:eastAsia="Arial" w:hAnsi="Verdana" w:cs="Arial"/>
        </w:rPr>
      </w:pPr>
      <w:r w:rsidRPr="00E65094">
        <w:rPr>
          <w:rFonts w:ascii="Verdana" w:eastAsia="Arial" w:hAnsi="Verdana" w:cs="Aria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2252D0FA" w14:textId="77777777" w:rsidR="001141A7" w:rsidRPr="00E65094" w:rsidRDefault="001141A7" w:rsidP="00E65094">
      <w:pPr>
        <w:widowControl w:val="0"/>
        <w:autoSpaceDE w:val="0"/>
        <w:autoSpaceDN w:val="0"/>
        <w:spacing w:after="0" w:line="276" w:lineRule="auto"/>
        <w:ind w:firstLine="708"/>
        <w:jc w:val="both"/>
        <w:rPr>
          <w:rFonts w:ascii="Verdana" w:eastAsia="Arial" w:hAnsi="Verdana" w:cs="Arial"/>
        </w:rPr>
      </w:pPr>
      <w:r w:rsidRPr="00E65094">
        <w:rPr>
          <w:rFonts w:ascii="Verdana" w:eastAsia="Arial" w:hAnsi="Verdana" w:cs="Arial"/>
        </w:rPr>
        <w:t xml:space="preserve">Recientemente, la Corte Constitucional profirió la sentencia T-329 de 2022, con ponencia de la magistrada </w:t>
      </w:r>
      <w:r w:rsidRPr="00E65094">
        <w:rPr>
          <w:rFonts w:ascii="Verdana" w:hAnsi="Verdana" w:cs="Arial"/>
        </w:rPr>
        <w:t>Natalia Ángel Cabo</w:t>
      </w:r>
      <w:r w:rsidRPr="00E65094">
        <w:rPr>
          <w:rFonts w:ascii="Verdana" w:eastAsia="Arial" w:hAnsi="Verdana" w:cs="Arial"/>
        </w:rPr>
        <w:t xml:space="preserve">, en la cual reiteró el precedente sobre </w:t>
      </w:r>
      <w:bookmarkStart w:id="0" w:name="_Hlk108422441"/>
      <w:r w:rsidRPr="00E65094">
        <w:rPr>
          <w:rFonts w:ascii="Verdana" w:eastAsia="Arial" w:hAnsi="Verdana" w:cs="Arial"/>
        </w:rPr>
        <w:t>la protección de la mujer embarazada y en período de lactancia en contratos de prestación de servicios</w:t>
      </w:r>
      <w:bookmarkEnd w:id="0"/>
      <w:r w:rsidRPr="00E65094">
        <w:rPr>
          <w:rFonts w:ascii="Verdana" w:eastAsia="Arial" w:hAnsi="Verdana" w:cs="Arial"/>
        </w:rPr>
        <w:t xml:space="preserve"> establecido en la Sentencia S-070 de 2013, al indicar lo siguiente: </w:t>
      </w:r>
    </w:p>
    <w:p w14:paraId="5E27C2E9" w14:textId="77777777" w:rsidR="001141A7" w:rsidRPr="009954A8" w:rsidRDefault="001141A7" w:rsidP="00E65094">
      <w:pPr>
        <w:widowControl w:val="0"/>
        <w:autoSpaceDE w:val="0"/>
        <w:autoSpaceDN w:val="0"/>
        <w:spacing w:after="0" w:line="276" w:lineRule="auto"/>
        <w:ind w:firstLine="709"/>
        <w:contextualSpacing/>
        <w:jc w:val="both"/>
        <w:rPr>
          <w:rFonts w:ascii="Verdana" w:eastAsia="Arial" w:hAnsi="Verdana" w:cs="Arial"/>
          <w:lang w:val="es-ES"/>
        </w:rPr>
      </w:pPr>
    </w:p>
    <w:p w14:paraId="366D5869" w14:textId="77777777" w:rsidR="001141A7" w:rsidRPr="00E65094" w:rsidRDefault="001141A7" w:rsidP="00AF7CDB">
      <w:pPr>
        <w:pStyle w:val="Sinespaciado"/>
        <w:ind w:left="709" w:right="709"/>
        <w:contextualSpacing/>
        <w:rPr>
          <w:rFonts w:ascii="Verdana" w:hAnsi="Verdana" w:cs="Arial"/>
          <w:sz w:val="20"/>
          <w:szCs w:val="20"/>
        </w:rPr>
      </w:pPr>
      <w:r w:rsidRPr="00E65094">
        <w:rPr>
          <w:rFonts w:ascii="Verdana" w:eastAsia="Yu Gothic UI Semibold" w:hAnsi="Verdana" w:cs="Arial"/>
          <w:iCs/>
          <w:sz w:val="20"/>
          <w:szCs w:val="20"/>
          <w:lang w:eastAsia="es-MX"/>
        </w:rPr>
        <w:t>“</w:t>
      </w:r>
      <w:r w:rsidRPr="00E65094">
        <w:rPr>
          <w:rFonts w:ascii="Verdana" w:eastAsia="Yu Gothic UI Semibold" w:hAnsi="Verdana" w:cs="Arial"/>
          <w:sz w:val="20"/>
          <w:szCs w:val="20"/>
          <w:lang w:eastAsia="es-CO"/>
        </w:rPr>
        <w:t>[…]</w:t>
      </w:r>
      <w:r w:rsidRPr="00E65094">
        <w:rPr>
          <w:rFonts w:ascii="Verdana" w:hAnsi="Verdana" w:cs="Arial"/>
          <w:sz w:val="20"/>
          <w:szCs w:val="20"/>
        </w:rPr>
        <w:t xml:space="preserve">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w:t>
      </w:r>
      <w:r w:rsidRPr="00E65094">
        <w:rPr>
          <w:rFonts w:ascii="Verdana" w:hAnsi="Verdana" w:cs="Arial"/>
          <w:sz w:val="20"/>
          <w:szCs w:val="20"/>
        </w:rPr>
        <w:lastRenderedPageBreak/>
        <w:t>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sidRPr="00E65094">
        <w:rPr>
          <w:rFonts w:ascii="Verdana" w:hAnsi="Verdana" w:cs="Arial"/>
          <w:noProof/>
          <w:sz w:val="20"/>
          <w:szCs w:val="20"/>
          <w:lang w:val="es-ES_tradnl"/>
        </w:rPr>
        <w:t>”.</w:t>
      </w:r>
    </w:p>
    <w:p w14:paraId="1BE57FF9" w14:textId="77777777" w:rsidR="001141A7" w:rsidRPr="009954A8" w:rsidRDefault="001141A7" w:rsidP="00E65094">
      <w:pPr>
        <w:widowControl w:val="0"/>
        <w:autoSpaceDE w:val="0"/>
        <w:autoSpaceDN w:val="0"/>
        <w:spacing w:after="0" w:line="276" w:lineRule="auto"/>
        <w:ind w:firstLine="709"/>
        <w:jc w:val="both"/>
        <w:rPr>
          <w:rFonts w:ascii="Verdana" w:eastAsia="Arial" w:hAnsi="Verdana" w:cs="Arial"/>
          <w:lang w:val="es-ES"/>
        </w:rPr>
      </w:pPr>
    </w:p>
    <w:p w14:paraId="4E6B4667" w14:textId="77777777" w:rsidR="001141A7" w:rsidRPr="00E65094" w:rsidRDefault="001141A7" w:rsidP="00E65094">
      <w:pPr>
        <w:widowControl w:val="0"/>
        <w:autoSpaceDE w:val="0"/>
        <w:autoSpaceDN w:val="0"/>
        <w:spacing w:after="120" w:line="276" w:lineRule="auto"/>
        <w:ind w:firstLine="708"/>
        <w:jc w:val="both"/>
        <w:rPr>
          <w:rFonts w:ascii="Verdana" w:hAnsi="Verdana" w:cs="Arial"/>
          <w:shd w:val="clear" w:color="auto" w:fill="FFFFFF"/>
        </w:rPr>
      </w:pPr>
      <w:r w:rsidRPr="00E65094">
        <w:rPr>
          <w:rFonts w:ascii="Verdana" w:eastAsia="Arial" w:hAnsi="Verdana" w:cs="Arial"/>
        </w:rPr>
        <w:t xml:space="preserve">En dicha providencia la Corte consideró que, en los casos de </w:t>
      </w:r>
      <w:r w:rsidRPr="00E65094">
        <w:rPr>
          <w:rFonts w:ascii="Verdana" w:hAnsi="Verdana"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E65094">
        <w:rPr>
          <w:rFonts w:ascii="Verdana" w:eastAsia="Yu Gothic UI Semibold" w:hAnsi="Verdana" w:cs="Arial"/>
          <w:iCs/>
          <w:lang w:eastAsia="es-MX"/>
        </w:rPr>
        <w:t>“</w:t>
      </w:r>
      <w:r w:rsidRPr="00E65094">
        <w:rPr>
          <w:rFonts w:ascii="Verdana" w:hAnsi="Verdana" w:cs="Arial"/>
        </w:rPr>
        <w:t xml:space="preserve">(i) la protección de la mujer gestante o en periodo de lactancia se deriva de, entre otros, los artículos 43, 53 y 13 de la Constitución Nacional; (ii) la Sentencia SU-070 de 2013 reiteró la protección a la mujer embarazada en todas las alternativas laborales o de trabajo en las que se incluye el contrato de prestación de servicios; (iii) la Sentencia SU-075 de 2018 reiteró que las condiciones para la protección de la mujer embarazada son la existencia de una relación laboral o de prestación de servicios y que </w:t>
      </w:r>
      <w:r w:rsidRPr="00E65094">
        <w:rPr>
          <w:rFonts w:ascii="Verdana" w:hAnsi="Verdana" w:cs="Arial"/>
          <w:shd w:val="clear" w:color="auto" w:fill="FFFFFF"/>
        </w:rPr>
        <w:t>la mujer se encuentre en estado de embarazo o dentro de los tres meses siguientes al parto, en vigencia de dicha relación laboral o de prestación de servicios</w:t>
      </w:r>
      <w:r w:rsidRPr="00E65094">
        <w:rPr>
          <w:rFonts w:ascii="Verdana" w:hAnsi="Verdana" w:cs="Arial"/>
        </w:rPr>
        <w:t xml:space="preserve">; y (iv) las salas de revisión de la Corte Constitucional </w:t>
      </w:r>
      <w:r w:rsidRPr="00E65094">
        <w:rPr>
          <w:rFonts w:ascii="Verdana" w:hAnsi="Verdana" w:cs="Arial"/>
          <w:shd w:val="clear" w:color="auto" w:fill="FFFFFF"/>
        </w:rPr>
        <w:t>reconocen la protección derivada del fuero de maternidad en los contratos de prestación de servicios</w:t>
      </w:r>
      <w:r w:rsidRPr="00E65094">
        <w:rPr>
          <w:rFonts w:ascii="Verdana" w:hAnsi="Verdana" w:cs="Arial"/>
          <w:noProof/>
          <w:lang w:val="es-ES_tradnl"/>
        </w:rPr>
        <w:t>”</w:t>
      </w:r>
      <w:r w:rsidRPr="009954A8">
        <w:rPr>
          <w:rStyle w:val="Refdenotaalpie"/>
          <w:rFonts w:ascii="Verdana" w:hAnsi="Verdana" w:cs="Arial"/>
          <w:noProof/>
          <w:lang w:val="es-ES_tradnl"/>
        </w:rPr>
        <w:footnoteReference w:id="6"/>
      </w:r>
      <w:r w:rsidRPr="00E65094">
        <w:rPr>
          <w:rFonts w:ascii="Verdana" w:hAnsi="Verdana" w:cs="Arial"/>
          <w:shd w:val="clear" w:color="auto" w:fill="FFFFFF"/>
        </w:rPr>
        <w:t xml:space="preserve">. </w:t>
      </w:r>
    </w:p>
    <w:p w14:paraId="268B4B9B" w14:textId="54F2F8BD" w:rsidR="001141A7" w:rsidRPr="009954A8" w:rsidRDefault="001141A7" w:rsidP="00E65094">
      <w:pPr>
        <w:widowControl w:val="0"/>
        <w:autoSpaceDE w:val="0"/>
        <w:autoSpaceDN w:val="0"/>
        <w:spacing w:after="120" w:line="276" w:lineRule="auto"/>
        <w:ind w:firstLine="708"/>
        <w:jc w:val="both"/>
        <w:rPr>
          <w:rFonts w:ascii="Verdana" w:eastAsia="Arial" w:hAnsi="Verdana" w:cs="Arial"/>
          <w:lang w:val="es-ES"/>
        </w:rPr>
      </w:pPr>
      <w:r w:rsidRPr="00E65094">
        <w:rPr>
          <w:rFonts w:ascii="Verdana" w:eastAsia="Arial" w:hAnsi="Verdana" w:cs="Arial"/>
        </w:rPr>
        <w:t xml:space="preserve">En atención a dicho pronunciamiento, resulta relevante relacionar </w:t>
      </w:r>
      <w:r w:rsidRPr="00E65094">
        <w:rPr>
          <w:rFonts w:ascii="Verdana" w:hAnsi="Verdana" w:cs="Arial"/>
        </w:rPr>
        <w:t>las reglas establecidas en la jurisprudencia constitucional para la protección de las mujeres contratadas mediante contrato de prestación de servicios a quienes no se les renueva dicho contrato mientras se encuentran en estado de embarazo o lactancia:</w:t>
      </w:r>
    </w:p>
    <w:tbl>
      <w:tblPr>
        <w:tblStyle w:val="Tablaconcuadrcula"/>
        <w:tblW w:w="5000" w:type="pct"/>
        <w:tblLook w:val="04A0" w:firstRow="1" w:lastRow="0" w:firstColumn="1" w:lastColumn="0" w:noHBand="0" w:noVBand="1"/>
      </w:tblPr>
      <w:tblGrid>
        <w:gridCol w:w="1813"/>
        <w:gridCol w:w="7015"/>
      </w:tblGrid>
      <w:tr w:rsidR="001141A7" w:rsidRPr="009954A8" w14:paraId="145E48F9" w14:textId="77777777" w:rsidTr="007435C4">
        <w:tc>
          <w:tcPr>
            <w:tcW w:w="1027" w:type="pct"/>
            <w:shd w:val="clear" w:color="auto" w:fill="D9E2F3" w:themeFill="accent1" w:themeFillTint="33"/>
            <w:vAlign w:val="center"/>
          </w:tcPr>
          <w:p w14:paraId="48E04B6E" w14:textId="77777777" w:rsidR="001141A7" w:rsidRPr="009954A8" w:rsidRDefault="001141A7" w:rsidP="007435C4">
            <w:pPr>
              <w:pStyle w:val="Sinespaciado"/>
              <w:ind w:right="0"/>
              <w:jc w:val="center"/>
              <w:rPr>
                <w:rFonts w:ascii="Verdana" w:hAnsi="Verdana" w:cs="Arial"/>
                <w:b/>
                <w:bCs/>
                <w:sz w:val="21"/>
                <w:szCs w:val="21"/>
              </w:rPr>
            </w:pPr>
            <w:r w:rsidRPr="009954A8">
              <w:rPr>
                <w:rFonts w:ascii="Verdana" w:hAnsi="Verdana" w:cs="Arial"/>
                <w:b/>
                <w:bCs/>
                <w:sz w:val="21"/>
                <w:szCs w:val="21"/>
              </w:rPr>
              <w:t>Tipo de relación material</w:t>
            </w:r>
          </w:p>
        </w:tc>
        <w:tc>
          <w:tcPr>
            <w:tcW w:w="3973" w:type="pct"/>
            <w:shd w:val="clear" w:color="auto" w:fill="D9E2F3" w:themeFill="accent1" w:themeFillTint="33"/>
            <w:vAlign w:val="center"/>
          </w:tcPr>
          <w:p w14:paraId="5FBA97CC" w14:textId="77777777" w:rsidR="001141A7" w:rsidRPr="009954A8" w:rsidRDefault="001141A7" w:rsidP="007435C4">
            <w:pPr>
              <w:pStyle w:val="Sinespaciado"/>
              <w:ind w:right="0"/>
              <w:jc w:val="center"/>
              <w:rPr>
                <w:rFonts w:ascii="Verdana" w:hAnsi="Verdana" w:cs="Arial"/>
                <w:b/>
                <w:bCs/>
                <w:sz w:val="21"/>
                <w:szCs w:val="21"/>
              </w:rPr>
            </w:pPr>
            <w:r w:rsidRPr="009954A8">
              <w:rPr>
                <w:rFonts w:ascii="Verdana" w:hAnsi="Verdana" w:cs="Arial"/>
                <w:b/>
                <w:bCs/>
                <w:sz w:val="21"/>
                <w:szCs w:val="21"/>
              </w:rPr>
              <w:t>Alcance de la protección</w:t>
            </w:r>
          </w:p>
        </w:tc>
      </w:tr>
      <w:tr w:rsidR="001141A7" w:rsidRPr="009954A8" w14:paraId="1AC7EBD3" w14:textId="77777777" w:rsidTr="007435C4">
        <w:tc>
          <w:tcPr>
            <w:tcW w:w="1027" w:type="pct"/>
            <w:tcBorders>
              <w:bottom w:val="single" w:sz="4" w:space="0" w:color="auto"/>
            </w:tcBorders>
            <w:vAlign w:val="center"/>
          </w:tcPr>
          <w:p w14:paraId="00224676" w14:textId="77777777" w:rsidR="001141A7" w:rsidRPr="009954A8" w:rsidRDefault="001141A7" w:rsidP="007435C4">
            <w:pPr>
              <w:pStyle w:val="Sinespaciado"/>
              <w:ind w:right="0"/>
              <w:jc w:val="center"/>
              <w:rPr>
                <w:rFonts w:ascii="Verdana" w:hAnsi="Verdana" w:cs="Arial"/>
                <w:b/>
                <w:bCs/>
                <w:sz w:val="21"/>
                <w:szCs w:val="21"/>
              </w:rPr>
            </w:pPr>
            <w:r w:rsidRPr="009954A8">
              <w:rPr>
                <w:rFonts w:ascii="Verdana" w:hAnsi="Verdana" w:cs="Arial"/>
                <w:b/>
                <w:bCs/>
                <w:sz w:val="21"/>
                <w:szCs w:val="21"/>
              </w:rPr>
              <w:t>Se configura un contrato realidad</w:t>
            </w:r>
          </w:p>
        </w:tc>
        <w:tc>
          <w:tcPr>
            <w:tcW w:w="3973" w:type="pct"/>
          </w:tcPr>
          <w:p w14:paraId="3DF5D3B7" w14:textId="77777777" w:rsidR="001141A7" w:rsidRPr="009954A8" w:rsidRDefault="001141A7" w:rsidP="007435C4">
            <w:pPr>
              <w:pStyle w:val="Sinespaciado"/>
              <w:ind w:right="0"/>
              <w:rPr>
                <w:rFonts w:ascii="Verdana" w:hAnsi="Verdana" w:cs="Arial"/>
                <w:sz w:val="21"/>
                <w:szCs w:val="21"/>
              </w:rPr>
            </w:pPr>
            <w:r w:rsidRPr="009954A8">
              <w:rPr>
                <w:rFonts w:ascii="Verdana" w:hAnsi="Verdana" w:cs="Arial"/>
                <w:sz w:val="21"/>
                <w:szCs w:val="21"/>
              </w:rPr>
              <w:t>El juez de tutela deberá aplicar las reglas establecidas para el contrato laboral a término fijo, debido a que este contrato, por sus características de temporalidad, es el que mejor se asemeja al contrato de prestación de servicios</w:t>
            </w:r>
            <w:r w:rsidRPr="009954A8">
              <w:rPr>
                <w:rStyle w:val="Refdenotaalpie"/>
                <w:rFonts w:ascii="Verdana" w:hAnsi="Verdana" w:cs="Arial"/>
                <w:sz w:val="21"/>
                <w:szCs w:val="21"/>
              </w:rPr>
              <w:t xml:space="preserve"> </w:t>
            </w:r>
            <w:r w:rsidRPr="009954A8">
              <w:rPr>
                <w:rStyle w:val="Refdenotaalpie"/>
                <w:rFonts w:ascii="Verdana" w:hAnsi="Verdana" w:cs="Arial"/>
                <w:sz w:val="21"/>
                <w:szCs w:val="21"/>
              </w:rPr>
              <w:footnoteReference w:id="7"/>
            </w:r>
            <w:r w:rsidRPr="009954A8">
              <w:rPr>
                <w:rFonts w:ascii="Verdana" w:hAnsi="Verdana" w:cs="Arial"/>
                <w:sz w:val="21"/>
                <w:szCs w:val="21"/>
              </w:rPr>
              <w:t>.</w:t>
            </w:r>
          </w:p>
        </w:tc>
      </w:tr>
      <w:tr w:rsidR="001141A7" w:rsidRPr="009954A8" w14:paraId="2A102DAD" w14:textId="77777777" w:rsidTr="007435C4">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02AEC570" w14:textId="77777777" w:rsidR="001141A7" w:rsidRPr="009954A8" w:rsidRDefault="001141A7" w:rsidP="007435C4">
            <w:pPr>
              <w:pStyle w:val="Sinespaciado"/>
              <w:ind w:right="0"/>
              <w:jc w:val="center"/>
              <w:rPr>
                <w:rFonts w:ascii="Verdana" w:hAnsi="Verdana" w:cs="Arial"/>
                <w:b/>
                <w:bCs/>
                <w:sz w:val="21"/>
                <w:szCs w:val="21"/>
              </w:rPr>
            </w:pPr>
            <w:r w:rsidRPr="009954A8">
              <w:rPr>
                <w:rFonts w:ascii="Verdana" w:hAnsi="Verdana" w:cs="Arial"/>
                <w:b/>
                <w:bCs/>
                <w:sz w:val="21"/>
                <w:szCs w:val="21"/>
              </w:rPr>
              <w:lastRenderedPageBreak/>
              <w:t>No se configura un contrato realidad</w:t>
            </w:r>
          </w:p>
        </w:tc>
        <w:tc>
          <w:tcPr>
            <w:tcW w:w="3973" w:type="pct"/>
            <w:tcBorders>
              <w:left w:val="single" w:sz="4" w:space="0" w:color="auto"/>
            </w:tcBorders>
            <w:vAlign w:val="center"/>
          </w:tcPr>
          <w:p w14:paraId="05D90D9E" w14:textId="77777777" w:rsidR="001141A7" w:rsidRPr="009954A8" w:rsidRDefault="001141A7" w:rsidP="007435C4">
            <w:pPr>
              <w:pStyle w:val="Sinespaciado"/>
              <w:ind w:right="0"/>
              <w:rPr>
                <w:rFonts w:ascii="Verdana" w:hAnsi="Verdana" w:cs="Arial"/>
                <w:sz w:val="21"/>
                <w:szCs w:val="21"/>
              </w:rPr>
            </w:pPr>
            <w:r w:rsidRPr="009954A8">
              <w:rPr>
                <w:rFonts w:ascii="Verdana" w:hAnsi="Verdana" w:cs="Arial"/>
                <w:sz w:val="21"/>
                <w:szCs w:val="21"/>
              </w:rPr>
              <w:t>Si (i) el contratante conoce el estado de embarazo de la contratista, (ii) subsiste la causa del contrato y (iii) no cuenta con permiso del inspector del trabajo para terminar el contrato, el juez deberá ordenar:</w:t>
            </w:r>
          </w:p>
          <w:p w14:paraId="72EC1527" w14:textId="77777777" w:rsidR="001141A7" w:rsidRPr="009954A8" w:rsidRDefault="001141A7" w:rsidP="007435C4">
            <w:pPr>
              <w:pStyle w:val="Sinespaciado"/>
              <w:ind w:right="0"/>
              <w:rPr>
                <w:rFonts w:ascii="Verdana" w:hAnsi="Verdana" w:cs="Arial"/>
                <w:sz w:val="21"/>
                <w:szCs w:val="21"/>
              </w:rPr>
            </w:pPr>
          </w:p>
          <w:p w14:paraId="65F47730" w14:textId="77777777" w:rsidR="001141A7" w:rsidRPr="009954A8" w:rsidRDefault="001141A7"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 xml:space="preserve">La renovación de la relación contractual, la cuál se dará hasta por el término del periodo de lactancia. </w:t>
            </w:r>
          </w:p>
          <w:p w14:paraId="6E8D4B12" w14:textId="77777777" w:rsidR="001141A7" w:rsidRPr="009954A8" w:rsidRDefault="001141A7"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El pago de los honorarios dejados de percibir desde la fecha de no renovación del contrato, hasta la renovación del mismo;</w:t>
            </w:r>
          </w:p>
          <w:p w14:paraId="3D85DB30" w14:textId="77777777" w:rsidR="001141A7" w:rsidRPr="009954A8" w:rsidRDefault="001141A7"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El pago por concepto de la indemnización por despido discriminatorio</w:t>
            </w:r>
            <w:r w:rsidRPr="009954A8">
              <w:rPr>
                <w:rStyle w:val="Refdenotaalpie"/>
                <w:rFonts w:ascii="Verdana" w:hAnsi="Verdana" w:cs="Arial"/>
                <w:sz w:val="21"/>
                <w:szCs w:val="21"/>
              </w:rPr>
              <w:footnoteReference w:id="8"/>
            </w:r>
            <w:r w:rsidRPr="009954A8">
              <w:rPr>
                <w:rFonts w:ascii="Verdana" w:hAnsi="Verdana" w:cs="Arial"/>
                <w:sz w:val="21"/>
                <w:szCs w:val="21"/>
              </w:rPr>
              <w:t>; y</w:t>
            </w:r>
          </w:p>
          <w:p w14:paraId="53369EC5" w14:textId="77777777" w:rsidR="001141A7" w:rsidRPr="009954A8" w:rsidRDefault="001141A7"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El pago de la licencia de maternidad. Este pago no se realizará si en el caso se acredita que la madre disfrutó de la licencia de maternidad</w:t>
            </w:r>
            <w:r w:rsidRPr="009954A8">
              <w:rPr>
                <w:rStyle w:val="Refdenotaalpie"/>
                <w:rFonts w:ascii="Verdana" w:hAnsi="Verdana" w:cs="Arial"/>
                <w:sz w:val="21"/>
                <w:szCs w:val="21"/>
              </w:rPr>
              <w:footnoteReference w:id="9"/>
            </w:r>
            <w:r w:rsidRPr="009954A8">
              <w:rPr>
                <w:rFonts w:ascii="Verdana" w:hAnsi="Verdana" w:cs="Arial"/>
                <w:sz w:val="21"/>
                <w:szCs w:val="21"/>
              </w:rPr>
              <w:t>.</w:t>
            </w:r>
          </w:p>
          <w:p w14:paraId="7175DFB4" w14:textId="77777777" w:rsidR="001141A7" w:rsidRPr="009954A8" w:rsidRDefault="001141A7" w:rsidP="007435C4">
            <w:pPr>
              <w:pStyle w:val="Sinespaciado"/>
              <w:numPr>
                <w:ilvl w:val="0"/>
                <w:numId w:val="17"/>
              </w:numPr>
              <w:ind w:right="0"/>
              <w:rPr>
                <w:rFonts w:ascii="Verdana" w:hAnsi="Verdana" w:cs="Arial"/>
                <w:sz w:val="21"/>
                <w:szCs w:val="21"/>
              </w:rPr>
            </w:pPr>
            <w:r w:rsidRPr="009954A8">
              <w:rPr>
                <w:rFonts w:ascii="Verdana" w:hAnsi="Verdana" w:cs="Arial"/>
                <w:sz w:val="21"/>
                <w:szCs w:val="21"/>
              </w:rPr>
              <w:t>En el evento en el que el término del periodo de lactancia ya haya terminado, procederá el reconocimiento de los honorarios dejados de percibir hasta la terminación de periodo de lactancia</w:t>
            </w:r>
            <w:r w:rsidRPr="009954A8">
              <w:rPr>
                <w:rStyle w:val="Refdenotaalpie"/>
                <w:rFonts w:ascii="Verdana" w:hAnsi="Verdana" w:cs="Arial"/>
                <w:sz w:val="21"/>
                <w:szCs w:val="21"/>
              </w:rPr>
              <w:footnoteReference w:id="10"/>
            </w:r>
            <w:r w:rsidRPr="009954A8">
              <w:rPr>
                <w:rFonts w:ascii="Verdana" w:hAnsi="Verdana" w:cs="Arial"/>
                <w:sz w:val="21"/>
                <w:szCs w:val="21"/>
              </w:rPr>
              <w:t>.</w:t>
            </w:r>
          </w:p>
          <w:p w14:paraId="5213EB0F" w14:textId="77777777" w:rsidR="001141A7" w:rsidRPr="009954A8" w:rsidRDefault="001141A7" w:rsidP="007435C4">
            <w:pPr>
              <w:pStyle w:val="Sinespaciado"/>
              <w:ind w:right="0"/>
              <w:rPr>
                <w:rFonts w:ascii="Verdana" w:hAnsi="Verdana" w:cs="Arial"/>
                <w:sz w:val="21"/>
                <w:szCs w:val="21"/>
              </w:rPr>
            </w:pPr>
          </w:p>
          <w:p w14:paraId="612D833A" w14:textId="77777777" w:rsidR="001141A7" w:rsidRPr="009954A8" w:rsidRDefault="001141A7" w:rsidP="007435C4">
            <w:pPr>
              <w:pStyle w:val="Sinespaciado"/>
              <w:keepNext/>
              <w:ind w:right="0"/>
              <w:rPr>
                <w:rFonts w:ascii="Verdana" w:hAnsi="Verdana" w:cs="Arial"/>
                <w:sz w:val="21"/>
                <w:szCs w:val="21"/>
              </w:rPr>
            </w:pPr>
            <w:r w:rsidRPr="009954A8">
              <w:rPr>
                <w:rFonts w:ascii="Verdana" w:hAnsi="Verdana" w:cs="Arial"/>
                <w:sz w:val="21"/>
                <w:szCs w:val="21"/>
              </w:rPr>
              <w:t>En todo caso, el juez deberá estudiar la procedencia de cada una de estas medidas de protección para lo cual tendrá en cuenta las particularidades del caso</w:t>
            </w:r>
            <w:r w:rsidRPr="009954A8">
              <w:rPr>
                <w:rStyle w:val="Refdenotaalpie"/>
                <w:rFonts w:ascii="Verdana" w:hAnsi="Verdana" w:cs="Arial"/>
                <w:sz w:val="21"/>
                <w:szCs w:val="21"/>
              </w:rPr>
              <w:footnoteReference w:id="11"/>
            </w:r>
            <w:r w:rsidRPr="009954A8">
              <w:rPr>
                <w:rFonts w:ascii="Verdana" w:hAnsi="Verdana" w:cs="Arial"/>
                <w:sz w:val="21"/>
                <w:szCs w:val="21"/>
              </w:rPr>
              <w:t>.</w:t>
            </w:r>
          </w:p>
        </w:tc>
      </w:tr>
    </w:tbl>
    <w:p w14:paraId="49B50503" w14:textId="77777777" w:rsidR="001141A7" w:rsidRPr="005945E1" w:rsidRDefault="001141A7" w:rsidP="001141A7">
      <w:pPr>
        <w:pStyle w:val="Descripcin"/>
        <w:spacing w:after="0"/>
        <w:jc w:val="center"/>
        <w:rPr>
          <w:rFonts w:ascii="Verdana" w:hAnsi="Verdana" w:cs="Arial"/>
          <w:i w:val="0"/>
          <w:color w:val="auto"/>
          <w:sz w:val="16"/>
          <w:szCs w:val="16"/>
        </w:rPr>
      </w:pPr>
      <w:r w:rsidRPr="005945E1">
        <w:rPr>
          <w:rFonts w:ascii="Verdana" w:hAnsi="Verdana" w:cs="Arial"/>
          <w:i w:val="0"/>
          <w:color w:val="auto"/>
          <w:sz w:val="16"/>
          <w:szCs w:val="16"/>
        </w:rPr>
        <w:t xml:space="preserve">Tabla: Reglas para la protección de la mujer embarazada en contratos de prestación de servicios. – Tomada de la Sentencia T-329 de 2022. </w:t>
      </w:r>
    </w:p>
    <w:p w14:paraId="408E22A6" w14:textId="77777777" w:rsidR="001141A7" w:rsidRPr="009954A8" w:rsidRDefault="001141A7" w:rsidP="001141A7">
      <w:pPr>
        <w:pStyle w:val="NormalWeb"/>
        <w:shd w:val="clear" w:color="auto" w:fill="FFFFFF"/>
        <w:spacing w:before="0" w:beforeAutospacing="0" w:after="0" w:afterAutospacing="0" w:line="276" w:lineRule="auto"/>
        <w:ind w:firstLine="709"/>
        <w:jc w:val="both"/>
        <w:rPr>
          <w:rFonts w:ascii="Verdana" w:eastAsia="Arial" w:hAnsi="Verdana" w:cs="Arial"/>
          <w:sz w:val="22"/>
          <w:szCs w:val="22"/>
          <w:lang w:val="es-ES"/>
        </w:rPr>
      </w:pPr>
    </w:p>
    <w:p w14:paraId="27D41CFD" w14:textId="77777777" w:rsidR="001141A7" w:rsidRPr="009954A8" w:rsidRDefault="001141A7" w:rsidP="00E65094">
      <w:pPr>
        <w:pStyle w:val="NormalWeb"/>
        <w:shd w:val="clear" w:color="auto" w:fill="FFFFFF"/>
        <w:spacing w:before="0" w:beforeAutospacing="0" w:after="0" w:afterAutospacing="0" w:line="276" w:lineRule="auto"/>
        <w:ind w:firstLine="708"/>
        <w:jc w:val="both"/>
        <w:rPr>
          <w:rFonts w:ascii="Verdana" w:hAnsi="Verdana" w:cs="Arial"/>
          <w:sz w:val="22"/>
          <w:szCs w:val="22"/>
        </w:rPr>
      </w:pPr>
      <w:r w:rsidRPr="009954A8">
        <w:rPr>
          <w:rFonts w:ascii="Verdana" w:eastAsia="Arial" w:hAnsi="Verdana" w:cs="Arial"/>
          <w:sz w:val="22"/>
          <w:szCs w:val="22"/>
          <w:lang w:val="es-ES"/>
        </w:rPr>
        <w:t xml:space="preserve">Ahora bien, </w:t>
      </w:r>
      <w:r w:rsidRPr="009954A8">
        <w:rPr>
          <w:rFonts w:ascii="Verdana" w:eastAsia="Calibri" w:hAnsi="Verdana" w:cs="Arial"/>
          <w:bCs/>
          <w:sz w:val="22"/>
          <w:szCs w:val="22"/>
          <w:lang w:val="es-MX"/>
        </w:rPr>
        <w:t>frente a la consulta planteada acerca de si es procedente o no suspender un contrato de prestación de servicios cuando la contratista está en estado de embarazo o durante la licencia de maternidad</w:t>
      </w:r>
      <w:r w:rsidRPr="009954A8">
        <w:rPr>
          <w:rStyle w:val="Refdenotaalpie"/>
          <w:rFonts w:ascii="Verdana" w:eastAsia="Calibri" w:hAnsi="Verdana" w:cs="Arial"/>
          <w:bCs/>
          <w:sz w:val="22"/>
          <w:szCs w:val="22"/>
          <w:lang w:val="es-MX"/>
        </w:rPr>
        <w:footnoteReference w:id="12"/>
      </w:r>
      <w:r w:rsidRPr="009954A8">
        <w:rPr>
          <w:rFonts w:ascii="Verdana" w:eastAsia="Calibri" w:hAnsi="Verdana" w:cs="Arial"/>
          <w:bCs/>
          <w:sz w:val="22"/>
          <w:szCs w:val="22"/>
          <w:lang w:val="es-MX"/>
        </w:rPr>
        <w:t xml:space="preserve"> debe señalarse que, </w:t>
      </w:r>
      <w:r w:rsidRPr="009954A8">
        <w:rPr>
          <w:rFonts w:ascii="Verdana" w:hAnsi="Verdana" w:cs="Arial"/>
          <w:sz w:val="22"/>
          <w:szCs w:val="22"/>
        </w:rPr>
        <w:t xml:space="preserve">no existe disposición normativa que consagre de forma expresa las causales de </w:t>
      </w:r>
      <w:r w:rsidRPr="009954A8">
        <w:rPr>
          <w:rFonts w:ascii="Verdana" w:hAnsi="Verdana" w:cs="Arial"/>
          <w:sz w:val="22"/>
          <w:szCs w:val="22"/>
        </w:rPr>
        <w:lastRenderedPageBreak/>
        <w:t>suspensión del contrato, mucho menos en virtud del estado de embarazo o de la licencia de maternidad. El Consejo de Estado, en sentencia del 28 de abril de 2010, se refirió a las causales que suspenden el contrato, en los siguientes términos:</w:t>
      </w:r>
    </w:p>
    <w:p w14:paraId="0F68D1DB" w14:textId="77777777" w:rsidR="001141A7" w:rsidRPr="009954A8" w:rsidRDefault="001141A7" w:rsidP="001141A7">
      <w:pPr>
        <w:pStyle w:val="NormalWeb"/>
        <w:shd w:val="clear" w:color="auto" w:fill="FFFFFF"/>
        <w:spacing w:before="0" w:beforeAutospacing="0" w:after="0" w:afterAutospacing="0" w:line="276" w:lineRule="auto"/>
        <w:ind w:firstLine="709"/>
        <w:jc w:val="both"/>
        <w:rPr>
          <w:rFonts w:ascii="Verdana" w:hAnsi="Verdana" w:cs="Arial"/>
          <w:sz w:val="22"/>
          <w:szCs w:val="22"/>
        </w:rPr>
      </w:pPr>
    </w:p>
    <w:p w14:paraId="43477E06" w14:textId="77777777" w:rsidR="001141A7" w:rsidRPr="009954A8" w:rsidRDefault="001141A7" w:rsidP="001141A7">
      <w:pPr>
        <w:pStyle w:val="NormalWeb"/>
        <w:shd w:val="clear" w:color="auto" w:fill="FFFFFF"/>
        <w:spacing w:before="0" w:beforeAutospacing="0" w:after="0" w:afterAutospacing="0"/>
        <w:ind w:left="709" w:right="709"/>
        <w:contextualSpacing/>
        <w:jc w:val="both"/>
        <w:rPr>
          <w:rFonts w:ascii="Verdana" w:hAnsi="Verdana" w:cs="Arial"/>
          <w:sz w:val="21"/>
          <w:szCs w:val="21"/>
        </w:rPr>
      </w:pPr>
      <w:r>
        <w:rPr>
          <w:rFonts w:ascii="Verdana" w:hAnsi="Verdana" w:cs="Arial"/>
          <w:sz w:val="21"/>
          <w:szCs w:val="21"/>
        </w:rPr>
        <w:t>“</w:t>
      </w:r>
      <w:r w:rsidRPr="009954A8">
        <w:rPr>
          <w:rFonts w:ascii="Verdana" w:hAnsi="Verdana" w:cs="Arial"/>
          <w:sz w:val="21"/>
          <w:szCs w:val="21"/>
        </w:rPr>
        <w:t>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proporcionalidad, sujeta a un término o condición, período este durante el que las obligaciones contenidas en el contrato no se ejecutan, pero sin que se impute ese tiempo al plazo pactado inicialmente por las partes. […]</w:t>
      </w:r>
      <w:r>
        <w:rPr>
          <w:rFonts w:ascii="Verdana" w:hAnsi="Verdana" w:cs="Arial"/>
          <w:sz w:val="21"/>
          <w:szCs w:val="21"/>
        </w:rPr>
        <w:t>”</w:t>
      </w:r>
    </w:p>
    <w:p w14:paraId="28BA8040" w14:textId="77777777" w:rsidR="001141A7" w:rsidRPr="009954A8" w:rsidRDefault="001141A7" w:rsidP="00E65094">
      <w:pPr>
        <w:spacing w:after="0" w:line="276" w:lineRule="auto"/>
        <w:ind w:firstLine="709"/>
        <w:jc w:val="both"/>
        <w:rPr>
          <w:rFonts w:ascii="Verdana" w:hAnsi="Verdana" w:cs="Arial"/>
        </w:rPr>
      </w:pPr>
    </w:p>
    <w:p w14:paraId="15D6E973" w14:textId="77777777" w:rsidR="001141A7" w:rsidRPr="00E65094" w:rsidRDefault="001141A7" w:rsidP="00E65094">
      <w:pPr>
        <w:spacing w:after="0" w:line="276" w:lineRule="auto"/>
        <w:ind w:firstLine="708"/>
        <w:jc w:val="both"/>
        <w:rPr>
          <w:rFonts w:ascii="Verdana" w:hAnsi="Verdana" w:cs="Arial"/>
        </w:rPr>
      </w:pPr>
      <w:r w:rsidRPr="00E65094">
        <w:rPr>
          <w:rFonts w:ascii="Verdana" w:hAnsi="Verdana" w:cs="Arial"/>
        </w:rPr>
        <w:t>Por otro lado, el Ministerio de Trabajo al absolver una consulta en relación a la suspensión del contrato de prestación de servicios, por licencia de maternidad, conceptuó:</w:t>
      </w:r>
    </w:p>
    <w:p w14:paraId="70C69E37" w14:textId="77777777" w:rsidR="001141A7" w:rsidRPr="009954A8" w:rsidRDefault="001141A7" w:rsidP="00E65094">
      <w:pPr>
        <w:spacing w:after="0"/>
        <w:ind w:left="709" w:right="709"/>
        <w:contextualSpacing/>
        <w:jc w:val="both"/>
        <w:rPr>
          <w:rFonts w:ascii="Verdana" w:hAnsi="Verdana" w:cs="Arial"/>
          <w:sz w:val="21"/>
          <w:szCs w:val="21"/>
        </w:rPr>
      </w:pPr>
    </w:p>
    <w:p w14:paraId="0EB0A217" w14:textId="77777777" w:rsidR="001141A7" w:rsidRPr="009954A8" w:rsidRDefault="001141A7" w:rsidP="001141A7">
      <w:pPr>
        <w:ind w:left="709" w:right="709"/>
        <w:contextualSpacing/>
        <w:jc w:val="both"/>
        <w:rPr>
          <w:rFonts w:ascii="Verdana" w:hAnsi="Verdana" w:cs="Arial"/>
          <w:sz w:val="21"/>
          <w:szCs w:val="21"/>
        </w:rPr>
      </w:pPr>
      <w:r>
        <w:rPr>
          <w:rFonts w:ascii="Verdana" w:hAnsi="Verdana" w:cs="Arial"/>
          <w:color w:val="333333"/>
          <w:sz w:val="21"/>
          <w:szCs w:val="21"/>
        </w:rPr>
        <w:t>“</w:t>
      </w:r>
      <w:r w:rsidRPr="009954A8">
        <w:rPr>
          <w:rFonts w:ascii="Verdana" w:hAnsi="Verdana" w:cs="Arial"/>
          <w:sz w:val="21"/>
          <w:szCs w:val="21"/>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2946F472" w14:textId="77777777" w:rsidR="001141A7" w:rsidRPr="009954A8" w:rsidRDefault="001141A7" w:rsidP="001141A7">
      <w:pPr>
        <w:ind w:left="709" w:right="709"/>
        <w:contextualSpacing/>
        <w:jc w:val="both"/>
        <w:rPr>
          <w:rFonts w:ascii="Verdana" w:hAnsi="Verdana" w:cs="Arial"/>
          <w:sz w:val="21"/>
          <w:szCs w:val="21"/>
        </w:rPr>
      </w:pPr>
    </w:p>
    <w:p w14:paraId="221C73B6" w14:textId="77777777" w:rsidR="001141A7" w:rsidRPr="009954A8" w:rsidRDefault="001141A7" w:rsidP="001141A7">
      <w:pPr>
        <w:shd w:val="clear" w:color="auto" w:fill="FFFFFF"/>
        <w:ind w:left="709" w:right="709"/>
        <w:contextualSpacing/>
        <w:jc w:val="both"/>
        <w:rPr>
          <w:rFonts w:ascii="Verdana" w:hAnsi="Verdana" w:cs="Arial"/>
          <w:sz w:val="21"/>
          <w:szCs w:val="21"/>
        </w:rPr>
      </w:pPr>
      <w:r w:rsidRPr="009954A8">
        <w:rPr>
          <w:rFonts w:ascii="Verdana" w:hAnsi="Verdana" w:cs="Arial"/>
          <w:sz w:val="21"/>
          <w:szCs w:val="21"/>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Pr>
          <w:rFonts w:ascii="Verdana" w:hAnsi="Verdana" w:cs="Arial"/>
          <w:color w:val="333333"/>
          <w:sz w:val="21"/>
          <w:szCs w:val="21"/>
        </w:rPr>
        <w:t>”</w:t>
      </w:r>
      <w:r w:rsidRPr="009954A8">
        <w:rPr>
          <w:rFonts w:ascii="Verdana" w:hAnsi="Verdana" w:cs="Arial"/>
          <w:color w:val="333333"/>
          <w:sz w:val="21"/>
          <w:szCs w:val="21"/>
        </w:rPr>
        <w:t>.</w:t>
      </w:r>
      <w:r w:rsidRPr="009954A8">
        <w:rPr>
          <w:rStyle w:val="Refdenotaalpie"/>
          <w:rFonts w:ascii="Verdana" w:hAnsi="Verdana" w:cs="Arial"/>
          <w:sz w:val="21"/>
          <w:szCs w:val="21"/>
        </w:rPr>
        <w:footnoteReference w:id="13"/>
      </w:r>
    </w:p>
    <w:p w14:paraId="388FCCBB" w14:textId="77777777" w:rsidR="001141A7" w:rsidRDefault="001141A7" w:rsidP="001141A7">
      <w:pPr>
        <w:spacing w:after="120" w:line="276" w:lineRule="auto"/>
        <w:jc w:val="both"/>
        <w:rPr>
          <w:rFonts w:ascii="Verdana" w:hAnsi="Verdana" w:cs="Arial"/>
        </w:rPr>
      </w:pPr>
    </w:p>
    <w:p w14:paraId="7FAE03F0" w14:textId="77777777" w:rsidR="001141A7" w:rsidRPr="00E65094" w:rsidRDefault="001141A7" w:rsidP="00E65094">
      <w:pPr>
        <w:spacing w:after="120" w:line="276" w:lineRule="auto"/>
        <w:ind w:firstLine="708"/>
        <w:jc w:val="both"/>
        <w:rPr>
          <w:rFonts w:ascii="Verdana" w:hAnsi="Verdana" w:cs="Arial"/>
        </w:rPr>
      </w:pPr>
      <w:r w:rsidRPr="00E65094">
        <w:rPr>
          <w:rFonts w:ascii="Verdana" w:hAnsi="Verdana" w:cs="Arial"/>
        </w:rPr>
        <w:t>En ejercicio de la autonomía de las partes contratantes, las mismas podrán convenir la cláusula de suspensión del contrato de prestación de servicios, fijando las reglas por las cuales procederán las mismas teniendo en cuenta las disposiciones referidas en la Ley </w:t>
      </w:r>
      <w:hyperlink r:id="rId11" w:anchor="80" w:history="1">
        <w:r w:rsidRPr="00E65094">
          <w:rPr>
            <w:rFonts w:ascii="Verdana" w:hAnsi="Verdana" w:cs="Arial"/>
          </w:rPr>
          <w:t>80</w:t>
        </w:r>
      </w:hyperlink>
      <w:r w:rsidRPr="00E65094">
        <w:rPr>
          <w:rFonts w:ascii="Verdana" w:hAnsi="Verdana" w:cs="Arial"/>
        </w:rPr>
        <w:t> de 1993 y Ley </w:t>
      </w:r>
      <w:hyperlink r:id="rId12" w:anchor="1150" w:history="1">
        <w:r w:rsidRPr="00E65094">
          <w:rPr>
            <w:rFonts w:ascii="Verdana" w:hAnsi="Verdana" w:cs="Arial"/>
          </w:rPr>
          <w:t>1150</w:t>
        </w:r>
      </w:hyperlink>
      <w:r w:rsidRPr="00E65094">
        <w:rPr>
          <w:rFonts w:ascii="Verdana" w:hAnsi="Verdana" w:cs="Arial"/>
        </w:rPr>
        <w:t> de 2007. Así las cosas, las partes son quienes determinan las condiciones y términos según los cuales deben llevarse a cabo la suspensión del contrato, por lo que ninguna de las partes de manera unilateral puede declararla por fuera de lo convenido.</w:t>
      </w:r>
    </w:p>
    <w:p w14:paraId="51D9FE81" w14:textId="77777777" w:rsidR="001141A7" w:rsidRPr="00CC5C68" w:rsidRDefault="001141A7" w:rsidP="001141A7">
      <w:pPr>
        <w:pStyle w:val="Prrafodelista"/>
        <w:spacing w:after="0" w:line="276" w:lineRule="auto"/>
        <w:jc w:val="both"/>
        <w:rPr>
          <w:rFonts w:ascii="Verdana" w:eastAsia="Calibri" w:hAnsi="Verdana" w:cs="Arial"/>
          <w:szCs w:val="24"/>
          <w:lang w:eastAsia="es-ES_tradnl"/>
        </w:rPr>
      </w:pPr>
    </w:p>
    <w:p w14:paraId="33057F7E" w14:textId="77777777" w:rsidR="001141A7" w:rsidRPr="00CC5C68" w:rsidRDefault="001141A7" w:rsidP="001141A7">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74F8DC70" w14:textId="77777777" w:rsidR="001141A7" w:rsidRPr="00CC5C68" w:rsidRDefault="001141A7" w:rsidP="001141A7">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1141A7" w:rsidRPr="00CC5C68" w14:paraId="4678C28C" w14:textId="77777777" w:rsidTr="007435C4">
        <w:trPr>
          <w:trHeight w:val="870"/>
        </w:trPr>
        <w:tc>
          <w:tcPr>
            <w:tcW w:w="8647" w:type="dxa"/>
          </w:tcPr>
          <w:p w14:paraId="0A2DA276" w14:textId="77777777" w:rsidR="001141A7" w:rsidRPr="00F118AE" w:rsidRDefault="001141A7"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SU 070 de 2013. Magistrado Ponente: Gloria Stella Ortiz Delgado</w:t>
            </w:r>
          </w:p>
          <w:p w14:paraId="13BE4064" w14:textId="77777777" w:rsidR="001141A7" w:rsidRPr="00F118AE" w:rsidRDefault="001141A7"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T-102 del 1 de marzo de 2016, M.P: María Victoria Calle Correa</w:t>
            </w:r>
          </w:p>
          <w:p w14:paraId="04B906A9" w14:textId="77777777" w:rsidR="001141A7" w:rsidRPr="00F118AE" w:rsidRDefault="001141A7"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lang w:val="es-CO"/>
              </w:rPr>
              <w:t xml:space="preserve">Corte Constitucional, Sentencia T-743 de 2017, </w:t>
            </w:r>
            <w:proofErr w:type="spellStart"/>
            <w:r w:rsidRPr="00F118AE">
              <w:rPr>
                <w:rFonts w:ascii="Verdana" w:hAnsi="Verdana" w:cs="Arial"/>
                <w:lang w:val="es-CO"/>
              </w:rPr>
              <w:t>Exp</w:t>
            </w:r>
            <w:proofErr w:type="spellEnd"/>
            <w:r w:rsidRPr="00F118AE">
              <w:rPr>
                <w:rFonts w:ascii="Verdana" w:hAnsi="Verdana" w:cs="Arial"/>
                <w:lang w:val="es-CO"/>
              </w:rPr>
              <w:t>. T-6.366.648 Magistrada Ponente Cristina Pardo Schlesinger.</w:t>
            </w:r>
          </w:p>
          <w:p w14:paraId="49413C10" w14:textId="77777777" w:rsidR="001141A7" w:rsidRPr="00F118AE" w:rsidRDefault="001141A7"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T-564 del 6 de septiembre de 2017, M.P: Cristina Pardo Schlesinger</w:t>
            </w:r>
          </w:p>
          <w:p w14:paraId="66AA1444" w14:textId="77777777" w:rsidR="001141A7" w:rsidRPr="00F118AE" w:rsidRDefault="001141A7"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SU 075 de 2018. Magistrado Ponente: Gloria Stella Ortiz Delgado</w:t>
            </w:r>
          </w:p>
          <w:p w14:paraId="25D86878" w14:textId="77777777" w:rsidR="001141A7" w:rsidRPr="00F118AE" w:rsidRDefault="001141A7"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T-329 de 2022, Magistrada Ponente: Natalia Ángel Cabo</w:t>
            </w:r>
          </w:p>
          <w:p w14:paraId="7A2C8F6B" w14:textId="77777777" w:rsidR="001141A7" w:rsidRPr="00B61BA2" w:rsidRDefault="001141A7"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 xml:space="preserve">Consejo de Estado, </w:t>
            </w:r>
            <w:r w:rsidRPr="00B61BA2">
              <w:rPr>
                <w:rFonts w:ascii="Verdana" w:hAnsi="Verdana" w:cs="Arial"/>
              </w:rPr>
              <w:t>Sala de lo Contencioso Administrativo, Sección Tercera</w:t>
            </w:r>
            <w:r>
              <w:rPr>
                <w:rFonts w:ascii="Verdana" w:hAnsi="Verdana" w:cs="Arial"/>
              </w:rPr>
              <w:t xml:space="preserve">, </w:t>
            </w:r>
            <w:r w:rsidRPr="00F118AE">
              <w:rPr>
                <w:rFonts w:ascii="Verdana" w:hAnsi="Verdana" w:cs="Arial"/>
              </w:rPr>
              <w:t>sentencia del 28 de abril de 2010,</w:t>
            </w:r>
            <w:r>
              <w:rPr>
                <w:rFonts w:ascii="Verdana" w:hAnsi="Verdana" w:cs="Arial"/>
              </w:rPr>
              <w:t xml:space="preserve"> </w:t>
            </w:r>
            <w:proofErr w:type="spellStart"/>
            <w:r>
              <w:rPr>
                <w:rFonts w:ascii="Verdana" w:hAnsi="Verdana" w:cs="Arial"/>
              </w:rPr>
              <w:t>Exp</w:t>
            </w:r>
            <w:proofErr w:type="spellEnd"/>
            <w:r>
              <w:rPr>
                <w:rFonts w:ascii="Verdana" w:hAnsi="Verdana" w:cs="Arial"/>
              </w:rPr>
              <w:t>. 16.431. Magistrado Enrique Gil Botero.</w:t>
            </w:r>
          </w:p>
          <w:p w14:paraId="1A86F52F" w14:textId="77777777" w:rsidR="001141A7" w:rsidRPr="00F118AE" w:rsidRDefault="001141A7" w:rsidP="007435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Ministerio del Trabajo. Concepto 9972 de 5 de marzo de 2014.</w:t>
            </w:r>
          </w:p>
        </w:tc>
      </w:tr>
    </w:tbl>
    <w:p w14:paraId="21CC50B9" w14:textId="77777777" w:rsidR="001141A7" w:rsidRPr="00CC5C68" w:rsidRDefault="001141A7" w:rsidP="001141A7">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36419735" w14:textId="77777777" w:rsidR="001141A7" w:rsidRPr="00CC5C68" w:rsidRDefault="001141A7" w:rsidP="001141A7">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lang w:val="es-CO"/>
        </w:rPr>
        <w:t xml:space="preserve">5. </w:t>
      </w:r>
      <w:r w:rsidRPr="00CC5C68">
        <w:rPr>
          <w:rFonts w:ascii="Verdana" w:eastAsia="Century Gothic" w:hAnsi="Verdana" w:cs="Century Gothic"/>
          <w:b/>
          <w:bCs/>
        </w:rPr>
        <w:t>Doctrina de la Agencia Nacional de Contratación Pública:</w:t>
      </w:r>
    </w:p>
    <w:p w14:paraId="0D52A978" w14:textId="77777777" w:rsidR="001141A7" w:rsidRPr="00CC5C68" w:rsidRDefault="001141A7" w:rsidP="001141A7">
      <w:pPr>
        <w:spacing w:after="0" w:line="276" w:lineRule="auto"/>
        <w:ind w:firstLine="709"/>
        <w:jc w:val="both"/>
        <w:rPr>
          <w:rFonts w:ascii="Verdana" w:eastAsia="Times New Roman" w:hAnsi="Verdana" w:cs="Arial"/>
          <w:szCs w:val="24"/>
          <w:lang w:val="es-ES" w:eastAsia="es-ES_tradnl"/>
        </w:rPr>
      </w:pPr>
    </w:p>
    <w:p w14:paraId="373C1292" w14:textId="77777777" w:rsidR="001141A7" w:rsidRPr="00CC5C68" w:rsidRDefault="001141A7" w:rsidP="001141A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Pr>
          <w:rFonts w:ascii="Verdana" w:eastAsia="Calibri" w:hAnsi="Verdana" w:cs="Arial"/>
          <w:lang w:val="es-ES_tradnl" w:eastAsia="es-ES_tradnl"/>
        </w:rPr>
        <w:t>la licencia de maternidad</w:t>
      </w:r>
      <w:r w:rsidRPr="00CC5C68">
        <w:rPr>
          <w:rFonts w:ascii="Verdana" w:eastAsia="Calibri" w:hAnsi="Verdana" w:cs="Arial"/>
          <w:lang w:val="es-ES_tradnl" w:eastAsia="es-ES_tradnl"/>
        </w:rPr>
        <w:t>, se pronunció esta Subdirección en los conceptos</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C-770 del del 7 de diciembre de 2022, C-712 del 7 de diciembre de 2022, C-789 del 22 de noviembre de 2022, C-031 del 17 de marzo de 2023, C-213 de 26 de junio de 2023, C-439 del 20 de octubre de 2023 y C-463 del 22 de noviembre de 2023</w:t>
      </w:r>
      <w:r w:rsidRPr="00CC5C68">
        <w:rPr>
          <w:rFonts w:ascii="Verdana" w:eastAsia="Calibri" w:hAnsi="Verdana" w:cs="Arial"/>
          <w:lang w:val="es-ES_tradnl" w:eastAsia="es-ES_tradnl"/>
        </w:rPr>
        <w:t xml:space="preserve">. </w:t>
      </w:r>
      <w:r w:rsidRPr="00CC1341">
        <w:rPr>
          <w:rFonts w:ascii="Verdana" w:eastAsia="Calibri" w:hAnsi="Verdana" w:cs="Arial"/>
          <w:lang w:val="es-ES_tradnl" w:eastAsia="es-ES_tradnl"/>
        </w:rPr>
        <w:t xml:space="preserve">Así mismo, se pronunció respecto de la suspensión del contrato de </w:t>
      </w:r>
      <w:r w:rsidRPr="00CC1341">
        <w:rPr>
          <w:rFonts w:ascii="Verdana" w:eastAsia="Calibri" w:hAnsi="Verdana" w:cs="Arial"/>
          <w:lang w:val="es-ES_tradnl" w:eastAsia="es-ES_tradnl"/>
        </w:rPr>
        <w:lastRenderedPageBreak/>
        <w:t>prestación de servicios por licencia de maternidad en el concepto con radicado 2201913000002416 del 10 de abril de 2019</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C-920 del 14 de febrero de 2023</w:t>
      </w:r>
      <w:r>
        <w:rPr>
          <w:rFonts w:ascii="Verdana" w:eastAsia="Calibri" w:hAnsi="Verdana" w:cs="Arial"/>
          <w:lang w:val="es-ES_tradnl" w:eastAsia="es-ES_tradnl"/>
        </w:rPr>
        <w:t>, C-231 del 27 de junio de 2024, C-545 del 12 de junio de 2025, entre otros</w:t>
      </w:r>
      <w:r w:rsidRPr="00CC5C68">
        <w:rPr>
          <w:rFonts w:ascii="Verdana" w:eastAsia="Calibri" w:hAnsi="Verdana" w:cs="Arial"/>
          <w:lang w:val="es-ES" w:eastAsia="es-ES_tradnl"/>
        </w:rPr>
        <w:t>. 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3" w:history="1">
        <w:r w:rsidRPr="00CC5C68">
          <w:rPr>
            <w:rStyle w:val="Hipervnculo"/>
            <w:rFonts w:ascii="Verdana" w:hAnsi="Verdana" w:cs="Arial"/>
            <w:shd w:val="clear" w:color="auto" w:fill="FFFFFF"/>
            <w:lang w:val="es-ES"/>
          </w:rPr>
          <w:t>https://relatoria.colombiacompra.gov.co/busqueda/conceptos</w:t>
        </w:r>
      </w:hyperlink>
    </w:p>
    <w:p w14:paraId="16A14ACD" w14:textId="77777777" w:rsidR="001141A7" w:rsidRPr="00CC5C68" w:rsidRDefault="001141A7" w:rsidP="001141A7">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44BF5332" w14:textId="77777777" w:rsidR="001141A7" w:rsidRPr="00DE5CCE" w:rsidRDefault="001141A7" w:rsidP="001141A7">
      <w:pPr>
        <w:spacing w:after="0" w:line="240" w:lineRule="auto"/>
        <w:jc w:val="both"/>
        <w:rPr>
          <w:rFonts w:ascii="Verdana" w:hAnsi="Verdana"/>
        </w:rPr>
      </w:pPr>
      <w:r w:rsidRPr="00DE5CCE">
        <w:rPr>
          <w:rFonts w:ascii="Verdana" w:hAnsi="Verdana"/>
        </w:rPr>
        <w:t>También le contamos que ya se encuentra disponible la </w:t>
      </w:r>
      <w:r w:rsidRPr="00DE5CCE">
        <w:rPr>
          <w:rFonts w:ascii="Verdana" w:hAnsi="Verdana"/>
          <w:b/>
          <w:bCs/>
        </w:rPr>
        <w:t>Guía de lineamientos de transparencia y selección objetiva para el departamento de La Guajira – Objetivo sexto constitucional de la Sentencia T-302 del 2017. </w:t>
      </w:r>
      <w:r w:rsidRPr="00DE5CCE">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E5CCE">
        <w:rPr>
          <w:rFonts w:ascii="Verdana" w:hAnsi="Verdana"/>
        </w:rPr>
        <w:t>Wayúu</w:t>
      </w:r>
      <w:proofErr w:type="spellEnd"/>
      <w:r w:rsidRPr="00DE5CCE">
        <w:rPr>
          <w:rFonts w:ascii="Verdana" w:hAnsi="Verdana"/>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DE5CCE">
          <w:rPr>
            <w:rStyle w:val="Hipervnculo"/>
            <w:rFonts w:ascii="Verdana" w:hAnsi="Verdana"/>
          </w:rPr>
          <w:t>Guía de lineamientos de transparencia y selección objetiva para el departamento de La Guajira – Objetivo sexto constitucional de la Sentencia T-302 del 2017</w:t>
        </w:r>
      </w:hyperlink>
      <w:r w:rsidRPr="00DE5CCE">
        <w:rPr>
          <w:rFonts w:ascii="Verdana" w:hAnsi="Verdana"/>
          <w:u w:val="single"/>
        </w:rPr>
        <w:t>"</w:t>
      </w:r>
    </w:p>
    <w:p w14:paraId="7AE76BE5" w14:textId="77777777" w:rsidR="001141A7" w:rsidRPr="00CC5C68" w:rsidRDefault="001141A7" w:rsidP="001141A7">
      <w:pPr>
        <w:spacing w:after="0" w:line="240" w:lineRule="auto"/>
        <w:jc w:val="both"/>
        <w:rPr>
          <w:rFonts w:ascii="Verdana" w:hAnsi="Verdana"/>
        </w:rPr>
      </w:pPr>
    </w:p>
    <w:p w14:paraId="1B231C04" w14:textId="77777777" w:rsidR="001141A7" w:rsidRPr="00CC5C68" w:rsidRDefault="001141A7" w:rsidP="001141A7">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2CF6879E" w14:textId="77777777" w:rsidR="001141A7" w:rsidRPr="00CC5C68" w:rsidRDefault="001141A7" w:rsidP="001141A7">
      <w:pPr>
        <w:spacing w:after="0" w:line="240" w:lineRule="auto"/>
        <w:jc w:val="both"/>
        <w:rPr>
          <w:rFonts w:ascii="Verdana" w:hAnsi="Verdana"/>
        </w:rPr>
      </w:pPr>
    </w:p>
    <w:p w14:paraId="08BD7ACA" w14:textId="77777777" w:rsidR="001141A7" w:rsidRPr="00CC5C68" w:rsidRDefault="001141A7" w:rsidP="001141A7">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681C484F" w14:textId="77777777" w:rsidR="001141A7" w:rsidRPr="00CC5C68" w:rsidRDefault="001141A7" w:rsidP="001141A7">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200EEFFE" w14:textId="77777777" w:rsidR="001141A7" w:rsidRPr="00CC5C68" w:rsidRDefault="001141A7" w:rsidP="001141A7">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7819AF53" w14:textId="77777777" w:rsidR="001141A7" w:rsidRPr="00CC5C68" w:rsidRDefault="001141A7" w:rsidP="001141A7">
      <w:pPr>
        <w:widowControl w:val="0"/>
        <w:autoSpaceDE w:val="0"/>
        <w:autoSpaceDN w:val="0"/>
        <w:spacing w:after="0" w:line="276" w:lineRule="auto"/>
        <w:jc w:val="both"/>
        <w:rPr>
          <w:rFonts w:ascii="Verdana" w:hAnsi="Verdana" w:cs="Arial"/>
        </w:rPr>
      </w:pPr>
    </w:p>
    <w:p w14:paraId="0C67EB02" w14:textId="77777777" w:rsidR="001141A7" w:rsidRPr="00CC5C68" w:rsidRDefault="001141A7" w:rsidP="001141A7">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09AF55EA" w14:textId="77777777" w:rsidR="001141A7" w:rsidRPr="00CC5C68" w:rsidRDefault="001141A7" w:rsidP="001141A7">
      <w:pPr>
        <w:spacing w:after="0" w:line="276" w:lineRule="auto"/>
        <w:ind w:firstLine="709"/>
        <w:jc w:val="both"/>
        <w:rPr>
          <w:rFonts w:ascii="Verdana" w:eastAsia="Times New Roman" w:hAnsi="Verdana" w:cs="Arial"/>
          <w:szCs w:val="24"/>
          <w:lang w:val="es-ES_tradnl" w:eastAsia="es-ES_tradnl"/>
        </w:rPr>
      </w:pPr>
    </w:p>
    <w:p w14:paraId="267FAF9A" w14:textId="77777777" w:rsidR="001141A7" w:rsidRPr="00CC5C68" w:rsidRDefault="001141A7" w:rsidP="001141A7">
      <w:pPr>
        <w:spacing w:after="0" w:line="276" w:lineRule="auto"/>
        <w:jc w:val="both"/>
        <w:rPr>
          <w:rFonts w:ascii="Verdana" w:eastAsia="Times New Roman" w:hAnsi="Verdana" w:cs="Arial"/>
          <w:lang w:val="es-ES_tradnl" w:eastAsia="es-CO"/>
        </w:rPr>
      </w:pPr>
      <w:bookmarkStart w:id="2" w:name="_Hlk117695077"/>
      <w:r w:rsidRPr="00CC5C68">
        <w:rPr>
          <w:rFonts w:ascii="Verdana" w:eastAsia="Times New Roman" w:hAnsi="Verdana" w:cs="Arial"/>
          <w:lang w:val="es-ES_tradnl" w:eastAsia="es-CO"/>
        </w:rPr>
        <w:t>Atentamente,</w:t>
      </w:r>
    </w:p>
    <w:bookmarkEnd w:id="2"/>
    <w:p w14:paraId="0B806643" w14:textId="76EAFFAF" w:rsidR="001141A7" w:rsidRPr="00CC5C68" w:rsidRDefault="00A27896" w:rsidP="001141A7">
      <w:pPr>
        <w:spacing w:after="18" w:line="240" w:lineRule="auto"/>
        <w:jc w:val="center"/>
        <w:rPr>
          <w:rFonts w:ascii="Verdana" w:eastAsia="Times New Roman" w:hAnsi="Verdana" w:cs="Arial"/>
          <w:sz w:val="24"/>
          <w:szCs w:val="24"/>
          <w:lang w:eastAsia="es-CO"/>
        </w:rPr>
      </w:pPr>
      <w:r w:rsidRPr="002C3AD6">
        <w:rPr>
          <w:rFonts w:ascii="Century Gothic" w:hAnsi="Century Gothic"/>
          <w:noProof/>
        </w:rPr>
        <w:lastRenderedPageBreak/>
        <w:drawing>
          <wp:inline distT="0" distB="0" distL="0" distR="0" wp14:anchorId="305FC4F3" wp14:editId="6513792A">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57DFDE79" w14:textId="77777777" w:rsidR="001141A7" w:rsidRPr="00CC5C68" w:rsidRDefault="001141A7" w:rsidP="001141A7">
      <w:pPr>
        <w:spacing w:after="18" w:line="240" w:lineRule="auto"/>
        <w:jc w:val="center"/>
        <w:rPr>
          <w:rFonts w:ascii="Verdana" w:eastAsia="Times New Roman" w:hAnsi="Verdana" w:cs="Arial"/>
          <w:sz w:val="24"/>
          <w:szCs w:val="24"/>
          <w:lang w:eastAsia="es-CO"/>
        </w:rPr>
      </w:pPr>
    </w:p>
    <w:tbl>
      <w:tblPr>
        <w:tblStyle w:val="Tablaconcuadrcula1"/>
        <w:tblpPr w:leftFromText="141" w:rightFromText="141" w:vertAnchor="text" w:horzAnchor="margin" w:tblpY="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4217"/>
      </w:tblGrid>
      <w:tr w:rsidR="001141A7" w:rsidRPr="00CC5C68" w14:paraId="561C4648" w14:textId="77777777" w:rsidTr="007435C4">
        <w:trPr>
          <w:trHeight w:val="286"/>
        </w:trPr>
        <w:tc>
          <w:tcPr>
            <w:tcW w:w="886" w:type="dxa"/>
            <w:vAlign w:val="center"/>
            <w:hideMark/>
          </w:tcPr>
          <w:p w14:paraId="4266A265" w14:textId="77777777" w:rsidR="001141A7" w:rsidRPr="00CC5C68" w:rsidRDefault="001141A7" w:rsidP="007435C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Elaboró:</w:t>
            </w:r>
          </w:p>
        </w:tc>
        <w:tc>
          <w:tcPr>
            <w:tcW w:w="4217" w:type="dxa"/>
            <w:tcBorders>
              <w:top w:val="nil"/>
              <w:left w:val="nil"/>
              <w:bottom w:val="dotted" w:sz="4" w:space="0" w:color="7F7F7F"/>
              <w:right w:val="nil"/>
            </w:tcBorders>
            <w:vAlign w:val="center"/>
            <w:hideMark/>
          </w:tcPr>
          <w:p w14:paraId="7670DFBE" w14:textId="77777777" w:rsidR="001141A7" w:rsidRDefault="001141A7" w:rsidP="007435C4">
            <w:pPr>
              <w:rPr>
                <w:rFonts w:ascii="Verdana" w:eastAsia="Times New Roman" w:hAnsi="Verdana" w:cs="Arial"/>
                <w:sz w:val="16"/>
                <w:szCs w:val="16"/>
                <w:lang w:val="es-ES_tradnl" w:eastAsia="es-ES"/>
              </w:rPr>
            </w:pPr>
            <w:r w:rsidRPr="009C4D9A">
              <w:rPr>
                <w:rFonts w:ascii="Verdana" w:eastAsia="Times New Roman" w:hAnsi="Verdana" w:cs="Arial"/>
                <w:sz w:val="16"/>
                <w:szCs w:val="16"/>
                <w:lang w:val="es-ES_tradnl" w:eastAsia="es-ES"/>
              </w:rPr>
              <w:t>Ximena Ríos López</w:t>
            </w:r>
          </w:p>
          <w:p w14:paraId="6344812B" w14:textId="77777777" w:rsidR="001141A7" w:rsidRPr="00CC5C68" w:rsidRDefault="001141A7" w:rsidP="007435C4">
            <w:pPr>
              <w:rPr>
                <w:rFonts w:ascii="Verdana" w:eastAsia="Times New Roman" w:hAnsi="Verdana" w:cs="Arial"/>
                <w:sz w:val="14"/>
                <w:szCs w:val="14"/>
                <w:lang w:eastAsia="es-ES"/>
              </w:rPr>
            </w:pPr>
            <w:r>
              <w:rPr>
                <w:rFonts w:ascii="Verdana" w:eastAsia="Times New Roman" w:hAnsi="Verdana" w:cs="Arial"/>
                <w:sz w:val="16"/>
                <w:szCs w:val="16"/>
                <w:lang w:val="es-ES_tradnl" w:eastAsia="es-ES"/>
              </w:rPr>
              <w:t>Gestor T1-11</w:t>
            </w:r>
            <w:r w:rsidRPr="00CC5C68">
              <w:rPr>
                <w:rFonts w:ascii="Verdana" w:eastAsia="Times New Roman" w:hAnsi="Verdana" w:cs="Arial"/>
                <w:sz w:val="16"/>
                <w:szCs w:val="16"/>
                <w:lang w:eastAsia="es-ES"/>
              </w:rPr>
              <w:t xml:space="preserve"> de la Subdirección de Gestión Contractual</w:t>
            </w:r>
          </w:p>
        </w:tc>
      </w:tr>
      <w:tr w:rsidR="001141A7" w:rsidRPr="00CC5C68" w14:paraId="6967A5E4" w14:textId="77777777" w:rsidTr="007435C4">
        <w:trPr>
          <w:trHeight w:val="299"/>
        </w:trPr>
        <w:tc>
          <w:tcPr>
            <w:tcW w:w="886" w:type="dxa"/>
            <w:vAlign w:val="center"/>
            <w:hideMark/>
          </w:tcPr>
          <w:p w14:paraId="15C11512" w14:textId="77777777" w:rsidR="001141A7" w:rsidRPr="00CC5C68" w:rsidRDefault="001141A7" w:rsidP="007435C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Revisó:</w:t>
            </w:r>
          </w:p>
        </w:tc>
        <w:tc>
          <w:tcPr>
            <w:tcW w:w="4217" w:type="dxa"/>
            <w:tcBorders>
              <w:top w:val="dotted" w:sz="4" w:space="0" w:color="7F7F7F"/>
              <w:left w:val="nil"/>
              <w:bottom w:val="dotted" w:sz="4" w:space="0" w:color="7F7F7F"/>
              <w:right w:val="nil"/>
            </w:tcBorders>
            <w:vAlign w:val="center"/>
            <w:hideMark/>
          </w:tcPr>
          <w:p w14:paraId="2B521002" w14:textId="77777777" w:rsidR="001141A7" w:rsidRPr="00CC5C68" w:rsidRDefault="001141A7" w:rsidP="007435C4">
            <w:pPr>
              <w:rPr>
                <w:rFonts w:ascii="Verdana" w:eastAsia="Times New Roman" w:hAnsi="Verdana" w:cs="Arial"/>
                <w:sz w:val="16"/>
                <w:szCs w:val="16"/>
                <w:lang w:val="es-ES_tradnl" w:eastAsia="es-ES"/>
              </w:rPr>
            </w:pPr>
            <w:r>
              <w:rPr>
                <w:rFonts w:ascii="Verdana" w:eastAsia="Times New Roman" w:hAnsi="Verdana" w:cs="Arial"/>
                <w:sz w:val="16"/>
                <w:szCs w:val="16"/>
                <w:lang w:val="es-ES_tradnl" w:eastAsia="es-ES"/>
              </w:rPr>
              <w:t>Diana Saavedra</w:t>
            </w:r>
          </w:p>
          <w:p w14:paraId="063CE69C" w14:textId="77777777" w:rsidR="001141A7" w:rsidRPr="00CC5C68" w:rsidRDefault="001141A7" w:rsidP="007435C4">
            <w:pPr>
              <w:rPr>
                <w:rFonts w:ascii="Verdana" w:eastAsia="Times New Roman" w:hAnsi="Verdana" w:cs="Arial"/>
                <w:sz w:val="14"/>
                <w:szCs w:val="14"/>
                <w:lang w:eastAsia="es-ES"/>
              </w:rPr>
            </w:pPr>
            <w:r>
              <w:rPr>
                <w:rFonts w:ascii="Verdana" w:eastAsia="Times New Roman" w:hAnsi="Verdana" w:cs="Arial"/>
                <w:sz w:val="16"/>
                <w:szCs w:val="16"/>
                <w:lang w:eastAsia="es-ES"/>
              </w:rPr>
              <w:t>Contratista</w:t>
            </w:r>
            <w:r w:rsidRPr="00CC5C68">
              <w:rPr>
                <w:rFonts w:ascii="Verdana" w:eastAsia="Times New Roman" w:hAnsi="Verdana" w:cs="Arial"/>
                <w:sz w:val="16"/>
                <w:szCs w:val="16"/>
                <w:lang w:eastAsia="es-ES"/>
              </w:rPr>
              <w:t xml:space="preserve"> de la Subdirección de Gestión Contractual</w:t>
            </w:r>
          </w:p>
        </w:tc>
      </w:tr>
      <w:tr w:rsidR="001141A7" w:rsidRPr="00CC5C68" w14:paraId="13570A2D" w14:textId="77777777" w:rsidTr="007435C4">
        <w:trPr>
          <w:trHeight w:val="272"/>
        </w:trPr>
        <w:tc>
          <w:tcPr>
            <w:tcW w:w="886" w:type="dxa"/>
            <w:vAlign w:val="center"/>
            <w:hideMark/>
          </w:tcPr>
          <w:p w14:paraId="48541703" w14:textId="77777777" w:rsidR="001141A7" w:rsidRPr="00CC5C68" w:rsidRDefault="001141A7" w:rsidP="007435C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Aprobó:</w:t>
            </w:r>
          </w:p>
        </w:tc>
        <w:tc>
          <w:tcPr>
            <w:tcW w:w="4217" w:type="dxa"/>
            <w:tcBorders>
              <w:top w:val="dotted" w:sz="4" w:space="0" w:color="7F7F7F"/>
              <w:left w:val="nil"/>
              <w:bottom w:val="dotted" w:sz="4" w:space="0" w:color="7F7F7F"/>
              <w:right w:val="nil"/>
            </w:tcBorders>
            <w:vAlign w:val="center"/>
            <w:hideMark/>
          </w:tcPr>
          <w:p w14:paraId="5D03993E" w14:textId="77777777" w:rsidR="001141A7" w:rsidRPr="00CC5C68" w:rsidRDefault="001141A7" w:rsidP="007435C4">
            <w:pPr>
              <w:rPr>
                <w:rFonts w:ascii="Verdana" w:eastAsia="Times New Roman" w:hAnsi="Verdana" w:cs="Arial"/>
                <w:sz w:val="16"/>
                <w:szCs w:val="16"/>
                <w:lang w:eastAsia="es-ES"/>
              </w:rPr>
            </w:pPr>
            <w:r w:rsidRPr="00CC5C68">
              <w:rPr>
                <w:rFonts w:ascii="Verdana" w:eastAsia="Times New Roman" w:hAnsi="Verdana" w:cs="Arial"/>
                <w:sz w:val="16"/>
                <w:szCs w:val="16"/>
                <w:lang w:eastAsia="es-ES"/>
              </w:rPr>
              <w:t>Carolina Quintero Gacharná</w:t>
            </w:r>
          </w:p>
          <w:p w14:paraId="6E1AC07A" w14:textId="77777777" w:rsidR="001141A7" w:rsidRPr="00CC5C68" w:rsidRDefault="001141A7" w:rsidP="007435C4">
            <w:pPr>
              <w:rPr>
                <w:rFonts w:ascii="Verdana" w:eastAsia="Times New Roman" w:hAnsi="Verdana" w:cs="Arial"/>
                <w:sz w:val="14"/>
                <w:szCs w:val="14"/>
                <w:lang w:eastAsia="es-ES"/>
              </w:rPr>
            </w:pPr>
            <w:r w:rsidRPr="00CC5C68">
              <w:rPr>
                <w:rFonts w:ascii="Verdana" w:eastAsia="Times New Roman" w:hAnsi="Verdana" w:cs="Arial"/>
                <w:sz w:val="16"/>
                <w:szCs w:val="16"/>
                <w:lang w:eastAsia="es-ES"/>
              </w:rPr>
              <w:t>Subdirectora de Gestión Contractual ANCP – CCE</w:t>
            </w:r>
          </w:p>
        </w:tc>
      </w:tr>
    </w:tbl>
    <w:p w14:paraId="0D2E0B96" w14:textId="77777777" w:rsidR="001141A7" w:rsidRPr="00CC5C68" w:rsidRDefault="001141A7" w:rsidP="001141A7">
      <w:pPr>
        <w:spacing w:after="0" w:line="276" w:lineRule="auto"/>
        <w:jc w:val="both"/>
        <w:rPr>
          <w:rFonts w:ascii="Verdana" w:eastAsia="Times New Roman" w:hAnsi="Verdana" w:cs="Arial"/>
          <w:lang w:val="es-ES_tradnl"/>
        </w:rPr>
      </w:pPr>
    </w:p>
    <w:p w14:paraId="3A7F258D" w14:textId="77777777" w:rsidR="001141A7" w:rsidRPr="00CC5C68" w:rsidRDefault="001141A7" w:rsidP="001141A7">
      <w:pPr>
        <w:spacing w:after="0" w:line="240" w:lineRule="auto"/>
        <w:rPr>
          <w:rFonts w:ascii="Verdana" w:eastAsia="Times New Roman" w:hAnsi="Verdana" w:cs="Arial"/>
          <w:sz w:val="24"/>
          <w:szCs w:val="24"/>
          <w:lang w:eastAsia="es-ES_tradnl"/>
        </w:rPr>
      </w:pPr>
    </w:p>
    <w:p w14:paraId="3AD06492" w14:textId="77777777" w:rsidR="001141A7" w:rsidRPr="00CC5C68" w:rsidRDefault="001141A7" w:rsidP="001141A7">
      <w:pPr>
        <w:rPr>
          <w:rFonts w:ascii="Verdana" w:hAnsi="Verdana"/>
        </w:rPr>
      </w:pPr>
    </w:p>
    <w:p w14:paraId="67AF006A" w14:textId="77777777" w:rsidR="001141A7" w:rsidRPr="00557077" w:rsidRDefault="001141A7" w:rsidP="001141A7"/>
    <w:p w14:paraId="0F293BF4" w14:textId="3A8DDC57" w:rsidR="00127233" w:rsidRPr="001141A7" w:rsidRDefault="00127233" w:rsidP="001141A7"/>
    <w:sectPr w:rsidR="00127233" w:rsidRPr="001141A7" w:rsidSect="007C0C0F">
      <w:headerReference w:type="default" r:id="rId16"/>
      <w:footerReference w:type="default" r:id="rId17"/>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8D084" w14:textId="77777777" w:rsidR="00A5689A" w:rsidRDefault="00A5689A" w:rsidP="004A1847">
      <w:pPr>
        <w:spacing w:after="0" w:line="240" w:lineRule="auto"/>
      </w:pPr>
      <w:r>
        <w:separator/>
      </w:r>
    </w:p>
  </w:endnote>
  <w:endnote w:type="continuationSeparator" w:id="0">
    <w:p w14:paraId="7BCAD27D" w14:textId="77777777" w:rsidR="00A5689A" w:rsidRDefault="00A5689A"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2E27F" w14:textId="77777777" w:rsidR="00A5689A" w:rsidRDefault="00A5689A" w:rsidP="004A1847">
      <w:pPr>
        <w:spacing w:after="0" w:line="240" w:lineRule="auto"/>
      </w:pPr>
      <w:r>
        <w:separator/>
      </w:r>
    </w:p>
  </w:footnote>
  <w:footnote w:type="continuationSeparator" w:id="0">
    <w:p w14:paraId="02DC64C3" w14:textId="77777777" w:rsidR="00A5689A" w:rsidRDefault="00A5689A" w:rsidP="004A1847">
      <w:pPr>
        <w:spacing w:after="0" w:line="240" w:lineRule="auto"/>
      </w:pPr>
      <w:r>
        <w:continuationSeparator/>
      </w:r>
    </w:p>
  </w:footnote>
  <w:footnote w:id="1">
    <w:p w14:paraId="7322D6DC" w14:textId="77777777" w:rsidR="001141A7" w:rsidRPr="00E65094" w:rsidRDefault="001141A7" w:rsidP="003046CD">
      <w:pPr>
        <w:pStyle w:val="Textonotapie"/>
        <w:ind w:left="300" w:firstLine="4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Corte Constitucional, sentencia T-743 de 2017, Exp. T-6.366.648 Magistrada Ponente Cristina Pardo Schlesinger.</w:t>
      </w:r>
    </w:p>
    <w:p w14:paraId="1A999D2D" w14:textId="77777777" w:rsidR="001141A7" w:rsidRPr="00E65094" w:rsidRDefault="001141A7" w:rsidP="003046CD">
      <w:pPr>
        <w:pStyle w:val="Textonotapie"/>
        <w:ind w:left="300" w:firstLine="408"/>
        <w:contextualSpacing/>
        <w:jc w:val="both"/>
        <w:rPr>
          <w:rFonts w:ascii="Verdana" w:hAnsi="Verdana" w:cs="Arial"/>
          <w:sz w:val="14"/>
          <w:szCs w:val="14"/>
        </w:rPr>
      </w:pPr>
    </w:p>
  </w:footnote>
  <w:footnote w:id="2">
    <w:p w14:paraId="122F8684" w14:textId="77777777" w:rsidR="001141A7" w:rsidRPr="00E65094" w:rsidRDefault="001141A7" w:rsidP="00E65094">
      <w:pPr>
        <w:spacing w:after="0" w:line="240" w:lineRule="auto"/>
        <w:ind w:left="300" w:right="306" w:firstLine="4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44482E26" w14:textId="77777777" w:rsidR="001141A7" w:rsidRPr="00E65094" w:rsidRDefault="001141A7" w:rsidP="00E65094">
      <w:pPr>
        <w:spacing w:after="0" w:line="240" w:lineRule="auto"/>
        <w:ind w:left="300" w:right="306" w:firstLine="707"/>
        <w:contextualSpacing/>
        <w:jc w:val="both"/>
        <w:rPr>
          <w:rFonts w:ascii="Verdana" w:eastAsia="Arial" w:hAnsi="Verdana" w:cs="Arial"/>
          <w:sz w:val="14"/>
          <w:szCs w:val="14"/>
          <w:lang w:val="es-ES"/>
        </w:rPr>
      </w:pPr>
    </w:p>
    <w:p w14:paraId="201F4A7D" w14:textId="77777777" w:rsidR="001141A7" w:rsidRPr="00E65094" w:rsidRDefault="001141A7" w:rsidP="00E65094">
      <w:pPr>
        <w:spacing w:after="0" w:line="240" w:lineRule="auto"/>
        <w:ind w:left="599" w:right="306" w:firstLine="408"/>
        <w:contextualSpacing/>
        <w:jc w:val="both"/>
        <w:rPr>
          <w:rFonts w:ascii="Verdana" w:hAnsi="Verdana" w:cs="Arial"/>
          <w:sz w:val="14"/>
          <w:szCs w:val="14"/>
        </w:rPr>
      </w:pPr>
      <w:r w:rsidRPr="00E65094">
        <w:rPr>
          <w:rFonts w:ascii="Verdana" w:hAnsi="Verdana" w:cs="Arial"/>
          <w:sz w:val="14"/>
          <w:szCs w:val="14"/>
        </w:rPr>
        <w:t>[…]</w:t>
      </w:r>
    </w:p>
    <w:p w14:paraId="6B79595A" w14:textId="77777777" w:rsidR="001141A7" w:rsidRPr="00E65094" w:rsidRDefault="001141A7" w:rsidP="003046CD">
      <w:pPr>
        <w:pStyle w:val="Textoindependiente"/>
        <w:spacing w:after="0" w:line="240" w:lineRule="auto"/>
        <w:ind w:left="300" w:right="306"/>
        <w:contextualSpacing/>
        <w:jc w:val="both"/>
        <w:rPr>
          <w:rFonts w:ascii="Verdana" w:hAnsi="Verdana" w:cs="Arial"/>
          <w:sz w:val="14"/>
          <w:szCs w:val="14"/>
        </w:rPr>
      </w:pPr>
    </w:p>
    <w:p w14:paraId="2965B786" w14:textId="77777777" w:rsidR="001141A7" w:rsidRPr="00E65094" w:rsidRDefault="001141A7" w:rsidP="00E65094">
      <w:pPr>
        <w:spacing w:after="0" w:line="240" w:lineRule="auto"/>
        <w:ind w:left="300" w:right="306" w:firstLine="408"/>
        <w:contextualSpacing/>
        <w:jc w:val="both"/>
        <w:rPr>
          <w:rFonts w:ascii="Verdana" w:hAnsi="Verdana" w:cs="Arial"/>
          <w:sz w:val="14"/>
          <w:szCs w:val="14"/>
        </w:rPr>
      </w:pPr>
      <w:r w:rsidRPr="00E65094">
        <w:rPr>
          <w:rFonts w:ascii="Verdana" w:hAnsi="Verdana" w:cs="Arial"/>
          <w:sz w:val="14"/>
          <w:szCs w:val="14"/>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w:t>
      </w:r>
      <w:r w:rsidRPr="00E65094">
        <w:rPr>
          <w:rFonts w:ascii="Verdana" w:hAnsi="Verdana" w:cs="Arial"/>
          <w:spacing w:val="-17"/>
          <w:sz w:val="14"/>
          <w:szCs w:val="14"/>
        </w:rPr>
        <w:t xml:space="preserve"> </w:t>
      </w:r>
      <w:r w:rsidRPr="00E65094">
        <w:rPr>
          <w:rFonts w:ascii="Verdana" w:hAnsi="Verdana" w:cs="Arial"/>
          <w:sz w:val="14"/>
          <w:szCs w:val="14"/>
        </w:rPr>
        <w:t>trabajo”.</w:t>
      </w:r>
    </w:p>
    <w:p w14:paraId="3E3E63D3" w14:textId="77777777" w:rsidR="001141A7" w:rsidRPr="00E65094" w:rsidRDefault="001141A7" w:rsidP="003046CD">
      <w:pPr>
        <w:pStyle w:val="Textonotapie"/>
        <w:ind w:left="300" w:right="306"/>
        <w:contextualSpacing/>
        <w:jc w:val="both"/>
        <w:rPr>
          <w:rFonts w:ascii="Verdana" w:hAnsi="Verdana" w:cs="Arial"/>
          <w:sz w:val="14"/>
          <w:szCs w:val="14"/>
        </w:rPr>
      </w:pPr>
    </w:p>
  </w:footnote>
  <w:footnote w:id="3">
    <w:p w14:paraId="7A886ED0" w14:textId="77777777" w:rsidR="001141A7" w:rsidRPr="00E65094" w:rsidRDefault="001141A7" w:rsidP="00E65094">
      <w:pPr>
        <w:spacing w:after="0" w:line="240" w:lineRule="auto"/>
        <w:ind w:left="300" w:right="306" w:firstLine="709"/>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5F10279C" w14:textId="77777777" w:rsidR="001141A7" w:rsidRPr="00E65094" w:rsidRDefault="001141A7" w:rsidP="003046CD">
      <w:pPr>
        <w:pStyle w:val="Textonotapie"/>
        <w:ind w:left="300" w:right="306"/>
        <w:contextualSpacing/>
        <w:jc w:val="both"/>
        <w:rPr>
          <w:rFonts w:ascii="Verdana" w:hAnsi="Verdana" w:cs="Arial"/>
          <w:sz w:val="14"/>
          <w:szCs w:val="14"/>
        </w:rPr>
      </w:pPr>
    </w:p>
  </w:footnote>
  <w:footnote w:id="4">
    <w:p w14:paraId="09CC63DE" w14:textId="77777777" w:rsidR="001141A7" w:rsidRPr="00E65094" w:rsidRDefault="001141A7" w:rsidP="00E65094">
      <w:pPr>
        <w:spacing w:after="0" w:line="240" w:lineRule="auto"/>
        <w:ind w:left="300" w:right="306" w:firstLine="562"/>
        <w:contextualSpacing/>
        <w:jc w:val="both"/>
        <w:rPr>
          <w:rFonts w:ascii="Verdana" w:hAnsi="Verdana" w:cs="Arial"/>
          <w:sz w:val="14"/>
          <w:szCs w:val="14"/>
        </w:rPr>
      </w:pPr>
      <w:r w:rsidRPr="00E65094">
        <w:rPr>
          <w:rFonts w:ascii="Verdana" w:hAnsi="Verdana" w:cs="Arial"/>
          <w:sz w:val="14"/>
          <w:szCs w:val="14"/>
        </w:rPr>
        <w:t xml:space="preserve">  </w:t>
      </w:r>
      <w:r w:rsidRPr="00E65094">
        <w:rPr>
          <w:rStyle w:val="Refdenotaalpie"/>
          <w:rFonts w:ascii="Verdana" w:hAnsi="Verdana" w:cs="Arial"/>
          <w:sz w:val="14"/>
          <w:szCs w:val="14"/>
        </w:rPr>
        <w:footnoteRef/>
      </w:r>
      <w:r w:rsidRPr="00E65094">
        <w:rPr>
          <w:rFonts w:ascii="Verdana" w:hAnsi="Verdana" w:cs="Arial"/>
          <w:sz w:val="14"/>
          <w:szCs w:val="14"/>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w:t>
      </w:r>
      <w:r w:rsidRPr="00E65094">
        <w:rPr>
          <w:rFonts w:ascii="Verdana" w:hAnsi="Verdana" w:cs="Arial"/>
          <w:spacing w:val="-6"/>
          <w:sz w:val="14"/>
          <w:szCs w:val="14"/>
        </w:rPr>
        <w:t xml:space="preserve"> </w:t>
      </w:r>
      <w:r w:rsidRPr="00E65094">
        <w:rPr>
          <w:rFonts w:ascii="Verdana" w:hAnsi="Verdana" w:cs="Arial"/>
          <w:sz w:val="14"/>
          <w:szCs w:val="14"/>
        </w:rPr>
        <w:t>laboral”.</w:t>
      </w:r>
    </w:p>
    <w:p w14:paraId="011FE71C" w14:textId="77777777" w:rsidR="001141A7" w:rsidRPr="00E65094" w:rsidRDefault="001141A7" w:rsidP="00E65094">
      <w:pPr>
        <w:spacing w:after="0" w:line="240" w:lineRule="auto"/>
        <w:ind w:left="300" w:right="306"/>
        <w:contextualSpacing/>
        <w:jc w:val="both"/>
        <w:rPr>
          <w:rFonts w:ascii="Verdana" w:hAnsi="Verdana" w:cs="Arial"/>
          <w:sz w:val="14"/>
          <w:szCs w:val="14"/>
        </w:rPr>
      </w:pPr>
    </w:p>
    <w:p w14:paraId="3FF1DE23" w14:textId="083D4B06" w:rsidR="001141A7" w:rsidRPr="00E65094" w:rsidRDefault="00F0404A" w:rsidP="00E65094">
      <w:pPr>
        <w:spacing w:after="0" w:line="240" w:lineRule="auto"/>
        <w:ind w:left="300" w:right="306"/>
        <w:contextualSpacing/>
        <w:jc w:val="both"/>
        <w:rPr>
          <w:rFonts w:ascii="Verdana" w:hAnsi="Verdana" w:cs="Arial"/>
          <w:sz w:val="14"/>
          <w:szCs w:val="14"/>
        </w:rPr>
      </w:pPr>
      <w:r>
        <w:rPr>
          <w:rFonts w:ascii="Verdana" w:hAnsi="Verdana" w:cs="Arial"/>
          <w:sz w:val="14"/>
          <w:szCs w:val="14"/>
        </w:rPr>
        <w:t>[</w:t>
      </w:r>
      <w:r w:rsidR="001141A7" w:rsidRPr="00E65094">
        <w:rPr>
          <w:rFonts w:ascii="Verdana" w:hAnsi="Verdana" w:cs="Arial"/>
          <w:sz w:val="14"/>
          <w:szCs w:val="14"/>
        </w:rPr>
        <w:t>…]</w:t>
      </w:r>
    </w:p>
    <w:p w14:paraId="3CE3AAB3" w14:textId="77777777" w:rsidR="001141A7" w:rsidRPr="00E65094" w:rsidRDefault="001141A7" w:rsidP="003046CD">
      <w:pPr>
        <w:pStyle w:val="Textoindependiente"/>
        <w:spacing w:after="0" w:line="240" w:lineRule="auto"/>
        <w:ind w:left="300" w:right="306"/>
        <w:contextualSpacing/>
        <w:jc w:val="both"/>
        <w:rPr>
          <w:rFonts w:ascii="Verdana" w:hAnsi="Verdana" w:cs="Arial"/>
          <w:sz w:val="14"/>
          <w:szCs w:val="14"/>
        </w:rPr>
      </w:pPr>
    </w:p>
    <w:p w14:paraId="05186CFF" w14:textId="77777777" w:rsidR="001141A7" w:rsidRPr="00E65094" w:rsidRDefault="001141A7" w:rsidP="00E65094">
      <w:pPr>
        <w:spacing w:after="0" w:line="240" w:lineRule="auto"/>
        <w:ind w:left="300" w:right="306" w:firstLine="408"/>
        <w:contextualSpacing/>
        <w:jc w:val="both"/>
        <w:rPr>
          <w:rFonts w:ascii="Verdana" w:hAnsi="Verdana" w:cs="Arial"/>
          <w:sz w:val="14"/>
          <w:szCs w:val="14"/>
        </w:rPr>
      </w:pPr>
      <w:r w:rsidRPr="00E65094">
        <w:rPr>
          <w:rFonts w:ascii="Verdana" w:hAnsi="Verdana" w:cs="Arial"/>
          <w:sz w:val="14"/>
          <w:szCs w:val="14"/>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w:t>
      </w:r>
      <w:r w:rsidRPr="00E65094">
        <w:rPr>
          <w:rFonts w:ascii="Verdana" w:hAnsi="Verdana" w:cs="Arial"/>
          <w:spacing w:val="2"/>
          <w:sz w:val="14"/>
          <w:szCs w:val="14"/>
        </w:rPr>
        <w:t xml:space="preserve"> </w:t>
      </w:r>
      <w:r w:rsidRPr="00E65094">
        <w:rPr>
          <w:rFonts w:ascii="Verdana" w:hAnsi="Verdana" w:cs="Arial"/>
          <w:sz w:val="14"/>
          <w:szCs w:val="14"/>
        </w:rPr>
        <w:t>terminación”.</w:t>
      </w:r>
    </w:p>
    <w:p w14:paraId="151A2F8E" w14:textId="77777777" w:rsidR="001141A7" w:rsidRPr="00E65094" w:rsidRDefault="001141A7" w:rsidP="00E65094">
      <w:pPr>
        <w:spacing w:after="0" w:line="240" w:lineRule="auto"/>
        <w:ind w:left="300" w:right="306" w:firstLine="850"/>
        <w:contextualSpacing/>
        <w:jc w:val="both"/>
        <w:rPr>
          <w:rFonts w:ascii="Verdana" w:hAnsi="Verdana" w:cs="Arial"/>
          <w:sz w:val="14"/>
          <w:szCs w:val="14"/>
        </w:rPr>
      </w:pPr>
    </w:p>
    <w:p w14:paraId="289F27EA" w14:textId="77777777" w:rsidR="001141A7" w:rsidRPr="00E65094" w:rsidRDefault="001141A7" w:rsidP="003046CD">
      <w:pPr>
        <w:pStyle w:val="Textonotapie"/>
        <w:ind w:left="300" w:right="306"/>
        <w:contextualSpacing/>
        <w:jc w:val="both"/>
        <w:rPr>
          <w:rFonts w:ascii="Verdana" w:hAnsi="Verdana" w:cs="Arial"/>
          <w:sz w:val="14"/>
          <w:szCs w:val="14"/>
        </w:rPr>
      </w:pPr>
    </w:p>
  </w:footnote>
  <w:footnote w:id="5">
    <w:p w14:paraId="7CCB00DD" w14:textId="77777777" w:rsidR="001141A7" w:rsidRPr="00E65094" w:rsidRDefault="001141A7" w:rsidP="003046CD">
      <w:pPr>
        <w:pStyle w:val="Textonotapie"/>
        <w:ind w:firstLine="708"/>
        <w:contextualSpacing/>
        <w:jc w:val="both"/>
        <w:rPr>
          <w:rFonts w:ascii="Verdana" w:hAnsi="Verdana" w:cs="Arial"/>
          <w:sz w:val="14"/>
          <w:szCs w:val="14"/>
          <w:lang w:val="es-CO"/>
        </w:rPr>
      </w:pPr>
      <w:r w:rsidRPr="00E65094">
        <w:rPr>
          <w:rStyle w:val="Refdenotaalpie"/>
          <w:rFonts w:ascii="Verdana" w:hAnsi="Verdana" w:cs="Arial"/>
          <w:sz w:val="14"/>
          <w:szCs w:val="14"/>
        </w:rPr>
        <w:footnoteRef/>
      </w:r>
      <w:r w:rsidRPr="00E65094">
        <w:rPr>
          <w:rFonts w:ascii="Verdana" w:hAnsi="Verdana" w:cs="Arial"/>
          <w:sz w:val="14"/>
          <w:szCs w:val="14"/>
        </w:rPr>
        <w:t xml:space="preserve"> </w:t>
      </w:r>
      <w:r w:rsidRPr="00E65094">
        <w:rPr>
          <w:rFonts w:ascii="Verdana" w:hAnsi="Verdana" w:cs="Arial"/>
          <w:sz w:val="14"/>
          <w:szCs w:val="14"/>
          <w:lang w:val="es-ES"/>
        </w:rPr>
        <w:t>Corte Constitucional. Sentencia SU 075- de 2018. Magistrado Ponente: Gloria Stella Ortiz Delgado</w:t>
      </w:r>
    </w:p>
  </w:footnote>
  <w:footnote w:id="6">
    <w:p w14:paraId="12ED1BB8" w14:textId="77777777" w:rsidR="001141A7" w:rsidRPr="00E65094" w:rsidRDefault="001141A7" w:rsidP="003046CD">
      <w:pPr>
        <w:pStyle w:val="Sinespaciado"/>
        <w:ind w:left="26" w:right="0" w:firstLine="682"/>
        <w:contextualSpacing/>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Corte Constitucional. Sentencia T-329 del 19 de septiembre de 2022. Expediente </w:t>
      </w:r>
      <w:bookmarkStart w:id="1" w:name="_Hlk113364075"/>
      <w:r w:rsidRPr="00E65094">
        <w:rPr>
          <w:rFonts w:ascii="Verdana" w:hAnsi="Verdana" w:cs="Arial"/>
          <w:sz w:val="14"/>
          <w:szCs w:val="14"/>
        </w:rPr>
        <w:t>T-8.517.984</w:t>
      </w:r>
      <w:bookmarkEnd w:id="1"/>
      <w:r w:rsidRPr="00E65094">
        <w:rPr>
          <w:rFonts w:ascii="Verdana" w:hAnsi="Verdana" w:cs="Arial"/>
          <w:sz w:val="14"/>
          <w:szCs w:val="14"/>
        </w:rPr>
        <w:t>. Magistrada Ponente: Natalia Ángel Cabo</w:t>
      </w:r>
    </w:p>
    <w:p w14:paraId="2D4D1805" w14:textId="77777777" w:rsidR="001141A7" w:rsidRPr="00E65094" w:rsidRDefault="001141A7">
      <w:pPr>
        <w:pStyle w:val="Textonotapie"/>
        <w:contextualSpacing/>
        <w:rPr>
          <w:rFonts w:ascii="Verdana" w:hAnsi="Verdana" w:cs="Arial"/>
          <w:sz w:val="14"/>
          <w:szCs w:val="14"/>
        </w:rPr>
      </w:pPr>
    </w:p>
  </w:footnote>
  <w:footnote w:id="7">
    <w:p w14:paraId="019F37CF" w14:textId="77777777" w:rsidR="001141A7" w:rsidRPr="00E65094" w:rsidRDefault="001141A7">
      <w:pPr>
        <w:pStyle w:val="Textonotapie"/>
        <w:ind w:firstLine="7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Sentencia SU-070 de 2013. Fund. 6. Reiterado en las</w:t>
      </w:r>
      <w:r w:rsidRPr="00E65094">
        <w:rPr>
          <w:rFonts w:ascii="Verdana" w:hAnsi="Verdana" w:cs="Arial"/>
          <w:sz w:val="14"/>
          <w:szCs w:val="14"/>
          <w:lang w:val="es-ES_tradnl"/>
        </w:rPr>
        <w:t xml:space="preserve"> sentencias SU-040 de 2018 y SU-075 de 2018.</w:t>
      </w:r>
    </w:p>
  </w:footnote>
  <w:footnote w:id="8">
    <w:p w14:paraId="542CB852" w14:textId="77777777" w:rsidR="001141A7" w:rsidRPr="00E65094" w:rsidRDefault="001141A7">
      <w:pPr>
        <w:pStyle w:val="Textonotapie"/>
        <w:contextualSpacing/>
        <w:jc w:val="both"/>
        <w:rPr>
          <w:rFonts w:ascii="Verdana" w:hAnsi="Verdana" w:cs="Arial"/>
          <w:sz w:val="14"/>
          <w:szCs w:val="14"/>
        </w:rPr>
      </w:pPr>
    </w:p>
    <w:p w14:paraId="52A7FD80" w14:textId="77777777" w:rsidR="001141A7" w:rsidRPr="00E65094" w:rsidRDefault="001141A7">
      <w:pPr>
        <w:pStyle w:val="Textonotapie"/>
        <w:ind w:firstLine="7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Esta indemnización se ha reconocido en contratos de prestación de servicios, entre otras, en las sentencias T-564 de 2017, T-350 de 2016, 316 de 2016, T-102 de 2016 y T-346 de 2013.</w:t>
      </w:r>
    </w:p>
  </w:footnote>
  <w:footnote w:id="9">
    <w:p w14:paraId="11B50965" w14:textId="77777777" w:rsidR="001141A7" w:rsidRPr="00E65094" w:rsidRDefault="001141A7">
      <w:pPr>
        <w:pStyle w:val="Textonotapie"/>
        <w:contextualSpacing/>
        <w:jc w:val="both"/>
        <w:rPr>
          <w:rFonts w:ascii="Verdana" w:hAnsi="Verdana" w:cs="Arial"/>
          <w:sz w:val="14"/>
          <w:szCs w:val="14"/>
        </w:rPr>
      </w:pPr>
    </w:p>
    <w:p w14:paraId="69361EC3" w14:textId="77777777" w:rsidR="001141A7" w:rsidRPr="00E65094" w:rsidRDefault="001141A7">
      <w:pPr>
        <w:pStyle w:val="Textonotapie"/>
        <w:ind w:firstLine="7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En las sentencias T-238 de 2015 y T-350 de 2016 la Corte determinó que no procede el pago de la licencia de maternidad cuando en el caso se observe que la licencia de maternidad ya fue disfrutada. </w:t>
      </w:r>
    </w:p>
  </w:footnote>
  <w:footnote w:id="10">
    <w:p w14:paraId="5C470C15" w14:textId="77777777" w:rsidR="001141A7" w:rsidRPr="00E65094" w:rsidRDefault="001141A7">
      <w:pPr>
        <w:pStyle w:val="Textonotapie"/>
        <w:ind w:firstLine="708"/>
        <w:contextualSpacing/>
        <w:jc w:val="both"/>
        <w:rPr>
          <w:rFonts w:ascii="Verdana" w:hAnsi="Verdana" w:cs="Arial"/>
          <w:sz w:val="14"/>
          <w:szCs w:val="14"/>
        </w:rPr>
      </w:pPr>
    </w:p>
    <w:p w14:paraId="2CA77B64" w14:textId="77777777" w:rsidR="001141A7" w:rsidRPr="00E65094" w:rsidRDefault="001141A7">
      <w:pPr>
        <w:pStyle w:val="Textonotapie"/>
        <w:ind w:firstLine="7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Esta media fue aplicada en la Sentencia T-030 de 2018 respecto del caso estudiado bajo el expediente T-6.425.691.</w:t>
      </w:r>
    </w:p>
  </w:footnote>
  <w:footnote w:id="11">
    <w:p w14:paraId="3035652D" w14:textId="77777777" w:rsidR="001141A7" w:rsidRPr="00E65094" w:rsidRDefault="001141A7">
      <w:pPr>
        <w:pStyle w:val="Textonotapie"/>
        <w:ind w:firstLine="708"/>
        <w:contextualSpacing/>
        <w:jc w:val="both"/>
        <w:rPr>
          <w:rFonts w:ascii="Verdana" w:hAnsi="Verdana" w:cs="Arial"/>
          <w:sz w:val="14"/>
          <w:szCs w:val="14"/>
        </w:rPr>
      </w:pPr>
    </w:p>
    <w:p w14:paraId="0B772B85" w14:textId="77777777" w:rsidR="001141A7" w:rsidRPr="00E65094" w:rsidRDefault="001141A7">
      <w:pPr>
        <w:pStyle w:val="Textonotapie"/>
        <w:ind w:firstLine="7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En algunas oportunidades las salas de revisión han reconocido el pago de las prestaciones en materia de seguridad social en salud. Sentencia T-102 de 2016.</w:t>
      </w:r>
    </w:p>
  </w:footnote>
  <w:footnote w:id="12">
    <w:p w14:paraId="75CD3B52" w14:textId="77777777" w:rsidR="001141A7" w:rsidRPr="00E65094" w:rsidRDefault="001141A7" w:rsidP="00E65094">
      <w:pPr>
        <w:spacing w:after="0" w:line="240" w:lineRule="auto"/>
        <w:ind w:firstLine="708"/>
        <w:contextualSpacing/>
        <w:jc w:val="both"/>
        <w:rPr>
          <w:rFonts w:ascii="Verdana" w:hAnsi="Verdana" w:cs="Arial"/>
          <w:sz w:val="14"/>
          <w:szCs w:val="14"/>
        </w:rPr>
      </w:pPr>
    </w:p>
    <w:p w14:paraId="5D69A6DB" w14:textId="77777777" w:rsidR="001141A7" w:rsidRPr="00E65094" w:rsidRDefault="001141A7" w:rsidP="00E65094">
      <w:pPr>
        <w:spacing w:after="0" w:line="240" w:lineRule="auto"/>
        <w:ind w:firstLine="7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La licencia de maternidad es un descanso remunerado que la ley confiere a la mujer que tiene un hijo, el cual aplica tanto para mujeres vinculadas por contrato de trabajo, como a las que están vinculadas por un contrato de prestación de servicios.</w:t>
      </w:r>
    </w:p>
    <w:p w14:paraId="39331951" w14:textId="77777777" w:rsidR="001141A7" w:rsidRPr="00E65094" w:rsidRDefault="001141A7" w:rsidP="00E65094">
      <w:pPr>
        <w:spacing w:after="0" w:line="240" w:lineRule="auto"/>
        <w:ind w:firstLine="708"/>
        <w:contextualSpacing/>
        <w:jc w:val="both"/>
        <w:rPr>
          <w:rFonts w:ascii="Verdana" w:eastAsia="Calibri" w:hAnsi="Verdana" w:cs="Arial"/>
          <w:bCs/>
          <w:sz w:val="14"/>
          <w:szCs w:val="14"/>
          <w:lang w:val="es-MX"/>
        </w:rPr>
      </w:pPr>
    </w:p>
  </w:footnote>
  <w:footnote w:id="13">
    <w:p w14:paraId="785F18A1" w14:textId="77777777" w:rsidR="001141A7" w:rsidRPr="00E65094" w:rsidRDefault="001141A7" w:rsidP="00E65094">
      <w:pPr>
        <w:shd w:val="clear" w:color="auto" w:fill="FFFFFF"/>
        <w:spacing w:after="0" w:line="240" w:lineRule="auto"/>
        <w:ind w:right="49" w:firstLine="708"/>
        <w:contextualSpacing/>
        <w:jc w:val="both"/>
        <w:rPr>
          <w:rFonts w:ascii="Verdana" w:hAnsi="Verdana" w:cs="Arial"/>
          <w:sz w:val="14"/>
          <w:szCs w:val="14"/>
        </w:rPr>
      </w:pPr>
      <w:r w:rsidRPr="00E65094">
        <w:rPr>
          <w:rStyle w:val="Refdenotaalpie"/>
          <w:rFonts w:ascii="Verdana" w:hAnsi="Verdana" w:cs="Arial"/>
          <w:sz w:val="14"/>
          <w:szCs w:val="14"/>
        </w:rPr>
        <w:footnoteRef/>
      </w:r>
      <w:r w:rsidRPr="00E65094">
        <w:rPr>
          <w:rFonts w:ascii="Verdana" w:hAnsi="Verdana" w:cs="Arial"/>
          <w:sz w:val="14"/>
          <w:szCs w:val="14"/>
        </w:rPr>
        <w:t xml:space="preserve"> Ministerio del Trabajo. Concepto 9972 de 5 de marzo de 2014. </w:t>
      </w:r>
    </w:p>
    <w:p w14:paraId="7340E161" w14:textId="77777777" w:rsidR="001141A7" w:rsidRPr="00E65094" w:rsidRDefault="001141A7" w:rsidP="003046CD">
      <w:pPr>
        <w:pStyle w:val="Textonotapie"/>
        <w:contextualSpacing/>
        <w:jc w:val="both"/>
        <w:rPr>
          <w:rFonts w:ascii="Verdana" w:hAnsi="Verdana" w:cs="Arial"/>
          <w:sz w:val="14"/>
          <w:szCs w:val="14"/>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pt;height:11.9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965121"/>
    <w:multiLevelType w:val="hybridMultilevel"/>
    <w:tmpl w:val="792AC09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1" w15:restartNumberingAfterBreak="0">
    <w:nsid w:val="4BED0255"/>
    <w:multiLevelType w:val="hybridMultilevel"/>
    <w:tmpl w:val="5DC279F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595F64C4"/>
    <w:multiLevelType w:val="hybridMultilevel"/>
    <w:tmpl w:val="04C0801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5E7D25FD"/>
    <w:multiLevelType w:val="hybridMultilevel"/>
    <w:tmpl w:val="3346809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5" w15:restartNumberingAfterBreak="0">
    <w:nsid w:val="6BDB6C13"/>
    <w:multiLevelType w:val="hybridMultilevel"/>
    <w:tmpl w:val="C2A002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641960443">
    <w:abstractNumId w:val="7"/>
  </w:num>
  <w:num w:numId="2" w16cid:durableId="1223712802">
    <w:abstractNumId w:val="1"/>
  </w:num>
  <w:num w:numId="3" w16cid:durableId="607585384">
    <w:abstractNumId w:val="5"/>
  </w:num>
  <w:num w:numId="4" w16cid:durableId="129028112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52237741">
    <w:abstractNumId w:val="1"/>
  </w:num>
  <w:num w:numId="6" w16cid:durableId="1837111387">
    <w:abstractNumId w:val="18"/>
  </w:num>
  <w:num w:numId="7" w16cid:durableId="284045773">
    <w:abstractNumId w:val="6"/>
  </w:num>
  <w:num w:numId="8" w16cid:durableId="570699495">
    <w:abstractNumId w:val="17"/>
  </w:num>
  <w:num w:numId="9" w16cid:durableId="1159424499">
    <w:abstractNumId w:val="8"/>
  </w:num>
  <w:num w:numId="10" w16cid:durableId="5912197">
    <w:abstractNumId w:val="16"/>
  </w:num>
  <w:num w:numId="11" w16cid:durableId="1699044455">
    <w:abstractNumId w:val="9"/>
  </w:num>
  <w:num w:numId="12" w16cid:durableId="65803253">
    <w:abstractNumId w:val="0"/>
  </w:num>
  <w:num w:numId="13" w16cid:durableId="1260336897">
    <w:abstractNumId w:val="4"/>
  </w:num>
  <w:num w:numId="14" w16cid:durableId="643702624">
    <w:abstractNumId w:val="19"/>
  </w:num>
  <w:num w:numId="15" w16cid:durableId="18971929">
    <w:abstractNumId w:val="14"/>
  </w:num>
  <w:num w:numId="16" w16cid:durableId="1149858707">
    <w:abstractNumId w:val="10"/>
  </w:num>
  <w:num w:numId="17" w16cid:durableId="380591179">
    <w:abstractNumId w:val="2"/>
  </w:num>
  <w:num w:numId="18" w16cid:durableId="1499229176">
    <w:abstractNumId w:val="13"/>
  </w:num>
  <w:num w:numId="19" w16cid:durableId="1962374598">
    <w:abstractNumId w:val="3"/>
  </w:num>
  <w:num w:numId="20" w16cid:durableId="1278414114">
    <w:abstractNumId w:val="11"/>
  </w:num>
  <w:num w:numId="21" w16cid:durableId="291139124">
    <w:abstractNumId w:val="12"/>
  </w:num>
  <w:num w:numId="22" w16cid:durableId="157885618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D5DA7"/>
    <w:rsid w:val="000F6486"/>
    <w:rsid w:val="001141A7"/>
    <w:rsid w:val="00116940"/>
    <w:rsid w:val="00125105"/>
    <w:rsid w:val="00127233"/>
    <w:rsid w:val="0015699B"/>
    <w:rsid w:val="0018366C"/>
    <w:rsid w:val="001A33BF"/>
    <w:rsid w:val="001D4BB2"/>
    <w:rsid w:val="001E4177"/>
    <w:rsid w:val="001F0B24"/>
    <w:rsid w:val="001F7DC6"/>
    <w:rsid w:val="0022400B"/>
    <w:rsid w:val="002421BB"/>
    <w:rsid w:val="0025796E"/>
    <w:rsid w:val="002707A2"/>
    <w:rsid w:val="00274E54"/>
    <w:rsid w:val="002951A0"/>
    <w:rsid w:val="002962BC"/>
    <w:rsid w:val="002A093D"/>
    <w:rsid w:val="002A0DD0"/>
    <w:rsid w:val="002A49AC"/>
    <w:rsid w:val="002A64FD"/>
    <w:rsid w:val="002C7A84"/>
    <w:rsid w:val="002E2BF8"/>
    <w:rsid w:val="002E4FD9"/>
    <w:rsid w:val="003046CD"/>
    <w:rsid w:val="0030657A"/>
    <w:rsid w:val="00322A85"/>
    <w:rsid w:val="00324168"/>
    <w:rsid w:val="00330834"/>
    <w:rsid w:val="003448F4"/>
    <w:rsid w:val="00362165"/>
    <w:rsid w:val="003700B4"/>
    <w:rsid w:val="00374F5E"/>
    <w:rsid w:val="00377E3E"/>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D7B50"/>
    <w:rsid w:val="004F21C4"/>
    <w:rsid w:val="004F685F"/>
    <w:rsid w:val="005566E8"/>
    <w:rsid w:val="00574867"/>
    <w:rsid w:val="00577FA9"/>
    <w:rsid w:val="00591460"/>
    <w:rsid w:val="005A65E0"/>
    <w:rsid w:val="005C3777"/>
    <w:rsid w:val="005C5CDC"/>
    <w:rsid w:val="005D476C"/>
    <w:rsid w:val="0060118E"/>
    <w:rsid w:val="006200BF"/>
    <w:rsid w:val="006219F8"/>
    <w:rsid w:val="006302F7"/>
    <w:rsid w:val="00646B9F"/>
    <w:rsid w:val="00665D70"/>
    <w:rsid w:val="006900D9"/>
    <w:rsid w:val="00706C16"/>
    <w:rsid w:val="007340C3"/>
    <w:rsid w:val="0075235A"/>
    <w:rsid w:val="00756841"/>
    <w:rsid w:val="007649AB"/>
    <w:rsid w:val="00771D0C"/>
    <w:rsid w:val="007833AC"/>
    <w:rsid w:val="00793CDF"/>
    <w:rsid w:val="007B268C"/>
    <w:rsid w:val="007B7171"/>
    <w:rsid w:val="007C0C0F"/>
    <w:rsid w:val="007C3DC2"/>
    <w:rsid w:val="007E5497"/>
    <w:rsid w:val="00806F5F"/>
    <w:rsid w:val="00820278"/>
    <w:rsid w:val="008258C9"/>
    <w:rsid w:val="00844AE9"/>
    <w:rsid w:val="00867F95"/>
    <w:rsid w:val="008843B6"/>
    <w:rsid w:val="00891928"/>
    <w:rsid w:val="008A446D"/>
    <w:rsid w:val="008B25F1"/>
    <w:rsid w:val="008D180B"/>
    <w:rsid w:val="008F0EA7"/>
    <w:rsid w:val="00923EEF"/>
    <w:rsid w:val="009419F9"/>
    <w:rsid w:val="0095685E"/>
    <w:rsid w:val="00961B09"/>
    <w:rsid w:val="00965334"/>
    <w:rsid w:val="0097093E"/>
    <w:rsid w:val="009A0DFA"/>
    <w:rsid w:val="009A1C6F"/>
    <w:rsid w:val="009B2D26"/>
    <w:rsid w:val="009C71FA"/>
    <w:rsid w:val="009C72E7"/>
    <w:rsid w:val="009C7F7E"/>
    <w:rsid w:val="009D3058"/>
    <w:rsid w:val="009F3A13"/>
    <w:rsid w:val="00A122D3"/>
    <w:rsid w:val="00A14468"/>
    <w:rsid w:val="00A17F13"/>
    <w:rsid w:val="00A20739"/>
    <w:rsid w:val="00A23AF9"/>
    <w:rsid w:val="00A27896"/>
    <w:rsid w:val="00A33C78"/>
    <w:rsid w:val="00A5689A"/>
    <w:rsid w:val="00AA6E6E"/>
    <w:rsid w:val="00AB0ADB"/>
    <w:rsid w:val="00AF7CDB"/>
    <w:rsid w:val="00B00C0E"/>
    <w:rsid w:val="00B01B1A"/>
    <w:rsid w:val="00B0381D"/>
    <w:rsid w:val="00B44A47"/>
    <w:rsid w:val="00B72CD3"/>
    <w:rsid w:val="00B72FFF"/>
    <w:rsid w:val="00BC3D36"/>
    <w:rsid w:val="00BD54A6"/>
    <w:rsid w:val="00BD7351"/>
    <w:rsid w:val="00BD7F72"/>
    <w:rsid w:val="00BF7425"/>
    <w:rsid w:val="00C04FB3"/>
    <w:rsid w:val="00C11D8B"/>
    <w:rsid w:val="00C15139"/>
    <w:rsid w:val="00C330EB"/>
    <w:rsid w:val="00C50D69"/>
    <w:rsid w:val="00C5365C"/>
    <w:rsid w:val="00C754BE"/>
    <w:rsid w:val="00C76B1C"/>
    <w:rsid w:val="00C925AC"/>
    <w:rsid w:val="00CB6357"/>
    <w:rsid w:val="00CC1B26"/>
    <w:rsid w:val="00CE3870"/>
    <w:rsid w:val="00D361FD"/>
    <w:rsid w:val="00D423A2"/>
    <w:rsid w:val="00D44E26"/>
    <w:rsid w:val="00D520D8"/>
    <w:rsid w:val="00D63AC2"/>
    <w:rsid w:val="00D7383B"/>
    <w:rsid w:val="00D7788A"/>
    <w:rsid w:val="00DA231B"/>
    <w:rsid w:val="00DC39FC"/>
    <w:rsid w:val="00DF5254"/>
    <w:rsid w:val="00E02524"/>
    <w:rsid w:val="00E16408"/>
    <w:rsid w:val="00E20894"/>
    <w:rsid w:val="00E245AB"/>
    <w:rsid w:val="00E2764C"/>
    <w:rsid w:val="00E27F2E"/>
    <w:rsid w:val="00E31A05"/>
    <w:rsid w:val="00E50AFE"/>
    <w:rsid w:val="00E65094"/>
    <w:rsid w:val="00E75C92"/>
    <w:rsid w:val="00E771DC"/>
    <w:rsid w:val="00E8772A"/>
    <w:rsid w:val="00E90F6B"/>
    <w:rsid w:val="00E92C27"/>
    <w:rsid w:val="00EA0E3D"/>
    <w:rsid w:val="00EC38A7"/>
    <w:rsid w:val="00EE1AA8"/>
    <w:rsid w:val="00F0404A"/>
    <w:rsid w:val="00F23FEA"/>
    <w:rsid w:val="00F31EDC"/>
    <w:rsid w:val="00F33216"/>
    <w:rsid w:val="00F462B3"/>
    <w:rsid w:val="00F5664F"/>
    <w:rsid w:val="00F666C4"/>
    <w:rsid w:val="00F76AFC"/>
    <w:rsid w:val="00FA47C0"/>
    <w:rsid w:val="00FB5DD1"/>
    <w:rsid w:val="00FC2B5D"/>
    <w:rsid w:val="00FF1449"/>
    <w:rsid w:val="00FF7963"/>
    <w:rsid w:val="09908A09"/>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99"/>
    <w:unhideWhenUsed/>
    <w:rsid w:val="001141A7"/>
    <w:pPr>
      <w:spacing w:after="120"/>
    </w:pPr>
  </w:style>
  <w:style w:type="character" w:customStyle="1" w:styleId="TextoindependienteCar">
    <w:name w:val="Texto independiente Car"/>
    <w:basedOn w:val="Fuentedeprrafopredeter"/>
    <w:link w:val="Textoindependiente"/>
    <w:uiPriority w:val="99"/>
    <w:rsid w:val="001141A7"/>
  </w:style>
  <w:style w:type="table" w:customStyle="1" w:styleId="Tablaconcuadrcula1">
    <w:name w:val="Tabla con cuadrícula1"/>
    <w:basedOn w:val="Tablanormal"/>
    <w:next w:val="Tablaconcuadrcula"/>
    <w:uiPriority w:val="59"/>
    <w:rsid w:val="001141A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ppelnotedebasde">
    <w:name w:val="Appel note de bas de..."/>
    <w:basedOn w:val="Normal"/>
    <w:link w:val="Refdenotaalpie"/>
    <w:uiPriority w:val="99"/>
    <w:rsid w:val="001141A7"/>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1141A7"/>
    <w:rPr>
      <w:rFonts w:ascii="Geomanist Light" w:hAnsi="Geomanist Light"/>
      <w:lang w:val="es-ES"/>
    </w:rPr>
  </w:style>
  <w:style w:type="character" w:styleId="Textoennegrita">
    <w:name w:val="Strong"/>
    <w:basedOn w:val="Fuentedeprrafopredeter"/>
    <w:uiPriority w:val="22"/>
    <w:qFormat/>
    <w:rsid w:val="001141A7"/>
    <w:rPr>
      <w:b/>
      <w:bCs/>
    </w:rPr>
  </w:style>
  <w:style w:type="character" w:customStyle="1" w:styleId="NormalWebCar">
    <w:name w:val="Normal (Web) Car"/>
    <w:link w:val="NormalWeb"/>
    <w:uiPriority w:val="99"/>
    <w:rsid w:val="001141A7"/>
    <w:rPr>
      <w:rFonts w:ascii="Times New Roman" w:eastAsia="Times New Roman" w:hAnsi="Times New Roman" w:cs="Times New Roman"/>
      <w:sz w:val="24"/>
      <w:szCs w:val="24"/>
      <w:lang w:eastAsia="es-CO"/>
    </w:rPr>
  </w:style>
  <w:style w:type="paragraph" w:styleId="Sinespaciado">
    <w:name w:val="No Spacing"/>
    <w:uiPriority w:val="1"/>
    <w:qFormat/>
    <w:rsid w:val="001141A7"/>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1141A7"/>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ncionpublica.gov.co/eva/gestornormativo/norma.php?i=2567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304"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563816eff7b27c518f4452e301140c9d">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eb2d2e0593e1272b3512cc9bb12824ba"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Props1.xml><?xml version="1.0" encoding="utf-8"?>
<ds:datastoreItem xmlns:ds="http://schemas.openxmlformats.org/officeDocument/2006/customXml" ds:itemID="{E6398D48-B629-46E5-BF23-5E5D0ECD9A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4</TotalTime>
  <Pages>17</Pages>
  <Words>5200</Words>
  <Characters>27357</Characters>
  <Application>Microsoft Office Word</Application>
  <DocSecurity>0</DocSecurity>
  <Lines>607</Lines>
  <Paragraphs>129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32428</CharactersWithSpaces>
  <SharedDoc>false</SharedDoc>
  <HLinks>
    <vt:vector size="24" baseType="variant">
      <vt:variant>
        <vt:i4>3276900</vt:i4>
      </vt:variant>
      <vt:variant>
        <vt:i4>9</vt:i4>
      </vt:variant>
      <vt:variant>
        <vt:i4>0</vt:i4>
      </vt:variant>
      <vt:variant>
        <vt:i4>5</vt:i4>
      </vt:variant>
      <vt:variant>
        <vt:lpwstr>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vt:lpwstr>
      </vt:variant>
      <vt:variant>
        <vt:lpwstr/>
      </vt:variant>
      <vt:variant>
        <vt:i4>7471218</vt:i4>
      </vt:variant>
      <vt:variant>
        <vt:i4>6</vt:i4>
      </vt:variant>
      <vt:variant>
        <vt:i4>0</vt:i4>
      </vt:variant>
      <vt:variant>
        <vt:i4>5</vt:i4>
      </vt:variant>
      <vt:variant>
        <vt:lpwstr>https://relatoria.colombiacompra.gov.co/busqueda/conceptos</vt:lpwstr>
      </vt:variant>
      <vt:variant>
        <vt:lpwstr/>
      </vt:variant>
      <vt:variant>
        <vt:i4>2490405</vt:i4>
      </vt:variant>
      <vt:variant>
        <vt:i4>3</vt:i4>
      </vt:variant>
      <vt:variant>
        <vt:i4>0</vt:i4>
      </vt:variant>
      <vt:variant>
        <vt:i4>5</vt:i4>
      </vt:variant>
      <vt:variant>
        <vt:lpwstr>https://www.funcionpublica.gov.co/eva/gestornormativo/norma.php?i=25678</vt:lpwstr>
      </vt:variant>
      <vt:variant>
        <vt:lpwstr>1150</vt:lpwstr>
      </vt:variant>
      <vt:variant>
        <vt:i4>2424878</vt:i4>
      </vt:variant>
      <vt:variant>
        <vt:i4>0</vt:i4>
      </vt:variant>
      <vt:variant>
        <vt:i4>0</vt:i4>
      </vt:variant>
      <vt:variant>
        <vt:i4>5</vt:i4>
      </vt:variant>
      <vt:variant>
        <vt:lpwstr>https://www.funcionpublica.gov.co/eva/gestornormativo/norma.php?i=304</vt:lpwstr>
      </vt:variant>
      <vt:variant>
        <vt:lpwstr>80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5</cp:revision>
  <cp:lastPrinted>2023-01-10T21:18:00Z</cp:lastPrinted>
  <dcterms:created xsi:type="dcterms:W3CDTF">2025-12-18T20:39:00Z</dcterms:created>
  <dcterms:modified xsi:type="dcterms:W3CDTF">2025-12-19T20:57:00Z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