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575980"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EF3E5A">
        <w:rPr>
          <w:rFonts w:ascii="Arial" w:hAnsi="Arial" w:cs="Arial"/>
          <w:b/>
          <w:color w:val="000000" w:themeColor="text1"/>
          <w:sz w:val="21"/>
          <w:szCs w:val="21"/>
          <w:lang w:val="es-ES_tradnl" w:eastAsia="es-ES"/>
        </w:rPr>
        <w:tab/>
      </w:r>
      <w:r w:rsidRPr="00575980">
        <w:rPr>
          <w:rFonts w:ascii="Arial" w:hAnsi="Arial" w:cs="Arial"/>
          <w:b/>
          <w:color w:val="000000" w:themeColor="text1"/>
          <w:sz w:val="16"/>
          <w:szCs w:val="16"/>
          <w:lang w:val="es-ES_tradnl" w:eastAsia="es-ES"/>
        </w:rPr>
        <w:t>CCE-DES-FM-17</w:t>
      </w:r>
    </w:p>
    <w:p w14:paraId="6EB4D096" w14:textId="77777777" w:rsidR="000920F0" w:rsidRPr="00542261" w:rsidRDefault="000920F0" w:rsidP="000920F0">
      <w:pPr>
        <w:jc w:val="both"/>
        <w:rPr>
          <w:rFonts w:ascii="Arial" w:eastAsia="Calibri" w:hAnsi="Arial" w:cs="Arial"/>
          <w:b/>
          <w:color w:val="000000" w:themeColor="text1"/>
          <w:sz w:val="16"/>
          <w:szCs w:val="16"/>
          <w:lang w:val="es-ES_tradnl"/>
        </w:rPr>
      </w:pPr>
    </w:p>
    <w:p w14:paraId="778D85CD" w14:textId="1E961F3D" w:rsidR="00BB52CB" w:rsidRPr="004B0296" w:rsidRDefault="004B0296" w:rsidP="00BB52CB">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ENTIDADES </w:t>
      </w:r>
      <w:r w:rsidR="002E76E1">
        <w:rPr>
          <w:rFonts w:ascii="Arial" w:eastAsia="Calibri" w:hAnsi="Arial" w:cs="Arial"/>
          <w:b/>
          <w:color w:val="000000" w:themeColor="text1"/>
          <w:sz w:val="22"/>
          <w:lang w:val="es-ES_tradnl"/>
        </w:rPr>
        <w:t xml:space="preserve">CON </w:t>
      </w:r>
      <w:r>
        <w:rPr>
          <w:rFonts w:ascii="Arial" w:eastAsia="Calibri" w:hAnsi="Arial" w:cs="Arial"/>
          <w:b/>
          <w:color w:val="000000" w:themeColor="text1"/>
          <w:sz w:val="22"/>
          <w:lang w:val="es-ES_tradnl"/>
        </w:rPr>
        <w:t xml:space="preserve">RÉGIMEN ESPECIAL </w:t>
      </w:r>
      <w:r w:rsidRPr="00F95886">
        <w:rPr>
          <w:rFonts w:ascii="Arial" w:eastAsia="Calibri" w:hAnsi="Arial" w:cs="Arial"/>
          <w:b/>
          <w:color w:val="000000" w:themeColor="text1"/>
          <w:sz w:val="22"/>
        </w:rPr>
        <w:t>–</w:t>
      </w:r>
      <w:r w:rsidR="00BB52CB" w:rsidRPr="004B0296">
        <w:rPr>
          <w:rFonts w:ascii="Arial" w:eastAsia="Calibri" w:hAnsi="Arial" w:cs="Arial"/>
          <w:b/>
          <w:color w:val="000000" w:themeColor="text1"/>
          <w:sz w:val="22"/>
          <w:lang w:val="es-ES_tradnl"/>
        </w:rPr>
        <w:t xml:space="preserve"> Definición</w:t>
      </w:r>
    </w:p>
    <w:p w14:paraId="0B52FD04" w14:textId="77777777" w:rsidR="00BB52CB" w:rsidRPr="00EF3E5A" w:rsidRDefault="00BB52CB" w:rsidP="00BB52CB">
      <w:pPr>
        <w:jc w:val="both"/>
        <w:rPr>
          <w:rFonts w:ascii="Arial" w:eastAsia="Calibri" w:hAnsi="Arial" w:cs="Arial"/>
          <w:color w:val="000000" w:themeColor="text1"/>
          <w:sz w:val="20"/>
          <w:szCs w:val="20"/>
          <w:lang w:val="es-ES_tradnl"/>
        </w:rPr>
      </w:pPr>
    </w:p>
    <w:p w14:paraId="09C13987" w14:textId="77777777" w:rsidR="00BB52CB" w:rsidRPr="00EF3E5A" w:rsidRDefault="00BB52CB" w:rsidP="00BB52CB">
      <w:pPr>
        <w:jc w:val="both"/>
        <w:rPr>
          <w:rFonts w:ascii="Arial" w:eastAsia="Calibri" w:hAnsi="Arial" w:cs="Arial"/>
          <w:color w:val="000000" w:themeColor="text1"/>
          <w:sz w:val="20"/>
          <w:szCs w:val="20"/>
          <w:lang w:val="es-ES_tradnl"/>
        </w:rPr>
      </w:pPr>
      <w:r w:rsidRPr="00EF3E5A">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54C8B6ED" w14:textId="77777777" w:rsidR="00BB52CB" w:rsidRPr="004B0296" w:rsidRDefault="00BB52CB" w:rsidP="00BB52CB">
      <w:pPr>
        <w:jc w:val="both"/>
        <w:rPr>
          <w:rFonts w:ascii="Arial" w:eastAsia="Calibri" w:hAnsi="Arial" w:cs="Arial"/>
          <w:color w:val="000000" w:themeColor="text1"/>
          <w:sz w:val="22"/>
          <w:lang w:val="es-ES_tradnl"/>
        </w:rPr>
      </w:pPr>
    </w:p>
    <w:p w14:paraId="331E757E" w14:textId="546CCC43" w:rsidR="00BB52CB" w:rsidRPr="004B0296" w:rsidRDefault="004B0296" w:rsidP="00BB52CB">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ENTIDADES</w:t>
      </w:r>
      <w:r w:rsidR="002E76E1">
        <w:rPr>
          <w:rFonts w:ascii="Arial" w:eastAsia="Calibri" w:hAnsi="Arial" w:cs="Arial"/>
          <w:b/>
          <w:color w:val="000000" w:themeColor="text1"/>
          <w:sz w:val="22"/>
          <w:lang w:val="es-ES_tradnl"/>
        </w:rPr>
        <w:t xml:space="preserve"> CON</w:t>
      </w:r>
      <w:r>
        <w:rPr>
          <w:rFonts w:ascii="Arial" w:eastAsia="Calibri" w:hAnsi="Arial" w:cs="Arial"/>
          <w:b/>
          <w:color w:val="000000" w:themeColor="text1"/>
          <w:sz w:val="22"/>
          <w:lang w:val="es-ES_tradnl"/>
        </w:rPr>
        <w:t xml:space="preserve"> RÉGIMEN ESPECIAL </w:t>
      </w:r>
      <w:r w:rsidRPr="00F95886">
        <w:rPr>
          <w:rFonts w:ascii="Arial" w:eastAsia="Calibri" w:hAnsi="Arial" w:cs="Arial"/>
          <w:b/>
          <w:color w:val="000000" w:themeColor="text1"/>
          <w:sz w:val="22"/>
        </w:rPr>
        <w:t>–</w:t>
      </w:r>
      <w:r w:rsidR="00BB52CB" w:rsidRPr="004B0296">
        <w:rPr>
          <w:rFonts w:ascii="Arial" w:eastAsia="Calibri" w:hAnsi="Arial" w:cs="Arial"/>
          <w:b/>
          <w:color w:val="000000" w:themeColor="text1"/>
          <w:sz w:val="22"/>
          <w:lang w:val="es-ES_tradnl"/>
        </w:rPr>
        <w:t xml:space="preserve"> Reglas aplicables</w:t>
      </w:r>
    </w:p>
    <w:p w14:paraId="328E42FC" w14:textId="77777777" w:rsidR="00BB52CB" w:rsidRPr="00EF3E5A" w:rsidRDefault="00BB52CB" w:rsidP="00BB52CB">
      <w:pPr>
        <w:jc w:val="both"/>
        <w:rPr>
          <w:rFonts w:ascii="Arial" w:eastAsia="Calibri" w:hAnsi="Arial" w:cs="Arial"/>
          <w:color w:val="000000" w:themeColor="text1"/>
          <w:sz w:val="20"/>
          <w:szCs w:val="20"/>
          <w:highlight w:val="yellow"/>
          <w:lang w:val="es-ES_tradnl"/>
        </w:rPr>
      </w:pPr>
    </w:p>
    <w:p w14:paraId="16AC79B8" w14:textId="42C6FEB1" w:rsidR="00BB52CB" w:rsidRPr="00EF3E5A" w:rsidRDefault="00BB52CB" w:rsidP="00BB52CB">
      <w:pPr>
        <w:jc w:val="both"/>
        <w:rPr>
          <w:rFonts w:ascii="Arial" w:eastAsia="Calibri" w:hAnsi="Arial" w:cs="Arial"/>
          <w:color w:val="000000" w:themeColor="text1"/>
          <w:sz w:val="20"/>
          <w:szCs w:val="20"/>
          <w:lang w:val="es-ES_tradnl"/>
        </w:rPr>
      </w:pPr>
      <w:r w:rsidRPr="00EF3E5A">
        <w:rPr>
          <w:rFonts w:ascii="Arial" w:eastAsia="Calibri" w:hAnsi="Arial"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405F6D" w:rsidRPr="00EF3E5A">
        <w:rPr>
          <w:rFonts w:ascii="Arial" w:eastAsia="Calibri" w:hAnsi="Arial" w:cs="Arial"/>
          <w:color w:val="000000" w:themeColor="text1"/>
          <w:sz w:val="20"/>
          <w:szCs w:val="20"/>
          <w:lang w:val="es-ES_tradnl"/>
        </w:rPr>
        <w:t xml:space="preserve">. </w:t>
      </w:r>
      <w:r w:rsidRPr="00EF3E5A">
        <w:rPr>
          <w:rFonts w:ascii="Arial" w:eastAsia="Calibri" w:hAnsi="Arial" w:cs="Arial"/>
          <w:color w:val="000000" w:themeColor="text1"/>
          <w:sz w:val="20"/>
          <w:szCs w:val="20"/>
          <w:lang w:val="es-ES_tradnl"/>
        </w:rPr>
        <w:t>Lo anterior es reafirmado por el Consejo de Estado, que destaca las reglas que sigue la contratación de las entidades de régimen especial.</w:t>
      </w:r>
    </w:p>
    <w:p w14:paraId="71C635D9" w14:textId="77777777" w:rsidR="00BB52CB" w:rsidRPr="00EF3E5A" w:rsidRDefault="00BB52CB" w:rsidP="00BB52CB">
      <w:pPr>
        <w:jc w:val="both"/>
        <w:rPr>
          <w:rFonts w:ascii="Arial" w:eastAsia="Calibri" w:hAnsi="Arial" w:cs="Arial"/>
          <w:color w:val="000000" w:themeColor="text1"/>
          <w:sz w:val="20"/>
          <w:szCs w:val="20"/>
          <w:lang w:val="es-ES_tradnl"/>
        </w:rPr>
      </w:pPr>
    </w:p>
    <w:p w14:paraId="5C0CB3E6" w14:textId="2D8FB7BF" w:rsidR="00BB52CB" w:rsidRPr="004B0296" w:rsidRDefault="00BB52CB" w:rsidP="00BB52CB">
      <w:pPr>
        <w:jc w:val="both"/>
        <w:rPr>
          <w:rFonts w:ascii="Arial" w:eastAsia="Calibri" w:hAnsi="Arial" w:cs="Arial"/>
          <w:b/>
          <w:color w:val="000000" w:themeColor="text1"/>
          <w:sz w:val="22"/>
          <w:lang w:val="es-ES_tradnl"/>
        </w:rPr>
      </w:pPr>
      <w:r w:rsidRPr="004B0296">
        <w:rPr>
          <w:rFonts w:ascii="Arial" w:eastAsia="Calibri" w:hAnsi="Arial" w:cs="Arial"/>
          <w:b/>
          <w:color w:val="000000" w:themeColor="text1"/>
          <w:sz w:val="22"/>
          <w:lang w:val="es-ES_tradnl"/>
        </w:rPr>
        <w:t>ENTIDADES</w:t>
      </w:r>
      <w:r w:rsidR="002E76E1">
        <w:rPr>
          <w:rFonts w:ascii="Arial" w:eastAsia="Calibri" w:hAnsi="Arial" w:cs="Arial"/>
          <w:b/>
          <w:color w:val="000000" w:themeColor="text1"/>
          <w:sz w:val="22"/>
          <w:lang w:val="es-ES_tradnl"/>
        </w:rPr>
        <w:t xml:space="preserve"> CON</w:t>
      </w:r>
      <w:r w:rsidRPr="004B0296">
        <w:rPr>
          <w:rFonts w:ascii="Arial" w:eastAsia="Calibri" w:hAnsi="Arial" w:cs="Arial"/>
          <w:b/>
          <w:color w:val="000000" w:themeColor="text1"/>
          <w:sz w:val="22"/>
          <w:lang w:val="es-ES_tradnl"/>
        </w:rPr>
        <w:t xml:space="preserve"> RÉGIMEN ESPECI</w:t>
      </w:r>
      <w:r w:rsidR="004B0296">
        <w:rPr>
          <w:rFonts w:ascii="Arial" w:eastAsia="Calibri" w:hAnsi="Arial" w:cs="Arial"/>
          <w:b/>
          <w:color w:val="000000" w:themeColor="text1"/>
          <w:sz w:val="22"/>
          <w:lang w:val="es-ES_tradnl"/>
        </w:rPr>
        <w:t xml:space="preserve">AL </w:t>
      </w:r>
      <w:r w:rsidR="004B0296" w:rsidRPr="00F95886">
        <w:rPr>
          <w:rFonts w:ascii="Arial" w:eastAsia="Calibri" w:hAnsi="Arial" w:cs="Arial"/>
          <w:b/>
          <w:color w:val="000000" w:themeColor="text1"/>
          <w:sz w:val="22"/>
        </w:rPr>
        <w:t>–</w:t>
      </w:r>
      <w:r w:rsidR="004B0296">
        <w:rPr>
          <w:rFonts w:ascii="Arial" w:eastAsia="Calibri" w:hAnsi="Arial" w:cs="Arial"/>
          <w:b/>
          <w:color w:val="000000" w:themeColor="text1"/>
          <w:sz w:val="22"/>
          <w:lang w:val="es-ES_tradnl"/>
        </w:rPr>
        <w:t xml:space="preserve"> Manual de Contratación </w:t>
      </w:r>
      <w:r w:rsidR="004B0296" w:rsidRPr="00F95886">
        <w:rPr>
          <w:rFonts w:ascii="Arial" w:eastAsia="Calibri" w:hAnsi="Arial" w:cs="Arial"/>
          <w:b/>
          <w:color w:val="000000" w:themeColor="text1"/>
          <w:sz w:val="22"/>
        </w:rPr>
        <w:t>–</w:t>
      </w:r>
      <w:r w:rsidRPr="004B0296">
        <w:rPr>
          <w:rFonts w:ascii="Arial" w:eastAsia="Calibri" w:hAnsi="Arial" w:cs="Arial"/>
          <w:b/>
          <w:color w:val="000000" w:themeColor="text1"/>
          <w:sz w:val="22"/>
          <w:lang w:val="es-ES_tradnl"/>
        </w:rPr>
        <w:t xml:space="preserve"> Contenido</w:t>
      </w:r>
    </w:p>
    <w:p w14:paraId="6E5E7850" w14:textId="77777777" w:rsidR="00BB52CB" w:rsidRPr="00EF3E5A" w:rsidRDefault="00BB52CB" w:rsidP="00BB52CB">
      <w:pPr>
        <w:jc w:val="both"/>
        <w:rPr>
          <w:rFonts w:ascii="Arial" w:eastAsia="Calibri" w:hAnsi="Arial" w:cs="Arial"/>
          <w:color w:val="000000" w:themeColor="text1"/>
          <w:sz w:val="20"/>
          <w:szCs w:val="20"/>
          <w:lang w:val="es-ES_tradnl"/>
        </w:rPr>
      </w:pPr>
    </w:p>
    <w:p w14:paraId="393A7545" w14:textId="7BFDB284" w:rsidR="00BB52CB" w:rsidRPr="00EF3E5A" w:rsidRDefault="00BB52CB" w:rsidP="00BB52CB">
      <w:pPr>
        <w:jc w:val="both"/>
        <w:rPr>
          <w:rFonts w:ascii="Arial" w:eastAsia="Calibri" w:hAnsi="Arial" w:cs="Arial"/>
          <w:color w:val="000000" w:themeColor="text1"/>
          <w:sz w:val="20"/>
          <w:szCs w:val="20"/>
          <w:lang w:val="es-ES_tradnl"/>
        </w:rPr>
      </w:pPr>
      <w:r w:rsidRPr="00EF3E5A">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w:t>
      </w:r>
      <w:r w:rsidR="00893313" w:rsidRPr="00EF3E5A">
        <w:rPr>
          <w:rFonts w:ascii="Arial" w:eastAsia="Calibri" w:hAnsi="Arial" w:cs="Arial"/>
          <w:color w:val="000000" w:themeColor="text1"/>
          <w:sz w:val="20"/>
          <w:szCs w:val="20"/>
          <w:lang w:val="es-ES_tradnl"/>
        </w:rPr>
        <w:t xml:space="preserve"> y </w:t>
      </w:r>
      <w:r w:rsidRPr="00EF3E5A">
        <w:rPr>
          <w:rFonts w:ascii="Arial" w:eastAsia="Calibri" w:hAnsi="Arial" w:cs="Arial"/>
          <w:color w:val="000000" w:themeColor="text1"/>
          <w:sz w:val="20"/>
          <w:szCs w:val="20"/>
          <w:lang w:val="es-ES_tradnl"/>
        </w:rPr>
        <w:t>la protección del interés general.</w:t>
      </w:r>
    </w:p>
    <w:p w14:paraId="12B1BA9A" w14:textId="77777777" w:rsidR="00BB52CB" w:rsidRPr="00EF3E5A" w:rsidRDefault="00BB52CB" w:rsidP="00BB52CB">
      <w:pPr>
        <w:jc w:val="both"/>
        <w:rPr>
          <w:rFonts w:ascii="Arial" w:eastAsia="Calibri" w:hAnsi="Arial" w:cs="Arial"/>
          <w:color w:val="000000" w:themeColor="text1"/>
          <w:sz w:val="20"/>
          <w:szCs w:val="20"/>
          <w:lang w:val="es-ES_tradnl"/>
        </w:rPr>
      </w:pPr>
    </w:p>
    <w:p w14:paraId="475053F3" w14:textId="5FAF9F83" w:rsidR="00BB52CB" w:rsidRPr="004B0296" w:rsidRDefault="00BB52CB" w:rsidP="00BB52CB">
      <w:pPr>
        <w:jc w:val="both"/>
        <w:rPr>
          <w:rFonts w:ascii="Arial" w:eastAsia="Calibri" w:hAnsi="Arial" w:cs="Arial"/>
          <w:b/>
          <w:color w:val="000000" w:themeColor="text1"/>
          <w:sz w:val="22"/>
          <w:lang w:val="es-ES_tradnl"/>
        </w:rPr>
      </w:pPr>
      <w:r w:rsidRPr="004B0296">
        <w:rPr>
          <w:rFonts w:ascii="Arial" w:eastAsia="Calibri" w:hAnsi="Arial" w:cs="Arial"/>
          <w:b/>
          <w:color w:val="000000" w:themeColor="text1"/>
          <w:sz w:val="22"/>
          <w:lang w:val="es-ES_tradnl"/>
        </w:rPr>
        <w:t xml:space="preserve">ENTIDADES </w:t>
      </w:r>
      <w:r w:rsidR="002E76E1">
        <w:rPr>
          <w:rFonts w:ascii="Arial" w:eastAsia="Calibri" w:hAnsi="Arial" w:cs="Arial"/>
          <w:b/>
          <w:color w:val="000000" w:themeColor="text1"/>
          <w:sz w:val="22"/>
          <w:lang w:val="es-ES_tradnl"/>
        </w:rPr>
        <w:t xml:space="preserve">CON </w:t>
      </w:r>
      <w:bookmarkStart w:id="3" w:name="_GoBack"/>
      <w:bookmarkEnd w:id="3"/>
      <w:r w:rsidRPr="004B0296">
        <w:rPr>
          <w:rFonts w:ascii="Arial" w:eastAsia="Calibri" w:hAnsi="Arial" w:cs="Arial"/>
          <w:b/>
          <w:color w:val="000000" w:themeColor="text1"/>
          <w:sz w:val="22"/>
          <w:lang w:val="es-ES_tradnl"/>
        </w:rPr>
        <w:t xml:space="preserve">RÉGIMEN ESPECIAL </w:t>
      </w:r>
      <w:r w:rsidR="004B0296" w:rsidRPr="00F95886">
        <w:rPr>
          <w:rFonts w:ascii="Arial" w:eastAsia="Calibri" w:hAnsi="Arial" w:cs="Arial"/>
          <w:b/>
          <w:color w:val="000000" w:themeColor="text1"/>
          <w:sz w:val="22"/>
        </w:rPr>
        <w:t>–</w:t>
      </w:r>
      <w:r w:rsidRPr="004B0296">
        <w:rPr>
          <w:rFonts w:ascii="Arial" w:eastAsia="Calibri" w:hAnsi="Arial" w:cs="Arial"/>
          <w:b/>
          <w:color w:val="000000" w:themeColor="text1"/>
          <w:sz w:val="22"/>
          <w:lang w:val="es-ES_tradnl"/>
        </w:rPr>
        <w:t xml:space="preserve"> Obligaciones trasversales </w:t>
      </w:r>
      <w:r w:rsidR="00F51AAE">
        <w:rPr>
          <w:rFonts w:ascii="Arial" w:eastAsia="Calibri" w:hAnsi="Arial" w:cs="Arial"/>
          <w:b/>
          <w:color w:val="000000" w:themeColor="text1"/>
          <w:sz w:val="22"/>
        </w:rPr>
        <w:t>–</w:t>
      </w:r>
      <w:r w:rsidR="0036522D">
        <w:rPr>
          <w:rFonts w:ascii="Arial" w:eastAsia="Calibri" w:hAnsi="Arial" w:cs="Arial"/>
          <w:b/>
          <w:color w:val="000000" w:themeColor="text1"/>
          <w:sz w:val="22"/>
        </w:rPr>
        <w:t xml:space="preserve"> </w:t>
      </w:r>
      <w:r w:rsidR="00F51AAE">
        <w:rPr>
          <w:rFonts w:ascii="Arial" w:eastAsia="Calibri" w:hAnsi="Arial" w:cs="Arial"/>
          <w:b/>
          <w:color w:val="000000" w:themeColor="text1"/>
          <w:sz w:val="22"/>
        </w:rPr>
        <w:t>E</w:t>
      </w:r>
      <w:r w:rsidRPr="004B0296">
        <w:rPr>
          <w:rFonts w:ascii="Arial" w:eastAsia="Calibri" w:hAnsi="Arial" w:cs="Arial"/>
          <w:b/>
          <w:color w:val="000000" w:themeColor="text1"/>
          <w:sz w:val="22"/>
          <w:lang w:val="es-ES_tradnl"/>
        </w:rPr>
        <w:t>ntidades</w:t>
      </w:r>
      <w:r w:rsidR="00F51AAE">
        <w:rPr>
          <w:rFonts w:ascii="Arial" w:eastAsia="Calibri" w:hAnsi="Arial" w:cs="Arial"/>
          <w:b/>
          <w:color w:val="000000" w:themeColor="text1"/>
          <w:sz w:val="22"/>
          <w:lang w:val="es-ES_tradnl"/>
        </w:rPr>
        <w:t xml:space="preserve"> estatales</w:t>
      </w:r>
    </w:p>
    <w:p w14:paraId="6FB17F58" w14:textId="77777777" w:rsidR="00BB52CB" w:rsidRPr="00EF3E5A" w:rsidRDefault="00BB52CB" w:rsidP="00BB52CB">
      <w:pPr>
        <w:jc w:val="both"/>
        <w:rPr>
          <w:rFonts w:ascii="Arial" w:eastAsia="Calibri" w:hAnsi="Arial" w:cs="Arial"/>
          <w:color w:val="000000" w:themeColor="text1"/>
          <w:sz w:val="20"/>
          <w:szCs w:val="20"/>
          <w:lang w:val="es-ES_tradnl"/>
        </w:rPr>
      </w:pPr>
    </w:p>
    <w:p w14:paraId="076F4CA8" w14:textId="48F2B285" w:rsidR="00BB52CB" w:rsidRPr="00EF3E5A" w:rsidRDefault="00BB52CB" w:rsidP="00BB52CB">
      <w:pPr>
        <w:jc w:val="both"/>
        <w:rPr>
          <w:rFonts w:ascii="Arial" w:eastAsia="Calibri" w:hAnsi="Arial" w:cs="Arial"/>
          <w:color w:val="000000" w:themeColor="text1"/>
          <w:sz w:val="20"/>
          <w:szCs w:val="20"/>
          <w:lang w:val="es-ES_tradnl"/>
        </w:rPr>
      </w:pPr>
      <w:r w:rsidRPr="00EF3E5A">
        <w:rPr>
          <w:rFonts w:ascii="Arial" w:eastAsia="Calibri" w:hAnsi="Arial" w:cs="Arial"/>
          <w:color w:val="000000" w:themeColor="text1"/>
          <w:sz w:val="20"/>
          <w:szCs w:val="20"/>
          <w:lang w:val="es-ES_tradnl"/>
        </w:rPr>
        <w:t>Así mismo, estas entidades deben cumplir con unas obligaciones transversales a la contratación pública,</w:t>
      </w:r>
      <w:r w:rsidR="00893313" w:rsidRPr="00EF3E5A">
        <w:rPr>
          <w:rFonts w:ascii="Arial" w:eastAsia="Calibri" w:hAnsi="Arial" w:cs="Arial"/>
          <w:color w:val="000000" w:themeColor="text1"/>
          <w:sz w:val="20"/>
          <w:szCs w:val="20"/>
          <w:lang w:val="es-ES_tradnl"/>
        </w:rPr>
        <w:t xml:space="preserve"> </w:t>
      </w:r>
      <w:r w:rsidRPr="00EF3E5A">
        <w:rPr>
          <w:rFonts w:ascii="Arial" w:eastAsia="Calibri" w:hAnsi="Arial" w:cs="Arial"/>
          <w:color w:val="000000" w:themeColor="text1"/>
          <w:sz w:val="20"/>
          <w:szCs w:val="20"/>
          <w:lang w:val="es-ES_tradnl"/>
        </w:rPr>
        <w:t>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4C3F4B78" w14:textId="71EA125E" w:rsidR="00562490" w:rsidRPr="00E237C1" w:rsidRDefault="00562490" w:rsidP="000920F0">
      <w:pPr>
        <w:spacing w:line="276" w:lineRule="auto"/>
        <w:jc w:val="both"/>
        <w:rPr>
          <w:rFonts w:ascii="Arial" w:hAnsi="Arial" w:cs="Arial"/>
          <w:color w:val="000000" w:themeColor="text1"/>
          <w:sz w:val="20"/>
          <w:szCs w:val="20"/>
          <w:lang w:val="es-ES_tradnl"/>
        </w:rPr>
      </w:pPr>
    </w:p>
    <w:p w14:paraId="3BCF92A4" w14:textId="77777777" w:rsidR="00E237C1" w:rsidRPr="00E237C1" w:rsidRDefault="00E237C1" w:rsidP="000920F0">
      <w:pPr>
        <w:spacing w:line="276" w:lineRule="auto"/>
        <w:jc w:val="both"/>
        <w:rPr>
          <w:rFonts w:ascii="Arial" w:hAnsi="Arial" w:cs="Arial"/>
          <w:color w:val="000000" w:themeColor="text1"/>
          <w:sz w:val="20"/>
          <w:szCs w:val="20"/>
          <w:lang w:val="es-ES_tradnl"/>
        </w:rPr>
      </w:pPr>
    </w:p>
    <w:p w14:paraId="00BD8625" w14:textId="1845AFFA" w:rsidR="00E237C1" w:rsidRPr="00E237C1" w:rsidRDefault="00E237C1" w:rsidP="00E237C1">
      <w:pPr>
        <w:pStyle w:val="Default"/>
        <w:rPr>
          <w:sz w:val="22"/>
          <w:szCs w:val="22"/>
        </w:rPr>
      </w:pPr>
      <w:r w:rsidRPr="00E237C1">
        <w:rPr>
          <w:sz w:val="22"/>
          <w:szCs w:val="22"/>
        </w:rPr>
        <w:t xml:space="preserve">Bogotá D.C., </w:t>
      </w:r>
      <w:r w:rsidRPr="00E237C1">
        <w:rPr>
          <w:b/>
          <w:bCs/>
          <w:sz w:val="22"/>
          <w:szCs w:val="22"/>
        </w:rPr>
        <w:t xml:space="preserve">31/03/2020 Hora 13:5:4s </w:t>
      </w:r>
    </w:p>
    <w:p w14:paraId="428700DC" w14:textId="01CFEF8B" w:rsidR="00EF3E5A" w:rsidRPr="00E237C1" w:rsidRDefault="00E237C1" w:rsidP="00E237C1">
      <w:pPr>
        <w:tabs>
          <w:tab w:val="left" w:pos="3374"/>
        </w:tabs>
        <w:spacing w:line="276" w:lineRule="auto"/>
        <w:jc w:val="right"/>
        <w:rPr>
          <w:rFonts w:ascii="Arial" w:eastAsia="Calibri" w:hAnsi="Arial" w:cs="Arial"/>
          <w:color w:val="000000" w:themeColor="text1"/>
          <w:sz w:val="22"/>
          <w:lang w:val="es-ES_tradnl"/>
        </w:rPr>
      </w:pPr>
      <w:r w:rsidRPr="00E237C1">
        <w:rPr>
          <w:rFonts w:ascii="Arial" w:hAnsi="Arial" w:cs="Arial"/>
          <w:b/>
          <w:bCs/>
          <w:sz w:val="22"/>
        </w:rPr>
        <w:t>N° Radicado: 2202013000002327</w:t>
      </w:r>
    </w:p>
    <w:p w14:paraId="0223F164" w14:textId="77777777" w:rsidR="000920F0" w:rsidRPr="00EF3E5A" w:rsidRDefault="000920F0" w:rsidP="000920F0">
      <w:pPr>
        <w:spacing w:line="276" w:lineRule="auto"/>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Señor</w:t>
      </w:r>
    </w:p>
    <w:p w14:paraId="3B488B92" w14:textId="77777777" w:rsidR="00A131D8" w:rsidRPr="00EF3E5A" w:rsidRDefault="00A131D8" w:rsidP="000920F0">
      <w:pPr>
        <w:spacing w:line="276" w:lineRule="auto"/>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 xml:space="preserve">Javier Esteban Panqueva Hoyos </w:t>
      </w:r>
    </w:p>
    <w:p w14:paraId="188163AF" w14:textId="691F377A" w:rsidR="000920F0" w:rsidRPr="00EF3E5A" w:rsidRDefault="000920F0" w:rsidP="000920F0">
      <w:pPr>
        <w:spacing w:line="276" w:lineRule="auto"/>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Ciudad</w:t>
      </w:r>
    </w:p>
    <w:p w14:paraId="442390EF" w14:textId="77777777" w:rsidR="00542261" w:rsidRDefault="00542261" w:rsidP="000920F0">
      <w:pPr>
        <w:spacing w:line="276" w:lineRule="auto"/>
        <w:jc w:val="center"/>
        <w:rPr>
          <w:rFonts w:ascii="Arial" w:eastAsia="Calibri" w:hAnsi="Arial" w:cs="Arial"/>
          <w:b/>
          <w:color w:val="000000" w:themeColor="text1"/>
          <w:sz w:val="22"/>
          <w:lang w:val="es-ES_tradnl"/>
        </w:rPr>
      </w:pPr>
    </w:p>
    <w:p w14:paraId="36D9E2A1" w14:textId="5000A76B" w:rsidR="000920F0" w:rsidRDefault="000920F0" w:rsidP="000920F0">
      <w:pPr>
        <w:spacing w:line="276" w:lineRule="auto"/>
        <w:jc w:val="center"/>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 xml:space="preserve">Concepto C ─ </w:t>
      </w:r>
      <w:r w:rsidR="00553B5D" w:rsidRPr="00EF3E5A">
        <w:rPr>
          <w:rFonts w:ascii="Arial" w:eastAsia="Calibri" w:hAnsi="Arial" w:cs="Arial"/>
          <w:b/>
          <w:color w:val="000000" w:themeColor="text1"/>
          <w:sz w:val="22"/>
          <w:lang w:val="es-ES_tradnl"/>
        </w:rPr>
        <w:t>1</w:t>
      </w:r>
      <w:r w:rsidR="00124E57" w:rsidRPr="00EF3E5A">
        <w:rPr>
          <w:rFonts w:ascii="Arial" w:eastAsia="Calibri" w:hAnsi="Arial" w:cs="Arial"/>
          <w:b/>
          <w:color w:val="000000" w:themeColor="text1"/>
          <w:sz w:val="22"/>
          <w:lang w:val="es-ES_tradnl"/>
        </w:rPr>
        <w:t>68</w:t>
      </w:r>
      <w:r w:rsidR="00D27700" w:rsidRPr="00EF3E5A">
        <w:rPr>
          <w:rFonts w:ascii="Arial" w:eastAsia="Calibri" w:hAnsi="Arial" w:cs="Arial"/>
          <w:b/>
          <w:color w:val="000000" w:themeColor="text1"/>
          <w:sz w:val="22"/>
          <w:lang w:val="es-ES_tradnl"/>
        </w:rPr>
        <w:t xml:space="preserve"> </w:t>
      </w:r>
      <w:r w:rsidRPr="00EF3E5A">
        <w:rPr>
          <w:rFonts w:ascii="Arial" w:eastAsia="Calibri" w:hAnsi="Arial" w:cs="Arial"/>
          <w:b/>
          <w:color w:val="000000" w:themeColor="text1"/>
          <w:sz w:val="22"/>
          <w:lang w:val="es-ES_tradnl"/>
        </w:rPr>
        <w:t>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F3E5A" w:rsidRPr="00EF3E5A" w14:paraId="16CF89C4" w14:textId="77777777" w:rsidTr="00525274">
        <w:trPr>
          <w:trHeight w:val="1184"/>
        </w:trPr>
        <w:tc>
          <w:tcPr>
            <w:tcW w:w="2689" w:type="dxa"/>
            <w:hideMark/>
          </w:tcPr>
          <w:p w14:paraId="7BBF5828" w14:textId="77777777" w:rsidR="000920F0" w:rsidRPr="00EF3E5A" w:rsidRDefault="000920F0" w:rsidP="00B64914">
            <w:pPr>
              <w:spacing w:line="276" w:lineRule="auto"/>
              <w:rPr>
                <w:rFonts w:ascii="Arial" w:eastAsia="Calibri" w:hAnsi="Arial" w:cs="Arial"/>
                <w:color w:val="000000" w:themeColor="text1"/>
                <w:sz w:val="22"/>
                <w:lang w:val="es-ES_tradnl"/>
              </w:rPr>
            </w:pPr>
            <w:r w:rsidRPr="00EF3E5A">
              <w:rPr>
                <w:rFonts w:ascii="Arial" w:eastAsia="Calibri" w:hAnsi="Arial" w:cs="Arial"/>
                <w:b/>
                <w:color w:val="000000" w:themeColor="text1"/>
                <w:sz w:val="22"/>
                <w:lang w:val="es-ES_tradnl"/>
              </w:rPr>
              <w:lastRenderedPageBreak/>
              <w:t>Temas:</w:t>
            </w:r>
            <w:r w:rsidRPr="00EF3E5A">
              <w:rPr>
                <w:rFonts w:ascii="Arial" w:eastAsia="Calibri" w:hAnsi="Arial" w:cs="Arial"/>
                <w:color w:val="000000" w:themeColor="text1"/>
                <w:sz w:val="22"/>
                <w:lang w:val="es-ES_tradnl"/>
              </w:rPr>
              <w:t xml:space="preserve">           </w:t>
            </w:r>
          </w:p>
          <w:p w14:paraId="76A5E400" w14:textId="77777777" w:rsidR="000920F0" w:rsidRPr="00EF3E5A" w:rsidRDefault="000920F0" w:rsidP="00B64914">
            <w:pPr>
              <w:spacing w:line="276" w:lineRule="auto"/>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                           </w:t>
            </w:r>
          </w:p>
        </w:tc>
        <w:tc>
          <w:tcPr>
            <w:tcW w:w="6237" w:type="dxa"/>
            <w:hideMark/>
          </w:tcPr>
          <w:p w14:paraId="5528BC60" w14:textId="5583497E" w:rsidR="000920F0" w:rsidRPr="00EF3E5A" w:rsidRDefault="00494F71" w:rsidP="00CA4E1C">
            <w:pPr>
              <w:pStyle w:val="Prrafodelista"/>
              <w:spacing w:line="276" w:lineRule="auto"/>
              <w:ind w:left="0"/>
              <w:jc w:val="both"/>
              <w:rPr>
                <w:rFonts w:ascii="Arial" w:eastAsia="Calibri" w:hAnsi="Arial" w:cs="Arial"/>
                <w:b/>
                <w:color w:val="000000" w:themeColor="text1"/>
                <w:sz w:val="22"/>
                <w:szCs w:val="20"/>
                <w:lang w:val="es-ES_tradnl"/>
              </w:rPr>
            </w:pPr>
            <w:r w:rsidRPr="00EF3E5A">
              <w:rPr>
                <w:rFonts w:ascii="Arial" w:eastAsia="Calibri" w:hAnsi="Arial" w:cs="Arial"/>
                <w:color w:val="000000" w:themeColor="text1"/>
                <w:sz w:val="22"/>
                <w:lang w:val="es-ES_tradnl"/>
              </w:rPr>
              <w:t xml:space="preserve">ENTIDADES DE RÉGIMEN ESPECIAL ― Definición / ENTIDADES DE RÉGIMEN ESPECIAL ― Reglas aplicables / ENTIDADES DE RÉGIMEN ESPECIAL ― Manual de Contratación ― Contenido / ENTIDADES DE RÉGIMEN ESPECIAL ― Obligaciones trasversales a las entidades </w:t>
            </w:r>
          </w:p>
        </w:tc>
      </w:tr>
      <w:tr w:rsidR="000920F0" w:rsidRPr="00EF3E5A" w14:paraId="5C0B4203" w14:textId="77777777" w:rsidTr="00B64914">
        <w:tc>
          <w:tcPr>
            <w:tcW w:w="2689" w:type="dxa"/>
          </w:tcPr>
          <w:p w14:paraId="32E4E458" w14:textId="77777777" w:rsidR="000920F0" w:rsidRPr="00EF3E5A" w:rsidRDefault="000920F0" w:rsidP="00B64914">
            <w:pPr>
              <w:spacing w:line="276" w:lineRule="auto"/>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Radicación:</w:t>
            </w:r>
            <w:r w:rsidRPr="00EF3E5A">
              <w:rPr>
                <w:rFonts w:ascii="Arial" w:eastAsia="Calibri" w:hAnsi="Arial" w:cs="Arial"/>
                <w:color w:val="000000" w:themeColor="text1"/>
                <w:sz w:val="22"/>
                <w:lang w:val="es-ES_tradnl"/>
              </w:rPr>
              <w:t xml:space="preserve">                              </w:t>
            </w:r>
          </w:p>
        </w:tc>
        <w:tc>
          <w:tcPr>
            <w:tcW w:w="6237" w:type="dxa"/>
          </w:tcPr>
          <w:p w14:paraId="1218CA08" w14:textId="62B5A27E" w:rsidR="000920F0" w:rsidRPr="00EF3E5A" w:rsidRDefault="000920F0" w:rsidP="00B64914">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Respuesta a consulta</w:t>
            </w:r>
            <w:r w:rsidR="00685162" w:rsidRPr="00EF3E5A">
              <w:rPr>
                <w:rFonts w:ascii="Arial" w:eastAsia="Calibri" w:hAnsi="Arial" w:cs="Arial"/>
                <w:color w:val="000000" w:themeColor="text1"/>
                <w:sz w:val="22"/>
                <w:lang w:val="es-ES_tradnl"/>
              </w:rPr>
              <w:t>s acumuladas</w:t>
            </w:r>
            <w:r w:rsidRPr="00EF3E5A">
              <w:rPr>
                <w:rFonts w:ascii="Arial" w:eastAsia="Calibri" w:hAnsi="Arial" w:cs="Arial"/>
                <w:color w:val="000000" w:themeColor="text1"/>
                <w:sz w:val="22"/>
                <w:lang w:val="es-ES_tradnl"/>
              </w:rPr>
              <w:t xml:space="preserve"> # </w:t>
            </w:r>
            <w:r w:rsidR="00C84725" w:rsidRPr="00EF3E5A">
              <w:rPr>
                <w:rFonts w:ascii="Arial" w:hAnsi="Arial" w:cs="Arial"/>
                <w:color w:val="000000" w:themeColor="text1"/>
                <w:sz w:val="22"/>
                <w:lang w:val="es-ES_tradnl"/>
              </w:rPr>
              <w:t xml:space="preserve">4202013000001112 y 4202013000001290 </w:t>
            </w:r>
          </w:p>
        </w:tc>
      </w:tr>
    </w:tbl>
    <w:p w14:paraId="3CDD931D" w14:textId="77777777" w:rsidR="000920F0" w:rsidRPr="00EF3E5A" w:rsidRDefault="000920F0" w:rsidP="000920F0">
      <w:pPr>
        <w:spacing w:line="276" w:lineRule="auto"/>
        <w:rPr>
          <w:rFonts w:ascii="Arial" w:eastAsia="Calibri" w:hAnsi="Arial" w:cs="Arial"/>
          <w:color w:val="000000" w:themeColor="text1"/>
          <w:sz w:val="22"/>
          <w:lang w:val="es-ES_tradnl"/>
        </w:rPr>
      </w:pPr>
    </w:p>
    <w:p w14:paraId="1B619448" w14:textId="06CCF6B7" w:rsidR="000920F0" w:rsidRPr="00EF3E5A" w:rsidRDefault="000920F0" w:rsidP="000920F0">
      <w:pPr>
        <w:spacing w:line="276" w:lineRule="auto"/>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Estimado señor </w:t>
      </w:r>
      <w:r w:rsidR="000D47EF" w:rsidRPr="00EF3E5A">
        <w:rPr>
          <w:rFonts w:ascii="Arial" w:eastAsia="Calibri" w:hAnsi="Arial" w:cs="Arial"/>
          <w:color w:val="000000" w:themeColor="text1"/>
          <w:sz w:val="22"/>
          <w:lang w:val="es-ES_tradnl"/>
        </w:rPr>
        <w:t>Panqueva</w:t>
      </w:r>
      <w:r w:rsidRPr="00EF3E5A">
        <w:rPr>
          <w:rFonts w:ascii="Arial" w:eastAsia="Calibri" w:hAnsi="Arial" w:cs="Arial"/>
          <w:color w:val="000000" w:themeColor="text1"/>
          <w:sz w:val="22"/>
          <w:lang w:val="es-ES_tradnl"/>
        </w:rPr>
        <w:t>,</w:t>
      </w:r>
    </w:p>
    <w:p w14:paraId="09825258" w14:textId="77777777" w:rsidR="000920F0" w:rsidRPr="00EF3E5A" w:rsidRDefault="000920F0" w:rsidP="000920F0">
      <w:pPr>
        <w:spacing w:line="276" w:lineRule="auto"/>
        <w:rPr>
          <w:rFonts w:ascii="Arial" w:eastAsia="Calibri" w:hAnsi="Arial" w:cs="Arial"/>
          <w:color w:val="000000" w:themeColor="text1"/>
          <w:sz w:val="22"/>
          <w:lang w:val="es-ES_tradnl"/>
        </w:rPr>
      </w:pPr>
    </w:p>
    <w:p w14:paraId="679DB8AF" w14:textId="63030882" w:rsidR="000920F0" w:rsidRPr="00EF3E5A" w:rsidRDefault="000920F0" w:rsidP="000920F0">
      <w:pPr>
        <w:tabs>
          <w:tab w:val="left" w:pos="426"/>
        </w:tabs>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La Agencia Nacional de Contratación Pública ― Colombia Compra Eficiente responde su consulta del </w:t>
      </w:r>
      <w:r w:rsidR="005C2A6C" w:rsidRPr="00EF3E5A">
        <w:rPr>
          <w:rFonts w:ascii="Arial" w:eastAsia="Calibri" w:hAnsi="Arial" w:cs="Arial"/>
          <w:color w:val="000000" w:themeColor="text1"/>
          <w:sz w:val="22"/>
          <w:lang w:val="es-ES_tradnl"/>
        </w:rPr>
        <w:t>17</w:t>
      </w:r>
      <w:r w:rsidRPr="00EF3E5A">
        <w:rPr>
          <w:rFonts w:ascii="Arial" w:eastAsia="Calibri" w:hAnsi="Arial" w:cs="Arial"/>
          <w:color w:val="000000" w:themeColor="text1"/>
          <w:sz w:val="22"/>
          <w:lang w:val="es-ES_tradnl"/>
        </w:rPr>
        <w:t xml:space="preserve"> de febrero de 2020,</w:t>
      </w:r>
      <w:r w:rsidR="005C2A6C" w:rsidRPr="00EF3E5A">
        <w:rPr>
          <w:rFonts w:ascii="Arial" w:eastAsia="Calibri" w:hAnsi="Arial" w:cs="Arial"/>
          <w:color w:val="000000" w:themeColor="text1"/>
          <w:sz w:val="22"/>
          <w:lang w:val="es-ES_tradnl"/>
        </w:rPr>
        <w:t xml:space="preserve"> así como </w:t>
      </w:r>
      <w:r w:rsidR="00A15652" w:rsidRPr="00EF3E5A">
        <w:rPr>
          <w:rFonts w:ascii="Arial" w:eastAsia="Calibri" w:hAnsi="Arial" w:cs="Arial"/>
          <w:color w:val="000000" w:themeColor="text1"/>
          <w:sz w:val="22"/>
          <w:lang w:val="es-ES_tradnl"/>
        </w:rPr>
        <w:t xml:space="preserve">el alcance que le da a la misma mediante comunicación del </w:t>
      </w:r>
      <w:r w:rsidR="007A3365" w:rsidRPr="00EF3E5A">
        <w:rPr>
          <w:rFonts w:ascii="Arial" w:eastAsia="Calibri" w:hAnsi="Arial" w:cs="Arial"/>
          <w:color w:val="000000" w:themeColor="text1"/>
          <w:sz w:val="22"/>
          <w:lang w:val="es-ES_tradnl"/>
        </w:rPr>
        <w:t xml:space="preserve">21 de febrero de 2020, </w:t>
      </w:r>
      <w:r w:rsidRPr="00EF3E5A">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EF3E5A" w:rsidRDefault="000920F0" w:rsidP="000920F0">
      <w:pPr>
        <w:tabs>
          <w:tab w:val="left" w:pos="426"/>
        </w:tabs>
        <w:spacing w:line="276" w:lineRule="auto"/>
        <w:jc w:val="both"/>
        <w:rPr>
          <w:rFonts w:ascii="Arial" w:eastAsia="Calibri" w:hAnsi="Arial" w:cs="Arial"/>
          <w:color w:val="000000" w:themeColor="text1"/>
          <w:sz w:val="22"/>
          <w:lang w:val="es-ES_tradnl"/>
        </w:rPr>
      </w:pPr>
    </w:p>
    <w:p w14:paraId="58FEF0FB" w14:textId="180F0B6F" w:rsidR="000920F0" w:rsidRPr="00EF3E5A" w:rsidRDefault="00317242" w:rsidP="00317242">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 xml:space="preserve">1. </w:t>
      </w:r>
      <w:r w:rsidR="000920F0" w:rsidRPr="00EF3E5A">
        <w:rPr>
          <w:rFonts w:ascii="Arial" w:eastAsia="Calibri" w:hAnsi="Arial" w:cs="Arial"/>
          <w:b/>
          <w:color w:val="000000" w:themeColor="text1"/>
          <w:sz w:val="22"/>
          <w:lang w:val="es-ES_tradnl"/>
        </w:rPr>
        <w:t xml:space="preserve">Problemas planteados </w:t>
      </w:r>
    </w:p>
    <w:p w14:paraId="476FAD3E" w14:textId="77777777" w:rsidR="000920F0" w:rsidRPr="00EF3E5A"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2255F81F" w14:textId="43A85F95" w:rsidR="000920F0" w:rsidRPr="00EF3E5A" w:rsidRDefault="000920F0" w:rsidP="000920F0">
      <w:pPr>
        <w:tabs>
          <w:tab w:val="left" w:pos="426"/>
        </w:tabs>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Usted realiza la</w:t>
      </w:r>
      <w:r w:rsidR="00B251F5" w:rsidRPr="00EF3E5A">
        <w:rPr>
          <w:rFonts w:ascii="Arial" w:eastAsia="Calibri" w:hAnsi="Arial" w:cs="Arial"/>
          <w:color w:val="000000" w:themeColor="text1"/>
          <w:sz w:val="22"/>
          <w:lang w:val="es-ES_tradnl"/>
        </w:rPr>
        <w:t>s</w:t>
      </w:r>
      <w:r w:rsidRPr="00EF3E5A">
        <w:rPr>
          <w:rFonts w:ascii="Arial" w:eastAsia="Calibri" w:hAnsi="Arial" w:cs="Arial"/>
          <w:color w:val="000000" w:themeColor="text1"/>
          <w:sz w:val="22"/>
          <w:lang w:val="es-ES_tradnl"/>
        </w:rPr>
        <w:t xml:space="preserve"> siguiente</w:t>
      </w:r>
      <w:r w:rsidR="00B251F5" w:rsidRPr="00EF3E5A">
        <w:rPr>
          <w:rFonts w:ascii="Arial" w:eastAsia="Calibri" w:hAnsi="Arial" w:cs="Arial"/>
          <w:color w:val="000000" w:themeColor="text1"/>
          <w:sz w:val="22"/>
          <w:lang w:val="es-ES_tradnl"/>
        </w:rPr>
        <w:t>s</w:t>
      </w:r>
      <w:r w:rsidRPr="00EF3E5A">
        <w:rPr>
          <w:rFonts w:ascii="Arial" w:eastAsia="Calibri" w:hAnsi="Arial" w:cs="Arial"/>
          <w:color w:val="000000" w:themeColor="text1"/>
          <w:sz w:val="22"/>
          <w:lang w:val="es-ES_tradnl"/>
        </w:rPr>
        <w:t xml:space="preserve"> pregunta</w:t>
      </w:r>
      <w:r w:rsidR="00B251F5" w:rsidRPr="00EF3E5A">
        <w:rPr>
          <w:rFonts w:ascii="Arial" w:eastAsia="Calibri" w:hAnsi="Arial" w:cs="Arial"/>
          <w:color w:val="000000" w:themeColor="text1"/>
          <w:sz w:val="22"/>
          <w:lang w:val="es-ES_tradnl"/>
        </w:rPr>
        <w:t>s</w:t>
      </w:r>
      <w:r w:rsidRPr="00EF3E5A">
        <w:rPr>
          <w:rFonts w:ascii="Arial" w:eastAsia="Calibri" w:hAnsi="Arial" w:cs="Arial"/>
          <w:color w:val="000000" w:themeColor="text1"/>
          <w:sz w:val="22"/>
          <w:lang w:val="es-ES_tradnl"/>
        </w:rPr>
        <w:t xml:space="preserve">: </w:t>
      </w:r>
      <w:r w:rsidR="00B251F5" w:rsidRPr="00EF3E5A">
        <w:rPr>
          <w:rFonts w:ascii="Arial" w:eastAsia="Calibri" w:hAnsi="Arial" w:cs="Arial"/>
          <w:color w:val="000000" w:themeColor="text1"/>
          <w:sz w:val="22"/>
          <w:lang w:val="es-ES_tradnl"/>
        </w:rPr>
        <w:t>i)</w:t>
      </w:r>
      <w:r w:rsidR="000B324A" w:rsidRPr="00EF3E5A">
        <w:rPr>
          <w:rFonts w:ascii="Arial" w:eastAsia="Calibri" w:hAnsi="Arial" w:cs="Arial"/>
          <w:color w:val="000000" w:themeColor="text1"/>
          <w:sz w:val="22"/>
          <w:lang w:val="es-ES_tradnl"/>
        </w:rPr>
        <w:t xml:space="preserve"> «¿Deben las entidades públicas exceptuadas a la Ley 80 de 1993 de acuerdo al art. 13 de la Ley 1150 de 2007 acudir a las reglas de la Ley 80, Ley 1150 y decreto 1082 de 2015 para acudir a la solución de aspectos que no están plasmados en su manual de contratación?</w:t>
      </w:r>
      <w:r w:rsidR="006C2EDF" w:rsidRPr="00EF3E5A">
        <w:rPr>
          <w:rFonts w:ascii="Arial" w:eastAsia="Calibri" w:hAnsi="Arial" w:cs="Arial"/>
          <w:color w:val="000000" w:themeColor="text1"/>
          <w:sz w:val="22"/>
          <w:lang w:val="es-ES_tradnl"/>
        </w:rPr>
        <w:t>»; ii) «</w:t>
      </w:r>
      <w:r w:rsidR="000B324A" w:rsidRPr="00EF3E5A">
        <w:rPr>
          <w:rFonts w:ascii="Arial" w:eastAsia="Calibri" w:hAnsi="Arial" w:cs="Arial"/>
          <w:color w:val="000000" w:themeColor="text1"/>
          <w:sz w:val="22"/>
          <w:lang w:val="es-ES_tradnl"/>
        </w:rPr>
        <w:t xml:space="preserve">¿a qué norma o a qué criterio debe acudir </w:t>
      </w:r>
      <w:r w:rsidR="006C2EDF" w:rsidRPr="00EF3E5A">
        <w:rPr>
          <w:rFonts w:ascii="Arial" w:eastAsia="Calibri" w:hAnsi="Arial" w:cs="Arial"/>
          <w:color w:val="000000" w:themeColor="text1"/>
          <w:sz w:val="22"/>
          <w:lang w:val="es-ES_tradnl"/>
        </w:rPr>
        <w:t xml:space="preserve">una entidad pública exceptuada </w:t>
      </w:r>
      <w:r w:rsidR="000B324A" w:rsidRPr="00EF3E5A">
        <w:rPr>
          <w:rFonts w:ascii="Arial" w:eastAsia="Calibri" w:hAnsi="Arial" w:cs="Arial"/>
          <w:color w:val="000000" w:themeColor="text1"/>
          <w:sz w:val="22"/>
          <w:lang w:val="es-ES_tradnl"/>
        </w:rPr>
        <w:t>del EGCP frente a casos que no están contemplados en su manual de contratación?</w:t>
      </w:r>
      <w:r w:rsidR="006C2EDF" w:rsidRPr="00EF3E5A">
        <w:rPr>
          <w:rFonts w:ascii="Arial" w:eastAsia="Calibri" w:hAnsi="Arial" w:cs="Arial"/>
          <w:color w:val="000000" w:themeColor="text1"/>
          <w:sz w:val="22"/>
          <w:lang w:val="es-ES_tradnl"/>
        </w:rPr>
        <w:t>»;</w:t>
      </w:r>
      <w:r w:rsidR="00682E0D" w:rsidRPr="00EF3E5A">
        <w:rPr>
          <w:rFonts w:ascii="Arial" w:eastAsia="Calibri" w:hAnsi="Arial" w:cs="Arial"/>
          <w:color w:val="000000" w:themeColor="text1"/>
          <w:sz w:val="22"/>
          <w:lang w:val="es-ES_tradnl"/>
        </w:rPr>
        <w:t xml:space="preserve"> </w:t>
      </w:r>
      <w:r w:rsidR="00361348" w:rsidRPr="00EF3E5A">
        <w:rPr>
          <w:rFonts w:ascii="Arial" w:eastAsia="Calibri" w:hAnsi="Arial" w:cs="Arial"/>
          <w:color w:val="000000" w:themeColor="text1"/>
          <w:sz w:val="22"/>
          <w:lang w:val="es-ES_tradnl"/>
        </w:rPr>
        <w:t>iii) «</w:t>
      </w:r>
      <w:r w:rsidR="00682E0D" w:rsidRPr="00EF3E5A">
        <w:rPr>
          <w:rFonts w:ascii="Arial" w:eastAsia="Calibri" w:hAnsi="Arial" w:cs="Arial"/>
          <w:color w:val="000000" w:themeColor="text1"/>
          <w:sz w:val="22"/>
          <w:lang w:val="es-ES_tradnl"/>
        </w:rPr>
        <w:t>¿A qué normas de manera supletiva debe dirigirse u</w:t>
      </w:r>
      <w:r w:rsidR="00361348" w:rsidRPr="00EF3E5A">
        <w:rPr>
          <w:rFonts w:ascii="Arial" w:eastAsia="Calibri" w:hAnsi="Arial" w:cs="Arial"/>
          <w:color w:val="000000" w:themeColor="text1"/>
          <w:sz w:val="22"/>
          <w:lang w:val="es-ES_tradnl"/>
        </w:rPr>
        <w:t xml:space="preserve">na entidad del Estado sujeta a </w:t>
      </w:r>
      <w:r w:rsidR="00682E0D" w:rsidRPr="00EF3E5A">
        <w:rPr>
          <w:rFonts w:ascii="Arial" w:eastAsia="Calibri" w:hAnsi="Arial" w:cs="Arial"/>
          <w:color w:val="000000" w:themeColor="text1"/>
          <w:sz w:val="22"/>
          <w:lang w:val="es-ES_tradnl"/>
        </w:rPr>
        <w:t>régimen exceptuado o privado de contratación (no aplicable Estatuto General de Contratación Pública) para acudir a la solución de conflictos sobre Procedimientos contractuales que no estén regulados en su manual de contratación?</w:t>
      </w:r>
      <w:r w:rsidR="00361348" w:rsidRPr="00EF3E5A">
        <w:rPr>
          <w:rFonts w:ascii="Arial" w:eastAsia="Calibri" w:hAnsi="Arial" w:cs="Arial"/>
          <w:color w:val="000000" w:themeColor="text1"/>
          <w:sz w:val="22"/>
          <w:lang w:val="es-ES_tradnl"/>
        </w:rPr>
        <w:t>»</w:t>
      </w:r>
      <w:r w:rsidR="00E932EF" w:rsidRPr="00EF3E5A">
        <w:rPr>
          <w:rFonts w:ascii="Arial" w:eastAsia="Calibri" w:hAnsi="Arial" w:cs="Arial"/>
          <w:color w:val="000000" w:themeColor="text1"/>
          <w:sz w:val="22"/>
          <w:lang w:val="es-ES_tradnl"/>
        </w:rPr>
        <w:t>.</w:t>
      </w:r>
      <w:r w:rsidR="006C2EDF" w:rsidRPr="00EF3E5A">
        <w:rPr>
          <w:rFonts w:ascii="Arial" w:eastAsia="Calibri" w:hAnsi="Arial" w:cs="Arial"/>
          <w:color w:val="000000" w:themeColor="text1"/>
          <w:sz w:val="22"/>
          <w:lang w:val="es-ES_tradnl"/>
        </w:rPr>
        <w:t xml:space="preserve"> </w:t>
      </w:r>
      <w:r w:rsidR="000B324A" w:rsidRPr="00EF3E5A">
        <w:rPr>
          <w:rFonts w:ascii="Arial" w:eastAsia="Calibri" w:hAnsi="Arial" w:cs="Arial"/>
          <w:color w:val="000000" w:themeColor="text1"/>
          <w:sz w:val="22"/>
          <w:lang w:val="es-ES_tradnl"/>
        </w:rPr>
        <w:t xml:space="preserve"> </w:t>
      </w:r>
      <w:r w:rsidR="00B251F5" w:rsidRPr="00EF3E5A">
        <w:rPr>
          <w:rFonts w:ascii="Arial" w:eastAsia="Calibri" w:hAnsi="Arial" w:cs="Arial"/>
          <w:color w:val="000000" w:themeColor="text1"/>
          <w:sz w:val="22"/>
          <w:lang w:val="es-ES_tradnl"/>
        </w:rPr>
        <w:t xml:space="preserve"> </w:t>
      </w:r>
    </w:p>
    <w:p w14:paraId="6BF59965" w14:textId="2C768C2C" w:rsidR="00AF080A" w:rsidRPr="00EF3E5A" w:rsidRDefault="000920F0" w:rsidP="000920F0">
      <w:pPr>
        <w:tabs>
          <w:tab w:val="left" w:pos="426"/>
        </w:tabs>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 </w:t>
      </w:r>
    </w:p>
    <w:p w14:paraId="79882F8B" w14:textId="77777777" w:rsidR="000920F0" w:rsidRPr="00EF3E5A" w:rsidRDefault="000920F0" w:rsidP="000920F0">
      <w:pPr>
        <w:tabs>
          <w:tab w:val="left" w:pos="426"/>
        </w:tabs>
        <w:spacing w:line="276" w:lineRule="auto"/>
        <w:jc w:val="both"/>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2. Consideraciones</w:t>
      </w:r>
    </w:p>
    <w:bookmarkEnd w:id="0"/>
    <w:bookmarkEnd w:id="1"/>
    <w:p w14:paraId="7894E838" w14:textId="77777777" w:rsidR="000920F0" w:rsidRPr="00EF3E5A" w:rsidRDefault="000920F0" w:rsidP="000920F0">
      <w:pPr>
        <w:spacing w:line="276" w:lineRule="auto"/>
        <w:jc w:val="both"/>
        <w:rPr>
          <w:rFonts w:ascii="Arial" w:hAnsi="Arial" w:cs="Arial"/>
          <w:color w:val="000000" w:themeColor="text1"/>
          <w:sz w:val="22"/>
          <w:lang w:val="es-ES_tradnl"/>
        </w:rPr>
      </w:pPr>
    </w:p>
    <w:p w14:paraId="5A9507AE" w14:textId="439EBEF8" w:rsidR="00AD7A70" w:rsidRPr="00EF3E5A" w:rsidRDefault="000920F0" w:rsidP="000920F0">
      <w:pPr>
        <w:spacing w:line="276" w:lineRule="auto"/>
        <w:jc w:val="both"/>
        <w:rPr>
          <w:rFonts w:ascii="Arial" w:hAnsi="Arial" w:cs="Arial"/>
          <w:color w:val="000000" w:themeColor="text1"/>
          <w:sz w:val="22"/>
          <w:lang w:val="es-ES_tradnl"/>
        </w:rPr>
      </w:pPr>
      <w:r w:rsidRPr="00EF3E5A">
        <w:rPr>
          <w:rFonts w:ascii="Arial" w:hAnsi="Arial" w:cs="Arial"/>
          <w:color w:val="000000" w:themeColor="text1"/>
          <w:sz w:val="22"/>
          <w:lang w:val="es-ES_tradnl"/>
        </w:rPr>
        <w:t>Para resolver esta consulta se hará un análisis de los siguientes temas: i)</w:t>
      </w:r>
      <w:r w:rsidR="00D936D0" w:rsidRPr="00EF3E5A">
        <w:rPr>
          <w:rFonts w:ascii="Arial" w:hAnsi="Arial" w:cs="Arial"/>
          <w:color w:val="000000" w:themeColor="text1"/>
          <w:sz w:val="22"/>
          <w:lang w:val="es-ES_tradnl"/>
        </w:rPr>
        <w:t xml:space="preserve"> los regímenes especiales en la contratación estatal, como ámbitos de regulación que se constituyen como una mixtura entre las disposiciones del derecho privado, de los manuales o reglamentos internos de contratación de</w:t>
      </w:r>
      <w:r w:rsidR="007751AB" w:rsidRPr="00EF3E5A">
        <w:rPr>
          <w:rFonts w:ascii="Arial" w:hAnsi="Arial" w:cs="Arial"/>
          <w:color w:val="000000" w:themeColor="text1"/>
          <w:sz w:val="22"/>
          <w:lang w:val="es-ES_tradnl"/>
        </w:rPr>
        <w:t xml:space="preserve"> las entidades estatales, de </w:t>
      </w:r>
      <w:r w:rsidR="00D936D0" w:rsidRPr="00EF3E5A">
        <w:rPr>
          <w:rFonts w:ascii="Arial" w:hAnsi="Arial" w:cs="Arial"/>
          <w:color w:val="000000" w:themeColor="text1"/>
          <w:sz w:val="22"/>
          <w:lang w:val="es-ES_tradnl"/>
        </w:rPr>
        <w:t>los principios de la función administrativa</w:t>
      </w:r>
      <w:r w:rsidR="007751AB" w:rsidRPr="00EF3E5A">
        <w:rPr>
          <w:rFonts w:ascii="Arial" w:hAnsi="Arial" w:cs="Arial"/>
          <w:color w:val="000000" w:themeColor="text1"/>
          <w:sz w:val="22"/>
          <w:lang w:val="es-ES_tradnl"/>
        </w:rPr>
        <w:t xml:space="preserve"> y de la gestión fiscal</w:t>
      </w:r>
      <w:r w:rsidR="000E1CDD" w:rsidRPr="00EF3E5A">
        <w:rPr>
          <w:rFonts w:ascii="Arial" w:hAnsi="Arial" w:cs="Arial"/>
          <w:color w:val="000000" w:themeColor="text1"/>
          <w:sz w:val="22"/>
          <w:lang w:val="es-ES_tradnl"/>
        </w:rPr>
        <w:t>,</w:t>
      </w:r>
      <w:r w:rsidR="007751AB" w:rsidRPr="00EF3E5A">
        <w:rPr>
          <w:rFonts w:ascii="Arial" w:hAnsi="Arial" w:cs="Arial"/>
          <w:color w:val="000000" w:themeColor="text1"/>
          <w:sz w:val="22"/>
          <w:lang w:val="es-ES_tradnl"/>
        </w:rPr>
        <w:t xml:space="preserve"> y </w:t>
      </w:r>
      <w:r w:rsidR="00B35A49" w:rsidRPr="00EF3E5A">
        <w:rPr>
          <w:rFonts w:ascii="Arial" w:hAnsi="Arial" w:cs="Arial"/>
          <w:color w:val="000000" w:themeColor="text1"/>
          <w:sz w:val="22"/>
          <w:lang w:val="es-ES_tradnl"/>
        </w:rPr>
        <w:t>d</w:t>
      </w:r>
      <w:r w:rsidR="007751AB" w:rsidRPr="00EF3E5A">
        <w:rPr>
          <w:rFonts w:ascii="Arial" w:hAnsi="Arial" w:cs="Arial"/>
          <w:color w:val="000000" w:themeColor="text1"/>
          <w:sz w:val="22"/>
          <w:lang w:val="es-ES_tradnl"/>
        </w:rPr>
        <w:t>el régimen de inha</w:t>
      </w:r>
      <w:r w:rsidR="002A0F0D" w:rsidRPr="00EF3E5A">
        <w:rPr>
          <w:rFonts w:ascii="Arial" w:hAnsi="Arial" w:cs="Arial"/>
          <w:color w:val="000000" w:themeColor="text1"/>
          <w:sz w:val="22"/>
          <w:lang w:val="es-ES_tradnl"/>
        </w:rPr>
        <w:t>bilidades e incompatibilidades</w:t>
      </w:r>
      <w:r w:rsidR="00F33ED0" w:rsidRPr="00EF3E5A">
        <w:rPr>
          <w:rFonts w:ascii="Arial" w:hAnsi="Arial" w:cs="Arial"/>
          <w:color w:val="000000" w:themeColor="text1"/>
          <w:sz w:val="22"/>
          <w:lang w:val="es-ES_tradnl"/>
        </w:rPr>
        <w:t>,</w:t>
      </w:r>
      <w:r w:rsidR="002A0F0D" w:rsidRPr="00EF3E5A">
        <w:rPr>
          <w:rFonts w:ascii="Arial" w:hAnsi="Arial" w:cs="Arial"/>
          <w:color w:val="000000" w:themeColor="text1"/>
          <w:sz w:val="22"/>
          <w:lang w:val="es-ES_tradnl"/>
        </w:rPr>
        <w:t xml:space="preserve"> y ii) la forma de llenar los vacíos </w:t>
      </w:r>
      <w:r w:rsidR="00433063" w:rsidRPr="00EF3E5A">
        <w:rPr>
          <w:rFonts w:ascii="Arial" w:hAnsi="Arial" w:cs="Arial"/>
          <w:color w:val="000000" w:themeColor="text1"/>
          <w:sz w:val="22"/>
          <w:lang w:val="es-ES_tradnl"/>
        </w:rPr>
        <w:t>que existan en el manual de contratación de las entidades exceptuadas del Estatuto General de Contratación de la Administración Pública.</w:t>
      </w:r>
    </w:p>
    <w:p w14:paraId="0555E2A2" w14:textId="22867FDD" w:rsidR="00F4653A" w:rsidRPr="00EF3E5A" w:rsidRDefault="000E450F" w:rsidP="00C253B9">
      <w:pPr>
        <w:spacing w:before="120" w:line="276" w:lineRule="auto"/>
        <w:ind w:firstLine="709"/>
        <w:jc w:val="both"/>
        <w:rPr>
          <w:rFonts w:ascii="Arial" w:hAnsi="Arial" w:cs="Arial"/>
          <w:color w:val="000000" w:themeColor="text1"/>
          <w:sz w:val="22"/>
          <w:lang w:val="es-ES_tradnl"/>
        </w:rPr>
      </w:pPr>
      <w:r w:rsidRPr="00EF3E5A">
        <w:rPr>
          <w:rFonts w:ascii="Arial" w:hAnsi="Arial" w:cs="Arial"/>
          <w:color w:val="000000" w:themeColor="text1"/>
          <w:sz w:val="22"/>
          <w:lang w:val="es-ES_tradnl"/>
        </w:rPr>
        <w:t xml:space="preserve">La Agencia Nacional de Contratación Pública – Colombia Compra </w:t>
      </w:r>
      <w:r w:rsidR="008C7603" w:rsidRPr="00EF3E5A">
        <w:rPr>
          <w:rFonts w:ascii="Arial" w:hAnsi="Arial" w:cs="Arial"/>
          <w:color w:val="000000" w:themeColor="text1"/>
          <w:sz w:val="22"/>
          <w:lang w:val="es-ES_tradnl"/>
        </w:rPr>
        <w:t>Eficiente se pronunció sobre el régimen jurídico aplicable a las entidades exceptuadas del Estatuto General de Contratación de la Administración Pública en respuesta a la</w:t>
      </w:r>
      <w:r w:rsidR="00C253B9" w:rsidRPr="00EF3E5A">
        <w:rPr>
          <w:rFonts w:ascii="Arial" w:hAnsi="Arial" w:cs="Arial"/>
          <w:color w:val="000000" w:themeColor="text1"/>
          <w:sz w:val="22"/>
          <w:lang w:val="es-ES_tradnl"/>
        </w:rPr>
        <w:t>s</w:t>
      </w:r>
      <w:r w:rsidR="008C7603" w:rsidRPr="00EF3E5A">
        <w:rPr>
          <w:rFonts w:ascii="Arial" w:hAnsi="Arial" w:cs="Arial"/>
          <w:color w:val="000000" w:themeColor="text1"/>
          <w:sz w:val="22"/>
          <w:lang w:val="es-ES_tradnl"/>
        </w:rPr>
        <w:t xml:space="preserve"> consulta</w:t>
      </w:r>
      <w:r w:rsidR="00C253B9" w:rsidRPr="00EF3E5A">
        <w:rPr>
          <w:rFonts w:ascii="Arial" w:hAnsi="Arial" w:cs="Arial"/>
          <w:color w:val="000000" w:themeColor="text1"/>
          <w:sz w:val="22"/>
          <w:lang w:val="es-ES_tradnl"/>
        </w:rPr>
        <w:t>s</w:t>
      </w:r>
      <w:r w:rsidR="008C7603" w:rsidRPr="00EF3E5A">
        <w:rPr>
          <w:rFonts w:ascii="Arial" w:hAnsi="Arial" w:cs="Arial"/>
          <w:color w:val="000000" w:themeColor="text1"/>
          <w:sz w:val="22"/>
          <w:lang w:val="es-ES_tradnl"/>
        </w:rPr>
        <w:t xml:space="preserve"> con radicado No. </w:t>
      </w:r>
      <w:r w:rsidR="00C253B9" w:rsidRPr="00EF3E5A">
        <w:rPr>
          <w:rFonts w:ascii="Arial" w:hAnsi="Arial" w:cs="Arial"/>
          <w:color w:val="000000" w:themeColor="text1"/>
          <w:sz w:val="22"/>
          <w:lang w:val="es-ES_tradnl"/>
        </w:rPr>
        <w:t>4202012000000089 y 4202012000000090 del 7 de enero de 2020,</w:t>
      </w:r>
      <w:r w:rsidR="00EB66BC" w:rsidRPr="00EF3E5A">
        <w:rPr>
          <w:rFonts w:ascii="Arial" w:hAnsi="Arial" w:cs="Arial"/>
          <w:color w:val="000000" w:themeColor="text1"/>
          <w:sz w:val="22"/>
          <w:lang w:val="es-ES_tradnl"/>
        </w:rPr>
        <w:t xml:space="preserve"> </w:t>
      </w:r>
      <w:r w:rsidR="00EB66BC" w:rsidRPr="00EF3E5A">
        <w:rPr>
          <w:rFonts w:ascii="Arial" w:hAnsi="Arial" w:cs="Arial"/>
          <w:color w:val="000000" w:themeColor="text1"/>
          <w:sz w:val="22"/>
          <w:lang w:val="es-ES_tradnl"/>
        </w:rPr>
        <w:lastRenderedPageBreak/>
        <w:t>4202012000000944</w:t>
      </w:r>
      <w:r w:rsidR="00587E9D" w:rsidRPr="00EF3E5A">
        <w:rPr>
          <w:rFonts w:ascii="Arial" w:hAnsi="Arial" w:cs="Arial"/>
          <w:color w:val="000000" w:themeColor="text1"/>
          <w:sz w:val="22"/>
          <w:lang w:val="es-ES_tradnl"/>
        </w:rPr>
        <w:t xml:space="preserve"> del </w:t>
      </w:r>
      <w:r w:rsidR="007F5CD2" w:rsidRPr="00EF3E5A">
        <w:rPr>
          <w:rFonts w:ascii="Arial" w:hAnsi="Arial" w:cs="Arial"/>
          <w:color w:val="000000" w:themeColor="text1"/>
          <w:sz w:val="22"/>
          <w:lang w:val="es-ES_tradnl"/>
        </w:rPr>
        <w:t xml:space="preserve">10 de febrero de 2020 y </w:t>
      </w:r>
      <w:r w:rsidR="008C7603" w:rsidRPr="00EF3E5A">
        <w:rPr>
          <w:rFonts w:ascii="Arial" w:hAnsi="Arial" w:cs="Arial"/>
          <w:color w:val="000000" w:themeColor="text1"/>
          <w:sz w:val="22"/>
          <w:lang w:val="es-ES_tradnl"/>
        </w:rPr>
        <w:t xml:space="preserve">4202013000001522 del </w:t>
      </w:r>
      <w:r w:rsidR="00C253B9" w:rsidRPr="00EF3E5A">
        <w:rPr>
          <w:rFonts w:ascii="Arial" w:hAnsi="Arial" w:cs="Arial"/>
          <w:color w:val="000000" w:themeColor="text1"/>
          <w:sz w:val="22"/>
          <w:lang w:val="es-ES_tradnl"/>
        </w:rPr>
        <w:t xml:space="preserve">28 de febrero de 2020, </w:t>
      </w:r>
      <w:r w:rsidR="00AD7A70" w:rsidRPr="00EF3E5A">
        <w:rPr>
          <w:rFonts w:ascii="Arial" w:hAnsi="Arial" w:cs="Arial"/>
          <w:color w:val="000000" w:themeColor="text1"/>
          <w:sz w:val="22"/>
          <w:lang w:val="es-ES_tradnl"/>
        </w:rPr>
        <w:t>señalando las ideas que se reiteran a continuación:</w:t>
      </w:r>
    </w:p>
    <w:p w14:paraId="1E6B62F3" w14:textId="77777777" w:rsidR="003A03E8" w:rsidRPr="00EF3E5A" w:rsidRDefault="003A03E8" w:rsidP="000920F0">
      <w:pPr>
        <w:spacing w:line="276" w:lineRule="auto"/>
        <w:jc w:val="both"/>
        <w:rPr>
          <w:rFonts w:ascii="Arial" w:hAnsi="Arial" w:cs="Arial"/>
          <w:b/>
          <w:color w:val="000000" w:themeColor="text1"/>
          <w:sz w:val="22"/>
          <w:lang w:val="es-ES_tradnl"/>
        </w:rPr>
      </w:pPr>
    </w:p>
    <w:p w14:paraId="0D6E2884" w14:textId="0F97262A" w:rsidR="000E1CDD" w:rsidRPr="00EF3E5A" w:rsidRDefault="000E1CDD" w:rsidP="000920F0">
      <w:pPr>
        <w:spacing w:line="276" w:lineRule="auto"/>
        <w:jc w:val="both"/>
        <w:rPr>
          <w:rFonts w:ascii="Arial" w:hAnsi="Arial" w:cs="Arial"/>
          <w:b/>
          <w:color w:val="000000" w:themeColor="text1"/>
          <w:sz w:val="22"/>
          <w:lang w:val="es-ES_tradnl"/>
        </w:rPr>
      </w:pPr>
      <w:r w:rsidRPr="00EF3E5A">
        <w:rPr>
          <w:rFonts w:ascii="Arial" w:hAnsi="Arial" w:cs="Arial"/>
          <w:b/>
          <w:color w:val="000000" w:themeColor="text1"/>
          <w:sz w:val="22"/>
          <w:lang w:val="es-ES_tradnl"/>
        </w:rPr>
        <w:t>2.1.</w:t>
      </w:r>
      <w:r w:rsidR="003A03E8" w:rsidRPr="00EF3E5A">
        <w:rPr>
          <w:rFonts w:ascii="Arial" w:hAnsi="Arial" w:cs="Arial"/>
          <w:b/>
          <w:color w:val="000000" w:themeColor="text1"/>
          <w:sz w:val="22"/>
          <w:lang w:val="es-ES_tradnl"/>
        </w:rPr>
        <w:t xml:space="preserve"> </w:t>
      </w:r>
      <w:r w:rsidRPr="00EF3E5A">
        <w:rPr>
          <w:rFonts w:ascii="Arial" w:hAnsi="Arial" w:cs="Arial"/>
          <w:b/>
          <w:color w:val="000000" w:themeColor="text1"/>
          <w:sz w:val="22"/>
          <w:lang w:val="es-ES_tradnl"/>
        </w:rPr>
        <w:t>Regímenes especiales en la contratación estatal</w:t>
      </w:r>
      <w:r w:rsidR="00CE1E9A" w:rsidRPr="00EF3E5A">
        <w:rPr>
          <w:rFonts w:ascii="Arial" w:hAnsi="Arial" w:cs="Arial"/>
          <w:b/>
          <w:color w:val="000000" w:themeColor="text1"/>
          <w:sz w:val="22"/>
          <w:lang w:val="es-ES_tradnl"/>
        </w:rPr>
        <w:t>. Excepciones al Estatuto General de Contratación de la Administración Pública</w:t>
      </w:r>
      <w:r w:rsidR="003C564B" w:rsidRPr="00EF3E5A">
        <w:rPr>
          <w:rFonts w:ascii="Arial" w:hAnsi="Arial" w:cs="Arial"/>
          <w:b/>
          <w:color w:val="000000" w:themeColor="text1"/>
          <w:sz w:val="22"/>
          <w:lang w:val="es-ES_tradnl"/>
        </w:rPr>
        <w:t xml:space="preserve">: </w:t>
      </w:r>
      <w:r w:rsidR="005C66D8" w:rsidRPr="00EF3E5A">
        <w:rPr>
          <w:rFonts w:ascii="Arial" w:hAnsi="Arial" w:cs="Arial"/>
          <w:b/>
          <w:color w:val="000000" w:themeColor="text1"/>
          <w:sz w:val="22"/>
          <w:lang w:val="es-ES_tradnl"/>
        </w:rPr>
        <w:t>derecho privado matizado por las reglas y principios del derecho administrativo</w:t>
      </w:r>
    </w:p>
    <w:p w14:paraId="56B23219" w14:textId="77777777" w:rsidR="00AD7A70" w:rsidRPr="00EF3E5A" w:rsidRDefault="00AD7A70" w:rsidP="00AD7A70">
      <w:pPr>
        <w:tabs>
          <w:tab w:val="left" w:pos="426"/>
        </w:tabs>
        <w:spacing w:line="276" w:lineRule="auto"/>
        <w:jc w:val="both"/>
        <w:rPr>
          <w:rFonts w:ascii="Arial" w:eastAsia="Calibri" w:hAnsi="Arial" w:cs="Arial"/>
          <w:b/>
          <w:color w:val="000000" w:themeColor="text1"/>
          <w:sz w:val="22"/>
          <w:lang w:val="es-ES_tradnl"/>
        </w:rPr>
      </w:pPr>
    </w:p>
    <w:p w14:paraId="0D38DD4D" w14:textId="77777777" w:rsidR="00AD7A70" w:rsidRPr="00EF3E5A" w:rsidRDefault="00AD7A70" w:rsidP="00AD7A70">
      <w:pPr>
        <w:tabs>
          <w:tab w:val="left" w:pos="426"/>
        </w:tabs>
        <w:spacing w:line="276" w:lineRule="auto"/>
        <w:jc w:val="both"/>
        <w:rPr>
          <w:rFonts w:ascii="Arial" w:eastAsia="Calibri" w:hAnsi="Arial" w:cs="Arial"/>
          <w:b/>
          <w:color w:val="000000" w:themeColor="text1"/>
          <w:sz w:val="22"/>
          <w:lang w:val="es-ES_tradnl"/>
        </w:rPr>
      </w:pPr>
      <w:r w:rsidRPr="00EF3E5A">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598E7BE2" w14:textId="77777777" w:rsidR="00AD7A70" w:rsidRPr="00EF3E5A" w:rsidRDefault="00AD7A70" w:rsidP="00AD7A70">
      <w:pPr>
        <w:spacing w:before="120" w:after="120"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EF3E5A">
        <w:rPr>
          <w:rStyle w:val="Refdenotaalpie"/>
          <w:rFonts w:ascii="Arial" w:eastAsia="Calibri" w:hAnsi="Arial" w:cs="Arial"/>
          <w:color w:val="000000" w:themeColor="text1"/>
          <w:sz w:val="22"/>
          <w:lang w:val="es-ES_tradnl"/>
        </w:rPr>
        <w:footnoteReference w:id="1"/>
      </w:r>
      <w:r w:rsidRPr="00EF3E5A">
        <w:rPr>
          <w:rFonts w:ascii="Arial" w:eastAsia="Calibri" w:hAnsi="Arial" w:cs="Arial"/>
          <w:color w:val="000000" w:themeColor="text1"/>
          <w:sz w:val="22"/>
          <w:lang w:val="es-ES_tradnl"/>
        </w:rPr>
        <w:t>.</w:t>
      </w:r>
    </w:p>
    <w:p w14:paraId="4A336DAF" w14:textId="79D7B514" w:rsidR="00AD7A70" w:rsidRPr="00EF3E5A" w:rsidRDefault="00AD7A70" w:rsidP="00AD7A70">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Lo anterior es reafirmado por el Consejo de Estado, que destaca las reglas que sigue la contratación de las entidades de régimen especial:</w:t>
      </w:r>
    </w:p>
    <w:p w14:paraId="3203B196" w14:textId="77777777" w:rsidR="00AD7A70" w:rsidRPr="00EF3E5A" w:rsidRDefault="00AD7A70" w:rsidP="00AD7A70">
      <w:pPr>
        <w:jc w:val="both"/>
        <w:rPr>
          <w:rFonts w:ascii="Arial" w:eastAsia="Calibri" w:hAnsi="Arial" w:cs="Arial"/>
          <w:color w:val="000000" w:themeColor="text1"/>
          <w:sz w:val="22"/>
          <w:lang w:val="es-ES_tradnl"/>
        </w:rPr>
      </w:pPr>
    </w:p>
    <w:p w14:paraId="52C08741" w14:textId="77777777" w:rsidR="00AD7A70" w:rsidRPr="00EF3E5A" w:rsidRDefault="00AD7A70" w:rsidP="00AD7A70">
      <w:pPr>
        <w:ind w:left="709" w:right="709"/>
        <w:jc w:val="both"/>
        <w:rPr>
          <w:rFonts w:ascii="Arial" w:eastAsia="Calibri" w:hAnsi="Arial" w:cs="Arial"/>
          <w:color w:val="000000" w:themeColor="text1"/>
          <w:sz w:val="21"/>
          <w:szCs w:val="21"/>
          <w:lang w:val="es-ES_tradnl"/>
        </w:rPr>
      </w:pPr>
      <w:r w:rsidRPr="00EF3E5A">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3F11B88E" w14:textId="77777777" w:rsidR="00AD7A70" w:rsidRPr="00EF3E5A" w:rsidRDefault="00AD7A70" w:rsidP="00AD7A70">
      <w:pPr>
        <w:ind w:left="709" w:right="709"/>
        <w:jc w:val="both"/>
        <w:rPr>
          <w:rFonts w:ascii="Arial" w:eastAsia="Calibri" w:hAnsi="Arial" w:cs="Arial"/>
          <w:color w:val="000000" w:themeColor="text1"/>
          <w:sz w:val="21"/>
          <w:szCs w:val="21"/>
          <w:lang w:val="es-ES_tradnl"/>
        </w:rPr>
      </w:pPr>
    </w:p>
    <w:p w14:paraId="25E207AA" w14:textId="77777777" w:rsidR="00AD7A70" w:rsidRPr="00EF3E5A" w:rsidRDefault="00AD7A70" w:rsidP="00AD7A70">
      <w:pPr>
        <w:ind w:left="709" w:right="709"/>
        <w:jc w:val="both"/>
        <w:rPr>
          <w:rFonts w:ascii="Arial" w:eastAsia="Calibri" w:hAnsi="Arial" w:cs="Arial"/>
          <w:color w:val="000000" w:themeColor="text1"/>
          <w:sz w:val="21"/>
          <w:szCs w:val="21"/>
          <w:lang w:val="es-ES_tradnl"/>
        </w:rPr>
      </w:pPr>
      <w:r w:rsidRPr="00EF3E5A">
        <w:rPr>
          <w:rFonts w:ascii="Arial" w:eastAsia="Calibri" w:hAnsi="Arial" w:cs="Arial"/>
          <w:color w:val="000000" w:themeColor="text1"/>
          <w:sz w:val="21"/>
          <w:szCs w:val="21"/>
          <w:lang w:val="es-ES_tradnl"/>
        </w:rPr>
        <w:lastRenderedPageBreak/>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6B4CC3B2" w14:textId="77777777" w:rsidR="00AD7A70" w:rsidRPr="00EF3E5A" w:rsidRDefault="00AD7A70" w:rsidP="00AD7A70">
      <w:pPr>
        <w:ind w:left="709" w:right="709"/>
        <w:jc w:val="both"/>
        <w:rPr>
          <w:rFonts w:ascii="Arial" w:eastAsia="Calibri" w:hAnsi="Arial" w:cs="Arial"/>
          <w:color w:val="000000" w:themeColor="text1"/>
          <w:sz w:val="21"/>
          <w:szCs w:val="21"/>
          <w:lang w:val="es-ES_tradnl"/>
        </w:rPr>
      </w:pPr>
    </w:p>
    <w:p w14:paraId="7AFC73AE" w14:textId="77777777" w:rsidR="00AD7A70" w:rsidRPr="00EF3E5A" w:rsidRDefault="00AD7A70" w:rsidP="00AD7A70">
      <w:pPr>
        <w:ind w:left="709" w:right="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EF3E5A">
        <w:rPr>
          <w:rStyle w:val="Refdenotaalpie"/>
          <w:rFonts w:ascii="Arial" w:eastAsia="Calibri" w:hAnsi="Arial" w:cs="Arial"/>
          <w:color w:val="000000" w:themeColor="text1"/>
          <w:sz w:val="22"/>
          <w:lang w:val="es-ES_tradnl"/>
        </w:rPr>
        <w:footnoteReference w:id="2"/>
      </w:r>
      <w:r w:rsidRPr="00EF3E5A">
        <w:rPr>
          <w:rFonts w:ascii="Arial" w:eastAsia="Calibri" w:hAnsi="Arial" w:cs="Arial"/>
          <w:color w:val="000000" w:themeColor="text1"/>
          <w:sz w:val="22"/>
          <w:lang w:val="es-ES_tradnl"/>
        </w:rPr>
        <w:t>.</w:t>
      </w:r>
    </w:p>
    <w:p w14:paraId="41EEC954" w14:textId="77777777" w:rsidR="00AD7A70" w:rsidRPr="00EF3E5A" w:rsidRDefault="00AD7A70" w:rsidP="00AD7A70">
      <w:pPr>
        <w:spacing w:line="276" w:lineRule="auto"/>
        <w:jc w:val="both"/>
        <w:rPr>
          <w:rFonts w:ascii="Arial" w:eastAsia="Calibri" w:hAnsi="Arial" w:cs="Arial"/>
          <w:color w:val="000000" w:themeColor="text1"/>
          <w:sz w:val="22"/>
          <w:lang w:val="es-ES_tradnl"/>
        </w:rPr>
      </w:pPr>
    </w:p>
    <w:p w14:paraId="00AE83BF" w14:textId="6B6CA2E1" w:rsidR="00AD7A70" w:rsidRPr="00EF3E5A" w:rsidRDefault="00AD7A70" w:rsidP="00AD7A70">
      <w:pPr>
        <w:spacing w:line="276" w:lineRule="auto"/>
        <w:ind w:firstLine="708"/>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w:t>
      </w:r>
      <w:r w:rsidR="00A637F0" w:rsidRPr="00EF3E5A">
        <w:rPr>
          <w:rFonts w:ascii="Arial" w:eastAsia="Calibri" w:hAnsi="Arial" w:cs="Arial"/>
          <w:color w:val="000000" w:themeColor="text1"/>
          <w:sz w:val="22"/>
          <w:lang w:val="es-ES_tradnl"/>
        </w:rPr>
        <w:t xml:space="preserve"> y </w:t>
      </w:r>
      <w:r w:rsidRPr="00EF3E5A">
        <w:rPr>
          <w:rFonts w:ascii="Arial" w:eastAsia="Calibri" w:hAnsi="Arial" w:cs="Arial"/>
          <w:color w:val="000000" w:themeColor="text1"/>
          <w:sz w:val="22"/>
          <w:lang w:val="es-ES_tradnl"/>
        </w:rPr>
        <w:t>la protección del interés general</w:t>
      </w:r>
      <w:r w:rsidR="00A637F0" w:rsidRPr="00EF3E5A">
        <w:rPr>
          <w:rFonts w:ascii="Arial" w:eastAsia="Calibri" w:hAnsi="Arial" w:cs="Arial"/>
          <w:color w:val="000000" w:themeColor="text1"/>
          <w:sz w:val="22"/>
          <w:lang w:val="es-ES_tradnl"/>
        </w:rPr>
        <w:t>.</w:t>
      </w:r>
    </w:p>
    <w:p w14:paraId="4200DCE6" w14:textId="0ACB7458" w:rsidR="00AD7A70" w:rsidRPr="00EF3E5A" w:rsidRDefault="00AD7A70" w:rsidP="00AD7A70">
      <w:pPr>
        <w:spacing w:before="120" w:after="120" w:line="276" w:lineRule="auto"/>
        <w:ind w:firstLine="708"/>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794D180C" w14:textId="2C32C32D" w:rsidR="002436DD" w:rsidRPr="00EF3E5A" w:rsidRDefault="00AD7A70" w:rsidP="002436DD">
      <w:pPr>
        <w:spacing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Además, se debe tener en cuenta que las cláusulas excepcionales no </w:t>
      </w:r>
      <w:r w:rsidR="00977307" w:rsidRPr="00EF3E5A">
        <w:rPr>
          <w:rFonts w:ascii="Arial" w:eastAsia="Calibri" w:hAnsi="Arial" w:cs="Arial"/>
          <w:color w:val="000000" w:themeColor="text1"/>
          <w:sz w:val="22"/>
          <w:lang w:val="es-ES_tradnl"/>
        </w:rPr>
        <w:t>están</w:t>
      </w:r>
      <w:r w:rsidRPr="00EF3E5A">
        <w:rPr>
          <w:rFonts w:ascii="Arial" w:eastAsia="Calibri" w:hAnsi="Arial" w:cs="Arial"/>
          <w:color w:val="000000" w:themeColor="text1"/>
          <w:sz w:val="22"/>
          <w:lang w:val="es-ES_tradnl"/>
        </w:rPr>
        <w:t xml:space="preserve"> contempladas en el derecho común</w:t>
      </w:r>
      <w:r w:rsidR="00565C7E" w:rsidRPr="00EF3E5A">
        <w:rPr>
          <w:rFonts w:ascii="Arial" w:eastAsia="Calibri" w:hAnsi="Arial" w:cs="Arial"/>
          <w:color w:val="000000" w:themeColor="text1"/>
          <w:sz w:val="22"/>
          <w:lang w:val="es-ES_tradnl"/>
        </w:rPr>
        <w:t>. E</w:t>
      </w:r>
      <w:r w:rsidRPr="00EF3E5A">
        <w:rPr>
          <w:rFonts w:ascii="Arial" w:eastAsia="Calibri" w:hAnsi="Arial" w:cs="Arial"/>
          <w:color w:val="000000" w:themeColor="text1"/>
          <w:sz w:val="22"/>
          <w:lang w:val="es-ES_tradnl"/>
        </w:rPr>
        <w:t>stas se encuentran limitadas no s</w:t>
      </w:r>
      <w:r w:rsidR="00565C7E" w:rsidRPr="00EF3E5A">
        <w:rPr>
          <w:rFonts w:ascii="Arial" w:eastAsia="Calibri" w:hAnsi="Arial" w:cs="Arial"/>
          <w:color w:val="000000" w:themeColor="text1"/>
          <w:sz w:val="22"/>
          <w:lang w:val="es-ES_tradnl"/>
        </w:rPr>
        <w:t>o</w:t>
      </w:r>
      <w:r w:rsidRPr="00EF3E5A">
        <w:rPr>
          <w:rFonts w:ascii="Arial" w:eastAsia="Calibri" w:hAnsi="Arial" w:cs="Arial"/>
          <w:color w:val="000000" w:themeColor="text1"/>
          <w:sz w:val="22"/>
          <w:lang w:val="es-ES_tradnl"/>
        </w:rPr>
        <w:t>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w:t>
      </w:r>
      <w:r w:rsidR="00565C7E" w:rsidRPr="00EF3E5A">
        <w:rPr>
          <w:rFonts w:ascii="Arial" w:eastAsia="Calibri" w:hAnsi="Arial" w:cs="Arial"/>
          <w:color w:val="000000" w:themeColor="text1"/>
          <w:sz w:val="22"/>
          <w:lang w:val="es-ES_tradnl"/>
        </w:rPr>
        <w:t>,</w:t>
      </w:r>
      <w:r w:rsidRPr="00EF3E5A">
        <w:rPr>
          <w:rFonts w:ascii="Arial" w:eastAsia="Calibri" w:hAnsi="Arial" w:cs="Arial"/>
          <w:color w:val="000000" w:themeColor="text1"/>
          <w:sz w:val="22"/>
          <w:lang w:val="es-ES_tradnl"/>
        </w:rPr>
        <w:t xml:space="preserve"> debe acudir al juez competente</w:t>
      </w:r>
      <w:r w:rsidRPr="00EF3E5A">
        <w:rPr>
          <w:rStyle w:val="Refdenotaalpie"/>
          <w:rFonts w:ascii="Arial" w:eastAsia="Calibri" w:hAnsi="Arial" w:cs="Arial"/>
          <w:color w:val="000000" w:themeColor="text1"/>
          <w:sz w:val="22"/>
          <w:lang w:val="es-ES_tradnl"/>
        </w:rPr>
        <w:footnoteReference w:id="3"/>
      </w:r>
      <w:r w:rsidRPr="00EF3E5A">
        <w:rPr>
          <w:rFonts w:ascii="Arial" w:eastAsia="Calibri" w:hAnsi="Arial" w:cs="Arial"/>
          <w:color w:val="000000" w:themeColor="text1"/>
          <w:sz w:val="22"/>
          <w:lang w:val="es-ES_tradnl"/>
        </w:rPr>
        <w:t>.</w:t>
      </w:r>
    </w:p>
    <w:p w14:paraId="7ECFEB84" w14:textId="77777777" w:rsidR="00C34E5D" w:rsidRPr="00EF3E5A" w:rsidRDefault="00C34E5D" w:rsidP="00C34E5D">
      <w:pPr>
        <w:spacing w:line="276" w:lineRule="auto"/>
        <w:jc w:val="both"/>
        <w:rPr>
          <w:rFonts w:ascii="Arial" w:eastAsia="Calibri" w:hAnsi="Arial" w:cs="Arial"/>
          <w:color w:val="000000" w:themeColor="text1"/>
          <w:sz w:val="22"/>
          <w:lang w:val="es-ES_tradnl"/>
        </w:rPr>
      </w:pPr>
    </w:p>
    <w:p w14:paraId="098B1686" w14:textId="6BB67A2C" w:rsidR="00C34E5D" w:rsidRPr="00EF3E5A" w:rsidRDefault="00C34E5D" w:rsidP="00C34E5D">
      <w:pPr>
        <w:spacing w:line="276" w:lineRule="auto"/>
        <w:jc w:val="both"/>
        <w:rPr>
          <w:rFonts w:ascii="Arial" w:eastAsia="Calibri" w:hAnsi="Arial" w:cs="Arial"/>
          <w:b/>
          <w:color w:val="000000" w:themeColor="text1"/>
          <w:sz w:val="22"/>
          <w:lang w:val="es-ES_tradnl"/>
        </w:rPr>
      </w:pPr>
      <w:r w:rsidRPr="00EF3E5A">
        <w:rPr>
          <w:rFonts w:ascii="Arial" w:eastAsia="Calibri" w:hAnsi="Arial" w:cs="Arial"/>
          <w:b/>
          <w:color w:val="000000" w:themeColor="text1"/>
          <w:sz w:val="22"/>
          <w:lang w:val="es-ES_tradnl"/>
        </w:rPr>
        <w:t xml:space="preserve">2.2. </w:t>
      </w:r>
      <w:r w:rsidR="00632865" w:rsidRPr="00EF3E5A">
        <w:rPr>
          <w:rFonts w:ascii="Arial" w:eastAsia="Calibri" w:hAnsi="Arial" w:cs="Arial"/>
          <w:b/>
          <w:color w:val="000000" w:themeColor="text1"/>
          <w:sz w:val="22"/>
          <w:lang w:val="es-ES_tradnl"/>
        </w:rPr>
        <w:t>M</w:t>
      </w:r>
      <w:r w:rsidRPr="00EF3E5A">
        <w:rPr>
          <w:rFonts w:ascii="Arial" w:eastAsia="Calibri" w:hAnsi="Arial" w:cs="Arial"/>
          <w:b/>
          <w:color w:val="000000" w:themeColor="text1"/>
          <w:sz w:val="22"/>
          <w:lang w:val="es-ES_tradnl"/>
        </w:rPr>
        <w:t>anual o reglamento interno de contratación de las entidades de régimen especial</w:t>
      </w:r>
      <w:r w:rsidR="00632865" w:rsidRPr="00EF3E5A">
        <w:rPr>
          <w:rFonts w:ascii="Arial" w:eastAsia="Calibri" w:hAnsi="Arial" w:cs="Arial"/>
          <w:b/>
          <w:color w:val="000000" w:themeColor="text1"/>
          <w:sz w:val="22"/>
          <w:lang w:val="es-ES_tradnl"/>
        </w:rPr>
        <w:t xml:space="preserve">: </w:t>
      </w:r>
      <w:r w:rsidR="00147224" w:rsidRPr="00EF3E5A">
        <w:rPr>
          <w:rFonts w:ascii="Arial" w:eastAsia="Calibri" w:hAnsi="Arial" w:cs="Arial"/>
          <w:b/>
          <w:color w:val="000000" w:themeColor="text1"/>
          <w:sz w:val="22"/>
          <w:lang w:val="es-ES_tradnl"/>
        </w:rPr>
        <w:t>límites derivados de la reserva de ley y forma de llenar sus vacíos</w:t>
      </w:r>
      <w:r w:rsidRPr="00EF3E5A">
        <w:rPr>
          <w:rFonts w:ascii="Arial" w:eastAsia="Calibri" w:hAnsi="Arial" w:cs="Arial"/>
          <w:b/>
          <w:color w:val="000000" w:themeColor="text1"/>
          <w:sz w:val="22"/>
          <w:lang w:val="es-ES_tradnl"/>
        </w:rPr>
        <w:t xml:space="preserve"> </w:t>
      </w:r>
    </w:p>
    <w:p w14:paraId="6716471E" w14:textId="77777777" w:rsidR="00C34E5D" w:rsidRPr="00EF3E5A" w:rsidRDefault="00C34E5D" w:rsidP="00C34E5D">
      <w:pPr>
        <w:spacing w:line="276" w:lineRule="auto"/>
        <w:jc w:val="both"/>
        <w:rPr>
          <w:rFonts w:ascii="Arial" w:eastAsia="Calibri" w:hAnsi="Arial" w:cs="Arial"/>
          <w:color w:val="000000" w:themeColor="text1"/>
          <w:sz w:val="22"/>
          <w:lang w:val="es-ES_tradnl"/>
        </w:rPr>
      </w:pPr>
    </w:p>
    <w:p w14:paraId="2AEAEF32" w14:textId="735AB34A" w:rsidR="008F67B0" w:rsidRPr="00EF3E5A" w:rsidRDefault="00977307" w:rsidP="00C34E5D">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Según se indicó anteriormente, las entidades estatales que</w:t>
      </w:r>
      <w:r w:rsidR="002668CC" w:rsidRPr="00EF3E5A">
        <w:rPr>
          <w:rFonts w:ascii="Arial" w:eastAsia="Calibri" w:hAnsi="Arial" w:cs="Arial"/>
          <w:color w:val="000000" w:themeColor="text1"/>
          <w:sz w:val="22"/>
          <w:lang w:val="es-ES_tradnl"/>
        </w:rPr>
        <w:t>,</w:t>
      </w:r>
      <w:r w:rsidRPr="00EF3E5A">
        <w:rPr>
          <w:rFonts w:ascii="Arial" w:eastAsia="Calibri" w:hAnsi="Arial" w:cs="Arial"/>
          <w:color w:val="000000" w:themeColor="text1"/>
          <w:sz w:val="22"/>
          <w:lang w:val="es-ES_tradnl"/>
        </w:rPr>
        <w:t xml:space="preserve"> por disposición legal</w:t>
      </w:r>
      <w:r w:rsidR="002668CC" w:rsidRPr="00EF3E5A">
        <w:rPr>
          <w:rFonts w:ascii="Arial" w:eastAsia="Calibri" w:hAnsi="Arial" w:cs="Arial"/>
          <w:color w:val="000000" w:themeColor="text1"/>
          <w:sz w:val="22"/>
          <w:lang w:val="es-ES_tradnl"/>
        </w:rPr>
        <w:t>, cuentan con un régimen especial</w:t>
      </w:r>
      <w:r w:rsidR="00412C94" w:rsidRPr="00EF3E5A">
        <w:rPr>
          <w:rStyle w:val="Refdenotaalpie"/>
          <w:rFonts w:ascii="Arial" w:eastAsia="Calibri" w:hAnsi="Arial" w:cs="Arial"/>
          <w:color w:val="000000" w:themeColor="text1"/>
          <w:sz w:val="22"/>
          <w:lang w:val="es-ES_tradnl"/>
        </w:rPr>
        <w:footnoteReference w:id="4"/>
      </w:r>
      <w:r w:rsidR="002668CC" w:rsidRPr="00EF3E5A">
        <w:rPr>
          <w:rFonts w:ascii="Arial" w:eastAsia="Calibri" w:hAnsi="Arial" w:cs="Arial"/>
          <w:color w:val="000000" w:themeColor="text1"/>
          <w:sz w:val="22"/>
          <w:lang w:val="es-ES_tradnl"/>
        </w:rPr>
        <w:t>, exceptuado del Estatuto General de Contratación de la Administración Pública –Ley</w:t>
      </w:r>
      <w:r w:rsidR="00AF3B59" w:rsidRPr="00EF3E5A">
        <w:rPr>
          <w:rFonts w:ascii="Arial" w:eastAsia="Calibri" w:hAnsi="Arial" w:cs="Arial"/>
          <w:color w:val="000000" w:themeColor="text1"/>
          <w:sz w:val="22"/>
          <w:lang w:val="es-ES_tradnl"/>
        </w:rPr>
        <w:t>es</w:t>
      </w:r>
      <w:r w:rsidR="002668CC" w:rsidRPr="00EF3E5A">
        <w:rPr>
          <w:rFonts w:ascii="Arial" w:eastAsia="Calibri" w:hAnsi="Arial" w:cs="Arial"/>
          <w:color w:val="000000" w:themeColor="text1"/>
          <w:sz w:val="22"/>
          <w:lang w:val="es-ES_tradnl"/>
        </w:rPr>
        <w:t xml:space="preserve"> 80 de 1993, 1150 de 2007</w:t>
      </w:r>
      <w:r w:rsidR="00B81B4F" w:rsidRPr="00EF3E5A">
        <w:rPr>
          <w:rFonts w:ascii="Arial" w:eastAsia="Calibri" w:hAnsi="Arial" w:cs="Arial"/>
          <w:color w:val="000000" w:themeColor="text1"/>
          <w:sz w:val="22"/>
          <w:lang w:val="es-ES_tradnl"/>
        </w:rPr>
        <w:t xml:space="preserve"> y normas complementarias</w:t>
      </w:r>
      <w:r w:rsidR="002668CC" w:rsidRPr="00EF3E5A">
        <w:rPr>
          <w:rStyle w:val="Refdenotaalpie"/>
          <w:rFonts w:ascii="Arial" w:eastAsia="Calibri" w:hAnsi="Arial" w:cs="Arial"/>
          <w:color w:val="000000" w:themeColor="text1"/>
          <w:sz w:val="22"/>
          <w:lang w:val="es-ES_tradnl"/>
        </w:rPr>
        <w:footnoteReference w:id="5"/>
      </w:r>
      <w:r w:rsidR="002668CC" w:rsidRPr="00EF3E5A">
        <w:rPr>
          <w:rFonts w:ascii="Arial" w:eastAsia="Calibri" w:hAnsi="Arial" w:cs="Arial"/>
          <w:color w:val="000000" w:themeColor="text1"/>
          <w:sz w:val="22"/>
          <w:lang w:val="es-ES_tradnl"/>
        </w:rPr>
        <w:t>–</w:t>
      </w:r>
      <w:r w:rsidR="00691DF1" w:rsidRPr="00EF3E5A">
        <w:rPr>
          <w:rFonts w:ascii="Arial" w:eastAsia="Calibri" w:hAnsi="Arial" w:cs="Arial"/>
          <w:color w:val="000000" w:themeColor="text1"/>
          <w:sz w:val="22"/>
          <w:lang w:val="es-ES_tradnl"/>
        </w:rPr>
        <w:t xml:space="preserve"> pueden expedir un reglamento interno de contratación</w:t>
      </w:r>
      <w:r w:rsidR="00362709" w:rsidRPr="00EF3E5A">
        <w:rPr>
          <w:rFonts w:ascii="Arial" w:eastAsia="Calibri" w:hAnsi="Arial" w:cs="Arial"/>
          <w:color w:val="000000" w:themeColor="text1"/>
          <w:sz w:val="22"/>
          <w:lang w:val="es-ES_tradnl"/>
        </w:rPr>
        <w:t xml:space="preserve"> – comúnmente denominado </w:t>
      </w:r>
      <w:r w:rsidR="00362709" w:rsidRPr="00EF3E5A">
        <w:rPr>
          <w:rFonts w:ascii="Arial" w:eastAsia="Calibri" w:hAnsi="Arial" w:cs="Arial"/>
          <w:i/>
          <w:color w:val="000000" w:themeColor="text1"/>
          <w:sz w:val="22"/>
          <w:lang w:val="es-ES_tradnl"/>
        </w:rPr>
        <w:t>manual de contratación</w:t>
      </w:r>
      <w:r w:rsidR="00362709" w:rsidRPr="00EF3E5A">
        <w:rPr>
          <w:rFonts w:ascii="Arial" w:eastAsia="Calibri" w:hAnsi="Arial" w:cs="Arial"/>
          <w:color w:val="000000" w:themeColor="text1"/>
          <w:sz w:val="22"/>
          <w:lang w:val="es-ES_tradnl"/>
        </w:rPr>
        <w:t>–, que regule aspectos asociados a la actividad contractual, como los procedimientos de selecció</w:t>
      </w:r>
      <w:r w:rsidR="008F67B0" w:rsidRPr="00EF3E5A">
        <w:rPr>
          <w:rFonts w:ascii="Arial" w:eastAsia="Calibri" w:hAnsi="Arial" w:cs="Arial"/>
          <w:color w:val="000000" w:themeColor="text1"/>
          <w:sz w:val="22"/>
          <w:lang w:val="es-ES_tradnl"/>
        </w:rPr>
        <w:t xml:space="preserve">n, </w:t>
      </w:r>
      <w:r w:rsidR="00B81B4F" w:rsidRPr="00EF3E5A">
        <w:rPr>
          <w:rFonts w:ascii="Arial" w:eastAsia="Calibri" w:hAnsi="Arial" w:cs="Arial"/>
          <w:color w:val="000000" w:themeColor="text1"/>
          <w:sz w:val="22"/>
          <w:lang w:val="es-ES_tradnl"/>
        </w:rPr>
        <w:t xml:space="preserve">los </w:t>
      </w:r>
      <w:r w:rsidR="008F67B0" w:rsidRPr="00EF3E5A">
        <w:rPr>
          <w:rFonts w:ascii="Arial" w:eastAsia="Calibri" w:hAnsi="Arial" w:cs="Arial"/>
          <w:color w:val="000000" w:themeColor="text1"/>
          <w:sz w:val="22"/>
          <w:lang w:val="es-ES_tradnl"/>
        </w:rPr>
        <w:t xml:space="preserve">requisitos de participación, </w:t>
      </w:r>
      <w:r w:rsidR="00B81B4F" w:rsidRPr="00EF3E5A">
        <w:rPr>
          <w:rFonts w:ascii="Arial" w:eastAsia="Calibri" w:hAnsi="Arial" w:cs="Arial"/>
          <w:color w:val="000000" w:themeColor="text1"/>
          <w:sz w:val="22"/>
          <w:lang w:val="es-ES_tradnl"/>
        </w:rPr>
        <w:t xml:space="preserve">las </w:t>
      </w:r>
      <w:r w:rsidR="008F67B0" w:rsidRPr="00EF3E5A">
        <w:rPr>
          <w:rFonts w:ascii="Arial" w:eastAsia="Calibri" w:hAnsi="Arial" w:cs="Arial"/>
          <w:color w:val="000000" w:themeColor="text1"/>
          <w:sz w:val="22"/>
          <w:lang w:val="es-ES_tradnl"/>
        </w:rPr>
        <w:t xml:space="preserve">condiciones de ejecución del contrato, etc. En otras palabras, </w:t>
      </w:r>
      <w:r w:rsidR="00646B5C" w:rsidRPr="00EF3E5A">
        <w:rPr>
          <w:rFonts w:ascii="Arial" w:eastAsia="Calibri" w:hAnsi="Arial" w:cs="Arial"/>
          <w:color w:val="000000" w:themeColor="text1"/>
          <w:sz w:val="22"/>
          <w:lang w:val="es-ES_tradnl"/>
        </w:rPr>
        <w:t>el manual de contratación de las entidades exceptuadas es un acto administrativo y, de manera más concreta, un reglamento, pues</w:t>
      </w:r>
      <w:r w:rsidR="00101394" w:rsidRPr="00EF3E5A">
        <w:rPr>
          <w:rFonts w:ascii="Arial" w:eastAsia="Calibri" w:hAnsi="Arial" w:cs="Arial"/>
          <w:color w:val="000000" w:themeColor="text1"/>
          <w:sz w:val="22"/>
          <w:lang w:val="es-ES_tradnl"/>
        </w:rPr>
        <w:t>,</w:t>
      </w:r>
      <w:r w:rsidR="00646B5C" w:rsidRPr="00EF3E5A">
        <w:rPr>
          <w:rFonts w:ascii="Arial" w:eastAsia="Calibri" w:hAnsi="Arial" w:cs="Arial"/>
          <w:color w:val="000000" w:themeColor="text1"/>
          <w:sz w:val="22"/>
          <w:lang w:val="es-ES_tradnl"/>
        </w:rPr>
        <w:t xml:space="preserve"> además de consistir en una manifestación unilateral de voluntad efectuada por la entidad</w:t>
      </w:r>
      <w:r w:rsidR="00101394" w:rsidRPr="00EF3E5A">
        <w:rPr>
          <w:rFonts w:ascii="Arial" w:eastAsia="Calibri" w:hAnsi="Arial" w:cs="Arial"/>
          <w:color w:val="000000" w:themeColor="text1"/>
          <w:sz w:val="22"/>
          <w:lang w:val="es-ES_tradnl"/>
        </w:rPr>
        <w:t xml:space="preserve"> estatal</w:t>
      </w:r>
      <w:r w:rsidR="00646B5C" w:rsidRPr="00EF3E5A">
        <w:rPr>
          <w:rFonts w:ascii="Arial" w:eastAsia="Calibri" w:hAnsi="Arial" w:cs="Arial"/>
          <w:color w:val="000000" w:themeColor="text1"/>
          <w:sz w:val="22"/>
          <w:lang w:val="es-ES_tradnl"/>
        </w:rPr>
        <w:t xml:space="preserve">, en ejercicio de función administrativa, </w:t>
      </w:r>
      <w:r w:rsidR="00640DDA" w:rsidRPr="00EF3E5A">
        <w:rPr>
          <w:rFonts w:ascii="Arial" w:eastAsia="Calibri" w:hAnsi="Arial" w:cs="Arial"/>
          <w:color w:val="000000" w:themeColor="text1"/>
          <w:sz w:val="22"/>
          <w:lang w:val="es-ES_tradnl"/>
        </w:rPr>
        <w:t>dirigida a producir efectos jurídicos, tiene vocación de permanencia en el tiempo. Esto significa que el manual de contratación despliega sus efectos de manera indefinida en el futuro, no agotándose con una sola aplicación.</w:t>
      </w:r>
      <w:r w:rsidR="008F67B0" w:rsidRPr="00EF3E5A">
        <w:rPr>
          <w:rFonts w:ascii="Arial" w:eastAsia="Calibri" w:hAnsi="Arial" w:cs="Arial"/>
          <w:color w:val="000000" w:themeColor="text1"/>
          <w:sz w:val="22"/>
          <w:lang w:val="es-ES_tradnl"/>
        </w:rPr>
        <w:t xml:space="preserve"> </w:t>
      </w:r>
    </w:p>
    <w:p w14:paraId="327667D8" w14:textId="2679592E" w:rsidR="00977307" w:rsidRPr="00EF3E5A" w:rsidRDefault="008F67B0" w:rsidP="00147224">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Sin embargo, la libertad de configuración reglamentaria</w:t>
      </w:r>
      <w:r w:rsidR="00D0147E" w:rsidRPr="00EF3E5A">
        <w:rPr>
          <w:rFonts w:ascii="Arial" w:eastAsia="Calibri" w:hAnsi="Arial" w:cs="Arial"/>
          <w:color w:val="000000" w:themeColor="text1"/>
          <w:sz w:val="22"/>
          <w:lang w:val="es-ES_tradnl"/>
        </w:rPr>
        <w:t xml:space="preserve"> de las entidades estatales, expresada en el manual de contratació</w:t>
      </w:r>
      <w:r w:rsidR="00C1187E" w:rsidRPr="00EF3E5A">
        <w:rPr>
          <w:rFonts w:ascii="Arial" w:eastAsia="Calibri" w:hAnsi="Arial" w:cs="Arial"/>
          <w:color w:val="000000" w:themeColor="text1"/>
          <w:sz w:val="22"/>
          <w:lang w:val="es-ES_tradnl"/>
        </w:rPr>
        <w:t>n, no es absoluta, ya que, a</w:t>
      </w:r>
      <w:r w:rsidR="00D0147E" w:rsidRPr="00EF3E5A">
        <w:rPr>
          <w:rFonts w:ascii="Arial" w:eastAsia="Calibri" w:hAnsi="Arial" w:cs="Arial"/>
          <w:color w:val="000000" w:themeColor="text1"/>
          <w:sz w:val="22"/>
          <w:lang w:val="es-ES_tradnl"/>
        </w:rPr>
        <w:t xml:space="preserve"> pesar de que están facultadas para </w:t>
      </w:r>
      <w:r w:rsidR="00C1187E" w:rsidRPr="00EF3E5A">
        <w:rPr>
          <w:rFonts w:ascii="Arial" w:eastAsia="Calibri" w:hAnsi="Arial" w:cs="Arial"/>
          <w:color w:val="000000" w:themeColor="text1"/>
          <w:sz w:val="22"/>
          <w:lang w:val="es-ES_tradnl"/>
        </w:rPr>
        <w:t xml:space="preserve">regular ciertos temas relacionados con la actividad contractual, deben hacerlo respetando la reserva legal de </w:t>
      </w:r>
      <w:r w:rsidR="002F23C9" w:rsidRPr="00EF3E5A">
        <w:rPr>
          <w:rFonts w:ascii="Arial" w:eastAsia="Calibri" w:hAnsi="Arial" w:cs="Arial"/>
          <w:color w:val="000000" w:themeColor="text1"/>
          <w:sz w:val="22"/>
          <w:lang w:val="es-ES_tradnl"/>
        </w:rPr>
        <w:t xml:space="preserve">la </w:t>
      </w:r>
      <w:r w:rsidR="00C1187E" w:rsidRPr="00EF3E5A">
        <w:rPr>
          <w:rFonts w:ascii="Arial" w:eastAsia="Calibri" w:hAnsi="Arial" w:cs="Arial"/>
          <w:color w:val="000000" w:themeColor="text1"/>
          <w:sz w:val="22"/>
          <w:lang w:val="es-ES_tradnl"/>
        </w:rPr>
        <w:t>que gozan ciertas materias.</w:t>
      </w:r>
      <w:r w:rsidR="002F23C9" w:rsidRPr="00EF3E5A">
        <w:rPr>
          <w:rFonts w:ascii="Arial" w:eastAsia="Calibri" w:hAnsi="Arial" w:cs="Arial"/>
          <w:color w:val="000000" w:themeColor="text1"/>
          <w:sz w:val="22"/>
          <w:lang w:val="es-ES_tradnl"/>
        </w:rPr>
        <w:t xml:space="preserve"> </w:t>
      </w:r>
      <w:r w:rsidR="005311CA" w:rsidRPr="00EF3E5A">
        <w:rPr>
          <w:rFonts w:ascii="Arial" w:eastAsia="Calibri" w:hAnsi="Arial" w:cs="Arial"/>
          <w:color w:val="000000" w:themeColor="text1"/>
          <w:sz w:val="22"/>
          <w:lang w:val="es-ES_tradnl"/>
        </w:rPr>
        <w:t>En tal sentido, asuntos como</w:t>
      </w:r>
      <w:r w:rsidR="006160D2" w:rsidRPr="00EF3E5A">
        <w:rPr>
          <w:rFonts w:ascii="Arial" w:eastAsia="Calibri" w:hAnsi="Arial" w:cs="Arial"/>
          <w:color w:val="000000" w:themeColor="text1"/>
          <w:sz w:val="22"/>
          <w:lang w:val="es-ES_tradnl"/>
        </w:rPr>
        <w:t>:</w:t>
      </w:r>
      <w:r w:rsidR="005311CA" w:rsidRPr="00EF3E5A">
        <w:rPr>
          <w:rFonts w:ascii="Arial" w:eastAsia="Calibri" w:hAnsi="Arial" w:cs="Arial"/>
          <w:color w:val="000000" w:themeColor="text1"/>
          <w:sz w:val="22"/>
          <w:lang w:val="es-ES_tradnl"/>
        </w:rPr>
        <w:t xml:space="preserve"> </w:t>
      </w:r>
      <w:r w:rsidR="008150DF" w:rsidRPr="00EF3E5A">
        <w:rPr>
          <w:rFonts w:ascii="Arial" w:eastAsia="Calibri" w:hAnsi="Arial" w:cs="Arial"/>
          <w:color w:val="000000" w:themeColor="text1"/>
          <w:sz w:val="22"/>
          <w:lang w:val="es-ES_tradnl"/>
        </w:rPr>
        <w:t xml:space="preserve">i) </w:t>
      </w:r>
      <w:r w:rsidR="005311CA" w:rsidRPr="00EF3E5A">
        <w:rPr>
          <w:rFonts w:ascii="Arial" w:eastAsia="Calibri" w:hAnsi="Arial" w:cs="Arial"/>
          <w:color w:val="000000" w:themeColor="text1"/>
          <w:sz w:val="22"/>
          <w:lang w:val="es-ES_tradnl"/>
        </w:rPr>
        <w:t xml:space="preserve">los requisitos de existencia y validez del contrato, </w:t>
      </w:r>
      <w:r w:rsidR="008150DF" w:rsidRPr="00EF3E5A">
        <w:rPr>
          <w:rFonts w:ascii="Arial" w:eastAsia="Calibri" w:hAnsi="Arial" w:cs="Arial"/>
          <w:color w:val="000000" w:themeColor="text1"/>
          <w:sz w:val="22"/>
          <w:lang w:val="es-ES_tradnl"/>
        </w:rPr>
        <w:t xml:space="preserve">ii) </w:t>
      </w:r>
      <w:r w:rsidR="005311CA" w:rsidRPr="00EF3E5A">
        <w:rPr>
          <w:rFonts w:ascii="Arial" w:eastAsia="Calibri" w:hAnsi="Arial" w:cs="Arial"/>
          <w:color w:val="000000" w:themeColor="text1"/>
          <w:sz w:val="22"/>
          <w:lang w:val="es-ES_tradnl"/>
        </w:rPr>
        <w:t xml:space="preserve">sanciones y procedimientos para su imposición, </w:t>
      </w:r>
      <w:r w:rsidR="008150DF" w:rsidRPr="00EF3E5A">
        <w:rPr>
          <w:rFonts w:ascii="Arial" w:eastAsia="Calibri" w:hAnsi="Arial" w:cs="Arial"/>
          <w:color w:val="000000" w:themeColor="text1"/>
          <w:sz w:val="22"/>
          <w:lang w:val="es-ES_tradnl"/>
        </w:rPr>
        <w:t xml:space="preserve">iii) </w:t>
      </w:r>
      <w:r w:rsidR="005311CA" w:rsidRPr="00EF3E5A">
        <w:rPr>
          <w:rFonts w:ascii="Arial" w:eastAsia="Calibri" w:hAnsi="Arial" w:cs="Arial"/>
          <w:color w:val="000000" w:themeColor="text1"/>
          <w:sz w:val="22"/>
          <w:lang w:val="es-ES_tradnl"/>
        </w:rPr>
        <w:t>causales de inhabilidad e incompatibilidad</w:t>
      </w:r>
      <w:r w:rsidR="008150DF" w:rsidRPr="00EF3E5A">
        <w:rPr>
          <w:rFonts w:ascii="Arial" w:eastAsia="Calibri" w:hAnsi="Arial" w:cs="Arial"/>
          <w:color w:val="000000" w:themeColor="text1"/>
          <w:sz w:val="22"/>
          <w:lang w:val="es-ES_tradnl"/>
        </w:rPr>
        <w:t>, iv) el pr</w:t>
      </w:r>
      <w:r w:rsidR="00502D15" w:rsidRPr="00EF3E5A">
        <w:rPr>
          <w:rFonts w:ascii="Arial" w:eastAsia="Calibri" w:hAnsi="Arial" w:cs="Arial"/>
          <w:color w:val="000000" w:themeColor="text1"/>
          <w:sz w:val="22"/>
          <w:lang w:val="es-ES_tradnl"/>
        </w:rPr>
        <w:t xml:space="preserve">incipio de anualidad del gasto, y </w:t>
      </w:r>
      <w:r w:rsidR="008150DF" w:rsidRPr="00EF3E5A">
        <w:rPr>
          <w:rFonts w:ascii="Arial" w:eastAsia="Calibri" w:hAnsi="Arial" w:cs="Arial"/>
          <w:color w:val="000000" w:themeColor="text1"/>
          <w:sz w:val="22"/>
          <w:lang w:val="es-ES_tradnl"/>
        </w:rPr>
        <w:t>v) restricciones al acceso a la administración de justicia para discutir las c</w:t>
      </w:r>
      <w:r w:rsidR="00502D15" w:rsidRPr="00EF3E5A">
        <w:rPr>
          <w:rFonts w:ascii="Arial" w:eastAsia="Calibri" w:hAnsi="Arial" w:cs="Arial"/>
          <w:color w:val="000000" w:themeColor="text1"/>
          <w:sz w:val="22"/>
          <w:lang w:val="es-ES_tradnl"/>
        </w:rPr>
        <w:t>ontroversias contractuales, son, entre otros, temas cuya regulación está</w:t>
      </w:r>
      <w:r w:rsidR="00CE68C6" w:rsidRPr="00EF3E5A">
        <w:rPr>
          <w:rFonts w:ascii="Arial" w:eastAsia="Calibri" w:hAnsi="Arial" w:cs="Arial"/>
          <w:color w:val="000000" w:themeColor="text1"/>
          <w:sz w:val="22"/>
          <w:lang w:val="es-ES_tradnl"/>
        </w:rPr>
        <w:t xml:space="preserve"> reservada al legislador y que, por tanto, las entidades exceptuadas no pueden </w:t>
      </w:r>
      <w:r w:rsidR="007C67B5" w:rsidRPr="00EF3E5A">
        <w:rPr>
          <w:rFonts w:ascii="Arial" w:eastAsia="Calibri" w:hAnsi="Arial" w:cs="Arial"/>
          <w:color w:val="000000" w:themeColor="text1"/>
          <w:sz w:val="22"/>
          <w:lang w:val="es-ES_tradnl"/>
        </w:rPr>
        <w:t>reglamentar</w:t>
      </w:r>
      <w:r w:rsidR="00CE68C6" w:rsidRPr="00EF3E5A">
        <w:rPr>
          <w:rFonts w:ascii="Arial" w:eastAsia="Calibri" w:hAnsi="Arial" w:cs="Arial"/>
          <w:color w:val="000000" w:themeColor="text1"/>
          <w:sz w:val="22"/>
          <w:lang w:val="es-ES_tradnl"/>
        </w:rPr>
        <w:t xml:space="preserve"> en su manual </w:t>
      </w:r>
      <w:r w:rsidR="00531C8E" w:rsidRPr="00EF3E5A">
        <w:rPr>
          <w:rFonts w:ascii="Arial" w:eastAsia="Calibri" w:hAnsi="Arial" w:cs="Arial"/>
          <w:color w:val="000000" w:themeColor="text1"/>
          <w:sz w:val="22"/>
          <w:lang w:val="es-ES_tradnl"/>
        </w:rPr>
        <w:t>de contratación</w:t>
      </w:r>
      <w:r w:rsidR="00531C8E" w:rsidRPr="00EF3E5A">
        <w:rPr>
          <w:rStyle w:val="Refdenotaalpie"/>
          <w:rFonts w:ascii="Arial" w:eastAsia="Calibri" w:hAnsi="Arial" w:cs="Arial"/>
          <w:color w:val="000000" w:themeColor="text1"/>
          <w:sz w:val="22"/>
          <w:lang w:val="es-ES_tradnl"/>
        </w:rPr>
        <w:footnoteReference w:id="6"/>
      </w:r>
      <w:r w:rsidR="00531C8E" w:rsidRPr="00EF3E5A">
        <w:rPr>
          <w:rFonts w:ascii="Arial" w:eastAsia="Calibri" w:hAnsi="Arial" w:cs="Arial"/>
          <w:color w:val="000000" w:themeColor="text1"/>
          <w:sz w:val="22"/>
          <w:lang w:val="es-ES_tradnl"/>
        </w:rPr>
        <w:t>.</w:t>
      </w:r>
    </w:p>
    <w:p w14:paraId="4C6ED887" w14:textId="657CE8E8" w:rsidR="00DE3771" w:rsidRPr="00EF3E5A" w:rsidRDefault="00B30B07" w:rsidP="00147224">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lastRenderedPageBreak/>
        <w:t>Ahora bien, ¿a qué normas deben acudir las entidades estatales y los interesados, cuando se presenten lagunas jurídicas –es decir, vacíos o ausencia de regulación</w:t>
      </w:r>
      <w:r w:rsidR="00ED23DD" w:rsidRPr="00EF3E5A">
        <w:rPr>
          <w:rFonts w:ascii="Arial" w:eastAsia="Calibri" w:hAnsi="Arial" w:cs="Arial"/>
          <w:color w:val="000000" w:themeColor="text1"/>
          <w:sz w:val="22"/>
          <w:lang w:val="es-ES_tradnl"/>
        </w:rPr>
        <w:t xml:space="preserve"> de ciertos temas</w:t>
      </w:r>
      <w:r w:rsidRPr="00EF3E5A">
        <w:rPr>
          <w:rFonts w:ascii="Arial" w:eastAsia="Calibri" w:hAnsi="Arial" w:cs="Arial"/>
          <w:color w:val="000000" w:themeColor="text1"/>
          <w:sz w:val="22"/>
          <w:lang w:val="es-ES_tradnl"/>
        </w:rPr>
        <w:t>–</w:t>
      </w:r>
      <w:r w:rsidR="00396ABB" w:rsidRPr="00EF3E5A">
        <w:rPr>
          <w:rStyle w:val="Refdenotaalpie"/>
          <w:rFonts w:ascii="Arial" w:eastAsia="Calibri" w:hAnsi="Arial" w:cs="Arial"/>
          <w:color w:val="000000" w:themeColor="text1"/>
          <w:sz w:val="22"/>
          <w:lang w:val="es-ES_tradnl"/>
        </w:rPr>
        <w:footnoteReference w:id="7"/>
      </w:r>
      <w:r w:rsidRPr="00EF3E5A">
        <w:rPr>
          <w:rFonts w:ascii="Arial" w:eastAsia="Calibri" w:hAnsi="Arial" w:cs="Arial"/>
          <w:color w:val="000000" w:themeColor="text1"/>
          <w:sz w:val="22"/>
          <w:lang w:val="es-ES_tradnl"/>
        </w:rPr>
        <w:t>, en los manuales de contratación de las entidades de régimen especial?</w:t>
      </w:r>
      <w:r w:rsidR="00ED23DD" w:rsidRPr="00EF3E5A">
        <w:rPr>
          <w:rFonts w:ascii="Arial" w:eastAsia="Calibri" w:hAnsi="Arial" w:cs="Arial"/>
          <w:color w:val="000000" w:themeColor="text1"/>
          <w:sz w:val="22"/>
          <w:lang w:val="es-ES_tradnl"/>
        </w:rPr>
        <w:t xml:space="preserve"> Como lo establece la «Guía para las Entidades Estatales con régimen especial de Contratación»</w:t>
      </w:r>
      <w:r w:rsidR="00892103" w:rsidRPr="00EF3E5A">
        <w:rPr>
          <w:rStyle w:val="Refdenotaalpie"/>
          <w:rFonts w:ascii="Arial" w:eastAsia="Calibri" w:hAnsi="Arial" w:cs="Arial"/>
          <w:color w:val="000000" w:themeColor="text1"/>
          <w:sz w:val="22"/>
          <w:lang w:val="es-ES_tradnl"/>
        </w:rPr>
        <w:footnoteReference w:id="8"/>
      </w:r>
      <w:r w:rsidR="008E76C6" w:rsidRPr="00EF3E5A">
        <w:rPr>
          <w:rFonts w:ascii="Arial" w:eastAsia="Calibri" w:hAnsi="Arial" w:cs="Arial"/>
          <w:color w:val="000000" w:themeColor="text1"/>
          <w:sz w:val="22"/>
          <w:lang w:val="es-ES_tradnl"/>
        </w:rPr>
        <w:t xml:space="preserve">, </w:t>
      </w:r>
      <w:r w:rsidR="00892103" w:rsidRPr="00EF3E5A">
        <w:rPr>
          <w:rFonts w:ascii="Arial" w:eastAsia="Calibri" w:hAnsi="Arial" w:cs="Arial"/>
          <w:color w:val="000000" w:themeColor="text1"/>
          <w:sz w:val="22"/>
          <w:lang w:val="es-ES_tradnl"/>
        </w:rPr>
        <w:t>proferida por esta Agencia</w:t>
      </w:r>
      <w:r w:rsidR="00220681" w:rsidRPr="00EF3E5A">
        <w:rPr>
          <w:rFonts w:ascii="Arial" w:eastAsia="Calibri" w:hAnsi="Arial" w:cs="Arial"/>
          <w:color w:val="000000" w:themeColor="text1"/>
          <w:sz w:val="22"/>
          <w:lang w:val="es-ES_tradnl"/>
        </w:rPr>
        <w:t xml:space="preserve">, </w:t>
      </w:r>
      <w:r w:rsidR="008E76C6" w:rsidRPr="00EF3E5A">
        <w:rPr>
          <w:rFonts w:ascii="Arial" w:eastAsia="Calibri" w:hAnsi="Arial" w:cs="Arial"/>
          <w:color w:val="000000" w:themeColor="text1"/>
          <w:sz w:val="22"/>
          <w:lang w:val="es-ES_tradnl"/>
        </w:rPr>
        <w:t>en principio</w:t>
      </w:r>
      <w:r w:rsidR="00220681" w:rsidRPr="00EF3E5A">
        <w:rPr>
          <w:rFonts w:ascii="Arial" w:eastAsia="Calibri" w:hAnsi="Arial" w:cs="Arial"/>
          <w:color w:val="000000" w:themeColor="text1"/>
          <w:sz w:val="22"/>
          <w:lang w:val="es-ES_tradnl"/>
        </w:rPr>
        <w:t xml:space="preserve">, </w:t>
      </w:r>
      <w:r w:rsidR="00D035F8" w:rsidRPr="00EF3E5A">
        <w:rPr>
          <w:rFonts w:ascii="Arial" w:eastAsia="Calibri" w:hAnsi="Arial" w:cs="Arial"/>
          <w:color w:val="000000" w:themeColor="text1"/>
          <w:sz w:val="22"/>
          <w:lang w:val="es-ES_tradnl"/>
        </w:rPr>
        <w:t xml:space="preserve">la actividad contractual de las entidades excluidas de la aplicación del Estatuto General de Contratación de la Administración Pública «se somete a las reglas del derecho privado». En consecuencia, si bien deben cumplir algunas obligaciones transversales </w:t>
      </w:r>
      <w:r w:rsidR="003461EA" w:rsidRPr="00EF3E5A">
        <w:rPr>
          <w:rFonts w:ascii="Arial" w:eastAsia="Calibri" w:hAnsi="Arial" w:cs="Arial"/>
          <w:color w:val="000000" w:themeColor="text1"/>
          <w:sz w:val="22"/>
          <w:lang w:val="es-ES_tradnl"/>
        </w:rPr>
        <w:t>propias del</w:t>
      </w:r>
      <w:r w:rsidR="00D035F8" w:rsidRPr="00EF3E5A">
        <w:rPr>
          <w:rFonts w:ascii="Arial" w:eastAsia="Calibri" w:hAnsi="Arial" w:cs="Arial"/>
          <w:color w:val="000000" w:themeColor="text1"/>
          <w:sz w:val="22"/>
          <w:lang w:val="es-ES_tradnl"/>
        </w:rPr>
        <w:t xml:space="preserve"> sistema de compra pública</w:t>
      </w:r>
      <w:r w:rsidR="003461EA" w:rsidRPr="00EF3E5A">
        <w:rPr>
          <w:rFonts w:ascii="Arial" w:eastAsia="Calibri" w:hAnsi="Arial" w:cs="Arial"/>
          <w:color w:val="000000" w:themeColor="text1"/>
          <w:sz w:val="22"/>
          <w:lang w:val="es-ES_tradnl"/>
        </w:rPr>
        <w:t>,</w:t>
      </w:r>
      <w:r w:rsidR="00D035F8" w:rsidRPr="00EF3E5A">
        <w:rPr>
          <w:rFonts w:ascii="Arial" w:eastAsia="Calibri" w:hAnsi="Arial" w:cs="Arial"/>
          <w:color w:val="000000" w:themeColor="text1"/>
          <w:sz w:val="22"/>
          <w:lang w:val="es-ES_tradnl"/>
        </w:rPr>
        <w:t xml:space="preserve"> señaladas en dicha guía y que se mencionaron en el numeral anterior, el régimen jurídico de base es el derecho privado, o sea el integrado por los preceptos civiles y comerciales.</w:t>
      </w:r>
      <w:r w:rsidR="00921E06" w:rsidRPr="00EF3E5A">
        <w:rPr>
          <w:rFonts w:ascii="Arial" w:eastAsia="Calibri" w:hAnsi="Arial" w:cs="Arial"/>
          <w:color w:val="000000" w:themeColor="text1"/>
          <w:sz w:val="22"/>
          <w:lang w:val="es-ES_tradnl"/>
        </w:rPr>
        <w:t xml:space="preserve"> </w:t>
      </w:r>
    </w:p>
    <w:p w14:paraId="14D57C22" w14:textId="4EEC2CF7" w:rsidR="00C34E5D" w:rsidRPr="00EF3E5A" w:rsidRDefault="006A22FE" w:rsidP="004B645B">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Sin embargo, para </w:t>
      </w:r>
      <w:r w:rsidR="000C397B" w:rsidRPr="00EF3E5A">
        <w:rPr>
          <w:rFonts w:ascii="Arial" w:eastAsia="Calibri" w:hAnsi="Arial" w:cs="Arial"/>
          <w:color w:val="000000" w:themeColor="text1"/>
          <w:sz w:val="22"/>
          <w:lang w:val="es-ES_tradnl"/>
        </w:rPr>
        <w:t>determinar</w:t>
      </w:r>
      <w:r w:rsidRPr="00EF3E5A">
        <w:rPr>
          <w:rFonts w:ascii="Arial" w:eastAsia="Calibri" w:hAnsi="Arial" w:cs="Arial"/>
          <w:color w:val="000000" w:themeColor="text1"/>
          <w:sz w:val="22"/>
          <w:lang w:val="es-ES_tradnl"/>
        </w:rPr>
        <w:t xml:space="preserve"> el método hermenéutico que ha de seguirse al momento de llenar el vacío de regulación </w:t>
      </w:r>
      <w:r w:rsidR="000C397B" w:rsidRPr="00EF3E5A">
        <w:rPr>
          <w:rFonts w:ascii="Arial" w:eastAsia="Calibri" w:hAnsi="Arial" w:cs="Arial"/>
          <w:color w:val="000000" w:themeColor="text1"/>
          <w:sz w:val="22"/>
          <w:lang w:val="es-ES_tradnl"/>
        </w:rPr>
        <w:t xml:space="preserve">presente </w:t>
      </w:r>
      <w:r w:rsidRPr="00EF3E5A">
        <w:rPr>
          <w:rFonts w:ascii="Arial" w:eastAsia="Calibri" w:hAnsi="Arial" w:cs="Arial"/>
          <w:color w:val="000000" w:themeColor="text1"/>
          <w:sz w:val="22"/>
          <w:lang w:val="es-ES_tradnl"/>
        </w:rPr>
        <w:t>en los manuales de contratación de las entidades con régimen especial, el operador jurí</w:t>
      </w:r>
      <w:r w:rsidR="007349F3" w:rsidRPr="00EF3E5A">
        <w:rPr>
          <w:rFonts w:ascii="Arial" w:eastAsia="Calibri" w:hAnsi="Arial" w:cs="Arial"/>
          <w:color w:val="000000" w:themeColor="text1"/>
          <w:sz w:val="22"/>
          <w:lang w:val="es-ES_tradnl"/>
        </w:rPr>
        <w:t xml:space="preserve">dico debe indagar sobre qué materia </w:t>
      </w:r>
      <w:r w:rsidR="00094748" w:rsidRPr="00EF3E5A">
        <w:rPr>
          <w:rFonts w:ascii="Arial" w:eastAsia="Calibri" w:hAnsi="Arial" w:cs="Arial"/>
          <w:color w:val="000000" w:themeColor="text1"/>
          <w:sz w:val="22"/>
          <w:lang w:val="es-ES_tradnl"/>
        </w:rPr>
        <w:t xml:space="preserve">hay </w:t>
      </w:r>
      <w:r w:rsidR="00B113BF" w:rsidRPr="00EF3E5A">
        <w:rPr>
          <w:rFonts w:ascii="Arial" w:eastAsia="Calibri" w:hAnsi="Arial" w:cs="Arial"/>
          <w:color w:val="000000" w:themeColor="text1"/>
          <w:sz w:val="22"/>
          <w:lang w:val="es-ES_tradnl"/>
        </w:rPr>
        <w:t xml:space="preserve">laguna. </w:t>
      </w:r>
      <w:r w:rsidR="007349F3" w:rsidRPr="00EF3E5A">
        <w:rPr>
          <w:rFonts w:ascii="Arial" w:eastAsia="Calibri" w:hAnsi="Arial" w:cs="Arial"/>
          <w:color w:val="000000" w:themeColor="text1"/>
          <w:sz w:val="22"/>
          <w:lang w:val="es-ES_tradnl"/>
        </w:rPr>
        <w:t xml:space="preserve">Ello por cuanto existen </w:t>
      </w:r>
      <w:r w:rsidR="006E73B1" w:rsidRPr="00EF3E5A">
        <w:rPr>
          <w:rFonts w:ascii="Arial" w:eastAsia="Calibri" w:hAnsi="Arial" w:cs="Arial"/>
          <w:i/>
          <w:color w:val="000000" w:themeColor="text1"/>
          <w:sz w:val="22"/>
          <w:lang w:val="es-ES_tradnl"/>
        </w:rPr>
        <w:t>tres</w:t>
      </w:r>
      <w:r w:rsidR="007349F3" w:rsidRPr="00EF3E5A">
        <w:rPr>
          <w:rFonts w:ascii="Arial" w:eastAsia="Calibri" w:hAnsi="Arial" w:cs="Arial"/>
          <w:color w:val="000000" w:themeColor="text1"/>
          <w:sz w:val="22"/>
          <w:lang w:val="es-ES_tradnl"/>
        </w:rPr>
        <w:t xml:space="preserve"> remisiones legales, que deben </w:t>
      </w:r>
      <w:r w:rsidR="0002128D" w:rsidRPr="00EF3E5A">
        <w:rPr>
          <w:rFonts w:ascii="Arial" w:eastAsia="Calibri" w:hAnsi="Arial" w:cs="Arial"/>
          <w:color w:val="000000" w:themeColor="text1"/>
          <w:sz w:val="22"/>
          <w:lang w:val="es-ES_tradnl"/>
        </w:rPr>
        <w:t xml:space="preserve">interpretarse sistemáticamente: i) la que efectúa </w:t>
      </w:r>
      <w:r w:rsidR="00891978" w:rsidRPr="00EF3E5A">
        <w:rPr>
          <w:rFonts w:ascii="Arial" w:eastAsia="Calibri" w:hAnsi="Arial" w:cs="Arial"/>
          <w:color w:val="000000" w:themeColor="text1"/>
          <w:sz w:val="22"/>
          <w:lang w:val="es-ES_tradnl"/>
        </w:rPr>
        <w:t>hacia el</w:t>
      </w:r>
      <w:r w:rsidR="0002128D" w:rsidRPr="00EF3E5A">
        <w:rPr>
          <w:rFonts w:ascii="Arial" w:eastAsia="Calibri" w:hAnsi="Arial" w:cs="Arial"/>
          <w:color w:val="000000" w:themeColor="text1"/>
          <w:sz w:val="22"/>
          <w:lang w:val="es-ES_tradnl"/>
        </w:rPr>
        <w:t xml:space="preserve"> derecho privado la norma legal que constituye el régimen especial de la entidad correspondiente</w:t>
      </w:r>
      <w:r w:rsidR="00891978" w:rsidRPr="00EF3E5A">
        <w:rPr>
          <w:rFonts w:ascii="Arial" w:eastAsia="Calibri" w:hAnsi="Arial" w:cs="Arial"/>
          <w:color w:val="000000" w:themeColor="text1"/>
          <w:sz w:val="22"/>
          <w:lang w:val="es-ES_tradnl"/>
        </w:rPr>
        <w:t xml:space="preserve"> –por ejemplo, el artículo 31 de la Ley </w:t>
      </w:r>
      <w:r w:rsidR="00891978" w:rsidRPr="00EF3E5A">
        <w:rPr>
          <w:rFonts w:ascii="Arial" w:eastAsia="Calibri" w:hAnsi="Arial" w:cs="Arial"/>
          <w:color w:val="000000" w:themeColor="text1"/>
          <w:sz w:val="22"/>
          <w:lang w:val="es-ES_tradnl"/>
        </w:rPr>
        <w:lastRenderedPageBreak/>
        <w:t>142 de 1994 o el artículo 195, numeral 6</w:t>
      </w:r>
      <w:r w:rsidR="00D74C57" w:rsidRPr="00EF3E5A">
        <w:rPr>
          <w:rFonts w:ascii="Arial" w:eastAsia="Calibri" w:hAnsi="Arial" w:cs="Arial"/>
          <w:color w:val="000000" w:themeColor="text1"/>
          <w:sz w:val="22"/>
          <w:lang w:val="es-ES_tradnl"/>
        </w:rPr>
        <w:t>,</w:t>
      </w:r>
      <w:r w:rsidR="00891978" w:rsidRPr="00EF3E5A">
        <w:rPr>
          <w:rFonts w:ascii="Arial" w:eastAsia="Calibri" w:hAnsi="Arial" w:cs="Arial"/>
          <w:color w:val="000000" w:themeColor="text1"/>
          <w:sz w:val="22"/>
          <w:lang w:val="es-ES_tradnl"/>
        </w:rPr>
        <w:t xml:space="preserve"> de la Ley 100 de 1993, por mencionar solo </w:t>
      </w:r>
      <w:r w:rsidR="00D74C57" w:rsidRPr="00EF3E5A">
        <w:rPr>
          <w:rFonts w:ascii="Arial" w:eastAsia="Calibri" w:hAnsi="Arial" w:cs="Arial"/>
          <w:color w:val="000000" w:themeColor="text1"/>
          <w:sz w:val="22"/>
          <w:lang w:val="es-ES_tradnl"/>
        </w:rPr>
        <w:t>estos dos casos</w:t>
      </w:r>
      <w:r w:rsidR="00891978" w:rsidRPr="00EF3E5A">
        <w:rPr>
          <w:rFonts w:ascii="Arial" w:eastAsia="Calibri" w:hAnsi="Arial" w:cs="Arial"/>
          <w:color w:val="000000" w:themeColor="text1"/>
          <w:sz w:val="22"/>
          <w:lang w:val="es-ES_tradnl"/>
        </w:rPr>
        <w:t>–</w:t>
      </w:r>
      <w:r w:rsidR="00D74C57" w:rsidRPr="00EF3E5A">
        <w:rPr>
          <w:rFonts w:ascii="Arial" w:eastAsia="Calibri" w:hAnsi="Arial" w:cs="Arial"/>
          <w:color w:val="000000" w:themeColor="text1"/>
          <w:sz w:val="22"/>
          <w:lang w:val="es-ES_tradnl"/>
        </w:rPr>
        <w:t>;</w:t>
      </w:r>
      <w:r w:rsidR="00891978" w:rsidRPr="00EF3E5A">
        <w:rPr>
          <w:rFonts w:ascii="Arial" w:eastAsia="Calibri" w:hAnsi="Arial" w:cs="Arial"/>
          <w:color w:val="000000" w:themeColor="text1"/>
          <w:sz w:val="22"/>
          <w:lang w:val="es-ES_tradnl"/>
        </w:rPr>
        <w:t xml:space="preserve"> </w:t>
      </w:r>
      <w:r w:rsidR="004D718B" w:rsidRPr="00EF3E5A">
        <w:rPr>
          <w:rFonts w:ascii="Arial" w:eastAsia="Calibri" w:hAnsi="Arial" w:cs="Arial"/>
          <w:color w:val="000000" w:themeColor="text1"/>
          <w:sz w:val="22"/>
          <w:lang w:val="es-ES_tradnl"/>
        </w:rPr>
        <w:t>ii) la que prevén los artículos</w:t>
      </w:r>
      <w:r w:rsidR="009D72B1" w:rsidRPr="00EF3E5A">
        <w:rPr>
          <w:rFonts w:ascii="Arial" w:eastAsia="Calibri" w:hAnsi="Arial" w:cs="Arial"/>
          <w:color w:val="000000" w:themeColor="text1"/>
          <w:sz w:val="22"/>
          <w:lang w:val="es-ES_tradnl"/>
        </w:rPr>
        <w:t xml:space="preserve"> 2</w:t>
      </w:r>
      <w:r w:rsidR="004B645B" w:rsidRPr="00EF3E5A">
        <w:rPr>
          <w:rStyle w:val="Refdenotaalpie"/>
          <w:rFonts w:ascii="Arial" w:eastAsia="Calibri" w:hAnsi="Arial" w:cs="Arial"/>
          <w:color w:val="000000" w:themeColor="text1"/>
          <w:sz w:val="22"/>
          <w:lang w:val="es-ES_tradnl"/>
        </w:rPr>
        <w:footnoteReference w:id="9"/>
      </w:r>
      <w:r w:rsidR="009D72B1" w:rsidRPr="00EF3E5A">
        <w:rPr>
          <w:rFonts w:ascii="Arial" w:eastAsia="Calibri" w:hAnsi="Arial" w:cs="Arial"/>
          <w:color w:val="000000" w:themeColor="text1"/>
          <w:sz w:val="22"/>
          <w:lang w:val="es-ES_tradnl"/>
        </w:rPr>
        <w:t>, 34</w:t>
      </w:r>
      <w:r w:rsidR="004B645B" w:rsidRPr="00EF3E5A">
        <w:rPr>
          <w:rStyle w:val="Refdenotaalpie"/>
          <w:rFonts w:ascii="Arial" w:eastAsia="Calibri" w:hAnsi="Arial" w:cs="Arial"/>
          <w:color w:val="000000" w:themeColor="text1"/>
          <w:sz w:val="22"/>
          <w:lang w:val="es-ES_tradnl"/>
        </w:rPr>
        <w:footnoteReference w:id="10"/>
      </w:r>
      <w:r w:rsidR="009D72B1" w:rsidRPr="00EF3E5A">
        <w:rPr>
          <w:rFonts w:ascii="Arial" w:eastAsia="Calibri" w:hAnsi="Arial" w:cs="Arial"/>
          <w:color w:val="000000" w:themeColor="text1"/>
          <w:sz w:val="22"/>
          <w:lang w:val="es-ES_tradnl"/>
        </w:rPr>
        <w:t xml:space="preserve"> y 47</w:t>
      </w:r>
      <w:r w:rsidR="00EF795E" w:rsidRPr="00EF3E5A">
        <w:rPr>
          <w:rStyle w:val="Refdenotaalpie"/>
          <w:rFonts w:ascii="Arial" w:eastAsia="Calibri" w:hAnsi="Arial" w:cs="Arial"/>
          <w:color w:val="000000" w:themeColor="text1"/>
          <w:sz w:val="22"/>
          <w:lang w:val="es-ES_tradnl"/>
        </w:rPr>
        <w:footnoteReference w:id="11"/>
      </w:r>
      <w:r w:rsidR="009D72B1" w:rsidRPr="00EF3E5A">
        <w:rPr>
          <w:rFonts w:ascii="Arial" w:eastAsia="Calibri" w:hAnsi="Arial" w:cs="Arial"/>
          <w:color w:val="000000" w:themeColor="text1"/>
          <w:sz w:val="22"/>
          <w:lang w:val="es-ES_tradnl"/>
        </w:rPr>
        <w:t xml:space="preserve"> de la Ley 1437 de 2011</w:t>
      </w:r>
      <w:r w:rsidR="001E5ACA" w:rsidRPr="00EF3E5A">
        <w:rPr>
          <w:rFonts w:ascii="Arial" w:eastAsia="Calibri" w:hAnsi="Arial" w:cs="Arial"/>
          <w:color w:val="000000" w:themeColor="text1"/>
          <w:sz w:val="22"/>
          <w:lang w:val="es-ES_tradnl"/>
        </w:rPr>
        <w:t xml:space="preserve">, </w:t>
      </w:r>
      <w:r w:rsidR="00EB4E60" w:rsidRPr="00EF3E5A">
        <w:rPr>
          <w:rFonts w:ascii="Arial" w:eastAsia="Calibri" w:hAnsi="Arial" w:cs="Arial"/>
          <w:color w:val="000000" w:themeColor="text1"/>
          <w:sz w:val="22"/>
          <w:lang w:val="es-ES_tradnl"/>
        </w:rPr>
        <w:t>los cuales</w:t>
      </w:r>
      <w:r w:rsidR="001E5ACA" w:rsidRPr="00EF3E5A">
        <w:rPr>
          <w:rFonts w:ascii="Arial" w:eastAsia="Calibri" w:hAnsi="Arial" w:cs="Arial"/>
          <w:color w:val="000000" w:themeColor="text1"/>
          <w:sz w:val="22"/>
          <w:lang w:val="es-ES_tradnl"/>
        </w:rPr>
        <w:t xml:space="preserve"> disponen que las normas de la primera parte del Código de Procedimiento Administrativo y de lo Contencioso Administrativo</w:t>
      </w:r>
      <w:r w:rsidR="0075345C" w:rsidRPr="00EF3E5A">
        <w:rPr>
          <w:rFonts w:ascii="Arial" w:eastAsia="Calibri" w:hAnsi="Arial" w:cs="Arial"/>
          <w:color w:val="000000" w:themeColor="text1"/>
          <w:sz w:val="22"/>
          <w:lang w:val="es-ES_tradnl"/>
        </w:rPr>
        <w:t xml:space="preserve"> –CPACA– </w:t>
      </w:r>
      <w:r w:rsidR="001E5ACA" w:rsidRPr="00EF3E5A">
        <w:rPr>
          <w:rFonts w:ascii="Arial" w:eastAsia="Calibri" w:hAnsi="Arial" w:cs="Arial"/>
          <w:color w:val="000000" w:themeColor="text1"/>
          <w:sz w:val="22"/>
          <w:lang w:val="es-ES_tradnl"/>
        </w:rPr>
        <w:t xml:space="preserve">deben aplicarse en ausencia de lo </w:t>
      </w:r>
      <w:r w:rsidR="00845BC2" w:rsidRPr="00EF3E5A">
        <w:rPr>
          <w:rFonts w:ascii="Arial" w:eastAsia="Calibri" w:hAnsi="Arial" w:cs="Arial"/>
          <w:color w:val="000000" w:themeColor="text1"/>
          <w:sz w:val="22"/>
          <w:lang w:val="es-ES_tradnl"/>
        </w:rPr>
        <w:t xml:space="preserve">establecido en leyes especiales; y iii) la que establece el artículo 13 de la Ley 1150 de 2007 </w:t>
      </w:r>
      <w:r w:rsidR="003743B6" w:rsidRPr="00EF3E5A">
        <w:rPr>
          <w:rFonts w:ascii="Arial" w:eastAsia="Calibri" w:hAnsi="Arial" w:cs="Arial"/>
          <w:color w:val="000000" w:themeColor="text1"/>
          <w:sz w:val="22"/>
          <w:lang w:val="es-ES_tradnl"/>
        </w:rPr>
        <w:t>respecto de la aplicación de</w:t>
      </w:r>
      <w:r w:rsidR="00845BC2" w:rsidRPr="00EF3E5A">
        <w:rPr>
          <w:rFonts w:ascii="Arial" w:eastAsia="Calibri" w:hAnsi="Arial" w:cs="Arial"/>
          <w:color w:val="000000" w:themeColor="text1"/>
          <w:sz w:val="22"/>
          <w:lang w:val="es-ES_tradnl"/>
        </w:rPr>
        <w:t xml:space="preserve"> los principios de la función administrativa</w:t>
      </w:r>
      <w:r w:rsidR="00EB4E60" w:rsidRPr="00EF3E5A">
        <w:rPr>
          <w:rFonts w:ascii="Arial" w:eastAsia="Calibri" w:hAnsi="Arial" w:cs="Arial"/>
          <w:color w:val="000000" w:themeColor="text1"/>
          <w:sz w:val="22"/>
          <w:lang w:val="es-ES_tradnl"/>
        </w:rPr>
        <w:t xml:space="preserve"> –artículo 209 C.P.–</w:t>
      </w:r>
      <w:r w:rsidR="00845BC2" w:rsidRPr="00EF3E5A">
        <w:rPr>
          <w:rFonts w:ascii="Arial" w:eastAsia="Calibri" w:hAnsi="Arial" w:cs="Arial"/>
          <w:color w:val="000000" w:themeColor="text1"/>
          <w:sz w:val="22"/>
          <w:lang w:val="es-ES_tradnl"/>
        </w:rPr>
        <w:t xml:space="preserve"> y de la gestión fiscal</w:t>
      </w:r>
      <w:r w:rsidR="00EB4E60" w:rsidRPr="00EF3E5A">
        <w:rPr>
          <w:rFonts w:ascii="Arial" w:eastAsia="Calibri" w:hAnsi="Arial" w:cs="Arial"/>
          <w:color w:val="000000" w:themeColor="text1"/>
          <w:sz w:val="22"/>
          <w:lang w:val="es-ES_tradnl"/>
        </w:rPr>
        <w:t xml:space="preserve"> –artículo 267 C.P.–</w:t>
      </w:r>
      <w:r w:rsidR="00845BC2" w:rsidRPr="00EF3E5A">
        <w:rPr>
          <w:rFonts w:ascii="Arial" w:eastAsia="Calibri" w:hAnsi="Arial" w:cs="Arial"/>
          <w:color w:val="000000" w:themeColor="text1"/>
          <w:sz w:val="22"/>
          <w:lang w:val="es-ES_tradnl"/>
        </w:rPr>
        <w:t xml:space="preserve">, así como </w:t>
      </w:r>
      <w:r w:rsidR="003743B6" w:rsidRPr="00EF3E5A">
        <w:rPr>
          <w:rFonts w:ascii="Arial" w:eastAsia="Calibri" w:hAnsi="Arial" w:cs="Arial"/>
          <w:color w:val="000000" w:themeColor="text1"/>
          <w:sz w:val="22"/>
          <w:lang w:val="es-ES_tradnl"/>
        </w:rPr>
        <w:t>del</w:t>
      </w:r>
      <w:r w:rsidR="00845BC2" w:rsidRPr="00EF3E5A">
        <w:rPr>
          <w:rFonts w:ascii="Arial" w:eastAsia="Calibri" w:hAnsi="Arial" w:cs="Arial"/>
          <w:color w:val="000000" w:themeColor="text1"/>
          <w:sz w:val="22"/>
          <w:lang w:val="es-ES_tradnl"/>
        </w:rPr>
        <w:t xml:space="preserve"> régimen de inhabilidades e incompatibilidades previsto para la contratación estatal.</w:t>
      </w:r>
    </w:p>
    <w:p w14:paraId="1537D0D4" w14:textId="67538A48" w:rsidR="00BB20AF" w:rsidRPr="00EF3E5A" w:rsidRDefault="00E42F19" w:rsidP="004B645B">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En consecuencia, si el manual de contratación de la entidad de régimen especial no </w:t>
      </w:r>
      <w:r w:rsidR="0007666B" w:rsidRPr="00EF3E5A">
        <w:rPr>
          <w:rFonts w:ascii="Arial" w:eastAsia="Calibri" w:hAnsi="Arial" w:cs="Arial"/>
          <w:color w:val="000000" w:themeColor="text1"/>
          <w:sz w:val="22"/>
          <w:lang w:val="es-ES_tradnl"/>
        </w:rPr>
        <w:t>prevé</w:t>
      </w:r>
      <w:r w:rsidRPr="00EF3E5A">
        <w:rPr>
          <w:rFonts w:ascii="Arial" w:eastAsia="Calibri" w:hAnsi="Arial" w:cs="Arial"/>
          <w:color w:val="000000" w:themeColor="text1"/>
          <w:sz w:val="22"/>
          <w:lang w:val="es-ES_tradnl"/>
        </w:rPr>
        <w:t xml:space="preserve"> normas</w:t>
      </w:r>
      <w:r w:rsidR="0007666B" w:rsidRPr="00EF3E5A">
        <w:rPr>
          <w:rFonts w:ascii="Arial" w:eastAsia="Calibri" w:hAnsi="Arial" w:cs="Arial"/>
          <w:color w:val="000000" w:themeColor="text1"/>
          <w:sz w:val="22"/>
          <w:lang w:val="es-ES_tradnl"/>
        </w:rPr>
        <w:t xml:space="preserve"> –</w:t>
      </w:r>
      <w:r w:rsidR="007D28D9" w:rsidRPr="00EF3E5A">
        <w:rPr>
          <w:rFonts w:ascii="Arial" w:eastAsia="Calibri" w:hAnsi="Arial" w:cs="Arial"/>
          <w:color w:val="000000" w:themeColor="text1"/>
          <w:sz w:val="22"/>
          <w:lang w:val="es-ES_tradnl"/>
        </w:rPr>
        <w:t>es decir, si</w:t>
      </w:r>
      <w:r w:rsidR="0007666B" w:rsidRPr="00EF3E5A">
        <w:rPr>
          <w:rFonts w:ascii="Arial" w:eastAsia="Calibri" w:hAnsi="Arial" w:cs="Arial"/>
          <w:color w:val="000000" w:themeColor="text1"/>
          <w:sz w:val="22"/>
          <w:lang w:val="es-ES_tradnl"/>
        </w:rPr>
        <w:t xml:space="preserve"> tiene vacíos–</w:t>
      </w:r>
      <w:r w:rsidR="006E73B1" w:rsidRPr="00EF3E5A">
        <w:rPr>
          <w:rStyle w:val="Refdenotaalpie"/>
          <w:rFonts w:ascii="Arial" w:eastAsia="Calibri" w:hAnsi="Arial" w:cs="Arial"/>
          <w:color w:val="000000" w:themeColor="text1"/>
          <w:sz w:val="22"/>
          <w:lang w:val="es-ES_tradnl"/>
        </w:rPr>
        <w:footnoteReference w:id="12"/>
      </w:r>
      <w:r w:rsidRPr="00EF3E5A">
        <w:rPr>
          <w:rFonts w:ascii="Arial" w:eastAsia="Calibri" w:hAnsi="Arial" w:cs="Arial"/>
          <w:color w:val="000000" w:themeColor="text1"/>
          <w:sz w:val="22"/>
          <w:lang w:val="es-ES_tradnl"/>
        </w:rPr>
        <w:t xml:space="preserve"> </w:t>
      </w:r>
      <w:r w:rsidR="0007666B" w:rsidRPr="00EF3E5A">
        <w:rPr>
          <w:rFonts w:ascii="Arial" w:eastAsia="Calibri" w:hAnsi="Arial" w:cs="Arial"/>
          <w:color w:val="000000" w:themeColor="text1"/>
          <w:sz w:val="22"/>
          <w:lang w:val="es-ES_tradnl"/>
        </w:rPr>
        <w:t>sobre</w:t>
      </w:r>
      <w:r w:rsidR="0077581F" w:rsidRPr="00EF3E5A">
        <w:rPr>
          <w:rFonts w:ascii="Arial" w:eastAsia="Calibri" w:hAnsi="Arial" w:cs="Arial"/>
          <w:color w:val="000000" w:themeColor="text1"/>
          <w:sz w:val="22"/>
          <w:lang w:val="es-ES_tradnl"/>
        </w:rPr>
        <w:t>:</w:t>
      </w:r>
      <w:r w:rsidRPr="00EF3E5A">
        <w:rPr>
          <w:rFonts w:ascii="Arial" w:eastAsia="Calibri" w:hAnsi="Arial" w:cs="Arial"/>
          <w:color w:val="000000" w:themeColor="text1"/>
          <w:sz w:val="22"/>
          <w:lang w:val="es-ES_tradnl"/>
        </w:rPr>
        <w:t xml:space="preserve"> </w:t>
      </w:r>
      <w:r w:rsidR="00A35DB0" w:rsidRPr="00EF3E5A">
        <w:rPr>
          <w:rFonts w:ascii="Arial" w:eastAsia="Calibri" w:hAnsi="Arial" w:cs="Arial"/>
          <w:color w:val="000000" w:themeColor="text1"/>
          <w:sz w:val="22"/>
          <w:lang w:val="es-ES_tradnl"/>
        </w:rPr>
        <w:t xml:space="preserve">i) </w:t>
      </w:r>
      <w:r w:rsidRPr="00EF3E5A">
        <w:rPr>
          <w:rFonts w:ascii="Arial" w:eastAsia="Calibri" w:hAnsi="Arial" w:cs="Arial"/>
          <w:color w:val="000000" w:themeColor="text1"/>
          <w:sz w:val="22"/>
          <w:lang w:val="es-ES_tradnl"/>
        </w:rPr>
        <w:t xml:space="preserve">los elementos de existencia y validez </w:t>
      </w:r>
      <w:r w:rsidRPr="00EF3E5A">
        <w:rPr>
          <w:rFonts w:ascii="Arial" w:eastAsia="Calibri" w:hAnsi="Arial" w:cs="Arial"/>
          <w:color w:val="000000" w:themeColor="text1"/>
          <w:sz w:val="22"/>
          <w:lang w:val="es-ES_tradnl"/>
        </w:rPr>
        <w:lastRenderedPageBreak/>
        <w:t xml:space="preserve">del contrato, </w:t>
      </w:r>
      <w:r w:rsidR="00A35DB0" w:rsidRPr="00EF3E5A">
        <w:rPr>
          <w:rFonts w:ascii="Arial" w:eastAsia="Calibri" w:hAnsi="Arial" w:cs="Arial"/>
          <w:color w:val="000000" w:themeColor="text1"/>
          <w:sz w:val="22"/>
          <w:lang w:val="es-ES_tradnl"/>
        </w:rPr>
        <w:t xml:space="preserve">ii) </w:t>
      </w:r>
      <w:r w:rsidRPr="00EF3E5A">
        <w:rPr>
          <w:rFonts w:ascii="Arial" w:eastAsia="Calibri" w:hAnsi="Arial" w:cs="Arial"/>
          <w:color w:val="000000" w:themeColor="text1"/>
          <w:sz w:val="22"/>
          <w:lang w:val="es-ES_tradnl"/>
        </w:rPr>
        <w:t xml:space="preserve">los vicios que pueden generar su anulación, </w:t>
      </w:r>
      <w:r w:rsidR="00A35DB0" w:rsidRPr="00EF3E5A">
        <w:rPr>
          <w:rFonts w:ascii="Arial" w:eastAsia="Calibri" w:hAnsi="Arial" w:cs="Arial"/>
          <w:color w:val="000000" w:themeColor="text1"/>
          <w:sz w:val="22"/>
          <w:lang w:val="es-ES_tradnl"/>
        </w:rPr>
        <w:t>ii</w:t>
      </w:r>
      <w:r w:rsidR="00D2246B" w:rsidRPr="00EF3E5A">
        <w:rPr>
          <w:rFonts w:ascii="Arial" w:eastAsia="Calibri" w:hAnsi="Arial" w:cs="Arial"/>
          <w:color w:val="000000" w:themeColor="text1"/>
          <w:sz w:val="22"/>
          <w:lang w:val="es-ES_tradnl"/>
        </w:rPr>
        <w:t>i</w:t>
      </w:r>
      <w:r w:rsidR="00A35DB0" w:rsidRPr="00EF3E5A">
        <w:rPr>
          <w:rFonts w:ascii="Arial" w:eastAsia="Calibri" w:hAnsi="Arial" w:cs="Arial"/>
          <w:color w:val="000000" w:themeColor="text1"/>
          <w:sz w:val="22"/>
          <w:lang w:val="es-ES_tradnl"/>
        </w:rPr>
        <w:t xml:space="preserve">) </w:t>
      </w:r>
      <w:r w:rsidRPr="00EF3E5A">
        <w:rPr>
          <w:rFonts w:ascii="Arial" w:eastAsia="Calibri" w:hAnsi="Arial" w:cs="Arial"/>
          <w:color w:val="000000" w:themeColor="text1"/>
          <w:sz w:val="22"/>
          <w:lang w:val="es-ES_tradnl"/>
        </w:rPr>
        <w:t>la tipología de los</w:t>
      </w:r>
      <w:r w:rsidR="00A35DB0" w:rsidRPr="00EF3E5A">
        <w:rPr>
          <w:rFonts w:ascii="Arial" w:eastAsia="Calibri" w:hAnsi="Arial" w:cs="Arial"/>
          <w:color w:val="000000" w:themeColor="text1"/>
          <w:sz w:val="22"/>
          <w:lang w:val="es-ES_tradnl"/>
        </w:rPr>
        <w:t xml:space="preserve"> negocios jurídicos</w:t>
      </w:r>
      <w:r w:rsidR="00D2246B" w:rsidRPr="00EF3E5A">
        <w:rPr>
          <w:rFonts w:ascii="Arial" w:eastAsia="Calibri" w:hAnsi="Arial" w:cs="Arial"/>
          <w:color w:val="000000" w:themeColor="text1"/>
          <w:sz w:val="22"/>
          <w:lang w:val="es-ES_tradnl"/>
        </w:rPr>
        <w:t>, iv) los criterios de interpretación de las estipulaciones contractuales, v) el concepto y l</w:t>
      </w:r>
      <w:r w:rsidR="00B67830" w:rsidRPr="00EF3E5A">
        <w:rPr>
          <w:rFonts w:ascii="Arial" w:eastAsia="Calibri" w:hAnsi="Arial" w:cs="Arial"/>
          <w:color w:val="000000" w:themeColor="text1"/>
          <w:sz w:val="22"/>
          <w:lang w:val="es-ES_tradnl"/>
        </w:rPr>
        <w:t>os requisitos de la oferta</w:t>
      </w:r>
      <w:r w:rsidR="00B955E0" w:rsidRPr="00EF3E5A">
        <w:rPr>
          <w:rFonts w:ascii="Arial" w:eastAsia="Calibri" w:hAnsi="Arial" w:cs="Arial"/>
          <w:color w:val="000000" w:themeColor="text1"/>
          <w:sz w:val="22"/>
          <w:lang w:val="es-ES_tradnl"/>
        </w:rPr>
        <w:t>, vi) las formas de extinción de las obligaciones, vii) la responsabilidad contractual</w:t>
      </w:r>
      <w:r w:rsidR="00B67830" w:rsidRPr="00EF3E5A">
        <w:rPr>
          <w:rFonts w:ascii="Arial" w:eastAsia="Calibri" w:hAnsi="Arial" w:cs="Arial"/>
          <w:color w:val="000000" w:themeColor="text1"/>
          <w:sz w:val="22"/>
          <w:lang w:val="es-ES_tradnl"/>
        </w:rPr>
        <w:t xml:space="preserve">, y otras materias similares </w:t>
      </w:r>
      <w:r w:rsidR="00B955E0" w:rsidRPr="00EF3E5A">
        <w:rPr>
          <w:rFonts w:ascii="Arial" w:eastAsia="Calibri" w:hAnsi="Arial" w:cs="Arial"/>
          <w:color w:val="000000" w:themeColor="text1"/>
          <w:sz w:val="22"/>
          <w:lang w:val="es-ES_tradnl"/>
        </w:rPr>
        <w:t xml:space="preserve">relacionadas con </w:t>
      </w:r>
      <w:r w:rsidR="00B67830" w:rsidRPr="00EF3E5A">
        <w:rPr>
          <w:rFonts w:ascii="Arial" w:eastAsia="Calibri" w:hAnsi="Arial" w:cs="Arial"/>
          <w:color w:val="000000" w:themeColor="text1"/>
          <w:sz w:val="22"/>
          <w:lang w:val="es-ES_tradnl"/>
        </w:rPr>
        <w:t>el régimen sustantivo del contrato,</w:t>
      </w:r>
      <w:r w:rsidR="00B955E0" w:rsidRPr="00EF3E5A">
        <w:rPr>
          <w:rFonts w:ascii="Arial" w:eastAsia="Calibri" w:hAnsi="Arial" w:cs="Arial"/>
          <w:color w:val="000000" w:themeColor="text1"/>
          <w:sz w:val="22"/>
          <w:lang w:val="es-ES_tradnl"/>
        </w:rPr>
        <w:t xml:space="preserve"> la ausencia de tales disposiciones en el reglamento interno de contratación </w:t>
      </w:r>
      <w:r w:rsidR="009333DD" w:rsidRPr="00EF3E5A">
        <w:rPr>
          <w:rFonts w:ascii="Arial" w:eastAsia="Calibri" w:hAnsi="Arial" w:cs="Arial"/>
          <w:color w:val="000000" w:themeColor="text1"/>
          <w:sz w:val="22"/>
          <w:lang w:val="es-ES_tradnl"/>
        </w:rPr>
        <w:t xml:space="preserve">de la entidad exceptuada </w:t>
      </w:r>
      <w:r w:rsidR="00B955E0" w:rsidRPr="00EF3E5A">
        <w:rPr>
          <w:rFonts w:ascii="Arial" w:eastAsia="Calibri" w:hAnsi="Arial" w:cs="Arial"/>
          <w:color w:val="000000" w:themeColor="text1"/>
          <w:sz w:val="22"/>
          <w:lang w:val="es-ES_tradnl"/>
        </w:rPr>
        <w:t>debe suplirse con las normas del Có</w:t>
      </w:r>
      <w:r w:rsidR="0025531C" w:rsidRPr="00EF3E5A">
        <w:rPr>
          <w:rFonts w:ascii="Arial" w:eastAsia="Calibri" w:hAnsi="Arial" w:cs="Arial"/>
          <w:color w:val="000000" w:themeColor="text1"/>
          <w:sz w:val="22"/>
          <w:lang w:val="es-ES_tradnl"/>
        </w:rPr>
        <w:t xml:space="preserve">digo Civil y </w:t>
      </w:r>
      <w:r w:rsidR="00B955E0" w:rsidRPr="00EF3E5A">
        <w:rPr>
          <w:rFonts w:ascii="Arial" w:eastAsia="Calibri" w:hAnsi="Arial" w:cs="Arial"/>
          <w:color w:val="000000" w:themeColor="text1"/>
          <w:sz w:val="22"/>
          <w:lang w:val="es-ES_tradnl"/>
        </w:rPr>
        <w:t>del Código de Comercio</w:t>
      </w:r>
      <w:r w:rsidR="00AD1BC5" w:rsidRPr="00EF3E5A">
        <w:rPr>
          <w:rStyle w:val="Refdenotaalpie"/>
          <w:rFonts w:ascii="Arial" w:eastAsia="Calibri" w:hAnsi="Arial" w:cs="Arial"/>
          <w:color w:val="000000" w:themeColor="text1"/>
          <w:sz w:val="22"/>
          <w:lang w:val="es-ES_tradnl"/>
        </w:rPr>
        <w:footnoteReference w:id="13"/>
      </w:r>
      <w:r w:rsidR="00B955E0" w:rsidRPr="00EF3E5A">
        <w:rPr>
          <w:rFonts w:ascii="Arial" w:eastAsia="Calibri" w:hAnsi="Arial" w:cs="Arial"/>
          <w:color w:val="000000" w:themeColor="text1"/>
          <w:sz w:val="22"/>
          <w:lang w:val="es-ES_tradnl"/>
        </w:rPr>
        <w:t xml:space="preserve">, </w:t>
      </w:r>
      <w:r w:rsidR="0025531C" w:rsidRPr="00EF3E5A">
        <w:rPr>
          <w:rFonts w:ascii="Arial" w:eastAsia="Calibri" w:hAnsi="Arial" w:cs="Arial"/>
          <w:color w:val="000000" w:themeColor="text1"/>
          <w:sz w:val="22"/>
          <w:lang w:val="es-ES_tradnl"/>
        </w:rPr>
        <w:t>con</w:t>
      </w:r>
      <w:r w:rsidR="00B955E0" w:rsidRPr="00EF3E5A">
        <w:rPr>
          <w:rFonts w:ascii="Arial" w:eastAsia="Calibri" w:hAnsi="Arial" w:cs="Arial"/>
          <w:color w:val="000000" w:themeColor="text1"/>
          <w:sz w:val="22"/>
          <w:lang w:val="es-ES_tradnl"/>
        </w:rPr>
        <w:t xml:space="preserve"> la c</w:t>
      </w:r>
      <w:r w:rsidR="00CA474A" w:rsidRPr="00EF3E5A">
        <w:rPr>
          <w:rFonts w:ascii="Arial" w:eastAsia="Calibri" w:hAnsi="Arial" w:cs="Arial"/>
          <w:color w:val="000000" w:themeColor="text1"/>
          <w:sz w:val="22"/>
          <w:lang w:val="es-ES_tradnl"/>
        </w:rPr>
        <w:t>ostumbre mercantil</w:t>
      </w:r>
      <w:r w:rsidR="004E750B" w:rsidRPr="00EF3E5A">
        <w:rPr>
          <w:rStyle w:val="Refdenotaalpie"/>
          <w:rFonts w:ascii="Arial" w:eastAsia="Calibri" w:hAnsi="Arial" w:cs="Arial"/>
          <w:color w:val="000000" w:themeColor="text1"/>
          <w:sz w:val="22"/>
          <w:lang w:val="es-ES_tradnl"/>
        </w:rPr>
        <w:footnoteReference w:id="14"/>
      </w:r>
      <w:r w:rsidR="00CA474A" w:rsidRPr="00EF3E5A">
        <w:rPr>
          <w:rFonts w:ascii="Arial" w:eastAsia="Calibri" w:hAnsi="Arial" w:cs="Arial"/>
          <w:color w:val="000000" w:themeColor="text1"/>
          <w:sz w:val="22"/>
          <w:lang w:val="es-ES_tradnl"/>
        </w:rPr>
        <w:t xml:space="preserve"> y con los principios generales que rigen las relaciones contractuales de los particulares</w:t>
      </w:r>
      <w:r w:rsidR="00E9469D" w:rsidRPr="00EF3E5A">
        <w:rPr>
          <w:rFonts w:ascii="Arial" w:eastAsia="Calibri" w:hAnsi="Arial" w:cs="Arial"/>
          <w:color w:val="000000" w:themeColor="text1"/>
          <w:sz w:val="22"/>
          <w:lang w:val="es-ES_tradnl"/>
        </w:rPr>
        <w:t xml:space="preserve">, </w:t>
      </w:r>
      <w:r w:rsidR="00C3799C" w:rsidRPr="00EF3E5A">
        <w:rPr>
          <w:rFonts w:ascii="Arial" w:eastAsia="Calibri" w:hAnsi="Arial" w:cs="Arial"/>
          <w:color w:val="000000" w:themeColor="text1"/>
          <w:sz w:val="22"/>
          <w:lang w:val="es-ES_tradnl"/>
        </w:rPr>
        <w:t xml:space="preserve">que ingresan dentro de la categoría de la </w:t>
      </w:r>
      <w:r w:rsidR="00C3799C" w:rsidRPr="00EF3E5A">
        <w:rPr>
          <w:rFonts w:ascii="Arial" w:eastAsia="Calibri" w:hAnsi="Arial" w:cs="Arial"/>
          <w:i/>
          <w:color w:val="000000" w:themeColor="text1"/>
          <w:sz w:val="22"/>
          <w:lang w:val="es-ES_tradnl"/>
        </w:rPr>
        <w:t>lex mercatoria</w:t>
      </w:r>
      <w:r w:rsidR="004E750B" w:rsidRPr="00EF3E5A">
        <w:rPr>
          <w:rStyle w:val="Refdenotaalpie"/>
          <w:rFonts w:ascii="Arial" w:eastAsia="Calibri" w:hAnsi="Arial" w:cs="Arial"/>
          <w:color w:val="000000" w:themeColor="text1"/>
          <w:sz w:val="22"/>
          <w:lang w:val="es-ES_tradnl"/>
        </w:rPr>
        <w:footnoteReference w:id="15"/>
      </w:r>
      <w:r w:rsidR="00CA474A" w:rsidRPr="00EF3E5A">
        <w:rPr>
          <w:rFonts w:ascii="Arial" w:eastAsia="Calibri" w:hAnsi="Arial" w:cs="Arial"/>
          <w:color w:val="000000" w:themeColor="text1"/>
          <w:sz w:val="22"/>
          <w:lang w:val="es-ES_tradnl"/>
        </w:rPr>
        <w:t>.</w:t>
      </w:r>
    </w:p>
    <w:p w14:paraId="4481721D" w14:textId="0AECD3B6" w:rsidR="0075345C" w:rsidRPr="00EF3E5A" w:rsidRDefault="005E7E46" w:rsidP="0075345C">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Por el contrario</w:t>
      </w:r>
      <w:r w:rsidR="00BB20AF" w:rsidRPr="00EF3E5A">
        <w:rPr>
          <w:rFonts w:ascii="Arial" w:eastAsia="Calibri" w:hAnsi="Arial" w:cs="Arial"/>
          <w:color w:val="000000" w:themeColor="text1"/>
          <w:sz w:val="22"/>
          <w:lang w:val="es-ES_tradnl"/>
        </w:rPr>
        <w:t>, si el vacío del manual de contratación tiene que ver con asuntos asociados al procedimiento administrativo, como</w:t>
      </w:r>
      <w:r w:rsidR="0077581F" w:rsidRPr="00EF3E5A">
        <w:rPr>
          <w:rFonts w:ascii="Arial" w:eastAsia="Calibri" w:hAnsi="Arial" w:cs="Arial"/>
          <w:color w:val="000000" w:themeColor="text1"/>
          <w:sz w:val="22"/>
          <w:lang w:val="es-ES_tradnl"/>
        </w:rPr>
        <w:t>:</w:t>
      </w:r>
      <w:r w:rsidR="00BB20AF" w:rsidRPr="00EF3E5A">
        <w:rPr>
          <w:rFonts w:ascii="Arial" w:eastAsia="Calibri" w:hAnsi="Arial" w:cs="Arial"/>
          <w:color w:val="000000" w:themeColor="text1"/>
          <w:sz w:val="22"/>
          <w:lang w:val="es-ES_tradnl"/>
        </w:rPr>
        <w:t xml:space="preserve"> i) la forma de iniciar la actuación administrativa, ii) los derechos y deberes de las entidades y de los particulares en los procedimientos administrativos, iii) </w:t>
      </w:r>
      <w:r w:rsidR="004E16E5" w:rsidRPr="00EF3E5A">
        <w:rPr>
          <w:rFonts w:ascii="Arial" w:eastAsia="Calibri" w:hAnsi="Arial" w:cs="Arial"/>
          <w:color w:val="000000" w:themeColor="text1"/>
          <w:sz w:val="22"/>
          <w:lang w:val="es-ES_tradnl"/>
        </w:rPr>
        <w:t>el trámite de las peticiones, iv) la notificación, comunicación o publicación de los actos administrativos, v) la presunción de legalidad, firmeza y ejecutoriedad</w:t>
      </w:r>
      <w:r w:rsidR="00FC2DE9" w:rsidRPr="00EF3E5A">
        <w:rPr>
          <w:rFonts w:ascii="Arial" w:eastAsia="Calibri" w:hAnsi="Arial" w:cs="Arial"/>
          <w:color w:val="000000" w:themeColor="text1"/>
          <w:sz w:val="22"/>
          <w:lang w:val="es-ES_tradnl"/>
        </w:rPr>
        <w:t xml:space="preserve"> de los actos admini</w:t>
      </w:r>
      <w:r w:rsidR="00ED4F9F" w:rsidRPr="00EF3E5A">
        <w:rPr>
          <w:rFonts w:ascii="Arial" w:eastAsia="Calibri" w:hAnsi="Arial" w:cs="Arial"/>
          <w:color w:val="000000" w:themeColor="text1"/>
          <w:sz w:val="22"/>
          <w:lang w:val="es-ES_tradnl"/>
        </w:rPr>
        <w:t xml:space="preserve">strativos, vi) los recursos contra </w:t>
      </w:r>
      <w:r w:rsidR="00BA2A4A" w:rsidRPr="00EF3E5A">
        <w:rPr>
          <w:rFonts w:ascii="Arial" w:eastAsia="Calibri" w:hAnsi="Arial" w:cs="Arial"/>
          <w:color w:val="000000" w:themeColor="text1"/>
          <w:sz w:val="22"/>
          <w:lang w:val="es-ES_tradnl"/>
        </w:rPr>
        <w:t>los actos administrativos, etc. –asuntos que, como se dijo, gozan de reserva de ley–,</w:t>
      </w:r>
      <w:r w:rsidR="00ED4F9F" w:rsidRPr="00EF3E5A">
        <w:rPr>
          <w:rFonts w:ascii="Arial" w:eastAsia="Calibri" w:hAnsi="Arial" w:cs="Arial"/>
          <w:color w:val="000000" w:themeColor="text1"/>
          <w:sz w:val="22"/>
          <w:lang w:val="es-ES_tradnl"/>
        </w:rPr>
        <w:t xml:space="preserve"> </w:t>
      </w:r>
      <w:r w:rsidR="00FC2DE9" w:rsidRPr="00EF3E5A">
        <w:rPr>
          <w:rFonts w:ascii="Arial" w:eastAsia="Calibri" w:hAnsi="Arial" w:cs="Arial"/>
          <w:color w:val="000000" w:themeColor="text1"/>
          <w:sz w:val="22"/>
          <w:lang w:val="es-ES_tradnl"/>
        </w:rPr>
        <w:t>la entidad de régimen especial debe aplicar el principio de subsidiariedad previsto en los artículos 2</w:t>
      </w:r>
      <w:r w:rsidR="00ED4F9F" w:rsidRPr="00EF3E5A">
        <w:rPr>
          <w:rFonts w:ascii="Arial" w:eastAsia="Calibri" w:hAnsi="Arial" w:cs="Arial"/>
          <w:color w:val="000000" w:themeColor="text1"/>
          <w:sz w:val="22"/>
          <w:lang w:val="es-ES_tradnl"/>
        </w:rPr>
        <w:t xml:space="preserve">, </w:t>
      </w:r>
      <w:r w:rsidR="0075345C" w:rsidRPr="00EF3E5A">
        <w:rPr>
          <w:rFonts w:ascii="Arial" w:eastAsia="Calibri" w:hAnsi="Arial" w:cs="Arial"/>
          <w:color w:val="000000" w:themeColor="text1"/>
          <w:sz w:val="22"/>
          <w:lang w:val="es-ES_tradnl"/>
        </w:rPr>
        <w:t>34 y 47 de la Ley 1437 de 2011; o sea, debe llenar tales lagunas con las normas de la primera parte del CPACA.</w:t>
      </w:r>
    </w:p>
    <w:p w14:paraId="0891E1B8" w14:textId="59D219A5" w:rsidR="003743B6" w:rsidRPr="00EF3E5A" w:rsidRDefault="003743B6" w:rsidP="0075345C">
      <w:pPr>
        <w:spacing w:before="120" w:after="120"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De otro lado, si lo que en el manual falta –precisamente porque está reservado a la ley– son normas que regulen las inhabilidades e incompatibilidades</w:t>
      </w:r>
      <w:r w:rsidR="00914BEA" w:rsidRPr="00EF3E5A">
        <w:rPr>
          <w:rFonts w:ascii="Arial" w:eastAsia="Calibri" w:hAnsi="Arial" w:cs="Arial"/>
          <w:color w:val="000000" w:themeColor="text1"/>
          <w:sz w:val="22"/>
          <w:lang w:val="es-ES_tradnl"/>
        </w:rPr>
        <w:t xml:space="preserve">, </w:t>
      </w:r>
      <w:r w:rsidR="00576733" w:rsidRPr="00EF3E5A">
        <w:rPr>
          <w:rFonts w:ascii="Arial" w:eastAsia="Calibri" w:hAnsi="Arial" w:cs="Arial"/>
          <w:color w:val="000000" w:themeColor="text1"/>
          <w:sz w:val="22"/>
          <w:lang w:val="es-ES_tradnl"/>
        </w:rPr>
        <w:t>en este caso</w:t>
      </w:r>
      <w:r w:rsidR="00914BEA" w:rsidRPr="00EF3E5A">
        <w:rPr>
          <w:rFonts w:ascii="Arial" w:eastAsia="Calibri" w:hAnsi="Arial" w:cs="Arial"/>
          <w:color w:val="000000" w:themeColor="text1"/>
          <w:sz w:val="22"/>
          <w:lang w:val="es-ES_tradnl"/>
        </w:rPr>
        <w:t xml:space="preserve"> </w:t>
      </w:r>
      <w:r w:rsidR="00576733" w:rsidRPr="00EF3E5A">
        <w:rPr>
          <w:rFonts w:ascii="Arial" w:eastAsia="Calibri" w:hAnsi="Arial" w:cs="Arial"/>
          <w:color w:val="000000" w:themeColor="text1"/>
          <w:sz w:val="22"/>
          <w:lang w:val="es-ES_tradnl"/>
        </w:rPr>
        <w:t xml:space="preserve">sí se debe acudir a las disposiciones que las consagran y </w:t>
      </w:r>
      <w:r w:rsidR="00C70B6F" w:rsidRPr="00EF3E5A">
        <w:rPr>
          <w:rFonts w:ascii="Arial" w:eastAsia="Calibri" w:hAnsi="Arial" w:cs="Arial"/>
          <w:color w:val="000000" w:themeColor="text1"/>
          <w:sz w:val="22"/>
          <w:lang w:val="es-ES_tradnl"/>
        </w:rPr>
        <w:t xml:space="preserve">que </w:t>
      </w:r>
      <w:r w:rsidR="00576733" w:rsidRPr="00EF3E5A">
        <w:rPr>
          <w:rFonts w:ascii="Arial" w:eastAsia="Calibri" w:hAnsi="Arial" w:cs="Arial"/>
          <w:color w:val="000000" w:themeColor="text1"/>
          <w:sz w:val="22"/>
          <w:lang w:val="es-ES_tradnl"/>
        </w:rPr>
        <w:t>establecen sus consecuencias, tanto en el Estatuto General de Contratación de la Administración Pública</w:t>
      </w:r>
      <w:r w:rsidR="000C6CCE" w:rsidRPr="00EF3E5A">
        <w:rPr>
          <w:rFonts w:ascii="Arial" w:eastAsia="Calibri" w:hAnsi="Arial" w:cs="Arial"/>
          <w:color w:val="000000" w:themeColor="text1"/>
          <w:sz w:val="22"/>
          <w:lang w:val="es-ES_tradnl"/>
        </w:rPr>
        <w:t xml:space="preserve">, </w:t>
      </w:r>
      <w:r w:rsidR="00576733" w:rsidRPr="00EF3E5A">
        <w:rPr>
          <w:rFonts w:ascii="Arial" w:eastAsia="Calibri" w:hAnsi="Arial" w:cs="Arial"/>
          <w:color w:val="000000" w:themeColor="text1"/>
          <w:sz w:val="22"/>
          <w:lang w:val="es-ES_tradnl"/>
        </w:rPr>
        <w:t xml:space="preserve">como en leyes complementarias. </w:t>
      </w:r>
      <w:r w:rsidRPr="00EF3E5A">
        <w:rPr>
          <w:rFonts w:ascii="Arial" w:eastAsia="Calibri" w:hAnsi="Arial" w:cs="Arial"/>
          <w:color w:val="000000" w:themeColor="text1"/>
          <w:sz w:val="22"/>
          <w:lang w:val="es-ES_tradnl"/>
        </w:rPr>
        <w:t xml:space="preserve"> </w:t>
      </w:r>
    </w:p>
    <w:p w14:paraId="6FB7DC94" w14:textId="080C202C" w:rsidR="004B645B" w:rsidRPr="00EF3E5A" w:rsidRDefault="0075345C" w:rsidP="009C68C5">
      <w:pPr>
        <w:spacing w:line="276" w:lineRule="auto"/>
        <w:ind w:firstLine="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En síntesis, </w:t>
      </w:r>
      <w:r w:rsidR="000C6CCE" w:rsidRPr="00EF3E5A">
        <w:rPr>
          <w:rFonts w:ascii="Arial" w:eastAsia="Calibri" w:hAnsi="Arial" w:cs="Arial"/>
          <w:color w:val="000000" w:themeColor="text1"/>
          <w:sz w:val="22"/>
          <w:lang w:val="es-ES_tradnl"/>
        </w:rPr>
        <w:t xml:space="preserve">los vacíos de los manuales de contratación de las entidades con régimen especial no siempre se llenan de la misma manera, pues ello depende de las </w:t>
      </w:r>
      <w:r w:rsidR="000C6CCE" w:rsidRPr="00EF3E5A">
        <w:rPr>
          <w:rFonts w:ascii="Arial" w:eastAsia="Calibri" w:hAnsi="Arial" w:cs="Arial"/>
          <w:color w:val="000000" w:themeColor="text1"/>
          <w:sz w:val="22"/>
          <w:lang w:val="es-ES_tradnl"/>
        </w:rPr>
        <w:lastRenderedPageBreak/>
        <w:t>materias sobre las cuales exista ausencia de regulació</w:t>
      </w:r>
      <w:r w:rsidR="00924B30" w:rsidRPr="00EF3E5A">
        <w:rPr>
          <w:rFonts w:ascii="Arial" w:eastAsia="Calibri" w:hAnsi="Arial" w:cs="Arial"/>
          <w:color w:val="000000" w:themeColor="text1"/>
          <w:sz w:val="22"/>
          <w:lang w:val="es-ES_tradnl"/>
        </w:rPr>
        <w:t>n en dicho reglamento interno.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w:t>
      </w:r>
      <w:r w:rsidR="00B86742" w:rsidRPr="00EF3E5A">
        <w:rPr>
          <w:rFonts w:ascii="Arial" w:eastAsia="Calibri" w:hAnsi="Arial" w:cs="Arial"/>
          <w:color w:val="000000" w:themeColor="text1"/>
          <w:sz w:val="22"/>
          <w:lang w:val="es-ES_tradnl"/>
        </w:rPr>
        <w:t xml:space="preserve">; los relacionados con las normas sobre inhabilidades e incompatibilidades, con las disposiciones que las regulen, contenidas bien sea en el Estatuto General de Contratación de la Administración Pública o en leyes complementarias. Finalmente, pero no por ello menos importante, </w:t>
      </w:r>
      <w:r w:rsidR="00BD28D5" w:rsidRPr="00EF3E5A">
        <w:rPr>
          <w:rFonts w:ascii="Arial" w:eastAsia="Calibri" w:hAnsi="Arial" w:cs="Arial"/>
          <w:color w:val="000000" w:themeColor="text1"/>
          <w:sz w:val="22"/>
          <w:lang w:val="es-ES_tradnl"/>
        </w:rPr>
        <w:t xml:space="preserve">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p>
    <w:p w14:paraId="33D9B30D" w14:textId="77777777" w:rsidR="009C68C5" w:rsidRPr="00EF3E5A" w:rsidRDefault="009C68C5" w:rsidP="002436DD">
      <w:pPr>
        <w:spacing w:line="276" w:lineRule="auto"/>
        <w:jc w:val="both"/>
        <w:rPr>
          <w:rFonts w:ascii="Arial" w:eastAsia="Calibri" w:hAnsi="Arial" w:cs="Arial"/>
          <w:b/>
          <w:color w:val="000000" w:themeColor="text1"/>
          <w:sz w:val="22"/>
          <w:lang w:val="es-ES_tradnl"/>
        </w:rPr>
      </w:pPr>
    </w:p>
    <w:p w14:paraId="2980998C" w14:textId="1DA0713C" w:rsidR="000920F0" w:rsidRPr="00EF3E5A" w:rsidRDefault="000920F0" w:rsidP="002436DD">
      <w:pPr>
        <w:spacing w:line="276" w:lineRule="auto"/>
        <w:jc w:val="both"/>
        <w:rPr>
          <w:rFonts w:ascii="Arial" w:eastAsia="Calibri" w:hAnsi="Arial" w:cs="Arial"/>
          <w:color w:val="000000" w:themeColor="text1"/>
          <w:sz w:val="22"/>
          <w:lang w:val="es-ES_tradnl"/>
        </w:rPr>
      </w:pPr>
      <w:r w:rsidRPr="00EF3E5A">
        <w:rPr>
          <w:rFonts w:ascii="Arial" w:eastAsia="Calibri" w:hAnsi="Arial" w:cs="Arial"/>
          <w:b/>
          <w:color w:val="000000" w:themeColor="text1"/>
          <w:sz w:val="22"/>
          <w:lang w:val="es-ES_tradnl"/>
        </w:rPr>
        <w:t>3. Respuesta</w:t>
      </w:r>
      <w:r w:rsidR="00A04EE6" w:rsidRPr="00EF3E5A">
        <w:rPr>
          <w:rFonts w:ascii="Arial" w:eastAsia="Calibri" w:hAnsi="Arial" w:cs="Arial"/>
          <w:b/>
          <w:color w:val="000000" w:themeColor="text1"/>
          <w:sz w:val="22"/>
          <w:lang w:val="es-ES_tradnl"/>
        </w:rPr>
        <w:t>s</w:t>
      </w:r>
    </w:p>
    <w:p w14:paraId="458F619B" w14:textId="77777777" w:rsidR="000920F0" w:rsidRPr="00EF3E5A" w:rsidRDefault="000920F0" w:rsidP="000920F0">
      <w:pPr>
        <w:spacing w:line="276" w:lineRule="auto"/>
        <w:ind w:left="709" w:right="709"/>
        <w:jc w:val="both"/>
        <w:rPr>
          <w:rFonts w:ascii="Arial" w:eastAsia="Calibri" w:hAnsi="Arial" w:cs="Arial"/>
          <w:i/>
          <w:color w:val="000000" w:themeColor="text1"/>
          <w:sz w:val="22"/>
          <w:lang w:val="es-ES_tradnl"/>
        </w:rPr>
      </w:pPr>
    </w:p>
    <w:p w14:paraId="28A057AB" w14:textId="432B0C81" w:rsidR="000920F0" w:rsidRPr="00EF3E5A" w:rsidRDefault="00EE7F0C" w:rsidP="000920F0">
      <w:pPr>
        <w:spacing w:line="276" w:lineRule="auto"/>
        <w:ind w:left="708" w:right="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i) «¿Deben las entidades públicas exceptuadas a la Ley 80 de 1993 de acuerdo al art. 13 de la Ley 1150 de 2007 acudir a las reglas de la Ley 80, Ley 1150 y decreto 1082 de 2015 para acudir a la solución de aspectos que no están plasmados en su manual de contratación?»</w:t>
      </w:r>
      <w:r w:rsidR="002518A6" w:rsidRPr="00EF3E5A">
        <w:rPr>
          <w:rFonts w:ascii="Arial" w:eastAsia="Calibri" w:hAnsi="Arial" w:cs="Arial"/>
          <w:color w:val="000000" w:themeColor="text1"/>
          <w:sz w:val="22"/>
          <w:lang w:val="es-ES_tradnl"/>
        </w:rPr>
        <w:t>.</w:t>
      </w:r>
    </w:p>
    <w:p w14:paraId="2A50053A" w14:textId="77777777" w:rsidR="000920F0" w:rsidRPr="00EF3E5A" w:rsidRDefault="000920F0" w:rsidP="000920F0">
      <w:pPr>
        <w:spacing w:line="276" w:lineRule="auto"/>
        <w:jc w:val="both"/>
        <w:rPr>
          <w:rFonts w:ascii="Arial" w:eastAsia="Calibri" w:hAnsi="Arial" w:cs="Arial"/>
          <w:color w:val="000000" w:themeColor="text1"/>
          <w:sz w:val="22"/>
          <w:lang w:val="es-ES_tradnl"/>
        </w:rPr>
      </w:pPr>
    </w:p>
    <w:p w14:paraId="431663DF" w14:textId="1F84F26F" w:rsidR="004B6246" w:rsidRPr="00EF3E5A" w:rsidRDefault="004B6246" w:rsidP="004B6246">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Las entidades exceptuadas de la aplicación del Estatuto General de Contratación de la Administración Pú</w:t>
      </w:r>
      <w:r w:rsidR="001078E6" w:rsidRPr="00EF3E5A">
        <w:rPr>
          <w:rFonts w:ascii="Arial" w:eastAsia="Calibri" w:hAnsi="Arial" w:cs="Arial"/>
          <w:color w:val="000000" w:themeColor="text1"/>
          <w:sz w:val="22"/>
          <w:lang w:val="es-ES_tradnl"/>
        </w:rPr>
        <w:t>blica</w:t>
      </w:r>
      <w:r w:rsidR="008E58E3" w:rsidRPr="00EF3E5A">
        <w:rPr>
          <w:rFonts w:ascii="Arial" w:eastAsia="Calibri" w:hAnsi="Arial" w:cs="Arial"/>
          <w:color w:val="000000" w:themeColor="text1"/>
          <w:sz w:val="22"/>
          <w:lang w:val="es-ES_tradnl"/>
        </w:rPr>
        <w:t>,</w:t>
      </w:r>
      <w:r w:rsidR="001078E6" w:rsidRPr="00EF3E5A">
        <w:rPr>
          <w:rFonts w:ascii="Arial" w:eastAsia="Calibri" w:hAnsi="Arial" w:cs="Arial"/>
          <w:color w:val="000000" w:themeColor="text1"/>
          <w:sz w:val="22"/>
          <w:lang w:val="es-ES_tradnl"/>
        </w:rPr>
        <w:t xml:space="preserve"> en principio</w:t>
      </w:r>
      <w:r w:rsidR="008E58E3" w:rsidRPr="00EF3E5A">
        <w:rPr>
          <w:rFonts w:ascii="Arial" w:eastAsia="Calibri" w:hAnsi="Arial" w:cs="Arial"/>
          <w:color w:val="000000" w:themeColor="text1"/>
          <w:sz w:val="22"/>
          <w:lang w:val="es-ES_tradnl"/>
        </w:rPr>
        <w:t>,</w:t>
      </w:r>
      <w:r w:rsidR="001078E6" w:rsidRPr="00EF3E5A">
        <w:rPr>
          <w:rFonts w:ascii="Arial" w:eastAsia="Calibri" w:hAnsi="Arial" w:cs="Arial"/>
          <w:color w:val="000000" w:themeColor="text1"/>
          <w:sz w:val="22"/>
          <w:lang w:val="es-ES_tradnl"/>
        </w:rPr>
        <w:t xml:space="preserve"> no deben acudir a la Ley 80 de 1993, a la Ley 1150 de 2007 y al Decreto 1082 de 2015 para resolver aspectos no regulados en su manual o reglamento interno de contratación, pues, como se indicó, el régimen jurídico de base de tales entidades es el derecho privado</w:t>
      </w:r>
      <w:r w:rsidR="00703DDF" w:rsidRPr="00EF3E5A">
        <w:rPr>
          <w:rFonts w:ascii="Arial" w:eastAsia="Calibri" w:hAnsi="Arial" w:cs="Arial"/>
          <w:color w:val="000000" w:themeColor="text1"/>
          <w:sz w:val="22"/>
          <w:lang w:val="es-ES_tradnl"/>
        </w:rPr>
        <w:t xml:space="preserve"> –en cuanto a los aspectos contractuales– y las normas </w:t>
      </w:r>
      <w:r w:rsidR="00560A4E" w:rsidRPr="00EF3E5A">
        <w:rPr>
          <w:rFonts w:ascii="Arial" w:eastAsia="Calibri" w:hAnsi="Arial" w:cs="Arial"/>
          <w:color w:val="000000" w:themeColor="text1"/>
          <w:sz w:val="22"/>
          <w:lang w:val="es-ES_tradnl"/>
        </w:rPr>
        <w:t xml:space="preserve">previstas en la </w:t>
      </w:r>
      <w:r w:rsidR="00703DDF" w:rsidRPr="00EF3E5A">
        <w:rPr>
          <w:rFonts w:ascii="Arial" w:eastAsia="Calibri" w:hAnsi="Arial" w:cs="Arial"/>
          <w:color w:val="000000" w:themeColor="text1"/>
          <w:sz w:val="22"/>
          <w:lang w:val="es-ES_tradnl"/>
        </w:rPr>
        <w:t xml:space="preserve">primera parte </w:t>
      </w:r>
      <w:r w:rsidR="00560A4E" w:rsidRPr="00EF3E5A">
        <w:rPr>
          <w:rFonts w:ascii="Arial" w:eastAsia="Calibri" w:hAnsi="Arial" w:cs="Arial"/>
          <w:color w:val="000000" w:themeColor="text1"/>
          <w:sz w:val="22"/>
          <w:lang w:val="es-ES_tradnl"/>
        </w:rPr>
        <w:t>de la Ley 1437 de 2011 –en relación con los temas asociados al procedimiento administrativo–. Pero</w:t>
      </w:r>
      <w:r w:rsidR="008563D1" w:rsidRPr="00EF3E5A">
        <w:rPr>
          <w:rFonts w:ascii="Arial" w:eastAsia="Calibri" w:hAnsi="Arial" w:cs="Arial"/>
          <w:color w:val="000000" w:themeColor="text1"/>
          <w:sz w:val="22"/>
          <w:lang w:val="es-ES_tradnl"/>
        </w:rPr>
        <w:t>,</w:t>
      </w:r>
      <w:r w:rsidR="00560A4E" w:rsidRPr="00EF3E5A">
        <w:rPr>
          <w:rFonts w:ascii="Arial" w:eastAsia="Calibri" w:hAnsi="Arial" w:cs="Arial"/>
          <w:color w:val="000000" w:themeColor="text1"/>
          <w:sz w:val="22"/>
          <w:lang w:val="es-ES_tradnl"/>
        </w:rPr>
        <w:t xml:space="preserve"> frente al régimen de inhabilidades e incompatibilidades sí deben acudir </w:t>
      </w:r>
      <w:r w:rsidR="008563D1" w:rsidRPr="00EF3E5A">
        <w:rPr>
          <w:rFonts w:ascii="Arial" w:eastAsia="Calibri" w:hAnsi="Arial" w:cs="Arial"/>
          <w:color w:val="000000" w:themeColor="text1"/>
          <w:sz w:val="22"/>
          <w:lang w:val="es-ES_tradnl"/>
        </w:rPr>
        <w:t>a</w:t>
      </w:r>
      <w:r w:rsidR="00560A4E" w:rsidRPr="00EF3E5A">
        <w:rPr>
          <w:rFonts w:ascii="Arial" w:eastAsia="Calibri" w:hAnsi="Arial" w:cs="Arial"/>
          <w:color w:val="000000" w:themeColor="text1"/>
          <w:sz w:val="22"/>
          <w:lang w:val="es-ES_tradnl"/>
        </w:rPr>
        <w:t xml:space="preserve">l Estatuto General de Contratación de la Administración Pública y </w:t>
      </w:r>
      <w:r w:rsidR="008563D1" w:rsidRPr="00EF3E5A">
        <w:rPr>
          <w:rFonts w:ascii="Arial" w:eastAsia="Calibri" w:hAnsi="Arial" w:cs="Arial"/>
          <w:color w:val="000000" w:themeColor="text1"/>
          <w:sz w:val="22"/>
          <w:lang w:val="es-ES_tradnl"/>
        </w:rPr>
        <w:t>a</w:t>
      </w:r>
      <w:r w:rsidR="00560A4E" w:rsidRPr="00EF3E5A">
        <w:rPr>
          <w:rFonts w:ascii="Arial" w:eastAsia="Calibri" w:hAnsi="Arial" w:cs="Arial"/>
          <w:color w:val="000000" w:themeColor="text1"/>
          <w:sz w:val="22"/>
          <w:lang w:val="es-ES_tradnl"/>
        </w:rPr>
        <w:t xml:space="preserve"> las leyes complementarias sobre este tema.</w:t>
      </w:r>
    </w:p>
    <w:p w14:paraId="29F5C2FC" w14:textId="77777777" w:rsidR="000920F0" w:rsidRPr="00EF3E5A" w:rsidRDefault="000920F0" w:rsidP="000920F0">
      <w:pPr>
        <w:spacing w:line="276" w:lineRule="auto"/>
        <w:jc w:val="both"/>
        <w:rPr>
          <w:rFonts w:ascii="Arial" w:eastAsia="Calibri" w:hAnsi="Arial" w:cs="Arial"/>
          <w:color w:val="000000" w:themeColor="text1"/>
          <w:sz w:val="22"/>
          <w:lang w:val="es-ES_tradnl"/>
        </w:rPr>
      </w:pPr>
    </w:p>
    <w:p w14:paraId="06A74689" w14:textId="1951B9D7" w:rsidR="002518A6" w:rsidRPr="00EF3E5A" w:rsidRDefault="003477C1" w:rsidP="002518A6">
      <w:pPr>
        <w:spacing w:line="276" w:lineRule="auto"/>
        <w:ind w:left="708" w:right="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ii) «</w:t>
      </w:r>
      <w:r w:rsidR="00EF1743" w:rsidRPr="00EF3E5A">
        <w:rPr>
          <w:rFonts w:ascii="Arial" w:eastAsia="Calibri" w:hAnsi="Arial" w:cs="Arial"/>
          <w:color w:val="000000" w:themeColor="text1"/>
          <w:sz w:val="22"/>
          <w:lang w:val="es-ES_tradnl"/>
        </w:rPr>
        <w:t>¿A</w:t>
      </w:r>
      <w:r w:rsidRPr="00EF3E5A">
        <w:rPr>
          <w:rFonts w:ascii="Arial" w:eastAsia="Calibri" w:hAnsi="Arial" w:cs="Arial"/>
          <w:color w:val="000000" w:themeColor="text1"/>
          <w:sz w:val="22"/>
          <w:lang w:val="es-ES_tradnl"/>
        </w:rPr>
        <w:t xml:space="preserve"> qué norma o a qué criterio debe acudir una entidad pública exceptuada del EGCP frente a casos que no están contemplados en su manual de contratación?»</w:t>
      </w:r>
      <w:r w:rsidR="002518A6" w:rsidRPr="00EF3E5A">
        <w:rPr>
          <w:rFonts w:ascii="Arial" w:eastAsia="Calibri" w:hAnsi="Arial" w:cs="Arial"/>
          <w:color w:val="000000" w:themeColor="text1"/>
          <w:sz w:val="22"/>
          <w:lang w:val="es-ES_tradnl"/>
        </w:rPr>
        <w:t>.</w:t>
      </w:r>
    </w:p>
    <w:p w14:paraId="30C1675E" w14:textId="77777777" w:rsidR="002518A6" w:rsidRPr="00EF3E5A" w:rsidRDefault="002518A6" w:rsidP="000920F0">
      <w:pPr>
        <w:spacing w:line="276" w:lineRule="auto"/>
        <w:jc w:val="both"/>
        <w:rPr>
          <w:rFonts w:ascii="Arial" w:eastAsia="Calibri" w:hAnsi="Arial" w:cs="Arial"/>
          <w:color w:val="000000" w:themeColor="text1"/>
          <w:sz w:val="22"/>
          <w:lang w:val="es-ES_tradnl"/>
        </w:rPr>
      </w:pPr>
    </w:p>
    <w:p w14:paraId="712F8F54" w14:textId="77777777" w:rsidR="004B6246" w:rsidRPr="00EF3E5A" w:rsidRDefault="004B6246" w:rsidP="004B6246">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Según se explicó, los vacíos de los manuales de contratación de las entidades con régimen especial no siempre se llenan de la misma manera, pues ello depende de las materias sobre las cuales exista ausencia de regulación en dicho reglamento interno.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w:t>
      </w:r>
      <w:r w:rsidRPr="00EF3E5A">
        <w:rPr>
          <w:rFonts w:ascii="Arial" w:eastAsia="Calibri" w:hAnsi="Arial" w:cs="Arial"/>
          <w:color w:val="000000" w:themeColor="text1"/>
          <w:sz w:val="22"/>
          <w:lang w:val="es-ES_tradnl"/>
        </w:rPr>
        <w:lastRenderedPageBreak/>
        <w:t xml:space="preserve">CPACA; los relacionados con las normas sobre inhabilidades e incompatibilidades, con las disposiciones que las regulen, contenidas bien sea en el Estatuto General de Contratación de la Administración Pública o en leyes complementarias. Finalmente,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p>
    <w:p w14:paraId="1BF466CF" w14:textId="77777777" w:rsidR="002518A6" w:rsidRPr="00EF3E5A" w:rsidRDefault="002518A6" w:rsidP="000920F0">
      <w:pPr>
        <w:spacing w:line="276" w:lineRule="auto"/>
        <w:jc w:val="both"/>
        <w:rPr>
          <w:rFonts w:ascii="Arial" w:eastAsia="Calibri" w:hAnsi="Arial" w:cs="Arial"/>
          <w:color w:val="000000" w:themeColor="text1"/>
          <w:sz w:val="22"/>
          <w:lang w:val="es-ES_tradnl"/>
        </w:rPr>
      </w:pPr>
    </w:p>
    <w:p w14:paraId="75EA1943" w14:textId="499D9E80" w:rsidR="002518A6" w:rsidRPr="00EF3E5A" w:rsidRDefault="002518A6" w:rsidP="002518A6">
      <w:pPr>
        <w:spacing w:line="276" w:lineRule="auto"/>
        <w:ind w:left="708" w:right="709"/>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 xml:space="preserve">iii) </w:t>
      </w:r>
      <w:r w:rsidR="00A63214" w:rsidRPr="00EF3E5A">
        <w:rPr>
          <w:rFonts w:ascii="Arial" w:eastAsia="Calibri" w:hAnsi="Arial" w:cs="Arial"/>
          <w:color w:val="000000" w:themeColor="text1"/>
          <w:sz w:val="22"/>
          <w:lang w:val="es-ES_tradnl"/>
        </w:rPr>
        <w:t>«¿A qué normas de manera supletiva debe dirigirse una entidad del Estado sujeta a régimen exceptuado o privado de contratación (no aplicable Estatuto General de Contratación Pública) para acudir a la solución de conflictos sobre Procedimientos contractuales que no estén regulados en su manual de contratación?»</w:t>
      </w:r>
      <w:r w:rsidRPr="00EF3E5A">
        <w:rPr>
          <w:rFonts w:ascii="Arial" w:eastAsia="Calibri" w:hAnsi="Arial" w:cs="Arial"/>
          <w:color w:val="000000" w:themeColor="text1"/>
          <w:sz w:val="22"/>
          <w:lang w:val="es-ES_tradnl"/>
        </w:rPr>
        <w:t>.</w:t>
      </w:r>
    </w:p>
    <w:p w14:paraId="30D820F8" w14:textId="77777777" w:rsidR="002518A6" w:rsidRPr="00EF3E5A" w:rsidRDefault="002518A6" w:rsidP="002518A6">
      <w:pPr>
        <w:spacing w:line="276" w:lineRule="auto"/>
        <w:jc w:val="both"/>
        <w:rPr>
          <w:rFonts w:ascii="Arial" w:eastAsia="Calibri" w:hAnsi="Arial" w:cs="Arial"/>
          <w:color w:val="000000" w:themeColor="text1"/>
          <w:sz w:val="22"/>
          <w:lang w:val="es-ES_tradnl"/>
        </w:rPr>
      </w:pPr>
    </w:p>
    <w:p w14:paraId="6E7586DC" w14:textId="40ABEEA6" w:rsidR="002518A6" w:rsidRPr="00EF3E5A" w:rsidRDefault="005B01B5" w:rsidP="002518A6">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Reiterando la</w:t>
      </w:r>
      <w:r w:rsidR="00893744" w:rsidRPr="00EF3E5A">
        <w:rPr>
          <w:rFonts w:ascii="Arial" w:eastAsia="Calibri" w:hAnsi="Arial" w:cs="Arial"/>
          <w:color w:val="000000" w:themeColor="text1"/>
          <w:sz w:val="22"/>
          <w:lang w:val="es-ES_tradnl"/>
        </w:rPr>
        <w:t>s</w:t>
      </w:r>
      <w:r w:rsidRPr="00EF3E5A">
        <w:rPr>
          <w:rFonts w:ascii="Arial" w:eastAsia="Calibri" w:hAnsi="Arial" w:cs="Arial"/>
          <w:color w:val="000000" w:themeColor="text1"/>
          <w:sz w:val="22"/>
          <w:lang w:val="es-ES_tradnl"/>
        </w:rPr>
        <w:t xml:space="preserve"> respuesta</w:t>
      </w:r>
      <w:r w:rsidR="00893744" w:rsidRPr="00EF3E5A">
        <w:rPr>
          <w:rFonts w:ascii="Arial" w:eastAsia="Calibri" w:hAnsi="Arial" w:cs="Arial"/>
          <w:color w:val="000000" w:themeColor="text1"/>
          <w:sz w:val="22"/>
          <w:lang w:val="es-ES_tradnl"/>
        </w:rPr>
        <w:t>s</w:t>
      </w:r>
      <w:r w:rsidRPr="00EF3E5A">
        <w:rPr>
          <w:rFonts w:ascii="Arial" w:eastAsia="Calibri" w:hAnsi="Arial" w:cs="Arial"/>
          <w:color w:val="000000" w:themeColor="text1"/>
          <w:sz w:val="22"/>
          <w:lang w:val="es-ES_tradnl"/>
        </w:rPr>
        <w:t xml:space="preserve"> anterior</w:t>
      </w:r>
      <w:r w:rsidR="00893744" w:rsidRPr="00EF3E5A">
        <w:rPr>
          <w:rFonts w:ascii="Arial" w:eastAsia="Calibri" w:hAnsi="Arial" w:cs="Arial"/>
          <w:color w:val="000000" w:themeColor="text1"/>
          <w:sz w:val="22"/>
          <w:lang w:val="es-ES_tradnl"/>
        </w:rPr>
        <w:t>es</w:t>
      </w:r>
      <w:r w:rsidRPr="00EF3E5A">
        <w:rPr>
          <w:rFonts w:ascii="Arial" w:eastAsia="Calibri" w:hAnsi="Arial" w:cs="Arial"/>
          <w:color w:val="000000" w:themeColor="text1"/>
          <w:sz w:val="22"/>
          <w:lang w:val="es-ES_tradnl"/>
        </w:rPr>
        <w:t xml:space="preserve">, </w:t>
      </w:r>
      <w:r w:rsidR="004B794D" w:rsidRPr="00EF3E5A">
        <w:rPr>
          <w:rFonts w:ascii="Arial" w:eastAsia="Calibri" w:hAnsi="Arial" w:cs="Arial"/>
          <w:color w:val="000000" w:themeColor="text1"/>
          <w:sz w:val="22"/>
          <w:lang w:val="es-ES_tradnl"/>
        </w:rPr>
        <w:t>ante la</w:t>
      </w:r>
      <w:r w:rsidR="009D71D6" w:rsidRPr="00EF3E5A">
        <w:rPr>
          <w:rFonts w:ascii="Arial" w:eastAsia="Calibri" w:hAnsi="Arial" w:cs="Arial"/>
          <w:color w:val="000000" w:themeColor="text1"/>
          <w:sz w:val="22"/>
          <w:lang w:val="es-ES_tradnl"/>
        </w:rPr>
        <w:t xml:space="preserve"> ausencia de regulación</w:t>
      </w:r>
      <w:r w:rsidR="004B794D" w:rsidRPr="00EF3E5A">
        <w:rPr>
          <w:rFonts w:ascii="Arial" w:eastAsia="Calibri" w:hAnsi="Arial" w:cs="Arial"/>
          <w:color w:val="000000" w:themeColor="text1"/>
          <w:sz w:val="22"/>
          <w:lang w:val="es-ES_tradnl"/>
        </w:rPr>
        <w:t xml:space="preserve">, en el manual de contratación, </w:t>
      </w:r>
      <w:r w:rsidR="009D71D6" w:rsidRPr="00EF3E5A">
        <w:rPr>
          <w:rFonts w:ascii="Arial" w:eastAsia="Calibri" w:hAnsi="Arial" w:cs="Arial"/>
          <w:color w:val="000000" w:themeColor="text1"/>
          <w:sz w:val="22"/>
          <w:lang w:val="es-ES_tradnl"/>
        </w:rPr>
        <w:t>de asuntos concernientes al procedimiento administrativo –sustanciación del trámite, acto administrativo, notificaciones, recursos, etc.–</w:t>
      </w:r>
      <w:r w:rsidR="000D30D4" w:rsidRPr="00EF3E5A">
        <w:rPr>
          <w:rFonts w:ascii="Arial" w:eastAsia="Calibri" w:hAnsi="Arial" w:cs="Arial"/>
          <w:color w:val="000000" w:themeColor="text1"/>
          <w:sz w:val="22"/>
          <w:lang w:val="es-ES_tradnl"/>
        </w:rPr>
        <w:t>,</w:t>
      </w:r>
      <w:r w:rsidR="004B794D" w:rsidRPr="00EF3E5A">
        <w:rPr>
          <w:rFonts w:ascii="Arial" w:eastAsia="Calibri" w:hAnsi="Arial" w:cs="Arial"/>
          <w:color w:val="000000" w:themeColor="text1"/>
          <w:sz w:val="22"/>
          <w:lang w:val="es-ES_tradnl"/>
        </w:rPr>
        <w:t xml:space="preserve"> se debe acudir a las normas de la primera parte de la Ley 1437 de 2011. En cambio</w:t>
      </w:r>
      <w:r w:rsidR="000D30D4" w:rsidRPr="00EF3E5A">
        <w:rPr>
          <w:rFonts w:ascii="Arial" w:eastAsia="Calibri" w:hAnsi="Arial" w:cs="Arial"/>
          <w:color w:val="000000" w:themeColor="text1"/>
          <w:sz w:val="22"/>
          <w:lang w:val="es-ES_tradnl"/>
        </w:rPr>
        <w:t>,</w:t>
      </w:r>
      <w:r w:rsidR="004B794D" w:rsidRPr="00EF3E5A">
        <w:rPr>
          <w:rFonts w:ascii="Arial" w:eastAsia="Calibri" w:hAnsi="Arial" w:cs="Arial"/>
          <w:color w:val="000000" w:themeColor="text1"/>
          <w:sz w:val="22"/>
          <w:lang w:val="es-ES_tradnl"/>
        </w:rPr>
        <w:t xml:space="preserve"> si en el manual no se </w:t>
      </w:r>
      <w:r w:rsidR="00BB094C" w:rsidRPr="00EF3E5A">
        <w:rPr>
          <w:rFonts w:ascii="Arial" w:eastAsia="Calibri" w:hAnsi="Arial" w:cs="Arial"/>
          <w:color w:val="000000" w:themeColor="text1"/>
          <w:sz w:val="22"/>
          <w:lang w:val="es-ES_tradnl"/>
        </w:rPr>
        <w:t xml:space="preserve">regulan aspectos que atañen al trámite negocial, como por ejemplo, los tratos preliminares entre quien formula la invitación –oferta– y quien hace las posturas, se debe acudir a las normas de derecho privado que regulan estos temas, pues </w:t>
      </w:r>
      <w:r w:rsidR="000D30D4" w:rsidRPr="00EF3E5A">
        <w:rPr>
          <w:rFonts w:ascii="Arial" w:eastAsia="Calibri" w:hAnsi="Arial" w:cs="Arial"/>
          <w:color w:val="000000" w:themeColor="text1"/>
          <w:sz w:val="22"/>
          <w:lang w:val="es-ES_tradnl"/>
        </w:rPr>
        <w:t>las disposiciones civiles y comerciales son las aplicables a las entidades exceptuadas en tales aspectos.</w:t>
      </w:r>
      <w:r w:rsidR="009D71D6" w:rsidRPr="00EF3E5A">
        <w:rPr>
          <w:rFonts w:ascii="Arial" w:eastAsia="Calibri" w:hAnsi="Arial" w:cs="Arial"/>
          <w:color w:val="000000" w:themeColor="text1"/>
          <w:sz w:val="22"/>
          <w:lang w:val="es-ES_tradnl"/>
        </w:rPr>
        <w:t xml:space="preserve"> </w:t>
      </w:r>
    </w:p>
    <w:p w14:paraId="738F6C34" w14:textId="77777777" w:rsidR="00696576" w:rsidRPr="00EF3E5A" w:rsidRDefault="00696576" w:rsidP="000920F0">
      <w:pPr>
        <w:spacing w:line="276" w:lineRule="auto"/>
        <w:jc w:val="both"/>
        <w:rPr>
          <w:rFonts w:ascii="Arial" w:eastAsia="Calibri" w:hAnsi="Arial" w:cs="Arial"/>
          <w:color w:val="000000" w:themeColor="text1"/>
          <w:sz w:val="22"/>
          <w:lang w:val="es-ES_tradnl"/>
        </w:rPr>
      </w:pPr>
    </w:p>
    <w:p w14:paraId="544609D3" w14:textId="77777777" w:rsidR="000920F0" w:rsidRPr="00EF3E5A" w:rsidRDefault="000920F0" w:rsidP="000920F0">
      <w:pPr>
        <w:spacing w:line="276" w:lineRule="auto"/>
        <w:jc w:val="both"/>
        <w:rPr>
          <w:rFonts w:ascii="Arial" w:eastAsia="Calibri" w:hAnsi="Arial" w:cs="Arial"/>
          <w:color w:val="000000" w:themeColor="text1"/>
          <w:sz w:val="22"/>
          <w:lang w:val="es-ES_tradnl"/>
        </w:rPr>
      </w:pPr>
      <w:r w:rsidRPr="00EF3E5A">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DF3BA0C" w14:textId="77777777" w:rsidR="000920F0" w:rsidRPr="00EF3E5A" w:rsidRDefault="000920F0" w:rsidP="000920F0">
      <w:pPr>
        <w:spacing w:line="276" w:lineRule="auto"/>
        <w:jc w:val="both"/>
        <w:rPr>
          <w:rFonts w:ascii="Arial" w:eastAsia="Calibri" w:hAnsi="Arial" w:cs="Arial"/>
          <w:color w:val="000000" w:themeColor="text1"/>
          <w:sz w:val="22"/>
          <w:lang w:val="es-ES_tradnl"/>
        </w:rPr>
      </w:pPr>
    </w:p>
    <w:p w14:paraId="2A352265" w14:textId="77777777" w:rsidR="000920F0" w:rsidRPr="00EF3E5A" w:rsidRDefault="000920F0" w:rsidP="000920F0">
      <w:pPr>
        <w:spacing w:line="276" w:lineRule="auto"/>
        <w:jc w:val="both"/>
        <w:rPr>
          <w:rFonts w:ascii="Arial" w:eastAsia="Calibri" w:hAnsi="Arial" w:cs="Arial"/>
          <w:color w:val="000000" w:themeColor="text1"/>
          <w:sz w:val="22"/>
          <w:lang w:val="es-ES_tradnl"/>
        </w:rPr>
      </w:pPr>
      <w:r w:rsidRPr="00EF3E5A">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mo="http://schemas.microsoft.com/office/mac/office/2008/main" xmlns:mv="urn:schemas-microsoft-com:mac:vml">
            <w:pict>
              <v:line w14:anchorId="4718B75A"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37553D5" w14:textId="77777777" w:rsidR="000920F0" w:rsidRPr="00EF3E5A" w:rsidRDefault="000920F0" w:rsidP="000920F0">
      <w:pPr>
        <w:spacing w:line="276" w:lineRule="auto"/>
        <w:rPr>
          <w:rFonts w:ascii="Arial" w:hAnsi="Arial" w:cs="Arial"/>
          <w:color w:val="000000" w:themeColor="text1"/>
          <w:sz w:val="22"/>
          <w:lang w:val="es-ES_tradnl" w:eastAsia="es-CO"/>
        </w:rPr>
      </w:pPr>
      <w:r w:rsidRPr="00EF3E5A">
        <w:rPr>
          <w:rFonts w:ascii="Arial" w:hAnsi="Arial" w:cs="Arial"/>
          <w:color w:val="000000" w:themeColor="text1"/>
          <w:sz w:val="22"/>
          <w:lang w:val="es-ES_tradnl" w:eastAsia="es-CO"/>
        </w:rPr>
        <w:t>Atentamente,</w:t>
      </w:r>
    </w:p>
    <w:p w14:paraId="571DF5BC" w14:textId="15CA1508" w:rsidR="000920F0" w:rsidRPr="00EF3E5A" w:rsidRDefault="00575980" w:rsidP="000920F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04957F5E" wp14:editId="7643FA1C">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F3E5A" w:rsidRPr="00EF3E5A" w14:paraId="5F526272" w14:textId="77777777" w:rsidTr="00B64914">
        <w:trPr>
          <w:trHeight w:val="315"/>
        </w:trPr>
        <w:tc>
          <w:tcPr>
            <w:tcW w:w="812" w:type="dxa"/>
            <w:vAlign w:val="center"/>
            <w:hideMark/>
          </w:tcPr>
          <w:p w14:paraId="33690198"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Cristian Andrés Díaz Díez</w:t>
            </w:r>
          </w:p>
        </w:tc>
      </w:tr>
      <w:tr w:rsidR="00EF3E5A" w:rsidRPr="00EF3E5A" w14:paraId="0C137F1C" w14:textId="77777777" w:rsidTr="00B64914">
        <w:trPr>
          <w:trHeight w:val="330"/>
        </w:trPr>
        <w:tc>
          <w:tcPr>
            <w:tcW w:w="812" w:type="dxa"/>
            <w:vAlign w:val="center"/>
            <w:hideMark/>
          </w:tcPr>
          <w:p w14:paraId="76978847"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Fabián Gonzalo Marín Cortés</w:t>
            </w:r>
          </w:p>
          <w:p w14:paraId="660FED67"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Subdirector de Gestión Contractual</w:t>
            </w:r>
          </w:p>
        </w:tc>
      </w:tr>
      <w:tr w:rsidR="000835DB" w:rsidRPr="00EF3E5A" w14:paraId="59D3F9A5" w14:textId="77777777" w:rsidTr="00B64914">
        <w:trPr>
          <w:trHeight w:val="300"/>
        </w:trPr>
        <w:tc>
          <w:tcPr>
            <w:tcW w:w="812" w:type="dxa"/>
            <w:vAlign w:val="center"/>
            <w:hideMark/>
          </w:tcPr>
          <w:p w14:paraId="62FFFDDB"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Fabián Gonzalo Marín Cortés</w:t>
            </w:r>
          </w:p>
          <w:p w14:paraId="417C54F4" w14:textId="77777777" w:rsidR="000920F0" w:rsidRPr="00EF3E5A" w:rsidRDefault="000920F0" w:rsidP="00B64914">
            <w:pPr>
              <w:spacing w:line="276" w:lineRule="auto"/>
              <w:rPr>
                <w:rFonts w:ascii="Arial" w:hAnsi="Arial" w:cs="Arial"/>
                <w:color w:val="000000" w:themeColor="text1"/>
                <w:sz w:val="16"/>
                <w:szCs w:val="16"/>
                <w:lang w:val="es-ES_tradnl" w:eastAsia="es-ES"/>
              </w:rPr>
            </w:pPr>
            <w:r w:rsidRPr="00EF3E5A">
              <w:rPr>
                <w:rFonts w:ascii="Arial" w:hAnsi="Arial" w:cs="Arial"/>
                <w:color w:val="000000" w:themeColor="text1"/>
                <w:sz w:val="16"/>
                <w:szCs w:val="16"/>
                <w:lang w:val="es-ES_tradnl" w:eastAsia="es-ES"/>
              </w:rPr>
              <w:t>Subdirector de Gestión Contractual</w:t>
            </w:r>
          </w:p>
        </w:tc>
      </w:tr>
    </w:tbl>
    <w:p w14:paraId="341D0316" w14:textId="77777777" w:rsidR="000920F0" w:rsidRPr="00EF3E5A" w:rsidRDefault="000920F0" w:rsidP="000920F0">
      <w:pPr>
        <w:spacing w:line="276" w:lineRule="auto"/>
        <w:rPr>
          <w:rFonts w:ascii="Arial" w:hAnsi="Arial" w:cs="Arial"/>
          <w:color w:val="000000" w:themeColor="text1"/>
          <w:sz w:val="16"/>
          <w:szCs w:val="16"/>
          <w:lang w:val="es-ES_tradnl" w:eastAsia="es-ES"/>
        </w:rPr>
      </w:pPr>
    </w:p>
    <w:bookmarkEnd w:id="2"/>
    <w:p w14:paraId="7EBF297E" w14:textId="77777777" w:rsidR="007B0854" w:rsidRPr="00EF3E5A" w:rsidRDefault="007B0854" w:rsidP="000920F0">
      <w:pPr>
        <w:rPr>
          <w:color w:val="000000" w:themeColor="text1"/>
          <w:lang w:val="es-ES_tradnl"/>
        </w:rPr>
      </w:pPr>
    </w:p>
    <w:sectPr w:rsidR="007B0854" w:rsidRPr="00EF3E5A"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641B7" w14:textId="77777777" w:rsidR="00E600A8" w:rsidRDefault="00E600A8">
      <w:r>
        <w:separator/>
      </w:r>
    </w:p>
  </w:endnote>
  <w:endnote w:type="continuationSeparator" w:id="0">
    <w:p w14:paraId="5613DBEB" w14:textId="77777777" w:rsidR="00E600A8" w:rsidRDefault="00E60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A6294" w14:textId="77777777" w:rsidR="00542261" w:rsidRDefault="00542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B254BA" w:rsidRDefault="00B254BA" w:rsidP="00856133">
    <w:pPr>
      <w:pStyle w:val="Sinespaciado"/>
      <w:jc w:val="right"/>
      <w:rPr>
        <w:rFonts w:ascii="Arial" w:hAnsi="Arial" w:cs="Arial"/>
        <w:sz w:val="18"/>
        <w:szCs w:val="18"/>
      </w:rPr>
    </w:pPr>
  </w:p>
  <w:p w14:paraId="512F463F" w14:textId="6CA94A61" w:rsidR="00B254BA" w:rsidRPr="008217B7" w:rsidRDefault="00B254BA"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E76E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E76E1">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1DA6AEB0" w14:textId="77777777" w:rsidR="00B254BA" w:rsidRDefault="00B254BA" w:rsidP="00856133">
    <w:pPr>
      <w:pStyle w:val="Piedepgina"/>
      <w:jc w:val="center"/>
      <w:rPr>
        <w:lang w:val="es-ES"/>
      </w:rPr>
    </w:pPr>
    <w:r>
      <w:rPr>
        <w:noProof/>
        <w:lang w:val="en-US"/>
      </w:rPr>
      <w:drawing>
        <wp:inline distT="0" distB="0" distL="0" distR="0" wp14:anchorId="6A1C2C0F" wp14:editId="55D3394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E885A93" w14:textId="77777777" w:rsidR="00B254BA" w:rsidRDefault="00B254BA" w:rsidP="00856133">
    <w:pPr>
      <w:pStyle w:val="Piedepgina"/>
      <w:jc w:val="center"/>
      <w:rPr>
        <w:lang w:val="es-ES"/>
      </w:rPr>
    </w:pPr>
  </w:p>
  <w:p w14:paraId="6C0EFC49" w14:textId="77777777" w:rsidR="00B254BA" w:rsidRPr="00856133" w:rsidRDefault="00B254BA" w:rsidP="008561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9C39C" w14:textId="77777777" w:rsidR="00542261" w:rsidRDefault="00542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83CEC" w14:textId="77777777" w:rsidR="00E600A8" w:rsidRDefault="00E600A8">
      <w:r>
        <w:separator/>
      </w:r>
    </w:p>
  </w:footnote>
  <w:footnote w:type="continuationSeparator" w:id="0">
    <w:p w14:paraId="56185AF2" w14:textId="77777777" w:rsidR="00E600A8" w:rsidRDefault="00E600A8">
      <w:r>
        <w:continuationSeparator/>
      </w:r>
    </w:p>
  </w:footnote>
  <w:footnote w:id="1">
    <w:p w14:paraId="350D0E5C" w14:textId="350B481F"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2">
    <w:p w14:paraId="50ECA208" w14:textId="77777777"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Consejo de Estado. Sección Tercera. Radicado No. 45.607 del 24 de octubre de 2016. Consejera Ponente: María Nubia Velásquez Rico.</w:t>
      </w:r>
    </w:p>
    <w:p w14:paraId="2110F91B" w14:textId="77777777" w:rsidR="00B254BA" w:rsidRPr="00EF3E5A" w:rsidRDefault="00B254BA" w:rsidP="00B113BF">
      <w:pPr>
        <w:pStyle w:val="Textonotapie"/>
        <w:ind w:firstLine="709"/>
        <w:jc w:val="both"/>
        <w:rPr>
          <w:rFonts w:ascii="Arial" w:hAnsi="Arial" w:cs="Arial"/>
          <w:color w:val="000000" w:themeColor="text1"/>
          <w:sz w:val="19"/>
          <w:szCs w:val="19"/>
          <w:lang w:val="es-ES"/>
        </w:rPr>
      </w:pPr>
    </w:p>
  </w:footnote>
  <w:footnote w:id="3">
    <w:p w14:paraId="23313F60" w14:textId="77777777"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3359130D" w14:textId="77777777"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Fonts w:ascii="Arial" w:hAnsi="Arial" w:cs="Arial"/>
          <w:color w:val="000000" w:themeColor="text1"/>
          <w:sz w:val="19"/>
          <w:szCs w:val="19"/>
        </w:rPr>
        <w:t xml:space="preserve"> </w:t>
      </w:r>
    </w:p>
  </w:footnote>
  <w:footnote w:id="4">
    <w:p w14:paraId="4180102E" w14:textId="77777777"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270F6D13" w14:textId="68F97AEB"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Fonts w:ascii="Arial" w:hAnsi="Arial" w:cs="Arial"/>
          <w:color w:val="000000" w:themeColor="text1"/>
          <w:sz w:val="19"/>
          <w:szCs w:val="19"/>
          <w:lang w:val="es-ES"/>
        </w:rPr>
        <w:t xml:space="preserve"> </w:t>
      </w:r>
    </w:p>
  </w:footnote>
  <w:footnote w:id="5">
    <w:p w14:paraId="4CD42853" w14:textId="212B68FB"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6">
    <w:p w14:paraId="2B34485F" w14:textId="77CD804F"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31C0EA0A" w14:textId="0D38A5A1"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2149BF36" w14:textId="5136C51D"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1DA5027" w14:textId="3D34C925"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4F41BEEF" w14:textId="43FE3D73"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14:paraId="39C83C81" w14:textId="066A5CEE" w:rsidR="00B254BA" w:rsidRPr="00EF3E5A" w:rsidRDefault="00B254BA" w:rsidP="00B113BF">
      <w:pPr>
        <w:pStyle w:val="Textonotapie"/>
        <w:ind w:firstLine="709"/>
        <w:jc w:val="both"/>
        <w:rPr>
          <w:rFonts w:ascii="Arial" w:hAnsi="Arial" w:cs="Arial"/>
          <w:color w:val="000000" w:themeColor="text1"/>
          <w:sz w:val="19"/>
          <w:szCs w:val="19"/>
          <w:lang w:val="es-ES"/>
        </w:rPr>
      </w:pPr>
    </w:p>
  </w:footnote>
  <w:footnote w:id="7">
    <w:p w14:paraId="03FFF2CA" w14:textId="71498616" w:rsidR="00396ABB" w:rsidRPr="00EF3E5A" w:rsidRDefault="00396ABB"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 xml:space="preserve">Sobre el concepto de </w:t>
      </w:r>
      <w:r w:rsidRPr="00EF3E5A">
        <w:rPr>
          <w:rFonts w:ascii="Arial" w:hAnsi="Arial" w:cs="Arial"/>
          <w:i/>
          <w:color w:val="000000" w:themeColor="text1"/>
          <w:sz w:val="19"/>
          <w:szCs w:val="19"/>
          <w:lang w:val="es-ES"/>
        </w:rPr>
        <w:t>lagunas</w:t>
      </w:r>
      <w:r w:rsidRPr="00EF3E5A">
        <w:rPr>
          <w:rFonts w:ascii="Arial" w:hAnsi="Arial" w:cs="Arial"/>
          <w:color w:val="000000" w:themeColor="text1"/>
          <w:sz w:val="19"/>
          <w:szCs w:val="19"/>
          <w:lang w:val="es-ES"/>
        </w:rPr>
        <w:t xml:space="preserve"> en el sistema normativo, es decir, de </w:t>
      </w:r>
      <w:r w:rsidRPr="00EF3E5A">
        <w:rPr>
          <w:rFonts w:ascii="Arial" w:hAnsi="Arial" w:cs="Arial"/>
          <w:i/>
          <w:color w:val="000000" w:themeColor="text1"/>
          <w:sz w:val="19"/>
          <w:szCs w:val="19"/>
          <w:lang w:val="es-ES"/>
        </w:rPr>
        <w:t>vacíos</w:t>
      </w:r>
      <w:r w:rsidR="00B113BF" w:rsidRPr="00EF3E5A">
        <w:rPr>
          <w:rFonts w:ascii="Arial" w:hAnsi="Arial" w:cs="Arial"/>
          <w:color w:val="000000" w:themeColor="text1"/>
          <w:sz w:val="19"/>
          <w:szCs w:val="19"/>
          <w:lang w:val="es-ES"/>
        </w:rPr>
        <w:t xml:space="preserve"> de regulación</w:t>
      </w:r>
      <w:r w:rsidRPr="00EF3E5A">
        <w:rPr>
          <w:rFonts w:ascii="Arial" w:hAnsi="Arial" w:cs="Arial"/>
          <w:color w:val="000000" w:themeColor="text1"/>
          <w:sz w:val="19"/>
          <w:szCs w:val="19"/>
          <w:lang w:val="es-ES"/>
        </w:rPr>
        <w:t xml:space="preserve">, puede verse: </w:t>
      </w:r>
      <w:r w:rsidR="00B113BF" w:rsidRPr="00EF3E5A">
        <w:rPr>
          <w:rFonts w:ascii="Arial" w:hAnsi="Arial" w:cs="Arial"/>
          <w:color w:val="000000" w:themeColor="text1"/>
          <w:sz w:val="19"/>
          <w:szCs w:val="19"/>
          <w:lang w:val="es-ES"/>
        </w:rPr>
        <w:t>GARCÍA MÁYNEZ, Eduardo. Filosofía del Derecho. 17ª ed. México: Porrúa, 2011. pp. 222-245.</w:t>
      </w:r>
    </w:p>
    <w:p w14:paraId="2CA9F699" w14:textId="77777777" w:rsidR="00B113BF" w:rsidRPr="00EF3E5A" w:rsidRDefault="00B113BF" w:rsidP="00B113BF">
      <w:pPr>
        <w:pStyle w:val="Textonotapie"/>
        <w:ind w:firstLine="709"/>
        <w:jc w:val="both"/>
        <w:rPr>
          <w:rFonts w:ascii="Arial" w:hAnsi="Arial" w:cs="Arial"/>
          <w:color w:val="000000" w:themeColor="text1"/>
          <w:sz w:val="19"/>
          <w:szCs w:val="19"/>
          <w:lang w:val="es-ES"/>
        </w:rPr>
      </w:pPr>
    </w:p>
  </w:footnote>
  <w:footnote w:id="8">
    <w:p w14:paraId="755307AD" w14:textId="0FD83DB5"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footnote>
  <w:footnote w:id="9">
    <w:p w14:paraId="16EE4DC4" w14:textId="3E0A2305"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19DB51B9" w14:textId="484BD069"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w:t>
      </w:r>
    </w:p>
    <w:p w14:paraId="466F67DC" w14:textId="1F8727EF" w:rsidR="00B254BA" w:rsidRPr="00EF3E5A" w:rsidRDefault="00B254BA"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2CE74E38" w14:textId="77777777" w:rsidR="00B254BA" w:rsidRPr="00EF3E5A" w:rsidRDefault="00B254BA" w:rsidP="00B113BF">
      <w:pPr>
        <w:pStyle w:val="Textonotapie"/>
        <w:ind w:firstLine="709"/>
        <w:jc w:val="both"/>
        <w:rPr>
          <w:rFonts w:ascii="Arial" w:hAnsi="Arial" w:cs="Arial"/>
          <w:color w:val="000000" w:themeColor="text1"/>
          <w:sz w:val="19"/>
          <w:szCs w:val="19"/>
          <w:lang w:val="es-ES"/>
        </w:rPr>
      </w:pPr>
    </w:p>
  </w:footnote>
  <w:footnote w:id="10">
    <w:p w14:paraId="58253BB6" w14:textId="46D9B3D4"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p w14:paraId="40B0790F" w14:textId="77777777" w:rsidR="00B254BA" w:rsidRPr="00EF3E5A" w:rsidRDefault="00B254BA" w:rsidP="00B113BF">
      <w:pPr>
        <w:pStyle w:val="Textonotapie"/>
        <w:ind w:firstLine="709"/>
        <w:jc w:val="both"/>
        <w:rPr>
          <w:rFonts w:ascii="Arial" w:hAnsi="Arial" w:cs="Arial"/>
          <w:color w:val="000000" w:themeColor="text1"/>
          <w:sz w:val="19"/>
          <w:szCs w:val="19"/>
          <w:lang w:val="es-ES"/>
        </w:rPr>
      </w:pPr>
    </w:p>
  </w:footnote>
  <w:footnote w:id="11">
    <w:p w14:paraId="472BA0E3" w14:textId="18BA1141" w:rsidR="00B254BA" w:rsidRPr="00EF3E5A" w:rsidRDefault="00B254BA" w:rsidP="00B113BF">
      <w:pPr>
        <w:pStyle w:val="Textonotapie"/>
        <w:ind w:firstLine="709"/>
        <w:jc w:val="both"/>
        <w:rPr>
          <w:rFonts w:ascii="Arial" w:hAnsi="Arial" w:cs="Arial"/>
          <w:color w:val="000000" w:themeColor="text1"/>
          <w:sz w:val="19"/>
          <w:szCs w:val="19"/>
        </w:rPr>
      </w:pPr>
      <w:r w:rsidRPr="00EF3E5A">
        <w:rPr>
          <w:rStyle w:val="Refdenotaalpie"/>
          <w:rFonts w:ascii="Arial" w:hAnsi="Arial" w:cs="Arial"/>
          <w:color w:val="000000" w:themeColor="text1"/>
          <w:sz w:val="19"/>
          <w:szCs w:val="19"/>
        </w:rPr>
        <w:footnoteRef/>
      </w:r>
      <w:r w:rsidR="00566225"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rPr>
        <w:t>«ARTÍCULO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w:t>
      </w:r>
    </w:p>
    <w:p w14:paraId="665CD76D" w14:textId="3534B3AB" w:rsidR="00B254BA" w:rsidRPr="00EF3E5A" w:rsidRDefault="00566225"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w:t>
      </w:r>
      <w:r w:rsidR="00B254BA" w:rsidRPr="00EF3E5A">
        <w:rPr>
          <w:rFonts w:ascii="Arial" w:hAnsi="Arial" w:cs="Arial"/>
          <w:color w:val="000000" w:themeColor="text1"/>
          <w:sz w:val="19"/>
          <w:szCs w:val="19"/>
        </w:rPr>
        <w:t>Las actuaciones administrativas de naturaleza sancionatoria 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serian procedentes Este acto administrativo deberá ser notificado personalmente a los investigados. Contra esta decisión no procede recurso.</w:t>
      </w:r>
    </w:p>
    <w:p w14:paraId="207ECC41" w14:textId="41DD84C8" w:rsidR="00B254BA" w:rsidRPr="00EF3E5A" w:rsidRDefault="00566225" w:rsidP="00B113BF">
      <w:pPr>
        <w:pStyle w:val="Textonotapie"/>
        <w:ind w:firstLine="709"/>
        <w:jc w:val="both"/>
        <w:rPr>
          <w:rFonts w:ascii="Arial" w:hAnsi="Arial" w:cs="Arial"/>
          <w:color w:val="000000" w:themeColor="text1"/>
          <w:sz w:val="19"/>
          <w:szCs w:val="19"/>
        </w:rPr>
      </w:pPr>
      <w:r w:rsidRPr="00EF3E5A">
        <w:rPr>
          <w:rFonts w:ascii="Arial" w:hAnsi="Arial" w:cs="Arial"/>
          <w:color w:val="000000" w:themeColor="text1"/>
          <w:sz w:val="19"/>
          <w:szCs w:val="19"/>
        </w:rPr>
        <w:t>»</w:t>
      </w:r>
      <w:r w:rsidR="00B254BA" w:rsidRPr="00EF3E5A">
        <w:rPr>
          <w:rFonts w:ascii="Arial" w:hAnsi="Arial" w:cs="Arial"/>
          <w:color w:val="000000" w:themeColor="text1"/>
          <w:sz w:val="19"/>
          <w:szCs w:val="19"/>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14:paraId="328F87D9" w14:textId="6A3BC871" w:rsidR="00B254BA" w:rsidRPr="00EF3E5A" w:rsidRDefault="00566225" w:rsidP="00B113BF">
      <w:pPr>
        <w:pStyle w:val="Textonotapie"/>
        <w:ind w:firstLine="709"/>
        <w:jc w:val="both"/>
        <w:rPr>
          <w:rFonts w:ascii="Arial" w:hAnsi="Arial" w:cs="Arial"/>
          <w:color w:val="000000" w:themeColor="text1"/>
          <w:sz w:val="19"/>
          <w:szCs w:val="19"/>
          <w:lang w:val="es-ES"/>
        </w:rPr>
      </w:pPr>
      <w:r w:rsidRPr="00EF3E5A">
        <w:rPr>
          <w:rFonts w:ascii="Arial" w:hAnsi="Arial" w:cs="Arial"/>
          <w:color w:val="000000" w:themeColor="text1"/>
          <w:sz w:val="19"/>
          <w:szCs w:val="19"/>
        </w:rPr>
        <w:t>»</w:t>
      </w:r>
      <w:r w:rsidR="00B254BA" w:rsidRPr="00EF3E5A">
        <w:rPr>
          <w:rFonts w:ascii="Arial" w:hAnsi="Arial" w:cs="Arial"/>
          <w:color w:val="000000" w:themeColor="text1"/>
          <w:sz w:val="19"/>
          <w:szCs w:val="19"/>
        </w:rPr>
        <w:t>PARÁGRAFO. Las actuaciones administrativas contractuales sancionatorias, incluyendo los recursos, se regirán por lo dispuesto en las normas especiales sobre la materia».</w:t>
      </w:r>
    </w:p>
  </w:footnote>
  <w:footnote w:id="12">
    <w:p w14:paraId="560E8B16" w14:textId="6F543102" w:rsidR="00B254BA" w:rsidRPr="00EF3E5A" w:rsidRDefault="00B254BA" w:rsidP="00B113BF">
      <w:pPr>
        <w:pStyle w:val="Textonotapie"/>
        <w:ind w:firstLine="709"/>
        <w:jc w:val="both"/>
        <w:rPr>
          <w:rFonts w:ascii="Arial" w:eastAsia="Calibri" w:hAnsi="Arial" w:cs="Arial"/>
          <w:color w:val="000000" w:themeColor="text1"/>
          <w:sz w:val="19"/>
          <w:szCs w:val="19"/>
          <w:lang w:val="es-ES_tradnl"/>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eastAsia="Calibri" w:hAnsi="Arial" w:cs="Arial"/>
          <w:color w:val="000000" w:themeColor="text1"/>
          <w:sz w:val="19"/>
          <w:szCs w:val="19"/>
          <w:lang w:val="es-ES_tradnl"/>
        </w:rPr>
        <w:t>Bien por la reserva legal de las materias o porque no las reguló.</w:t>
      </w:r>
    </w:p>
    <w:p w14:paraId="37962A41" w14:textId="77777777" w:rsidR="008E58E3" w:rsidRPr="00EF3E5A" w:rsidRDefault="008E58E3" w:rsidP="00B113BF">
      <w:pPr>
        <w:pStyle w:val="Textonotapie"/>
        <w:ind w:firstLine="709"/>
        <w:jc w:val="both"/>
        <w:rPr>
          <w:rFonts w:ascii="Arial" w:hAnsi="Arial" w:cs="Arial"/>
          <w:color w:val="000000" w:themeColor="text1"/>
          <w:sz w:val="19"/>
          <w:szCs w:val="19"/>
          <w:lang w:val="es-ES"/>
        </w:rPr>
      </w:pPr>
    </w:p>
  </w:footnote>
  <w:footnote w:id="13">
    <w:p w14:paraId="19AC031B" w14:textId="1A4DAF20"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El artículo 1º del Código de Comercio establece que</w:t>
      </w:r>
      <w:r w:rsidR="008E58E3" w:rsidRPr="00EF3E5A">
        <w:rPr>
          <w:rFonts w:ascii="Arial" w:hAnsi="Arial" w:cs="Arial"/>
          <w:color w:val="000000" w:themeColor="text1"/>
          <w:sz w:val="19"/>
          <w:szCs w:val="19"/>
          <w:lang w:val="es-ES"/>
        </w:rPr>
        <w:t>:</w:t>
      </w:r>
      <w:r w:rsidRPr="00EF3E5A">
        <w:rPr>
          <w:rFonts w:ascii="Arial" w:hAnsi="Arial" w:cs="Arial"/>
          <w:color w:val="000000" w:themeColor="text1"/>
          <w:sz w:val="19"/>
          <w:szCs w:val="19"/>
          <w:lang w:val="es-ES"/>
        </w:rPr>
        <w:t xml:space="preserve"> «Los comerciantes y los asuntos mercantiles se regirán por las disposiciones de la ley comercial, y los casos no regulados expresamente en ella serán decididos por analogía de sus normas»; mientras que el artículo 2º señala que</w:t>
      </w:r>
      <w:r w:rsidR="008E58E3" w:rsidRPr="00EF3E5A">
        <w:rPr>
          <w:rFonts w:ascii="Arial" w:hAnsi="Arial" w:cs="Arial"/>
          <w:color w:val="000000" w:themeColor="text1"/>
          <w:sz w:val="19"/>
          <w:szCs w:val="19"/>
          <w:lang w:val="es-ES"/>
        </w:rPr>
        <w:t>:</w:t>
      </w:r>
      <w:r w:rsidRPr="00EF3E5A">
        <w:rPr>
          <w:rFonts w:ascii="Arial" w:hAnsi="Arial" w:cs="Arial"/>
          <w:color w:val="000000" w:themeColor="text1"/>
          <w:sz w:val="19"/>
          <w:szCs w:val="19"/>
          <w:lang w:val="es-ES"/>
        </w:rPr>
        <w:t xml:space="preserve"> «En las cuestiones comerciales que no pudieren regularse conforme a la regla anterior, se aplicarán las disposiciones de la legislación civil». Esto significa que en el derecho privado las normas comerciales prevalecen sobre las civiles en asuntos mercantiles.</w:t>
      </w:r>
    </w:p>
    <w:p w14:paraId="16DFDB07" w14:textId="77777777" w:rsidR="008E58E3" w:rsidRPr="00EF3E5A" w:rsidRDefault="008E58E3" w:rsidP="00B113BF">
      <w:pPr>
        <w:pStyle w:val="Textonotapie"/>
        <w:ind w:firstLine="709"/>
        <w:jc w:val="both"/>
        <w:rPr>
          <w:rFonts w:ascii="Arial" w:hAnsi="Arial" w:cs="Arial"/>
          <w:color w:val="000000" w:themeColor="text1"/>
          <w:sz w:val="19"/>
          <w:szCs w:val="19"/>
          <w:lang w:val="es-ES"/>
        </w:rPr>
      </w:pPr>
    </w:p>
  </w:footnote>
  <w:footnote w:id="14">
    <w:p w14:paraId="54CED016" w14:textId="430B79D1" w:rsidR="00B254BA" w:rsidRPr="00EF3E5A" w:rsidRDefault="00B254BA" w:rsidP="00B113BF">
      <w:pPr>
        <w:pStyle w:val="Textonotapie"/>
        <w:ind w:firstLine="709"/>
        <w:jc w:val="both"/>
        <w:rPr>
          <w:rFonts w:ascii="Arial" w:hAnsi="Arial" w:cs="Arial"/>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57989D28" w14:textId="24E26619" w:rsidR="00B254BA" w:rsidRPr="00EF3E5A" w:rsidRDefault="008E58E3" w:rsidP="00B113BF">
      <w:pPr>
        <w:pStyle w:val="Textonotapie"/>
        <w:ind w:firstLine="709"/>
        <w:jc w:val="both"/>
        <w:rPr>
          <w:rFonts w:ascii="Arial" w:hAnsi="Arial" w:cs="Arial"/>
          <w:color w:val="000000" w:themeColor="text1"/>
          <w:sz w:val="19"/>
          <w:szCs w:val="19"/>
          <w:lang w:val="es-ES"/>
        </w:rPr>
      </w:pPr>
      <w:r w:rsidRPr="00EF3E5A">
        <w:rPr>
          <w:rFonts w:ascii="Arial" w:hAnsi="Arial" w:cs="Arial"/>
          <w:color w:val="000000" w:themeColor="text1"/>
          <w:sz w:val="19"/>
          <w:szCs w:val="19"/>
          <w:lang w:val="es-ES"/>
        </w:rPr>
        <w:t>»</w:t>
      </w:r>
      <w:r w:rsidR="00B254BA" w:rsidRPr="00EF3E5A">
        <w:rPr>
          <w:rFonts w:ascii="Arial" w:hAnsi="Arial" w:cs="Arial"/>
          <w:color w:val="000000" w:themeColor="text1"/>
          <w:sz w:val="19"/>
          <w:szCs w:val="19"/>
          <w:lang w:val="es-ES"/>
        </w:rPr>
        <w:t>En defecto de costumbre local se tendrá en cuenta la general del país, siempre que reúna los requisitos exigidos en el inciso anterior» (art. 3 del Código de Comercio).</w:t>
      </w:r>
    </w:p>
    <w:p w14:paraId="404BD0CD" w14:textId="77777777" w:rsidR="008E58E3" w:rsidRPr="00EF3E5A" w:rsidRDefault="008E58E3" w:rsidP="00B113BF">
      <w:pPr>
        <w:pStyle w:val="Textonotapie"/>
        <w:ind w:firstLine="709"/>
        <w:jc w:val="both"/>
        <w:rPr>
          <w:rFonts w:ascii="Arial" w:hAnsi="Arial" w:cs="Arial"/>
          <w:color w:val="000000" w:themeColor="text1"/>
          <w:sz w:val="19"/>
          <w:szCs w:val="19"/>
          <w:lang w:val="es-ES"/>
        </w:rPr>
      </w:pPr>
    </w:p>
  </w:footnote>
  <w:footnote w:id="15">
    <w:p w14:paraId="68E2F461" w14:textId="7FB773FA" w:rsidR="00B254BA" w:rsidRPr="00EF3E5A" w:rsidRDefault="00B254BA" w:rsidP="00B113BF">
      <w:pPr>
        <w:pStyle w:val="Textonotapie"/>
        <w:ind w:firstLine="709"/>
        <w:jc w:val="both"/>
        <w:rPr>
          <w:rFonts w:ascii="Arial" w:hAnsi="Arial" w:cs="Arial"/>
          <w:b/>
          <w:color w:val="000000" w:themeColor="text1"/>
          <w:sz w:val="19"/>
          <w:szCs w:val="19"/>
          <w:lang w:val="es-ES"/>
        </w:rPr>
      </w:pPr>
      <w:r w:rsidRPr="00EF3E5A">
        <w:rPr>
          <w:rStyle w:val="Refdenotaalpie"/>
          <w:rFonts w:ascii="Arial" w:hAnsi="Arial" w:cs="Arial"/>
          <w:color w:val="000000" w:themeColor="text1"/>
          <w:sz w:val="19"/>
          <w:szCs w:val="19"/>
        </w:rPr>
        <w:footnoteRef/>
      </w:r>
      <w:r w:rsidRPr="00EF3E5A">
        <w:rPr>
          <w:rFonts w:ascii="Arial" w:hAnsi="Arial" w:cs="Arial"/>
          <w:color w:val="000000" w:themeColor="text1"/>
          <w:sz w:val="19"/>
          <w:szCs w:val="19"/>
        </w:rPr>
        <w:t xml:space="preserve"> </w:t>
      </w:r>
      <w:r w:rsidRPr="00EF3E5A">
        <w:rPr>
          <w:rFonts w:ascii="Arial" w:hAnsi="Arial" w:cs="Arial"/>
          <w:color w:val="000000" w:themeColor="text1"/>
          <w:sz w:val="19"/>
          <w:szCs w:val="19"/>
          <w:lang w:val="es-ES"/>
        </w:rPr>
        <w:t>Dentro de tales principio se encuentran, por ejemplo, los principios UNIDROIT sobre los contratos comerciales internacionales. Ver: https://www.unidroit.org/spanish/principles/contracts/principles2010/blackletter2010-spanish.pdf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53554" w14:textId="77777777" w:rsidR="00542261" w:rsidRDefault="005422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B254BA" w:rsidRDefault="00B254BA">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5EB52" w14:textId="77777777" w:rsidR="00542261" w:rsidRDefault="0054226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7092"/>
    <w:rsid w:val="0001011E"/>
    <w:rsid w:val="0002128D"/>
    <w:rsid w:val="0002438E"/>
    <w:rsid w:val="000245BA"/>
    <w:rsid w:val="00043881"/>
    <w:rsid w:val="000448CC"/>
    <w:rsid w:val="00047C18"/>
    <w:rsid w:val="00057438"/>
    <w:rsid w:val="0007666B"/>
    <w:rsid w:val="000835DB"/>
    <w:rsid w:val="00084818"/>
    <w:rsid w:val="000920F0"/>
    <w:rsid w:val="000942EB"/>
    <w:rsid w:val="00094748"/>
    <w:rsid w:val="000A000F"/>
    <w:rsid w:val="000A0343"/>
    <w:rsid w:val="000A6AAF"/>
    <w:rsid w:val="000A6F0A"/>
    <w:rsid w:val="000B103F"/>
    <w:rsid w:val="000B2324"/>
    <w:rsid w:val="000B324A"/>
    <w:rsid w:val="000C23C7"/>
    <w:rsid w:val="000C397B"/>
    <w:rsid w:val="000C6CCE"/>
    <w:rsid w:val="000C798F"/>
    <w:rsid w:val="000D30D4"/>
    <w:rsid w:val="000D387A"/>
    <w:rsid w:val="000D47EF"/>
    <w:rsid w:val="000E1CDD"/>
    <w:rsid w:val="000E450F"/>
    <w:rsid w:val="000E7D7E"/>
    <w:rsid w:val="000F14E8"/>
    <w:rsid w:val="00101394"/>
    <w:rsid w:val="00103915"/>
    <w:rsid w:val="001078E6"/>
    <w:rsid w:val="00111960"/>
    <w:rsid w:val="00122B23"/>
    <w:rsid w:val="00124E57"/>
    <w:rsid w:val="00137FFA"/>
    <w:rsid w:val="001438ED"/>
    <w:rsid w:val="00147224"/>
    <w:rsid w:val="001522B6"/>
    <w:rsid w:val="00154B53"/>
    <w:rsid w:val="00156BE4"/>
    <w:rsid w:val="00183388"/>
    <w:rsid w:val="001C0A60"/>
    <w:rsid w:val="001C0AF7"/>
    <w:rsid w:val="001C16CC"/>
    <w:rsid w:val="001D1883"/>
    <w:rsid w:val="001D5240"/>
    <w:rsid w:val="001D7FE6"/>
    <w:rsid w:val="001E40C6"/>
    <w:rsid w:val="001E5ACA"/>
    <w:rsid w:val="001F083C"/>
    <w:rsid w:val="00205850"/>
    <w:rsid w:val="00211C31"/>
    <w:rsid w:val="00220681"/>
    <w:rsid w:val="00224722"/>
    <w:rsid w:val="0023384B"/>
    <w:rsid w:val="00233A64"/>
    <w:rsid w:val="00234B84"/>
    <w:rsid w:val="0024212A"/>
    <w:rsid w:val="002436DD"/>
    <w:rsid w:val="002518A6"/>
    <w:rsid w:val="0025531C"/>
    <w:rsid w:val="0026505D"/>
    <w:rsid w:val="002668CC"/>
    <w:rsid w:val="0027497E"/>
    <w:rsid w:val="0029572E"/>
    <w:rsid w:val="002A0F0D"/>
    <w:rsid w:val="002B446C"/>
    <w:rsid w:val="002D2FF2"/>
    <w:rsid w:val="002E0C71"/>
    <w:rsid w:val="002E4EFE"/>
    <w:rsid w:val="002E6F80"/>
    <w:rsid w:val="002E76E1"/>
    <w:rsid w:val="002F23C9"/>
    <w:rsid w:val="0030118B"/>
    <w:rsid w:val="003033BA"/>
    <w:rsid w:val="00307E45"/>
    <w:rsid w:val="003102F2"/>
    <w:rsid w:val="00317242"/>
    <w:rsid w:val="00317BB7"/>
    <w:rsid w:val="00321B8E"/>
    <w:rsid w:val="00331A72"/>
    <w:rsid w:val="00333156"/>
    <w:rsid w:val="003461EA"/>
    <w:rsid w:val="0034680A"/>
    <w:rsid w:val="003477C1"/>
    <w:rsid w:val="00352ABF"/>
    <w:rsid w:val="00356A34"/>
    <w:rsid w:val="00361348"/>
    <w:rsid w:val="0036167C"/>
    <w:rsid w:val="00362709"/>
    <w:rsid w:val="00363BC9"/>
    <w:rsid w:val="003643E8"/>
    <w:rsid w:val="0036522D"/>
    <w:rsid w:val="003743B6"/>
    <w:rsid w:val="00386456"/>
    <w:rsid w:val="00391F77"/>
    <w:rsid w:val="00393DF4"/>
    <w:rsid w:val="003946F7"/>
    <w:rsid w:val="00396ABB"/>
    <w:rsid w:val="003A03E8"/>
    <w:rsid w:val="003A1A92"/>
    <w:rsid w:val="003A581E"/>
    <w:rsid w:val="003B4D4F"/>
    <w:rsid w:val="003C5458"/>
    <w:rsid w:val="003C564B"/>
    <w:rsid w:val="003D5FFB"/>
    <w:rsid w:val="003E21E7"/>
    <w:rsid w:val="00402FFB"/>
    <w:rsid w:val="00405F6D"/>
    <w:rsid w:val="00412C94"/>
    <w:rsid w:val="00414B36"/>
    <w:rsid w:val="004206A4"/>
    <w:rsid w:val="004301E2"/>
    <w:rsid w:val="00433063"/>
    <w:rsid w:val="00436F07"/>
    <w:rsid w:val="00437E23"/>
    <w:rsid w:val="004422D6"/>
    <w:rsid w:val="0044423C"/>
    <w:rsid w:val="00450066"/>
    <w:rsid w:val="00467068"/>
    <w:rsid w:val="00474F64"/>
    <w:rsid w:val="0048447C"/>
    <w:rsid w:val="00494F71"/>
    <w:rsid w:val="004A29A5"/>
    <w:rsid w:val="004A34D2"/>
    <w:rsid w:val="004B0296"/>
    <w:rsid w:val="004B3D99"/>
    <w:rsid w:val="004B6246"/>
    <w:rsid w:val="004B645B"/>
    <w:rsid w:val="004B794D"/>
    <w:rsid w:val="004D718B"/>
    <w:rsid w:val="004D7EC4"/>
    <w:rsid w:val="004E16E5"/>
    <w:rsid w:val="004E750B"/>
    <w:rsid w:val="004F58AE"/>
    <w:rsid w:val="00502D15"/>
    <w:rsid w:val="0051074C"/>
    <w:rsid w:val="00513AF2"/>
    <w:rsid w:val="0051777B"/>
    <w:rsid w:val="00525274"/>
    <w:rsid w:val="00527802"/>
    <w:rsid w:val="005311CA"/>
    <w:rsid w:val="00531C8E"/>
    <w:rsid w:val="0054061C"/>
    <w:rsid w:val="00540BDD"/>
    <w:rsid w:val="00542261"/>
    <w:rsid w:val="0054413A"/>
    <w:rsid w:val="0054651C"/>
    <w:rsid w:val="00547F13"/>
    <w:rsid w:val="00553B5D"/>
    <w:rsid w:val="005542DB"/>
    <w:rsid w:val="005564CA"/>
    <w:rsid w:val="00560A4E"/>
    <w:rsid w:val="00562490"/>
    <w:rsid w:val="00565C7E"/>
    <w:rsid w:val="00566225"/>
    <w:rsid w:val="00575980"/>
    <w:rsid w:val="00576733"/>
    <w:rsid w:val="00577071"/>
    <w:rsid w:val="00587E9D"/>
    <w:rsid w:val="005B01B5"/>
    <w:rsid w:val="005B61E8"/>
    <w:rsid w:val="005C280F"/>
    <w:rsid w:val="005C2A6C"/>
    <w:rsid w:val="005C66D8"/>
    <w:rsid w:val="005D1E83"/>
    <w:rsid w:val="005D3C8F"/>
    <w:rsid w:val="005D78E7"/>
    <w:rsid w:val="005E7E46"/>
    <w:rsid w:val="005F2058"/>
    <w:rsid w:val="005F51D1"/>
    <w:rsid w:val="006160D2"/>
    <w:rsid w:val="006313A5"/>
    <w:rsid w:val="00632865"/>
    <w:rsid w:val="006376C9"/>
    <w:rsid w:val="00640DDA"/>
    <w:rsid w:val="00646B5C"/>
    <w:rsid w:val="00654A4D"/>
    <w:rsid w:val="00655371"/>
    <w:rsid w:val="00664B5C"/>
    <w:rsid w:val="00667FF9"/>
    <w:rsid w:val="0067611C"/>
    <w:rsid w:val="00682E0D"/>
    <w:rsid w:val="00683856"/>
    <w:rsid w:val="00685162"/>
    <w:rsid w:val="00690B55"/>
    <w:rsid w:val="00691DF1"/>
    <w:rsid w:val="00696576"/>
    <w:rsid w:val="00697665"/>
    <w:rsid w:val="006A22FE"/>
    <w:rsid w:val="006A6B4A"/>
    <w:rsid w:val="006A7FD0"/>
    <w:rsid w:val="006B3A45"/>
    <w:rsid w:val="006C01CD"/>
    <w:rsid w:val="006C2EDF"/>
    <w:rsid w:val="006D1C63"/>
    <w:rsid w:val="006D7687"/>
    <w:rsid w:val="006E0572"/>
    <w:rsid w:val="006E3D5D"/>
    <w:rsid w:val="006E73B1"/>
    <w:rsid w:val="006F3FD3"/>
    <w:rsid w:val="007026A8"/>
    <w:rsid w:val="00703690"/>
    <w:rsid w:val="00703DDF"/>
    <w:rsid w:val="00705025"/>
    <w:rsid w:val="00705631"/>
    <w:rsid w:val="00714CC7"/>
    <w:rsid w:val="00720B31"/>
    <w:rsid w:val="007330DE"/>
    <w:rsid w:val="007349F3"/>
    <w:rsid w:val="00736292"/>
    <w:rsid w:val="00742AFC"/>
    <w:rsid w:val="00742DD2"/>
    <w:rsid w:val="00746C26"/>
    <w:rsid w:val="0075345C"/>
    <w:rsid w:val="0075647A"/>
    <w:rsid w:val="00760C7C"/>
    <w:rsid w:val="007634AD"/>
    <w:rsid w:val="007751AB"/>
    <w:rsid w:val="0077581F"/>
    <w:rsid w:val="0078122E"/>
    <w:rsid w:val="00795F60"/>
    <w:rsid w:val="007A3365"/>
    <w:rsid w:val="007A36F7"/>
    <w:rsid w:val="007B0854"/>
    <w:rsid w:val="007C2BF6"/>
    <w:rsid w:val="007C4999"/>
    <w:rsid w:val="007C67B5"/>
    <w:rsid w:val="007D28D9"/>
    <w:rsid w:val="007E0012"/>
    <w:rsid w:val="007E13BA"/>
    <w:rsid w:val="007F40CD"/>
    <w:rsid w:val="007F5CD2"/>
    <w:rsid w:val="007F72CB"/>
    <w:rsid w:val="008020B4"/>
    <w:rsid w:val="00812B27"/>
    <w:rsid w:val="008150DF"/>
    <w:rsid w:val="0083119B"/>
    <w:rsid w:val="00836EAB"/>
    <w:rsid w:val="00840D0A"/>
    <w:rsid w:val="00845BC2"/>
    <w:rsid w:val="0085092D"/>
    <w:rsid w:val="00854646"/>
    <w:rsid w:val="00856133"/>
    <w:rsid w:val="008563D1"/>
    <w:rsid w:val="0088563B"/>
    <w:rsid w:val="00891978"/>
    <w:rsid w:val="00892103"/>
    <w:rsid w:val="00893313"/>
    <w:rsid w:val="00893744"/>
    <w:rsid w:val="008B1E24"/>
    <w:rsid w:val="008B404F"/>
    <w:rsid w:val="008C7603"/>
    <w:rsid w:val="008D082E"/>
    <w:rsid w:val="008D41C2"/>
    <w:rsid w:val="008D7FDF"/>
    <w:rsid w:val="008E12EE"/>
    <w:rsid w:val="008E1C15"/>
    <w:rsid w:val="008E58E3"/>
    <w:rsid w:val="008E76C6"/>
    <w:rsid w:val="008F67B0"/>
    <w:rsid w:val="008F6974"/>
    <w:rsid w:val="00900C60"/>
    <w:rsid w:val="009047C5"/>
    <w:rsid w:val="00914BEA"/>
    <w:rsid w:val="00914CA9"/>
    <w:rsid w:val="009160BF"/>
    <w:rsid w:val="00921E06"/>
    <w:rsid w:val="00924B30"/>
    <w:rsid w:val="00931EF5"/>
    <w:rsid w:val="009333DD"/>
    <w:rsid w:val="00943ED3"/>
    <w:rsid w:val="0095385A"/>
    <w:rsid w:val="00977307"/>
    <w:rsid w:val="009973A4"/>
    <w:rsid w:val="009A0F89"/>
    <w:rsid w:val="009A1DB3"/>
    <w:rsid w:val="009A2E9B"/>
    <w:rsid w:val="009A69D9"/>
    <w:rsid w:val="009B223B"/>
    <w:rsid w:val="009B38BA"/>
    <w:rsid w:val="009B7D69"/>
    <w:rsid w:val="009C68C5"/>
    <w:rsid w:val="009D71D6"/>
    <w:rsid w:val="009D72B1"/>
    <w:rsid w:val="009D768B"/>
    <w:rsid w:val="009E134A"/>
    <w:rsid w:val="009F7878"/>
    <w:rsid w:val="00A037EA"/>
    <w:rsid w:val="00A04EE6"/>
    <w:rsid w:val="00A131D8"/>
    <w:rsid w:val="00A15652"/>
    <w:rsid w:val="00A24560"/>
    <w:rsid w:val="00A34538"/>
    <w:rsid w:val="00A35DB0"/>
    <w:rsid w:val="00A37325"/>
    <w:rsid w:val="00A55589"/>
    <w:rsid w:val="00A63214"/>
    <w:rsid w:val="00A637F0"/>
    <w:rsid w:val="00A64D34"/>
    <w:rsid w:val="00A7259A"/>
    <w:rsid w:val="00A80657"/>
    <w:rsid w:val="00A80A35"/>
    <w:rsid w:val="00A846F0"/>
    <w:rsid w:val="00A872E4"/>
    <w:rsid w:val="00A90376"/>
    <w:rsid w:val="00A97BA9"/>
    <w:rsid w:val="00AA0108"/>
    <w:rsid w:val="00AA442B"/>
    <w:rsid w:val="00AB019E"/>
    <w:rsid w:val="00AB22AC"/>
    <w:rsid w:val="00AC604E"/>
    <w:rsid w:val="00AC7AF0"/>
    <w:rsid w:val="00AD0301"/>
    <w:rsid w:val="00AD1BC5"/>
    <w:rsid w:val="00AD7A70"/>
    <w:rsid w:val="00AF080A"/>
    <w:rsid w:val="00AF3B59"/>
    <w:rsid w:val="00AF3C31"/>
    <w:rsid w:val="00AF5311"/>
    <w:rsid w:val="00AF6C24"/>
    <w:rsid w:val="00B02308"/>
    <w:rsid w:val="00B050FF"/>
    <w:rsid w:val="00B113BF"/>
    <w:rsid w:val="00B22E22"/>
    <w:rsid w:val="00B2375A"/>
    <w:rsid w:val="00B246F2"/>
    <w:rsid w:val="00B251F5"/>
    <w:rsid w:val="00B254BA"/>
    <w:rsid w:val="00B27137"/>
    <w:rsid w:val="00B30B07"/>
    <w:rsid w:val="00B35A49"/>
    <w:rsid w:val="00B442BB"/>
    <w:rsid w:val="00B525CB"/>
    <w:rsid w:val="00B628C8"/>
    <w:rsid w:val="00B63CB2"/>
    <w:rsid w:val="00B64914"/>
    <w:rsid w:val="00B67830"/>
    <w:rsid w:val="00B734AF"/>
    <w:rsid w:val="00B81B4F"/>
    <w:rsid w:val="00B86742"/>
    <w:rsid w:val="00B86E19"/>
    <w:rsid w:val="00B93C15"/>
    <w:rsid w:val="00B955E0"/>
    <w:rsid w:val="00BA2A4A"/>
    <w:rsid w:val="00BB094C"/>
    <w:rsid w:val="00BB20AF"/>
    <w:rsid w:val="00BB52CB"/>
    <w:rsid w:val="00BC2E1A"/>
    <w:rsid w:val="00BD28D5"/>
    <w:rsid w:val="00BD78FE"/>
    <w:rsid w:val="00BE020D"/>
    <w:rsid w:val="00BE2414"/>
    <w:rsid w:val="00BF3F8D"/>
    <w:rsid w:val="00C1187E"/>
    <w:rsid w:val="00C253B9"/>
    <w:rsid w:val="00C3265D"/>
    <w:rsid w:val="00C32FA9"/>
    <w:rsid w:val="00C34E5D"/>
    <w:rsid w:val="00C3799C"/>
    <w:rsid w:val="00C45264"/>
    <w:rsid w:val="00C53893"/>
    <w:rsid w:val="00C53B49"/>
    <w:rsid w:val="00C57F52"/>
    <w:rsid w:val="00C6215B"/>
    <w:rsid w:val="00C63E6D"/>
    <w:rsid w:val="00C660E1"/>
    <w:rsid w:val="00C66325"/>
    <w:rsid w:val="00C70B6F"/>
    <w:rsid w:val="00C84725"/>
    <w:rsid w:val="00CA474A"/>
    <w:rsid w:val="00CA4E1C"/>
    <w:rsid w:val="00CA6A4C"/>
    <w:rsid w:val="00CC00CD"/>
    <w:rsid w:val="00CC2908"/>
    <w:rsid w:val="00CC5C83"/>
    <w:rsid w:val="00CC716B"/>
    <w:rsid w:val="00CD56AA"/>
    <w:rsid w:val="00CD76F0"/>
    <w:rsid w:val="00CE1E9A"/>
    <w:rsid w:val="00CE65B0"/>
    <w:rsid w:val="00CE68C6"/>
    <w:rsid w:val="00D0147E"/>
    <w:rsid w:val="00D035F8"/>
    <w:rsid w:val="00D06ADE"/>
    <w:rsid w:val="00D1574C"/>
    <w:rsid w:val="00D15B6E"/>
    <w:rsid w:val="00D16E39"/>
    <w:rsid w:val="00D2246B"/>
    <w:rsid w:val="00D27700"/>
    <w:rsid w:val="00D4699F"/>
    <w:rsid w:val="00D50075"/>
    <w:rsid w:val="00D5365B"/>
    <w:rsid w:val="00D709EF"/>
    <w:rsid w:val="00D72E9D"/>
    <w:rsid w:val="00D73430"/>
    <w:rsid w:val="00D747D7"/>
    <w:rsid w:val="00D74C57"/>
    <w:rsid w:val="00D82CE5"/>
    <w:rsid w:val="00D936D0"/>
    <w:rsid w:val="00D95624"/>
    <w:rsid w:val="00D9615B"/>
    <w:rsid w:val="00DA5AB1"/>
    <w:rsid w:val="00DA6FB5"/>
    <w:rsid w:val="00DC62E5"/>
    <w:rsid w:val="00DD514A"/>
    <w:rsid w:val="00DD735D"/>
    <w:rsid w:val="00DE3119"/>
    <w:rsid w:val="00DE3771"/>
    <w:rsid w:val="00DE63CA"/>
    <w:rsid w:val="00DF236B"/>
    <w:rsid w:val="00E05934"/>
    <w:rsid w:val="00E1209F"/>
    <w:rsid w:val="00E126C1"/>
    <w:rsid w:val="00E13AB8"/>
    <w:rsid w:val="00E20955"/>
    <w:rsid w:val="00E237C1"/>
    <w:rsid w:val="00E3337D"/>
    <w:rsid w:val="00E33B62"/>
    <w:rsid w:val="00E351A3"/>
    <w:rsid w:val="00E36C78"/>
    <w:rsid w:val="00E42F19"/>
    <w:rsid w:val="00E600A8"/>
    <w:rsid w:val="00E64032"/>
    <w:rsid w:val="00E64E54"/>
    <w:rsid w:val="00E932EF"/>
    <w:rsid w:val="00E9469D"/>
    <w:rsid w:val="00E97A9B"/>
    <w:rsid w:val="00EB31E8"/>
    <w:rsid w:val="00EB4E60"/>
    <w:rsid w:val="00EB66BC"/>
    <w:rsid w:val="00EC0612"/>
    <w:rsid w:val="00ED23DD"/>
    <w:rsid w:val="00ED4F9F"/>
    <w:rsid w:val="00EE5D34"/>
    <w:rsid w:val="00EE759C"/>
    <w:rsid w:val="00EE7F0C"/>
    <w:rsid w:val="00EF1743"/>
    <w:rsid w:val="00EF3E5A"/>
    <w:rsid w:val="00EF795E"/>
    <w:rsid w:val="00F00C5A"/>
    <w:rsid w:val="00F118CE"/>
    <w:rsid w:val="00F33ED0"/>
    <w:rsid w:val="00F40429"/>
    <w:rsid w:val="00F442A2"/>
    <w:rsid w:val="00F4653A"/>
    <w:rsid w:val="00F50DDA"/>
    <w:rsid w:val="00F51AAE"/>
    <w:rsid w:val="00F548D5"/>
    <w:rsid w:val="00F6177E"/>
    <w:rsid w:val="00F646C8"/>
    <w:rsid w:val="00F71F95"/>
    <w:rsid w:val="00F740F2"/>
    <w:rsid w:val="00F755D0"/>
    <w:rsid w:val="00F84899"/>
    <w:rsid w:val="00F859F0"/>
    <w:rsid w:val="00F87C4D"/>
    <w:rsid w:val="00F92088"/>
    <w:rsid w:val="00FA09F6"/>
    <w:rsid w:val="00FA6021"/>
    <w:rsid w:val="00FB2446"/>
    <w:rsid w:val="00FC2A7E"/>
    <w:rsid w:val="00FC2DE9"/>
    <w:rsid w:val="00FD2262"/>
    <w:rsid w:val="00FD79B7"/>
    <w:rsid w:val="00FE141E"/>
    <w:rsid w:val="00FE2AAC"/>
    <w:rsid w:val="00FF25A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paragraph" w:customStyle="1" w:styleId="Default">
    <w:name w:val="Default"/>
    <w:rsid w:val="00E237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2B2F8EB-06A4-47CA-9C62-052A53DE7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575239-6F2B-43EF-9BEC-4472E59C4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3205</Words>
  <Characters>18270</Characters>
  <Application>Microsoft Office Word</Application>
  <DocSecurity>0</DocSecurity>
  <Lines>152</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2020-08-12T16:33:00Z</dcterms:created>
  <dcterms:modified xsi:type="dcterms:W3CDTF">2020-08-12T16:33:00Z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