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65D2" w14:textId="307FF738" w:rsidR="00493891" w:rsidRDefault="00493891" w:rsidP="001B4C44">
      <w:pPr>
        <w:spacing w:after="0" w:line="240" w:lineRule="auto"/>
        <w:rPr>
          <w:rFonts w:ascii="Verdana" w:hAnsi="Verdana"/>
          <w:b/>
          <w:bCs/>
        </w:rPr>
      </w:pPr>
      <w:bookmarkStart w:id="0" w:name="_Hlk186494164"/>
      <w:r w:rsidRPr="00493891">
        <w:rPr>
          <w:rFonts w:ascii="Verdana" w:hAnsi="Verdana"/>
          <w:b/>
          <w:bCs/>
        </w:rPr>
        <w:t>MIPYMES</w:t>
      </w:r>
      <w:r w:rsidRPr="00493891">
        <w:rPr>
          <w:rFonts w:ascii="Verdana" w:hAnsi="Verdana"/>
          <w:b/>
          <w:bCs/>
          <w:spacing w:val="-13"/>
        </w:rPr>
        <w:t xml:space="preserve"> </w:t>
      </w:r>
      <w:r w:rsidRPr="00493891">
        <w:rPr>
          <w:rFonts w:ascii="Verdana" w:hAnsi="Verdana"/>
          <w:b/>
          <w:bCs/>
        </w:rPr>
        <w:t>–</w:t>
      </w:r>
      <w:r w:rsidRPr="00493891">
        <w:rPr>
          <w:rFonts w:ascii="Verdana" w:hAnsi="Verdana"/>
          <w:b/>
          <w:bCs/>
          <w:spacing w:val="-13"/>
        </w:rPr>
        <w:t xml:space="preserve"> </w:t>
      </w:r>
      <w:r w:rsidRPr="00493891">
        <w:rPr>
          <w:rFonts w:ascii="Verdana" w:hAnsi="Verdana"/>
          <w:b/>
          <w:bCs/>
        </w:rPr>
        <w:t>Definición</w:t>
      </w:r>
      <w:r w:rsidRPr="00493891">
        <w:rPr>
          <w:rFonts w:ascii="Verdana" w:hAnsi="Verdana"/>
          <w:b/>
          <w:bCs/>
          <w:spacing w:val="-13"/>
        </w:rPr>
        <w:t xml:space="preserve"> </w:t>
      </w:r>
      <w:r w:rsidRPr="00493891">
        <w:rPr>
          <w:rFonts w:ascii="Verdana" w:hAnsi="Verdana"/>
          <w:b/>
          <w:bCs/>
        </w:rPr>
        <w:t>/</w:t>
      </w:r>
      <w:r w:rsidRPr="00493891">
        <w:rPr>
          <w:rFonts w:ascii="Verdana" w:hAnsi="Verdana"/>
          <w:b/>
          <w:bCs/>
          <w:spacing w:val="-13"/>
        </w:rPr>
        <w:t xml:space="preserve"> </w:t>
      </w:r>
      <w:r w:rsidRPr="00493891">
        <w:rPr>
          <w:rFonts w:ascii="Verdana" w:hAnsi="Verdana"/>
          <w:b/>
          <w:bCs/>
        </w:rPr>
        <w:t>ESAL</w:t>
      </w:r>
      <w:r w:rsidRPr="00493891">
        <w:rPr>
          <w:rFonts w:ascii="Verdana" w:hAnsi="Verdana"/>
          <w:b/>
          <w:bCs/>
          <w:spacing w:val="-13"/>
        </w:rPr>
        <w:t xml:space="preserve"> </w:t>
      </w:r>
      <w:r w:rsidRPr="00493891">
        <w:rPr>
          <w:rFonts w:ascii="Verdana" w:hAnsi="Verdana"/>
          <w:b/>
          <w:bCs/>
        </w:rPr>
        <w:t>–</w:t>
      </w:r>
      <w:r w:rsidRPr="00493891">
        <w:rPr>
          <w:rFonts w:ascii="Verdana" w:hAnsi="Verdana"/>
          <w:b/>
          <w:bCs/>
          <w:spacing w:val="-12"/>
        </w:rPr>
        <w:t xml:space="preserve"> </w:t>
      </w:r>
      <w:r w:rsidRPr="00493891">
        <w:rPr>
          <w:rFonts w:ascii="Verdana" w:hAnsi="Verdana"/>
          <w:b/>
          <w:bCs/>
        </w:rPr>
        <w:t>Naturaleza</w:t>
      </w:r>
      <w:r w:rsidRPr="00493891">
        <w:rPr>
          <w:rFonts w:ascii="Verdana" w:hAnsi="Verdana"/>
          <w:b/>
          <w:bCs/>
          <w:spacing w:val="-13"/>
        </w:rPr>
        <w:t xml:space="preserve"> </w:t>
      </w:r>
      <w:r w:rsidRPr="00493891">
        <w:rPr>
          <w:rFonts w:ascii="Verdana" w:hAnsi="Verdana"/>
          <w:b/>
          <w:bCs/>
        </w:rPr>
        <w:t>–</w:t>
      </w:r>
      <w:r w:rsidRPr="00493891">
        <w:rPr>
          <w:rFonts w:ascii="Verdana" w:hAnsi="Verdana"/>
          <w:b/>
          <w:bCs/>
          <w:spacing w:val="-13"/>
        </w:rPr>
        <w:t xml:space="preserve"> </w:t>
      </w:r>
      <w:r w:rsidRPr="00493891">
        <w:rPr>
          <w:rFonts w:ascii="Verdana" w:hAnsi="Verdana"/>
          <w:b/>
          <w:bCs/>
        </w:rPr>
        <w:t>Sin</w:t>
      </w:r>
      <w:r w:rsidRPr="00493891">
        <w:rPr>
          <w:rFonts w:ascii="Verdana" w:hAnsi="Verdana"/>
          <w:b/>
          <w:bCs/>
          <w:spacing w:val="-13"/>
        </w:rPr>
        <w:t xml:space="preserve"> </w:t>
      </w:r>
      <w:r w:rsidRPr="00493891">
        <w:rPr>
          <w:rFonts w:ascii="Verdana" w:hAnsi="Verdana"/>
          <w:b/>
          <w:bCs/>
        </w:rPr>
        <w:t>ánimo</w:t>
      </w:r>
      <w:r w:rsidRPr="00493891">
        <w:rPr>
          <w:rFonts w:ascii="Verdana" w:hAnsi="Verdana"/>
          <w:b/>
          <w:bCs/>
          <w:spacing w:val="-13"/>
        </w:rPr>
        <w:t xml:space="preserve"> </w:t>
      </w:r>
      <w:r w:rsidRPr="00493891">
        <w:rPr>
          <w:rFonts w:ascii="Verdana" w:hAnsi="Verdana"/>
          <w:b/>
          <w:bCs/>
        </w:rPr>
        <w:t>de</w:t>
      </w:r>
      <w:r w:rsidRPr="00493891">
        <w:rPr>
          <w:rFonts w:ascii="Verdana" w:hAnsi="Verdana"/>
          <w:b/>
          <w:bCs/>
          <w:spacing w:val="-13"/>
        </w:rPr>
        <w:t xml:space="preserve"> </w:t>
      </w:r>
      <w:r w:rsidRPr="00493891">
        <w:rPr>
          <w:rFonts w:ascii="Verdana" w:hAnsi="Verdana"/>
          <w:b/>
          <w:bCs/>
        </w:rPr>
        <w:t>lucro / ESAL –</w:t>
      </w:r>
      <w:r w:rsidRPr="00493891">
        <w:rPr>
          <w:rFonts w:ascii="Verdana" w:hAnsi="Verdana"/>
          <w:b/>
          <w:bCs/>
          <w:spacing w:val="37"/>
        </w:rPr>
        <w:t xml:space="preserve"> </w:t>
      </w:r>
      <w:proofErr w:type="spellStart"/>
      <w:r w:rsidRPr="00493891">
        <w:rPr>
          <w:rFonts w:ascii="Verdana" w:hAnsi="Verdana"/>
          <w:b/>
          <w:bCs/>
        </w:rPr>
        <w:t>Mipymes</w:t>
      </w:r>
      <w:proofErr w:type="spellEnd"/>
      <w:r w:rsidRPr="00493891">
        <w:rPr>
          <w:rFonts w:ascii="Verdana" w:hAnsi="Verdana"/>
          <w:b/>
          <w:bCs/>
          <w:spacing w:val="37"/>
        </w:rPr>
        <w:t xml:space="preserve"> </w:t>
      </w:r>
      <w:r w:rsidRPr="00493891">
        <w:rPr>
          <w:rFonts w:ascii="Verdana" w:hAnsi="Verdana"/>
          <w:b/>
          <w:bCs/>
        </w:rPr>
        <w:t>–</w:t>
      </w:r>
      <w:r w:rsidRPr="00493891">
        <w:rPr>
          <w:rFonts w:ascii="Verdana" w:hAnsi="Verdana"/>
          <w:b/>
          <w:bCs/>
          <w:spacing w:val="37"/>
        </w:rPr>
        <w:t xml:space="preserve"> </w:t>
      </w:r>
      <w:r w:rsidRPr="00493891">
        <w:rPr>
          <w:rFonts w:ascii="Verdana" w:hAnsi="Verdana"/>
          <w:b/>
          <w:bCs/>
        </w:rPr>
        <w:t>Reparto</w:t>
      </w:r>
      <w:r w:rsidRPr="00493891">
        <w:rPr>
          <w:rFonts w:ascii="Verdana" w:hAnsi="Verdana"/>
          <w:b/>
          <w:bCs/>
          <w:spacing w:val="37"/>
        </w:rPr>
        <w:t xml:space="preserve"> </w:t>
      </w:r>
      <w:r w:rsidRPr="00493891">
        <w:rPr>
          <w:rFonts w:ascii="Verdana" w:hAnsi="Verdana"/>
          <w:b/>
          <w:bCs/>
        </w:rPr>
        <w:t>de</w:t>
      </w:r>
      <w:r w:rsidRPr="00493891">
        <w:rPr>
          <w:rFonts w:ascii="Verdana" w:hAnsi="Verdana"/>
          <w:b/>
          <w:bCs/>
          <w:spacing w:val="37"/>
        </w:rPr>
        <w:t xml:space="preserve"> </w:t>
      </w:r>
      <w:r w:rsidRPr="00493891">
        <w:rPr>
          <w:rFonts w:ascii="Verdana" w:hAnsi="Verdana"/>
          <w:b/>
          <w:bCs/>
        </w:rPr>
        <w:t>utilidades</w:t>
      </w:r>
      <w:r w:rsidRPr="00493891">
        <w:rPr>
          <w:rFonts w:ascii="Verdana" w:hAnsi="Verdana"/>
          <w:b/>
          <w:bCs/>
          <w:spacing w:val="37"/>
        </w:rPr>
        <w:t xml:space="preserve"> </w:t>
      </w:r>
      <w:r w:rsidRPr="00493891">
        <w:rPr>
          <w:rFonts w:ascii="Verdana" w:hAnsi="Verdana"/>
          <w:b/>
          <w:bCs/>
        </w:rPr>
        <w:t>–</w:t>
      </w:r>
      <w:r w:rsidRPr="00493891">
        <w:rPr>
          <w:rFonts w:ascii="Verdana" w:hAnsi="Verdana"/>
          <w:b/>
          <w:bCs/>
          <w:spacing w:val="37"/>
        </w:rPr>
        <w:t xml:space="preserve"> </w:t>
      </w:r>
      <w:r w:rsidRPr="00493891">
        <w:rPr>
          <w:rFonts w:ascii="Verdana" w:hAnsi="Verdana"/>
          <w:b/>
          <w:bCs/>
        </w:rPr>
        <w:t>Distinción</w:t>
      </w:r>
    </w:p>
    <w:p w14:paraId="06CA9E61" w14:textId="77777777" w:rsidR="00493891" w:rsidRDefault="00493891" w:rsidP="001B4C44">
      <w:pPr>
        <w:spacing w:after="0" w:line="240" w:lineRule="auto"/>
        <w:rPr>
          <w:rFonts w:ascii="Verdana" w:hAnsi="Verdana"/>
          <w:b/>
          <w:bCs/>
        </w:rPr>
      </w:pPr>
    </w:p>
    <w:p w14:paraId="27F77639" w14:textId="77777777" w:rsidR="00493891" w:rsidRPr="000349C5" w:rsidRDefault="00493891" w:rsidP="00493891">
      <w:pPr>
        <w:spacing w:after="120" w:line="276" w:lineRule="auto"/>
        <w:ind w:right="79"/>
        <w:jc w:val="both"/>
        <w:rPr>
          <w:rFonts w:ascii="Verdana" w:eastAsia="Arial" w:hAnsi="Verdana" w:cs="Arial"/>
          <w:bCs/>
        </w:rPr>
      </w:pPr>
      <w:r>
        <w:rPr>
          <w:rFonts w:ascii="Verdana" w:eastAsia="Arial" w:hAnsi="Verdana" w:cs="Arial"/>
          <w:bCs/>
        </w:rPr>
        <w:t>De conformidad con el problema jurídico planteado, e</w:t>
      </w:r>
      <w:r w:rsidRPr="000349C5">
        <w:rPr>
          <w:rFonts w:ascii="Verdana" w:eastAsia="Arial" w:hAnsi="Verdana" w:cs="Arial"/>
          <w:bCs/>
        </w:rPr>
        <w:t xml:space="preserve">n primer lugar, es importante señalar que el artículo 2 de la Ley 590 de 2000 define a las </w:t>
      </w:r>
      <w:r w:rsidRPr="00B020FB">
        <w:rPr>
          <w:rFonts w:ascii="Verdana" w:hAnsi="Verdana"/>
        </w:rPr>
        <w:t xml:space="preserve">Micro, Pequeñas y Medianas Empresas </w:t>
      </w:r>
      <w:r>
        <w:rPr>
          <w:rFonts w:ascii="Verdana" w:hAnsi="Verdana"/>
        </w:rPr>
        <w:t xml:space="preserve">– en adelante </w:t>
      </w:r>
      <w:proofErr w:type="spellStart"/>
      <w:r w:rsidRPr="000349C5">
        <w:rPr>
          <w:rFonts w:ascii="Verdana" w:eastAsia="Arial" w:hAnsi="Verdana" w:cs="Arial"/>
          <w:bCs/>
        </w:rPr>
        <w:t>Mipymes</w:t>
      </w:r>
      <w:proofErr w:type="spellEnd"/>
      <w:r w:rsidRPr="000349C5">
        <w:rPr>
          <w:rFonts w:ascii="Verdana" w:eastAsia="Arial" w:hAnsi="Verdana" w:cs="Arial"/>
          <w:bCs/>
        </w:rPr>
        <w:t xml:space="preserve"> </w:t>
      </w:r>
      <w:r>
        <w:rPr>
          <w:rFonts w:ascii="Verdana" w:eastAsia="Arial" w:hAnsi="Verdana" w:cs="Arial"/>
          <w:bCs/>
        </w:rPr>
        <w:t xml:space="preserve">– </w:t>
      </w:r>
      <w:r w:rsidRPr="000349C5">
        <w:rPr>
          <w:rFonts w:ascii="Verdana" w:eastAsia="Arial" w:hAnsi="Verdana" w:cs="Arial"/>
          <w:bCs/>
        </w:rPr>
        <w:t>como</w:t>
      </w:r>
      <w:r>
        <w:rPr>
          <w:rFonts w:ascii="Verdana" w:eastAsia="Arial" w:hAnsi="Verdana" w:cs="Arial"/>
          <w:bCs/>
        </w:rPr>
        <w:t xml:space="preserve"> </w:t>
      </w:r>
      <w:r w:rsidRPr="000349C5">
        <w:rPr>
          <w:rFonts w:ascii="Verdana" w:eastAsia="Arial" w:hAnsi="Verdana" w:cs="Arial"/>
          <w:bCs/>
        </w:rPr>
        <w:t>aquellas empresas que cuentan con una unidad de explotación económica y cuyo objetivo es la distribución de utilidades entre sus miembros, es decir, que persiguen un fin lucrativo.</w:t>
      </w:r>
      <w:r>
        <w:rPr>
          <w:rFonts w:ascii="Verdana" w:eastAsia="Arial" w:hAnsi="Verdana" w:cs="Arial"/>
          <w:bCs/>
        </w:rPr>
        <w:t xml:space="preserve"> </w:t>
      </w:r>
      <w:r w:rsidRPr="000349C5">
        <w:rPr>
          <w:rFonts w:ascii="Verdana" w:eastAsia="Arial" w:hAnsi="Verdana" w:cs="Arial"/>
          <w:bCs/>
        </w:rPr>
        <w:t>Por el contrario, dentro de la</w:t>
      </w:r>
      <w:r>
        <w:rPr>
          <w:rFonts w:ascii="Verdana" w:eastAsia="Arial" w:hAnsi="Verdana" w:cs="Arial"/>
          <w:bCs/>
        </w:rPr>
        <w:t>s características</w:t>
      </w:r>
      <w:r w:rsidRPr="000349C5">
        <w:rPr>
          <w:rFonts w:ascii="Verdana" w:eastAsia="Arial" w:hAnsi="Verdana" w:cs="Arial"/>
          <w:bCs/>
        </w:rPr>
        <w:t xml:space="preserve"> de las E</w:t>
      </w:r>
      <w:r>
        <w:rPr>
          <w:rFonts w:ascii="Verdana" w:eastAsia="Arial" w:hAnsi="Verdana" w:cs="Arial"/>
          <w:bCs/>
        </w:rPr>
        <w:t xml:space="preserve">ntidades </w:t>
      </w:r>
      <w:r w:rsidRPr="000349C5">
        <w:rPr>
          <w:rFonts w:ascii="Verdana" w:eastAsia="Arial" w:hAnsi="Verdana" w:cs="Arial"/>
          <w:bCs/>
        </w:rPr>
        <w:t>S</w:t>
      </w:r>
      <w:r>
        <w:rPr>
          <w:rFonts w:ascii="Verdana" w:eastAsia="Arial" w:hAnsi="Verdana" w:cs="Arial"/>
          <w:bCs/>
        </w:rPr>
        <w:t xml:space="preserve">in </w:t>
      </w:r>
      <w:r w:rsidRPr="000349C5">
        <w:rPr>
          <w:rFonts w:ascii="Verdana" w:eastAsia="Arial" w:hAnsi="Verdana" w:cs="Arial"/>
          <w:bCs/>
        </w:rPr>
        <w:t>Á</w:t>
      </w:r>
      <w:r>
        <w:rPr>
          <w:rFonts w:ascii="Verdana" w:eastAsia="Arial" w:hAnsi="Verdana" w:cs="Arial"/>
          <w:bCs/>
        </w:rPr>
        <w:t xml:space="preserve">nimo de </w:t>
      </w:r>
      <w:r w:rsidRPr="000349C5">
        <w:rPr>
          <w:rFonts w:ascii="Verdana" w:eastAsia="Arial" w:hAnsi="Verdana" w:cs="Arial"/>
          <w:bCs/>
        </w:rPr>
        <w:t>l</w:t>
      </w:r>
      <w:r>
        <w:rPr>
          <w:rFonts w:ascii="Verdana" w:eastAsia="Arial" w:hAnsi="Verdana" w:cs="Arial"/>
          <w:bCs/>
        </w:rPr>
        <w:t>ucro – en adelante ESAL –</w:t>
      </w:r>
      <w:r w:rsidRPr="000349C5">
        <w:rPr>
          <w:rFonts w:ascii="Verdana" w:eastAsia="Arial" w:hAnsi="Verdana" w:cs="Arial"/>
          <w:bCs/>
        </w:rPr>
        <w:t xml:space="preserve">, </w:t>
      </w:r>
      <w:r>
        <w:rPr>
          <w:rFonts w:ascii="Verdana" w:eastAsia="Arial" w:hAnsi="Verdana" w:cs="Arial"/>
          <w:bCs/>
        </w:rPr>
        <w:t>se encuentra que</w:t>
      </w:r>
      <w:r w:rsidRPr="000349C5">
        <w:rPr>
          <w:rFonts w:ascii="Verdana" w:eastAsia="Arial" w:hAnsi="Verdana" w:cs="Arial"/>
          <w:bCs/>
        </w:rPr>
        <w:t xml:space="preserve"> su objetivo es llevar a cabo actividades que beneficien a los asociados, a terceros o a la comunidad en general, sin que su propósito sea la distribución de utilidades entre sus miembros.</w:t>
      </w:r>
    </w:p>
    <w:p w14:paraId="5B7F276C" w14:textId="77777777" w:rsidR="00493891" w:rsidRDefault="00493891" w:rsidP="00493891">
      <w:pPr>
        <w:spacing w:after="120" w:line="276" w:lineRule="auto"/>
        <w:ind w:right="79"/>
        <w:jc w:val="both"/>
        <w:rPr>
          <w:rFonts w:ascii="Verdana" w:hAnsi="Verdana"/>
        </w:rPr>
      </w:pPr>
      <w:r>
        <w:rPr>
          <w:rFonts w:ascii="Verdana" w:hAnsi="Verdana"/>
        </w:rPr>
        <w:t xml:space="preserve">Por lo anterior, </w:t>
      </w:r>
      <w:r w:rsidRPr="00B020FB">
        <w:rPr>
          <w:rFonts w:ascii="Verdana" w:hAnsi="Verdana"/>
        </w:rPr>
        <w:t xml:space="preserve">esta Agencia ha mantenido de manera reiterada la postura de que las ESAL no pueden acceder a los </w:t>
      </w:r>
      <w:r>
        <w:rPr>
          <w:rFonts w:ascii="Verdana" w:hAnsi="Verdana"/>
        </w:rPr>
        <w:t>criterios diferenciales – dentro de los requisitos habilitantes diferenciales y puntajes adicionales –</w:t>
      </w:r>
      <w:r w:rsidRPr="00B020FB">
        <w:rPr>
          <w:rFonts w:ascii="Verdana" w:hAnsi="Verdana"/>
        </w:rPr>
        <w:t xml:space="preserve"> establecidos</w:t>
      </w:r>
      <w:r>
        <w:rPr>
          <w:rFonts w:ascii="Verdana" w:hAnsi="Verdana"/>
        </w:rPr>
        <w:t xml:space="preserve"> </w:t>
      </w:r>
      <w:r w:rsidRPr="00B020FB">
        <w:rPr>
          <w:rFonts w:ascii="Verdana" w:hAnsi="Verdana"/>
        </w:rPr>
        <w:t xml:space="preserve">para las </w:t>
      </w:r>
      <w:proofErr w:type="spellStart"/>
      <w:r w:rsidRPr="00B020FB">
        <w:rPr>
          <w:rFonts w:ascii="Verdana" w:hAnsi="Verdana"/>
        </w:rPr>
        <w:t>Mipymes</w:t>
      </w:r>
      <w:proofErr w:type="spellEnd"/>
      <w:r w:rsidRPr="00B020FB">
        <w:rPr>
          <w:rFonts w:ascii="Verdana" w:hAnsi="Verdana"/>
        </w:rPr>
        <w:t xml:space="preserve">, ni participar en los procesos contractuales restringidos a estas últimas. De acuerdo con el artículo 43 de la Ley 1450 de 2011, que modificó el artículo 2 de la Ley 590 de 2000, se establece que solo podrán ser consideradas </w:t>
      </w:r>
      <w:proofErr w:type="spellStart"/>
      <w:r w:rsidRPr="00B020FB">
        <w:rPr>
          <w:rFonts w:ascii="Verdana" w:hAnsi="Verdana"/>
        </w:rPr>
        <w:t>Mipymes</w:t>
      </w:r>
      <w:proofErr w:type="spellEnd"/>
      <w:r w:rsidRPr="00B020FB">
        <w:rPr>
          <w:rFonts w:ascii="Verdana" w:hAnsi="Verdana"/>
        </w:rPr>
        <w:t xml:space="preserve"> aquellas entidades que, como unidades de explotación económica, busquen el reparto de utilidades entre sus miembros. En contraste, </w:t>
      </w:r>
      <w:r>
        <w:rPr>
          <w:rFonts w:ascii="Verdana" w:hAnsi="Verdana"/>
        </w:rPr>
        <w:t xml:space="preserve">como ya se mencionó, </w:t>
      </w:r>
      <w:r w:rsidRPr="00B020FB">
        <w:rPr>
          <w:rFonts w:ascii="Verdana" w:hAnsi="Verdana"/>
        </w:rPr>
        <w:t xml:space="preserve">las ESAL no persiguen la distribución de utilidades entre sus miembros, ya que su objeto social está orientado a realizar actividades de interés general, sin esperar un beneficio económico directo o reparto de ganancias. </w:t>
      </w:r>
    </w:p>
    <w:p w14:paraId="6B416661" w14:textId="38183559" w:rsidR="00493891" w:rsidRDefault="00493891" w:rsidP="00493891">
      <w:pPr>
        <w:spacing w:after="0" w:line="240" w:lineRule="auto"/>
        <w:jc w:val="both"/>
        <w:rPr>
          <w:rFonts w:ascii="Verdana" w:eastAsia="Calibri" w:hAnsi="Verdana" w:cstheme="minorHAnsi"/>
          <w:lang w:val="es-ES"/>
        </w:rPr>
      </w:pPr>
      <w:r w:rsidRPr="00B020FB">
        <w:rPr>
          <w:rFonts w:ascii="Verdana" w:hAnsi="Verdana"/>
        </w:rPr>
        <w:t>Por lo tanto, las ESAL</w:t>
      </w:r>
      <w:r>
        <w:rPr>
          <w:rFonts w:ascii="Verdana" w:hAnsi="Verdana"/>
        </w:rPr>
        <w:t xml:space="preserve">, como las fundaciones a las que se refiere en su </w:t>
      </w:r>
      <w:proofErr w:type="gramStart"/>
      <w:r>
        <w:rPr>
          <w:rFonts w:ascii="Verdana" w:hAnsi="Verdana"/>
        </w:rPr>
        <w:t>consulta,</w:t>
      </w:r>
      <w:proofErr w:type="gramEnd"/>
      <w:r w:rsidRPr="00B020FB">
        <w:rPr>
          <w:rFonts w:ascii="Verdana" w:hAnsi="Verdana"/>
        </w:rPr>
        <w:t xml:space="preserve"> no cumplen con los requisitos para </w:t>
      </w:r>
      <w:r>
        <w:rPr>
          <w:rFonts w:ascii="Verdana" w:hAnsi="Verdana"/>
        </w:rPr>
        <w:t>ser consideradas</w:t>
      </w:r>
      <w:r w:rsidRPr="00B020FB">
        <w:rPr>
          <w:rFonts w:ascii="Verdana" w:hAnsi="Verdana"/>
        </w:rPr>
        <w:t xml:space="preserve"> </w:t>
      </w:r>
      <w:proofErr w:type="spellStart"/>
      <w:r w:rsidRPr="00B020FB">
        <w:rPr>
          <w:rFonts w:ascii="Verdana" w:hAnsi="Verdana"/>
        </w:rPr>
        <w:t>Mipymes</w:t>
      </w:r>
      <w:proofErr w:type="spellEnd"/>
      <w:r>
        <w:rPr>
          <w:rFonts w:ascii="Verdana" w:hAnsi="Verdana"/>
        </w:rPr>
        <w:t xml:space="preserve"> y, en consecuencia, no podrán ser beneficiarias de los puntajes adicionales consagradas en el ordenamiento jurídico a favor de ellas. Esto sin perjuicio de lo establecido en el artículo 23 de la Ley 2069 de 2020, que asemeja las </w:t>
      </w:r>
      <w:r w:rsidRPr="00A23794">
        <w:rPr>
          <w:rFonts w:ascii="Verdana" w:eastAsia="Calibri" w:hAnsi="Verdana" w:cstheme="minorHAnsi"/>
          <w:lang w:val="es-ES"/>
        </w:rPr>
        <w:t>cooperativas, asociaciones mutuales y demás entes considerados de economía solidaria</w:t>
      </w:r>
      <w:r>
        <w:rPr>
          <w:rFonts w:ascii="Verdana" w:eastAsia="Calibri" w:hAnsi="Verdana" w:cstheme="minorHAnsi"/>
          <w:lang w:val="es-ES"/>
        </w:rPr>
        <w:t xml:space="preserve"> a las </w:t>
      </w:r>
      <w:proofErr w:type="spellStart"/>
      <w:r>
        <w:rPr>
          <w:rFonts w:ascii="Verdana" w:eastAsia="Calibri" w:hAnsi="Verdana" w:cstheme="minorHAnsi"/>
          <w:lang w:val="es-ES"/>
        </w:rPr>
        <w:t>Mipymes</w:t>
      </w:r>
      <w:proofErr w:type="spellEnd"/>
      <w:r>
        <w:rPr>
          <w:rFonts w:ascii="Verdana" w:eastAsia="Calibri" w:hAnsi="Verdana" w:cstheme="minorHAnsi"/>
          <w:lang w:val="es-ES"/>
        </w:rPr>
        <w:t xml:space="preserve"> para efectos de la aplicación de dicho cuerpo normativo.</w:t>
      </w:r>
    </w:p>
    <w:p w14:paraId="4B217EEF" w14:textId="77777777" w:rsidR="00493891" w:rsidRDefault="00493891" w:rsidP="00493891">
      <w:pPr>
        <w:spacing w:after="0" w:line="240" w:lineRule="auto"/>
        <w:jc w:val="both"/>
        <w:rPr>
          <w:rFonts w:ascii="Verdana" w:eastAsia="Calibri" w:hAnsi="Verdana" w:cstheme="minorHAnsi"/>
          <w:lang w:val="es-ES"/>
        </w:rPr>
      </w:pPr>
    </w:p>
    <w:p w14:paraId="6D98C47B" w14:textId="77777777" w:rsidR="00493891" w:rsidRDefault="00493891" w:rsidP="00493891">
      <w:pPr>
        <w:spacing w:after="0" w:line="240" w:lineRule="auto"/>
        <w:jc w:val="both"/>
        <w:rPr>
          <w:rFonts w:ascii="Verdana" w:eastAsia="Calibri" w:hAnsi="Verdana" w:cstheme="minorHAnsi"/>
          <w:lang w:val="es-ES"/>
        </w:rPr>
      </w:pPr>
    </w:p>
    <w:p w14:paraId="2EBF50CE" w14:textId="77777777" w:rsidR="00493891" w:rsidRDefault="00493891" w:rsidP="00493891">
      <w:pPr>
        <w:spacing w:after="0" w:line="240" w:lineRule="auto"/>
        <w:jc w:val="both"/>
        <w:rPr>
          <w:rFonts w:ascii="Verdana" w:eastAsia="Calibri" w:hAnsi="Verdana" w:cstheme="minorHAnsi"/>
          <w:lang w:val="es-ES"/>
        </w:rPr>
      </w:pPr>
    </w:p>
    <w:p w14:paraId="154038D5" w14:textId="77777777" w:rsidR="00493891" w:rsidRDefault="00493891" w:rsidP="00493891">
      <w:pPr>
        <w:spacing w:after="0" w:line="240" w:lineRule="auto"/>
        <w:jc w:val="both"/>
        <w:rPr>
          <w:rFonts w:ascii="Verdana" w:eastAsia="Calibri" w:hAnsi="Verdana" w:cstheme="minorHAnsi"/>
          <w:lang w:val="es-ES"/>
        </w:rPr>
      </w:pPr>
    </w:p>
    <w:p w14:paraId="79534FF8" w14:textId="77777777" w:rsidR="00493891" w:rsidRDefault="00493891" w:rsidP="00493891">
      <w:pPr>
        <w:spacing w:after="0" w:line="240" w:lineRule="auto"/>
        <w:jc w:val="both"/>
        <w:rPr>
          <w:rFonts w:ascii="Verdana" w:hAnsi="Verdana"/>
        </w:rPr>
      </w:pPr>
    </w:p>
    <w:p w14:paraId="216F4F25" w14:textId="77777777" w:rsidR="00493891" w:rsidRDefault="00493891" w:rsidP="001B4C44">
      <w:pPr>
        <w:spacing w:after="0" w:line="240" w:lineRule="auto"/>
        <w:rPr>
          <w:rFonts w:ascii="Verdana" w:eastAsia="Geomanist Light" w:hAnsi="Verdana" w:cs="Arial"/>
          <w:color w:val="000000" w:themeColor="text1"/>
          <w:lang w:val="es-MX"/>
        </w:rPr>
      </w:pPr>
    </w:p>
    <w:p w14:paraId="1740548B" w14:textId="4D62396A" w:rsidR="001B4C44" w:rsidRPr="00CF64C0" w:rsidRDefault="001B4C44" w:rsidP="001B4C44">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493891">
        <w:rPr>
          <w:rFonts w:ascii="Verdana" w:eastAsia="Geomanist Light" w:hAnsi="Verdana" w:cs="Arial"/>
          <w:color w:val="201F1E"/>
          <w:lang w:val="es-MX"/>
        </w:rPr>
        <w:t>19</w:t>
      </w:r>
      <w:r w:rsidRPr="00CF64C0">
        <w:rPr>
          <w:rFonts w:ascii="Verdana" w:eastAsia="Geomanist Light" w:hAnsi="Verdana" w:cs="Arial"/>
          <w:color w:val="201F1E"/>
          <w:lang w:val="es-MX"/>
        </w:rPr>
        <w:t xml:space="preserve"> de </w:t>
      </w:r>
      <w:r w:rsidR="00493891">
        <w:rPr>
          <w:rFonts w:ascii="Verdana" w:eastAsia="Geomanist Light" w:hAnsi="Verdana" w:cs="Arial"/>
          <w:color w:val="201F1E"/>
          <w:lang w:val="es-MX"/>
        </w:rPr>
        <w:t>marzo</w:t>
      </w:r>
      <w:r w:rsidRPr="00CF64C0">
        <w:rPr>
          <w:rFonts w:ascii="Verdana" w:eastAsia="Geomanist Light" w:hAnsi="Verdana" w:cs="Arial"/>
          <w:color w:val="201F1E"/>
          <w:lang w:val="es-MX"/>
        </w:rPr>
        <w:t xml:space="preserve"> de</w:t>
      </w:r>
      <w:r w:rsidR="00493891">
        <w:rPr>
          <w:rFonts w:ascii="Verdana" w:eastAsia="Geomanist Light" w:hAnsi="Verdana" w:cs="Arial"/>
          <w:color w:val="201F1E"/>
          <w:lang w:val="es-MX"/>
        </w:rPr>
        <w:t xml:space="preserve"> 2025</w:t>
      </w:r>
    </w:p>
    <w:p w14:paraId="19F8248D" w14:textId="77777777" w:rsidR="001B4C44" w:rsidRPr="00630E73" w:rsidRDefault="001B4C44" w:rsidP="001B4C44">
      <w:pPr>
        <w:spacing w:after="0" w:line="240" w:lineRule="auto"/>
        <w:jc w:val="both"/>
        <w:rPr>
          <w:rFonts w:ascii="Verdana" w:eastAsia="Calibri" w:hAnsi="Verdana" w:cs="Arial"/>
          <w:color w:val="000000"/>
          <w:lang w:val="es-MX"/>
        </w:rPr>
      </w:pPr>
    </w:p>
    <w:p w14:paraId="5F9EF6B5" w14:textId="77777777" w:rsidR="001B4C44" w:rsidRPr="00EB1CF7" w:rsidRDefault="001B4C44" w:rsidP="001B4C44">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r>
        <w:rPr>
          <w:rFonts w:ascii="Verdana" w:eastAsia="Calibri" w:hAnsi="Verdana" w:cs="Arial"/>
          <w:lang w:val="es-ES" w:eastAsia="es-ES"/>
        </w:rPr>
        <w:t>a</w:t>
      </w:r>
    </w:p>
    <w:p w14:paraId="706B7483" w14:textId="498D9337" w:rsidR="001B4C44" w:rsidRDefault="009C7EA9" w:rsidP="001B4C44">
      <w:pPr>
        <w:spacing w:after="0" w:line="240" w:lineRule="auto"/>
        <w:rPr>
          <w:rFonts w:ascii="Verdana" w:eastAsia="Calibri" w:hAnsi="Verdana" w:cs="Arial"/>
          <w:b/>
          <w:bCs/>
          <w:lang w:eastAsia="es-ES_tradnl"/>
        </w:rPr>
      </w:pPr>
      <w:r w:rsidRPr="003A509A">
        <w:rPr>
          <w:rFonts w:ascii="Verdana" w:eastAsia="Calibri" w:hAnsi="Verdana" w:cs="Arial"/>
          <w:b/>
          <w:bCs/>
          <w:lang w:eastAsia="es-ES_tradnl"/>
        </w:rPr>
        <w:t xml:space="preserve">Carlos </w:t>
      </w:r>
      <w:r w:rsidR="006734DC" w:rsidRPr="003A509A">
        <w:rPr>
          <w:rFonts w:ascii="Verdana" w:eastAsia="Calibri" w:hAnsi="Verdana" w:cs="Arial"/>
          <w:b/>
          <w:bCs/>
          <w:lang w:eastAsia="es-ES_tradnl"/>
        </w:rPr>
        <w:t>Andrés</w:t>
      </w:r>
      <w:r w:rsidRPr="003A509A">
        <w:rPr>
          <w:rFonts w:ascii="Verdana" w:eastAsia="Calibri" w:hAnsi="Verdana" w:cs="Arial"/>
          <w:b/>
          <w:bCs/>
          <w:lang w:eastAsia="es-ES_tradnl"/>
        </w:rPr>
        <w:t xml:space="preserve"> </w:t>
      </w:r>
      <w:proofErr w:type="spellStart"/>
      <w:r w:rsidRPr="003A509A">
        <w:rPr>
          <w:rFonts w:ascii="Verdana" w:eastAsia="Calibri" w:hAnsi="Verdana" w:cs="Arial"/>
          <w:b/>
          <w:bCs/>
          <w:lang w:eastAsia="es-ES_tradnl"/>
        </w:rPr>
        <w:t>Otaiza</w:t>
      </w:r>
      <w:proofErr w:type="spellEnd"/>
      <w:r w:rsidRPr="003A509A">
        <w:rPr>
          <w:rFonts w:ascii="Verdana" w:eastAsia="Calibri" w:hAnsi="Verdana" w:cs="Arial"/>
          <w:b/>
          <w:bCs/>
          <w:lang w:eastAsia="es-ES_tradnl"/>
        </w:rPr>
        <w:t xml:space="preserve"> Orellano</w:t>
      </w:r>
    </w:p>
    <w:p w14:paraId="6561C1F8" w14:textId="77777777" w:rsidR="001B4C44" w:rsidRPr="003A509A" w:rsidRDefault="001B4C44" w:rsidP="001B4C44">
      <w:pPr>
        <w:spacing w:after="0" w:line="240" w:lineRule="auto"/>
        <w:rPr>
          <w:rFonts w:ascii="Verdana" w:eastAsia="Calibri" w:hAnsi="Verdana" w:cs="Arial"/>
          <w:bCs/>
          <w:lang w:val="es-ES_tradnl" w:eastAsia="es-ES_tradnl"/>
        </w:rPr>
      </w:pPr>
      <w:hyperlink r:id="rId10" w:history="1">
        <w:r w:rsidRPr="00406353">
          <w:rPr>
            <w:rStyle w:val="Hipervnculo"/>
            <w:rFonts w:ascii="Verdana" w:hAnsi="Verdana"/>
          </w:rPr>
          <w:t>cotaiza3006@gmail.com</w:t>
        </w:r>
      </w:hyperlink>
      <w:r>
        <w:rPr>
          <w:rFonts w:ascii="Verdana" w:eastAsia="Calibri" w:hAnsi="Verdana" w:cs="Arial"/>
          <w:bCs/>
          <w:lang w:val="es-ES_tradnl" w:eastAsia="es-ES_tradnl"/>
        </w:rPr>
        <w:t xml:space="preserve">; </w:t>
      </w:r>
    </w:p>
    <w:p w14:paraId="300D9FD7" w14:textId="4C417864" w:rsidR="001B4C44" w:rsidRPr="00493891" w:rsidRDefault="001B4C44" w:rsidP="001B4C44">
      <w:pPr>
        <w:spacing w:after="0" w:line="240" w:lineRule="auto"/>
        <w:rPr>
          <w:rFonts w:ascii="Verdana" w:eastAsia="Calibri" w:hAnsi="Verdana" w:cs="Arial"/>
          <w:lang w:val="es-ES" w:eastAsia="es-ES"/>
        </w:rPr>
      </w:pPr>
      <w:r>
        <w:rPr>
          <w:rFonts w:ascii="Verdana" w:eastAsia="Calibri" w:hAnsi="Verdana" w:cs="Arial"/>
          <w:lang w:val="es-ES" w:eastAsia="es-ES"/>
        </w:rPr>
        <w:t>Ciudad</w:t>
      </w:r>
      <w:r w:rsidRPr="00EB1CF7">
        <w:rPr>
          <w:rFonts w:ascii="Verdana" w:eastAsia="Calibri" w:hAnsi="Verdana" w:cs="Arial"/>
          <w:lang w:val="es-ES" w:eastAsia="es-ES"/>
        </w:rPr>
        <w:t xml:space="preserve"> </w:t>
      </w:r>
    </w:p>
    <w:p w14:paraId="15B9B660" w14:textId="3526D927" w:rsidR="001B4C44" w:rsidRPr="00EB1CF7" w:rsidRDefault="00493891" w:rsidP="00493891">
      <w:pPr>
        <w:spacing w:after="0" w:line="240" w:lineRule="auto"/>
        <w:ind w:left="4956"/>
        <w:rPr>
          <w:rFonts w:ascii="Verdana" w:eastAsia="Calibri" w:hAnsi="Verdana" w:cs="Arial"/>
          <w:b/>
          <w:bCs/>
          <w:color w:val="000000"/>
          <w:lang w:val="es-ES_tradnl" w:eastAsia="es-ES_tradnl"/>
        </w:rPr>
      </w:pPr>
      <w:r w:rsidRPr="00493891">
        <w:rPr>
          <w:rFonts w:ascii="Verdana" w:eastAsia="Calibri" w:hAnsi="Verdana" w:cs="Arial"/>
          <w:b/>
          <w:bCs/>
          <w:color w:val="000000"/>
          <w:lang w:val="es-ES_tradnl" w:eastAsia="es-ES_tradnl"/>
        </w:rPr>
        <w:drawing>
          <wp:inline distT="0" distB="0" distL="0" distR="0" wp14:anchorId="2E657DA4" wp14:editId="0691D991">
            <wp:extent cx="3410426" cy="1095528"/>
            <wp:effectExtent l="0" t="0" r="0" b="9525"/>
            <wp:docPr id="19502350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35099" name=""/>
                    <pic:cNvPicPr/>
                  </pic:nvPicPr>
                  <pic:blipFill>
                    <a:blip r:embed="rId11"/>
                    <a:stretch>
                      <a:fillRect/>
                    </a:stretch>
                  </pic:blipFill>
                  <pic:spPr>
                    <a:xfrm>
                      <a:off x="0" y="0"/>
                      <a:ext cx="3410426" cy="1095528"/>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4C44" w:rsidRPr="00EB1CF7" w14:paraId="0B01A19A" w14:textId="77777777" w:rsidTr="009154E1">
        <w:trPr>
          <w:trHeight w:val="66"/>
        </w:trPr>
        <w:tc>
          <w:tcPr>
            <w:tcW w:w="2689" w:type="dxa"/>
          </w:tcPr>
          <w:p w14:paraId="10964E5B" w14:textId="77777777" w:rsidR="001B4C44" w:rsidRPr="00420645" w:rsidRDefault="001B4C44" w:rsidP="005E648B">
            <w:pPr>
              <w:jc w:val="both"/>
              <w:rPr>
                <w:rFonts w:ascii="Verdana" w:eastAsia="Calibri" w:hAnsi="Verdana" w:cs="Arial"/>
                <w:b/>
                <w:bCs/>
                <w:color w:val="7030A0"/>
                <w:lang w:val="es-ES_tradnl" w:eastAsia="es-ES_tradnl"/>
              </w:rPr>
            </w:pPr>
          </w:p>
        </w:tc>
        <w:tc>
          <w:tcPr>
            <w:tcW w:w="6100" w:type="dxa"/>
          </w:tcPr>
          <w:p w14:paraId="75ABCC8B" w14:textId="77777777" w:rsidR="001B4C44" w:rsidRDefault="001B4C44" w:rsidP="005E648B">
            <w:pPr>
              <w:jc w:val="both"/>
              <w:rPr>
                <w:rFonts w:ascii="Verdana" w:eastAsia="Calibri" w:hAnsi="Verdana" w:cs="Arial"/>
                <w:b/>
                <w:bCs/>
                <w:lang w:val="es-ES" w:eastAsia="es-ES"/>
              </w:rPr>
            </w:pPr>
            <w:r w:rsidRPr="00420645">
              <w:rPr>
                <w:rFonts w:ascii="Verdana" w:eastAsia="Calibri" w:hAnsi="Verdana" w:cs="Arial"/>
                <w:b/>
                <w:bCs/>
                <w:lang w:val="es-ES" w:eastAsia="es-ES"/>
              </w:rPr>
              <w:t xml:space="preserve">Concepto C – </w:t>
            </w:r>
            <w:r>
              <w:rPr>
                <w:rFonts w:ascii="Verdana" w:eastAsia="Calibri" w:hAnsi="Verdana" w:cs="Arial"/>
                <w:b/>
                <w:bCs/>
                <w:lang w:val="es-ES" w:eastAsia="es-ES"/>
              </w:rPr>
              <w:t>168</w:t>
            </w:r>
            <w:r w:rsidRPr="00420645">
              <w:rPr>
                <w:rFonts w:ascii="Verdana" w:eastAsia="Calibri" w:hAnsi="Verdana" w:cs="Arial"/>
                <w:b/>
                <w:bCs/>
                <w:lang w:val="es-ES" w:eastAsia="es-ES"/>
              </w:rPr>
              <w:t xml:space="preserve"> de 2025</w:t>
            </w:r>
          </w:p>
          <w:p w14:paraId="7148A57D" w14:textId="77777777" w:rsidR="009C7EA9" w:rsidRPr="00420645" w:rsidRDefault="009C7EA9" w:rsidP="005E648B">
            <w:pPr>
              <w:jc w:val="both"/>
              <w:rPr>
                <w:rFonts w:ascii="Verdana" w:eastAsia="Calibri" w:hAnsi="Verdana" w:cs="Arial"/>
                <w:b/>
                <w:bCs/>
                <w:lang w:val="es-ES" w:eastAsia="es-ES"/>
              </w:rPr>
            </w:pPr>
          </w:p>
        </w:tc>
      </w:tr>
      <w:tr w:rsidR="001B4C44" w:rsidRPr="00EB1CF7" w14:paraId="14E9BAA2" w14:textId="77777777" w:rsidTr="005E648B">
        <w:trPr>
          <w:trHeight w:val="884"/>
        </w:trPr>
        <w:tc>
          <w:tcPr>
            <w:tcW w:w="2689" w:type="dxa"/>
          </w:tcPr>
          <w:p w14:paraId="58A147B7" w14:textId="77777777" w:rsidR="001B4C44" w:rsidRPr="00EB1CF7" w:rsidRDefault="001B4C44" w:rsidP="005E648B">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6100" w:type="dxa"/>
          </w:tcPr>
          <w:p w14:paraId="3E492F37" w14:textId="395E5F4B" w:rsidR="001B4C44" w:rsidRDefault="001B4C44" w:rsidP="005E648B">
            <w:pPr>
              <w:spacing w:line="276" w:lineRule="auto"/>
              <w:jc w:val="both"/>
              <w:rPr>
                <w:rFonts w:ascii="Verdana" w:hAnsi="Verdana"/>
              </w:rPr>
            </w:pPr>
            <w:r w:rsidRPr="00AE0B32">
              <w:rPr>
                <w:rFonts w:ascii="Verdana" w:hAnsi="Verdana"/>
              </w:rPr>
              <w:t>MIPYMES</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Definición</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ESAL</w:t>
            </w:r>
            <w:r w:rsidRPr="00AE0B32">
              <w:rPr>
                <w:rFonts w:ascii="Verdana" w:hAnsi="Verdana"/>
                <w:spacing w:val="-13"/>
              </w:rPr>
              <w:t xml:space="preserve"> </w:t>
            </w:r>
            <w:r w:rsidRPr="00AE0B32">
              <w:rPr>
                <w:rFonts w:ascii="Verdana" w:hAnsi="Verdana"/>
              </w:rPr>
              <w:t>–</w:t>
            </w:r>
            <w:r w:rsidRPr="00AE0B32">
              <w:rPr>
                <w:rFonts w:ascii="Verdana" w:hAnsi="Verdana"/>
                <w:spacing w:val="-12"/>
              </w:rPr>
              <w:t xml:space="preserve"> </w:t>
            </w:r>
            <w:r w:rsidRPr="00AE0B32">
              <w:rPr>
                <w:rFonts w:ascii="Verdana" w:hAnsi="Verdana"/>
              </w:rPr>
              <w:t>Naturaleza</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Sin</w:t>
            </w:r>
            <w:r w:rsidRPr="00AE0B32">
              <w:rPr>
                <w:rFonts w:ascii="Verdana" w:hAnsi="Verdana"/>
                <w:spacing w:val="-13"/>
              </w:rPr>
              <w:t xml:space="preserve"> </w:t>
            </w:r>
            <w:r w:rsidRPr="00AE0B32">
              <w:rPr>
                <w:rFonts w:ascii="Verdana" w:hAnsi="Verdana"/>
              </w:rPr>
              <w:t>ánimo</w:t>
            </w:r>
            <w:r w:rsidRPr="00AE0B32">
              <w:rPr>
                <w:rFonts w:ascii="Verdana" w:hAnsi="Verdana"/>
                <w:spacing w:val="-13"/>
              </w:rPr>
              <w:t xml:space="preserve"> </w:t>
            </w:r>
            <w:r w:rsidRPr="00AE0B32">
              <w:rPr>
                <w:rFonts w:ascii="Verdana" w:hAnsi="Verdana"/>
              </w:rPr>
              <w:t>de</w:t>
            </w:r>
            <w:r w:rsidRPr="00AE0B32">
              <w:rPr>
                <w:rFonts w:ascii="Verdana" w:hAnsi="Verdana"/>
                <w:spacing w:val="-13"/>
              </w:rPr>
              <w:t xml:space="preserve"> </w:t>
            </w:r>
            <w:r w:rsidRPr="00AE0B32">
              <w:rPr>
                <w:rFonts w:ascii="Verdana" w:hAnsi="Verdana"/>
              </w:rPr>
              <w:t>lucro / ESAL –</w:t>
            </w:r>
            <w:r w:rsidRPr="00AE0B32">
              <w:rPr>
                <w:rFonts w:ascii="Verdana" w:hAnsi="Verdana"/>
                <w:spacing w:val="37"/>
              </w:rPr>
              <w:t xml:space="preserve"> </w:t>
            </w:r>
            <w:proofErr w:type="spellStart"/>
            <w:r w:rsidRPr="00AE0B32">
              <w:rPr>
                <w:rFonts w:ascii="Verdana" w:hAnsi="Verdana"/>
              </w:rPr>
              <w:t>Mipymes</w:t>
            </w:r>
            <w:proofErr w:type="spellEnd"/>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Reparto</w:t>
            </w:r>
            <w:r w:rsidRPr="00AE0B32">
              <w:rPr>
                <w:rFonts w:ascii="Verdana" w:hAnsi="Verdana"/>
                <w:spacing w:val="37"/>
              </w:rPr>
              <w:t xml:space="preserve"> </w:t>
            </w:r>
            <w:r w:rsidRPr="00AE0B32">
              <w:rPr>
                <w:rFonts w:ascii="Verdana" w:hAnsi="Verdana"/>
              </w:rPr>
              <w:t>de</w:t>
            </w:r>
            <w:r w:rsidRPr="00AE0B32">
              <w:rPr>
                <w:rFonts w:ascii="Verdana" w:hAnsi="Verdana"/>
                <w:spacing w:val="37"/>
              </w:rPr>
              <w:t xml:space="preserve"> </w:t>
            </w:r>
            <w:r w:rsidRPr="00AE0B32">
              <w:rPr>
                <w:rFonts w:ascii="Verdana" w:hAnsi="Verdana"/>
              </w:rPr>
              <w:t>utilidades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Distinción</w:t>
            </w:r>
            <w:r w:rsidRPr="00AE0B32">
              <w:rPr>
                <w:rFonts w:ascii="Verdana" w:hAnsi="Verdana"/>
                <w:spacing w:val="37"/>
              </w:rPr>
              <w:t xml:space="preserve"> </w:t>
            </w:r>
            <w:r w:rsidRPr="00AE0B32">
              <w:rPr>
                <w:rFonts w:ascii="Verdana" w:hAnsi="Verdana"/>
              </w:rPr>
              <w:t>/</w:t>
            </w:r>
            <w:r w:rsidRPr="00AE0B32">
              <w:rPr>
                <w:rFonts w:ascii="Verdana" w:hAnsi="Verdana"/>
                <w:spacing w:val="-59"/>
              </w:rPr>
              <w:t xml:space="preserve">   </w:t>
            </w:r>
            <w:r w:rsidRPr="00AE0B32">
              <w:rPr>
                <w:rFonts w:ascii="Verdana" w:hAnsi="Verdana"/>
              </w:rPr>
              <w:t xml:space="preserve">DECRETO 1860 DE 2021 – Criterios diferenciales – </w:t>
            </w:r>
            <w:proofErr w:type="spellStart"/>
            <w:r w:rsidRPr="00AE0B32">
              <w:rPr>
                <w:rFonts w:ascii="Verdana" w:hAnsi="Verdana"/>
              </w:rPr>
              <w:t>Mipymes</w:t>
            </w:r>
            <w:proofErr w:type="spellEnd"/>
            <w:r w:rsidRPr="00AE0B32">
              <w:rPr>
                <w:rFonts w:ascii="Verdana" w:hAnsi="Verdana"/>
              </w:rPr>
              <w:t xml:space="preserve"> </w:t>
            </w:r>
            <w:r w:rsidR="00B7161E">
              <w:rPr>
                <w:rFonts w:ascii="Verdana" w:hAnsi="Verdana"/>
              </w:rPr>
              <w:t xml:space="preserve">– ESALES </w:t>
            </w:r>
            <w:r w:rsidR="00B7161E" w:rsidRPr="00AE0B32">
              <w:rPr>
                <w:rFonts w:ascii="Verdana" w:hAnsi="Verdana"/>
              </w:rPr>
              <w:t>/</w:t>
            </w:r>
            <w:r w:rsidR="00B7161E" w:rsidRPr="00AE0B32">
              <w:rPr>
                <w:rFonts w:ascii="Verdana" w:hAnsi="Verdana"/>
                <w:spacing w:val="-59"/>
              </w:rPr>
              <w:t xml:space="preserve">   </w:t>
            </w:r>
            <w:r w:rsidR="00B7161E" w:rsidRPr="00AE0B32">
              <w:rPr>
                <w:rFonts w:ascii="Verdana" w:hAnsi="Verdana"/>
              </w:rPr>
              <w:t xml:space="preserve">DECRETO 1860 DE 2021 – Criterios diferenciales – </w:t>
            </w:r>
            <w:proofErr w:type="spellStart"/>
            <w:r w:rsidR="00B7161E" w:rsidRPr="00AE0B32">
              <w:rPr>
                <w:rFonts w:ascii="Verdana" w:hAnsi="Verdana"/>
              </w:rPr>
              <w:t>Mipymes</w:t>
            </w:r>
            <w:proofErr w:type="spellEnd"/>
            <w:r w:rsidR="00B7161E" w:rsidRPr="00AE0B32">
              <w:rPr>
                <w:rFonts w:ascii="Verdana" w:hAnsi="Verdana"/>
              </w:rPr>
              <w:t xml:space="preserve"> </w:t>
            </w:r>
            <w:r w:rsidR="00B7161E">
              <w:rPr>
                <w:rFonts w:ascii="Verdana" w:hAnsi="Verdana"/>
              </w:rPr>
              <w:t>– ESALES – Artículo 23</w:t>
            </w:r>
          </w:p>
          <w:p w14:paraId="18A534DD" w14:textId="77777777" w:rsidR="001B4C44" w:rsidRPr="00EB1CF7" w:rsidRDefault="001B4C44" w:rsidP="005E648B">
            <w:pPr>
              <w:spacing w:line="276" w:lineRule="auto"/>
              <w:jc w:val="both"/>
              <w:rPr>
                <w:rFonts w:ascii="Verdana" w:eastAsia="Calibri" w:hAnsi="Verdana" w:cs="Arial"/>
                <w:lang w:val="es-ES" w:eastAsia="es-ES"/>
              </w:rPr>
            </w:pPr>
          </w:p>
        </w:tc>
      </w:tr>
      <w:tr w:rsidR="001B4C44" w:rsidRPr="00EB1CF7" w14:paraId="1ED77D97" w14:textId="77777777" w:rsidTr="005E648B">
        <w:tc>
          <w:tcPr>
            <w:tcW w:w="2689" w:type="dxa"/>
          </w:tcPr>
          <w:p w14:paraId="65A9A31B" w14:textId="77777777" w:rsidR="001B4C44" w:rsidRPr="00EB1CF7" w:rsidRDefault="001B4C44" w:rsidP="005E648B">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6100" w:type="dxa"/>
          </w:tcPr>
          <w:p w14:paraId="37E31CE0" w14:textId="77777777" w:rsidR="001B4C44" w:rsidRPr="00EB1CF7" w:rsidRDefault="001B4C44" w:rsidP="005E648B">
            <w:pPr>
              <w:jc w:val="both"/>
              <w:rPr>
                <w:rFonts w:ascii="Verdana" w:eastAsia="Calibri" w:hAnsi="Verdana" w:cs="Arial"/>
                <w:lang w:eastAsia="es-ES_tradnl"/>
              </w:rPr>
            </w:pPr>
            <w:r w:rsidRPr="00EB1CF7">
              <w:rPr>
                <w:rFonts w:ascii="Verdana" w:eastAsia="Calibri" w:hAnsi="Verdana" w:cs="Arial"/>
                <w:lang w:val="es-ES_tradnl" w:eastAsia="es-ES_tradnl"/>
              </w:rPr>
              <w:t xml:space="preserve">Respuesta a la consulta con radicado No.  </w:t>
            </w:r>
            <w:r w:rsidRPr="00553C40">
              <w:rPr>
                <w:rFonts w:ascii="Verdana" w:eastAsia="Calibri" w:hAnsi="Verdana" w:cs="Arial"/>
                <w:lang w:val="es-ES_tradnl" w:eastAsia="es-ES_tradnl"/>
              </w:rPr>
              <w:t>P20250211001273</w:t>
            </w:r>
            <w:r w:rsidRPr="00EB1CF7">
              <w:rPr>
                <w:rFonts w:ascii="Verdana" w:eastAsia="Calibri" w:hAnsi="Verdana" w:cs="Arial"/>
                <w:lang w:val="es-ES_tradnl" w:eastAsia="es-ES_tradnl"/>
              </w:rPr>
              <w:t xml:space="preserve">                               </w:t>
            </w:r>
          </w:p>
        </w:tc>
      </w:tr>
    </w:tbl>
    <w:p w14:paraId="4BF9D6E2" w14:textId="77777777" w:rsidR="001B4C44" w:rsidRPr="00EB1CF7" w:rsidRDefault="001B4C44" w:rsidP="001B4C44">
      <w:pPr>
        <w:spacing w:after="0" w:line="240" w:lineRule="auto"/>
        <w:jc w:val="both"/>
        <w:rPr>
          <w:rFonts w:ascii="Verdana" w:eastAsia="Calibri" w:hAnsi="Verdana" w:cs="Arial"/>
          <w:color w:val="000000"/>
          <w:lang w:val="es-ES_tradnl" w:eastAsia="es-ES_tradnl"/>
        </w:rPr>
      </w:pPr>
    </w:p>
    <w:p w14:paraId="4AB56B73" w14:textId="77777777" w:rsidR="001B4C44" w:rsidRPr="00EB1CF7" w:rsidRDefault="001B4C44" w:rsidP="001B4C44">
      <w:pPr>
        <w:spacing w:after="0" w:line="240" w:lineRule="auto"/>
        <w:jc w:val="both"/>
        <w:rPr>
          <w:rFonts w:ascii="Verdana" w:eastAsia="Calibri" w:hAnsi="Verdana" w:cs="Arial"/>
          <w:color w:val="000000"/>
          <w:lang w:val="es-ES_tradnl" w:eastAsia="es-ES_tradnl"/>
        </w:rPr>
      </w:pPr>
    </w:p>
    <w:p w14:paraId="2CE80254" w14:textId="77777777" w:rsidR="001B4C44" w:rsidRPr="00EB1CF7" w:rsidRDefault="001B4C44" w:rsidP="001B4C44">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Pr>
          <w:rFonts w:ascii="Verdana" w:eastAsia="Calibri" w:hAnsi="Verdana" w:cs="Arial"/>
          <w:lang w:val="es-ES" w:eastAsia="es-ES"/>
        </w:rPr>
        <w:t xml:space="preserve">o </w:t>
      </w:r>
      <w:r w:rsidRPr="00EB1CF7">
        <w:rPr>
          <w:rFonts w:ascii="Verdana" w:eastAsia="Calibri" w:hAnsi="Verdana" w:cs="Arial"/>
          <w:lang w:val="es-ES" w:eastAsia="es-ES"/>
        </w:rPr>
        <w:t>señor</w:t>
      </w:r>
      <w:r>
        <w:rPr>
          <w:rFonts w:ascii="Verdana" w:eastAsia="Calibri" w:hAnsi="Verdana" w:cs="Arial"/>
          <w:lang w:val="es-ES" w:eastAsia="es-ES"/>
        </w:rPr>
        <w:t xml:space="preserve"> </w:t>
      </w:r>
      <w:proofErr w:type="spellStart"/>
      <w:r>
        <w:rPr>
          <w:rFonts w:ascii="Verdana" w:eastAsia="Calibri" w:hAnsi="Verdana" w:cs="Arial"/>
          <w:lang w:val="es-ES" w:eastAsia="es-ES"/>
        </w:rPr>
        <w:t>Otaiza</w:t>
      </w:r>
      <w:proofErr w:type="spellEnd"/>
      <w:r w:rsidRPr="00EB1CF7">
        <w:rPr>
          <w:rFonts w:ascii="Verdana" w:eastAsia="Calibri" w:hAnsi="Verdana" w:cs="Arial"/>
          <w:lang w:val="es-ES" w:eastAsia="es-ES"/>
        </w:rPr>
        <w:t xml:space="preserve">: </w:t>
      </w:r>
    </w:p>
    <w:p w14:paraId="5BAE2B67" w14:textId="77777777" w:rsidR="001B4C44" w:rsidRPr="00EB1CF7" w:rsidRDefault="001B4C44" w:rsidP="001B4C44">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43C3F4EC" w14:textId="77777777" w:rsidR="001B4C44" w:rsidRPr="00553C40" w:rsidRDefault="001B4C44" w:rsidP="009154E1">
      <w:pPr>
        <w:spacing w:after="120" w:line="276" w:lineRule="auto"/>
        <w:jc w:val="both"/>
        <w:rPr>
          <w:rFonts w:ascii="Verdana" w:eastAsia="Calibri" w:hAnsi="Verdana" w:cs="Arial"/>
          <w:color w:val="7030A0"/>
          <w:lang w:val="es-ES" w:eastAsia="es-ES"/>
        </w:rPr>
      </w:pPr>
      <w:r w:rsidRPr="00EB1CF7">
        <w:rPr>
          <w:rFonts w:ascii="Verdana" w:eastAsia="Calibri" w:hAnsi="Verdana" w:cs="Arial"/>
          <w:color w:val="000000" w:themeColor="text1"/>
          <w:lang w:val="es-ES" w:eastAsia="es-ES"/>
        </w:rPr>
        <w:t>En ejercicio de la competencia otorgada por los artículos 3, numeral 5º, y 11, numeral 8º, del Decreto Ley 4170 de 2011,</w:t>
      </w:r>
      <w:r w:rsidRPr="00EB1CF7">
        <w:rPr>
          <w:rFonts w:ascii="Verdana" w:eastAsia="Arial MT" w:hAnsi="Verdana" w:cs="Arial MT"/>
          <w:lang w:val="es-ES" w:eastAsia="es-ES"/>
        </w:rPr>
        <w:t xml:space="preserve"> </w:t>
      </w:r>
      <w:r w:rsidRPr="00EB1CF7">
        <w:rPr>
          <w:rFonts w:ascii="Verdana" w:hAnsi="Verdana" w:cs="Arial"/>
        </w:rPr>
        <w:t xml:space="preserve">así como lo establecido en el artículo 4 de la Resolución 1707 de 2018 expedida por esta Entidad, </w:t>
      </w:r>
      <w:r w:rsidRPr="00EB1CF7">
        <w:rPr>
          <w:rFonts w:ascii="Verdana" w:eastAsia="Calibri" w:hAnsi="Verdana" w:cs="Arial"/>
          <w:color w:val="000000" w:themeColor="text1"/>
          <w:lang w:val="es-ES" w:eastAsia="es-ES"/>
        </w:rPr>
        <w:t xml:space="preserve">la Agencia Nacional de Contratación Pública – Colombia Compra Eficiente responde su solicitud </w:t>
      </w:r>
      <w:r>
        <w:rPr>
          <w:rFonts w:ascii="Verdana" w:eastAsia="Calibri" w:hAnsi="Verdana" w:cs="Arial"/>
          <w:color w:val="000000" w:themeColor="text1"/>
          <w:lang w:val="es-ES" w:eastAsia="es-ES"/>
        </w:rPr>
        <w:t>del 11</w:t>
      </w:r>
      <w:r w:rsidRPr="00EB1CF7">
        <w:rPr>
          <w:rFonts w:ascii="Verdana" w:eastAsia="Calibri" w:hAnsi="Verdana" w:cs="Arial"/>
          <w:lang w:val="es-ES" w:eastAsia="es-ES"/>
        </w:rPr>
        <w:t xml:space="preserve"> de </w:t>
      </w:r>
      <w:r>
        <w:rPr>
          <w:rFonts w:ascii="Verdana" w:eastAsia="Calibri" w:hAnsi="Verdana" w:cs="Arial"/>
          <w:lang w:val="es-ES" w:eastAsia="es-ES"/>
        </w:rPr>
        <w:t>febrero</w:t>
      </w:r>
      <w:r w:rsidRPr="00EB1CF7">
        <w:rPr>
          <w:rFonts w:ascii="Verdana" w:eastAsia="Calibri" w:hAnsi="Verdana" w:cs="Arial"/>
          <w:lang w:val="es-ES" w:eastAsia="es-ES"/>
        </w:rPr>
        <w:t xml:space="preserve"> de 202</w:t>
      </w:r>
      <w:r>
        <w:rPr>
          <w:rFonts w:ascii="Verdana" w:eastAsia="Calibri" w:hAnsi="Verdana" w:cs="Arial"/>
          <w:lang w:val="es-ES" w:eastAsia="es-ES"/>
        </w:rPr>
        <w:t>5</w:t>
      </w:r>
      <w:r w:rsidRPr="00EB1CF7">
        <w:rPr>
          <w:rFonts w:ascii="Verdana" w:eastAsia="Calibri" w:hAnsi="Verdana" w:cs="Arial"/>
          <w:lang w:val="es-ES" w:eastAsia="es-ES"/>
        </w:rPr>
        <w:t xml:space="preserve">, en la cual </w:t>
      </w:r>
      <w:r>
        <w:rPr>
          <w:rFonts w:ascii="Verdana" w:eastAsia="Calibri" w:hAnsi="Verdana" w:cs="Arial"/>
          <w:lang w:val="es-ES" w:eastAsia="es-ES"/>
        </w:rPr>
        <w:t xml:space="preserve">consulta </w:t>
      </w:r>
      <w:r w:rsidRPr="00EB1CF7">
        <w:rPr>
          <w:rFonts w:ascii="Verdana" w:eastAsia="Calibri" w:hAnsi="Verdana" w:cs="Arial"/>
          <w:lang w:val="es-ES" w:eastAsia="es-ES"/>
        </w:rPr>
        <w:t xml:space="preserve">sobre lo siguiente: </w:t>
      </w:r>
      <w:bookmarkStart w:id="1" w:name="_Hlk95313578"/>
      <w:r w:rsidRPr="00EB1CF7">
        <w:rPr>
          <w:rFonts w:ascii="Verdana" w:eastAsia="Century Gothic" w:hAnsi="Verdana" w:cs="Century Gothic"/>
          <w:i/>
          <w:iCs/>
          <w:sz w:val="21"/>
          <w:szCs w:val="21"/>
          <w:lang w:val="es-ES"/>
        </w:rPr>
        <w:t>“</w:t>
      </w:r>
      <w:bookmarkEnd w:id="1"/>
      <w:r>
        <w:rPr>
          <w:rFonts w:ascii="Verdana" w:eastAsia="Century Gothic" w:hAnsi="Verdana" w:cs="Century Gothic"/>
          <w:i/>
          <w:iCs/>
          <w:sz w:val="21"/>
          <w:szCs w:val="21"/>
          <w:lang w:val="es-ES"/>
        </w:rPr>
        <w:t>[…]</w:t>
      </w:r>
      <w:r w:rsidRPr="00EB1CF7">
        <w:rPr>
          <w:rFonts w:ascii="Verdana" w:eastAsia="Century Gothic" w:hAnsi="Verdana" w:cs="Century Gothic"/>
          <w:i/>
          <w:iCs/>
          <w:sz w:val="21"/>
          <w:szCs w:val="21"/>
          <w:lang w:val="es-ES"/>
        </w:rPr>
        <w:t xml:space="preserve"> </w:t>
      </w:r>
      <w:r w:rsidRPr="00553C40">
        <w:rPr>
          <w:rFonts w:ascii="Verdana" w:eastAsia="Century Gothic" w:hAnsi="Verdana" w:cs="Century Gothic"/>
          <w:i/>
          <w:iCs/>
          <w:sz w:val="21"/>
          <w:szCs w:val="21"/>
        </w:rPr>
        <w:t xml:space="preserve">Una </w:t>
      </w:r>
      <w:proofErr w:type="spellStart"/>
      <w:r w:rsidRPr="00553C40">
        <w:rPr>
          <w:rFonts w:ascii="Verdana" w:eastAsia="Century Gothic" w:hAnsi="Verdana" w:cs="Century Gothic"/>
          <w:i/>
          <w:iCs/>
          <w:sz w:val="21"/>
          <w:szCs w:val="21"/>
        </w:rPr>
        <w:t>fundacion</w:t>
      </w:r>
      <w:proofErr w:type="spellEnd"/>
      <w:r w:rsidRPr="00553C40">
        <w:rPr>
          <w:rFonts w:ascii="Verdana" w:eastAsia="Century Gothic" w:hAnsi="Verdana" w:cs="Century Gothic"/>
          <w:i/>
          <w:iCs/>
          <w:sz w:val="21"/>
          <w:szCs w:val="21"/>
        </w:rPr>
        <w:t xml:space="preserve"> que este clasificada como pequeña empresa en el Certificado de</w:t>
      </w:r>
      <w:r>
        <w:rPr>
          <w:rFonts w:ascii="Verdana" w:eastAsia="Century Gothic" w:hAnsi="Verdana" w:cs="Century Gothic"/>
          <w:i/>
          <w:iCs/>
          <w:sz w:val="21"/>
          <w:szCs w:val="21"/>
        </w:rPr>
        <w:t xml:space="preserve"> </w:t>
      </w:r>
      <w:proofErr w:type="spellStart"/>
      <w:r w:rsidRPr="00553C40">
        <w:rPr>
          <w:rFonts w:ascii="Verdana" w:eastAsia="Century Gothic" w:hAnsi="Verdana" w:cs="Century Gothic"/>
          <w:i/>
          <w:iCs/>
          <w:sz w:val="21"/>
          <w:szCs w:val="21"/>
        </w:rPr>
        <w:t>exitencia</w:t>
      </w:r>
      <w:proofErr w:type="spellEnd"/>
      <w:r w:rsidRPr="00553C40">
        <w:rPr>
          <w:rFonts w:ascii="Verdana" w:eastAsia="Century Gothic" w:hAnsi="Verdana" w:cs="Century Gothic"/>
          <w:i/>
          <w:iCs/>
          <w:sz w:val="21"/>
          <w:szCs w:val="21"/>
        </w:rPr>
        <w:t xml:space="preserve"> y </w:t>
      </w:r>
      <w:proofErr w:type="spellStart"/>
      <w:r w:rsidRPr="00553C40">
        <w:rPr>
          <w:rFonts w:ascii="Verdana" w:eastAsia="Century Gothic" w:hAnsi="Verdana" w:cs="Century Gothic"/>
          <w:i/>
          <w:iCs/>
          <w:sz w:val="21"/>
          <w:szCs w:val="21"/>
        </w:rPr>
        <w:t>representacion</w:t>
      </w:r>
      <w:proofErr w:type="spellEnd"/>
      <w:r w:rsidRPr="00553C40">
        <w:rPr>
          <w:rFonts w:ascii="Verdana" w:eastAsia="Century Gothic" w:hAnsi="Verdana" w:cs="Century Gothic"/>
          <w:i/>
          <w:iCs/>
          <w:sz w:val="21"/>
          <w:szCs w:val="21"/>
        </w:rPr>
        <w:t xml:space="preserve"> legal, que se presente a un proceso de </w:t>
      </w:r>
      <w:proofErr w:type="spellStart"/>
      <w:r w:rsidRPr="00553C40">
        <w:rPr>
          <w:rFonts w:ascii="Verdana" w:eastAsia="Century Gothic" w:hAnsi="Verdana" w:cs="Century Gothic"/>
          <w:i/>
          <w:iCs/>
          <w:sz w:val="21"/>
          <w:szCs w:val="21"/>
        </w:rPr>
        <w:t>seleccion</w:t>
      </w:r>
      <w:proofErr w:type="spellEnd"/>
      <w:r w:rsidRPr="00553C40">
        <w:rPr>
          <w:rFonts w:ascii="Verdana" w:eastAsia="Century Gothic" w:hAnsi="Verdana" w:cs="Century Gothic"/>
          <w:i/>
          <w:iCs/>
          <w:sz w:val="21"/>
          <w:szCs w:val="21"/>
        </w:rPr>
        <w:t>, puede</w:t>
      </w:r>
      <w:r>
        <w:rPr>
          <w:rFonts w:ascii="Verdana" w:eastAsia="Century Gothic" w:hAnsi="Verdana" w:cs="Century Gothic"/>
          <w:i/>
          <w:iCs/>
          <w:sz w:val="21"/>
          <w:szCs w:val="21"/>
        </w:rPr>
        <w:t xml:space="preserve"> </w:t>
      </w:r>
      <w:r w:rsidRPr="00553C40">
        <w:rPr>
          <w:rFonts w:ascii="Verdana" w:eastAsia="Century Gothic" w:hAnsi="Verdana" w:cs="Century Gothic"/>
          <w:i/>
          <w:iCs/>
          <w:sz w:val="21"/>
          <w:szCs w:val="21"/>
        </w:rPr>
        <w:t>ser acreedora del puntaje de emprendimiento de MiPymes</w:t>
      </w:r>
      <w:r w:rsidRPr="0017668C">
        <w:rPr>
          <w:rFonts w:ascii="Verdana" w:eastAsia="Century Gothic" w:hAnsi="Verdana" w:cs="Century Gothic"/>
          <w:i/>
          <w:iCs/>
          <w:sz w:val="21"/>
          <w:szCs w:val="21"/>
        </w:rPr>
        <w:t xml:space="preserve"> […]</w:t>
      </w:r>
      <w:r w:rsidRPr="0017668C">
        <w:rPr>
          <w:rFonts w:ascii="Verdana" w:eastAsia="Century Gothic" w:hAnsi="Verdana" w:cs="Century Gothic"/>
          <w:i/>
          <w:iCs/>
          <w:sz w:val="21"/>
          <w:szCs w:val="21"/>
          <w:lang w:val="es-ES"/>
        </w:rPr>
        <w:t>”</w:t>
      </w:r>
      <w:r>
        <w:rPr>
          <w:rFonts w:ascii="Verdana" w:eastAsia="Century Gothic" w:hAnsi="Verdana" w:cs="Century Gothic"/>
          <w:i/>
          <w:iCs/>
          <w:sz w:val="21"/>
          <w:szCs w:val="21"/>
          <w:lang w:val="es-ES"/>
        </w:rPr>
        <w:t xml:space="preserve"> (SIC)</w:t>
      </w:r>
    </w:p>
    <w:p w14:paraId="0CD88A38" w14:textId="77777777" w:rsidR="001B4C44" w:rsidRPr="00EB1CF7" w:rsidRDefault="001B4C44" w:rsidP="001B4C44">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EB1CF7">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Pr>
          <w:rFonts w:ascii="Verdana" w:eastAsia="Calibri" w:hAnsi="Verdana" w:cs="Arial"/>
          <w:color w:val="000000"/>
          <w:szCs w:val="24"/>
          <w:lang w:val="es-ES_tradnl" w:eastAsia="es-ES_tradnl"/>
        </w:rPr>
        <w:tab/>
      </w:r>
    </w:p>
    <w:p w14:paraId="6A3B4728" w14:textId="77777777" w:rsidR="001B4C44" w:rsidRPr="00EB1CF7" w:rsidRDefault="001B4C44" w:rsidP="001B4C44">
      <w:pPr>
        <w:spacing w:after="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problema</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jurídico</w:t>
      </w:r>
      <w:r w:rsidRPr="00EB1CF7">
        <w:rPr>
          <w:rFonts w:ascii="Verdana" w:eastAsia="Calibri" w:hAnsi="Verdana" w:cs="Arial"/>
          <w:color w:val="7030A0"/>
          <w:lang w:val="es-ES" w:eastAsia="es-ES"/>
        </w:rPr>
        <w:t xml:space="preserve"> </w:t>
      </w:r>
      <w:r w:rsidRPr="00EB1CF7">
        <w:rPr>
          <w:rFonts w:ascii="Verdana" w:eastAsia="Calibri" w:hAnsi="Verdana" w:cs="Arial"/>
          <w:color w:val="000000"/>
          <w:lang w:val="es-ES" w:eastAsia="es-ES"/>
        </w:rPr>
        <w:t xml:space="preserve">de su consulta. </w:t>
      </w:r>
    </w:p>
    <w:p w14:paraId="7F25A7F0" w14:textId="77777777" w:rsidR="001B4C44" w:rsidRPr="00EB1CF7" w:rsidRDefault="001B4C44" w:rsidP="001B4C44">
      <w:pPr>
        <w:spacing w:after="0" w:line="276" w:lineRule="auto"/>
        <w:ind w:firstLine="709"/>
        <w:jc w:val="both"/>
        <w:rPr>
          <w:rFonts w:ascii="Verdana" w:eastAsia="Calibri" w:hAnsi="Verdana" w:cs="Arial"/>
          <w:color w:val="000000"/>
          <w:lang w:val="es-ES" w:eastAsia="es-ES"/>
        </w:rPr>
      </w:pPr>
    </w:p>
    <w:p w14:paraId="62A89D4B" w14:textId="77777777" w:rsidR="001B4C44" w:rsidRPr="00EB1CF7" w:rsidRDefault="001B4C44" w:rsidP="001B4C4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B1CF7">
        <w:rPr>
          <w:rFonts w:ascii="Verdana" w:eastAsia="Century Gothic" w:hAnsi="Verdana" w:cs="Century Gothic"/>
          <w:b/>
          <w:bCs/>
        </w:rPr>
        <w:t>Problemas planteados:</w:t>
      </w:r>
    </w:p>
    <w:p w14:paraId="79A730DE" w14:textId="77777777" w:rsidR="001B4C44" w:rsidRPr="00EB1CF7" w:rsidRDefault="001B4C44" w:rsidP="001B4C44">
      <w:pPr>
        <w:tabs>
          <w:tab w:val="left" w:pos="426"/>
        </w:tabs>
        <w:spacing w:after="0" w:line="276" w:lineRule="auto"/>
        <w:jc w:val="both"/>
        <w:rPr>
          <w:rFonts w:ascii="Verdana" w:eastAsia="Century Gothic" w:hAnsi="Verdana" w:cs="Century Gothic"/>
          <w:lang w:val="es-ES"/>
        </w:rPr>
      </w:pPr>
    </w:p>
    <w:p w14:paraId="1E0AA0B3" w14:textId="4694DAEC" w:rsidR="001B4C44" w:rsidRPr="00EB1CF7" w:rsidRDefault="001B4C44" w:rsidP="001B4C44">
      <w:pPr>
        <w:spacing w:after="0" w:line="276" w:lineRule="auto"/>
        <w:jc w:val="both"/>
        <w:rPr>
          <w:rFonts w:ascii="Verdana" w:eastAsia="Century Gothic" w:hAnsi="Verdana" w:cs="Century Gothic"/>
        </w:rPr>
      </w:pPr>
      <w:r w:rsidRPr="00EB1CF7">
        <w:rPr>
          <w:rFonts w:ascii="Verdana" w:eastAsia="Century Gothic" w:hAnsi="Verdana" w:cs="Century Gothic"/>
        </w:rPr>
        <w:t xml:space="preserve">De acuerdo con el contenido de su solicitud, esta Agencia resolverá el siguiente problema jurídico: </w:t>
      </w:r>
      <w:r w:rsidR="00263498">
        <w:rPr>
          <w:rFonts w:ascii="Verdana" w:eastAsia="Century Gothic" w:hAnsi="Verdana" w:cs="Century Gothic"/>
        </w:rPr>
        <w:t>¿</w:t>
      </w:r>
      <w:r w:rsidRPr="001D6E84">
        <w:rPr>
          <w:rFonts w:ascii="Verdana" w:eastAsia="Century Gothic" w:hAnsi="Verdana" w:cs="Century Gothic"/>
        </w:rPr>
        <w:t>Es procedente que una entidad sin ánimo de lucro (ESAL) sea acreedora de</w:t>
      </w:r>
      <w:r w:rsidR="0085736E">
        <w:rPr>
          <w:rFonts w:ascii="Verdana" w:eastAsia="Century Gothic" w:hAnsi="Verdana" w:cs="Century Gothic"/>
        </w:rPr>
        <w:t xml:space="preserve"> </w:t>
      </w:r>
      <w:r w:rsidRPr="001D6E84">
        <w:rPr>
          <w:rFonts w:ascii="Verdana" w:eastAsia="Century Gothic" w:hAnsi="Verdana" w:cs="Century Gothic"/>
        </w:rPr>
        <w:t>l</w:t>
      </w:r>
      <w:r w:rsidR="0085736E">
        <w:rPr>
          <w:rFonts w:ascii="Verdana" w:eastAsia="Century Gothic" w:hAnsi="Verdana" w:cs="Century Gothic"/>
        </w:rPr>
        <w:t xml:space="preserve">os criterios diferenciales – como </w:t>
      </w:r>
      <w:r w:rsidRPr="001D6E84">
        <w:rPr>
          <w:rFonts w:ascii="Verdana" w:eastAsia="Century Gothic" w:hAnsi="Verdana" w:cs="Century Gothic"/>
        </w:rPr>
        <w:t>puntaje</w:t>
      </w:r>
      <w:r w:rsidR="0085736E">
        <w:rPr>
          <w:rFonts w:ascii="Verdana" w:eastAsia="Century Gothic" w:hAnsi="Verdana" w:cs="Century Gothic"/>
        </w:rPr>
        <w:t>s adicionales – consagrados a favor de las</w:t>
      </w:r>
      <w:r w:rsidRPr="001D6E84">
        <w:rPr>
          <w:rFonts w:ascii="Verdana" w:eastAsia="Century Gothic" w:hAnsi="Verdana" w:cs="Century Gothic"/>
        </w:rPr>
        <w:t xml:space="preserve"> </w:t>
      </w:r>
      <w:proofErr w:type="spellStart"/>
      <w:r w:rsidRPr="001D6E84">
        <w:rPr>
          <w:rFonts w:ascii="Verdana" w:eastAsia="Century Gothic" w:hAnsi="Verdana" w:cs="Century Gothic"/>
        </w:rPr>
        <w:t>Mipyme</w:t>
      </w:r>
      <w:proofErr w:type="spellEnd"/>
      <w:r w:rsidRPr="001D6E84">
        <w:rPr>
          <w:rFonts w:ascii="Verdana" w:eastAsia="Century Gothic" w:hAnsi="Verdana" w:cs="Century Gothic"/>
        </w:rPr>
        <w:t>?</w:t>
      </w:r>
    </w:p>
    <w:p w14:paraId="18C3A3CF" w14:textId="77777777" w:rsidR="001B4C44" w:rsidRPr="00EB1CF7" w:rsidRDefault="001B4C44" w:rsidP="001B4C44">
      <w:pPr>
        <w:spacing w:after="0" w:line="276" w:lineRule="auto"/>
        <w:jc w:val="both"/>
        <w:rPr>
          <w:rFonts w:ascii="Verdana" w:eastAsia="Calibri" w:hAnsi="Verdana" w:cs="Arial"/>
          <w:color w:val="7030A0"/>
        </w:rPr>
      </w:pPr>
    </w:p>
    <w:p w14:paraId="246FF931" w14:textId="77777777" w:rsidR="001B4C44" w:rsidRPr="00EB1CF7" w:rsidRDefault="001B4C44" w:rsidP="001B4C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Respuestas:</w:t>
      </w:r>
    </w:p>
    <w:p w14:paraId="76B7A118" w14:textId="77777777" w:rsidR="001B4C44" w:rsidRPr="00EB1CF7" w:rsidRDefault="001B4C44" w:rsidP="001B4C4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4C44" w:rsidRPr="00EB1CF7" w14:paraId="0C53F528" w14:textId="77777777" w:rsidTr="005E648B">
        <w:trPr>
          <w:jc w:val="center"/>
        </w:trPr>
        <w:tc>
          <w:tcPr>
            <w:tcW w:w="8828" w:type="dxa"/>
            <w:shd w:val="clear" w:color="auto" w:fill="auto"/>
          </w:tcPr>
          <w:p w14:paraId="4A0EDBBB" w14:textId="4AC7D1B5" w:rsidR="001B4C44" w:rsidRPr="000349C5" w:rsidRDefault="00574693" w:rsidP="009154E1">
            <w:pPr>
              <w:spacing w:after="120" w:line="276" w:lineRule="auto"/>
              <w:ind w:right="79"/>
              <w:jc w:val="both"/>
              <w:rPr>
                <w:rFonts w:ascii="Verdana" w:eastAsia="Arial" w:hAnsi="Verdana" w:cs="Arial"/>
                <w:bCs/>
              </w:rPr>
            </w:pPr>
            <w:bookmarkStart w:id="2" w:name="_Hlk171694685"/>
            <w:r>
              <w:rPr>
                <w:rFonts w:ascii="Verdana" w:eastAsia="Arial" w:hAnsi="Verdana" w:cs="Arial"/>
                <w:bCs/>
              </w:rPr>
              <w:t>De conformidad con el problema jurídico planteado</w:t>
            </w:r>
            <w:r w:rsidR="00FC64A5">
              <w:rPr>
                <w:rFonts w:ascii="Verdana" w:eastAsia="Arial" w:hAnsi="Verdana" w:cs="Arial"/>
                <w:bCs/>
              </w:rPr>
              <w:t>, e</w:t>
            </w:r>
            <w:r w:rsidR="001B4C44" w:rsidRPr="000349C5">
              <w:rPr>
                <w:rFonts w:ascii="Verdana" w:eastAsia="Arial" w:hAnsi="Verdana" w:cs="Arial"/>
                <w:bCs/>
              </w:rPr>
              <w:t xml:space="preserve">n primer lugar, es importante señalar que el artículo 2 de la Ley 590 de 2000 define a las </w:t>
            </w:r>
            <w:r w:rsidR="00E61B0D" w:rsidRPr="00B020FB">
              <w:rPr>
                <w:rFonts w:ascii="Verdana" w:hAnsi="Verdana"/>
              </w:rPr>
              <w:t xml:space="preserve">Micro, Pequeñas y Medianas Empresas </w:t>
            </w:r>
            <w:r w:rsidR="00E61B0D">
              <w:rPr>
                <w:rFonts w:ascii="Verdana" w:hAnsi="Verdana"/>
              </w:rPr>
              <w:t xml:space="preserve">– en adelante </w:t>
            </w:r>
            <w:proofErr w:type="spellStart"/>
            <w:r w:rsidR="00FC64A5" w:rsidRPr="000349C5">
              <w:rPr>
                <w:rFonts w:ascii="Verdana" w:eastAsia="Arial" w:hAnsi="Verdana" w:cs="Arial"/>
                <w:bCs/>
              </w:rPr>
              <w:t>Mipymes</w:t>
            </w:r>
            <w:proofErr w:type="spellEnd"/>
            <w:r w:rsidR="00FC64A5" w:rsidRPr="000349C5">
              <w:rPr>
                <w:rFonts w:ascii="Verdana" w:eastAsia="Arial" w:hAnsi="Verdana" w:cs="Arial"/>
                <w:bCs/>
              </w:rPr>
              <w:t xml:space="preserve"> </w:t>
            </w:r>
            <w:r w:rsidR="00E61B0D">
              <w:rPr>
                <w:rFonts w:ascii="Verdana" w:eastAsia="Arial" w:hAnsi="Verdana" w:cs="Arial"/>
                <w:bCs/>
              </w:rPr>
              <w:t xml:space="preserve">– </w:t>
            </w:r>
            <w:r w:rsidR="001B4C44" w:rsidRPr="000349C5">
              <w:rPr>
                <w:rFonts w:ascii="Verdana" w:eastAsia="Arial" w:hAnsi="Verdana" w:cs="Arial"/>
                <w:bCs/>
              </w:rPr>
              <w:t>como</w:t>
            </w:r>
            <w:r w:rsidR="00E61B0D">
              <w:rPr>
                <w:rFonts w:ascii="Verdana" w:eastAsia="Arial" w:hAnsi="Verdana" w:cs="Arial"/>
                <w:bCs/>
              </w:rPr>
              <w:t xml:space="preserve"> </w:t>
            </w:r>
            <w:r w:rsidR="001B4C44" w:rsidRPr="000349C5">
              <w:rPr>
                <w:rFonts w:ascii="Verdana" w:eastAsia="Arial" w:hAnsi="Verdana" w:cs="Arial"/>
                <w:bCs/>
              </w:rPr>
              <w:t>aquellas empresas que cuentan con una unidad de explotación económica y cuyo objetivo es la distribución de utilidades entre sus miembros, es decir, que persiguen un fin lucrativo.</w:t>
            </w:r>
            <w:r w:rsidR="00FC64A5">
              <w:rPr>
                <w:rFonts w:ascii="Verdana" w:eastAsia="Arial" w:hAnsi="Verdana" w:cs="Arial"/>
                <w:bCs/>
              </w:rPr>
              <w:t xml:space="preserve"> </w:t>
            </w:r>
            <w:r w:rsidR="001B4C44" w:rsidRPr="000349C5">
              <w:rPr>
                <w:rFonts w:ascii="Verdana" w:eastAsia="Arial" w:hAnsi="Verdana" w:cs="Arial"/>
                <w:bCs/>
              </w:rPr>
              <w:t>Por el contrario, dentro de la</w:t>
            </w:r>
            <w:r w:rsidR="00FC64A5">
              <w:rPr>
                <w:rFonts w:ascii="Verdana" w:eastAsia="Arial" w:hAnsi="Verdana" w:cs="Arial"/>
                <w:bCs/>
              </w:rPr>
              <w:t>s características</w:t>
            </w:r>
            <w:r w:rsidR="001B4C44" w:rsidRPr="000349C5">
              <w:rPr>
                <w:rFonts w:ascii="Verdana" w:eastAsia="Arial" w:hAnsi="Verdana" w:cs="Arial"/>
                <w:bCs/>
              </w:rPr>
              <w:t xml:space="preserve"> de las E</w:t>
            </w:r>
            <w:r w:rsidR="00FC64A5">
              <w:rPr>
                <w:rFonts w:ascii="Verdana" w:eastAsia="Arial" w:hAnsi="Verdana" w:cs="Arial"/>
                <w:bCs/>
              </w:rPr>
              <w:t xml:space="preserve">ntidades </w:t>
            </w:r>
            <w:r w:rsidR="00774406" w:rsidRPr="000349C5">
              <w:rPr>
                <w:rFonts w:ascii="Verdana" w:eastAsia="Arial" w:hAnsi="Verdana" w:cs="Arial"/>
                <w:bCs/>
              </w:rPr>
              <w:t>S</w:t>
            </w:r>
            <w:r w:rsidR="00774406">
              <w:rPr>
                <w:rFonts w:ascii="Verdana" w:eastAsia="Arial" w:hAnsi="Verdana" w:cs="Arial"/>
                <w:bCs/>
              </w:rPr>
              <w:t xml:space="preserve">in </w:t>
            </w:r>
            <w:r w:rsidR="00774406" w:rsidRPr="000349C5">
              <w:rPr>
                <w:rFonts w:ascii="Verdana" w:eastAsia="Arial" w:hAnsi="Verdana" w:cs="Arial"/>
                <w:bCs/>
              </w:rPr>
              <w:t>Á</w:t>
            </w:r>
            <w:r w:rsidR="00774406">
              <w:rPr>
                <w:rFonts w:ascii="Verdana" w:eastAsia="Arial" w:hAnsi="Verdana" w:cs="Arial"/>
                <w:bCs/>
              </w:rPr>
              <w:t xml:space="preserve">nimo </w:t>
            </w:r>
            <w:r w:rsidR="00FC64A5">
              <w:rPr>
                <w:rFonts w:ascii="Verdana" w:eastAsia="Arial" w:hAnsi="Verdana" w:cs="Arial"/>
                <w:bCs/>
              </w:rPr>
              <w:t xml:space="preserve">de </w:t>
            </w:r>
            <w:r w:rsidR="001B4C44" w:rsidRPr="000349C5">
              <w:rPr>
                <w:rFonts w:ascii="Verdana" w:eastAsia="Arial" w:hAnsi="Verdana" w:cs="Arial"/>
                <w:bCs/>
              </w:rPr>
              <w:t>l</w:t>
            </w:r>
            <w:r w:rsidR="00FC64A5">
              <w:rPr>
                <w:rFonts w:ascii="Verdana" w:eastAsia="Arial" w:hAnsi="Verdana" w:cs="Arial"/>
                <w:bCs/>
              </w:rPr>
              <w:t>ucro – en adelante ESAL –</w:t>
            </w:r>
            <w:r w:rsidR="001B4C44" w:rsidRPr="000349C5">
              <w:rPr>
                <w:rFonts w:ascii="Verdana" w:eastAsia="Arial" w:hAnsi="Verdana" w:cs="Arial"/>
                <w:bCs/>
              </w:rPr>
              <w:t xml:space="preserve">, </w:t>
            </w:r>
            <w:r w:rsidR="00774406">
              <w:rPr>
                <w:rFonts w:ascii="Verdana" w:eastAsia="Arial" w:hAnsi="Verdana" w:cs="Arial"/>
                <w:bCs/>
              </w:rPr>
              <w:t>se encuentra que</w:t>
            </w:r>
            <w:r w:rsidR="00774406" w:rsidRPr="000349C5">
              <w:rPr>
                <w:rFonts w:ascii="Verdana" w:eastAsia="Arial" w:hAnsi="Verdana" w:cs="Arial"/>
                <w:bCs/>
              </w:rPr>
              <w:t xml:space="preserve"> </w:t>
            </w:r>
            <w:r w:rsidR="001B4C44" w:rsidRPr="000349C5">
              <w:rPr>
                <w:rFonts w:ascii="Verdana" w:eastAsia="Arial" w:hAnsi="Verdana" w:cs="Arial"/>
                <w:bCs/>
              </w:rPr>
              <w:t>su objetivo es llevar a cabo actividades que beneficien a los asociados, a terceros o a la comunidad en general, sin que su propósito sea la distribución de utilidades entre sus miembros.</w:t>
            </w:r>
          </w:p>
          <w:p w14:paraId="49A3D8D9" w14:textId="215196CE" w:rsidR="000E010A" w:rsidRDefault="001B4C44" w:rsidP="000E010A">
            <w:pPr>
              <w:spacing w:after="120" w:line="276" w:lineRule="auto"/>
              <w:ind w:right="79" w:firstLine="601"/>
              <w:jc w:val="both"/>
              <w:rPr>
                <w:rFonts w:ascii="Verdana" w:hAnsi="Verdana"/>
              </w:rPr>
            </w:pPr>
            <w:r>
              <w:rPr>
                <w:rFonts w:ascii="Verdana" w:hAnsi="Verdana"/>
              </w:rPr>
              <w:t xml:space="preserve">Por lo anterior, </w:t>
            </w:r>
            <w:r w:rsidRPr="00B020FB">
              <w:rPr>
                <w:rFonts w:ascii="Verdana" w:hAnsi="Verdana"/>
              </w:rPr>
              <w:t xml:space="preserve">esta Agencia ha mantenido de manera reiterada la postura de que las ESAL no pueden acceder a los </w:t>
            </w:r>
            <w:r w:rsidR="00A8753C">
              <w:rPr>
                <w:rFonts w:ascii="Verdana" w:hAnsi="Verdana"/>
              </w:rPr>
              <w:t xml:space="preserve">criterios diferenciales – </w:t>
            </w:r>
            <w:r w:rsidR="00A8753C">
              <w:rPr>
                <w:rFonts w:ascii="Verdana" w:hAnsi="Verdana"/>
              </w:rPr>
              <w:lastRenderedPageBreak/>
              <w:t>dentro de los requisitos habilitantes diferenciales y puntajes adicionales –</w:t>
            </w:r>
            <w:r w:rsidRPr="00B020FB">
              <w:rPr>
                <w:rFonts w:ascii="Verdana" w:hAnsi="Verdana"/>
              </w:rPr>
              <w:t xml:space="preserve"> establecidos</w:t>
            </w:r>
            <w:r w:rsidR="00A8753C">
              <w:rPr>
                <w:rFonts w:ascii="Verdana" w:hAnsi="Verdana"/>
              </w:rPr>
              <w:t xml:space="preserve"> </w:t>
            </w:r>
            <w:r w:rsidRPr="00B020FB">
              <w:rPr>
                <w:rFonts w:ascii="Verdana" w:hAnsi="Verdana"/>
              </w:rPr>
              <w:t xml:space="preserve">para las </w:t>
            </w:r>
            <w:proofErr w:type="spellStart"/>
            <w:r w:rsidRPr="00B020FB">
              <w:rPr>
                <w:rFonts w:ascii="Verdana" w:hAnsi="Verdana"/>
              </w:rPr>
              <w:t>Mipymes</w:t>
            </w:r>
            <w:proofErr w:type="spellEnd"/>
            <w:r w:rsidRPr="00B020FB">
              <w:rPr>
                <w:rFonts w:ascii="Verdana" w:hAnsi="Verdana"/>
              </w:rPr>
              <w:t xml:space="preserve">, ni participar en los procesos contractuales restringidos a estas últimas. De acuerdo con el artículo 43 de la Ley 1450 de 2011, que modificó el artículo 2 de la Ley 590 de 2000, se establece que solo podrán ser consideradas </w:t>
            </w:r>
            <w:proofErr w:type="spellStart"/>
            <w:r w:rsidRPr="00B020FB">
              <w:rPr>
                <w:rFonts w:ascii="Verdana" w:hAnsi="Verdana"/>
              </w:rPr>
              <w:t>Mipymes</w:t>
            </w:r>
            <w:proofErr w:type="spellEnd"/>
            <w:r w:rsidRPr="00B020FB">
              <w:rPr>
                <w:rFonts w:ascii="Verdana" w:hAnsi="Verdana"/>
              </w:rPr>
              <w:t xml:space="preserve"> aquellas entidades que, como unidades de explotación económica, busquen el reparto de utilidades entre sus miembros. En contraste, </w:t>
            </w:r>
            <w:r>
              <w:rPr>
                <w:rFonts w:ascii="Verdana" w:hAnsi="Verdana"/>
              </w:rPr>
              <w:t xml:space="preserve">como ya se mencionó, </w:t>
            </w:r>
            <w:r w:rsidRPr="00B020FB">
              <w:rPr>
                <w:rFonts w:ascii="Verdana" w:hAnsi="Verdana"/>
              </w:rPr>
              <w:t xml:space="preserve">las ESAL no persiguen la distribución de utilidades entre sus miembros, ya que su objeto social está orientado a realizar actividades de interés general, sin esperar un beneficio económico directo o reparto de ganancias. </w:t>
            </w:r>
          </w:p>
          <w:p w14:paraId="37106DE0" w14:textId="33C892B8" w:rsidR="001B4C44" w:rsidRPr="0099607E" w:rsidRDefault="001B4C44" w:rsidP="000E010A">
            <w:pPr>
              <w:spacing w:after="120" w:line="276" w:lineRule="auto"/>
              <w:ind w:right="79" w:firstLine="601"/>
              <w:jc w:val="both"/>
              <w:rPr>
                <w:rFonts w:ascii="Verdana" w:hAnsi="Verdana"/>
              </w:rPr>
            </w:pPr>
            <w:r w:rsidRPr="00B020FB">
              <w:rPr>
                <w:rFonts w:ascii="Verdana" w:hAnsi="Verdana"/>
              </w:rPr>
              <w:t>Por lo tanto, las ESAL</w:t>
            </w:r>
            <w:r w:rsidR="000B7A87">
              <w:rPr>
                <w:rFonts w:ascii="Verdana" w:hAnsi="Verdana"/>
              </w:rPr>
              <w:t>, como las fun</w:t>
            </w:r>
            <w:r w:rsidR="000E010A">
              <w:rPr>
                <w:rFonts w:ascii="Verdana" w:hAnsi="Verdana"/>
              </w:rPr>
              <w:t>da</w:t>
            </w:r>
            <w:r w:rsidR="000B7A87">
              <w:rPr>
                <w:rFonts w:ascii="Verdana" w:hAnsi="Verdana"/>
              </w:rPr>
              <w:t xml:space="preserve">ciones a las que se refiere en su </w:t>
            </w:r>
            <w:proofErr w:type="gramStart"/>
            <w:r w:rsidR="000B7A87">
              <w:rPr>
                <w:rFonts w:ascii="Verdana" w:hAnsi="Verdana"/>
              </w:rPr>
              <w:t>consulta,</w:t>
            </w:r>
            <w:proofErr w:type="gramEnd"/>
            <w:r w:rsidRPr="00B020FB">
              <w:rPr>
                <w:rFonts w:ascii="Verdana" w:hAnsi="Verdana"/>
              </w:rPr>
              <w:t xml:space="preserve"> no cumplen con los requisitos para </w:t>
            </w:r>
            <w:r w:rsidR="000B7A87">
              <w:rPr>
                <w:rFonts w:ascii="Verdana" w:hAnsi="Verdana"/>
              </w:rPr>
              <w:t>ser consideradas</w:t>
            </w:r>
            <w:r w:rsidRPr="00B020FB">
              <w:rPr>
                <w:rFonts w:ascii="Verdana" w:hAnsi="Verdana"/>
              </w:rPr>
              <w:t xml:space="preserve"> </w:t>
            </w:r>
            <w:proofErr w:type="spellStart"/>
            <w:r w:rsidRPr="00B020FB">
              <w:rPr>
                <w:rFonts w:ascii="Verdana" w:hAnsi="Verdana"/>
              </w:rPr>
              <w:t>Mipymes</w:t>
            </w:r>
            <w:proofErr w:type="spellEnd"/>
            <w:r w:rsidR="00B50D0F">
              <w:rPr>
                <w:rFonts w:ascii="Verdana" w:hAnsi="Verdana"/>
              </w:rPr>
              <w:t xml:space="preserve"> y, e</w:t>
            </w:r>
            <w:r w:rsidR="000B7A87">
              <w:rPr>
                <w:rFonts w:ascii="Verdana" w:hAnsi="Verdana"/>
              </w:rPr>
              <w:t xml:space="preserve">n consecuencia, no </w:t>
            </w:r>
            <w:r w:rsidR="00687C45">
              <w:rPr>
                <w:rFonts w:ascii="Verdana" w:hAnsi="Verdana"/>
              </w:rPr>
              <w:t>podrán ser</w:t>
            </w:r>
            <w:r w:rsidR="000B7A87">
              <w:rPr>
                <w:rFonts w:ascii="Verdana" w:hAnsi="Verdana"/>
              </w:rPr>
              <w:t xml:space="preserve"> beneficiarias de los puntajes adicionales</w:t>
            </w:r>
            <w:r w:rsidR="00687C45">
              <w:rPr>
                <w:rFonts w:ascii="Verdana" w:hAnsi="Verdana"/>
              </w:rPr>
              <w:t xml:space="preserve"> consagradas en el ordenamiento jurídico a favor de ellas</w:t>
            </w:r>
            <w:r w:rsidR="000B7A87">
              <w:rPr>
                <w:rFonts w:ascii="Verdana" w:hAnsi="Verdana"/>
              </w:rPr>
              <w:t>.</w:t>
            </w:r>
            <w:r w:rsidR="00687C45">
              <w:rPr>
                <w:rFonts w:ascii="Verdana" w:hAnsi="Verdana"/>
              </w:rPr>
              <w:t xml:space="preserve"> Esto sin perjuicio de lo establecido en el artículo 23 de la Ley 2069 de 2020, </w:t>
            </w:r>
            <w:r w:rsidR="00B96CE0">
              <w:rPr>
                <w:rFonts w:ascii="Verdana" w:hAnsi="Verdana"/>
              </w:rPr>
              <w:t xml:space="preserve">que asemeja las </w:t>
            </w:r>
            <w:r w:rsidR="00A808B8" w:rsidRPr="00A23794">
              <w:rPr>
                <w:rFonts w:ascii="Verdana" w:eastAsia="Calibri" w:hAnsi="Verdana" w:cstheme="minorHAnsi"/>
                <w:lang w:val="es-ES"/>
              </w:rPr>
              <w:t>cooperativas, asociaciones mutuales y demás entes considerados de economía solidaria</w:t>
            </w:r>
            <w:r w:rsidR="00A808B8">
              <w:rPr>
                <w:rFonts w:ascii="Verdana" w:eastAsia="Calibri" w:hAnsi="Verdana" w:cstheme="minorHAnsi"/>
                <w:lang w:val="es-ES"/>
              </w:rPr>
              <w:t xml:space="preserve"> a las </w:t>
            </w:r>
            <w:proofErr w:type="spellStart"/>
            <w:r w:rsidR="00A808B8">
              <w:rPr>
                <w:rFonts w:ascii="Verdana" w:eastAsia="Calibri" w:hAnsi="Verdana" w:cstheme="minorHAnsi"/>
                <w:lang w:val="es-ES"/>
              </w:rPr>
              <w:t>Mipymes</w:t>
            </w:r>
            <w:proofErr w:type="spellEnd"/>
            <w:r w:rsidR="00A808B8">
              <w:rPr>
                <w:rFonts w:ascii="Verdana" w:eastAsia="Calibri" w:hAnsi="Verdana" w:cstheme="minorHAnsi"/>
                <w:lang w:val="es-ES"/>
              </w:rPr>
              <w:t xml:space="preserve"> para efectos de la aplicación de dicho cuerpo normativo.</w:t>
            </w:r>
            <w:r w:rsidR="000B7A87">
              <w:rPr>
                <w:rFonts w:ascii="Verdana" w:hAnsi="Verdana"/>
              </w:rPr>
              <w:t xml:space="preserve"> </w:t>
            </w:r>
          </w:p>
        </w:tc>
      </w:tr>
    </w:tbl>
    <w:p w14:paraId="0BF0BDA6" w14:textId="77777777" w:rsidR="001B4C44" w:rsidRPr="00EB1CF7" w:rsidRDefault="001B4C44" w:rsidP="001B4C44">
      <w:pPr>
        <w:tabs>
          <w:tab w:val="left" w:pos="142"/>
          <w:tab w:val="left" w:pos="284"/>
        </w:tabs>
        <w:spacing w:after="0" w:line="276" w:lineRule="auto"/>
        <w:jc w:val="both"/>
        <w:rPr>
          <w:rFonts w:ascii="Verdana" w:eastAsia="Century Gothic" w:hAnsi="Verdana" w:cs="Century Gothic"/>
          <w:b/>
          <w:bCs/>
          <w:lang w:val="es-ES"/>
        </w:rPr>
      </w:pPr>
    </w:p>
    <w:bookmarkEnd w:id="2"/>
    <w:p w14:paraId="2DA85309" w14:textId="77777777" w:rsidR="001B4C44" w:rsidRPr="00EB1CF7" w:rsidRDefault="001B4C44" w:rsidP="001B4C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Razones de las respuestas:</w:t>
      </w:r>
    </w:p>
    <w:p w14:paraId="2D864FEB" w14:textId="77777777" w:rsidR="001B4C44" w:rsidRPr="00EB1CF7" w:rsidRDefault="001B4C44" w:rsidP="001B4C44">
      <w:pPr>
        <w:spacing w:after="0" w:line="276" w:lineRule="auto"/>
        <w:jc w:val="both"/>
        <w:rPr>
          <w:rFonts w:ascii="Verdana" w:eastAsia="Calibri" w:hAnsi="Verdana" w:cs="Arial"/>
          <w:color w:val="7030A0"/>
          <w:lang w:val="es-ES"/>
        </w:rPr>
      </w:pPr>
    </w:p>
    <w:p w14:paraId="14B4C76F" w14:textId="77777777" w:rsidR="001B4C44" w:rsidRDefault="001B4C44" w:rsidP="001B4C44">
      <w:pPr>
        <w:spacing w:after="0" w:line="276" w:lineRule="auto"/>
        <w:jc w:val="both"/>
        <w:rPr>
          <w:rFonts w:ascii="Verdana" w:eastAsia="Calibri" w:hAnsi="Verdana" w:cs="Arial"/>
          <w:lang w:val="es-ES"/>
        </w:rPr>
      </w:pPr>
      <w:r w:rsidRPr="00EB1CF7">
        <w:rPr>
          <w:rFonts w:ascii="Verdana" w:eastAsia="Calibri" w:hAnsi="Verdana" w:cs="Arial"/>
          <w:lang w:val="es-ES"/>
        </w:rPr>
        <w:t>Lo anterior se sustenta en las siguientes consideraciones:</w:t>
      </w:r>
    </w:p>
    <w:p w14:paraId="7653B7BA" w14:textId="77777777" w:rsidR="001B4C44" w:rsidRDefault="001B4C44" w:rsidP="001B4C44">
      <w:pPr>
        <w:spacing w:after="0" w:line="276" w:lineRule="auto"/>
        <w:jc w:val="both"/>
        <w:rPr>
          <w:rFonts w:ascii="Verdana" w:eastAsia="Calibri" w:hAnsi="Verdana" w:cs="Arial"/>
          <w:lang w:val="es-ES"/>
        </w:rPr>
      </w:pPr>
    </w:p>
    <w:p w14:paraId="04BC4293" w14:textId="56848E40" w:rsidR="001B4C44" w:rsidRPr="00AE0B32" w:rsidRDefault="00B855F7" w:rsidP="0099607E">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R</w:t>
      </w:r>
      <w:r w:rsidR="001B4C44" w:rsidRPr="00AE0B32">
        <w:rPr>
          <w:rFonts w:ascii="Verdana" w:eastAsia="Calibri" w:hAnsi="Verdana" w:cs="Arial"/>
          <w:lang w:val="es-ES"/>
        </w:rPr>
        <w:t>especto del objeto de su consulta debe advertirse que, l</w:t>
      </w:r>
      <w:r w:rsidR="001B4C44" w:rsidRPr="00AE0B32">
        <w:rPr>
          <w:rFonts w:ascii="Verdana" w:eastAsia="Arial" w:hAnsi="Verdana" w:cs="Arial"/>
          <w:szCs w:val="24"/>
          <w:lang w:val="es-ES" w:eastAsia="es-CO"/>
        </w:rPr>
        <w:t>a Ley 2069 d</w:t>
      </w:r>
      <w:r w:rsidR="001B4C44" w:rsidRPr="00AE0B32">
        <w:rPr>
          <w:rFonts w:ascii="Verdana" w:eastAsia="Arial" w:hAnsi="Verdana" w:cs="Arial"/>
          <w:szCs w:val="24"/>
          <w:lang w:eastAsia="es-CO"/>
        </w:rPr>
        <w:t>el 31 de diciembre de 2020,</w:t>
      </w:r>
      <w:r w:rsidR="001B4C44" w:rsidRPr="00AE0B32">
        <w:rPr>
          <w:rFonts w:ascii="Verdana" w:eastAsia="Arial" w:hAnsi="Verdana" w:cs="Arial"/>
          <w:szCs w:val="24"/>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001B4C44" w:rsidRPr="00AE0B32">
        <w:rPr>
          <w:rFonts w:ascii="Verdana" w:eastAsia="Arial" w:hAnsi="Verdana" w:cs="Arial"/>
          <w:bCs/>
          <w:szCs w:val="24"/>
          <w:lang w:val="es-ES" w:eastAsia="es-CO"/>
        </w:rPr>
        <w:t xml:space="preserve">l “Capítulo III – Compras públicas” de la Ley 2069 de 2020 </w:t>
      </w:r>
      <w:r w:rsidR="001B4C44" w:rsidRPr="00AE0B32">
        <w:rPr>
          <w:rFonts w:ascii="Verdana" w:eastAsia="Times New Roman" w:hAnsi="Verdana" w:cs="Arial"/>
          <w:szCs w:val="24"/>
          <w:lang w:eastAsia="es-MX"/>
        </w:rPr>
        <w:t>contiene normas que modifican</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algunos</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aspectos</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de</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la</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contratación</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estatal</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para</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promover</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el</w:t>
      </w:r>
      <w:r w:rsidR="001B4C44" w:rsidRPr="00AE0B32">
        <w:rPr>
          <w:rFonts w:ascii="Verdana" w:eastAsia="Times New Roman" w:hAnsi="Verdana" w:cs="Arial"/>
          <w:spacing w:val="1"/>
          <w:szCs w:val="24"/>
          <w:lang w:eastAsia="es-MX"/>
        </w:rPr>
        <w:t xml:space="preserve"> </w:t>
      </w:r>
      <w:r w:rsidR="001B4C44" w:rsidRPr="00AE0B32">
        <w:rPr>
          <w:rFonts w:ascii="Verdana" w:eastAsia="Times New Roman" w:hAnsi="Verdana" w:cs="Arial"/>
          <w:szCs w:val="24"/>
          <w:lang w:eastAsia="es-MX"/>
        </w:rPr>
        <w:t xml:space="preserve">emprendimiento. </w:t>
      </w:r>
      <w:r w:rsidR="001B4C44" w:rsidRPr="00AE0B32">
        <w:rPr>
          <w:rFonts w:ascii="Verdana" w:eastAsia="Arial" w:hAnsi="Verdana" w:cs="Arial"/>
          <w:bCs/>
          <w:szCs w:val="24"/>
          <w:lang w:eastAsia="es-CO"/>
        </w:rPr>
        <w:t xml:space="preserve"> </w:t>
      </w:r>
    </w:p>
    <w:p w14:paraId="10D31627" w14:textId="77777777" w:rsidR="004A66CA" w:rsidRDefault="001B4C44" w:rsidP="001B4C44">
      <w:pPr>
        <w:spacing w:after="120" w:line="276" w:lineRule="auto"/>
        <w:ind w:firstLine="708"/>
        <w:jc w:val="both"/>
        <w:rPr>
          <w:rFonts w:ascii="Verdana" w:eastAsia="Arial" w:hAnsi="Verdana" w:cs="Arial"/>
          <w:bCs/>
          <w:szCs w:val="24"/>
          <w:lang w:eastAsia="es-CO"/>
        </w:rPr>
      </w:pPr>
      <w:r w:rsidRPr="00AE0B32">
        <w:rPr>
          <w:rFonts w:ascii="Verdana" w:eastAsia="Arial" w:hAnsi="Verdana" w:cs="Arial"/>
          <w:szCs w:val="24"/>
          <w:lang w:val="es-ES" w:eastAsia="es-CO"/>
        </w:rPr>
        <w:t xml:space="preserve">Concretamente, el artículo 31 </w:t>
      </w:r>
      <w:r w:rsidRPr="00AE0B32">
        <w:rPr>
          <w:rFonts w:ascii="Verdana" w:eastAsia="Arial" w:hAnsi="Verdana" w:cs="Arial"/>
          <w:i/>
          <w:iCs/>
          <w:szCs w:val="24"/>
          <w:lang w:val="es-ES" w:eastAsia="es-CO"/>
        </w:rPr>
        <w:t>ibidem</w:t>
      </w:r>
      <w:r w:rsidRPr="00AE0B32">
        <w:rPr>
          <w:rFonts w:ascii="Verdana" w:eastAsia="Arial" w:hAnsi="Verdana" w:cs="Arial"/>
          <w:szCs w:val="24"/>
          <w:lang w:eastAsia="es-CO"/>
        </w:rPr>
        <w:t xml:space="preserve"> </w:t>
      </w:r>
      <w:r w:rsidRPr="00AE0B32">
        <w:rPr>
          <w:rFonts w:ascii="Verdana" w:eastAsia="Arial" w:hAnsi="Verdana" w:cs="Arial"/>
          <w:bCs/>
          <w:szCs w:val="24"/>
          <w:lang w:eastAsia="es-CO"/>
        </w:rPr>
        <w:t xml:space="preserve">introduce criterios diferenciales para el acceso de las </w:t>
      </w:r>
      <w:proofErr w:type="spellStart"/>
      <w:r w:rsidRPr="00AE0B32">
        <w:rPr>
          <w:rFonts w:ascii="Verdana" w:eastAsia="Arial" w:hAnsi="Verdana" w:cs="Arial"/>
          <w:bCs/>
          <w:szCs w:val="24"/>
          <w:lang w:eastAsia="es-CO"/>
        </w:rPr>
        <w:t>Mipyme</w:t>
      </w:r>
      <w:proofErr w:type="spellEnd"/>
      <w:r w:rsidRPr="00AE0B32">
        <w:rPr>
          <w:rFonts w:ascii="Verdana" w:eastAsia="Arial" w:hAnsi="Verdana" w:cs="Arial"/>
          <w:bCs/>
          <w:szCs w:val="24"/>
          <w:lang w:eastAsia="es-CO"/>
        </w:rPr>
        <w:t xml:space="preserve"> al sistema de compras y contratación pública. Para estos efectos, el inciso primero dispone que “Las Entidades Estatales de acuerdo con el análisis de sector </w:t>
      </w:r>
      <w:bookmarkStart w:id="3" w:name="_Hlk63767562"/>
      <w:r w:rsidRPr="00AE0B32">
        <w:rPr>
          <w:rFonts w:ascii="Verdana" w:eastAsia="Arial" w:hAnsi="Verdana" w:cs="Arial"/>
          <w:bCs/>
          <w:szCs w:val="24"/>
          <w:lang w:eastAsia="es-CO"/>
        </w:rPr>
        <w:t>podrán incluir, en los Documentos del Proceso, requisitos diferenciales y puntajes adicionales</w:t>
      </w:r>
      <w:bookmarkEnd w:id="3"/>
      <w:r w:rsidRPr="00AE0B32">
        <w:rPr>
          <w:rFonts w:ascii="Verdana" w:eastAsia="Arial" w:hAnsi="Verdana" w:cs="Arial"/>
          <w:bCs/>
          <w:szCs w:val="24"/>
          <w:lang w:eastAsia="es-CO"/>
        </w:rPr>
        <w:t xml:space="preserve">, en función del tamaño empresarial para la promoción del acceso de las MIPYMES al mercado de Compras Públicas”. </w:t>
      </w:r>
    </w:p>
    <w:p w14:paraId="4552B960" w14:textId="2F2A9CEE" w:rsidR="001B4C44" w:rsidRPr="00AE0B32" w:rsidRDefault="001B4C44" w:rsidP="001B4C44">
      <w:pPr>
        <w:spacing w:after="120" w:line="276" w:lineRule="auto"/>
        <w:ind w:firstLine="708"/>
        <w:jc w:val="both"/>
        <w:rPr>
          <w:rFonts w:ascii="Verdana" w:eastAsia="Arial" w:hAnsi="Verdana" w:cs="Arial"/>
          <w:szCs w:val="24"/>
          <w:lang w:eastAsia="es-CO"/>
        </w:rPr>
      </w:pPr>
      <w:r w:rsidRPr="00AE0B32">
        <w:rPr>
          <w:rFonts w:ascii="Verdana" w:eastAsia="Arial" w:hAnsi="Verdana" w:cs="Arial"/>
          <w:bCs/>
          <w:szCs w:val="24"/>
          <w:lang w:eastAsia="es-CO"/>
        </w:rPr>
        <w:lastRenderedPageBreak/>
        <w:t xml:space="preserve">Esto significa que, la aplicación de los criterios diferenciales, los cuales incluyen tanto los requisitos diferenciales como los puntajes adicionales, depende de las conclusiones del estudio del sector. Así mismo, esta norma </w:t>
      </w:r>
      <w:r w:rsidRPr="00AE0B32">
        <w:rPr>
          <w:rFonts w:ascii="Verdana" w:eastAsia="Arial" w:hAnsi="Verdana" w:cs="Arial"/>
          <w:szCs w:val="24"/>
          <w:lang w:eastAsia="es-CO"/>
        </w:rPr>
        <w:t>dispuso que el Gobierno Nacional reglamentaría la definición de los criterios diferenciales</w:t>
      </w:r>
      <w:r w:rsidRPr="00AE0B32">
        <w:rPr>
          <w:rFonts w:ascii="Verdana" w:eastAsia="Arial" w:hAnsi="Verdana" w:cs="Arial"/>
          <w:szCs w:val="24"/>
          <w:lang w:val="es-ES" w:eastAsia="es-CO"/>
        </w:rPr>
        <w:t xml:space="preserve"> para promover y facilitar el acceso de las </w:t>
      </w:r>
      <w:proofErr w:type="spellStart"/>
      <w:r w:rsidRPr="00AE0B32">
        <w:rPr>
          <w:rFonts w:ascii="Verdana" w:eastAsia="Arial" w:hAnsi="Verdana" w:cs="Arial"/>
          <w:szCs w:val="24"/>
          <w:lang w:val="es-ES" w:eastAsia="es-CO"/>
        </w:rPr>
        <w:t>Mipyme</w:t>
      </w:r>
      <w:proofErr w:type="spellEnd"/>
      <w:r w:rsidRPr="00AE0B32">
        <w:rPr>
          <w:rFonts w:ascii="Verdana" w:eastAsia="Arial" w:hAnsi="Verdana" w:cs="Arial"/>
          <w:szCs w:val="24"/>
          <w:lang w:val="es-ES" w:eastAsia="es-CO"/>
        </w:rPr>
        <w:t xml:space="preserve"> al mercado de compras públicas</w:t>
      </w:r>
      <w:r w:rsidRPr="00AE0B32">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119E65A7" w14:textId="77777777" w:rsidR="001B4C44" w:rsidRPr="00AE0B32" w:rsidRDefault="001B4C44" w:rsidP="001B4C44">
      <w:pPr>
        <w:spacing w:after="120" w:line="276" w:lineRule="auto"/>
        <w:jc w:val="both"/>
        <w:rPr>
          <w:rFonts w:ascii="Verdana" w:eastAsia="Arial" w:hAnsi="Verdana" w:cs="Arial"/>
          <w:szCs w:val="24"/>
          <w:lang w:eastAsia="es-CO"/>
        </w:rPr>
      </w:pPr>
      <w:r w:rsidRPr="00AE0B32">
        <w:rPr>
          <w:rFonts w:ascii="Verdana" w:eastAsia="Arial" w:hAnsi="Verdana" w:cs="Arial"/>
          <w:szCs w:val="24"/>
          <w:lang w:val="es-ES" w:eastAsia="es-CO"/>
        </w:rPr>
        <w:tab/>
        <w:t>Con fundamento en lo anterior, el Gobierno Nacional expidió el Decreto 1860 de 2021 que</w:t>
      </w:r>
      <w:r w:rsidRPr="00AE0B32">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AE0B32">
        <w:rPr>
          <w:rFonts w:ascii="Verdana" w:eastAsia="Times New Roman" w:hAnsi="Verdana" w:cs="Arial"/>
          <w:szCs w:val="24"/>
          <w:lang w:eastAsia="es-MX"/>
        </w:rPr>
        <w:t>además de incluir algunas disposiciones adicionales para la reglamentación efectiva de la citada Ley</w:t>
      </w:r>
      <w:r w:rsidRPr="00AE0B32">
        <w:rPr>
          <w:rFonts w:ascii="Verdana" w:eastAsia="Times New Roman" w:hAnsi="Verdana" w:cs="Arial"/>
          <w:szCs w:val="24"/>
          <w:vertAlign w:val="superscript"/>
          <w:lang w:eastAsia="es-MX"/>
        </w:rPr>
        <w:footnoteReference w:id="2"/>
      </w:r>
      <w:r w:rsidRPr="00AE0B32">
        <w:rPr>
          <w:rFonts w:ascii="Verdana" w:eastAsia="Times New Roman" w:hAnsi="Verdana" w:cs="Arial"/>
          <w:szCs w:val="24"/>
          <w:lang w:eastAsia="es-MX"/>
        </w:rPr>
        <w:t>.</w:t>
      </w:r>
      <w:r w:rsidRPr="00AE0B32">
        <w:rPr>
          <w:rFonts w:ascii="Verdana" w:eastAsia="Arial" w:hAnsi="Verdana" w:cs="Arial"/>
          <w:szCs w:val="24"/>
          <w:lang w:eastAsia="es-CO"/>
        </w:rPr>
        <w:t xml:space="preserve"> </w:t>
      </w:r>
    </w:p>
    <w:p w14:paraId="04AE7FFA" w14:textId="4E13450E" w:rsidR="001B4C44" w:rsidRPr="00AE0B32" w:rsidRDefault="001B4C44" w:rsidP="001B4C44">
      <w:pPr>
        <w:spacing w:after="120" w:line="276" w:lineRule="auto"/>
        <w:ind w:firstLine="708"/>
        <w:jc w:val="both"/>
        <w:rPr>
          <w:rFonts w:ascii="Verdana" w:eastAsia="Arial" w:hAnsi="Verdana" w:cs="Arial"/>
          <w:lang w:eastAsia="es-MX"/>
        </w:rPr>
      </w:pPr>
      <w:r w:rsidRPr="00AE0B32">
        <w:rPr>
          <w:rFonts w:ascii="Verdana" w:eastAsia="Arial" w:hAnsi="Verdana" w:cs="Arial"/>
          <w:szCs w:val="24"/>
          <w:lang w:val="es-ES" w:eastAsia="es-CO"/>
        </w:rPr>
        <w:t>De esta manera, el artículo 3 del Decreto 1860 de 2021</w:t>
      </w:r>
      <w:bookmarkStart w:id="4" w:name="_Hlk110840316"/>
      <w:r w:rsidRPr="00AE0B32">
        <w:rPr>
          <w:rFonts w:ascii="Verdana" w:eastAsia="Times New Roman" w:hAnsi="Verdana" w:cs="Arial"/>
          <w:lang w:eastAsia="es-MX"/>
        </w:rPr>
        <w:t xml:space="preserve">, que adicionó </w:t>
      </w:r>
      <w:r w:rsidRPr="00AE0B32">
        <w:rPr>
          <w:rFonts w:ascii="Verdana" w:eastAsia="Times New Roman" w:hAnsi="Verdana" w:cs="Arial"/>
          <w:bCs/>
          <w:lang w:eastAsia="es-MX"/>
        </w:rPr>
        <w:t xml:space="preserve">el artículo 2.2.1.2.4.2.18 al </w:t>
      </w:r>
      <w:r w:rsidRPr="00AE0B32">
        <w:rPr>
          <w:rFonts w:ascii="Verdana" w:eastAsia="Times New Roman" w:hAnsi="Verdana" w:cs="Arial"/>
          <w:lang w:eastAsia="es-MX"/>
        </w:rPr>
        <w:t>Decreto 1082 de 2015</w:t>
      </w:r>
      <w:r w:rsidR="00E1021D">
        <w:rPr>
          <w:rFonts w:ascii="Verdana" w:eastAsia="Times New Roman" w:hAnsi="Verdana" w:cs="Arial"/>
          <w:lang w:eastAsia="es-MX"/>
        </w:rPr>
        <w:t>,</w:t>
      </w:r>
      <w:r w:rsidRPr="00AE0B32">
        <w:rPr>
          <w:rFonts w:ascii="Verdana" w:eastAsia="Times New Roman" w:hAnsi="Verdana" w:cs="Arial"/>
          <w:lang w:eastAsia="es-MX"/>
        </w:rPr>
        <w:t xml:space="preserve"> reglamentó los criterios diferenciales para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domiciliadas en Colombia. </w:t>
      </w:r>
    </w:p>
    <w:p w14:paraId="35705829" w14:textId="77777777" w:rsidR="001B4C44" w:rsidRPr="00AE0B32" w:rsidRDefault="001B4C44" w:rsidP="001B4C44">
      <w:pPr>
        <w:spacing w:after="120" w:line="276" w:lineRule="auto"/>
        <w:jc w:val="both"/>
        <w:rPr>
          <w:rFonts w:ascii="Verdana" w:eastAsia="Times New Roman" w:hAnsi="Verdana" w:cs="Arial"/>
          <w:lang w:eastAsia="es-MX"/>
        </w:rPr>
      </w:pPr>
      <w:r w:rsidRPr="00AE0B32">
        <w:rPr>
          <w:rFonts w:ascii="Verdana" w:eastAsia="Arial" w:hAnsi="Verdana" w:cs="Arial"/>
          <w:lang w:eastAsia="es-MX"/>
        </w:rPr>
        <w:tab/>
      </w:r>
      <w:r w:rsidRPr="00AE0B32">
        <w:rPr>
          <w:rFonts w:ascii="Verdana" w:eastAsia="Times New Roman" w:hAnsi="Verdana" w:cs="Arial"/>
          <w:lang w:eastAsia="es-MX"/>
        </w:rPr>
        <w:t xml:space="preserve">Estos criterios en favor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buscan reducir las asimetrías entre estas y las grandes empresas para vincularse como proveedoras del mercado de compras públicas y, en consecuencia, promover y facilitar la participación en los procedimientos de selección competitivos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w:t>
      </w:r>
      <w:r w:rsidRPr="00AE0B32">
        <w:rPr>
          <w:rFonts w:ascii="Verdana" w:eastAsia="Times New Roman" w:hAnsi="Verdana" w:cs="Arial"/>
          <w:lang w:eastAsia="es-MX"/>
        </w:rPr>
        <w:lastRenderedPageBreak/>
        <w:t xml:space="preserve">los criterios de clasificación empresarial, los documentos del proceso deberán incorporar requisitos habilitantes diferenciales relacionados con alguno o algunos de los siguientes aspectos: i) tiempo de experiencia, </w:t>
      </w:r>
      <w:proofErr w:type="spellStart"/>
      <w:r w:rsidRPr="00AE0B32">
        <w:rPr>
          <w:rFonts w:ascii="Verdana" w:eastAsia="Times New Roman" w:hAnsi="Verdana" w:cs="Arial"/>
          <w:lang w:eastAsia="es-MX"/>
        </w:rPr>
        <w:t>ii</w:t>
      </w:r>
      <w:proofErr w:type="spellEnd"/>
      <w:r w:rsidRPr="00AE0B32">
        <w:rPr>
          <w:rFonts w:ascii="Verdana" w:eastAsia="Times New Roman" w:hAnsi="Verdana" w:cs="Arial"/>
          <w:lang w:eastAsia="es-MX"/>
        </w:rPr>
        <w:t xml:space="preserve">) número de contratos para la acreditación de la experiencia, </w:t>
      </w:r>
      <w:proofErr w:type="spellStart"/>
      <w:r w:rsidRPr="00AE0B32">
        <w:rPr>
          <w:rFonts w:ascii="Verdana" w:eastAsia="Times New Roman" w:hAnsi="Verdana" w:cs="Arial"/>
          <w:lang w:eastAsia="es-MX"/>
        </w:rPr>
        <w:t>iii</w:t>
      </w:r>
      <w:proofErr w:type="spellEnd"/>
      <w:r w:rsidRPr="00AE0B32">
        <w:rPr>
          <w:rFonts w:ascii="Verdana" w:eastAsia="Times New Roman" w:hAnsi="Verdana" w:cs="Arial"/>
          <w:lang w:eastAsia="es-MX"/>
        </w:rPr>
        <w:t xml:space="preserve">) índices de capacidad financiera, </w:t>
      </w:r>
      <w:proofErr w:type="spellStart"/>
      <w:r w:rsidRPr="00AE0B32">
        <w:rPr>
          <w:rFonts w:ascii="Verdana" w:eastAsia="Times New Roman" w:hAnsi="Verdana" w:cs="Arial"/>
          <w:lang w:eastAsia="es-MX"/>
        </w:rPr>
        <w:t>iv</w:t>
      </w:r>
      <w:proofErr w:type="spellEnd"/>
      <w:r w:rsidRPr="00AE0B32">
        <w:rPr>
          <w:rFonts w:ascii="Verdana" w:eastAsia="Times New Roman" w:hAnsi="Verdana" w:cs="Arial"/>
          <w:lang w:eastAsia="es-MX"/>
        </w:rPr>
        <w:t xml:space="preserve">) índices de capacidad organizacional y v) valor de la garantía de seriedad de la oferta. </w:t>
      </w:r>
    </w:p>
    <w:p w14:paraId="31F2FB88" w14:textId="77777777" w:rsidR="001B4C44" w:rsidRPr="00AE0B32" w:rsidRDefault="001B4C44" w:rsidP="001B4C44">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Lo anterior significa que para determinar los criterios diferenciales para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w:t>
      </w:r>
    </w:p>
    <w:bookmarkEnd w:id="4"/>
    <w:p w14:paraId="63A45258" w14:textId="77777777" w:rsidR="00507019" w:rsidRDefault="001B4C44" w:rsidP="001B4C44">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Igualmente, el decreto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w:t>
      </w:r>
    </w:p>
    <w:p w14:paraId="51A853B1" w14:textId="57EBCB3F" w:rsidR="001B4C44" w:rsidRPr="00AE0B32" w:rsidRDefault="001B4C44" w:rsidP="001B4C44">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Como se observa,</w:t>
      </w:r>
      <w:r w:rsidR="00965861">
        <w:rPr>
          <w:rFonts w:ascii="Verdana" w:eastAsia="Times New Roman" w:hAnsi="Verdana" w:cs="Arial"/>
          <w:lang w:eastAsia="es-MX"/>
        </w:rPr>
        <w:t xml:space="preserve"> el Decreto</w:t>
      </w:r>
      <w:r w:rsidRPr="00AE0B32">
        <w:rPr>
          <w:rFonts w:ascii="Verdana" w:eastAsia="Times New Roman" w:hAnsi="Verdana" w:cs="Arial"/>
          <w:lang w:eastAsia="es-MX"/>
        </w:rPr>
        <w:t xml:space="preserv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419F8B7C" w14:textId="77777777" w:rsidR="001B4C44" w:rsidRPr="00AE0B32" w:rsidRDefault="001B4C44" w:rsidP="001B4C44">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w:t>
      </w:r>
      <w:r w:rsidRPr="00AE0B32">
        <w:rPr>
          <w:rFonts w:ascii="Verdana" w:eastAsia="Times New Roman" w:hAnsi="Verdana" w:cs="Arial"/>
          <w:bCs/>
          <w:lang w:eastAsia="es-MX"/>
        </w:rPr>
        <w:t xml:space="preserve">2.2.1.2.4.2.18 del </w:t>
      </w:r>
      <w:r w:rsidRPr="00AE0B32">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w:t>
      </w:r>
      <w:r w:rsidRPr="00AE0B32">
        <w:rPr>
          <w:rFonts w:ascii="Verdana" w:eastAsia="Times New Roman" w:hAnsi="Verdana" w:cs="Arial"/>
          <w:lang w:eastAsia="es-MX"/>
        </w:rPr>
        <w:lastRenderedPageBreak/>
        <w:t xml:space="preserve">convocatorias 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en los términos de los artículos 2.2.1.2.4.2.2 y 2.2.1.2.4.2.3 de este Decreto. </w:t>
      </w:r>
    </w:p>
    <w:p w14:paraId="20B6FA40" w14:textId="77777777" w:rsidR="001B4C44" w:rsidRPr="00AE0B32" w:rsidRDefault="001B4C44" w:rsidP="001B4C44">
      <w:pPr>
        <w:spacing w:after="120" w:line="276" w:lineRule="auto"/>
        <w:ind w:firstLine="708"/>
        <w:jc w:val="both"/>
        <w:rPr>
          <w:rFonts w:ascii="Verdana" w:eastAsia="Arial" w:hAnsi="Verdana" w:cs="Arial"/>
          <w:lang w:val="es-ES_tradnl"/>
        </w:rPr>
      </w:pPr>
      <w:r w:rsidRPr="00AE0B32">
        <w:rPr>
          <w:rFonts w:ascii="Verdana" w:hAnsi="Verdana" w:cs="Arial"/>
          <w:lang w:val="es-ES_tradnl"/>
        </w:rPr>
        <w:t xml:space="preserve">Ahora bien, teniendo en cuenta que el objeto de sus preguntas gira en torno a determinar si las ESAL pueden beneficiarse de dichos criterios diferenciales, resulta indispensable señalar que, el artículo 2 de la Ley 590 de 2000, modificado por el artículo 43 de la Ley 1450 de 2011, define la </w:t>
      </w:r>
      <w:r w:rsidRPr="00AE0B32">
        <w:rPr>
          <w:rFonts w:ascii="Verdana" w:hAnsi="Verdana" w:cs="Arial"/>
          <w:i/>
          <w:iCs/>
          <w:lang w:val="es-ES_tradnl"/>
        </w:rPr>
        <w:t>empresa</w:t>
      </w:r>
      <w:r w:rsidRPr="00AE0B32">
        <w:rPr>
          <w:rFonts w:ascii="Verdana" w:hAnsi="Verdana" w:cs="Arial"/>
          <w:lang w:val="es-ES_tradnl"/>
        </w:rPr>
        <w:t xml:space="preserve"> como toda unidad de explotación económica que realiza una persona natural o jurídica en actividades agropecuarias, industriales, comerciales o de servicios</w:t>
      </w:r>
      <w:r w:rsidRPr="00AE0B32">
        <w:rPr>
          <w:rFonts w:ascii="Verdana" w:hAnsi="Verdana" w:cs="Arial"/>
          <w:vertAlign w:val="superscript"/>
          <w:lang w:val="es-ES_tradnl"/>
        </w:rPr>
        <w:footnoteReference w:id="3"/>
      </w:r>
      <w:r w:rsidRPr="00AE0B32">
        <w:rPr>
          <w:rFonts w:ascii="Verdana" w:hAnsi="Verdana" w:cs="Arial"/>
          <w:lang w:val="es-ES_tradnl"/>
        </w:rPr>
        <w:t>. Además, establece que estas se clasifican en micro, pequeña, mediana y gran empresa, de acuerdo con los criterios del número de trabajadores totales, el valor de ventas brutales anuales y el valor de activos totales.</w:t>
      </w:r>
      <w:r w:rsidRPr="00AE0B32">
        <w:rPr>
          <w:rFonts w:ascii="Verdana" w:eastAsia="Arial" w:hAnsi="Verdana" w:cs="Arial"/>
          <w:lang w:val="es-ES_tradnl"/>
        </w:rPr>
        <w:t xml:space="preserve"> Ahora bien, el artículo 2.2.1.13.2.2. del Decreto 1074 de 2015, adicionado por el Decreto 957 de 2019, establece que: </w:t>
      </w:r>
    </w:p>
    <w:p w14:paraId="26AB39CD" w14:textId="77777777" w:rsidR="001B4C44" w:rsidRPr="00AE0B32" w:rsidRDefault="001B4C44" w:rsidP="001B4C44">
      <w:pPr>
        <w:spacing w:after="120" w:line="276" w:lineRule="auto"/>
        <w:ind w:firstLine="709"/>
        <w:jc w:val="both"/>
        <w:rPr>
          <w:rFonts w:ascii="Verdana" w:eastAsia="Arial" w:hAnsi="Verdana" w:cs="Arial"/>
          <w:lang w:val="es-ES_tradnl"/>
        </w:rPr>
      </w:pPr>
      <w:r w:rsidRPr="00AE0B32">
        <w:rPr>
          <w:rFonts w:ascii="Verdana" w:eastAsia="Arial" w:hAnsi="Verdana" w:cs="Arial"/>
          <w:lang w:val="es-ES_tradnl"/>
        </w:rPr>
        <w:t xml:space="preserve">i) La </w:t>
      </w:r>
      <w:r w:rsidRPr="00AE0B32">
        <w:rPr>
          <w:rFonts w:ascii="Verdana" w:eastAsia="Arial" w:hAnsi="Verdana" w:cs="Arial"/>
          <w:i/>
          <w:iCs/>
          <w:lang w:val="es-ES_tradnl"/>
        </w:rPr>
        <w:t>mediana empresa</w:t>
      </w:r>
      <w:r w:rsidRPr="00AE0B32">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w:t>
      </w:r>
      <w:r w:rsidRPr="00AE0B32">
        <w:rPr>
          <w:rFonts w:ascii="Verdana" w:eastAsia="Arial" w:hAnsi="Verdana" w:cs="Arial"/>
          <w:lang w:val="es-ES_tradnl"/>
        </w:rPr>
        <w:lastRenderedPageBreak/>
        <w:t xml:space="preserve">(431.196 UVT) e inferiores o iguales a dos millones ciento sesenta mil seiscientos noventa y dos Unidades de Valor Tributario (2'160 .692 UVT)”.  </w:t>
      </w:r>
    </w:p>
    <w:p w14:paraId="11D52B11" w14:textId="77777777" w:rsidR="001B4C44" w:rsidRPr="00AE0B32" w:rsidRDefault="001B4C44" w:rsidP="25C50598">
      <w:pPr>
        <w:spacing w:after="120" w:line="276" w:lineRule="auto"/>
        <w:ind w:firstLine="709"/>
        <w:jc w:val="both"/>
        <w:rPr>
          <w:rFonts w:ascii="Verdana" w:eastAsia="Arial" w:hAnsi="Verdana" w:cs="Arial"/>
          <w:lang w:val="es-ES"/>
        </w:rPr>
      </w:pPr>
      <w:proofErr w:type="spellStart"/>
      <w:r w:rsidRPr="25C50598">
        <w:rPr>
          <w:rFonts w:ascii="Verdana" w:eastAsia="Arial" w:hAnsi="Verdana" w:cs="Arial"/>
          <w:lang w:val="es-ES"/>
        </w:rPr>
        <w:t>ii</w:t>
      </w:r>
      <w:proofErr w:type="spellEnd"/>
      <w:r w:rsidRPr="25C50598">
        <w:rPr>
          <w:rFonts w:ascii="Verdana" w:eastAsia="Arial" w:hAnsi="Verdana" w:cs="Arial"/>
          <w:lang w:val="es-ES"/>
        </w:rPr>
        <w:t xml:space="preserve">) La </w:t>
      </w:r>
      <w:r w:rsidRPr="25C50598">
        <w:rPr>
          <w:rFonts w:ascii="Verdana" w:eastAsia="Arial" w:hAnsi="Verdana" w:cs="Arial"/>
          <w:i/>
          <w:iCs/>
          <w:lang w:val="es-ES"/>
        </w:rPr>
        <w:t>pequeña empresa</w:t>
      </w:r>
      <w:r w:rsidRPr="25C50598">
        <w:rPr>
          <w:rFonts w:ascii="Verdana" w:eastAsia="Arial"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39E1EA7E" w14:textId="77777777" w:rsidR="001B4C44" w:rsidRDefault="001B4C44" w:rsidP="36E3D3EB">
      <w:pPr>
        <w:spacing w:after="120" w:line="276" w:lineRule="auto"/>
        <w:ind w:firstLine="709"/>
        <w:jc w:val="both"/>
        <w:rPr>
          <w:rFonts w:ascii="Verdana" w:eastAsia="Arial" w:hAnsi="Verdana" w:cs="Arial"/>
          <w:lang w:val="es-ES"/>
        </w:rPr>
      </w:pPr>
      <w:proofErr w:type="spellStart"/>
      <w:r w:rsidRPr="36E3D3EB">
        <w:rPr>
          <w:rFonts w:ascii="Verdana" w:eastAsia="Arial" w:hAnsi="Verdana" w:cs="Arial"/>
          <w:lang w:val="es-ES"/>
        </w:rPr>
        <w:t>iii</w:t>
      </w:r>
      <w:proofErr w:type="spellEnd"/>
      <w:r w:rsidRPr="36E3D3EB">
        <w:rPr>
          <w:rFonts w:ascii="Verdana" w:eastAsia="Arial" w:hAnsi="Verdana" w:cs="Arial"/>
          <w:lang w:val="es-ES"/>
        </w:rPr>
        <w:t xml:space="preserve">) La </w:t>
      </w:r>
      <w:r w:rsidRPr="36E3D3EB">
        <w:rPr>
          <w:rFonts w:ascii="Verdana" w:eastAsia="Arial" w:hAnsi="Verdana" w:cs="Arial"/>
          <w:i/>
          <w:iCs/>
          <w:lang w:val="es-ES"/>
        </w:rPr>
        <w:t>microempresa</w:t>
      </w:r>
      <w:r w:rsidRPr="36E3D3EB">
        <w:rPr>
          <w:rFonts w:ascii="Verdana" w:eastAsia="Arial" w:hAnsi="Verdana" w:cs="Arial"/>
          <w:lang w:val="es-ES"/>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36E3D3EB">
        <w:rPr>
          <w:rFonts w:ascii="Verdana" w:hAnsi="Verdana" w:cs="Arial"/>
          <w:vertAlign w:val="superscript"/>
          <w:lang w:val="es-ES"/>
        </w:rPr>
        <w:footnoteReference w:id="4"/>
      </w:r>
      <w:r w:rsidRPr="36E3D3EB">
        <w:rPr>
          <w:rFonts w:ascii="Verdana" w:eastAsia="Arial" w:hAnsi="Verdana" w:cs="Arial"/>
          <w:lang w:val="es-ES"/>
        </w:rPr>
        <w:t>.</w:t>
      </w:r>
    </w:p>
    <w:p w14:paraId="2AEDA9E8" w14:textId="77777777" w:rsidR="001B4C44" w:rsidRDefault="001B4C44" w:rsidP="0099607E">
      <w:pPr>
        <w:spacing w:after="0" w:line="276" w:lineRule="auto"/>
        <w:ind w:firstLine="709"/>
        <w:jc w:val="both"/>
        <w:rPr>
          <w:rFonts w:ascii="Verdana" w:eastAsia="Arial" w:hAnsi="Verdana" w:cs="Arial"/>
        </w:rPr>
      </w:pPr>
      <w:r>
        <w:rPr>
          <w:rFonts w:ascii="Verdana" w:eastAsia="Arial" w:hAnsi="Verdana" w:cs="Arial"/>
          <w:lang w:val="es-ES_tradnl"/>
        </w:rPr>
        <w:t>Vale mencionar que</w:t>
      </w:r>
      <w:r w:rsidRPr="00135459">
        <w:rPr>
          <w:rFonts w:ascii="Century Gothic" w:hAnsi="Century Gothic" w:cs="Arial"/>
        </w:rPr>
        <w:t xml:space="preserve">, </w:t>
      </w:r>
      <w:r w:rsidRPr="00512CC0">
        <w:rPr>
          <w:rFonts w:ascii="Verdana" w:hAnsi="Verdana" w:cs="Arial"/>
        </w:rPr>
        <w:t xml:space="preserve">la </w:t>
      </w:r>
      <w:bookmarkStart w:id="5" w:name="_Hlk129853990"/>
      <w:r w:rsidRPr="00512CC0">
        <w:rPr>
          <w:rFonts w:ascii="Verdana" w:hAnsi="Verdana" w:cs="Arial"/>
        </w:rPr>
        <w:t>Corte Constitucional, en la sentencia C-287 del 18 de abril de 2012</w:t>
      </w:r>
      <w:bookmarkEnd w:id="5"/>
      <w:r w:rsidRPr="00512CC0">
        <w:rPr>
          <w:rFonts w:ascii="Verdana" w:hAnsi="Verdana" w:cs="Arial"/>
        </w:rPr>
        <w:t>, reiteró que la diferencia existente entre las sociedades comerciales y las ESAL es que estas últimas no reparten sus utilidades entre los socios. Así lo estableció en los siguientes términos:</w:t>
      </w:r>
    </w:p>
    <w:p w14:paraId="26BC0C40" w14:textId="77777777" w:rsidR="00C17398" w:rsidRDefault="00C17398" w:rsidP="00C17398">
      <w:pPr>
        <w:spacing w:after="0" w:line="240" w:lineRule="auto"/>
        <w:ind w:left="709" w:right="709"/>
        <w:jc w:val="both"/>
        <w:rPr>
          <w:rFonts w:ascii="Verdana" w:hAnsi="Verdana" w:cs="Arial"/>
          <w:sz w:val="20"/>
          <w:szCs w:val="20"/>
        </w:rPr>
      </w:pPr>
    </w:p>
    <w:p w14:paraId="7A9C03B7" w14:textId="3CFBE63A" w:rsidR="001B4C44" w:rsidRPr="00512CC0" w:rsidRDefault="001B4C44" w:rsidP="0099607E">
      <w:pPr>
        <w:spacing w:after="0" w:line="240" w:lineRule="auto"/>
        <w:ind w:left="709" w:right="709"/>
        <w:jc w:val="both"/>
        <w:rPr>
          <w:rFonts w:ascii="Verdana" w:eastAsia="Arial" w:hAnsi="Verdana" w:cs="Arial"/>
          <w:lang w:val="es-ES_tradnl"/>
        </w:rPr>
      </w:pPr>
      <w:r w:rsidRPr="00512CC0">
        <w:rPr>
          <w:rFonts w:ascii="Verdana" w:hAnsi="Verdana" w:cs="Arial"/>
          <w:sz w:val="20"/>
          <w:szCs w:val="20"/>
        </w:rPr>
        <w:t>“</w:t>
      </w:r>
      <w:r>
        <w:rPr>
          <w:rFonts w:ascii="Verdana" w:hAnsi="Verdana" w:cs="Arial"/>
          <w:sz w:val="20"/>
          <w:szCs w:val="20"/>
        </w:rPr>
        <w:t xml:space="preserve">[…] </w:t>
      </w:r>
      <w:r w:rsidRPr="00512CC0">
        <w:rPr>
          <w:rFonts w:ascii="Verdana" w:hAnsi="Verdana" w:cs="Arial"/>
          <w:sz w:val="20"/>
          <w:szCs w:val="20"/>
        </w:rPr>
        <w:t xml:space="preserve">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w:t>
      </w:r>
      <w:r w:rsidRPr="00512CC0">
        <w:rPr>
          <w:rFonts w:ascii="Verdana" w:hAnsi="Verdana" w:cs="Arial"/>
          <w:sz w:val="20"/>
          <w:szCs w:val="20"/>
        </w:rPr>
        <w:lastRenderedPageBreak/>
        <w:t xml:space="preserve">utilidades en proporción a su aporte, ni la recuperación del mismo en el momento de su disolución o </w:t>
      </w:r>
      <w:proofErr w:type="gramStart"/>
      <w:r w:rsidRPr="00512CC0">
        <w:rPr>
          <w:rFonts w:ascii="Verdana" w:hAnsi="Verdana" w:cs="Arial"/>
          <w:sz w:val="20"/>
          <w:szCs w:val="20"/>
        </w:rPr>
        <w:t>liquidación.</w:t>
      </w:r>
      <w:r>
        <w:rPr>
          <w:rFonts w:ascii="Verdana" w:hAnsi="Verdana" w:cs="Arial"/>
          <w:sz w:val="20"/>
          <w:szCs w:val="20"/>
        </w:rPr>
        <w:t>[</w:t>
      </w:r>
      <w:proofErr w:type="gramEnd"/>
      <w:r>
        <w:rPr>
          <w:rFonts w:ascii="Verdana" w:hAnsi="Verdana" w:cs="Arial"/>
          <w:sz w:val="20"/>
          <w:szCs w:val="20"/>
        </w:rPr>
        <w:t>…]</w:t>
      </w:r>
      <w:r w:rsidRPr="00512CC0">
        <w:rPr>
          <w:rFonts w:ascii="Verdana" w:hAnsi="Verdana" w:cs="Arial"/>
          <w:sz w:val="20"/>
          <w:szCs w:val="20"/>
        </w:rPr>
        <w:t>”</w:t>
      </w:r>
      <w:r w:rsidRPr="00512CC0">
        <w:rPr>
          <w:rFonts w:ascii="Verdana" w:hAnsi="Verdana" w:cs="Arial"/>
          <w:sz w:val="20"/>
          <w:szCs w:val="20"/>
          <w:vertAlign w:val="superscript"/>
        </w:rPr>
        <w:footnoteReference w:id="5"/>
      </w:r>
    </w:p>
    <w:p w14:paraId="4E478CE6" w14:textId="77777777" w:rsidR="001B4C44" w:rsidRPr="00AE0B32" w:rsidRDefault="001B4C44" w:rsidP="0099607E">
      <w:pPr>
        <w:spacing w:after="0" w:line="276" w:lineRule="auto"/>
        <w:ind w:left="709" w:right="709" w:firstLine="709"/>
        <w:jc w:val="both"/>
        <w:rPr>
          <w:rFonts w:ascii="Verdana" w:eastAsia="Arial" w:hAnsi="Verdana" w:cs="Arial"/>
          <w:lang w:val="es-ES_tradnl"/>
        </w:rPr>
      </w:pPr>
    </w:p>
    <w:p w14:paraId="4E819FF2" w14:textId="77777777" w:rsidR="005D1C60" w:rsidRDefault="001B4C44" w:rsidP="001B4C44">
      <w:pPr>
        <w:spacing w:after="120" w:line="276" w:lineRule="auto"/>
        <w:ind w:firstLine="709"/>
        <w:jc w:val="both"/>
        <w:rPr>
          <w:rFonts w:ascii="Verdana" w:hAnsi="Verdana" w:cs="Arial"/>
        </w:rPr>
      </w:pPr>
      <w:r w:rsidRPr="00AE0B32">
        <w:rPr>
          <w:rFonts w:ascii="Verdana" w:hAnsi="Verdana" w:cs="Arial"/>
          <w:lang w:val="es-ES_tradnl"/>
        </w:rPr>
        <w:t xml:space="preserve">Conforme a lo anterior, es importante precisar que esta Agencia ha sostenido de forma reiterada la tesis consistente en que las ESAL no pueden acceder a los beneficios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ni participar en los procesos contractuales limitados a estas, considerando que “</w:t>
      </w:r>
      <w:r w:rsidRPr="00AE0B32">
        <w:rPr>
          <w:rFonts w:ascii="Verdana" w:hAnsi="Verdana" w:cs="Arial"/>
        </w:rPr>
        <w:t xml:space="preserve">en virtud del artículo 43 de la Ley 1450 de 2011, que modificó el artículo 2 de la Ley 590 de 2000, […] puede decirse que solo podrán ser </w:t>
      </w:r>
      <w:proofErr w:type="spellStart"/>
      <w:r w:rsidRPr="00AE0B32">
        <w:rPr>
          <w:rFonts w:ascii="Verdana" w:hAnsi="Verdana" w:cs="Arial"/>
        </w:rPr>
        <w:t>Mipymes</w:t>
      </w:r>
      <w:proofErr w:type="spellEnd"/>
      <w:r w:rsidRPr="00AE0B32">
        <w:rPr>
          <w:rFonts w:ascii="Verdana" w:hAnsi="Verdana" w:cs="Arial"/>
        </w:rPr>
        <w:t xml:space="preserve"> las empresas, entendidas estas como las unidades de explotación económica que buscan el reparto de utilidades entre los miembros de la empresa. </w:t>
      </w:r>
    </w:p>
    <w:p w14:paraId="29F5327E" w14:textId="071512DF" w:rsidR="001B4C44" w:rsidRPr="00AE0B32" w:rsidRDefault="001B4C44" w:rsidP="001B4C44">
      <w:pPr>
        <w:spacing w:after="120" w:line="276" w:lineRule="auto"/>
        <w:ind w:firstLine="709"/>
        <w:jc w:val="both"/>
        <w:rPr>
          <w:rFonts w:ascii="Verdana" w:hAnsi="Verdana" w:cs="Arial"/>
        </w:rPr>
      </w:pPr>
      <w:r w:rsidRPr="00AE0B32">
        <w:rPr>
          <w:rFonts w:ascii="Verdana" w:hAnsi="Verdana" w:cs="Arial"/>
        </w:rPr>
        <w:t xml:space="preserve">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AE0B32">
        <w:rPr>
          <w:rFonts w:ascii="Verdana" w:hAnsi="Verdana" w:cs="Arial"/>
        </w:rPr>
        <w:t>mipymes</w:t>
      </w:r>
      <w:proofErr w:type="spellEnd"/>
      <w:r w:rsidRPr="00AE0B32">
        <w:rPr>
          <w:rFonts w:ascii="Verdana" w:hAnsi="Verdana" w:cs="Arial"/>
        </w:rPr>
        <w:t xml:space="preserve">. Lo anterior teniendo en cuenta que </w:t>
      </w:r>
      <w:r w:rsidRPr="00AE0B32">
        <w:rPr>
          <w:rFonts w:ascii="Verdana" w:hAnsi="Verdana" w:cs="Arial"/>
          <w:i/>
          <w:iCs/>
        </w:rPr>
        <w:t xml:space="preserve">no responden al concepto de empresa que involucra dicha categoría con ánimo de lucro, por lo que no resulta jurídicamente válido aplicar a las ESAL las normas dirigidas a las </w:t>
      </w:r>
      <w:proofErr w:type="spellStart"/>
      <w:r w:rsidRPr="00AE0B32">
        <w:rPr>
          <w:rFonts w:ascii="Verdana" w:hAnsi="Verdana" w:cs="Arial"/>
          <w:i/>
          <w:iCs/>
        </w:rPr>
        <w:t>Mipymes</w:t>
      </w:r>
      <w:proofErr w:type="spellEnd"/>
      <w:r w:rsidRPr="00AE0B32">
        <w:rPr>
          <w:rFonts w:ascii="Verdana" w:hAnsi="Verdana" w:cs="Arial"/>
        </w:rPr>
        <w:t>”</w:t>
      </w:r>
      <w:r w:rsidRPr="00AE0B32">
        <w:rPr>
          <w:rFonts w:ascii="Verdana" w:hAnsi="Verdana" w:cs="Arial"/>
          <w:vertAlign w:val="superscript"/>
        </w:rPr>
        <w:footnoteReference w:id="6"/>
      </w:r>
      <w:r w:rsidRPr="00AE0B32">
        <w:rPr>
          <w:rFonts w:ascii="Verdana" w:hAnsi="Verdana" w:cs="Arial"/>
        </w:rPr>
        <w:t xml:space="preserve">. </w:t>
      </w:r>
    </w:p>
    <w:p w14:paraId="2B7DCC09" w14:textId="77777777" w:rsidR="005D1C60" w:rsidRDefault="001B4C44" w:rsidP="26E79C48">
      <w:pPr>
        <w:spacing w:after="120" w:line="276" w:lineRule="auto"/>
        <w:ind w:firstLine="709"/>
        <w:jc w:val="both"/>
        <w:rPr>
          <w:rFonts w:ascii="Verdana" w:hAnsi="Verdana" w:cs="Arial"/>
          <w:lang w:val="es-ES"/>
        </w:rPr>
      </w:pPr>
      <w:r w:rsidRPr="26E79C48">
        <w:rPr>
          <w:rFonts w:ascii="Verdana" w:hAnsi="Verdana" w:cs="Arial"/>
          <w:lang w:val="es-ES"/>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26E79C48">
        <w:rPr>
          <w:rFonts w:ascii="Verdana" w:hAnsi="Verdana" w:cs="Arial"/>
          <w:lang w:val="es-ES"/>
        </w:rPr>
        <w:t>Mipymes</w:t>
      </w:r>
      <w:proofErr w:type="spellEnd"/>
      <w:r w:rsidRPr="26E79C48">
        <w:rPr>
          <w:rFonts w:ascii="Verdana" w:hAnsi="Verdana" w:cs="Arial"/>
          <w:lang w:val="es-ES"/>
        </w:rPr>
        <w:t xml:space="preserve"> las empresas, entendidas estas como las unidades de explotación económica que buscan el reparto de utilidades entre los miembros de la empresa, sin perjuicio de las precisiones que se realizarán más adelante en relación con el artículo 23 de la Ley 2069 de 2020. </w:t>
      </w:r>
    </w:p>
    <w:p w14:paraId="1C0C74D9" w14:textId="3986FFB0" w:rsidR="00D51AC8" w:rsidRPr="00AE0B32" w:rsidRDefault="001B4C44" w:rsidP="001B4C44">
      <w:pPr>
        <w:spacing w:after="120" w:line="276" w:lineRule="auto"/>
        <w:ind w:firstLine="709"/>
        <w:jc w:val="both"/>
        <w:rPr>
          <w:rFonts w:ascii="Verdana" w:hAnsi="Verdana" w:cs="Arial"/>
          <w:lang w:val="es-ES_tradnl"/>
        </w:rPr>
      </w:pPr>
      <w:r w:rsidRPr="26E79C48">
        <w:rPr>
          <w:rFonts w:ascii="Verdana" w:hAnsi="Verdana" w:cs="Arial"/>
          <w:lang w:val="es-ES"/>
        </w:rPr>
        <w:t xml:space="preserve">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26E79C48">
        <w:rPr>
          <w:rFonts w:ascii="Verdana" w:hAnsi="Verdana" w:cs="Arial"/>
          <w:lang w:val="es-ES"/>
        </w:rPr>
        <w:t>Mipymes</w:t>
      </w:r>
      <w:proofErr w:type="spellEnd"/>
      <w:r w:rsidRPr="26E79C48">
        <w:rPr>
          <w:rFonts w:ascii="Verdana" w:hAnsi="Verdana" w:cs="Arial"/>
          <w:lang w:val="es-ES"/>
        </w:rPr>
        <w:t xml:space="preserve"> en el sistema de compras públicas, ni podrán participar en los procesos de contratación limitados </w:t>
      </w:r>
      <w:r w:rsidRPr="26E79C48">
        <w:rPr>
          <w:rFonts w:ascii="Verdana" w:hAnsi="Verdana" w:cs="Arial"/>
          <w:lang w:val="es-ES"/>
        </w:rPr>
        <w:lastRenderedPageBreak/>
        <w:t xml:space="preserve">a </w:t>
      </w:r>
      <w:proofErr w:type="spellStart"/>
      <w:r w:rsidRPr="26E79C48">
        <w:rPr>
          <w:rFonts w:ascii="Verdana" w:hAnsi="Verdana" w:cs="Arial"/>
          <w:lang w:val="es-ES"/>
        </w:rPr>
        <w:t>Mipymes</w:t>
      </w:r>
      <w:proofErr w:type="spellEnd"/>
      <w:r w:rsidRPr="26E79C48">
        <w:rPr>
          <w:rFonts w:ascii="Verdana" w:hAnsi="Verdana" w:cs="Arial"/>
          <w:lang w:val="es-ES"/>
        </w:rPr>
        <w:t xml:space="preserve">. Lo anterior, teniendo en cuenta que no responden al concepto de empresa por no ejercer una actividad con ánimo de lucro, por lo que no resulta jurídicamente válido aplicar a las ESAL las normas dirigidas a las </w:t>
      </w:r>
      <w:proofErr w:type="spellStart"/>
      <w:r w:rsidRPr="26E79C48">
        <w:rPr>
          <w:rFonts w:ascii="Verdana" w:hAnsi="Verdana" w:cs="Arial"/>
          <w:lang w:val="es-ES"/>
        </w:rPr>
        <w:t>Mipymes</w:t>
      </w:r>
      <w:proofErr w:type="spellEnd"/>
      <w:r w:rsidRPr="26E79C48">
        <w:rPr>
          <w:rFonts w:ascii="Verdana" w:hAnsi="Verdana" w:cs="Arial"/>
          <w:lang w:val="es-ES"/>
        </w:rPr>
        <w:t xml:space="preserve">. </w:t>
      </w:r>
    </w:p>
    <w:p w14:paraId="6BE7E2BD" w14:textId="04F1F8E6" w:rsidR="001B4C44" w:rsidRDefault="001B4C44" w:rsidP="26E79C48">
      <w:pPr>
        <w:spacing w:after="120" w:line="276" w:lineRule="auto"/>
        <w:ind w:firstLine="709"/>
        <w:jc w:val="both"/>
        <w:rPr>
          <w:rFonts w:ascii="Verdana" w:hAnsi="Verdana" w:cs="Arial"/>
          <w:lang w:val="es-ES"/>
        </w:rPr>
      </w:pPr>
      <w:r w:rsidRPr="26E79C48">
        <w:rPr>
          <w:rFonts w:ascii="Verdana" w:hAnsi="Verdana" w:cs="Arial"/>
          <w:lang w:val="es-ES"/>
        </w:rPr>
        <w:t xml:space="preserve">Lo </w:t>
      </w:r>
      <w:r w:rsidR="001F75E3" w:rsidRPr="26E79C48">
        <w:rPr>
          <w:rFonts w:ascii="Verdana" w:hAnsi="Verdana" w:cs="Arial"/>
          <w:lang w:val="es-ES"/>
        </w:rPr>
        <w:t xml:space="preserve">expuesto </w:t>
      </w:r>
      <w:r w:rsidRPr="26E79C48">
        <w:rPr>
          <w:rFonts w:ascii="Verdana" w:hAnsi="Verdana" w:cs="Arial"/>
          <w:lang w:val="es-ES"/>
        </w:rPr>
        <w:t xml:space="preserve">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proofErr w:type="spellStart"/>
      <w:r w:rsidRPr="26E79C48">
        <w:rPr>
          <w:rFonts w:ascii="Verdana" w:hAnsi="Verdana" w:cs="Arial"/>
          <w:lang w:val="es-ES"/>
        </w:rPr>
        <w:t>Mipymes</w:t>
      </w:r>
      <w:proofErr w:type="spellEnd"/>
      <w:r w:rsidRPr="26E79C48">
        <w:rPr>
          <w:rFonts w:ascii="Verdana" w:hAnsi="Verdana" w:cs="Arial"/>
          <w:lang w:val="es-ES"/>
        </w:rPr>
        <w:t>.</w:t>
      </w:r>
    </w:p>
    <w:p w14:paraId="53AE29DD" w14:textId="596F9A37" w:rsidR="00740583" w:rsidRPr="00EB1CF7" w:rsidRDefault="00F156F8" w:rsidP="0099607E">
      <w:pPr>
        <w:spacing w:after="0" w:line="276" w:lineRule="auto"/>
        <w:ind w:firstLine="709"/>
        <w:jc w:val="both"/>
        <w:rPr>
          <w:rFonts w:ascii="Verdana" w:eastAsia="Calibri" w:hAnsi="Verdana" w:cs="Arial"/>
          <w:lang w:val="es-ES"/>
        </w:rPr>
      </w:pPr>
      <w:r>
        <w:rPr>
          <w:rFonts w:ascii="Verdana" w:eastAsia="Calibri" w:hAnsi="Verdana" w:cs="Arial"/>
          <w:lang w:val="es-ES"/>
        </w:rPr>
        <w:t xml:space="preserve">Finalmente, es necesario señalar que, </w:t>
      </w:r>
      <w:r w:rsidR="00E05B8B" w:rsidRPr="00A23794">
        <w:rPr>
          <w:rFonts w:ascii="Verdana" w:hAnsi="Verdana" w:cstheme="minorHAnsi"/>
          <w:lang w:val="es-ES_tradnl"/>
        </w:rPr>
        <w:t xml:space="preserve">con </w:t>
      </w:r>
      <w:r w:rsidR="00E05B8B" w:rsidRPr="00A23794">
        <w:rPr>
          <w:rFonts w:ascii="Verdana" w:eastAsia="Calibri" w:hAnsi="Verdana" w:cstheme="minorHAnsi"/>
          <w:lang w:val="es-ES"/>
        </w:rPr>
        <w:t>la entrada en vigor del artículo 23 de la Ley 2069 de 2020 se avala la posibilidad de que cooperativas, asociaciones mutuales y demás entes considerados de economía solidaria</w:t>
      </w:r>
      <w:r w:rsidR="00BF0138">
        <w:rPr>
          <w:rFonts w:ascii="Verdana" w:eastAsia="Calibri" w:hAnsi="Verdana" w:cstheme="minorHAnsi"/>
          <w:lang w:val="es-ES"/>
        </w:rPr>
        <w:t xml:space="preserve"> </w:t>
      </w:r>
      <w:r w:rsidR="00E05B8B" w:rsidRPr="00A23794">
        <w:rPr>
          <w:rFonts w:ascii="Verdana" w:eastAsia="Calibri" w:hAnsi="Verdana" w:cstheme="minorHAnsi"/>
          <w:lang w:val="es-ES"/>
        </w:rPr>
        <w:t xml:space="preserve">sean clasificados como </w:t>
      </w:r>
      <w:proofErr w:type="spellStart"/>
      <w:r w:rsidR="00E05B8B" w:rsidRPr="00A23794">
        <w:rPr>
          <w:rFonts w:ascii="Verdana" w:eastAsia="Calibri" w:hAnsi="Verdana" w:cstheme="minorHAnsi"/>
          <w:lang w:val="es-ES"/>
        </w:rPr>
        <w:t>Mipymes</w:t>
      </w:r>
      <w:proofErr w:type="spellEnd"/>
      <w:r w:rsidR="00740583">
        <w:rPr>
          <w:rFonts w:ascii="Verdana" w:eastAsia="Calibri" w:hAnsi="Verdana" w:cstheme="minorHAnsi"/>
          <w:lang w:val="es-ES"/>
        </w:rPr>
        <w:t>, e</w:t>
      </w:r>
      <w:r w:rsidR="00740583" w:rsidRPr="00740583">
        <w:rPr>
          <w:rFonts w:ascii="Verdana" w:eastAsia="Calibri" w:hAnsi="Verdana" w:cstheme="minorHAnsi"/>
        </w:rPr>
        <w:t>n los términos establecidos por el artículo </w:t>
      </w:r>
      <w:hyperlink r:id="rId12" w:anchor="2" w:history="1">
        <w:r w:rsidR="00740583" w:rsidRPr="0099607E">
          <w:rPr>
            <w:rStyle w:val="Hipervnculo"/>
            <w:rFonts w:ascii="Verdana" w:eastAsia="Calibri" w:hAnsi="Verdana" w:cstheme="minorHAnsi"/>
            <w:color w:val="auto"/>
            <w:u w:val="none"/>
          </w:rPr>
          <w:t>2o</w:t>
        </w:r>
      </w:hyperlink>
      <w:r w:rsidR="00740583" w:rsidRPr="00740583">
        <w:rPr>
          <w:rFonts w:ascii="Verdana" w:eastAsia="Calibri" w:hAnsi="Verdana" w:cstheme="minorHAnsi"/>
        </w:rPr>
        <w:t> de la Ley 590 de 2000 y por el Decreto 957 de 2019</w:t>
      </w:r>
      <w:r w:rsidR="00740583">
        <w:rPr>
          <w:rFonts w:ascii="Verdana" w:eastAsia="Calibri" w:hAnsi="Verdana" w:cstheme="minorHAnsi"/>
          <w:lang w:val="es-ES"/>
        </w:rPr>
        <w:t xml:space="preserve">, </w:t>
      </w:r>
      <w:r w:rsidR="00AF41FB">
        <w:rPr>
          <w:rFonts w:ascii="Verdana" w:eastAsia="Calibri" w:hAnsi="Verdana" w:cstheme="minorHAnsi"/>
          <w:lang w:val="es-ES"/>
        </w:rPr>
        <w:t xml:space="preserve">para efectos de la aplicación de la Ley de Emprendimiento. En este sentido, siempre que una ESAL demuestre </w:t>
      </w:r>
      <w:r w:rsidR="00CA4016">
        <w:rPr>
          <w:rFonts w:ascii="Verdana" w:eastAsia="Calibri" w:hAnsi="Verdana" w:cstheme="minorHAnsi"/>
          <w:lang w:val="es-ES"/>
        </w:rPr>
        <w:t xml:space="preserve">que tiene la calidad de </w:t>
      </w:r>
      <w:r w:rsidR="00CA4016" w:rsidRPr="00A23794">
        <w:rPr>
          <w:rFonts w:ascii="Verdana" w:eastAsia="Calibri" w:hAnsi="Verdana" w:cstheme="minorHAnsi"/>
          <w:lang w:val="es-ES"/>
        </w:rPr>
        <w:t xml:space="preserve">cooperativas, asociaciones mutuales </w:t>
      </w:r>
      <w:r w:rsidR="00CA4016">
        <w:rPr>
          <w:rFonts w:ascii="Verdana" w:eastAsia="Calibri" w:hAnsi="Verdana" w:cstheme="minorHAnsi"/>
          <w:lang w:val="es-ES"/>
        </w:rPr>
        <w:t>o</w:t>
      </w:r>
      <w:r w:rsidR="00CA4016" w:rsidRPr="00A23794">
        <w:rPr>
          <w:rFonts w:ascii="Verdana" w:eastAsia="Calibri" w:hAnsi="Verdana" w:cstheme="minorHAnsi"/>
          <w:lang w:val="es-ES"/>
        </w:rPr>
        <w:t xml:space="preserve"> ente de economía solidaria</w:t>
      </w:r>
      <w:r w:rsidR="00CA4016">
        <w:rPr>
          <w:rFonts w:ascii="Verdana" w:eastAsia="Calibri" w:hAnsi="Verdana" w:cstheme="minorHAnsi"/>
          <w:lang w:val="es-ES"/>
        </w:rPr>
        <w:t xml:space="preserve"> podrán acceder a los criterios diferenciales en favor de </w:t>
      </w:r>
      <w:proofErr w:type="spellStart"/>
      <w:r w:rsidR="00CA4016">
        <w:rPr>
          <w:rFonts w:ascii="Verdana" w:eastAsia="Calibri" w:hAnsi="Verdana" w:cstheme="minorHAnsi"/>
          <w:lang w:val="es-ES"/>
        </w:rPr>
        <w:t>Mipymes</w:t>
      </w:r>
      <w:proofErr w:type="spellEnd"/>
      <w:r w:rsidR="00CA4016">
        <w:rPr>
          <w:rFonts w:ascii="Verdana" w:eastAsia="Calibri" w:hAnsi="Verdana" w:cstheme="minorHAnsi"/>
          <w:lang w:val="es-ES"/>
        </w:rPr>
        <w:t xml:space="preserve">, dentro de los que se encuentran los puntajes adicionales. </w:t>
      </w:r>
    </w:p>
    <w:p w14:paraId="39F2545D" w14:textId="77777777" w:rsidR="001B4C44" w:rsidRPr="00EB1CF7" w:rsidRDefault="001B4C44" w:rsidP="00E05B8B">
      <w:pPr>
        <w:spacing w:after="0" w:line="276" w:lineRule="auto"/>
        <w:jc w:val="both"/>
        <w:rPr>
          <w:rFonts w:ascii="Verdana" w:eastAsia="Calibri" w:hAnsi="Verdana" w:cs="Arial"/>
          <w:color w:val="000000" w:themeColor="text1"/>
        </w:rPr>
      </w:pPr>
    </w:p>
    <w:p w14:paraId="209B3640" w14:textId="77777777" w:rsidR="001B4C44" w:rsidRPr="00EB1CF7" w:rsidRDefault="001B4C44" w:rsidP="00E05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B1CF7">
        <w:rPr>
          <w:rFonts w:ascii="Verdana" w:eastAsia="Century Gothic" w:hAnsi="Verdana" w:cs="Century Gothic"/>
          <w:b/>
          <w:bCs/>
        </w:rPr>
        <w:t>Referencias normativas:</w:t>
      </w:r>
    </w:p>
    <w:p w14:paraId="7D7CED25" w14:textId="77777777" w:rsidR="001B4C44" w:rsidRPr="00EB1CF7" w:rsidRDefault="001B4C44" w:rsidP="00E05B8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B4C44" w:rsidRPr="00EB1CF7" w14:paraId="6A4E08D2" w14:textId="77777777" w:rsidTr="005E648B">
        <w:trPr>
          <w:trHeight w:val="870"/>
          <w:jc w:val="center"/>
        </w:trPr>
        <w:tc>
          <w:tcPr>
            <w:tcW w:w="8647" w:type="dxa"/>
          </w:tcPr>
          <w:p w14:paraId="3CA2919D" w14:textId="77777777" w:rsidR="001B4C44"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43B90089" w14:textId="77777777" w:rsidR="001B4C44" w:rsidRDefault="001B4C44" w:rsidP="0099607E">
            <w:pPr>
              <w:widowControl w:val="0"/>
              <w:numPr>
                <w:ilvl w:val="0"/>
                <w:numId w:val="17"/>
              </w:numPr>
              <w:autoSpaceDE w:val="0"/>
              <w:autoSpaceDN w:val="0"/>
              <w:spacing w:line="276" w:lineRule="auto"/>
              <w:jc w:val="both"/>
              <w:rPr>
                <w:rFonts w:ascii="Verdana" w:hAnsi="Verdana" w:cs="Arial"/>
              </w:rPr>
            </w:pPr>
            <w:r>
              <w:rPr>
                <w:rFonts w:ascii="Verdana" w:hAnsi="Verdana" w:cs="Arial"/>
              </w:rPr>
              <w:t>Ley 454 de 1998, artículos 2 y 6.</w:t>
            </w:r>
          </w:p>
          <w:p w14:paraId="2B567312" w14:textId="77777777" w:rsidR="001B4C44"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590 de 2000, artículo 2.</w:t>
            </w:r>
          </w:p>
          <w:p w14:paraId="2E893136" w14:textId="77777777" w:rsidR="001B4C44" w:rsidRPr="00A37605"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1150 de 2007, artículo 12.</w:t>
            </w:r>
          </w:p>
          <w:p w14:paraId="6031BCE2" w14:textId="77777777" w:rsidR="001B4C44" w:rsidRPr="00A37605"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1450 de 2011, artículo 43.</w:t>
            </w:r>
          </w:p>
          <w:p w14:paraId="6F2802E4" w14:textId="77777777" w:rsidR="001B4C44" w:rsidRPr="00A37605"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2069 de 2020, artículo 34, artículo 23, artículo 22.</w:t>
            </w:r>
          </w:p>
          <w:p w14:paraId="6D03C808" w14:textId="77777777" w:rsidR="001B4C44" w:rsidRPr="00A37605"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Ley 2143 de 2021</w:t>
            </w:r>
            <w:r>
              <w:rPr>
                <w:rFonts w:ascii="Verdana" w:hAnsi="Verdana" w:cs="Arial"/>
              </w:rPr>
              <w:t>, artículo 1.</w:t>
            </w:r>
          </w:p>
          <w:p w14:paraId="451DC7A1" w14:textId="77777777" w:rsidR="001B4C44"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Decreto 1074 de 2015, artículo 2.2.1.13.2.2.</w:t>
            </w:r>
          </w:p>
          <w:p w14:paraId="2280348C" w14:textId="77777777" w:rsidR="001B4C44" w:rsidRPr="00A37605" w:rsidRDefault="001B4C44" w:rsidP="0099607E">
            <w:pPr>
              <w:widowControl w:val="0"/>
              <w:numPr>
                <w:ilvl w:val="0"/>
                <w:numId w:val="17"/>
              </w:numPr>
              <w:autoSpaceDE w:val="0"/>
              <w:autoSpaceDN w:val="0"/>
              <w:spacing w:line="276" w:lineRule="auto"/>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7FC95851" w14:textId="77777777" w:rsidR="001B4C44" w:rsidRPr="000471DA" w:rsidRDefault="001B4C44" w:rsidP="0099607E">
            <w:pPr>
              <w:pStyle w:val="Prrafodelista"/>
              <w:widowControl w:val="0"/>
              <w:numPr>
                <w:ilvl w:val="0"/>
                <w:numId w:val="17"/>
              </w:numPr>
              <w:autoSpaceDE w:val="0"/>
              <w:autoSpaceDN w:val="0"/>
              <w:spacing w:line="276" w:lineRule="auto"/>
              <w:jc w:val="both"/>
              <w:rPr>
                <w:rFonts w:ascii="Verdana" w:hAnsi="Verdana" w:cs="Arial"/>
                <w:lang w:val="es-CO"/>
              </w:rPr>
            </w:pPr>
            <w:r w:rsidRPr="00EA7B31">
              <w:rPr>
                <w:rFonts w:ascii="Verdana" w:hAnsi="Verdana" w:cs="Arial"/>
              </w:rPr>
              <w:t>Decreto 1860 de 2021, artículo 3.</w:t>
            </w:r>
          </w:p>
        </w:tc>
      </w:tr>
    </w:tbl>
    <w:p w14:paraId="4EB5419F" w14:textId="77777777" w:rsidR="001B4C44" w:rsidRPr="00113921" w:rsidRDefault="001B4C44" w:rsidP="00113921">
      <w:pPr>
        <w:widowControl w:val="0"/>
        <w:autoSpaceDE w:val="0"/>
        <w:autoSpaceDN w:val="0"/>
        <w:spacing w:after="0" w:line="276" w:lineRule="auto"/>
        <w:jc w:val="both"/>
        <w:rPr>
          <w:rFonts w:ascii="Verdana" w:hAnsi="Verdana" w:cs="Arial"/>
        </w:rPr>
      </w:pPr>
    </w:p>
    <w:p w14:paraId="1AA348BB" w14:textId="77777777" w:rsidR="001B4C44" w:rsidRPr="00113921" w:rsidRDefault="001B4C44" w:rsidP="001139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13921">
        <w:rPr>
          <w:rFonts w:ascii="Verdana" w:eastAsia="Century Gothic" w:hAnsi="Verdana" w:cs="Century Gothic"/>
          <w:b/>
          <w:bCs/>
        </w:rPr>
        <w:t>Doctrina de la Agencia Nacional de Contratación Pública:</w:t>
      </w:r>
    </w:p>
    <w:p w14:paraId="0529EADB" w14:textId="77777777" w:rsidR="001B4C44" w:rsidRPr="00113921" w:rsidRDefault="001B4C44" w:rsidP="00113921">
      <w:pPr>
        <w:widowControl w:val="0"/>
        <w:autoSpaceDE w:val="0"/>
        <w:autoSpaceDN w:val="0"/>
        <w:spacing w:after="0" w:line="276" w:lineRule="auto"/>
        <w:jc w:val="both"/>
        <w:rPr>
          <w:rFonts w:ascii="Verdana" w:hAnsi="Verdana" w:cs="Arial"/>
        </w:rPr>
      </w:pPr>
    </w:p>
    <w:p w14:paraId="34237A86" w14:textId="77777777" w:rsidR="001B4C44" w:rsidRDefault="001B4C44" w:rsidP="00113921">
      <w:pPr>
        <w:spacing w:after="0" w:line="276" w:lineRule="auto"/>
        <w:jc w:val="both"/>
        <w:rPr>
          <w:rFonts w:ascii="Verdana" w:hAnsi="Verdana" w:cs="Arial"/>
          <w:shd w:val="clear" w:color="auto" w:fill="FFFFFF"/>
        </w:rPr>
      </w:pPr>
      <w:r w:rsidRPr="00113921">
        <w:rPr>
          <w:rFonts w:ascii="Verdana" w:eastAsia="Calibri" w:hAnsi="Verdana" w:cs="Arial"/>
          <w:shd w:val="clear" w:color="auto" w:fill="FFFFFF"/>
          <w:lang w:val="es-ES"/>
        </w:rPr>
        <w:lastRenderedPageBreak/>
        <w:t xml:space="preserve">La Agencia Nacional de Contratación Pública − Colombia Compra Eficiente se pronunció </w:t>
      </w:r>
      <w:r w:rsidRPr="00113921">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 C-094 de junio de 2024 y C-206 de agosto de 2024</w:t>
      </w:r>
      <w:r w:rsidRPr="00113921">
        <w:rPr>
          <w:rFonts w:ascii="Verdana" w:eastAsia="Calibri" w:hAnsi="Verdana" w:cs="Arial"/>
          <w:shd w:val="clear" w:color="auto" w:fill="FFFFFF"/>
          <w:lang w:val="es-ES"/>
        </w:rPr>
        <w:t>, entre otros.</w:t>
      </w:r>
      <w:r w:rsidRPr="00113921">
        <w:rPr>
          <w:rFonts w:ascii="Verdana" w:hAnsi="Verdana"/>
        </w:rPr>
        <w:t xml:space="preserve"> </w:t>
      </w:r>
      <w:r w:rsidRPr="0011392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113921">
          <w:rPr>
            <w:rStyle w:val="Hipervnculo"/>
            <w:rFonts w:ascii="Verdana" w:hAnsi="Verdana" w:cs="Arial"/>
            <w:shd w:val="clear" w:color="auto" w:fill="FFFFFF"/>
          </w:rPr>
          <w:t>https://relatoria.colombiacompra.gov.co/</w:t>
        </w:r>
      </w:hyperlink>
      <w:r w:rsidRPr="00113921">
        <w:rPr>
          <w:rFonts w:ascii="Verdana" w:hAnsi="Verdana" w:cs="Arial"/>
          <w:shd w:val="clear" w:color="auto" w:fill="FFFFFF"/>
        </w:rPr>
        <w:t>.</w:t>
      </w:r>
    </w:p>
    <w:p w14:paraId="6B871D7C" w14:textId="77777777" w:rsidR="000B7A87" w:rsidRPr="00113921" w:rsidRDefault="000B7A87" w:rsidP="0099607E">
      <w:pPr>
        <w:spacing w:after="0" w:line="276" w:lineRule="auto"/>
        <w:jc w:val="both"/>
        <w:rPr>
          <w:rFonts w:ascii="Verdana" w:hAnsi="Verdana" w:cs="Arial"/>
          <w:shd w:val="clear" w:color="auto" w:fill="FFFFFF"/>
        </w:rPr>
      </w:pPr>
    </w:p>
    <w:p w14:paraId="45F8F96A" w14:textId="77777777" w:rsidR="00113921" w:rsidRPr="00113921" w:rsidRDefault="00113921" w:rsidP="0099607E">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t xml:space="preserve">Te informamos que ya se encuentra disponible la </w:t>
      </w:r>
      <w:r w:rsidRPr="00113921">
        <w:rPr>
          <w:rFonts w:ascii="Verdana" w:eastAsia="Calibri" w:hAnsi="Verdana" w:cs="Arial"/>
          <w:b/>
          <w:bCs/>
          <w:color w:val="000000" w:themeColor="text1"/>
        </w:rPr>
        <w:t>Cartilla para incentivar y fortalecer el acceso a las compras y contratación pública de los pueblos y comunidades étnicas en Colombia.</w:t>
      </w:r>
      <w:r w:rsidRPr="00113921">
        <w:rPr>
          <w:rFonts w:ascii="Verdana" w:eastAsia="Calibri" w:hAnsi="Verdana" w:cs="Arial"/>
          <w:color w:val="000000" w:themeColor="text1"/>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history="1">
        <w:r w:rsidRPr="00113921">
          <w:rPr>
            <w:rStyle w:val="Hipervnculo"/>
            <w:rFonts w:ascii="Verdana" w:eastAsia="Calibri" w:hAnsi="Verdana" w:cs="Arial"/>
          </w:rPr>
          <w:t>Cartilla para incentivar y fortalecer el acceso a las compras y contratación pública de los pueblos y comunidades étnicas en Colombia | Colombia Compra Eficiente | Agencia Nacional de Contratación Pública</w:t>
        </w:r>
      </w:hyperlink>
    </w:p>
    <w:p w14:paraId="7310507B" w14:textId="77777777" w:rsidR="000B7A87" w:rsidRDefault="000B7A87" w:rsidP="00113921">
      <w:pPr>
        <w:spacing w:after="0" w:line="276" w:lineRule="auto"/>
        <w:jc w:val="both"/>
        <w:rPr>
          <w:rFonts w:ascii="Verdana" w:eastAsia="Calibri" w:hAnsi="Verdana" w:cs="Arial"/>
          <w:color w:val="000000" w:themeColor="text1"/>
        </w:rPr>
      </w:pPr>
    </w:p>
    <w:p w14:paraId="7B85207C" w14:textId="4BF437DF" w:rsidR="00113921" w:rsidRDefault="00113921" w:rsidP="00113921">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t xml:space="preserve">De otra parte, te informamos que, con el objetivo de garantizar un conocimiento adecuado de las </w:t>
      </w:r>
      <w:r w:rsidRPr="00113921">
        <w:rPr>
          <w:rFonts w:ascii="Verdana" w:eastAsia="Calibri" w:hAnsi="Verdana" w:cs="Arial"/>
          <w:b/>
          <w:bCs/>
          <w:color w:val="000000" w:themeColor="text1"/>
        </w:rPr>
        <w:t>modificaciones y/o actualizaciones realizadas a los Documentos Tipo</w:t>
      </w:r>
      <w:r w:rsidRPr="00113921">
        <w:rPr>
          <w:rFonts w:ascii="Verdana" w:eastAsia="Calibri" w:hAnsi="Verdana" w:cs="Arial"/>
          <w:color w:val="000000" w:themeColor="text1"/>
        </w:rPr>
        <w:t xml:space="preserve">, hemos programado una serie de </w:t>
      </w:r>
      <w:r w:rsidRPr="00113921">
        <w:rPr>
          <w:rFonts w:ascii="Verdana" w:eastAsia="Calibri" w:hAnsi="Verdana" w:cs="Arial"/>
          <w:b/>
          <w:bCs/>
          <w:color w:val="000000" w:themeColor="text1"/>
        </w:rPr>
        <w:t xml:space="preserve">capacitaciones </w:t>
      </w:r>
      <w:r w:rsidRPr="00113921">
        <w:rPr>
          <w:rFonts w:ascii="Verdana" w:eastAsia="Calibri" w:hAnsi="Verdana" w:cs="Arial"/>
          <w:color w:val="000000" w:themeColor="text1"/>
        </w:rPr>
        <w:t xml:space="preserve">dirigidas a todos los actores involucrados en los procesos de selección. Podrás conocer la programación y realizar tu inscripción a estas capacitaciones a través del siguiente enlace: </w:t>
      </w:r>
      <w:hyperlink r:id="rId15" w:history="1">
        <w:r w:rsidRPr="00113921">
          <w:rPr>
            <w:rStyle w:val="Hipervnculo"/>
            <w:rFonts w:ascii="Verdana" w:eastAsia="Calibri" w:hAnsi="Verdana" w:cs="Arial"/>
          </w:rPr>
          <w:t>Calendario | Colombia Compra Eficiente | Agencia Nacional de Contratación Pública</w:t>
        </w:r>
      </w:hyperlink>
    </w:p>
    <w:p w14:paraId="72C85823" w14:textId="77777777" w:rsidR="000B7A87" w:rsidRPr="00113921" w:rsidRDefault="000B7A87" w:rsidP="0099607E">
      <w:pPr>
        <w:spacing w:after="0" w:line="276" w:lineRule="auto"/>
        <w:jc w:val="both"/>
        <w:rPr>
          <w:rFonts w:ascii="Verdana" w:eastAsia="Calibri" w:hAnsi="Verdana" w:cs="Arial"/>
          <w:color w:val="000000" w:themeColor="text1"/>
        </w:rPr>
      </w:pPr>
    </w:p>
    <w:p w14:paraId="3D3C321A" w14:textId="77777777" w:rsidR="00113921" w:rsidRPr="00113921" w:rsidRDefault="00113921" w:rsidP="0099607E">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lastRenderedPageBreak/>
        <w:t xml:space="preserve">También, te contamos que ya publicamos </w:t>
      </w:r>
      <w:r w:rsidRPr="00113921">
        <w:rPr>
          <w:rFonts w:ascii="Verdana" w:eastAsia="Calibri" w:hAnsi="Verdana" w:cs="Arial"/>
          <w:b/>
          <w:bCs/>
          <w:color w:val="000000" w:themeColor="text1"/>
        </w:rPr>
        <w:t>la nueva Guía de Contratación Pública Sostenible y Socialmente Responsable</w:t>
      </w:r>
      <w:r w:rsidRPr="00113921">
        <w:rPr>
          <w:rFonts w:ascii="Verdana" w:eastAsia="Calibri" w:hAnsi="Verdana" w:cs="Arial"/>
          <w:color w:val="000000" w:themeColor="text1"/>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history="1">
        <w:r w:rsidRPr="00113921">
          <w:rPr>
            <w:rStyle w:val="Hipervnculo"/>
            <w:rFonts w:ascii="Verdana" w:eastAsia="Calibri" w:hAnsi="Verdana" w:cs="Arial"/>
          </w:rPr>
          <w:t>Guía de Contratación Pública Sostenible y Socialmente Responsable | Colombia Compra Eficiente | Agencia Nacional de Contratación Pública</w:t>
        </w:r>
      </w:hyperlink>
    </w:p>
    <w:p w14:paraId="675DAD7F" w14:textId="77777777" w:rsidR="001B4C44" w:rsidRPr="00113921" w:rsidRDefault="001B4C44" w:rsidP="00113921">
      <w:pPr>
        <w:widowControl w:val="0"/>
        <w:autoSpaceDE w:val="0"/>
        <w:autoSpaceDN w:val="0"/>
        <w:spacing w:after="0" w:line="276" w:lineRule="auto"/>
        <w:jc w:val="both"/>
        <w:rPr>
          <w:rFonts w:ascii="Verdana" w:eastAsia="Calibri" w:hAnsi="Verdana" w:cs="Arial"/>
          <w:color w:val="000000" w:themeColor="text1"/>
          <w:lang w:val="es-MX"/>
        </w:rPr>
      </w:pPr>
    </w:p>
    <w:p w14:paraId="0FD5CED6" w14:textId="77777777" w:rsidR="001B4C44" w:rsidRPr="00113921" w:rsidRDefault="001B4C44" w:rsidP="00113921">
      <w:pPr>
        <w:widowControl w:val="0"/>
        <w:autoSpaceDE w:val="0"/>
        <w:autoSpaceDN w:val="0"/>
        <w:spacing w:after="0" w:line="276" w:lineRule="auto"/>
        <w:jc w:val="both"/>
        <w:rPr>
          <w:rFonts w:ascii="Verdana" w:hAnsi="Verdana" w:cs="Arial"/>
          <w:lang w:val="es-ES_tradnl"/>
        </w:rPr>
      </w:pPr>
      <w:r w:rsidRPr="00113921">
        <w:rPr>
          <w:rFonts w:ascii="Verdana" w:hAnsi="Verdana" w:cs="Arial"/>
        </w:rPr>
        <w:t xml:space="preserve">Este concepto tiene el alcance previsto en el artículo 28 del Código de Procedimiento Administrativo y de lo Contencioso Administrativo </w:t>
      </w:r>
      <w:r w:rsidRPr="00113921">
        <w:rPr>
          <w:rFonts w:ascii="Verdana" w:hAnsi="Verdana" w:cs="Arial"/>
          <w:lang w:val="es-ES_tradnl"/>
        </w:rPr>
        <w:t>y las expresiones aquí utilizadas con mayúscula inicial deben ser entendidas con el significado que les otorga el artículo 2.2.1.1.1.3.1. del Decreto 1082 de 2015.</w:t>
      </w:r>
    </w:p>
    <w:p w14:paraId="186C9839" w14:textId="77777777" w:rsidR="001B4C44" w:rsidRPr="00113921" w:rsidRDefault="001B4C44" w:rsidP="00113921">
      <w:pPr>
        <w:widowControl w:val="0"/>
        <w:autoSpaceDE w:val="0"/>
        <w:autoSpaceDN w:val="0"/>
        <w:spacing w:after="0" w:line="276" w:lineRule="auto"/>
        <w:jc w:val="both"/>
        <w:rPr>
          <w:rFonts w:ascii="Verdana" w:hAnsi="Verdana" w:cs="Arial"/>
        </w:rPr>
      </w:pPr>
    </w:p>
    <w:p w14:paraId="19188A31" w14:textId="77777777" w:rsidR="001B4C44" w:rsidRPr="00113921" w:rsidRDefault="001B4C44" w:rsidP="0099607E">
      <w:pPr>
        <w:spacing w:after="0" w:line="276" w:lineRule="auto"/>
        <w:rPr>
          <w:rFonts w:ascii="Verdana" w:hAnsi="Verdana" w:cs="Arial"/>
          <w:lang w:eastAsia="es-CO"/>
        </w:rPr>
      </w:pPr>
      <w:r w:rsidRPr="00113921">
        <w:rPr>
          <w:rFonts w:ascii="Verdana" w:eastAsia="Times New Roman" w:hAnsi="Verdana" w:cs="Arial"/>
          <w:lang w:eastAsia="es-CO"/>
        </w:rPr>
        <w:t>Atentamente,</w:t>
      </w:r>
      <w:r w:rsidRPr="00113921">
        <w:rPr>
          <w:rFonts w:ascii="Verdana" w:hAnsi="Verdana" w:cs="Arial"/>
          <w:lang w:eastAsia="es-CO"/>
        </w:rPr>
        <w:t xml:space="preserve"> </w:t>
      </w:r>
    </w:p>
    <w:p w14:paraId="5D7A3837" w14:textId="79165650" w:rsidR="001B4C44" w:rsidRPr="00EB1CF7" w:rsidRDefault="00493891" w:rsidP="001B4C44">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4B2AF875" wp14:editId="4A8A6F7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B4C44" w:rsidRPr="00E4307F" w14:paraId="5565AAAF" w14:textId="77777777" w:rsidTr="005E648B">
        <w:trPr>
          <w:trHeight w:val="315"/>
        </w:trPr>
        <w:tc>
          <w:tcPr>
            <w:tcW w:w="893" w:type="dxa"/>
            <w:vAlign w:val="center"/>
            <w:hideMark/>
          </w:tcPr>
          <w:bookmarkEnd w:id="0"/>
          <w:p w14:paraId="34CB7B96" w14:textId="77777777" w:rsidR="001B4C44" w:rsidRPr="00E4307F" w:rsidRDefault="001B4C44" w:rsidP="005E648B">
            <w:pPr>
              <w:spacing w:after="255"/>
              <w:contextualSpacing/>
              <w:rPr>
                <w:rFonts w:ascii="Verdana" w:hAnsi="Verdana" w:cs="Arial"/>
                <w:sz w:val="16"/>
                <w:szCs w:val="16"/>
                <w:lang w:val="es-ES" w:eastAsia="es-ES"/>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7D50E8A7" w14:textId="77777777" w:rsidR="001B4C44" w:rsidRPr="009731F5" w:rsidRDefault="001B4C44" w:rsidP="005E648B">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23FA5398" w14:textId="77777777" w:rsidR="001B4C44" w:rsidRPr="00E4307F" w:rsidRDefault="001B4C44" w:rsidP="005E648B">
            <w:pPr>
              <w:spacing w:after="255"/>
              <w:contextualSpacing/>
              <w:rPr>
                <w:rFonts w:ascii="Verdana" w:eastAsia="Arial" w:hAnsi="Verdana" w:cs="Arial"/>
                <w:sz w:val="16"/>
                <w:szCs w:val="16"/>
              </w:rPr>
            </w:pPr>
            <w:r w:rsidRPr="009731F5">
              <w:rPr>
                <w:rFonts w:ascii="Verdana" w:hAnsi="Verdana" w:cs="Arial"/>
                <w:sz w:val="16"/>
                <w:szCs w:val="16"/>
                <w:lang w:eastAsia="es-CO"/>
              </w:rPr>
              <w:t>Contratista de la Subdirección de Gestión Contractual</w:t>
            </w:r>
          </w:p>
        </w:tc>
      </w:tr>
      <w:tr w:rsidR="001B4C44" w:rsidRPr="00E4307F" w14:paraId="1700E34D" w14:textId="77777777" w:rsidTr="005E648B">
        <w:trPr>
          <w:trHeight w:val="330"/>
        </w:trPr>
        <w:tc>
          <w:tcPr>
            <w:tcW w:w="893" w:type="dxa"/>
            <w:vAlign w:val="center"/>
            <w:hideMark/>
          </w:tcPr>
          <w:p w14:paraId="3851EBD1" w14:textId="77777777" w:rsidR="001B4C44" w:rsidRPr="00E4307F" w:rsidRDefault="001B4C44" w:rsidP="005E648B">
            <w:pPr>
              <w:spacing w:after="255"/>
              <w:contextualSpacing/>
              <w:rPr>
                <w:rFonts w:ascii="Verdana" w:hAnsi="Verdana" w:cs="Arial"/>
                <w:sz w:val="16"/>
                <w:szCs w:val="16"/>
                <w:lang w:val="es-ES" w:eastAsia="es-ES"/>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9D08E83" w14:textId="3DEA911E" w:rsidR="001B4C44" w:rsidRPr="009731F5" w:rsidRDefault="001B4C44" w:rsidP="005E648B">
            <w:pPr>
              <w:jc w:val="both"/>
              <w:rPr>
                <w:rFonts w:ascii="Verdana" w:hAnsi="Verdana" w:cs="Arial"/>
                <w:sz w:val="16"/>
                <w:szCs w:val="16"/>
              </w:rPr>
            </w:pPr>
            <w:r>
              <w:rPr>
                <w:rFonts w:ascii="Verdana" w:hAnsi="Verdana" w:cs="Arial"/>
                <w:sz w:val="16"/>
                <w:szCs w:val="16"/>
              </w:rPr>
              <w:t>Diana Lucia Saavedra</w:t>
            </w:r>
            <w:r w:rsidR="00113921">
              <w:rPr>
                <w:rFonts w:ascii="Verdana" w:hAnsi="Verdana" w:cs="Arial"/>
                <w:sz w:val="16"/>
                <w:szCs w:val="16"/>
              </w:rPr>
              <w:t xml:space="preserve"> Castañeda</w:t>
            </w:r>
          </w:p>
          <w:p w14:paraId="10F80C69" w14:textId="77777777" w:rsidR="001B4C44" w:rsidRPr="00E4307F" w:rsidRDefault="001B4C44" w:rsidP="005E648B">
            <w:pPr>
              <w:pStyle w:val="paragraph"/>
              <w:spacing w:before="0" w:beforeAutospacing="0" w:after="0" w:afterAutospacing="0"/>
              <w:contextualSpacing/>
              <w:textAlignment w:val="baseline"/>
              <w:rPr>
                <w:rFonts w:ascii="Verdana" w:hAnsi="Verdana" w:cs="Segoe UI"/>
                <w:sz w:val="16"/>
                <w:szCs w:val="16"/>
              </w:rPr>
            </w:pPr>
            <w:r>
              <w:rPr>
                <w:rFonts w:ascii="Verdana" w:hAnsi="Verdana" w:cs="Arial"/>
                <w:sz w:val="16"/>
                <w:szCs w:val="16"/>
                <w:lang w:val="es-ES" w:eastAsia="es-ES"/>
              </w:rPr>
              <w:t>Contratista</w:t>
            </w:r>
            <w:r w:rsidRPr="009731F5">
              <w:rPr>
                <w:rFonts w:ascii="Verdana" w:hAnsi="Verdana" w:cs="Arial"/>
                <w:sz w:val="16"/>
                <w:szCs w:val="16"/>
                <w:lang w:val="es-ES" w:eastAsia="es-ES"/>
              </w:rPr>
              <w:t xml:space="preserve"> de la Subdirección de Gestión Contractual</w:t>
            </w:r>
          </w:p>
        </w:tc>
      </w:tr>
      <w:tr w:rsidR="001B4C44" w:rsidRPr="00E4307F" w14:paraId="13D15D1D" w14:textId="77777777" w:rsidTr="005E648B">
        <w:trPr>
          <w:trHeight w:val="300"/>
        </w:trPr>
        <w:tc>
          <w:tcPr>
            <w:tcW w:w="893" w:type="dxa"/>
            <w:vAlign w:val="center"/>
            <w:hideMark/>
          </w:tcPr>
          <w:p w14:paraId="181CBB92" w14:textId="77777777" w:rsidR="001B4C44" w:rsidRPr="00E4307F" w:rsidRDefault="001B4C44" w:rsidP="005E648B">
            <w:pPr>
              <w:spacing w:after="255"/>
              <w:contextualSpacing/>
              <w:rPr>
                <w:rFonts w:ascii="Verdana" w:hAnsi="Verdana" w:cs="Arial"/>
                <w:sz w:val="16"/>
                <w:szCs w:val="16"/>
                <w:lang w:val="es-ES" w:eastAsia="es-ES"/>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54852A" w14:textId="77777777" w:rsidR="001B4C44" w:rsidRPr="009731F5" w:rsidRDefault="001B4C44" w:rsidP="005E648B">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42856DC8" w14:textId="77777777" w:rsidR="001B4C44" w:rsidRPr="00E4307F" w:rsidRDefault="001B4C44" w:rsidP="005E648B">
            <w:pPr>
              <w:spacing w:after="255"/>
              <w:contextualSpacing/>
              <w:rPr>
                <w:rFonts w:ascii="Verdana" w:eastAsia="Calibri" w:hAnsi="Verdana" w:cs="Arial"/>
                <w:sz w:val="16"/>
                <w:szCs w:val="16"/>
                <w:lang w:val="pt-BR" w:eastAsia="es-ES"/>
              </w:rPr>
            </w:pPr>
            <w:r w:rsidRPr="009731F5">
              <w:rPr>
                <w:rFonts w:ascii="Verdana" w:hAnsi="Verdana" w:cs="Arial"/>
                <w:sz w:val="16"/>
                <w:szCs w:val="16"/>
                <w:lang w:eastAsia="es-CO"/>
              </w:rPr>
              <w:t>Subdirectora de Gestión Contractual ANCP – CCE</w:t>
            </w:r>
          </w:p>
        </w:tc>
      </w:tr>
    </w:tbl>
    <w:p w14:paraId="61EDD1A3" w14:textId="77777777" w:rsidR="001B4C44" w:rsidRPr="00EB1CF7" w:rsidRDefault="001B4C44" w:rsidP="001B4C44">
      <w:pPr>
        <w:spacing w:after="0" w:line="240" w:lineRule="auto"/>
        <w:rPr>
          <w:rFonts w:ascii="Verdana" w:eastAsia="Times New Roman" w:hAnsi="Verdana" w:cs="Arial"/>
          <w:sz w:val="24"/>
          <w:szCs w:val="24"/>
          <w:lang w:eastAsia="es-ES"/>
        </w:rPr>
      </w:pPr>
    </w:p>
    <w:p w14:paraId="7B904B94" w14:textId="77777777" w:rsidR="003D5B0D" w:rsidRPr="00E42F2D" w:rsidRDefault="003D5B0D" w:rsidP="00E42F2D"/>
    <w:sectPr w:rsidR="003D5B0D" w:rsidRPr="00E42F2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241A2" w14:textId="77777777" w:rsidR="008528BA" w:rsidRDefault="008528BA" w:rsidP="004A1847">
      <w:pPr>
        <w:spacing w:after="0" w:line="240" w:lineRule="auto"/>
      </w:pPr>
      <w:r>
        <w:separator/>
      </w:r>
    </w:p>
  </w:endnote>
  <w:endnote w:type="continuationSeparator" w:id="0">
    <w:p w14:paraId="375E5A1F" w14:textId="77777777" w:rsidR="008528BA" w:rsidRDefault="008528BA" w:rsidP="004A1847">
      <w:pPr>
        <w:spacing w:after="0" w:line="240" w:lineRule="auto"/>
      </w:pPr>
      <w:r>
        <w:continuationSeparator/>
      </w:r>
    </w:p>
  </w:endnote>
  <w:endnote w:type="continuationNotice" w:id="1">
    <w:p w14:paraId="4CC1B2AD" w14:textId="77777777" w:rsidR="008528BA" w:rsidRDefault="008528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2FDE" w14:textId="77777777" w:rsidR="004A1847" w:rsidRDefault="004A1847">
    <w:pPr>
      <w:pStyle w:val="Piedepgina"/>
    </w:pPr>
  </w:p>
  <w:p w14:paraId="20594426"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B9819E2"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525AFCB"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1D5DD89"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8AECD" w14:textId="77777777" w:rsidR="008528BA" w:rsidRDefault="008528BA" w:rsidP="004A1847">
      <w:pPr>
        <w:spacing w:after="0" w:line="240" w:lineRule="auto"/>
      </w:pPr>
      <w:r>
        <w:separator/>
      </w:r>
    </w:p>
  </w:footnote>
  <w:footnote w:type="continuationSeparator" w:id="0">
    <w:p w14:paraId="540EA97C" w14:textId="77777777" w:rsidR="008528BA" w:rsidRDefault="008528BA" w:rsidP="004A1847">
      <w:pPr>
        <w:spacing w:after="0" w:line="240" w:lineRule="auto"/>
      </w:pPr>
      <w:r>
        <w:continuationSeparator/>
      </w:r>
    </w:p>
  </w:footnote>
  <w:footnote w:type="continuationNotice" w:id="1">
    <w:p w14:paraId="0C7437C4" w14:textId="77777777" w:rsidR="008528BA" w:rsidRDefault="008528BA">
      <w:pPr>
        <w:spacing w:after="0" w:line="240" w:lineRule="auto"/>
      </w:pPr>
    </w:p>
  </w:footnote>
  <w:footnote w:id="2">
    <w:p w14:paraId="69B06626" w14:textId="77777777" w:rsidR="001B4C44" w:rsidRPr="0099607E" w:rsidRDefault="001B4C44" w:rsidP="001B4C44">
      <w:pPr>
        <w:pStyle w:val="Textonotapie"/>
        <w:ind w:firstLine="709"/>
        <w:contextualSpacing/>
        <w:jc w:val="both"/>
        <w:rPr>
          <w:rFonts w:ascii="Verdana" w:hAnsi="Verdana" w:cs="Arial"/>
          <w:sz w:val="16"/>
          <w:szCs w:val="16"/>
        </w:rPr>
      </w:pPr>
      <w:r w:rsidRPr="0099607E">
        <w:rPr>
          <w:rStyle w:val="Refdenotaalpie"/>
          <w:rFonts w:ascii="Verdana" w:hAnsi="Verdana" w:cs="Arial"/>
          <w:sz w:val="16"/>
          <w:szCs w:val="16"/>
        </w:rPr>
        <w:footnoteRef/>
      </w:r>
      <w:r w:rsidRPr="0099607E">
        <w:rPr>
          <w:rFonts w:ascii="Verdana" w:hAnsi="Verdana" w:cs="Arial"/>
          <w:sz w:val="16"/>
          <w:szCs w:val="16"/>
        </w:rPr>
        <w:t xml:space="preserve"> Es importante mencionar que este Decreto en el artículo 2 reglamentó el procedimiento de la mínima cuantía, incluyendo disposiciones particulares que se refieren a la contratación con </w:t>
      </w:r>
      <w:proofErr w:type="spellStart"/>
      <w:r w:rsidRPr="0099607E">
        <w:rPr>
          <w:rFonts w:ascii="Verdana" w:hAnsi="Verdana" w:cs="Arial"/>
          <w:sz w:val="16"/>
          <w:szCs w:val="16"/>
        </w:rPr>
        <w:t>Mipyme</w:t>
      </w:r>
      <w:proofErr w:type="spellEnd"/>
      <w:r w:rsidRPr="0099607E">
        <w:rPr>
          <w:rFonts w:ascii="Verdana" w:hAnsi="Verdana" w:cs="Arial"/>
          <w:sz w:val="16"/>
          <w:szCs w:val="16"/>
        </w:rPr>
        <w:t xml:space="preserv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w:t>
      </w:r>
      <w:proofErr w:type="gramStart"/>
      <w:r w:rsidRPr="0099607E">
        <w:rPr>
          <w:rFonts w:ascii="Verdana" w:hAnsi="Verdana" w:cs="Arial"/>
          <w:sz w:val="16"/>
          <w:szCs w:val="16"/>
        </w:rPr>
        <w:t>link</w:t>
      </w:r>
      <w:proofErr w:type="gramEnd"/>
      <w:r w:rsidRPr="0099607E">
        <w:rPr>
          <w:rFonts w:ascii="Verdana" w:hAnsi="Verdana" w:cs="Arial"/>
          <w:sz w:val="16"/>
          <w:szCs w:val="16"/>
        </w:rPr>
        <w:t xml:space="preserve"> puede verificar la mencionada resolución: </w:t>
      </w:r>
      <w:hyperlink r:id="rId1" w:history="1">
        <w:r w:rsidRPr="0099607E">
          <w:rPr>
            <w:rFonts w:ascii="Verdana" w:hAnsi="Verdana" w:cs="Arial"/>
            <w:sz w:val="16"/>
            <w:szCs w:val="16"/>
          </w:rPr>
          <w:t>https://www.colombiacompra.gov.co/content/08-modificacion-los-documentos-tipo-para-los-procesos-de-obra-publica-de-infraestructura-de</w:t>
        </w:r>
      </w:hyperlink>
      <w:r w:rsidRPr="0099607E">
        <w:rPr>
          <w:rFonts w:ascii="Verdana" w:hAnsi="Verdana" w:cs="Arial"/>
          <w:sz w:val="16"/>
          <w:szCs w:val="16"/>
        </w:rPr>
        <w:t xml:space="preserve"> </w:t>
      </w:r>
    </w:p>
    <w:p w14:paraId="2F4BA389" w14:textId="77777777" w:rsidR="001B4C44" w:rsidRPr="0099607E" w:rsidRDefault="001B4C44" w:rsidP="001B4C44">
      <w:pPr>
        <w:pStyle w:val="Textonotapie"/>
        <w:ind w:firstLine="709"/>
        <w:contextualSpacing/>
        <w:jc w:val="both"/>
        <w:rPr>
          <w:rFonts w:ascii="Verdana" w:hAnsi="Verdana" w:cs="Arial"/>
          <w:sz w:val="16"/>
          <w:szCs w:val="16"/>
        </w:rPr>
      </w:pPr>
    </w:p>
  </w:footnote>
  <w:footnote w:id="3">
    <w:p w14:paraId="03CD8F8C"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Style w:val="Refdenotaalpie"/>
          <w:rFonts w:ascii="Verdana" w:hAnsi="Verdana" w:cs="Arial"/>
          <w:sz w:val="16"/>
          <w:szCs w:val="16"/>
        </w:rPr>
        <w:footnoteRef/>
      </w:r>
      <w:r w:rsidRPr="0099607E">
        <w:rPr>
          <w:rFonts w:ascii="Verdana" w:hAnsi="Verdana" w:cs="Arial"/>
          <w:sz w:val="16"/>
          <w:szCs w:val="16"/>
        </w:rPr>
        <w:t xml:space="preserve"> Ley 1450 de 2011. “Artículo 43. Definiciones de tamaño empresarial. El artículo 2° de la Ley 590 de 2000, quedará así: </w:t>
      </w:r>
    </w:p>
    <w:p w14:paraId="000899FF"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65087E96"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 xml:space="preserve">1. Número de trabajadores totales. </w:t>
      </w:r>
    </w:p>
    <w:p w14:paraId="11ED2E1E" w14:textId="77777777" w:rsidR="001B4C44" w:rsidRPr="0099607E" w:rsidRDefault="001B4C44" w:rsidP="001B4C44">
      <w:pPr>
        <w:pStyle w:val="Textonotapie"/>
        <w:contextualSpacing/>
        <w:jc w:val="both"/>
        <w:rPr>
          <w:rFonts w:ascii="Verdana" w:hAnsi="Verdana" w:cs="Arial"/>
          <w:sz w:val="16"/>
          <w:szCs w:val="16"/>
        </w:rPr>
      </w:pPr>
      <w:r w:rsidRPr="0099607E">
        <w:rPr>
          <w:rFonts w:ascii="Verdana" w:hAnsi="Verdana" w:cs="Arial"/>
          <w:sz w:val="16"/>
          <w:szCs w:val="16"/>
        </w:rPr>
        <w:t xml:space="preserve"> </w:t>
      </w:r>
      <w:r w:rsidRPr="0099607E">
        <w:rPr>
          <w:rFonts w:ascii="Verdana" w:hAnsi="Verdana" w:cs="Arial"/>
          <w:sz w:val="16"/>
          <w:szCs w:val="16"/>
        </w:rPr>
        <w:tab/>
        <w:t xml:space="preserve">2. Valor de ventas brutas anuales. </w:t>
      </w:r>
    </w:p>
    <w:p w14:paraId="530EEC0B"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 xml:space="preserve">3. Valor activos totales. </w:t>
      </w:r>
    </w:p>
    <w:p w14:paraId="7E825635"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693224E4"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43BE1F90"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6FCD9DE4" w14:textId="77777777" w:rsidR="001B4C44" w:rsidRPr="0099607E" w:rsidRDefault="001B4C44" w:rsidP="001B4C44">
      <w:pPr>
        <w:pStyle w:val="Textonotapie"/>
        <w:ind w:firstLine="708"/>
        <w:contextualSpacing/>
        <w:jc w:val="both"/>
        <w:rPr>
          <w:rFonts w:ascii="Verdana" w:hAnsi="Verdana" w:cs="Arial"/>
          <w:sz w:val="16"/>
          <w:szCs w:val="16"/>
          <w:lang w:val="es-CO"/>
        </w:rPr>
      </w:pPr>
    </w:p>
  </w:footnote>
  <w:footnote w:id="4">
    <w:p w14:paraId="3E2F3814" w14:textId="77777777" w:rsidR="001B4C44" w:rsidRPr="00950A78" w:rsidRDefault="001B4C44" w:rsidP="001B4C44">
      <w:pPr>
        <w:spacing w:after="0" w:line="240" w:lineRule="auto"/>
        <w:ind w:firstLine="708"/>
        <w:contextualSpacing/>
        <w:jc w:val="both"/>
        <w:rPr>
          <w:rFonts w:ascii="Verdana" w:eastAsia="Arial" w:hAnsi="Verdana" w:cs="Arial"/>
          <w:color w:val="000000"/>
          <w:sz w:val="16"/>
          <w:szCs w:val="16"/>
        </w:rPr>
      </w:pPr>
      <w:r w:rsidRPr="00950A78">
        <w:rPr>
          <w:rStyle w:val="Refdenotaalpie"/>
          <w:rFonts w:ascii="Verdana" w:hAnsi="Verdana" w:cs="Arial"/>
          <w:sz w:val="16"/>
          <w:szCs w:val="16"/>
        </w:rPr>
        <w:footnoteRef/>
      </w:r>
      <w:r w:rsidRPr="00950A78">
        <w:rPr>
          <w:rFonts w:ascii="Verdana" w:eastAsia="Arial" w:hAnsi="Verdana" w:cs="Arial"/>
          <w:color w:val="000000"/>
          <w:sz w:val="16"/>
          <w:szCs w:val="16"/>
        </w:rPr>
        <w:t xml:space="preserve"> Artículo 2.2.1.13.2.2. del Decreto 1074 de 2015, adicionado por el Decreto 957 de 2019.</w:t>
      </w:r>
    </w:p>
    <w:p w14:paraId="348721AC" w14:textId="77777777" w:rsidR="001B4C44" w:rsidRPr="00950A78" w:rsidRDefault="001B4C44" w:rsidP="001B4C44">
      <w:pPr>
        <w:spacing w:after="0" w:line="240" w:lineRule="auto"/>
        <w:ind w:firstLine="708"/>
        <w:contextualSpacing/>
        <w:jc w:val="both"/>
        <w:rPr>
          <w:rFonts w:ascii="Verdana" w:eastAsia="Arial" w:hAnsi="Verdana" w:cs="Arial"/>
          <w:color w:val="000000"/>
          <w:sz w:val="16"/>
          <w:szCs w:val="16"/>
        </w:rPr>
      </w:pPr>
    </w:p>
  </w:footnote>
  <w:footnote w:id="5">
    <w:p w14:paraId="3F23851F" w14:textId="77777777" w:rsidR="001B4C44" w:rsidRPr="00950A78" w:rsidRDefault="001B4C44" w:rsidP="001B4C44">
      <w:pPr>
        <w:pStyle w:val="Textonotapie"/>
        <w:ind w:firstLine="707"/>
        <w:jc w:val="both"/>
        <w:rPr>
          <w:rFonts w:ascii="Verdana" w:hAnsi="Verdana" w:cs="Arial"/>
          <w:sz w:val="16"/>
          <w:szCs w:val="16"/>
        </w:rPr>
      </w:pPr>
      <w:r w:rsidRPr="00950A78">
        <w:rPr>
          <w:rStyle w:val="Refdenotaalpie"/>
          <w:rFonts w:ascii="Verdana" w:hAnsi="Verdana" w:cs="Arial"/>
          <w:sz w:val="16"/>
          <w:szCs w:val="16"/>
        </w:rPr>
        <w:footnoteRef/>
      </w:r>
      <w:r w:rsidRPr="00950A78">
        <w:rPr>
          <w:rFonts w:ascii="Verdana" w:hAnsi="Verdana" w:cs="Arial"/>
          <w:sz w:val="16"/>
          <w:szCs w:val="16"/>
        </w:rPr>
        <w:t xml:space="preserve"> CORTE CONSTITUCIONAL, Sentencia C-287 del 18 de abril de 2012. Magistrada Ponente: María Victoria Calle Correa.</w:t>
      </w:r>
    </w:p>
    <w:p w14:paraId="50B6D499" w14:textId="77777777" w:rsidR="001B4C44" w:rsidRPr="0099607E" w:rsidRDefault="001B4C44" w:rsidP="001B4C44">
      <w:pPr>
        <w:pStyle w:val="Textonotapie"/>
        <w:ind w:firstLine="707"/>
        <w:jc w:val="both"/>
        <w:rPr>
          <w:rFonts w:ascii="Verdana" w:hAnsi="Verdana" w:cs="Arial"/>
          <w:sz w:val="16"/>
          <w:szCs w:val="16"/>
        </w:rPr>
      </w:pPr>
    </w:p>
  </w:footnote>
  <w:footnote w:id="6">
    <w:p w14:paraId="1106BF5C" w14:textId="77777777" w:rsidR="001B4C44" w:rsidRPr="0099607E" w:rsidRDefault="001B4C44" w:rsidP="001B4C44">
      <w:pPr>
        <w:pStyle w:val="Textonotapie"/>
        <w:ind w:firstLine="708"/>
        <w:contextualSpacing/>
        <w:jc w:val="both"/>
        <w:rPr>
          <w:rFonts w:ascii="Verdana" w:hAnsi="Verdana" w:cs="Arial"/>
          <w:sz w:val="16"/>
          <w:szCs w:val="16"/>
        </w:rPr>
      </w:pPr>
      <w:r w:rsidRPr="0099607E">
        <w:rPr>
          <w:rStyle w:val="Refdenotaalpie"/>
          <w:rFonts w:ascii="Verdana" w:hAnsi="Verdana" w:cs="Arial"/>
          <w:sz w:val="16"/>
          <w:szCs w:val="16"/>
        </w:rPr>
        <w:footnoteRef/>
      </w:r>
      <w:r w:rsidRPr="0099607E">
        <w:rPr>
          <w:rFonts w:ascii="Verdana" w:hAnsi="Verdana" w:cs="Arial"/>
          <w:sz w:val="16"/>
          <w:szCs w:val="16"/>
        </w:rPr>
        <w:t xml:space="preserve"> Cfr. Concepto </w:t>
      </w:r>
    </w:p>
    <w:p w14:paraId="4AE7F4BA" w14:textId="77777777" w:rsidR="001B4C44" w:rsidRPr="0099607E" w:rsidRDefault="001B4C44" w:rsidP="001B4C44">
      <w:pPr>
        <w:pStyle w:val="Textonotapie"/>
        <w:ind w:firstLine="708"/>
        <w:contextualSpacing/>
        <w:jc w:val="both"/>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6846"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412411" w14:textId="77777777" w:rsidR="00756841" w:rsidRDefault="00756841">
    <w:pPr>
      <w:pStyle w:val="Encabezado"/>
    </w:pPr>
  </w:p>
  <w:p w14:paraId="5B116376" w14:textId="77777777" w:rsidR="00DC39FC" w:rsidRDefault="00DC39FC" w:rsidP="004A305D">
    <w:pPr>
      <w:spacing w:after="0"/>
      <w:rPr>
        <w:rFonts w:ascii="Verdana" w:hAnsi="Verdana"/>
        <w:b/>
        <w:bCs/>
      </w:rPr>
    </w:pPr>
  </w:p>
  <w:p w14:paraId="4521840D" w14:textId="77777777" w:rsidR="004A305D" w:rsidRPr="00DC39FC" w:rsidRDefault="004A305D" w:rsidP="004A305D">
    <w:pPr>
      <w:spacing w:after="0"/>
      <w:rPr>
        <w:rFonts w:ascii="Verdana" w:hAnsi="Verdana"/>
        <w:b/>
        <w:bCs/>
      </w:rPr>
    </w:pPr>
    <w:r w:rsidRPr="00DC39FC">
      <w:rPr>
        <w:rFonts w:ascii="Verdana" w:hAnsi="Verdana"/>
        <w:b/>
        <w:bCs/>
      </w:rPr>
      <w:t>FORMATO PQRSD</w:t>
    </w:r>
  </w:p>
  <w:p w14:paraId="31D3CCED" w14:textId="77777777" w:rsidR="004A305D" w:rsidRPr="004A305D" w:rsidRDefault="004A305D" w:rsidP="00B01B1A">
    <w:pPr>
      <w:spacing w:after="0" w:line="120" w:lineRule="auto"/>
      <w:rPr>
        <w:rFonts w:ascii="Century Gothic" w:eastAsia="Geo" w:hAnsi="Century Gothic" w:cs="Geo"/>
        <w:sz w:val="16"/>
        <w:szCs w:val="16"/>
        <w:lang w:eastAsia="es-CO"/>
      </w:rPr>
    </w:pPr>
  </w:p>
  <w:p w14:paraId="256970A6"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E134B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17554990" o:spid="_x0000_i1025" type="#_x0000_t75" style="width:11.25pt;height:11.25pt;visibility:visible;mso-wrap-style:square">
            <v:imagedata r:id="rId1" o:title=""/>
          </v:shape>
        </w:pict>
      </mc:Choice>
      <mc:Fallback>
        <w:drawing>
          <wp:inline distT="0" distB="0" distL="0" distR="0" wp14:anchorId="20F7993A" wp14:editId="55BE1485">
            <wp:extent cx="142875" cy="142875"/>
            <wp:effectExtent l="0" t="0" r="0" b="0"/>
            <wp:docPr id="817554990" name="Imagen 81755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7A87"/>
    <w:rsid w:val="000D0334"/>
    <w:rsid w:val="000E010A"/>
    <w:rsid w:val="000F6486"/>
    <w:rsid w:val="00113921"/>
    <w:rsid w:val="00125105"/>
    <w:rsid w:val="00127233"/>
    <w:rsid w:val="001511A0"/>
    <w:rsid w:val="0019408A"/>
    <w:rsid w:val="001B4C44"/>
    <w:rsid w:val="001E4177"/>
    <w:rsid w:val="001F75E3"/>
    <w:rsid w:val="001F7DC6"/>
    <w:rsid w:val="00222DAB"/>
    <w:rsid w:val="002421BB"/>
    <w:rsid w:val="0025166E"/>
    <w:rsid w:val="0025796E"/>
    <w:rsid w:val="00263498"/>
    <w:rsid w:val="002707A2"/>
    <w:rsid w:val="002951A0"/>
    <w:rsid w:val="002962BC"/>
    <w:rsid w:val="002A093D"/>
    <w:rsid w:val="002A0DD0"/>
    <w:rsid w:val="002A49AC"/>
    <w:rsid w:val="002A64FD"/>
    <w:rsid w:val="002C7A84"/>
    <w:rsid w:val="002E4FD9"/>
    <w:rsid w:val="00322A85"/>
    <w:rsid w:val="00324168"/>
    <w:rsid w:val="003448F4"/>
    <w:rsid w:val="00363A6E"/>
    <w:rsid w:val="00374F5E"/>
    <w:rsid w:val="00377E3E"/>
    <w:rsid w:val="003A779E"/>
    <w:rsid w:val="003D0F4D"/>
    <w:rsid w:val="003D3048"/>
    <w:rsid w:val="003D5B0D"/>
    <w:rsid w:val="003E0499"/>
    <w:rsid w:val="003F3941"/>
    <w:rsid w:val="00406575"/>
    <w:rsid w:val="00414C74"/>
    <w:rsid w:val="0042722E"/>
    <w:rsid w:val="0044528D"/>
    <w:rsid w:val="0047501C"/>
    <w:rsid w:val="00493891"/>
    <w:rsid w:val="004A1847"/>
    <w:rsid w:val="004A305D"/>
    <w:rsid w:val="004A66CA"/>
    <w:rsid w:val="004F21C4"/>
    <w:rsid w:val="004F685F"/>
    <w:rsid w:val="00506C44"/>
    <w:rsid w:val="00507019"/>
    <w:rsid w:val="00546243"/>
    <w:rsid w:val="005566E8"/>
    <w:rsid w:val="00574693"/>
    <w:rsid w:val="00574867"/>
    <w:rsid w:val="00587949"/>
    <w:rsid w:val="00591460"/>
    <w:rsid w:val="005B3816"/>
    <w:rsid w:val="005C3777"/>
    <w:rsid w:val="005C5CDC"/>
    <w:rsid w:val="005D1C60"/>
    <w:rsid w:val="005D476C"/>
    <w:rsid w:val="006219F8"/>
    <w:rsid w:val="00665D70"/>
    <w:rsid w:val="006734DC"/>
    <w:rsid w:val="00687C45"/>
    <w:rsid w:val="006900D9"/>
    <w:rsid w:val="00706C16"/>
    <w:rsid w:val="00740583"/>
    <w:rsid w:val="00756841"/>
    <w:rsid w:val="007649AB"/>
    <w:rsid w:val="00771D0C"/>
    <w:rsid w:val="00774406"/>
    <w:rsid w:val="007833AC"/>
    <w:rsid w:val="007B268C"/>
    <w:rsid w:val="007B7171"/>
    <w:rsid w:val="007C0C0F"/>
    <w:rsid w:val="007C3DC2"/>
    <w:rsid w:val="007D5403"/>
    <w:rsid w:val="007E5497"/>
    <w:rsid w:val="00806F5F"/>
    <w:rsid w:val="00820278"/>
    <w:rsid w:val="008528BA"/>
    <w:rsid w:val="0085736E"/>
    <w:rsid w:val="00864549"/>
    <w:rsid w:val="00867F95"/>
    <w:rsid w:val="008843B6"/>
    <w:rsid w:val="00891928"/>
    <w:rsid w:val="008A446D"/>
    <w:rsid w:val="008D180B"/>
    <w:rsid w:val="008D1C68"/>
    <w:rsid w:val="008F0EA7"/>
    <w:rsid w:val="009154E1"/>
    <w:rsid w:val="00923EEF"/>
    <w:rsid w:val="009419F9"/>
    <w:rsid w:val="00950A78"/>
    <w:rsid w:val="0095685E"/>
    <w:rsid w:val="00961B09"/>
    <w:rsid w:val="00965334"/>
    <w:rsid w:val="00965861"/>
    <w:rsid w:val="0097093E"/>
    <w:rsid w:val="00986AC5"/>
    <w:rsid w:val="0099607E"/>
    <w:rsid w:val="009A0DFA"/>
    <w:rsid w:val="009B2D26"/>
    <w:rsid w:val="009B3253"/>
    <w:rsid w:val="009C71FA"/>
    <w:rsid w:val="009C72E7"/>
    <w:rsid w:val="009C7EA9"/>
    <w:rsid w:val="009D3058"/>
    <w:rsid w:val="009D563A"/>
    <w:rsid w:val="009E3268"/>
    <w:rsid w:val="009F3A13"/>
    <w:rsid w:val="00A122D3"/>
    <w:rsid w:val="00A17F13"/>
    <w:rsid w:val="00A20739"/>
    <w:rsid w:val="00A32F17"/>
    <w:rsid w:val="00A33C78"/>
    <w:rsid w:val="00A808B8"/>
    <w:rsid w:val="00A8753C"/>
    <w:rsid w:val="00AB0ADB"/>
    <w:rsid w:val="00AF41FB"/>
    <w:rsid w:val="00B01B1A"/>
    <w:rsid w:val="00B410E4"/>
    <w:rsid w:val="00B50D0F"/>
    <w:rsid w:val="00B66319"/>
    <w:rsid w:val="00B7161E"/>
    <w:rsid w:val="00B72CD3"/>
    <w:rsid w:val="00B72FFF"/>
    <w:rsid w:val="00B855F7"/>
    <w:rsid w:val="00B96CE0"/>
    <w:rsid w:val="00BC3D36"/>
    <w:rsid w:val="00BD7F72"/>
    <w:rsid w:val="00BF0138"/>
    <w:rsid w:val="00C04FB3"/>
    <w:rsid w:val="00C17398"/>
    <w:rsid w:val="00C330EB"/>
    <w:rsid w:val="00C41061"/>
    <w:rsid w:val="00C54C7B"/>
    <w:rsid w:val="00C754BE"/>
    <w:rsid w:val="00C76B1C"/>
    <w:rsid w:val="00CA4016"/>
    <w:rsid w:val="00CB6357"/>
    <w:rsid w:val="00CC1B26"/>
    <w:rsid w:val="00D14725"/>
    <w:rsid w:val="00D159D0"/>
    <w:rsid w:val="00D423A2"/>
    <w:rsid w:val="00D51AC8"/>
    <w:rsid w:val="00D520D8"/>
    <w:rsid w:val="00D63AC2"/>
    <w:rsid w:val="00D7383B"/>
    <w:rsid w:val="00D73B3E"/>
    <w:rsid w:val="00D77E62"/>
    <w:rsid w:val="00DA231B"/>
    <w:rsid w:val="00DC39FC"/>
    <w:rsid w:val="00DF5254"/>
    <w:rsid w:val="00E05B8B"/>
    <w:rsid w:val="00E1021D"/>
    <w:rsid w:val="00E16408"/>
    <w:rsid w:val="00E20894"/>
    <w:rsid w:val="00E245AB"/>
    <w:rsid w:val="00E2764C"/>
    <w:rsid w:val="00E27F2E"/>
    <w:rsid w:val="00E42F2D"/>
    <w:rsid w:val="00E50AFE"/>
    <w:rsid w:val="00E61B0D"/>
    <w:rsid w:val="00E75C92"/>
    <w:rsid w:val="00E771DC"/>
    <w:rsid w:val="00E8772A"/>
    <w:rsid w:val="00E90F6B"/>
    <w:rsid w:val="00E92C27"/>
    <w:rsid w:val="00EA0E3D"/>
    <w:rsid w:val="00EC38A7"/>
    <w:rsid w:val="00ED7384"/>
    <w:rsid w:val="00EE1AA8"/>
    <w:rsid w:val="00F156F8"/>
    <w:rsid w:val="00F22068"/>
    <w:rsid w:val="00F31EDC"/>
    <w:rsid w:val="00F462B3"/>
    <w:rsid w:val="00F5664F"/>
    <w:rsid w:val="00F666C4"/>
    <w:rsid w:val="00F7001B"/>
    <w:rsid w:val="00F76AFC"/>
    <w:rsid w:val="00F86990"/>
    <w:rsid w:val="00FA47C0"/>
    <w:rsid w:val="00FB5DD1"/>
    <w:rsid w:val="00FC2B5D"/>
    <w:rsid w:val="00FC64A5"/>
    <w:rsid w:val="00FE1567"/>
    <w:rsid w:val="00FF1449"/>
    <w:rsid w:val="00FF3FC3"/>
    <w:rsid w:val="25C50598"/>
    <w:rsid w:val="26E79C48"/>
    <w:rsid w:val="36E3D3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B4C4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B4C4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8699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4098769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0590_2000.html"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diana.saavedra%40colombiacompra.gov.co%7Ceb0fd05604104aa4d3bc08dd4c4ad35e%7C7b09041e245149d08cb179d5e3d8c1be%7C0%7C0%7C638750606444368194%7CUnknown%7CTWFpbGZsb3d8eyJFbXB0eU1hcGkiOnRydWUsIlYiOiIwLjAuMDAwMCIsIlAiOiJXaW4zMiIsIkFOIjoiTWFpbCIsIldUIjoyfQ%3D%3D%7C0%7C%7C%7C&amp;sdata=GbA7VblRFwqpXDS9nTyu0wIXc%2Bxd%2B50Y6x1f5mEXzd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diana.saavedra%40colombiacompra.gov.co%7Ceb0fd05604104aa4d3bc08dd4c4ad35e%7C7b09041e245149d08cb179d5e3d8c1be%7C0%7C0%7C638750606444354340%7CUnknown%7CTWFpbGZsb3d8eyJFbXB0eU1hcGkiOnRydWUsIlYiOiIwLjAuMDAwMCIsIlAiOiJXaW4zMiIsIkFOIjoiTWFpbCIsIldUIjoyfQ%3D%3D%7C0%7C%7C%7C&amp;sdata=z0f8hwc7nzc3KINp7V7LkBAHNmVeaBoGD5usEXgZm18%3D&amp;reserved=0" TargetMode="External"/><Relationship Id="rId10" Type="http://schemas.openxmlformats.org/officeDocument/2006/relationships/hyperlink" Target="mailto:cotaiza3006@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diana.saavedra%40colombiacompra.gov.co%7Ceb0fd05604104aa4d3bc08dd4c4ad35e%7C7b09041e245149d08cb179d5e3d8c1be%7C0%7C0%7C638750606444332598%7CUnknown%7CTWFpbGZsb3d8eyJFbXB0eU1hcGkiOnRydWUsIlYiOiIwLjAuMDAwMCIsIlAiOiJXaW4zMiIsIkFOIjoiTWFpbCIsIldUIjoyfQ%3D%3D%7C0%7C%7C%7C&amp;sdata=Hr%2BGHKt53PCyvi%2FpJvqUxcxt8ZOgcTVWGeF3uoCGta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8-modificacion-los-documentos-tipo-para-los-procesos-de-obra-publica-de-infraestructur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2A4D3B6-E9C2-4A25-9090-E18AD65477A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4168</Words>
  <Characters>22928</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27042</CharactersWithSpaces>
  <SharedDoc>false</SharedDoc>
  <HLinks>
    <vt:vector size="42" baseType="variant">
      <vt:variant>
        <vt:i4>2621545</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diana.saavedra%40colombiacompra.gov.co%7Ceb0fd05604104aa4d3bc08dd4c4ad35e%7C7b09041e245149d08cb179d5e3d8c1be%7C0%7C0%7C638750606444368194%7CUnknown%7CTWFpbGZsb3d8eyJFbXB0eU1hcGkiOnRydWUsIlYiOiIwLjAuMDAwMCIsIlAiOiJXaW4zMiIsIkFOIjoiTWFpbCIsIldUIjoyfQ%3D%3D%7C0%7C%7C%7C&amp;sdata=GbA7VblRFwqpXDS9nTyu0wIXc%2Bxd%2B50Y6x1f5mEXzdc%3D&amp;reserved=0</vt:lpwstr>
      </vt:variant>
      <vt:variant>
        <vt:lpwstr/>
      </vt:variant>
      <vt:variant>
        <vt:i4>3604593</vt:i4>
      </vt:variant>
      <vt:variant>
        <vt:i4>12</vt:i4>
      </vt:variant>
      <vt:variant>
        <vt:i4>0</vt:i4>
      </vt:variant>
      <vt:variant>
        <vt:i4>5</vt:i4>
      </vt:variant>
      <vt:variant>
        <vt:lpwstr>https://nam02.safelinks.protection.outlook.com/?url=https%3A%2F%2Fwww.colombiacompra.gov.co%2Fciudadanos%2Fcalendario&amp;data=05%7C02%7Cdiana.saavedra%40colombiacompra.gov.co%7Ceb0fd05604104aa4d3bc08dd4c4ad35e%7C7b09041e245149d08cb179d5e3d8c1be%7C0%7C0%7C638750606444354340%7CUnknown%7CTWFpbGZsb3d8eyJFbXB0eU1hcGkiOnRydWUsIlYiOiIwLjAuMDAwMCIsIlAiOiJXaW4zMiIsIkFOIjoiTWFpbCIsIldUIjoyfQ%3D%3D%7C0%7C%7C%7C&amp;sdata=z0f8hwc7nzc3KINp7V7LkBAHNmVeaBoGD5usEXgZm18%3D&amp;reserved=0</vt:lpwstr>
      </vt:variant>
      <vt:variant>
        <vt:lpwstr/>
      </vt:variant>
      <vt:variant>
        <vt:i4>6750326</vt:i4>
      </vt:variant>
      <vt:variant>
        <vt:i4>9</vt:i4>
      </vt:variant>
      <vt:variant>
        <vt:i4>0</vt:i4>
      </vt:variant>
      <vt:variant>
        <vt:i4>5</vt:i4>
      </vt:variant>
      <vt:variant>
        <vt:lpwstr>https://nam02.safelinks.protection.outlook.com/?url=https%3A%2F%2Fwww.colombiacompra.gov.co%2Fmanuales-guias-y-pliegos-tipo%2Fmanuales-y-guias%2Fcartilla-para-incentivar-y-fortalecer-el-acceso-las&amp;data=05%7C02%7Cdiana.saavedra%40colombiacompra.gov.co%7Ceb0fd05604104aa4d3bc08dd4c4ad35e%7C7b09041e245149d08cb179d5e3d8c1be%7C0%7C0%7C638750606444332598%7CUnknown%7CTWFpbGZsb3d8eyJFbXB0eU1hcGkiOnRydWUsIlYiOiIwLjAuMDAwMCIsIlAiOiJXaW4zMiIsIkFOIjoiTWFpbCIsIldUIjoyfQ%3D%3D%7C0%7C%7C%7C&amp;sdata=Hr%2BGHKt53PCyvi%2FpJvqUxcxt8ZOgcTVWGeF3uoCGtaI%3D&amp;reserved=0</vt:lpwstr>
      </vt:variant>
      <vt:variant>
        <vt:lpwstr/>
      </vt:variant>
      <vt:variant>
        <vt:i4>3866680</vt:i4>
      </vt:variant>
      <vt:variant>
        <vt:i4>6</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3538975</vt:i4>
      </vt:variant>
      <vt:variant>
        <vt:i4>3</vt:i4>
      </vt:variant>
      <vt:variant>
        <vt:i4>0</vt:i4>
      </vt:variant>
      <vt:variant>
        <vt:i4>5</vt:i4>
      </vt:variant>
      <vt:variant>
        <vt:lpwstr>http://www.secretariasenado.gov.co/senado/basedoc/ley_0590_2000.html</vt:lpwstr>
      </vt:variant>
      <vt:variant>
        <vt:lpwstr>2</vt:lpwstr>
      </vt:variant>
      <vt:variant>
        <vt:i4>2031672</vt:i4>
      </vt:variant>
      <vt:variant>
        <vt:i4>0</vt:i4>
      </vt:variant>
      <vt:variant>
        <vt:i4>0</vt:i4>
      </vt:variant>
      <vt:variant>
        <vt:i4>5</vt:i4>
      </vt:variant>
      <vt:variant>
        <vt:lpwstr>mailto:cotaiza3006@gmail.com</vt:lpwstr>
      </vt:variant>
      <vt:variant>
        <vt:lpwstr/>
      </vt:variant>
      <vt:variant>
        <vt:i4>524374</vt:i4>
      </vt:variant>
      <vt:variant>
        <vt:i4>0</vt:i4>
      </vt:variant>
      <vt:variant>
        <vt:i4>0</vt:i4>
      </vt:variant>
      <vt:variant>
        <vt:i4>5</vt:i4>
      </vt:variant>
      <vt:variant>
        <vt:lpwstr>https://www.colombiacompra.gov.co/content/08-modificacion-los-documentos-tipo-para-los-procesos-de-obra-publica-de-infraestructura-de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2025-03-26T21:02:00Z</dcterms:created>
  <dcterms:modified xsi:type="dcterms:W3CDTF">2025-03-26T21:02:00Z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