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529CC" w14:textId="77777777" w:rsidR="0074244D" w:rsidRPr="00682C93" w:rsidRDefault="0074244D" w:rsidP="0074244D">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771137EB" w14:textId="77777777" w:rsidR="0074244D" w:rsidRDefault="0074244D" w:rsidP="0074244D">
      <w:pPr>
        <w:spacing w:after="0" w:line="240" w:lineRule="auto"/>
        <w:jc w:val="both"/>
        <w:rPr>
          <w:rFonts w:ascii="Verdana" w:hAnsi="Verdana" w:cs="Arial"/>
          <w:b/>
          <w:lang w:val="es-MX" w:eastAsia="es-ES_tradnl"/>
        </w:rPr>
      </w:pPr>
    </w:p>
    <w:p w14:paraId="6A9B3724" w14:textId="77777777" w:rsidR="0074244D" w:rsidRDefault="0074244D" w:rsidP="0074244D">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5F9F5B2F" w14:textId="77777777" w:rsidR="0074244D" w:rsidRPr="00682C93" w:rsidRDefault="0074244D" w:rsidP="0074244D">
      <w:pPr>
        <w:spacing w:after="0" w:line="240" w:lineRule="auto"/>
        <w:jc w:val="both"/>
        <w:rPr>
          <w:rFonts w:ascii="Verdana" w:hAnsi="Verdana" w:cs="Arial"/>
          <w:b/>
          <w:sz w:val="20"/>
          <w:lang w:val="es-MX" w:eastAsia="es-ES_tradnl"/>
        </w:rPr>
      </w:pPr>
    </w:p>
    <w:p w14:paraId="7F7A049E" w14:textId="77777777" w:rsidR="0074244D" w:rsidRPr="00682C93" w:rsidRDefault="0074244D" w:rsidP="0074244D">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07102CD8" w14:textId="77777777" w:rsidR="0074244D" w:rsidRDefault="0074244D" w:rsidP="0074244D">
      <w:pPr>
        <w:spacing w:after="0" w:line="240" w:lineRule="auto"/>
        <w:jc w:val="both"/>
        <w:rPr>
          <w:rFonts w:ascii="Verdana" w:hAnsi="Verdana" w:cs="Arial"/>
          <w:b/>
          <w:lang w:val="es-MX" w:eastAsia="es-ES_tradnl"/>
        </w:rPr>
      </w:pPr>
    </w:p>
    <w:p w14:paraId="12950F4C" w14:textId="77777777" w:rsidR="0074244D" w:rsidRPr="00E41F23" w:rsidRDefault="0074244D" w:rsidP="0074244D">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B788C41" w14:textId="77777777" w:rsidR="0074244D" w:rsidRPr="00E41F23" w:rsidRDefault="0074244D" w:rsidP="0074244D">
      <w:pPr>
        <w:spacing w:after="0" w:line="240" w:lineRule="auto"/>
        <w:jc w:val="both"/>
        <w:rPr>
          <w:rFonts w:ascii="Verdana" w:eastAsia="Calibri" w:hAnsi="Verdana" w:cs="Arial"/>
          <w:sz w:val="20"/>
        </w:rPr>
      </w:pPr>
    </w:p>
    <w:p w14:paraId="5AA99BEA" w14:textId="77777777" w:rsidR="0074244D" w:rsidRDefault="0074244D" w:rsidP="0074244D">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37CF350D" w14:textId="77777777" w:rsidR="0074244D" w:rsidRPr="00E41F23" w:rsidRDefault="0074244D" w:rsidP="0074244D">
      <w:pPr>
        <w:widowControl w:val="0"/>
        <w:autoSpaceDE w:val="0"/>
        <w:autoSpaceDN w:val="0"/>
        <w:spacing w:after="0" w:line="240" w:lineRule="auto"/>
        <w:ind w:right="113"/>
        <w:jc w:val="both"/>
        <w:rPr>
          <w:rFonts w:ascii="Verdana" w:eastAsia="Arial" w:hAnsi="Verdana" w:cs="Arial"/>
          <w:sz w:val="20"/>
          <w:lang w:val="es-ES" w:eastAsia="es-ES" w:bidi="es-ES"/>
        </w:rPr>
      </w:pPr>
    </w:p>
    <w:p w14:paraId="233313C8" w14:textId="77777777" w:rsidR="0074244D" w:rsidRPr="00E41F23" w:rsidRDefault="0074244D" w:rsidP="0074244D">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r w:rsidRPr="00E41F23">
        <w:rPr>
          <w:rFonts w:ascii="Verdana" w:eastAsia="Times New Roman" w:hAnsi="Verdana" w:cs="Arial"/>
          <w:bCs/>
          <w:i/>
          <w:sz w:val="20"/>
          <w:lang w:val="es-ES" w:eastAsia="es-CO"/>
        </w:rPr>
        <w:t>ibídem</w:t>
      </w:r>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798AB43F" w14:textId="77777777" w:rsidR="0074244D" w:rsidRPr="003F2A9C" w:rsidRDefault="0074244D" w:rsidP="0074244D">
      <w:pPr>
        <w:spacing w:after="0" w:line="240" w:lineRule="auto"/>
        <w:jc w:val="both"/>
        <w:rPr>
          <w:rFonts w:ascii="Verdana" w:hAnsi="Verdana" w:cs="Arial"/>
          <w:b/>
          <w:sz w:val="20"/>
          <w:lang w:val="es-MX" w:eastAsia="es-ES_tradnl"/>
        </w:rPr>
      </w:pPr>
    </w:p>
    <w:p w14:paraId="5931D7DC" w14:textId="77777777" w:rsidR="0074244D" w:rsidRPr="00682C93" w:rsidRDefault="0074244D" w:rsidP="0074244D">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6833003D" w14:textId="77777777" w:rsidR="0074244D" w:rsidRDefault="0074244D" w:rsidP="0074244D">
      <w:pPr>
        <w:spacing w:after="0" w:line="240" w:lineRule="auto"/>
        <w:jc w:val="both"/>
        <w:rPr>
          <w:rFonts w:ascii="Verdana" w:hAnsi="Verdana" w:cs="Arial"/>
          <w:b/>
          <w:lang w:val="es-MX" w:eastAsia="es-ES_tradnl"/>
        </w:rPr>
      </w:pPr>
    </w:p>
    <w:p w14:paraId="079D24E4" w14:textId="77777777" w:rsidR="0074244D" w:rsidRPr="00E41F23" w:rsidRDefault="0074244D" w:rsidP="0074244D">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329CF48E" w14:textId="77777777" w:rsidR="0074244D" w:rsidRPr="00E41F23" w:rsidRDefault="0074244D" w:rsidP="0074244D">
      <w:pPr>
        <w:spacing w:after="0" w:line="240" w:lineRule="auto"/>
        <w:jc w:val="both"/>
        <w:rPr>
          <w:rFonts w:ascii="Verdana" w:hAnsi="Verdana" w:cs="Arial"/>
          <w:b/>
          <w:lang w:eastAsia="es-ES_tradnl"/>
        </w:rPr>
      </w:pPr>
    </w:p>
    <w:p w14:paraId="4A5EA821" w14:textId="77777777" w:rsidR="0074244D" w:rsidRPr="00682C93" w:rsidRDefault="0074244D" w:rsidP="0074244D">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2C64CAD6" w14:textId="77777777" w:rsidR="0074244D" w:rsidRPr="00E41F23" w:rsidRDefault="0074244D" w:rsidP="0074244D">
      <w:pPr>
        <w:spacing w:after="0" w:line="240" w:lineRule="auto"/>
        <w:jc w:val="both"/>
        <w:rPr>
          <w:rFonts w:ascii="Verdana" w:hAnsi="Verdana" w:cs="Arial"/>
          <w:b/>
          <w:sz w:val="20"/>
          <w:lang w:val="es-MX" w:eastAsia="es-ES_tradnl"/>
        </w:rPr>
      </w:pPr>
    </w:p>
    <w:p w14:paraId="31C64D35" w14:textId="77777777" w:rsidR="0074244D" w:rsidRPr="00E41F23" w:rsidRDefault="0074244D" w:rsidP="0074244D">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F8CBF73" w14:textId="77777777" w:rsidR="0074244D" w:rsidRPr="00682C93" w:rsidRDefault="0074244D" w:rsidP="0074244D">
      <w:pPr>
        <w:spacing w:after="0" w:line="240" w:lineRule="auto"/>
        <w:jc w:val="both"/>
        <w:rPr>
          <w:rFonts w:ascii="Verdana" w:hAnsi="Verdana" w:cs="Arial"/>
          <w:b/>
          <w:lang w:val="es-MX" w:eastAsia="es-ES_tradnl"/>
        </w:rPr>
      </w:pPr>
    </w:p>
    <w:p w14:paraId="75996668" w14:textId="77777777" w:rsidR="0074244D" w:rsidRPr="00682C93" w:rsidRDefault="0074244D" w:rsidP="0074244D">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18FA9680" w14:textId="77777777" w:rsidR="0074244D" w:rsidRDefault="0074244D" w:rsidP="0074244D">
      <w:pPr>
        <w:spacing w:after="0" w:line="240" w:lineRule="auto"/>
        <w:rPr>
          <w:rFonts w:ascii="Verdana" w:hAnsi="Verdana" w:cs="Arial"/>
          <w:lang w:val="es-MX" w:eastAsia="es-ES_tradnl"/>
        </w:rPr>
      </w:pPr>
    </w:p>
    <w:p w14:paraId="606C6392" w14:textId="77777777" w:rsidR="0074244D" w:rsidRDefault="0074244D" w:rsidP="0074244D">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3934C549" w14:textId="77777777" w:rsidR="0074244D" w:rsidRPr="008835B4" w:rsidRDefault="0074244D" w:rsidP="0074244D">
      <w:pPr>
        <w:spacing w:after="0" w:line="240" w:lineRule="auto"/>
        <w:jc w:val="both"/>
        <w:rPr>
          <w:rFonts w:ascii="Verdana" w:hAnsi="Verdana" w:cs="Arial"/>
          <w:sz w:val="20"/>
          <w:lang w:val="es-MX" w:eastAsia="es-ES_tradnl"/>
        </w:rPr>
      </w:pPr>
    </w:p>
    <w:p w14:paraId="388154EA" w14:textId="77777777" w:rsidR="0074244D" w:rsidRPr="008835B4" w:rsidRDefault="0074244D" w:rsidP="0074244D">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 xml:space="preserve">LEY DE GARANTÍAS ELECTORALES – Contratos y convenios interadministrativos – Criterio orgánico </w:t>
      </w:r>
    </w:p>
    <w:p w14:paraId="54A37537" w14:textId="77777777" w:rsidR="0074244D" w:rsidRDefault="0074244D" w:rsidP="0074244D">
      <w:pPr>
        <w:spacing w:after="0" w:line="240" w:lineRule="auto"/>
        <w:jc w:val="both"/>
        <w:rPr>
          <w:rFonts w:ascii="Verdana" w:eastAsia="Calibri" w:hAnsi="Verdana" w:cs="Arial"/>
          <w:color w:val="000000"/>
          <w:lang w:val="es-MX"/>
        </w:rPr>
      </w:pPr>
    </w:p>
    <w:p w14:paraId="1DD4A183" w14:textId="77777777" w:rsidR="0074244D" w:rsidRDefault="0074244D" w:rsidP="0074244D">
      <w:pPr>
        <w:spacing w:after="0" w:line="240" w:lineRule="auto"/>
        <w:jc w:val="both"/>
        <w:rPr>
          <w:rFonts w:ascii="Verdana" w:eastAsia="Calibri" w:hAnsi="Verdana" w:cs="Arial"/>
          <w:color w:val="000000"/>
          <w:sz w:val="20"/>
        </w:rPr>
      </w:pPr>
      <w:r w:rsidRPr="008835B4">
        <w:rPr>
          <w:rFonts w:ascii="Verdana" w:eastAsia="Calibri" w:hAnsi="Verdana" w:cs="Arial"/>
          <w:color w:val="000000"/>
          <w:sz w:val="20"/>
          <w:lang w:val="es-ES"/>
        </w:rPr>
        <w:t xml:space="preserve">Para tales efectos, debe precisarse que los contratos o convenios interadministrativos están determinados por un criterio orgánico, pues es necesario que los extremos de la relación contractual sean entidades públicas, </w:t>
      </w:r>
      <w:r w:rsidRPr="008835B4">
        <w:rPr>
          <w:rFonts w:ascii="Verdana" w:eastAsia="Calibri" w:hAnsi="Verdana" w:cs="Arial"/>
          <w:color w:val="000000"/>
          <w:sz w:val="20"/>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0144F2F7" w14:textId="77777777" w:rsidR="0074244D" w:rsidRPr="008835B4" w:rsidRDefault="0074244D" w:rsidP="0074244D">
      <w:pPr>
        <w:spacing w:after="0" w:line="240" w:lineRule="auto"/>
        <w:jc w:val="both"/>
        <w:rPr>
          <w:rFonts w:ascii="Verdana" w:eastAsia="Calibri" w:hAnsi="Verdana" w:cs="Arial"/>
          <w:color w:val="000000"/>
          <w:sz w:val="20"/>
        </w:rPr>
      </w:pPr>
    </w:p>
    <w:p w14:paraId="4D298F13" w14:textId="77777777" w:rsidR="0074244D" w:rsidRDefault="0074244D" w:rsidP="0074244D">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E629F39" w14:textId="77777777" w:rsidR="0074244D" w:rsidRPr="008835B4" w:rsidRDefault="0074244D" w:rsidP="0074244D">
      <w:pPr>
        <w:spacing w:after="0" w:line="240" w:lineRule="auto"/>
        <w:jc w:val="both"/>
        <w:rPr>
          <w:rFonts w:ascii="Verdana" w:eastAsia="Calibri" w:hAnsi="Verdana" w:cs="Arial"/>
          <w:color w:val="000000"/>
          <w:sz w:val="20"/>
          <w:lang w:val="es-ES_tradnl"/>
        </w:rPr>
      </w:pPr>
    </w:p>
    <w:p w14:paraId="38833269" w14:textId="77777777" w:rsidR="0074244D" w:rsidRPr="008835B4" w:rsidRDefault="0074244D" w:rsidP="0074244D">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1C31C4C8" w14:textId="77777777" w:rsidR="0074244D" w:rsidRPr="008835B4" w:rsidRDefault="0074244D" w:rsidP="0074244D">
      <w:pPr>
        <w:spacing w:after="0" w:line="240" w:lineRule="auto"/>
        <w:jc w:val="both"/>
        <w:rPr>
          <w:rFonts w:ascii="Verdana" w:eastAsia="Calibri" w:hAnsi="Verdana" w:cs="Arial"/>
          <w:color w:val="000000"/>
          <w:lang w:val="es-ES_tradnl"/>
        </w:rPr>
      </w:pPr>
    </w:p>
    <w:p w14:paraId="3C56EFF1" w14:textId="77777777" w:rsidR="0074244D" w:rsidRPr="008835B4" w:rsidRDefault="0074244D" w:rsidP="0074244D">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LEY DE GARANTÍAS ELECTORALES –Restricción- Convenios interadministrativos – Postura del Consejo de Estado.</w:t>
      </w:r>
    </w:p>
    <w:p w14:paraId="6E3FCEBC" w14:textId="77777777" w:rsidR="0074244D" w:rsidRDefault="0074244D" w:rsidP="0074244D">
      <w:pPr>
        <w:spacing w:after="0" w:line="240" w:lineRule="auto"/>
        <w:jc w:val="both"/>
        <w:rPr>
          <w:rFonts w:ascii="Verdana" w:eastAsia="Calibri" w:hAnsi="Verdana" w:cs="Arial"/>
          <w:color w:val="000000"/>
        </w:rPr>
      </w:pPr>
    </w:p>
    <w:p w14:paraId="20EAE880" w14:textId="77777777" w:rsidR="0074244D" w:rsidRPr="00A07EBF" w:rsidRDefault="0074244D" w:rsidP="0074244D">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6EE6470C" w14:textId="77777777" w:rsidR="0074244D" w:rsidRPr="00A07EBF" w:rsidRDefault="0074244D" w:rsidP="0074244D">
      <w:pPr>
        <w:spacing w:after="0" w:line="240" w:lineRule="auto"/>
        <w:jc w:val="both"/>
        <w:rPr>
          <w:rFonts w:ascii="Verdana" w:eastAsia="Calibri" w:hAnsi="Verdana" w:cs="Arial"/>
          <w:color w:val="000000"/>
          <w:sz w:val="20"/>
        </w:rPr>
      </w:pPr>
    </w:p>
    <w:p w14:paraId="13407B51" w14:textId="77777777" w:rsidR="0074244D" w:rsidRPr="00A07EBF" w:rsidRDefault="0074244D" w:rsidP="0074244D">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w:t>
      </w:r>
      <w:r w:rsidRPr="00A07EBF">
        <w:rPr>
          <w:rFonts w:ascii="Verdana" w:eastAsia="Calibri" w:hAnsi="Verdana" w:cs="Arial"/>
          <w:color w:val="000000"/>
          <w:sz w:val="20"/>
        </w:rPr>
        <w:lastRenderedPageBreak/>
        <w:t xml:space="preserve">convenios se basan en cooperación sin ánimo económico. Por ello, la restricción legal no podía aplicarse extensivamente a los contratos. </w:t>
      </w:r>
    </w:p>
    <w:p w14:paraId="2BC791E4" w14:textId="77777777" w:rsidR="0074244D" w:rsidRPr="00A07EBF" w:rsidRDefault="0074244D" w:rsidP="0074244D">
      <w:pPr>
        <w:spacing w:after="0" w:line="240" w:lineRule="auto"/>
        <w:jc w:val="both"/>
        <w:rPr>
          <w:rFonts w:ascii="Verdana" w:eastAsia="Calibri" w:hAnsi="Verdana" w:cs="Arial"/>
          <w:color w:val="000000"/>
          <w:sz w:val="20"/>
        </w:rPr>
      </w:pPr>
    </w:p>
    <w:p w14:paraId="2234ABE6" w14:textId="77777777" w:rsidR="0074244D" w:rsidRPr="00A07EBF" w:rsidRDefault="0074244D" w:rsidP="0074244D">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A07EBF">
        <w:rPr>
          <w:rFonts w:ascii="Verdana" w:eastAsia="Calibri" w:hAnsi="Verdana" w:cs="Arial"/>
          <w:i/>
          <w:iCs/>
          <w:color w:val="000000"/>
          <w:sz w:val="20"/>
        </w:rPr>
        <w:t>contratos interadministrativos</w:t>
      </w:r>
      <w:r w:rsidRPr="00A07EBF">
        <w:rPr>
          <w:rFonts w:ascii="Verdana" w:eastAsia="Calibri" w:hAnsi="Verdana" w:cs="Arial"/>
          <w:color w:val="000000"/>
          <w:sz w:val="20"/>
        </w:rPr>
        <w:t xml:space="preserve">, esta prohibición solo aplicaría a los convenios interadministrativos que impliquen la ejecución de recursos públicos. Conforme a lo señalado por el Consejo de Estado, cuando dos entidades públicas celebren un </w:t>
      </w:r>
      <w:r w:rsidRPr="00A07EBF">
        <w:rPr>
          <w:rFonts w:ascii="Verdana" w:eastAsia="Calibri" w:hAnsi="Verdana" w:cs="Arial"/>
          <w:i/>
          <w:iCs/>
          <w:color w:val="000000"/>
          <w:sz w:val="20"/>
        </w:rPr>
        <w:t>contrato interadministrativo,</w:t>
      </w:r>
      <w:r w:rsidRPr="00A07EBF">
        <w:rPr>
          <w:rFonts w:ascii="Verdana" w:eastAsia="Calibri" w:hAnsi="Verdana" w:cs="Arial"/>
          <w:color w:val="000000"/>
          <w:sz w:val="20"/>
        </w:rPr>
        <w:t xml:space="preserve"> independientemente del objeto, dicho contrato puede suscribirse durante el periodo preelectoral.</w:t>
      </w:r>
    </w:p>
    <w:p w14:paraId="7F1F90D4" w14:textId="171E8144" w:rsidR="0074244D" w:rsidRDefault="0074244D" w:rsidP="00385A72">
      <w:pPr>
        <w:spacing w:after="0"/>
        <w:rPr>
          <w:rFonts w:ascii="Verdana" w:hAnsi="Verdana"/>
        </w:rPr>
      </w:pPr>
    </w:p>
    <w:p w14:paraId="0851D8C9" w14:textId="1C60AF2A" w:rsidR="0074244D" w:rsidRPr="0074244D" w:rsidRDefault="0074244D" w:rsidP="0074244D">
      <w:pPr>
        <w:spacing w:after="0"/>
        <w:jc w:val="both"/>
        <w:rPr>
          <w:rFonts w:ascii="Verdana" w:hAnsi="Verdana"/>
          <w:b/>
        </w:rPr>
      </w:pPr>
      <w:r w:rsidRPr="0074244D">
        <w:rPr>
          <w:rFonts w:ascii="Verdana" w:hAnsi="Verdana" w:cs="Arial"/>
          <w:b/>
          <w:lang w:val="es-MX" w:eastAsia="es-ES_tradnl"/>
        </w:rPr>
        <w:t>CONTRATACIÓN DIRECTA – Causal – Adquisición de bienes inmuebles – Restricción – Ley de Garantías Electorales.</w:t>
      </w:r>
    </w:p>
    <w:p w14:paraId="39F13FD3" w14:textId="77777777" w:rsidR="0074244D" w:rsidRPr="0074244D" w:rsidRDefault="0074244D" w:rsidP="0074244D">
      <w:pPr>
        <w:spacing w:after="0" w:line="240" w:lineRule="auto"/>
        <w:jc w:val="both"/>
        <w:rPr>
          <w:rFonts w:ascii="Verdana" w:hAnsi="Verdana"/>
          <w:sz w:val="20"/>
        </w:rPr>
      </w:pPr>
    </w:p>
    <w:p w14:paraId="3B16AC84" w14:textId="77777777" w:rsidR="0074244D" w:rsidRPr="0074244D" w:rsidRDefault="0074244D" w:rsidP="0074244D">
      <w:pPr>
        <w:spacing w:after="0" w:line="240" w:lineRule="auto"/>
        <w:jc w:val="both"/>
        <w:rPr>
          <w:rFonts w:ascii="Verdana" w:hAnsi="Verdana"/>
          <w:sz w:val="20"/>
          <w:szCs w:val="20"/>
          <w:lang w:val="es-MX"/>
        </w:rPr>
      </w:pPr>
      <w:r w:rsidRPr="0074244D">
        <w:rPr>
          <w:rFonts w:ascii="Verdana" w:hAnsi="Verdana"/>
          <w:sz w:val="20"/>
          <w:szCs w:val="20"/>
          <w:lang w:val="es-ES"/>
        </w:rPr>
        <w:t xml:space="preserve">En virtud de lo expuesto, la adquisición de bienes inmuebles –predios- trata de un causal de la contratación directa regulada en </w:t>
      </w:r>
      <w:r w:rsidRPr="0074244D">
        <w:rPr>
          <w:rFonts w:ascii="Verdana" w:hAnsi="Verdana"/>
          <w:sz w:val="20"/>
          <w:szCs w:val="20"/>
          <w:lang w:val="es-ES_tradnl"/>
        </w:rPr>
        <w:t>el literal i) del numeral 4 del artículo 2º de la Ley 1150 de 2007</w:t>
      </w:r>
      <w:r w:rsidRPr="0074244D">
        <w:rPr>
          <w:rFonts w:ascii="Verdana" w:hAnsi="Verdana"/>
          <w:sz w:val="20"/>
          <w:szCs w:val="20"/>
          <w:lang w:val="es-ES"/>
        </w:rPr>
        <w:t>, esto es, un procedimiento de contratación estatal no competitivo que está restringido por la prohibición establecida en el artículo 33 de la Ley 996 de 2005 que aplica a todas las entidades del Estado</w:t>
      </w:r>
      <w:r w:rsidRPr="0074244D">
        <w:rPr>
          <w:rFonts w:ascii="Verdana" w:hAnsi="Verdana"/>
          <w:bCs/>
          <w:sz w:val="20"/>
          <w:szCs w:val="20"/>
          <w:lang w:val="es-MX"/>
        </w:rPr>
        <w:t xml:space="preserve"> dentro de los cuatro (4) meses anteriores a la celebración de los comicios presidenciales</w:t>
      </w:r>
      <w:r w:rsidRPr="0074244D">
        <w:rPr>
          <w:rFonts w:ascii="Verdana" w:hAnsi="Verdana"/>
          <w:sz w:val="20"/>
          <w:szCs w:val="20"/>
          <w:lang w:val="es-ES"/>
        </w:rPr>
        <w:t xml:space="preserve">. </w:t>
      </w:r>
      <w:r w:rsidRPr="0074244D">
        <w:rPr>
          <w:rFonts w:ascii="Verdana" w:hAnsi="Verdana"/>
          <w:bCs/>
          <w:sz w:val="20"/>
          <w:szCs w:val="20"/>
          <w:lang w:val="es-MX"/>
        </w:rPr>
        <w:t>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w:t>
      </w:r>
    </w:p>
    <w:p w14:paraId="19D4D563" w14:textId="326246AC" w:rsidR="0074244D" w:rsidRPr="0074244D" w:rsidRDefault="0074244D" w:rsidP="0074244D">
      <w:pPr>
        <w:spacing w:after="0" w:line="240" w:lineRule="auto"/>
        <w:jc w:val="both"/>
        <w:rPr>
          <w:rFonts w:ascii="Verdana" w:hAnsi="Verdana"/>
          <w:bCs/>
          <w:sz w:val="20"/>
          <w:szCs w:val="20"/>
          <w:lang w:val="es-MX"/>
        </w:rPr>
      </w:pPr>
      <w:r w:rsidRPr="0074244D">
        <w:rPr>
          <w:rFonts w:ascii="Verdana" w:hAnsi="Verdana"/>
          <w:bCs/>
          <w:sz w:val="20"/>
          <w:szCs w:val="20"/>
          <w:lang w:val="es-MX"/>
        </w:rPr>
        <w:t>[…]</w:t>
      </w:r>
    </w:p>
    <w:p w14:paraId="4CA07B53" w14:textId="77777777" w:rsidR="0074244D" w:rsidRPr="0074244D" w:rsidRDefault="0074244D" w:rsidP="0074244D">
      <w:pPr>
        <w:spacing w:after="0" w:line="240" w:lineRule="auto"/>
        <w:jc w:val="both"/>
        <w:rPr>
          <w:rFonts w:ascii="Verdana" w:hAnsi="Verdana"/>
          <w:bCs/>
          <w:sz w:val="20"/>
          <w:szCs w:val="20"/>
          <w:lang w:val="es-ES_tradnl"/>
        </w:rPr>
      </w:pPr>
      <w:r w:rsidRPr="0074244D">
        <w:rPr>
          <w:rFonts w:ascii="Verdana" w:hAnsi="Verdana"/>
          <w:sz w:val="20"/>
          <w:szCs w:val="20"/>
          <w:lang w:val="es-ES_tradnl"/>
        </w:rPr>
        <w:t xml:space="preserve">Es dable concluir que, la adquisición de bienes inmuebles, </w:t>
      </w:r>
      <w:r w:rsidRPr="0074244D">
        <w:rPr>
          <w:rFonts w:ascii="Verdana" w:hAnsi="Verdana"/>
          <w:i/>
          <w:iCs/>
          <w:sz w:val="20"/>
          <w:szCs w:val="20"/>
          <w:lang w:val="es-ES_tradnl"/>
        </w:rPr>
        <w:t>per se,</w:t>
      </w:r>
      <w:r w:rsidRPr="0074244D">
        <w:rPr>
          <w:rFonts w:ascii="Verdana" w:hAnsi="Verdana"/>
          <w:sz w:val="20"/>
          <w:szCs w:val="20"/>
          <w:lang w:val="es-ES_tradnl"/>
        </w:rPr>
        <w:t xml:space="preserve"> no está prohibida por la restricción del parágrafo del artículo 38 de la Ley 996 de 2005, la cual solo es aplicable a convenios interadministrativos.</w:t>
      </w:r>
      <w:r w:rsidRPr="0074244D">
        <w:rPr>
          <w:rFonts w:ascii="Verdana" w:hAnsi="Verdana"/>
          <w:bCs/>
          <w:sz w:val="20"/>
          <w:szCs w:val="20"/>
          <w:lang w:val="es-ES_tradnl"/>
        </w:rPr>
        <w:t xml:space="preserve"> No obstante, respecto de contratos interadministrativos que se celebran de forma directa en el artículo 2, numeral 4, literal c de la Ley 1150 de 2007 estaría sujeta a la restricción del artículo 33 que aplica a toda entidad y a todo procedimiento que no tenga un carácter competitivo. </w:t>
      </w:r>
    </w:p>
    <w:p w14:paraId="780F3E71" w14:textId="77777777" w:rsidR="0074244D" w:rsidRPr="0074244D" w:rsidRDefault="0074244D" w:rsidP="00385A72">
      <w:pPr>
        <w:spacing w:after="0"/>
        <w:rPr>
          <w:rFonts w:ascii="Verdana" w:hAnsi="Verdana"/>
          <w:lang w:val="es-ES_tradnl"/>
        </w:rPr>
      </w:pPr>
    </w:p>
    <w:p w14:paraId="44D39256" w14:textId="5EEB55C0" w:rsidR="0074244D" w:rsidRDefault="0074244D" w:rsidP="00385A72">
      <w:pPr>
        <w:spacing w:after="0"/>
        <w:rPr>
          <w:rFonts w:ascii="Verdana" w:hAnsi="Verdana"/>
        </w:rPr>
      </w:pPr>
    </w:p>
    <w:p w14:paraId="0545A036" w14:textId="50AAB8FC" w:rsidR="0074244D" w:rsidRDefault="0074244D" w:rsidP="00385A72">
      <w:pPr>
        <w:spacing w:after="0"/>
        <w:rPr>
          <w:rFonts w:ascii="Verdana" w:hAnsi="Verdana"/>
        </w:rPr>
      </w:pPr>
    </w:p>
    <w:p w14:paraId="408788B8" w14:textId="19AC81E3" w:rsidR="0074244D" w:rsidRDefault="0074244D" w:rsidP="00385A72">
      <w:pPr>
        <w:spacing w:after="0"/>
        <w:rPr>
          <w:rFonts w:ascii="Verdana" w:hAnsi="Verdana"/>
        </w:rPr>
      </w:pPr>
    </w:p>
    <w:p w14:paraId="09FFAE45" w14:textId="7C63B128" w:rsidR="0074244D" w:rsidRDefault="0074244D" w:rsidP="00385A72">
      <w:pPr>
        <w:spacing w:after="0"/>
        <w:rPr>
          <w:rFonts w:ascii="Verdana" w:hAnsi="Verdana"/>
        </w:rPr>
      </w:pPr>
    </w:p>
    <w:p w14:paraId="179035B5" w14:textId="77777777" w:rsidR="0074244D" w:rsidRDefault="0074244D" w:rsidP="00385A72">
      <w:pPr>
        <w:spacing w:after="0"/>
        <w:rPr>
          <w:rFonts w:ascii="Verdana" w:hAnsi="Verdana"/>
        </w:rPr>
      </w:pPr>
    </w:p>
    <w:p w14:paraId="683F2969" w14:textId="3BB283D0" w:rsidR="00385A72" w:rsidRPr="00385A72" w:rsidRDefault="0074244D" w:rsidP="00385A72">
      <w:pPr>
        <w:spacing w:after="0"/>
        <w:rPr>
          <w:rFonts w:ascii="Verdana" w:hAnsi="Verdana"/>
        </w:rPr>
      </w:pPr>
      <w:r>
        <w:rPr>
          <w:rFonts w:ascii="Verdana" w:hAnsi="Verdana"/>
        </w:rPr>
        <w:lastRenderedPageBreak/>
        <w:t>Bogotá D.C., 24 de diciembre de 2025</w:t>
      </w:r>
      <w:r w:rsidR="00385A72" w:rsidRPr="00385A72">
        <w:rPr>
          <w:rFonts w:ascii="Verdana" w:hAnsi="Verdana"/>
        </w:rPr>
        <w:tab/>
      </w:r>
    </w:p>
    <w:p w14:paraId="5A249A87" w14:textId="4A779522" w:rsidR="00385A72" w:rsidRPr="00385A72" w:rsidRDefault="0074244D" w:rsidP="00385A72">
      <w:pPr>
        <w:spacing w:after="0" w:line="240" w:lineRule="auto"/>
        <w:rPr>
          <w:rFonts w:ascii="Verdana" w:hAnsi="Verdana"/>
        </w:rPr>
      </w:pPr>
      <w:r w:rsidRPr="0074244D">
        <w:rPr>
          <w:rFonts w:ascii="Verdana" w:hAnsi="Verdana"/>
          <w:noProof/>
          <w:lang w:val="en-US"/>
        </w:rPr>
        <w:drawing>
          <wp:anchor distT="0" distB="0" distL="114300" distR="114300" simplePos="0" relativeHeight="251658240" behindDoc="0" locked="0" layoutInCell="1" allowOverlap="1" wp14:anchorId="479EACE5" wp14:editId="099714F4">
            <wp:simplePos x="0" y="0"/>
            <wp:positionH relativeFrom="margin">
              <wp:align>right</wp:align>
            </wp:positionH>
            <wp:positionV relativeFrom="paragraph">
              <wp:posOffset>16164</wp:posOffset>
            </wp:positionV>
            <wp:extent cx="2597150" cy="716915"/>
            <wp:effectExtent l="0" t="0" r="0" b="698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7150" cy="716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910C6" w14:textId="0B7F7CD6" w:rsidR="00385A72" w:rsidRDefault="00385A72" w:rsidP="00385A72">
      <w:pPr>
        <w:spacing w:after="0" w:line="240" w:lineRule="auto"/>
        <w:rPr>
          <w:rFonts w:ascii="Verdana" w:hAnsi="Verdana"/>
        </w:rPr>
      </w:pPr>
    </w:p>
    <w:p w14:paraId="61239320" w14:textId="40432485" w:rsidR="00B35F67" w:rsidRPr="00385A72" w:rsidRDefault="00B35F67" w:rsidP="00385A72">
      <w:pPr>
        <w:spacing w:after="0" w:line="240" w:lineRule="auto"/>
        <w:rPr>
          <w:rFonts w:ascii="Verdana" w:hAnsi="Verdana"/>
        </w:rPr>
      </w:pPr>
    </w:p>
    <w:p w14:paraId="13154CB5" w14:textId="0230CC82" w:rsidR="00385A72" w:rsidRPr="00385A72" w:rsidRDefault="00385A72" w:rsidP="00385A72">
      <w:pPr>
        <w:spacing w:after="0" w:line="240" w:lineRule="auto"/>
        <w:rPr>
          <w:rFonts w:ascii="Verdana" w:eastAsia="Calibri" w:hAnsi="Verdana" w:cs="Times New Roman"/>
          <w:lang w:val="es-MX"/>
        </w:rPr>
      </w:pPr>
      <w:r w:rsidRPr="00385A72">
        <w:rPr>
          <w:rFonts w:ascii="Verdana" w:eastAsia="Calibri" w:hAnsi="Verdana" w:cs="Times New Roman"/>
          <w:lang w:val="es-MX"/>
        </w:rPr>
        <w:t>Señor</w:t>
      </w:r>
    </w:p>
    <w:p w14:paraId="332C67E3" w14:textId="6ADCDCC1" w:rsidR="00385A72" w:rsidRPr="00385A72" w:rsidRDefault="00B35F67" w:rsidP="00385A72">
      <w:pPr>
        <w:spacing w:after="0" w:line="240" w:lineRule="auto"/>
        <w:rPr>
          <w:rFonts w:ascii="Verdana" w:eastAsia="Calibri" w:hAnsi="Verdana" w:cs="Times New Roman"/>
          <w:b/>
        </w:rPr>
      </w:pPr>
      <w:r w:rsidRPr="00B35F67">
        <w:rPr>
          <w:rFonts w:ascii="Verdana" w:hAnsi="Verdana"/>
          <w:noProof/>
          <w:lang w:val="en-US"/>
        </w:rPr>
        <w:drawing>
          <wp:anchor distT="0" distB="0" distL="114300" distR="114300" simplePos="0" relativeHeight="251659264" behindDoc="0" locked="0" layoutInCell="1" allowOverlap="1" wp14:anchorId="1F1BCE85" wp14:editId="52C61C7B">
            <wp:simplePos x="0" y="0"/>
            <wp:positionH relativeFrom="margin">
              <wp:align>right</wp:align>
            </wp:positionH>
            <wp:positionV relativeFrom="paragraph">
              <wp:posOffset>82608</wp:posOffset>
            </wp:positionV>
            <wp:extent cx="2597150" cy="73215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7150" cy="732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5A72" w:rsidRPr="00385A72">
        <w:rPr>
          <w:rFonts w:ascii="Verdana" w:eastAsia="Calibri" w:hAnsi="Verdana" w:cs="Times New Roman"/>
          <w:b/>
        </w:rPr>
        <w:t>Alfonso López Sánchez</w:t>
      </w:r>
    </w:p>
    <w:p w14:paraId="499A48C7" w14:textId="77777777" w:rsidR="00385A72" w:rsidRPr="00385A72" w:rsidRDefault="00803926" w:rsidP="00385A72">
      <w:pPr>
        <w:spacing w:after="0" w:line="240" w:lineRule="auto"/>
        <w:rPr>
          <w:rFonts w:ascii="Verdana" w:hAnsi="Verdana"/>
        </w:rPr>
      </w:pPr>
      <w:hyperlink r:id="rId12" w:history="1">
        <w:r w:rsidR="00385A72" w:rsidRPr="00385A72">
          <w:rPr>
            <w:rFonts w:ascii="Verdana" w:hAnsi="Verdana"/>
            <w:color w:val="0000FF"/>
            <w:u w:val="single"/>
          </w:rPr>
          <w:t>contactenos@gachancipa-cundinamarca.gov.co</w:t>
        </w:r>
      </w:hyperlink>
      <w:r w:rsidR="00385A72" w:rsidRPr="00385A72">
        <w:rPr>
          <w:rFonts w:ascii="Verdana" w:hAnsi="Verdana"/>
        </w:rPr>
        <w:t xml:space="preserve">  </w:t>
      </w:r>
    </w:p>
    <w:p w14:paraId="3EE6E7EA" w14:textId="77777777" w:rsidR="00385A72" w:rsidRPr="00385A72" w:rsidRDefault="00385A72" w:rsidP="00385A72">
      <w:pPr>
        <w:spacing w:after="0" w:line="240" w:lineRule="auto"/>
        <w:rPr>
          <w:rFonts w:ascii="Verdana" w:eastAsia="Calibri" w:hAnsi="Verdana" w:cs="Times New Roman"/>
        </w:rPr>
      </w:pPr>
      <w:r w:rsidRPr="00385A72">
        <w:rPr>
          <w:rFonts w:ascii="Verdana" w:eastAsia="Calibri" w:hAnsi="Verdana" w:cs="Times New Roman"/>
        </w:rPr>
        <w:t>Ganchanchipá, Cundinamarca</w:t>
      </w:r>
    </w:p>
    <w:p w14:paraId="3B5BCBE2" w14:textId="77777777" w:rsidR="00385A72" w:rsidRPr="00385A72" w:rsidRDefault="00385A72" w:rsidP="00385A72">
      <w:pPr>
        <w:spacing w:after="0" w:line="240" w:lineRule="auto"/>
        <w:rPr>
          <w:rFonts w:ascii="Verdana" w:eastAsia="Calibri" w:hAnsi="Verdana" w:cs="Times New Roman"/>
        </w:rPr>
      </w:pPr>
    </w:p>
    <w:p w14:paraId="4BA968B4" w14:textId="77777777" w:rsidR="00385A72" w:rsidRPr="00385A72" w:rsidRDefault="00385A72" w:rsidP="00385A72">
      <w:pPr>
        <w:spacing w:after="0" w:line="256" w:lineRule="auto"/>
        <w:rPr>
          <w:rFonts w:ascii="Verdana" w:eastAsia="Calibri" w:hAnsi="Verdana" w:cs="Times New Roman"/>
        </w:rPr>
      </w:pPr>
    </w:p>
    <w:p w14:paraId="3D22A5CC" w14:textId="77777777" w:rsidR="00385A72" w:rsidRPr="00385A72" w:rsidRDefault="00385A72" w:rsidP="00385A72">
      <w:pPr>
        <w:spacing w:after="0" w:line="256" w:lineRule="auto"/>
        <w:rPr>
          <w:rFonts w:ascii="Verdana" w:eastAsia="Calibri" w:hAnsi="Verdana" w:cs="Times New Roman"/>
          <w:b/>
          <w:bCs/>
          <w:lang w:val="es-ES"/>
        </w:rPr>
      </w:pPr>
      <w:r w:rsidRPr="00385A72">
        <w:rPr>
          <w:rFonts w:ascii="Verdana" w:eastAsia="Calibri" w:hAnsi="Verdana" w:cs="Times New Roman"/>
          <w:b/>
          <w:bCs/>
          <w:lang w:val="es-ES"/>
        </w:rPr>
        <w:t xml:space="preserve">                                    Concepto C- 1689 de 2025</w:t>
      </w:r>
    </w:p>
    <w:p w14:paraId="753F45DE" w14:textId="77777777" w:rsidR="00385A72" w:rsidRPr="00385A72" w:rsidRDefault="00385A72" w:rsidP="00385A72">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85A72" w:rsidRPr="00385A72" w14:paraId="1A5EAC38" w14:textId="77777777" w:rsidTr="00171ED7">
        <w:trPr>
          <w:trHeight w:val="645"/>
        </w:trPr>
        <w:tc>
          <w:tcPr>
            <w:tcW w:w="2685" w:type="dxa"/>
            <w:hideMark/>
          </w:tcPr>
          <w:p w14:paraId="17684FC9" w14:textId="77777777" w:rsidR="00385A72" w:rsidRPr="00385A72" w:rsidRDefault="00385A72" w:rsidP="00385A72">
            <w:pPr>
              <w:spacing w:line="256" w:lineRule="auto"/>
              <w:rPr>
                <w:rFonts w:ascii="Verdana" w:hAnsi="Verdana"/>
                <w:b/>
                <w:bCs/>
                <w:lang w:val="es-ES_tradnl"/>
              </w:rPr>
            </w:pPr>
            <w:r w:rsidRPr="00385A72">
              <w:rPr>
                <w:rFonts w:ascii="Verdana" w:hAnsi="Verdana"/>
                <w:b/>
                <w:bCs/>
                <w:lang w:val="es-ES_tradnl"/>
              </w:rPr>
              <w:t xml:space="preserve">Temas:                   </w:t>
            </w:r>
          </w:p>
        </w:tc>
        <w:tc>
          <w:tcPr>
            <w:tcW w:w="6241" w:type="dxa"/>
            <w:hideMark/>
          </w:tcPr>
          <w:p w14:paraId="17C9887F" w14:textId="77777777" w:rsidR="00385A72" w:rsidRPr="00385A72" w:rsidRDefault="00385A72" w:rsidP="00385A72">
            <w:pPr>
              <w:spacing w:line="276" w:lineRule="auto"/>
              <w:jc w:val="both"/>
              <w:rPr>
                <w:rFonts w:ascii="Verdana" w:hAnsi="Verdana" w:cs="Arial"/>
                <w:lang w:val="es-ES" w:eastAsia="es-ES"/>
              </w:rPr>
            </w:pPr>
            <w:r w:rsidRPr="00385A72">
              <w:rPr>
                <w:rFonts w:ascii="Verdana" w:hAnsi="Verdana" w:cs="Arial"/>
                <w:lang w:val="es-MX" w:eastAsia="es-ES_tradnl"/>
              </w:rPr>
              <w:t xml:space="preserve">LEY DE GARANTÍAS ELECTORALES </w:t>
            </w:r>
            <w:r w:rsidRPr="00385A72">
              <w:rPr>
                <w:rFonts w:ascii="Verdana" w:hAnsi="Verdana" w:cs="Arial"/>
                <w:bCs/>
                <w:lang w:val="es-MX" w:eastAsia="es-ES_tradnl"/>
              </w:rPr>
              <w:t>‒</w:t>
            </w:r>
            <w:r w:rsidRPr="00385A72">
              <w:rPr>
                <w:rFonts w:ascii="Verdana" w:hAnsi="Verdana" w:cs="Arial"/>
                <w:lang w:val="es-MX" w:eastAsia="es-ES_tradnl"/>
              </w:rPr>
              <w:t xml:space="preserve"> Finalidad / LEY DE GARANTÍAS ELECTORALES </w:t>
            </w:r>
            <w:r w:rsidRPr="00385A72">
              <w:rPr>
                <w:rFonts w:ascii="Verdana" w:hAnsi="Verdana" w:cs="Arial"/>
                <w:bCs/>
                <w:lang w:val="es-MX" w:eastAsia="es-ES_tradnl"/>
              </w:rPr>
              <w:t>‒</w:t>
            </w:r>
            <w:r w:rsidRPr="00385A72">
              <w:rPr>
                <w:rFonts w:ascii="Verdana" w:hAnsi="Verdana" w:cs="Arial"/>
                <w:lang w:val="es-MX" w:eastAsia="es-ES_tradnl"/>
              </w:rPr>
              <w:t xml:space="preserve"> Tipos de restricciones </w:t>
            </w:r>
            <w:r w:rsidRPr="00385A72">
              <w:rPr>
                <w:rFonts w:ascii="Verdana" w:hAnsi="Verdana" w:cs="Arial"/>
                <w:bCs/>
                <w:lang w:val="es-MX" w:eastAsia="es-ES_tradnl"/>
              </w:rPr>
              <w:t>‒</w:t>
            </w:r>
            <w:r w:rsidRPr="00385A72">
              <w:rPr>
                <w:rFonts w:ascii="Verdana" w:hAnsi="Verdana" w:cs="Arial"/>
                <w:lang w:val="es-MX" w:eastAsia="es-ES_tradnl"/>
              </w:rPr>
              <w:t xml:space="preserve"> Ámbito temporal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 / LEY DE GARANTÍAS ELECTORALES – Contratos y convenios interadministrativos – Criterio orgánico / LEY DE GARANTÍAS ELECTORALES –Restricción- Convenios interadministrativos – Postura del Consejo de Estado / CONTRATACIÓN DIRECTA – Causal – Adquisición de bienes inmuebles – Restricción – Ley de Garantías Electorales. </w:t>
            </w:r>
          </w:p>
        </w:tc>
        <w:tc>
          <w:tcPr>
            <w:tcW w:w="6237" w:type="dxa"/>
          </w:tcPr>
          <w:p w14:paraId="298625A3" w14:textId="77777777" w:rsidR="00385A72" w:rsidRPr="00385A72" w:rsidRDefault="00385A72" w:rsidP="00385A72">
            <w:pPr>
              <w:spacing w:line="256" w:lineRule="auto"/>
              <w:rPr>
                <w:rFonts w:ascii="Verdana" w:hAnsi="Verdana"/>
              </w:rPr>
            </w:pPr>
          </w:p>
        </w:tc>
      </w:tr>
      <w:tr w:rsidR="00385A72" w:rsidRPr="00385A72" w14:paraId="59C869D9" w14:textId="77777777" w:rsidTr="00171ED7">
        <w:tc>
          <w:tcPr>
            <w:tcW w:w="2685" w:type="dxa"/>
          </w:tcPr>
          <w:p w14:paraId="3D019731" w14:textId="77777777" w:rsidR="00385A72" w:rsidRPr="00385A72" w:rsidRDefault="00385A72" w:rsidP="00385A72">
            <w:pPr>
              <w:rPr>
                <w:rFonts w:ascii="Verdana" w:hAnsi="Verdana"/>
                <w:b/>
                <w:bCs/>
                <w:lang w:val="es-ES_tradnl"/>
              </w:rPr>
            </w:pPr>
          </w:p>
          <w:p w14:paraId="01120B25" w14:textId="77777777" w:rsidR="00385A72" w:rsidRPr="00385A72" w:rsidRDefault="00385A72" w:rsidP="00385A72">
            <w:pPr>
              <w:rPr>
                <w:rFonts w:ascii="Verdana" w:hAnsi="Verdana"/>
                <w:b/>
                <w:bCs/>
                <w:lang w:val="es-ES_tradnl"/>
              </w:rPr>
            </w:pPr>
          </w:p>
          <w:p w14:paraId="2C4243D7" w14:textId="77777777" w:rsidR="00385A72" w:rsidRPr="00385A72" w:rsidRDefault="00385A72" w:rsidP="00385A72">
            <w:pPr>
              <w:rPr>
                <w:rFonts w:ascii="Verdana" w:hAnsi="Verdana"/>
                <w:b/>
                <w:bCs/>
                <w:lang w:val="es-ES_tradnl"/>
              </w:rPr>
            </w:pPr>
            <w:r w:rsidRPr="00385A72">
              <w:rPr>
                <w:rFonts w:ascii="Verdana" w:hAnsi="Verdana"/>
                <w:b/>
                <w:bCs/>
                <w:lang w:val="es-ES_tradnl"/>
              </w:rPr>
              <w:t xml:space="preserve">Radicación:               </w:t>
            </w:r>
          </w:p>
        </w:tc>
        <w:tc>
          <w:tcPr>
            <w:tcW w:w="6241" w:type="dxa"/>
          </w:tcPr>
          <w:p w14:paraId="053147D5" w14:textId="77777777" w:rsidR="00385A72" w:rsidRPr="00385A72" w:rsidRDefault="00385A72" w:rsidP="00385A72">
            <w:pPr>
              <w:jc w:val="both"/>
              <w:rPr>
                <w:rFonts w:ascii="Verdana" w:hAnsi="Verdana"/>
                <w:lang w:val="es-ES_tradnl"/>
              </w:rPr>
            </w:pPr>
          </w:p>
          <w:p w14:paraId="4E9D6240" w14:textId="77777777" w:rsidR="00385A72" w:rsidRPr="00385A72" w:rsidRDefault="00385A72" w:rsidP="00385A72">
            <w:pPr>
              <w:jc w:val="both"/>
              <w:rPr>
                <w:rFonts w:ascii="Verdana" w:hAnsi="Verdana"/>
                <w:lang w:val="es-ES_tradnl"/>
              </w:rPr>
            </w:pPr>
          </w:p>
          <w:p w14:paraId="06CF055C" w14:textId="77777777" w:rsidR="00385A72" w:rsidRPr="00385A72" w:rsidRDefault="00385A72" w:rsidP="00385A72">
            <w:pPr>
              <w:jc w:val="both"/>
              <w:rPr>
                <w:rFonts w:ascii="Verdana" w:hAnsi="Verdana"/>
                <w:lang w:val="es-ES_tradnl"/>
              </w:rPr>
            </w:pPr>
            <w:r w:rsidRPr="00385A72">
              <w:rPr>
                <w:rFonts w:ascii="Verdana" w:hAnsi="Verdana"/>
                <w:lang w:val="es-ES_tradnl"/>
              </w:rPr>
              <w:t>Respuesta a consulta con radicado No.</w:t>
            </w:r>
            <w:r w:rsidRPr="00385A72">
              <w:rPr>
                <w:rFonts w:ascii="Verdana" w:hAnsi="Verdana" w:cs="Segoe UI"/>
                <w:color w:val="2B2B2B"/>
                <w:shd w:val="clear" w:color="auto" w:fill="FFFFFF"/>
              </w:rPr>
              <w:t xml:space="preserve"> 1_2025_11_14_012873 y </w:t>
            </w:r>
            <w:r w:rsidRPr="00385A72">
              <w:rPr>
                <w:rFonts w:ascii="Verdana" w:hAnsi="Verdana"/>
              </w:rPr>
              <w:t xml:space="preserve">1_2025_11_14_012895 (acumulados) </w:t>
            </w:r>
          </w:p>
          <w:p w14:paraId="4F0D5CF5" w14:textId="77777777" w:rsidR="00385A72" w:rsidRPr="00385A72" w:rsidRDefault="00385A72" w:rsidP="00385A72">
            <w:pPr>
              <w:jc w:val="both"/>
              <w:rPr>
                <w:rFonts w:ascii="Verdana" w:hAnsi="Verdana"/>
              </w:rPr>
            </w:pPr>
          </w:p>
          <w:p w14:paraId="4EB4083B" w14:textId="77777777" w:rsidR="00385A72" w:rsidRPr="00385A72" w:rsidRDefault="00385A72" w:rsidP="00385A72">
            <w:pPr>
              <w:jc w:val="both"/>
              <w:rPr>
                <w:rFonts w:ascii="Verdana" w:hAnsi="Verdana"/>
              </w:rPr>
            </w:pPr>
          </w:p>
        </w:tc>
        <w:tc>
          <w:tcPr>
            <w:tcW w:w="6237" w:type="dxa"/>
          </w:tcPr>
          <w:p w14:paraId="6BACA87B" w14:textId="77777777" w:rsidR="00385A72" w:rsidRPr="00385A72" w:rsidRDefault="00385A72" w:rsidP="00385A72">
            <w:pPr>
              <w:spacing w:line="256" w:lineRule="auto"/>
              <w:rPr>
                <w:rFonts w:ascii="Verdana" w:hAnsi="Verdana"/>
                <w:lang w:val="es-ES_tradnl"/>
              </w:rPr>
            </w:pPr>
          </w:p>
        </w:tc>
      </w:tr>
    </w:tbl>
    <w:p w14:paraId="78918AB6" w14:textId="77777777" w:rsidR="00385A72" w:rsidRPr="00385A72" w:rsidRDefault="00385A72" w:rsidP="00385A72">
      <w:pPr>
        <w:spacing w:after="0" w:line="256" w:lineRule="auto"/>
        <w:rPr>
          <w:rFonts w:ascii="Verdana" w:eastAsia="Calibri" w:hAnsi="Verdana" w:cs="Times New Roman"/>
          <w:lang w:val="es-ES"/>
        </w:rPr>
      </w:pPr>
      <w:r w:rsidRPr="00385A72">
        <w:rPr>
          <w:rFonts w:ascii="Verdana" w:eastAsia="Calibri" w:hAnsi="Verdana" w:cs="Times New Roman"/>
          <w:lang w:val="es-ES"/>
        </w:rPr>
        <w:t xml:space="preserve">Estimado Señor López: </w:t>
      </w:r>
    </w:p>
    <w:p w14:paraId="02836301" w14:textId="77777777" w:rsidR="00385A72" w:rsidRPr="00385A72" w:rsidRDefault="00385A72" w:rsidP="00385A72">
      <w:pPr>
        <w:spacing w:after="0" w:line="256" w:lineRule="auto"/>
        <w:rPr>
          <w:rFonts w:ascii="Verdana" w:eastAsia="Calibri" w:hAnsi="Verdana" w:cs="Times New Roman"/>
          <w:lang w:val="es-ES"/>
        </w:rPr>
      </w:pPr>
    </w:p>
    <w:p w14:paraId="0579CCA6" w14:textId="77777777" w:rsidR="00385A72" w:rsidRPr="00385A72" w:rsidRDefault="00385A72" w:rsidP="00385A72">
      <w:pPr>
        <w:spacing w:after="0" w:line="276" w:lineRule="auto"/>
        <w:jc w:val="both"/>
        <w:rPr>
          <w:rFonts w:ascii="Verdana" w:eastAsia="Calibri" w:hAnsi="Verdana" w:cs="Times New Roman"/>
        </w:rPr>
      </w:pPr>
      <w:r w:rsidRPr="00385A72">
        <w:rPr>
          <w:rFonts w:ascii="Verdana" w:eastAsia="Calibri" w:hAnsi="Verdana" w:cs="Times New Roman"/>
          <w:bCs/>
          <w:lang w:val="es-ES" w:bidi="es-ES"/>
        </w:rPr>
        <w:lastRenderedPageBreak/>
        <w:t xml:space="preserve">En ejercicio de la competencia otorgada por los artículos 3, numeral 5º, y 11, numeral 8º, del Decreto Ley 4170 de 2011, </w:t>
      </w:r>
      <w:r w:rsidRPr="00385A72">
        <w:rPr>
          <w:rFonts w:ascii="Verdana" w:eastAsia="Calibri" w:hAnsi="Verdana" w:cs="Times New Roman"/>
          <w:bCs/>
        </w:rPr>
        <w:t xml:space="preserve">así como lo establecido por la Resolución 469 de 2025 expedida por esta Entidad, </w:t>
      </w:r>
      <w:r w:rsidRPr="00385A72">
        <w:rPr>
          <w:rFonts w:ascii="Verdana" w:eastAsia="Calibri" w:hAnsi="Verdana" w:cs="Times New Roman"/>
          <w:bCs/>
          <w:lang w:val="es-ES" w:bidi="es-ES"/>
        </w:rPr>
        <w:t>la Agencia Nacional de Contratación Pública – Colombia Compra Eficiente–</w:t>
      </w:r>
      <w:r w:rsidRPr="00385A72">
        <w:rPr>
          <w:rFonts w:ascii="Verdana" w:eastAsia="Calibri" w:hAnsi="Verdana" w:cs="Times New Roman"/>
          <w:lang w:val="es-ES"/>
        </w:rPr>
        <w:t xml:space="preserve"> responde la solicitud de consulta presentada el 14 de noviembre de 2025, en la cual manifiesta:</w:t>
      </w:r>
      <w:r w:rsidRPr="00385A72">
        <w:rPr>
          <w:rFonts w:ascii="Verdana" w:eastAsia="Calibri" w:hAnsi="Verdana" w:cs="Times New Roman"/>
        </w:rPr>
        <w:t xml:space="preserve"> </w:t>
      </w:r>
    </w:p>
    <w:p w14:paraId="2CACA106" w14:textId="77777777" w:rsidR="00385A72" w:rsidRPr="00385A72" w:rsidRDefault="00385A72" w:rsidP="00385A72">
      <w:pPr>
        <w:spacing w:after="0" w:line="240" w:lineRule="auto"/>
        <w:ind w:right="709"/>
        <w:jc w:val="both"/>
        <w:rPr>
          <w:rFonts w:ascii="Verdana" w:eastAsia="Calibri" w:hAnsi="Verdana" w:cs="Times New Roman"/>
          <w:iCs/>
          <w:sz w:val="20"/>
        </w:rPr>
      </w:pPr>
    </w:p>
    <w:p w14:paraId="75AA2DCC" w14:textId="77777777" w:rsidR="00385A72" w:rsidRPr="00385A72" w:rsidRDefault="00385A72" w:rsidP="00385A72">
      <w:pPr>
        <w:spacing w:after="0" w:line="240" w:lineRule="auto"/>
        <w:ind w:left="709" w:right="709"/>
        <w:jc w:val="both"/>
        <w:rPr>
          <w:rFonts w:ascii="Verdana" w:eastAsia="Calibri" w:hAnsi="Verdana" w:cs="Times New Roman"/>
          <w:iCs/>
          <w:sz w:val="20"/>
        </w:rPr>
      </w:pPr>
      <w:r w:rsidRPr="00385A72">
        <w:rPr>
          <w:rFonts w:ascii="Verdana" w:eastAsia="Calibri" w:hAnsi="Verdana" w:cs="Times New Roman"/>
          <w:iCs/>
          <w:sz w:val="20"/>
        </w:rPr>
        <w:t>“La administración municipal se encuentra comprometida con el desarrollo de nuestro municipio, por eso es de interés realizar la adquisición de un predio, sin embargo, se encuentra proyectada la firma de las escrituras de dicho predio, en el período que rige la Ley de Garantías, por lo cual solicitamos su concepto frente al proceso de escrituración que se desea llevar a cabo […]”</w:t>
      </w:r>
    </w:p>
    <w:p w14:paraId="1CABD8C5" w14:textId="77777777" w:rsidR="00385A72" w:rsidRPr="00385A72" w:rsidRDefault="00385A72" w:rsidP="00385A72">
      <w:pPr>
        <w:spacing w:after="0" w:line="240" w:lineRule="auto"/>
        <w:ind w:right="709"/>
        <w:jc w:val="both"/>
        <w:rPr>
          <w:rFonts w:ascii="Verdana" w:eastAsia="Calibri" w:hAnsi="Verdana" w:cs="Times New Roman"/>
          <w:i/>
          <w:iCs/>
          <w:sz w:val="20"/>
        </w:rPr>
      </w:pPr>
    </w:p>
    <w:p w14:paraId="07A7BDC9" w14:textId="77777777" w:rsidR="00385A72" w:rsidRPr="00385A72" w:rsidRDefault="00385A72" w:rsidP="00385A72">
      <w:pPr>
        <w:spacing w:after="120" w:line="276" w:lineRule="auto"/>
        <w:ind w:firstLine="709"/>
        <w:jc w:val="both"/>
        <w:rPr>
          <w:rFonts w:ascii="Verdana" w:eastAsia="Calibri" w:hAnsi="Verdana" w:cs="Times New Roman"/>
          <w:lang w:val="es-ES"/>
        </w:rPr>
      </w:pPr>
      <w:r w:rsidRPr="00385A72">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9286EAF" w14:textId="77777777" w:rsidR="00385A72" w:rsidRPr="00385A72" w:rsidRDefault="00385A72" w:rsidP="00385A72">
      <w:pPr>
        <w:spacing w:after="0" w:line="276" w:lineRule="auto"/>
        <w:ind w:firstLine="708"/>
        <w:jc w:val="both"/>
        <w:rPr>
          <w:rFonts w:ascii="Verdana" w:eastAsia="Calibri" w:hAnsi="Verdana" w:cs="Times New Roman"/>
          <w:lang w:val="es-ES"/>
        </w:rPr>
      </w:pPr>
      <w:r w:rsidRPr="00385A72">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F2AFEED" w14:textId="77777777" w:rsidR="00385A72" w:rsidRPr="00385A72" w:rsidRDefault="00385A72" w:rsidP="00385A72">
      <w:pPr>
        <w:spacing w:after="0" w:line="276" w:lineRule="auto"/>
        <w:rPr>
          <w:rFonts w:ascii="Verdana" w:eastAsia="Calibri" w:hAnsi="Verdana" w:cs="Times New Roman"/>
          <w:lang w:val="es-ES"/>
        </w:rPr>
      </w:pPr>
    </w:p>
    <w:p w14:paraId="1F828B4A" w14:textId="77777777" w:rsidR="00385A72" w:rsidRPr="00385A72" w:rsidRDefault="00385A72" w:rsidP="00385A72">
      <w:pPr>
        <w:numPr>
          <w:ilvl w:val="0"/>
          <w:numId w:val="19"/>
        </w:numPr>
        <w:spacing w:after="0" w:line="276" w:lineRule="auto"/>
        <w:contextualSpacing/>
        <w:rPr>
          <w:rFonts w:ascii="Verdana" w:eastAsia="Calibri" w:hAnsi="Verdana" w:cs="Times New Roman"/>
          <w:b/>
          <w:bCs/>
          <w:lang w:val="es-ES"/>
        </w:rPr>
      </w:pPr>
      <w:r w:rsidRPr="00385A72">
        <w:rPr>
          <w:rFonts w:ascii="Verdana" w:eastAsia="Calibri" w:hAnsi="Verdana" w:cs="Times New Roman"/>
          <w:b/>
          <w:bCs/>
          <w:lang w:val="es-ES"/>
        </w:rPr>
        <w:t>Problema planteado:</w:t>
      </w:r>
    </w:p>
    <w:p w14:paraId="6E264A68" w14:textId="77777777" w:rsidR="00385A72" w:rsidRPr="00385A72" w:rsidRDefault="00385A72" w:rsidP="00385A72">
      <w:pPr>
        <w:spacing w:after="0" w:line="276" w:lineRule="auto"/>
        <w:rPr>
          <w:rFonts w:ascii="Verdana" w:eastAsia="Calibri" w:hAnsi="Verdana" w:cs="Times New Roman"/>
        </w:rPr>
      </w:pPr>
    </w:p>
    <w:p w14:paraId="4E015E48" w14:textId="77777777" w:rsidR="00385A72" w:rsidRPr="00385A72" w:rsidRDefault="00385A72" w:rsidP="00385A72">
      <w:pPr>
        <w:spacing w:after="0" w:line="276" w:lineRule="auto"/>
        <w:jc w:val="both"/>
        <w:rPr>
          <w:rFonts w:ascii="Verdana" w:eastAsia="Calibri" w:hAnsi="Verdana" w:cs="Times New Roman"/>
          <w:iCs/>
        </w:rPr>
      </w:pPr>
      <w:r w:rsidRPr="00385A72">
        <w:rPr>
          <w:rFonts w:ascii="Verdana" w:eastAsia="Calibri" w:hAnsi="Verdana" w:cs="Times New Roman"/>
        </w:rPr>
        <w:t>De acuerdo con el contenido de sus solicitudes, esta Agencia procede a resolver el siguiente problema jurídico:</w:t>
      </w:r>
      <w:r w:rsidRPr="00385A72">
        <w:rPr>
          <w:rFonts w:ascii="Verdana" w:eastAsia="Calibri" w:hAnsi="Verdana" w:cs="Times New Roman"/>
          <w:iCs/>
          <w:lang w:val="es-ES"/>
        </w:rPr>
        <w:t xml:space="preserve"> ¿La celebración de contratos mediante escrituras </w:t>
      </w:r>
      <w:r w:rsidRPr="00385A72">
        <w:rPr>
          <w:rFonts w:ascii="Verdana" w:eastAsia="Calibri" w:hAnsi="Verdana" w:cs="Times New Roman"/>
          <w:iCs/>
          <w:lang w:val="es-ES"/>
        </w:rPr>
        <w:lastRenderedPageBreak/>
        <w:t>públicas por parte de una entidad estatal para la adquisición de bienes inmuebles –predios- está restringida durante la Ley de Garantías Electorales?</w:t>
      </w:r>
    </w:p>
    <w:p w14:paraId="258ADC94" w14:textId="77777777" w:rsidR="00385A72" w:rsidRPr="00385A72" w:rsidRDefault="00385A72" w:rsidP="00385A72">
      <w:pPr>
        <w:spacing w:after="0" w:line="276" w:lineRule="auto"/>
        <w:jc w:val="both"/>
        <w:rPr>
          <w:rFonts w:ascii="Verdana" w:eastAsia="Calibri" w:hAnsi="Verdana" w:cs="Times New Roman"/>
          <w:i/>
          <w:iCs/>
        </w:rPr>
      </w:pPr>
    </w:p>
    <w:p w14:paraId="5B3CED3C" w14:textId="77777777" w:rsidR="00385A72" w:rsidRPr="00385A72" w:rsidRDefault="00385A72" w:rsidP="00385A72">
      <w:pPr>
        <w:numPr>
          <w:ilvl w:val="0"/>
          <w:numId w:val="19"/>
        </w:numPr>
        <w:spacing w:after="0" w:line="276" w:lineRule="auto"/>
        <w:contextualSpacing/>
        <w:rPr>
          <w:rFonts w:ascii="Verdana" w:eastAsia="Calibri" w:hAnsi="Verdana" w:cs="Times New Roman"/>
          <w:b/>
          <w:bCs/>
          <w:lang w:val="es-ES"/>
        </w:rPr>
      </w:pPr>
      <w:r w:rsidRPr="00385A72">
        <w:rPr>
          <w:rFonts w:ascii="Verdana" w:eastAsia="Calibri" w:hAnsi="Verdana" w:cs="Times New Roman"/>
          <w:b/>
          <w:bCs/>
          <w:lang w:val="es-ES"/>
        </w:rPr>
        <w:t>Respuesta:</w:t>
      </w:r>
    </w:p>
    <w:p w14:paraId="4B65FDF9" w14:textId="77777777" w:rsidR="00385A72" w:rsidRPr="00385A72" w:rsidRDefault="00385A72" w:rsidP="00385A72">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85A72" w:rsidRPr="00385A72" w14:paraId="1BF57418" w14:textId="77777777" w:rsidTr="00171ED7">
        <w:trPr>
          <w:trHeight w:val="345"/>
          <w:jc w:val="center"/>
        </w:trPr>
        <w:tc>
          <w:tcPr>
            <w:tcW w:w="8784" w:type="dxa"/>
            <w:tcBorders>
              <w:bottom w:val="single" w:sz="4" w:space="0" w:color="auto"/>
            </w:tcBorders>
          </w:tcPr>
          <w:p w14:paraId="22CD17DE" w14:textId="77777777" w:rsidR="00385A72" w:rsidRPr="00385A72" w:rsidRDefault="00385A72" w:rsidP="00385A72">
            <w:pPr>
              <w:spacing w:after="120" w:line="276" w:lineRule="auto"/>
              <w:jc w:val="both"/>
              <w:rPr>
                <w:rFonts w:ascii="Verdana" w:eastAsia="Calibri" w:hAnsi="Verdana" w:cs="Arial"/>
                <w:color w:val="000000"/>
                <w:bdr w:val="none" w:sz="0" w:space="0" w:color="auto" w:frame="1"/>
                <w:lang w:val="es-MX" w:eastAsia="es-ES_tradnl"/>
              </w:rPr>
            </w:pPr>
            <w:r w:rsidRPr="00385A72">
              <w:rPr>
                <w:rFonts w:ascii="Verdana" w:eastAsia="Times New Roman" w:hAnsi="Verdana" w:cs="Arial"/>
                <w:lang w:val="es-ES" w:eastAsia="es-ES_tradnl"/>
              </w:rPr>
              <w:t xml:space="preserve">De acuerdo, al problema jurídico, objeto de consulta, se precisa la adquisición de bienes inmuebles –predios- trata de un causal de la contratación directa regulada en </w:t>
            </w:r>
            <w:r w:rsidRPr="00385A72">
              <w:rPr>
                <w:rFonts w:ascii="Verdana" w:eastAsia="Times New Roman" w:hAnsi="Verdana" w:cs="Arial"/>
                <w:lang w:val="es-ES_tradnl" w:eastAsia="es-ES_tradnl"/>
              </w:rPr>
              <w:t>el literal i) del numeral 4 del artículo 2º de la Ley 1150 de 2007</w:t>
            </w:r>
            <w:r w:rsidRPr="00385A72">
              <w:rPr>
                <w:rFonts w:ascii="Verdana" w:eastAsia="Times New Roman" w:hAnsi="Verdana" w:cs="Arial"/>
                <w:lang w:val="es-ES" w:eastAsia="es-ES_tradnl"/>
              </w:rPr>
              <w:t>, esto es, un procedimiento de contratación estatal no competitivo que está restringido por la prohibición establecida en el artículo 33 de la Ley 996 de 2005 que aplica a todas las entidades del Estado</w:t>
            </w:r>
            <w:r w:rsidRPr="00385A72">
              <w:rPr>
                <w:rFonts w:ascii="Verdana" w:eastAsia="Times New Roman" w:hAnsi="Verdana" w:cs="Arial"/>
                <w:bCs/>
                <w:lang w:val="es-MX" w:eastAsia="x-none"/>
              </w:rPr>
              <w:t xml:space="preserve"> </w:t>
            </w:r>
            <w:r w:rsidRPr="00385A72">
              <w:rPr>
                <w:rFonts w:ascii="Verdana" w:eastAsia="Times New Roman" w:hAnsi="Verdana" w:cs="Arial"/>
                <w:bCs/>
                <w:lang w:val="es-MX" w:eastAsia="es-ES_tradnl"/>
              </w:rPr>
              <w:t>dentro de los cuatro (4) meses anteriores a la celebración de los comicios presidenciales</w:t>
            </w:r>
            <w:r w:rsidRPr="00385A72">
              <w:rPr>
                <w:rFonts w:ascii="Verdana" w:eastAsia="Times New Roman" w:hAnsi="Verdana" w:cs="Arial"/>
                <w:lang w:val="es-ES" w:eastAsia="es-ES_tradnl"/>
              </w:rPr>
              <w:t xml:space="preserve">. </w:t>
            </w:r>
            <w:r w:rsidRPr="00385A72">
              <w:rPr>
                <w:rFonts w:ascii="Verdana" w:eastAsia="Times New Roman" w:hAnsi="Verdana" w:cs="Arial"/>
                <w:bCs/>
                <w:lang w:val="es-MX" w:eastAsia="x-none"/>
              </w:rPr>
              <w:t>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w:t>
            </w:r>
          </w:p>
          <w:p w14:paraId="31197465" w14:textId="77777777" w:rsidR="00385A72" w:rsidRPr="00385A72" w:rsidRDefault="00385A72" w:rsidP="00385A72">
            <w:pPr>
              <w:spacing w:after="120" w:line="276" w:lineRule="auto"/>
              <w:ind w:firstLine="709"/>
              <w:jc w:val="both"/>
              <w:rPr>
                <w:rFonts w:ascii="Verdana" w:eastAsia="Times New Roman" w:hAnsi="Verdana" w:cs="Arial"/>
                <w:bCs/>
                <w:lang w:val="es-MX" w:eastAsia="x-none"/>
              </w:rPr>
            </w:pPr>
            <w:r w:rsidRPr="00385A72">
              <w:rPr>
                <w:rFonts w:ascii="Verdana" w:eastAsia="Times New Roman" w:hAnsi="Verdana" w:cs="Arial"/>
                <w:bCs/>
                <w:lang w:val="es-MX" w:eastAsia="x-none"/>
              </w:rPr>
              <w:t>Esto, sin perjuicio de las excepciones a la prohibición establecidas en el inciso segundo del mismo artículo 33, como son: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8930AE0" w14:textId="77777777" w:rsidR="00385A72" w:rsidRPr="00385A72" w:rsidRDefault="00385A72" w:rsidP="00385A72">
            <w:pPr>
              <w:spacing w:after="120" w:line="276" w:lineRule="auto"/>
              <w:ind w:firstLine="708"/>
              <w:jc w:val="both"/>
              <w:rPr>
                <w:rFonts w:ascii="Verdana" w:eastAsia="Times New Roman" w:hAnsi="Verdana" w:cs="Arial"/>
                <w:lang w:eastAsia="es-CO"/>
              </w:rPr>
            </w:pPr>
            <w:r w:rsidRPr="00385A72">
              <w:rPr>
                <w:rFonts w:ascii="Verdana" w:eastAsia="Arial" w:hAnsi="Verdana" w:cs="Arial"/>
                <w:lang w:val="es-ES" w:eastAsia="es-ES" w:bidi="es-ES"/>
              </w:rPr>
              <w:t xml:space="preserve">Por otro lado, la prohibición impuesta por el inciso primero del parágrafo del artículo 38 a los gobernadores, alcaldes municipales y/o distritales, secretarios, gerentes y directores de entidades descentralizadas del orden municipal, departamental o distrital,  debe aplicarse respecto de cualquier tipo </w:t>
            </w:r>
            <w:r w:rsidRPr="00385A72">
              <w:rPr>
                <w:rFonts w:ascii="Verdana" w:eastAsia="Arial" w:hAnsi="Verdana" w:cs="Arial"/>
                <w:lang w:val="es-ES" w:eastAsia="es-ES" w:bidi="es-ES"/>
              </w:rPr>
              <w:lastRenderedPageBreak/>
              <w:t xml:space="preserve">de contienda electoral, y prohíbe la celebración de convenios interadministrativos que impliquen la ejecución de recursos públicos dentro de los cuatro (4) meses anteriores a la respectiva jornada de votaciones. En este aspecto, se señala que esta restricción no aplica en contratos interadministrativos, teniendo en cuenta </w:t>
            </w:r>
            <w:r w:rsidRPr="00385A72">
              <w:rPr>
                <w:rFonts w:ascii="Verdana" w:eastAsia="Times New Roman" w:hAnsi="Verdana" w:cs="Arial"/>
                <w:lang w:eastAsia="es-CO"/>
              </w:rPr>
              <w:t xml:space="preserve">lo expuesto en la sentencia expedida por la Sección Tercera de la Sala de lo Contencioso Administrativo del 17 de octubre de 2025, en los autos del 4 de octubre de 2024 y 6 de noviembre de 2025, puesto que esta prohibición solo aplicaría a los convenios interadministrativos que impliquen la ejecución de recursos públicos. </w:t>
            </w:r>
          </w:p>
          <w:p w14:paraId="7C151873" w14:textId="77777777" w:rsidR="00385A72" w:rsidRPr="00385A72" w:rsidRDefault="00385A72" w:rsidP="00385A72">
            <w:pPr>
              <w:spacing w:after="120" w:line="276" w:lineRule="auto"/>
              <w:ind w:firstLine="708"/>
              <w:jc w:val="both"/>
              <w:rPr>
                <w:rFonts w:ascii="Verdana" w:eastAsia="Calibri" w:hAnsi="Verdana" w:cs="Arial"/>
                <w:bCs/>
                <w:lang w:val="es-ES_tradnl"/>
              </w:rPr>
            </w:pPr>
            <w:r w:rsidRPr="00385A72">
              <w:rPr>
                <w:rFonts w:ascii="Verdana" w:eastAsia="Calibri" w:hAnsi="Verdana" w:cs="Arial"/>
                <w:lang w:val="es-ES_tradnl"/>
              </w:rPr>
              <w:t xml:space="preserve">Es dable concluir que, la adquisición de bienes inmuebles, </w:t>
            </w:r>
            <w:r w:rsidRPr="00385A72">
              <w:rPr>
                <w:rFonts w:ascii="Verdana" w:eastAsia="Calibri" w:hAnsi="Verdana" w:cs="Arial"/>
                <w:i/>
                <w:iCs/>
                <w:lang w:val="es-ES_tradnl"/>
              </w:rPr>
              <w:t>per se,</w:t>
            </w:r>
            <w:r w:rsidRPr="00385A72">
              <w:rPr>
                <w:rFonts w:ascii="Verdana" w:eastAsia="Calibri" w:hAnsi="Verdana" w:cs="Arial"/>
                <w:lang w:val="es-ES_tradnl"/>
              </w:rPr>
              <w:t xml:space="preserve"> no está prohibida por la restricción del parágrafo del artículo 38 de la Ley 996 de 2005, la cual solo es aplicable a convenios interadministrativos.</w:t>
            </w:r>
            <w:r w:rsidRPr="00385A72">
              <w:rPr>
                <w:rFonts w:ascii="Verdana" w:eastAsia="Calibri" w:hAnsi="Verdana" w:cs="Arial"/>
                <w:bCs/>
                <w:lang w:val="es-ES_tradnl"/>
              </w:rPr>
              <w:t xml:space="preserve"> No obstante, respecto de contratos interadministrativos que se celebran de forma directa en el artículo 2, numeral 4, literal c de la Ley 1150 de 2007 estaría sujeto a la restricción del artículo 33 que aplica a toda entidad y a todo procedimiento que no tenga un carácter competitivo. </w:t>
            </w:r>
          </w:p>
          <w:p w14:paraId="5057F541" w14:textId="77777777" w:rsidR="00385A72" w:rsidRPr="00385A72" w:rsidRDefault="00385A72" w:rsidP="00385A72">
            <w:pPr>
              <w:spacing w:after="120" w:line="276" w:lineRule="auto"/>
              <w:ind w:firstLine="709"/>
              <w:jc w:val="both"/>
              <w:rPr>
                <w:rFonts w:ascii="Verdana" w:eastAsia="Times New Roman" w:hAnsi="Verdana" w:cs="Arial"/>
                <w:bCs/>
                <w:lang w:val="es-MX" w:eastAsia="es-CO"/>
              </w:rPr>
            </w:pPr>
            <w:r w:rsidRPr="00385A72">
              <w:rPr>
                <w:rFonts w:ascii="Verdana" w:eastAsia="Times New Roman" w:hAnsi="Verdana" w:cs="Arial"/>
                <w:bCs/>
                <w:lang w:val="es-MX" w:eastAsia="x-none"/>
              </w:rPr>
              <w:t>Finalmente, se reitera, c</w:t>
            </w:r>
            <w:r w:rsidRPr="00385A72">
              <w:rPr>
                <w:rFonts w:ascii="Verdana" w:eastAsia="Times New Roman" w:hAnsi="Verdana" w:cs="Arial"/>
                <w:bCs/>
                <w:lang w:val="es-MX" w:eastAsia="es-CO"/>
              </w:rPr>
              <w:t>omo en otras oportunidades lo ha manifestado esta Agencia, que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 Además, también es posible que contratos celebrados previamente se continúen ejecutando con normalidad.</w:t>
            </w:r>
          </w:p>
          <w:p w14:paraId="596893A8" w14:textId="77777777" w:rsidR="00385A72" w:rsidRPr="00385A72" w:rsidRDefault="00385A72" w:rsidP="00385A72">
            <w:pPr>
              <w:spacing w:after="120" w:line="276" w:lineRule="auto"/>
              <w:ind w:firstLine="708"/>
              <w:jc w:val="both"/>
              <w:rPr>
                <w:rFonts w:ascii="Verdana" w:eastAsia="Calibri" w:hAnsi="Verdana" w:cs="Arial"/>
                <w:lang w:val="es-ES"/>
              </w:rPr>
            </w:pPr>
            <w:r w:rsidRPr="00385A72">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32736AF3" w14:textId="77777777" w:rsidR="00385A72" w:rsidRPr="00385A72" w:rsidRDefault="00385A72" w:rsidP="00385A72">
      <w:pPr>
        <w:spacing w:after="0" w:line="276" w:lineRule="auto"/>
        <w:jc w:val="both"/>
        <w:rPr>
          <w:rFonts w:ascii="Verdana" w:eastAsia="Calibri" w:hAnsi="Verdana" w:cs="Arial"/>
          <w:bCs/>
          <w:color w:val="000000" w:themeColor="text1"/>
        </w:rPr>
      </w:pPr>
    </w:p>
    <w:p w14:paraId="10DAC8E4" w14:textId="77777777" w:rsidR="00385A72" w:rsidRPr="00385A72" w:rsidRDefault="00385A72" w:rsidP="00385A72">
      <w:pPr>
        <w:numPr>
          <w:ilvl w:val="0"/>
          <w:numId w:val="19"/>
        </w:numPr>
        <w:tabs>
          <w:tab w:val="left" w:pos="2268"/>
        </w:tabs>
        <w:spacing w:after="0" w:line="276" w:lineRule="auto"/>
        <w:rPr>
          <w:rFonts w:ascii="Verdana" w:eastAsia="Calibri" w:hAnsi="Verdana" w:cs="Times New Roman"/>
          <w:b/>
          <w:bCs/>
          <w:lang w:val="es-ES"/>
        </w:rPr>
      </w:pPr>
      <w:r w:rsidRPr="00385A72">
        <w:rPr>
          <w:rFonts w:ascii="Verdana" w:eastAsia="Calibri" w:hAnsi="Verdana" w:cs="Times New Roman"/>
          <w:b/>
          <w:bCs/>
          <w:lang w:val="es-ES"/>
        </w:rPr>
        <w:t>Razones de la respuesta:</w:t>
      </w:r>
    </w:p>
    <w:p w14:paraId="345999C9" w14:textId="77777777" w:rsidR="00385A72" w:rsidRPr="00385A72" w:rsidRDefault="00385A72" w:rsidP="00385A72">
      <w:pPr>
        <w:spacing w:after="0" w:line="276" w:lineRule="auto"/>
        <w:rPr>
          <w:rFonts w:ascii="Verdana" w:eastAsia="Calibri" w:hAnsi="Verdana" w:cs="Times New Roman"/>
          <w:b/>
          <w:bCs/>
          <w:lang w:val="es-ES"/>
        </w:rPr>
      </w:pPr>
    </w:p>
    <w:p w14:paraId="6C6D8E61" w14:textId="77777777" w:rsidR="00385A72" w:rsidRPr="00385A72" w:rsidRDefault="00385A72" w:rsidP="00385A72">
      <w:pPr>
        <w:spacing w:after="0" w:line="276" w:lineRule="auto"/>
        <w:jc w:val="both"/>
        <w:rPr>
          <w:rFonts w:ascii="Verdana" w:eastAsia="Calibri" w:hAnsi="Verdana" w:cs="Arial"/>
          <w:lang w:val="es-ES"/>
        </w:rPr>
      </w:pPr>
      <w:r w:rsidRPr="00385A72">
        <w:rPr>
          <w:rFonts w:ascii="Verdana" w:eastAsia="Calibri" w:hAnsi="Verdana" w:cs="Arial"/>
          <w:lang w:val="es-ES"/>
        </w:rPr>
        <w:t xml:space="preserve">Lo anterior se sustenta en las siguientes consideraciones: </w:t>
      </w:r>
    </w:p>
    <w:p w14:paraId="41FC21B0" w14:textId="77777777" w:rsidR="00385A72" w:rsidRPr="00385A72" w:rsidRDefault="00385A72" w:rsidP="00385A72">
      <w:pPr>
        <w:spacing w:after="0" w:line="276" w:lineRule="auto"/>
        <w:jc w:val="both"/>
        <w:rPr>
          <w:rFonts w:ascii="Verdana" w:eastAsia="Calibri" w:hAnsi="Verdana" w:cs="Arial"/>
          <w:color w:val="000000" w:themeColor="text1"/>
        </w:rPr>
      </w:pPr>
    </w:p>
    <w:p w14:paraId="00A53FEC" w14:textId="77777777" w:rsidR="00385A72" w:rsidRPr="00385A72" w:rsidRDefault="00385A72" w:rsidP="00385A72">
      <w:pPr>
        <w:tabs>
          <w:tab w:val="left" w:pos="426"/>
        </w:tabs>
        <w:spacing w:after="120" w:line="276" w:lineRule="auto"/>
        <w:jc w:val="both"/>
        <w:rPr>
          <w:rFonts w:ascii="Verdana" w:eastAsia="Times New Roman" w:hAnsi="Verdana" w:cs="Arial"/>
          <w:lang w:eastAsia="es-CO"/>
        </w:rPr>
      </w:pPr>
      <w:r w:rsidRPr="00385A72">
        <w:rPr>
          <w:rFonts w:ascii="Verdana" w:eastAsia="Calibri" w:hAnsi="Verdana" w:cs="Arial"/>
        </w:rPr>
        <w:t>i. El ordenamiento jurídico colombiano contempla previsiones claras para evitar la obtención de beneficios personales en asuntos propios de la administración pública</w:t>
      </w:r>
      <w:r w:rsidRPr="00385A72">
        <w:rPr>
          <w:rFonts w:ascii="Verdana" w:eastAsia="Calibri" w:hAnsi="Verdana" w:cs="Arial"/>
          <w:i/>
        </w:rPr>
        <w:t xml:space="preserve">. </w:t>
      </w:r>
      <w:r w:rsidRPr="00385A72">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385A72">
        <w:rPr>
          <w:rFonts w:ascii="Verdana" w:hAnsi="Verdana"/>
          <w:vertAlign w:val="superscript"/>
        </w:rPr>
        <w:footnoteReference w:id="2"/>
      </w:r>
      <w:r w:rsidRPr="00385A72">
        <w:rPr>
          <w:rFonts w:ascii="Verdana" w:eastAsia="Calibri" w:hAnsi="Verdana" w:cs="Arial"/>
        </w:rPr>
        <w:t xml:space="preserve">. </w:t>
      </w:r>
    </w:p>
    <w:p w14:paraId="5E91F22F" w14:textId="77777777" w:rsidR="00385A72" w:rsidRPr="00385A72" w:rsidRDefault="00385A72" w:rsidP="00385A72">
      <w:pPr>
        <w:tabs>
          <w:tab w:val="left" w:pos="426"/>
        </w:tabs>
        <w:spacing w:after="0" w:line="276" w:lineRule="auto"/>
        <w:ind w:firstLine="709"/>
        <w:jc w:val="both"/>
        <w:rPr>
          <w:rFonts w:ascii="Verdana" w:eastAsia="Calibri" w:hAnsi="Verdana" w:cs="Arial"/>
          <w:lang w:val="es-ES_tradnl"/>
        </w:rPr>
      </w:pPr>
      <w:r w:rsidRPr="00385A72">
        <w:rPr>
          <w:rFonts w:ascii="Verdana" w:eastAsia="Times New Roman" w:hAnsi="Verdana" w:cs="Arial"/>
          <w:lang w:eastAsia="es-CO"/>
        </w:rPr>
        <w:t>En el mismo sentido</w:t>
      </w:r>
      <w:r w:rsidRPr="00385A72">
        <w:rPr>
          <w:rFonts w:ascii="Verdana" w:eastAsia="Times New Roman" w:hAnsi="Verdana" w:cs="Arial"/>
          <w:lang w:val="es-MX" w:eastAsia="es-CO"/>
        </w:rPr>
        <w:t xml:space="preserve">, </w:t>
      </w:r>
      <w:bookmarkStart w:id="1" w:name="_Hlk99576829"/>
      <w:r w:rsidRPr="00385A72">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85A72">
        <w:rPr>
          <w:rFonts w:ascii="Verdana" w:eastAsia="Times New Roman" w:hAnsi="Verdana" w:cs="Arial"/>
          <w:vertAlign w:val="superscript"/>
          <w:lang w:val="es-MX" w:eastAsia="es-CO"/>
        </w:rPr>
        <w:footnoteReference w:id="3"/>
      </w:r>
      <w:r w:rsidRPr="00385A72">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385A72">
        <w:rPr>
          <w:rFonts w:ascii="Verdana" w:eastAsia="Calibri" w:hAnsi="Verdana" w:cs="Arial"/>
          <w:lang w:val="es-ES_tradnl"/>
        </w:rPr>
        <w:t xml:space="preserve"> </w:t>
      </w:r>
      <w:bookmarkEnd w:id="1"/>
      <w:r w:rsidRPr="00385A72">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004F0C9" w14:textId="77777777" w:rsidR="00385A72" w:rsidRPr="00385A72" w:rsidRDefault="00385A72" w:rsidP="00385A72">
      <w:pPr>
        <w:spacing w:after="0" w:line="276" w:lineRule="auto"/>
        <w:ind w:right="709"/>
        <w:contextualSpacing/>
        <w:jc w:val="both"/>
        <w:rPr>
          <w:rFonts w:ascii="Verdana" w:eastAsia="Times New Roman" w:hAnsi="Verdana" w:cs="Arial"/>
          <w:lang w:val="es-ES" w:eastAsia="es-CO"/>
        </w:rPr>
      </w:pPr>
    </w:p>
    <w:p w14:paraId="789609AF" w14:textId="77777777" w:rsidR="00385A72" w:rsidRPr="00385A72" w:rsidRDefault="00385A72" w:rsidP="00385A72">
      <w:pPr>
        <w:spacing w:after="0" w:line="240" w:lineRule="auto"/>
        <w:ind w:left="709" w:right="709"/>
        <w:contextualSpacing/>
        <w:jc w:val="both"/>
        <w:rPr>
          <w:rFonts w:ascii="Verdana" w:eastAsia="Times New Roman" w:hAnsi="Verdana" w:cs="Arial"/>
          <w:sz w:val="20"/>
          <w:szCs w:val="20"/>
          <w:lang w:val="es-MX" w:eastAsia="es-CO"/>
        </w:rPr>
      </w:pPr>
      <w:r w:rsidRPr="00385A72">
        <w:rPr>
          <w:rFonts w:ascii="Verdana" w:eastAsia="Times New Roman" w:hAnsi="Verdana" w:cs="Arial"/>
          <w:sz w:val="20"/>
          <w:szCs w:val="20"/>
          <w:lang w:val="es-ES" w:eastAsia="es-CO"/>
        </w:rPr>
        <w:t xml:space="preserve">“[…] </w:t>
      </w:r>
      <w:r w:rsidRPr="00385A72">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EFE8765" w14:textId="77777777" w:rsidR="00385A72" w:rsidRPr="00385A72" w:rsidRDefault="00385A72" w:rsidP="00385A72">
      <w:pPr>
        <w:spacing w:after="0" w:line="240" w:lineRule="auto"/>
        <w:ind w:left="709" w:right="709"/>
        <w:contextualSpacing/>
        <w:jc w:val="both"/>
        <w:rPr>
          <w:rFonts w:ascii="Verdana" w:eastAsia="Times New Roman" w:hAnsi="Verdana" w:cs="Arial"/>
          <w:sz w:val="20"/>
          <w:szCs w:val="20"/>
          <w:lang w:val="es-MX" w:eastAsia="es-CO"/>
        </w:rPr>
      </w:pPr>
      <w:r w:rsidRPr="00385A72">
        <w:rPr>
          <w:rFonts w:ascii="Verdana" w:eastAsia="Times New Roman" w:hAnsi="Verdana" w:cs="Arial"/>
          <w:sz w:val="20"/>
          <w:szCs w:val="20"/>
          <w:lang w:val="es-MX" w:eastAsia="es-CO"/>
        </w:rPr>
        <w:t xml:space="preserve">[…] </w:t>
      </w:r>
    </w:p>
    <w:p w14:paraId="759CFB3D" w14:textId="77777777" w:rsidR="00385A72" w:rsidRPr="00385A72" w:rsidRDefault="00385A72" w:rsidP="00385A72">
      <w:pPr>
        <w:spacing w:after="0" w:line="240" w:lineRule="auto"/>
        <w:ind w:left="709" w:right="709"/>
        <w:contextualSpacing/>
        <w:jc w:val="both"/>
        <w:rPr>
          <w:rFonts w:ascii="Verdana" w:eastAsia="Times New Roman" w:hAnsi="Verdana" w:cs="Arial"/>
          <w:sz w:val="20"/>
          <w:szCs w:val="20"/>
          <w:lang w:val="es-MX" w:eastAsia="es-CO"/>
        </w:rPr>
      </w:pPr>
      <w:r w:rsidRPr="00385A72">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w:t>
      </w:r>
      <w:r w:rsidRPr="00385A72">
        <w:rPr>
          <w:rFonts w:ascii="Verdana" w:eastAsia="Times New Roman" w:hAnsi="Verdana" w:cs="Arial"/>
          <w:sz w:val="20"/>
          <w:szCs w:val="20"/>
          <w:lang w:val="es-MX" w:eastAsia="es-CO"/>
        </w:rPr>
        <w:lastRenderedPageBreak/>
        <w:t>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85A72">
        <w:rPr>
          <w:rFonts w:ascii="Verdana" w:eastAsia="Calibri" w:hAnsi="Verdana" w:cs="Arial"/>
          <w:sz w:val="20"/>
          <w:szCs w:val="20"/>
          <w:vertAlign w:val="superscript"/>
          <w:lang w:val="es-MX"/>
        </w:rPr>
        <w:footnoteReference w:id="4"/>
      </w:r>
    </w:p>
    <w:p w14:paraId="225F534A" w14:textId="77777777" w:rsidR="00385A72" w:rsidRPr="00385A72" w:rsidRDefault="00385A72" w:rsidP="00385A72">
      <w:pPr>
        <w:spacing w:after="0" w:line="276" w:lineRule="auto"/>
        <w:ind w:firstLine="709"/>
        <w:jc w:val="both"/>
        <w:rPr>
          <w:rFonts w:ascii="Verdana" w:eastAsia="Times New Roman" w:hAnsi="Verdana" w:cs="Arial"/>
          <w:lang w:val="es-MX" w:eastAsia="es-CO"/>
        </w:rPr>
      </w:pPr>
      <w:bookmarkStart w:id="2" w:name="_Hlk78818186"/>
    </w:p>
    <w:p w14:paraId="3E0B08BD" w14:textId="77777777" w:rsidR="00385A72" w:rsidRPr="00385A72" w:rsidRDefault="00385A72" w:rsidP="00385A72">
      <w:pPr>
        <w:spacing w:after="0" w:line="276" w:lineRule="auto"/>
        <w:ind w:firstLine="709"/>
        <w:jc w:val="both"/>
        <w:rPr>
          <w:rFonts w:ascii="Verdana" w:eastAsia="Times New Roman" w:hAnsi="Verdana" w:cs="Arial"/>
          <w:lang w:val="es-MX" w:eastAsia="es-CO"/>
        </w:rPr>
      </w:pPr>
      <w:r w:rsidRPr="00385A72">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2"/>
      <w:r w:rsidRPr="00385A72">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485AFFBE" w14:textId="77777777" w:rsidR="00385A72" w:rsidRPr="00385A72" w:rsidRDefault="00385A72" w:rsidP="00385A72">
      <w:pPr>
        <w:spacing w:after="0" w:line="276" w:lineRule="auto"/>
        <w:ind w:firstLine="709"/>
        <w:jc w:val="both"/>
        <w:rPr>
          <w:rFonts w:ascii="Verdana" w:eastAsia="Times New Roman" w:hAnsi="Verdana" w:cs="Arial"/>
          <w:lang w:val="es-MX" w:eastAsia="es-CO"/>
        </w:rPr>
      </w:pPr>
    </w:p>
    <w:p w14:paraId="661207FE" w14:textId="77777777" w:rsidR="00385A72" w:rsidRPr="00385A72" w:rsidRDefault="00385A72" w:rsidP="00385A72">
      <w:pPr>
        <w:spacing w:after="0" w:line="240" w:lineRule="auto"/>
        <w:ind w:left="709" w:right="709"/>
        <w:contextualSpacing/>
        <w:jc w:val="both"/>
        <w:rPr>
          <w:rFonts w:ascii="Verdana" w:eastAsia="Times New Roman" w:hAnsi="Verdana" w:cs="Arial"/>
          <w:sz w:val="20"/>
          <w:szCs w:val="20"/>
          <w:lang w:val="es-MX" w:eastAsia="es-CO"/>
        </w:rPr>
      </w:pPr>
      <w:r w:rsidRPr="00385A72">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CC991A9" w14:textId="77777777" w:rsidR="00385A72" w:rsidRPr="00385A72" w:rsidRDefault="00385A72" w:rsidP="00385A72">
      <w:pPr>
        <w:spacing w:after="0" w:line="240" w:lineRule="auto"/>
        <w:ind w:right="709"/>
        <w:contextualSpacing/>
        <w:jc w:val="both"/>
        <w:rPr>
          <w:rFonts w:ascii="Verdana" w:eastAsia="Times New Roman" w:hAnsi="Verdana" w:cs="Arial"/>
          <w:lang w:val="es-MX" w:eastAsia="es-CO"/>
        </w:rPr>
      </w:pPr>
    </w:p>
    <w:p w14:paraId="3BE5D9EF" w14:textId="77777777" w:rsidR="00385A72" w:rsidRPr="00385A72" w:rsidRDefault="00385A72" w:rsidP="00385A72">
      <w:pPr>
        <w:spacing w:after="0" w:line="240" w:lineRule="auto"/>
        <w:ind w:left="709" w:right="709"/>
        <w:contextualSpacing/>
        <w:jc w:val="both"/>
        <w:rPr>
          <w:rFonts w:ascii="Verdana" w:eastAsia="Times New Roman" w:hAnsi="Verdana" w:cs="Arial"/>
          <w:sz w:val="20"/>
          <w:szCs w:val="20"/>
          <w:lang w:val="es-MX" w:eastAsia="es-CO"/>
        </w:rPr>
      </w:pPr>
      <w:r w:rsidRPr="00385A72">
        <w:rPr>
          <w:rFonts w:ascii="Verdana" w:eastAsia="Times New Roman" w:hAnsi="Verdana" w:cs="Arial"/>
          <w:sz w:val="20"/>
          <w:szCs w:val="20"/>
          <w:lang w:val="es-MX" w:eastAsia="es-CO"/>
        </w:rPr>
        <w:t>La jurisprudencia de la Corte Constitucional</w:t>
      </w:r>
      <w:r w:rsidRPr="00385A72">
        <w:rPr>
          <w:rFonts w:ascii="Verdana" w:eastAsia="Times New Roman" w:hAnsi="Verdana" w:cs="Arial"/>
          <w:sz w:val="20"/>
          <w:szCs w:val="20"/>
          <w:vertAlign w:val="superscript"/>
          <w:lang w:val="es-MX" w:eastAsia="es-CO"/>
        </w:rPr>
        <w:footnoteReference w:id="5"/>
      </w:r>
      <w:r w:rsidRPr="00385A72">
        <w:rPr>
          <w:rFonts w:ascii="Verdana" w:eastAsia="Times New Roman" w:hAnsi="Verdana" w:cs="Arial"/>
          <w:sz w:val="20"/>
          <w:szCs w:val="20"/>
          <w:lang w:val="es-MX" w:eastAsia="es-CO"/>
        </w:rPr>
        <w:t> y del Consejo de Estado</w:t>
      </w:r>
      <w:r w:rsidRPr="00385A72">
        <w:rPr>
          <w:rFonts w:ascii="Verdana" w:eastAsia="Times New Roman" w:hAnsi="Verdana" w:cs="Arial"/>
          <w:sz w:val="20"/>
          <w:szCs w:val="20"/>
          <w:vertAlign w:val="superscript"/>
          <w:lang w:val="es-MX" w:eastAsia="es-CO"/>
        </w:rPr>
        <w:footnoteReference w:id="6"/>
      </w:r>
      <w:r w:rsidRPr="00385A72">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w:t>
      </w:r>
      <w:r w:rsidRPr="00385A72">
        <w:rPr>
          <w:rFonts w:ascii="Verdana" w:eastAsia="Times New Roman" w:hAnsi="Verdana" w:cs="Arial"/>
          <w:sz w:val="20"/>
          <w:szCs w:val="20"/>
          <w:lang w:val="es-MX" w:eastAsia="es-CO"/>
        </w:rPr>
        <w:lastRenderedPageBreak/>
        <w:t>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85A72">
        <w:rPr>
          <w:rFonts w:ascii="Verdana" w:eastAsia="Times New Roman" w:hAnsi="Verdana" w:cs="Arial"/>
          <w:sz w:val="20"/>
          <w:szCs w:val="20"/>
          <w:vertAlign w:val="superscript"/>
          <w:lang w:val="es-MX" w:eastAsia="es-CO"/>
        </w:rPr>
        <w:footnoteReference w:id="7"/>
      </w:r>
      <w:r w:rsidRPr="00385A72">
        <w:rPr>
          <w:rFonts w:ascii="Verdana" w:eastAsia="Times New Roman" w:hAnsi="Verdana" w:cs="Arial"/>
          <w:sz w:val="20"/>
          <w:szCs w:val="20"/>
          <w:lang w:val="es-MX" w:eastAsia="es-CO"/>
        </w:rPr>
        <w:t>.</w:t>
      </w:r>
    </w:p>
    <w:p w14:paraId="7BE681FC" w14:textId="77777777" w:rsidR="00385A72" w:rsidRPr="00385A72" w:rsidRDefault="00385A72" w:rsidP="00385A72">
      <w:pPr>
        <w:spacing w:after="0" w:line="276" w:lineRule="auto"/>
        <w:jc w:val="both"/>
        <w:rPr>
          <w:rFonts w:ascii="Verdana" w:eastAsia="Calibri" w:hAnsi="Verdana" w:cs="Arial"/>
          <w:bCs/>
          <w:lang w:val="es-ES_tradnl"/>
        </w:rPr>
      </w:pPr>
    </w:p>
    <w:p w14:paraId="55158A6B" w14:textId="77777777" w:rsidR="00385A72" w:rsidRPr="00385A72" w:rsidRDefault="00385A72" w:rsidP="00385A72">
      <w:pPr>
        <w:spacing w:after="0" w:line="276" w:lineRule="auto"/>
        <w:ind w:firstLine="709"/>
        <w:jc w:val="both"/>
        <w:rPr>
          <w:rFonts w:ascii="Verdana" w:eastAsia="Arial" w:hAnsi="Verdana" w:cs="Arial"/>
          <w:lang w:val="es-ES" w:eastAsia="es-ES" w:bidi="es-ES"/>
        </w:rPr>
      </w:pPr>
      <w:r w:rsidRPr="00385A72">
        <w:rPr>
          <w:rFonts w:ascii="Verdana" w:eastAsia="Times New Roman" w:hAnsi="Verdana" w:cs="Arial"/>
          <w:lang w:val="es-MX" w:eastAsia="es-CO"/>
        </w:rPr>
        <w:t>De</w:t>
      </w:r>
      <w:r w:rsidRPr="00385A72">
        <w:rPr>
          <w:rFonts w:ascii="Verdana" w:eastAsia="Arial" w:hAnsi="Verdana" w:cs="Arial"/>
          <w:lang w:val="es-ES" w:eastAsia="es-ES" w:bidi="es-ES"/>
        </w:rPr>
        <w:t xml:space="preserve"> conformidad con lo anterior, </w:t>
      </w:r>
      <w:bookmarkStart w:id="3" w:name="_Hlk77236098"/>
      <w:bookmarkStart w:id="4" w:name="_Hlk100679383"/>
      <w:r w:rsidRPr="00385A72">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66C1E09" w14:textId="77777777" w:rsidR="00385A72" w:rsidRPr="00385A72" w:rsidRDefault="00385A72" w:rsidP="00385A72">
      <w:pPr>
        <w:spacing w:after="0" w:line="276" w:lineRule="auto"/>
        <w:ind w:firstLine="709"/>
        <w:jc w:val="both"/>
        <w:rPr>
          <w:rFonts w:ascii="Verdana" w:eastAsia="Arial" w:hAnsi="Verdana" w:cs="Arial"/>
          <w:lang w:val="es-ES" w:eastAsia="es-ES" w:bidi="es-ES"/>
        </w:rPr>
      </w:pPr>
    </w:p>
    <w:p w14:paraId="6CC92013" w14:textId="77777777" w:rsidR="00385A72" w:rsidRPr="00385A72" w:rsidRDefault="00385A72" w:rsidP="00385A72">
      <w:pPr>
        <w:spacing w:after="120" w:line="276" w:lineRule="auto"/>
        <w:jc w:val="both"/>
        <w:rPr>
          <w:rFonts w:ascii="Verdana" w:eastAsia="Arial" w:hAnsi="Verdana" w:cs="Arial"/>
          <w:lang w:val="es-ES" w:eastAsia="es-ES" w:bidi="es-ES"/>
        </w:rPr>
      </w:pPr>
      <w:r w:rsidRPr="00385A72">
        <w:rPr>
          <w:rFonts w:ascii="Verdana" w:eastAsia="Arial" w:hAnsi="Verdana" w:cs="Arial"/>
          <w:lang w:val="es-ES" w:eastAsia="es-ES" w:bidi="es-ES"/>
        </w:rPr>
        <w:t>ii.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7AE06CD0" w14:textId="77777777" w:rsidR="00385A72" w:rsidRPr="00385A72" w:rsidRDefault="00385A72" w:rsidP="00385A72">
      <w:pPr>
        <w:spacing w:after="120" w:line="276" w:lineRule="auto"/>
        <w:ind w:firstLine="708"/>
        <w:jc w:val="both"/>
        <w:rPr>
          <w:rFonts w:ascii="Verdana" w:eastAsia="Calibri" w:hAnsi="Verdana" w:cs="Arial"/>
        </w:rPr>
      </w:pPr>
      <w:r w:rsidRPr="00385A72">
        <w:rPr>
          <w:rFonts w:ascii="Verdana" w:eastAsia="Calibri" w:hAnsi="Verdana" w:cs="Arial"/>
        </w:rPr>
        <w:t xml:space="preserve">Por un lado, el </w:t>
      </w:r>
      <w:r w:rsidRPr="00385A72">
        <w:rPr>
          <w:rFonts w:ascii="Verdana" w:eastAsia="Calibri" w:hAnsi="Verdana" w:cs="Arial"/>
          <w:i/>
          <w:iCs/>
        </w:rPr>
        <w:t>artículo 33 de la Ley 996 de 2005</w:t>
      </w:r>
      <w:r w:rsidRPr="00385A72">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85A72">
        <w:rPr>
          <w:rFonts w:ascii="Verdana" w:eastAsia="Calibri" w:hAnsi="Verdana" w:cs="Arial"/>
          <w:vertAlign w:val="superscript"/>
        </w:rPr>
        <w:footnoteReference w:id="8"/>
      </w:r>
      <w:r w:rsidRPr="00385A72">
        <w:rPr>
          <w:rFonts w:ascii="Verdana" w:eastAsia="Calibri" w:hAnsi="Verdana" w:cs="Arial"/>
        </w:rPr>
        <w:t>.</w:t>
      </w:r>
    </w:p>
    <w:p w14:paraId="0EBB67C5" w14:textId="77777777" w:rsidR="00385A72" w:rsidRPr="00385A72" w:rsidRDefault="00385A72" w:rsidP="00385A72">
      <w:pPr>
        <w:widowControl w:val="0"/>
        <w:autoSpaceDE w:val="0"/>
        <w:autoSpaceDN w:val="0"/>
        <w:spacing w:after="120" w:line="276" w:lineRule="auto"/>
        <w:ind w:right="113" w:firstLine="709"/>
        <w:jc w:val="both"/>
        <w:rPr>
          <w:rFonts w:ascii="Verdana" w:eastAsia="Arial" w:hAnsi="Verdana" w:cs="Arial"/>
          <w:lang w:val="es-ES" w:eastAsia="es-ES" w:bidi="es-ES"/>
        </w:rPr>
      </w:pPr>
      <w:r w:rsidRPr="00385A72">
        <w:rPr>
          <w:rFonts w:ascii="Verdana" w:eastAsia="Calibri" w:hAnsi="Verdana" w:cs="Arial"/>
        </w:rPr>
        <w:t xml:space="preserve">Por otro lado, </w:t>
      </w:r>
      <w:r w:rsidRPr="00385A72">
        <w:rPr>
          <w:rFonts w:ascii="Verdana" w:eastAsia="Calibri" w:hAnsi="Verdana" w:cs="Arial"/>
          <w:i/>
          <w:iCs/>
        </w:rPr>
        <w:t>el parágrafo del artículo 38 de la Ley 996 de 2005</w:t>
      </w:r>
      <w:r w:rsidRPr="00385A72">
        <w:rPr>
          <w:rFonts w:ascii="Verdana" w:eastAsia="Calibri" w:hAnsi="Verdana" w:cs="Arial"/>
        </w:rPr>
        <w:t xml:space="preserve"> prevé una restricción, aplicable respecto de cualquier tipo de contienda electoral, que </w:t>
      </w:r>
      <w:r w:rsidRPr="00385A72">
        <w:rPr>
          <w:rFonts w:ascii="Verdana" w:eastAsia="Calibri" w:hAnsi="Verdana" w:cs="Arial"/>
        </w:rPr>
        <w:lastRenderedPageBreak/>
        <w:t xml:space="preserve">prohíbe a los gobernadores, alcaldes municipales o distritales, secretarios, gerentes y directores de entidades descentralizadas del orden municipal, departamental o distrital “[…] </w:t>
      </w:r>
      <w:r w:rsidRPr="00385A72">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85A72">
        <w:rPr>
          <w:rFonts w:ascii="Verdana" w:eastAsia="Calibri" w:hAnsi="Verdana" w:cs="Arial"/>
        </w:rPr>
        <w:t>”</w:t>
      </w:r>
      <w:bookmarkEnd w:id="4"/>
      <w:r w:rsidRPr="00385A72">
        <w:rPr>
          <w:rFonts w:ascii="Verdana" w:eastAsia="Calibri" w:hAnsi="Verdana" w:cs="Arial"/>
          <w:vertAlign w:val="superscript"/>
        </w:rPr>
        <w:footnoteReference w:id="9"/>
      </w:r>
      <w:r w:rsidRPr="00385A72">
        <w:rPr>
          <w:rFonts w:ascii="Verdana" w:eastAsia="Calibri" w:hAnsi="Verdana" w:cs="Arial"/>
          <w:lang w:val="es-MX"/>
        </w:rPr>
        <w:t>.</w:t>
      </w:r>
      <w:r w:rsidRPr="00385A72">
        <w:rPr>
          <w:rFonts w:ascii="Verdana" w:eastAsia="Arial" w:hAnsi="Verdana" w:cs="Arial"/>
          <w:lang w:val="es-ES" w:eastAsia="es-ES" w:bidi="es-ES"/>
        </w:rPr>
        <w:t xml:space="preserve"> </w:t>
      </w:r>
    </w:p>
    <w:p w14:paraId="46889BF3" w14:textId="77777777" w:rsidR="00385A72" w:rsidRPr="00385A72" w:rsidRDefault="00385A72" w:rsidP="00385A72">
      <w:pPr>
        <w:spacing w:after="120" w:line="276" w:lineRule="auto"/>
        <w:ind w:firstLine="708"/>
        <w:jc w:val="both"/>
        <w:rPr>
          <w:rFonts w:ascii="Verdana" w:eastAsia="Times New Roman" w:hAnsi="Verdana" w:cs="Arial"/>
          <w:bCs/>
          <w:lang w:eastAsia="es-CO"/>
        </w:rPr>
      </w:pPr>
      <w:r w:rsidRPr="00385A72">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385A72">
        <w:rPr>
          <w:rFonts w:ascii="Verdana" w:eastAsia="Times New Roman" w:hAnsi="Verdana" w:cs="Arial"/>
          <w:bCs/>
          <w:lang w:eastAsia="es-CO"/>
        </w:rPr>
        <w:t>1. </w:t>
      </w:r>
      <w:r w:rsidRPr="00385A72">
        <w:rPr>
          <w:rFonts w:ascii="Verdana" w:eastAsia="Times New Roman" w:hAnsi="Verdana" w:cs="Arial"/>
          <w:bCs/>
          <w:i/>
          <w:iCs/>
          <w:lang w:eastAsia="es-CO"/>
        </w:rPr>
        <w:t>Gral.</w:t>
      </w:r>
      <w:r w:rsidRPr="00385A72">
        <w:rPr>
          <w:rFonts w:ascii="Verdana" w:eastAsia="Times New Roman" w:hAnsi="Verdana" w:cs="Arial"/>
          <w:bCs/>
          <w:lang w:eastAsia="es-CO"/>
        </w:rPr>
        <w:t xml:space="preserve"> Otorgar o firmar un contrato. 2. </w:t>
      </w:r>
      <w:r w:rsidRPr="00385A72">
        <w:rPr>
          <w:rFonts w:ascii="Verdana" w:eastAsia="Times New Roman" w:hAnsi="Verdana" w:cs="Arial"/>
          <w:bCs/>
          <w:i/>
          <w:iCs/>
          <w:lang w:eastAsia="es-CO"/>
        </w:rPr>
        <w:t>Proc.</w:t>
      </w:r>
      <w:r w:rsidRPr="00385A72">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01D399A4" w14:textId="77777777" w:rsidR="00385A72" w:rsidRPr="00385A72" w:rsidRDefault="00385A72" w:rsidP="00385A72">
      <w:pPr>
        <w:spacing w:after="120" w:line="276" w:lineRule="auto"/>
        <w:ind w:firstLine="708"/>
        <w:jc w:val="both"/>
        <w:rPr>
          <w:rFonts w:ascii="Verdana" w:eastAsia="Times New Roman" w:hAnsi="Verdana" w:cs="Arial"/>
          <w:bCs/>
          <w:lang w:val="es-ES" w:eastAsia="es-CO"/>
        </w:rPr>
      </w:pPr>
      <w:r w:rsidRPr="00385A72">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385A72">
        <w:rPr>
          <w:rFonts w:ascii="Verdana" w:eastAsia="Times New Roman" w:hAnsi="Verdana" w:cs="Arial"/>
          <w:bCs/>
          <w:lang w:val="es-ES" w:eastAsia="es-CO"/>
        </w:rPr>
        <w:t xml:space="preserve">la existencia de los contratos estatales, es decir, la producción de efectos jurídicos en los términos del artículo 1501 </w:t>
      </w:r>
      <w:r w:rsidRPr="00385A72">
        <w:rPr>
          <w:rFonts w:ascii="Verdana" w:eastAsia="Times New Roman" w:hAnsi="Verdana" w:cs="Arial"/>
          <w:bCs/>
          <w:i/>
          <w:lang w:val="es-ES" w:eastAsia="es-CO"/>
        </w:rPr>
        <w:t>ibídem</w:t>
      </w:r>
      <w:r w:rsidRPr="00385A72">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2DB9CC52" w14:textId="77777777" w:rsidR="00385A72" w:rsidRPr="00385A72" w:rsidRDefault="00385A72" w:rsidP="00385A72">
      <w:pPr>
        <w:spacing w:after="120" w:line="276" w:lineRule="auto"/>
        <w:ind w:firstLine="708"/>
        <w:jc w:val="both"/>
        <w:rPr>
          <w:rFonts w:ascii="Verdana" w:eastAsia="Times New Roman" w:hAnsi="Verdana" w:cs="Arial"/>
          <w:bCs/>
          <w:lang w:val="es-ES" w:eastAsia="es-CO"/>
        </w:rPr>
      </w:pPr>
      <w:r w:rsidRPr="00385A72">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w:t>
      </w:r>
      <w:r w:rsidRPr="00385A72">
        <w:rPr>
          <w:rFonts w:ascii="Verdana" w:eastAsia="Times New Roman" w:hAnsi="Verdana" w:cs="Arial"/>
          <w:bCs/>
          <w:lang w:val="es-ES" w:eastAsia="es-CO"/>
        </w:rPr>
        <w:lastRenderedPageBreak/>
        <w:t xml:space="preserve">Por tanto, no se refiere a los requisitos de ejecución, es decir, aquellas condiciones para iniciar un contrato, como es la aprobación de las garantías o el registro presupuestal, o en algunos casos, la firma del acta de inicio, si así se determinó. </w:t>
      </w:r>
    </w:p>
    <w:p w14:paraId="4BE031EB" w14:textId="77777777" w:rsidR="00385A72" w:rsidRPr="00385A72" w:rsidRDefault="00385A72" w:rsidP="00385A72">
      <w:pPr>
        <w:spacing w:after="120" w:line="276" w:lineRule="auto"/>
        <w:ind w:firstLine="708"/>
        <w:jc w:val="both"/>
        <w:rPr>
          <w:rFonts w:ascii="Verdana" w:eastAsia="Times New Roman" w:hAnsi="Verdana" w:cs="Arial"/>
          <w:bCs/>
          <w:lang w:val="es-ES" w:eastAsia="es-CO"/>
        </w:rPr>
      </w:pPr>
      <w:r w:rsidRPr="00385A72">
        <w:rPr>
          <w:rFonts w:ascii="Verdana" w:eastAsia="Times New Roman" w:hAnsi="Verdana" w:cs="Arial"/>
          <w:bCs/>
          <w:lang w:val="es-ES" w:eastAsia="es-CO"/>
        </w:rPr>
        <w:t xml:space="preserve">Así mismo, </w:t>
      </w:r>
      <w:r w:rsidRPr="00385A72">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385A72">
        <w:rPr>
          <w:rFonts w:ascii="Verdana" w:eastAsia="Times New Roman" w:hAnsi="Verdana" w:cs="Arial"/>
          <w:bCs/>
          <w:vertAlign w:val="superscript"/>
          <w:lang w:val="es-MX" w:eastAsia="es-CO"/>
        </w:rPr>
        <w:footnoteReference w:id="10"/>
      </w:r>
      <w:r w:rsidRPr="00385A72">
        <w:rPr>
          <w:rFonts w:ascii="Verdana" w:eastAsia="Times New Roman" w:hAnsi="Verdana" w:cs="Arial"/>
          <w:bCs/>
          <w:lang w:val="es-MX" w:eastAsia="es-CO"/>
        </w:rPr>
        <w:t xml:space="preserve">. </w:t>
      </w:r>
    </w:p>
    <w:p w14:paraId="72E7E3D4" w14:textId="77777777" w:rsidR="00385A72" w:rsidRPr="00385A72" w:rsidRDefault="00385A72" w:rsidP="00385A72">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385A7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451C2597" w14:textId="77777777" w:rsidR="00385A72" w:rsidRPr="00385A72" w:rsidRDefault="00385A72" w:rsidP="00385A72">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3DAE925" w14:textId="77777777" w:rsidR="00385A72" w:rsidRPr="00385A72" w:rsidRDefault="00385A72" w:rsidP="00385A7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385A72">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385A72">
        <w:rPr>
          <w:rFonts w:ascii="Verdana" w:eastAsia="Arial" w:hAnsi="Verdana" w:cs="Arial"/>
          <w:sz w:val="20"/>
          <w:szCs w:val="20"/>
          <w:lang w:eastAsia="es-ES" w:bidi="es-ES"/>
        </w:rPr>
        <w:t>se integran parcialmente</w:t>
      </w:r>
      <w:bookmarkEnd w:id="7"/>
      <w:r w:rsidRPr="00385A72">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385A72">
        <w:rPr>
          <w:rFonts w:ascii="Verdana" w:eastAsia="Arial" w:hAnsi="Verdana" w:cs="Arial"/>
          <w:sz w:val="20"/>
          <w:szCs w:val="20"/>
          <w:vertAlign w:val="superscript"/>
          <w:lang w:eastAsia="es-ES" w:bidi="es-ES"/>
        </w:rPr>
        <w:footnoteReference w:id="11"/>
      </w:r>
    </w:p>
    <w:p w14:paraId="602F21BB" w14:textId="77777777" w:rsidR="00385A72" w:rsidRPr="00385A72" w:rsidRDefault="00385A72" w:rsidP="00385A72">
      <w:pPr>
        <w:widowControl w:val="0"/>
        <w:autoSpaceDE w:val="0"/>
        <w:autoSpaceDN w:val="0"/>
        <w:spacing w:after="0" w:line="276" w:lineRule="auto"/>
        <w:contextualSpacing/>
        <w:rPr>
          <w:rFonts w:ascii="Verdana" w:eastAsia="Arial" w:hAnsi="Verdana" w:cs="Arial"/>
          <w:lang w:val="es-ES" w:eastAsia="es-ES" w:bidi="es-ES"/>
        </w:rPr>
      </w:pPr>
    </w:p>
    <w:p w14:paraId="0B2DF55A" w14:textId="77777777" w:rsidR="00385A72" w:rsidRPr="00385A72" w:rsidRDefault="00385A72" w:rsidP="00385A72">
      <w:pPr>
        <w:spacing w:after="120" w:line="276" w:lineRule="auto"/>
        <w:ind w:firstLine="709"/>
        <w:jc w:val="both"/>
        <w:rPr>
          <w:rFonts w:ascii="Verdana" w:eastAsia="Arial" w:hAnsi="Verdana" w:cs="Arial"/>
          <w:lang w:val="es-ES" w:eastAsia="es-ES" w:bidi="es-ES"/>
        </w:rPr>
      </w:pPr>
      <w:r w:rsidRPr="00385A72">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385A72">
        <w:rPr>
          <w:rFonts w:ascii="Verdana" w:eastAsia="Arial" w:hAnsi="Verdana" w:cs="Arial"/>
          <w:lang w:val="es-ES" w:eastAsia="es-ES" w:bidi="es-ES"/>
        </w:rPr>
        <w:t xml:space="preserve">la Ley 996 de 2005 establece dos (2) tipos de restricciones en materia de contratación, las cuales coinciden parcialmente. </w:t>
      </w:r>
      <w:r w:rsidRPr="00385A72">
        <w:rPr>
          <w:rFonts w:ascii="Verdana" w:eastAsia="Arial" w:hAnsi="Verdana" w:cs="Arial"/>
          <w:i/>
          <w:lang w:val="es-ES" w:eastAsia="es-ES" w:bidi="es-ES"/>
        </w:rPr>
        <w:t>En primer lugar</w:t>
      </w:r>
      <w:r w:rsidRPr="00385A72">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w:t>
      </w:r>
      <w:r w:rsidRPr="00385A72">
        <w:rPr>
          <w:rFonts w:ascii="Verdana" w:eastAsia="Arial" w:hAnsi="Verdana" w:cs="Arial"/>
          <w:lang w:val="es-ES" w:eastAsia="es-ES" w:bidi="es-ES"/>
        </w:rPr>
        <w:lastRenderedPageBreak/>
        <w:t xml:space="preserve">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385A72">
        <w:rPr>
          <w:rFonts w:ascii="Verdana" w:eastAsia="Arial" w:hAnsi="Verdana" w:cs="Arial"/>
          <w:i/>
          <w:lang w:val="es-ES" w:eastAsia="es-ES" w:bidi="es-ES"/>
        </w:rPr>
        <w:t>En segundo lugar</w:t>
      </w:r>
      <w:r w:rsidRPr="00385A7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7D2A3F2E" w14:textId="77777777" w:rsidR="00385A72" w:rsidRPr="00385A72" w:rsidRDefault="00385A72" w:rsidP="00385A72">
      <w:pPr>
        <w:spacing w:after="120" w:line="276" w:lineRule="auto"/>
        <w:ind w:firstLine="709"/>
        <w:jc w:val="both"/>
        <w:rPr>
          <w:rFonts w:ascii="Verdana" w:eastAsia="Arial" w:hAnsi="Verdana" w:cs="Arial"/>
          <w:lang w:val="es-ES" w:eastAsia="es-ES" w:bidi="es-ES"/>
        </w:rPr>
      </w:pPr>
      <w:r w:rsidRPr="00385A7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58C6BE79" w14:textId="77777777" w:rsidR="00385A72" w:rsidRPr="00385A72" w:rsidRDefault="00385A72" w:rsidP="00385A72">
      <w:pPr>
        <w:spacing w:after="0" w:line="276" w:lineRule="auto"/>
        <w:ind w:firstLine="709"/>
        <w:jc w:val="both"/>
        <w:rPr>
          <w:rFonts w:ascii="Verdana" w:eastAsia="Arial" w:hAnsi="Verdana" w:cs="Arial"/>
          <w:lang w:val="es-ES" w:eastAsia="es-ES" w:bidi="es-ES"/>
        </w:rPr>
      </w:pPr>
      <w:r w:rsidRPr="00385A7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B85FE0C" w14:textId="77777777" w:rsidR="00385A72" w:rsidRPr="00385A72" w:rsidRDefault="00385A72" w:rsidP="00385A72">
      <w:pPr>
        <w:spacing w:after="120" w:line="276" w:lineRule="auto"/>
        <w:ind w:firstLine="708"/>
        <w:jc w:val="both"/>
        <w:rPr>
          <w:rFonts w:ascii="Verdana" w:eastAsia="Arial" w:hAnsi="Verdana" w:cs="Arial"/>
          <w:lang w:val="es-ES" w:eastAsia="es-ES" w:bidi="es-ES"/>
        </w:rPr>
      </w:pPr>
      <w:r w:rsidRPr="00385A72">
        <w:rPr>
          <w:rFonts w:ascii="Verdana" w:eastAsia="Arial" w:hAnsi="Verdana" w:cs="Arial"/>
          <w:lang w:val="es-ES" w:eastAsia="es-ES" w:bidi="es-ES"/>
        </w:rPr>
        <w:t xml:space="preserve"> </w:t>
      </w:r>
      <w:bookmarkStart w:id="11" w:name="_Hlk78820161"/>
    </w:p>
    <w:p w14:paraId="3E70073F" w14:textId="77777777" w:rsidR="00385A72" w:rsidRPr="00385A72" w:rsidRDefault="00385A72" w:rsidP="00385A72">
      <w:pPr>
        <w:spacing w:line="276" w:lineRule="auto"/>
        <w:jc w:val="both"/>
        <w:rPr>
          <w:rFonts w:ascii="Verdana" w:eastAsia="Times New Roman" w:hAnsi="Verdana" w:cs="Arial"/>
          <w:bCs/>
          <w:lang w:val="es-MX" w:eastAsia="es-CO"/>
        </w:rPr>
      </w:pPr>
      <w:r w:rsidRPr="00385A72">
        <w:rPr>
          <w:rFonts w:ascii="Verdana" w:eastAsia="Arial" w:hAnsi="Verdana" w:cs="Arial"/>
          <w:lang w:val="es-ES" w:eastAsia="es-ES" w:bidi="es-ES"/>
        </w:rPr>
        <w:t xml:space="preserve">iii. </w:t>
      </w:r>
      <w:r w:rsidRPr="00385A72">
        <w:rPr>
          <w:rFonts w:ascii="Verdana" w:eastAsia="Times New Roman" w:hAnsi="Verdana" w:cs="Arial"/>
          <w:bCs/>
          <w:lang w:val="es-MX" w:eastAsia="x-none"/>
        </w:rPr>
        <w:t xml:space="preserve">El ámbito material de la prohibición contenida en el artículo 33 de la ley 996 de 2005 está delimitado por la expresión </w:t>
      </w:r>
      <w:r w:rsidRPr="00385A72">
        <w:rPr>
          <w:rFonts w:ascii="Verdana" w:eastAsia="Calibri" w:hAnsi="Verdana" w:cs="Arial"/>
          <w:bCs/>
          <w:sz w:val="20"/>
          <w:szCs w:val="20"/>
          <w:lang w:val="es-MX"/>
        </w:rPr>
        <w:t>“</w:t>
      </w:r>
      <w:r w:rsidRPr="00385A72">
        <w:rPr>
          <w:rFonts w:ascii="Verdana" w:eastAsia="Times New Roman" w:hAnsi="Verdana" w:cs="Arial"/>
          <w:bCs/>
          <w:lang w:val="es-MX" w:eastAsia="x-none"/>
        </w:rPr>
        <w:t xml:space="preserve">queda prohibida la contratación </w:t>
      </w:r>
      <w:r w:rsidRPr="00385A72">
        <w:rPr>
          <w:rFonts w:ascii="Verdana" w:eastAsia="Times New Roman" w:hAnsi="Verdana" w:cs="Arial"/>
          <w:bCs/>
          <w:lang w:val="es-MX" w:eastAsia="x-none"/>
        </w:rPr>
        <w:lastRenderedPageBreak/>
        <w:t>directa</w:t>
      </w:r>
      <w:r w:rsidRPr="00385A72">
        <w:rPr>
          <w:rFonts w:ascii="Verdana" w:eastAsia="Calibri" w:hAnsi="Verdana" w:cs="Arial"/>
          <w:sz w:val="20"/>
          <w:szCs w:val="20"/>
          <w:lang w:val="es-MX"/>
        </w:rPr>
        <w:t>”</w:t>
      </w:r>
      <w:r w:rsidRPr="00385A72">
        <w:rPr>
          <w:rFonts w:ascii="Verdana" w:eastAsia="Times New Roman" w:hAnsi="Verdana" w:cs="Arial"/>
          <w:bCs/>
          <w:lang w:val="es-MX" w:eastAsia="x-none"/>
        </w:rPr>
        <w:t xml:space="preserve">. </w:t>
      </w:r>
      <w:r w:rsidRPr="00385A72">
        <w:rPr>
          <w:rFonts w:ascii="Verdana" w:eastAsia="Times New Roman" w:hAnsi="Verdana" w:cs="Arial"/>
          <w:lang w:val="es-MX" w:eastAsia="es-CO"/>
        </w:rPr>
        <w:t xml:space="preserve"> A propósito de </w:t>
      </w:r>
      <w:r w:rsidRPr="00385A72">
        <w:rPr>
          <w:rFonts w:ascii="Verdana" w:eastAsia="Times New Roman" w:hAnsi="Verdana" w:cs="Arial"/>
          <w:lang w:eastAsia="es-CO"/>
        </w:rPr>
        <w:t>esta restricción de la Ley de Garantías Electorales, la Sala de Consulta y Servicio Civil del Consejo de Estado ha considerado que:</w:t>
      </w:r>
    </w:p>
    <w:p w14:paraId="6AD2E383" w14:textId="77777777" w:rsidR="00385A72" w:rsidRPr="00385A72" w:rsidRDefault="00385A72" w:rsidP="00385A72">
      <w:pPr>
        <w:spacing w:after="0" w:line="240" w:lineRule="auto"/>
        <w:ind w:left="708" w:right="709"/>
        <w:jc w:val="both"/>
        <w:rPr>
          <w:rFonts w:ascii="Verdana" w:eastAsia="Calibri" w:hAnsi="Verdana" w:cs="Arial"/>
          <w:sz w:val="21"/>
          <w:szCs w:val="21"/>
          <w:lang w:val="es-MX"/>
        </w:rPr>
      </w:pPr>
    </w:p>
    <w:p w14:paraId="376EFA72" w14:textId="77777777" w:rsidR="00385A72" w:rsidRPr="00385A72" w:rsidRDefault="00385A72" w:rsidP="00385A72">
      <w:pPr>
        <w:spacing w:after="120" w:line="240" w:lineRule="auto"/>
        <w:ind w:left="709" w:right="709"/>
        <w:jc w:val="both"/>
        <w:rPr>
          <w:rFonts w:ascii="Verdana" w:eastAsia="Calibri" w:hAnsi="Verdana" w:cs="Arial"/>
          <w:sz w:val="20"/>
          <w:szCs w:val="20"/>
          <w:lang w:val="es-MX"/>
        </w:rPr>
      </w:pPr>
      <w:r w:rsidRPr="00385A72">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85A72">
        <w:rPr>
          <w:rFonts w:ascii="Verdana" w:eastAsia="Times New Roman" w:hAnsi="Verdana" w:cs="Arial"/>
          <w:sz w:val="20"/>
          <w:szCs w:val="20"/>
          <w:vertAlign w:val="superscript"/>
          <w:lang w:eastAsia="es-CO"/>
        </w:rPr>
        <w:footnoteReference w:id="12"/>
      </w:r>
      <w:r w:rsidRPr="00385A72">
        <w:rPr>
          <w:rFonts w:ascii="Verdana" w:eastAsia="Calibri" w:hAnsi="Verdana" w:cs="Arial"/>
          <w:sz w:val="20"/>
          <w:szCs w:val="20"/>
          <w:lang w:val="es-MX"/>
        </w:rPr>
        <w:t>.</w:t>
      </w:r>
    </w:p>
    <w:p w14:paraId="378AC9F2" w14:textId="77777777" w:rsidR="00385A72" w:rsidRPr="00385A72" w:rsidRDefault="00385A72" w:rsidP="00385A72">
      <w:pPr>
        <w:spacing w:after="0" w:line="240" w:lineRule="auto"/>
        <w:ind w:left="708" w:right="709"/>
        <w:jc w:val="both"/>
        <w:rPr>
          <w:rFonts w:ascii="Verdana" w:eastAsia="Calibri" w:hAnsi="Verdana" w:cs="Arial"/>
          <w:sz w:val="20"/>
          <w:szCs w:val="20"/>
          <w:lang w:val="es-MX"/>
        </w:rPr>
      </w:pPr>
      <w:r w:rsidRPr="00385A72">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85A72">
        <w:rPr>
          <w:rFonts w:ascii="Verdana" w:eastAsia="Times New Roman" w:hAnsi="Verdana" w:cs="Arial"/>
          <w:sz w:val="20"/>
          <w:szCs w:val="20"/>
          <w:vertAlign w:val="superscript"/>
          <w:lang w:val="es-MX"/>
        </w:rPr>
        <w:footnoteReference w:id="13"/>
      </w:r>
      <w:r w:rsidRPr="00385A72">
        <w:rPr>
          <w:rFonts w:ascii="Verdana" w:eastAsia="Times New Roman" w:hAnsi="Verdana" w:cs="Arial"/>
          <w:sz w:val="20"/>
          <w:szCs w:val="20"/>
          <w:vertAlign w:val="superscript"/>
          <w:lang w:val="es-MX"/>
        </w:rPr>
        <w:t>.</w:t>
      </w:r>
      <w:r w:rsidRPr="00385A7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85A72">
        <w:rPr>
          <w:rFonts w:ascii="Verdana" w:eastAsia="Times New Roman" w:hAnsi="Verdana" w:cs="Arial"/>
          <w:sz w:val="20"/>
          <w:szCs w:val="20"/>
          <w:vertAlign w:val="superscript"/>
          <w:lang w:eastAsia="es-CO"/>
        </w:rPr>
        <w:footnoteReference w:id="14"/>
      </w:r>
      <w:r w:rsidRPr="00385A72">
        <w:rPr>
          <w:rFonts w:ascii="Verdana" w:eastAsia="Calibri" w:hAnsi="Verdana" w:cs="Arial"/>
          <w:sz w:val="20"/>
          <w:szCs w:val="20"/>
          <w:lang w:val="es-MX"/>
        </w:rPr>
        <w:t xml:space="preserve"> .</w:t>
      </w:r>
    </w:p>
    <w:p w14:paraId="62721D48" w14:textId="77777777" w:rsidR="00385A72" w:rsidRPr="00385A72" w:rsidRDefault="00385A72" w:rsidP="00385A72">
      <w:pPr>
        <w:shd w:val="clear" w:color="auto" w:fill="FFFFFF"/>
        <w:spacing w:after="0" w:line="276" w:lineRule="auto"/>
        <w:ind w:firstLine="709"/>
        <w:jc w:val="both"/>
        <w:rPr>
          <w:rFonts w:ascii="Verdana" w:eastAsia="Times New Roman" w:hAnsi="Verdana" w:cs="Arial"/>
          <w:lang w:eastAsia="x-none"/>
        </w:rPr>
      </w:pPr>
    </w:p>
    <w:p w14:paraId="4EDA413A" w14:textId="77777777" w:rsidR="00385A72" w:rsidRPr="00385A72" w:rsidRDefault="00385A72" w:rsidP="00385A72">
      <w:pPr>
        <w:spacing w:after="120" w:line="276" w:lineRule="auto"/>
        <w:ind w:firstLine="708"/>
        <w:jc w:val="both"/>
        <w:rPr>
          <w:rFonts w:ascii="Verdana" w:eastAsia="Times New Roman" w:hAnsi="Verdana" w:cs="Arial"/>
          <w:bCs/>
          <w:lang w:eastAsia="x-none"/>
        </w:rPr>
      </w:pPr>
      <w:r w:rsidRPr="00385A72">
        <w:rPr>
          <w:rFonts w:ascii="Verdana" w:eastAsia="Times New Roman" w:hAnsi="Verdana" w:cs="Arial"/>
          <w:lang w:eastAsia="x-none"/>
        </w:rPr>
        <w:t xml:space="preserve">De acuerdo con el citado concepto, la prohibición del artículo 33 de la Ley de Garantías Electorales se refiere a </w:t>
      </w:r>
      <w:r w:rsidRPr="00385A72">
        <w:rPr>
          <w:rFonts w:ascii="Verdana" w:eastAsia="Times New Roman" w:hAnsi="Verdana" w:cs="Arial"/>
          <w:sz w:val="19"/>
          <w:szCs w:val="19"/>
          <w:lang w:eastAsia="en-GB"/>
        </w:rPr>
        <w:t>“</w:t>
      </w:r>
      <w:r w:rsidRPr="00385A72">
        <w:rPr>
          <w:rFonts w:ascii="Verdana" w:eastAsia="Times New Roman" w:hAnsi="Verdana" w:cs="Arial"/>
          <w:lang w:eastAsia="x-none"/>
        </w:rPr>
        <w:t>cualquier sistema que no implique convocatoria pública y posibilidad de pluralidad de oferentes</w:t>
      </w:r>
      <w:r w:rsidRPr="00385A72">
        <w:rPr>
          <w:rFonts w:ascii="Verdana" w:eastAsia="Times New Roman" w:hAnsi="Verdana" w:cs="Arial"/>
          <w:lang w:eastAsia="en-GB"/>
        </w:rPr>
        <w:t>”</w:t>
      </w:r>
      <w:r w:rsidRPr="00385A72">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385A72">
        <w:rPr>
          <w:rFonts w:ascii="Verdana" w:eastAsia="Times New Roman" w:hAnsi="Verdana" w:cs="Arial"/>
          <w:lang w:val="es-ES_tradnl" w:eastAsia="x-none"/>
        </w:rPr>
        <w:t>y la mínima cuantía</w:t>
      </w:r>
      <w:r w:rsidRPr="00385A72" w:rsidDel="00A85D9F">
        <w:rPr>
          <w:rFonts w:ascii="Verdana" w:eastAsia="Times New Roman" w:hAnsi="Verdana" w:cs="Arial"/>
          <w:lang w:eastAsia="x-none"/>
        </w:rPr>
        <w:t xml:space="preserve"> </w:t>
      </w:r>
      <w:r w:rsidRPr="00385A72">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385A72">
        <w:rPr>
          <w:rFonts w:ascii="Verdana" w:eastAsia="Times New Roman" w:hAnsi="Verdana" w:cs="Arial"/>
          <w:vertAlign w:val="superscript"/>
          <w:lang w:val="en-GB" w:eastAsia="x-none"/>
        </w:rPr>
        <w:footnoteReference w:id="15"/>
      </w:r>
      <w:r w:rsidRPr="00385A72">
        <w:rPr>
          <w:rFonts w:ascii="Verdana" w:eastAsia="Times New Roman" w:hAnsi="Verdana" w:cs="Arial"/>
          <w:lang w:eastAsia="x-none"/>
        </w:rPr>
        <w:t xml:space="preserve"> y sistematizó las causales de contratación directa</w:t>
      </w:r>
      <w:r w:rsidRPr="00385A72">
        <w:rPr>
          <w:rFonts w:ascii="Verdana" w:eastAsia="Times New Roman" w:hAnsi="Verdana" w:cs="Arial"/>
          <w:vertAlign w:val="superscript"/>
          <w:lang w:val="en-GB" w:eastAsia="x-none"/>
        </w:rPr>
        <w:footnoteReference w:id="16"/>
      </w:r>
      <w:r w:rsidRPr="00385A72">
        <w:rPr>
          <w:rFonts w:ascii="Verdana" w:eastAsia="Times New Roman" w:hAnsi="Verdana" w:cs="Arial"/>
          <w:lang w:eastAsia="x-none"/>
        </w:rPr>
        <w:t xml:space="preserve">, </w:t>
      </w:r>
      <w:r w:rsidRPr="00385A72">
        <w:rPr>
          <w:rFonts w:ascii="Verdana" w:eastAsia="Calibri" w:hAnsi="Verdana" w:cs="Arial"/>
          <w:szCs w:val="24"/>
          <w:lang w:eastAsia="x-none"/>
        </w:rPr>
        <w:t xml:space="preserve">además lo es con la posterior creación de la modalidad de mínima cuantía establecida actualmente en el numeral 5 del </w:t>
      </w:r>
      <w:r w:rsidRPr="00385A72">
        <w:rPr>
          <w:rFonts w:ascii="Verdana" w:eastAsia="Calibri" w:hAnsi="Verdana" w:cs="Arial"/>
          <w:szCs w:val="24"/>
          <w:lang w:eastAsia="x-none"/>
        </w:rPr>
        <w:lastRenderedPageBreak/>
        <w:t>artículo 2 de la Ley 1150 de 2007, de acuerdo con las modificaciones realizadas por leyes posteriores.</w:t>
      </w:r>
    </w:p>
    <w:p w14:paraId="26052164" w14:textId="77777777" w:rsidR="00385A72" w:rsidRPr="00385A72" w:rsidRDefault="00385A72" w:rsidP="00385A72">
      <w:pPr>
        <w:spacing w:after="120" w:line="276" w:lineRule="auto"/>
        <w:ind w:firstLine="708"/>
        <w:jc w:val="both"/>
        <w:rPr>
          <w:rFonts w:ascii="Verdana" w:eastAsia="Times New Roman" w:hAnsi="Verdana" w:cs="Arial"/>
          <w:lang w:val="es-MX" w:eastAsia="x-none"/>
        </w:rPr>
      </w:pPr>
      <w:r w:rsidRPr="00385A72">
        <w:rPr>
          <w:rFonts w:ascii="Verdana" w:eastAsia="Times New Roman" w:hAnsi="Verdana" w:cs="Arial"/>
          <w:lang w:eastAsia="x-none"/>
        </w:rPr>
        <w:t xml:space="preserve">De esta forma, con fundamento en la evolución de la normativa sobre la contratación pública, se ha depurado la noción de </w:t>
      </w:r>
      <w:r w:rsidRPr="00385A72">
        <w:rPr>
          <w:rFonts w:ascii="Verdana" w:eastAsia="Times New Roman" w:hAnsi="Verdana" w:cs="Arial"/>
          <w:sz w:val="19"/>
          <w:szCs w:val="19"/>
          <w:lang w:eastAsia="en-GB"/>
        </w:rPr>
        <w:t>«</w:t>
      </w:r>
      <w:r w:rsidRPr="00385A72">
        <w:rPr>
          <w:rFonts w:ascii="Verdana" w:eastAsia="Times New Roman" w:hAnsi="Verdana" w:cs="Arial"/>
          <w:lang w:eastAsia="x-none"/>
        </w:rPr>
        <w:t>contratación directa</w:t>
      </w:r>
      <w:r w:rsidRPr="00385A72">
        <w:rPr>
          <w:rFonts w:ascii="Verdana" w:eastAsia="Times New Roman" w:hAnsi="Verdana" w:cs="Arial"/>
          <w:lang w:eastAsia="en-GB"/>
        </w:rPr>
        <w:t>»</w:t>
      </w:r>
      <w:r w:rsidRPr="00385A72">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85A72">
        <w:rPr>
          <w:rFonts w:ascii="Verdana" w:eastAsia="Times New Roman" w:hAnsi="Verdana" w:cs="Arial"/>
          <w:vertAlign w:val="superscript"/>
          <w:lang w:val="en-GB" w:eastAsia="x-none"/>
        </w:rPr>
        <w:footnoteReference w:id="17"/>
      </w:r>
      <w:r w:rsidRPr="00385A72">
        <w:rPr>
          <w:rFonts w:ascii="Verdana" w:eastAsia="Times New Roman" w:hAnsi="Verdana" w:cs="Arial"/>
          <w:lang w:eastAsia="x-none"/>
        </w:rPr>
        <w:t>, han establecido sistemas de contratación que implican convocatoria pública y participación de varios oferentes</w:t>
      </w:r>
      <w:r w:rsidRPr="00385A72">
        <w:rPr>
          <w:rFonts w:ascii="Verdana" w:eastAsia="Times New Roman" w:hAnsi="Verdana" w:cs="Arial"/>
          <w:lang w:eastAsia="en-GB"/>
        </w:rPr>
        <w:t>»</w:t>
      </w:r>
      <w:r w:rsidRPr="00385A72">
        <w:rPr>
          <w:rFonts w:ascii="Verdana" w:eastAsia="Times New Roman" w:hAnsi="Verdana" w:cs="Arial"/>
          <w:lang w:eastAsia="x-none"/>
        </w:rPr>
        <w:t xml:space="preserve">. </w:t>
      </w:r>
    </w:p>
    <w:p w14:paraId="2DDED292" w14:textId="77777777" w:rsidR="00385A72" w:rsidRPr="00385A72" w:rsidRDefault="00385A72" w:rsidP="00385A72">
      <w:pPr>
        <w:spacing w:after="120" w:line="276" w:lineRule="auto"/>
        <w:ind w:firstLine="708"/>
        <w:jc w:val="both"/>
        <w:rPr>
          <w:rFonts w:ascii="Verdana" w:eastAsia="Times New Roman" w:hAnsi="Verdana" w:cs="Arial"/>
          <w:bCs/>
          <w:lang w:val="es-MX" w:eastAsia="es-CO"/>
        </w:rPr>
      </w:pPr>
      <w:r w:rsidRPr="00385A72">
        <w:rPr>
          <w:rFonts w:ascii="Verdana" w:eastAsia="Times New Roman" w:hAnsi="Verdana" w:cs="Arial"/>
          <w:bCs/>
          <w:lang w:val="es-MX" w:eastAsia="x-none"/>
        </w:rPr>
        <w:t>E</w:t>
      </w:r>
      <w:r w:rsidRPr="00385A72">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385A72">
        <w:rPr>
          <w:rFonts w:ascii="Verdana" w:eastAsia="Times New Roman" w:hAnsi="Verdana" w:cs="Arial"/>
          <w:vertAlign w:val="superscript"/>
          <w:lang w:eastAsia="x-none"/>
        </w:rPr>
        <w:footnoteReference w:id="18"/>
      </w:r>
      <w:r w:rsidRPr="00385A72">
        <w:rPr>
          <w:rFonts w:ascii="Verdana" w:eastAsia="Times New Roman" w:hAnsi="Verdana" w:cs="Arial"/>
          <w:lang w:eastAsia="x-none"/>
        </w:rPr>
        <w:t xml:space="preserve">. </w:t>
      </w:r>
    </w:p>
    <w:p w14:paraId="5840EB54" w14:textId="77777777" w:rsidR="00385A72" w:rsidRPr="00385A72" w:rsidRDefault="00385A72" w:rsidP="00385A72">
      <w:pPr>
        <w:spacing w:after="120" w:line="276" w:lineRule="auto"/>
        <w:ind w:firstLine="708"/>
        <w:jc w:val="both"/>
        <w:rPr>
          <w:rFonts w:ascii="Verdana" w:eastAsia="Times New Roman" w:hAnsi="Verdana" w:cs="Arial"/>
          <w:bCs/>
          <w:lang w:val="es-MX" w:eastAsia="es-CO"/>
        </w:rPr>
      </w:pPr>
      <w:r w:rsidRPr="00385A72">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D90C982" w14:textId="77777777" w:rsidR="00385A72" w:rsidRPr="00385A72" w:rsidRDefault="00385A72" w:rsidP="00385A72">
      <w:pPr>
        <w:spacing w:after="120" w:line="276" w:lineRule="auto"/>
        <w:ind w:firstLine="708"/>
        <w:jc w:val="both"/>
        <w:rPr>
          <w:rFonts w:ascii="Verdana" w:eastAsia="Times New Roman" w:hAnsi="Verdana" w:cs="Arial"/>
          <w:bCs/>
          <w:lang w:val="es-MX" w:eastAsia="x-none"/>
        </w:rPr>
      </w:pPr>
      <w:r w:rsidRPr="00385A72">
        <w:rPr>
          <w:rFonts w:ascii="Verdana" w:eastAsia="Times New Roman" w:hAnsi="Verdana" w:cs="Arial"/>
          <w:bCs/>
          <w:lang w:val="es-MX" w:eastAsia="x-none"/>
        </w:rPr>
        <w:lastRenderedPageBreak/>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85A72">
        <w:rPr>
          <w:rFonts w:ascii="Verdana" w:eastAsia="Times New Roman" w:hAnsi="Verdana" w:cs="Arial"/>
          <w:vertAlign w:val="superscript"/>
          <w:lang w:eastAsia="x-none"/>
        </w:rPr>
        <w:footnoteReference w:id="19"/>
      </w:r>
      <w:r w:rsidRPr="00385A72">
        <w:rPr>
          <w:rFonts w:ascii="Verdana" w:eastAsia="Times New Roman" w:hAnsi="Verdana" w:cs="Arial"/>
          <w:bCs/>
          <w:lang w:val="es-MX" w:eastAsia="x-none"/>
        </w:rPr>
        <w:t>.</w:t>
      </w:r>
      <w:r w:rsidRPr="00385A72">
        <w:rPr>
          <w:rFonts w:ascii="Verdana" w:eastAsia="Times New Roman" w:hAnsi="Verdana" w:cs="Arial"/>
          <w:vertAlign w:val="superscript"/>
          <w:lang w:eastAsia="x-none"/>
        </w:rPr>
        <w:t xml:space="preserve"> </w:t>
      </w:r>
    </w:p>
    <w:p w14:paraId="468F71D1" w14:textId="77777777" w:rsidR="00385A72" w:rsidRPr="00385A72" w:rsidRDefault="00385A72" w:rsidP="00385A72">
      <w:pPr>
        <w:spacing w:after="120" w:line="276" w:lineRule="auto"/>
        <w:ind w:firstLine="708"/>
        <w:jc w:val="both"/>
        <w:rPr>
          <w:rFonts w:ascii="Verdana" w:eastAsia="Times New Roman" w:hAnsi="Verdana" w:cs="Arial"/>
          <w:lang w:eastAsia="x-none"/>
        </w:rPr>
      </w:pPr>
      <w:r w:rsidRPr="00385A72">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385A72">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80E46DB" w14:textId="77777777" w:rsidR="00385A72" w:rsidRPr="00385A72" w:rsidRDefault="00385A72" w:rsidP="00385A72">
      <w:pPr>
        <w:spacing w:after="120" w:line="276" w:lineRule="auto"/>
        <w:ind w:firstLine="708"/>
        <w:jc w:val="both"/>
        <w:rPr>
          <w:rFonts w:ascii="Verdana" w:eastAsia="Times New Roman" w:hAnsi="Verdana" w:cs="Arial"/>
          <w:bCs/>
          <w:lang w:val="es-MX" w:eastAsia="es-CO"/>
        </w:rPr>
      </w:pPr>
      <w:r w:rsidRPr="00385A72">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385A72">
        <w:rPr>
          <w:rFonts w:ascii="Verdana" w:eastAsia="Times New Roman" w:hAnsi="Verdana" w:cs="Arial"/>
          <w:bCs/>
          <w:vertAlign w:val="superscript"/>
          <w:lang w:val="es-MX" w:eastAsia="es-CO"/>
        </w:rPr>
        <w:footnoteReference w:id="20"/>
      </w:r>
      <w:r w:rsidRPr="00385A72">
        <w:rPr>
          <w:rFonts w:ascii="Verdana" w:eastAsia="Times New Roman" w:hAnsi="Verdana" w:cs="Arial"/>
          <w:bCs/>
          <w:lang w:val="es-MX" w:eastAsia="es-CO"/>
        </w:rPr>
        <w:t xml:space="preserve">. Además, también es posible que contratos celebrados previamente se continúen ejecutando con normalidad. </w:t>
      </w:r>
    </w:p>
    <w:p w14:paraId="26C0F090" w14:textId="77777777" w:rsidR="00385A72" w:rsidRPr="00385A72" w:rsidRDefault="00385A72" w:rsidP="00385A72">
      <w:pPr>
        <w:spacing w:after="120" w:line="276" w:lineRule="auto"/>
        <w:ind w:firstLine="708"/>
        <w:jc w:val="both"/>
        <w:rPr>
          <w:rFonts w:ascii="Verdana" w:eastAsia="Times New Roman" w:hAnsi="Verdana" w:cs="Arial"/>
          <w:bCs/>
          <w:lang w:val="es-MX" w:eastAsia="es-CO"/>
        </w:rPr>
      </w:pPr>
      <w:r w:rsidRPr="00385A72">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w:t>
      </w:r>
      <w:r w:rsidRPr="00385A72">
        <w:rPr>
          <w:rFonts w:ascii="Verdana" w:eastAsia="Times New Roman" w:hAnsi="Verdana" w:cs="Arial"/>
          <w:bCs/>
          <w:lang w:val="es-MX" w:eastAsia="x-none"/>
        </w:rPr>
        <w:lastRenderedPageBreak/>
        <w:t>comunicaciones, en caso de que hayan sido objeto de atentados, acciones terroristas, desastres naturales o casos de fuerza mayor; y, v) los que deban realizar las entidades sanitarias y hospitalarias.</w:t>
      </w:r>
      <w:r w:rsidRPr="00385A72">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2D99635" w14:textId="77777777" w:rsidR="00385A72" w:rsidRPr="00385A72" w:rsidRDefault="00385A72" w:rsidP="00385A72">
      <w:pPr>
        <w:spacing w:after="120" w:line="276" w:lineRule="auto"/>
        <w:ind w:firstLine="709"/>
        <w:jc w:val="both"/>
        <w:rPr>
          <w:rFonts w:ascii="Verdana" w:eastAsia="Times New Roman" w:hAnsi="Verdana" w:cs="Arial"/>
          <w:bCs/>
          <w:lang w:val="es-MX" w:eastAsia="x-none"/>
        </w:rPr>
      </w:pPr>
      <w:r w:rsidRPr="00385A72">
        <w:rPr>
          <w:rFonts w:ascii="Verdana" w:eastAsia="Times New Roman" w:hAnsi="Verdana" w:cs="Arial"/>
          <w:bCs/>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85A72">
        <w:rPr>
          <w:rFonts w:ascii="Verdana" w:eastAsia="Calibri" w:hAnsi="Verdana" w:cs="Arial"/>
          <w:vertAlign w:val="superscript"/>
          <w:lang w:val="es-MX"/>
        </w:rPr>
        <w:footnoteReference w:id="21"/>
      </w:r>
      <w:r w:rsidRPr="00385A72">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0645D8D" w14:textId="77777777" w:rsidR="00385A72" w:rsidRPr="00385A72" w:rsidRDefault="00385A72" w:rsidP="00385A72">
      <w:pPr>
        <w:spacing w:after="0" w:line="276" w:lineRule="auto"/>
        <w:ind w:firstLine="708"/>
        <w:jc w:val="both"/>
        <w:rPr>
          <w:rFonts w:ascii="Verdana" w:eastAsia="Times New Roman" w:hAnsi="Verdana" w:cs="Arial"/>
          <w:bCs/>
          <w:lang w:val="es-MX" w:eastAsia="x-none"/>
        </w:rPr>
      </w:pPr>
      <w:r w:rsidRPr="00385A72">
        <w:rPr>
          <w:rFonts w:ascii="Verdana" w:eastAsia="Times New Roman" w:hAnsi="Verdana" w:cs="Arial"/>
          <w:bCs/>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385A72">
        <w:rPr>
          <w:rFonts w:ascii="Verdana" w:eastAsia="Calibri" w:hAnsi="Verdana" w:cs="Arial"/>
          <w:sz w:val="24"/>
          <w:lang w:val="es-MX"/>
        </w:rPr>
        <w:t xml:space="preserve"> </w:t>
      </w:r>
      <w:r w:rsidRPr="00385A72">
        <w:rPr>
          <w:rFonts w:ascii="Verdana" w:eastAsia="Times New Roman" w:hAnsi="Verdana" w:cs="Arial"/>
          <w:bCs/>
          <w:lang w:val="es-MX" w:eastAsia="x-none"/>
        </w:rPr>
        <w:t>En efecto, tal como lo ha sostenido el Consejo de Estado, el vocablo “todos” utilizado por el legislador comprende</w:t>
      </w:r>
      <w:r w:rsidRPr="00385A72">
        <w:rPr>
          <w:rFonts w:ascii="Verdana" w:eastAsia="Calibri" w:hAnsi="Verdana" w:cs="Arial"/>
          <w:sz w:val="24"/>
          <w:lang w:val="es-MX"/>
        </w:rPr>
        <w:t xml:space="preserve"> </w:t>
      </w:r>
      <w:r w:rsidRPr="00385A72">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385A72">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2565AC16" w14:textId="77777777" w:rsidR="00385A72" w:rsidRPr="00385A72" w:rsidRDefault="00385A72" w:rsidP="00385A72">
      <w:pPr>
        <w:spacing w:after="0" w:line="276" w:lineRule="auto"/>
        <w:jc w:val="both"/>
        <w:rPr>
          <w:rFonts w:ascii="Verdana" w:eastAsia="Times New Roman" w:hAnsi="Verdana" w:cs="Arial"/>
          <w:bCs/>
          <w:lang w:val="es-MX" w:eastAsia="x-none"/>
        </w:rPr>
      </w:pPr>
    </w:p>
    <w:p w14:paraId="488794DF" w14:textId="77777777" w:rsidR="00385A72" w:rsidRPr="00385A72" w:rsidRDefault="00385A72" w:rsidP="00385A72">
      <w:pPr>
        <w:spacing w:after="0" w:line="240" w:lineRule="auto"/>
        <w:ind w:left="708" w:right="709"/>
        <w:jc w:val="both"/>
        <w:rPr>
          <w:rFonts w:ascii="Verdana" w:eastAsia="Times New Roman" w:hAnsi="Verdana" w:cs="Arial"/>
          <w:bCs/>
          <w:sz w:val="21"/>
          <w:szCs w:val="21"/>
          <w:lang w:val="es-MX" w:eastAsia="es-CO"/>
        </w:rPr>
      </w:pPr>
      <w:r w:rsidRPr="00385A72">
        <w:rPr>
          <w:rFonts w:ascii="Verdana" w:eastAsia="Times New Roman" w:hAnsi="Verdana" w:cs="Arial"/>
          <w:bCs/>
          <w:sz w:val="21"/>
          <w:szCs w:val="21"/>
          <w:lang w:val="es-MX" w:eastAsia="x-none"/>
        </w:rPr>
        <w:t xml:space="preserve">El artículo 33 de la ley 996 de 2005, efectivamente se aplica incluso a las entidades estatales con régimen especial de contratación y que </w:t>
      </w:r>
      <w:r w:rsidRPr="00385A72">
        <w:rPr>
          <w:rFonts w:ascii="Verdana" w:eastAsia="Times New Roman" w:hAnsi="Verdana" w:cs="Arial"/>
          <w:bCs/>
          <w:sz w:val="21"/>
          <w:szCs w:val="21"/>
          <w:lang w:val="es-MX" w:eastAsia="x-none"/>
        </w:rPr>
        <w:lastRenderedPageBreak/>
        <w:t>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385A72">
        <w:rPr>
          <w:rFonts w:ascii="Verdana" w:eastAsia="Times New Roman" w:hAnsi="Verdana" w:cs="Arial"/>
          <w:bCs/>
          <w:sz w:val="21"/>
          <w:szCs w:val="21"/>
          <w:vertAlign w:val="superscript"/>
          <w:lang w:val="es-MX" w:eastAsia="x-none"/>
        </w:rPr>
        <w:footnoteReference w:id="22"/>
      </w:r>
      <w:r w:rsidRPr="00385A72">
        <w:rPr>
          <w:rFonts w:ascii="Verdana" w:eastAsia="Times New Roman" w:hAnsi="Verdana" w:cs="Arial"/>
          <w:bCs/>
          <w:sz w:val="21"/>
          <w:szCs w:val="21"/>
          <w:lang w:val="es-MX" w:eastAsia="x-none"/>
        </w:rPr>
        <w:t>.</w:t>
      </w:r>
      <w:r w:rsidRPr="00385A72">
        <w:rPr>
          <w:rFonts w:ascii="Verdana" w:eastAsia="Times New Roman" w:hAnsi="Verdana" w:cs="Arial"/>
          <w:bCs/>
          <w:sz w:val="21"/>
          <w:szCs w:val="21"/>
          <w:lang w:val="es-MX" w:eastAsia="es-CO"/>
        </w:rPr>
        <w:t xml:space="preserve"> </w:t>
      </w:r>
    </w:p>
    <w:p w14:paraId="1466FED0" w14:textId="77777777" w:rsidR="00385A72" w:rsidRPr="00385A72" w:rsidRDefault="00385A72" w:rsidP="00385A72">
      <w:pPr>
        <w:spacing w:after="0" w:line="276" w:lineRule="auto"/>
        <w:ind w:firstLine="708"/>
        <w:jc w:val="both"/>
        <w:rPr>
          <w:rFonts w:ascii="Verdana" w:eastAsia="Times New Roman" w:hAnsi="Verdana" w:cs="Arial"/>
          <w:bCs/>
          <w:lang w:val="es-MX" w:eastAsia="es-CO"/>
        </w:rPr>
      </w:pPr>
    </w:p>
    <w:p w14:paraId="4E4A3632" w14:textId="77777777" w:rsidR="00385A72" w:rsidRPr="00385A72" w:rsidRDefault="00385A72" w:rsidP="00385A72">
      <w:pPr>
        <w:spacing w:after="0" w:line="276" w:lineRule="auto"/>
        <w:ind w:firstLine="708"/>
        <w:jc w:val="both"/>
        <w:rPr>
          <w:rFonts w:ascii="Verdana" w:eastAsia="Calibri" w:hAnsi="Verdana" w:cs="Arial"/>
          <w:lang w:val="es-MX"/>
        </w:rPr>
      </w:pPr>
      <w:r w:rsidRPr="00385A72">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385A72">
        <w:rPr>
          <w:rFonts w:ascii="Verdana" w:eastAsia="Calibri" w:hAnsi="Verdana" w:cs="Arial"/>
          <w:sz w:val="24"/>
          <w:vertAlign w:val="superscript"/>
          <w:lang w:val="es-MX"/>
        </w:rPr>
        <w:footnoteReference w:id="23"/>
      </w:r>
      <w:r w:rsidRPr="00385A72">
        <w:rPr>
          <w:rFonts w:ascii="Verdana" w:eastAsia="Times New Roman" w:hAnsi="Verdana" w:cs="Arial"/>
          <w:bCs/>
          <w:lang w:val="es-MX" w:eastAsia="x-none"/>
        </w:rPr>
        <w:t>.</w:t>
      </w:r>
      <w:r w:rsidRPr="00385A72">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100E04B1" w14:textId="77777777" w:rsidR="00385A72" w:rsidRPr="00385A72" w:rsidRDefault="00385A72" w:rsidP="00385A72">
      <w:pPr>
        <w:spacing w:after="0" w:line="276" w:lineRule="auto"/>
        <w:jc w:val="both"/>
        <w:rPr>
          <w:rFonts w:ascii="Verdana" w:eastAsia="Calibri" w:hAnsi="Verdana" w:cs="Arial"/>
          <w:lang w:val="es-MX"/>
        </w:rPr>
      </w:pPr>
    </w:p>
    <w:p w14:paraId="04D6BCB1" w14:textId="77777777" w:rsidR="00385A72" w:rsidRPr="00385A72" w:rsidRDefault="00385A72" w:rsidP="00385A72">
      <w:pPr>
        <w:spacing w:after="0" w:line="240" w:lineRule="auto"/>
        <w:ind w:left="708" w:right="709"/>
        <w:jc w:val="both"/>
        <w:rPr>
          <w:rFonts w:ascii="Verdana" w:eastAsia="Calibri" w:hAnsi="Verdana" w:cs="Arial"/>
          <w:sz w:val="20"/>
          <w:szCs w:val="20"/>
          <w:lang w:val="es-MX"/>
        </w:rPr>
      </w:pPr>
      <w:r w:rsidRPr="00385A72">
        <w:rPr>
          <w:rFonts w:ascii="Verdana" w:eastAsia="Calibri"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w:t>
      </w:r>
      <w:r w:rsidRPr="00385A72">
        <w:rPr>
          <w:rFonts w:ascii="Verdana" w:eastAsia="Calibri" w:hAnsi="Verdana" w:cs="Arial"/>
          <w:sz w:val="20"/>
          <w:szCs w:val="20"/>
          <w:lang w:val="es-MX"/>
        </w:rPr>
        <w:lastRenderedPageBreak/>
        <w:t>existentes, pues significaría la parálisis de una actividad propia de la administración, que incluso podría desconocer los derechos fundamentales.</w:t>
      </w:r>
    </w:p>
    <w:p w14:paraId="3D11833B" w14:textId="77777777" w:rsidR="00385A72" w:rsidRPr="00385A72" w:rsidRDefault="00385A72" w:rsidP="00385A72">
      <w:pPr>
        <w:spacing w:after="0" w:line="240" w:lineRule="auto"/>
        <w:ind w:left="708" w:right="709"/>
        <w:jc w:val="both"/>
        <w:rPr>
          <w:rFonts w:ascii="Verdana" w:eastAsia="Calibri" w:hAnsi="Verdana" w:cs="Arial"/>
          <w:sz w:val="20"/>
          <w:szCs w:val="20"/>
          <w:lang w:val="es-MX"/>
        </w:rPr>
      </w:pPr>
    </w:p>
    <w:p w14:paraId="63E4395C" w14:textId="77777777" w:rsidR="00385A72" w:rsidRPr="00385A72" w:rsidRDefault="00385A72" w:rsidP="00385A72">
      <w:pPr>
        <w:spacing w:after="0" w:line="240" w:lineRule="auto"/>
        <w:ind w:left="708" w:right="709"/>
        <w:jc w:val="both"/>
        <w:rPr>
          <w:rFonts w:ascii="Verdana" w:eastAsia="Calibri" w:hAnsi="Verdana" w:cs="Arial"/>
          <w:sz w:val="20"/>
          <w:szCs w:val="20"/>
          <w:lang w:val="es-MX"/>
        </w:rPr>
      </w:pPr>
      <w:r w:rsidRPr="00385A72">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385A72">
        <w:rPr>
          <w:rFonts w:ascii="Verdana" w:eastAsia="Calibri" w:hAnsi="Verdana" w:cs="Arial"/>
          <w:sz w:val="20"/>
          <w:szCs w:val="20"/>
          <w:vertAlign w:val="superscript"/>
          <w:lang w:val="es-MX"/>
        </w:rPr>
        <w:footnoteReference w:id="24"/>
      </w:r>
      <w:r w:rsidRPr="00385A72">
        <w:rPr>
          <w:rFonts w:ascii="Verdana" w:eastAsia="Times New Roman" w:hAnsi="Verdana" w:cs="Arial"/>
          <w:bCs/>
          <w:sz w:val="20"/>
          <w:szCs w:val="20"/>
          <w:lang w:val="es-MX" w:eastAsia="x-none"/>
        </w:rPr>
        <w:t>.</w:t>
      </w:r>
    </w:p>
    <w:p w14:paraId="457970D6" w14:textId="77777777" w:rsidR="00385A72" w:rsidRPr="00385A72" w:rsidRDefault="00385A72" w:rsidP="00385A72">
      <w:pPr>
        <w:spacing w:after="0" w:line="276" w:lineRule="auto"/>
        <w:jc w:val="both"/>
        <w:rPr>
          <w:rFonts w:ascii="Verdana" w:eastAsia="Calibri" w:hAnsi="Verdana" w:cs="Arial"/>
          <w:lang w:val="es-MX"/>
        </w:rPr>
      </w:pPr>
    </w:p>
    <w:p w14:paraId="5EEAA997" w14:textId="77777777" w:rsidR="00385A72" w:rsidRPr="00385A72" w:rsidRDefault="00385A72" w:rsidP="00385A72">
      <w:pPr>
        <w:spacing w:after="120" w:line="276" w:lineRule="auto"/>
        <w:ind w:firstLine="709"/>
        <w:jc w:val="both"/>
        <w:rPr>
          <w:rFonts w:ascii="Verdana" w:eastAsia="Times New Roman" w:hAnsi="Verdana" w:cs="Arial"/>
          <w:lang w:eastAsia="es-CO"/>
        </w:rPr>
      </w:pPr>
      <w:r w:rsidRPr="00385A72">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385A72">
        <w:rPr>
          <w:rFonts w:ascii="Verdana" w:eastAsia="Times New Roman" w:hAnsi="Verdana" w:cs="Arial"/>
          <w:bCs/>
          <w:lang w:val="es-MX" w:eastAsia="x-none"/>
        </w:rPr>
        <w:t>establecimientos de crédito, las sociedades de servicios financieros y las entidades aseguradoras</w:t>
      </w:r>
      <w:r w:rsidRPr="00385A72">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385A72">
        <w:rPr>
          <w:rFonts w:ascii="Verdana" w:eastAsia="Calibri" w:hAnsi="Verdana" w:cs="Arial"/>
          <w:vertAlign w:val="superscript"/>
          <w:lang w:val="es-MX"/>
        </w:rPr>
        <w:footnoteReference w:id="25"/>
      </w:r>
      <w:r w:rsidRPr="00385A72">
        <w:rPr>
          <w:rFonts w:ascii="Verdana" w:eastAsia="Calibri" w:hAnsi="Verdana" w:cs="Arial"/>
          <w:lang w:val="es-MX"/>
        </w:rPr>
        <w:t>.</w:t>
      </w:r>
      <w:r w:rsidRPr="00385A72">
        <w:rPr>
          <w:rFonts w:ascii="Verdana" w:eastAsia="Times New Roman" w:hAnsi="Verdana" w:cs="Arial"/>
          <w:lang w:eastAsia="es-CO"/>
        </w:rPr>
        <w:t xml:space="preserve"> </w:t>
      </w:r>
    </w:p>
    <w:p w14:paraId="6B78FC9D" w14:textId="77777777" w:rsidR="00385A72" w:rsidRPr="00385A72" w:rsidRDefault="00385A72" w:rsidP="00385A72">
      <w:pPr>
        <w:spacing w:after="120" w:line="276" w:lineRule="auto"/>
        <w:ind w:firstLine="709"/>
        <w:jc w:val="both"/>
        <w:rPr>
          <w:rFonts w:ascii="Verdana" w:eastAsia="Times New Roman" w:hAnsi="Verdana" w:cs="Arial"/>
          <w:bCs/>
          <w:lang w:val="es-MX" w:eastAsia="x-none"/>
        </w:rPr>
      </w:pPr>
      <w:r w:rsidRPr="00385A72">
        <w:rPr>
          <w:rFonts w:ascii="Verdana" w:eastAsia="Times New Roman" w:hAnsi="Verdana" w:cs="Arial"/>
          <w:lang w:eastAsia="es-CO"/>
        </w:rPr>
        <w:t>Sin perjuicio de estos pronunciamientos de la Sala de Consulta y Servicio Civil</w:t>
      </w:r>
      <w:r w:rsidRPr="00385A72">
        <w:rPr>
          <w:rFonts w:ascii="Verdana" w:eastAsia="Calibri" w:hAnsi="Verdana" w:cs="Arial"/>
          <w:lang w:val="es-MX"/>
        </w:rPr>
        <w:t xml:space="preserve">, como la ha señalado esa misma Corporación, la restricción prevista en la Ley 996 de 2005 </w:t>
      </w:r>
      <w:r w:rsidRPr="00385A72">
        <w:rPr>
          <w:rFonts w:ascii="Verdana" w:eastAsia="Times New Roman" w:hAnsi="Verdana" w:cs="Arial"/>
          <w:bCs/>
          <w:lang w:val="es-MX"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w:t>
      </w:r>
      <w:r w:rsidRPr="00385A72">
        <w:rPr>
          <w:rFonts w:ascii="Verdana" w:eastAsia="Times New Roman" w:hAnsi="Verdana" w:cs="Arial"/>
          <w:bCs/>
          <w:lang w:val="es-MX" w:eastAsia="x-none"/>
        </w:rPr>
        <w:lastRenderedPageBreak/>
        <w:t>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1B800F6B" w14:textId="77777777" w:rsidR="00385A72" w:rsidRPr="00385A72" w:rsidRDefault="00385A72" w:rsidP="00385A72">
      <w:pPr>
        <w:spacing w:after="120" w:line="276" w:lineRule="auto"/>
        <w:ind w:firstLine="709"/>
        <w:jc w:val="both"/>
        <w:rPr>
          <w:rFonts w:ascii="Verdana" w:eastAsia="Times New Roman" w:hAnsi="Verdana" w:cs="Arial"/>
          <w:bCs/>
          <w:lang w:eastAsia="x-none"/>
        </w:rPr>
      </w:pPr>
      <w:r w:rsidRPr="00385A72">
        <w:rPr>
          <w:rFonts w:ascii="Verdana" w:eastAsia="Times New Roman" w:hAnsi="Verdana" w:cs="Arial"/>
          <w:bCs/>
          <w:lang w:val="es-MX" w:eastAsia="x-none"/>
        </w:rPr>
        <w:t>Esto, sin perjuicio de las excepciones a la prohibición establecidas en el inciso segundo del mismo artículo 33, como son: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ADC436E" w14:textId="77777777" w:rsidR="00385A72" w:rsidRPr="00385A72" w:rsidRDefault="00385A72" w:rsidP="00385A72">
      <w:pPr>
        <w:spacing w:after="120" w:line="276" w:lineRule="auto"/>
        <w:ind w:firstLine="709"/>
        <w:jc w:val="both"/>
        <w:rPr>
          <w:rFonts w:ascii="Verdana" w:eastAsia="Times New Roman" w:hAnsi="Verdana" w:cs="Arial"/>
          <w:bCs/>
          <w:lang w:eastAsia="x-none"/>
        </w:rPr>
      </w:pPr>
      <w:r w:rsidRPr="00385A72">
        <w:rPr>
          <w:rFonts w:ascii="Verdana" w:eastAsia="Times New Roman" w:hAnsi="Verdana" w:cs="Arial"/>
          <w:bCs/>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 Por tanto,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0F139859" w14:textId="77777777" w:rsidR="00385A72" w:rsidRPr="00385A72" w:rsidRDefault="00385A72" w:rsidP="00385A72">
      <w:pPr>
        <w:spacing w:after="120" w:line="276" w:lineRule="auto"/>
        <w:ind w:firstLine="709"/>
        <w:jc w:val="both"/>
        <w:rPr>
          <w:rFonts w:ascii="Verdana" w:eastAsia="Times New Roman" w:hAnsi="Verdana" w:cs="Arial"/>
          <w:bCs/>
          <w:lang w:val="es-MX" w:eastAsia="x-none"/>
        </w:rPr>
      </w:pPr>
      <w:r w:rsidRPr="00385A72">
        <w:rPr>
          <w:rFonts w:ascii="Verdana" w:eastAsia="Times New Roman" w:hAnsi="Verdana" w:cs="Arial"/>
          <w:bCs/>
          <w:lang w:val="es-MX" w:eastAsia="x-none"/>
        </w:rPr>
        <w:t>Finalmente, se reitera, c</w:t>
      </w:r>
      <w:r w:rsidRPr="00385A72">
        <w:rPr>
          <w:rFonts w:ascii="Verdana" w:eastAsia="Times New Roman" w:hAnsi="Verdana" w:cs="Arial"/>
          <w:bCs/>
          <w:lang w:val="es-MX" w:eastAsia="es-CO"/>
        </w:rPr>
        <w:t xml:space="preserve">omo en otras oportunidades lo ha manifestado esta Agencia, que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w:t>
      </w:r>
      <w:r w:rsidRPr="00385A72">
        <w:rPr>
          <w:rFonts w:ascii="Verdana" w:eastAsia="Times New Roman" w:hAnsi="Verdana" w:cs="Arial"/>
          <w:bCs/>
          <w:lang w:val="es-MX" w:eastAsia="es-CO"/>
        </w:rPr>
        <w:lastRenderedPageBreak/>
        <w:t>responsabilidad</w:t>
      </w:r>
      <w:r w:rsidRPr="00385A72">
        <w:rPr>
          <w:rFonts w:ascii="Verdana" w:eastAsia="Times New Roman" w:hAnsi="Verdana" w:cs="Arial"/>
          <w:bCs/>
          <w:vertAlign w:val="superscript"/>
          <w:lang w:val="es-MX" w:eastAsia="es-CO"/>
        </w:rPr>
        <w:footnoteReference w:id="26"/>
      </w:r>
      <w:r w:rsidRPr="00385A72">
        <w:rPr>
          <w:rFonts w:ascii="Verdana" w:eastAsia="Times New Roman" w:hAnsi="Verdana" w:cs="Arial"/>
          <w:bCs/>
          <w:lang w:val="es-MX" w:eastAsia="es-CO"/>
        </w:rPr>
        <w:t>. Además, también es posible que contratos celebrados previamente se continúen ejecutando con normalidad.</w:t>
      </w:r>
      <w:bookmarkStart w:id="12" w:name="_Hlk79760844"/>
    </w:p>
    <w:p w14:paraId="7DC84972" w14:textId="77777777" w:rsidR="00385A72" w:rsidRPr="00385A72" w:rsidRDefault="00385A72" w:rsidP="00385A72">
      <w:pPr>
        <w:spacing w:after="0" w:line="276" w:lineRule="auto"/>
        <w:jc w:val="both"/>
        <w:rPr>
          <w:rFonts w:ascii="Verdana" w:eastAsia="Calibri" w:hAnsi="Verdana" w:cs="Arial"/>
        </w:rPr>
      </w:pPr>
    </w:p>
    <w:p w14:paraId="07B6A6AF" w14:textId="77777777" w:rsidR="00385A72" w:rsidRPr="00385A72" w:rsidRDefault="00385A72" w:rsidP="00385A72">
      <w:pPr>
        <w:spacing w:after="120" w:line="276" w:lineRule="auto"/>
        <w:jc w:val="both"/>
        <w:rPr>
          <w:rFonts w:ascii="Verdana" w:hAnsi="Verdana" w:cs="Arial"/>
          <w:lang w:val="es-ES"/>
        </w:rPr>
      </w:pPr>
      <w:r w:rsidRPr="00385A72">
        <w:rPr>
          <w:rFonts w:ascii="Verdana" w:eastAsia="Arial" w:hAnsi="Verdana" w:cs="Arial"/>
          <w:lang w:val="es-ES" w:eastAsia="es-ES" w:bidi="es-ES"/>
        </w:rPr>
        <w:t xml:space="preserve">iv. </w:t>
      </w:r>
      <w:r w:rsidRPr="00385A72">
        <w:rPr>
          <w:rFonts w:ascii="Verdana" w:hAnsi="Verdana" w:cs="Arial"/>
          <w:lang w:val="es-ES"/>
        </w:rPr>
        <w:t xml:space="preserve">Ahora bien, respecto del alcance del parágrafo </w:t>
      </w:r>
      <w:r w:rsidRPr="00385A72">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385A72">
        <w:rPr>
          <w:rFonts w:ascii="Verdana" w:hAnsi="Verdana" w:cs="Arial"/>
          <w:i/>
          <w:iCs/>
        </w:rPr>
        <w:t>convenios interadministrativos</w:t>
      </w:r>
      <w:r w:rsidRPr="00385A72">
        <w:rPr>
          <w:rFonts w:ascii="Verdana" w:hAnsi="Verdana" w:cs="Arial"/>
        </w:rPr>
        <w:t xml:space="preserve"> </w:t>
      </w:r>
      <w:r w:rsidRPr="00385A72">
        <w:rPr>
          <w:rFonts w:ascii="Verdana" w:hAnsi="Verdana" w:cs="Arial"/>
          <w:i/>
          <w:iCs/>
        </w:rPr>
        <w:t>para la ejecución de recursos públicos</w:t>
      </w:r>
      <w:r w:rsidRPr="00385A72">
        <w:rPr>
          <w:rFonts w:ascii="Verdana" w:hAnsi="Verdana" w:cs="Arial"/>
        </w:rPr>
        <w:t>”.</w:t>
      </w:r>
      <w:r w:rsidRPr="00385A72">
        <w:rPr>
          <w:rFonts w:ascii="Verdana" w:eastAsia="Times New Roman" w:hAnsi="Verdana" w:cs="Arial"/>
          <w:lang w:val="es-MX" w:eastAsia="x-none"/>
        </w:rPr>
        <w:t xml:space="preserve"> [Énfasis fuera del texto original]</w:t>
      </w:r>
    </w:p>
    <w:p w14:paraId="05253C41" w14:textId="77777777" w:rsidR="00385A72" w:rsidRPr="00385A72" w:rsidRDefault="00385A72" w:rsidP="00385A72">
      <w:pPr>
        <w:spacing w:after="120" w:line="276" w:lineRule="auto"/>
        <w:ind w:firstLine="709"/>
        <w:jc w:val="both"/>
        <w:rPr>
          <w:rFonts w:ascii="Verdana" w:hAnsi="Verdana" w:cs="Arial"/>
          <w:lang w:eastAsia="es-ES"/>
        </w:rPr>
      </w:pPr>
      <w:r w:rsidRPr="00385A72">
        <w:rPr>
          <w:rFonts w:ascii="Verdana" w:eastAsia="Times New Roman" w:hAnsi="Verdana" w:cs="Arial"/>
          <w:lang w:val="es-ES" w:eastAsia="es-ES"/>
        </w:rPr>
        <w:t xml:space="preserve">Para tales efectos, debe precisarse que </w:t>
      </w:r>
      <w:r w:rsidRPr="00385A72">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385A72">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385A72">
        <w:rPr>
          <w:rFonts w:ascii="Verdana" w:hAnsi="Verdana" w:cs="Arial"/>
          <w:vertAlign w:val="superscript"/>
          <w:lang w:eastAsia="es-ES"/>
        </w:rPr>
        <w:footnoteReference w:id="27"/>
      </w:r>
      <w:r w:rsidRPr="00385A72">
        <w:rPr>
          <w:rFonts w:ascii="Verdana" w:hAnsi="Verdana" w:cs="Arial"/>
          <w:lang w:eastAsia="es-ES"/>
        </w:rPr>
        <w:t>.</w:t>
      </w:r>
    </w:p>
    <w:p w14:paraId="00853154" w14:textId="77777777" w:rsidR="00385A72" w:rsidRPr="00385A72" w:rsidRDefault="00385A72" w:rsidP="00385A72">
      <w:pPr>
        <w:spacing w:after="120" w:line="276" w:lineRule="auto"/>
        <w:ind w:firstLine="709"/>
        <w:jc w:val="both"/>
        <w:rPr>
          <w:rFonts w:ascii="Verdana" w:hAnsi="Verdana" w:cs="Arial"/>
          <w:color w:val="000000" w:themeColor="text1"/>
          <w:lang w:val="es-ES_tradnl"/>
        </w:rPr>
      </w:pPr>
      <w:r w:rsidRPr="00385A72">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0C22156" w14:textId="77777777" w:rsidR="00385A72" w:rsidRPr="00385A72" w:rsidRDefault="00385A72" w:rsidP="00385A72">
      <w:pPr>
        <w:spacing w:before="120" w:after="0" w:line="276" w:lineRule="auto"/>
        <w:ind w:firstLine="708"/>
        <w:jc w:val="both"/>
        <w:rPr>
          <w:rFonts w:ascii="Verdana" w:hAnsi="Verdana" w:cs="Arial"/>
          <w:lang w:val="es-ES_tradnl"/>
        </w:rPr>
      </w:pPr>
      <w:r w:rsidRPr="00385A72">
        <w:rPr>
          <w:rFonts w:ascii="Verdana" w:hAnsi="Verdana" w:cs="Arial"/>
          <w:lang w:val="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w:t>
      </w:r>
      <w:r w:rsidRPr="00385A72">
        <w:rPr>
          <w:rFonts w:ascii="Verdana" w:hAnsi="Verdana" w:cs="Arial"/>
          <w:lang w:val="es-ES"/>
        </w:rPr>
        <w:lastRenderedPageBreak/>
        <w:t>oferentes</w:t>
      </w:r>
      <w:r w:rsidRPr="00385A72">
        <w:rPr>
          <w:rFonts w:ascii="Verdana" w:hAnsi="Verdana" w:cs="Arial"/>
          <w:vertAlign w:val="superscript"/>
          <w:lang w:val="es-ES"/>
        </w:rPr>
        <w:footnoteReference w:id="28"/>
      </w:r>
      <w:r w:rsidRPr="00385A72">
        <w:rPr>
          <w:rFonts w:ascii="Verdana" w:hAnsi="Verdana" w:cs="Arial"/>
          <w:lang w:val="es-ES"/>
        </w:rPr>
        <w:t>. Nótese que, en este caso, lo que cambia es la modalidad de selección y no la naturaleza de contrato interadministrativo.</w:t>
      </w:r>
    </w:p>
    <w:p w14:paraId="02858E1B" w14:textId="77777777" w:rsidR="00385A72" w:rsidRPr="00385A72" w:rsidRDefault="00385A72" w:rsidP="00385A72">
      <w:pPr>
        <w:spacing w:before="120" w:after="0" w:line="276" w:lineRule="auto"/>
        <w:ind w:firstLine="708"/>
        <w:jc w:val="both"/>
        <w:rPr>
          <w:rFonts w:ascii="Verdana" w:hAnsi="Verdana" w:cs="Arial"/>
          <w:lang w:val="es-ES_tradnl"/>
        </w:rPr>
      </w:pPr>
      <w:r w:rsidRPr="00385A7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00385A72">
        <w:rPr>
          <w:rFonts w:ascii="Verdana" w:hAnsi="Verdana" w:cs="Arial"/>
          <w:vertAlign w:val="superscript"/>
          <w:lang w:val="es-ES"/>
        </w:rPr>
        <w:footnoteReference w:id="29"/>
      </w:r>
      <w:r w:rsidRPr="00385A7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8A940B7" w14:textId="77777777" w:rsidR="00385A72" w:rsidRPr="00385A72" w:rsidRDefault="00385A72" w:rsidP="00385A72">
      <w:pPr>
        <w:spacing w:before="120" w:after="0" w:line="276" w:lineRule="auto"/>
        <w:ind w:firstLine="708"/>
        <w:jc w:val="both"/>
        <w:rPr>
          <w:rFonts w:ascii="Verdana" w:hAnsi="Verdana"/>
          <w:sz w:val="24"/>
          <w:szCs w:val="24"/>
          <w:lang w:eastAsia="es-CO"/>
        </w:rPr>
      </w:pPr>
      <w:r w:rsidRPr="00385A7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385A72">
        <w:rPr>
          <w:rFonts w:ascii="Verdana" w:hAnsi="Verdana" w:cs="Arial"/>
          <w:vertAlign w:val="superscript"/>
          <w:lang w:val="es-ES"/>
        </w:rPr>
        <w:footnoteReference w:id="30"/>
      </w:r>
      <w:r w:rsidRPr="00385A7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385A72">
        <w:rPr>
          <w:rFonts w:ascii="Verdana" w:hAnsi="Verdana"/>
          <w:sz w:val="24"/>
          <w:szCs w:val="24"/>
          <w:lang w:eastAsia="es-CO"/>
        </w:rPr>
        <w:t>.</w:t>
      </w:r>
    </w:p>
    <w:p w14:paraId="702496B1" w14:textId="77777777" w:rsidR="00385A72" w:rsidRPr="00385A72" w:rsidRDefault="00385A72" w:rsidP="00385A72">
      <w:pPr>
        <w:spacing w:before="120" w:after="0" w:line="276" w:lineRule="auto"/>
        <w:ind w:firstLine="708"/>
        <w:jc w:val="both"/>
        <w:rPr>
          <w:rFonts w:ascii="Verdana" w:eastAsia="Times New Roman" w:hAnsi="Verdana" w:cs="Arial"/>
          <w:lang w:val="es-MX" w:eastAsia="es-CO"/>
        </w:rPr>
      </w:pPr>
      <w:r w:rsidRPr="00385A72">
        <w:rPr>
          <w:rFonts w:ascii="Verdana" w:eastAsia="Arial" w:hAnsi="Verdana" w:cs="Arial"/>
          <w:lang w:val="es-MX" w:eastAsia="es-ES" w:bidi="es-ES"/>
        </w:rPr>
        <w:t>De esta manera, se</w:t>
      </w:r>
      <w:r w:rsidRPr="00385A72">
        <w:rPr>
          <w:rFonts w:ascii="Verdana" w:eastAsia="Times New Roman" w:hAnsi="Verdana" w:cs="Arial"/>
          <w:lang w:eastAsia="es-CO"/>
        </w:rPr>
        <w:t xml:space="preserve"> observa entonces que </w:t>
      </w:r>
      <w:r w:rsidRPr="00385A72">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385A72">
        <w:rPr>
          <w:rFonts w:ascii="Verdana" w:eastAsia="Times New Roman" w:hAnsi="Verdana" w:cs="Arial"/>
          <w:i/>
          <w:iCs/>
          <w:lang w:val="es-MX" w:eastAsia="es-CO"/>
        </w:rPr>
        <w:t>convenios interadministrativos</w:t>
      </w:r>
      <w:r w:rsidRPr="00385A72">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385A72">
        <w:rPr>
          <w:rFonts w:ascii="Verdana" w:eastAsia="Times New Roman" w:hAnsi="Verdana" w:cs="Arial"/>
          <w:i/>
          <w:lang w:val="es-MX" w:eastAsia="es-CO"/>
        </w:rPr>
        <w:t>ibidem</w:t>
      </w:r>
      <w:r w:rsidRPr="00385A72">
        <w:rPr>
          <w:rFonts w:ascii="Verdana" w:eastAsia="Times New Roman" w:hAnsi="Verdana" w:cs="Arial"/>
          <w:lang w:val="es-MX" w:eastAsia="es-CO"/>
        </w:rPr>
        <w:t xml:space="preserve">, es decir, </w:t>
      </w:r>
      <w:r w:rsidRPr="00385A72">
        <w:rPr>
          <w:rFonts w:ascii="Verdana" w:eastAsia="Times New Roman" w:hAnsi="Verdana" w:cs="Arial"/>
          <w:lang w:eastAsia="es-CO"/>
        </w:rPr>
        <w:t xml:space="preserve">alcaldías, gobernaciones, </w:t>
      </w:r>
      <w:r w:rsidRPr="00385A72">
        <w:rPr>
          <w:rFonts w:ascii="Verdana" w:eastAsia="Times New Roman" w:hAnsi="Verdana" w:cs="Arial"/>
          <w:lang w:eastAsia="es-CO"/>
        </w:rPr>
        <w:lastRenderedPageBreak/>
        <w:t xml:space="preserve">secretarías de despacho, así como entidades descentralizadas por servicios del orden municipal, departamental o distrital </w:t>
      </w:r>
      <w:r w:rsidRPr="00385A72">
        <w:rPr>
          <w:rFonts w:ascii="Verdana" w:eastAsia="Times New Roman" w:hAnsi="Verdana" w:cs="Arial"/>
          <w:lang w:val="es-MX" w:eastAsia="es-CO"/>
        </w:rPr>
        <w:t xml:space="preserve">no podrá celebrar tales </w:t>
      </w:r>
      <w:r w:rsidRPr="00385A72">
        <w:rPr>
          <w:rFonts w:ascii="Verdana" w:eastAsia="Times New Roman" w:hAnsi="Verdana" w:cs="Arial"/>
          <w:i/>
          <w:iCs/>
          <w:lang w:val="es-MX" w:eastAsia="es-CO"/>
        </w:rPr>
        <w:t>convenios</w:t>
      </w:r>
      <w:r w:rsidRPr="00385A72">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46B5F42B" w14:textId="77777777" w:rsidR="00385A72" w:rsidRPr="00385A72" w:rsidRDefault="00385A72" w:rsidP="00385A72">
      <w:pPr>
        <w:spacing w:before="120" w:after="0" w:line="276" w:lineRule="auto"/>
        <w:ind w:firstLine="708"/>
        <w:jc w:val="both"/>
        <w:rPr>
          <w:rFonts w:ascii="Verdana" w:eastAsia="Calibri" w:hAnsi="Verdana" w:cs="Arial"/>
          <w:color w:val="000000"/>
        </w:rPr>
      </w:pPr>
      <w:r w:rsidRPr="00385A72">
        <w:rPr>
          <w:rFonts w:ascii="Verdana" w:eastAsia="Times New Roman" w:hAnsi="Verdana" w:cs="Arial"/>
          <w:lang w:val="es-MX" w:eastAsia="es-CO"/>
        </w:rPr>
        <w:t xml:space="preserve">En este aspecto, se destaca que uno de los sujetos de aplicación de dicha restricción son las entidades descentralizadas por servicios, </w:t>
      </w:r>
      <w:r w:rsidRPr="00385A72">
        <w:rPr>
          <w:rFonts w:ascii="Verdana" w:eastAsia="Times New Roman" w:hAnsi="Verdana" w:cs="Arial"/>
          <w:lang w:eastAsia="es-CO"/>
        </w:rPr>
        <w:t xml:space="preserve">las cuales </w:t>
      </w:r>
      <w:r w:rsidRPr="00385A72">
        <w:rPr>
          <w:rFonts w:ascii="Verdana" w:eastAsia="Calibri" w:hAnsi="Verdana" w:cs="Arial"/>
          <w:color w:val="000000"/>
        </w:rPr>
        <w:t>–sin perjuicio del control de tutela– tienen personería jurídica, autonomía administrativa y patrimonio propio.</w:t>
      </w:r>
      <w:r w:rsidRPr="00385A72">
        <w:rPr>
          <w:rFonts w:ascii="Verdana" w:eastAsia="Calibri" w:hAnsi="Verdana" w:cs="Arial"/>
          <w:b/>
          <w:bCs/>
          <w:color w:val="000000"/>
        </w:rPr>
        <w:t xml:space="preserve"> </w:t>
      </w:r>
      <w:r w:rsidRPr="00385A72">
        <w:rPr>
          <w:rFonts w:ascii="Verdana" w:eastAsia="Calibri" w:hAnsi="Verdana" w:cs="Arial"/>
          <w:color w:val="000000"/>
        </w:rPr>
        <w:t>Estas entidades, como su nombre lo indica, se caracterizan por desarrollar actividades de carácter industrial o comercial</w:t>
      </w:r>
      <w:r w:rsidRPr="00385A72">
        <w:rPr>
          <w:rFonts w:ascii="Verdana" w:eastAsia="Calibri" w:hAnsi="Verdana" w:cs="Arial"/>
          <w:color w:val="000000"/>
          <w:vertAlign w:val="superscript"/>
        </w:rPr>
        <w:footnoteReference w:id="31"/>
      </w:r>
      <w:r w:rsidRPr="00385A72">
        <w:rPr>
          <w:rFonts w:ascii="Verdana" w:eastAsia="Calibri" w:hAnsi="Verdana" w:cs="Arial"/>
          <w:color w:val="000000"/>
        </w:rPr>
        <w:t xml:space="preserve">. Dentro de la categoría amplia de entidades descentralizadas por servicios se encuentran las Empresas Industriales y Comerciales del Estado, los establecimientos públicos, las sociedades públicas, las sociedades de economía mixta. A partir de estas precisiones, se encuentran que las empresas industriales y comerciales del Estado del orden departamental, distrital o municipal están sujetas a la restricción del parágrafo del artículo 38 de la Ley 996 de 2005. </w:t>
      </w:r>
    </w:p>
    <w:p w14:paraId="4D64F6CD" w14:textId="77777777" w:rsidR="00385A72" w:rsidRPr="00385A72" w:rsidRDefault="00385A72" w:rsidP="00385A72">
      <w:pPr>
        <w:spacing w:before="120" w:after="0" w:line="276" w:lineRule="auto"/>
        <w:ind w:firstLine="708"/>
        <w:jc w:val="both"/>
        <w:rPr>
          <w:rFonts w:ascii="Verdana" w:eastAsia="Times New Roman" w:hAnsi="Verdana" w:cs="Arial"/>
          <w:lang w:eastAsia="es-CO"/>
        </w:rPr>
      </w:pPr>
      <w:r w:rsidRPr="00385A72">
        <w:rPr>
          <w:rFonts w:ascii="Verdana" w:eastAsia="Times New Roman" w:hAnsi="Verdana" w:cs="Arial"/>
          <w:lang w:val="es-MX" w:eastAsia="es-CO"/>
        </w:rPr>
        <w:t>Respecto del alcance de esta prohibición la Circular Externa No. 006 de 2025 expedida por la ANCP -CCE, en los literales ii) y iv) del numeral 2</w:t>
      </w:r>
      <w:r w:rsidRPr="00385A72">
        <w:rPr>
          <w:rFonts w:ascii="Verdana" w:eastAsia="Times New Roman" w:hAnsi="Verdana" w:cs="Arial"/>
          <w:lang w:eastAsia="es-CO"/>
        </w:rPr>
        <w:t>,</w:t>
      </w:r>
      <w:r w:rsidRPr="00385A72">
        <w:rPr>
          <w:rFonts w:ascii="Verdana" w:eastAsia="Times New Roman" w:hAnsi="Verdana" w:cs="Arial"/>
          <w:lang w:val="es-MX" w:eastAsia="es-CO"/>
        </w:rPr>
        <w:t xml:space="preserve"> indica que el </w:t>
      </w:r>
      <w:r w:rsidRPr="00385A72">
        <w:rPr>
          <w:rFonts w:ascii="Verdana" w:eastAsia="Times New Roman" w:hAnsi="Verdana" w:cs="Arial"/>
          <w:lang w:eastAsia="es-CO"/>
        </w:rPr>
        <w:t xml:space="preserve">parágrafo del artículo 38 de la Ley 996 de 2005 cobija expresamente a los </w:t>
      </w:r>
      <w:r w:rsidRPr="00385A72">
        <w:rPr>
          <w:rFonts w:ascii="Verdana" w:eastAsia="Times New Roman" w:hAnsi="Verdana" w:cs="Arial"/>
          <w:i/>
          <w:iCs/>
          <w:lang w:eastAsia="es-CO"/>
        </w:rPr>
        <w:t>convenios interadministrativos</w:t>
      </w:r>
      <w:r w:rsidRPr="00385A72">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w:t>
      </w:r>
      <w:r w:rsidRPr="00385A72">
        <w:rPr>
          <w:rFonts w:ascii="Verdana" w:eastAsia="Times New Roman" w:hAnsi="Verdana" w:cs="Arial"/>
          <w:lang w:eastAsia="es-CO"/>
        </w:rPr>
        <w:lastRenderedPageBreak/>
        <w:t xml:space="preserve">los sujetos allí señalados, </w:t>
      </w:r>
      <w:r w:rsidRPr="00385A72">
        <w:rPr>
          <w:rFonts w:ascii="Verdana" w:eastAsia="Times New Roman" w:hAnsi="Verdana" w:cs="Arial"/>
          <w:i/>
          <w:iCs/>
          <w:lang w:eastAsia="es-CO"/>
        </w:rPr>
        <w:t>“aunque se configure alguno de los supuestos de excepción que señaló el inciso final del artículo 33”.</w:t>
      </w:r>
      <w:r w:rsidRPr="00385A72">
        <w:rPr>
          <w:rFonts w:ascii="Verdana" w:eastAsia="Times New Roman" w:hAnsi="Verdana" w:cs="Arial"/>
          <w:lang w:eastAsia="es-CO"/>
        </w:rPr>
        <w:t xml:space="preserve"> </w:t>
      </w:r>
    </w:p>
    <w:p w14:paraId="355D06DE" w14:textId="77777777" w:rsidR="00385A72" w:rsidRPr="00385A72" w:rsidRDefault="00385A72" w:rsidP="00385A72">
      <w:pPr>
        <w:spacing w:before="120" w:after="0" w:line="276" w:lineRule="auto"/>
        <w:ind w:firstLine="708"/>
        <w:jc w:val="both"/>
        <w:rPr>
          <w:rFonts w:ascii="Verdana" w:eastAsia="Times New Roman" w:hAnsi="Verdana" w:cs="Arial"/>
          <w:lang w:eastAsia="es-CO"/>
        </w:rPr>
      </w:pPr>
      <w:r w:rsidRPr="00385A72">
        <w:rPr>
          <w:rFonts w:ascii="Verdana" w:eastAsia="Times New Roman" w:hAnsi="Verdana" w:cs="Arial"/>
          <w:lang w:eastAsia="es-CO"/>
        </w:rPr>
        <w:t xml:space="preserve">Sin embargo, el ámbito de aplicación de la restricción prevista en el parágrafo del artículo 38 de la Ley 996 de 2005 comprende a los </w:t>
      </w:r>
      <w:r w:rsidRPr="00385A72">
        <w:rPr>
          <w:rFonts w:ascii="Verdana" w:eastAsia="Times New Roman" w:hAnsi="Verdana" w:cs="Arial"/>
          <w:i/>
          <w:iCs/>
          <w:lang w:eastAsia="es-CO"/>
        </w:rPr>
        <w:t>convenios interadministrativos</w:t>
      </w:r>
      <w:r w:rsidRPr="00385A72">
        <w:rPr>
          <w:rFonts w:ascii="Verdana" w:eastAsia="Times New Roman" w:hAnsi="Verdana" w:cs="Arial"/>
          <w:lang w:eastAsia="es-CO"/>
        </w:rPr>
        <w:t xml:space="preserve"> en los que exista </w:t>
      </w:r>
      <w:r w:rsidRPr="00385A72">
        <w:rPr>
          <w:rFonts w:ascii="Verdana" w:eastAsia="Times New Roman" w:hAnsi="Verdana" w:cs="Arial"/>
          <w:i/>
          <w:iCs/>
          <w:lang w:eastAsia="es-CO"/>
        </w:rPr>
        <w:t>ejecución de recursos públicos</w:t>
      </w:r>
      <w:r w:rsidRPr="00385A72">
        <w:rPr>
          <w:rFonts w:ascii="Verdana" w:eastAsia="Times New Roman" w:hAnsi="Verdana" w:cs="Arial"/>
          <w:lang w:eastAsia="es-CO"/>
        </w:rPr>
        <w:t xml:space="preserve">, sin importar de que estos sean en dinero o en especie, ya que la norma no distingue. </w:t>
      </w:r>
      <w:r w:rsidRPr="00385A72">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sidRPr="00385A72">
        <w:rPr>
          <w:rFonts w:ascii="Verdana" w:hAnsi="Verdana" w:cs="Arial"/>
          <w:vertAlign w:val="superscript"/>
          <w:lang w:val="es-ES"/>
        </w:rPr>
        <w:footnoteReference w:id="32"/>
      </w:r>
      <w:r w:rsidRPr="00385A72">
        <w:rPr>
          <w:rFonts w:ascii="Verdana" w:eastAsia="Times New Roman" w:hAnsi="Verdana" w:cs="Arial"/>
          <w:lang w:val="es-ES" w:eastAsia="es-CO"/>
        </w:rPr>
        <w:t>.</w:t>
      </w:r>
      <w:r w:rsidRPr="00385A72">
        <w:rPr>
          <w:rFonts w:ascii="Verdana" w:eastAsia="Times New Roman" w:hAnsi="Verdana" w:cs="Arial"/>
          <w:lang w:eastAsia="es-CO"/>
        </w:rPr>
        <w:t xml:space="preserve">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4CDD37CF" w14:textId="77777777" w:rsidR="00385A72" w:rsidRPr="00385A72" w:rsidRDefault="00385A72" w:rsidP="00385A72">
      <w:pPr>
        <w:spacing w:before="120" w:after="0" w:line="276" w:lineRule="auto"/>
        <w:ind w:firstLine="708"/>
        <w:jc w:val="both"/>
        <w:rPr>
          <w:rFonts w:ascii="Verdana" w:eastAsia="Times New Roman" w:hAnsi="Verdana" w:cs="Arial"/>
          <w:lang w:eastAsia="es-CO"/>
        </w:rPr>
      </w:pPr>
      <w:r w:rsidRPr="00385A72">
        <w:rPr>
          <w:rFonts w:ascii="Verdana" w:eastAsia="Times New Roman" w:hAnsi="Verdana" w:cs="Arial"/>
          <w:lang w:eastAsia="es-CO"/>
        </w:rPr>
        <w:t xml:space="preserve">De esta manera, conforme a lo dispuesto en la Circular referida, si se suscriben </w:t>
      </w:r>
      <w:r w:rsidRPr="00385A72">
        <w:rPr>
          <w:rFonts w:ascii="Verdana" w:eastAsia="Times New Roman" w:hAnsi="Verdana" w:cs="Arial"/>
          <w:i/>
          <w:iCs/>
          <w:lang w:eastAsia="es-CO"/>
        </w:rPr>
        <w:t>convenios interadministrativos para la ejecución de recursos públicos</w:t>
      </w:r>
      <w:r w:rsidRPr="00385A72">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385A72">
        <w:rPr>
          <w:rFonts w:ascii="Verdana" w:eastAsia="Times New Roman" w:hAnsi="Verdana" w:cs="Arial"/>
          <w:i/>
          <w:iCs/>
          <w:lang w:eastAsia="es-CO"/>
        </w:rPr>
        <w:t>ibidem</w:t>
      </w:r>
      <w:r w:rsidRPr="00385A72">
        <w:rPr>
          <w:rFonts w:ascii="Verdana" w:eastAsia="Times New Roman" w:hAnsi="Verdana" w:cs="Arial"/>
          <w:lang w:eastAsia="es-CO"/>
        </w:rPr>
        <w:t>, independientemente de que se configure alguno de los supuestos de excepción que señaló el inciso final del artículo 33, es decir, que se trate de:</w:t>
      </w:r>
      <w:r w:rsidRPr="00385A72">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w:t>
      </w:r>
      <w:r w:rsidRPr="00385A72">
        <w:rPr>
          <w:rFonts w:ascii="Verdana" w:hAnsi="Verdana" w:cs="Arial"/>
          <w:bCs/>
          <w:lang w:val="es-MX" w:eastAsia="x-none"/>
        </w:rPr>
        <w:lastRenderedPageBreak/>
        <w:t>hayan sido objeto de atentados, acciones terroristas, desastres naturales o casos de fuerza mayor; y, v) los que deban realizar las entidades sanitarias y hospitalarias.</w:t>
      </w:r>
      <w:r w:rsidRPr="00385A72">
        <w:rPr>
          <w:rFonts w:ascii="Verdana" w:hAnsi="Verdana" w:cs="Arial"/>
          <w:bCs/>
          <w:lang w:val="es-MX" w:eastAsia="es-CO"/>
        </w:rPr>
        <w:t xml:space="preserve"> </w:t>
      </w:r>
      <w:r w:rsidRPr="00385A72">
        <w:rPr>
          <w:rFonts w:ascii="Verdana" w:eastAsia="Times New Roman" w:hAnsi="Verdana" w:cs="Arial"/>
          <w:lang w:eastAsia="es-CO"/>
        </w:rPr>
        <w:t xml:space="preserve">  </w:t>
      </w:r>
    </w:p>
    <w:p w14:paraId="5DB2CCC6" w14:textId="77777777" w:rsidR="00385A72" w:rsidRPr="00385A72" w:rsidRDefault="00385A72" w:rsidP="00385A72">
      <w:pPr>
        <w:spacing w:before="120" w:after="0" w:line="276" w:lineRule="auto"/>
        <w:ind w:firstLine="708"/>
        <w:jc w:val="both"/>
        <w:rPr>
          <w:rFonts w:ascii="Verdana" w:eastAsia="Times New Roman" w:hAnsi="Verdana" w:cs="Arial"/>
          <w:lang w:eastAsia="es-CO"/>
        </w:rPr>
      </w:pPr>
      <w:r w:rsidRPr="00385A72">
        <w:rPr>
          <w:rFonts w:ascii="Verdana" w:eastAsia="Times New Roman" w:hAnsi="Verdana" w:cs="Arial"/>
          <w:lang w:eastAsia="es-CO"/>
        </w:rPr>
        <w:t xml:space="preserve">En este punto, teniendo en cuenta lo señalado en el contenido de su petición, vale la pena destacar que </w:t>
      </w:r>
      <w:r w:rsidRPr="00385A72">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385A72">
        <w:rPr>
          <w:rFonts w:ascii="Verdana" w:hAnsi="Verdana" w:cs="Arial"/>
        </w:rPr>
        <w:t>numeral 16.2 de la Circular Externa Única de 2022 expedida por la Agencia Nacional de Contratación Pública – Colombia Compra Eficiente, concretamente, respecto de los siguientes apartes normativos</w:t>
      </w:r>
      <w:r w:rsidRPr="00385A72">
        <w:rPr>
          <w:rFonts w:ascii="Verdana" w:hAnsi="Verdana" w:cs="Arial"/>
          <w:vertAlign w:val="superscript"/>
        </w:rPr>
        <w:footnoteReference w:id="33"/>
      </w:r>
      <w:r w:rsidRPr="00385A72">
        <w:rPr>
          <w:rFonts w:ascii="Verdana" w:hAnsi="Verdana" w:cs="Arial"/>
        </w:rPr>
        <w:t xml:space="preserve">: </w:t>
      </w:r>
    </w:p>
    <w:p w14:paraId="2F66BA32" w14:textId="77777777" w:rsidR="00385A72" w:rsidRPr="00385A72" w:rsidRDefault="00385A72" w:rsidP="00385A72">
      <w:pPr>
        <w:spacing w:after="0" w:line="276" w:lineRule="auto"/>
        <w:ind w:firstLine="709"/>
        <w:jc w:val="both"/>
        <w:rPr>
          <w:rFonts w:ascii="Verdana" w:hAnsi="Verdana" w:cs="Arial"/>
        </w:rPr>
      </w:pPr>
    </w:p>
    <w:p w14:paraId="1301EA15" w14:textId="77777777" w:rsidR="00385A72" w:rsidRPr="00385A72" w:rsidRDefault="00385A72" w:rsidP="00385A72">
      <w:pPr>
        <w:spacing w:after="120" w:line="240" w:lineRule="auto"/>
        <w:ind w:left="709" w:right="709"/>
        <w:jc w:val="both"/>
        <w:rPr>
          <w:rFonts w:ascii="Verdana" w:hAnsi="Verdana" w:cs="Arial"/>
          <w:sz w:val="20"/>
          <w:szCs w:val="20"/>
        </w:rPr>
      </w:pPr>
      <w:r w:rsidRPr="00385A72">
        <w:rPr>
          <w:rFonts w:ascii="Verdana" w:hAnsi="Verdana" w:cs="Arial"/>
          <w:sz w:val="20"/>
          <w:szCs w:val="20"/>
          <w:lang w:val="es-MX"/>
        </w:rPr>
        <w:t>“i)</w:t>
      </w:r>
      <w:r w:rsidRPr="00385A72">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B7DD9E8" w14:textId="77777777" w:rsidR="00385A72" w:rsidRPr="00385A72" w:rsidRDefault="00385A72" w:rsidP="00385A72">
      <w:pPr>
        <w:spacing w:after="0" w:line="240" w:lineRule="auto"/>
        <w:ind w:left="709" w:right="709"/>
        <w:jc w:val="both"/>
        <w:rPr>
          <w:rFonts w:ascii="Verdana" w:hAnsi="Verdana" w:cs="Arial"/>
          <w:sz w:val="20"/>
          <w:szCs w:val="20"/>
        </w:rPr>
      </w:pPr>
      <w:r w:rsidRPr="00385A72">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61D6E8D" w14:textId="77777777" w:rsidR="00385A72" w:rsidRPr="00385A72" w:rsidRDefault="00385A72" w:rsidP="00385A72">
      <w:pPr>
        <w:spacing w:after="0" w:line="276" w:lineRule="auto"/>
        <w:ind w:left="709" w:right="709"/>
        <w:jc w:val="both"/>
        <w:rPr>
          <w:rFonts w:ascii="Verdana" w:hAnsi="Verdana" w:cs="Arial"/>
        </w:rPr>
      </w:pPr>
    </w:p>
    <w:p w14:paraId="2226E5D3" w14:textId="77777777" w:rsidR="00385A72" w:rsidRPr="00385A72" w:rsidRDefault="00385A72" w:rsidP="00385A72">
      <w:pPr>
        <w:spacing w:after="120" w:line="276" w:lineRule="auto"/>
        <w:ind w:firstLine="709"/>
        <w:jc w:val="both"/>
        <w:rPr>
          <w:rFonts w:ascii="Verdana" w:eastAsia="Arial" w:hAnsi="Verdana" w:cs="Arial"/>
          <w:i/>
          <w:iCs/>
          <w:lang w:eastAsia="es-ES" w:bidi="es-ES"/>
        </w:rPr>
      </w:pPr>
      <w:r w:rsidRPr="00385A72">
        <w:rPr>
          <w:rFonts w:ascii="Verdana" w:eastAsia="Arial" w:hAnsi="Verdana" w:cs="Arial"/>
          <w:lang w:val="es-MX" w:eastAsia="es-ES" w:bidi="es-ES"/>
        </w:rPr>
        <w:t xml:space="preserve">De conformidad con los argumentos de dicha providencia, se parte de la distinción entre los conceptos </w:t>
      </w:r>
      <w:r w:rsidRPr="00385A72">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385A72">
        <w:rPr>
          <w:rFonts w:ascii="Verdana" w:hAnsi="Verdana"/>
          <w:sz w:val="24"/>
          <w:szCs w:val="24"/>
          <w:lang w:eastAsia="es-CO"/>
        </w:rPr>
        <w:t xml:space="preserve"> </w:t>
      </w:r>
      <w:r w:rsidRPr="00385A72">
        <w:rPr>
          <w:rFonts w:ascii="Verdana" w:eastAsia="Arial" w:hAnsi="Verdana" w:cs="Arial"/>
          <w:lang w:eastAsia="es-ES" w:bidi="es-ES"/>
        </w:rPr>
        <w:t xml:space="preserve">En este sentido, en relación con el parágrafo del artículo 38 de la Ley 996 de 2005 concluyó que </w:t>
      </w:r>
      <w:r w:rsidRPr="00385A72">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w:t>
      </w:r>
      <w:r w:rsidRPr="00385A72">
        <w:rPr>
          <w:rFonts w:ascii="Verdana" w:eastAsia="Arial" w:hAnsi="Verdana" w:cs="Arial"/>
          <w:i/>
          <w:iCs/>
          <w:lang w:eastAsia="es-ES" w:bidi="es-ES"/>
        </w:rPr>
        <w:lastRenderedPageBreak/>
        <w:t xml:space="preserve">(…)”. </w:t>
      </w:r>
      <w:r w:rsidRPr="00385A72">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385A72">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385A72">
        <w:rPr>
          <w:rFonts w:ascii="Verdana" w:eastAsia="Arial" w:hAnsi="Verdana" w:cs="Arial"/>
          <w:lang w:eastAsia="es-ES" w:bidi="es-ES"/>
        </w:rPr>
        <w:t>”</w:t>
      </w:r>
      <w:r w:rsidRPr="00385A72">
        <w:rPr>
          <w:rFonts w:ascii="Verdana" w:eastAsia="Arial" w:hAnsi="Verdana" w:cs="Arial"/>
          <w:i/>
          <w:iCs/>
          <w:lang w:eastAsia="es-ES" w:bidi="es-ES"/>
        </w:rPr>
        <w:t xml:space="preserve">. </w:t>
      </w:r>
    </w:p>
    <w:p w14:paraId="494B97E2" w14:textId="77777777" w:rsidR="00385A72" w:rsidRPr="00385A72" w:rsidRDefault="00385A72" w:rsidP="00385A72">
      <w:pPr>
        <w:spacing w:after="120" w:line="276" w:lineRule="auto"/>
        <w:ind w:firstLine="709"/>
        <w:jc w:val="both"/>
        <w:rPr>
          <w:rFonts w:ascii="Verdana" w:eastAsia="Arial" w:hAnsi="Verdana" w:cs="Arial"/>
          <w:lang w:eastAsia="es-ES" w:bidi="es-ES"/>
        </w:rPr>
      </w:pPr>
      <w:r w:rsidRPr="00385A72">
        <w:rPr>
          <w:rFonts w:ascii="Verdana" w:eastAsia="Arial" w:hAnsi="Verdana" w:cs="Arial"/>
          <w:lang w:eastAsia="es-ES" w:bidi="es-ES"/>
        </w:rPr>
        <w:t>De igual manera, mediante auto del 6 de noviembre de 2025, el Consejo de Estado, Subsección A de la Sección Tercera, decretó</w:t>
      </w:r>
      <w:r w:rsidRPr="00385A72">
        <w:rPr>
          <w:rFonts w:ascii="Verdana" w:eastAsia="Arial" w:hAnsi="Verdana" w:cs="Arial"/>
          <w:b/>
          <w:bCs/>
          <w:lang w:eastAsia="es-ES" w:bidi="es-ES"/>
        </w:rPr>
        <w:t xml:space="preserve"> </w:t>
      </w:r>
      <w:r w:rsidRPr="00385A72">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385A72">
        <w:rPr>
          <w:rFonts w:ascii="Verdana" w:eastAsia="Arial" w:hAnsi="Verdana" w:cs="Arial"/>
          <w:vertAlign w:val="superscript"/>
          <w:lang w:eastAsia="es-ES" w:bidi="es-ES"/>
        </w:rPr>
        <w:footnoteReference w:id="34"/>
      </w:r>
      <w:r w:rsidRPr="00385A72">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740E96D6" w14:textId="77777777" w:rsidR="00385A72" w:rsidRPr="00385A72" w:rsidRDefault="00385A72" w:rsidP="00385A72">
      <w:pPr>
        <w:spacing w:after="120" w:line="276" w:lineRule="auto"/>
        <w:ind w:firstLine="709"/>
        <w:jc w:val="both"/>
        <w:rPr>
          <w:rFonts w:ascii="Verdana" w:eastAsia="Times New Roman" w:hAnsi="Verdana" w:cs="Times New Roman"/>
          <w:lang w:eastAsia="es-ES"/>
        </w:rPr>
      </w:pPr>
      <w:r w:rsidRPr="00385A72">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385A72">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w:t>
      </w:r>
      <w:r w:rsidRPr="00385A72">
        <w:rPr>
          <w:rFonts w:ascii="Verdana" w:eastAsia="Times New Roman" w:hAnsi="Verdana" w:cs="Times New Roman"/>
          <w:lang w:eastAsia="es-ES"/>
        </w:rPr>
        <w:lastRenderedPageBreak/>
        <w:t xml:space="preserve">“Esta restricción es aplicable tanto a los convenios como a los contratos interadministrativos […]”. </w:t>
      </w:r>
    </w:p>
    <w:p w14:paraId="6EBD727F" w14:textId="77777777" w:rsidR="00385A72" w:rsidRPr="00385A72" w:rsidRDefault="00385A72" w:rsidP="00385A72">
      <w:pPr>
        <w:spacing w:after="120" w:line="276" w:lineRule="auto"/>
        <w:ind w:firstLine="709"/>
        <w:jc w:val="both"/>
        <w:rPr>
          <w:rFonts w:ascii="Verdana" w:eastAsia="Times New Roman" w:hAnsi="Verdana" w:cs="Times New Roman"/>
          <w:lang w:eastAsia="es-ES"/>
        </w:rPr>
      </w:pPr>
      <w:r w:rsidRPr="00385A7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385A72">
        <w:rPr>
          <w:rFonts w:ascii="Verdana" w:eastAsia="Times New Roman" w:hAnsi="Verdana" w:cs="Times New Roman"/>
          <w:vertAlign w:val="superscript"/>
          <w:lang w:eastAsia="es-ES"/>
        </w:rPr>
        <w:footnoteReference w:id="35"/>
      </w:r>
      <w:r w:rsidRPr="00385A7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4DE5B8F" w14:textId="77777777" w:rsidR="00385A72" w:rsidRPr="00385A72" w:rsidRDefault="00385A72" w:rsidP="00385A72">
      <w:pPr>
        <w:spacing w:after="120" w:line="276" w:lineRule="auto"/>
        <w:ind w:firstLine="709"/>
        <w:jc w:val="both"/>
        <w:rPr>
          <w:rFonts w:ascii="Verdana" w:eastAsia="Times New Roman" w:hAnsi="Verdana" w:cs="Arial"/>
          <w:lang w:eastAsia="es-CO"/>
        </w:rPr>
      </w:pPr>
      <w:r w:rsidRPr="00385A7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385A72">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385A72">
        <w:rPr>
          <w:rFonts w:ascii="Verdana" w:eastAsia="Times New Roman" w:hAnsi="Verdana" w:cs="Arial"/>
          <w:i/>
          <w:iCs/>
          <w:lang w:eastAsia="es-CO"/>
        </w:rPr>
        <w:t>contratos interadministrativos</w:t>
      </w:r>
      <w:r w:rsidRPr="00385A72">
        <w:rPr>
          <w:rFonts w:ascii="Verdana" w:eastAsia="Times New Roman" w:hAnsi="Verdana" w:cs="Arial"/>
          <w:lang w:eastAsia="es-CO"/>
        </w:rPr>
        <w:t>, esta prohibición solo aplicaría a los convenios interadministrativos que impliquen la ejecución de recursos públicos</w:t>
      </w:r>
      <w:r w:rsidRPr="00385A72">
        <w:rPr>
          <w:rFonts w:ascii="Verdana" w:eastAsia="Times New Roman" w:hAnsi="Verdana" w:cs="Arial"/>
          <w:vertAlign w:val="superscript"/>
          <w:lang w:eastAsia="es-CO"/>
        </w:rPr>
        <w:footnoteReference w:id="36"/>
      </w:r>
      <w:r w:rsidRPr="00385A72">
        <w:rPr>
          <w:rFonts w:ascii="Verdana" w:eastAsia="Times New Roman" w:hAnsi="Verdana" w:cs="Arial"/>
          <w:lang w:eastAsia="es-CO"/>
        </w:rPr>
        <w:t xml:space="preserve">. Conforme a lo señalado por el Consejo de Estado, cuando dos entidades públicas celebren un </w:t>
      </w:r>
      <w:r w:rsidRPr="00385A72">
        <w:rPr>
          <w:rFonts w:ascii="Verdana" w:eastAsia="Times New Roman" w:hAnsi="Verdana" w:cs="Arial"/>
          <w:i/>
          <w:iCs/>
          <w:lang w:eastAsia="es-CO"/>
        </w:rPr>
        <w:t>contrato interadministrativo,</w:t>
      </w:r>
      <w:r w:rsidRPr="00385A72">
        <w:rPr>
          <w:rFonts w:ascii="Verdana" w:eastAsia="Times New Roman" w:hAnsi="Verdana" w:cs="Arial"/>
          <w:lang w:eastAsia="es-CO"/>
        </w:rPr>
        <w:t xml:space="preserve"> </w:t>
      </w:r>
      <w:r w:rsidRPr="00385A72">
        <w:rPr>
          <w:rFonts w:ascii="Verdana" w:eastAsia="Times New Roman" w:hAnsi="Verdana" w:cs="Arial"/>
          <w:lang w:eastAsia="es-CO"/>
        </w:rPr>
        <w:lastRenderedPageBreak/>
        <w:t>independientemente del objeto, dicho contrato puede suscribirse durante el periodo preelectoral.</w:t>
      </w:r>
    </w:p>
    <w:p w14:paraId="116B6CAC" w14:textId="77777777" w:rsidR="00385A72" w:rsidRPr="00385A72" w:rsidRDefault="00385A72" w:rsidP="00385A72">
      <w:pPr>
        <w:spacing w:after="120" w:line="276" w:lineRule="auto"/>
        <w:ind w:firstLine="708"/>
        <w:jc w:val="both"/>
        <w:rPr>
          <w:rFonts w:ascii="Verdana" w:eastAsia="Times New Roman" w:hAnsi="Verdana" w:cs="Arial"/>
          <w:lang w:eastAsia="es-CO"/>
        </w:rPr>
      </w:pPr>
      <w:r w:rsidRPr="00385A72">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sidRPr="00385A72">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6134AF5D" w14:textId="77777777" w:rsidR="00385A72" w:rsidRPr="00385A72" w:rsidRDefault="00385A72" w:rsidP="00385A72">
      <w:pPr>
        <w:spacing w:after="120" w:line="276" w:lineRule="auto"/>
        <w:ind w:firstLine="708"/>
        <w:jc w:val="both"/>
        <w:rPr>
          <w:rFonts w:ascii="Verdana" w:eastAsia="Times New Roman" w:hAnsi="Verdana" w:cs="Arial"/>
          <w:lang w:eastAsia="es-CO"/>
        </w:rPr>
      </w:pPr>
      <w:r w:rsidRPr="00385A72">
        <w:rPr>
          <w:rFonts w:ascii="Verdana" w:eastAsia="Times New Roman" w:hAnsi="Verdana" w:cs="Arial"/>
          <w:lang w:eastAsia="es-CO"/>
        </w:rPr>
        <w:t xml:space="preserve"> No obstante, es importante mencionar que aún se encuentra por definir la demanda </w:t>
      </w:r>
      <w:r w:rsidRPr="00385A72">
        <w:rPr>
          <w:rFonts w:ascii="Verdana" w:eastAsia="Calibri" w:hAnsi="Verdana" w:cs="Arial"/>
          <w:lang w:val="es-ES" w:eastAsia="es-ES"/>
        </w:rPr>
        <w:t xml:space="preserve">de nulidad simple, identificada con el Radicado número 11001-03-26-000-2025-00016-00, en la cual se cuestiona </w:t>
      </w:r>
      <w:r w:rsidRPr="00385A72">
        <w:rPr>
          <w:rFonts w:ascii="Verdana" w:eastAsia="Calibri" w:hAnsi="Verdana" w:cs="Arial"/>
          <w:lang w:eastAsia="es-ES"/>
        </w:rPr>
        <w:t>parcialmente el numeral 16.2 de la Circular Externa Única CCE-EICP-MA-06, Versión 03 del 27 de diciembre de 2023.</w:t>
      </w:r>
      <w:r w:rsidRPr="00385A72">
        <w:rPr>
          <w:rFonts w:ascii="Verdana" w:eastAsia="Calibri" w:hAnsi="Verdana" w:cs="Arial"/>
          <w:lang w:val="es-ES" w:eastAsia="es-ES"/>
        </w:rPr>
        <w:t xml:space="preserve"> </w:t>
      </w:r>
      <w:r w:rsidRPr="00385A72">
        <w:rPr>
          <w:rFonts w:ascii="Verdana" w:eastAsia="Arial" w:hAnsi="Verdana" w:cs="Arial"/>
          <w:bCs/>
          <w:color w:val="000000" w:themeColor="text1"/>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385A72">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3D387B6C" w14:textId="77777777" w:rsidR="00385A72" w:rsidRPr="00385A72" w:rsidRDefault="00385A72" w:rsidP="00385A72">
      <w:pPr>
        <w:spacing w:after="0" w:line="276" w:lineRule="auto"/>
        <w:jc w:val="both"/>
        <w:rPr>
          <w:rFonts w:ascii="Verdana" w:eastAsia="Calibri" w:hAnsi="Verdana" w:cs="Arial"/>
        </w:rPr>
      </w:pPr>
    </w:p>
    <w:p w14:paraId="3AE3A2A5" w14:textId="77777777" w:rsidR="00385A72" w:rsidRPr="00385A72" w:rsidRDefault="00385A72" w:rsidP="00385A72">
      <w:pPr>
        <w:spacing w:after="0" w:line="276" w:lineRule="auto"/>
        <w:jc w:val="both"/>
        <w:rPr>
          <w:rFonts w:ascii="Verdana" w:eastAsia="Arial" w:hAnsi="Verdana" w:cs="Arial"/>
          <w:lang w:val="es-ES_tradnl" w:eastAsia="es-ES_tradnl"/>
        </w:rPr>
      </w:pPr>
      <w:r w:rsidRPr="00385A72">
        <w:rPr>
          <w:rFonts w:ascii="Verdana" w:eastAsia="Calibri" w:hAnsi="Verdana" w:cs="Arial"/>
        </w:rPr>
        <w:t xml:space="preserve">v. </w:t>
      </w:r>
      <w:r w:rsidRPr="00385A72">
        <w:rPr>
          <w:rFonts w:ascii="Verdana" w:eastAsia="Arial" w:hAnsi="Verdana" w:cs="Arial"/>
          <w:lang w:val="es-ES_tradnl" w:eastAsia="es-ES_tradnl"/>
        </w:rPr>
        <w:t>Según el literal i) del numeral 4 del artículo 2º de la Ley 1150 de 2007, las entidades estatales podrán adquirir los bienes inmuebles que requieran para la satisfacción de sus necesidades, mediante la modalidad de contratación directa</w:t>
      </w:r>
      <w:r w:rsidRPr="00385A72">
        <w:rPr>
          <w:rFonts w:ascii="Verdana" w:eastAsia="Calibri" w:hAnsi="Verdana" w:cs="Arial"/>
          <w:vertAlign w:val="superscript"/>
          <w:lang w:val="es-ES_tradnl" w:eastAsia="es-ES_tradnl"/>
        </w:rPr>
        <w:footnoteReference w:id="37"/>
      </w:r>
      <w:r w:rsidRPr="00385A72">
        <w:rPr>
          <w:rFonts w:ascii="Verdana" w:eastAsia="Arial" w:hAnsi="Verdana" w:cs="Arial"/>
          <w:lang w:val="es-ES_tradnl" w:eastAsia="es-ES_tradnl"/>
        </w:rPr>
        <w:t xml:space="preserve">. En efecto, la norma dispone: “4. Contratación directa. La modalidad de selección de contratación directa, solamente procederá en los siguientes </w:t>
      </w:r>
      <w:r w:rsidRPr="00385A72">
        <w:rPr>
          <w:rFonts w:ascii="Verdana" w:eastAsia="Arial" w:hAnsi="Verdana" w:cs="Arial"/>
          <w:lang w:val="es-ES_tradnl" w:eastAsia="es-ES_tradnl"/>
        </w:rPr>
        <w:lastRenderedPageBreak/>
        <w:t>casos: […] i) El arrendamiento o adquisición de inmuebles”. En el mismo sentido, el artículo 2.2.1.2.1.4.10. del Decreto 1082 de 2015 dispone que “Las Entidades Estatales pueden adquirir bienes inmuebles mediante contratación directa […]”.</w:t>
      </w:r>
    </w:p>
    <w:p w14:paraId="49E36790" w14:textId="77777777" w:rsidR="00385A72" w:rsidRPr="00385A72" w:rsidRDefault="00385A72" w:rsidP="00385A72">
      <w:pPr>
        <w:spacing w:before="120" w:after="0" w:line="276" w:lineRule="auto"/>
        <w:ind w:firstLine="720"/>
        <w:jc w:val="both"/>
        <w:rPr>
          <w:rFonts w:ascii="Verdana" w:eastAsia="Arial" w:hAnsi="Verdana" w:cs="Arial"/>
          <w:lang w:val="es-ES" w:eastAsia="es-ES"/>
        </w:rPr>
      </w:pPr>
      <w:r w:rsidRPr="00385A72">
        <w:rPr>
          <w:rFonts w:ascii="Verdana" w:eastAsia="Arial" w:hAnsi="Verdana" w:cs="Arial"/>
          <w:lang w:val="es-ES" w:eastAsia="es-ES"/>
        </w:rPr>
        <w:t>En relación con la contratación directa, hay que señalar que se trata de uno de los procedimientos excepcionales a la licitación pública, pero, aún así, se encuentra sometido a todos los principios que rigen la contratación pública y la función administrativa. Su excepcionalidad obedece a razones como la conveniencia, la necesidad, la competitividad, la reserva y exclusividad de oferentes, que hacen más conveniente la selección directa del contratista, como ocurre en el caso de la adquisición de bienes inmuebles por las entidades estatales. Así lo indicó el Consejo de Estado en la sentencia del 16 de marzo de 2017, en la que expresó:</w:t>
      </w:r>
    </w:p>
    <w:p w14:paraId="3408CE10" w14:textId="77777777" w:rsidR="00385A72" w:rsidRPr="00385A72" w:rsidRDefault="00385A72" w:rsidP="00385A72">
      <w:pPr>
        <w:spacing w:after="0" w:line="276" w:lineRule="auto"/>
        <w:jc w:val="both"/>
        <w:rPr>
          <w:rFonts w:ascii="Verdana" w:eastAsia="Arial" w:hAnsi="Verdana" w:cs="Arial"/>
          <w:lang w:val="es-ES_tradnl" w:eastAsia="es-ES_tradnl"/>
        </w:rPr>
      </w:pPr>
    </w:p>
    <w:p w14:paraId="50D611FB" w14:textId="77777777" w:rsidR="00385A72" w:rsidRPr="00385A72" w:rsidRDefault="00385A72" w:rsidP="00385A72">
      <w:pPr>
        <w:spacing w:after="0" w:line="240" w:lineRule="auto"/>
        <w:ind w:left="709" w:right="709"/>
        <w:jc w:val="both"/>
        <w:rPr>
          <w:rFonts w:ascii="Verdana" w:eastAsia="Calibri" w:hAnsi="Verdana" w:cs="Arial"/>
          <w:sz w:val="20"/>
          <w:lang w:val="es-ES_tradnl" w:eastAsia="es-ES_tradnl"/>
        </w:rPr>
      </w:pPr>
      <w:r w:rsidRPr="00385A72">
        <w:rPr>
          <w:rFonts w:ascii="Verdana" w:eastAsia="Calibri" w:hAnsi="Verdana" w:cs="Arial"/>
          <w:sz w:val="20"/>
          <w:lang w:val="es-ES_tradnl" w:eastAsia="es-ES_tradnl"/>
        </w:rPr>
        <w:t>“[…] Sin duda, las diferentes excepciones a ese mecanismo general se fundan en razones de conveniencia, necesidad, competitividad, reserva, exclusividad de oferentes, entre otras, por virtud de las cuales no es posible que la administración pública escoja siempre a sus contratistas mediante un proceso de selección abierto y público. Es representativo de estos eventos el de la compra o arrendamiento de inmuebles por parte de las diferentes entidades, bajo el entendido de que cuando se procede a ello, la administración busca satisfacer una necesidad específica en la que pasan a segundo plano las condiciones objetivas del oferente, para dar paso a la búsqueda de la satisfacción de un requerimiento particular, al tiempo que la eventual propuesta, físicamente verificable, no es otra que el inmueble ofrecido y su aceptación está limitada sin duda por factores presupuestales con fundamento en los cuales es necesario que la administración pueda decidir de manera autónoma ”</w:t>
      </w:r>
      <w:r w:rsidRPr="00385A72">
        <w:rPr>
          <w:rFonts w:ascii="Verdana" w:eastAsia="Calibri" w:hAnsi="Verdana" w:cs="Arial"/>
          <w:sz w:val="20"/>
          <w:vertAlign w:val="superscript"/>
          <w:lang w:val="es-ES_tradnl" w:eastAsia="es-ES_tradnl"/>
        </w:rPr>
        <w:footnoteReference w:id="38"/>
      </w:r>
    </w:p>
    <w:p w14:paraId="3F7C9FAD" w14:textId="77777777" w:rsidR="00385A72" w:rsidRPr="00385A72" w:rsidRDefault="00385A72" w:rsidP="00385A72">
      <w:pPr>
        <w:spacing w:after="0" w:line="240" w:lineRule="auto"/>
        <w:ind w:left="709" w:right="709"/>
        <w:jc w:val="both"/>
        <w:rPr>
          <w:rFonts w:ascii="Verdana" w:eastAsia="Calibri" w:hAnsi="Verdana" w:cs="Arial"/>
          <w:lang w:val="es-ES_tradnl" w:eastAsia="es-ES_tradnl"/>
        </w:rPr>
      </w:pPr>
    </w:p>
    <w:p w14:paraId="2B06935B" w14:textId="77777777" w:rsidR="00385A72" w:rsidRPr="00385A72" w:rsidRDefault="00385A72" w:rsidP="00385A72">
      <w:pPr>
        <w:spacing w:after="120" w:line="276" w:lineRule="auto"/>
        <w:ind w:firstLine="720"/>
        <w:jc w:val="both"/>
        <w:rPr>
          <w:rFonts w:ascii="Verdana" w:eastAsia="Times New Roman" w:hAnsi="Verdana" w:cs="Arial"/>
          <w:color w:val="000000"/>
          <w:lang w:val="es-ES" w:eastAsia="es-ES"/>
        </w:rPr>
      </w:pPr>
      <w:r w:rsidRPr="00385A72">
        <w:rPr>
          <w:rFonts w:ascii="Verdana" w:eastAsia="Arial" w:hAnsi="Verdana" w:cs="Arial"/>
          <w:lang w:val="es-ES" w:eastAsia="es-ES"/>
        </w:rPr>
        <w:t xml:space="preserve">Las reglas para la adquisición de inmuebles están enmarcadas dentro de la modalidad de selección de contratación directa, las cuales están definidas, precisamente, en el artículo 2.2.1.2.1.4.10 del Decreto 1082 de 2015.  </w:t>
      </w:r>
      <w:r w:rsidRPr="00385A72">
        <w:rPr>
          <w:rFonts w:ascii="Verdana" w:eastAsia="Times New Roman" w:hAnsi="Verdana" w:cs="Arial"/>
          <w:color w:val="000000"/>
          <w:lang w:val="es-ES" w:eastAsia="es-ES"/>
        </w:rPr>
        <w:t xml:space="preserve">Este artículo establece los estudios específicos que las entidades estatales deben realizar antes de la suscripción del contrato. Dichos estudios son los siguientes: i) avalúo con una institución especializada de los bienes inmuebles identificados que satisfagan las necesidades de las entidades estatales; y ii) el </w:t>
      </w:r>
      <w:r w:rsidRPr="00385A72">
        <w:rPr>
          <w:rFonts w:ascii="Verdana" w:eastAsia="Times New Roman" w:hAnsi="Verdana" w:cs="Arial"/>
          <w:i/>
          <w:iCs/>
          <w:color w:val="000000"/>
          <w:lang w:val="es-ES" w:eastAsia="es-ES"/>
        </w:rPr>
        <w:t>análisis</w:t>
      </w:r>
      <w:r w:rsidRPr="00385A72">
        <w:rPr>
          <w:rFonts w:ascii="Verdana" w:eastAsia="Times New Roman" w:hAnsi="Verdana" w:cs="Arial"/>
          <w:color w:val="000000"/>
          <w:lang w:val="es-ES" w:eastAsia="es-ES"/>
        </w:rPr>
        <w:t xml:space="preserve"> y </w:t>
      </w:r>
      <w:r w:rsidRPr="00385A72">
        <w:rPr>
          <w:rFonts w:ascii="Verdana" w:eastAsia="Times New Roman" w:hAnsi="Verdana" w:cs="Arial"/>
          <w:i/>
          <w:iCs/>
          <w:color w:val="000000"/>
          <w:lang w:val="es-ES" w:eastAsia="es-ES"/>
        </w:rPr>
        <w:t>comparación</w:t>
      </w:r>
      <w:r w:rsidRPr="00385A72">
        <w:rPr>
          <w:rFonts w:ascii="Verdana" w:eastAsia="Times New Roman" w:hAnsi="Verdana" w:cs="Arial"/>
          <w:color w:val="000000"/>
          <w:lang w:val="es-ES" w:eastAsia="es-ES"/>
        </w:rPr>
        <w:t xml:space="preserve"> de las condiciones de los inmuebles y las opciones de adquisición; </w:t>
      </w:r>
      <w:r w:rsidRPr="00385A72">
        <w:rPr>
          <w:rFonts w:ascii="Verdana" w:eastAsia="Times New Roman" w:hAnsi="Verdana" w:cs="Arial"/>
          <w:color w:val="000000"/>
          <w:lang w:val="es-ES" w:eastAsia="es-ES"/>
        </w:rPr>
        <w:lastRenderedPageBreak/>
        <w:t xml:space="preserve">iii) la entidad puede formar parte de un proyecto inmobiliarios para la adquisición de un bien inmueble que satisfaga </w:t>
      </w:r>
      <w:r w:rsidRPr="00385A72">
        <w:rPr>
          <w:rFonts w:ascii="Verdana" w:eastAsia="Calibri" w:hAnsi="Verdana" w:cs="Arial"/>
          <w:vertAlign w:val="superscript"/>
          <w:lang w:val="es-ES" w:eastAsia="es-ES"/>
        </w:rPr>
        <w:footnoteReference w:id="39"/>
      </w:r>
    </w:p>
    <w:p w14:paraId="364FC5ED" w14:textId="77777777" w:rsidR="00385A72" w:rsidRPr="00385A72" w:rsidRDefault="00385A72" w:rsidP="00385A72">
      <w:pPr>
        <w:spacing w:before="120" w:after="120" w:line="276" w:lineRule="auto"/>
        <w:ind w:firstLine="708"/>
        <w:jc w:val="both"/>
        <w:rPr>
          <w:rFonts w:ascii="Verdana" w:eastAsia="Times New Roman" w:hAnsi="Verdana" w:cs="Arial"/>
          <w:color w:val="000000"/>
          <w:bdr w:val="none" w:sz="0" w:space="0" w:color="auto" w:frame="1"/>
          <w:lang w:val="es-ES_tradnl" w:eastAsia="es-CO"/>
        </w:rPr>
      </w:pPr>
      <w:r w:rsidRPr="00385A72">
        <w:rPr>
          <w:rFonts w:ascii="Verdana" w:eastAsia="Times New Roman" w:hAnsi="Verdana" w:cs="Arial"/>
          <w:color w:val="000000"/>
          <w:bdr w:val="none" w:sz="0" w:space="0" w:color="auto" w:frame="1"/>
          <w:lang w:val="es-ES_tradnl" w:eastAsia="es-CO"/>
        </w:rPr>
        <w:t>En concordancia con lo anterior, el Decreto 1082 de 2015, en su artículo 2.2.1.2.1.4.1</w:t>
      </w:r>
      <w:r w:rsidRPr="00385A72">
        <w:rPr>
          <w:rFonts w:ascii="Verdana" w:eastAsia="Times New Roman" w:hAnsi="Verdana" w:cs="Arial"/>
          <w:vertAlign w:val="superscript"/>
          <w:lang w:val="es-ES_tradnl" w:eastAsia="es-CO"/>
        </w:rPr>
        <w:footnoteReference w:id="40"/>
      </w:r>
      <w:r w:rsidRPr="00385A72">
        <w:rPr>
          <w:rFonts w:ascii="Verdana" w:eastAsia="Times New Roman" w:hAnsi="Verdana" w:cs="Arial"/>
          <w:color w:val="000000"/>
          <w:bdr w:val="none" w:sz="0" w:space="0" w:color="auto" w:frame="1"/>
          <w:lang w:val="es-ES_tradnl" w:eastAsia="es-CO"/>
        </w:rPr>
        <w:t xml:space="preserve">, establece que la entidad estatal deberá justificar la causal de contratación directa mediante la expedición de un acto administrativo. Por estas razones cobra importancia la referencia al principio de planeación en la contratación estatal, ya que el desarrollo que realizó el decreto reglamentario de la causal contenida en el literal i) del numeral 4 del artículo 2 de la Ley 1150 de 2007, prevé la obligación de la entidad contratante de sustentar, con base en los estudios previos realizados, la adquisición de bienes inmuebles. </w:t>
      </w:r>
    </w:p>
    <w:p w14:paraId="2D68F3F5" w14:textId="77777777" w:rsidR="00385A72" w:rsidRPr="00385A72" w:rsidRDefault="00385A72" w:rsidP="00385A72">
      <w:pPr>
        <w:spacing w:before="120" w:after="120" w:line="276" w:lineRule="auto"/>
        <w:ind w:firstLine="709"/>
        <w:jc w:val="both"/>
        <w:rPr>
          <w:rFonts w:ascii="Verdana" w:eastAsia="Cambria" w:hAnsi="Verdana" w:cs="Arial"/>
          <w:lang w:val="es-ES_tradnl" w:eastAsia="es-CO"/>
        </w:rPr>
      </w:pPr>
      <w:r w:rsidRPr="00385A72">
        <w:rPr>
          <w:rFonts w:ascii="Verdana" w:eastAsia="Calibri" w:hAnsi="Verdana" w:cs="Arial"/>
          <w:bCs/>
          <w:lang w:val="es-ES_tradnl" w:eastAsia="es-ES_tradnl"/>
        </w:rPr>
        <w:t xml:space="preserve">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entre otros factores. Así, una debida planeación debe conducir a una escogencia diligente de la mejor oferta, </w:t>
      </w:r>
      <w:r w:rsidRPr="00385A72">
        <w:rPr>
          <w:rFonts w:ascii="Verdana" w:eastAsia="Calibri" w:hAnsi="Verdana" w:cs="Arial"/>
          <w:bCs/>
          <w:lang w:val="es-ES_tradnl" w:eastAsia="es-ES_tradnl"/>
        </w:rPr>
        <w:lastRenderedPageBreak/>
        <w:t>para beneficiar los intereses y fines públicos inmersos en la contratación de las entidades estatales, buscando siempre la correcta ejecución del contrato</w:t>
      </w:r>
      <w:r w:rsidRPr="00385A72">
        <w:rPr>
          <w:rFonts w:ascii="Verdana" w:eastAsia="Calibri" w:hAnsi="Verdana" w:cs="Arial"/>
          <w:vertAlign w:val="superscript"/>
          <w:lang w:val="es-ES_tradnl" w:eastAsia="es-ES_tradnl"/>
        </w:rPr>
        <w:footnoteReference w:id="41"/>
      </w:r>
      <w:r w:rsidRPr="00385A72">
        <w:rPr>
          <w:rFonts w:ascii="Verdana" w:eastAsia="Calibri" w:hAnsi="Verdana" w:cs="Arial"/>
          <w:bCs/>
          <w:lang w:val="es-ES_tradnl" w:eastAsia="es-ES_tradnl"/>
        </w:rPr>
        <w:t>.</w:t>
      </w:r>
      <w:r w:rsidRPr="00385A72">
        <w:rPr>
          <w:rFonts w:ascii="Verdana" w:eastAsia="Cambria" w:hAnsi="Verdana" w:cs="Arial"/>
          <w:lang w:val="es-ES_tradnl" w:eastAsia="es-CO"/>
        </w:rPr>
        <w:t xml:space="preserve"> </w:t>
      </w:r>
    </w:p>
    <w:p w14:paraId="2E63D632" w14:textId="77777777" w:rsidR="00385A72" w:rsidRPr="00385A72" w:rsidRDefault="00385A72" w:rsidP="00385A72">
      <w:pPr>
        <w:spacing w:before="120" w:after="120" w:line="276" w:lineRule="auto"/>
        <w:ind w:firstLine="708"/>
        <w:jc w:val="both"/>
        <w:rPr>
          <w:rFonts w:ascii="Verdana" w:eastAsia="Calibri" w:hAnsi="Verdana" w:cs="Arial"/>
          <w:bCs/>
          <w:lang w:val="es-ES_tradnl" w:eastAsia="es-ES_tradnl"/>
        </w:rPr>
      </w:pPr>
      <w:r w:rsidRPr="00385A72">
        <w:rPr>
          <w:rFonts w:ascii="Verdana" w:eastAsia="Calibri" w:hAnsi="Verdana" w:cs="Arial"/>
          <w:bCs/>
          <w:lang w:val="es-ES_tradnl" w:eastAsia="es-ES_tradnl"/>
        </w:rPr>
        <w:t>En armonía con lo ya expresado, el proceso de adquisición de inmuebles demanda de las entidades estatales el deber de planeación en la etapa precontractual. Esto con la finalidad de que el proceso de contratación satisfaga las necesidades de la Administración, que esta cumpla sus fines, y logre la continua y eficiente prestación de los servicios públicos</w:t>
      </w:r>
      <w:r w:rsidRPr="00385A72">
        <w:rPr>
          <w:rFonts w:ascii="Verdana" w:eastAsia="Calibri" w:hAnsi="Verdana" w:cs="Arial"/>
          <w:vertAlign w:val="superscript"/>
          <w:lang w:val="es-ES_tradnl" w:eastAsia="es-ES_tradnl"/>
        </w:rPr>
        <w:footnoteReference w:id="42"/>
      </w:r>
      <w:r w:rsidRPr="00385A72">
        <w:rPr>
          <w:rFonts w:ascii="Verdana" w:eastAsia="Calibri" w:hAnsi="Verdana" w:cs="Arial"/>
          <w:bCs/>
          <w:lang w:val="es-ES_tradnl" w:eastAsia="es-ES_tradnl"/>
        </w:rPr>
        <w:t xml:space="preserve">. Para cumplir este objetivo son necesarios los estudios señalados en el artículo </w:t>
      </w:r>
      <w:r w:rsidRPr="00385A72">
        <w:rPr>
          <w:rFonts w:ascii="Verdana" w:eastAsia="Arial" w:hAnsi="Verdana" w:cs="Arial"/>
          <w:lang w:val="es-ES_tradnl" w:eastAsia="es-ES_tradnl"/>
        </w:rPr>
        <w:t xml:space="preserve">2.2.1.2.1.4.10 del Decreto 1082 de 2015 </w:t>
      </w:r>
      <w:r w:rsidRPr="00385A72">
        <w:rPr>
          <w:rFonts w:ascii="Verdana" w:eastAsia="Calibri" w:hAnsi="Verdana" w:cs="Arial"/>
          <w:bCs/>
          <w:lang w:val="es-ES_tradnl" w:eastAsia="es-ES_tradnl"/>
        </w:rPr>
        <w:t>y el análisis del sector económico y de los oferentes, actividad de planeación previa que sirve para identificar aspectos concretos del mercado y</w:t>
      </w:r>
      <w:r w:rsidRPr="00385A72">
        <w:rPr>
          <w:rFonts w:ascii="Verdana" w:eastAsia="Calibri" w:hAnsi="Verdana" w:cs="Arial"/>
          <w:color w:val="000000"/>
          <w:bdr w:val="none" w:sz="0" w:space="0" w:color="auto" w:frame="1"/>
          <w:lang w:val="es-ES_tradnl" w:eastAsia="es-ES_tradnl"/>
        </w:rPr>
        <w:t xml:space="preserve"> seleccionar la mejor opción para cumplir con la necesidad de la entidad pública.</w:t>
      </w:r>
    </w:p>
    <w:p w14:paraId="471D0DFC" w14:textId="77777777" w:rsidR="00385A72" w:rsidRPr="00385A72" w:rsidRDefault="00385A72" w:rsidP="00385A72">
      <w:pPr>
        <w:spacing w:after="120" w:line="276" w:lineRule="auto"/>
        <w:ind w:firstLine="708"/>
        <w:jc w:val="both"/>
        <w:rPr>
          <w:rFonts w:ascii="Verdana" w:eastAsia="Calibri" w:hAnsi="Verdana" w:cs="Arial"/>
          <w:color w:val="000000"/>
          <w:bdr w:val="none" w:sz="0" w:space="0" w:color="auto" w:frame="1"/>
          <w:lang w:val="es-MX" w:eastAsia="es-ES_tradnl"/>
        </w:rPr>
      </w:pPr>
      <w:r w:rsidRPr="00385A72">
        <w:rPr>
          <w:rFonts w:ascii="Verdana" w:eastAsia="Times New Roman" w:hAnsi="Verdana" w:cs="Arial"/>
          <w:lang w:val="es-ES" w:eastAsia="es-ES_tradnl"/>
        </w:rPr>
        <w:t xml:space="preserve">En virtud de lo expuesto, la adquisición de bienes inmuebles –predios- trata de un causal de la contratación directa regulada en </w:t>
      </w:r>
      <w:r w:rsidRPr="00385A72">
        <w:rPr>
          <w:rFonts w:ascii="Verdana" w:eastAsia="Times New Roman" w:hAnsi="Verdana" w:cs="Arial"/>
          <w:lang w:val="es-ES_tradnl" w:eastAsia="es-ES_tradnl"/>
        </w:rPr>
        <w:t>el literal i) del numeral 4 del artículo 2º de la Ley 1150 de 2007</w:t>
      </w:r>
      <w:r w:rsidRPr="00385A72">
        <w:rPr>
          <w:rFonts w:ascii="Verdana" w:eastAsia="Times New Roman" w:hAnsi="Verdana" w:cs="Arial"/>
          <w:lang w:val="es-ES" w:eastAsia="es-ES_tradnl"/>
        </w:rPr>
        <w:t xml:space="preserve">, esto es, un procedimiento de </w:t>
      </w:r>
      <w:r w:rsidRPr="00385A72">
        <w:rPr>
          <w:rFonts w:ascii="Verdana" w:eastAsia="Times New Roman" w:hAnsi="Verdana" w:cs="Arial"/>
          <w:lang w:val="es-ES" w:eastAsia="es-ES_tradnl"/>
        </w:rPr>
        <w:lastRenderedPageBreak/>
        <w:t>contratación estatal no competitivo que está restringido por la prohibición establecida en el artículo 33 de la Ley 996 de 2005 que aplica a todas las entidades del Estado</w:t>
      </w:r>
      <w:r w:rsidRPr="00385A72">
        <w:rPr>
          <w:rFonts w:ascii="Verdana" w:eastAsia="Times New Roman" w:hAnsi="Verdana" w:cs="Arial"/>
          <w:bCs/>
          <w:lang w:val="es-MX" w:eastAsia="x-none"/>
        </w:rPr>
        <w:t xml:space="preserve"> </w:t>
      </w:r>
      <w:r w:rsidRPr="00385A72">
        <w:rPr>
          <w:rFonts w:ascii="Verdana" w:eastAsia="Times New Roman" w:hAnsi="Verdana" w:cs="Arial"/>
          <w:bCs/>
          <w:lang w:val="es-MX" w:eastAsia="es-ES_tradnl"/>
        </w:rPr>
        <w:t>dentro de los cuatro (4) meses anteriores a la celebración de los comicios presidenciales</w:t>
      </w:r>
      <w:r w:rsidRPr="00385A72">
        <w:rPr>
          <w:rFonts w:ascii="Verdana" w:eastAsia="Times New Roman" w:hAnsi="Verdana" w:cs="Arial"/>
          <w:lang w:val="es-ES" w:eastAsia="es-ES_tradnl"/>
        </w:rPr>
        <w:t xml:space="preserve">. </w:t>
      </w:r>
      <w:r w:rsidRPr="00385A72">
        <w:rPr>
          <w:rFonts w:ascii="Verdana" w:eastAsia="Times New Roman" w:hAnsi="Verdana" w:cs="Arial"/>
          <w:bCs/>
          <w:lang w:val="es-MX" w:eastAsia="x-none"/>
        </w:rPr>
        <w:t>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w:t>
      </w:r>
    </w:p>
    <w:bookmarkEnd w:id="11"/>
    <w:bookmarkEnd w:id="12"/>
    <w:p w14:paraId="40AE63E0" w14:textId="77777777" w:rsidR="00385A72" w:rsidRPr="00385A72" w:rsidRDefault="00385A72" w:rsidP="00385A72">
      <w:pPr>
        <w:spacing w:after="120" w:line="276" w:lineRule="auto"/>
        <w:ind w:firstLine="709"/>
        <w:jc w:val="both"/>
        <w:rPr>
          <w:rFonts w:ascii="Verdana" w:eastAsia="Times New Roman" w:hAnsi="Verdana" w:cs="Arial"/>
          <w:bCs/>
          <w:lang w:val="es-MX" w:eastAsia="x-none"/>
        </w:rPr>
      </w:pPr>
      <w:r w:rsidRPr="00385A72">
        <w:rPr>
          <w:rFonts w:ascii="Verdana" w:eastAsia="Times New Roman" w:hAnsi="Verdana" w:cs="Arial"/>
          <w:bCs/>
          <w:lang w:val="es-MX" w:eastAsia="x-none"/>
        </w:rPr>
        <w:t>Esto, sin perjuicio de las excepciones a la prohibición establecidas en el inciso segundo del mismo artículo 33, como son: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D3A4E5B" w14:textId="77777777" w:rsidR="00385A72" w:rsidRPr="00385A72" w:rsidRDefault="00385A72" w:rsidP="00385A72">
      <w:pPr>
        <w:spacing w:after="120" w:line="276" w:lineRule="auto"/>
        <w:ind w:firstLine="708"/>
        <w:jc w:val="both"/>
        <w:rPr>
          <w:rFonts w:ascii="Verdana" w:eastAsia="Times New Roman" w:hAnsi="Verdana" w:cs="Arial"/>
          <w:lang w:eastAsia="es-CO"/>
        </w:rPr>
      </w:pPr>
      <w:r w:rsidRPr="00385A72">
        <w:rPr>
          <w:rFonts w:ascii="Verdana" w:eastAsia="Arial" w:hAnsi="Verdana" w:cs="Arial"/>
          <w:lang w:val="es-ES" w:eastAsia="es-ES" w:bidi="es-ES"/>
        </w:rPr>
        <w:t xml:space="preserve">Por otro lado, la prohibición impuesta por el inciso primero del parágrafo del artículo 38 a los gobernadores, alcaldes municipales y/o distritales, secretarios, gerentes y directores de entidades descentralizadas del orden municipal, departamental o distrital,  debe aplicarse respecto de cualquier tipo de contienda electoral, y prohíbe la celebración de convenios interadministrativos que impliquen la ejecución de recursos públicos dentro de los cuatro (4) meses anteriores a la respectiva jornada de votaciones. En este aspecto, se señala que esta restricción no aplica en contratos interadministrativos, teniendo en cuenta </w:t>
      </w:r>
      <w:r w:rsidRPr="00385A72">
        <w:rPr>
          <w:rFonts w:ascii="Verdana" w:eastAsia="Times New Roman" w:hAnsi="Verdana" w:cs="Arial"/>
          <w:lang w:eastAsia="es-CO"/>
        </w:rPr>
        <w:t xml:space="preserve">lo expuesto en la sentencia expedida por la Sección Tercera de la Sala de lo Contencioso Administrativo del 17 de octubre de 2025, en los autos del 4 de octubre de 2024 y 6 de noviembre de 2025, puesto que esta prohibición solo aplicaría a los convenios interadministrativos que impliquen la ejecución de recursos públicos. </w:t>
      </w:r>
    </w:p>
    <w:p w14:paraId="40DCEBED" w14:textId="77777777" w:rsidR="00385A72" w:rsidRPr="00385A72" w:rsidRDefault="00385A72" w:rsidP="00385A72">
      <w:pPr>
        <w:spacing w:after="120" w:line="276" w:lineRule="auto"/>
        <w:ind w:firstLine="708"/>
        <w:jc w:val="both"/>
        <w:rPr>
          <w:rFonts w:ascii="Verdana" w:eastAsia="Calibri" w:hAnsi="Verdana" w:cs="Arial"/>
          <w:bCs/>
          <w:lang w:val="es-ES_tradnl"/>
        </w:rPr>
      </w:pPr>
      <w:r w:rsidRPr="00385A72">
        <w:rPr>
          <w:rFonts w:ascii="Verdana" w:eastAsia="Calibri" w:hAnsi="Verdana" w:cs="Arial"/>
          <w:lang w:val="es-ES_tradnl"/>
        </w:rPr>
        <w:lastRenderedPageBreak/>
        <w:t xml:space="preserve">Es dable concluir que, la adquisición de bienes inmuebles, </w:t>
      </w:r>
      <w:r w:rsidRPr="00385A72">
        <w:rPr>
          <w:rFonts w:ascii="Verdana" w:eastAsia="Calibri" w:hAnsi="Verdana" w:cs="Arial"/>
          <w:i/>
          <w:iCs/>
          <w:lang w:val="es-ES_tradnl"/>
        </w:rPr>
        <w:t>per se,</w:t>
      </w:r>
      <w:r w:rsidRPr="00385A72">
        <w:rPr>
          <w:rFonts w:ascii="Verdana" w:eastAsia="Calibri" w:hAnsi="Verdana" w:cs="Arial"/>
          <w:lang w:val="es-ES_tradnl"/>
        </w:rPr>
        <w:t xml:space="preserve"> no está prohibida por la restricción del parágrafo del artículo 38 de la Ley 996 de 2005, la cual solo es aplicable a convenios interadministrativos.</w:t>
      </w:r>
      <w:r w:rsidRPr="00385A72">
        <w:rPr>
          <w:rFonts w:ascii="Verdana" w:eastAsia="Calibri" w:hAnsi="Verdana" w:cs="Arial"/>
          <w:bCs/>
          <w:lang w:val="es-ES_tradnl"/>
        </w:rPr>
        <w:t xml:space="preserve"> No obstante, respecto de contratos interadministrativos que se celebran de forma directa en el artículo 2, numeral 4, literal c de la Ley 1150 de 2007 estaría sujeta a la restricción del artículo 33 que aplica a toda entidad y a todo procedimiento que no tenga un carácter competitivo. </w:t>
      </w:r>
    </w:p>
    <w:p w14:paraId="7653A81B" w14:textId="77777777" w:rsidR="00385A72" w:rsidRPr="00385A72" w:rsidRDefault="00385A72" w:rsidP="00385A72">
      <w:pPr>
        <w:spacing w:after="120" w:line="276" w:lineRule="auto"/>
        <w:ind w:firstLine="709"/>
        <w:jc w:val="both"/>
        <w:rPr>
          <w:rFonts w:ascii="Verdana" w:eastAsia="Times New Roman" w:hAnsi="Verdana" w:cs="Arial"/>
          <w:bCs/>
          <w:lang w:val="es-MX" w:eastAsia="es-CO"/>
        </w:rPr>
      </w:pPr>
      <w:r w:rsidRPr="00385A72">
        <w:rPr>
          <w:rFonts w:ascii="Verdana" w:eastAsia="Times New Roman" w:hAnsi="Verdana" w:cs="Arial"/>
          <w:bCs/>
          <w:lang w:val="es-MX" w:eastAsia="x-none"/>
        </w:rPr>
        <w:t>Finalmente, se reitera, c</w:t>
      </w:r>
      <w:r w:rsidRPr="00385A72">
        <w:rPr>
          <w:rFonts w:ascii="Verdana" w:eastAsia="Times New Roman" w:hAnsi="Verdana" w:cs="Arial"/>
          <w:bCs/>
          <w:lang w:val="es-MX" w:eastAsia="es-CO"/>
        </w:rPr>
        <w:t>omo en otras oportunidades lo ha manifestado esta Agencia, que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 Además, también es posible que contratos celebrados previamente se continúen ejecutando con normalidad.</w:t>
      </w:r>
    </w:p>
    <w:p w14:paraId="0264F8D1" w14:textId="77777777" w:rsidR="00385A72" w:rsidRPr="00385A72" w:rsidRDefault="00385A72" w:rsidP="00385A72">
      <w:pPr>
        <w:spacing w:after="120" w:line="276" w:lineRule="auto"/>
        <w:ind w:firstLine="709"/>
        <w:jc w:val="both"/>
        <w:rPr>
          <w:rFonts w:ascii="Verdana" w:eastAsia="Calibri" w:hAnsi="Verdana" w:cs="Arial"/>
          <w:bCs/>
          <w:lang w:val="es-MX"/>
        </w:rPr>
      </w:pPr>
    </w:p>
    <w:p w14:paraId="76AA17B4" w14:textId="77777777" w:rsidR="00385A72" w:rsidRPr="00385A72" w:rsidRDefault="00385A72" w:rsidP="00385A72">
      <w:pPr>
        <w:spacing w:after="120" w:line="276" w:lineRule="auto"/>
        <w:jc w:val="both"/>
        <w:rPr>
          <w:rFonts w:ascii="Verdana" w:eastAsia="Times New Roman" w:hAnsi="Verdana" w:cs="Arial"/>
          <w:iCs/>
          <w:color w:val="000000"/>
          <w:szCs w:val="24"/>
          <w:lang w:eastAsia="es-ES_tradnl"/>
        </w:rPr>
      </w:pPr>
      <w:r w:rsidRPr="00385A72">
        <w:rPr>
          <w:rFonts w:ascii="Verdana" w:eastAsia="Calibri" w:hAnsi="Verdana" w:cs="Arial"/>
          <w:lang w:eastAsia="es-MX"/>
        </w:rPr>
        <w:t xml:space="preserve">vi. </w:t>
      </w:r>
      <w:r w:rsidRPr="00385A72">
        <w:rPr>
          <w:rFonts w:ascii="Verdana" w:hAnsi="Verdana" w:cs="Arial"/>
          <w:lang w:val="es-ES_tradnl" w:eastAsia="es-ES"/>
        </w:rPr>
        <w:t>Al margen de la explicación precedente debe advertirse que el análisis requerido para resolver problemas específicos en torno a las restricciones de ley de garantías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65C53EB" w14:textId="77777777" w:rsidR="00385A72" w:rsidRPr="00385A72" w:rsidRDefault="00385A72" w:rsidP="00385A72">
      <w:pPr>
        <w:spacing w:after="120" w:line="276" w:lineRule="auto"/>
        <w:ind w:firstLine="708"/>
        <w:jc w:val="both"/>
        <w:rPr>
          <w:rFonts w:ascii="Verdana" w:eastAsia="Calibri" w:hAnsi="Verdana" w:cs="Arial"/>
          <w:lang w:val="es-ES"/>
        </w:rPr>
      </w:pPr>
      <w:r w:rsidRPr="00385A72">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4F0C5522" w14:textId="77777777" w:rsidR="00385A72" w:rsidRPr="00385A72" w:rsidRDefault="00385A72" w:rsidP="00385A72">
      <w:pPr>
        <w:spacing w:after="0" w:line="276" w:lineRule="auto"/>
        <w:jc w:val="both"/>
        <w:rPr>
          <w:rFonts w:ascii="Verdana" w:eastAsia="Calibri" w:hAnsi="Verdana" w:cs="Arial"/>
          <w:lang w:eastAsia="es-MX"/>
        </w:rPr>
      </w:pPr>
    </w:p>
    <w:p w14:paraId="272ACF72" w14:textId="77777777" w:rsidR="00385A72" w:rsidRPr="00385A72" w:rsidRDefault="00385A72" w:rsidP="00385A72">
      <w:pPr>
        <w:numPr>
          <w:ilvl w:val="0"/>
          <w:numId w:val="19"/>
        </w:numPr>
        <w:tabs>
          <w:tab w:val="left" w:pos="142"/>
          <w:tab w:val="left" w:pos="284"/>
        </w:tabs>
        <w:spacing w:after="0" w:line="276" w:lineRule="auto"/>
        <w:jc w:val="both"/>
        <w:rPr>
          <w:rFonts w:ascii="Verdana" w:eastAsia="Century Gothic" w:hAnsi="Verdana" w:cs="Century Gothic"/>
          <w:b/>
          <w:bCs/>
          <w:lang w:val="es-ES"/>
        </w:rPr>
      </w:pPr>
      <w:r w:rsidRPr="00385A72">
        <w:rPr>
          <w:rFonts w:ascii="Verdana" w:eastAsia="Century Gothic" w:hAnsi="Verdana" w:cs="Century Gothic"/>
          <w:b/>
          <w:bCs/>
          <w:lang w:val="es-ES"/>
        </w:rPr>
        <w:t>Referencias normativas</w:t>
      </w:r>
    </w:p>
    <w:p w14:paraId="306516F1" w14:textId="77777777" w:rsidR="00385A72" w:rsidRPr="00385A72" w:rsidRDefault="00385A72" w:rsidP="00385A7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85A72" w:rsidRPr="00385A72" w14:paraId="4B11EC38" w14:textId="77777777" w:rsidTr="00171ED7">
        <w:trPr>
          <w:trHeight w:val="856"/>
          <w:jc w:val="center"/>
        </w:trPr>
        <w:tc>
          <w:tcPr>
            <w:tcW w:w="8647" w:type="dxa"/>
          </w:tcPr>
          <w:p w14:paraId="312DDCD1" w14:textId="77777777" w:rsidR="00385A72" w:rsidRPr="00385A72" w:rsidRDefault="00385A72" w:rsidP="00385A72">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385A72">
              <w:rPr>
                <w:rFonts w:ascii="Verdana" w:eastAsia="Arial MT" w:hAnsi="Verdana" w:cs="Arial"/>
                <w:lang w:eastAsia="es-ES" w:bidi="es-ES"/>
              </w:rPr>
              <w:t>Constitución Política: Artículo 127, 190 y 197.</w:t>
            </w:r>
          </w:p>
          <w:p w14:paraId="477CF96B" w14:textId="77777777" w:rsidR="00385A72" w:rsidRPr="00385A72" w:rsidRDefault="00385A72" w:rsidP="00385A72">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385A72">
              <w:rPr>
                <w:rFonts w:ascii="Verdana" w:eastAsia="Arial MT" w:hAnsi="Verdana" w:cs="Arial"/>
                <w:lang w:eastAsia="es-ES" w:bidi="es-ES"/>
              </w:rPr>
              <w:t xml:space="preserve">Código Civil, artículo 1501. </w:t>
            </w:r>
          </w:p>
          <w:p w14:paraId="20796041" w14:textId="77777777" w:rsidR="00385A72" w:rsidRPr="00385A72" w:rsidRDefault="00385A72" w:rsidP="00385A72">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385A72">
              <w:rPr>
                <w:rFonts w:ascii="Verdana" w:eastAsia="Arial MT" w:hAnsi="Verdana" w:cs="Arial"/>
                <w:lang w:eastAsia="es-ES" w:bidi="es-ES"/>
              </w:rPr>
              <w:t>Ley 80 de 1992, artículos 39 y 41</w:t>
            </w:r>
          </w:p>
          <w:p w14:paraId="6B6E640B" w14:textId="77777777" w:rsidR="00385A72" w:rsidRPr="00385A72" w:rsidRDefault="00385A72" w:rsidP="00385A72">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385A72">
              <w:rPr>
                <w:rFonts w:ascii="Verdana" w:eastAsia="Arial MT" w:hAnsi="Verdana" w:cs="Arial"/>
                <w:bCs/>
                <w:lang w:val="es-ES" w:eastAsia="es-ES" w:bidi="es-ES"/>
              </w:rPr>
              <w:t>Ley 996 de 2005: artículos 33 y 38 parágrafo.</w:t>
            </w:r>
          </w:p>
          <w:p w14:paraId="0500F050" w14:textId="77777777" w:rsidR="00385A72" w:rsidRPr="00385A72" w:rsidRDefault="00385A72" w:rsidP="00385A72">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385A72">
              <w:rPr>
                <w:rFonts w:ascii="Verdana" w:eastAsia="Arial MT" w:hAnsi="Verdana" w:cs="Arial"/>
                <w:lang w:eastAsia="es-ES" w:bidi="es-ES"/>
              </w:rPr>
              <w:t xml:space="preserve">Ley 1150 de 2007, artículo 2. </w:t>
            </w:r>
          </w:p>
          <w:p w14:paraId="100FD959" w14:textId="77777777" w:rsidR="00385A72" w:rsidRPr="00385A72" w:rsidRDefault="00385A72" w:rsidP="00385A72">
            <w:pPr>
              <w:widowControl w:val="0"/>
              <w:numPr>
                <w:ilvl w:val="0"/>
                <w:numId w:val="17"/>
              </w:numPr>
              <w:autoSpaceDE w:val="0"/>
              <w:autoSpaceDN w:val="0"/>
              <w:spacing w:after="120" w:line="276" w:lineRule="auto"/>
              <w:jc w:val="both"/>
              <w:rPr>
                <w:rFonts w:ascii="Verdana" w:eastAsia="Calibri" w:hAnsi="Verdana" w:cs="Arial"/>
                <w:lang w:val="pt-BR"/>
              </w:rPr>
            </w:pPr>
            <w:r w:rsidRPr="00385A72">
              <w:rPr>
                <w:rFonts w:ascii="Verdana" w:eastAsia="Calibri" w:hAnsi="Verdana" w:cs="Arial"/>
              </w:rPr>
              <w:t>Decreto 1082 de 2015, a</w:t>
            </w:r>
            <w:r w:rsidRPr="00385A72">
              <w:rPr>
                <w:rFonts w:ascii="Verdana" w:eastAsia="Calibri" w:hAnsi="Verdana" w:cs="Arial"/>
                <w:bCs/>
              </w:rPr>
              <w:t>rtículo 2.2.1.2.1.4.10.</w:t>
            </w:r>
            <w:r w:rsidRPr="00385A72">
              <w:rPr>
                <w:rFonts w:ascii="Verdana" w:eastAsia="Calibri" w:hAnsi="Verdana" w:cs="Arial"/>
                <w:b/>
                <w:bCs/>
              </w:rPr>
              <w:t xml:space="preserve">, </w:t>
            </w:r>
            <w:r w:rsidRPr="00385A72">
              <w:rPr>
                <w:rFonts w:ascii="Verdana" w:eastAsia="Calibri" w:hAnsi="Verdana" w:cs="Arial"/>
                <w:bCs/>
              </w:rPr>
              <w:t>2.2.1.2.1.4.1</w:t>
            </w:r>
            <w:r w:rsidRPr="00385A72">
              <w:rPr>
                <w:rFonts w:ascii="Verdana" w:eastAsia="Calibri" w:hAnsi="Verdana" w:cs="Arial"/>
                <w:b/>
                <w:bCs/>
              </w:rPr>
              <w:t>.</w:t>
            </w:r>
          </w:p>
        </w:tc>
      </w:tr>
    </w:tbl>
    <w:p w14:paraId="09A005BA" w14:textId="77777777" w:rsidR="00385A72" w:rsidRPr="00385A72" w:rsidRDefault="00385A72" w:rsidP="00385A72">
      <w:pPr>
        <w:widowControl w:val="0"/>
        <w:autoSpaceDE w:val="0"/>
        <w:autoSpaceDN w:val="0"/>
        <w:spacing w:after="0" w:line="276" w:lineRule="auto"/>
        <w:jc w:val="both"/>
        <w:rPr>
          <w:rFonts w:ascii="Verdana" w:hAnsi="Verdana" w:cs="Arial"/>
          <w:lang w:val="pt-BR"/>
        </w:rPr>
      </w:pPr>
    </w:p>
    <w:p w14:paraId="5B085AD4" w14:textId="77777777" w:rsidR="00385A72" w:rsidRPr="00385A72" w:rsidRDefault="00385A72" w:rsidP="00385A72">
      <w:pPr>
        <w:numPr>
          <w:ilvl w:val="0"/>
          <w:numId w:val="19"/>
        </w:numPr>
        <w:tabs>
          <w:tab w:val="left" w:pos="142"/>
          <w:tab w:val="left" w:pos="284"/>
        </w:tabs>
        <w:spacing w:after="0" w:line="276" w:lineRule="auto"/>
        <w:jc w:val="both"/>
        <w:rPr>
          <w:rFonts w:ascii="Verdana" w:eastAsia="Century Gothic" w:hAnsi="Verdana" w:cs="Century Gothic"/>
          <w:b/>
          <w:bCs/>
          <w:lang w:val="es-ES"/>
        </w:rPr>
      </w:pPr>
      <w:r w:rsidRPr="00385A72">
        <w:rPr>
          <w:rFonts w:ascii="Verdana" w:eastAsia="Century Gothic" w:hAnsi="Verdana" w:cs="Century Gothic"/>
          <w:b/>
          <w:bCs/>
          <w:lang w:val="es-ES"/>
        </w:rPr>
        <w:t>Doctrina de la Agencia Nacional de Contratación Pública:</w:t>
      </w:r>
    </w:p>
    <w:p w14:paraId="6A9161F0" w14:textId="77777777" w:rsidR="00385A72" w:rsidRPr="00385A72" w:rsidRDefault="00385A72" w:rsidP="00385A72">
      <w:pPr>
        <w:widowControl w:val="0"/>
        <w:autoSpaceDE w:val="0"/>
        <w:autoSpaceDN w:val="0"/>
        <w:spacing w:after="0" w:line="276" w:lineRule="auto"/>
        <w:jc w:val="both"/>
        <w:rPr>
          <w:rFonts w:ascii="Verdana" w:hAnsi="Verdana" w:cs="Arial"/>
        </w:rPr>
      </w:pPr>
    </w:p>
    <w:p w14:paraId="666715BE" w14:textId="77777777" w:rsidR="00385A72" w:rsidRPr="00385A72" w:rsidRDefault="00385A72" w:rsidP="00385A72">
      <w:pPr>
        <w:widowControl w:val="0"/>
        <w:autoSpaceDE w:val="0"/>
        <w:autoSpaceDN w:val="0"/>
        <w:spacing w:after="0" w:line="276" w:lineRule="auto"/>
        <w:jc w:val="both"/>
        <w:rPr>
          <w:rFonts w:ascii="Verdana" w:hAnsi="Verdana" w:cs="Arial"/>
          <w:bCs/>
          <w:shd w:val="clear" w:color="auto" w:fill="FFFFFF"/>
        </w:rPr>
      </w:pPr>
      <w:r w:rsidRPr="00385A72">
        <w:rPr>
          <w:rFonts w:ascii="Verdana" w:hAnsi="Verdana" w:cs="Arial"/>
          <w:shd w:val="clear" w:color="auto" w:fill="FFFFFF"/>
          <w:lang w:val="es-ES"/>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C- 1646 del 17 de diciembre de 2025, entre otros. </w:t>
      </w:r>
      <w:r w:rsidRPr="00385A72">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w:t>
      </w:r>
      <w:r w:rsidRPr="00385A72">
        <w:rPr>
          <w:rFonts w:ascii="Verdana" w:eastAsia="Calibri" w:hAnsi="Verdana" w:cs="Times New Roman"/>
        </w:rPr>
        <w:lastRenderedPageBreak/>
        <w:t>de la contratación concordada con la doctrina de la Subdirección de Gestión Contractual, accede a través del siguiente enlace:</w:t>
      </w:r>
    </w:p>
    <w:p w14:paraId="1BBA06E6" w14:textId="77777777" w:rsidR="00385A72" w:rsidRPr="00385A72" w:rsidRDefault="00803926" w:rsidP="00385A72">
      <w:pPr>
        <w:spacing w:after="0" w:line="256" w:lineRule="auto"/>
        <w:jc w:val="both"/>
        <w:rPr>
          <w:rFonts w:ascii="Verdana" w:eastAsia="Calibri" w:hAnsi="Verdana" w:cs="Times New Roman"/>
        </w:rPr>
      </w:pPr>
      <w:hyperlink r:id="rId13" w:history="1">
        <w:r w:rsidR="00385A72" w:rsidRPr="00385A72">
          <w:rPr>
            <w:rFonts w:ascii="Verdana" w:eastAsia="Calibri" w:hAnsi="Verdana" w:cs="Times New Roman"/>
            <w:color w:val="0000FF"/>
            <w:u w:val="single"/>
            <w:lang w:val="es-ES"/>
          </w:rPr>
          <w:t>https://relatoria.colombiacompra.gov.co/busqueda/conceptos</w:t>
        </w:r>
      </w:hyperlink>
      <w:r w:rsidR="00385A72" w:rsidRPr="00385A72">
        <w:rPr>
          <w:rFonts w:ascii="Verdana" w:eastAsia="Calibri" w:hAnsi="Verdana" w:cs="Times New Roman"/>
        </w:rPr>
        <w:t xml:space="preserve">. </w:t>
      </w:r>
    </w:p>
    <w:p w14:paraId="4AA7561C" w14:textId="77777777" w:rsidR="00385A72" w:rsidRPr="00385A72" w:rsidRDefault="00385A72" w:rsidP="00385A72">
      <w:pPr>
        <w:spacing w:after="0"/>
        <w:jc w:val="both"/>
        <w:rPr>
          <w:rFonts w:ascii="Verdana" w:hAnsi="Verdana"/>
          <w:lang w:val="es-ES"/>
        </w:rPr>
      </w:pPr>
    </w:p>
    <w:p w14:paraId="109F3EA0" w14:textId="77777777" w:rsidR="00385A72" w:rsidRPr="00385A72" w:rsidRDefault="00385A72" w:rsidP="00385A72">
      <w:pPr>
        <w:spacing w:after="0" w:line="256" w:lineRule="auto"/>
        <w:jc w:val="both"/>
        <w:rPr>
          <w:rFonts w:ascii="Verdana" w:eastAsia="Calibri" w:hAnsi="Verdana" w:cs="Times New Roman"/>
        </w:rPr>
      </w:pPr>
      <w:r w:rsidRPr="00385A72">
        <w:rPr>
          <w:rFonts w:ascii="Verdana" w:eastAsia="Calibri" w:hAnsi="Verdana" w:cs="Times New Roman"/>
        </w:rPr>
        <w:t xml:space="preserve">Te informamos que ya se encuentra disponible la </w:t>
      </w:r>
      <w:r w:rsidRPr="00385A72">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385A72">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48323A6B" w14:textId="77777777" w:rsidR="00385A72" w:rsidRPr="00385A72" w:rsidRDefault="00385A72" w:rsidP="00385A72">
      <w:pPr>
        <w:spacing w:after="0"/>
        <w:jc w:val="both"/>
        <w:rPr>
          <w:rFonts w:ascii="Verdana" w:hAnsi="Verdana"/>
        </w:rPr>
      </w:pPr>
    </w:p>
    <w:p w14:paraId="49F800D9" w14:textId="77777777" w:rsidR="00385A72" w:rsidRPr="00385A72" w:rsidRDefault="00385A72" w:rsidP="00385A72">
      <w:pPr>
        <w:spacing w:after="0" w:line="256" w:lineRule="auto"/>
        <w:jc w:val="both"/>
        <w:rPr>
          <w:rFonts w:ascii="Verdana" w:eastAsia="Calibri" w:hAnsi="Verdana" w:cs="Times New Roman"/>
          <w:bCs/>
          <w:lang w:val="es-ES_tradnl"/>
        </w:rPr>
      </w:pPr>
      <w:r w:rsidRPr="00385A72">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A4566D7" w14:textId="77777777" w:rsidR="00385A72" w:rsidRPr="00385A72" w:rsidRDefault="00385A72" w:rsidP="00385A72">
      <w:pPr>
        <w:spacing w:after="0" w:line="256" w:lineRule="auto"/>
        <w:jc w:val="both"/>
        <w:rPr>
          <w:rFonts w:ascii="Verdana" w:eastAsia="Calibri" w:hAnsi="Verdana" w:cs="Times New Roman"/>
        </w:rPr>
      </w:pPr>
    </w:p>
    <w:p w14:paraId="6387100F" w14:textId="77777777" w:rsidR="00385A72" w:rsidRPr="00385A72" w:rsidRDefault="00385A72" w:rsidP="00385A72">
      <w:pPr>
        <w:spacing w:after="0" w:line="256" w:lineRule="auto"/>
        <w:jc w:val="both"/>
        <w:rPr>
          <w:rFonts w:ascii="Verdana" w:eastAsia="Calibri" w:hAnsi="Verdana" w:cs="Times New Roman"/>
        </w:rPr>
      </w:pPr>
      <w:r w:rsidRPr="00385A72">
        <w:rPr>
          <w:rFonts w:ascii="Verdana" w:eastAsia="Calibri" w:hAnsi="Verdana" w:cs="Times New Roman"/>
        </w:rPr>
        <w:t>Atentamente,</w:t>
      </w:r>
    </w:p>
    <w:p w14:paraId="7AC09B0F" w14:textId="2A73481A" w:rsidR="00385A72" w:rsidRPr="00385A72" w:rsidRDefault="00385A72" w:rsidP="0074244D">
      <w:pPr>
        <w:spacing w:after="0" w:line="256" w:lineRule="auto"/>
        <w:rPr>
          <w:noProof/>
          <w:lang w:val="en-US"/>
        </w:rPr>
      </w:pPr>
    </w:p>
    <w:p w14:paraId="4A098057" w14:textId="2DF69047" w:rsidR="00385A72" w:rsidRPr="00385A72" w:rsidRDefault="0074244D" w:rsidP="00385A72">
      <w:pPr>
        <w:spacing w:after="0" w:line="256" w:lineRule="auto"/>
        <w:jc w:val="center"/>
        <w:rPr>
          <w:noProof/>
          <w:lang w:val="en-US"/>
        </w:rPr>
      </w:pPr>
      <w:r w:rsidRPr="00A12CB6">
        <w:rPr>
          <w:rFonts w:ascii="Century Gothic" w:hAnsi="Century Gothic"/>
          <w:noProof/>
          <w:lang w:val="en-US"/>
        </w:rPr>
        <w:drawing>
          <wp:inline distT="0" distB="0" distL="0" distR="0" wp14:anchorId="6709B175" wp14:editId="79E9C226">
            <wp:extent cx="3093771" cy="1290285"/>
            <wp:effectExtent l="0" t="0" r="0" b="571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123711" cy="1302772"/>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85A72" w:rsidRPr="00385A72" w14:paraId="48E646A2" w14:textId="77777777" w:rsidTr="00171ED7">
        <w:trPr>
          <w:trHeight w:val="409"/>
        </w:trPr>
        <w:tc>
          <w:tcPr>
            <w:tcW w:w="817" w:type="dxa"/>
            <w:tcBorders>
              <w:top w:val="nil"/>
              <w:left w:val="nil"/>
              <w:bottom w:val="nil"/>
              <w:right w:val="nil"/>
            </w:tcBorders>
            <w:vAlign w:val="center"/>
            <w:hideMark/>
          </w:tcPr>
          <w:p w14:paraId="698D670A"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0B6D7E0"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José Luis Sánchez Cardona</w:t>
            </w:r>
          </w:p>
          <w:p w14:paraId="3184A622"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Contratista de la Subdirección de Gestión Contractual</w:t>
            </w:r>
          </w:p>
        </w:tc>
      </w:tr>
      <w:tr w:rsidR="00385A72" w:rsidRPr="00385A72" w14:paraId="38CAC796" w14:textId="77777777" w:rsidTr="00171ED7">
        <w:trPr>
          <w:trHeight w:val="409"/>
        </w:trPr>
        <w:tc>
          <w:tcPr>
            <w:tcW w:w="817" w:type="dxa"/>
            <w:tcBorders>
              <w:top w:val="nil"/>
              <w:left w:val="nil"/>
              <w:bottom w:val="nil"/>
              <w:right w:val="nil"/>
            </w:tcBorders>
            <w:vAlign w:val="center"/>
            <w:hideMark/>
          </w:tcPr>
          <w:p w14:paraId="45309E5A"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537B2F1"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Alejandro Sarmiento Cantillo</w:t>
            </w:r>
          </w:p>
          <w:p w14:paraId="74D8B5FE"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Gestor T1-15 de la Subdirección de Gestión Contractual </w:t>
            </w:r>
          </w:p>
        </w:tc>
      </w:tr>
      <w:tr w:rsidR="00385A72" w:rsidRPr="00385A72" w14:paraId="0CCEACE0" w14:textId="77777777" w:rsidTr="00171ED7">
        <w:trPr>
          <w:trHeight w:val="389"/>
        </w:trPr>
        <w:tc>
          <w:tcPr>
            <w:tcW w:w="817" w:type="dxa"/>
            <w:tcBorders>
              <w:top w:val="nil"/>
              <w:left w:val="nil"/>
              <w:bottom w:val="nil"/>
              <w:right w:val="nil"/>
            </w:tcBorders>
            <w:vAlign w:val="center"/>
            <w:hideMark/>
          </w:tcPr>
          <w:p w14:paraId="56579823"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9745DF6"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Carolina Quintero Gacharná</w:t>
            </w:r>
          </w:p>
          <w:p w14:paraId="0045B21D" w14:textId="77777777" w:rsidR="00385A72" w:rsidRPr="00385A72" w:rsidRDefault="00385A72" w:rsidP="00385A72">
            <w:pPr>
              <w:spacing w:after="0" w:line="256" w:lineRule="auto"/>
              <w:rPr>
                <w:rFonts w:ascii="Verdana" w:eastAsia="Calibri" w:hAnsi="Verdana" w:cs="Times New Roman"/>
                <w:sz w:val="16"/>
                <w:szCs w:val="16"/>
              </w:rPr>
            </w:pPr>
            <w:r w:rsidRPr="00385A72">
              <w:rPr>
                <w:rFonts w:ascii="Verdana" w:eastAsia="Calibri" w:hAnsi="Verdana" w:cs="Times New Roman"/>
                <w:sz w:val="16"/>
                <w:szCs w:val="16"/>
              </w:rPr>
              <w:t>Subdirectora de Gestión Contractual ANCP – CCE</w:t>
            </w:r>
          </w:p>
        </w:tc>
      </w:tr>
    </w:tbl>
    <w:p w14:paraId="6FCAB28A" w14:textId="77777777" w:rsidR="00385A72" w:rsidRPr="00385A72" w:rsidRDefault="00385A72" w:rsidP="00385A72">
      <w:pPr>
        <w:spacing w:after="0"/>
        <w:rPr>
          <w:rFonts w:ascii="Verdana" w:hAnsi="Verdana"/>
        </w:rPr>
      </w:pPr>
      <w:bookmarkStart w:id="13" w:name="_GoBack"/>
      <w:bookmarkEnd w:id="0"/>
      <w:bookmarkEnd w:id="13"/>
    </w:p>
    <w:sectPr w:rsidR="00385A72" w:rsidRPr="00385A7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7B6B9" w14:textId="77777777" w:rsidR="00803926" w:rsidRDefault="00803926" w:rsidP="004A1847">
      <w:pPr>
        <w:spacing w:after="0" w:line="240" w:lineRule="auto"/>
      </w:pPr>
      <w:r>
        <w:separator/>
      </w:r>
    </w:p>
  </w:endnote>
  <w:endnote w:type="continuationSeparator" w:id="0">
    <w:p w14:paraId="03F7C7DC" w14:textId="77777777" w:rsidR="00803926" w:rsidRDefault="00803926" w:rsidP="004A1847">
      <w:pPr>
        <w:spacing w:after="0" w:line="240" w:lineRule="auto"/>
      </w:pPr>
      <w:r>
        <w:continuationSeparator/>
      </w:r>
    </w:p>
  </w:endnote>
  <w:endnote w:type="continuationNotice" w:id="1">
    <w:p w14:paraId="453E07BA" w14:textId="77777777" w:rsidR="00803926" w:rsidRDefault="008039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5E56D8BC"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B35F67" w:rsidRPr="00B35F67">
      <w:rPr>
        <w:rFonts w:ascii="Verdana" w:eastAsiaTheme="minorEastAsia" w:hAnsi="Verdana"/>
        <w:b/>
        <w:bCs/>
        <w:noProof/>
        <w:sz w:val="16"/>
        <w:szCs w:val="16"/>
      </w:rPr>
      <w:t>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A856F" w14:textId="77777777" w:rsidR="00803926" w:rsidRDefault="00803926" w:rsidP="004A1847">
      <w:pPr>
        <w:spacing w:after="0" w:line="240" w:lineRule="auto"/>
      </w:pPr>
      <w:r>
        <w:separator/>
      </w:r>
    </w:p>
  </w:footnote>
  <w:footnote w:type="continuationSeparator" w:id="0">
    <w:p w14:paraId="289A451E" w14:textId="77777777" w:rsidR="00803926" w:rsidRDefault="00803926" w:rsidP="004A1847">
      <w:pPr>
        <w:spacing w:after="0" w:line="240" w:lineRule="auto"/>
      </w:pPr>
      <w:r>
        <w:continuationSeparator/>
      </w:r>
    </w:p>
  </w:footnote>
  <w:footnote w:type="continuationNotice" w:id="1">
    <w:p w14:paraId="44B9C7C8" w14:textId="77777777" w:rsidR="00803926" w:rsidRDefault="00803926">
      <w:pPr>
        <w:spacing w:after="0" w:line="240" w:lineRule="auto"/>
      </w:pPr>
    </w:p>
  </w:footnote>
  <w:footnote w:id="2">
    <w:p w14:paraId="730D3E01" w14:textId="77777777" w:rsidR="00385A72" w:rsidRPr="00B35F67" w:rsidRDefault="00385A72" w:rsidP="00385A72">
      <w:pPr>
        <w:pStyle w:val="Textonotapie"/>
        <w:ind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E10A898" w14:textId="77777777" w:rsidR="00385A72" w:rsidRPr="00B35F67" w:rsidRDefault="00385A72" w:rsidP="00385A72">
      <w:pPr>
        <w:pStyle w:val="Textonotapie"/>
        <w:ind w:firstLine="709"/>
        <w:jc w:val="both"/>
        <w:rPr>
          <w:rFonts w:ascii="Verdana" w:hAnsi="Verdana" w:cs="Arial"/>
          <w:sz w:val="16"/>
          <w:szCs w:val="16"/>
        </w:rPr>
      </w:pPr>
      <w:r w:rsidRPr="00B35F67">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4020AF5A" w14:textId="77777777" w:rsidR="00385A72" w:rsidRPr="00B35F67" w:rsidRDefault="00385A72" w:rsidP="00385A72">
      <w:pPr>
        <w:pStyle w:val="Textonotapie"/>
        <w:ind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Gaceta del Congreso de la República No. 71 del 2005.</w:t>
      </w:r>
    </w:p>
  </w:footnote>
  <w:footnote w:id="4">
    <w:p w14:paraId="40F3EB42" w14:textId="77777777" w:rsidR="00385A72" w:rsidRPr="00B35F67" w:rsidRDefault="00385A72" w:rsidP="00385A72">
      <w:pPr>
        <w:pStyle w:val="Textonotapie"/>
        <w:ind w:firstLine="709"/>
        <w:jc w:val="both"/>
        <w:rPr>
          <w:rFonts w:ascii="Verdana" w:hAnsi="Verdana" w:cs="Arial"/>
          <w:sz w:val="16"/>
          <w:szCs w:val="16"/>
          <w:lang w:val="pt-BR"/>
        </w:rPr>
      </w:pPr>
      <w:r w:rsidRPr="00B35F67">
        <w:rPr>
          <w:rStyle w:val="Refdenotaalpie"/>
          <w:rFonts w:ascii="Verdana" w:hAnsi="Verdana" w:cs="Arial"/>
          <w:sz w:val="16"/>
          <w:szCs w:val="16"/>
        </w:rPr>
        <w:footnoteRef/>
      </w:r>
      <w:r w:rsidRPr="00B35F67">
        <w:rPr>
          <w:rFonts w:ascii="Verdana" w:hAnsi="Verdana" w:cs="Arial"/>
          <w:sz w:val="16"/>
          <w:szCs w:val="16"/>
          <w:lang w:val="pt-BR"/>
        </w:rPr>
        <w:t xml:space="preserve"> Corte Constitucional, Sentencia C- 1153 de 2005, M.P. Marco Gerardo Monroy Cabra.</w:t>
      </w:r>
    </w:p>
  </w:footnote>
  <w:footnote w:id="5">
    <w:p w14:paraId="68951B77" w14:textId="77777777" w:rsidR="00385A72" w:rsidRPr="00B35F67" w:rsidRDefault="00385A72" w:rsidP="00385A72">
      <w:pPr>
        <w:pStyle w:val="Textonotapie"/>
        <w:ind w:firstLine="709"/>
        <w:jc w:val="both"/>
        <w:rPr>
          <w:rFonts w:ascii="Verdana" w:hAnsi="Verdana" w:cs="Arial"/>
          <w:sz w:val="16"/>
          <w:szCs w:val="16"/>
          <w:lang w:val="pt-BR"/>
        </w:rPr>
      </w:pPr>
      <w:r w:rsidRPr="00B35F67">
        <w:rPr>
          <w:rStyle w:val="Refdenotaalpie"/>
          <w:rFonts w:ascii="Verdana" w:hAnsi="Verdana" w:cs="Arial"/>
          <w:sz w:val="16"/>
          <w:szCs w:val="16"/>
        </w:rPr>
        <w:footnoteRef/>
      </w:r>
      <w:r w:rsidRPr="00B35F67">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3B4B91ED" w14:textId="77777777" w:rsidR="00385A72" w:rsidRPr="00B35F67" w:rsidRDefault="00385A72" w:rsidP="00385A72">
      <w:pPr>
        <w:pStyle w:val="Textonotapie"/>
        <w:ind w:firstLine="709"/>
        <w:jc w:val="both"/>
        <w:rPr>
          <w:rFonts w:ascii="Verdana" w:hAnsi="Verdana" w:cs="Arial"/>
          <w:sz w:val="16"/>
          <w:szCs w:val="16"/>
          <w:lang w:val="es-CO"/>
        </w:rPr>
      </w:pPr>
      <w:r w:rsidRPr="00B35F67">
        <w:rPr>
          <w:rStyle w:val="Refdenotaalpie"/>
          <w:rFonts w:ascii="Verdana" w:hAnsi="Verdana" w:cs="Arial"/>
          <w:sz w:val="16"/>
          <w:szCs w:val="16"/>
        </w:rPr>
        <w:footnoteRef/>
      </w:r>
      <w:r w:rsidRPr="00B35F67">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5D2A07F0" w14:textId="77777777" w:rsidR="00385A72" w:rsidRPr="00B35F67" w:rsidRDefault="00385A72" w:rsidP="00385A72">
      <w:pPr>
        <w:pStyle w:val="Textonotapie"/>
        <w:ind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de fecha 24 de julio de 2013, radicado 2166, C. P. Álvaro Namén Vargas.  </w:t>
      </w:r>
    </w:p>
  </w:footnote>
  <w:footnote w:id="8">
    <w:p w14:paraId="307F7009" w14:textId="77777777" w:rsidR="00385A72" w:rsidRPr="00B35F67" w:rsidRDefault="00385A72" w:rsidP="00385A72">
      <w:pPr>
        <w:spacing w:after="0" w:line="240" w:lineRule="auto"/>
        <w:ind w:firstLine="709"/>
        <w:jc w:val="both"/>
        <w:rPr>
          <w:rFonts w:ascii="Verdana" w:eastAsia="Times New Roman"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w:t>
      </w:r>
      <w:bookmarkStart w:id="5" w:name="33"/>
      <w:r w:rsidRPr="00B35F67">
        <w:rPr>
          <w:rFonts w:ascii="Verdana" w:eastAsia="Calibri" w:hAnsi="Verdana" w:cs="Arial"/>
          <w:color w:val="000000"/>
          <w:sz w:val="16"/>
          <w:szCs w:val="16"/>
        </w:rPr>
        <w:t>“</w:t>
      </w:r>
      <w:r w:rsidRPr="00B35F67">
        <w:rPr>
          <w:rFonts w:ascii="Verdana" w:eastAsia="Times New Roman" w:hAnsi="Verdana" w:cs="Arial"/>
          <w:sz w:val="16"/>
          <w:szCs w:val="16"/>
        </w:rPr>
        <w:t>Artículo 33. Restricciones a la contratación pública.</w:t>
      </w:r>
      <w:bookmarkEnd w:id="5"/>
      <w:r w:rsidRPr="00B35F67">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23F9C7B0" w14:textId="77777777" w:rsidR="00385A72" w:rsidRPr="00B35F67" w:rsidRDefault="00385A72" w:rsidP="00385A72">
      <w:pPr>
        <w:spacing w:after="0" w:line="240" w:lineRule="auto"/>
        <w:ind w:firstLine="709"/>
        <w:jc w:val="both"/>
        <w:rPr>
          <w:rFonts w:ascii="Verdana" w:eastAsia="Times New Roman" w:hAnsi="Verdana" w:cs="Arial"/>
          <w:sz w:val="16"/>
          <w:szCs w:val="16"/>
        </w:rPr>
      </w:pPr>
      <w:r w:rsidRPr="00B35F67">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35F67">
        <w:rPr>
          <w:rFonts w:ascii="Verdana" w:eastAsia="Calibri" w:hAnsi="Verdana" w:cs="Arial"/>
          <w:color w:val="000000"/>
          <w:sz w:val="16"/>
          <w:szCs w:val="16"/>
        </w:rPr>
        <w:t>”</w:t>
      </w:r>
      <w:r w:rsidRPr="00B35F67">
        <w:rPr>
          <w:rFonts w:ascii="Verdana" w:eastAsia="Times New Roman" w:hAnsi="Verdana" w:cs="Arial"/>
          <w:sz w:val="16"/>
          <w:szCs w:val="16"/>
        </w:rPr>
        <w:t>.</w:t>
      </w:r>
    </w:p>
  </w:footnote>
  <w:footnote w:id="9">
    <w:p w14:paraId="406E6A2D" w14:textId="77777777" w:rsidR="00385A72" w:rsidRPr="00B35F67" w:rsidRDefault="00385A72" w:rsidP="00385A72">
      <w:pPr>
        <w:pStyle w:val="NormalWeb"/>
        <w:spacing w:before="0" w:beforeAutospacing="0" w:after="0" w:afterAutospacing="0"/>
        <w:ind w:firstLine="709"/>
        <w:jc w:val="both"/>
        <w:rPr>
          <w:rFonts w:ascii="Verdana" w:hAnsi="Verdana" w:cs="Arial"/>
          <w:sz w:val="16"/>
          <w:szCs w:val="16"/>
          <w:lang w:val="es-MX"/>
        </w:rPr>
      </w:pPr>
      <w:r w:rsidRPr="00B35F67">
        <w:rPr>
          <w:rStyle w:val="Refdenotaalpie"/>
          <w:rFonts w:ascii="Verdana" w:hAnsi="Verdana" w:cs="Arial"/>
          <w:sz w:val="16"/>
          <w:szCs w:val="16"/>
        </w:rPr>
        <w:footnoteRef/>
      </w:r>
      <w:r w:rsidRPr="00B35F67">
        <w:rPr>
          <w:rFonts w:ascii="Verdana" w:hAnsi="Verdana" w:cs="Arial"/>
          <w:sz w:val="16"/>
          <w:szCs w:val="16"/>
        </w:rPr>
        <w:t xml:space="preserve"> </w:t>
      </w:r>
      <w:bookmarkStart w:id="6" w:name="38"/>
      <w:r w:rsidRPr="00B35F67">
        <w:rPr>
          <w:rFonts w:ascii="Verdana" w:eastAsia="Calibri" w:hAnsi="Verdana" w:cs="Arial"/>
          <w:color w:val="000000"/>
          <w:sz w:val="16"/>
          <w:szCs w:val="16"/>
        </w:rPr>
        <w:t>“</w:t>
      </w:r>
      <w:r w:rsidRPr="00B35F67">
        <w:rPr>
          <w:rFonts w:ascii="Verdana" w:hAnsi="Verdana" w:cs="Arial"/>
          <w:sz w:val="16"/>
          <w:szCs w:val="16"/>
          <w:lang w:val="es-MX"/>
        </w:rPr>
        <w:t>Artículo 38. Prohibiciones para los servidores públicos. A los empleados del Estado les está prohibido:</w:t>
      </w:r>
      <w:bookmarkEnd w:id="6"/>
      <w:r w:rsidRPr="00B35F67">
        <w:rPr>
          <w:rFonts w:ascii="Verdana" w:hAnsi="Verdana" w:cs="Arial"/>
          <w:sz w:val="16"/>
          <w:szCs w:val="16"/>
          <w:lang w:val="es-MX"/>
        </w:rPr>
        <w:t xml:space="preserve"> […]</w:t>
      </w:r>
    </w:p>
    <w:p w14:paraId="66EC25E0" w14:textId="77777777" w:rsidR="00385A72" w:rsidRPr="00B35F67" w:rsidRDefault="00385A72" w:rsidP="00385A72">
      <w:pPr>
        <w:pStyle w:val="NormalWeb"/>
        <w:spacing w:before="0" w:beforeAutospacing="0" w:after="0" w:afterAutospacing="0"/>
        <w:ind w:firstLine="709"/>
        <w:jc w:val="both"/>
        <w:rPr>
          <w:rFonts w:ascii="Verdana" w:hAnsi="Verdana" w:cs="Arial"/>
          <w:sz w:val="16"/>
          <w:szCs w:val="16"/>
          <w:lang w:val="es-MX"/>
        </w:rPr>
      </w:pPr>
      <w:r w:rsidRPr="00B35F67">
        <w:rPr>
          <w:rStyle w:val="baj"/>
          <w:rFonts w:ascii="Verdana" w:eastAsia="Verdana" w:hAnsi="Verdana" w:cs="Arial"/>
          <w:sz w:val="16"/>
          <w:szCs w:val="16"/>
          <w:lang w:val="es-MX"/>
        </w:rPr>
        <w:t>Parágrafo.</w:t>
      </w:r>
      <w:r w:rsidRPr="00B35F67">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35F67">
        <w:rPr>
          <w:rFonts w:ascii="Verdana" w:eastAsia="Calibri" w:hAnsi="Verdana" w:cs="Arial"/>
          <w:color w:val="000000"/>
          <w:sz w:val="16"/>
          <w:szCs w:val="16"/>
        </w:rPr>
        <w:t>”</w:t>
      </w:r>
      <w:r w:rsidRPr="00B35F67">
        <w:rPr>
          <w:rFonts w:ascii="Verdana" w:hAnsi="Verdana" w:cs="Arial"/>
          <w:sz w:val="16"/>
          <w:szCs w:val="16"/>
          <w:lang w:val="es-MX"/>
        </w:rPr>
        <w:t>.</w:t>
      </w:r>
    </w:p>
  </w:footnote>
  <w:footnote w:id="10">
    <w:p w14:paraId="0C75E0F0" w14:textId="77777777" w:rsidR="00385A72" w:rsidRPr="00B35F67" w:rsidRDefault="00385A72" w:rsidP="00385A72">
      <w:pPr>
        <w:pStyle w:val="Textonotapie"/>
        <w:ind w:firstLine="708"/>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Colombia Compra Eficiente. Circular Externa Única. Numeral 16.5. </w:t>
      </w:r>
    </w:p>
  </w:footnote>
  <w:footnote w:id="11">
    <w:p w14:paraId="21431382" w14:textId="77777777" w:rsidR="00385A72" w:rsidRPr="00B35F67" w:rsidRDefault="00385A72" w:rsidP="00385A72">
      <w:pPr>
        <w:spacing w:after="0" w:line="240" w:lineRule="auto"/>
        <w:ind w:left="100" w:right="244" w:firstLine="709"/>
        <w:jc w:val="both"/>
        <w:rPr>
          <w:rFonts w:ascii="Verdana" w:hAnsi="Verdana" w:cs="Arial"/>
          <w:sz w:val="16"/>
          <w:szCs w:val="16"/>
          <w:lang w:val="es-ES"/>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25501E2C" w14:textId="77777777" w:rsidR="00385A72" w:rsidRPr="00B35F67" w:rsidRDefault="00385A72" w:rsidP="00385A72">
      <w:pPr>
        <w:pStyle w:val="Textonotapie"/>
        <w:ind w:right="51"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w:t>
      </w:r>
      <w:r w:rsidRPr="00B35F67">
        <w:rPr>
          <w:rFonts w:ascii="Verdana" w:hAnsi="Verdana" w:cs="Arial"/>
          <w:sz w:val="16"/>
          <w:szCs w:val="16"/>
          <w:lang w:val="es-ES"/>
        </w:rPr>
        <w:t xml:space="preserve">[25] </w:t>
      </w:r>
      <w:r w:rsidRPr="00B35F67">
        <w:rPr>
          <w:rFonts w:ascii="Verdana" w:hAnsi="Verdana" w:cs="Arial"/>
          <w:sz w:val="16"/>
          <w:szCs w:val="16"/>
        </w:rPr>
        <w:t>Cfr. Consejo de Estado. Sección Tercera. Sentencia de 3 de diciembre de 2007. Radicados: 24.715, 25.206, 25.409, 24.524, 27.834, 25.410, 26.105, 28.244, 31.447 -acumulados-“.</w:t>
      </w:r>
    </w:p>
  </w:footnote>
  <w:footnote w:id="13">
    <w:p w14:paraId="0DA23D74" w14:textId="77777777" w:rsidR="00385A72" w:rsidRPr="00B35F67" w:rsidRDefault="00385A72" w:rsidP="00385A72">
      <w:pPr>
        <w:pStyle w:val="Textonotapie"/>
        <w:ind w:right="51"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w:t>
      </w:r>
      <w:r w:rsidRPr="00B35F67">
        <w:rPr>
          <w:rFonts w:ascii="Verdana" w:hAnsi="Verdana" w:cs="Arial"/>
          <w:sz w:val="16"/>
          <w:szCs w:val="16"/>
          <w:lang w:val="es-ES"/>
        </w:rPr>
        <w:t xml:space="preserve">[26] </w:t>
      </w:r>
      <w:r w:rsidRPr="00B35F67">
        <w:rPr>
          <w:rFonts w:ascii="Verdana" w:hAnsi="Verdana" w:cs="Arial"/>
          <w:sz w:val="16"/>
          <w:szCs w:val="16"/>
        </w:rPr>
        <w:t>Al respecto ver el concepto 1712 de 2 de febrero de 2006. Consejo de Estado Sala de Consulta y Servicio Civil”.</w:t>
      </w:r>
    </w:p>
  </w:footnote>
  <w:footnote w:id="14">
    <w:p w14:paraId="241C38D9" w14:textId="77777777" w:rsidR="00385A72" w:rsidRPr="00B35F67" w:rsidRDefault="00385A72" w:rsidP="00385A72">
      <w:pPr>
        <w:pStyle w:val="Textonotapie"/>
        <w:ind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69BDAF07" w14:textId="77777777" w:rsidR="00385A72" w:rsidRPr="00B35F67" w:rsidRDefault="00385A72" w:rsidP="00385A72">
      <w:pPr>
        <w:pStyle w:val="Textonotapie"/>
        <w:ind w:firstLine="709"/>
        <w:jc w:val="both"/>
        <w:rPr>
          <w:rFonts w:ascii="Verdana" w:hAnsi="Verdana" w:cs="Arial"/>
          <w:sz w:val="16"/>
          <w:szCs w:val="16"/>
          <w:lang w:val="es-ES"/>
        </w:rPr>
      </w:pPr>
      <w:r w:rsidRPr="00B35F67">
        <w:rPr>
          <w:rStyle w:val="Refdenotaalpie"/>
          <w:rFonts w:ascii="Verdana" w:hAnsi="Verdana" w:cs="Arial"/>
          <w:sz w:val="16"/>
          <w:szCs w:val="16"/>
        </w:rPr>
        <w:footnoteRef/>
      </w:r>
      <w:r w:rsidRPr="00B35F67">
        <w:rPr>
          <w:rFonts w:ascii="Verdana" w:hAnsi="Verdana" w:cs="Arial"/>
          <w:sz w:val="16"/>
          <w:szCs w:val="16"/>
        </w:rPr>
        <w:t xml:space="preserve"> </w:t>
      </w:r>
      <w:r w:rsidRPr="00B35F67">
        <w:rPr>
          <w:rFonts w:ascii="Verdana" w:hAnsi="Verdana" w:cs="Arial"/>
          <w:sz w:val="16"/>
          <w:szCs w:val="16"/>
          <w:lang w:val="es-ES"/>
        </w:rPr>
        <w:t xml:space="preserve">Artículo 2. </w:t>
      </w:r>
    </w:p>
  </w:footnote>
  <w:footnote w:id="16">
    <w:p w14:paraId="2CF08359" w14:textId="77777777" w:rsidR="00385A72" w:rsidRPr="00B35F67" w:rsidRDefault="00385A72" w:rsidP="00385A72">
      <w:pPr>
        <w:pStyle w:val="Textonotapie"/>
        <w:ind w:firstLine="709"/>
        <w:jc w:val="both"/>
        <w:rPr>
          <w:rFonts w:ascii="Verdana" w:hAnsi="Verdana" w:cs="Arial"/>
          <w:sz w:val="16"/>
          <w:szCs w:val="16"/>
          <w:lang w:val="es-ES"/>
        </w:rPr>
      </w:pPr>
      <w:r w:rsidRPr="00B35F67">
        <w:rPr>
          <w:rStyle w:val="Refdenotaalpie"/>
          <w:rFonts w:ascii="Verdana" w:hAnsi="Verdana" w:cs="Arial"/>
          <w:sz w:val="16"/>
          <w:szCs w:val="16"/>
        </w:rPr>
        <w:footnoteRef/>
      </w:r>
      <w:r w:rsidRPr="00B35F67">
        <w:rPr>
          <w:rFonts w:ascii="Verdana" w:hAnsi="Verdana" w:cs="Arial"/>
          <w:sz w:val="16"/>
          <w:szCs w:val="16"/>
        </w:rPr>
        <w:t xml:space="preserve"> </w:t>
      </w:r>
      <w:r w:rsidRPr="00B35F67">
        <w:rPr>
          <w:rFonts w:ascii="Verdana" w:hAnsi="Verdana" w:cs="Arial"/>
          <w:i/>
          <w:sz w:val="16"/>
          <w:szCs w:val="16"/>
          <w:lang w:val="es-ES"/>
        </w:rPr>
        <w:t>Ídem</w:t>
      </w:r>
      <w:r w:rsidRPr="00B35F67">
        <w:rPr>
          <w:rFonts w:ascii="Verdana" w:hAnsi="Verdana" w:cs="Arial"/>
          <w:sz w:val="16"/>
          <w:szCs w:val="16"/>
          <w:lang w:val="es-ES"/>
        </w:rPr>
        <w:t>.</w:t>
      </w:r>
    </w:p>
  </w:footnote>
  <w:footnote w:id="17">
    <w:p w14:paraId="21EBC513" w14:textId="77777777" w:rsidR="00385A72" w:rsidRPr="00B35F67" w:rsidRDefault="00385A72" w:rsidP="00385A72">
      <w:pPr>
        <w:pStyle w:val="Textonotapie"/>
        <w:ind w:firstLine="709"/>
        <w:jc w:val="both"/>
        <w:rPr>
          <w:rFonts w:ascii="Verdana" w:hAnsi="Verdana" w:cs="Arial"/>
          <w:sz w:val="16"/>
          <w:szCs w:val="16"/>
          <w:lang w:val="es-ES"/>
        </w:rPr>
      </w:pPr>
      <w:r w:rsidRPr="00B35F67">
        <w:rPr>
          <w:rStyle w:val="Refdenotaalpie"/>
          <w:rFonts w:ascii="Verdana" w:hAnsi="Verdana" w:cs="Arial"/>
          <w:sz w:val="16"/>
          <w:szCs w:val="16"/>
        </w:rPr>
        <w:footnoteRef/>
      </w:r>
      <w:r w:rsidRPr="00B35F67">
        <w:rPr>
          <w:rStyle w:val="Refdenotaalpie"/>
          <w:rFonts w:ascii="Verdana" w:hAnsi="Verdana" w:cs="Arial"/>
          <w:sz w:val="16"/>
          <w:szCs w:val="16"/>
        </w:rPr>
        <w:t xml:space="preserve"> </w:t>
      </w:r>
      <w:r w:rsidRPr="00B35F67">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6CF43846" w14:textId="77777777" w:rsidR="00385A72" w:rsidRPr="00B35F67" w:rsidRDefault="00385A72" w:rsidP="00385A72">
      <w:pPr>
        <w:shd w:val="clear" w:color="auto" w:fill="FFFFFF"/>
        <w:spacing w:after="0" w:line="240" w:lineRule="auto"/>
        <w:ind w:firstLine="709"/>
        <w:jc w:val="both"/>
        <w:rPr>
          <w:rFonts w:ascii="Verdana" w:hAnsi="Verdana" w:cs="Arial"/>
          <w:sz w:val="16"/>
          <w:szCs w:val="16"/>
          <w:lang w:val="es-ES"/>
        </w:rPr>
      </w:pPr>
      <w:r w:rsidRPr="00B35F67">
        <w:rPr>
          <w:rStyle w:val="Refdenotaalpie"/>
          <w:rFonts w:ascii="Verdana" w:hAnsi="Verdana" w:cs="Arial"/>
          <w:sz w:val="16"/>
          <w:szCs w:val="16"/>
        </w:rPr>
        <w:footnoteRef/>
      </w:r>
      <w:r w:rsidRPr="00B35F67">
        <w:rPr>
          <w:rStyle w:val="Refdenotaalpie"/>
          <w:rFonts w:ascii="Verdana" w:hAnsi="Verdana" w:cs="Arial"/>
          <w:sz w:val="16"/>
          <w:szCs w:val="16"/>
        </w:rPr>
        <w:t xml:space="preserve"> </w:t>
      </w:r>
      <w:r w:rsidRPr="00B35F67">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9">
    <w:p w14:paraId="701FD57B" w14:textId="77777777" w:rsidR="00385A72" w:rsidRPr="00B35F67" w:rsidRDefault="00385A72" w:rsidP="00385A72">
      <w:pPr>
        <w:pStyle w:val="Textonotapie"/>
        <w:ind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Concepto del 08 de mayo de 2018. Exp. 2.382. C.P. Álvaro Namén Vargas.</w:t>
      </w:r>
    </w:p>
  </w:footnote>
  <w:footnote w:id="20">
    <w:p w14:paraId="104DB9DC" w14:textId="77777777" w:rsidR="00385A72" w:rsidRPr="00B35F67" w:rsidRDefault="00385A72" w:rsidP="00385A72">
      <w:pPr>
        <w:pStyle w:val="Textonotapie"/>
        <w:ind w:firstLine="708"/>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10DFEF3D" w14:textId="77777777" w:rsidR="00385A72" w:rsidRPr="00B35F67" w:rsidRDefault="00385A72" w:rsidP="00385A72">
      <w:pPr>
        <w:pStyle w:val="Textonotapie"/>
        <w:ind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79E9A11E" w14:textId="77777777" w:rsidR="00385A72" w:rsidRPr="00B35F67" w:rsidRDefault="00385A72" w:rsidP="00385A72">
      <w:pPr>
        <w:spacing w:after="0" w:line="240" w:lineRule="auto"/>
        <w:ind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12D6F150" w14:textId="77777777" w:rsidR="00385A72" w:rsidRPr="00B35F67" w:rsidRDefault="00385A72" w:rsidP="00385A72">
      <w:pPr>
        <w:pStyle w:val="Textonotapie"/>
        <w:ind w:right="51" w:firstLine="709"/>
        <w:jc w:val="both"/>
        <w:rPr>
          <w:rFonts w:ascii="Verdana" w:eastAsia="Times New Roman" w:hAnsi="Verdana" w:cs="Arial"/>
          <w:bCs/>
          <w:sz w:val="16"/>
          <w:szCs w:val="16"/>
          <w:lang w:eastAsia="x-none"/>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B35F67">
        <w:rPr>
          <w:rFonts w:ascii="Verdana" w:eastAsia="Times New Roman" w:hAnsi="Verdana" w:cs="Arial"/>
          <w:bCs/>
          <w:sz w:val="16"/>
          <w:szCs w:val="16"/>
          <w:lang w:eastAsia="x-none"/>
        </w:rPr>
        <w:t xml:space="preserve"> “</w:t>
      </w:r>
      <w:r w:rsidRPr="00B35F67">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B35F67">
        <w:rPr>
          <w:rFonts w:ascii="Verdana" w:eastAsia="Times New Roman" w:hAnsi="Verdana" w:cs="Arial"/>
          <w:bCs/>
          <w:sz w:val="16"/>
          <w:szCs w:val="16"/>
          <w:lang w:eastAsia="x-none"/>
        </w:rPr>
        <w:t>”.</w:t>
      </w:r>
    </w:p>
  </w:footnote>
  <w:footnote w:id="24">
    <w:p w14:paraId="5AF455D0" w14:textId="77777777" w:rsidR="00385A72" w:rsidRPr="00B35F67" w:rsidRDefault="00385A72" w:rsidP="00385A72">
      <w:pPr>
        <w:spacing w:after="0" w:line="240" w:lineRule="auto"/>
        <w:ind w:firstLine="708"/>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5">
    <w:p w14:paraId="6A8CFEE7" w14:textId="77777777" w:rsidR="00385A72" w:rsidRPr="00B35F67" w:rsidRDefault="00385A72" w:rsidP="00385A72">
      <w:pPr>
        <w:pStyle w:val="Textonotapie"/>
        <w:ind w:right="51" w:firstLine="709"/>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Sala de Consulta y Servicio Civil, ídem.</w:t>
      </w:r>
    </w:p>
  </w:footnote>
  <w:footnote w:id="26">
    <w:p w14:paraId="3E1BC4CD" w14:textId="77777777" w:rsidR="00385A72" w:rsidRPr="00B35F67" w:rsidRDefault="00385A72" w:rsidP="00385A72">
      <w:pPr>
        <w:pStyle w:val="Textonotapie"/>
        <w:ind w:firstLine="708"/>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Colombia Compra Eficiente. Circular Externa Única. Numeral 15.5.</w:t>
      </w:r>
    </w:p>
    <w:p w14:paraId="4A59C0FE" w14:textId="77777777" w:rsidR="00385A72" w:rsidRPr="00B35F67" w:rsidRDefault="00385A72" w:rsidP="00385A72">
      <w:pPr>
        <w:pStyle w:val="Textonotapie"/>
        <w:ind w:firstLine="708"/>
        <w:jc w:val="both"/>
        <w:rPr>
          <w:rFonts w:ascii="Verdana" w:hAnsi="Verdana" w:cs="Arial"/>
          <w:sz w:val="16"/>
          <w:szCs w:val="16"/>
        </w:rPr>
      </w:pPr>
    </w:p>
  </w:footnote>
  <w:footnote w:id="27">
    <w:p w14:paraId="704DA5EA" w14:textId="77777777" w:rsidR="00385A72" w:rsidRPr="00B35F67" w:rsidRDefault="00385A72" w:rsidP="00385A72">
      <w:pPr>
        <w:pStyle w:val="Textonotapie"/>
        <w:ind w:firstLine="709"/>
        <w:contextualSpacing/>
        <w:jc w:val="both"/>
        <w:rPr>
          <w:rFonts w:ascii="Verdana" w:hAnsi="Verdana" w:cs="Arial"/>
          <w:sz w:val="16"/>
          <w:szCs w:val="16"/>
        </w:rPr>
      </w:pPr>
      <w:r w:rsidRPr="00B35F67">
        <w:rPr>
          <w:rStyle w:val="Refdenotaalpie"/>
          <w:rFonts w:ascii="Verdana" w:hAnsi="Verdana"/>
          <w:sz w:val="16"/>
          <w:szCs w:val="16"/>
        </w:rPr>
        <w:footnoteRef/>
      </w:r>
      <w:r w:rsidRPr="00B35F67">
        <w:rPr>
          <w:rFonts w:ascii="Verdana" w:hAnsi="Verdana"/>
          <w:sz w:val="16"/>
          <w:szCs w:val="16"/>
        </w:rPr>
        <w:t xml:space="preserve"> </w:t>
      </w:r>
      <w:r w:rsidRPr="00B35F67">
        <w:rPr>
          <w:rFonts w:ascii="Verdana" w:hAnsi="Verdana" w:cs="Arial"/>
          <w:sz w:val="16"/>
          <w:szCs w:val="16"/>
        </w:rPr>
        <w:t xml:space="preserve">Consejo de Estado -Sección Tercera-. Sentencia del 21 de febrero de 2025. CP: José Roberto Sáchica Méndez. Exp. 68.280. </w:t>
      </w:r>
    </w:p>
  </w:footnote>
  <w:footnote w:id="28">
    <w:p w14:paraId="6DE2F372" w14:textId="77777777" w:rsidR="00385A72" w:rsidRPr="00B35F67" w:rsidRDefault="00385A72" w:rsidP="00385A72">
      <w:pPr>
        <w:pStyle w:val="Textonotapie"/>
        <w:ind w:firstLine="709"/>
        <w:contextualSpacing/>
        <w:jc w:val="both"/>
        <w:rPr>
          <w:rFonts w:ascii="Verdana" w:hAnsi="Verdana" w:cs="Arial"/>
          <w:sz w:val="16"/>
          <w:szCs w:val="16"/>
        </w:rPr>
      </w:pPr>
      <w:r w:rsidRPr="00B35F67">
        <w:rPr>
          <w:rFonts w:ascii="Verdana" w:hAnsi="Verdana"/>
          <w:sz w:val="16"/>
          <w:szCs w:val="16"/>
          <w:vertAlign w:val="superscript"/>
        </w:rPr>
        <w:footnoteRef/>
      </w:r>
      <w:r w:rsidRPr="00B35F67">
        <w:rPr>
          <w:rFonts w:ascii="Verdana" w:hAnsi="Verdana"/>
          <w:sz w:val="16"/>
          <w:szCs w:val="16"/>
          <w:vertAlign w:val="superscript"/>
        </w:rPr>
        <w:t xml:space="preserve"> </w:t>
      </w:r>
      <w:r w:rsidRPr="00B35F67">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9">
    <w:p w14:paraId="36A25CEB" w14:textId="77777777" w:rsidR="00385A72" w:rsidRPr="00B35F67" w:rsidRDefault="00385A72" w:rsidP="00385A72">
      <w:pPr>
        <w:pStyle w:val="Textonotapie"/>
        <w:ind w:firstLine="709"/>
        <w:contextualSpacing/>
        <w:jc w:val="both"/>
        <w:rPr>
          <w:rFonts w:ascii="Verdana" w:hAnsi="Verdana" w:cs="Arial"/>
          <w:sz w:val="16"/>
          <w:szCs w:val="16"/>
        </w:rPr>
      </w:pPr>
      <w:r w:rsidRPr="00B35F67">
        <w:rPr>
          <w:rFonts w:ascii="Verdana" w:hAnsi="Verdana"/>
          <w:sz w:val="16"/>
          <w:szCs w:val="16"/>
          <w:vertAlign w:val="superscript"/>
        </w:rPr>
        <w:footnoteRef/>
      </w:r>
      <w:r w:rsidRPr="00B35F67">
        <w:rPr>
          <w:rFonts w:ascii="Verdana" w:hAnsi="Verdana" w:cs="Arial"/>
          <w:sz w:val="16"/>
          <w:szCs w:val="16"/>
          <w:vertAlign w:val="superscript"/>
        </w:rPr>
        <w:t xml:space="preserve"> </w:t>
      </w:r>
      <w:r w:rsidRPr="00B35F67">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0DD36AA2" w14:textId="77777777" w:rsidR="00385A72" w:rsidRPr="00B35F67" w:rsidRDefault="00385A72" w:rsidP="00385A72">
      <w:pPr>
        <w:pStyle w:val="Textonotapie"/>
        <w:ind w:firstLine="709"/>
        <w:contextualSpacing/>
        <w:jc w:val="both"/>
        <w:rPr>
          <w:rFonts w:ascii="Verdana" w:hAnsi="Verdana" w:cs="Arial"/>
          <w:sz w:val="16"/>
          <w:szCs w:val="16"/>
        </w:rPr>
      </w:pPr>
      <w:r w:rsidRPr="00B35F67">
        <w:rPr>
          <w:rFonts w:ascii="Verdana" w:hAnsi="Verdana" w:cs="Arial"/>
          <w:sz w:val="16"/>
          <w:szCs w:val="16"/>
        </w:rPr>
        <w:t>[…]”.</w:t>
      </w:r>
    </w:p>
  </w:footnote>
  <w:footnote w:id="30">
    <w:p w14:paraId="02AE725E" w14:textId="77777777" w:rsidR="00385A72" w:rsidRPr="00B35F67" w:rsidRDefault="00385A72" w:rsidP="00385A72">
      <w:pPr>
        <w:pStyle w:val="Textonotapie"/>
        <w:ind w:firstLine="709"/>
        <w:contextualSpacing/>
        <w:jc w:val="both"/>
        <w:rPr>
          <w:rFonts w:ascii="Verdana" w:hAnsi="Verdana" w:cs="Arial"/>
          <w:sz w:val="16"/>
          <w:szCs w:val="16"/>
        </w:rPr>
      </w:pPr>
      <w:r w:rsidRPr="00B35F67">
        <w:rPr>
          <w:rFonts w:ascii="Verdana" w:hAnsi="Verdana"/>
          <w:sz w:val="16"/>
          <w:szCs w:val="16"/>
          <w:vertAlign w:val="superscript"/>
        </w:rPr>
        <w:footnoteRef/>
      </w:r>
      <w:r w:rsidRPr="00B35F67">
        <w:rPr>
          <w:rFonts w:ascii="Verdana" w:hAnsi="Verdana" w:cs="Arial"/>
          <w:sz w:val="16"/>
          <w:szCs w:val="16"/>
          <w:vertAlign w:val="superscript"/>
        </w:rPr>
        <w:t xml:space="preserve"> </w:t>
      </w:r>
      <w:r w:rsidRPr="00B35F67">
        <w:rPr>
          <w:rFonts w:ascii="Verdana" w:hAnsi="Verdana" w:cs="Arial"/>
          <w:sz w:val="16"/>
          <w:szCs w:val="16"/>
        </w:rPr>
        <w:t>Código Civil: “Artículo 27. Cuando el sentido de la ley sea claro, no se desatenderá su tenor a pretexto de consultar su espíritu”.</w:t>
      </w:r>
    </w:p>
  </w:footnote>
  <w:footnote w:id="31">
    <w:p w14:paraId="79662562" w14:textId="77777777" w:rsidR="00385A72" w:rsidRPr="00B35F67" w:rsidRDefault="00385A72" w:rsidP="00385A72">
      <w:pPr>
        <w:pStyle w:val="Textonotapie"/>
        <w:ind w:firstLine="708"/>
        <w:contextualSpacing/>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5EB52B5F" w14:textId="77777777" w:rsidR="00385A72" w:rsidRPr="00B35F67" w:rsidRDefault="00385A72" w:rsidP="00385A72">
      <w:pPr>
        <w:pStyle w:val="Textonotapie"/>
        <w:ind w:firstLine="708"/>
        <w:contextualSpacing/>
        <w:jc w:val="both"/>
        <w:rPr>
          <w:rFonts w:ascii="Verdana" w:hAnsi="Verdana" w:cs="Arial"/>
          <w:sz w:val="16"/>
          <w:szCs w:val="16"/>
        </w:rPr>
      </w:pPr>
      <w:r w:rsidRPr="00B35F67">
        <w:rPr>
          <w:rFonts w:ascii="Verdana" w:hAnsi="Verdana" w:cs="Arial"/>
          <w:sz w:val="16"/>
          <w:szCs w:val="16"/>
        </w:rPr>
        <w:t xml:space="preserve">a) Personería jurídica; </w:t>
      </w:r>
    </w:p>
    <w:p w14:paraId="674DB559" w14:textId="77777777" w:rsidR="00385A72" w:rsidRPr="00B35F67" w:rsidRDefault="00385A72" w:rsidP="00385A72">
      <w:pPr>
        <w:pStyle w:val="Textonotapie"/>
        <w:ind w:firstLine="708"/>
        <w:contextualSpacing/>
        <w:jc w:val="both"/>
        <w:rPr>
          <w:rFonts w:ascii="Verdana" w:hAnsi="Verdana" w:cs="Arial"/>
          <w:sz w:val="16"/>
          <w:szCs w:val="16"/>
        </w:rPr>
      </w:pPr>
      <w:r w:rsidRPr="00B35F67">
        <w:rPr>
          <w:rFonts w:ascii="Verdana" w:hAnsi="Verdana" w:cs="Arial"/>
          <w:sz w:val="16"/>
          <w:szCs w:val="16"/>
        </w:rPr>
        <w:t xml:space="preserve">b) Autonomía administrativa y financiera; </w:t>
      </w:r>
    </w:p>
    <w:p w14:paraId="2B330F5E" w14:textId="77777777" w:rsidR="00385A72" w:rsidRPr="00B35F67" w:rsidRDefault="00385A72" w:rsidP="00385A72">
      <w:pPr>
        <w:pStyle w:val="Textonotapie"/>
        <w:ind w:firstLine="708"/>
        <w:contextualSpacing/>
        <w:jc w:val="both"/>
        <w:rPr>
          <w:rFonts w:ascii="Verdana" w:hAnsi="Verdana" w:cs="Arial"/>
          <w:sz w:val="16"/>
          <w:szCs w:val="16"/>
        </w:rPr>
      </w:pPr>
      <w:r w:rsidRPr="00B35F67">
        <w:rPr>
          <w:rFonts w:ascii="Verdana" w:hAnsi="Verdana" w:cs="Arial"/>
          <w:sz w:val="16"/>
          <w:szCs w:val="16"/>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60E16289" w14:textId="77777777" w:rsidR="00385A72" w:rsidRPr="00B35F67" w:rsidRDefault="00385A72" w:rsidP="00385A72">
      <w:pPr>
        <w:pStyle w:val="Textonotapie"/>
        <w:ind w:firstLine="708"/>
        <w:contextualSpacing/>
        <w:jc w:val="both"/>
        <w:rPr>
          <w:rFonts w:ascii="Verdana" w:hAnsi="Verdana" w:cs="Arial"/>
          <w:sz w:val="16"/>
          <w:szCs w:val="16"/>
        </w:rPr>
      </w:pPr>
      <w:r w:rsidRPr="00B35F67">
        <w:rPr>
          <w:rFonts w:ascii="Verdana" w:hAnsi="Verdana" w:cs="Arial"/>
          <w:sz w:val="16"/>
          <w:szCs w:val="16"/>
        </w:rPr>
        <w:t xml:space="preserve">El capital de las empresas industriales y comerciales del Estado podrá estar representado en cuotas o acciones de igual valor nominal. </w:t>
      </w:r>
    </w:p>
    <w:p w14:paraId="418E165C" w14:textId="77777777" w:rsidR="00385A72" w:rsidRPr="00B35F67" w:rsidRDefault="00385A72" w:rsidP="00385A72">
      <w:pPr>
        <w:pStyle w:val="Textonotapie"/>
        <w:ind w:firstLine="708"/>
        <w:contextualSpacing/>
        <w:jc w:val="both"/>
        <w:rPr>
          <w:rFonts w:ascii="Verdana" w:hAnsi="Verdana" w:cs="Arial"/>
          <w:sz w:val="16"/>
          <w:szCs w:val="16"/>
        </w:rPr>
      </w:pPr>
      <w:r w:rsidRPr="00B35F67">
        <w:rPr>
          <w:rFonts w:ascii="Verdana" w:hAnsi="Verdana" w:cs="Arial"/>
          <w:sz w:val="16"/>
          <w:szCs w:val="16"/>
        </w:rPr>
        <w:t xml:space="preserve">A las empresas industriales y comerciales del Estado y a las sociedades de economía mixta se les aplicará en lo pertinente los artículos 19, numerales 2°, 4°, 5°, 6°, 12, 13, 17, 27, numerales 2°, 3°, 4°, 5°, y 7°, y 183 de la Ley 142 de 1994. </w:t>
      </w:r>
    </w:p>
    <w:p w14:paraId="02FC932E" w14:textId="77777777" w:rsidR="00385A72" w:rsidRPr="00B35F67" w:rsidRDefault="00385A72" w:rsidP="00385A72">
      <w:pPr>
        <w:pStyle w:val="Textonotapie"/>
        <w:ind w:firstLine="708"/>
        <w:contextualSpacing/>
        <w:jc w:val="both"/>
        <w:rPr>
          <w:rFonts w:ascii="Verdana" w:hAnsi="Verdana" w:cs="Arial"/>
          <w:sz w:val="16"/>
          <w:szCs w:val="16"/>
        </w:rPr>
      </w:pPr>
      <w:r w:rsidRPr="00B35F67">
        <w:rPr>
          <w:rFonts w:ascii="Verdana" w:hAnsi="Verdana" w:cs="Arial"/>
          <w:sz w:val="16"/>
          <w:szCs w:val="16"/>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32">
    <w:p w14:paraId="2EA6F154" w14:textId="77777777" w:rsidR="00385A72" w:rsidRPr="00B35F67" w:rsidRDefault="00385A72" w:rsidP="00385A72">
      <w:pPr>
        <w:pStyle w:val="Textonotapie"/>
        <w:ind w:firstLine="708"/>
        <w:jc w:val="both"/>
        <w:rPr>
          <w:rFonts w:ascii="Verdana" w:hAnsi="Verdana"/>
          <w:sz w:val="16"/>
          <w:szCs w:val="16"/>
          <w:lang w:val="es-ES"/>
        </w:rPr>
      </w:pPr>
      <w:r w:rsidRPr="00B35F67">
        <w:rPr>
          <w:rStyle w:val="Refdenotaalpie"/>
          <w:rFonts w:ascii="Verdana" w:hAnsi="Verdana"/>
          <w:sz w:val="16"/>
          <w:szCs w:val="16"/>
        </w:rPr>
        <w:footnoteRef/>
      </w:r>
      <w:r w:rsidRPr="00B35F67">
        <w:rPr>
          <w:rFonts w:ascii="Verdana" w:hAnsi="Verdana"/>
          <w:sz w:val="16"/>
          <w:szCs w:val="16"/>
        </w:rPr>
        <w:t xml:space="preserve"> </w:t>
      </w:r>
      <w:r w:rsidRPr="00B35F67">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B35F67">
        <w:rPr>
          <w:rFonts w:ascii="Verdana" w:hAnsi="Verdana"/>
          <w:i/>
          <w:iCs/>
          <w:sz w:val="16"/>
          <w:szCs w:val="16"/>
          <w:lang w:val="es-ES"/>
        </w:rPr>
        <w:t>Ubi lex non distinguit nec nos distinguere debemus</w:t>
      </w:r>
      <w:r w:rsidRPr="00B35F67">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5584DE09" w14:textId="77777777" w:rsidR="00385A72" w:rsidRPr="00B35F67" w:rsidRDefault="00385A72" w:rsidP="00385A72">
      <w:pPr>
        <w:pStyle w:val="Textonotapie"/>
        <w:ind w:firstLine="708"/>
        <w:jc w:val="both"/>
        <w:rPr>
          <w:rFonts w:ascii="Verdana" w:hAnsi="Verdana"/>
          <w:sz w:val="16"/>
          <w:szCs w:val="16"/>
          <w:lang w:val="es-CO"/>
        </w:rPr>
      </w:pPr>
      <w:r w:rsidRPr="00B35F67">
        <w:rPr>
          <w:rFonts w:ascii="Verdana" w:hAnsi="Verdana"/>
          <w:sz w:val="16"/>
          <w:szCs w:val="16"/>
          <w:lang w:val="es-ES"/>
        </w:rPr>
        <w:t xml:space="preserve">En el derecho antiguo y en el derecho canónico se distinguían las leyes en favorables y odiosas, para ampliar o restringir su interpretación. </w:t>
      </w:r>
      <w:r w:rsidRPr="00B35F67">
        <w:rPr>
          <w:rFonts w:ascii="Verdana" w:hAnsi="Verdana"/>
          <w:i/>
          <w:iCs/>
          <w:sz w:val="16"/>
          <w:szCs w:val="16"/>
          <w:lang w:val="es-ES"/>
        </w:rPr>
        <w:t>Odia restringí et favores convenit ampliari</w:t>
      </w:r>
      <w:r w:rsidRPr="00B35F67">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B35F67">
        <w:rPr>
          <w:rFonts w:ascii="Verdana" w:hAnsi="Verdana"/>
          <w:sz w:val="16"/>
          <w:szCs w:val="16"/>
        </w:rPr>
        <w:t>CLARO SOLAR, Luis. Explicaciones de derecho civil chileno y comparado. Volumen I. Tomo I. Santiago: Editorial Jurídica de Chile, 2013. p. 119. Énfasis dentro del texto).</w:t>
      </w:r>
    </w:p>
  </w:footnote>
  <w:footnote w:id="33">
    <w:p w14:paraId="6546EACA" w14:textId="77777777" w:rsidR="00385A72" w:rsidRPr="00B35F67" w:rsidRDefault="00385A72" w:rsidP="00385A72">
      <w:pPr>
        <w:pStyle w:val="Textonotapie"/>
        <w:ind w:firstLine="709"/>
        <w:contextualSpacing/>
        <w:jc w:val="both"/>
        <w:rPr>
          <w:rFonts w:ascii="Verdana" w:hAnsi="Verdana"/>
          <w:sz w:val="16"/>
          <w:szCs w:val="16"/>
          <w:lang w:val="es-CO"/>
        </w:rPr>
      </w:pPr>
      <w:r w:rsidRPr="00B35F67">
        <w:rPr>
          <w:rStyle w:val="Refdenotaalpie"/>
          <w:rFonts w:ascii="Verdana" w:hAnsi="Verdana"/>
          <w:sz w:val="16"/>
          <w:szCs w:val="16"/>
        </w:rPr>
        <w:footnoteRef/>
      </w:r>
      <w:r w:rsidRPr="00B35F67">
        <w:rPr>
          <w:rFonts w:ascii="Verdana" w:hAnsi="Verdana"/>
          <w:sz w:val="16"/>
          <w:szCs w:val="16"/>
          <w:lang w:val="es-CO"/>
        </w:rPr>
        <w:t xml:space="preserve"> Consejo de Estado, Sección Tercera, Subsección B. Auto del 4 de octubre de 2024. C.P: Fredy Ibarra Martínez. Exp. 70.313.</w:t>
      </w:r>
    </w:p>
  </w:footnote>
  <w:footnote w:id="34">
    <w:p w14:paraId="6CAA3A52" w14:textId="77777777" w:rsidR="00385A72" w:rsidRPr="00B35F67" w:rsidRDefault="00385A72" w:rsidP="00385A72">
      <w:pPr>
        <w:pStyle w:val="Textonotapie"/>
        <w:ind w:firstLine="709"/>
        <w:contextualSpacing/>
        <w:jc w:val="both"/>
        <w:rPr>
          <w:rFonts w:ascii="Verdana" w:hAnsi="Verdana"/>
          <w:sz w:val="16"/>
          <w:szCs w:val="16"/>
          <w:lang w:val="es-CO"/>
        </w:rPr>
      </w:pPr>
      <w:r w:rsidRPr="00B35F67">
        <w:rPr>
          <w:rStyle w:val="Refdenotaalpie"/>
          <w:rFonts w:ascii="Verdana" w:hAnsi="Verdana"/>
          <w:sz w:val="16"/>
          <w:szCs w:val="16"/>
        </w:rPr>
        <w:footnoteRef/>
      </w:r>
      <w:r w:rsidRPr="00B35F67">
        <w:rPr>
          <w:rFonts w:ascii="Verdana" w:hAnsi="Verdana"/>
          <w:sz w:val="16"/>
          <w:szCs w:val="16"/>
        </w:rPr>
        <w:t xml:space="preserve"> La parte resolutiva del auto dispone lo siguiente; “</w:t>
      </w:r>
      <w:r w:rsidRPr="00B35F67">
        <w:rPr>
          <w:rFonts w:ascii="Verdana" w:hAnsi="Verdana"/>
          <w:b/>
          <w:sz w:val="16"/>
          <w:szCs w:val="16"/>
          <w:lang w:val="es-CO"/>
        </w:rPr>
        <w:t xml:space="preserve">PRIMERO: DECRETAR </w:t>
      </w:r>
      <w:r w:rsidRPr="00B35F67">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35F67">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35F67">
        <w:rPr>
          <w:rFonts w:ascii="Verdana" w:hAnsi="Verdana"/>
          <w:sz w:val="16"/>
          <w:szCs w:val="16"/>
          <w:lang w:val="es-CO"/>
        </w:rPr>
        <w:t xml:space="preserve">, por las razones expuestas en precedencia. </w:t>
      </w:r>
    </w:p>
    <w:p w14:paraId="598C4E0E" w14:textId="77777777" w:rsidR="00385A72" w:rsidRPr="00B35F67" w:rsidRDefault="00385A72" w:rsidP="00385A72">
      <w:pPr>
        <w:pStyle w:val="Textonotapie"/>
        <w:ind w:firstLine="709"/>
        <w:contextualSpacing/>
        <w:jc w:val="both"/>
        <w:rPr>
          <w:rFonts w:ascii="Verdana" w:hAnsi="Verdana"/>
          <w:sz w:val="16"/>
          <w:szCs w:val="16"/>
          <w:lang w:val="es-CO"/>
        </w:rPr>
      </w:pPr>
      <w:r w:rsidRPr="00B35F67">
        <w:rPr>
          <w:rFonts w:ascii="Verdana" w:hAnsi="Verdana"/>
          <w:b/>
          <w:sz w:val="16"/>
          <w:szCs w:val="16"/>
          <w:lang w:val="es-CO"/>
        </w:rPr>
        <w:t xml:space="preserve">SEGUNDO: DECRETAR </w:t>
      </w:r>
      <w:r w:rsidRPr="00B35F67">
        <w:rPr>
          <w:rFonts w:ascii="Verdana" w:hAnsi="Verdana"/>
          <w:sz w:val="16"/>
          <w:szCs w:val="16"/>
          <w:lang w:val="es-CO"/>
        </w:rPr>
        <w:t>la suspensión provisional de la expresión “</w:t>
      </w:r>
      <w:r w:rsidRPr="00B35F67">
        <w:rPr>
          <w:rFonts w:ascii="Verdana" w:hAnsi="Verdana"/>
          <w:i/>
          <w:sz w:val="16"/>
          <w:szCs w:val="16"/>
          <w:lang w:val="es-CO"/>
        </w:rPr>
        <w:t>contratos</w:t>
      </w:r>
      <w:r w:rsidRPr="00B35F67">
        <w:rPr>
          <w:rFonts w:ascii="Verdana" w:hAnsi="Verdana"/>
          <w:sz w:val="16"/>
          <w:szCs w:val="16"/>
          <w:lang w:val="es-CO"/>
        </w:rPr>
        <w:t xml:space="preserve">” y del párrafo </w:t>
      </w:r>
      <w:r w:rsidRPr="00B35F67">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35F67">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35">
    <w:p w14:paraId="769B4912" w14:textId="77777777" w:rsidR="00385A72" w:rsidRPr="00B35F67" w:rsidRDefault="00385A72" w:rsidP="00385A72">
      <w:pPr>
        <w:spacing w:after="0" w:line="240" w:lineRule="auto"/>
        <w:ind w:firstLine="709"/>
        <w:contextualSpacing/>
        <w:jc w:val="both"/>
        <w:rPr>
          <w:rFonts w:ascii="Verdana" w:eastAsia="Times New Roman" w:hAnsi="Verdana" w:cs="Times New Roman"/>
          <w:sz w:val="16"/>
          <w:szCs w:val="16"/>
          <w:lang w:eastAsia="es-ES"/>
        </w:rPr>
      </w:pPr>
      <w:r w:rsidRPr="00B35F67">
        <w:rPr>
          <w:rStyle w:val="Refdenotaalpie"/>
          <w:rFonts w:ascii="Verdana" w:hAnsi="Verdana"/>
          <w:sz w:val="16"/>
          <w:szCs w:val="16"/>
        </w:rPr>
        <w:footnoteRef/>
      </w:r>
      <w:r w:rsidRPr="00B35F67">
        <w:rPr>
          <w:rFonts w:ascii="Verdana" w:hAnsi="Verdana"/>
          <w:sz w:val="16"/>
          <w:szCs w:val="16"/>
        </w:rPr>
        <w:t xml:space="preserve"> </w:t>
      </w:r>
      <w:r w:rsidRPr="00B35F67">
        <w:rPr>
          <w:rFonts w:ascii="Verdana" w:eastAsia="Times New Roman" w:hAnsi="Verdana" w:cs="Times New Roman"/>
          <w:sz w:val="16"/>
          <w:szCs w:val="16"/>
          <w:lang w:eastAsia="es-ES"/>
        </w:rPr>
        <w:t xml:space="preserve">Consejo de Estado. Sección Tercera. Subsección B. 17 de octubre de 2025. C.P. Fredy Ibarra Martínez. </w:t>
      </w:r>
      <w:r w:rsidRPr="00B35F67">
        <w:rPr>
          <w:rFonts w:ascii="Verdana" w:hAnsi="Verdana"/>
          <w:sz w:val="16"/>
          <w:szCs w:val="16"/>
        </w:rPr>
        <w:t xml:space="preserve">La parte de la providencia señala: </w:t>
      </w:r>
      <w:r w:rsidRPr="00B35F67">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6">
    <w:p w14:paraId="3E4F3D83" w14:textId="77777777" w:rsidR="00385A72" w:rsidRPr="00B35F67" w:rsidRDefault="00385A72" w:rsidP="00385A72">
      <w:pPr>
        <w:pStyle w:val="Textonotapie"/>
        <w:ind w:firstLine="709"/>
        <w:jc w:val="both"/>
        <w:rPr>
          <w:rFonts w:ascii="Verdana" w:hAnsi="Verdana"/>
          <w:sz w:val="16"/>
          <w:szCs w:val="16"/>
          <w:lang w:val="es-CO"/>
        </w:rPr>
      </w:pPr>
      <w:r w:rsidRPr="00B35F67">
        <w:rPr>
          <w:rStyle w:val="Refdenotaalpie"/>
          <w:rFonts w:ascii="Verdana" w:hAnsi="Verdana"/>
          <w:sz w:val="16"/>
          <w:szCs w:val="16"/>
        </w:rPr>
        <w:footnoteRef/>
      </w:r>
      <w:r w:rsidRPr="00B35F67">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7">
    <w:p w14:paraId="00F79BBE" w14:textId="77777777" w:rsidR="00385A72" w:rsidRPr="00B35F67" w:rsidRDefault="00385A72" w:rsidP="00385A72">
      <w:pPr>
        <w:pStyle w:val="Textonotapie"/>
        <w:ind w:firstLine="720"/>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Sin perjuicio de las restricciones establecidas para la modalidad de contratación directa en el artículo 33 de la Ley 996 de 2005 en la etapa preelectoral para la elección del Presidente y Vicepresidente de la República.</w:t>
      </w:r>
    </w:p>
  </w:footnote>
  <w:footnote w:id="38">
    <w:p w14:paraId="361E70A3" w14:textId="77777777" w:rsidR="00385A72" w:rsidRPr="00B35F67" w:rsidRDefault="00385A72" w:rsidP="00385A72">
      <w:pPr>
        <w:pStyle w:val="Textonotapie"/>
        <w:ind w:firstLine="720"/>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Consejo de Estado, Sección Tercera. Subsección “B”. Sentencia del 16 de marzo de 2017, Rad: 25000232400020040089401. C.P. Ramiro Pazos Guerrero.</w:t>
      </w:r>
    </w:p>
  </w:footnote>
  <w:footnote w:id="39">
    <w:p w14:paraId="48D3E1ED" w14:textId="77777777" w:rsidR="00385A72" w:rsidRPr="00B35F67" w:rsidRDefault="00385A72" w:rsidP="00385A72">
      <w:pPr>
        <w:pStyle w:val="NormalWeb"/>
        <w:shd w:val="clear" w:color="auto" w:fill="FFFFFF"/>
        <w:spacing w:before="0" w:beforeAutospacing="0" w:after="0" w:afterAutospacing="0"/>
        <w:ind w:firstLine="720"/>
        <w:jc w:val="both"/>
        <w:rPr>
          <w:rFonts w:ascii="Verdana" w:hAnsi="Verdana" w:cs="Arial"/>
          <w:sz w:val="16"/>
          <w:szCs w:val="16"/>
        </w:rPr>
      </w:pPr>
    </w:p>
    <w:p w14:paraId="038F15B2" w14:textId="77777777" w:rsidR="00385A72" w:rsidRPr="00B35F67" w:rsidRDefault="00385A72" w:rsidP="00385A72">
      <w:pPr>
        <w:pStyle w:val="NormalWeb"/>
        <w:shd w:val="clear" w:color="auto" w:fill="FFFFFF"/>
        <w:spacing w:before="0" w:beforeAutospacing="0" w:after="0" w:afterAutospacing="0"/>
        <w:ind w:firstLine="720"/>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Decreto 1082 de 2015. “</w:t>
      </w:r>
      <w:r w:rsidRPr="00B35F67">
        <w:rPr>
          <w:rStyle w:val="Textoennegrita"/>
          <w:rFonts w:ascii="Verdana" w:hAnsi="Verdana" w:cs="Arial"/>
          <w:sz w:val="16"/>
          <w:szCs w:val="16"/>
        </w:rPr>
        <w:t>Artículo 2.2.1.2.1.4.10. </w:t>
      </w:r>
      <w:r w:rsidRPr="00B35F67">
        <w:rPr>
          <w:rStyle w:val="nfasis"/>
          <w:rFonts w:ascii="Verdana" w:hAnsi="Verdana" w:cs="Arial"/>
          <w:sz w:val="16"/>
          <w:szCs w:val="16"/>
        </w:rPr>
        <w:t>Adquisición de bienes inmuebles. </w:t>
      </w:r>
      <w:r w:rsidRPr="00B35F67">
        <w:rPr>
          <w:rFonts w:ascii="Verdana" w:hAnsi="Verdana" w:cs="Arial"/>
          <w:sz w:val="16"/>
          <w:szCs w:val="16"/>
        </w:rPr>
        <w:t>Las Entidades Estatales pueden adquirir bienes inmuebles mediante contratación directa para lo cual deben seguir las siguientes reglas:</w:t>
      </w:r>
    </w:p>
    <w:p w14:paraId="234003EA" w14:textId="77777777" w:rsidR="00385A72" w:rsidRPr="00B35F67" w:rsidRDefault="00385A72" w:rsidP="00385A72">
      <w:pPr>
        <w:pStyle w:val="NormalWeb"/>
        <w:shd w:val="clear" w:color="auto" w:fill="FFFFFF"/>
        <w:spacing w:before="0" w:beforeAutospacing="0" w:after="0" w:afterAutospacing="0"/>
        <w:ind w:firstLine="720"/>
        <w:jc w:val="both"/>
        <w:rPr>
          <w:rFonts w:ascii="Verdana" w:hAnsi="Verdana" w:cs="Arial"/>
          <w:sz w:val="16"/>
          <w:szCs w:val="16"/>
        </w:rPr>
      </w:pPr>
      <w:r w:rsidRPr="00B35F67">
        <w:rPr>
          <w:rFonts w:ascii="Verdana" w:hAnsi="Verdana" w:cs="Arial"/>
          <w:sz w:val="16"/>
          <w:szCs w:val="16"/>
        </w:rPr>
        <w:t>“1. Avaluar con una institución especializada el bien o los bienes inmuebles identificados que satisfagan las necesidades que tiene la Entidad Estatal.</w:t>
      </w:r>
    </w:p>
    <w:p w14:paraId="69E2EEF6" w14:textId="77777777" w:rsidR="00385A72" w:rsidRPr="00B35F67" w:rsidRDefault="00385A72" w:rsidP="00385A72">
      <w:pPr>
        <w:pStyle w:val="NormalWeb"/>
        <w:shd w:val="clear" w:color="auto" w:fill="FFFFFF"/>
        <w:spacing w:before="0" w:beforeAutospacing="0" w:after="0" w:afterAutospacing="0"/>
        <w:ind w:firstLine="720"/>
        <w:jc w:val="both"/>
        <w:rPr>
          <w:rFonts w:ascii="Verdana" w:hAnsi="Verdana" w:cs="Arial"/>
          <w:sz w:val="16"/>
          <w:szCs w:val="16"/>
        </w:rPr>
      </w:pPr>
      <w:r w:rsidRPr="00B35F67">
        <w:rPr>
          <w:rFonts w:ascii="Verdana" w:hAnsi="Verdana" w:cs="Arial"/>
          <w:sz w:val="16"/>
          <w:szCs w:val="16"/>
        </w:rPr>
        <w:t>“2. Analizar y comparar las condiciones de los bienes inmuebles que satisfacen las ne</w:t>
      </w:r>
      <w:r w:rsidRPr="00B35F67">
        <w:rPr>
          <w:rFonts w:ascii="Verdana" w:hAnsi="Verdana" w:cs="Arial"/>
          <w:sz w:val="16"/>
          <w:szCs w:val="16"/>
        </w:rPr>
        <w:softHyphen/>
        <w:t>cesidades identificadas y las opciones de adquisición, análisis que deberá tener en cuenta los principios y objetivos del sistema de compras y contratación pública.</w:t>
      </w:r>
    </w:p>
    <w:p w14:paraId="41F65418" w14:textId="77777777" w:rsidR="00385A72" w:rsidRPr="00B35F67" w:rsidRDefault="00385A72" w:rsidP="00385A72">
      <w:pPr>
        <w:pStyle w:val="NormalWeb"/>
        <w:shd w:val="clear" w:color="auto" w:fill="FFFFFF"/>
        <w:spacing w:before="0" w:beforeAutospacing="0" w:after="0" w:afterAutospacing="0"/>
        <w:ind w:firstLine="720"/>
        <w:jc w:val="both"/>
        <w:rPr>
          <w:rFonts w:ascii="Verdana" w:hAnsi="Verdana" w:cs="Arial"/>
          <w:sz w:val="16"/>
          <w:szCs w:val="16"/>
        </w:rPr>
      </w:pPr>
      <w:r w:rsidRPr="00B35F67">
        <w:rPr>
          <w:rFonts w:ascii="Verdana" w:hAnsi="Verdana" w:cs="Arial"/>
          <w:sz w:val="16"/>
          <w:szCs w:val="16"/>
        </w:rPr>
        <w:t>“3. La Entidad Estatal puede hacer parte de un proyecto inmobiliario para adquirir el bien inmueble que satisfaga la necesidad que ha identificado, caso en el cual no requiere el avalúo de que trata el numeral 1 anterior”.</w:t>
      </w:r>
    </w:p>
    <w:p w14:paraId="2204F8CF" w14:textId="77777777" w:rsidR="00385A72" w:rsidRPr="00B35F67" w:rsidRDefault="00385A72" w:rsidP="00385A72">
      <w:pPr>
        <w:pStyle w:val="Textonotapie"/>
        <w:ind w:firstLine="720"/>
        <w:jc w:val="both"/>
        <w:rPr>
          <w:rFonts w:ascii="Verdana" w:hAnsi="Verdana" w:cs="Arial"/>
          <w:sz w:val="16"/>
          <w:szCs w:val="16"/>
          <w:lang w:val="es-CO"/>
        </w:rPr>
      </w:pPr>
    </w:p>
  </w:footnote>
  <w:footnote w:id="40">
    <w:p w14:paraId="33C9D9BE" w14:textId="77777777" w:rsidR="00385A72" w:rsidRPr="00B35F67" w:rsidRDefault="00385A72" w:rsidP="00385A72">
      <w:pPr>
        <w:spacing w:after="0" w:line="240" w:lineRule="auto"/>
        <w:ind w:firstLine="720"/>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Artículo 2.2.1.2.1.4.1. La Entidad Estatal debe señalar en un acto administrativo la justificación para contratar bajo la modalidad de contratación directa, el cual debe contener:</w:t>
      </w:r>
    </w:p>
    <w:p w14:paraId="61B31EDF" w14:textId="77777777" w:rsidR="00385A72" w:rsidRPr="00B35F67" w:rsidRDefault="00385A72" w:rsidP="00385A72">
      <w:pPr>
        <w:spacing w:after="0" w:line="240" w:lineRule="auto"/>
        <w:ind w:firstLine="720"/>
        <w:jc w:val="both"/>
        <w:rPr>
          <w:rFonts w:ascii="Verdana" w:hAnsi="Verdana" w:cs="Arial"/>
          <w:sz w:val="16"/>
          <w:szCs w:val="16"/>
        </w:rPr>
      </w:pPr>
      <w:r w:rsidRPr="00B35F67">
        <w:rPr>
          <w:rFonts w:ascii="Verdana" w:hAnsi="Verdana" w:cs="Arial"/>
          <w:sz w:val="16"/>
          <w:szCs w:val="16"/>
        </w:rPr>
        <w:t>1.    La causal que invoca para contratar directamente.</w:t>
      </w:r>
    </w:p>
    <w:p w14:paraId="2FB42A7A" w14:textId="77777777" w:rsidR="00385A72" w:rsidRPr="00B35F67" w:rsidRDefault="00385A72" w:rsidP="00385A72">
      <w:pPr>
        <w:spacing w:after="0" w:line="240" w:lineRule="auto"/>
        <w:ind w:firstLine="720"/>
        <w:jc w:val="both"/>
        <w:rPr>
          <w:rFonts w:ascii="Verdana" w:hAnsi="Verdana" w:cs="Arial"/>
          <w:sz w:val="16"/>
          <w:szCs w:val="16"/>
        </w:rPr>
      </w:pPr>
      <w:r w:rsidRPr="00B35F67">
        <w:rPr>
          <w:rFonts w:ascii="Verdana" w:hAnsi="Verdana" w:cs="Arial"/>
          <w:sz w:val="16"/>
          <w:szCs w:val="16"/>
        </w:rPr>
        <w:t>2.    El objeto del contrato.</w:t>
      </w:r>
    </w:p>
    <w:p w14:paraId="2DCE5F84" w14:textId="77777777" w:rsidR="00385A72" w:rsidRPr="00B35F67" w:rsidRDefault="00385A72" w:rsidP="00385A72">
      <w:pPr>
        <w:spacing w:after="0" w:line="240" w:lineRule="auto"/>
        <w:ind w:firstLine="720"/>
        <w:jc w:val="both"/>
        <w:rPr>
          <w:rFonts w:ascii="Verdana" w:hAnsi="Verdana" w:cs="Arial"/>
          <w:sz w:val="16"/>
          <w:szCs w:val="16"/>
        </w:rPr>
      </w:pPr>
      <w:r w:rsidRPr="00B35F67">
        <w:rPr>
          <w:rFonts w:ascii="Verdana" w:hAnsi="Verdana" w:cs="Arial"/>
          <w:sz w:val="16"/>
          <w:szCs w:val="16"/>
        </w:rPr>
        <w:t>3.    El presupuesto para la contratación y las condiciones que exigirá al contratista.</w:t>
      </w:r>
    </w:p>
    <w:p w14:paraId="61331295" w14:textId="77777777" w:rsidR="00385A72" w:rsidRPr="00B35F67" w:rsidRDefault="00385A72" w:rsidP="00385A72">
      <w:pPr>
        <w:spacing w:after="0" w:line="240" w:lineRule="auto"/>
        <w:ind w:firstLine="720"/>
        <w:jc w:val="both"/>
        <w:rPr>
          <w:rFonts w:ascii="Verdana" w:hAnsi="Verdana" w:cs="Arial"/>
          <w:sz w:val="16"/>
          <w:szCs w:val="16"/>
        </w:rPr>
      </w:pPr>
      <w:r w:rsidRPr="00B35F67">
        <w:rPr>
          <w:rFonts w:ascii="Verdana" w:hAnsi="Verdana" w:cs="Arial"/>
          <w:sz w:val="16"/>
          <w:szCs w:val="16"/>
        </w:rPr>
        <w:t>4.    El lugar en el cual los interesados pueden consultar los estudios y documentos previos.</w:t>
      </w:r>
    </w:p>
    <w:p w14:paraId="7F5CD0D7" w14:textId="77777777" w:rsidR="00385A72" w:rsidRPr="00B35F67" w:rsidRDefault="00385A72" w:rsidP="00385A72">
      <w:pPr>
        <w:spacing w:after="0" w:line="240" w:lineRule="auto"/>
        <w:ind w:firstLine="720"/>
        <w:jc w:val="both"/>
        <w:rPr>
          <w:rFonts w:ascii="Verdana" w:hAnsi="Verdana" w:cs="Arial"/>
          <w:sz w:val="16"/>
          <w:szCs w:val="16"/>
        </w:rPr>
      </w:pPr>
      <w:r w:rsidRPr="00B35F67">
        <w:rPr>
          <w:rFonts w:ascii="Verdana" w:hAnsi="Verdana" w:cs="Arial"/>
          <w:sz w:val="16"/>
          <w:szCs w:val="16"/>
        </w:rPr>
        <w:t>Este acto administrativo no es necesario cuando el contrato a celebrar es de prestación de servicios profesionales y de apoyo a la gestión, y para los contratos de que tratan los literales (a) y (b) del artículo 2.2.1.2.1.4.3 del presente decreto.</w:t>
      </w:r>
    </w:p>
  </w:footnote>
  <w:footnote w:id="41">
    <w:p w14:paraId="26C4CBD5" w14:textId="77777777" w:rsidR="00385A72" w:rsidRPr="00B35F67" w:rsidRDefault="00385A72" w:rsidP="00385A72">
      <w:pPr>
        <w:pStyle w:val="Textoindependiente"/>
        <w:ind w:firstLine="720"/>
        <w:jc w:val="both"/>
        <w:rPr>
          <w:sz w:val="16"/>
          <w:szCs w:val="16"/>
        </w:rPr>
      </w:pPr>
      <w:r w:rsidRPr="00B35F67">
        <w:rPr>
          <w:rStyle w:val="Refdenotaalpie"/>
          <w:sz w:val="16"/>
          <w:szCs w:val="16"/>
        </w:rPr>
        <w:footnoteRef/>
      </w:r>
      <w:r w:rsidRPr="00B35F67">
        <w:rPr>
          <w:sz w:val="16"/>
          <w:szCs w:val="16"/>
        </w:rPr>
        <w:t xml:space="preserve"> La Corte Constitucional, en Sentencia C-300 de 2012 M.P. Jorge Ignacio Pretel Chaljub,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66CC6A71" w14:textId="77777777" w:rsidR="00385A72" w:rsidRPr="00B35F67" w:rsidRDefault="00385A72" w:rsidP="00385A72">
      <w:pPr>
        <w:pStyle w:val="Textoindependiente"/>
        <w:ind w:firstLine="720"/>
        <w:jc w:val="both"/>
        <w:rPr>
          <w:sz w:val="16"/>
          <w:szCs w:val="16"/>
        </w:rPr>
      </w:pPr>
      <w:r w:rsidRPr="00B35F67">
        <w:rPr>
          <w:sz w:val="16"/>
          <w:szCs w:val="16"/>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4B1C5681" w14:textId="77777777" w:rsidR="00385A72" w:rsidRPr="00B35F67" w:rsidRDefault="00385A72" w:rsidP="00385A72">
      <w:pPr>
        <w:pStyle w:val="Textoindependiente"/>
        <w:ind w:firstLine="720"/>
        <w:jc w:val="both"/>
        <w:rPr>
          <w:rFonts w:cs="Arial"/>
          <w:sz w:val="16"/>
          <w:szCs w:val="16"/>
        </w:rPr>
      </w:pPr>
      <w:r w:rsidRPr="00B35F67">
        <w:rPr>
          <w:sz w:val="16"/>
          <w:szCs w:val="16"/>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footnote>
  <w:footnote w:id="42">
    <w:p w14:paraId="192F6A75" w14:textId="77777777" w:rsidR="00385A72" w:rsidRPr="00B35F67" w:rsidRDefault="00385A72" w:rsidP="00385A72">
      <w:pPr>
        <w:pStyle w:val="Textonotapie"/>
        <w:ind w:firstLine="720"/>
        <w:jc w:val="both"/>
        <w:rPr>
          <w:rFonts w:ascii="Verdana" w:hAnsi="Verdana" w:cs="Arial"/>
          <w:sz w:val="16"/>
          <w:szCs w:val="16"/>
        </w:rPr>
      </w:pPr>
      <w:r w:rsidRPr="00B35F67">
        <w:rPr>
          <w:rStyle w:val="Refdenotaalpie"/>
          <w:rFonts w:ascii="Verdana" w:hAnsi="Verdana" w:cs="Arial"/>
          <w:sz w:val="16"/>
          <w:szCs w:val="16"/>
        </w:rPr>
        <w:footnoteRef/>
      </w:r>
      <w:r w:rsidRPr="00B35F67">
        <w:rPr>
          <w:rFonts w:ascii="Verdana" w:hAnsi="Verdana" w:cs="Arial"/>
          <w:sz w:val="16"/>
          <w:szCs w:val="16"/>
        </w:rPr>
        <w:t xml:space="preserve"> Ley 80 de 1993. Artículo 3.</w:t>
      </w:r>
    </w:p>
    <w:p w14:paraId="4B13CAF1" w14:textId="77777777" w:rsidR="00385A72" w:rsidRPr="00C54F47" w:rsidRDefault="00385A72" w:rsidP="00385A72">
      <w:pPr>
        <w:pStyle w:val="Textonotapie"/>
        <w:ind w:firstLine="720"/>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12.75pt;height:12.7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6"/>
  </w:num>
  <w:num w:numId="8">
    <w:abstractNumId w:val="14"/>
  </w:num>
  <w:num w:numId="9">
    <w:abstractNumId w:val="8"/>
  </w:num>
  <w:num w:numId="10">
    <w:abstractNumId w:val="13"/>
  </w:num>
  <w:num w:numId="11">
    <w:abstractNumId w:val="9"/>
  </w:num>
  <w:num w:numId="12">
    <w:abstractNumId w:val="1"/>
  </w:num>
  <w:num w:numId="13">
    <w:abstractNumId w:val="3"/>
  </w:num>
  <w:num w:numId="14">
    <w:abstractNumId w:val="16"/>
  </w:num>
  <w:num w:numId="15">
    <w:abstractNumId w:val="12"/>
  </w:num>
  <w:num w:numId="16">
    <w:abstractNumId w:val="0"/>
  </w:num>
  <w:num w:numId="17">
    <w:abstractNumId w:val="10"/>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6F78"/>
    <w:rsid w:val="00046945"/>
    <w:rsid w:val="00061B2A"/>
    <w:rsid w:val="00081367"/>
    <w:rsid w:val="00082362"/>
    <w:rsid w:val="000825A6"/>
    <w:rsid w:val="00090FA4"/>
    <w:rsid w:val="00095DAE"/>
    <w:rsid w:val="000A683E"/>
    <w:rsid w:val="000B19B9"/>
    <w:rsid w:val="000D0334"/>
    <w:rsid w:val="000D5DA7"/>
    <w:rsid w:val="000F4FFB"/>
    <w:rsid w:val="000F6486"/>
    <w:rsid w:val="00102203"/>
    <w:rsid w:val="00116940"/>
    <w:rsid w:val="00125105"/>
    <w:rsid w:val="00127233"/>
    <w:rsid w:val="0015699B"/>
    <w:rsid w:val="001A33BF"/>
    <w:rsid w:val="001E194B"/>
    <w:rsid w:val="001E4177"/>
    <w:rsid w:val="001F0B24"/>
    <w:rsid w:val="001F7DC6"/>
    <w:rsid w:val="0022400B"/>
    <w:rsid w:val="002421BB"/>
    <w:rsid w:val="00242D9B"/>
    <w:rsid w:val="0025796E"/>
    <w:rsid w:val="00261121"/>
    <w:rsid w:val="002707A2"/>
    <w:rsid w:val="00275976"/>
    <w:rsid w:val="0027757A"/>
    <w:rsid w:val="002845F4"/>
    <w:rsid w:val="00293441"/>
    <w:rsid w:val="002951A0"/>
    <w:rsid w:val="002962BC"/>
    <w:rsid w:val="002A093D"/>
    <w:rsid w:val="002A0DD0"/>
    <w:rsid w:val="002A49AC"/>
    <w:rsid w:val="002A64FD"/>
    <w:rsid w:val="002C5725"/>
    <w:rsid w:val="002C7A84"/>
    <w:rsid w:val="002E2BF8"/>
    <w:rsid w:val="002E4FD9"/>
    <w:rsid w:val="002F3CDF"/>
    <w:rsid w:val="0030657A"/>
    <w:rsid w:val="00322A85"/>
    <w:rsid w:val="00324168"/>
    <w:rsid w:val="00330834"/>
    <w:rsid w:val="003318AB"/>
    <w:rsid w:val="003448F4"/>
    <w:rsid w:val="00355EA0"/>
    <w:rsid w:val="003604F5"/>
    <w:rsid w:val="00374F5E"/>
    <w:rsid w:val="00377E3E"/>
    <w:rsid w:val="00385A72"/>
    <w:rsid w:val="003A779E"/>
    <w:rsid w:val="003C5B9E"/>
    <w:rsid w:val="003C64B8"/>
    <w:rsid w:val="003D0F4D"/>
    <w:rsid w:val="003D1CF9"/>
    <w:rsid w:val="003D5B0D"/>
    <w:rsid w:val="003E0499"/>
    <w:rsid w:val="003E4F80"/>
    <w:rsid w:val="003E6439"/>
    <w:rsid w:val="003E6646"/>
    <w:rsid w:val="003F3941"/>
    <w:rsid w:val="00406575"/>
    <w:rsid w:val="00414C74"/>
    <w:rsid w:val="00417B5B"/>
    <w:rsid w:val="0042722E"/>
    <w:rsid w:val="00437377"/>
    <w:rsid w:val="0044528D"/>
    <w:rsid w:val="00466302"/>
    <w:rsid w:val="00466E39"/>
    <w:rsid w:val="00473BEB"/>
    <w:rsid w:val="004A1847"/>
    <w:rsid w:val="004A305D"/>
    <w:rsid w:val="004B7D74"/>
    <w:rsid w:val="004F21C4"/>
    <w:rsid w:val="004F685F"/>
    <w:rsid w:val="0053199F"/>
    <w:rsid w:val="005566E8"/>
    <w:rsid w:val="00574867"/>
    <w:rsid w:val="00580BC6"/>
    <w:rsid w:val="005874CB"/>
    <w:rsid w:val="00591460"/>
    <w:rsid w:val="00597A19"/>
    <w:rsid w:val="005A65E0"/>
    <w:rsid w:val="005C3777"/>
    <w:rsid w:val="005C5CDC"/>
    <w:rsid w:val="005C6BC8"/>
    <w:rsid w:val="005D476C"/>
    <w:rsid w:val="005E6B20"/>
    <w:rsid w:val="005F181C"/>
    <w:rsid w:val="006200BF"/>
    <w:rsid w:val="006219F8"/>
    <w:rsid w:val="006302F7"/>
    <w:rsid w:val="00646B9F"/>
    <w:rsid w:val="00665D70"/>
    <w:rsid w:val="006900D9"/>
    <w:rsid w:val="006C04F1"/>
    <w:rsid w:val="00700569"/>
    <w:rsid w:val="00706C16"/>
    <w:rsid w:val="007317FA"/>
    <w:rsid w:val="007340C3"/>
    <w:rsid w:val="0074244D"/>
    <w:rsid w:val="0075235A"/>
    <w:rsid w:val="00756841"/>
    <w:rsid w:val="007649AB"/>
    <w:rsid w:val="00771D0C"/>
    <w:rsid w:val="007829E1"/>
    <w:rsid w:val="007833AC"/>
    <w:rsid w:val="007A153F"/>
    <w:rsid w:val="007B268C"/>
    <w:rsid w:val="007B7171"/>
    <w:rsid w:val="007C0C0F"/>
    <w:rsid w:val="007C3DC2"/>
    <w:rsid w:val="007D3968"/>
    <w:rsid w:val="007E5497"/>
    <w:rsid w:val="00803926"/>
    <w:rsid w:val="00806F5F"/>
    <w:rsid w:val="00815B83"/>
    <w:rsid w:val="00820169"/>
    <w:rsid w:val="00820278"/>
    <w:rsid w:val="008258C9"/>
    <w:rsid w:val="00844AE9"/>
    <w:rsid w:val="00867F95"/>
    <w:rsid w:val="008835B4"/>
    <w:rsid w:val="008843B6"/>
    <w:rsid w:val="00891928"/>
    <w:rsid w:val="008934CB"/>
    <w:rsid w:val="00895356"/>
    <w:rsid w:val="008A446D"/>
    <w:rsid w:val="008B104D"/>
    <w:rsid w:val="008B25F1"/>
    <w:rsid w:val="008C571F"/>
    <w:rsid w:val="008D180B"/>
    <w:rsid w:val="008E72AF"/>
    <w:rsid w:val="008F0EA7"/>
    <w:rsid w:val="008F327E"/>
    <w:rsid w:val="00923EEF"/>
    <w:rsid w:val="009305DC"/>
    <w:rsid w:val="009419F9"/>
    <w:rsid w:val="0095685E"/>
    <w:rsid w:val="00961B09"/>
    <w:rsid w:val="00965334"/>
    <w:rsid w:val="0097093E"/>
    <w:rsid w:val="00990BF1"/>
    <w:rsid w:val="009A0DFA"/>
    <w:rsid w:val="009A1C6F"/>
    <w:rsid w:val="009B2D26"/>
    <w:rsid w:val="009C71FA"/>
    <w:rsid w:val="009C72E7"/>
    <w:rsid w:val="009C7F7E"/>
    <w:rsid w:val="009D3058"/>
    <w:rsid w:val="009F144A"/>
    <w:rsid w:val="009F3A13"/>
    <w:rsid w:val="00A07EBF"/>
    <w:rsid w:val="00A122D3"/>
    <w:rsid w:val="00A14468"/>
    <w:rsid w:val="00A17F13"/>
    <w:rsid w:val="00A20739"/>
    <w:rsid w:val="00A23AF9"/>
    <w:rsid w:val="00A33C78"/>
    <w:rsid w:val="00A63F17"/>
    <w:rsid w:val="00A716AB"/>
    <w:rsid w:val="00A83161"/>
    <w:rsid w:val="00A86E5C"/>
    <w:rsid w:val="00AB0ADB"/>
    <w:rsid w:val="00B00C0E"/>
    <w:rsid w:val="00B01B1A"/>
    <w:rsid w:val="00B0381D"/>
    <w:rsid w:val="00B13882"/>
    <w:rsid w:val="00B14142"/>
    <w:rsid w:val="00B14F36"/>
    <w:rsid w:val="00B35F67"/>
    <w:rsid w:val="00B44A47"/>
    <w:rsid w:val="00B72CD3"/>
    <w:rsid w:val="00B72FFF"/>
    <w:rsid w:val="00B7443D"/>
    <w:rsid w:val="00B944AA"/>
    <w:rsid w:val="00B95ED8"/>
    <w:rsid w:val="00BA7A2E"/>
    <w:rsid w:val="00BC3D36"/>
    <w:rsid w:val="00BD54A6"/>
    <w:rsid w:val="00BD7F72"/>
    <w:rsid w:val="00BF6651"/>
    <w:rsid w:val="00BF7425"/>
    <w:rsid w:val="00C04FB3"/>
    <w:rsid w:val="00C11D8B"/>
    <w:rsid w:val="00C15139"/>
    <w:rsid w:val="00C330EB"/>
    <w:rsid w:val="00C50D69"/>
    <w:rsid w:val="00C5365C"/>
    <w:rsid w:val="00C67C8B"/>
    <w:rsid w:val="00C754BE"/>
    <w:rsid w:val="00C76B1C"/>
    <w:rsid w:val="00C925AC"/>
    <w:rsid w:val="00C958D1"/>
    <w:rsid w:val="00CA0E68"/>
    <w:rsid w:val="00CB6357"/>
    <w:rsid w:val="00CC1B26"/>
    <w:rsid w:val="00CD6067"/>
    <w:rsid w:val="00CE4589"/>
    <w:rsid w:val="00CF4861"/>
    <w:rsid w:val="00D350D3"/>
    <w:rsid w:val="00D361FD"/>
    <w:rsid w:val="00D423A2"/>
    <w:rsid w:val="00D44E26"/>
    <w:rsid w:val="00D520D8"/>
    <w:rsid w:val="00D53F94"/>
    <w:rsid w:val="00D63AC2"/>
    <w:rsid w:val="00D7383B"/>
    <w:rsid w:val="00D75A74"/>
    <w:rsid w:val="00D7788A"/>
    <w:rsid w:val="00DA231B"/>
    <w:rsid w:val="00DC39FC"/>
    <w:rsid w:val="00DD0992"/>
    <w:rsid w:val="00DF5254"/>
    <w:rsid w:val="00E02524"/>
    <w:rsid w:val="00E16408"/>
    <w:rsid w:val="00E20894"/>
    <w:rsid w:val="00E245AB"/>
    <w:rsid w:val="00E2764C"/>
    <w:rsid w:val="00E27F2E"/>
    <w:rsid w:val="00E50AFE"/>
    <w:rsid w:val="00E56EE8"/>
    <w:rsid w:val="00E60AD8"/>
    <w:rsid w:val="00E75C92"/>
    <w:rsid w:val="00E760D9"/>
    <w:rsid w:val="00E771DC"/>
    <w:rsid w:val="00E8772A"/>
    <w:rsid w:val="00E90AC3"/>
    <w:rsid w:val="00E90F6B"/>
    <w:rsid w:val="00E92C27"/>
    <w:rsid w:val="00EA0E3D"/>
    <w:rsid w:val="00EA4B5D"/>
    <w:rsid w:val="00EC38A7"/>
    <w:rsid w:val="00EE1AA8"/>
    <w:rsid w:val="00F163B0"/>
    <w:rsid w:val="00F23FEA"/>
    <w:rsid w:val="00F31A4A"/>
    <w:rsid w:val="00F31EDC"/>
    <w:rsid w:val="00F462B3"/>
    <w:rsid w:val="00F5664F"/>
    <w:rsid w:val="00F624DD"/>
    <w:rsid w:val="00F666C4"/>
    <w:rsid w:val="00F7339B"/>
    <w:rsid w:val="00F760B7"/>
    <w:rsid w:val="00F76AFC"/>
    <w:rsid w:val="00F859C7"/>
    <w:rsid w:val="00FA3E17"/>
    <w:rsid w:val="00FA47C0"/>
    <w:rsid w:val="00FB5DD1"/>
    <w:rsid w:val="00FC2B5D"/>
    <w:rsid w:val="00FD63E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4D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B14142"/>
    <w:rPr>
      <w:b/>
      <w:bCs/>
    </w:rPr>
  </w:style>
  <w:style w:type="character" w:styleId="nfasis">
    <w:name w:val="Emphasis"/>
    <w:basedOn w:val="Fuentedeprrafopredeter"/>
    <w:uiPriority w:val="20"/>
    <w:qFormat/>
    <w:rsid w:val="00B141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ntactenos@gachancipa-cundinamarc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30BF0804-BBBC-454D-B90C-48A25CD41761}"/>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21</TotalTime>
  <Pages>36</Pages>
  <Words>11652</Words>
  <Characters>66420</Characters>
  <Application>Microsoft Office Word</Application>
  <DocSecurity>0</DocSecurity>
  <Lines>553</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2025-12-24T14:36:00Z</dcterms:created>
  <dcterms:modified xsi:type="dcterms:W3CDTF">2025-12-26T02:43:00Z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