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507A6D" w14:textId="77777777" w:rsidR="00641825" w:rsidRPr="006C15D5" w:rsidRDefault="00641825" w:rsidP="00641825">
      <w:pPr>
        <w:jc w:val="right"/>
        <w:rPr>
          <w:rFonts w:ascii="Arial" w:hAnsi="Arial" w:cs="Arial"/>
          <w:bCs/>
          <w:color w:val="000000" w:themeColor="text1"/>
          <w:sz w:val="16"/>
          <w:szCs w:val="16"/>
          <w:lang w:eastAsia="es-ES"/>
        </w:rPr>
      </w:pPr>
      <w:r w:rsidRPr="006C15D5">
        <w:rPr>
          <w:rFonts w:ascii="Arial" w:hAnsi="Arial" w:cs="Arial"/>
          <w:bCs/>
          <w:color w:val="000000" w:themeColor="text1"/>
          <w:sz w:val="16"/>
          <w:szCs w:val="16"/>
          <w:lang w:eastAsia="es-ES"/>
        </w:rPr>
        <w:t>CCE-DES-FM-17</w:t>
      </w:r>
    </w:p>
    <w:p w14:paraId="43A7B827" w14:textId="77777777" w:rsidR="00641825" w:rsidRDefault="00641825" w:rsidP="00AC7471">
      <w:pPr>
        <w:spacing w:line="276" w:lineRule="auto"/>
        <w:jc w:val="both"/>
        <w:rPr>
          <w:rFonts w:ascii="Arial" w:eastAsia="Calibri" w:hAnsi="Arial" w:cs="Arial"/>
          <w:b/>
          <w:sz w:val="22"/>
          <w:szCs w:val="22"/>
          <w:lang w:val="es-ES_tradnl"/>
        </w:rPr>
      </w:pPr>
    </w:p>
    <w:p w14:paraId="756BC263" w14:textId="4939A625" w:rsidR="00754B06" w:rsidRDefault="00754B06" w:rsidP="00307833">
      <w:pPr>
        <w:spacing w:after="200" w:line="276" w:lineRule="auto"/>
        <w:jc w:val="both"/>
        <w:rPr>
          <w:rFonts w:ascii="Arial" w:eastAsia="Calibri" w:hAnsi="Arial" w:cs="Arial"/>
          <w:b/>
          <w:sz w:val="22"/>
          <w:szCs w:val="22"/>
          <w:lang w:val="es-ES_tradnl"/>
        </w:rPr>
      </w:pPr>
      <w:r w:rsidRPr="00754B06">
        <w:rPr>
          <w:rFonts w:ascii="Arial" w:eastAsia="Calibri" w:hAnsi="Arial" w:cs="Arial"/>
          <w:b/>
          <w:sz w:val="22"/>
          <w:szCs w:val="22"/>
          <w:lang w:val="es-ES_tradnl"/>
        </w:rPr>
        <w:t>LEY DE EMPRENDIMIENTO – Ley 2069 de 2020 – Vigencia</w:t>
      </w:r>
    </w:p>
    <w:p w14:paraId="52C784F4" w14:textId="77777777" w:rsidR="00754B06" w:rsidRPr="00754B06" w:rsidRDefault="00754B06" w:rsidP="00754B06">
      <w:pPr>
        <w:spacing w:after="200"/>
        <w:jc w:val="both"/>
        <w:rPr>
          <w:rFonts w:ascii="Arial" w:eastAsia="Calibri" w:hAnsi="Arial" w:cs="Arial"/>
          <w:bCs/>
          <w:sz w:val="20"/>
          <w:szCs w:val="20"/>
          <w:lang w:val="es-ES_tradnl"/>
        </w:rPr>
      </w:pPr>
      <w:r w:rsidRPr="00754B06">
        <w:rPr>
          <w:rFonts w:ascii="Arial" w:eastAsia="Calibri" w:hAnsi="Arial" w:cs="Arial"/>
          <w:bCs/>
          <w:sz w:val="20"/>
          <w:szCs w:val="20"/>
          <w:lang w:val="es-ES_tradnl"/>
        </w:rPr>
        <w:t>El 31 de diciembre de 2020 se promulgó la Ley 2069, «Por medio de la cual se impulsa el emprendimiento en Colombia». De acuerdo con el artículo 84 de dicho cuerpo normativo, «La presente Ley rige a partir del momento de su promulgación […]», lo que significa que es obligatoria para sus destinatarios desde esa fecha. Lo anterior, sin perjuicio de la posibilidad de que el gobierno nacional, en ejercicio de la potestad reglamentaria que le confiere el artículo 189, numeral 11, de la Constitución Política, expida el decreto correspondiente que permita la cumplida ejecución de esta Ley.</w:t>
      </w:r>
    </w:p>
    <w:p w14:paraId="3B676D11" w14:textId="0F99446B" w:rsidR="00754B06" w:rsidRPr="00754B06" w:rsidRDefault="00754B06" w:rsidP="00754B06">
      <w:pPr>
        <w:spacing w:after="200"/>
        <w:jc w:val="both"/>
        <w:rPr>
          <w:rFonts w:ascii="Arial" w:eastAsia="Calibri" w:hAnsi="Arial" w:cs="Arial"/>
          <w:bCs/>
          <w:sz w:val="20"/>
          <w:szCs w:val="20"/>
          <w:lang w:val="es-ES_tradnl"/>
        </w:rPr>
      </w:pPr>
      <w:r w:rsidRPr="00754B06">
        <w:rPr>
          <w:rFonts w:ascii="Arial" w:eastAsia="Calibri" w:hAnsi="Arial" w:cs="Arial"/>
          <w:bCs/>
          <w:sz w:val="20"/>
          <w:szCs w:val="20"/>
          <w:lang w:val="es-ES_tradnl"/>
        </w:rPr>
        <w:t xml:space="preserve">En cuando a su contenido, es importante señalar que, como dispone el artículo 1, aquella «tiene por objeto establecer un marco regulatorio que propicie el emprendimiento y el crecimiento, consolidación y sostenibilidad de las empresas, con el fin de aumentar el bienestar social y generar equidad». Esto, a partir de «[…] un enfoque regionalizado </w:t>
      </w:r>
      <w:proofErr w:type="gramStart"/>
      <w:r w:rsidRPr="00754B06">
        <w:rPr>
          <w:rFonts w:ascii="Arial" w:eastAsia="Calibri" w:hAnsi="Arial" w:cs="Arial"/>
          <w:bCs/>
          <w:sz w:val="20"/>
          <w:szCs w:val="20"/>
          <w:lang w:val="es-ES_tradnl"/>
        </w:rPr>
        <w:t>de acuerdo a</w:t>
      </w:r>
      <w:proofErr w:type="gramEnd"/>
      <w:r w:rsidRPr="00754B06">
        <w:rPr>
          <w:rFonts w:ascii="Arial" w:eastAsia="Calibri" w:hAnsi="Arial" w:cs="Arial"/>
          <w:bCs/>
          <w:sz w:val="20"/>
          <w:szCs w:val="20"/>
          <w:lang w:val="es-ES_tradnl"/>
        </w:rPr>
        <w:t xml:space="preserve"> las realidades socioeconómicas de cada región». En desarrollo de esta finalidad, se establecen medidas de apoyo para las micro, pequeñas y medianas empresas –mipymes–, mediante la racionalización y simplificación de los trámites y tarifas, así como incentivos a favor de aquellas dentro del sistema de compras y contratación pública. También se consagran mecanismos de acceso al financiamiento, se unifican las fuentes de emprendimiento y de desarrollo empresarial, para fortalecer y promover los distintos sectores de la economía y se prevén medidas de educación para el emprendimiento y la innovación.</w:t>
      </w:r>
    </w:p>
    <w:p w14:paraId="6BFD5455" w14:textId="7CD18354" w:rsidR="00754B06" w:rsidRDefault="00754B06" w:rsidP="00307833">
      <w:pPr>
        <w:spacing w:after="200" w:line="276" w:lineRule="auto"/>
        <w:jc w:val="both"/>
        <w:rPr>
          <w:rFonts w:ascii="Arial" w:eastAsia="Calibri" w:hAnsi="Arial" w:cs="Arial"/>
          <w:b/>
          <w:sz w:val="22"/>
          <w:szCs w:val="22"/>
          <w:lang w:val="es-ES_tradnl"/>
        </w:rPr>
      </w:pPr>
      <w:r w:rsidRPr="00754B06">
        <w:rPr>
          <w:rFonts w:ascii="Arial" w:eastAsia="Calibri" w:hAnsi="Arial" w:cs="Arial"/>
          <w:b/>
          <w:sz w:val="22"/>
          <w:szCs w:val="22"/>
          <w:lang w:val="es-ES_tradnl"/>
        </w:rPr>
        <w:t>PROMOCIÓN DEL DESARROLLO – Contratación estatal – Ley 2069 – Artículo 34 – Subrogación</w:t>
      </w:r>
    </w:p>
    <w:p w14:paraId="424F45CA" w14:textId="77777777" w:rsidR="00AD1BE0" w:rsidRPr="00AD1BE0" w:rsidRDefault="00AD1BE0" w:rsidP="00AD1BE0">
      <w:pPr>
        <w:spacing w:after="200"/>
        <w:jc w:val="both"/>
        <w:rPr>
          <w:rFonts w:ascii="Arial" w:eastAsia="Calibri" w:hAnsi="Arial" w:cs="Arial"/>
          <w:bCs/>
          <w:sz w:val="20"/>
          <w:szCs w:val="20"/>
          <w:lang w:val="es-ES_tradnl"/>
        </w:rPr>
      </w:pPr>
    </w:p>
    <w:p w14:paraId="661F1D07" w14:textId="77777777" w:rsidR="00AD1BE0" w:rsidRDefault="00AD1BE0" w:rsidP="00AD1BE0">
      <w:pPr>
        <w:spacing w:after="200"/>
        <w:jc w:val="both"/>
        <w:rPr>
          <w:rFonts w:ascii="Arial" w:eastAsia="Calibri" w:hAnsi="Arial" w:cs="Arial"/>
          <w:bCs/>
          <w:sz w:val="20"/>
          <w:szCs w:val="20"/>
          <w:lang w:val="es-ES_tradnl"/>
        </w:rPr>
      </w:pPr>
      <w:r w:rsidRPr="00AD1BE0">
        <w:rPr>
          <w:rFonts w:ascii="Arial" w:eastAsia="Calibri" w:hAnsi="Arial" w:cs="Arial"/>
          <w:bCs/>
          <w:sz w:val="20"/>
          <w:szCs w:val="20"/>
          <w:lang w:val="es-ES_tradnl"/>
        </w:rPr>
        <w:t>La subrogación es, entonces, una forma de derogación de las normas jurídicas, que consiste en el reemplazo de su contenido por un enunciado normativo nuevo. Se distingue de la derogación simple en que en este último evento la disposición normativa posterior no sustituye el texto, sino que solo le hace perder vigencia a la disposición normativa anterior. Como lo explica la Corte Constitucional, la subrogación puede presentarse bien porque el enunciado normativo regule de manera diferente una materia o porque reproduzca apartados normativos de otra. Pero lo cierto es que, en uno u otro caso, la disposición normativa anterior pierde vigencia.</w:t>
      </w:r>
    </w:p>
    <w:p w14:paraId="6A10A3DE" w14:textId="042DBADF" w:rsidR="00AD1BE0" w:rsidRDefault="00AD1BE0" w:rsidP="00307833">
      <w:pPr>
        <w:spacing w:after="200" w:line="276" w:lineRule="auto"/>
        <w:jc w:val="both"/>
        <w:rPr>
          <w:rFonts w:ascii="Arial" w:eastAsia="Calibri" w:hAnsi="Arial" w:cs="Arial"/>
          <w:bCs/>
          <w:sz w:val="20"/>
          <w:szCs w:val="20"/>
          <w:lang w:val="es-ES_tradnl"/>
        </w:rPr>
      </w:pPr>
      <w:r w:rsidRPr="00AD1BE0">
        <w:rPr>
          <w:rFonts w:ascii="Arial" w:eastAsia="Calibri" w:hAnsi="Arial" w:cs="Arial"/>
          <w:bCs/>
          <w:sz w:val="20"/>
          <w:szCs w:val="20"/>
          <w:lang w:val="es-ES_tradnl"/>
        </w:rPr>
        <w:t>El artículo 12 de la Ley 1150 de 2007 fue subrogado por el artículo 34 de la Ley 2069 de 2020, porque este contiene una regulación diferente de la promoción del desarrollo en la contratación estatal. Además, en el primer inciso del artículo 34 de la Ley 2069 de 2020 se lee claramente: «Modifíquese el artículo 12 de la Ley 1150 de 2007, el cual quedará así». Esto significa que la voluntad del legislador no estuvo dirigida a efectuar una reforma parcial del artículo 12 de la Ley 1150 de 2007, sino a modificarlo completamente, sustituyéndolo por uno nuevo</w:t>
      </w:r>
      <w:r>
        <w:rPr>
          <w:rFonts w:ascii="Arial" w:eastAsia="Calibri" w:hAnsi="Arial" w:cs="Arial"/>
          <w:bCs/>
          <w:sz w:val="20"/>
          <w:szCs w:val="20"/>
          <w:lang w:val="es-ES_tradnl"/>
        </w:rPr>
        <w:t>.</w:t>
      </w:r>
    </w:p>
    <w:p w14:paraId="1F8A0D3E" w14:textId="16EBAB20" w:rsidR="00754B06" w:rsidRDefault="00754B06" w:rsidP="00307833">
      <w:pPr>
        <w:spacing w:after="200" w:line="276" w:lineRule="auto"/>
        <w:jc w:val="both"/>
        <w:rPr>
          <w:rFonts w:ascii="Arial" w:eastAsia="Calibri" w:hAnsi="Arial" w:cs="Arial"/>
          <w:b/>
          <w:sz w:val="22"/>
          <w:szCs w:val="22"/>
          <w:lang w:val="es-ES_tradnl"/>
        </w:rPr>
      </w:pPr>
      <w:r w:rsidRPr="00754B06">
        <w:rPr>
          <w:rFonts w:ascii="Arial" w:eastAsia="Calibri" w:hAnsi="Arial" w:cs="Arial"/>
          <w:b/>
          <w:sz w:val="22"/>
          <w:szCs w:val="22"/>
          <w:lang w:val="es-ES_tradnl"/>
        </w:rPr>
        <w:t>MIPYMES – Ley 2069 – Artículo 34 – Convocatorias limitadas – Vigencia.</w:t>
      </w:r>
    </w:p>
    <w:p w14:paraId="3297C707" w14:textId="77777777" w:rsidR="00AD1BE0" w:rsidRPr="00AD1BE0" w:rsidRDefault="00754B06" w:rsidP="00AD1BE0">
      <w:pPr>
        <w:spacing w:after="200"/>
        <w:jc w:val="both"/>
        <w:rPr>
          <w:rFonts w:ascii="Arial" w:eastAsia="Calibri" w:hAnsi="Arial" w:cs="Arial"/>
          <w:bCs/>
          <w:sz w:val="20"/>
          <w:szCs w:val="20"/>
          <w:lang w:val="es-ES_tradnl"/>
        </w:rPr>
      </w:pPr>
      <w:r w:rsidRPr="00754B06">
        <w:rPr>
          <w:rFonts w:ascii="Arial" w:eastAsia="Calibri" w:hAnsi="Arial" w:cs="Arial"/>
          <w:bCs/>
          <w:sz w:val="20"/>
          <w:szCs w:val="20"/>
          <w:lang w:val="es-ES_tradnl"/>
        </w:rPr>
        <w:t xml:space="preserve">[…] </w:t>
      </w:r>
      <w:r w:rsidR="00AD1BE0" w:rsidRPr="00AD1BE0">
        <w:rPr>
          <w:rFonts w:ascii="Arial" w:eastAsia="Calibri" w:hAnsi="Arial" w:cs="Arial"/>
          <w:bCs/>
          <w:sz w:val="20"/>
          <w:szCs w:val="20"/>
          <w:lang w:val="es-ES_tradnl"/>
        </w:rPr>
        <w:t xml:space="preserve">además de la pérdida de fuerza ejecutoria del artículo 2.2.1.2.4.2.2. del Decreto 1082 de 2015, por la desaparición de su fundamento de derecho, se advierte una manifiesta oposición entre dicho enunciado normativo y el nuevo contenido del artículo 12 de la Ley 1150 de 2007, modificado por el artículo 34 de la Ley 2069 de 2020. Ante esta contradicción, se debe aplicar la consecuencia jurídica </w:t>
      </w:r>
      <w:r w:rsidR="00AD1BE0" w:rsidRPr="00AD1BE0">
        <w:rPr>
          <w:rFonts w:ascii="Arial" w:eastAsia="Calibri" w:hAnsi="Arial" w:cs="Arial"/>
          <w:bCs/>
          <w:sz w:val="20"/>
          <w:szCs w:val="20"/>
          <w:lang w:val="es-ES_tradnl"/>
        </w:rPr>
        <w:lastRenderedPageBreak/>
        <w:t>prevista en el artículo 84 de la Ley 2069 de 2020, según la cual «deroga […] todas las disposiciones que le sean contrarias». Entonces, puede afirmarse que, además del decaimiento del artículo 2.2.1.2.4.2.2. del Decreto 1082 de 2015, debe entenderse derogado.</w:t>
      </w:r>
    </w:p>
    <w:p w14:paraId="762CB699" w14:textId="2E459653" w:rsidR="00641825" w:rsidRDefault="006955A1" w:rsidP="00AD1BE0">
      <w:pPr>
        <w:spacing w:after="200"/>
        <w:jc w:val="both"/>
        <w:rPr>
          <w:rFonts w:ascii="Arial" w:eastAsia="Calibri" w:hAnsi="Arial" w:cs="Arial"/>
          <w:bCs/>
          <w:sz w:val="20"/>
          <w:szCs w:val="20"/>
          <w:lang w:val="es-ES_tradnl"/>
        </w:rPr>
      </w:pPr>
      <w:r w:rsidRPr="006955A1">
        <w:rPr>
          <w:rFonts w:ascii="Arial" w:eastAsia="Calibri" w:hAnsi="Arial" w:cs="Arial"/>
          <w:bCs/>
          <w:sz w:val="20"/>
          <w:szCs w:val="20"/>
          <w:lang w:val="es-ES_tradnl"/>
        </w:rPr>
        <w:t xml:space="preserve">Por último, no es válido aducir que los apartados normativos del artículo 2.2.1.2.4.2.2. del Decreto 1082 de 2015 que, en su texto, no sean contrarios a la nueva regulación contenida en el artículo 34 de la Ley 2069 de 2020 pueden seguirse aplicando. Tal aseveración no es admisible, porque el artículo 34, reiteradamente, señala que el gobierno nacional debe definir las condiciones para la aplicación de las reglas recientemente expedidas, que permitan llevar a cabo las convocatorias limitadas a mipymes, lo cual demuestra la voluntad legislativa de establecer la necesidad de una nueva reglamentación de dicha materia. En tal sentido, el gobierno nacional podría, mediante el decreto reglamentario que expida, definir nuevas condiciones y montos para las convocatorias limitadas a mipymes. Por ende, mientras ello no suceda, las entidades estatales indistintamente de su régimen de contratación, los patrimonios autónomos constituidos por estas y los particulares que ejecuten recursos públicos, no pueden adoptar convocatorias limitadas a mipymes, pues al tenor del artículo 34 de la Ley 2069 de 2020, la eficacia de esta norma quedó condicionada a la expedición del decreto reglamentario que fije las condiciones de su operatividad.    </w:t>
      </w:r>
      <w:r w:rsidR="00641825">
        <w:rPr>
          <w:rFonts w:ascii="Arial" w:eastAsia="Calibri" w:hAnsi="Arial" w:cs="Arial"/>
          <w:bCs/>
          <w:sz w:val="20"/>
          <w:szCs w:val="20"/>
          <w:lang w:val="es-ES_tradnl"/>
        </w:rPr>
        <w:br w:type="page"/>
      </w:r>
    </w:p>
    <w:p w14:paraId="30F44DAD" w14:textId="6D68E589" w:rsidR="00754B06" w:rsidRPr="00754B06" w:rsidRDefault="00754B06" w:rsidP="00AC7471">
      <w:pPr>
        <w:jc w:val="both"/>
        <w:rPr>
          <w:rFonts w:ascii="Arial" w:eastAsia="Calibri" w:hAnsi="Arial" w:cs="Arial"/>
          <w:bCs/>
          <w:sz w:val="22"/>
          <w:szCs w:val="22"/>
          <w:lang w:val="es-ES_tradnl"/>
        </w:rPr>
      </w:pPr>
    </w:p>
    <w:p w14:paraId="7F8781BE" w14:textId="77777777" w:rsidR="00C5587F" w:rsidRDefault="00C5587F">
      <w:pPr>
        <w:rPr>
          <w:rFonts w:ascii="Arial" w:hAnsi="Arial" w:cs="Arial"/>
          <w:sz w:val="22"/>
          <w:szCs w:val="20"/>
        </w:rPr>
      </w:pPr>
    </w:p>
    <w:p w14:paraId="34746205" w14:textId="6FE117DB" w:rsidR="00C052D3" w:rsidRPr="00C052D3" w:rsidRDefault="009172B1" w:rsidP="00900530">
      <w:pPr>
        <w:rPr>
          <w:rFonts w:ascii="Arial" w:eastAsia="Arial" w:hAnsi="Arial" w:cs="Arial"/>
          <w:b/>
          <w:bCs/>
          <w:sz w:val="22"/>
          <w:szCs w:val="22"/>
          <w:lang w:val="es-MX" w:eastAsia="en-US"/>
        </w:rPr>
      </w:pPr>
      <w:bookmarkStart w:id="0" w:name="_Hlk64030265"/>
      <w:r>
        <w:rPr>
          <w:rFonts w:ascii="Arial" w:hAnsi="Arial" w:cs="Arial"/>
          <w:sz w:val="22"/>
          <w:szCs w:val="20"/>
        </w:rPr>
        <w:t>Bogotá D.C.</w:t>
      </w:r>
      <w:bookmarkEnd w:id="0"/>
      <w:r>
        <w:rPr>
          <w:rFonts w:ascii="Arial" w:hAnsi="Arial" w:cs="Arial"/>
          <w:sz w:val="22"/>
          <w:szCs w:val="20"/>
        </w:rPr>
        <w:t xml:space="preserve">, </w:t>
      </w:r>
      <w:r w:rsidR="00C052D3">
        <w:rPr>
          <w:rFonts w:ascii="Arial" w:eastAsia="Arial" w:hAnsi="Arial" w:cs="Arial"/>
          <w:b/>
          <w:bCs/>
          <w:sz w:val="22"/>
          <w:szCs w:val="22"/>
          <w:lang w:val="es-MX" w:eastAsia="en-US"/>
        </w:rPr>
        <w:t>21 de abril de 2021</w:t>
      </w:r>
    </w:p>
    <w:p w14:paraId="3D439D44" w14:textId="77777777" w:rsidR="00900530" w:rsidRPr="00900530" w:rsidRDefault="00900530" w:rsidP="00900530">
      <w:pPr>
        <w:widowControl w:val="0"/>
        <w:autoSpaceDE w:val="0"/>
        <w:autoSpaceDN w:val="0"/>
        <w:ind w:left="302"/>
        <w:rPr>
          <w:rFonts w:ascii="Arial" w:eastAsia="Arial" w:hAnsi="Arial" w:cs="Arial"/>
          <w:b/>
          <w:sz w:val="22"/>
          <w:szCs w:val="22"/>
          <w:lang w:val="es-MX" w:eastAsia="en-US"/>
        </w:rPr>
      </w:pPr>
    </w:p>
    <w:p w14:paraId="7B6C4625" w14:textId="4F09D0B8" w:rsidR="00641825" w:rsidRDefault="00693373" w:rsidP="00693373">
      <w:pPr>
        <w:jc w:val="right"/>
        <w:rPr>
          <w:rFonts w:ascii="Arial" w:hAnsi="Arial" w:cs="Arial"/>
          <w:bCs/>
          <w:color w:val="000000" w:themeColor="text1"/>
          <w:sz w:val="22"/>
          <w:lang w:val="es-ES_tradnl"/>
        </w:rPr>
      </w:pPr>
      <w:r w:rsidRPr="00693373">
        <w:rPr>
          <w:rFonts w:ascii="Arial" w:eastAsia="Arial" w:hAnsi="Arial" w:cs="Arial"/>
          <w:b/>
          <w:bCs/>
          <w:noProof/>
          <w:sz w:val="22"/>
          <w:szCs w:val="22"/>
          <w:lang w:val="es-MX" w:eastAsia="en-US"/>
        </w:rPr>
        <w:drawing>
          <wp:inline distT="0" distB="0" distL="0" distR="0" wp14:anchorId="46990347" wp14:editId="3D1111D1">
            <wp:extent cx="3429000" cy="922225"/>
            <wp:effectExtent l="0" t="0" r="0" b="0"/>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pic:nvPicPr>
                  <pic:blipFill>
                    <a:blip r:embed="rId11"/>
                    <a:stretch>
                      <a:fillRect/>
                    </a:stretch>
                  </pic:blipFill>
                  <pic:spPr>
                    <a:xfrm>
                      <a:off x="0" y="0"/>
                      <a:ext cx="3444014" cy="926263"/>
                    </a:xfrm>
                    <a:prstGeom prst="rect">
                      <a:avLst/>
                    </a:prstGeom>
                  </pic:spPr>
                </pic:pic>
              </a:graphicData>
            </a:graphic>
          </wp:inline>
        </w:drawing>
      </w:r>
    </w:p>
    <w:p w14:paraId="40C81C9F" w14:textId="77777777" w:rsidR="00641825" w:rsidRDefault="00641825" w:rsidP="00900530">
      <w:pPr>
        <w:rPr>
          <w:rFonts w:ascii="Arial" w:hAnsi="Arial" w:cs="Arial"/>
          <w:bCs/>
          <w:color w:val="000000" w:themeColor="text1"/>
          <w:sz w:val="22"/>
          <w:lang w:val="es-ES_tradnl"/>
        </w:rPr>
      </w:pPr>
    </w:p>
    <w:p w14:paraId="12C8F066" w14:textId="03CBE977" w:rsidR="00900530" w:rsidRPr="00900530" w:rsidRDefault="00900530" w:rsidP="00900530">
      <w:pPr>
        <w:rPr>
          <w:rFonts w:ascii="Arial" w:hAnsi="Arial" w:cs="Arial"/>
          <w:bCs/>
          <w:color w:val="000000" w:themeColor="text1"/>
          <w:sz w:val="22"/>
          <w:lang w:val="es-ES_tradnl"/>
        </w:rPr>
      </w:pPr>
      <w:r w:rsidRPr="00900530">
        <w:rPr>
          <w:rFonts w:ascii="Arial" w:hAnsi="Arial" w:cs="Arial"/>
          <w:bCs/>
          <w:color w:val="000000" w:themeColor="text1"/>
          <w:sz w:val="22"/>
          <w:lang w:val="es-ES_tradnl"/>
        </w:rPr>
        <w:t>Señor</w:t>
      </w:r>
    </w:p>
    <w:p w14:paraId="41BB2B8F" w14:textId="61C8371B" w:rsidR="00900530" w:rsidRPr="00900530" w:rsidRDefault="00F412AF" w:rsidP="00900530">
      <w:pPr>
        <w:jc w:val="both"/>
        <w:rPr>
          <w:rFonts w:ascii="Arial" w:hAnsi="Arial" w:cs="Arial"/>
          <w:b/>
          <w:color w:val="000000" w:themeColor="text1"/>
          <w:sz w:val="22"/>
          <w:lang w:val="es-ES_tradnl"/>
        </w:rPr>
      </w:pPr>
      <w:r>
        <w:rPr>
          <w:rFonts w:ascii="Arial" w:hAnsi="Arial" w:cs="Arial"/>
          <w:b/>
          <w:color w:val="000000" w:themeColor="text1"/>
          <w:sz w:val="22"/>
          <w:lang w:val="es-ES_tradnl"/>
        </w:rPr>
        <w:t>Marlon Alain Tejada</w:t>
      </w:r>
    </w:p>
    <w:p w14:paraId="4482E7C3" w14:textId="11EA1CCD" w:rsidR="00900530" w:rsidRPr="00900530" w:rsidRDefault="00F412AF" w:rsidP="00900530">
      <w:pPr>
        <w:jc w:val="both"/>
        <w:rPr>
          <w:rFonts w:ascii="Arial" w:hAnsi="Arial" w:cs="Arial"/>
          <w:bCs/>
          <w:color w:val="000000" w:themeColor="text1"/>
          <w:sz w:val="22"/>
          <w:lang w:val="es-ES_tradnl"/>
        </w:rPr>
      </w:pPr>
      <w:r>
        <w:rPr>
          <w:rFonts w:ascii="Arial" w:hAnsi="Arial" w:cs="Arial"/>
          <w:bCs/>
          <w:color w:val="000000" w:themeColor="text1"/>
          <w:sz w:val="22"/>
          <w:lang w:val="es-ES_tradnl"/>
        </w:rPr>
        <w:t xml:space="preserve">Florencia, Caquetá </w:t>
      </w:r>
    </w:p>
    <w:p w14:paraId="6D02035F" w14:textId="77777777" w:rsidR="00900530" w:rsidRPr="00900530" w:rsidRDefault="00900530" w:rsidP="00900530">
      <w:pPr>
        <w:jc w:val="both"/>
        <w:rPr>
          <w:rFonts w:ascii="Arial" w:hAnsi="Arial" w:cs="Arial"/>
          <w:b/>
          <w:color w:val="000000" w:themeColor="text1"/>
          <w:sz w:val="22"/>
          <w:lang w:val="es-ES_tradnl"/>
        </w:rPr>
      </w:pPr>
    </w:p>
    <w:p w14:paraId="7FEA18D2" w14:textId="77777777" w:rsidR="0031674D" w:rsidRPr="00C440B6" w:rsidRDefault="0031674D" w:rsidP="00B95C30">
      <w:pPr>
        <w:jc w:val="both"/>
        <w:rPr>
          <w:rFonts w:ascii="Arial" w:eastAsia="Calibri" w:hAnsi="Arial" w:cs="Arial"/>
          <w:color w:val="000000" w:themeColor="text1"/>
          <w:sz w:val="22"/>
          <w:lang w:val="es-ES_tradnl"/>
        </w:rPr>
      </w:pPr>
    </w:p>
    <w:p w14:paraId="12E66182" w14:textId="3C45ECE1" w:rsidR="00B95C30" w:rsidRPr="00C440B6" w:rsidRDefault="0031674D" w:rsidP="006E3937">
      <w:pPr>
        <w:rPr>
          <w:rFonts w:ascii="Arial" w:eastAsia="Calibri" w:hAnsi="Arial" w:cs="Arial"/>
          <w:b/>
          <w:bCs/>
          <w:color w:val="000000" w:themeColor="text1"/>
          <w:sz w:val="22"/>
          <w:lang w:val="es-ES_tradnl"/>
        </w:rPr>
      </w:pPr>
      <w:r>
        <w:rPr>
          <w:rFonts w:ascii="Arial" w:eastAsia="Calibri" w:hAnsi="Arial" w:cs="Arial"/>
          <w:b/>
          <w:bCs/>
          <w:color w:val="000000" w:themeColor="text1"/>
          <w:sz w:val="22"/>
          <w:lang w:val="es-ES_tradnl"/>
        </w:rPr>
        <w:t xml:space="preserve">                                            </w:t>
      </w:r>
      <w:r w:rsidR="00B95C30" w:rsidRPr="00C440B6">
        <w:rPr>
          <w:rFonts w:ascii="Arial" w:eastAsia="Calibri" w:hAnsi="Arial" w:cs="Arial"/>
          <w:b/>
          <w:bCs/>
          <w:color w:val="000000" w:themeColor="text1"/>
          <w:sz w:val="22"/>
          <w:lang w:val="es-ES_tradnl"/>
        </w:rPr>
        <w:t xml:space="preserve">Concepto C ‒ </w:t>
      </w:r>
      <w:r w:rsidR="004E667A">
        <w:rPr>
          <w:rFonts w:ascii="Arial" w:eastAsia="Calibri" w:hAnsi="Arial" w:cs="Arial"/>
          <w:b/>
          <w:bCs/>
          <w:color w:val="000000" w:themeColor="text1"/>
          <w:sz w:val="22"/>
          <w:lang w:val="es-ES_tradnl"/>
        </w:rPr>
        <w:t>1</w:t>
      </w:r>
      <w:r w:rsidR="00F412AF">
        <w:rPr>
          <w:rFonts w:ascii="Arial" w:eastAsia="Calibri" w:hAnsi="Arial" w:cs="Arial"/>
          <w:b/>
          <w:bCs/>
          <w:color w:val="000000" w:themeColor="text1"/>
          <w:sz w:val="22"/>
          <w:lang w:val="es-ES_tradnl"/>
        </w:rPr>
        <w:t>6</w:t>
      </w:r>
      <w:r w:rsidR="009628CD">
        <w:rPr>
          <w:rFonts w:ascii="Arial" w:eastAsia="Calibri" w:hAnsi="Arial" w:cs="Arial"/>
          <w:b/>
          <w:bCs/>
          <w:color w:val="000000" w:themeColor="text1"/>
          <w:sz w:val="22"/>
          <w:lang w:val="es-ES_tradnl"/>
        </w:rPr>
        <w:t>9</w:t>
      </w:r>
      <w:r w:rsidR="00F412AF">
        <w:rPr>
          <w:rFonts w:ascii="Arial" w:eastAsia="Calibri" w:hAnsi="Arial" w:cs="Arial"/>
          <w:b/>
          <w:bCs/>
          <w:color w:val="000000" w:themeColor="text1"/>
          <w:sz w:val="22"/>
          <w:lang w:val="es-ES_tradnl"/>
        </w:rPr>
        <w:t xml:space="preserve"> </w:t>
      </w:r>
      <w:r w:rsidR="00B95C30" w:rsidRPr="00C440B6">
        <w:rPr>
          <w:rFonts w:ascii="Arial" w:eastAsia="Calibri" w:hAnsi="Arial" w:cs="Arial"/>
          <w:b/>
          <w:bCs/>
          <w:color w:val="000000" w:themeColor="text1"/>
          <w:sz w:val="22"/>
          <w:lang w:val="es-ES_tradnl"/>
        </w:rPr>
        <w:t>de 202</w:t>
      </w:r>
      <w:r w:rsidR="005E781C" w:rsidRPr="00C440B6">
        <w:rPr>
          <w:rFonts w:ascii="Arial" w:eastAsia="Calibri" w:hAnsi="Arial" w:cs="Arial"/>
          <w:b/>
          <w:bCs/>
          <w:color w:val="000000" w:themeColor="text1"/>
          <w:sz w:val="22"/>
          <w:lang w:val="es-ES_tradnl"/>
        </w:rPr>
        <w:t>1</w:t>
      </w:r>
    </w:p>
    <w:p w14:paraId="1BD594F9" w14:textId="77777777" w:rsidR="00B95C30" w:rsidRPr="00C440B6" w:rsidRDefault="00B95C30" w:rsidP="00B95C30">
      <w:pPr>
        <w:jc w:val="both"/>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95C30" w:rsidRPr="00C440B6" w14:paraId="19DFC051" w14:textId="77777777" w:rsidTr="008F4163">
        <w:tc>
          <w:tcPr>
            <w:tcW w:w="2689" w:type="dxa"/>
          </w:tcPr>
          <w:p w14:paraId="6BC0D1AC" w14:textId="77777777" w:rsidR="00B95C30" w:rsidRPr="00C440B6" w:rsidRDefault="00B95C30" w:rsidP="008F4163">
            <w:pPr>
              <w:jc w:val="both"/>
              <w:rPr>
                <w:rFonts w:ascii="Arial" w:eastAsia="Calibri" w:hAnsi="Arial" w:cs="Arial"/>
                <w:color w:val="000000" w:themeColor="text1"/>
                <w:sz w:val="22"/>
                <w:lang w:val="es-ES_tradnl"/>
              </w:rPr>
            </w:pPr>
            <w:r w:rsidRPr="00C440B6">
              <w:rPr>
                <w:rFonts w:ascii="Arial" w:eastAsia="Calibri" w:hAnsi="Arial" w:cs="Arial"/>
                <w:b/>
                <w:color w:val="000000" w:themeColor="text1"/>
                <w:sz w:val="22"/>
                <w:lang w:val="es-ES_tradnl"/>
              </w:rPr>
              <w:t>Temas:</w:t>
            </w:r>
            <w:r w:rsidRPr="00C440B6">
              <w:rPr>
                <w:rFonts w:ascii="Arial" w:eastAsia="Calibri" w:hAnsi="Arial" w:cs="Arial"/>
                <w:color w:val="000000" w:themeColor="text1"/>
                <w:sz w:val="22"/>
                <w:lang w:val="es-ES_tradnl"/>
              </w:rPr>
              <w:t xml:space="preserve">                                      </w:t>
            </w:r>
          </w:p>
        </w:tc>
        <w:tc>
          <w:tcPr>
            <w:tcW w:w="6237" w:type="dxa"/>
          </w:tcPr>
          <w:p w14:paraId="5F389CAF" w14:textId="75FA23DA" w:rsidR="00B95C30" w:rsidRPr="00C440B6" w:rsidRDefault="00162D5A" w:rsidP="008F4163">
            <w:pPr>
              <w:jc w:val="both"/>
              <w:rPr>
                <w:rFonts w:ascii="Arial" w:eastAsia="Calibri" w:hAnsi="Arial" w:cs="Arial"/>
                <w:color w:val="000000" w:themeColor="text1"/>
                <w:sz w:val="22"/>
                <w:lang w:val="es-ES_tradnl"/>
              </w:rPr>
            </w:pPr>
            <w:r w:rsidRPr="000578FF">
              <w:rPr>
                <w:rFonts w:ascii="Arial" w:eastAsia="Calibri" w:hAnsi="Arial" w:cs="Arial"/>
                <w:bCs/>
                <w:sz w:val="22"/>
                <w:lang w:val="es-ES_tradnl"/>
              </w:rPr>
              <w:t xml:space="preserve">LEY DE EMPRENDIMIENTO – Ley </w:t>
            </w:r>
            <w:r>
              <w:rPr>
                <w:rFonts w:ascii="Arial" w:eastAsia="Calibri" w:hAnsi="Arial" w:cs="Arial"/>
                <w:bCs/>
                <w:sz w:val="22"/>
                <w:lang w:val="es-ES_tradnl"/>
              </w:rPr>
              <w:t>2069</w:t>
            </w:r>
            <w:r w:rsidRPr="000578FF">
              <w:rPr>
                <w:rFonts w:ascii="Arial" w:eastAsia="Calibri" w:hAnsi="Arial" w:cs="Arial"/>
                <w:bCs/>
                <w:sz w:val="22"/>
                <w:lang w:val="es-ES_tradnl"/>
              </w:rPr>
              <w:t xml:space="preserve"> de 2020 – Vigencia </w:t>
            </w:r>
            <w:r w:rsidRPr="005419DA">
              <w:rPr>
                <w:rFonts w:ascii="Arial" w:eastAsia="Calibri" w:hAnsi="Arial" w:cs="Arial"/>
                <w:bCs/>
                <w:sz w:val="22"/>
                <w:lang w:val="es-ES_tradnl"/>
              </w:rPr>
              <w:t xml:space="preserve">/ </w:t>
            </w:r>
            <w:bookmarkStart w:id="1" w:name="_Hlk66195675"/>
            <w:r w:rsidR="00804A94" w:rsidRPr="00804A94">
              <w:rPr>
                <w:rFonts w:ascii="Arial" w:eastAsia="Calibri" w:hAnsi="Arial" w:cs="Arial"/>
                <w:bCs/>
                <w:sz w:val="22"/>
                <w:lang w:val="es-ES_tradnl"/>
              </w:rPr>
              <w:t>PROMOCIÓN DEL DESARROLLO – Contratación estatal – Ley 2069 – Artículo 34 – Subrogación</w:t>
            </w:r>
            <w:bookmarkEnd w:id="1"/>
            <w:r w:rsidR="00804A94">
              <w:rPr>
                <w:rFonts w:ascii="Arial" w:eastAsia="Calibri" w:hAnsi="Arial" w:cs="Arial"/>
                <w:bCs/>
                <w:sz w:val="22"/>
                <w:lang w:val="es-ES_tradnl"/>
              </w:rPr>
              <w:t>.</w:t>
            </w:r>
            <w:r w:rsidR="00804A94" w:rsidRPr="000578FF">
              <w:rPr>
                <w:rFonts w:ascii="Arial" w:eastAsia="Calibri" w:hAnsi="Arial" w:cs="Arial"/>
                <w:bCs/>
                <w:sz w:val="22"/>
                <w:lang w:val="es-ES_tradnl"/>
              </w:rPr>
              <w:t xml:space="preserve"> </w:t>
            </w:r>
            <w:r w:rsidR="00804A94">
              <w:rPr>
                <w:rFonts w:ascii="Arial" w:eastAsia="Calibri" w:hAnsi="Arial" w:cs="Arial"/>
                <w:bCs/>
                <w:sz w:val="22"/>
                <w:lang w:val="es-ES_tradnl"/>
              </w:rPr>
              <w:t xml:space="preserve">/ </w:t>
            </w:r>
            <w:r w:rsidR="00804A94" w:rsidRPr="000578FF">
              <w:rPr>
                <w:rFonts w:ascii="Arial" w:eastAsia="Calibri" w:hAnsi="Arial" w:cs="Arial"/>
                <w:bCs/>
                <w:sz w:val="22"/>
                <w:lang w:val="es-ES_tradnl"/>
              </w:rPr>
              <w:t xml:space="preserve">MIPYMES – Ley </w:t>
            </w:r>
            <w:r w:rsidR="00804A94">
              <w:rPr>
                <w:rFonts w:ascii="Arial" w:eastAsia="Calibri" w:hAnsi="Arial" w:cs="Arial"/>
                <w:bCs/>
                <w:sz w:val="22"/>
                <w:lang w:val="es-ES_tradnl"/>
              </w:rPr>
              <w:t>2069</w:t>
            </w:r>
            <w:r w:rsidR="00804A94" w:rsidRPr="000578FF">
              <w:rPr>
                <w:rFonts w:ascii="Arial" w:eastAsia="Calibri" w:hAnsi="Arial" w:cs="Arial"/>
                <w:bCs/>
                <w:sz w:val="22"/>
                <w:lang w:val="es-ES_tradnl"/>
              </w:rPr>
              <w:t xml:space="preserve"> – Artículo 34 – Convocatorias limitadas – </w:t>
            </w:r>
            <w:r w:rsidR="00804A94">
              <w:rPr>
                <w:rFonts w:ascii="Arial" w:eastAsia="Calibri" w:hAnsi="Arial" w:cs="Arial"/>
                <w:bCs/>
                <w:sz w:val="22"/>
                <w:lang w:val="es-ES_tradnl"/>
              </w:rPr>
              <w:t>Vigencia.</w:t>
            </w:r>
          </w:p>
        </w:tc>
      </w:tr>
      <w:tr w:rsidR="00B95C30" w:rsidRPr="00C440B6" w14:paraId="27CD52AB" w14:textId="77777777" w:rsidTr="008F4163">
        <w:tc>
          <w:tcPr>
            <w:tcW w:w="2689" w:type="dxa"/>
          </w:tcPr>
          <w:p w14:paraId="37E195A1" w14:textId="1BA218D5" w:rsidR="00B95C30" w:rsidRPr="00C440B6" w:rsidRDefault="00B95C30" w:rsidP="008F4163">
            <w:pPr>
              <w:spacing w:before="120"/>
              <w:jc w:val="both"/>
              <w:rPr>
                <w:rFonts w:ascii="Arial" w:eastAsia="Calibri" w:hAnsi="Arial" w:cs="Arial"/>
                <w:b/>
                <w:color w:val="000000" w:themeColor="text1"/>
                <w:sz w:val="22"/>
                <w:lang w:val="es-ES_tradnl"/>
              </w:rPr>
            </w:pPr>
            <w:r w:rsidRPr="00C440B6">
              <w:rPr>
                <w:rFonts w:ascii="Arial" w:eastAsia="Calibri" w:hAnsi="Arial" w:cs="Arial"/>
                <w:b/>
                <w:color w:val="000000" w:themeColor="text1"/>
                <w:sz w:val="22"/>
                <w:lang w:val="es-ES_tradnl"/>
              </w:rPr>
              <w:t>Radicación:</w:t>
            </w:r>
            <w:r w:rsidRPr="00C440B6">
              <w:rPr>
                <w:rFonts w:ascii="Arial" w:eastAsia="Calibri" w:hAnsi="Arial" w:cs="Arial"/>
                <w:color w:val="000000" w:themeColor="text1"/>
                <w:sz w:val="22"/>
                <w:lang w:val="es-ES_tradnl"/>
              </w:rPr>
              <w:t xml:space="preserve">                              </w:t>
            </w:r>
          </w:p>
        </w:tc>
        <w:tc>
          <w:tcPr>
            <w:tcW w:w="6237" w:type="dxa"/>
          </w:tcPr>
          <w:p w14:paraId="09088B1B" w14:textId="766EC097" w:rsidR="00B95C30" w:rsidRPr="00C440B6" w:rsidRDefault="00900530" w:rsidP="008F4163">
            <w:pPr>
              <w:spacing w:before="120"/>
              <w:jc w:val="both"/>
              <w:rPr>
                <w:rFonts w:ascii="Arial" w:eastAsia="Calibri" w:hAnsi="Arial" w:cs="Arial"/>
                <w:color w:val="000000" w:themeColor="text1"/>
                <w:sz w:val="22"/>
                <w:lang w:val="es-ES_tradnl"/>
              </w:rPr>
            </w:pPr>
            <w:r w:rsidRPr="00900530">
              <w:rPr>
                <w:rFonts w:ascii="Arial" w:eastAsia="Arial" w:hAnsi="Arial" w:cs="Arial"/>
                <w:sz w:val="22"/>
                <w:szCs w:val="22"/>
                <w:lang w:val="es-ES" w:eastAsia="en-US"/>
              </w:rPr>
              <w:t xml:space="preserve">Respuesta a </w:t>
            </w:r>
            <w:r w:rsidRPr="004E3152">
              <w:rPr>
                <w:rFonts w:ascii="Arial" w:eastAsia="Arial" w:hAnsi="Arial" w:cs="Arial"/>
                <w:sz w:val="22"/>
                <w:szCs w:val="22"/>
                <w:lang w:val="es-ES" w:eastAsia="en-US"/>
              </w:rPr>
              <w:t xml:space="preserve">consulta # </w:t>
            </w:r>
            <w:r w:rsidR="00F412AF" w:rsidRPr="00F412AF">
              <w:rPr>
                <w:rFonts w:ascii="Arial" w:eastAsia="Arial" w:hAnsi="Arial" w:cs="Arial"/>
                <w:sz w:val="22"/>
                <w:szCs w:val="22"/>
                <w:lang w:eastAsia="en-US"/>
              </w:rPr>
              <w:t>P20210304001780</w:t>
            </w:r>
          </w:p>
        </w:tc>
      </w:tr>
    </w:tbl>
    <w:p w14:paraId="69729BEF" w14:textId="77777777" w:rsidR="00096D30" w:rsidRDefault="00096D30" w:rsidP="003C3339">
      <w:pPr>
        <w:jc w:val="both"/>
        <w:rPr>
          <w:rFonts w:ascii="Arial" w:eastAsia="Calibri" w:hAnsi="Arial" w:cs="Arial"/>
          <w:color w:val="000000" w:themeColor="text1"/>
          <w:sz w:val="22"/>
          <w:lang w:val="es-ES_tradnl"/>
        </w:rPr>
      </w:pPr>
    </w:p>
    <w:p w14:paraId="43664A51" w14:textId="77777777" w:rsidR="00096D30" w:rsidRDefault="00096D30" w:rsidP="003C3339">
      <w:pPr>
        <w:jc w:val="both"/>
        <w:rPr>
          <w:rFonts w:ascii="Arial" w:eastAsia="Calibri" w:hAnsi="Arial" w:cs="Arial"/>
          <w:color w:val="000000" w:themeColor="text1"/>
          <w:sz w:val="22"/>
          <w:lang w:val="es-ES_tradnl"/>
        </w:rPr>
      </w:pPr>
    </w:p>
    <w:p w14:paraId="1CF4AEA0" w14:textId="74B40B3E" w:rsidR="003C3339" w:rsidRPr="00C440B6" w:rsidRDefault="003C3339" w:rsidP="003C3339">
      <w:pPr>
        <w:jc w:val="both"/>
        <w:rPr>
          <w:rFonts w:ascii="Arial" w:eastAsia="Calibri" w:hAnsi="Arial" w:cs="Arial"/>
          <w:color w:val="000000" w:themeColor="text1"/>
          <w:sz w:val="22"/>
          <w:lang w:val="es-ES_tradnl"/>
        </w:rPr>
      </w:pPr>
      <w:r w:rsidRPr="00C440B6">
        <w:rPr>
          <w:rFonts w:ascii="Arial" w:eastAsia="Calibri" w:hAnsi="Arial" w:cs="Arial"/>
          <w:color w:val="000000" w:themeColor="text1"/>
          <w:sz w:val="22"/>
          <w:lang w:val="es-ES_tradnl"/>
        </w:rPr>
        <w:t>Estimad</w:t>
      </w:r>
      <w:r w:rsidR="00C018F7" w:rsidRPr="00C440B6">
        <w:rPr>
          <w:rFonts w:ascii="Arial" w:eastAsia="Calibri" w:hAnsi="Arial" w:cs="Arial"/>
          <w:color w:val="000000" w:themeColor="text1"/>
          <w:sz w:val="22"/>
          <w:lang w:val="es-ES_tradnl"/>
        </w:rPr>
        <w:t>o</w:t>
      </w:r>
      <w:r w:rsidRPr="00C440B6">
        <w:rPr>
          <w:rFonts w:ascii="Arial" w:eastAsia="Calibri" w:hAnsi="Arial" w:cs="Arial"/>
          <w:color w:val="000000" w:themeColor="text1"/>
          <w:sz w:val="22"/>
          <w:lang w:val="es-ES_tradnl"/>
        </w:rPr>
        <w:t xml:space="preserve"> </w:t>
      </w:r>
      <w:r w:rsidR="0063732C" w:rsidRPr="00C440B6">
        <w:rPr>
          <w:rFonts w:ascii="Arial" w:eastAsia="Calibri" w:hAnsi="Arial" w:cs="Arial"/>
          <w:color w:val="000000" w:themeColor="text1"/>
          <w:sz w:val="22"/>
          <w:lang w:val="es-ES_tradnl"/>
        </w:rPr>
        <w:t>señor</w:t>
      </w:r>
      <w:r w:rsidR="00BE4FBF" w:rsidRPr="00C440B6">
        <w:rPr>
          <w:rFonts w:ascii="Arial" w:eastAsia="Calibri" w:hAnsi="Arial" w:cs="Arial"/>
          <w:color w:val="000000" w:themeColor="text1"/>
          <w:sz w:val="22"/>
          <w:lang w:val="es-ES_tradnl"/>
        </w:rPr>
        <w:t xml:space="preserve"> </w:t>
      </w:r>
      <w:r w:rsidR="00F412AF">
        <w:rPr>
          <w:rFonts w:ascii="Arial" w:eastAsia="Calibri" w:hAnsi="Arial" w:cs="Arial"/>
          <w:color w:val="000000" w:themeColor="text1"/>
          <w:sz w:val="22"/>
          <w:lang w:val="es-ES_tradnl"/>
        </w:rPr>
        <w:t>Tejada</w:t>
      </w:r>
      <w:r w:rsidRPr="00C440B6">
        <w:rPr>
          <w:rFonts w:ascii="Arial" w:eastAsia="Calibri" w:hAnsi="Arial" w:cs="Arial"/>
          <w:color w:val="000000" w:themeColor="text1"/>
          <w:sz w:val="22"/>
          <w:lang w:val="es-ES_tradnl"/>
        </w:rPr>
        <w:t>:</w:t>
      </w:r>
    </w:p>
    <w:p w14:paraId="1EAE5543" w14:textId="77777777" w:rsidR="00DD5B04" w:rsidRPr="00C440B6" w:rsidRDefault="00DD5B04" w:rsidP="00DF76A2">
      <w:pPr>
        <w:jc w:val="both"/>
        <w:rPr>
          <w:rFonts w:ascii="Arial" w:eastAsia="Calibri" w:hAnsi="Arial" w:cs="Arial"/>
          <w:color w:val="000000" w:themeColor="text1"/>
          <w:sz w:val="22"/>
          <w:lang w:val="es-ES_tradnl"/>
        </w:rPr>
      </w:pPr>
    </w:p>
    <w:p w14:paraId="2109B2D3" w14:textId="4227BAF8" w:rsidR="00DD5B04" w:rsidRPr="00C440B6" w:rsidRDefault="00DD5B04" w:rsidP="00DF76A2">
      <w:pPr>
        <w:spacing w:line="276" w:lineRule="auto"/>
        <w:jc w:val="both"/>
        <w:rPr>
          <w:rFonts w:ascii="Arial" w:eastAsia="Calibri" w:hAnsi="Arial" w:cs="Arial"/>
          <w:color w:val="000000" w:themeColor="text1"/>
          <w:sz w:val="22"/>
          <w:lang w:val="es-ES_tradnl"/>
        </w:rPr>
      </w:pPr>
      <w:r w:rsidRPr="00C440B6">
        <w:rPr>
          <w:rFonts w:ascii="Arial" w:eastAsia="Calibri" w:hAnsi="Arial" w:cs="Arial"/>
          <w:color w:val="000000" w:themeColor="text1"/>
          <w:sz w:val="22"/>
          <w:lang w:val="es-ES_tradnl"/>
        </w:rPr>
        <w:t xml:space="preserve">En ejercicio de la competencia otorgada por el numeral 8 del artículo 11 y el numeral 5 del artículo 3 del Decreto Ley 4170 de 2011, la Agencia Nacional de Contratación Pública </w:t>
      </w:r>
      <w:r w:rsidR="0031674D">
        <w:rPr>
          <w:rFonts w:ascii="Arial" w:eastAsia="Calibri" w:hAnsi="Arial" w:cs="Arial"/>
          <w:color w:val="000000" w:themeColor="text1"/>
          <w:sz w:val="22"/>
          <w:lang w:val="es-ES_tradnl"/>
        </w:rPr>
        <w:t>–</w:t>
      </w:r>
      <w:r w:rsidRPr="00C440B6">
        <w:rPr>
          <w:rFonts w:ascii="Arial" w:eastAsia="Calibri" w:hAnsi="Arial" w:cs="Arial"/>
          <w:color w:val="000000" w:themeColor="text1"/>
          <w:sz w:val="22"/>
          <w:lang w:val="es-ES_tradnl"/>
        </w:rPr>
        <w:t xml:space="preserve"> Colombia Compra Eficiente</w:t>
      </w:r>
      <w:r w:rsidR="008C3C57" w:rsidRPr="00C440B6">
        <w:rPr>
          <w:rFonts w:ascii="Arial" w:eastAsia="Calibri" w:hAnsi="Arial" w:cs="Arial"/>
          <w:color w:val="000000" w:themeColor="text1"/>
          <w:sz w:val="22"/>
          <w:lang w:val="es-ES_tradnl"/>
        </w:rPr>
        <w:t xml:space="preserve"> </w:t>
      </w:r>
      <w:r w:rsidRPr="00C440B6">
        <w:rPr>
          <w:rFonts w:ascii="Arial" w:eastAsia="Calibri" w:hAnsi="Arial" w:cs="Arial"/>
          <w:color w:val="000000" w:themeColor="text1"/>
          <w:sz w:val="22"/>
          <w:lang w:val="es-ES_tradnl"/>
        </w:rPr>
        <w:t xml:space="preserve">responde su consulta del </w:t>
      </w:r>
      <w:r w:rsidR="00F412AF">
        <w:rPr>
          <w:rFonts w:ascii="Arial" w:eastAsia="Calibri" w:hAnsi="Arial" w:cs="Arial"/>
          <w:color w:val="000000" w:themeColor="text1"/>
          <w:sz w:val="22"/>
          <w:lang w:val="es-ES_tradnl"/>
        </w:rPr>
        <w:t>04</w:t>
      </w:r>
      <w:r w:rsidR="00FD4AF3" w:rsidRPr="00C440B6">
        <w:rPr>
          <w:rFonts w:ascii="Arial" w:eastAsia="Calibri" w:hAnsi="Arial" w:cs="Arial"/>
          <w:color w:val="000000" w:themeColor="text1"/>
          <w:sz w:val="22"/>
          <w:lang w:val="es-ES_tradnl"/>
        </w:rPr>
        <w:t xml:space="preserve"> de </w:t>
      </w:r>
      <w:r w:rsidR="00F412AF">
        <w:rPr>
          <w:rFonts w:ascii="Arial" w:eastAsia="Calibri" w:hAnsi="Arial" w:cs="Arial"/>
          <w:color w:val="000000" w:themeColor="text1"/>
          <w:sz w:val="22"/>
          <w:lang w:val="es-ES_tradnl"/>
        </w:rPr>
        <w:t>marzo</w:t>
      </w:r>
      <w:r w:rsidRPr="00C440B6">
        <w:rPr>
          <w:rFonts w:ascii="Arial" w:eastAsia="Calibri" w:hAnsi="Arial" w:cs="Arial"/>
          <w:color w:val="000000" w:themeColor="text1"/>
          <w:sz w:val="22"/>
          <w:lang w:val="es-ES_tradnl"/>
        </w:rPr>
        <w:t xml:space="preserve"> del</w:t>
      </w:r>
      <w:r w:rsidR="007E74BF" w:rsidRPr="00C440B6">
        <w:rPr>
          <w:rFonts w:ascii="Arial" w:eastAsia="Calibri" w:hAnsi="Arial" w:cs="Arial"/>
          <w:color w:val="000000" w:themeColor="text1"/>
          <w:sz w:val="22"/>
          <w:lang w:val="es-ES_tradnl"/>
        </w:rPr>
        <w:t xml:space="preserve"> </w:t>
      </w:r>
      <w:r w:rsidRPr="00C440B6">
        <w:rPr>
          <w:rFonts w:ascii="Arial" w:eastAsia="Calibri" w:hAnsi="Arial" w:cs="Arial"/>
          <w:color w:val="000000" w:themeColor="text1"/>
          <w:sz w:val="22"/>
          <w:lang w:val="es-ES_tradnl"/>
        </w:rPr>
        <w:t>202</w:t>
      </w:r>
      <w:r w:rsidR="00FB0880" w:rsidRPr="00C440B6">
        <w:rPr>
          <w:rFonts w:ascii="Arial" w:eastAsia="Calibri" w:hAnsi="Arial" w:cs="Arial"/>
          <w:color w:val="000000" w:themeColor="text1"/>
          <w:sz w:val="22"/>
          <w:lang w:val="es-ES_tradnl"/>
        </w:rPr>
        <w:t>1</w:t>
      </w:r>
      <w:r w:rsidR="008C3C57" w:rsidRPr="00C440B6">
        <w:rPr>
          <w:rFonts w:ascii="Arial" w:eastAsia="Calibri" w:hAnsi="Arial" w:cs="Arial"/>
          <w:color w:val="000000" w:themeColor="text1"/>
          <w:sz w:val="22"/>
          <w:lang w:val="es-ES_tradnl"/>
        </w:rPr>
        <w:t>.</w:t>
      </w:r>
    </w:p>
    <w:p w14:paraId="0C1E0712" w14:textId="77777777" w:rsidR="00DD5B04" w:rsidRPr="00C440B6" w:rsidRDefault="00DD5B04" w:rsidP="00DF76A2">
      <w:pPr>
        <w:spacing w:line="276" w:lineRule="auto"/>
        <w:jc w:val="both"/>
        <w:rPr>
          <w:rFonts w:ascii="Arial" w:eastAsia="Calibri" w:hAnsi="Arial" w:cs="Arial"/>
          <w:b/>
          <w:color w:val="000000" w:themeColor="text1"/>
          <w:sz w:val="22"/>
          <w:lang w:val="es-ES_tradnl"/>
        </w:rPr>
      </w:pPr>
    </w:p>
    <w:p w14:paraId="7701FCC7" w14:textId="77777777" w:rsidR="00DD5B04" w:rsidRPr="00C440B6"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C440B6">
        <w:rPr>
          <w:rFonts w:ascii="Arial" w:eastAsia="Calibri" w:hAnsi="Arial" w:cs="Arial"/>
          <w:b/>
          <w:color w:val="000000" w:themeColor="text1"/>
          <w:sz w:val="22"/>
          <w:lang w:val="es-ES_tradnl"/>
        </w:rPr>
        <w:t xml:space="preserve">Problema planteado </w:t>
      </w:r>
    </w:p>
    <w:p w14:paraId="224B43D3" w14:textId="77777777" w:rsidR="00DD5B04" w:rsidRPr="00C440B6" w:rsidRDefault="00DD5B04" w:rsidP="00DF76A2">
      <w:pPr>
        <w:tabs>
          <w:tab w:val="left" w:pos="426"/>
        </w:tabs>
        <w:spacing w:line="276" w:lineRule="auto"/>
        <w:jc w:val="both"/>
        <w:rPr>
          <w:rFonts w:ascii="Arial" w:eastAsia="Calibri" w:hAnsi="Arial" w:cs="Arial"/>
          <w:b/>
          <w:color w:val="000000" w:themeColor="text1"/>
          <w:sz w:val="22"/>
          <w:lang w:val="es-ES_tradnl"/>
        </w:rPr>
      </w:pPr>
    </w:p>
    <w:p w14:paraId="60E9EAB0" w14:textId="213EE041" w:rsidR="00454589" w:rsidRPr="007321B0" w:rsidRDefault="00900530" w:rsidP="00AC7471">
      <w:pPr>
        <w:spacing w:line="276" w:lineRule="auto"/>
        <w:jc w:val="both"/>
        <w:rPr>
          <w:rFonts w:ascii="Arial" w:eastAsia="Calibri" w:hAnsi="Arial" w:cs="Arial"/>
          <w:color w:val="000000" w:themeColor="text1"/>
          <w:sz w:val="22"/>
          <w:szCs w:val="22"/>
          <w:lang w:val="es-ES_tradnl"/>
        </w:rPr>
      </w:pPr>
      <w:bookmarkStart w:id="2" w:name="_Hlk66194921"/>
      <w:r w:rsidRPr="00900530">
        <w:rPr>
          <w:rFonts w:ascii="Arial" w:hAnsi="Arial" w:cs="Arial"/>
          <w:color w:val="000000" w:themeColor="text1"/>
          <w:sz w:val="22"/>
          <w:lang w:val="es-ES_tradnl"/>
        </w:rPr>
        <w:t xml:space="preserve">Usted formula la siguiente </w:t>
      </w:r>
      <w:bookmarkStart w:id="3" w:name="_Hlk64534095"/>
      <w:r w:rsidR="00F412AF">
        <w:rPr>
          <w:rFonts w:ascii="Arial" w:hAnsi="Arial" w:cs="Arial"/>
          <w:color w:val="000000" w:themeColor="text1"/>
          <w:sz w:val="22"/>
          <w:lang w:val="es-ES_tradnl"/>
        </w:rPr>
        <w:t>consulta</w:t>
      </w:r>
      <w:r w:rsidR="007321B0">
        <w:rPr>
          <w:rFonts w:ascii="Arial" w:hAnsi="Arial" w:cs="Arial"/>
          <w:color w:val="000000" w:themeColor="text1"/>
          <w:sz w:val="22"/>
          <w:lang w:val="es-ES_tradnl"/>
        </w:rPr>
        <w:t xml:space="preserve"> con respecto a la</w:t>
      </w:r>
      <w:r w:rsidR="008C77EF">
        <w:rPr>
          <w:rFonts w:ascii="Arial" w:hAnsi="Arial" w:cs="Arial"/>
          <w:color w:val="000000" w:themeColor="text1"/>
          <w:sz w:val="22"/>
          <w:lang w:val="es-ES_tradnl"/>
        </w:rPr>
        <w:t xml:space="preserve">s consecuencias jurídicas </w:t>
      </w:r>
      <w:r w:rsidR="007321B0">
        <w:rPr>
          <w:rFonts w:ascii="Arial" w:hAnsi="Arial" w:cs="Arial"/>
          <w:color w:val="000000" w:themeColor="text1"/>
          <w:sz w:val="22"/>
          <w:lang w:val="es-ES_tradnl"/>
        </w:rPr>
        <w:t>de</w:t>
      </w:r>
      <w:r w:rsidR="008C77EF">
        <w:rPr>
          <w:rFonts w:ascii="Arial" w:hAnsi="Arial" w:cs="Arial"/>
          <w:color w:val="000000" w:themeColor="text1"/>
          <w:sz w:val="22"/>
          <w:lang w:val="es-ES_tradnl"/>
        </w:rPr>
        <w:t xml:space="preserve"> la promulgación del</w:t>
      </w:r>
      <w:r w:rsidR="007321B0">
        <w:rPr>
          <w:rFonts w:ascii="Arial" w:hAnsi="Arial" w:cs="Arial"/>
          <w:color w:val="000000" w:themeColor="text1"/>
          <w:sz w:val="22"/>
          <w:lang w:val="es-ES_tradnl"/>
        </w:rPr>
        <w:t xml:space="preserve"> artículo 34 de la Ley 2069 de 2020</w:t>
      </w:r>
      <w:r w:rsidRPr="00900530">
        <w:rPr>
          <w:rFonts w:ascii="Arial" w:hAnsi="Arial" w:cs="Arial"/>
          <w:color w:val="000000" w:themeColor="text1"/>
          <w:sz w:val="22"/>
          <w:lang w:val="es-ES_tradnl"/>
        </w:rPr>
        <w:t>:</w:t>
      </w:r>
      <w:r w:rsidR="004E3152" w:rsidRPr="004E3152">
        <w:rPr>
          <w:rFonts w:ascii="Arial" w:eastAsia="Calibri" w:hAnsi="Arial" w:cs="Arial"/>
          <w:color w:val="000000" w:themeColor="text1"/>
          <w:sz w:val="22"/>
          <w:szCs w:val="22"/>
          <w:lang w:val="es-ES_tradnl"/>
        </w:rPr>
        <w:t xml:space="preserve"> </w:t>
      </w:r>
      <w:bookmarkEnd w:id="3"/>
      <w:r w:rsidR="00F412AF">
        <w:rPr>
          <w:rFonts w:ascii="Arial" w:eastAsia="Calibri" w:hAnsi="Arial" w:cs="Arial"/>
          <w:color w:val="000000" w:themeColor="text1"/>
          <w:sz w:val="22"/>
          <w:szCs w:val="22"/>
          <w:lang w:val="es-ES_tradnl"/>
        </w:rPr>
        <w:t>i) «[¿]</w:t>
      </w:r>
      <w:r w:rsidR="00F412AF" w:rsidRPr="00F412AF">
        <w:rPr>
          <w:rFonts w:ascii="Arial" w:eastAsia="Calibri" w:hAnsi="Arial" w:cs="Arial"/>
          <w:color w:val="000000" w:themeColor="text1"/>
          <w:sz w:val="22"/>
          <w:szCs w:val="22"/>
          <w:lang w:val="es-ES_tradnl"/>
        </w:rPr>
        <w:t>Para limitar una convocatoria pública a la participación de Mipymes, debe o no aplicarse lo dispuesto en el numeral 2 del artículo 2.2.1.2.4.2.2. “Convocatorias limitadas a Mipyme” del Decreto 1082 de 2015 en relación con el número de solicitudes requeridas para limitar un proceso a Mipyme?</w:t>
      </w:r>
      <w:r w:rsidR="00F412AF">
        <w:rPr>
          <w:rFonts w:ascii="Arial" w:eastAsia="Calibri" w:hAnsi="Arial" w:cs="Arial"/>
          <w:color w:val="000000" w:themeColor="text1"/>
          <w:sz w:val="22"/>
          <w:szCs w:val="22"/>
          <w:lang w:val="es-ES_tradnl"/>
        </w:rPr>
        <w:t>»</w:t>
      </w:r>
      <w:r w:rsidR="00FD30C2">
        <w:rPr>
          <w:rFonts w:ascii="Arial" w:eastAsia="Calibri" w:hAnsi="Arial" w:cs="Arial"/>
          <w:color w:val="000000" w:themeColor="text1"/>
          <w:sz w:val="22"/>
          <w:szCs w:val="22"/>
          <w:lang w:val="es-ES_tradnl"/>
        </w:rPr>
        <w:t xml:space="preserve"> y</w:t>
      </w:r>
      <w:r w:rsidR="00F412AF">
        <w:rPr>
          <w:rFonts w:ascii="Arial" w:eastAsia="Calibri" w:hAnsi="Arial" w:cs="Arial"/>
          <w:color w:val="000000" w:themeColor="text1"/>
          <w:sz w:val="22"/>
          <w:szCs w:val="22"/>
          <w:lang w:val="es-ES_tradnl"/>
        </w:rPr>
        <w:t xml:space="preserve"> ii) «[¿] </w:t>
      </w:r>
      <w:r w:rsidR="00F412AF" w:rsidRPr="00F412AF">
        <w:rPr>
          <w:rFonts w:ascii="Arial" w:eastAsia="Calibri" w:hAnsi="Arial" w:cs="Arial"/>
          <w:color w:val="000000" w:themeColor="text1"/>
          <w:sz w:val="22"/>
          <w:szCs w:val="22"/>
          <w:lang w:val="es-ES_tradnl"/>
        </w:rPr>
        <w:t>actualmente cual</w:t>
      </w:r>
      <w:r w:rsidR="00F412AF">
        <w:rPr>
          <w:rFonts w:ascii="Arial" w:eastAsia="Calibri" w:hAnsi="Arial" w:cs="Arial"/>
          <w:color w:val="000000" w:themeColor="text1"/>
          <w:sz w:val="22"/>
          <w:szCs w:val="22"/>
          <w:lang w:val="es-ES_tradnl"/>
        </w:rPr>
        <w:t xml:space="preserve"> (sic)</w:t>
      </w:r>
      <w:r w:rsidR="00F412AF" w:rsidRPr="00F412AF">
        <w:rPr>
          <w:rFonts w:ascii="Arial" w:eastAsia="Calibri" w:hAnsi="Arial" w:cs="Arial"/>
          <w:color w:val="000000" w:themeColor="text1"/>
          <w:sz w:val="22"/>
          <w:szCs w:val="22"/>
          <w:lang w:val="es-ES_tradnl"/>
        </w:rPr>
        <w:t xml:space="preserve"> reglamento normativo debe aplicarse? o </w:t>
      </w:r>
      <w:r w:rsidR="00F412AF">
        <w:rPr>
          <w:rFonts w:ascii="Arial" w:eastAsia="Calibri" w:hAnsi="Arial" w:cs="Arial"/>
          <w:color w:val="000000" w:themeColor="text1"/>
          <w:sz w:val="22"/>
          <w:szCs w:val="22"/>
          <w:lang w:val="es-ES_tradnl"/>
        </w:rPr>
        <w:t>[¿]</w:t>
      </w:r>
      <w:r w:rsidR="007321B0">
        <w:rPr>
          <w:rFonts w:ascii="Arial" w:eastAsia="Calibri" w:hAnsi="Arial" w:cs="Arial"/>
          <w:color w:val="000000" w:themeColor="text1"/>
          <w:sz w:val="22"/>
          <w:szCs w:val="22"/>
          <w:lang w:val="es-ES_tradnl"/>
        </w:rPr>
        <w:t xml:space="preserve"> </w:t>
      </w:r>
      <w:r w:rsidR="00F412AF" w:rsidRPr="00F412AF">
        <w:rPr>
          <w:rFonts w:ascii="Arial" w:eastAsia="Calibri" w:hAnsi="Arial" w:cs="Arial"/>
          <w:color w:val="000000" w:themeColor="text1"/>
          <w:sz w:val="22"/>
          <w:szCs w:val="22"/>
          <w:lang w:val="es-ES_tradnl"/>
        </w:rPr>
        <w:t>se encuentra</w:t>
      </w:r>
      <w:r w:rsidR="00F412AF">
        <w:rPr>
          <w:rFonts w:ascii="Arial" w:eastAsia="Calibri" w:hAnsi="Arial" w:cs="Arial"/>
          <w:color w:val="000000" w:themeColor="text1"/>
          <w:sz w:val="22"/>
          <w:szCs w:val="22"/>
          <w:lang w:val="es-ES_tradnl"/>
        </w:rPr>
        <w:t xml:space="preserve"> (sic)</w:t>
      </w:r>
      <w:r w:rsidR="00F412AF" w:rsidRPr="00F412AF">
        <w:rPr>
          <w:rFonts w:ascii="Arial" w:eastAsia="Calibri" w:hAnsi="Arial" w:cs="Arial"/>
          <w:color w:val="000000" w:themeColor="text1"/>
          <w:sz w:val="22"/>
          <w:szCs w:val="22"/>
          <w:lang w:val="es-ES_tradnl"/>
        </w:rPr>
        <w:t xml:space="preserve"> suspendidas las convocatorias limitdas</w:t>
      </w:r>
      <w:r w:rsidR="00F412AF">
        <w:rPr>
          <w:rFonts w:ascii="Arial" w:eastAsia="Calibri" w:hAnsi="Arial" w:cs="Arial"/>
          <w:color w:val="000000" w:themeColor="text1"/>
          <w:sz w:val="22"/>
          <w:szCs w:val="22"/>
          <w:lang w:val="es-ES_tradnl"/>
        </w:rPr>
        <w:t xml:space="preserve"> (sic)</w:t>
      </w:r>
      <w:r w:rsidR="00F412AF" w:rsidRPr="00F412AF">
        <w:rPr>
          <w:rFonts w:ascii="Arial" w:eastAsia="Calibri" w:hAnsi="Arial" w:cs="Arial"/>
          <w:color w:val="000000" w:themeColor="text1"/>
          <w:sz w:val="22"/>
          <w:szCs w:val="22"/>
          <w:lang w:val="es-ES_tradnl"/>
        </w:rPr>
        <w:t xml:space="preserve"> a Mipymes hasta que el legislativo las reglamente de conformidad con la LEY 2069 DE 2020?»</w:t>
      </w:r>
      <w:r w:rsidR="00641825">
        <w:rPr>
          <w:rFonts w:ascii="Arial" w:eastAsia="Calibri" w:hAnsi="Arial" w:cs="Arial"/>
          <w:color w:val="000000" w:themeColor="text1"/>
          <w:sz w:val="22"/>
          <w:szCs w:val="22"/>
          <w:lang w:val="es-ES_tradnl"/>
        </w:rPr>
        <w:t>.</w:t>
      </w:r>
    </w:p>
    <w:p w14:paraId="7C90D8BB" w14:textId="77777777" w:rsidR="00900530" w:rsidRPr="005419DA" w:rsidRDefault="00900530" w:rsidP="00900530">
      <w:pPr>
        <w:jc w:val="both"/>
        <w:rPr>
          <w:rFonts w:ascii="Arial" w:hAnsi="Arial" w:cs="Arial"/>
          <w:color w:val="000000" w:themeColor="text1"/>
          <w:sz w:val="21"/>
          <w:szCs w:val="21"/>
          <w:lang w:val="es-ES_tradnl"/>
        </w:rPr>
      </w:pPr>
    </w:p>
    <w:bookmarkEnd w:id="2"/>
    <w:p w14:paraId="4805B484" w14:textId="77777777" w:rsidR="00F80411" w:rsidRPr="005419DA" w:rsidRDefault="00F80411" w:rsidP="00F80411">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5419DA">
        <w:rPr>
          <w:rFonts w:ascii="Arial" w:eastAsia="Calibri" w:hAnsi="Arial" w:cs="Arial"/>
          <w:b/>
          <w:color w:val="000000" w:themeColor="text1"/>
          <w:sz w:val="22"/>
          <w:lang w:val="es-ES_tradnl"/>
        </w:rPr>
        <w:t>Consideraciones</w:t>
      </w:r>
    </w:p>
    <w:p w14:paraId="0F04AF6B" w14:textId="77777777" w:rsidR="003A06CA" w:rsidRDefault="003A06CA" w:rsidP="004E667A">
      <w:pPr>
        <w:spacing w:line="276" w:lineRule="auto"/>
        <w:jc w:val="both"/>
        <w:rPr>
          <w:rFonts w:ascii="Arial" w:eastAsia="Calibri" w:hAnsi="Arial" w:cs="Arial"/>
          <w:color w:val="000000" w:themeColor="text1"/>
          <w:sz w:val="22"/>
          <w:szCs w:val="22"/>
          <w:lang w:val="es-ES_tradnl"/>
        </w:rPr>
      </w:pPr>
    </w:p>
    <w:p w14:paraId="177E45DF" w14:textId="5DB2826A" w:rsidR="008C77EF" w:rsidRDefault="00F412AF" w:rsidP="00AC7471">
      <w:pPr>
        <w:spacing w:after="120" w:line="276" w:lineRule="auto"/>
        <w:jc w:val="both"/>
        <w:rPr>
          <w:rFonts w:ascii="Arial" w:eastAsia="Calibri" w:hAnsi="Arial" w:cs="Arial"/>
          <w:color w:val="000000" w:themeColor="text1"/>
          <w:sz w:val="22"/>
          <w:szCs w:val="22"/>
          <w:lang w:val="es-ES_tradnl"/>
        </w:rPr>
      </w:pPr>
      <w:r w:rsidRPr="0027683D">
        <w:rPr>
          <w:rFonts w:ascii="Arial" w:eastAsia="Calibri" w:hAnsi="Arial" w:cs="Arial"/>
          <w:color w:val="000000" w:themeColor="text1"/>
          <w:sz w:val="22"/>
          <w:szCs w:val="22"/>
          <w:lang w:val="es-ES_tradnl"/>
        </w:rPr>
        <w:lastRenderedPageBreak/>
        <w:t>La Subdirección de Gestión Contractual responderá la consulta, luego de analizar los siguientes temas: i) vigencia y ámbito de aplicación de la Ley 2069 de 2020,</w:t>
      </w:r>
      <w:r>
        <w:rPr>
          <w:rFonts w:ascii="Arial" w:eastAsia="Calibri" w:hAnsi="Arial" w:cs="Arial"/>
          <w:color w:val="000000" w:themeColor="text1"/>
          <w:sz w:val="22"/>
          <w:szCs w:val="22"/>
          <w:lang w:val="es-ES_tradnl"/>
        </w:rPr>
        <w:t xml:space="preserve"> y</w:t>
      </w:r>
      <w:r w:rsidRPr="0027683D">
        <w:rPr>
          <w:rFonts w:ascii="Arial" w:eastAsia="Calibri" w:hAnsi="Arial" w:cs="Arial"/>
          <w:color w:val="000000" w:themeColor="text1"/>
          <w:sz w:val="22"/>
          <w:szCs w:val="22"/>
          <w:lang w:val="es-ES_tradnl"/>
        </w:rPr>
        <w:t xml:space="preserve"> ii)</w:t>
      </w:r>
      <w:r>
        <w:rPr>
          <w:rFonts w:ascii="Arial" w:eastAsia="Calibri" w:hAnsi="Arial" w:cs="Arial"/>
          <w:color w:val="000000" w:themeColor="text1"/>
          <w:sz w:val="22"/>
          <w:szCs w:val="22"/>
          <w:lang w:val="es-ES_tradnl"/>
        </w:rPr>
        <w:t xml:space="preserve"> la</w:t>
      </w:r>
      <w:r w:rsidRPr="0027683D">
        <w:rPr>
          <w:rFonts w:ascii="Arial" w:eastAsia="Calibri" w:hAnsi="Arial" w:cs="Arial"/>
          <w:color w:val="000000" w:themeColor="text1"/>
          <w:sz w:val="22"/>
          <w:szCs w:val="22"/>
          <w:lang w:val="es-ES_tradnl"/>
        </w:rPr>
        <w:t xml:space="preserve"> nueva regulación de la promoción del desarrollo en la contratación estatal en el artículo 34 de la Ley 2069 de 2020 y subrogación del artículo 12 de la Ley 1150 de 2007</w:t>
      </w:r>
      <w:r>
        <w:rPr>
          <w:rFonts w:ascii="Arial" w:eastAsia="Calibri" w:hAnsi="Arial" w:cs="Arial"/>
          <w:color w:val="000000" w:themeColor="text1"/>
          <w:sz w:val="22"/>
          <w:szCs w:val="22"/>
          <w:lang w:val="es-ES_tradnl"/>
        </w:rPr>
        <w:t>.</w:t>
      </w:r>
    </w:p>
    <w:p w14:paraId="63E98AA0" w14:textId="7D099F71" w:rsidR="00F412AF" w:rsidRDefault="00F412AF" w:rsidP="008C77EF">
      <w:pPr>
        <w:spacing w:line="276" w:lineRule="auto"/>
        <w:ind w:firstLine="708"/>
        <w:jc w:val="both"/>
        <w:rPr>
          <w:rFonts w:ascii="Arial" w:eastAsia="Calibri" w:hAnsi="Arial" w:cs="Arial"/>
          <w:sz w:val="22"/>
          <w:lang w:val="es-ES"/>
        </w:rPr>
      </w:pPr>
      <w:r w:rsidRPr="0027683D">
        <w:rPr>
          <w:rFonts w:ascii="Arial" w:eastAsia="Calibri" w:hAnsi="Arial" w:cs="Arial"/>
          <w:color w:val="000000" w:themeColor="text1"/>
          <w:sz w:val="22"/>
          <w:szCs w:val="22"/>
          <w:lang w:val="es-ES_tradnl"/>
        </w:rPr>
        <w:t>Es importante destacar que la Agencia Nacional de Contratación Pública – Colombia Compra Eficiente</w:t>
      </w:r>
      <w:r w:rsidR="008C77EF">
        <w:rPr>
          <w:rFonts w:ascii="Arial" w:eastAsia="Calibri" w:hAnsi="Arial" w:cs="Arial"/>
          <w:color w:val="000000" w:themeColor="text1"/>
          <w:sz w:val="22"/>
          <w:szCs w:val="22"/>
          <w:lang w:val="es-ES_tradnl"/>
        </w:rPr>
        <w:t>,</w:t>
      </w:r>
      <w:r>
        <w:rPr>
          <w:rFonts w:ascii="Arial" w:eastAsia="Calibri" w:hAnsi="Arial" w:cs="Arial"/>
          <w:color w:val="000000" w:themeColor="text1"/>
          <w:sz w:val="22"/>
          <w:szCs w:val="22"/>
          <w:lang w:val="es-ES_tradnl"/>
        </w:rPr>
        <w:t xml:space="preserve"> </w:t>
      </w:r>
      <w:r w:rsidR="007321B0">
        <w:rPr>
          <w:rFonts w:ascii="Arial" w:eastAsia="Calibri" w:hAnsi="Arial" w:cs="Arial"/>
          <w:color w:val="000000" w:themeColor="text1"/>
          <w:sz w:val="22"/>
          <w:szCs w:val="22"/>
          <w:lang w:val="es-ES_tradnl"/>
        </w:rPr>
        <w:t>en los conceptos C-043 del 9 de febrero de 2021</w:t>
      </w:r>
      <w:r w:rsidR="00AC7471">
        <w:rPr>
          <w:rFonts w:ascii="Arial" w:eastAsia="Calibri" w:hAnsi="Arial" w:cs="Arial"/>
          <w:color w:val="000000" w:themeColor="text1"/>
          <w:sz w:val="22"/>
          <w:szCs w:val="22"/>
          <w:lang w:val="es-ES_tradnl"/>
        </w:rPr>
        <w:t xml:space="preserve">, </w:t>
      </w:r>
      <w:r w:rsidR="007321B0">
        <w:rPr>
          <w:rFonts w:ascii="Arial" w:eastAsia="Calibri" w:hAnsi="Arial" w:cs="Arial"/>
          <w:color w:val="000000" w:themeColor="text1"/>
          <w:sz w:val="22"/>
          <w:szCs w:val="22"/>
          <w:lang w:val="es-ES_tradnl"/>
        </w:rPr>
        <w:t>C-081 del 23 de febrero del 2021,</w:t>
      </w:r>
      <w:r w:rsidR="00AC7471" w:rsidRPr="00AC7471">
        <w:rPr>
          <w:rFonts w:ascii="Arial" w:eastAsia="Calibri" w:hAnsi="Arial" w:cs="Arial"/>
          <w:color w:val="000000" w:themeColor="text1"/>
          <w:sz w:val="22"/>
          <w:szCs w:val="22"/>
          <w:lang w:val="es-ES_tradnl"/>
        </w:rPr>
        <w:t xml:space="preserve"> </w:t>
      </w:r>
      <w:r w:rsidR="00AC7471">
        <w:rPr>
          <w:rFonts w:ascii="Arial" w:eastAsia="Calibri" w:hAnsi="Arial" w:cs="Arial"/>
          <w:color w:val="000000" w:themeColor="text1"/>
          <w:sz w:val="22"/>
          <w:szCs w:val="22"/>
          <w:lang w:val="es-ES_tradnl"/>
        </w:rPr>
        <w:t>C-069 del 12 de marzo de 2021, C-125 del 5 de abril del 2021, C-126 del 6 de abril del 2021 y C-130 del 7 de abril de 2021</w:t>
      </w:r>
      <w:r>
        <w:rPr>
          <w:rFonts w:ascii="Arial" w:eastAsia="Calibri" w:hAnsi="Arial" w:cs="Arial"/>
          <w:color w:val="000000" w:themeColor="text1"/>
          <w:sz w:val="22"/>
          <w:szCs w:val="22"/>
          <w:lang w:val="es-ES_tradnl"/>
        </w:rPr>
        <w:t xml:space="preserve"> </w:t>
      </w:r>
      <w:r w:rsidR="00AC7471">
        <w:rPr>
          <w:rFonts w:ascii="Arial" w:eastAsia="Calibri" w:hAnsi="Arial" w:cs="Arial"/>
          <w:color w:val="000000" w:themeColor="text1"/>
          <w:sz w:val="22"/>
          <w:szCs w:val="22"/>
          <w:lang w:val="es-ES_tradnl"/>
        </w:rPr>
        <w:t xml:space="preserve">se </w:t>
      </w:r>
      <w:r w:rsidR="007321B0">
        <w:rPr>
          <w:rFonts w:ascii="Arial" w:eastAsia="Calibri" w:hAnsi="Arial" w:cs="Arial"/>
          <w:color w:val="000000" w:themeColor="text1"/>
          <w:sz w:val="22"/>
          <w:szCs w:val="22"/>
          <w:lang w:val="es-ES_tradnl"/>
        </w:rPr>
        <w:t xml:space="preserve">estudió la vigencia del artículo 12 de la Ley 1150 de 2007 </w:t>
      </w:r>
      <w:r w:rsidR="00145C1A">
        <w:rPr>
          <w:rFonts w:ascii="Arial" w:eastAsia="Calibri" w:hAnsi="Arial" w:cs="Arial"/>
          <w:color w:val="000000" w:themeColor="text1"/>
          <w:sz w:val="22"/>
          <w:szCs w:val="22"/>
          <w:lang w:val="es-ES_tradnl"/>
        </w:rPr>
        <w:t>así como la</w:t>
      </w:r>
      <w:r w:rsidR="007321B0">
        <w:rPr>
          <w:rFonts w:ascii="Arial" w:eastAsia="Calibri" w:hAnsi="Arial" w:cs="Arial"/>
          <w:color w:val="000000" w:themeColor="text1"/>
          <w:sz w:val="22"/>
          <w:szCs w:val="22"/>
          <w:lang w:val="es-ES_tradnl"/>
        </w:rPr>
        <w:t xml:space="preserve"> pérdida de ejecutoria </w:t>
      </w:r>
      <w:r w:rsidR="00145C1A">
        <w:rPr>
          <w:rFonts w:ascii="Arial" w:hAnsi="Arial" w:cs="Arial"/>
          <w:color w:val="000000"/>
          <w:sz w:val="22"/>
          <w:szCs w:val="22"/>
        </w:rPr>
        <w:t>del</w:t>
      </w:r>
      <w:r w:rsidR="007321B0" w:rsidRPr="00A719D1">
        <w:rPr>
          <w:rFonts w:ascii="Arial" w:hAnsi="Arial" w:cs="Arial"/>
          <w:color w:val="000000"/>
          <w:sz w:val="22"/>
          <w:szCs w:val="22"/>
        </w:rPr>
        <w:t xml:space="preserve"> artículo 2.2.1.2.4.2.2. del Decreto 1082 de 2015</w:t>
      </w:r>
      <w:r w:rsidR="007321B0">
        <w:rPr>
          <w:rFonts w:ascii="Arial" w:eastAsia="Calibri" w:hAnsi="Arial" w:cs="Arial"/>
          <w:color w:val="000000" w:themeColor="text1"/>
          <w:sz w:val="22"/>
          <w:szCs w:val="22"/>
          <w:lang w:val="es-ES_tradnl"/>
        </w:rPr>
        <w:t>, a partir de lo establecido en el artículo 34 de la Ley 2069 de 2020.</w:t>
      </w:r>
      <w:r>
        <w:rPr>
          <w:rFonts w:ascii="Arial" w:eastAsia="Calibri" w:hAnsi="Arial" w:cs="Arial"/>
          <w:color w:val="000000" w:themeColor="text1"/>
          <w:sz w:val="22"/>
          <w:szCs w:val="22"/>
          <w:lang w:val="es-ES_tradnl"/>
        </w:rPr>
        <w:t xml:space="preserve"> </w:t>
      </w:r>
      <w:r w:rsidR="007321B0">
        <w:rPr>
          <w:rFonts w:ascii="Arial" w:eastAsia="Calibri" w:hAnsi="Arial" w:cs="Arial"/>
          <w:color w:val="000000" w:themeColor="text1"/>
          <w:sz w:val="22"/>
          <w:szCs w:val="22"/>
          <w:lang w:val="es-ES_tradnl"/>
        </w:rPr>
        <w:t>La tesis y fundamentos</w:t>
      </w:r>
      <w:r w:rsidR="00145C1A">
        <w:rPr>
          <w:rFonts w:ascii="Arial" w:eastAsia="Calibri" w:hAnsi="Arial" w:cs="Arial"/>
          <w:color w:val="000000" w:themeColor="text1"/>
          <w:sz w:val="22"/>
          <w:szCs w:val="22"/>
          <w:lang w:val="es-ES_tradnl"/>
        </w:rPr>
        <w:t xml:space="preserve"> pertinentes</w:t>
      </w:r>
      <w:r w:rsidR="007321B0">
        <w:rPr>
          <w:rFonts w:ascii="Arial" w:eastAsia="Calibri" w:hAnsi="Arial" w:cs="Arial"/>
          <w:color w:val="000000" w:themeColor="text1"/>
          <w:sz w:val="22"/>
          <w:szCs w:val="22"/>
          <w:lang w:val="es-ES_tradnl"/>
        </w:rPr>
        <w:t xml:space="preserve"> </w:t>
      </w:r>
      <w:r w:rsidR="00145C1A">
        <w:rPr>
          <w:rFonts w:ascii="Arial" w:eastAsia="Calibri" w:hAnsi="Arial" w:cs="Arial"/>
          <w:color w:val="000000" w:themeColor="text1"/>
          <w:sz w:val="22"/>
          <w:szCs w:val="22"/>
          <w:lang w:val="es-ES_tradnl"/>
        </w:rPr>
        <w:t xml:space="preserve">de estos </w:t>
      </w:r>
      <w:r w:rsidR="007321B0">
        <w:rPr>
          <w:rFonts w:ascii="Arial" w:eastAsia="Calibri" w:hAnsi="Arial" w:cs="Arial"/>
          <w:color w:val="000000" w:themeColor="text1"/>
          <w:sz w:val="22"/>
          <w:szCs w:val="22"/>
          <w:lang w:val="es-ES_tradnl"/>
        </w:rPr>
        <w:t>conceptos se reiteran a continuación</w:t>
      </w:r>
      <w:r w:rsidR="00145C1A">
        <w:rPr>
          <w:rFonts w:ascii="Arial" w:eastAsia="Calibri" w:hAnsi="Arial" w:cs="Arial"/>
          <w:color w:val="000000" w:themeColor="text1"/>
          <w:sz w:val="22"/>
          <w:szCs w:val="22"/>
          <w:lang w:val="es-ES_tradnl"/>
        </w:rPr>
        <w:t>.</w:t>
      </w:r>
    </w:p>
    <w:p w14:paraId="0BF93C7D" w14:textId="77777777" w:rsidR="003A06CA" w:rsidRPr="000E0D71" w:rsidRDefault="003A06CA" w:rsidP="004E667A">
      <w:pPr>
        <w:spacing w:line="276" w:lineRule="auto"/>
        <w:jc w:val="both"/>
        <w:rPr>
          <w:rFonts w:ascii="Arial" w:eastAsia="Calibri" w:hAnsi="Arial" w:cs="Arial"/>
          <w:color w:val="000000" w:themeColor="text1"/>
          <w:sz w:val="22"/>
          <w:szCs w:val="22"/>
          <w:lang w:val="es-ES_tradnl"/>
        </w:rPr>
      </w:pPr>
    </w:p>
    <w:p w14:paraId="4091264D" w14:textId="77777777" w:rsidR="007321B0" w:rsidRPr="005419DA" w:rsidRDefault="007321B0" w:rsidP="007321B0">
      <w:pPr>
        <w:spacing w:line="276" w:lineRule="auto"/>
        <w:jc w:val="both"/>
        <w:rPr>
          <w:rFonts w:ascii="Arial" w:eastAsia="Calibri" w:hAnsi="Arial" w:cs="Arial"/>
          <w:b/>
          <w:bCs/>
          <w:color w:val="000000" w:themeColor="text1"/>
          <w:sz w:val="22"/>
          <w:szCs w:val="22"/>
          <w:lang w:val="es-ES_tradnl"/>
        </w:rPr>
      </w:pPr>
      <w:r w:rsidRPr="005419DA">
        <w:rPr>
          <w:rFonts w:ascii="Arial" w:eastAsia="Calibri" w:hAnsi="Arial" w:cs="Arial"/>
          <w:b/>
          <w:bCs/>
          <w:color w:val="000000" w:themeColor="text1"/>
          <w:sz w:val="22"/>
          <w:szCs w:val="22"/>
          <w:lang w:val="es-ES_tradnl"/>
        </w:rPr>
        <w:t>2.</w:t>
      </w:r>
      <w:r>
        <w:rPr>
          <w:rFonts w:ascii="Arial" w:eastAsia="Calibri" w:hAnsi="Arial" w:cs="Arial"/>
          <w:b/>
          <w:bCs/>
          <w:color w:val="000000" w:themeColor="text1"/>
          <w:sz w:val="22"/>
          <w:szCs w:val="22"/>
          <w:lang w:val="es-ES_tradnl"/>
        </w:rPr>
        <w:t>1</w:t>
      </w:r>
      <w:r w:rsidRPr="005419DA">
        <w:rPr>
          <w:rFonts w:ascii="Arial" w:eastAsia="Calibri" w:hAnsi="Arial" w:cs="Arial"/>
          <w:b/>
          <w:bCs/>
          <w:color w:val="000000" w:themeColor="text1"/>
          <w:sz w:val="22"/>
          <w:szCs w:val="22"/>
          <w:lang w:val="es-ES_tradnl"/>
        </w:rPr>
        <w:t xml:space="preserve">. Vigencia y ámbito de aplicación de la Ley </w:t>
      </w:r>
      <w:r>
        <w:rPr>
          <w:rFonts w:ascii="Arial" w:eastAsia="Calibri" w:hAnsi="Arial" w:cs="Arial"/>
          <w:b/>
          <w:bCs/>
          <w:color w:val="000000" w:themeColor="text1"/>
          <w:sz w:val="22"/>
          <w:szCs w:val="22"/>
          <w:lang w:val="es-ES_tradnl"/>
        </w:rPr>
        <w:t>2069</w:t>
      </w:r>
      <w:r w:rsidRPr="005419DA">
        <w:rPr>
          <w:rFonts w:ascii="Arial" w:eastAsia="Calibri" w:hAnsi="Arial" w:cs="Arial"/>
          <w:b/>
          <w:bCs/>
          <w:color w:val="000000" w:themeColor="text1"/>
          <w:sz w:val="22"/>
          <w:szCs w:val="22"/>
          <w:lang w:val="es-ES_tradnl"/>
        </w:rPr>
        <w:t xml:space="preserve"> de 2020</w:t>
      </w:r>
    </w:p>
    <w:p w14:paraId="1B7721A1" w14:textId="77777777" w:rsidR="007321B0" w:rsidRPr="005419DA" w:rsidRDefault="007321B0" w:rsidP="007321B0">
      <w:pPr>
        <w:spacing w:line="276" w:lineRule="auto"/>
        <w:jc w:val="both"/>
        <w:rPr>
          <w:rFonts w:ascii="Arial" w:eastAsia="Calibri" w:hAnsi="Arial" w:cs="Arial"/>
          <w:color w:val="000000" w:themeColor="text1"/>
          <w:sz w:val="22"/>
          <w:szCs w:val="22"/>
          <w:lang w:val="es-ES_tradnl"/>
        </w:rPr>
      </w:pPr>
    </w:p>
    <w:p w14:paraId="4451E62B" w14:textId="77777777" w:rsidR="007321B0" w:rsidRPr="005419DA" w:rsidRDefault="007321B0" w:rsidP="007321B0">
      <w:pPr>
        <w:spacing w:line="276" w:lineRule="auto"/>
        <w:jc w:val="both"/>
        <w:rPr>
          <w:rFonts w:ascii="Arial" w:eastAsia="Calibri" w:hAnsi="Arial" w:cs="Arial"/>
          <w:color w:val="000000" w:themeColor="text1"/>
          <w:sz w:val="22"/>
          <w:szCs w:val="22"/>
          <w:lang w:val="es-ES_tradnl"/>
        </w:rPr>
      </w:pPr>
      <w:r w:rsidRPr="005419DA">
        <w:rPr>
          <w:rFonts w:ascii="Arial" w:eastAsia="Calibri" w:hAnsi="Arial" w:cs="Arial"/>
          <w:color w:val="000000" w:themeColor="text1"/>
          <w:sz w:val="22"/>
          <w:szCs w:val="22"/>
          <w:lang w:val="es-ES_tradnl"/>
        </w:rPr>
        <w:t xml:space="preserve">El 31 de diciembre de 2020 se promulgó la Ley </w:t>
      </w:r>
      <w:r>
        <w:rPr>
          <w:rFonts w:ascii="Arial" w:eastAsia="Calibri" w:hAnsi="Arial" w:cs="Arial"/>
          <w:color w:val="000000" w:themeColor="text1"/>
          <w:sz w:val="22"/>
          <w:szCs w:val="22"/>
          <w:lang w:val="es-ES_tradnl"/>
        </w:rPr>
        <w:t>2069</w:t>
      </w:r>
      <w:r w:rsidRPr="005419DA">
        <w:rPr>
          <w:rFonts w:ascii="Arial" w:eastAsia="Calibri" w:hAnsi="Arial" w:cs="Arial"/>
          <w:color w:val="000000" w:themeColor="text1"/>
          <w:sz w:val="22"/>
          <w:szCs w:val="22"/>
          <w:lang w:val="es-ES_tradnl"/>
        </w:rPr>
        <w:t>, «Por medio de la cual se impulsa el emprendimiento en Colombia». De acuerdo con el artículo 84 de dicho cuerpo normativo, «La presente Ley rige a partir del momento de su promulgación […]», lo que significa que es obligatoria para sus destinatarios desde esa fecha. Lo anterior, sin perjuicio de la posibilidad de que el gobierno nacional, en ejercicio de la potestad reglamentaria que le confiere el artículo 189, numeral 11, de la Constitución Política, expida el decreto correspondiente que permita la cumplida ejecución de esta Ley.</w:t>
      </w:r>
    </w:p>
    <w:p w14:paraId="14F7E0CE" w14:textId="77777777" w:rsidR="007321B0" w:rsidRPr="005419DA" w:rsidRDefault="007321B0" w:rsidP="007321B0">
      <w:pPr>
        <w:spacing w:before="120" w:line="276" w:lineRule="auto"/>
        <w:ind w:firstLine="709"/>
        <w:jc w:val="both"/>
        <w:rPr>
          <w:rFonts w:ascii="Arial" w:eastAsia="Calibri" w:hAnsi="Arial" w:cs="Arial"/>
          <w:color w:val="000000" w:themeColor="text1"/>
          <w:sz w:val="22"/>
          <w:szCs w:val="22"/>
          <w:lang w:val="es-ES_tradnl"/>
        </w:rPr>
      </w:pPr>
      <w:r w:rsidRPr="005419DA">
        <w:rPr>
          <w:rFonts w:ascii="Arial" w:eastAsia="Calibri" w:hAnsi="Arial" w:cs="Arial"/>
          <w:color w:val="000000" w:themeColor="text1"/>
          <w:sz w:val="22"/>
          <w:szCs w:val="22"/>
          <w:lang w:val="es-ES_tradnl"/>
        </w:rPr>
        <w:t xml:space="preserve">En cuando a su contenido, es importante señalar que, como dispone el artículo 1, aquella «tiene por objeto establecer un marco regulatorio que propicie el emprendimiento y el crecimiento, consolidación y sostenibilidad de las empresas, con el fin de aumentar el bienestar social y generar equidad». Esto, a partir de «[…] un enfoque regionalizado </w:t>
      </w:r>
      <w:proofErr w:type="gramStart"/>
      <w:r w:rsidRPr="005419DA">
        <w:rPr>
          <w:rFonts w:ascii="Arial" w:eastAsia="Calibri" w:hAnsi="Arial" w:cs="Arial"/>
          <w:color w:val="000000" w:themeColor="text1"/>
          <w:sz w:val="22"/>
          <w:szCs w:val="22"/>
          <w:lang w:val="es-ES_tradnl"/>
        </w:rPr>
        <w:t>de acuerdo a</w:t>
      </w:r>
      <w:proofErr w:type="gramEnd"/>
      <w:r w:rsidRPr="005419DA">
        <w:rPr>
          <w:rFonts w:ascii="Arial" w:eastAsia="Calibri" w:hAnsi="Arial" w:cs="Arial"/>
          <w:color w:val="000000" w:themeColor="text1"/>
          <w:sz w:val="22"/>
          <w:szCs w:val="22"/>
          <w:lang w:val="es-ES_tradnl"/>
        </w:rPr>
        <w:t xml:space="preserve"> las realidades socioeconómicas de cada región». En desarrollo de esta finalidad, se establecen medidas de apoyo para las micro, pequeñas y medianas empresas –mipymes–, mediante la racionalización y simplificación de los trámites y tarifas</w:t>
      </w:r>
      <w:r w:rsidRPr="005419DA">
        <w:rPr>
          <w:rStyle w:val="Refdenotaalpie"/>
          <w:rFonts w:ascii="Arial" w:eastAsia="Calibri" w:hAnsi="Arial" w:cs="Arial"/>
          <w:color w:val="000000" w:themeColor="text1"/>
          <w:sz w:val="22"/>
          <w:szCs w:val="22"/>
          <w:lang w:val="es-ES_tradnl"/>
        </w:rPr>
        <w:footnoteReference w:id="2"/>
      </w:r>
      <w:r w:rsidRPr="005419DA">
        <w:rPr>
          <w:rFonts w:ascii="Arial" w:eastAsia="Calibri" w:hAnsi="Arial" w:cs="Arial"/>
          <w:color w:val="000000" w:themeColor="text1"/>
          <w:sz w:val="22"/>
          <w:szCs w:val="22"/>
          <w:lang w:val="es-ES_tradnl"/>
        </w:rPr>
        <w:t>, así como incentivos a favor de aquellas dentro del sistema de compras y contratación pública</w:t>
      </w:r>
      <w:r w:rsidRPr="005419DA">
        <w:rPr>
          <w:rStyle w:val="Refdenotaalpie"/>
          <w:rFonts w:ascii="Arial" w:eastAsia="Calibri" w:hAnsi="Arial" w:cs="Arial"/>
          <w:color w:val="000000" w:themeColor="text1"/>
          <w:sz w:val="22"/>
          <w:szCs w:val="22"/>
          <w:lang w:val="es-ES_tradnl"/>
        </w:rPr>
        <w:footnoteReference w:id="3"/>
      </w:r>
      <w:r w:rsidRPr="005419DA">
        <w:rPr>
          <w:rFonts w:ascii="Arial" w:eastAsia="Calibri" w:hAnsi="Arial" w:cs="Arial"/>
          <w:color w:val="000000" w:themeColor="text1"/>
          <w:sz w:val="22"/>
          <w:szCs w:val="22"/>
          <w:lang w:val="es-ES_tradnl"/>
        </w:rPr>
        <w:t>. También se consagran mecanismos de acceso al financiamiento</w:t>
      </w:r>
      <w:r w:rsidRPr="005419DA">
        <w:rPr>
          <w:rStyle w:val="Refdenotaalpie"/>
          <w:rFonts w:ascii="Arial" w:eastAsia="Calibri" w:hAnsi="Arial" w:cs="Arial"/>
          <w:color w:val="000000" w:themeColor="text1"/>
          <w:sz w:val="22"/>
          <w:szCs w:val="22"/>
          <w:lang w:val="es-ES_tradnl"/>
        </w:rPr>
        <w:footnoteReference w:id="4"/>
      </w:r>
      <w:r w:rsidRPr="005419DA">
        <w:rPr>
          <w:rFonts w:ascii="Arial" w:eastAsia="Calibri" w:hAnsi="Arial" w:cs="Arial"/>
          <w:color w:val="000000" w:themeColor="text1"/>
          <w:sz w:val="22"/>
          <w:szCs w:val="22"/>
          <w:lang w:val="es-ES_tradnl"/>
        </w:rPr>
        <w:t xml:space="preserve">, se unifican las fuentes de emprendimiento y de desarrollo empresarial, para fortalecer y promover los distintos </w:t>
      </w:r>
      <w:r w:rsidRPr="005419DA">
        <w:rPr>
          <w:rFonts w:ascii="Arial" w:eastAsia="Calibri" w:hAnsi="Arial" w:cs="Arial"/>
          <w:color w:val="000000" w:themeColor="text1"/>
          <w:sz w:val="22"/>
          <w:szCs w:val="22"/>
          <w:lang w:val="es-ES_tradnl"/>
        </w:rPr>
        <w:lastRenderedPageBreak/>
        <w:t>sectores de la economía</w:t>
      </w:r>
      <w:r w:rsidRPr="005419DA">
        <w:rPr>
          <w:rStyle w:val="Refdenotaalpie"/>
          <w:rFonts w:ascii="Arial" w:eastAsia="Calibri" w:hAnsi="Arial" w:cs="Arial"/>
          <w:color w:val="000000" w:themeColor="text1"/>
          <w:sz w:val="22"/>
          <w:szCs w:val="22"/>
          <w:lang w:val="es-ES_tradnl"/>
        </w:rPr>
        <w:footnoteReference w:id="5"/>
      </w:r>
      <w:r w:rsidRPr="005419DA">
        <w:rPr>
          <w:rFonts w:ascii="Arial" w:eastAsia="Calibri" w:hAnsi="Arial" w:cs="Arial"/>
          <w:color w:val="000000" w:themeColor="text1"/>
          <w:sz w:val="22"/>
          <w:szCs w:val="22"/>
          <w:lang w:val="es-ES_tradnl"/>
        </w:rPr>
        <w:t xml:space="preserve"> y se prevén medidas de educación para el emprendimiento y la innovación</w:t>
      </w:r>
      <w:r w:rsidRPr="005419DA">
        <w:rPr>
          <w:rStyle w:val="Refdenotaalpie"/>
          <w:rFonts w:ascii="Arial" w:eastAsia="Calibri" w:hAnsi="Arial" w:cs="Arial"/>
          <w:color w:val="000000" w:themeColor="text1"/>
          <w:sz w:val="22"/>
          <w:szCs w:val="22"/>
          <w:lang w:val="es-ES_tradnl"/>
        </w:rPr>
        <w:footnoteReference w:id="6"/>
      </w:r>
      <w:r w:rsidRPr="005419DA">
        <w:rPr>
          <w:rFonts w:ascii="Arial" w:eastAsia="Calibri" w:hAnsi="Arial" w:cs="Arial"/>
          <w:color w:val="000000" w:themeColor="text1"/>
          <w:sz w:val="22"/>
          <w:szCs w:val="22"/>
          <w:lang w:val="es-ES_tradnl"/>
        </w:rPr>
        <w:t>.</w:t>
      </w:r>
    </w:p>
    <w:p w14:paraId="3556BD58" w14:textId="0B0441D0" w:rsidR="007321B0" w:rsidRDefault="007321B0" w:rsidP="007321B0">
      <w:pPr>
        <w:spacing w:before="120" w:line="276" w:lineRule="auto"/>
        <w:ind w:firstLine="709"/>
        <w:jc w:val="both"/>
        <w:rPr>
          <w:rFonts w:ascii="Arial" w:eastAsia="Calibri" w:hAnsi="Arial" w:cs="Arial"/>
          <w:color w:val="000000" w:themeColor="text1"/>
          <w:sz w:val="22"/>
          <w:szCs w:val="22"/>
          <w:lang w:val="es-ES_tradnl"/>
        </w:rPr>
      </w:pPr>
      <w:r w:rsidRPr="00955541">
        <w:rPr>
          <w:rFonts w:ascii="Arial" w:eastAsia="Calibri" w:hAnsi="Arial" w:cs="Arial"/>
          <w:color w:val="000000" w:themeColor="text1"/>
          <w:sz w:val="22"/>
          <w:szCs w:val="22"/>
          <w:lang w:val="es-ES_tradnl"/>
        </w:rPr>
        <w:t>Como se indicó, parte de la Ley 2069 contiene normas que modifican algunos aspectos de la contratación estatal para promover el emprendimiento. Concretamente, aquellas se encuentran en el Capítulo III –artículos 30 al 36–. En su orden, tales artículos consagran: i) reglas sobre la participación de las mipymes en el procedimiento de mínima cuantía, ii) criterios diferenciales para mipymes en el sistema de compras públicas, iii) criterios diferenciales para emprendimientos y empresas de mujeres en el sistema de compras públicas, iv) promoción del acceso de las mipymes al mercado de compras públicas, v) promoción del desarrollo en la contratación pública, vi) un nuevo régimen de factores de desempate y vi) un llamado a las entidades estatales para que promuevan compras públicas en el marco de la tecnología y la innovación. Teniendo en cuenta que la consulta está relacionada con la interpretación de</w:t>
      </w:r>
      <w:r>
        <w:rPr>
          <w:rFonts w:ascii="Arial" w:eastAsia="Calibri" w:hAnsi="Arial" w:cs="Arial"/>
          <w:color w:val="000000" w:themeColor="text1"/>
          <w:sz w:val="22"/>
          <w:szCs w:val="22"/>
          <w:lang w:val="es-ES_tradnl"/>
        </w:rPr>
        <w:t>l</w:t>
      </w:r>
      <w:r w:rsidRPr="00955541">
        <w:rPr>
          <w:rFonts w:ascii="Arial" w:eastAsia="Calibri" w:hAnsi="Arial" w:cs="Arial"/>
          <w:color w:val="000000" w:themeColor="text1"/>
          <w:sz w:val="22"/>
          <w:szCs w:val="22"/>
          <w:lang w:val="es-ES_tradnl"/>
        </w:rPr>
        <w:t xml:space="preserve"> artículo 34 de la referida Ley, a continuación, se estudiará el contenido y alcance de dicha norma.</w:t>
      </w:r>
    </w:p>
    <w:p w14:paraId="3D5D7DC3" w14:textId="77777777" w:rsidR="007321B0" w:rsidRDefault="007321B0" w:rsidP="00AC7471">
      <w:pPr>
        <w:spacing w:line="276" w:lineRule="auto"/>
        <w:ind w:firstLine="709"/>
        <w:jc w:val="both"/>
        <w:rPr>
          <w:rFonts w:ascii="Arial" w:eastAsia="Calibri" w:hAnsi="Arial" w:cs="Arial"/>
          <w:color w:val="000000" w:themeColor="text1"/>
          <w:sz w:val="22"/>
          <w:szCs w:val="22"/>
          <w:lang w:val="es-ES_tradnl"/>
        </w:rPr>
      </w:pPr>
    </w:p>
    <w:p w14:paraId="5BAAA70B" w14:textId="77777777" w:rsidR="007321B0" w:rsidRPr="004F2364" w:rsidRDefault="007321B0" w:rsidP="007321B0">
      <w:pPr>
        <w:spacing w:line="276" w:lineRule="auto"/>
        <w:jc w:val="both"/>
        <w:rPr>
          <w:rFonts w:ascii="Arial" w:eastAsia="Calibri" w:hAnsi="Arial" w:cs="Arial"/>
          <w:b/>
          <w:bCs/>
          <w:color w:val="000000" w:themeColor="text1"/>
          <w:sz w:val="22"/>
          <w:szCs w:val="22"/>
          <w:lang w:val="es-ES_tradnl"/>
        </w:rPr>
      </w:pPr>
      <w:r w:rsidRPr="0027683D">
        <w:rPr>
          <w:rFonts w:ascii="Arial" w:eastAsia="Calibri" w:hAnsi="Arial" w:cs="Arial"/>
          <w:b/>
          <w:bCs/>
          <w:color w:val="000000" w:themeColor="text1"/>
          <w:sz w:val="22"/>
          <w:szCs w:val="22"/>
          <w:lang w:val="es-ES_tradnl"/>
        </w:rPr>
        <w:t>2.2. Nueva regulación de la promoción del desarrollo en la contratación estatal en el artículo 34 de la Ley 2069 de 2020. Subrogación del artículo 12 de la Ley 1150 de 2007</w:t>
      </w:r>
    </w:p>
    <w:p w14:paraId="2A0EA8F1" w14:textId="77777777" w:rsidR="007321B0" w:rsidRDefault="007321B0" w:rsidP="007321B0">
      <w:pPr>
        <w:spacing w:line="276" w:lineRule="auto"/>
        <w:jc w:val="both"/>
        <w:rPr>
          <w:rFonts w:ascii="Arial" w:eastAsia="Calibri" w:hAnsi="Arial" w:cs="Arial"/>
          <w:color w:val="000000" w:themeColor="text1"/>
          <w:sz w:val="22"/>
          <w:szCs w:val="22"/>
          <w:lang w:val="es-ES_tradnl"/>
        </w:rPr>
      </w:pPr>
    </w:p>
    <w:p w14:paraId="45318439" w14:textId="6D06699D" w:rsidR="007321B0" w:rsidRPr="004F2364" w:rsidRDefault="007321B0" w:rsidP="007321B0">
      <w:pPr>
        <w:spacing w:line="276" w:lineRule="auto"/>
        <w:jc w:val="both"/>
        <w:rPr>
          <w:rFonts w:ascii="Arial" w:eastAsia="Calibri" w:hAnsi="Arial" w:cs="Arial"/>
          <w:color w:val="000000" w:themeColor="text1"/>
          <w:sz w:val="22"/>
          <w:szCs w:val="22"/>
          <w:lang w:val="es-ES_tradnl"/>
        </w:rPr>
      </w:pPr>
      <w:r w:rsidRPr="004F2364">
        <w:rPr>
          <w:rFonts w:ascii="Arial" w:eastAsia="Calibri" w:hAnsi="Arial" w:cs="Arial"/>
          <w:color w:val="000000" w:themeColor="text1"/>
          <w:sz w:val="22"/>
          <w:szCs w:val="22"/>
          <w:lang w:val="es-ES_tradnl"/>
        </w:rPr>
        <w:t>El artículo 34 de la Ley 2069 de 2020 establece nuevas reglas sobre la promoción al desarrollo en la contratación estatal. Concretamente, modifica el contenido del artículo 12 de la Ley 1150 de 2007</w:t>
      </w:r>
      <w:r w:rsidRPr="004F2364">
        <w:rPr>
          <w:rStyle w:val="Refdenotaalpie"/>
          <w:rFonts w:ascii="Arial" w:eastAsia="Calibri" w:hAnsi="Arial" w:cs="Arial"/>
          <w:color w:val="000000" w:themeColor="text1"/>
          <w:sz w:val="22"/>
          <w:szCs w:val="22"/>
          <w:lang w:val="es-ES_tradnl"/>
        </w:rPr>
        <w:footnoteReference w:id="7"/>
      </w:r>
      <w:r w:rsidRPr="004F2364">
        <w:rPr>
          <w:rFonts w:ascii="Arial" w:eastAsia="Calibri" w:hAnsi="Arial" w:cs="Arial"/>
          <w:color w:val="000000" w:themeColor="text1"/>
          <w:sz w:val="22"/>
          <w:szCs w:val="22"/>
          <w:lang w:val="es-ES_tradnl"/>
        </w:rPr>
        <w:t>, prescribiendo lo que se indica a continuación:</w:t>
      </w:r>
    </w:p>
    <w:p w14:paraId="17AA5F71" w14:textId="5597527E" w:rsidR="007321B0" w:rsidRPr="004F2364" w:rsidRDefault="007321B0" w:rsidP="007321B0">
      <w:pPr>
        <w:spacing w:before="120" w:line="276" w:lineRule="auto"/>
        <w:ind w:firstLine="709"/>
        <w:jc w:val="both"/>
        <w:rPr>
          <w:rFonts w:ascii="Arial" w:eastAsia="Calibri" w:hAnsi="Arial" w:cs="Arial"/>
          <w:color w:val="000000" w:themeColor="text1"/>
          <w:sz w:val="22"/>
          <w:szCs w:val="22"/>
          <w:lang w:val="es-ES_tradnl"/>
        </w:rPr>
      </w:pPr>
      <w:r w:rsidRPr="004F2364">
        <w:rPr>
          <w:rFonts w:ascii="Arial" w:eastAsia="Calibri" w:hAnsi="Arial" w:cs="Arial"/>
          <w:color w:val="000000" w:themeColor="text1"/>
          <w:sz w:val="22"/>
          <w:szCs w:val="22"/>
          <w:lang w:val="es-ES_tradnl"/>
        </w:rPr>
        <w:lastRenderedPageBreak/>
        <w:t xml:space="preserve">i) Encomienda, con carácter imperativo, al gobierno nacional definir las condiciones y los montos para que las entidades estatales –cualquiera sea su régimen contractual–, los patrimonios autónomos constituidos por aquellas y los particulares que administren recursos </w:t>
      </w:r>
      <w:r w:rsidR="00162D5A" w:rsidRPr="004F2364">
        <w:rPr>
          <w:rFonts w:ascii="Arial" w:eastAsia="Calibri" w:hAnsi="Arial" w:cs="Arial"/>
          <w:color w:val="000000" w:themeColor="text1"/>
          <w:sz w:val="22"/>
          <w:szCs w:val="22"/>
          <w:lang w:val="es-ES_tradnl"/>
        </w:rPr>
        <w:t>públicos</w:t>
      </w:r>
      <w:r w:rsidR="00162D5A">
        <w:rPr>
          <w:rFonts w:ascii="Arial" w:eastAsia="Calibri" w:hAnsi="Arial" w:cs="Arial"/>
          <w:color w:val="000000" w:themeColor="text1"/>
          <w:sz w:val="22"/>
          <w:szCs w:val="22"/>
          <w:lang w:val="es-ES_tradnl"/>
        </w:rPr>
        <w:t xml:space="preserve"> </w:t>
      </w:r>
      <w:r w:rsidRPr="004F2364">
        <w:rPr>
          <w:rFonts w:ascii="Arial" w:eastAsia="Calibri" w:hAnsi="Arial" w:cs="Arial"/>
          <w:color w:val="000000" w:themeColor="text1"/>
          <w:sz w:val="22"/>
          <w:szCs w:val="22"/>
          <w:lang w:val="es-ES_tradnl"/>
        </w:rPr>
        <w:t xml:space="preserve">efectúen convocatorias limitadas a mipymes en los procesos de contratación. Y agrega que estas convocatorias se pueden realizar también en el ámbito municipal o departamental en el que se ejecute el contrato. </w:t>
      </w:r>
    </w:p>
    <w:p w14:paraId="7E1C38A1" w14:textId="77777777" w:rsidR="007321B0" w:rsidRPr="004F2364" w:rsidRDefault="007321B0" w:rsidP="007321B0">
      <w:pPr>
        <w:spacing w:before="120" w:line="276" w:lineRule="auto"/>
        <w:ind w:firstLine="709"/>
        <w:jc w:val="both"/>
        <w:rPr>
          <w:rFonts w:ascii="Arial" w:eastAsia="Calibri" w:hAnsi="Arial" w:cs="Arial"/>
          <w:color w:val="000000" w:themeColor="text1"/>
          <w:sz w:val="22"/>
          <w:szCs w:val="22"/>
          <w:lang w:val="es-ES_tradnl"/>
        </w:rPr>
      </w:pPr>
      <w:r w:rsidRPr="004F2364">
        <w:rPr>
          <w:rFonts w:ascii="Arial" w:eastAsia="Calibri" w:hAnsi="Arial" w:cs="Arial"/>
          <w:color w:val="000000" w:themeColor="text1"/>
          <w:sz w:val="22"/>
          <w:szCs w:val="22"/>
          <w:lang w:val="es-ES_tradnl"/>
        </w:rPr>
        <w:t>ii) Indica que dichas convocatorias se deben efectuar –y así lo deberá reglamentar el gobierno nacional– siempre y cuando, antes del acto administrativo de apertura del proceso de selección, por lo menos dos (2) mipymes hayan manifestado su interés.</w:t>
      </w:r>
    </w:p>
    <w:p w14:paraId="1BB57CBD" w14:textId="77777777" w:rsidR="007321B0" w:rsidRPr="004F2364" w:rsidRDefault="007321B0" w:rsidP="007321B0">
      <w:pPr>
        <w:spacing w:before="120" w:line="276" w:lineRule="auto"/>
        <w:ind w:firstLine="709"/>
        <w:jc w:val="both"/>
        <w:rPr>
          <w:rFonts w:ascii="Arial" w:eastAsia="Calibri" w:hAnsi="Arial" w:cs="Arial"/>
          <w:color w:val="000000" w:themeColor="text1"/>
          <w:sz w:val="22"/>
          <w:szCs w:val="22"/>
          <w:lang w:val="es-ES_tradnl"/>
        </w:rPr>
      </w:pPr>
      <w:r w:rsidRPr="004F2364">
        <w:rPr>
          <w:rFonts w:ascii="Arial" w:eastAsia="Calibri" w:hAnsi="Arial" w:cs="Arial"/>
          <w:color w:val="000000" w:themeColor="text1"/>
          <w:sz w:val="22"/>
          <w:szCs w:val="22"/>
          <w:lang w:val="es-ES_tradnl"/>
        </w:rPr>
        <w:t>iii) Determina que uno de los parámetros que deberá tener en cuenta el gobierno nacional para reglamentar la materia es el cumplimiento de los compromisos internacionales vigentes. Es decir que se deberán considerar las estipulaciones contenidas en los tratados comerciales suscritos entre Colombia y otros Estados.</w:t>
      </w:r>
    </w:p>
    <w:p w14:paraId="1C7F2911" w14:textId="77777777" w:rsidR="007321B0" w:rsidRPr="004F2364" w:rsidRDefault="007321B0" w:rsidP="007321B0">
      <w:pPr>
        <w:spacing w:before="120" w:line="276" w:lineRule="auto"/>
        <w:ind w:firstLine="709"/>
        <w:jc w:val="both"/>
        <w:rPr>
          <w:rFonts w:ascii="Arial" w:eastAsia="Calibri" w:hAnsi="Arial" w:cs="Arial"/>
          <w:color w:val="000000" w:themeColor="text1"/>
          <w:sz w:val="22"/>
          <w:szCs w:val="22"/>
          <w:lang w:val="es-ES_tradnl"/>
        </w:rPr>
      </w:pPr>
      <w:r w:rsidRPr="004F2364">
        <w:rPr>
          <w:rFonts w:ascii="Arial" w:eastAsia="Calibri" w:hAnsi="Arial" w:cs="Arial"/>
          <w:color w:val="000000" w:themeColor="text1"/>
          <w:sz w:val="22"/>
          <w:szCs w:val="22"/>
          <w:lang w:val="es-ES_tradnl"/>
        </w:rPr>
        <w:t>iv) Establece que, en el reglamento, el gobierno nacional podría establecer condiciones preferenciales para los bienes y servicios producidos por las mipymes, sin contrariar los compromisos internacionales vigentes.</w:t>
      </w:r>
    </w:p>
    <w:p w14:paraId="555732D0" w14:textId="77777777" w:rsidR="007321B0" w:rsidRPr="004F2364" w:rsidRDefault="007321B0" w:rsidP="007321B0">
      <w:pPr>
        <w:spacing w:before="120" w:line="276" w:lineRule="auto"/>
        <w:ind w:firstLine="709"/>
        <w:jc w:val="both"/>
        <w:rPr>
          <w:rFonts w:ascii="Arial" w:eastAsia="Calibri" w:hAnsi="Arial" w:cs="Arial"/>
          <w:color w:val="000000" w:themeColor="text1"/>
          <w:sz w:val="22"/>
          <w:szCs w:val="22"/>
          <w:lang w:val="es-ES_tradnl"/>
        </w:rPr>
      </w:pPr>
      <w:r w:rsidRPr="004F2364">
        <w:rPr>
          <w:rFonts w:ascii="Arial" w:eastAsia="Calibri" w:hAnsi="Arial" w:cs="Arial"/>
          <w:color w:val="000000" w:themeColor="text1"/>
          <w:sz w:val="22"/>
          <w:szCs w:val="22"/>
          <w:lang w:val="es-ES_tradnl"/>
        </w:rPr>
        <w:t>v)  Aclara que tanto las convocatorias limitadas a mipymes, como las condiciones preferenciales a favor de los bienes y servicios producidos por estas, no es óbice para que deban cumplir las exigencias técnicas y económicas del proceso de selección.</w:t>
      </w:r>
    </w:p>
    <w:p w14:paraId="0D4533E7" w14:textId="77777777" w:rsidR="007321B0" w:rsidRPr="004F2364" w:rsidRDefault="007321B0" w:rsidP="007321B0">
      <w:pPr>
        <w:spacing w:before="120" w:line="276" w:lineRule="auto"/>
        <w:ind w:firstLine="709"/>
        <w:jc w:val="both"/>
        <w:rPr>
          <w:rFonts w:ascii="Arial" w:eastAsia="Calibri" w:hAnsi="Arial" w:cs="Arial"/>
          <w:color w:val="000000" w:themeColor="text1"/>
          <w:sz w:val="22"/>
          <w:szCs w:val="22"/>
          <w:lang w:val="es-ES_tradnl"/>
        </w:rPr>
      </w:pPr>
      <w:r w:rsidRPr="004F2364">
        <w:rPr>
          <w:rFonts w:ascii="Arial" w:eastAsia="Calibri" w:hAnsi="Arial" w:cs="Arial"/>
          <w:color w:val="000000" w:themeColor="text1"/>
          <w:sz w:val="22"/>
          <w:szCs w:val="22"/>
          <w:lang w:val="es-ES_tradnl"/>
        </w:rPr>
        <w:t>vi) Señala que el reglamento que expida el gobierno nacional, además de las convocatorias limitadas a mipymes, deberá contener disposiciones normativas que permitan la provisión de bienes y servicios, a través de la celebración de contratos estatales con algunas personas que gozan de especial protección constitucional. Entre tales personas se encuentran las que tengan condiciones de pobreza extrema, las desplazadas por la violencia y quienes estén en procesos de reintegración o reincorporación, entre otras que incluya el reglamento.</w:t>
      </w:r>
    </w:p>
    <w:p w14:paraId="32E4CC55" w14:textId="77777777" w:rsidR="007321B0" w:rsidRPr="004F2364" w:rsidRDefault="007321B0" w:rsidP="007321B0">
      <w:pPr>
        <w:spacing w:before="120" w:line="276" w:lineRule="auto"/>
        <w:ind w:firstLine="709"/>
        <w:jc w:val="both"/>
        <w:rPr>
          <w:rFonts w:ascii="Arial" w:eastAsia="Calibri" w:hAnsi="Arial" w:cs="Arial"/>
          <w:color w:val="000000" w:themeColor="text1"/>
          <w:sz w:val="22"/>
          <w:szCs w:val="22"/>
          <w:lang w:val="es-ES_tradnl"/>
        </w:rPr>
      </w:pPr>
      <w:r w:rsidRPr="004F2364">
        <w:rPr>
          <w:rFonts w:ascii="Arial" w:eastAsia="Calibri" w:hAnsi="Arial" w:cs="Arial"/>
          <w:color w:val="000000" w:themeColor="text1"/>
          <w:sz w:val="22"/>
          <w:szCs w:val="22"/>
          <w:lang w:val="es-ES_tradnl"/>
        </w:rPr>
        <w:lastRenderedPageBreak/>
        <w:t>vii) Precisa que la posibilidad de participar en convocatorias limitadas a mipymes se encuentra condicionada a que estas acrediten como mínimo un año de existencia, con el certificado expedido por la cámara de comercio respectiva o por la autoridad que sea competente para ello.</w:t>
      </w:r>
    </w:p>
    <w:p w14:paraId="0E7FA130" w14:textId="77777777" w:rsidR="007321B0" w:rsidRPr="0061221C" w:rsidRDefault="007321B0" w:rsidP="007321B0">
      <w:pPr>
        <w:spacing w:before="120" w:line="276" w:lineRule="auto"/>
        <w:ind w:firstLine="709"/>
        <w:jc w:val="both"/>
        <w:rPr>
          <w:rFonts w:ascii="Arial" w:eastAsia="Calibri" w:hAnsi="Arial" w:cs="Arial"/>
          <w:color w:val="000000" w:themeColor="text1"/>
          <w:sz w:val="22"/>
          <w:szCs w:val="22"/>
          <w:lang w:val="es-ES_tradnl"/>
        </w:rPr>
      </w:pPr>
      <w:r w:rsidRPr="004F2364">
        <w:rPr>
          <w:rFonts w:ascii="Arial" w:eastAsia="Calibri" w:hAnsi="Arial" w:cs="Arial"/>
          <w:color w:val="000000" w:themeColor="text1"/>
          <w:sz w:val="22"/>
          <w:szCs w:val="22"/>
          <w:lang w:val="es-ES_tradnl"/>
        </w:rPr>
        <w:t xml:space="preserve">viii) Hace obligatorio el cumplimiento de lo dispuesto en los artículos 90 a 95 de la Ley 418 de 1997 –normas que establecen la obligación de declarar la caducidad y la </w:t>
      </w:r>
      <w:r w:rsidRPr="0061221C">
        <w:rPr>
          <w:rFonts w:ascii="Arial" w:eastAsia="Calibri" w:hAnsi="Arial" w:cs="Arial"/>
          <w:color w:val="000000" w:themeColor="text1"/>
          <w:sz w:val="22"/>
          <w:szCs w:val="22"/>
          <w:lang w:val="es-ES_tradnl"/>
        </w:rPr>
        <w:t>liquidación unilateral cuando el contratista beneficie grupos armados organizados al margen de la ley– en la ejecución de los contratos celebrados en virtud del artículo 34 de la Ley 2069 de 2020.</w:t>
      </w:r>
    </w:p>
    <w:p w14:paraId="51576CC7" w14:textId="77777777" w:rsidR="007321B0" w:rsidRPr="0061221C" w:rsidRDefault="007321B0" w:rsidP="007321B0">
      <w:pPr>
        <w:spacing w:before="120" w:line="276" w:lineRule="auto"/>
        <w:ind w:firstLine="709"/>
        <w:jc w:val="both"/>
        <w:rPr>
          <w:rFonts w:ascii="Arial" w:eastAsia="Calibri" w:hAnsi="Arial" w:cs="Arial"/>
          <w:color w:val="000000" w:themeColor="text1"/>
          <w:sz w:val="22"/>
          <w:szCs w:val="22"/>
          <w:lang w:val="es-ES_tradnl"/>
        </w:rPr>
      </w:pPr>
      <w:r w:rsidRPr="0061221C">
        <w:rPr>
          <w:rFonts w:ascii="Arial" w:eastAsia="Calibri" w:hAnsi="Arial" w:cs="Arial"/>
          <w:color w:val="000000" w:themeColor="text1"/>
          <w:sz w:val="22"/>
          <w:szCs w:val="22"/>
          <w:lang w:val="es-ES_tradnl"/>
        </w:rPr>
        <w:t xml:space="preserve">A partir de lo anterior, puede afirmarse que el artículo 34 de la Ley 2069 de 2020 sustituyó íntegramente el contenido del artículo 12 de la Ley 1150 de 2007. En este sentido, frente a esta última norma se produjo el fenómeno de la subrogación, el cual ha sido explicado por la Corte Constitucional en los siguientes términos: </w:t>
      </w:r>
    </w:p>
    <w:p w14:paraId="21F4ECEE" w14:textId="77777777" w:rsidR="007321B0" w:rsidRPr="0061221C" w:rsidRDefault="007321B0" w:rsidP="007321B0">
      <w:pPr>
        <w:spacing w:line="276" w:lineRule="auto"/>
        <w:ind w:left="709" w:right="709"/>
        <w:jc w:val="both"/>
        <w:rPr>
          <w:rFonts w:ascii="Arial" w:eastAsia="Calibri" w:hAnsi="Arial" w:cs="Arial"/>
          <w:color w:val="000000" w:themeColor="text1"/>
          <w:sz w:val="21"/>
          <w:szCs w:val="21"/>
          <w:lang w:val="es-ES_tradnl"/>
        </w:rPr>
      </w:pPr>
    </w:p>
    <w:p w14:paraId="4C3229BF" w14:textId="77777777" w:rsidR="007321B0" w:rsidRPr="0061221C" w:rsidRDefault="007321B0" w:rsidP="007321B0">
      <w:pPr>
        <w:ind w:left="709" w:right="709"/>
        <w:jc w:val="both"/>
        <w:rPr>
          <w:rFonts w:ascii="Arial" w:eastAsia="Calibri" w:hAnsi="Arial" w:cs="Arial"/>
          <w:color w:val="000000" w:themeColor="text1"/>
          <w:sz w:val="21"/>
          <w:szCs w:val="21"/>
          <w:lang w:val="es-ES_tradnl"/>
        </w:rPr>
      </w:pPr>
      <w:r w:rsidRPr="0061221C">
        <w:rPr>
          <w:rFonts w:ascii="Arial" w:eastAsia="Calibri" w:hAnsi="Arial" w:cs="Arial"/>
          <w:color w:val="000000" w:themeColor="text1"/>
          <w:sz w:val="21"/>
          <w:szCs w:val="21"/>
          <w:lang w:val="es-ES_tradnl"/>
        </w:rPr>
        <w:t>La subrogación es entendida como el acto de sustituir una norma por otra. No se trata de una derogación simple, como quiera que antes que abolir o anular una disposición del sistema normativo establecido, lo que hace es poner un texto normativo en lugar de otro. Como resultado de la subrogación, las normas jurídicas preexistentes y afectadas con la medida pueden en parte ser derogadas, modificadas y en parte sustituidas por otras nuevas; pero también la subrogación puede incluir la reproducción de apartes normativos provenientes del texto legal que se subroga</w:t>
      </w:r>
      <w:r w:rsidRPr="0061221C">
        <w:rPr>
          <w:rStyle w:val="Refdenotaalpie"/>
          <w:rFonts w:ascii="Arial" w:eastAsia="Calibri" w:hAnsi="Arial" w:cs="Arial"/>
          <w:color w:val="000000" w:themeColor="text1"/>
          <w:sz w:val="21"/>
          <w:szCs w:val="21"/>
          <w:lang w:val="es-ES_tradnl"/>
        </w:rPr>
        <w:footnoteReference w:id="8"/>
      </w:r>
      <w:r w:rsidRPr="0061221C">
        <w:rPr>
          <w:rFonts w:ascii="Arial" w:eastAsia="Calibri" w:hAnsi="Arial" w:cs="Arial"/>
          <w:color w:val="000000" w:themeColor="text1"/>
          <w:sz w:val="21"/>
          <w:szCs w:val="21"/>
          <w:lang w:val="es-ES_tradnl"/>
        </w:rPr>
        <w:t>.</w:t>
      </w:r>
    </w:p>
    <w:p w14:paraId="3B786292" w14:textId="77777777" w:rsidR="007321B0" w:rsidRPr="0061221C" w:rsidRDefault="007321B0" w:rsidP="007321B0">
      <w:pPr>
        <w:spacing w:line="276" w:lineRule="auto"/>
        <w:ind w:firstLine="709"/>
        <w:jc w:val="both"/>
        <w:rPr>
          <w:rFonts w:ascii="Arial" w:eastAsia="Calibri" w:hAnsi="Arial" w:cs="Arial"/>
          <w:color w:val="000000" w:themeColor="text1"/>
          <w:sz w:val="22"/>
          <w:szCs w:val="22"/>
          <w:lang w:val="es-ES_tradnl"/>
        </w:rPr>
      </w:pPr>
    </w:p>
    <w:p w14:paraId="146A613F" w14:textId="77777777" w:rsidR="007321B0" w:rsidRPr="0061221C" w:rsidRDefault="007321B0" w:rsidP="007321B0">
      <w:pPr>
        <w:spacing w:line="276" w:lineRule="auto"/>
        <w:ind w:firstLine="709"/>
        <w:jc w:val="both"/>
        <w:rPr>
          <w:rFonts w:ascii="Arial" w:eastAsia="Calibri" w:hAnsi="Arial" w:cs="Arial"/>
          <w:color w:val="000000" w:themeColor="text1"/>
          <w:sz w:val="22"/>
          <w:szCs w:val="22"/>
          <w:lang w:val="es-ES_tradnl"/>
        </w:rPr>
      </w:pPr>
      <w:bookmarkStart w:id="4" w:name="_Hlk66195807"/>
      <w:r w:rsidRPr="0061221C">
        <w:rPr>
          <w:rFonts w:ascii="Arial" w:eastAsia="Calibri" w:hAnsi="Arial" w:cs="Arial"/>
          <w:color w:val="000000" w:themeColor="text1"/>
          <w:sz w:val="22"/>
          <w:szCs w:val="22"/>
          <w:lang w:val="es-ES_tradnl"/>
        </w:rPr>
        <w:t>La subrogación es, entonces, una forma de derogación de las normas jurídicas, que consiste en el reemplazo de su contenido por un enunciado normativo nuevo. Se distingue de la derogación simple en que en este último evento la disposición normativa posterior no sustituye el texto, sino que solo le hace perder vigencia a la disposición normativa anterior. Como lo explica la Corte Constitucional, la subrogación puede presentarse bien porque el enunciado normativo regule de manera diferente una materia o porque reproduzca apartados normativos de otra. Pero lo cierto es que, en uno u otro caso, la disposición normativa anterior pierde vigencia.</w:t>
      </w:r>
    </w:p>
    <w:p w14:paraId="50215812" w14:textId="0872013E" w:rsidR="007321B0" w:rsidRDefault="007321B0" w:rsidP="007321B0">
      <w:pPr>
        <w:spacing w:before="120" w:line="276" w:lineRule="auto"/>
        <w:ind w:firstLine="709"/>
        <w:jc w:val="both"/>
        <w:rPr>
          <w:rFonts w:ascii="Arial" w:eastAsia="Calibri" w:hAnsi="Arial" w:cs="Arial"/>
          <w:color w:val="000000" w:themeColor="text1"/>
          <w:sz w:val="22"/>
          <w:szCs w:val="22"/>
          <w:lang w:val="es-ES_tradnl"/>
        </w:rPr>
      </w:pPr>
      <w:r w:rsidRPr="0061221C">
        <w:rPr>
          <w:rFonts w:ascii="Arial" w:eastAsia="Calibri" w:hAnsi="Arial" w:cs="Arial"/>
          <w:color w:val="000000" w:themeColor="text1"/>
          <w:sz w:val="22"/>
          <w:szCs w:val="22"/>
          <w:lang w:val="es-ES_tradnl"/>
        </w:rPr>
        <w:t xml:space="preserve">El artículo 12 de la Ley 1150 de 2007 fue subrogado por el artículo 34 de la Ley 2069 de 2020, porque este contiene una regulación diferente de la promoción del desarrollo en la contratación estatal. Además, en el primer inciso del artículo 34 de la Ley 2069 de 2020 se lee claramente: «Modifíquese el artículo 12 de la Ley 1150 de 2007, el cual quedará así». Esto significa que la voluntad del legislador no estuvo dirigida a efectuar una reforma </w:t>
      </w:r>
      <w:r w:rsidRPr="0061221C">
        <w:rPr>
          <w:rFonts w:ascii="Arial" w:eastAsia="Calibri" w:hAnsi="Arial" w:cs="Arial"/>
          <w:color w:val="000000" w:themeColor="text1"/>
          <w:sz w:val="22"/>
          <w:szCs w:val="22"/>
          <w:lang w:val="es-ES_tradnl"/>
        </w:rPr>
        <w:lastRenderedPageBreak/>
        <w:t>parcial del artículo 12 de la Ley 1150 de 2007, sino a modificarlo completamente, sustituyéndolo por uno nuevo.</w:t>
      </w:r>
    </w:p>
    <w:bookmarkEnd w:id="4"/>
    <w:p w14:paraId="427F0F58" w14:textId="3E5E3E4D" w:rsidR="00145C1A" w:rsidRPr="004F2364" w:rsidRDefault="00145C1A" w:rsidP="00145C1A">
      <w:pPr>
        <w:spacing w:before="120" w:line="276" w:lineRule="auto"/>
        <w:ind w:firstLine="709"/>
        <w:jc w:val="both"/>
        <w:rPr>
          <w:rFonts w:ascii="Arial" w:eastAsia="Calibri" w:hAnsi="Arial" w:cs="Arial"/>
          <w:color w:val="000000" w:themeColor="text1"/>
          <w:sz w:val="22"/>
          <w:szCs w:val="22"/>
          <w:lang w:val="es-ES_tradnl"/>
        </w:rPr>
      </w:pPr>
      <w:r w:rsidRPr="004F2364">
        <w:rPr>
          <w:rFonts w:ascii="Arial" w:eastAsia="Calibri" w:hAnsi="Arial" w:cs="Arial"/>
          <w:color w:val="000000" w:themeColor="text1"/>
          <w:sz w:val="22"/>
          <w:szCs w:val="22"/>
          <w:lang w:val="es-ES_tradnl"/>
        </w:rPr>
        <w:t xml:space="preserve">Luego de explicar las reglas incluidas en la nueva regulación de la promoción del desarrollo en la contratación estatal, previstas en el artículo 34 de la Ley 2069 de 2020, y habiendo aclarado que dicha norma </w:t>
      </w:r>
      <w:r w:rsidR="00754B06">
        <w:rPr>
          <w:rFonts w:ascii="Arial" w:eastAsia="Calibri" w:hAnsi="Arial" w:cs="Arial"/>
          <w:color w:val="000000" w:themeColor="text1"/>
          <w:sz w:val="22"/>
          <w:szCs w:val="22"/>
          <w:lang w:val="es-ES_tradnl"/>
        </w:rPr>
        <w:t>subrogó</w:t>
      </w:r>
      <w:r w:rsidRPr="004F2364">
        <w:rPr>
          <w:rFonts w:ascii="Arial" w:eastAsia="Calibri" w:hAnsi="Arial" w:cs="Arial"/>
          <w:color w:val="000000" w:themeColor="text1"/>
          <w:sz w:val="22"/>
          <w:szCs w:val="22"/>
          <w:lang w:val="es-ES_tradnl"/>
        </w:rPr>
        <w:t xml:space="preserve"> el artículo 12 de la Ley 1150 de 2007, conviene preguntarse qué sucede con la vigencia del artículo 2.2.1.2.4.2.2. del Decreto 1082 de 2015, que, hasta la expedición de la Ley 2069 de 2020, </w:t>
      </w:r>
      <w:r w:rsidR="00FD30C2">
        <w:rPr>
          <w:rFonts w:ascii="Arial" w:eastAsia="Calibri" w:hAnsi="Arial" w:cs="Arial"/>
          <w:color w:val="000000" w:themeColor="text1"/>
          <w:sz w:val="22"/>
          <w:szCs w:val="22"/>
          <w:lang w:val="es-ES_tradnl"/>
        </w:rPr>
        <w:t>regulaba</w:t>
      </w:r>
      <w:r w:rsidRPr="004F2364">
        <w:rPr>
          <w:rFonts w:ascii="Arial" w:eastAsia="Calibri" w:hAnsi="Arial" w:cs="Arial"/>
          <w:color w:val="000000" w:themeColor="text1"/>
          <w:sz w:val="22"/>
          <w:szCs w:val="22"/>
          <w:lang w:val="es-ES_tradnl"/>
        </w:rPr>
        <w:t xml:space="preserve"> las convocatorias limitadas a mipymes. En opinión de esta Agencia, dicho artículo del Decreto reglamentario no está vigente, porque su contenido es contrario al del artículo 34 de la Ley 2069 de 2020. En tal sentido, ha perdido fuerza ejecutoria, de conformidad con el artículo 91, numeral 2, de la Ley 1437 de 2011, el cual establece que los actos administrativos –categoría que, como es sabido, incluye los decretos reglamentarios– dejan de ser obligatorios o decaen «Cuando desaparezcan sus fundamentos de hecho o de derecho». </w:t>
      </w:r>
    </w:p>
    <w:p w14:paraId="1F7C6D3A" w14:textId="77777777" w:rsidR="00145C1A" w:rsidRPr="004F2364" w:rsidRDefault="00145C1A" w:rsidP="00145C1A">
      <w:pPr>
        <w:spacing w:before="120" w:line="276" w:lineRule="auto"/>
        <w:ind w:firstLine="709"/>
        <w:jc w:val="both"/>
        <w:rPr>
          <w:rFonts w:ascii="Arial" w:eastAsia="Calibri" w:hAnsi="Arial" w:cs="Arial"/>
          <w:color w:val="000000" w:themeColor="text1"/>
          <w:sz w:val="22"/>
          <w:szCs w:val="22"/>
          <w:lang w:val="es-ES_tradnl"/>
        </w:rPr>
      </w:pPr>
      <w:r w:rsidRPr="004F2364">
        <w:rPr>
          <w:rFonts w:ascii="Arial" w:eastAsia="Calibri" w:hAnsi="Arial" w:cs="Arial"/>
          <w:color w:val="000000" w:themeColor="text1"/>
          <w:sz w:val="22"/>
          <w:szCs w:val="22"/>
          <w:lang w:val="es-ES_tradnl"/>
        </w:rPr>
        <w:t xml:space="preserve">Si los decretos reglamentarios que profiere el </w:t>
      </w:r>
      <w:proofErr w:type="gramStart"/>
      <w:r w:rsidRPr="004F2364">
        <w:rPr>
          <w:rFonts w:ascii="Arial" w:eastAsia="Calibri" w:hAnsi="Arial" w:cs="Arial"/>
          <w:color w:val="000000" w:themeColor="text1"/>
          <w:sz w:val="22"/>
          <w:szCs w:val="22"/>
          <w:lang w:val="es-ES_tradnl"/>
        </w:rPr>
        <w:t>Presidente</w:t>
      </w:r>
      <w:proofErr w:type="gramEnd"/>
      <w:r w:rsidRPr="004F2364">
        <w:rPr>
          <w:rFonts w:ascii="Arial" w:eastAsia="Calibri" w:hAnsi="Arial" w:cs="Arial"/>
          <w:color w:val="000000" w:themeColor="text1"/>
          <w:sz w:val="22"/>
          <w:szCs w:val="22"/>
          <w:lang w:val="es-ES_tradnl"/>
        </w:rPr>
        <w:t xml:space="preserve"> de la República en ejercicio de la potestad que le confiere el artículo 189, numeral 11, de la Constitución Política, buscan «la cumplida ejecución de las leyes», y si la disposición legal que había servido de fundamento a la expedición del artículo 2.2.1.2.4.2.2. del Decreto 1082 de 2015 –es decir, el artículo 12 de la Ley 1150 de 2007– fue modificado por el artículo 34 de la Ley 2069 de 2020, puede concluirse que la disposición reglamentaria decayó, por desaparición de su fundamento de derecho. Es decir, el fundamento de derecho, que era el contenido del artículo 12 de la Ley 1150 de 2007, fue subrogado por el artículo 34 de la Ley 2069 de 2020. Sin embargo, no es solo por una razón formal que se deduce la pérdida de fuerza ejecutoria del artículo 2.2.1.2.4.2.2. del Decreto 1082 de 2015, sino también por un argumento material, como se explica a continuación.</w:t>
      </w:r>
    </w:p>
    <w:p w14:paraId="0376FDC6" w14:textId="77777777" w:rsidR="00145C1A" w:rsidRPr="004F2364" w:rsidRDefault="00145C1A" w:rsidP="00145C1A">
      <w:pPr>
        <w:spacing w:before="120" w:line="276" w:lineRule="auto"/>
        <w:ind w:firstLine="709"/>
        <w:jc w:val="both"/>
        <w:rPr>
          <w:rFonts w:ascii="Arial" w:eastAsia="Calibri" w:hAnsi="Arial" w:cs="Arial"/>
          <w:color w:val="000000" w:themeColor="text1"/>
          <w:sz w:val="22"/>
          <w:szCs w:val="22"/>
          <w:lang w:val="es-ES_tradnl"/>
        </w:rPr>
      </w:pPr>
      <w:r w:rsidRPr="004F2364">
        <w:rPr>
          <w:rFonts w:ascii="Arial" w:eastAsia="Calibri" w:hAnsi="Arial" w:cs="Arial"/>
          <w:color w:val="000000" w:themeColor="text1"/>
          <w:sz w:val="22"/>
          <w:szCs w:val="22"/>
          <w:lang w:val="es-ES_tradnl"/>
        </w:rPr>
        <w:t xml:space="preserve">Además de que el artículo 2.2.1.2.4.2.2. del Decreto 1082 de 2015 perdió el fundamento legal, su contenido es contrario al del nuevo artículo 12 de la Ley 1150 de 2007, modificado por el artículo 34 de la Ley 2069 de 2020. En efecto, este último artículo no consagra las mismas exigencias para las convocatorias limitadas a mipymes. Concretamente, no incluye todos los requisitos que, hasta la </w:t>
      </w:r>
      <w:proofErr w:type="gramStart"/>
      <w:r w:rsidRPr="004F2364">
        <w:rPr>
          <w:rFonts w:ascii="Arial" w:eastAsia="Calibri" w:hAnsi="Arial" w:cs="Arial"/>
          <w:color w:val="000000" w:themeColor="text1"/>
          <w:sz w:val="22"/>
          <w:szCs w:val="22"/>
          <w:lang w:val="es-ES_tradnl"/>
        </w:rPr>
        <w:t>entrada en vigencia</w:t>
      </w:r>
      <w:proofErr w:type="gramEnd"/>
      <w:r w:rsidRPr="004F2364">
        <w:rPr>
          <w:rFonts w:ascii="Arial" w:eastAsia="Calibri" w:hAnsi="Arial" w:cs="Arial"/>
          <w:color w:val="000000" w:themeColor="text1"/>
          <w:sz w:val="22"/>
          <w:szCs w:val="22"/>
          <w:lang w:val="es-ES_tradnl"/>
        </w:rPr>
        <w:t xml:space="preserve"> de la Ley 2069 de 2020, establecía el artículo 2.2.1.2.4.2.2. del Decreto 1082 de 2015. Esta norma indicaba en su primer inciso que la entidad estatal solo podía limitar la convocatoria a las mipymes nacionales si se trataba de procesos de selección de licitación pública, selección abreviada y concursos de méritos. Por su parte, tal restricción no se encuentra en el artículo 34 de la Ley 2069 de 2020.</w:t>
      </w:r>
    </w:p>
    <w:p w14:paraId="06F25526" w14:textId="77777777" w:rsidR="00145C1A" w:rsidRPr="004F2364" w:rsidRDefault="00145C1A" w:rsidP="00145C1A">
      <w:pPr>
        <w:spacing w:before="120" w:line="276" w:lineRule="auto"/>
        <w:ind w:firstLine="709"/>
        <w:jc w:val="both"/>
        <w:rPr>
          <w:rFonts w:ascii="Arial" w:eastAsia="Calibri" w:hAnsi="Arial" w:cs="Arial"/>
          <w:color w:val="000000" w:themeColor="text1"/>
          <w:sz w:val="22"/>
          <w:szCs w:val="22"/>
          <w:lang w:val="es-ES_tradnl"/>
        </w:rPr>
      </w:pPr>
      <w:r w:rsidRPr="004F2364">
        <w:rPr>
          <w:rFonts w:ascii="Arial" w:eastAsia="Calibri" w:hAnsi="Arial" w:cs="Arial"/>
          <w:color w:val="000000" w:themeColor="text1"/>
          <w:sz w:val="22"/>
          <w:szCs w:val="22"/>
          <w:lang w:val="es-ES_tradnl"/>
        </w:rPr>
        <w:t xml:space="preserve">Adicionalmente, el numeral 1 del artículo 2.2.1.2.4.2.2. del Decreto 1082 de 2015 exigía que el valor del proceso de contratación en el que pretendiera limitarse la convocatoria a mipymes fuera «[…] menor a ciento veinticinco mil dólares de los Estados Unidos de América (US$125.000), liquidados con la tasa de cambio que para el efecto </w:t>
      </w:r>
      <w:r w:rsidRPr="004F2364">
        <w:rPr>
          <w:rFonts w:ascii="Arial" w:eastAsia="Calibri" w:hAnsi="Arial" w:cs="Arial"/>
          <w:color w:val="000000" w:themeColor="text1"/>
          <w:sz w:val="22"/>
          <w:szCs w:val="22"/>
          <w:lang w:val="es-ES_tradnl"/>
        </w:rPr>
        <w:lastRenderedPageBreak/>
        <w:t>determina cada dos años el Ministerio de Comercio, Industria y Turismo». Este requisito tampoco se observa en el artículo 34 de la Ley 2069 de 2020.</w:t>
      </w:r>
    </w:p>
    <w:p w14:paraId="19B93978" w14:textId="77777777" w:rsidR="00145C1A" w:rsidRPr="004F2364" w:rsidRDefault="00145C1A" w:rsidP="00145C1A">
      <w:pPr>
        <w:spacing w:before="120" w:line="276" w:lineRule="auto"/>
        <w:ind w:firstLine="709"/>
        <w:jc w:val="both"/>
        <w:rPr>
          <w:rFonts w:ascii="Arial" w:eastAsia="Calibri" w:hAnsi="Arial" w:cs="Arial"/>
          <w:color w:val="000000" w:themeColor="text1"/>
          <w:sz w:val="22"/>
          <w:szCs w:val="22"/>
          <w:lang w:val="es-ES_tradnl"/>
        </w:rPr>
      </w:pPr>
      <w:r w:rsidRPr="004F2364">
        <w:rPr>
          <w:rFonts w:ascii="Arial" w:eastAsia="Calibri" w:hAnsi="Arial" w:cs="Arial"/>
          <w:color w:val="000000" w:themeColor="text1"/>
          <w:sz w:val="22"/>
          <w:szCs w:val="22"/>
          <w:lang w:val="es-ES_tradnl"/>
        </w:rPr>
        <w:t xml:space="preserve">A lo anterior debe agregarse que mientras la nueva disposición legal indica que la convocatoria limitada a mipymes debe hacerse cuando por lo menos </w:t>
      </w:r>
      <w:r w:rsidRPr="004F2364">
        <w:rPr>
          <w:rFonts w:ascii="Arial" w:eastAsia="Calibri" w:hAnsi="Arial" w:cs="Arial"/>
          <w:i/>
          <w:iCs/>
          <w:color w:val="000000" w:themeColor="text1"/>
          <w:sz w:val="22"/>
          <w:szCs w:val="22"/>
          <w:lang w:val="es-ES_tradnl"/>
        </w:rPr>
        <w:t>dos (2)</w:t>
      </w:r>
      <w:r w:rsidRPr="004F2364">
        <w:rPr>
          <w:rFonts w:ascii="Arial" w:eastAsia="Calibri" w:hAnsi="Arial" w:cs="Arial"/>
          <w:color w:val="000000" w:themeColor="text1"/>
          <w:sz w:val="22"/>
          <w:szCs w:val="22"/>
          <w:lang w:val="es-ES_tradnl"/>
        </w:rPr>
        <w:t xml:space="preserve"> de estas hayan manifestado su interés antes de la resolución de apertura del proceso respectivo, el artículo 2.2.1.2.4.2.2. del Decreto 1082 de 2015 condicionaba la limitación de la convocatoria a que la entidad estatal hubiera recibido solicitudes de por lo menos </w:t>
      </w:r>
      <w:r w:rsidRPr="004F2364">
        <w:rPr>
          <w:rFonts w:ascii="Arial" w:eastAsia="Calibri" w:hAnsi="Arial" w:cs="Arial"/>
          <w:i/>
          <w:iCs/>
          <w:color w:val="000000" w:themeColor="text1"/>
          <w:sz w:val="22"/>
          <w:szCs w:val="22"/>
          <w:lang w:val="es-ES_tradnl"/>
        </w:rPr>
        <w:t>tres (3)</w:t>
      </w:r>
      <w:r w:rsidRPr="004F2364">
        <w:rPr>
          <w:rFonts w:ascii="Arial" w:eastAsia="Calibri" w:hAnsi="Arial" w:cs="Arial"/>
          <w:color w:val="000000" w:themeColor="text1"/>
          <w:sz w:val="22"/>
          <w:szCs w:val="22"/>
          <w:lang w:val="es-ES_tradnl"/>
        </w:rPr>
        <w:t xml:space="preserve"> mipymes, a más tardar un día hábil antes de la apertura del proceso de selección.</w:t>
      </w:r>
    </w:p>
    <w:p w14:paraId="71DE7FF1" w14:textId="090A6E66" w:rsidR="00145C1A" w:rsidRPr="004F2364" w:rsidRDefault="00145C1A" w:rsidP="00145C1A">
      <w:pPr>
        <w:spacing w:before="120" w:line="276" w:lineRule="auto"/>
        <w:ind w:firstLine="709"/>
        <w:jc w:val="both"/>
        <w:rPr>
          <w:rFonts w:ascii="Arial" w:eastAsia="Calibri" w:hAnsi="Arial" w:cs="Arial"/>
          <w:color w:val="000000" w:themeColor="text1"/>
          <w:sz w:val="22"/>
          <w:szCs w:val="22"/>
          <w:lang w:val="es-ES_tradnl"/>
        </w:rPr>
      </w:pPr>
      <w:r w:rsidRPr="004F2364">
        <w:rPr>
          <w:rFonts w:ascii="Arial" w:eastAsia="Calibri" w:hAnsi="Arial" w:cs="Arial"/>
          <w:color w:val="000000" w:themeColor="text1"/>
          <w:sz w:val="22"/>
          <w:szCs w:val="22"/>
          <w:lang w:val="es-ES_tradnl"/>
        </w:rPr>
        <w:t xml:space="preserve">Las diferencias evidenciadas son suficientes para mostrar que, </w:t>
      </w:r>
      <w:bookmarkStart w:id="5" w:name="_Hlk66196033"/>
      <w:r w:rsidRPr="004F2364">
        <w:rPr>
          <w:rFonts w:ascii="Arial" w:eastAsia="Calibri" w:hAnsi="Arial" w:cs="Arial"/>
          <w:color w:val="000000" w:themeColor="text1"/>
          <w:sz w:val="22"/>
          <w:szCs w:val="22"/>
          <w:lang w:val="es-ES_tradnl"/>
        </w:rPr>
        <w:t>además de la pérdida de fuerza ejecutoria del artículo 2.2.1.2.4.2.2. del Decreto 1082 de 2015, por la desaparición de su fundamento de derecho, se advierte una manifiesta oposición entre dicho enunciado normativo y el nuevo contenido del artículo 12 de la Ley 1150 de 2007, modificado por el artículo 34 de la Ley 2069 de 2020. Ante esta contradicción, se debe aplicar la consecuencia jurídica prevista en el artículo 84 de la Ley 2069 de 2020, según la cual</w:t>
      </w:r>
      <w:r w:rsidR="00754B06">
        <w:rPr>
          <w:rFonts w:ascii="Arial" w:eastAsia="Calibri" w:hAnsi="Arial" w:cs="Arial"/>
          <w:color w:val="000000" w:themeColor="text1"/>
          <w:sz w:val="22"/>
          <w:szCs w:val="22"/>
          <w:lang w:val="es-ES_tradnl"/>
        </w:rPr>
        <w:t xml:space="preserve"> </w:t>
      </w:r>
      <w:r w:rsidRPr="004F2364">
        <w:rPr>
          <w:rFonts w:ascii="Arial" w:eastAsia="Calibri" w:hAnsi="Arial" w:cs="Arial"/>
          <w:color w:val="000000" w:themeColor="text1"/>
          <w:sz w:val="22"/>
          <w:szCs w:val="22"/>
          <w:lang w:val="es-ES_tradnl"/>
        </w:rPr>
        <w:t>«deroga […] todas las disposiciones que le sean contrarias». Entonces, puede afirmarse que, además del decaimiento del artículo 2.2.1.2.4.2.2. del Decreto 1082 de 2015, debe entenderse derogado.</w:t>
      </w:r>
    </w:p>
    <w:p w14:paraId="18A6650B" w14:textId="4BD729B3" w:rsidR="00145C1A" w:rsidRPr="0061221C" w:rsidRDefault="00145C1A" w:rsidP="00145C1A">
      <w:pPr>
        <w:spacing w:before="120" w:line="276" w:lineRule="auto"/>
        <w:ind w:firstLine="709"/>
        <w:jc w:val="both"/>
        <w:rPr>
          <w:rFonts w:ascii="Arial" w:eastAsia="Calibri" w:hAnsi="Arial" w:cs="Arial"/>
          <w:color w:val="000000" w:themeColor="text1"/>
          <w:sz w:val="22"/>
          <w:szCs w:val="22"/>
          <w:lang w:val="es-ES_tradnl"/>
        </w:rPr>
      </w:pPr>
      <w:r w:rsidRPr="004F2364">
        <w:rPr>
          <w:rFonts w:ascii="Arial" w:eastAsia="Calibri" w:hAnsi="Arial" w:cs="Arial"/>
          <w:color w:val="000000" w:themeColor="text1"/>
          <w:sz w:val="22"/>
          <w:szCs w:val="22"/>
          <w:lang w:val="es-ES_tradnl"/>
        </w:rPr>
        <w:t xml:space="preserve">Por último, no es válido aducir que los apartados normativos del artículo 2.2.1.2.4.2.2. del Decreto 1082 de 2015 que, en su texto, no sean contrarios a la nueva regulación contenida en el artículo 34 de la Ley 2069 de 2020 pueden seguirse aplicando. Tal aseveración no es admisible, porque el artículo 34, reiteradamente, señala que el gobierno nacional debe definir las condiciones para la aplicación de las reglas recientemente expedidas, que permitan llevar a cabo las convocatorias limitadas a mipymes, lo cual demuestra la voluntad legislativa de establecer la necesidad de una nueva reglamentación de dicha materia. En tal sentido, el gobierno nacional podría, mediante el decreto reglamentario que expida, definir nuevas condiciones y montos para las convocatorias limitadas a mipymes. </w:t>
      </w:r>
      <w:bookmarkStart w:id="6" w:name="_Hlk66196213"/>
      <w:r w:rsidRPr="004F2364">
        <w:rPr>
          <w:rFonts w:ascii="Arial" w:eastAsia="Calibri" w:hAnsi="Arial" w:cs="Arial"/>
          <w:color w:val="000000" w:themeColor="text1"/>
          <w:sz w:val="22"/>
          <w:szCs w:val="22"/>
          <w:lang w:val="es-ES_tradnl"/>
        </w:rPr>
        <w:t>Por ende, mientras ello no suceda, las entidades estatales</w:t>
      </w:r>
      <w:r w:rsidR="008C77EF">
        <w:rPr>
          <w:rFonts w:ascii="Arial" w:eastAsia="Calibri" w:hAnsi="Arial" w:cs="Arial"/>
          <w:color w:val="000000" w:themeColor="text1"/>
          <w:sz w:val="22"/>
          <w:szCs w:val="22"/>
          <w:lang w:val="es-ES_tradnl"/>
        </w:rPr>
        <w:t xml:space="preserve"> indistintamente de su régimen de contratación</w:t>
      </w:r>
      <w:r w:rsidRPr="004F2364">
        <w:rPr>
          <w:rFonts w:ascii="Arial" w:eastAsia="Calibri" w:hAnsi="Arial" w:cs="Arial"/>
          <w:color w:val="000000" w:themeColor="text1"/>
          <w:sz w:val="22"/>
          <w:szCs w:val="22"/>
          <w:lang w:val="es-ES_tradnl"/>
        </w:rPr>
        <w:t>, los patrimonios autónomos constituidos por estas y los particulares que ejecuten recursos públicos, no pueden adoptar convocatorias limitadas a mipymes, pues al tenor del artículo 34 de la Ley 2069 de 2020, la eficacia de esta norma quedó condicionada a la expedición del decreto reglamentario que fije las condiciones de su operatividad.</w:t>
      </w:r>
      <w:r>
        <w:rPr>
          <w:rFonts w:ascii="Arial" w:eastAsia="Calibri" w:hAnsi="Arial" w:cs="Arial"/>
          <w:color w:val="000000" w:themeColor="text1"/>
          <w:sz w:val="22"/>
          <w:szCs w:val="22"/>
          <w:lang w:val="es-ES_tradnl"/>
        </w:rPr>
        <w:t xml:space="preserve">    </w:t>
      </w:r>
    </w:p>
    <w:bookmarkEnd w:id="5"/>
    <w:bookmarkEnd w:id="6"/>
    <w:p w14:paraId="32224228" w14:textId="77777777" w:rsidR="00454589" w:rsidRPr="00C440B6" w:rsidRDefault="00454589" w:rsidP="00AC7471">
      <w:pPr>
        <w:tabs>
          <w:tab w:val="left" w:pos="0"/>
        </w:tabs>
        <w:spacing w:line="276" w:lineRule="auto"/>
        <w:jc w:val="both"/>
        <w:rPr>
          <w:rFonts w:ascii="Arial" w:eastAsia="Calibri" w:hAnsi="Arial" w:cs="Arial"/>
          <w:b/>
          <w:color w:val="000000" w:themeColor="text1"/>
          <w:sz w:val="22"/>
          <w:lang w:val="es-ES_tradnl"/>
        </w:rPr>
      </w:pPr>
    </w:p>
    <w:p w14:paraId="37CA9805" w14:textId="74A99BE5" w:rsidR="00DD5B04" w:rsidRPr="00C440B6" w:rsidRDefault="004177A6" w:rsidP="00510DE9">
      <w:pPr>
        <w:tabs>
          <w:tab w:val="left" w:pos="0"/>
        </w:tabs>
        <w:jc w:val="both"/>
        <w:rPr>
          <w:rFonts w:ascii="Arial" w:eastAsia="Calibri" w:hAnsi="Arial" w:cs="Arial"/>
          <w:b/>
          <w:color w:val="000000" w:themeColor="text1"/>
          <w:sz w:val="22"/>
          <w:lang w:val="es-ES_tradnl"/>
        </w:rPr>
      </w:pPr>
      <w:r w:rsidRPr="00C440B6">
        <w:rPr>
          <w:rFonts w:ascii="Arial" w:eastAsia="Calibri" w:hAnsi="Arial" w:cs="Arial"/>
          <w:b/>
          <w:color w:val="000000" w:themeColor="text1"/>
          <w:sz w:val="22"/>
          <w:lang w:val="es-ES_tradnl"/>
        </w:rPr>
        <w:t>3</w:t>
      </w:r>
      <w:r w:rsidR="00B011A9" w:rsidRPr="00C440B6">
        <w:rPr>
          <w:rFonts w:ascii="Arial" w:eastAsia="Calibri" w:hAnsi="Arial" w:cs="Arial"/>
          <w:b/>
          <w:color w:val="000000" w:themeColor="text1"/>
          <w:sz w:val="22"/>
          <w:lang w:val="es-ES_tradnl"/>
        </w:rPr>
        <w:t xml:space="preserve">. </w:t>
      </w:r>
      <w:r w:rsidR="00DD5B04" w:rsidRPr="00C440B6">
        <w:rPr>
          <w:rFonts w:ascii="Arial" w:eastAsia="Calibri" w:hAnsi="Arial" w:cs="Arial"/>
          <w:b/>
          <w:color w:val="000000" w:themeColor="text1"/>
          <w:sz w:val="22"/>
          <w:lang w:val="es-ES_tradnl"/>
        </w:rPr>
        <w:t>Respuesta</w:t>
      </w:r>
      <w:r w:rsidR="002A7D84" w:rsidRPr="00C440B6">
        <w:rPr>
          <w:rFonts w:ascii="Arial" w:eastAsia="Calibri" w:hAnsi="Arial" w:cs="Arial"/>
          <w:b/>
          <w:color w:val="000000" w:themeColor="text1"/>
          <w:sz w:val="22"/>
          <w:lang w:val="es-ES_tradnl"/>
        </w:rPr>
        <w:t>s</w:t>
      </w:r>
    </w:p>
    <w:p w14:paraId="0B74D5B8" w14:textId="7F0A7F13" w:rsidR="00C4581D" w:rsidRPr="00C440B6" w:rsidRDefault="00C4581D" w:rsidP="00AC7471">
      <w:pPr>
        <w:tabs>
          <w:tab w:val="left" w:pos="0"/>
        </w:tabs>
        <w:spacing w:line="276" w:lineRule="auto"/>
        <w:jc w:val="both"/>
        <w:rPr>
          <w:rFonts w:ascii="Arial" w:eastAsia="Calibri" w:hAnsi="Arial" w:cs="Arial"/>
          <w:color w:val="000000" w:themeColor="text1"/>
          <w:sz w:val="22"/>
          <w:lang w:val="es-ES_tradnl"/>
        </w:rPr>
      </w:pPr>
    </w:p>
    <w:p w14:paraId="7B84BB04" w14:textId="097B8F89" w:rsidR="00FD30C2" w:rsidRDefault="00145C1A" w:rsidP="00AC7471">
      <w:pPr>
        <w:spacing w:after="120"/>
        <w:ind w:left="709" w:right="709"/>
        <w:jc w:val="both"/>
        <w:rPr>
          <w:rFonts w:ascii="Arial" w:hAnsi="Arial" w:cs="Arial"/>
          <w:color w:val="000000" w:themeColor="text1"/>
          <w:sz w:val="21"/>
          <w:szCs w:val="21"/>
          <w:lang w:val="es-ES_tradnl"/>
        </w:rPr>
      </w:pPr>
      <w:r w:rsidRPr="00145C1A">
        <w:rPr>
          <w:rFonts w:ascii="Arial" w:hAnsi="Arial" w:cs="Arial"/>
          <w:color w:val="000000" w:themeColor="text1"/>
          <w:sz w:val="21"/>
          <w:szCs w:val="21"/>
          <w:lang w:val="es-ES_tradnl"/>
        </w:rPr>
        <w:t>i) «[¿]Para limitar una convocatoria pública a la participación de Mipymes, debe o no aplicarse lo dispuesto en el numeral 2 del artículo 2.2.1.2.4.2.2. “Convocatorias limitadas a Mipyme” del Decreto 1082 de 2015 en relación con el número de solicitudes requeridas para limitar un proceso a Mipyme?»</w:t>
      </w:r>
      <w:r w:rsidR="00FD30C2">
        <w:rPr>
          <w:rFonts w:ascii="Arial" w:hAnsi="Arial" w:cs="Arial"/>
          <w:color w:val="000000" w:themeColor="text1"/>
          <w:sz w:val="21"/>
          <w:szCs w:val="21"/>
          <w:lang w:val="es-ES_tradnl"/>
        </w:rPr>
        <w:t>.</w:t>
      </w:r>
    </w:p>
    <w:p w14:paraId="5157CE7B" w14:textId="643E3AE8" w:rsidR="00145C1A" w:rsidRPr="00145C1A" w:rsidRDefault="00145C1A" w:rsidP="00145C1A">
      <w:pPr>
        <w:ind w:left="709" w:right="709"/>
        <w:jc w:val="both"/>
        <w:rPr>
          <w:rFonts w:ascii="Arial" w:hAnsi="Arial" w:cs="Arial"/>
          <w:color w:val="000000" w:themeColor="text1"/>
          <w:sz w:val="21"/>
          <w:szCs w:val="21"/>
          <w:lang w:val="es-ES_tradnl"/>
        </w:rPr>
      </w:pPr>
      <w:r w:rsidRPr="00145C1A">
        <w:rPr>
          <w:rFonts w:ascii="Arial" w:hAnsi="Arial" w:cs="Arial"/>
          <w:color w:val="000000" w:themeColor="text1"/>
          <w:sz w:val="21"/>
          <w:szCs w:val="21"/>
          <w:lang w:val="es-ES_tradnl"/>
        </w:rPr>
        <w:lastRenderedPageBreak/>
        <w:t>ii) «[¿] actualmente cual (sic) reglamento normativo debe aplicarse? o [¿] se encuentra (sic) suspendidas las convocatorias limitdas (sic) a Mipymes hasta que el legislativo las reglamente de conformidad con la LEY 2069 DE 2020?»</w:t>
      </w:r>
    </w:p>
    <w:p w14:paraId="35D2EB08" w14:textId="30991EF9" w:rsidR="00F740A0" w:rsidRPr="00C440B6" w:rsidRDefault="00F740A0" w:rsidP="00AC7471">
      <w:pPr>
        <w:spacing w:line="276" w:lineRule="auto"/>
        <w:ind w:left="709" w:right="709"/>
        <w:jc w:val="both"/>
        <w:rPr>
          <w:rFonts w:ascii="Arial" w:eastAsia="Calibri" w:hAnsi="Arial" w:cs="Arial"/>
          <w:color w:val="000000" w:themeColor="text1"/>
          <w:sz w:val="22"/>
          <w:szCs w:val="22"/>
          <w:lang w:val="es-ES_tradnl"/>
        </w:rPr>
      </w:pPr>
    </w:p>
    <w:p w14:paraId="1DAF43CB" w14:textId="52FAF949" w:rsidR="00145C1A" w:rsidRPr="00043652" w:rsidRDefault="00145C1A" w:rsidP="00AC7471">
      <w:pPr>
        <w:spacing w:line="276" w:lineRule="auto"/>
        <w:jc w:val="both"/>
        <w:rPr>
          <w:rFonts w:ascii="Arial" w:eastAsia="Calibri" w:hAnsi="Arial" w:cs="Arial"/>
          <w:color w:val="000000" w:themeColor="text1"/>
          <w:sz w:val="22"/>
          <w:szCs w:val="22"/>
          <w:lang w:val="es-ES_tradnl"/>
        </w:rPr>
      </w:pPr>
      <w:r w:rsidRPr="00043652">
        <w:rPr>
          <w:rFonts w:ascii="Arial" w:eastAsia="Calibri" w:hAnsi="Arial" w:cs="Arial"/>
          <w:color w:val="000000" w:themeColor="text1"/>
          <w:sz w:val="22"/>
          <w:szCs w:val="22"/>
          <w:lang w:val="es-ES_tradnl"/>
        </w:rPr>
        <w:t>De las consideraciones efectuadas con anterioridad por la Agencia, se puede concluir que, además de la pérdida de fuerza ejecutoria del artículo 2.2.1.2.4.2.2. del Decreto 1082 de 2015, por la desaparición de su fundamento de derecho, se advierte una manifiesta oposición entre dicho enunciado normativo y el nuevo contenido del artículo 12 de la Ley 1150 de 2007, modificado por el artículo 34 de la Ley 2069 de 2020. Ante esta contradicción, se debe aplicar la consecuencia jurídica prevista en el artículo 84 de la Ley 2069 de 2020, según la cual «deroga […] todas las disposiciones que le sean contrarias». Entonces, puede afirmarse que, además del decaimiento del artículo 2.2.1.2.4.2.2. del Decreto 1082 de 2015, debe entenderse derogado.</w:t>
      </w:r>
    </w:p>
    <w:p w14:paraId="67C87F83" w14:textId="56484BC6" w:rsidR="00145C1A" w:rsidRPr="00774337" w:rsidRDefault="00145C1A" w:rsidP="00145C1A">
      <w:pPr>
        <w:spacing w:before="120" w:line="276" w:lineRule="auto"/>
        <w:ind w:firstLine="709"/>
        <w:jc w:val="both"/>
        <w:rPr>
          <w:rFonts w:ascii="Arial" w:eastAsia="Calibri" w:hAnsi="Arial" w:cs="Arial"/>
          <w:color w:val="000000" w:themeColor="text1"/>
          <w:sz w:val="22"/>
          <w:szCs w:val="22"/>
          <w:lang w:val="es-ES_tradnl"/>
        </w:rPr>
      </w:pPr>
      <w:r w:rsidRPr="00043652">
        <w:rPr>
          <w:rFonts w:ascii="Arial" w:eastAsia="Calibri" w:hAnsi="Arial" w:cs="Arial"/>
          <w:color w:val="000000" w:themeColor="text1"/>
          <w:sz w:val="22"/>
          <w:szCs w:val="22"/>
          <w:lang w:val="es-ES_tradnl"/>
        </w:rPr>
        <w:t>Además, no es válido aducir que los apartados normativos del artículo 2.2.1.2.4.2.2. del Decreto 1082 de 2015 que, en su texto, no sean contrarios a la nueva regulación contenida en el artículo 34 de la Ley 2069 de 2020 pueden seguirse aplicando. Tal aseveración no es admisible, porque el artículo 34, reiteradamente, señala que el gobierno nacional debe definir las condiciones para la aplicación de las reglas recientemente expedidas, que permitan llevar a cabo las convocatorias limitadas a mipymes, lo cual demuestra la voluntad legislativa de establecer la necesidad de una nueva reglamentación de dicha materia. En tal sentido, el gobierno nacional podría, mediante el decreto reglamentario que expida, definir nuevas condiciones y montos para las convocatorias limitadas a mipymes. Por ende, mientras ello no suceda, las entidades estatales</w:t>
      </w:r>
      <w:r w:rsidR="008C77EF">
        <w:rPr>
          <w:rFonts w:ascii="Arial" w:eastAsia="Calibri" w:hAnsi="Arial" w:cs="Arial"/>
          <w:color w:val="000000" w:themeColor="text1"/>
          <w:sz w:val="22"/>
          <w:szCs w:val="22"/>
          <w:lang w:val="es-ES_tradnl"/>
        </w:rPr>
        <w:t xml:space="preserve"> indistintamente de su régimen de contratación</w:t>
      </w:r>
      <w:r w:rsidRPr="00043652">
        <w:rPr>
          <w:rFonts w:ascii="Arial" w:eastAsia="Calibri" w:hAnsi="Arial" w:cs="Arial"/>
          <w:color w:val="000000" w:themeColor="text1"/>
          <w:sz w:val="22"/>
          <w:szCs w:val="22"/>
          <w:lang w:val="es-ES_tradnl"/>
        </w:rPr>
        <w:t>, los patrimonios autónomos constituidos por estas y los particulares que ejecuten recursos públicos, no pueden adoptar convocatorias limitadas a mipymes, pues al tenor del artículo 34 de la Ley 2069 de 2020, la eficacia de esta norma quedó condicionada a la expedición del decreto reglamentario que fije las condiciones de su operatividad.</w:t>
      </w:r>
      <w:r>
        <w:rPr>
          <w:rFonts w:ascii="Arial" w:eastAsia="Calibri" w:hAnsi="Arial" w:cs="Arial"/>
          <w:color w:val="000000" w:themeColor="text1"/>
          <w:sz w:val="22"/>
          <w:szCs w:val="22"/>
          <w:lang w:val="es-ES_tradnl"/>
        </w:rPr>
        <w:t xml:space="preserve">    </w:t>
      </w:r>
    </w:p>
    <w:p w14:paraId="5A584EDD" w14:textId="77777777" w:rsidR="004B07E6" w:rsidRPr="00C440B6" w:rsidRDefault="004B07E6" w:rsidP="00AC7471">
      <w:pPr>
        <w:spacing w:after="120" w:line="276" w:lineRule="auto"/>
        <w:jc w:val="both"/>
        <w:rPr>
          <w:rFonts w:ascii="Arial" w:hAnsi="Arial" w:cs="Arial"/>
          <w:color w:val="000000" w:themeColor="text1"/>
          <w:sz w:val="22"/>
          <w:szCs w:val="22"/>
          <w:lang w:val="es-ES_tradnl"/>
        </w:rPr>
      </w:pPr>
    </w:p>
    <w:p w14:paraId="7B2C921D" w14:textId="6360A462" w:rsidR="00DD5B04" w:rsidRPr="00C440B6" w:rsidRDefault="00DD5B04" w:rsidP="00DF76A2">
      <w:pPr>
        <w:spacing w:line="276" w:lineRule="auto"/>
        <w:jc w:val="both"/>
        <w:rPr>
          <w:rFonts w:ascii="Arial" w:hAnsi="Arial" w:cs="Arial"/>
          <w:color w:val="000000" w:themeColor="text1"/>
          <w:sz w:val="22"/>
          <w:lang w:val="es-ES_tradnl"/>
        </w:rPr>
      </w:pPr>
      <w:r w:rsidRPr="00C440B6">
        <w:rPr>
          <w:rFonts w:ascii="Arial" w:hAnsi="Arial" w:cs="Arial"/>
          <w:color w:val="000000" w:themeColor="text1"/>
          <w:sz w:val="22"/>
          <w:lang w:val="es-ES_tradnl"/>
        </w:rPr>
        <w:t>Este concepto tiene el alcance previsto en el artículo 28 del Código de Procedimiento Administrativo y de lo Contencioso Administrativo.</w:t>
      </w:r>
    </w:p>
    <w:p w14:paraId="77EE5912" w14:textId="77777777" w:rsidR="00DD5B04" w:rsidRPr="00C440B6"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0DDBEF2B" w14:textId="7B8CF213" w:rsidR="00DD5B04" w:rsidRPr="00C440B6"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r w:rsidRPr="00C440B6">
        <w:rPr>
          <w:rFonts w:ascii="Arial" w:hAnsi="Arial" w:cs="Arial"/>
          <w:color w:val="000000" w:themeColor="text1"/>
          <w:sz w:val="22"/>
          <w:szCs w:val="22"/>
          <w:lang w:val="es-ES_tradnl"/>
        </w:rPr>
        <w:t>Atentamente,</w:t>
      </w:r>
    </w:p>
    <w:p w14:paraId="692FC307" w14:textId="210AA6B5" w:rsidR="00921304" w:rsidRPr="00C440B6" w:rsidRDefault="009213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01A6CD47" w14:textId="29B87E1F" w:rsidR="006955A1" w:rsidRPr="006955A1" w:rsidRDefault="006955A1" w:rsidP="006955A1">
      <w:pPr>
        <w:jc w:val="center"/>
        <w:rPr>
          <w:lang w:eastAsia="es-MX"/>
        </w:rPr>
      </w:pPr>
      <w:r w:rsidRPr="006955A1">
        <w:rPr>
          <w:noProof/>
          <w:lang w:eastAsia="es-CO"/>
        </w:rPr>
        <w:lastRenderedPageBreak/>
        <w:drawing>
          <wp:inline distT="0" distB="0" distL="0" distR="0" wp14:anchorId="493B43DA" wp14:editId="298335ED">
            <wp:extent cx="3352800" cy="1490345"/>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352800" cy="1490345"/>
                    </a:xfrm>
                    <a:prstGeom prst="rect">
                      <a:avLst/>
                    </a:prstGeom>
                    <a:noFill/>
                    <a:ln>
                      <a:noFill/>
                    </a:ln>
                  </pic:spPr>
                </pic:pic>
              </a:graphicData>
            </a:graphic>
          </wp:inline>
        </w:drawing>
      </w:r>
    </w:p>
    <w:p w14:paraId="30AA3DC7" w14:textId="25CB2782" w:rsidR="00921304" w:rsidRPr="00C440B6" w:rsidRDefault="00921304" w:rsidP="00F90C4D">
      <w:pPr>
        <w:pStyle w:val="NormalWeb"/>
        <w:spacing w:before="0" w:beforeAutospacing="0" w:after="0" w:afterAutospacing="0" w:line="276" w:lineRule="auto"/>
        <w:jc w:val="center"/>
        <w:rPr>
          <w:rFonts w:ascii="Arial" w:hAnsi="Arial" w:cs="Arial"/>
          <w:color w:val="000000" w:themeColor="text1"/>
          <w:sz w:val="22"/>
          <w:szCs w:val="22"/>
          <w:lang w:val="es-ES_tradnl"/>
        </w:rPr>
      </w:pPr>
    </w:p>
    <w:p w14:paraId="5CBAE239" w14:textId="77777777" w:rsidR="00425C43" w:rsidRPr="00C440B6" w:rsidRDefault="00425C43" w:rsidP="00B37657">
      <w:pPr>
        <w:jc w:val="center"/>
        <w:rPr>
          <w:rFonts w:ascii="Arial" w:hAnsi="Arial" w:cs="Arial"/>
          <w:color w:val="000000" w:themeColor="text1"/>
          <w:sz w:val="18"/>
          <w:szCs w:val="20"/>
          <w:lang w:val="es-ES_tradnl" w:eastAsia="es-CO"/>
        </w:rPr>
      </w:pPr>
    </w:p>
    <w:p w14:paraId="49730030" w14:textId="217D35F3" w:rsidR="00DD5B04" w:rsidRPr="00C440B6" w:rsidRDefault="00DD5B04" w:rsidP="00B37657">
      <w:pPr>
        <w:jc w:val="center"/>
        <w:rPr>
          <w:rFonts w:ascii="Arial" w:hAnsi="Arial" w:cs="Arial"/>
          <w:color w:val="000000" w:themeColor="text1"/>
          <w:sz w:val="18"/>
          <w:szCs w:val="20"/>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DD5B04" w:rsidRPr="00C440B6" w14:paraId="0C7DC5F7" w14:textId="77777777" w:rsidTr="008F4163">
        <w:trPr>
          <w:trHeight w:val="315"/>
        </w:trPr>
        <w:tc>
          <w:tcPr>
            <w:tcW w:w="812" w:type="dxa"/>
            <w:vAlign w:val="center"/>
            <w:hideMark/>
          </w:tcPr>
          <w:p w14:paraId="5BDB1AC9" w14:textId="77777777" w:rsidR="00DD5B04" w:rsidRPr="00C440B6" w:rsidRDefault="00DD5B04" w:rsidP="00DF76A2">
            <w:pPr>
              <w:jc w:val="both"/>
              <w:rPr>
                <w:rFonts w:ascii="Arial" w:hAnsi="Arial" w:cs="Arial"/>
                <w:color w:val="000000" w:themeColor="text1"/>
                <w:sz w:val="16"/>
                <w:szCs w:val="16"/>
                <w:lang w:val="es-ES_tradnl" w:eastAsia="es-ES"/>
              </w:rPr>
            </w:pPr>
            <w:r w:rsidRPr="00C440B6">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7664EE7D" w14:textId="7ED59253" w:rsidR="00B253CE" w:rsidRPr="00C440B6" w:rsidRDefault="001A422D" w:rsidP="00B253CE">
            <w:pPr>
              <w:jc w:val="both"/>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eastAsia="es-ES"/>
              </w:rPr>
              <w:t>David Torres Rojas</w:t>
            </w:r>
          </w:p>
          <w:p w14:paraId="240C71FD" w14:textId="490C7B4C" w:rsidR="00DD5B04" w:rsidRPr="00C440B6" w:rsidRDefault="001A422D" w:rsidP="00DF76A2">
            <w:pPr>
              <w:jc w:val="both"/>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eastAsia="es-ES"/>
              </w:rPr>
              <w:t>Contratista</w:t>
            </w:r>
            <w:r w:rsidR="00B253CE">
              <w:rPr>
                <w:rFonts w:ascii="Arial" w:hAnsi="Arial" w:cs="Arial"/>
                <w:color w:val="000000" w:themeColor="text1"/>
                <w:sz w:val="16"/>
                <w:szCs w:val="16"/>
                <w:lang w:val="es-ES_tradnl" w:eastAsia="es-ES"/>
              </w:rPr>
              <w:t xml:space="preserve"> de la </w:t>
            </w:r>
            <w:r w:rsidR="00B253CE" w:rsidRPr="005F5694">
              <w:rPr>
                <w:rFonts w:ascii="Arial" w:hAnsi="Arial" w:cs="Arial"/>
                <w:color w:val="000000" w:themeColor="text1"/>
                <w:sz w:val="16"/>
                <w:szCs w:val="16"/>
                <w:lang w:val="es-ES_tradnl" w:eastAsia="es-ES"/>
              </w:rPr>
              <w:t>Subdirección de Gestión Contractual</w:t>
            </w:r>
          </w:p>
        </w:tc>
      </w:tr>
      <w:tr w:rsidR="00C42160" w:rsidRPr="00C440B6" w14:paraId="2F8FD650" w14:textId="77777777" w:rsidTr="008F4163">
        <w:trPr>
          <w:trHeight w:val="330"/>
        </w:trPr>
        <w:tc>
          <w:tcPr>
            <w:tcW w:w="812" w:type="dxa"/>
            <w:vAlign w:val="center"/>
            <w:hideMark/>
          </w:tcPr>
          <w:p w14:paraId="50203A0B" w14:textId="77777777" w:rsidR="00C42160" w:rsidRPr="00C440B6" w:rsidRDefault="00C42160" w:rsidP="00C42160">
            <w:pPr>
              <w:jc w:val="both"/>
              <w:rPr>
                <w:rFonts w:ascii="Arial" w:hAnsi="Arial" w:cs="Arial"/>
                <w:color w:val="000000" w:themeColor="text1"/>
                <w:sz w:val="16"/>
                <w:szCs w:val="16"/>
                <w:lang w:val="es-ES_tradnl" w:eastAsia="es-ES"/>
              </w:rPr>
            </w:pPr>
            <w:r w:rsidRPr="00C440B6">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0D0C689" w14:textId="77777777" w:rsidR="00C42160" w:rsidRDefault="00145C1A" w:rsidP="00C42160">
            <w:pPr>
              <w:jc w:val="both"/>
              <w:rPr>
                <w:rFonts w:ascii="Arial" w:eastAsia="Arial" w:hAnsi="Arial" w:cs="Arial"/>
                <w:sz w:val="16"/>
                <w:szCs w:val="16"/>
                <w:lang w:val="es-ES"/>
              </w:rPr>
            </w:pPr>
            <w:r>
              <w:rPr>
                <w:rFonts w:ascii="Arial" w:eastAsia="Arial" w:hAnsi="Arial" w:cs="Arial"/>
                <w:sz w:val="16"/>
                <w:szCs w:val="16"/>
                <w:lang w:val="es-ES"/>
              </w:rPr>
              <w:t>Juan David Montoya Penagos</w:t>
            </w:r>
          </w:p>
          <w:p w14:paraId="130B3228" w14:textId="3313A0CF" w:rsidR="00145C1A" w:rsidRPr="00C440B6" w:rsidRDefault="00145C1A" w:rsidP="00C42160">
            <w:pPr>
              <w:jc w:val="both"/>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rPr>
              <w:t>Gestor T1-15 de la Subdirección de Gestión Contractual</w:t>
            </w:r>
          </w:p>
        </w:tc>
      </w:tr>
      <w:tr w:rsidR="00C42160" w:rsidRPr="00C440B6" w14:paraId="0FCBCA4A" w14:textId="77777777" w:rsidTr="008F4163">
        <w:trPr>
          <w:trHeight w:val="300"/>
        </w:trPr>
        <w:tc>
          <w:tcPr>
            <w:tcW w:w="812" w:type="dxa"/>
            <w:vAlign w:val="center"/>
            <w:hideMark/>
          </w:tcPr>
          <w:p w14:paraId="3C1D943A" w14:textId="77777777" w:rsidR="00C42160" w:rsidRPr="00C440B6" w:rsidRDefault="00C42160" w:rsidP="00C42160">
            <w:pPr>
              <w:jc w:val="both"/>
              <w:rPr>
                <w:rFonts w:ascii="Arial" w:hAnsi="Arial" w:cs="Arial"/>
                <w:color w:val="000000" w:themeColor="text1"/>
                <w:sz w:val="16"/>
                <w:szCs w:val="16"/>
                <w:lang w:val="es-ES_tradnl" w:eastAsia="es-ES"/>
              </w:rPr>
            </w:pPr>
            <w:r w:rsidRPr="00C440B6">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180A172" w14:textId="7E7E6045" w:rsidR="00C42160" w:rsidRPr="00C440B6" w:rsidRDefault="00C42160" w:rsidP="00C42160">
            <w:pPr>
              <w:jc w:val="both"/>
              <w:rPr>
                <w:rFonts w:ascii="Arial" w:hAnsi="Arial" w:cs="Arial"/>
                <w:color w:val="000000" w:themeColor="text1"/>
                <w:sz w:val="16"/>
                <w:szCs w:val="16"/>
                <w:lang w:val="es-ES_tradnl" w:eastAsia="es-ES"/>
              </w:rPr>
            </w:pPr>
            <w:r w:rsidRPr="00C440B6">
              <w:rPr>
                <w:rFonts w:ascii="Arial" w:hAnsi="Arial" w:cs="Arial"/>
                <w:color w:val="000000" w:themeColor="text1"/>
                <w:sz w:val="16"/>
                <w:szCs w:val="16"/>
                <w:lang w:val="es-ES_tradnl" w:eastAsia="es-ES"/>
              </w:rPr>
              <w:t>Jorge Augusto Tirado Navarro</w:t>
            </w:r>
          </w:p>
          <w:p w14:paraId="1ADC483B" w14:textId="0B6A3583" w:rsidR="00C42160" w:rsidRPr="00C440B6" w:rsidRDefault="00C42160" w:rsidP="00C42160">
            <w:pPr>
              <w:jc w:val="both"/>
              <w:rPr>
                <w:rFonts w:ascii="Arial" w:hAnsi="Arial" w:cs="Arial"/>
                <w:color w:val="000000" w:themeColor="text1"/>
                <w:sz w:val="16"/>
                <w:szCs w:val="16"/>
                <w:lang w:val="es-ES_tradnl" w:eastAsia="es-ES"/>
              </w:rPr>
            </w:pPr>
            <w:r w:rsidRPr="00C440B6">
              <w:rPr>
                <w:rFonts w:ascii="Arial" w:hAnsi="Arial" w:cs="Arial"/>
                <w:color w:val="000000" w:themeColor="text1"/>
                <w:sz w:val="16"/>
                <w:szCs w:val="16"/>
                <w:lang w:val="es-ES_tradnl" w:eastAsia="es-ES"/>
              </w:rPr>
              <w:t>Subdirector de Gestión Contractual</w:t>
            </w:r>
            <w:r>
              <w:rPr>
                <w:rFonts w:ascii="Arial" w:hAnsi="Arial" w:cs="Arial"/>
                <w:color w:val="000000" w:themeColor="text1"/>
                <w:sz w:val="16"/>
                <w:szCs w:val="16"/>
                <w:lang w:val="es-ES_tradnl" w:eastAsia="es-ES"/>
              </w:rPr>
              <w:t xml:space="preserve"> ANCP – CCE</w:t>
            </w:r>
          </w:p>
        </w:tc>
      </w:tr>
    </w:tbl>
    <w:p w14:paraId="35B56F46" w14:textId="77777777" w:rsidR="00746E08" w:rsidRPr="00C440B6" w:rsidRDefault="00746E08" w:rsidP="00215B8E">
      <w:pPr>
        <w:jc w:val="both"/>
        <w:rPr>
          <w:rFonts w:ascii="Arial" w:hAnsi="Arial" w:cs="Arial"/>
          <w:lang w:val="es-ES_tradnl"/>
        </w:rPr>
      </w:pPr>
    </w:p>
    <w:sectPr w:rsidR="00746E08" w:rsidRPr="00C440B6"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496FF8" w14:textId="77777777" w:rsidR="00D30496" w:rsidRDefault="00D30496">
      <w:r>
        <w:separator/>
      </w:r>
    </w:p>
  </w:endnote>
  <w:endnote w:type="continuationSeparator" w:id="0">
    <w:p w14:paraId="540F1677" w14:textId="77777777" w:rsidR="00D30496" w:rsidRDefault="00D30496">
      <w:r>
        <w:continuationSeparator/>
      </w:r>
    </w:p>
  </w:endnote>
  <w:endnote w:type="continuationNotice" w:id="1">
    <w:p w14:paraId="10B8580B" w14:textId="77777777" w:rsidR="00D30496" w:rsidRDefault="00D3049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notTrueType/>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02A34" w14:textId="77777777" w:rsidR="00C42160" w:rsidRDefault="00C42160" w:rsidP="00322937">
    <w:pPr>
      <w:pStyle w:val="Sinespaciado"/>
      <w:jc w:val="right"/>
      <w:rPr>
        <w:rFonts w:ascii="Arial" w:hAnsi="Arial" w:cs="Arial"/>
        <w:sz w:val="18"/>
        <w:szCs w:val="18"/>
      </w:rPr>
    </w:pPr>
  </w:p>
  <w:p w14:paraId="7A3785F3" w14:textId="2EF28465" w:rsidR="00C42160" w:rsidRPr="008217B7" w:rsidRDefault="00C42160"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p>
  <w:p w14:paraId="48FC6A04" w14:textId="5FD1A7C9" w:rsidR="00C42160" w:rsidRDefault="00C42160" w:rsidP="00322937">
    <w:pPr>
      <w:pStyle w:val="Piedepgina"/>
      <w:jc w:val="center"/>
      <w:rPr>
        <w:lang w:val="es-ES"/>
      </w:rPr>
    </w:pPr>
    <w:r>
      <w:rPr>
        <w:noProof/>
        <w:lang w:val="es-ES_tradnl" w:eastAsia="es-ES_tradnl"/>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C42160" w:rsidRDefault="00C42160" w:rsidP="007B0854">
    <w:pPr>
      <w:pStyle w:val="Piedepgina"/>
      <w:jc w:val="center"/>
      <w:rPr>
        <w:lang w:val="es-ES"/>
      </w:rPr>
    </w:pPr>
  </w:p>
  <w:p w14:paraId="6C0EFC49" w14:textId="77777777" w:rsidR="00C42160" w:rsidRPr="007B0854" w:rsidRDefault="00C42160"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BB8D09" w14:textId="77777777" w:rsidR="00D30496" w:rsidRDefault="00D30496">
      <w:r>
        <w:separator/>
      </w:r>
    </w:p>
  </w:footnote>
  <w:footnote w:type="continuationSeparator" w:id="0">
    <w:p w14:paraId="54438114" w14:textId="77777777" w:rsidR="00D30496" w:rsidRDefault="00D30496">
      <w:r>
        <w:continuationSeparator/>
      </w:r>
    </w:p>
  </w:footnote>
  <w:footnote w:type="continuationNotice" w:id="1">
    <w:p w14:paraId="0BB2B40A" w14:textId="77777777" w:rsidR="00D30496" w:rsidRDefault="00D30496"/>
  </w:footnote>
  <w:footnote w:id="2">
    <w:p w14:paraId="0BF8F1D0" w14:textId="77777777" w:rsidR="007321B0" w:rsidRPr="001F29DD" w:rsidRDefault="007321B0" w:rsidP="007321B0">
      <w:pPr>
        <w:pStyle w:val="Textonotapie"/>
        <w:ind w:firstLine="709"/>
        <w:jc w:val="both"/>
        <w:rPr>
          <w:rFonts w:ascii="Arial" w:hAnsi="Arial" w:cs="Arial"/>
          <w:sz w:val="19"/>
          <w:szCs w:val="19"/>
          <w:lang w:val="es-ES"/>
        </w:rPr>
      </w:pPr>
      <w:r w:rsidRPr="001F29DD">
        <w:rPr>
          <w:rStyle w:val="Refdenotaalpie"/>
          <w:rFonts w:ascii="Arial" w:hAnsi="Arial" w:cs="Arial"/>
          <w:sz w:val="19"/>
          <w:szCs w:val="19"/>
        </w:rPr>
        <w:footnoteRef/>
      </w:r>
      <w:r w:rsidRPr="001F29DD">
        <w:rPr>
          <w:rFonts w:ascii="Arial" w:hAnsi="Arial" w:cs="Arial"/>
          <w:sz w:val="19"/>
          <w:szCs w:val="19"/>
        </w:rPr>
        <w:t xml:space="preserve"> </w:t>
      </w:r>
      <w:r w:rsidRPr="001F29DD">
        <w:rPr>
          <w:rFonts w:ascii="Arial" w:hAnsi="Arial" w:cs="Arial"/>
          <w:sz w:val="19"/>
          <w:szCs w:val="19"/>
          <w:lang w:val="es-ES"/>
        </w:rPr>
        <w:t>Artículos 2 al 29.</w:t>
      </w:r>
    </w:p>
    <w:p w14:paraId="68615EC6" w14:textId="77777777" w:rsidR="007321B0" w:rsidRPr="001F29DD" w:rsidRDefault="007321B0" w:rsidP="007321B0">
      <w:pPr>
        <w:pStyle w:val="Textonotapie"/>
        <w:ind w:firstLine="709"/>
        <w:jc w:val="both"/>
        <w:rPr>
          <w:rFonts w:ascii="Arial" w:hAnsi="Arial" w:cs="Arial"/>
          <w:sz w:val="19"/>
          <w:szCs w:val="19"/>
          <w:lang w:val="es-ES"/>
        </w:rPr>
      </w:pPr>
    </w:p>
  </w:footnote>
  <w:footnote w:id="3">
    <w:p w14:paraId="7A7DC431" w14:textId="77777777" w:rsidR="007321B0" w:rsidRPr="001F29DD" w:rsidRDefault="007321B0" w:rsidP="007321B0">
      <w:pPr>
        <w:pStyle w:val="Textonotapie"/>
        <w:ind w:firstLine="709"/>
        <w:jc w:val="both"/>
        <w:rPr>
          <w:rFonts w:ascii="Arial" w:hAnsi="Arial" w:cs="Arial"/>
          <w:sz w:val="19"/>
          <w:szCs w:val="19"/>
          <w:lang w:val="es-ES"/>
        </w:rPr>
      </w:pPr>
      <w:r w:rsidRPr="001F29DD">
        <w:rPr>
          <w:rStyle w:val="Refdenotaalpie"/>
          <w:rFonts w:ascii="Arial" w:hAnsi="Arial" w:cs="Arial"/>
          <w:sz w:val="19"/>
          <w:szCs w:val="19"/>
        </w:rPr>
        <w:footnoteRef/>
      </w:r>
      <w:r w:rsidRPr="001F29DD">
        <w:rPr>
          <w:rFonts w:ascii="Arial" w:hAnsi="Arial" w:cs="Arial"/>
          <w:sz w:val="19"/>
          <w:szCs w:val="19"/>
        </w:rPr>
        <w:t xml:space="preserve"> </w:t>
      </w:r>
      <w:r w:rsidRPr="001F29DD">
        <w:rPr>
          <w:rFonts w:ascii="Arial" w:hAnsi="Arial" w:cs="Arial"/>
          <w:sz w:val="19"/>
          <w:szCs w:val="19"/>
          <w:lang w:val="es-ES"/>
        </w:rPr>
        <w:t>Artículos 30 al 36.</w:t>
      </w:r>
    </w:p>
    <w:p w14:paraId="45DC8C14" w14:textId="77777777" w:rsidR="007321B0" w:rsidRPr="001F29DD" w:rsidRDefault="007321B0" w:rsidP="007321B0">
      <w:pPr>
        <w:pStyle w:val="Textonotapie"/>
        <w:ind w:firstLine="709"/>
        <w:jc w:val="both"/>
        <w:rPr>
          <w:rFonts w:ascii="Arial" w:hAnsi="Arial" w:cs="Arial"/>
          <w:sz w:val="19"/>
          <w:szCs w:val="19"/>
          <w:lang w:val="es-ES"/>
        </w:rPr>
      </w:pPr>
    </w:p>
  </w:footnote>
  <w:footnote w:id="4">
    <w:p w14:paraId="38F6B3E8" w14:textId="77777777" w:rsidR="007321B0" w:rsidRPr="001F29DD" w:rsidRDefault="007321B0" w:rsidP="007321B0">
      <w:pPr>
        <w:pStyle w:val="Textonotapie"/>
        <w:ind w:firstLine="709"/>
        <w:jc w:val="both"/>
        <w:rPr>
          <w:rFonts w:ascii="Arial" w:hAnsi="Arial" w:cs="Arial"/>
          <w:sz w:val="19"/>
          <w:szCs w:val="19"/>
          <w:lang w:val="es-ES"/>
        </w:rPr>
      </w:pPr>
      <w:r w:rsidRPr="001F29DD">
        <w:rPr>
          <w:rStyle w:val="Refdenotaalpie"/>
          <w:rFonts w:ascii="Arial" w:hAnsi="Arial" w:cs="Arial"/>
          <w:sz w:val="19"/>
          <w:szCs w:val="19"/>
        </w:rPr>
        <w:footnoteRef/>
      </w:r>
      <w:r w:rsidRPr="001F29DD">
        <w:rPr>
          <w:rFonts w:ascii="Arial" w:hAnsi="Arial" w:cs="Arial"/>
          <w:sz w:val="19"/>
          <w:szCs w:val="19"/>
        </w:rPr>
        <w:t xml:space="preserve"> </w:t>
      </w:r>
      <w:r w:rsidRPr="001F29DD">
        <w:rPr>
          <w:rFonts w:ascii="Arial" w:hAnsi="Arial" w:cs="Arial"/>
          <w:sz w:val="19"/>
          <w:szCs w:val="19"/>
          <w:lang w:val="es-ES"/>
        </w:rPr>
        <w:t>Artículos 37 al 45.</w:t>
      </w:r>
    </w:p>
    <w:p w14:paraId="6B60A08C" w14:textId="77777777" w:rsidR="007321B0" w:rsidRPr="001F29DD" w:rsidRDefault="007321B0" w:rsidP="007321B0">
      <w:pPr>
        <w:pStyle w:val="Textonotapie"/>
        <w:ind w:firstLine="709"/>
        <w:jc w:val="both"/>
        <w:rPr>
          <w:rFonts w:ascii="Arial" w:hAnsi="Arial" w:cs="Arial"/>
          <w:sz w:val="19"/>
          <w:szCs w:val="19"/>
          <w:lang w:val="es-ES"/>
        </w:rPr>
      </w:pPr>
    </w:p>
  </w:footnote>
  <w:footnote w:id="5">
    <w:p w14:paraId="74FC0FD2" w14:textId="77777777" w:rsidR="007321B0" w:rsidRPr="001F29DD" w:rsidRDefault="007321B0" w:rsidP="007321B0">
      <w:pPr>
        <w:pStyle w:val="Textonotapie"/>
        <w:ind w:firstLine="709"/>
        <w:jc w:val="both"/>
        <w:rPr>
          <w:rFonts w:ascii="Arial" w:hAnsi="Arial" w:cs="Arial"/>
          <w:sz w:val="19"/>
          <w:szCs w:val="19"/>
          <w:lang w:val="es-ES"/>
        </w:rPr>
      </w:pPr>
      <w:r w:rsidRPr="001F29DD">
        <w:rPr>
          <w:rStyle w:val="Refdenotaalpie"/>
          <w:rFonts w:ascii="Arial" w:hAnsi="Arial" w:cs="Arial"/>
          <w:sz w:val="19"/>
          <w:szCs w:val="19"/>
        </w:rPr>
        <w:footnoteRef/>
      </w:r>
      <w:r w:rsidRPr="001F29DD">
        <w:rPr>
          <w:rFonts w:ascii="Arial" w:hAnsi="Arial" w:cs="Arial"/>
          <w:sz w:val="19"/>
          <w:szCs w:val="19"/>
        </w:rPr>
        <w:t xml:space="preserve"> </w:t>
      </w:r>
      <w:r w:rsidRPr="001F29DD">
        <w:rPr>
          <w:rFonts w:ascii="Arial" w:hAnsi="Arial" w:cs="Arial"/>
          <w:sz w:val="19"/>
          <w:szCs w:val="19"/>
          <w:lang w:val="es-ES"/>
        </w:rPr>
        <w:t>Artículos 46 al 73.</w:t>
      </w:r>
    </w:p>
    <w:p w14:paraId="04F7D9F6" w14:textId="77777777" w:rsidR="007321B0" w:rsidRPr="001F29DD" w:rsidRDefault="007321B0" w:rsidP="007321B0">
      <w:pPr>
        <w:pStyle w:val="Textonotapie"/>
        <w:ind w:firstLine="709"/>
        <w:jc w:val="both"/>
        <w:rPr>
          <w:rFonts w:ascii="Arial" w:hAnsi="Arial" w:cs="Arial"/>
          <w:sz w:val="19"/>
          <w:szCs w:val="19"/>
          <w:lang w:val="es-ES"/>
        </w:rPr>
      </w:pPr>
    </w:p>
  </w:footnote>
  <w:footnote w:id="6">
    <w:p w14:paraId="337170C9" w14:textId="77777777" w:rsidR="007321B0" w:rsidRPr="001F29DD" w:rsidRDefault="007321B0" w:rsidP="007321B0">
      <w:pPr>
        <w:pStyle w:val="Textonotapie"/>
        <w:ind w:firstLine="709"/>
        <w:jc w:val="both"/>
        <w:rPr>
          <w:rFonts w:ascii="Arial" w:hAnsi="Arial" w:cs="Arial"/>
          <w:sz w:val="19"/>
          <w:szCs w:val="19"/>
          <w:lang w:val="es-ES"/>
        </w:rPr>
      </w:pPr>
      <w:r w:rsidRPr="001F29DD">
        <w:rPr>
          <w:rStyle w:val="Refdenotaalpie"/>
          <w:rFonts w:ascii="Arial" w:hAnsi="Arial" w:cs="Arial"/>
          <w:sz w:val="19"/>
          <w:szCs w:val="19"/>
        </w:rPr>
        <w:footnoteRef/>
      </w:r>
      <w:r w:rsidRPr="001F29DD">
        <w:rPr>
          <w:rFonts w:ascii="Arial" w:hAnsi="Arial" w:cs="Arial"/>
          <w:sz w:val="19"/>
          <w:szCs w:val="19"/>
        </w:rPr>
        <w:t xml:space="preserve"> </w:t>
      </w:r>
      <w:r w:rsidRPr="001F29DD">
        <w:rPr>
          <w:rFonts w:ascii="Arial" w:hAnsi="Arial" w:cs="Arial"/>
          <w:sz w:val="19"/>
          <w:szCs w:val="19"/>
          <w:lang w:val="es-ES"/>
        </w:rPr>
        <w:t>Artículos 74 al 83.</w:t>
      </w:r>
    </w:p>
    <w:p w14:paraId="22008E43" w14:textId="77777777" w:rsidR="007321B0" w:rsidRPr="001F29DD" w:rsidRDefault="007321B0" w:rsidP="007321B0">
      <w:pPr>
        <w:pStyle w:val="Textonotapie"/>
        <w:ind w:firstLine="709"/>
        <w:jc w:val="both"/>
        <w:rPr>
          <w:rFonts w:ascii="Arial" w:hAnsi="Arial" w:cs="Arial"/>
          <w:sz w:val="19"/>
          <w:szCs w:val="19"/>
          <w:lang w:val="es-ES"/>
        </w:rPr>
      </w:pPr>
    </w:p>
  </w:footnote>
  <w:footnote w:id="7">
    <w:p w14:paraId="70335D73" w14:textId="77777777" w:rsidR="007321B0" w:rsidRPr="001F29DD" w:rsidRDefault="007321B0" w:rsidP="007321B0">
      <w:pPr>
        <w:ind w:firstLine="709"/>
        <w:jc w:val="both"/>
        <w:rPr>
          <w:rFonts w:ascii="Arial" w:hAnsi="Arial" w:cs="Arial"/>
          <w:sz w:val="19"/>
          <w:szCs w:val="19"/>
        </w:rPr>
      </w:pPr>
      <w:r w:rsidRPr="001F29DD">
        <w:rPr>
          <w:rStyle w:val="Refdenotaalpie"/>
          <w:rFonts w:ascii="Arial" w:hAnsi="Arial" w:cs="Arial"/>
          <w:sz w:val="19"/>
          <w:szCs w:val="19"/>
        </w:rPr>
        <w:footnoteRef/>
      </w:r>
      <w:r w:rsidRPr="001F29DD">
        <w:rPr>
          <w:rFonts w:ascii="Arial" w:hAnsi="Arial" w:cs="Arial"/>
          <w:sz w:val="19"/>
          <w:szCs w:val="19"/>
        </w:rPr>
        <w:t xml:space="preserve"> </w:t>
      </w:r>
      <w:r w:rsidRPr="001F29DD">
        <w:rPr>
          <w:rFonts w:ascii="Arial" w:hAnsi="Arial" w:cs="Arial"/>
          <w:sz w:val="19"/>
          <w:szCs w:val="19"/>
          <w:lang w:val="es-ES"/>
        </w:rPr>
        <w:t>En efecto, el artículo 34 de la Ley 2069 de 2020 establece: «</w:t>
      </w:r>
      <w:r w:rsidRPr="001F29DD">
        <w:rPr>
          <w:rFonts w:ascii="Arial" w:hAnsi="Arial" w:cs="Arial"/>
          <w:sz w:val="19"/>
          <w:szCs w:val="19"/>
        </w:rPr>
        <w:t xml:space="preserve">Modifíquese el artículo 12 de la Ley 1150 de 2007, el cual quedará así: </w:t>
      </w:r>
    </w:p>
    <w:p w14:paraId="7D94F145" w14:textId="77777777" w:rsidR="007321B0" w:rsidRPr="001F29DD" w:rsidRDefault="007321B0" w:rsidP="007321B0">
      <w:pPr>
        <w:ind w:firstLine="709"/>
        <w:jc w:val="both"/>
        <w:rPr>
          <w:rFonts w:ascii="Arial" w:eastAsia="Calibri" w:hAnsi="Arial" w:cs="Arial"/>
          <w:color w:val="000000" w:themeColor="text1"/>
          <w:sz w:val="19"/>
          <w:szCs w:val="19"/>
          <w:lang w:val="es-ES_tradnl"/>
        </w:rPr>
      </w:pPr>
      <w:r w:rsidRPr="001F29DD">
        <w:rPr>
          <w:rFonts w:ascii="Arial" w:eastAsia="Calibri" w:hAnsi="Arial" w:cs="Arial"/>
          <w:color w:val="000000" w:themeColor="text1"/>
          <w:sz w:val="19"/>
          <w:szCs w:val="19"/>
        </w:rPr>
        <w:t>»</w:t>
      </w:r>
      <w:r w:rsidRPr="001F29DD">
        <w:rPr>
          <w:rFonts w:ascii="Arial" w:eastAsia="Calibri" w:hAnsi="Arial" w:cs="Arial"/>
          <w:color w:val="000000" w:themeColor="text1"/>
          <w:sz w:val="19"/>
          <w:szCs w:val="19"/>
          <w:lang w:val="es-ES_tradnl"/>
        </w:rPr>
        <w:t>"Artículo 12. Promoción del desarrollo en la contratación pública. De conformidad con lo dispuesto en los artículos 13, 333 y 334 de la Constitución Política, el Gobierno Nacional definirá las condiciones y los montos de acuerdo con los compromisos internacionales vigentes, para que, en desarrollo de los Procesos de Contratación, las Entidades Estatales indistintamente de su régimen de contratación, los patrimonios autónomos constituidos por Entidades Estatales y los particulares que ejecuten recursos públicos, adopten en beneficio de las Mipyme, convocatorias limitadas a estas en las que, previo a la Resolución de apertura del proceso respectivo, se haya manifestado el interés de por lo menos dos (2) Mipyme.</w:t>
      </w:r>
    </w:p>
    <w:p w14:paraId="55F8E4DE" w14:textId="77777777" w:rsidR="007321B0" w:rsidRPr="001F29DD" w:rsidRDefault="007321B0" w:rsidP="007321B0">
      <w:pPr>
        <w:ind w:firstLine="709"/>
        <w:jc w:val="both"/>
        <w:rPr>
          <w:rFonts w:ascii="Arial" w:eastAsia="Calibri" w:hAnsi="Arial" w:cs="Arial"/>
          <w:color w:val="000000" w:themeColor="text1"/>
          <w:sz w:val="19"/>
          <w:szCs w:val="19"/>
          <w:lang w:val="es-ES_tradnl"/>
        </w:rPr>
      </w:pPr>
      <w:proofErr w:type="gramStart"/>
      <w:r w:rsidRPr="001F29DD">
        <w:rPr>
          <w:rFonts w:ascii="Arial" w:eastAsia="Calibri" w:hAnsi="Arial" w:cs="Arial"/>
          <w:color w:val="000000" w:themeColor="text1"/>
          <w:sz w:val="19"/>
          <w:szCs w:val="19"/>
          <w:lang w:val="es-ES_tradnl"/>
        </w:rPr>
        <w:t>»Asimismo</w:t>
      </w:r>
      <w:proofErr w:type="gramEnd"/>
      <w:r w:rsidRPr="001F29DD">
        <w:rPr>
          <w:rFonts w:ascii="Arial" w:eastAsia="Calibri" w:hAnsi="Arial" w:cs="Arial"/>
          <w:color w:val="000000" w:themeColor="text1"/>
          <w:sz w:val="19"/>
          <w:szCs w:val="19"/>
          <w:lang w:val="es-ES_tradnl"/>
        </w:rPr>
        <w:t>, el reglamento podrá establecer condiciones preferenciales a favor de la oferta de bienes y servicios producidos por las Mipyme respetando los montos y las condiciones contenidas en los compromisos internacionales vigentes, cuando sean aplicables.</w:t>
      </w:r>
    </w:p>
    <w:p w14:paraId="4870FBC7" w14:textId="77777777" w:rsidR="007321B0" w:rsidRPr="001F29DD" w:rsidRDefault="007321B0" w:rsidP="007321B0">
      <w:pPr>
        <w:ind w:firstLine="709"/>
        <w:jc w:val="both"/>
        <w:rPr>
          <w:rFonts w:ascii="Arial" w:eastAsia="Calibri" w:hAnsi="Arial" w:cs="Arial"/>
          <w:color w:val="000000" w:themeColor="text1"/>
          <w:sz w:val="19"/>
          <w:szCs w:val="19"/>
          <w:lang w:val="es-ES_tradnl"/>
        </w:rPr>
      </w:pPr>
      <w:proofErr w:type="gramStart"/>
      <w:r w:rsidRPr="001F29DD">
        <w:rPr>
          <w:rFonts w:ascii="Arial" w:eastAsia="Calibri" w:hAnsi="Arial" w:cs="Arial"/>
          <w:color w:val="000000" w:themeColor="text1"/>
          <w:sz w:val="19"/>
          <w:szCs w:val="19"/>
          <w:lang w:val="es-ES_tradnl"/>
        </w:rPr>
        <w:t>»En</w:t>
      </w:r>
      <w:proofErr w:type="gramEnd"/>
      <w:r w:rsidRPr="001F29DD">
        <w:rPr>
          <w:rFonts w:ascii="Arial" w:eastAsia="Calibri" w:hAnsi="Arial" w:cs="Arial"/>
          <w:color w:val="000000" w:themeColor="text1"/>
          <w:sz w:val="19"/>
          <w:szCs w:val="19"/>
          <w:lang w:val="es-ES_tradnl"/>
        </w:rPr>
        <w:t xml:space="preserve"> todo caso, se deberá garantizar la satisfacción de las condiciones técnicas y económicas requeridas en el Proceso de Contratación.</w:t>
      </w:r>
    </w:p>
    <w:p w14:paraId="3177E70C" w14:textId="77777777" w:rsidR="007321B0" w:rsidRPr="001F29DD" w:rsidRDefault="007321B0" w:rsidP="007321B0">
      <w:pPr>
        <w:ind w:firstLine="709"/>
        <w:jc w:val="both"/>
        <w:rPr>
          <w:rFonts w:ascii="Arial" w:eastAsia="Calibri" w:hAnsi="Arial" w:cs="Arial"/>
          <w:color w:val="000000" w:themeColor="text1"/>
          <w:sz w:val="19"/>
          <w:szCs w:val="19"/>
          <w:lang w:val="es-ES_tradnl"/>
        </w:rPr>
      </w:pPr>
      <w:proofErr w:type="gramStart"/>
      <w:r w:rsidRPr="001F29DD">
        <w:rPr>
          <w:rFonts w:ascii="Arial" w:eastAsia="Calibri" w:hAnsi="Arial" w:cs="Arial"/>
          <w:color w:val="000000" w:themeColor="text1"/>
          <w:sz w:val="19"/>
          <w:szCs w:val="19"/>
          <w:lang w:val="es-ES_tradnl"/>
        </w:rPr>
        <w:t>»De</w:t>
      </w:r>
      <w:proofErr w:type="gramEnd"/>
      <w:r w:rsidRPr="001F29DD">
        <w:rPr>
          <w:rFonts w:ascii="Arial" w:eastAsia="Calibri" w:hAnsi="Arial" w:cs="Arial"/>
          <w:color w:val="000000" w:themeColor="text1"/>
          <w:sz w:val="19"/>
          <w:szCs w:val="19"/>
          <w:lang w:val="es-ES_tradnl"/>
        </w:rPr>
        <w:t xml:space="preserve"> igual forma, en los pliegos de condiciones dispondrán, de mecanismos que fomenten en la ejecución de los contratos estatales la provisión de bienes y servicios por población en pobreza extrema, desplazados por la violencia, personas en proceso de reintegración o reincorporación y, sujetos de especial protección constitucional en las condiciones que señale el reglamento; siempre que se garanticen las condiciones de calidad y cumplimiento del objeto contractual.</w:t>
      </w:r>
    </w:p>
    <w:p w14:paraId="5FE78475" w14:textId="77777777" w:rsidR="007321B0" w:rsidRPr="001F29DD" w:rsidRDefault="007321B0" w:rsidP="007321B0">
      <w:pPr>
        <w:ind w:firstLine="709"/>
        <w:jc w:val="both"/>
        <w:rPr>
          <w:rFonts w:ascii="Arial" w:eastAsia="Calibri" w:hAnsi="Arial" w:cs="Arial"/>
          <w:color w:val="000000" w:themeColor="text1"/>
          <w:sz w:val="19"/>
          <w:szCs w:val="19"/>
          <w:lang w:val="es-ES_tradnl"/>
        </w:rPr>
      </w:pPr>
      <w:proofErr w:type="gramStart"/>
      <w:r w:rsidRPr="001F29DD">
        <w:rPr>
          <w:rFonts w:ascii="Arial" w:eastAsia="Calibri" w:hAnsi="Arial" w:cs="Arial"/>
          <w:color w:val="000000" w:themeColor="text1"/>
          <w:sz w:val="19"/>
          <w:szCs w:val="19"/>
          <w:lang w:val="es-ES_tradnl"/>
        </w:rPr>
        <w:t>»Parágrafo</w:t>
      </w:r>
      <w:proofErr w:type="gramEnd"/>
      <w:r w:rsidRPr="001F29DD">
        <w:rPr>
          <w:rFonts w:ascii="Arial" w:eastAsia="Calibri" w:hAnsi="Arial" w:cs="Arial"/>
          <w:color w:val="000000" w:themeColor="text1"/>
          <w:sz w:val="19"/>
          <w:szCs w:val="19"/>
          <w:lang w:val="es-ES_tradnl"/>
        </w:rPr>
        <w:t xml:space="preserve"> Primero. En los Procesos de Contratación que se desarrollen con base en el primer inciso, las entidades podrán realizar las convocatorias limitadas que beneficien a las Mipyme del ámbito municipal o departamental correspondiente al de la ejecución del contrato.</w:t>
      </w:r>
    </w:p>
    <w:p w14:paraId="4FD1792F" w14:textId="77777777" w:rsidR="007321B0" w:rsidRPr="001F29DD" w:rsidRDefault="007321B0" w:rsidP="007321B0">
      <w:pPr>
        <w:ind w:firstLine="709"/>
        <w:jc w:val="both"/>
        <w:rPr>
          <w:rFonts w:ascii="Arial" w:eastAsia="Calibri" w:hAnsi="Arial" w:cs="Arial"/>
          <w:color w:val="000000" w:themeColor="text1"/>
          <w:sz w:val="19"/>
          <w:szCs w:val="19"/>
          <w:lang w:val="es-ES_tradnl"/>
        </w:rPr>
      </w:pPr>
      <w:proofErr w:type="gramStart"/>
      <w:r w:rsidRPr="001F29DD">
        <w:rPr>
          <w:rFonts w:ascii="Arial" w:eastAsia="Calibri" w:hAnsi="Arial" w:cs="Arial"/>
          <w:color w:val="000000" w:themeColor="text1"/>
          <w:sz w:val="19"/>
          <w:szCs w:val="19"/>
          <w:lang w:val="es-ES_tradnl"/>
        </w:rPr>
        <w:t>»Parágrafo</w:t>
      </w:r>
      <w:proofErr w:type="gramEnd"/>
      <w:r w:rsidRPr="001F29DD">
        <w:rPr>
          <w:rFonts w:ascii="Arial" w:eastAsia="Calibri" w:hAnsi="Arial" w:cs="Arial"/>
          <w:color w:val="000000" w:themeColor="text1"/>
          <w:sz w:val="19"/>
          <w:szCs w:val="19"/>
          <w:lang w:val="es-ES_tradnl"/>
        </w:rPr>
        <w:t xml:space="preserve"> Segundo. Sin perjuicio de lo dispuesto en los artículos 5 y 6 de la Ley 1150 de 2007, para que las Mipymes puedan participar en las convocatorias a las que se refiere este artículo, deberán acreditar como mínimo un año de existencia, para lo cual deberán presentar el certificado expedido por la cámara de comercio o por la autoridad que sea competente para dicha acreditación.</w:t>
      </w:r>
    </w:p>
    <w:p w14:paraId="3222E381" w14:textId="77777777" w:rsidR="007321B0" w:rsidRPr="001F29DD" w:rsidRDefault="007321B0" w:rsidP="007321B0">
      <w:pPr>
        <w:ind w:firstLine="709"/>
        <w:jc w:val="both"/>
        <w:rPr>
          <w:rFonts w:ascii="Arial" w:eastAsia="Calibri" w:hAnsi="Arial" w:cs="Arial"/>
          <w:color w:val="000000" w:themeColor="text1"/>
          <w:sz w:val="19"/>
          <w:szCs w:val="19"/>
          <w:lang w:val="es-ES_tradnl"/>
        </w:rPr>
      </w:pPr>
      <w:proofErr w:type="gramStart"/>
      <w:r w:rsidRPr="001F29DD">
        <w:rPr>
          <w:rFonts w:ascii="Arial" w:eastAsia="Calibri" w:hAnsi="Arial" w:cs="Arial"/>
          <w:color w:val="000000" w:themeColor="text1"/>
          <w:sz w:val="19"/>
          <w:szCs w:val="19"/>
          <w:lang w:val="es-ES_tradnl"/>
        </w:rPr>
        <w:t>»Parágrafo</w:t>
      </w:r>
      <w:proofErr w:type="gramEnd"/>
      <w:r w:rsidRPr="001F29DD">
        <w:rPr>
          <w:rFonts w:ascii="Arial" w:eastAsia="Calibri" w:hAnsi="Arial" w:cs="Arial"/>
          <w:color w:val="000000" w:themeColor="text1"/>
          <w:sz w:val="19"/>
          <w:szCs w:val="19"/>
          <w:lang w:val="es-ES_tradnl"/>
        </w:rPr>
        <w:t xml:space="preserve"> Tercero. En la ejecución de los contratos a que se refiere el presente artículo, las entidades y los contratistas, deberán observar lo dispuesto en los artículos 90 a 95 de la Ley 418 de 1997 y las normas que la modifiquen, adicionen o subroguen."»  </w:t>
      </w:r>
    </w:p>
    <w:p w14:paraId="7F7EA71F" w14:textId="77777777" w:rsidR="007321B0" w:rsidRPr="001F29DD" w:rsidRDefault="007321B0" w:rsidP="007321B0">
      <w:pPr>
        <w:pStyle w:val="Textonotapie"/>
        <w:ind w:firstLine="709"/>
        <w:jc w:val="both"/>
        <w:rPr>
          <w:rFonts w:ascii="Arial" w:hAnsi="Arial" w:cs="Arial"/>
          <w:sz w:val="19"/>
          <w:szCs w:val="19"/>
          <w:lang w:val="es-ES_tradnl"/>
        </w:rPr>
      </w:pPr>
    </w:p>
  </w:footnote>
  <w:footnote w:id="8">
    <w:p w14:paraId="38DE599B" w14:textId="77777777" w:rsidR="007321B0" w:rsidRPr="001F29DD" w:rsidRDefault="007321B0" w:rsidP="007321B0">
      <w:pPr>
        <w:ind w:firstLine="709"/>
        <w:jc w:val="both"/>
        <w:rPr>
          <w:rFonts w:ascii="Arial" w:eastAsiaTheme="minorHAnsi" w:hAnsi="Arial" w:cs="Arial"/>
          <w:sz w:val="19"/>
          <w:szCs w:val="19"/>
          <w:lang w:val="es-ES" w:eastAsia="en-US"/>
        </w:rPr>
      </w:pPr>
      <w:r w:rsidRPr="001F29DD">
        <w:rPr>
          <w:rStyle w:val="Refdenotaalpie"/>
          <w:rFonts w:ascii="Arial" w:hAnsi="Arial" w:cs="Arial"/>
          <w:sz w:val="19"/>
          <w:szCs w:val="19"/>
        </w:rPr>
        <w:footnoteRef/>
      </w:r>
      <w:r w:rsidRPr="001F29DD">
        <w:rPr>
          <w:rFonts w:ascii="Arial" w:hAnsi="Arial" w:cs="Arial"/>
          <w:sz w:val="19"/>
          <w:szCs w:val="19"/>
        </w:rPr>
        <w:t xml:space="preserve"> </w:t>
      </w:r>
      <w:r w:rsidRPr="001F29DD">
        <w:rPr>
          <w:rFonts w:ascii="Arial" w:hAnsi="Arial" w:cs="Arial"/>
          <w:sz w:val="19"/>
          <w:szCs w:val="19"/>
          <w:lang w:val="es-ES"/>
        </w:rPr>
        <w:t xml:space="preserve">Corte Constitucional. Sentencia C-502 de 2012. Magistrada Ponente: </w:t>
      </w:r>
      <w:r w:rsidRPr="001F29DD">
        <w:rPr>
          <w:rFonts w:ascii="Arial" w:eastAsiaTheme="minorHAnsi" w:hAnsi="Arial" w:cs="Arial"/>
          <w:sz w:val="19"/>
          <w:szCs w:val="19"/>
          <w:lang w:val="es-ES" w:eastAsia="en-US"/>
        </w:rPr>
        <w:t>Adriana Mar</w:t>
      </w:r>
      <w:r>
        <w:rPr>
          <w:rFonts w:ascii="Arial" w:eastAsiaTheme="minorHAnsi" w:hAnsi="Arial" w:cs="Arial"/>
          <w:sz w:val="19"/>
          <w:szCs w:val="19"/>
          <w:lang w:val="es-ES" w:eastAsia="en-US"/>
        </w:rPr>
        <w:t>í</w:t>
      </w:r>
      <w:r w:rsidRPr="001F29DD">
        <w:rPr>
          <w:rFonts w:ascii="Arial" w:eastAsiaTheme="minorHAnsi" w:hAnsi="Arial" w:cs="Arial"/>
          <w:sz w:val="19"/>
          <w:szCs w:val="19"/>
          <w:lang w:val="es-ES" w:eastAsia="en-US"/>
        </w:rPr>
        <w:t>a Guillén Arango</w:t>
      </w:r>
      <w:r>
        <w:rPr>
          <w:rFonts w:ascii="Arial" w:eastAsiaTheme="minorHAnsi" w:hAnsi="Arial" w:cs="Arial"/>
          <w:sz w:val="19"/>
          <w:szCs w:val="19"/>
          <w:lang w:val="es-ES" w:eastAsia="en-US"/>
        </w:rPr>
        <w:t>.</w:t>
      </w:r>
    </w:p>
    <w:p w14:paraId="45206733" w14:textId="77777777" w:rsidR="007321B0" w:rsidRPr="001F29DD" w:rsidRDefault="007321B0" w:rsidP="007321B0">
      <w:pPr>
        <w:pStyle w:val="Textonotapie"/>
        <w:ind w:firstLine="709"/>
        <w:jc w:val="both"/>
        <w:rPr>
          <w:rFonts w:ascii="Arial" w:hAnsi="Arial" w:cs="Arial"/>
          <w:sz w:val="19"/>
          <w:szCs w:val="19"/>
          <w:lang w:val="es-ES"/>
        </w:rPr>
      </w:pPr>
      <w:r w:rsidRPr="001F29DD">
        <w:rPr>
          <w:rFonts w:ascii="Arial" w:hAnsi="Arial" w:cs="Arial"/>
          <w:sz w:val="19"/>
          <w:szCs w:val="19"/>
          <w:lang w:val="es-E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C42160" w:rsidRDefault="00C42160">
    <w:pPr>
      <w:pStyle w:val="Encabezado"/>
    </w:pPr>
    <w:r>
      <w:rPr>
        <w:noProof/>
        <w:lang w:val="es-ES_tradnl" w:eastAsia="es-ES_tradnl"/>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3"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6"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1"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6" w15:restartNumberingAfterBreak="0">
    <w:nsid w:val="597D4B97"/>
    <w:multiLevelType w:val="multilevel"/>
    <w:tmpl w:val="576C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8"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9"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0" w15:restartNumberingAfterBreak="0">
    <w:nsid w:val="6D5057DB"/>
    <w:multiLevelType w:val="hybridMultilevel"/>
    <w:tmpl w:val="353A75E4"/>
    <w:lvl w:ilvl="0" w:tplc="51E09002">
      <w:start w:val="1"/>
      <w:numFmt w:val="lowerRoman"/>
      <w:lvlText w:val="%1)"/>
      <w:lvlJc w:val="left"/>
      <w:pPr>
        <w:ind w:left="1428" w:hanging="72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21"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22"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3"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16cid:durableId="670376309">
    <w:abstractNumId w:val="9"/>
  </w:num>
  <w:num w:numId="2" w16cid:durableId="444811305">
    <w:abstractNumId w:val="7"/>
  </w:num>
  <w:num w:numId="3" w16cid:durableId="2060785555">
    <w:abstractNumId w:val="12"/>
  </w:num>
  <w:num w:numId="4" w16cid:durableId="525948978">
    <w:abstractNumId w:val="15"/>
  </w:num>
  <w:num w:numId="5" w16cid:durableId="1334383446">
    <w:abstractNumId w:val="19"/>
  </w:num>
  <w:num w:numId="6" w16cid:durableId="1810828064">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891497581">
    <w:abstractNumId w:val="17"/>
  </w:num>
  <w:num w:numId="8" w16cid:durableId="1827892558">
    <w:abstractNumId w:val="0"/>
  </w:num>
  <w:num w:numId="9" w16cid:durableId="1018657585">
    <w:abstractNumId w:val="3"/>
  </w:num>
  <w:num w:numId="10" w16cid:durableId="201877417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79109238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506290325">
    <w:abstractNumId w:val="8"/>
  </w:num>
  <w:num w:numId="13" w16cid:durableId="619261646">
    <w:abstractNumId w:val="11"/>
  </w:num>
  <w:num w:numId="14" w16cid:durableId="194972805">
    <w:abstractNumId w:val="6"/>
  </w:num>
  <w:num w:numId="15" w16cid:durableId="1070932305">
    <w:abstractNumId w:val="1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84943339">
    <w:abstractNumId w:val="2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52300976">
    <w:abstractNumId w:val="22"/>
  </w:num>
  <w:num w:numId="18" w16cid:durableId="738332323">
    <w:abstractNumId w:val="13"/>
  </w:num>
  <w:num w:numId="19" w16cid:durableId="11341943">
    <w:abstractNumId w:val="2"/>
  </w:num>
  <w:num w:numId="20" w16cid:durableId="239020483">
    <w:abstractNumId w:val="23"/>
  </w:num>
  <w:num w:numId="21" w16cid:durableId="634719627">
    <w:abstractNumId w:val="14"/>
  </w:num>
  <w:num w:numId="22" w16cid:durableId="1241283662">
    <w:abstractNumId w:val="5"/>
  </w:num>
  <w:num w:numId="23" w16cid:durableId="2022119467">
    <w:abstractNumId w:val="4"/>
  </w:num>
  <w:num w:numId="24" w16cid:durableId="114643296">
    <w:abstractNumId w:val="21"/>
  </w:num>
  <w:num w:numId="25" w16cid:durableId="806317595">
    <w:abstractNumId w:val="16"/>
  </w:num>
  <w:num w:numId="26" w16cid:durableId="43266896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162E"/>
    <w:rsid w:val="00001A1C"/>
    <w:rsid w:val="00001FFD"/>
    <w:rsid w:val="00002027"/>
    <w:rsid w:val="000020FE"/>
    <w:rsid w:val="00002173"/>
    <w:rsid w:val="000031A8"/>
    <w:rsid w:val="00003C5C"/>
    <w:rsid w:val="00003D39"/>
    <w:rsid w:val="000040D7"/>
    <w:rsid w:val="00004556"/>
    <w:rsid w:val="000051AF"/>
    <w:rsid w:val="000059D3"/>
    <w:rsid w:val="00005B6D"/>
    <w:rsid w:val="0000600A"/>
    <w:rsid w:val="00006081"/>
    <w:rsid w:val="00007750"/>
    <w:rsid w:val="000077FD"/>
    <w:rsid w:val="00007E37"/>
    <w:rsid w:val="00010C40"/>
    <w:rsid w:val="00010F9A"/>
    <w:rsid w:val="000112B4"/>
    <w:rsid w:val="00011DCC"/>
    <w:rsid w:val="00012532"/>
    <w:rsid w:val="00012B9E"/>
    <w:rsid w:val="00012F37"/>
    <w:rsid w:val="00012FBA"/>
    <w:rsid w:val="00013C6B"/>
    <w:rsid w:val="0001406B"/>
    <w:rsid w:val="000143F8"/>
    <w:rsid w:val="00014624"/>
    <w:rsid w:val="00015B44"/>
    <w:rsid w:val="00016081"/>
    <w:rsid w:val="000165AC"/>
    <w:rsid w:val="00016651"/>
    <w:rsid w:val="000171A2"/>
    <w:rsid w:val="00017B65"/>
    <w:rsid w:val="00020158"/>
    <w:rsid w:val="000207E0"/>
    <w:rsid w:val="000209E2"/>
    <w:rsid w:val="00020F8F"/>
    <w:rsid w:val="00021A95"/>
    <w:rsid w:val="0002256F"/>
    <w:rsid w:val="00023DAE"/>
    <w:rsid w:val="00024896"/>
    <w:rsid w:val="000255FA"/>
    <w:rsid w:val="00025D0A"/>
    <w:rsid w:val="000263F0"/>
    <w:rsid w:val="00026407"/>
    <w:rsid w:val="00026608"/>
    <w:rsid w:val="00027787"/>
    <w:rsid w:val="000278D2"/>
    <w:rsid w:val="00027BBA"/>
    <w:rsid w:val="00030DFB"/>
    <w:rsid w:val="00031364"/>
    <w:rsid w:val="000315E1"/>
    <w:rsid w:val="0003236E"/>
    <w:rsid w:val="0003339A"/>
    <w:rsid w:val="000341F2"/>
    <w:rsid w:val="00035046"/>
    <w:rsid w:val="000351F2"/>
    <w:rsid w:val="00035CEE"/>
    <w:rsid w:val="00035FA2"/>
    <w:rsid w:val="00036E03"/>
    <w:rsid w:val="000406DB"/>
    <w:rsid w:val="0004094D"/>
    <w:rsid w:val="00041029"/>
    <w:rsid w:val="00041357"/>
    <w:rsid w:val="0004149B"/>
    <w:rsid w:val="00041FC6"/>
    <w:rsid w:val="00042961"/>
    <w:rsid w:val="00042C25"/>
    <w:rsid w:val="00042D03"/>
    <w:rsid w:val="00043086"/>
    <w:rsid w:val="000430A0"/>
    <w:rsid w:val="00043399"/>
    <w:rsid w:val="00043D3B"/>
    <w:rsid w:val="0004418C"/>
    <w:rsid w:val="00044204"/>
    <w:rsid w:val="0004477A"/>
    <w:rsid w:val="000449D4"/>
    <w:rsid w:val="0004600D"/>
    <w:rsid w:val="000463B5"/>
    <w:rsid w:val="00046717"/>
    <w:rsid w:val="00046A63"/>
    <w:rsid w:val="00046C09"/>
    <w:rsid w:val="0004716A"/>
    <w:rsid w:val="00047385"/>
    <w:rsid w:val="000473E8"/>
    <w:rsid w:val="00047432"/>
    <w:rsid w:val="000504DE"/>
    <w:rsid w:val="00051074"/>
    <w:rsid w:val="000526F0"/>
    <w:rsid w:val="0005273D"/>
    <w:rsid w:val="00052B79"/>
    <w:rsid w:val="00052E4B"/>
    <w:rsid w:val="00052EA0"/>
    <w:rsid w:val="000536A7"/>
    <w:rsid w:val="000536E3"/>
    <w:rsid w:val="00053896"/>
    <w:rsid w:val="00053A00"/>
    <w:rsid w:val="0005474D"/>
    <w:rsid w:val="00055CB9"/>
    <w:rsid w:val="00056F66"/>
    <w:rsid w:val="0005702F"/>
    <w:rsid w:val="00061010"/>
    <w:rsid w:val="00061D06"/>
    <w:rsid w:val="00062CDD"/>
    <w:rsid w:val="00062DB3"/>
    <w:rsid w:val="00063472"/>
    <w:rsid w:val="000640AF"/>
    <w:rsid w:val="00064940"/>
    <w:rsid w:val="00064CAE"/>
    <w:rsid w:val="00064DB7"/>
    <w:rsid w:val="00064FA7"/>
    <w:rsid w:val="00065195"/>
    <w:rsid w:val="0006536C"/>
    <w:rsid w:val="0006626E"/>
    <w:rsid w:val="00070AF1"/>
    <w:rsid w:val="000714DE"/>
    <w:rsid w:val="0007254F"/>
    <w:rsid w:val="0007357C"/>
    <w:rsid w:val="00073C30"/>
    <w:rsid w:val="00074305"/>
    <w:rsid w:val="000744D0"/>
    <w:rsid w:val="00074B2A"/>
    <w:rsid w:val="00074EEE"/>
    <w:rsid w:val="000753D5"/>
    <w:rsid w:val="00075B3E"/>
    <w:rsid w:val="00076456"/>
    <w:rsid w:val="0007779B"/>
    <w:rsid w:val="000777E7"/>
    <w:rsid w:val="0007790A"/>
    <w:rsid w:val="0008017B"/>
    <w:rsid w:val="00080ACD"/>
    <w:rsid w:val="000811ED"/>
    <w:rsid w:val="00081D62"/>
    <w:rsid w:val="00082B74"/>
    <w:rsid w:val="00083099"/>
    <w:rsid w:val="00083EDC"/>
    <w:rsid w:val="00084B97"/>
    <w:rsid w:val="0008510E"/>
    <w:rsid w:val="000856DE"/>
    <w:rsid w:val="00085F17"/>
    <w:rsid w:val="00085FB0"/>
    <w:rsid w:val="00085FB3"/>
    <w:rsid w:val="0008686B"/>
    <w:rsid w:val="00086B2A"/>
    <w:rsid w:val="00086ED2"/>
    <w:rsid w:val="00087A64"/>
    <w:rsid w:val="0009082C"/>
    <w:rsid w:val="00090C39"/>
    <w:rsid w:val="000914D6"/>
    <w:rsid w:val="00091569"/>
    <w:rsid w:val="0009200C"/>
    <w:rsid w:val="00092CDB"/>
    <w:rsid w:val="00092DCA"/>
    <w:rsid w:val="000942EB"/>
    <w:rsid w:val="00095557"/>
    <w:rsid w:val="00095B70"/>
    <w:rsid w:val="0009617E"/>
    <w:rsid w:val="0009628D"/>
    <w:rsid w:val="0009670F"/>
    <w:rsid w:val="00096D30"/>
    <w:rsid w:val="000970E4"/>
    <w:rsid w:val="000979CF"/>
    <w:rsid w:val="000A03C8"/>
    <w:rsid w:val="000A05F2"/>
    <w:rsid w:val="000A06C4"/>
    <w:rsid w:val="000A0861"/>
    <w:rsid w:val="000A0EC4"/>
    <w:rsid w:val="000A0ED1"/>
    <w:rsid w:val="000A12DB"/>
    <w:rsid w:val="000A17C8"/>
    <w:rsid w:val="000A1B74"/>
    <w:rsid w:val="000A20D7"/>
    <w:rsid w:val="000A2128"/>
    <w:rsid w:val="000A362F"/>
    <w:rsid w:val="000A3B49"/>
    <w:rsid w:val="000A43B0"/>
    <w:rsid w:val="000A46FE"/>
    <w:rsid w:val="000A47E6"/>
    <w:rsid w:val="000A52C0"/>
    <w:rsid w:val="000A5AAF"/>
    <w:rsid w:val="000A5F97"/>
    <w:rsid w:val="000A648E"/>
    <w:rsid w:val="000A7268"/>
    <w:rsid w:val="000A73BB"/>
    <w:rsid w:val="000A73E8"/>
    <w:rsid w:val="000A7EF4"/>
    <w:rsid w:val="000B0A15"/>
    <w:rsid w:val="000B103F"/>
    <w:rsid w:val="000B1057"/>
    <w:rsid w:val="000B1437"/>
    <w:rsid w:val="000B1470"/>
    <w:rsid w:val="000B244D"/>
    <w:rsid w:val="000B2A1A"/>
    <w:rsid w:val="000B2B86"/>
    <w:rsid w:val="000B3051"/>
    <w:rsid w:val="000B419B"/>
    <w:rsid w:val="000B5781"/>
    <w:rsid w:val="000B5CB1"/>
    <w:rsid w:val="000B75F4"/>
    <w:rsid w:val="000C0185"/>
    <w:rsid w:val="000C0F81"/>
    <w:rsid w:val="000C128D"/>
    <w:rsid w:val="000C17A3"/>
    <w:rsid w:val="000C1D4B"/>
    <w:rsid w:val="000C2DC4"/>
    <w:rsid w:val="000C3260"/>
    <w:rsid w:val="000C3B77"/>
    <w:rsid w:val="000C3F6D"/>
    <w:rsid w:val="000C4F49"/>
    <w:rsid w:val="000C5861"/>
    <w:rsid w:val="000C5BDE"/>
    <w:rsid w:val="000C639D"/>
    <w:rsid w:val="000C6C31"/>
    <w:rsid w:val="000C6DBC"/>
    <w:rsid w:val="000C6F79"/>
    <w:rsid w:val="000C7476"/>
    <w:rsid w:val="000C7480"/>
    <w:rsid w:val="000C7711"/>
    <w:rsid w:val="000C7AA2"/>
    <w:rsid w:val="000D0462"/>
    <w:rsid w:val="000D053D"/>
    <w:rsid w:val="000D0ED2"/>
    <w:rsid w:val="000D107D"/>
    <w:rsid w:val="000D13FD"/>
    <w:rsid w:val="000D1CEB"/>
    <w:rsid w:val="000D2563"/>
    <w:rsid w:val="000D25BF"/>
    <w:rsid w:val="000D2FE4"/>
    <w:rsid w:val="000D3FDC"/>
    <w:rsid w:val="000D490B"/>
    <w:rsid w:val="000D4E38"/>
    <w:rsid w:val="000D50DB"/>
    <w:rsid w:val="000D6288"/>
    <w:rsid w:val="000D728B"/>
    <w:rsid w:val="000D7541"/>
    <w:rsid w:val="000D75E1"/>
    <w:rsid w:val="000E22CF"/>
    <w:rsid w:val="000E2977"/>
    <w:rsid w:val="000E2CC0"/>
    <w:rsid w:val="000E30AC"/>
    <w:rsid w:val="000E3B46"/>
    <w:rsid w:val="000E3E11"/>
    <w:rsid w:val="000E4596"/>
    <w:rsid w:val="000E4B94"/>
    <w:rsid w:val="000E4D50"/>
    <w:rsid w:val="000E5768"/>
    <w:rsid w:val="000E5843"/>
    <w:rsid w:val="000E6139"/>
    <w:rsid w:val="000E63B7"/>
    <w:rsid w:val="000E653C"/>
    <w:rsid w:val="000E6BE1"/>
    <w:rsid w:val="000E7069"/>
    <w:rsid w:val="000E7E0B"/>
    <w:rsid w:val="000F0136"/>
    <w:rsid w:val="000F078A"/>
    <w:rsid w:val="000F122D"/>
    <w:rsid w:val="000F1450"/>
    <w:rsid w:val="000F14E8"/>
    <w:rsid w:val="000F1BBD"/>
    <w:rsid w:val="000F290F"/>
    <w:rsid w:val="000F4403"/>
    <w:rsid w:val="000F480B"/>
    <w:rsid w:val="000F4E17"/>
    <w:rsid w:val="000F5615"/>
    <w:rsid w:val="000F6578"/>
    <w:rsid w:val="000F6F92"/>
    <w:rsid w:val="000F7E8F"/>
    <w:rsid w:val="000F7FBB"/>
    <w:rsid w:val="001000FB"/>
    <w:rsid w:val="00100A9E"/>
    <w:rsid w:val="00100C90"/>
    <w:rsid w:val="00100F6A"/>
    <w:rsid w:val="00102605"/>
    <w:rsid w:val="00102686"/>
    <w:rsid w:val="00102745"/>
    <w:rsid w:val="00103795"/>
    <w:rsid w:val="00103915"/>
    <w:rsid w:val="001039AA"/>
    <w:rsid w:val="00103EA0"/>
    <w:rsid w:val="00104149"/>
    <w:rsid w:val="00104F1C"/>
    <w:rsid w:val="001051E5"/>
    <w:rsid w:val="00105A74"/>
    <w:rsid w:val="00105ACB"/>
    <w:rsid w:val="00105AEF"/>
    <w:rsid w:val="00106259"/>
    <w:rsid w:val="001068EB"/>
    <w:rsid w:val="001078CE"/>
    <w:rsid w:val="00110F61"/>
    <w:rsid w:val="001111BD"/>
    <w:rsid w:val="0011165A"/>
    <w:rsid w:val="00111B2B"/>
    <w:rsid w:val="00112774"/>
    <w:rsid w:val="00112B2E"/>
    <w:rsid w:val="00113003"/>
    <w:rsid w:val="00113062"/>
    <w:rsid w:val="0011359A"/>
    <w:rsid w:val="00113705"/>
    <w:rsid w:val="00113975"/>
    <w:rsid w:val="00113CFC"/>
    <w:rsid w:val="00113FEA"/>
    <w:rsid w:val="00114A22"/>
    <w:rsid w:val="00114E9D"/>
    <w:rsid w:val="0011507B"/>
    <w:rsid w:val="00115C37"/>
    <w:rsid w:val="00116328"/>
    <w:rsid w:val="001163CF"/>
    <w:rsid w:val="001174C9"/>
    <w:rsid w:val="001177FE"/>
    <w:rsid w:val="00117E69"/>
    <w:rsid w:val="00121103"/>
    <w:rsid w:val="00121B78"/>
    <w:rsid w:val="00121BAB"/>
    <w:rsid w:val="00121E3C"/>
    <w:rsid w:val="00121F58"/>
    <w:rsid w:val="00122B23"/>
    <w:rsid w:val="00122B7E"/>
    <w:rsid w:val="00123E27"/>
    <w:rsid w:val="00123FB5"/>
    <w:rsid w:val="0012400F"/>
    <w:rsid w:val="001249DC"/>
    <w:rsid w:val="0012572D"/>
    <w:rsid w:val="00125BED"/>
    <w:rsid w:val="00125C59"/>
    <w:rsid w:val="00125D4F"/>
    <w:rsid w:val="00127004"/>
    <w:rsid w:val="0012770B"/>
    <w:rsid w:val="00127AF2"/>
    <w:rsid w:val="00127EDC"/>
    <w:rsid w:val="00127F42"/>
    <w:rsid w:val="00127F6D"/>
    <w:rsid w:val="00130355"/>
    <w:rsid w:val="00130365"/>
    <w:rsid w:val="001304E5"/>
    <w:rsid w:val="00131B5A"/>
    <w:rsid w:val="00132C30"/>
    <w:rsid w:val="00132EFD"/>
    <w:rsid w:val="00133AED"/>
    <w:rsid w:val="00134BCD"/>
    <w:rsid w:val="00134C9D"/>
    <w:rsid w:val="00134E09"/>
    <w:rsid w:val="001350AB"/>
    <w:rsid w:val="00135DB9"/>
    <w:rsid w:val="00135E5D"/>
    <w:rsid w:val="0013695C"/>
    <w:rsid w:val="00136BF7"/>
    <w:rsid w:val="00136C78"/>
    <w:rsid w:val="001378B9"/>
    <w:rsid w:val="00137FFA"/>
    <w:rsid w:val="00140109"/>
    <w:rsid w:val="0014029B"/>
    <w:rsid w:val="00140464"/>
    <w:rsid w:val="00140A4F"/>
    <w:rsid w:val="001413AB"/>
    <w:rsid w:val="00141918"/>
    <w:rsid w:val="00141DBF"/>
    <w:rsid w:val="00142EFD"/>
    <w:rsid w:val="00144335"/>
    <w:rsid w:val="0014502F"/>
    <w:rsid w:val="00145282"/>
    <w:rsid w:val="001453B0"/>
    <w:rsid w:val="001454D9"/>
    <w:rsid w:val="00145C1A"/>
    <w:rsid w:val="00145D8E"/>
    <w:rsid w:val="00146083"/>
    <w:rsid w:val="001462F7"/>
    <w:rsid w:val="001471AB"/>
    <w:rsid w:val="00147F35"/>
    <w:rsid w:val="00150005"/>
    <w:rsid w:val="00151AEB"/>
    <w:rsid w:val="00151B99"/>
    <w:rsid w:val="00151E79"/>
    <w:rsid w:val="001521B2"/>
    <w:rsid w:val="00152EDD"/>
    <w:rsid w:val="00153491"/>
    <w:rsid w:val="0015361C"/>
    <w:rsid w:val="0015372F"/>
    <w:rsid w:val="00153BFB"/>
    <w:rsid w:val="0015407E"/>
    <w:rsid w:val="0015448E"/>
    <w:rsid w:val="00154A6F"/>
    <w:rsid w:val="00155BED"/>
    <w:rsid w:val="00155D08"/>
    <w:rsid w:val="0015623B"/>
    <w:rsid w:val="00156BE5"/>
    <w:rsid w:val="00157232"/>
    <w:rsid w:val="00157B5F"/>
    <w:rsid w:val="00160401"/>
    <w:rsid w:val="00160D4E"/>
    <w:rsid w:val="00161DDA"/>
    <w:rsid w:val="00161E62"/>
    <w:rsid w:val="00161F1C"/>
    <w:rsid w:val="0016200B"/>
    <w:rsid w:val="0016204B"/>
    <w:rsid w:val="00162D5A"/>
    <w:rsid w:val="00163D7A"/>
    <w:rsid w:val="00164281"/>
    <w:rsid w:val="00165703"/>
    <w:rsid w:val="00165E5C"/>
    <w:rsid w:val="00166204"/>
    <w:rsid w:val="00166797"/>
    <w:rsid w:val="0016685F"/>
    <w:rsid w:val="0016712F"/>
    <w:rsid w:val="00167503"/>
    <w:rsid w:val="001676A9"/>
    <w:rsid w:val="00167A15"/>
    <w:rsid w:val="00167A50"/>
    <w:rsid w:val="00167D1A"/>
    <w:rsid w:val="00167DF5"/>
    <w:rsid w:val="00170001"/>
    <w:rsid w:val="00172198"/>
    <w:rsid w:val="00172612"/>
    <w:rsid w:val="00172817"/>
    <w:rsid w:val="001734E3"/>
    <w:rsid w:val="001742BF"/>
    <w:rsid w:val="001742E1"/>
    <w:rsid w:val="00175BE2"/>
    <w:rsid w:val="00175E49"/>
    <w:rsid w:val="0017649F"/>
    <w:rsid w:val="0017655B"/>
    <w:rsid w:val="0018007F"/>
    <w:rsid w:val="001805C1"/>
    <w:rsid w:val="00180A2E"/>
    <w:rsid w:val="001813AF"/>
    <w:rsid w:val="00182368"/>
    <w:rsid w:val="001826C9"/>
    <w:rsid w:val="001829CD"/>
    <w:rsid w:val="00182F01"/>
    <w:rsid w:val="00184219"/>
    <w:rsid w:val="00184F27"/>
    <w:rsid w:val="0018519B"/>
    <w:rsid w:val="00185966"/>
    <w:rsid w:val="00185A2D"/>
    <w:rsid w:val="00185AFE"/>
    <w:rsid w:val="00185E78"/>
    <w:rsid w:val="00187177"/>
    <w:rsid w:val="00187ABD"/>
    <w:rsid w:val="001904E3"/>
    <w:rsid w:val="0019087A"/>
    <w:rsid w:val="00191AE3"/>
    <w:rsid w:val="00191C5A"/>
    <w:rsid w:val="00191CEB"/>
    <w:rsid w:val="00191E63"/>
    <w:rsid w:val="00192D68"/>
    <w:rsid w:val="0019388B"/>
    <w:rsid w:val="00193ADE"/>
    <w:rsid w:val="00193AF8"/>
    <w:rsid w:val="00193B9A"/>
    <w:rsid w:val="001940ED"/>
    <w:rsid w:val="001946AE"/>
    <w:rsid w:val="001946D5"/>
    <w:rsid w:val="00194E8C"/>
    <w:rsid w:val="00195F02"/>
    <w:rsid w:val="001962EC"/>
    <w:rsid w:val="001963DD"/>
    <w:rsid w:val="001965DB"/>
    <w:rsid w:val="00196D01"/>
    <w:rsid w:val="00196DC9"/>
    <w:rsid w:val="00196E95"/>
    <w:rsid w:val="00197758"/>
    <w:rsid w:val="001A0236"/>
    <w:rsid w:val="001A0915"/>
    <w:rsid w:val="001A0AF8"/>
    <w:rsid w:val="001A0E1B"/>
    <w:rsid w:val="001A1490"/>
    <w:rsid w:val="001A18D5"/>
    <w:rsid w:val="001A1A38"/>
    <w:rsid w:val="001A1BE0"/>
    <w:rsid w:val="001A1D4A"/>
    <w:rsid w:val="001A3011"/>
    <w:rsid w:val="001A3078"/>
    <w:rsid w:val="001A422D"/>
    <w:rsid w:val="001A4A9B"/>
    <w:rsid w:val="001A4B32"/>
    <w:rsid w:val="001A4C48"/>
    <w:rsid w:val="001A4DAF"/>
    <w:rsid w:val="001A4F44"/>
    <w:rsid w:val="001A54CD"/>
    <w:rsid w:val="001A66DF"/>
    <w:rsid w:val="001A67D0"/>
    <w:rsid w:val="001A6863"/>
    <w:rsid w:val="001A7591"/>
    <w:rsid w:val="001A75B1"/>
    <w:rsid w:val="001A7B06"/>
    <w:rsid w:val="001B0366"/>
    <w:rsid w:val="001B0444"/>
    <w:rsid w:val="001B096B"/>
    <w:rsid w:val="001B0EB0"/>
    <w:rsid w:val="001B0F40"/>
    <w:rsid w:val="001B0F9F"/>
    <w:rsid w:val="001B123C"/>
    <w:rsid w:val="001B1A0D"/>
    <w:rsid w:val="001B1BF1"/>
    <w:rsid w:val="001B21AC"/>
    <w:rsid w:val="001B2456"/>
    <w:rsid w:val="001B449C"/>
    <w:rsid w:val="001B4AA2"/>
    <w:rsid w:val="001B4ADE"/>
    <w:rsid w:val="001B5530"/>
    <w:rsid w:val="001B5EF8"/>
    <w:rsid w:val="001B71E8"/>
    <w:rsid w:val="001C033E"/>
    <w:rsid w:val="001C07C6"/>
    <w:rsid w:val="001C120D"/>
    <w:rsid w:val="001C16DA"/>
    <w:rsid w:val="001C19CD"/>
    <w:rsid w:val="001C22D5"/>
    <w:rsid w:val="001C2515"/>
    <w:rsid w:val="001C26FB"/>
    <w:rsid w:val="001C33C1"/>
    <w:rsid w:val="001C3E30"/>
    <w:rsid w:val="001C3E5C"/>
    <w:rsid w:val="001C5072"/>
    <w:rsid w:val="001C5B2A"/>
    <w:rsid w:val="001C600B"/>
    <w:rsid w:val="001C6898"/>
    <w:rsid w:val="001C6DD8"/>
    <w:rsid w:val="001C76FA"/>
    <w:rsid w:val="001C79A4"/>
    <w:rsid w:val="001C7C7B"/>
    <w:rsid w:val="001D068D"/>
    <w:rsid w:val="001D12D1"/>
    <w:rsid w:val="001D15DF"/>
    <w:rsid w:val="001D2EEE"/>
    <w:rsid w:val="001D30F3"/>
    <w:rsid w:val="001D31A0"/>
    <w:rsid w:val="001D338E"/>
    <w:rsid w:val="001D4562"/>
    <w:rsid w:val="001D4CAD"/>
    <w:rsid w:val="001D56E9"/>
    <w:rsid w:val="001D6944"/>
    <w:rsid w:val="001D796A"/>
    <w:rsid w:val="001D7A84"/>
    <w:rsid w:val="001D7C79"/>
    <w:rsid w:val="001E003B"/>
    <w:rsid w:val="001E1CC4"/>
    <w:rsid w:val="001E1D38"/>
    <w:rsid w:val="001E28A0"/>
    <w:rsid w:val="001E3FFE"/>
    <w:rsid w:val="001E4258"/>
    <w:rsid w:val="001E5140"/>
    <w:rsid w:val="001E5D6A"/>
    <w:rsid w:val="001E6A94"/>
    <w:rsid w:val="001E70FB"/>
    <w:rsid w:val="001E780A"/>
    <w:rsid w:val="001F0806"/>
    <w:rsid w:val="001F0D15"/>
    <w:rsid w:val="001F0FA0"/>
    <w:rsid w:val="001F10BD"/>
    <w:rsid w:val="001F1349"/>
    <w:rsid w:val="001F1863"/>
    <w:rsid w:val="001F1A52"/>
    <w:rsid w:val="001F2356"/>
    <w:rsid w:val="001F2A68"/>
    <w:rsid w:val="001F2C47"/>
    <w:rsid w:val="001F4773"/>
    <w:rsid w:val="001F5008"/>
    <w:rsid w:val="001F56AA"/>
    <w:rsid w:val="001F58AA"/>
    <w:rsid w:val="001F5A4E"/>
    <w:rsid w:val="001F5EF6"/>
    <w:rsid w:val="001F657F"/>
    <w:rsid w:val="001F6FB6"/>
    <w:rsid w:val="001F72BB"/>
    <w:rsid w:val="001F7978"/>
    <w:rsid w:val="001F7A0E"/>
    <w:rsid w:val="001F7A4B"/>
    <w:rsid w:val="0020022E"/>
    <w:rsid w:val="0020054E"/>
    <w:rsid w:val="00201508"/>
    <w:rsid w:val="00201AC4"/>
    <w:rsid w:val="00201F1E"/>
    <w:rsid w:val="00202761"/>
    <w:rsid w:val="0020299B"/>
    <w:rsid w:val="00202B2A"/>
    <w:rsid w:val="00202E44"/>
    <w:rsid w:val="002037AA"/>
    <w:rsid w:val="00203878"/>
    <w:rsid w:val="00203FE3"/>
    <w:rsid w:val="002042D8"/>
    <w:rsid w:val="00204515"/>
    <w:rsid w:val="00204BF5"/>
    <w:rsid w:val="00204E6B"/>
    <w:rsid w:val="002053EF"/>
    <w:rsid w:val="002058D4"/>
    <w:rsid w:val="0020632A"/>
    <w:rsid w:val="0020697F"/>
    <w:rsid w:val="0020726E"/>
    <w:rsid w:val="00207389"/>
    <w:rsid w:val="002110EB"/>
    <w:rsid w:val="00211338"/>
    <w:rsid w:val="00211388"/>
    <w:rsid w:val="0021148C"/>
    <w:rsid w:val="00211694"/>
    <w:rsid w:val="0021201A"/>
    <w:rsid w:val="00212545"/>
    <w:rsid w:val="002138FE"/>
    <w:rsid w:val="00213A1F"/>
    <w:rsid w:val="00213C63"/>
    <w:rsid w:val="00214502"/>
    <w:rsid w:val="00214741"/>
    <w:rsid w:val="00214938"/>
    <w:rsid w:val="0021539A"/>
    <w:rsid w:val="00215852"/>
    <w:rsid w:val="00215B01"/>
    <w:rsid w:val="00215B8E"/>
    <w:rsid w:val="00216264"/>
    <w:rsid w:val="002169A0"/>
    <w:rsid w:val="002176B6"/>
    <w:rsid w:val="0021792D"/>
    <w:rsid w:val="00217DB8"/>
    <w:rsid w:val="002202CE"/>
    <w:rsid w:val="0022032A"/>
    <w:rsid w:val="002210AD"/>
    <w:rsid w:val="0022194E"/>
    <w:rsid w:val="002220B1"/>
    <w:rsid w:val="002221CE"/>
    <w:rsid w:val="00222BE8"/>
    <w:rsid w:val="00222DF6"/>
    <w:rsid w:val="00223102"/>
    <w:rsid w:val="002232CB"/>
    <w:rsid w:val="00224022"/>
    <w:rsid w:val="00226055"/>
    <w:rsid w:val="0022609C"/>
    <w:rsid w:val="0022613F"/>
    <w:rsid w:val="0022614F"/>
    <w:rsid w:val="00226236"/>
    <w:rsid w:val="002266AF"/>
    <w:rsid w:val="002270C9"/>
    <w:rsid w:val="00227A8B"/>
    <w:rsid w:val="00231293"/>
    <w:rsid w:val="0023146B"/>
    <w:rsid w:val="002315A0"/>
    <w:rsid w:val="00231748"/>
    <w:rsid w:val="00231DCC"/>
    <w:rsid w:val="00231EC7"/>
    <w:rsid w:val="00232E15"/>
    <w:rsid w:val="00233079"/>
    <w:rsid w:val="0023382C"/>
    <w:rsid w:val="00233977"/>
    <w:rsid w:val="00233C58"/>
    <w:rsid w:val="00233C71"/>
    <w:rsid w:val="002345B6"/>
    <w:rsid w:val="002347A6"/>
    <w:rsid w:val="00234B84"/>
    <w:rsid w:val="00236016"/>
    <w:rsid w:val="00237065"/>
    <w:rsid w:val="00237589"/>
    <w:rsid w:val="0023758D"/>
    <w:rsid w:val="002375A7"/>
    <w:rsid w:val="0024019A"/>
    <w:rsid w:val="00240EC1"/>
    <w:rsid w:val="0024120F"/>
    <w:rsid w:val="0024131D"/>
    <w:rsid w:val="002415B8"/>
    <w:rsid w:val="00241B82"/>
    <w:rsid w:val="00242D5F"/>
    <w:rsid w:val="00242D62"/>
    <w:rsid w:val="002430D0"/>
    <w:rsid w:val="002431D7"/>
    <w:rsid w:val="00244058"/>
    <w:rsid w:val="00245718"/>
    <w:rsid w:val="00245E07"/>
    <w:rsid w:val="00247712"/>
    <w:rsid w:val="00250A9E"/>
    <w:rsid w:val="00250EC6"/>
    <w:rsid w:val="002515C7"/>
    <w:rsid w:val="00251866"/>
    <w:rsid w:val="00251A9F"/>
    <w:rsid w:val="00252492"/>
    <w:rsid w:val="00252B35"/>
    <w:rsid w:val="00253070"/>
    <w:rsid w:val="0025316D"/>
    <w:rsid w:val="00253A02"/>
    <w:rsid w:val="00253B81"/>
    <w:rsid w:val="00254AE9"/>
    <w:rsid w:val="002554DE"/>
    <w:rsid w:val="00255575"/>
    <w:rsid w:val="00255E11"/>
    <w:rsid w:val="002564B7"/>
    <w:rsid w:val="00256835"/>
    <w:rsid w:val="002569F0"/>
    <w:rsid w:val="00256C01"/>
    <w:rsid w:val="00256E1A"/>
    <w:rsid w:val="00256ECF"/>
    <w:rsid w:val="00257730"/>
    <w:rsid w:val="00257999"/>
    <w:rsid w:val="002604AA"/>
    <w:rsid w:val="0026051E"/>
    <w:rsid w:val="0026129B"/>
    <w:rsid w:val="00261560"/>
    <w:rsid w:val="00261715"/>
    <w:rsid w:val="00261CF9"/>
    <w:rsid w:val="00261EC0"/>
    <w:rsid w:val="0026231B"/>
    <w:rsid w:val="00263101"/>
    <w:rsid w:val="002631D1"/>
    <w:rsid w:val="00263201"/>
    <w:rsid w:val="00263A37"/>
    <w:rsid w:val="00264266"/>
    <w:rsid w:val="0026471F"/>
    <w:rsid w:val="0026480D"/>
    <w:rsid w:val="002653A6"/>
    <w:rsid w:val="002661F1"/>
    <w:rsid w:val="00266316"/>
    <w:rsid w:val="00266DB6"/>
    <w:rsid w:val="002711A4"/>
    <w:rsid w:val="00271230"/>
    <w:rsid w:val="00271F13"/>
    <w:rsid w:val="00272945"/>
    <w:rsid w:val="00272E89"/>
    <w:rsid w:val="0027482E"/>
    <w:rsid w:val="002748F1"/>
    <w:rsid w:val="00274DB5"/>
    <w:rsid w:val="00275BB1"/>
    <w:rsid w:val="0027770B"/>
    <w:rsid w:val="00277933"/>
    <w:rsid w:val="00277F8D"/>
    <w:rsid w:val="00277FA7"/>
    <w:rsid w:val="00280046"/>
    <w:rsid w:val="00280B4F"/>
    <w:rsid w:val="00280F3D"/>
    <w:rsid w:val="0028106A"/>
    <w:rsid w:val="00281EB4"/>
    <w:rsid w:val="00282E03"/>
    <w:rsid w:val="0028308E"/>
    <w:rsid w:val="002834E9"/>
    <w:rsid w:val="00283A52"/>
    <w:rsid w:val="00283C5E"/>
    <w:rsid w:val="00283E26"/>
    <w:rsid w:val="0028428F"/>
    <w:rsid w:val="00284CFC"/>
    <w:rsid w:val="00285832"/>
    <w:rsid w:val="00285969"/>
    <w:rsid w:val="0028599C"/>
    <w:rsid w:val="0028663B"/>
    <w:rsid w:val="00286CC7"/>
    <w:rsid w:val="00286CEC"/>
    <w:rsid w:val="002870F9"/>
    <w:rsid w:val="002871A9"/>
    <w:rsid w:val="00287505"/>
    <w:rsid w:val="00287727"/>
    <w:rsid w:val="00287BDB"/>
    <w:rsid w:val="00290781"/>
    <w:rsid w:val="00291784"/>
    <w:rsid w:val="002920DF"/>
    <w:rsid w:val="002928A3"/>
    <w:rsid w:val="002929BB"/>
    <w:rsid w:val="00294368"/>
    <w:rsid w:val="00294B78"/>
    <w:rsid w:val="00295416"/>
    <w:rsid w:val="00295949"/>
    <w:rsid w:val="00295D7C"/>
    <w:rsid w:val="0029624A"/>
    <w:rsid w:val="00296922"/>
    <w:rsid w:val="00297098"/>
    <w:rsid w:val="002A05D4"/>
    <w:rsid w:val="002A06DB"/>
    <w:rsid w:val="002A09FF"/>
    <w:rsid w:val="002A0E60"/>
    <w:rsid w:val="002A1A58"/>
    <w:rsid w:val="002A1B02"/>
    <w:rsid w:val="002A1C53"/>
    <w:rsid w:val="002A1F84"/>
    <w:rsid w:val="002A244B"/>
    <w:rsid w:val="002A28FC"/>
    <w:rsid w:val="002A2B44"/>
    <w:rsid w:val="002A2EA5"/>
    <w:rsid w:val="002A301E"/>
    <w:rsid w:val="002A3D94"/>
    <w:rsid w:val="002A4736"/>
    <w:rsid w:val="002A4B1C"/>
    <w:rsid w:val="002A55FE"/>
    <w:rsid w:val="002A625C"/>
    <w:rsid w:val="002A6AFB"/>
    <w:rsid w:val="002A733D"/>
    <w:rsid w:val="002A774A"/>
    <w:rsid w:val="002A78F3"/>
    <w:rsid w:val="002A7D84"/>
    <w:rsid w:val="002A7E5C"/>
    <w:rsid w:val="002A7F6D"/>
    <w:rsid w:val="002B0D83"/>
    <w:rsid w:val="002B1342"/>
    <w:rsid w:val="002B1F83"/>
    <w:rsid w:val="002B27C8"/>
    <w:rsid w:val="002B2A7F"/>
    <w:rsid w:val="002B330B"/>
    <w:rsid w:val="002B39BE"/>
    <w:rsid w:val="002B438C"/>
    <w:rsid w:val="002B48DB"/>
    <w:rsid w:val="002B4B34"/>
    <w:rsid w:val="002B541A"/>
    <w:rsid w:val="002B5EAB"/>
    <w:rsid w:val="002B5F2E"/>
    <w:rsid w:val="002B6407"/>
    <w:rsid w:val="002B6416"/>
    <w:rsid w:val="002B6459"/>
    <w:rsid w:val="002B6F22"/>
    <w:rsid w:val="002B7014"/>
    <w:rsid w:val="002B73B0"/>
    <w:rsid w:val="002C24B4"/>
    <w:rsid w:val="002C2B3A"/>
    <w:rsid w:val="002C2B87"/>
    <w:rsid w:val="002C3CF4"/>
    <w:rsid w:val="002C441A"/>
    <w:rsid w:val="002C4A73"/>
    <w:rsid w:val="002C4B84"/>
    <w:rsid w:val="002C4C0C"/>
    <w:rsid w:val="002C5016"/>
    <w:rsid w:val="002C5C2F"/>
    <w:rsid w:val="002C5D0F"/>
    <w:rsid w:val="002C60B9"/>
    <w:rsid w:val="002C61D4"/>
    <w:rsid w:val="002C6F77"/>
    <w:rsid w:val="002C704D"/>
    <w:rsid w:val="002D0845"/>
    <w:rsid w:val="002D0933"/>
    <w:rsid w:val="002D1555"/>
    <w:rsid w:val="002D15B6"/>
    <w:rsid w:val="002D19BB"/>
    <w:rsid w:val="002D1A9B"/>
    <w:rsid w:val="002D1F51"/>
    <w:rsid w:val="002D20F8"/>
    <w:rsid w:val="002D22BD"/>
    <w:rsid w:val="002D22C5"/>
    <w:rsid w:val="002D302A"/>
    <w:rsid w:val="002D36C6"/>
    <w:rsid w:val="002D37C1"/>
    <w:rsid w:val="002D444B"/>
    <w:rsid w:val="002D46A6"/>
    <w:rsid w:val="002D46B4"/>
    <w:rsid w:val="002D46CE"/>
    <w:rsid w:val="002D49C2"/>
    <w:rsid w:val="002D4A45"/>
    <w:rsid w:val="002D4B42"/>
    <w:rsid w:val="002D4B43"/>
    <w:rsid w:val="002D54EE"/>
    <w:rsid w:val="002D5A1B"/>
    <w:rsid w:val="002D6558"/>
    <w:rsid w:val="002D65BC"/>
    <w:rsid w:val="002E055C"/>
    <w:rsid w:val="002E1050"/>
    <w:rsid w:val="002E107E"/>
    <w:rsid w:val="002E18E5"/>
    <w:rsid w:val="002E1953"/>
    <w:rsid w:val="002E2C3F"/>
    <w:rsid w:val="002E2CB5"/>
    <w:rsid w:val="002E2D7D"/>
    <w:rsid w:val="002E32D0"/>
    <w:rsid w:val="002E3D76"/>
    <w:rsid w:val="002E40A1"/>
    <w:rsid w:val="002E48EC"/>
    <w:rsid w:val="002E4B44"/>
    <w:rsid w:val="002E4ECB"/>
    <w:rsid w:val="002E4F23"/>
    <w:rsid w:val="002E635A"/>
    <w:rsid w:val="002E6D68"/>
    <w:rsid w:val="002E7847"/>
    <w:rsid w:val="002F0073"/>
    <w:rsid w:val="002F1B27"/>
    <w:rsid w:val="002F1C67"/>
    <w:rsid w:val="002F240B"/>
    <w:rsid w:val="002F2F50"/>
    <w:rsid w:val="002F33EC"/>
    <w:rsid w:val="002F34E3"/>
    <w:rsid w:val="002F3601"/>
    <w:rsid w:val="002F40E2"/>
    <w:rsid w:val="002F45F6"/>
    <w:rsid w:val="002F4A0E"/>
    <w:rsid w:val="002F5A6F"/>
    <w:rsid w:val="002F692F"/>
    <w:rsid w:val="002F7031"/>
    <w:rsid w:val="002F7961"/>
    <w:rsid w:val="002F7B66"/>
    <w:rsid w:val="00300CB4"/>
    <w:rsid w:val="00300E24"/>
    <w:rsid w:val="0030257B"/>
    <w:rsid w:val="003033BA"/>
    <w:rsid w:val="0030341E"/>
    <w:rsid w:val="00303C19"/>
    <w:rsid w:val="003043A3"/>
    <w:rsid w:val="0030462D"/>
    <w:rsid w:val="00304BD4"/>
    <w:rsid w:val="00304F54"/>
    <w:rsid w:val="0030500A"/>
    <w:rsid w:val="003052EB"/>
    <w:rsid w:val="00305FCB"/>
    <w:rsid w:val="003063C3"/>
    <w:rsid w:val="003069DC"/>
    <w:rsid w:val="00306A13"/>
    <w:rsid w:val="00306B44"/>
    <w:rsid w:val="00307833"/>
    <w:rsid w:val="00307C44"/>
    <w:rsid w:val="0031040A"/>
    <w:rsid w:val="0031088E"/>
    <w:rsid w:val="00310D01"/>
    <w:rsid w:val="00311376"/>
    <w:rsid w:val="00311A1F"/>
    <w:rsid w:val="00311B47"/>
    <w:rsid w:val="00311D52"/>
    <w:rsid w:val="00312190"/>
    <w:rsid w:val="003125E0"/>
    <w:rsid w:val="0031271D"/>
    <w:rsid w:val="0031277A"/>
    <w:rsid w:val="003132BB"/>
    <w:rsid w:val="00313337"/>
    <w:rsid w:val="00313447"/>
    <w:rsid w:val="00313748"/>
    <w:rsid w:val="00313EA3"/>
    <w:rsid w:val="003151FE"/>
    <w:rsid w:val="00315365"/>
    <w:rsid w:val="00315457"/>
    <w:rsid w:val="003161A4"/>
    <w:rsid w:val="003165A4"/>
    <w:rsid w:val="0031674D"/>
    <w:rsid w:val="00316955"/>
    <w:rsid w:val="0031713F"/>
    <w:rsid w:val="0031720A"/>
    <w:rsid w:val="0031749B"/>
    <w:rsid w:val="003174E5"/>
    <w:rsid w:val="00317C9D"/>
    <w:rsid w:val="00317CD2"/>
    <w:rsid w:val="00317D99"/>
    <w:rsid w:val="0032078D"/>
    <w:rsid w:val="00320ADF"/>
    <w:rsid w:val="0032137B"/>
    <w:rsid w:val="00321A70"/>
    <w:rsid w:val="00321BD6"/>
    <w:rsid w:val="00321FA3"/>
    <w:rsid w:val="003227D3"/>
    <w:rsid w:val="00322937"/>
    <w:rsid w:val="00323881"/>
    <w:rsid w:val="00324885"/>
    <w:rsid w:val="003251A8"/>
    <w:rsid w:val="003254B1"/>
    <w:rsid w:val="00325AD9"/>
    <w:rsid w:val="00325D98"/>
    <w:rsid w:val="0032682A"/>
    <w:rsid w:val="00327A5C"/>
    <w:rsid w:val="0033092C"/>
    <w:rsid w:val="0033122A"/>
    <w:rsid w:val="003315AC"/>
    <w:rsid w:val="00331932"/>
    <w:rsid w:val="00331F74"/>
    <w:rsid w:val="00332382"/>
    <w:rsid w:val="00332453"/>
    <w:rsid w:val="0033251B"/>
    <w:rsid w:val="003331CC"/>
    <w:rsid w:val="00333A88"/>
    <w:rsid w:val="00335B15"/>
    <w:rsid w:val="00335B21"/>
    <w:rsid w:val="00335D3F"/>
    <w:rsid w:val="00336104"/>
    <w:rsid w:val="00336729"/>
    <w:rsid w:val="00336CD9"/>
    <w:rsid w:val="0033726D"/>
    <w:rsid w:val="00337296"/>
    <w:rsid w:val="00337CA8"/>
    <w:rsid w:val="00340D3F"/>
    <w:rsid w:val="0034174B"/>
    <w:rsid w:val="0034177C"/>
    <w:rsid w:val="003420E9"/>
    <w:rsid w:val="00342345"/>
    <w:rsid w:val="00342837"/>
    <w:rsid w:val="00342C27"/>
    <w:rsid w:val="003430C8"/>
    <w:rsid w:val="003432C8"/>
    <w:rsid w:val="003434B3"/>
    <w:rsid w:val="00343536"/>
    <w:rsid w:val="00343EFB"/>
    <w:rsid w:val="00344760"/>
    <w:rsid w:val="00344803"/>
    <w:rsid w:val="003454E8"/>
    <w:rsid w:val="00345574"/>
    <w:rsid w:val="0034680A"/>
    <w:rsid w:val="00346C62"/>
    <w:rsid w:val="00347202"/>
    <w:rsid w:val="0034778E"/>
    <w:rsid w:val="00347A5A"/>
    <w:rsid w:val="003501E2"/>
    <w:rsid w:val="00351E10"/>
    <w:rsid w:val="003533F4"/>
    <w:rsid w:val="003536F6"/>
    <w:rsid w:val="00353DD5"/>
    <w:rsid w:val="00353F36"/>
    <w:rsid w:val="00355131"/>
    <w:rsid w:val="00355F74"/>
    <w:rsid w:val="003560DB"/>
    <w:rsid w:val="003564DB"/>
    <w:rsid w:val="00356F87"/>
    <w:rsid w:val="00357AC5"/>
    <w:rsid w:val="00357E83"/>
    <w:rsid w:val="00360B68"/>
    <w:rsid w:val="00360CF3"/>
    <w:rsid w:val="00361A59"/>
    <w:rsid w:val="00363348"/>
    <w:rsid w:val="00363857"/>
    <w:rsid w:val="00363D59"/>
    <w:rsid w:val="00363F08"/>
    <w:rsid w:val="003640F7"/>
    <w:rsid w:val="0036594A"/>
    <w:rsid w:val="00365D3A"/>
    <w:rsid w:val="003664FF"/>
    <w:rsid w:val="00366BD2"/>
    <w:rsid w:val="003670B8"/>
    <w:rsid w:val="003704A3"/>
    <w:rsid w:val="003706F2"/>
    <w:rsid w:val="003709E8"/>
    <w:rsid w:val="0037124F"/>
    <w:rsid w:val="00373827"/>
    <w:rsid w:val="0037401C"/>
    <w:rsid w:val="0037407B"/>
    <w:rsid w:val="0037507B"/>
    <w:rsid w:val="00375C7C"/>
    <w:rsid w:val="00377027"/>
    <w:rsid w:val="00377135"/>
    <w:rsid w:val="00380272"/>
    <w:rsid w:val="003805DB"/>
    <w:rsid w:val="0038152A"/>
    <w:rsid w:val="0038245D"/>
    <w:rsid w:val="00382BAD"/>
    <w:rsid w:val="003835FD"/>
    <w:rsid w:val="00383EDF"/>
    <w:rsid w:val="00384C5E"/>
    <w:rsid w:val="00384DF1"/>
    <w:rsid w:val="00384FF3"/>
    <w:rsid w:val="00386456"/>
    <w:rsid w:val="003865A9"/>
    <w:rsid w:val="0039092B"/>
    <w:rsid w:val="00390BD9"/>
    <w:rsid w:val="00390F32"/>
    <w:rsid w:val="0039135E"/>
    <w:rsid w:val="0039285D"/>
    <w:rsid w:val="0039319C"/>
    <w:rsid w:val="00393577"/>
    <w:rsid w:val="00393CAE"/>
    <w:rsid w:val="003945F4"/>
    <w:rsid w:val="00394EB5"/>
    <w:rsid w:val="003953B4"/>
    <w:rsid w:val="0039615F"/>
    <w:rsid w:val="003966A0"/>
    <w:rsid w:val="00396A29"/>
    <w:rsid w:val="00397C34"/>
    <w:rsid w:val="00397FF0"/>
    <w:rsid w:val="003A06CA"/>
    <w:rsid w:val="003A0878"/>
    <w:rsid w:val="003A1561"/>
    <w:rsid w:val="003A1D25"/>
    <w:rsid w:val="003A22A2"/>
    <w:rsid w:val="003A2447"/>
    <w:rsid w:val="003A2AA1"/>
    <w:rsid w:val="003A31A5"/>
    <w:rsid w:val="003A329A"/>
    <w:rsid w:val="003A3603"/>
    <w:rsid w:val="003A3851"/>
    <w:rsid w:val="003A39DD"/>
    <w:rsid w:val="003A40DB"/>
    <w:rsid w:val="003A4199"/>
    <w:rsid w:val="003A41C5"/>
    <w:rsid w:val="003A4A8E"/>
    <w:rsid w:val="003A563C"/>
    <w:rsid w:val="003A581E"/>
    <w:rsid w:val="003A5E7E"/>
    <w:rsid w:val="003A607A"/>
    <w:rsid w:val="003A6160"/>
    <w:rsid w:val="003A65A5"/>
    <w:rsid w:val="003A72F5"/>
    <w:rsid w:val="003A78E5"/>
    <w:rsid w:val="003B0341"/>
    <w:rsid w:val="003B1961"/>
    <w:rsid w:val="003B1E57"/>
    <w:rsid w:val="003B2EF3"/>
    <w:rsid w:val="003B534F"/>
    <w:rsid w:val="003B5391"/>
    <w:rsid w:val="003B58CE"/>
    <w:rsid w:val="003B65D7"/>
    <w:rsid w:val="003B65E0"/>
    <w:rsid w:val="003B6BD4"/>
    <w:rsid w:val="003B6F4D"/>
    <w:rsid w:val="003B6FE7"/>
    <w:rsid w:val="003B7373"/>
    <w:rsid w:val="003C0491"/>
    <w:rsid w:val="003C0C0F"/>
    <w:rsid w:val="003C0D1F"/>
    <w:rsid w:val="003C116A"/>
    <w:rsid w:val="003C1AF4"/>
    <w:rsid w:val="003C1CB8"/>
    <w:rsid w:val="003C22DA"/>
    <w:rsid w:val="003C2550"/>
    <w:rsid w:val="003C287F"/>
    <w:rsid w:val="003C3339"/>
    <w:rsid w:val="003C375A"/>
    <w:rsid w:val="003C4317"/>
    <w:rsid w:val="003C4D9F"/>
    <w:rsid w:val="003C5247"/>
    <w:rsid w:val="003C5B02"/>
    <w:rsid w:val="003C5E8A"/>
    <w:rsid w:val="003C622C"/>
    <w:rsid w:val="003C6505"/>
    <w:rsid w:val="003C73C7"/>
    <w:rsid w:val="003C7CFB"/>
    <w:rsid w:val="003D050B"/>
    <w:rsid w:val="003D0B98"/>
    <w:rsid w:val="003D0C3C"/>
    <w:rsid w:val="003D0DE5"/>
    <w:rsid w:val="003D1351"/>
    <w:rsid w:val="003D21C1"/>
    <w:rsid w:val="003D3B15"/>
    <w:rsid w:val="003D3B2E"/>
    <w:rsid w:val="003D4101"/>
    <w:rsid w:val="003D484D"/>
    <w:rsid w:val="003D49CB"/>
    <w:rsid w:val="003D5F10"/>
    <w:rsid w:val="003D6B8F"/>
    <w:rsid w:val="003D7566"/>
    <w:rsid w:val="003E0224"/>
    <w:rsid w:val="003E09BB"/>
    <w:rsid w:val="003E159D"/>
    <w:rsid w:val="003E20EA"/>
    <w:rsid w:val="003E210C"/>
    <w:rsid w:val="003E2F55"/>
    <w:rsid w:val="003E324A"/>
    <w:rsid w:val="003E34DB"/>
    <w:rsid w:val="003E3833"/>
    <w:rsid w:val="003E3AF9"/>
    <w:rsid w:val="003E4A70"/>
    <w:rsid w:val="003E4C48"/>
    <w:rsid w:val="003E4CD9"/>
    <w:rsid w:val="003E52C2"/>
    <w:rsid w:val="003E54B3"/>
    <w:rsid w:val="003E5780"/>
    <w:rsid w:val="003E5B9F"/>
    <w:rsid w:val="003E6072"/>
    <w:rsid w:val="003E60D6"/>
    <w:rsid w:val="003E6AB6"/>
    <w:rsid w:val="003E6E0B"/>
    <w:rsid w:val="003E71CD"/>
    <w:rsid w:val="003E78DA"/>
    <w:rsid w:val="003E7A8B"/>
    <w:rsid w:val="003F060E"/>
    <w:rsid w:val="003F0F7F"/>
    <w:rsid w:val="003F115C"/>
    <w:rsid w:val="003F153A"/>
    <w:rsid w:val="003F300D"/>
    <w:rsid w:val="003F391F"/>
    <w:rsid w:val="003F4599"/>
    <w:rsid w:val="003F45E1"/>
    <w:rsid w:val="003F4F6C"/>
    <w:rsid w:val="003F559E"/>
    <w:rsid w:val="003F6181"/>
    <w:rsid w:val="003F6BFC"/>
    <w:rsid w:val="003F7343"/>
    <w:rsid w:val="00400002"/>
    <w:rsid w:val="00400054"/>
    <w:rsid w:val="004016A3"/>
    <w:rsid w:val="00401B31"/>
    <w:rsid w:val="0040202B"/>
    <w:rsid w:val="0040219D"/>
    <w:rsid w:val="0040284E"/>
    <w:rsid w:val="00402DE1"/>
    <w:rsid w:val="00402EEB"/>
    <w:rsid w:val="004037C2"/>
    <w:rsid w:val="00404041"/>
    <w:rsid w:val="004040D4"/>
    <w:rsid w:val="00404B43"/>
    <w:rsid w:val="00404C61"/>
    <w:rsid w:val="00405487"/>
    <w:rsid w:val="00405B8A"/>
    <w:rsid w:val="0040602B"/>
    <w:rsid w:val="0040606C"/>
    <w:rsid w:val="004060DC"/>
    <w:rsid w:val="00406DF5"/>
    <w:rsid w:val="00406F35"/>
    <w:rsid w:val="004077D0"/>
    <w:rsid w:val="00407A7A"/>
    <w:rsid w:val="00407ABC"/>
    <w:rsid w:val="00407F1E"/>
    <w:rsid w:val="00410A88"/>
    <w:rsid w:val="00410CC8"/>
    <w:rsid w:val="00410EA0"/>
    <w:rsid w:val="00411317"/>
    <w:rsid w:val="00411692"/>
    <w:rsid w:val="00411A9E"/>
    <w:rsid w:val="0041259F"/>
    <w:rsid w:val="00412B1B"/>
    <w:rsid w:val="00412B4D"/>
    <w:rsid w:val="00412C51"/>
    <w:rsid w:val="00413262"/>
    <w:rsid w:val="0041329C"/>
    <w:rsid w:val="004139F4"/>
    <w:rsid w:val="00413FFA"/>
    <w:rsid w:val="00414246"/>
    <w:rsid w:val="0041463D"/>
    <w:rsid w:val="00414D9A"/>
    <w:rsid w:val="00415194"/>
    <w:rsid w:val="00415816"/>
    <w:rsid w:val="00415B88"/>
    <w:rsid w:val="00415D32"/>
    <w:rsid w:val="004160A2"/>
    <w:rsid w:val="0041674B"/>
    <w:rsid w:val="004170D7"/>
    <w:rsid w:val="004177A6"/>
    <w:rsid w:val="00417C23"/>
    <w:rsid w:val="00417EFD"/>
    <w:rsid w:val="004200EE"/>
    <w:rsid w:val="00420786"/>
    <w:rsid w:val="004209D2"/>
    <w:rsid w:val="00420BBA"/>
    <w:rsid w:val="00420D6E"/>
    <w:rsid w:val="0042158C"/>
    <w:rsid w:val="00421617"/>
    <w:rsid w:val="004217A7"/>
    <w:rsid w:val="00421BD2"/>
    <w:rsid w:val="00421E00"/>
    <w:rsid w:val="00421FCB"/>
    <w:rsid w:val="00422631"/>
    <w:rsid w:val="00422DCA"/>
    <w:rsid w:val="00423C7F"/>
    <w:rsid w:val="00423D04"/>
    <w:rsid w:val="00423F9F"/>
    <w:rsid w:val="00425C43"/>
    <w:rsid w:val="004273FA"/>
    <w:rsid w:val="004275A7"/>
    <w:rsid w:val="00430186"/>
    <w:rsid w:val="00430F17"/>
    <w:rsid w:val="00431CC7"/>
    <w:rsid w:val="0043260C"/>
    <w:rsid w:val="0043269A"/>
    <w:rsid w:val="00432E92"/>
    <w:rsid w:val="004333C2"/>
    <w:rsid w:val="00434787"/>
    <w:rsid w:val="00434C13"/>
    <w:rsid w:val="00434D8B"/>
    <w:rsid w:val="00435294"/>
    <w:rsid w:val="00435703"/>
    <w:rsid w:val="00435BD5"/>
    <w:rsid w:val="00436323"/>
    <w:rsid w:val="0043683F"/>
    <w:rsid w:val="00436F40"/>
    <w:rsid w:val="004370FA"/>
    <w:rsid w:val="00440096"/>
    <w:rsid w:val="004403DD"/>
    <w:rsid w:val="00440CF3"/>
    <w:rsid w:val="00440DB0"/>
    <w:rsid w:val="00440DDC"/>
    <w:rsid w:val="00440FAD"/>
    <w:rsid w:val="00441291"/>
    <w:rsid w:val="00441E04"/>
    <w:rsid w:val="004420AB"/>
    <w:rsid w:val="004422D6"/>
    <w:rsid w:val="004427AC"/>
    <w:rsid w:val="00442C7D"/>
    <w:rsid w:val="00442D13"/>
    <w:rsid w:val="00442D21"/>
    <w:rsid w:val="00442D4D"/>
    <w:rsid w:val="0044374D"/>
    <w:rsid w:val="00443B55"/>
    <w:rsid w:val="00443D27"/>
    <w:rsid w:val="0044500B"/>
    <w:rsid w:val="004451C5"/>
    <w:rsid w:val="00446037"/>
    <w:rsid w:val="00446270"/>
    <w:rsid w:val="0044642F"/>
    <w:rsid w:val="0044772C"/>
    <w:rsid w:val="00447EF7"/>
    <w:rsid w:val="00450846"/>
    <w:rsid w:val="00451A52"/>
    <w:rsid w:val="00452663"/>
    <w:rsid w:val="0045271D"/>
    <w:rsid w:val="00452755"/>
    <w:rsid w:val="00452803"/>
    <w:rsid w:val="004529C6"/>
    <w:rsid w:val="00452EAD"/>
    <w:rsid w:val="004533D1"/>
    <w:rsid w:val="004534D1"/>
    <w:rsid w:val="00454548"/>
    <w:rsid w:val="00454589"/>
    <w:rsid w:val="00454717"/>
    <w:rsid w:val="00454DF8"/>
    <w:rsid w:val="00455004"/>
    <w:rsid w:val="00455047"/>
    <w:rsid w:val="00455354"/>
    <w:rsid w:val="0045558D"/>
    <w:rsid w:val="00455BD3"/>
    <w:rsid w:val="004567DA"/>
    <w:rsid w:val="00456970"/>
    <w:rsid w:val="00456BB1"/>
    <w:rsid w:val="00456CD4"/>
    <w:rsid w:val="00456DDB"/>
    <w:rsid w:val="00456E61"/>
    <w:rsid w:val="00457031"/>
    <w:rsid w:val="00460915"/>
    <w:rsid w:val="00460946"/>
    <w:rsid w:val="004614A9"/>
    <w:rsid w:val="00461E97"/>
    <w:rsid w:val="0046268F"/>
    <w:rsid w:val="0046284F"/>
    <w:rsid w:val="00462B10"/>
    <w:rsid w:val="00462C04"/>
    <w:rsid w:val="00462E1D"/>
    <w:rsid w:val="0046320A"/>
    <w:rsid w:val="00463347"/>
    <w:rsid w:val="004636CC"/>
    <w:rsid w:val="004638E2"/>
    <w:rsid w:val="00464030"/>
    <w:rsid w:val="004647F8"/>
    <w:rsid w:val="004647FB"/>
    <w:rsid w:val="00465347"/>
    <w:rsid w:val="00465677"/>
    <w:rsid w:val="00466392"/>
    <w:rsid w:val="00466616"/>
    <w:rsid w:val="00466A0C"/>
    <w:rsid w:val="00466A53"/>
    <w:rsid w:val="00470552"/>
    <w:rsid w:val="00470A6A"/>
    <w:rsid w:val="00470D73"/>
    <w:rsid w:val="00470D92"/>
    <w:rsid w:val="00471DF7"/>
    <w:rsid w:val="004734CF"/>
    <w:rsid w:val="00473F33"/>
    <w:rsid w:val="0047586C"/>
    <w:rsid w:val="00475C5A"/>
    <w:rsid w:val="00475C9C"/>
    <w:rsid w:val="0047676B"/>
    <w:rsid w:val="0047771F"/>
    <w:rsid w:val="0047773C"/>
    <w:rsid w:val="00477C5F"/>
    <w:rsid w:val="00480050"/>
    <w:rsid w:val="0048011C"/>
    <w:rsid w:val="004808DE"/>
    <w:rsid w:val="00480F9A"/>
    <w:rsid w:val="00481AC4"/>
    <w:rsid w:val="00481DC1"/>
    <w:rsid w:val="00482507"/>
    <w:rsid w:val="0048268A"/>
    <w:rsid w:val="00482A64"/>
    <w:rsid w:val="004835CA"/>
    <w:rsid w:val="004836F8"/>
    <w:rsid w:val="004836FE"/>
    <w:rsid w:val="00484A39"/>
    <w:rsid w:val="00484F0F"/>
    <w:rsid w:val="00484F40"/>
    <w:rsid w:val="0048540C"/>
    <w:rsid w:val="0048608A"/>
    <w:rsid w:val="004861B4"/>
    <w:rsid w:val="00486226"/>
    <w:rsid w:val="00486BD0"/>
    <w:rsid w:val="00486D00"/>
    <w:rsid w:val="00486FF7"/>
    <w:rsid w:val="00487263"/>
    <w:rsid w:val="0048734F"/>
    <w:rsid w:val="0049029D"/>
    <w:rsid w:val="0049030C"/>
    <w:rsid w:val="004903C0"/>
    <w:rsid w:val="0049114B"/>
    <w:rsid w:val="004912A8"/>
    <w:rsid w:val="00491577"/>
    <w:rsid w:val="004918E1"/>
    <w:rsid w:val="0049196A"/>
    <w:rsid w:val="0049196E"/>
    <w:rsid w:val="0049241A"/>
    <w:rsid w:val="00492844"/>
    <w:rsid w:val="00492C1F"/>
    <w:rsid w:val="00492E4C"/>
    <w:rsid w:val="00493664"/>
    <w:rsid w:val="004938FD"/>
    <w:rsid w:val="00493E04"/>
    <w:rsid w:val="004940E3"/>
    <w:rsid w:val="0049530F"/>
    <w:rsid w:val="00496664"/>
    <w:rsid w:val="00496786"/>
    <w:rsid w:val="0049695B"/>
    <w:rsid w:val="00496D8F"/>
    <w:rsid w:val="00497463"/>
    <w:rsid w:val="004A054C"/>
    <w:rsid w:val="004A08D1"/>
    <w:rsid w:val="004A16C1"/>
    <w:rsid w:val="004A1CE2"/>
    <w:rsid w:val="004A34D2"/>
    <w:rsid w:val="004A4301"/>
    <w:rsid w:val="004A4D93"/>
    <w:rsid w:val="004A546E"/>
    <w:rsid w:val="004A58EE"/>
    <w:rsid w:val="004A59B7"/>
    <w:rsid w:val="004A6051"/>
    <w:rsid w:val="004A623B"/>
    <w:rsid w:val="004A6A04"/>
    <w:rsid w:val="004A6A52"/>
    <w:rsid w:val="004B07E6"/>
    <w:rsid w:val="004B0A44"/>
    <w:rsid w:val="004B0F0B"/>
    <w:rsid w:val="004B2197"/>
    <w:rsid w:val="004B298A"/>
    <w:rsid w:val="004B2BB8"/>
    <w:rsid w:val="004B50CB"/>
    <w:rsid w:val="004B578D"/>
    <w:rsid w:val="004B5BE7"/>
    <w:rsid w:val="004B5E2D"/>
    <w:rsid w:val="004B6C07"/>
    <w:rsid w:val="004B6EF5"/>
    <w:rsid w:val="004B74D3"/>
    <w:rsid w:val="004B755E"/>
    <w:rsid w:val="004B788E"/>
    <w:rsid w:val="004B7E5D"/>
    <w:rsid w:val="004C1198"/>
    <w:rsid w:val="004C22F7"/>
    <w:rsid w:val="004C2B27"/>
    <w:rsid w:val="004C3929"/>
    <w:rsid w:val="004C4160"/>
    <w:rsid w:val="004C5212"/>
    <w:rsid w:val="004C5EF0"/>
    <w:rsid w:val="004C64C9"/>
    <w:rsid w:val="004C7226"/>
    <w:rsid w:val="004C74C9"/>
    <w:rsid w:val="004C7915"/>
    <w:rsid w:val="004C7D70"/>
    <w:rsid w:val="004D02F9"/>
    <w:rsid w:val="004D03FE"/>
    <w:rsid w:val="004D0446"/>
    <w:rsid w:val="004D06A3"/>
    <w:rsid w:val="004D0F95"/>
    <w:rsid w:val="004D106A"/>
    <w:rsid w:val="004D1C7E"/>
    <w:rsid w:val="004D245A"/>
    <w:rsid w:val="004D31EE"/>
    <w:rsid w:val="004D36AF"/>
    <w:rsid w:val="004D3BD1"/>
    <w:rsid w:val="004D4BA1"/>
    <w:rsid w:val="004D584D"/>
    <w:rsid w:val="004D5A7E"/>
    <w:rsid w:val="004D6120"/>
    <w:rsid w:val="004D6826"/>
    <w:rsid w:val="004D7497"/>
    <w:rsid w:val="004E023F"/>
    <w:rsid w:val="004E0546"/>
    <w:rsid w:val="004E0556"/>
    <w:rsid w:val="004E0742"/>
    <w:rsid w:val="004E0C64"/>
    <w:rsid w:val="004E0F6B"/>
    <w:rsid w:val="004E1545"/>
    <w:rsid w:val="004E1F1C"/>
    <w:rsid w:val="004E2A35"/>
    <w:rsid w:val="004E2CCF"/>
    <w:rsid w:val="004E3152"/>
    <w:rsid w:val="004E3B71"/>
    <w:rsid w:val="004E4055"/>
    <w:rsid w:val="004E40CE"/>
    <w:rsid w:val="004E5736"/>
    <w:rsid w:val="004E5A3C"/>
    <w:rsid w:val="004E5B36"/>
    <w:rsid w:val="004E5D5D"/>
    <w:rsid w:val="004E6045"/>
    <w:rsid w:val="004E667A"/>
    <w:rsid w:val="004E6F43"/>
    <w:rsid w:val="004E7200"/>
    <w:rsid w:val="004E787E"/>
    <w:rsid w:val="004E7AA1"/>
    <w:rsid w:val="004F0805"/>
    <w:rsid w:val="004F0960"/>
    <w:rsid w:val="004F0A5C"/>
    <w:rsid w:val="004F1596"/>
    <w:rsid w:val="004F163F"/>
    <w:rsid w:val="004F18A0"/>
    <w:rsid w:val="004F1A08"/>
    <w:rsid w:val="004F2B64"/>
    <w:rsid w:val="004F31B8"/>
    <w:rsid w:val="004F375E"/>
    <w:rsid w:val="004F3764"/>
    <w:rsid w:val="004F3EEF"/>
    <w:rsid w:val="004F4D5A"/>
    <w:rsid w:val="004F5180"/>
    <w:rsid w:val="004F57C9"/>
    <w:rsid w:val="004F5930"/>
    <w:rsid w:val="004F5970"/>
    <w:rsid w:val="004F5F0C"/>
    <w:rsid w:val="004F6121"/>
    <w:rsid w:val="004F6161"/>
    <w:rsid w:val="004F66BC"/>
    <w:rsid w:val="004F6C26"/>
    <w:rsid w:val="004F7AC9"/>
    <w:rsid w:val="0050062F"/>
    <w:rsid w:val="00500E74"/>
    <w:rsid w:val="0050160F"/>
    <w:rsid w:val="0050284E"/>
    <w:rsid w:val="0050306F"/>
    <w:rsid w:val="00503A17"/>
    <w:rsid w:val="00505139"/>
    <w:rsid w:val="00505892"/>
    <w:rsid w:val="00505DCB"/>
    <w:rsid w:val="00507066"/>
    <w:rsid w:val="005075CA"/>
    <w:rsid w:val="00507B06"/>
    <w:rsid w:val="00507BF1"/>
    <w:rsid w:val="0051074C"/>
    <w:rsid w:val="00510DE9"/>
    <w:rsid w:val="005111E2"/>
    <w:rsid w:val="00511231"/>
    <w:rsid w:val="00511741"/>
    <w:rsid w:val="00512C4F"/>
    <w:rsid w:val="00513042"/>
    <w:rsid w:val="00513170"/>
    <w:rsid w:val="0051334F"/>
    <w:rsid w:val="00513399"/>
    <w:rsid w:val="005135BE"/>
    <w:rsid w:val="00513AF2"/>
    <w:rsid w:val="00514575"/>
    <w:rsid w:val="00514C03"/>
    <w:rsid w:val="00514D67"/>
    <w:rsid w:val="0051522A"/>
    <w:rsid w:val="00515515"/>
    <w:rsid w:val="0051635C"/>
    <w:rsid w:val="00516C5B"/>
    <w:rsid w:val="00517612"/>
    <w:rsid w:val="00517CFB"/>
    <w:rsid w:val="00517F85"/>
    <w:rsid w:val="0052002F"/>
    <w:rsid w:val="00520235"/>
    <w:rsid w:val="00520899"/>
    <w:rsid w:val="00520922"/>
    <w:rsid w:val="005209FC"/>
    <w:rsid w:val="00520C09"/>
    <w:rsid w:val="00521A30"/>
    <w:rsid w:val="00521D7C"/>
    <w:rsid w:val="00521EA7"/>
    <w:rsid w:val="005224E5"/>
    <w:rsid w:val="0052311A"/>
    <w:rsid w:val="00523903"/>
    <w:rsid w:val="005239B6"/>
    <w:rsid w:val="00523C45"/>
    <w:rsid w:val="00523F41"/>
    <w:rsid w:val="00524165"/>
    <w:rsid w:val="005246E7"/>
    <w:rsid w:val="00524B08"/>
    <w:rsid w:val="00524C38"/>
    <w:rsid w:val="00524FD2"/>
    <w:rsid w:val="00525621"/>
    <w:rsid w:val="00526431"/>
    <w:rsid w:val="00527532"/>
    <w:rsid w:val="00527DEB"/>
    <w:rsid w:val="00527E57"/>
    <w:rsid w:val="00527F2C"/>
    <w:rsid w:val="00530059"/>
    <w:rsid w:val="00530405"/>
    <w:rsid w:val="00530458"/>
    <w:rsid w:val="00530522"/>
    <w:rsid w:val="005305E5"/>
    <w:rsid w:val="0053086F"/>
    <w:rsid w:val="00530CBA"/>
    <w:rsid w:val="00530F38"/>
    <w:rsid w:val="00531F26"/>
    <w:rsid w:val="00531FEF"/>
    <w:rsid w:val="00532501"/>
    <w:rsid w:val="0053277C"/>
    <w:rsid w:val="005327C0"/>
    <w:rsid w:val="00533101"/>
    <w:rsid w:val="00533CA9"/>
    <w:rsid w:val="005346AD"/>
    <w:rsid w:val="00534EFB"/>
    <w:rsid w:val="00534F60"/>
    <w:rsid w:val="005357F1"/>
    <w:rsid w:val="00535C73"/>
    <w:rsid w:val="00535D15"/>
    <w:rsid w:val="00536053"/>
    <w:rsid w:val="005363C6"/>
    <w:rsid w:val="005369E6"/>
    <w:rsid w:val="005371AC"/>
    <w:rsid w:val="00537672"/>
    <w:rsid w:val="005376B5"/>
    <w:rsid w:val="0053772F"/>
    <w:rsid w:val="00537A70"/>
    <w:rsid w:val="00537B64"/>
    <w:rsid w:val="00537B77"/>
    <w:rsid w:val="00540C4C"/>
    <w:rsid w:val="00541469"/>
    <w:rsid w:val="00541571"/>
    <w:rsid w:val="00541B1F"/>
    <w:rsid w:val="0054275A"/>
    <w:rsid w:val="005428B8"/>
    <w:rsid w:val="005428BE"/>
    <w:rsid w:val="00542BD7"/>
    <w:rsid w:val="00543084"/>
    <w:rsid w:val="00543584"/>
    <w:rsid w:val="00543A9E"/>
    <w:rsid w:val="0054413A"/>
    <w:rsid w:val="00544288"/>
    <w:rsid w:val="005446BB"/>
    <w:rsid w:val="00544CE3"/>
    <w:rsid w:val="00544DA5"/>
    <w:rsid w:val="00544F43"/>
    <w:rsid w:val="00545E30"/>
    <w:rsid w:val="00545EA3"/>
    <w:rsid w:val="00546C9B"/>
    <w:rsid w:val="00547BF6"/>
    <w:rsid w:val="00547FB3"/>
    <w:rsid w:val="00551098"/>
    <w:rsid w:val="00551598"/>
    <w:rsid w:val="0055162B"/>
    <w:rsid w:val="00551A56"/>
    <w:rsid w:val="00551BFF"/>
    <w:rsid w:val="00551D68"/>
    <w:rsid w:val="00551DFF"/>
    <w:rsid w:val="005525C9"/>
    <w:rsid w:val="00552B3E"/>
    <w:rsid w:val="00554578"/>
    <w:rsid w:val="00554D57"/>
    <w:rsid w:val="005551AA"/>
    <w:rsid w:val="00555BCE"/>
    <w:rsid w:val="005564CA"/>
    <w:rsid w:val="005568BD"/>
    <w:rsid w:val="005568EA"/>
    <w:rsid w:val="00557140"/>
    <w:rsid w:val="0055715A"/>
    <w:rsid w:val="0055729E"/>
    <w:rsid w:val="00557984"/>
    <w:rsid w:val="00557A3F"/>
    <w:rsid w:val="00560BC1"/>
    <w:rsid w:val="00560C87"/>
    <w:rsid w:val="00560F51"/>
    <w:rsid w:val="00561249"/>
    <w:rsid w:val="0056182B"/>
    <w:rsid w:val="00561A88"/>
    <w:rsid w:val="00561AF3"/>
    <w:rsid w:val="00561E0B"/>
    <w:rsid w:val="00562141"/>
    <w:rsid w:val="00562D86"/>
    <w:rsid w:val="005640CA"/>
    <w:rsid w:val="00564704"/>
    <w:rsid w:val="00564712"/>
    <w:rsid w:val="005657A8"/>
    <w:rsid w:val="00565952"/>
    <w:rsid w:val="00566866"/>
    <w:rsid w:val="005670A5"/>
    <w:rsid w:val="00567285"/>
    <w:rsid w:val="00567723"/>
    <w:rsid w:val="0056772D"/>
    <w:rsid w:val="005678F5"/>
    <w:rsid w:val="00567AB8"/>
    <w:rsid w:val="00570A26"/>
    <w:rsid w:val="00570CFD"/>
    <w:rsid w:val="00571872"/>
    <w:rsid w:val="0057221F"/>
    <w:rsid w:val="00572421"/>
    <w:rsid w:val="00572539"/>
    <w:rsid w:val="00573355"/>
    <w:rsid w:val="0057337D"/>
    <w:rsid w:val="00573504"/>
    <w:rsid w:val="0057355F"/>
    <w:rsid w:val="00573BA3"/>
    <w:rsid w:val="00574708"/>
    <w:rsid w:val="00574D81"/>
    <w:rsid w:val="005756AA"/>
    <w:rsid w:val="0057696F"/>
    <w:rsid w:val="005774FE"/>
    <w:rsid w:val="0058040C"/>
    <w:rsid w:val="00580963"/>
    <w:rsid w:val="00580D6D"/>
    <w:rsid w:val="00580FD8"/>
    <w:rsid w:val="005813DE"/>
    <w:rsid w:val="00581796"/>
    <w:rsid w:val="00581B45"/>
    <w:rsid w:val="00582480"/>
    <w:rsid w:val="00582805"/>
    <w:rsid w:val="0058290E"/>
    <w:rsid w:val="00582CAB"/>
    <w:rsid w:val="00582FA6"/>
    <w:rsid w:val="005836D5"/>
    <w:rsid w:val="0058375E"/>
    <w:rsid w:val="00583E07"/>
    <w:rsid w:val="00584233"/>
    <w:rsid w:val="005842D0"/>
    <w:rsid w:val="005845FB"/>
    <w:rsid w:val="005855AE"/>
    <w:rsid w:val="00585829"/>
    <w:rsid w:val="00585CA8"/>
    <w:rsid w:val="00586412"/>
    <w:rsid w:val="005864B9"/>
    <w:rsid w:val="00586564"/>
    <w:rsid w:val="005866C4"/>
    <w:rsid w:val="005907D4"/>
    <w:rsid w:val="00590F1A"/>
    <w:rsid w:val="00591C03"/>
    <w:rsid w:val="00591E2A"/>
    <w:rsid w:val="005923C4"/>
    <w:rsid w:val="005936E0"/>
    <w:rsid w:val="0059397D"/>
    <w:rsid w:val="00593EA2"/>
    <w:rsid w:val="00593F75"/>
    <w:rsid w:val="005940A0"/>
    <w:rsid w:val="0059429A"/>
    <w:rsid w:val="00594CBE"/>
    <w:rsid w:val="00596AF7"/>
    <w:rsid w:val="00596CCE"/>
    <w:rsid w:val="005A1976"/>
    <w:rsid w:val="005A2120"/>
    <w:rsid w:val="005A2501"/>
    <w:rsid w:val="005A2C80"/>
    <w:rsid w:val="005A3066"/>
    <w:rsid w:val="005A3B35"/>
    <w:rsid w:val="005A3C4B"/>
    <w:rsid w:val="005A3E5A"/>
    <w:rsid w:val="005A43F3"/>
    <w:rsid w:val="005A496F"/>
    <w:rsid w:val="005A4A56"/>
    <w:rsid w:val="005A53DE"/>
    <w:rsid w:val="005A5608"/>
    <w:rsid w:val="005A5A3D"/>
    <w:rsid w:val="005A6035"/>
    <w:rsid w:val="005A6B75"/>
    <w:rsid w:val="005A6E00"/>
    <w:rsid w:val="005A70B2"/>
    <w:rsid w:val="005A718A"/>
    <w:rsid w:val="005A72DD"/>
    <w:rsid w:val="005A7885"/>
    <w:rsid w:val="005B12B2"/>
    <w:rsid w:val="005B143B"/>
    <w:rsid w:val="005B19BD"/>
    <w:rsid w:val="005B1D7A"/>
    <w:rsid w:val="005B1E45"/>
    <w:rsid w:val="005B21C4"/>
    <w:rsid w:val="005B2A28"/>
    <w:rsid w:val="005B35AB"/>
    <w:rsid w:val="005B3621"/>
    <w:rsid w:val="005B3EBE"/>
    <w:rsid w:val="005B4948"/>
    <w:rsid w:val="005B501D"/>
    <w:rsid w:val="005B54CC"/>
    <w:rsid w:val="005B71BB"/>
    <w:rsid w:val="005B74AD"/>
    <w:rsid w:val="005B7E96"/>
    <w:rsid w:val="005C0429"/>
    <w:rsid w:val="005C084F"/>
    <w:rsid w:val="005C0A99"/>
    <w:rsid w:val="005C0EE9"/>
    <w:rsid w:val="005C169F"/>
    <w:rsid w:val="005C16A8"/>
    <w:rsid w:val="005C1716"/>
    <w:rsid w:val="005C1954"/>
    <w:rsid w:val="005C1C0B"/>
    <w:rsid w:val="005C2011"/>
    <w:rsid w:val="005C21CD"/>
    <w:rsid w:val="005C3EA3"/>
    <w:rsid w:val="005C44DE"/>
    <w:rsid w:val="005C5011"/>
    <w:rsid w:val="005C5241"/>
    <w:rsid w:val="005C529E"/>
    <w:rsid w:val="005C57BA"/>
    <w:rsid w:val="005C5C52"/>
    <w:rsid w:val="005C5D3D"/>
    <w:rsid w:val="005C5F05"/>
    <w:rsid w:val="005C6186"/>
    <w:rsid w:val="005C6CF7"/>
    <w:rsid w:val="005C7E45"/>
    <w:rsid w:val="005C7F3E"/>
    <w:rsid w:val="005D06D3"/>
    <w:rsid w:val="005D0C3B"/>
    <w:rsid w:val="005D103E"/>
    <w:rsid w:val="005D1051"/>
    <w:rsid w:val="005D1606"/>
    <w:rsid w:val="005D2044"/>
    <w:rsid w:val="005D209E"/>
    <w:rsid w:val="005D2917"/>
    <w:rsid w:val="005D2EB2"/>
    <w:rsid w:val="005D2F48"/>
    <w:rsid w:val="005D3B32"/>
    <w:rsid w:val="005D464B"/>
    <w:rsid w:val="005D466F"/>
    <w:rsid w:val="005D49F0"/>
    <w:rsid w:val="005D51F7"/>
    <w:rsid w:val="005D51FA"/>
    <w:rsid w:val="005D53E8"/>
    <w:rsid w:val="005D5A9D"/>
    <w:rsid w:val="005D5D15"/>
    <w:rsid w:val="005D6651"/>
    <w:rsid w:val="005D691D"/>
    <w:rsid w:val="005D6A72"/>
    <w:rsid w:val="005D6F38"/>
    <w:rsid w:val="005D791B"/>
    <w:rsid w:val="005D7CF2"/>
    <w:rsid w:val="005D7F92"/>
    <w:rsid w:val="005E062C"/>
    <w:rsid w:val="005E0D7B"/>
    <w:rsid w:val="005E1595"/>
    <w:rsid w:val="005E1F1D"/>
    <w:rsid w:val="005E273D"/>
    <w:rsid w:val="005E3278"/>
    <w:rsid w:val="005E363B"/>
    <w:rsid w:val="005E3736"/>
    <w:rsid w:val="005E4B72"/>
    <w:rsid w:val="005E52C9"/>
    <w:rsid w:val="005E781C"/>
    <w:rsid w:val="005F1343"/>
    <w:rsid w:val="005F2D8B"/>
    <w:rsid w:val="005F305B"/>
    <w:rsid w:val="005F3361"/>
    <w:rsid w:val="005F361A"/>
    <w:rsid w:val="005F3B47"/>
    <w:rsid w:val="005F4481"/>
    <w:rsid w:val="005F47AC"/>
    <w:rsid w:val="005F49AF"/>
    <w:rsid w:val="005F4A58"/>
    <w:rsid w:val="005F54DF"/>
    <w:rsid w:val="005F5694"/>
    <w:rsid w:val="005F5888"/>
    <w:rsid w:val="005F5984"/>
    <w:rsid w:val="005F5EAB"/>
    <w:rsid w:val="005F6CE2"/>
    <w:rsid w:val="005F6EC8"/>
    <w:rsid w:val="005F6F24"/>
    <w:rsid w:val="005F72E9"/>
    <w:rsid w:val="005F780B"/>
    <w:rsid w:val="00600473"/>
    <w:rsid w:val="0060139A"/>
    <w:rsid w:val="006013C9"/>
    <w:rsid w:val="006018ED"/>
    <w:rsid w:val="00602931"/>
    <w:rsid w:val="00602B45"/>
    <w:rsid w:val="00603499"/>
    <w:rsid w:val="006035F5"/>
    <w:rsid w:val="00603CC2"/>
    <w:rsid w:val="006047D1"/>
    <w:rsid w:val="006048A4"/>
    <w:rsid w:val="00604A55"/>
    <w:rsid w:val="00604D4E"/>
    <w:rsid w:val="00604E3E"/>
    <w:rsid w:val="00605AC3"/>
    <w:rsid w:val="00606908"/>
    <w:rsid w:val="00607996"/>
    <w:rsid w:val="00607A37"/>
    <w:rsid w:val="00607E9F"/>
    <w:rsid w:val="00610001"/>
    <w:rsid w:val="0061085E"/>
    <w:rsid w:val="006112A7"/>
    <w:rsid w:val="00611398"/>
    <w:rsid w:val="006113B4"/>
    <w:rsid w:val="0061186D"/>
    <w:rsid w:val="00612322"/>
    <w:rsid w:val="006123C0"/>
    <w:rsid w:val="006129AB"/>
    <w:rsid w:val="00613191"/>
    <w:rsid w:val="006133F9"/>
    <w:rsid w:val="006134B3"/>
    <w:rsid w:val="00613DE1"/>
    <w:rsid w:val="0061401F"/>
    <w:rsid w:val="00614166"/>
    <w:rsid w:val="00614817"/>
    <w:rsid w:val="006149CC"/>
    <w:rsid w:val="006157A9"/>
    <w:rsid w:val="00615875"/>
    <w:rsid w:val="0061591D"/>
    <w:rsid w:val="00615ED0"/>
    <w:rsid w:val="0061604C"/>
    <w:rsid w:val="00616C2B"/>
    <w:rsid w:val="00616D7F"/>
    <w:rsid w:val="006178D1"/>
    <w:rsid w:val="00620719"/>
    <w:rsid w:val="006212C9"/>
    <w:rsid w:val="00621D0C"/>
    <w:rsid w:val="00622229"/>
    <w:rsid w:val="00622470"/>
    <w:rsid w:val="00622725"/>
    <w:rsid w:val="00622785"/>
    <w:rsid w:val="00622ACD"/>
    <w:rsid w:val="00622B63"/>
    <w:rsid w:val="006231AA"/>
    <w:rsid w:val="00623346"/>
    <w:rsid w:val="00623482"/>
    <w:rsid w:val="00623AC2"/>
    <w:rsid w:val="00623EBC"/>
    <w:rsid w:val="0062475D"/>
    <w:rsid w:val="00625642"/>
    <w:rsid w:val="00625DF2"/>
    <w:rsid w:val="006266D7"/>
    <w:rsid w:val="00626D42"/>
    <w:rsid w:val="00626EE3"/>
    <w:rsid w:val="006274AD"/>
    <w:rsid w:val="00627519"/>
    <w:rsid w:val="00627532"/>
    <w:rsid w:val="006302AA"/>
    <w:rsid w:val="006310C3"/>
    <w:rsid w:val="0063161E"/>
    <w:rsid w:val="00631BB5"/>
    <w:rsid w:val="00631DD0"/>
    <w:rsid w:val="00633B29"/>
    <w:rsid w:val="00633DBF"/>
    <w:rsid w:val="00634122"/>
    <w:rsid w:val="0063444B"/>
    <w:rsid w:val="00634BEF"/>
    <w:rsid w:val="00635E32"/>
    <w:rsid w:val="006360FC"/>
    <w:rsid w:val="006361C9"/>
    <w:rsid w:val="00636405"/>
    <w:rsid w:val="006365DE"/>
    <w:rsid w:val="00636BE4"/>
    <w:rsid w:val="00636F88"/>
    <w:rsid w:val="0063732C"/>
    <w:rsid w:val="00637802"/>
    <w:rsid w:val="00637836"/>
    <w:rsid w:val="00637C26"/>
    <w:rsid w:val="00637F44"/>
    <w:rsid w:val="00641078"/>
    <w:rsid w:val="00641242"/>
    <w:rsid w:val="00641761"/>
    <w:rsid w:val="00641825"/>
    <w:rsid w:val="0064194F"/>
    <w:rsid w:val="00642126"/>
    <w:rsid w:val="00642A32"/>
    <w:rsid w:val="00642F7C"/>
    <w:rsid w:val="006433D5"/>
    <w:rsid w:val="00643412"/>
    <w:rsid w:val="00645844"/>
    <w:rsid w:val="00645CEB"/>
    <w:rsid w:val="00645E63"/>
    <w:rsid w:val="0064696D"/>
    <w:rsid w:val="00646B20"/>
    <w:rsid w:val="00646D0F"/>
    <w:rsid w:val="00647A36"/>
    <w:rsid w:val="00647DCC"/>
    <w:rsid w:val="00647E8E"/>
    <w:rsid w:val="00647EFA"/>
    <w:rsid w:val="00647F14"/>
    <w:rsid w:val="00650027"/>
    <w:rsid w:val="00650E89"/>
    <w:rsid w:val="00651B9C"/>
    <w:rsid w:val="00651C47"/>
    <w:rsid w:val="00652E70"/>
    <w:rsid w:val="0065339A"/>
    <w:rsid w:val="00653469"/>
    <w:rsid w:val="0065443A"/>
    <w:rsid w:val="00654A38"/>
    <w:rsid w:val="00655301"/>
    <w:rsid w:val="00655371"/>
    <w:rsid w:val="00655507"/>
    <w:rsid w:val="006564A5"/>
    <w:rsid w:val="00656C4B"/>
    <w:rsid w:val="006572A7"/>
    <w:rsid w:val="006573EA"/>
    <w:rsid w:val="006577C9"/>
    <w:rsid w:val="006606A4"/>
    <w:rsid w:val="00661029"/>
    <w:rsid w:val="006610C3"/>
    <w:rsid w:val="0066135A"/>
    <w:rsid w:val="00661A38"/>
    <w:rsid w:val="0066272D"/>
    <w:rsid w:val="00662E58"/>
    <w:rsid w:val="00662F39"/>
    <w:rsid w:val="006635A0"/>
    <w:rsid w:val="00663D26"/>
    <w:rsid w:val="00664351"/>
    <w:rsid w:val="00665968"/>
    <w:rsid w:val="00665BF7"/>
    <w:rsid w:val="00665E65"/>
    <w:rsid w:val="006660F0"/>
    <w:rsid w:val="00666178"/>
    <w:rsid w:val="0066639E"/>
    <w:rsid w:val="00666473"/>
    <w:rsid w:val="00666B49"/>
    <w:rsid w:val="00666C72"/>
    <w:rsid w:val="00666E6C"/>
    <w:rsid w:val="0066707F"/>
    <w:rsid w:val="00667ED8"/>
    <w:rsid w:val="0067064C"/>
    <w:rsid w:val="00670B20"/>
    <w:rsid w:val="00670E12"/>
    <w:rsid w:val="00670F27"/>
    <w:rsid w:val="0067266A"/>
    <w:rsid w:val="00672E80"/>
    <w:rsid w:val="0067333F"/>
    <w:rsid w:val="006739E4"/>
    <w:rsid w:val="00673ECF"/>
    <w:rsid w:val="0067426B"/>
    <w:rsid w:val="00674A1B"/>
    <w:rsid w:val="00674D08"/>
    <w:rsid w:val="00674F1C"/>
    <w:rsid w:val="006754F8"/>
    <w:rsid w:val="00676127"/>
    <w:rsid w:val="00676AED"/>
    <w:rsid w:val="00677212"/>
    <w:rsid w:val="00677F26"/>
    <w:rsid w:val="006800EE"/>
    <w:rsid w:val="006802A7"/>
    <w:rsid w:val="00680A86"/>
    <w:rsid w:val="006811C9"/>
    <w:rsid w:val="006812CE"/>
    <w:rsid w:val="006826C1"/>
    <w:rsid w:val="00682C89"/>
    <w:rsid w:val="006832B8"/>
    <w:rsid w:val="006837B2"/>
    <w:rsid w:val="00683800"/>
    <w:rsid w:val="006842AA"/>
    <w:rsid w:val="00684462"/>
    <w:rsid w:val="00684765"/>
    <w:rsid w:val="00684C0D"/>
    <w:rsid w:val="00684C8A"/>
    <w:rsid w:val="00684CF5"/>
    <w:rsid w:val="0068553E"/>
    <w:rsid w:val="00685D37"/>
    <w:rsid w:val="00685E7B"/>
    <w:rsid w:val="00686551"/>
    <w:rsid w:val="00686CAB"/>
    <w:rsid w:val="0068717F"/>
    <w:rsid w:val="0068730C"/>
    <w:rsid w:val="00687504"/>
    <w:rsid w:val="00687A14"/>
    <w:rsid w:val="00687A8C"/>
    <w:rsid w:val="00690839"/>
    <w:rsid w:val="006908DB"/>
    <w:rsid w:val="00690DE9"/>
    <w:rsid w:val="00691563"/>
    <w:rsid w:val="00691DE9"/>
    <w:rsid w:val="00691EAA"/>
    <w:rsid w:val="00692245"/>
    <w:rsid w:val="00692745"/>
    <w:rsid w:val="00692FFA"/>
    <w:rsid w:val="00693373"/>
    <w:rsid w:val="00693772"/>
    <w:rsid w:val="00693984"/>
    <w:rsid w:val="00693B77"/>
    <w:rsid w:val="00694160"/>
    <w:rsid w:val="00694E8B"/>
    <w:rsid w:val="006955A1"/>
    <w:rsid w:val="006959A5"/>
    <w:rsid w:val="00695C0C"/>
    <w:rsid w:val="00696736"/>
    <w:rsid w:val="00696A05"/>
    <w:rsid w:val="00697665"/>
    <w:rsid w:val="00697C9A"/>
    <w:rsid w:val="00697E68"/>
    <w:rsid w:val="00697F3D"/>
    <w:rsid w:val="00697FC1"/>
    <w:rsid w:val="006A0274"/>
    <w:rsid w:val="006A27BC"/>
    <w:rsid w:val="006A2829"/>
    <w:rsid w:val="006A2A43"/>
    <w:rsid w:val="006A2BF1"/>
    <w:rsid w:val="006A2F9A"/>
    <w:rsid w:val="006A34E4"/>
    <w:rsid w:val="006A3A5A"/>
    <w:rsid w:val="006A3E98"/>
    <w:rsid w:val="006A44CF"/>
    <w:rsid w:val="006A457D"/>
    <w:rsid w:val="006A4B5A"/>
    <w:rsid w:val="006A4C06"/>
    <w:rsid w:val="006A4F85"/>
    <w:rsid w:val="006A55EE"/>
    <w:rsid w:val="006A575B"/>
    <w:rsid w:val="006A59DE"/>
    <w:rsid w:val="006A64C6"/>
    <w:rsid w:val="006A6655"/>
    <w:rsid w:val="006A6BF9"/>
    <w:rsid w:val="006A7AB8"/>
    <w:rsid w:val="006A7CB5"/>
    <w:rsid w:val="006A7FD0"/>
    <w:rsid w:val="006B025C"/>
    <w:rsid w:val="006B08ED"/>
    <w:rsid w:val="006B2170"/>
    <w:rsid w:val="006B2534"/>
    <w:rsid w:val="006B2CB2"/>
    <w:rsid w:val="006B347D"/>
    <w:rsid w:val="006B3E19"/>
    <w:rsid w:val="006B4488"/>
    <w:rsid w:val="006B4D5D"/>
    <w:rsid w:val="006B50C4"/>
    <w:rsid w:val="006B53AE"/>
    <w:rsid w:val="006B58B4"/>
    <w:rsid w:val="006B67AC"/>
    <w:rsid w:val="006B786A"/>
    <w:rsid w:val="006B7E4E"/>
    <w:rsid w:val="006C003A"/>
    <w:rsid w:val="006C107C"/>
    <w:rsid w:val="006C189C"/>
    <w:rsid w:val="006C2454"/>
    <w:rsid w:val="006C2551"/>
    <w:rsid w:val="006C27B9"/>
    <w:rsid w:val="006C37CA"/>
    <w:rsid w:val="006C39AE"/>
    <w:rsid w:val="006C40D2"/>
    <w:rsid w:val="006C4B85"/>
    <w:rsid w:val="006C4BBD"/>
    <w:rsid w:val="006C551E"/>
    <w:rsid w:val="006C563F"/>
    <w:rsid w:val="006C572F"/>
    <w:rsid w:val="006C5B15"/>
    <w:rsid w:val="006C5D32"/>
    <w:rsid w:val="006C5DCB"/>
    <w:rsid w:val="006C6475"/>
    <w:rsid w:val="006C70C4"/>
    <w:rsid w:val="006C741F"/>
    <w:rsid w:val="006D04DA"/>
    <w:rsid w:val="006D0B1A"/>
    <w:rsid w:val="006D10F6"/>
    <w:rsid w:val="006D1544"/>
    <w:rsid w:val="006D1688"/>
    <w:rsid w:val="006D1BE1"/>
    <w:rsid w:val="006D1DD3"/>
    <w:rsid w:val="006D1FF3"/>
    <w:rsid w:val="006D219C"/>
    <w:rsid w:val="006D2C65"/>
    <w:rsid w:val="006D32C6"/>
    <w:rsid w:val="006D360E"/>
    <w:rsid w:val="006D3697"/>
    <w:rsid w:val="006D39D2"/>
    <w:rsid w:val="006D3A94"/>
    <w:rsid w:val="006D3F2A"/>
    <w:rsid w:val="006D4370"/>
    <w:rsid w:val="006D46A3"/>
    <w:rsid w:val="006D5DCB"/>
    <w:rsid w:val="006D62E0"/>
    <w:rsid w:val="006D658F"/>
    <w:rsid w:val="006D66B2"/>
    <w:rsid w:val="006D6A12"/>
    <w:rsid w:val="006D712D"/>
    <w:rsid w:val="006D7687"/>
    <w:rsid w:val="006D7D1F"/>
    <w:rsid w:val="006D7D8A"/>
    <w:rsid w:val="006E046C"/>
    <w:rsid w:val="006E0572"/>
    <w:rsid w:val="006E05D8"/>
    <w:rsid w:val="006E087D"/>
    <w:rsid w:val="006E08EE"/>
    <w:rsid w:val="006E0F32"/>
    <w:rsid w:val="006E155A"/>
    <w:rsid w:val="006E2C34"/>
    <w:rsid w:val="006E359B"/>
    <w:rsid w:val="006E3937"/>
    <w:rsid w:val="006E39D1"/>
    <w:rsid w:val="006E3B05"/>
    <w:rsid w:val="006E437F"/>
    <w:rsid w:val="006E4D5B"/>
    <w:rsid w:val="006E602F"/>
    <w:rsid w:val="006E6720"/>
    <w:rsid w:val="006E7275"/>
    <w:rsid w:val="006E77B8"/>
    <w:rsid w:val="006E7AAF"/>
    <w:rsid w:val="006F0F34"/>
    <w:rsid w:val="006F0F74"/>
    <w:rsid w:val="006F1041"/>
    <w:rsid w:val="006F13BA"/>
    <w:rsid w:val="006F15CC"/>
    <w:rsid w:val="006F15F6"/>
    <w:rsid w:val="006F36EA"/>
    <w:rsid w:val="006F4147"/>
    <w:rsid w:val="006F4315"/>
    <w:rsid w:val="006F4CB0"/>
    <w:rsid w:val="006F4F78"/>
    <w:rsid w:val="006F547E"/>
    <w:rsid w:val="006F5CCF"/>
    <w:rsid w:val="006F6F04"/>
    <w:rsid w:val="006F71F5"/>
    <w:rsid w:val="006F72A8"/>
    <w:rsid w:val="006F79BB"/>
    <w:rsid w:val="007000A6"/>
    <w:rsid w:val="00700610"/>
    <w:rsid w:val="0070138A"/>
    <w:rsid w:val="0070157E"/>
    <w:rsid w:val="007030D4"/>
    <w:rsid w:val="00703279"/>
    <w:rsid w:val="00703B61"/>
    <w:rsid w:val="00703E11"/>
    <w:rsid w:val="00704102"/>
    <w:rsid w:val="0070437C"/>
    <w:rsid w:val="0070461C"/>
    <w:rsid w:val="00704F37"/>
    <w:rsid w:val="00705631"/>
    <w:rsid w:val="00705818"/>
    <w:rsid w:val="00705F62"/>
    <w:rsid w:val="0070773F"/>
    <w:rsid w:val="00707A2E"/>
    <w:rsid w:val="00707ED3"/>
    <w:rsid w:val="007101B7"/>
    <w:rsid w:val="00710668"/>
    <w:rsid w:val="00711019"/>
    <w:rsid w:val="007110F4"/>
    <w:rsid w:val="007112B1"/>
    <w:rsid w:val="0071130F"/>
    <w:rsid w:val="00712714"/>
    <w:rsid w:val="007129AB"/>
    <w:rsid w:val="00712B63"/>
    <w:rsid w:val="00712E5F"/>
    <w:rsid w:val="00713526"/>
    <w:rsid w:val="00713FC5"/>
    <w:rsid w:val="00714DCA"/>
    <w:rsid w:val="007150F3"/>
    <w:rsid w:val="00715BBF"/>
    <w:rsid w:val="00715C29"/>
    <w:rsid w:val="00715CBD"/>
    <w:rsid w:val="00715EAA"/>
    <w:rsid w:val="00716119"/>
    <w:rsid w:val="00716630"/>
    <w:rsid w:val="00716CAD"/>
    <w:rsid w:val="00716CD3"/>
    <w:rsid w:val="00716F18"/>
    <w:rsid w:val="0071708A"/>
    <w:rsid w:val="00717363"/>
    <w:rsid w:val="00717786"/>
    <w:rsid w:val="00717ACB"/>
    <w:rsid w:val="0072138B"/>
    <w:rsid w:val="00721BFF"/>
    <w:rsid w:val="00723475"/>
    <w:rsid w:val="007236C4"/>
    <w:rsid w:val="00724635"/>
    <w:rsid w:val="00724F21"/>
    <w:rsid w:val="00725134"/>
    <w:rsid w:val="0072554B"/>
    <w:rsid w:val="0072571F"/>
    <w:rsid w:val="00725AFD"/>
    <w:rsid w:val="00726603"/>
    <w:rsid w:val="007266AC"/>
    <w:rsid w:val="00727B1D"/>
    <w:rsid w:val="00727DDC"/>
    <w:rsid w:val="0073017B"/>
    <w:rsid w:val="00730CD6"/>
    <w:rsid w:val="00730F74"/>
    <w:rsid w:val="0073114B"/>
    <w:rsid w:val="00732151"/>
    <w:rsid w:val="007321B0"/>
    <w:rsid w:val="00732EBC"/>
    <w:rsid w:val="007342BB"/>
    <w:rsid w:val="00734952"/>
    <w:rsid w:val="00734990"/>
    <w:rsid w:val="00734FF5"/>
    <w:rsid w:val="00735B78"/>
    <w:rsid w:val="00735DA7"/>
    <w:rsid w:val="00736700"/>
    <w:rsid w:val="007368B4"/>
    <w:rsid w:val="007378E0"/>
    <w:rsid w:val="0074040E"/>
    <w:rsid w:val="00740529"/>
    <w:rsid w:val="00740876"/>
    <w:rsid w:val="00741358"/>
    <w:rsid w:val="00741626"/>
    <w:rsid w:val="00742332"/>
    <w:rsid w:val="00742886"/>
    <w:rsid w:val="00742A3A"/>
    <w:rsid w:val="00742DD2"/>
    <w:rsid w:val="007437C6"/>
    <w:rsid w:val="007441A2"/>
    <w:rsid w:val="0074422F"/>
    <w:rsid w:val="00744E80"/>
    <w:rsid w:val="00745035"/>
    <w:rsid w:val="0074531C"/>
    <w:rsid w:val="00745547"/>
    <w:rsid w:val="007459D0"/>
    <w:rsid w:val="0074623A"/>
    <w:rsid w:val="00746420"/>
    <w:rsid w:val="00746A60"/>
    <w:rsid w:val="00746E04"/>
    <w:rsid w:val="00746E08"/>
    <w:rsid w:val="00746E3D"/>
    <w:rsid w:val="007473B9"/>
    <w:rsid w:val="00747C96"/>
    <w:rsid w:val="00750075"/>
    <w:rsid w:val="007502EC"/>
    <w:rsid w:val="00750382"/>
    <w:rsid w:val="0075094E"/>
    <w:rsid w:val="00750FA8"/>
    <w:rsid w:val="00750FB5"/>
    <w:rsid w:val="007520F0"/>
    <w:rsid w:val="007522E8"/>
    <w:rsid w:val="007529DB"/>
    <w:rsid w:val="007534AD"/>
    <w:rsid w:val="00753BAC"/>
    <w:rsid w:val="00754A0B"/>
    <w:rsid w:val="00754B06"/>
    <w:rsid w:val="00755229"/>
    <w:rsid w:val="007552DB"/>
    <w:rsid w:val="0075549F"/>
    <w:rsid w:val="00755B08"/>
    <w:rsid w:val="00755DD0"/>
    <w:rsid w:val="0075647A"/>
    <w:rsid w:val="00756A2F"/>
    <w:rsid w:val="007573E1"/>
    <w:rsid w:val="0075749E"/>
    <w:rsid w:val="00757722"/>
    <w:rsid w:val="00757B2D"/>
    <w:rsid w:val="00757BAD"/>
    <w:rsid w:val="00757D62"/>
    <w:rsid w:val="00760021"/>
    <w:rsid w:val="00760561"/>
    <w:rsid w:val="00760867"/>
    <w:rsid w:val="00760EB6"/>
    <w:rsid w:val="007616DB"/>
    <w:rsid w:val="00761AB7"/>
    <w:rsid w:val="00761CE6"/>
    <w:rsid w:val="0076228A"/>
    <w:rsid w:val="00762440"/>
    <w:rsid w:val="00762499"/>
    <w:rsid w:val="0076275B"/>
    <w:rsid w:val="007628CA"/>
    <w:rsid w:val="007629B7"/>
    <w:rsid w:val="00762E60"/>
    <w:rsid w:val="00762F54"/>
    <w:rsid w:val="007634AD"/>
    <w:rsid w:val="0076445F"/>
    <w:rsid w:val="00764EC5"/>
    <w:rsid w:val="007651EF"/>
    <w:rsid w:val="00766D49"/>
    <w:rsid w:val="00766ECC"/>
    <w:rsid w:val="007672F3"/>
    <w:rsid w:val="007677B5"/>
    <w:rsid w:val="007678B1"/>
    <w:rsid w:val="007708A8"/>
    <w:rsid w:val="00772100"/>
    <w:rsid w:val="00772275"/>
    <w:rsid w:val="007734E4"/>
    <w:rsid w:val="0077380D"/>
    <w:rsid w:val="00773BC8"/>
    <w:rsid w:val="00774549"/>
    <w:rsid w:val="0077466F"/>
    <w:rsid w:val="007749E0"/>
    <w:rsid w:val="007752B7"/>
    <w:rsid w:val="007759A8"/>
    <w:rsid w:val="00775C27"/>
    <w:rsid w:val="00775D98"/>
    <w:rsid w:val="00776B93"/>
    <w:rsid w:val="00776FE5"/>
    <w:rsid w:val="00777101"/>
    <w:rsid w:val="007774E7"/>
    <w:rsid w:val="0077768C"/>
    <w:rsid w:val="00777696"/>
    <w:rsid w:val="00777EDF"/>
    <w:rsid w:val="00777FF4"/>
    <w:rsid w:val="00780251"/>
    <w:rsid w:val="007804FE"/>
    <w:rsid w:val="00780F32"/>
    <w:rsid w:val="0078122E"/>
    <w:rsid w:val="00781939"/>
    <w:rsid w:val="00781D29"/>
    <w:rsid w:val="007825EF"/>
    <w:rsid w:val="0078286B"/>
    <w:rsid w:val="00782D2C"/>
    <w:rsid w:val="00782FC2"/>
    <w:rsid w:val="0078347A"/>
    <w:rsid w:val="0078410A"/>
    <w:rsid w:val="00784938"/>
    <w:rsid w:val="00784FC4"/>
    <w:rsid w:val="00785BBB"/>
    <w:rsid w:val="00786937"/>
    <w:rsid w:val="00786FAD"/>
    <w:rsid w:val="00787B1B"/>
    <w:rsid w:val="00787CCC"/>
    <w:rsid w:val="00787D90"/>
    <w:rsid w:val="00787F5E"/>
    <w:rsid w:val="00790164"/>
    <w:rsid w:val="007905C6"/>
    <w:rsid w:val="00790A24"/>
    <w:rsid w:val="00790A37"/>
    <w:rsid w:val="00790A60"/>
    <w:rsid w:val="0079146D"/>
    <w:rsid w:val="00791744"/>
    <w:rsid w:val="00791C32"/>
    <w:rsid w:val="00791FF0"/>
    <w:rsid w:val="007923D0"/>
    <w:rsid w:val="007930D3"/>
    <w:rsid w:val="0079381F"/>
    <w:rsid w:val="00793A57"/>
    <w:rsid w:val="00793B2E"/>
    <w:rsid w:val="007948F5"/>
    <w:rsid w:val="00795647"/>
    <w:rsid w:val="007963F6"/>
    <w:rsid w:val="00796DC8"/>
    <w:rsid w:val="00796E80"/>
    <w:rsid w:val="0079744F"/>
    <w:rsid w:val="0079776F"/>
    <w:rsid w:val="007979AD"/>
    <w:rsid w:val="00797A9C"/>
    <w:rsid w:val="007A0502"/>
    <w:rsid w:val="007A0EAB"/>
    <w:rsid w:val="007A2341"/>
    <w:rsid w:val="007A2754"/>
    <w:rsid w:val="007A38A1"/>
    <w:rsid w:val="007A3BBE"/>
    <w:rsid w:val="007A4766"/>
    <w:rsid w:val="007A5947"/>
    <w:rsid w:val="007A717B"/>
    <w:rsid w:val="007A7714"/>
    <w:rsid w:val="007B0302"/>
    <w:rsid w:val="007B0313"/>
    <w:rsid w:val="007B0854"/>
    <w:rsid w:val="007B0E48"/>
    <w:rsid w:val="007B1D1B"/>
    <w:rsid w:val="007B21AA"/>
    <w:rsid w:val="007B2504"/>
    <w:rsid w:val="007B2549"/>
    <w:rsid w:val="007B2820"/>
    <w:rsid w:val="007B303E"/>
    <w:rsid w:val="007B32C0"/>
    <w:rsid w:val="007B32F7"/>
    <w:rsid w:val="007B3659"/>
    <w:rsid w:val="007B38B5"/>
    <w:rsid w:val="007B3BF3"/>
    <w:rsid w:val="007B431B"/>
    <w:rsid w:val="007B4558"/>
    <w:rsid w:val="007B4632"/>
    <w:rsid w:val="007B46A2"/>
    <w:rsid w:val="007B4828"/>
    <w:rsid w:val="007B4B2D"/>
    <w:rsid w:val="007B4D4A"/>
    <w:rsid w:val="007B5428"/>
    <w:rsid w:val="007B59B7"/>
    <w:rsid w:val="007B6C64"/>
    <w:rsid w:val="007B6EC8"/>
    <w:rsid w:val="007B6F81"/>
    <w:rsid w:val="007B7EA2"/>
    <w:rsid w:val="007C097D"/>
    <w:rsid w:val="007C0AF2"/>
    <w:rsid w:val="007C1672"/>
    <w:rsid w:val="007C17AE"/>
    <w:rsid w:val="007C24EE"/>
    <w:rsid w:val="007C312A"/>
    <w:rsid w:val="007C3538"/>
    <w:rsid w:val="007C3570"/>
    <w:rsid w:val="007C3F3B"/>
    <w:rsid w:val="007C4097"/>
    <w:rsid w:val="007C4241"/>
    <w:rsid w:val="007C425E"/>
    <w:rsid w:val="007C55FF"/>
    <w:rsid w:val="007C6339"/>
    <w:rsid w:val="007C71BB"/>
    <w:rsid w:val="007C753F"/>
    <w:rsid w:val="007C7C43"/>
    <w:rsid w:val="007C7E15"/>
    <w:rsid w:val="007C7F0D"/>
    <w:rsid w:val="007D06E3"/>
    <w:rsid w:val="007D09E4"/>
    <w:rsid w:val="007D1134"/>
    <w:rsid w:val="007D231B"/>
    <w:rsid w:val="007D23F7"/>
    <w:rsid w:val="007D2566"/>
    <w:rsid w:val="007D2C18"/>
    <w:rsid w:val="007D2D74"/>
    <w:rsid w:val="007D3693"/>
    <w:rsid w:val="007D3C6D"/>
    <w:rsid w:val="007D481A"/>
    <w:rsid w:val="007D4B96"/>
    <w:rsid w:val="007D4ED0"/>
    <w:rsid w:val="007D5648"/>
    <w:rsid w:val="007D58C5"/>
    <w:rsid w:val="007D5DE8"/>
    <w:rsid w:val="007D7CFC"/>
    <w:rsid w:val="007E0812"/>
    <w:rsid w:val="007E0825"/>
    <w:rsid w:val="007E18DF"/>
    <w:rsid w:val="007E214A"/>
    <w:rsid w:val="007E238D"/>
    <w:rsid w:val="007E2C36"/>
    <w:rsid w:val="007E350D"/>
    <w:rsid w:val="007E3ACA"/>
    <w:rsid w:val="007E3F4A"/>
    <w:rsid w:val="007E564D"/>
    <w:rsid w:val="007E5C4A"/>
    <w:rsid w:val="007E64D4"/>
    <w:rsid w:val="007E6570"/>
    <w:rsid w:val="007E66E9"/>
    <w:rsid w:val="007E69F2"/>
    <w:rsid w:val="007E7432"/>
    <w:rsid w:val="007E74BF"/>
    <w:rsid w:val="007E7657"/>
    <w:rsid w:val="007E7D2E"/>
    <w:rsid w:val="007F14D3"/>
    <w:rsid w:val="007F1814"/>
    <w:rsid w:val="007F1D9D"/>
    <w:rsid w:val="007F1E28"/>
    <w:rsid w:val="007F1F63"/>
    <w:rsid w:val="007F22A0"/>
    <w:rsid w:val="007F2902"/>
    <w:rsid w:val="007F2903"/>
    <w:rsid w:val="007F2F90"/>
    <w:rsid w:val="007F3320"/>
    <w:rsid w:val="007F3AC1"/>
    <w:rsid w:val="007F3BF2"/>
    <w:rsid w:val="007F46E6"/>
    <w:rsid w:val="007F4976"/>
    <w:rsid w:val="007F4B40"/>
    <w:rsid w:val="007F5A56"/>
    <w:rsid w:val="007F5D42"/>
    <w:rsid w:val="007F616E"/>
    <w:rsid w:val="007F6B46"/>
    <w:rsid w:val="007F72CB"/>
    <w:rsid w:val="007F736A"/>
    <w:rsid w:val="007F7635"/>
    <w:rsid w:val="007F785F"/>
    <w:rsid w:val="007F7961"/>
    <w:rsid w:val="007F7AF6"/>
    <w:rsid w:val="007F7E36"/>
    <w:rsid w:val="008000EC"/>
    <w:rsid w:val="00800E6D"/>
    <w:rsid w:val="008014D9"/>
    <w:rsid w:val="0080150F"/>
    <w:rsid w:val="0080153A"/>
    <w:rsid w:val="00801A2A"/>
    <w:rsid w:val="00802041"/>
    <w:rsid w:val="008022C9"/>
    <w:rsid w:val="00802605"/>
    <w:rsid w:val="00802F9E"/>
    <w:rsid w:val="00803700"/>
    <w:rsid w:val="00803D9D"/>
    <w:rsid w:val="00804A94"/>
    <w:rsid w:val="008059C6"/>
    <w:rsid w:val="00805AD7"/>
    <w:rsid w:val="00805BD6"/>
    <w:rsid w:val="00805DE3"/>
    <w:rsid w:val="00807C35"/>
    <w:rsid w:val="00807F35"/>
    <w:rsid w:val="00807F69"/>
    <w:rsid w:val="008100F7"/>
    <w:rsid w:val="00810206"/>
    <w:rsid w:val="0081022B"/>
    <w:rsid w:val="00810A15"/>
    <w:rsid w:val="00811898"/>
    <w:rsid w:val="00811CDC"/>
    <w:rsid w:val="008120AC"/>
    <w:rsid w:val="008124D8"/>
    <w:rsid w:val="00813A7B"/>
    <w:rsid w:val="00813F04"/>
    <w:rsid w:val="0081513E"/>
    <w:rsid w:val="00815DA5"/>
    <w:rsid w:val="00816221"/>
    <w:rsid w:val="008174F3"/>
    <w:rsid w:val="00817661"/>
    <w:rsid w:val="0081766B"/>
    <w:rsid w:val="00817843"/>
    <w:rsid w:val="008205AC"/>
    <w:rsid w:val="00820705"/>
    <w:rsid w:val="00820CBF"/>
    <w:rsid w:val="00820FA8"/>
    <w:rsid w:val="008212FD"/>
    <w:rsid w:val="00821489"/>
    <w:rsid w:val="0082168D"/>
    <w:rsid w:val="008217B7"/>
    <w:rsid w:val="0082239B"/>
    <w:rsid w:val="0082292E"/>
    <w:rsid w:val="00822D06"/>
    <w:rsid w:val="00822EC4"/>
    <w:rsid w:val="0082348D"/>
    <w:rsid w:val="008236BE"/>
    <w:rsid w:val="008241CE"/>
    <w:rsid w:val="00825240"/>
    <w:rsid w:val="00825B43"/>
    <w:rsid w:val="00826F71"/>
    <w:rsid w:val="00827CC0"/>
    <w:rsid w:val="008306AB"/>
    <w:rsid w:val="00831026"/>
    <w:rsid w:val="0083119B"/>
    <w:rsid w:val="00831BAE"/>
    <w:rsid w:val="00832216"/>
    <w:rsid w:val="00832513"/>
    <w:rsid w:val="00832CD0"/>
    <w:rsid w:val="00833430"/>
    <w:rsid w:val="00833821"/>
    <w:rsid w:val="00833ADA"/>
    <w:rsid w:val="00834128"/>
    <w:rsid w:val="0083417F"/>
    <w:rsid w:val="00835143"/>
    <w:rsid w:val="0083569B"/>
    <w:rsid w:val="00835741"/>
    <w:rsid w:val="00836E74"/>
    <w:rsid w:val="00836EAB"/>
    <w:rsid w:val="00837673"/>
    <w:rsid w:val="00837937"/>
    <w:rsid w:val="00837D82"/>
    <w:rsid w:val="00840893"/>
    <w:rsid w:val="00840E88"/>
    <w:rsid w:val="008410B1"/>
    <w:rsid w:val="008423EC"/>
    <w:rsid w:val="008429A6"/>
    <w:rsid w:val="00843615"/>
    <w:rsid w:val="00843698"/>
    <w:rsid w:val="00843A4B"/>
    <w:rsid w:val="00843B57"/>
    <w:rsid w:val="00843B60"/>
    <w:rsid w:val="00843D33"/>
    <w:rsid w:val="008444F0"/>
    <w:rsid w:val="00844D4F"/>
    <w:rsid w:val="00844F38"/>
    <w:rsid w:val="00845AE3"/>
    <w:rsid w:val="008466A0"/>
    <w:rsid w:val="00847535"/>
    <w:rsid w:val="00847B6D"/>
    <w:rsid w:val="0085092D"/>
    <w:rsid w:val="008509A5"/>
    <w:rsid w:val="00850C34"/>
    <w:rsid w:val="00850C79"/>
    <w:rsid w:val="00850D82"/>
    <w:rsid w:val="00850F79"/>
    <w:rsid w:val="0085100B"/>
    <w:rsid w:val="008510A1"/>
    <w:rsid w:val="00851E09"/>
    <w:rsid w:val="0085304C"/>
    <w:rsid w:val="008536BB"/>
    <w:rsid w:val="00853A3C"/>
    <w:rsid w:val="008548CA"/>
    <w:rsid w:val="008563B0"/>
    <w:rsid w:val="00856C06"/>
    <w:rsid w:val="0085790B"/>
    <w:rsid w:val="008579B9"/>
    <w:rsid w:val="00857C31"/>
    <w:rsid w:val="00857C95"/>
    <w:rsid w:val="00857E78"/>
    <w:rsid w:val="00860AEF"/>
    <w:rsid w:val="00860B18"/>
    <w:rsid w:val="00860D5E"/>
    <w:rsid w:val="0086122C"/>
    <w:rsid w:val="00861310"/>
    <w:rsid w:val="00861C4D"/>
    <w:rsid w:val="00861D0B"/>
    <w:rsid w:val="00861F53"/>
    <w:rsid w:val="0086289E"/>
    <w:rsid w:val="008629CB"/>
    <w:rsid w:val="0086394E"/>
    <w:rsid w:val="00863F8A"/>
    <w:rsid w:val="00863FE3"/>
    <w:rsid w:val="008640C4"/>
    <w:rsid w:val="00864241"/>
    <w:rsid w:val="0086468A"/>
    <w:rsid w:val="008650BE"/>
    <w:rsid w:val="00865EAF"/>
    <w:rsid w:val="0086633B"/>
    <w:rsid w:val="00866495"/>
    <w:rsid w:val="00866881"/>
    <w:rsid w:val="00866931"/>
    <w:rsid w:val="00867512"/>
    <w:rsid w:val="008678A3"/>
    <w:rsid w:val="00867C13"/>
    <w:rsid w:val="00867C1D"/>
    <w:rsid w:val="0087033C"/>
    <w:rsid w:val="008715ED"/>
    <w:rsid w:val="008717D8"/>
    <w:rsid w:val="00871E3C"/>
    <w:rsid w:val="00872828"/>
    <w:rsid w:val="00872F97"/>
    <w:rsid w:val="00874607"/>
    <w:rsid w:val="008747E9"/>
    <w:rsid w:val="00874915"/>
    <w:rsid w:val="00874B89"/>
    <w:rsid w:val="00875403"/>
    <w:rsid w:val="00875434"/>
    <w:rsid w:val="00875C1F"/>
    <w:rsid w:val="00876215"/>
    <w:rsid w:val="0087646C"/>
    <w:rsid w:val="00876815"/>
    <w:rsid w:val="00877932"/>
    <w:rsid w:val="008808C7"/>
    <w:rsid w:val="0088106B"/>
    <w:rsid w:val="0088107D"/>
    <w:rsid w:val="0088187A"/>
    <w:rsid w:val="00881E64"/>
    <w:rsid w:val="00882E39"/>
    <w:rsid w:val="00883559"/>
    <w:rsid w:val="008850EB"/>
    <w:rsid w:val="00885228"/>
    <w:rsid w:val="008857E3"/>
    <w:rsid w:val="00886DF2"/>
    <w:rsid w:val="00886FB9"/>
    <w:rsid w:val="00887057"/>
    <w:rsid w:val="00887080"/>
    <w:rsid w:val="00887C79"/>
    <w:rsid w:val="0089107B"/>
    <w:rsid w:val="008913CC"/>
    <w:rsid w:val="008914AE"/>
    <w:rsid w:val="008919CF"/>
    <w:rsid w:val="00891F84"/>
    <w:rsid w:val="00891FC3"/>
    <w:rsid w:val="008928EC"/>
    <w:rsid w:val="00892A15"/>
    <w:rsid w:val="00892E5D"/>
    <w:rsid w:val="008935CF"/>
    <w:rsid w:val="0089436B"/>
    <w:rsid w:val="00894436"/>
    <w:rsid w:val="00894BB1"/>
    <w:rsid w:val="008951D0"/>
    <w:rsid w:val="00895442"/>
    <w:rsid w:val="0089582D"/>
    <w:rsid w:val="008959C6"/>
    <w:rsid w:val="0089606D"/>
    <w:rsid w:val="00896129"/>
    <w:rsid w:val="00896316"/>
    <w:rsid w:val="0089774F"/>
    <w:rsid w:val="00897875"/>
    <w:rsid w:val="00897B8F"/>
    <w:rsid w:val="008A00D9"/>
    <w:rsid w:val="008A07D5"/>
    <w:rsid w:val="008A1C96"/>
    <w:rsid w:val="008A1FB7"/>
    <w:rsid w:val="008A229A"/>
    <w:rsid w:val="008A2A23"/>
    <w:rsid w:val="008A2AF5"/>
    <w:rsid w:val="008A2B5A"/>
    <w:rsid w:val="008A3F9D"/>
    <w:rsid w:val="008A41F8"/>
    <w:rsid w:val="008A5474"/>
    <w:rsid w:val="008A5C9A"/>
    <w:rsid w:val="008A6005"/>
    <w:rsid w:val="008A614F"/>
    <w:rsid w:val="008A6A55"/>
    <w:rsid w:val="008A6DF0"/>
    <w:rsid w:val="008A6F6E"/>
    <w:rsid w:val="008A7888"/>
    <w:rsid w:val="008A796E"/>
    <w:rsid w:val="008B0862"/>
    <w:rsid w:val="008B088C"/>
    <w:rsid w:val="008B1BF5"/>
    <w:rsid w:val="008B263F"/>
    <w:rsid w:val="008B3045"/>
    <w:rsid w:val="008B361E"/>
    <w:rsid w:val="008B47A6"/>
    <w:rsid w:val="008B5C7C"/>
    <w:rsid w:val="008B63FE"/>
    <w:rsid w:val="008B672C"/>
    <w:rsid w:val="008B7108"/>
    <w:rsid w:val="008C065F"/>
    <w:rsid w:val="008C0743"/>
    <w:rsid w:val="008C0B4C"/>
    <w:rsid w:val="008C11F0"/>
    <w:rsid w:val="008C1DBA"/>
    <w:rsid w:val="008C24E7"/>
    <w:rsid w:val="008C2500"/>
    <w:rsid w:val="008C2CAC"/>
    <w:rsid w:val="008C3C57"/>
    <w:rsid w:val="008C3E2A"/>
    <w:rsid w:val="008C45BD"/>
    <w:rsid w:val="008C4B19"/>
    <w:rsid w:val="008C62D4"/>
    <w:rsid w:val="008C6A49"/>
    <w:rsid w:val="008C6B89"/>
    <w:rsid w:val="008C6B97"/>
    <w:rsid w:val="008C77EF"/>
    <w:rsid w:val="008C7EF7"/>
    <w:rsid w:val="008D021B"/>
    <w:rsid w:val="008D094D"/>
    <w:rsid w:val="008D18AA"/>
    <w:rsid w:val="008D1A2A"/>
    <w:rsid w:val="008D1ADE"/>
    <w:rsid w:val="008D3199"/>
    <w:rsid w:val="008D35D9"/>
    <w:rsid w:val="008D3B36"/>
    <w:rsid w:val="008D3B85"/>
    <w:rsid w:val="008D462D"/>
    <w:rsid w:val="008D6084"/>
    <w:rsid w:val="008D64AC"/>
    <w:rsid w:val="008D656F"/>
    <w:rsid w:val="008D66CA"/>
    <w:rsid w:val="008D69B1"/>
    <w:rsid w:val="008D7338"/>
    <w:rsid w:val="008D785E"/>
    <w:rsid w:val="008D7D66"/>
    <w:rsid w:val="008E0012"/>
    <w:rsid w:val="008E0DF7"/>
    <w:rsid w:val="008E0FAD"/>
    <w:rsid w:val="008E11E4"/>
    <w:rsid w:val="008E1252"/>
    <w:rsid w:val="008E1347"/>
    <w:rsid w:val="008E16E0"/>
    <w:rsid w:val="008E1C15"/>
    <w:rsid w:val="008E1C9A"/>
    <w:rsid w:val="008E26D9"/>
    <w:rsid w:val="008E28BD"/>
    <w:rsid w:val="008E2BE6"/>
    <w:rsid w:val="008E30C4"/>
    <w:rsid w:val="008E38B4"/>
    <w:rsid w:val="008E3BA4"/>
    <w:rsid w:val="008E3F17"/>
    <w:rsid w:val="008E44AB"/>
    <w:rsid w:val="008E4786"/>
    <w:rsid w:val="008E4CAE"/>
    <w:rsid w:val="008E5179"/>
    <w:rsid w:val="008E57FE"/>
    <w:rsid w:val="008E6598"/>
    <w:rsid w:val="008E710F"/>
    <w:rsid w:val="008E7214"/>
    <w:rsid w:val="008E7497"/>
    <w:rsid w:val="008E7884"/>
    <w:rsid w:val="008E7D6E"/>
    <w:rsid w:val="008F1056"/>
    <w:rsid w:val="008F2E8D"/>
    <w:rsid w:val="008F361D"/>
    <w:rsid w:val="008F387B"/>
    <w:rsid w:val="008F3DD9"/>
    <w:rsid w:val="008F4163"/>
    <w:rsid w:val="008F4814"/>
    <w:rsid w:val="008F4B18"/>
    <w:rsid w:val="008F4DA6"/>
    <w:rsid w:val="008F538E"/>
    <w:rsid w:val="008F5A20"/>
    <w:rsid w:val="008F5ABA"/>
    <w:rsid w:val="008F6157"/>
    <w:rsid w:val="008F71AB"/>
    <w:rsid w:val="008F7905"/>
    <w:rsid w:val="008F7989"/>
    <w:rsid w:val="00900530"/>
    <w:rsid w:val="00900912"/>
    <w:rsid w:val="00901F1D"/>
    <w:rsid w:val="009028E8"/>
    <w:rsid w:val="00902E5C"/>
    <w:rsid w:val="0090363E"/>
    <w:rsid w:val="00903788"/>
    <w:rsid w:val="009046E5"/>
    <w:rsid w:val="009047C5"/>
    <w:rsid w:val="00905336"/>
    <w:rsid w:val="0090690B"/>
    <w:rsid w:val="00910683"/>
    <w:rsid w:val="00910E00"/>
    <w:rsid w:val="00910E04"/>
    <w:rsid w:val="009116CE"/>
    <w:rsid w:val="00911714"/>
    <w:rsid w:val="00911D04"/>
    <w:rsid w:val="00911EFF"/>
    <w:rsid w:val="0091310F"/>
    <w:rsid w:val="009136D4"/>
    <w:rsid w:val="00914B9A"/>
    <w:rsid w:val="00914C3F"/>
    <w:rsid w:val="00914F33"/>
    <w:rsid w:val="00915EFE"/>
    <w:rsid w:val="00915FCE"/>
    <w:rsid w:val="00916AFE"/>
    <w:rsid w:val="00916FC8"/>
    <w:rsid w:val="009170D3"/>
    <w:rsid w:val="009172B1"/>
    <w:rsid w:val="009174E2"/>
    <w:rsid w:val="0091759C"/>
    <w:rsid w:val="00920026"/>
    <w:rsid w:val="009203E2"/>
    <w:rsid w:val="00920BF5"/>
    <w:rsid w:val="00920F61"/>
    <w:rsid w:val="00921304"/>
    <w:rsid w:val="00921395"/>
    <w:rsid w:val="00921805"/>
    <w:rsid w:val="00921E63"/>
    <w:rsid w:val="00923396"/>
    <w:rsid w:val="00923F56"/>
    <w:rsid w:val="00924770"/>
    <w:rsid w:val="00925346"/>
    <w:rsid w:val="00925743"/>
    <w:rsid w:val="0092579F"/>
    <w:rsid w:val="00927E8D"/>
    <w:rsid w:val="00927F23"/>
    <w:rsid w:val="009307CD"/>
    <w:rsid w:val="00931364"/>
    <w:rsid w:val="00931365"/>
    <w:rsid w:val="00931451"/>
    <w:rsid w:val="009314FA"/>
    <w:rsid w:val="0093194F"/>
    <w:rsid w:val="00931BF3"/>
    <w:rsid w:val="00931C55"/>
    <w:rsid w:val="0093228F"/>
    <w:rsid w:val="00933333"/>
    <w:rsid w:val="0093349A"/>
    <w:rsid w:val="0093360C"/>
    <w:rsid w:val="009338BA"/>
    <w:rsid w:val="00933FCB"/>
    <w:rsid w:val="009346C8"/>
    <w:rsid w:val="00934CEC"/>
    <w:rsid w:val="00934E69"/>
    <w:rsid w:val="00935E70"/>
    <w:rsid w:val="0093609A"/>
    <w:rsid w:val="00936815"/>
    <w:rsid w:val="00937401"/>
    <w:rsid w:val="009376FB"/>
    <w:rsid w:val="00937D6B"/>
    <w:rsid w:val="00940477"/>
    <w:rsid w:val="00940876"/>
    <w:rsid w:val="00940A53"/>
    <w:rsid w:val="00940F3C"/>
    <w:rsid w:val="009410E0"/>
    <w:rsid w:val="00941FA9"/>
    <w:rsid w:val="009439B6"/>
    <w:rsid w:val="009444B4"/>
    <w:rsid w:val="00944644"/>
    <w:rsid w:val="00946A24"/>
    <w:rsid w:val="009470D4"/>
    <w:rsid w:val="00947337"/>
    <w:rsid w:val="00947E6E"/>
    <w:rsid w:val="009512FA"/>
    <w:rsid w:val="009516A9"/>
    <w:rsid w:val="00951E57"/>
    <w:rsid w:val="00952350"/>
    <w:rsid w:val="00952505"/>
    <w:rsid w:val="00953018"/>
    <w:rsid w:val="009533E2"/>
    <w:rsid w:val="00953554"/>
    <w:rsid w:val="0095385A"/>
    <w:rsid w:val="00954372"/>
    <w:rsid w:val="00954D08"/>
    <w:rsid w:val="00954F3A"/>
    <w:rsid w:val="00955DFD"/>
    <w:rsid w:val="0095674F"/>
    <w:rsid w:val="0095780A"/>
    <w:rsid w:val="009578C3"/>
    <w:rsid w:val="009579E4"/>
    <w:rsid w:val="00957AA4"/>
    <w:rsid w:val="00957ACB"/>
    <w:rsid w:val="00957F27"/>
    <w:rsid w:val="00960BDB"/>
    <w:rsid w:val="0096105C"/>
    <w:rsid w:val="0096147D"/>
    <w:rsid w:val="00961C14"/>
    <w:rsid w:val="00961D53"/>
    <w:rsid w:val="00961E5F"/>
    <w:rsid w:val="009625C6"/>
    <w:rsid w:val="009628CD"/>
    <w:rsid w:val="009629B5"/>
    <w:rsid w:val="00962A50"/>
    <w:rsid w:val="00963550"/>
    <w:rsid w:val="00964138"/>
    <w:rsid w:val="009648D6"/>
    <w:rsid w:val="00964B3F"/>
    <w:rsid w:val="00964C98"/>
    <w:rsid w:val="00966ACB"/>
    <w:rsid w:val="00971441"/>
    <w:rsid w:val="00971555"/>
    <w:rsid w:val="009715D4"/>
    <w:rsid w:val="0097179A"/>
    <w:rsid w:val="00971B0A"/>
    <w:rsid w:val="009731F4"/>
    <w:rsid w:val="009732A4"/>
    <w:rsid w:val="00973AB3"/>
    <w:rsid w:val="00973C05"/>
    <w:rsid w:val="0097494E"/>
    <w:rsid w:val="00974999"/>
    <w:rsid w:val="00974B58"/>
    <w:rsid w:val="00974CBD"/>
    <w:rsid w:val="00975445"/>
    <w:rsid w:val="009761ED"/>
    <w:rsid w:val="0098022F"/>
    <w:rsid w:val="009810DE"/>
    <w:rsid w:val="00981B91"/>
    <w:rsid w:val="009822D7"/>
    <w:rsid w:val="009827E6"/>
    <w:rsid w:val="00982F84"/>
    <w:rsid w:val="009831C3"/>
    <w:rsid w:val="0098427D"/>
    <w:rsid w:val="00984567"/>
    <w:rsid w:val="00985102"/>
    <w:rsid w:val="009854BC"/>
    <w:rsid w:val="00985A66"/>
    <w:rsid w:val="0098606C"/>
    <w:rsid w:val="009865D5"/>
    <w:rsid w:val="0098709E"/>
    <w:rsid w:val="009876F2"/>
    <w:rsid w:val="00987C77"/>
    <w:rsid w:val="00987FED"/>
    <w:rsid w:val="00990345"/>
    <w:rsid w:val="00990701"/>
    <w:rsid w:val="0099119C"/>
    <w:rsid w:val="0099137A"/>
    <w:rsid w:val="0099211C"/>
    <w:rsid w:val="00992408"/>
    <w:rsid w:val="00993013"/>
    <w:rsid w:val="009930AB"/>
    <w:rsid w:val="00993B78"/>
    <w:rsid w:val="009949CE"/>
    <w:rsid w:val="00994F3F"/>
    <w:rsid w:val="00995119"/>
    <w:rsid w:val="0099531F"/>
    <w:rsid w:val="009953AD"/>
    <w:rsid w:val="009957D7"/>
    <w:rsid w:val="0099583D"/>
    <w:rsid w:val="00996020"/>
    <w:rsid w:val="0099629E"/>
    <w:rsid w:val="009962B0"/>
    <w:rsid w:val="00996992"/>
    <w:rsid w:val="00996E1E"/>
    <w:rsid w:val="00997148"/>
    <w:rsid w:val="00997392"/>
    <w:rsid w:val="0099747C"/>
    <w:rsid w:val="0099771C"/>
    <w:rsid w:val="009A01E4"/>
    <w:rsid w:val="009A0917"/>
    <w:rsid w:val="009A0A33"/>
    <w:rsid w:val="009A1351"/>
    <w:rsid w:val="009A2041"/>
    <w:rsid w:val="009A2435"/>
    <w:rsid w:val="009A35DC"/>
    <w:rsid w:val="009A38AB"/>
    <w:rsid w:val="009A39EE"/>
    <w:rsid w:val="009A3A33"/>
    <w:rsid w:val="009A3D47"/>
    <w:rsid w:val="009A4D63"/>
    <w:rsid w:val="009A5356"/>
    <w:rsid w:val="009A5468"/>
    <w:rsid w:val="009A5D99"/>
    <w:rsid w:val="009A608C"/>
    <w:rsid w:val="009A6FDF"/>
    <w:rsid w:val="009A715F"/>
    <w:rsid w:val="009A76D6"/>
    <w:rsid w:val="009B0101"/>
    <w:rsid w:val="009B03F1"/>
    <w:rsid w:val="009B2374"/>
    <w:rsid w:val="009B28D6"/>
    <w:rsid w:val="009B2E29"/>
    <w:rsid w:val="009B3163"/>
    <w:rsid w:val="009B422F"/>
    <w:rsid w:val="009B46BC"/>
    <w:rsid w:val="009B4D1A"/>
    <w:rsid w:val="009B519D"/>
    <w:rsid w:val="009B558B"/>
    <w:rsid w:val="009B6D21"/>
    <w:rsid w:val="009B78ED"/>
    <w:rsid w:val="009C181C"/>
    <w:rsid w:val="009C1A44"/>
    <w:rsid w:val="009C1C7F"/>
    <w:rsid w:val="009C1EC7"/>
    <w:rsid w:val="009C2210"/>
    <w:rsid w:val="009C28A2"/>
    <w:rsid w:val="009C3239"/>
    <w:rsid w:val="009C3828"/>
    <w:rsid w:val="009C3AD3"/>
    <w:rsid w:val="009C3AF4"/>
    <w:rsid w:val="009C3D2C"/>
    <w:rsid w:val="009C4987"/>
    <w:rsid w:val="009C4FDE"/>
    <w:rsid w:val="009C523F"/>
    <w:rsid w:val="009C59BF"/>
    <w:rsid w:val="009C5E4F"/>
    <w:rsid w:val="009C5F64"/>
    <w:rsid w:val="009C5F82"/>
    <w:rsid w:val="009C60EA"/>
    <w:rsid w:val="009C6BFC"/>
    <w:rsid w:val="009C70F8"/>
    <w:rsid w:val="009C78A3"/>
    <w:rsid w:val="009C7E68"/>
    <w:rsid w:val="009D00D7"/>
    <w:rsid w:val="009D0156"/>
    <w:rsid w:val="009D03B4"/>
    <w:rsid w:val="009D05DA"/>
    <w:rsid w:val="009D11F6"/>
    <w:rsid w:val="009D1A14"/>
    <w:rsid w:val="009D1E2A"/>
    <w:rsid w:val="009D1FA0"/>
    <w:rsid w:val="009D2BDF"/>
    <w:rsid w:val="009D3736"/>
    <w:rsid w:val="009D4529"/>
    <w:rsid w:val="009D460F"/>
    <w:rsid w:val="009D4D17"/>
    <w:rsid w:val="009D604F"/>
    <w:rsid w:val="009D61BB"/>
    <w:rsid w:val="009D6410"/>
    <w:rsid w:val="009D68BB"/>
    <w:rsid w:val="009D6909"/>
    <w:rsid w:val="009D700F"/>
    <w:rsid w:val="009D70C2"/>
    <w:rsid w:val="009D7244"/>
    <w:rsid w:val="009D7ADB"/>
    <w:rsid w:val="009D7B33"/>
    <w:rsid w:val="009E06C3"/>
    <w:rsid w:val="009E0703"/>
    <w:rsid w:val="009E1035"/>
    <w:rsid w:val="009E16DA"/>
    <w:rsid w:val="009E1CD4"/>
    <w:rsid w:val="009E2391"/>
    <w:rsid w:val="009E41E5"/>
    <w:rsid w:val="009E476A"/>
    <w:rsid w:val="009E4A16"/>
    <w:rsid w:val="009E4E05"/>
    <w:rsid w:val="009E56FF"/>
    <w:rsid w:val="009E5CB1"/>
    <w:rsid w:val="009E5E56"/>
    <w:rsid w:val="009E61EA"/>
    <w:rsid w:val="009E6990"/>
    <w:rsid w:val="009E6FEE"/>
    <w:rsid w:val="009F00B9"/>
    <w:rsid w:val="009F0312"/>
    <w:rsid w:val="009F060F"/>
    <w:rsid w:val="009F0781"/>
    <w:rsid w:val="009F0850"/>
    <w:rsid w:val="009F1950"/>
    <w:rsid w:val="009F1BDF"/>
    <w:rsid w:val="009F1EAE"/>
    <w:rsid w:val="009F2732"/>
    <w:rsid w:val="009F2848"/>
    <w:rsid w:val="009F369D"/>
    <w:rsid w:val="009F36FE"/>
    <w:rsid w:val="009F4990"/>
    <w:rsid w:val="009F4F25"/>
    <w:rsid w:val="009F59C2"/>
    <w:rsid w:val="009F7263"/>
    <w:rsid w:val="009F76EA"/>
    <w:rsid w:val="009F78EB"/>
    <w:rsid w:val="009F7DB2"/>
    <w:rsid w:val="009F7F32"/>
    <w:rsid w:val="009F7FEB"/>
    <w:rsid w:val="00A003D5"/>
    <w:rsid w:val="00A0056C"/>
    <w:rsid w:val="00A00F5E"/>
    <w:rsid w:val="00A0120D"/>
    <w:rsid w:val="00A01852"/>
    <w:rsid w:val="00A0188B"/>
    <w:rsid w:val="00A01C35"/>
    <w:rsid w:val="00A01E73"/>
    <w:rsid w:val="00A023E7"/>
    <w:rsid w:val="00A02B88"/>
    <w:rsid w:val="00A03160"/>
    <w:rsid w:val="00A036AC"/>
    <w:rsid w:val="00A03C54"/>
    <w:rsid w:val="00A03DE5"/>
    <w:rsid w:val="00A041BC"/>
    <w:rsid w:val="00A0447F"/>
    <w:rsid w:val="00A046D2"/>
    <w:rsid w:val="00A04A54"/>
    <w:rsid w:val="00A058B8"/>
    <w:rsid w:val="00A05B4B"/>
    <w:rsid w:val="00A066C3"/>
    <w:rsid w:val="00A06754"/>
    <w:rsid w:val="00A069E0"/>
    <w:rsid w:val="00A06E4A"/>
    <w:rsid w:val="00A070E9"/>
    <w:rsid w:val="00A078FB"/>
    <w:rsid w:val="00A10209"/>
    <w:rsid w:val="00A1036D"/>
    <w:rsid w:val="00A1069F"/>
    <w:rsid w:val="00A10ACA"/>
    <w:rsid w:val="00A10D08"/>
    <w:rsid w:val="00A11E78"/>
    <w:rsid w:val="00A12355"/>
    <w:rsid w:val="00A12574"/>
    <w:rsid w:val="00A127D2"/>
    <w:rsid w:val="00A1284E"/>
    <w:rsid w:val="00A13CF5"/>
    <w:rsid w:val="00A143EC"/>
    <w:rsid w:val="00A149E8"/>
    <w:rsid w:val="00A1500F"/>
    <w:rsid w:val="00A15621"/>
    <w:rsid w:val="00A15670"/>
    <w:rsid w:val="00A157A0"/>
    <w:rsid w:val="00A1585B"/>
    <w:rsid w:val="00A15C19"/>
    <w:rsid w:val="00A15FE9"/>
    <w:rsid w:val="00A16809"/>
    <w:rsid w:val="00A17584"/>
    <w:rsid w:val="00A17769"/>
    <w:rsid w:val="00A17EA2"/>
    <w:rsid w:val="00A20264"/>
    <w:rsid w:val="00A20997"/>
    <w:rsid w:val="00A210D4"/>
    <w:rsid w:val="00A213DD"/>
    <w:rsid w:val="00A21454"/>
    <w:rsid w:val="00A216CE"/>
    <w:rsid w:val="00A22025"/>
    <w:rsid w:val="00A22498"/>
    <w:rsid w:val="00A22571"/>
    <w:rsid w:val="00A225F8"/>
    <w:rsid w:val="00A2298D"/>
    <w:rsid w:val="00A24560"/>
    <w:rsid w:val="00A25B0F"/>
    <w:rsid w:val="00A25BBB"/>
    <w:rsid w:val="00A27FB6"/>
    <w:rsid w:val="00A30121"/>
    <w:rsid w:val="00A30368"/>
    <w:rsid w:val="00A3043A"/>
    <w:rsid w:val="00A30E02"/>
    <w:rsid w:val="00A30F6A"/>
    <w:rsid w:val="00A31060"/>
    <w:rsid w:val="00A31A57"/>
    <w:rsid w:val="00A31C3E"/>
    <w:rsid w:val="00A31DE3"/>
    <w:rsid w:val="00A34538"/>
    <w:rsid w:val="00A34677"/>
    <w:rsid w:val="00A3540F"/>
    <w:rsid w:val="00A35630"/>
    <w:rsid w:val="00A35914"/>
    <w:rsid w:val="00A36189"/>
    <w:rsid w:val="00A37E73"/>
    <w:rsid w:val="00A37FB6"/>
    <w:rsid w:val="00A409E2"/>
    <w:rsid w:val="00A4104A"/>
    <w:rsid w:val="00A41081"/>
    <w:rsid w:val="00A411CA"/>
    <w:rsid w:val="00A42080"/>
    <w:rsid w:val="00A42096"/>
    <w:rsid w:val="00A426F3"/>
    <w:rsid w:val="00A42FDF"/>
    <w:rsid w:val="00A430A9"/>
    <w:rsid w:val="00A431FE"/>
    <w:rsid w:val="00A4384F"/>
    <w:rsid w:val="00A439E5"/>
    <w:rsid w:val="00A4414E"/>
    <w:rsid w:val="00A4497A"/>
    <w:rsid w:val="00A44AB5"/>
    <w:rsid w:val="00A44BE8"/>
    <w:rsid w:val="00A44C96"/>
    <w:rsid w:val="00A44CDD"/>
    <w:rsid w:val="00A44F54"/>
    <w:rsid w:val="00A45F9B"/>
    <w:rsid w:val="00A46574"/>
    <w:rsid w:val="00A46B4B"/>
    <w:rsid w:val="00A47849"/>
    <w:rsid w:val="00A500B1"/>
    <w:rsid w:val="00A52A53"/>
    <w:rsid w:val="00A52EE5"/>
    <w:rsid w:val="00A53037"/>
    <w:rsid w:val="00A532B9"/>
    <w:rsid w:val="00A5351D"/>
    <w:rsid w:val="00A53E79"/>
    <w:rsid w:val="00A54031"/>
    <w:rsid w:val="00A5426D"/>
    <w:rsid w:val="00A54FC2"/>
    <w:rsid w:val="00A55122"/>
    <w:rsid w:val="00A55CEA"/>
    <w:rsid w:val="00A56DE7"/>
    <w:rsid w:val="00A57EB2"/>
    <w:rsid w:val="00A6009E"/>
    <w:rsid w:val="00A60265"/>
    <w:rsid w:val="00A60540"/>
    <w:rsid w:val="00A60885"/>
    <w:rsid w:val="00A60B1F"/>
    <w:rsid w:val="00A60E17"/>
    <w:rsid w:val="00A61C60"/>
    <w:rsid w:val="00A62589"/>
    <w:rsid w:val="00A62AD0"/>
    <w:rsid w:val="00A62C3A"/>
    <w:rsid w:val="00A6319C"/>
    <w:rsid w:val="00A63812"/>
    <w:rsid w:val="00A639A9"/>
    <w:rsid w:val="00A63DF7"/>
    <w:rsid w:val="00A6454D"/>
    <w:rsid w:val="00A64767"/>
    <w:rsid w:val="00A64F2F"/>
    <w:rsid w:val="00A6611E"/>
    <w:rsid w:val="00A668BA"/>
    <w:rsid w:val="00A66FA7"/>
    <w:rsid w:val="00A67E16"/>
    <w:rsid w:val="00A67EB1"/>
    <w:rsid w:val="00A703CC"/>
    <w:rsid w:val="00A703EE"/>
    <w:rsid w:val="00A70C5C"/>
    <w:rsid w:val="00A710A2"/>
    <w:rsid w:val="00A71EA7"/>
    <w:rsid w:val="00A730AD"/>
    <w:rsid w:val="00A73855"/>
    <w:rsid w:val="00A73D64"/>
    <w:rsid w:val="00A74216"/>
    <w:rsid w:val="00A74360"/>
    <w:rsid w:val="00A744B4"/>
    <w:rsid w:val="00A751E3"/>
    <w:rsid w:val="00A7536B"/>
    <w:rsid w:val="00A753B9"/>
    <w:rsid w:val="00A7549A"/>
    <w:rsid w:val="00A75504"/>
    <w:rsid w:val="00A75FD7"/>
    <w:rsid w:val="00A77168"/>
    <w:rsid w:val="00A7723B"/>
    <w:rsid w:val="00A773C3"/>
    <w:rsid w:val="00A7793C"/>
    <w:rsid w:val="00A77D21"/>
    <w:rsid w:val="00A80085"/>
    <w:rsid w:val="00A8043B"/>
    <w:rsid w:val="00A80DA0"/>
    <w:rsid w:val="00A81323"/>
    <w:rsid w:val="00A820CB"/>
    <w:rsid w:val="00A82342"/>
    <w:rsid w:val="00A8236F"/>
    <w:rsid w:val="00A82D06"/>
    <w:rsid w:val="00A83BEF"/>
    <w:rsid w:val="00A84443"/>
    <w:rsid w:val="00A8487F"/>
    <w:rsid w:val="00A849A3"/>
    <w:rsid w:val="00A84A0E"/>
    <w:rsid w:val="00A8575D"/>
    <w:rsid w:val="00A861F4"/>
    <w:rsid w:val="00A86E0B"/>
    <w:rsid w:val="00A90F12"/>
    <w:rsid w:val="00A91DAA"/>
    <w:rsid w:val="00A93101"/>
    <w:rsid w:val="00A93239"/>
    <w:rsid w:val="00A9413E"/>
    <w:rsid w:val="00A94293"/>
    <w:rsid w:val="00A9496E"/>
    <w:rsid w:val="00A949F0"/>
    <w:rsid w:val="00A94BDE"/>
    <w:rsid w:val="00A94FCA"/>
    <w:rsid w:val="00A95E4C"/>
    <w:rsid w:val="00A96C60"/>
    <w:rsid w:val="00A9740B"/>
    <w:rsid w:val="00A9766C"/>
    <w:rsid w:val="00A977F8"/>
    <w:rsid w:val="00A979DB"/>
    <w:rsid w:val="00A97C93"/>
    <w:rsid w:val="00AA06C6"/>
    <w:rsid w:val="00AA08E7"/>
    <w:rsid w:val="00AA0A06"/>
    <w:rsid w:val="00AA1351"/>
    <w:rsid w:val="00AA184C"/>
    <w:rsid w:val="00AA1AF4"/>
    <w:rsid w:val="00AA1C84"/>
    <w:rsid w:val="00AA3088"/>
    <w:rsid w:val="00AA3D7B"/>
    <w:rsid w:val="00AA42A0"/>
    <w:rsid w:val="00AA442B"/>
    <w:rsid w:val="00AA46A4"/>
    <w:rsid w:val="00AA5779"/>
    <w:rsid w:val="00AA58A1"/>
    <w:rsid w:val="00AA61C7"/>
    <w:rsid w:val="00AA669D"/>
    <w:rsid w:val="00AA66ED"/>
    <w:rsid w:val="00AA6B59"/>
    <w:rsid w:val="00AA6BE1"/>
    <w:rsid w:val="00AA7416"/>
    <w:rsid w:val="00AA7A60"/>
    <w:rsid w:val="00AA7B42"/>
    <w:rsid w:val="00AB041C"/>
    <w:rsid w:val="00AB14E8"/>
    <w:rsid w:val="00AB1B1D"/>
    <w:rsid w:val="00AB1CD8"/>
    <w:rsid w:val="00AB2216"/>
    <w:rsid w:val="00AB24F8"/>
    <w:rsid w:val="00AB358D"/>
    <w:rsid w:val="00AB37A1"/>
    <w:rsid w:val="00AB3BAD"/>
    <w:rsid w:val="00AB3CFD"/>
    <w:rsid w:val="00AB49BC"/>
    <w:rsid w:val="00AB4DEE"/>
    <w:rsid w:val="00AB4E32"/>
    <w:rsid w:val="00AB5C19"/>
    <w:rsid w:val="00AB724B"/>
    <w:rsid w:val="00AB726C"/>
    <w:rsid w:val="00AB72B4"/>
    <w:rsid w:val="00AB7549"/>
    <w:rsid w:val="00AB7A7A"/>
    <w:rsid w:val="00AC02AA"/>
    <w:rsid w:val="00AC0537"/>
    <w:rsid w:val="00AC0A84"/>
    <w:rsid w:val="00AC1508"/>
    <w:rsid w:val="00AC2A0B"/>
    <w:rsid w:val="00AC2BEE"/>
    <w:rsid w:val="00AC2E53"/>
    <w:rsid w:val="00AC484F"/>
    <w:rsid w:val="00AC4AD2"/>
    <w:rsid w:val="00AC4B20"/>
    <w:rsid w:val="00AC5395"/>
    <w:rsid w:val="00AC55C7"/>
    <w:rsid w:val="00AC56F2"/>
    <w:rsid w:val="00AC5D9D"/>
    <w:rsid w:val="00AC71C3"/>
    <w:rsid w:val="00AC7471"/>
    <w:rsid w:val="00AD09F7"/>
    <w:rsid w:val="00AD1BE0"/>
    <w:rsid w:val="00AD1EFA"/>
    <w:rsid w:val="00AD2072"/>
    <w:rsid w:val="00AD2DBD"/>
    <w:rsid w:val="00AD2FBF"/>
    <w:rsid w:val="00AD33A1"/>
    <w:rsid w:val="00AD340E"/>
    <w:rsid w:val="00AD455D"/>
    <w:rsid w:val="00AD463C"/>
    <w:rsid w:val="00AD4F60"/>
    <w:rsid w:val="00AD5044"/>
    <w:rsid w:val="00AD5114"/>
    <w:rsid w:val="00AD6236"/>
    <w:rsid w:val="00AD69D5"/>
    <w:rsid w:val="00AD7619"/>
    <w:rsid w:val="00AD7770"/>
    <w:rsid w:val="00AE1772"/>
    <w:rsid w:val="00AE1990"/>
    <w:rsid w:val="00AE25E8"/>
    <w:rsid w:val="00AE2AD4"/>
    <w:rsid w:val="00AE2CA7"/>
    <w:rsid w:val="00AE2F1D"/>
    <w:rsid w:val="00AE4C81"/>
    <w:rsid w:val="00AE586F"/>
    <w:rsid w:val="00AE5899"/>
    <w:rsid w:val="00AE62FE"/>
    <w:rsid w:val="00AE6582"/>
    <w:rsid w:val="00AE6DC5"/>
    <w:rsid w:val="00AE7686"/>
    <w:rsid w:val="00AE799A"/>
    <w:rsid w:val="00AF0E81"/>
    <w:rsid w:val="00AF117A"/>
    <w:rsid w:val="00AF16CA"/>
    <w:rsid w:val="00AF186E"/>
    <w:rsid w:val="00AF19DF"/>
    <w:rsid w:val="00AF1D41"/>
    <w:rsid w:val="00AF26CF"/>
    <w:rsid w:val="00AF3124"/>
    <w:rsid w:val="00AF344D"/>
    <w:rsid w:val="00AF39B3"/>
    <w:rsid w:val="00AF3C1F"/>
    <w:rsid w:val="00AF3FED"/>
    <w:rsid w:val="00AF4402"/>
    <w:rsid w:val="00AF4639"/>
    <w:rsid w:val="00AF4E92"/>
    <w:rsid w:val="00AF554B"/>
    <w:rsid w:val="00AF5C9B"/>
    <w:rsid w:val="00AF5D53"/>
    <w:rsid w:val="00AF5E2D"/>
    <w:rsid w:val="00AF644B"/>
    <w:rsid w:val="00AF69EB"/>
    <w:rsid w:val="00AF6CA6"/>
    <w:rsid w:val="00AF6EB6"/>
    <w:rsid w:val="00AF7796"/>
    <w:rsid w:val="00B011A9"/>
    <w:rsid w:val="00B01BAF"/>
    <w:rsid w:val="00B024ED"/>
    <w:rsid w:val="00B026B8"/>
    <w:rsid w:val="00B02EB3"/>
    <w:rsid w:val="00B02FCB"/>
    <w:rsid w:val="00B033F8"/>
    <w:rsid w:val="00B03C1E"/>
    <w:rsid w:val="00B04400"/>
    <w:rsid w:val="00B04835"/>
    <w:rsid w:val="00B05A55"/>
    <w:rsid w:val="00B05DE1"/>
    <w:rsid w:val="00B06595"/>
    <w:rsid w:val="00B06862"/>
    <w:rsid w:val="00B079A5"/>
    <w:rsid w:val="00B10109"/>
    <w:rsid w:val="00B1085E"/>
    <w:rsid w:val="00B10FD1"/>
    <w:rsid w:val="00B112D5"/>
    <w:rsid w:val="00B11378"/>
    <w:rsid w:val="00B1219D"/>
    <w:rsid w:val="00B12735"/>
    <w:rsid w:val="00B12F44"/>
    <w:rsid w:val="00B13C48"/>
    <w:rsid w:val="00B13E35"/>
    <w:rsid w:val="00B13EC0"/>
    <w:rsid w:val="00B14102"/>
    <w:rsid w:val="00B14D32"/>
    <w:rsid w:val="00B1507C"/>
    <w:rsid w:val="00B1557C"/>
    <w:rsid w:val="00B155DC"/>
    <w:rsid w:val="00B15766"/>
    <w:rsid w:val="00B15E4A"/>
    <w:rsid w:val="00B1666A"/>
    <w:rsid w:val="00B167C8"/>
    <w:rsid w:val="00B1686D"/>
    <w:rsid w:val="00B16BF7"/>
    <w:rsid w:val="00B17129"/>
    <w:rsid w:val="00B1741D"/>
    <w:rsid w:val="00B17447"/>
    <w:rsid w:val="00B1771D"/>
    <w:rsid w:val="00B17B91"/>
    <w:rsid w:val="00B20209"/>
    <w:rsid w:val="00B203C9"/>
    <w:rsid w:val="00B2088D"/>
    <w:rsid w:val="00B208FF"/>
    <w:rsid w:val="00B21271"/>
    <w:rsid w:val="00B22E22"/>
    <w:rsid w:val="00B22F5F"/>
    <w:rsid w:val="00B23353"/>
    <w:rsid w:val="00B23813"/>
    <w:rsid w:val="00B23FD9"/>
    <w:rsid w:val="00B24591"/>
    <w:rsid w:val="00B245D5"/>
    <w:rsid w:val="00B245EF"/>
    <w:rsid w:val="00B24C36"/>
    <w:rsid w:val="00B24D9F"/>
    <w:rsid w:val="00B24F94"/>
    <w:rsid w:val="00B25126"/>
    <w:rsid w:val="00B253CE"/>
    <w:rsid w:val="00B25703"/>
    <w:rsid w:val="00B25A52"/>
    <w:rsid w:val="00B25EAF"/>
    <w:rsid w:val="00B25FC3"/>
    <w:rsid w:val="00B2692F"/>
    <w:rsid w:val="00B27875"/>
    <w:rsid w:val="00B3008D"/>
    <w:rsid w:val="00B30884"/>
    <w:rsid w:val="00B30E11"/>
    <w:rsid w:val="00B30EAE"/>
    <w:rsid w:val="00B30EEB"/>
    <w:rsid w:val="00B31423"/>
    <w:rsid w:val="00B317AE"/>
    <w:rsid w:val="00B323E0"/>
    <w:rsid w:val="00B32DC0"/>
    <w:rsid w:val="00B32E31"/>
    <w:rsid w:val="00B3346C"/>
    <w:rsid w:val="00B335E4"/>
    <w:rsid w:val="00B33C23"/>
    <w:rsid w:val="00B345B4"/>
    <w:rsid w:val="00B348B1"/>
    <w:rsid w:val="00B34A28"/>
    <w:rsid w:val="00B35046"/>
    <w:rsid w:val="00B357F4"/>
    <w:rsid w:val="00B35B6A"/>
    <w:rsid w:val="00B36D2B"/>
    <w:rsid w:val="00B37657"/>
    <w:rsid w:val="00B37AFD"/>
    <w:rsid w:val="00B37B07"/>
    <w:rsid w:val="00B4046F"/>
    <w:rsid w:val="00B406B3"/>
    <w:rsid w:val="00B40A36"/>
    <w:rsid w:val="00B41BCA"/>
    <w:rsid w:val="00B41D39"/>
    <w:rsid w:val="00B422C0"/>
    <w:rsid w:val="00B426CA"/>
    <w:rsid w:val="00B426E1"/>
    <w:rsid w:val="00B4387A"/>
    <w:rsid w:val="00B44746"/>
    <w:rsid w:val="00B44854"/>
    <w:rsid w:val="00B44BA5"/>
    <w:rsid w:val="00B458D0"/>
    <w:rsid w:val="00B4792C"/>
    <w:rsid w:val="00B50CAE"/>
    <w:rsid w:val="00B512AD"/>
    <w:rsid w:val="00B5196C"/>
    <w:rsid w:val="00B525CB"/>
    <w:rsid w:val="00B52697"/>
    <w:rsid w:val="00B52B5A"/>
    <w:rsid w:val="00B53899"/>
    <w:rsid w:val="00B54215"/>
    <w:rsid w:val="00B54D8F"/>
    <w:rsid w:val="00B55857"/>
    <w:rsid w:val="00B55C69"/>
    <w:rsid w:val="00B56851"/>
    <w:rsid w:val="00B56D6E"/>
    <w:rsid w:val="00B572F7"/>
    <w:rsid w:val="00B57B9D"/>
    <w:rsid w:val="00B57DAF"/>
    <w:rsid w:val="00B60094"/>
    <w:rsid w:val="00B6022C"/>
    <w:rsid w:val="00B6040C"/>
    <w:rsid w:val="00B614F8"/>
    <w:rsid w:val="00B61994"/>
    <w:rsid w:val="00B61B18"/>
    <w:rsid w:val="00B61FD4"/>
    <w:rsid w:val="00B6235B"/>
    <w:rsid w:val="00B62880"/>
    <w:rsid w:val="00B63872"/>
    <w:rsid w:val="00B63CB2"/>
    <w:rsid w:val="00B64246"/>
    <w:rsid w:val="00B64EDB"/>
    <w:rsid w:val="00B65938"/>
    <w:rsid w:val="00B65C8A"/>
    <w:rsid w:val="00B65CE2"/>
    <w:rsid w:val="00B660AD"/>
    <w:rsid w:val="00B66109"/>
    <w:rsid w:val="00B66349"/>
    <w:rsid w:val="00B669B3"/>
    <w:rsid w:val="00B67FBF"/>
    <w:rsid w:val="00B70832"/>
    <w:rsid w:val="00B71376"/>
    <w:rsid w:val="00B716D7"/>
    <w:rsid w:val="00B72110"/>
    <w:rsid w:val="00B72B91"/>
    <w:rsid w:val="00B73019"/>
    <w:rsid w:val="00B7315F"/>
    <w:rsid w:val="00B7323A"/>
    <w:rsid w:val="00B7353B"/>
    <w:rsid w:val="00B737FB"/>
    <w:rsid w:val="00B73E5D"/>
    <w:rsid w:val="00B73EF3"/>
    <w:rsid w:val="00B7423D"/>
    <w:rsid w:val="00B74D05"/>
    <w:rsid w:val="00B74EF8"/>
    <w:rsid w:val="00B75893"/>
    <w:rsid w:val="00B7708F"/>
    <w:rsid w:val="00B771F4"/>
    <w:rsid w:val="00B7762A"/>
    <w:rsid w:val="00B777FA"/>
    <w:rsid w:val="00B77850"/>
    <w:rsid w:val="00B7796B"/>
    <w:rsid w:val="00B80C72"/>
    <w:rsid w:val="00B8101E"/>
    <w:rsid w:val="00B81964"/>
    <w:rsid w:val="00B81E6F"/>
    <w:rsid w:val="00B82123"/>
    <w:rsid w:val="00B8225B"/>
    <w:rsid w:val="00B82BB5"/>
    <w:rsid w:val="00B83182"/>
    <w:rsid w:val="00B8348E"/>
    <w:rsid w:val="00B83893"/>
    <w:rsid w:val="00B839F0"/>
    <w:rsid w:val="00B851E4"/>
    <w:rsid w:val="00B854CE"/>
    <w:rsid w:val="00B85681"/>
    <w:rsid w:val="00B857EB"/>
    <w:rsid w:val="00B858AD"/>
    <w:rsid w:val="00B86162"/>
    <w:rsid w:val="00B86877"/>
    <w:rsid w:val="00B8695D"/>
    <w:rsid w:val="00B86E66"/>
    <w:rsid w:val="00B873BA"/>
    <w:rsid w:val="00B8746F"/>
    <w:rsid w:val="00B8760D"/>
    <w:rsid w:val="00B87706"/>
    <w:rsid w:val="00B90A49"/>
    <w:rsid w:val="00B90A73"/>
    <w:rsid w:val="00B91B8E"/>
    <w:rsid w:val="00B92531"/>
    <w:rsid w:val="00B92618"/>
    <w:rsid w:val="00B92751"/>
    <w:rsid w:val="00B92B69"/>
    <w:rsid w:val="00B92CC6"/>
    <w:rsid w:val="00B935C9"/>
    <w:rsid w:val="00B93E3D"/>
    <w:rsid w:val="00B95464"/>
    <w:rsid w:val="00B95C30"/>
    <w:rsid w:val="00B95E3D"/>
    <w:rsid w:val="00B9691F"/>
    <w:rsid w:val="00B96EEC"/>
    <w:rsid w:val="00B97392"/>
    <w:rsid w:val="00B976C7"/>
    <w:rsid w:val="00B97A73"/>
    <w:rsid w:val="00BA0C54"/>
    <w:rsid w:val="00BA1382"/>
    <w:rsid w:val="00BA15E3"/>
    <w:rsid w:val="00BA1A8C"/>
    <w:rsid w:val="00BA20B6"/>
    <w:rsid w:val="00BA20D8"/>
    <w:rsid w:val="00BA22FC"/>
    <w:rsid w:val="00BA2C2A"/>
    <w:rsid w:val="00BA2F30"/>
    <w:rsid w:val="00BA3982"/>
    <w:rsid w:val="00BA405F"/>
    <w:rsid w:val="00BA4771"/>
    <w:rsid w:val="00BA482B"/>
    <w:rsid w:val="00BA5027"/>
    <w:rsid w:val="00BA665B"/>
    <w:rsid w:val="00BA6FE8"/>
    <w:rsid w:val="00BA732D"/>
    <w:rsid w:val="00BA7370"/>
    <w:rsid w:val="00BA778B"/>
    <w:rsid w:val="00BB0888"/>
    <w:rsid w:val="00BB0DF1"/>
    <w:rsid w:val="00BB0E49"/>
    <w:rsid w:val="00BB0E9B"/>
    <w:rsid w:val="00BB2841"/>
    <w:rsid w:val="00BB2F30"/>
    <w:rsid w:val="00BB300F"/>
    <w:rsid w:val="00BB32C9"/>
    <w:rsid w:val="00BB35C5"/>
    <w:rsid w:val="00BB4048"/>
    <w:rsid w:val="00BB4C8E"/>
    <w:rsid w:val="00BB57ED"/>
    <w:rsid w:val="00BB5A2D"/>
    <w:rsid w:val="00BB606C"/>
    <w:rsid w:val="00BB65C3"/>
    <w:rsid w:val="00BB662E"/>
    <w:rsid w:val="00BB67A9"/>
    <w:rsid w:val="00BB6C01"/>
    <w:rsid w:val="00BB7942"/>
    <w:rsid w:val="00BB7CD1"/>
    <w:rsid w:val="00BC0F33"/>
    <w:rsid w:val="00BC14A7"/>
    <w:rsid w:val="00BC17CC"/>
    <w:rsid w:val="00BC209F"/>
    <w:rsid w:val="00BC24AD"/>
    <w:rsid w:val="00BC2898"/>
    <w:rsid w:val="00BC2928"/>
    <w:rsid w:val="00BC29BD"/>
    <w:rsid w:val="00BC2BB1"/>
    <w:rsid w:val="00BC34A3"/>
    <w:rsid w:val="00BC3FF9"/>
    <w:rsid w:val="00BC4834"/>
    <w:rsid w:val="00BC4A97"/>
    <w:rsid w:val="00BC5A25"/>
    <w:rsid w:val="00BC5FDD"/>
    <w:rsid w:val="00BC68B4"/>
    <w:rsid w:val="00BC7277"/>
    <w:rsid w:val="00BD0140"/>
    <w:rsid w:val="00BD02CC"/>
    <w:rsid w:val="00BD088E"/>
    <w:rsid w:val="00BD0F18"/>
    <w:rsid w:val="00BD182E"/>
    <w:rsid w:val="00BD2063"/>
    <w:rsid w:val="00BD2950"/>
    <w:rsid w:val="00BD337A"/>
    <w:rsid w:val="00BD33D9"/>
    <w:rsid w:val="00BD38C5"/>
    <w:rsid w:val="00BD3A6D"/>
    <w:rsid w:val="00BD3AF1"/>
    <w:rsid w:val="00BD3DEA"/>
    <w:rsid w:val="00BD3E97"/>
    <w:rsid w:val="00BD40E4"/>
    <w:rsid w:val="00BD52FE"/>
    <w:rsid w:val="00BD62CF"/>
    <w:rsid w:val="00BD67B2"/>
    <w:rsid w:val="00BD68E2"/>
    <w:rsid w:val="00BD6D41"/>
    <w:rsid w:val="00BD76E5"/>
    <w:rsid w:val="00BD78FE"/>
    <w:rsid w:val="00BE0149"/>
    <w:rsid w:val="00BE0767"/>
    <w:rsid w:val="00BE07A6"/>
    <w:rsid w:val="00BE0CDF"/>
    <w:rsid w:val="00BE0F24"/>
    <w:rsid w:val="00BE12D7"/>
    <w:rsid w:val="00BE1372"/>
    <w:rsid w:val="00BE1775"/>
    <w:rsid w:val="00BE18DA"/>
    <w:rsid w:val="00BE26C0"/>
    <w:rsid w:val="00BE3442"/>
    <w:rsid w:val="00BE37CD"/>
    <w:rsid w:val="00BE47B2"/>
    <w:rsid w:val="00BE48C7"/>
    <w:rsid w:val="00BE4F66"/>
    <w:rsid w:val="00BE4FBF"/>
    <w:rsid w:val="00BE5238"/>
    <w:rsid w:val="00BE5742"/>
    <w:rsid w:val="00BE6074"/>
    <w:rsid w:val="00BE6D73"/>
    <w:rsid w:val="00BE7257"/>
    <w:rsid w:val="00BF020D"/>
    <w:rsid w:val="00BF0532"/>
    <w:rsid w:val="00BF0609"/>
    <w:rsid w:val="00BF0EE8"/>
    <w:rsid w:val="00BF10ED"/>
    <w:rsid w:val="00BF1DD2"/>
    <w:rsid w:val="00BF23A3"/>
    <w:rsid w:val="00BF2A7E"/>
    <w:rsid w:val="00BF3331"/>
    <w:rsid w:val="00BF3A45"/>
    <w:rsid w:val="00BF436F"/>
    <w:rsid w:val="00BF45AE"/>
    <w:rsid w:val="00BF5C05"/>
    <w:rsid w:val="00BF6A12"/>
    <w:rsid w:val="00BF6FC6"/>
    <w:rsid w:val="00BF7C52"/>
    <w:rsid w:val="00BF7F99"/>
    <w:rsid w:val="00C00713"/>
    <w:rsid w:val="00C009A0"/>
    <w:rsid w:val="00C018F7"/>
    <w:rsid w:val="00C01F74"/>
    <w:rsid w:val="00C020C1"/>
    <w:rsid w:val="00C02558"/>
    <w:rsid w:val="00C025FE"/>
    <w:rsid w:val="00C0285F"/>
    <w:rsid w:val="00C028F5"/>
    <w:rsid w:val="00C02F35"/>
    <w:rsid w:val="00C03305"/>
    <w:rsid w:val="00C03515"/>
    <w:rsid w:val="00C03664"/>
    <w:rsid w:val="00C03738"/>
    <w:rsid w:val="00C037A6"/>
    <w:rsid w:val="00C04221"/>
    <w:rsid w:val="00C043F5"/>
    <w:rsid w:val="00C044E3"/>
    <w:rsid w:val="00C04607"/>
    <w:rsid w:val="00C04BDB"/>
    <w:rsid w:val="00C052C6"/>
    <w:rsid w:val="00C052D3"/>
    <w:rsid w:val="00C05A61"/>
    <w:rsid w:val="00C05FBA"/>
    <w:rsid w:val="00C05FEE"/>
    <w:rsid w:val="00C06CCF"/>
    <w:rsid w:val="00C0794D"/>
    <w:rsid w:val="00C10E78"/>
    <w:rsid w:val="00C1159D"/>
    <w:rsid w:val="00C1233E"/>
    <w:rsid w:val="00C1276C"/>
    <w:rsid w:val="00C12FB3"/>
    <w:rsid w:val="00C13276"/>
    <w:rsid w:val="00C138BC"/>
    <w:rsid w:val="00C13D85"/>
    <w:rsid w:val="00C14575"/>
    <w:rsid w:val="00C14639"/>
    <w:rsid w:val="00C14E82"/>
    <w:rsid w:val="00C14FF6"/>
    <w:rsid w:val="00C15A85"/>
    <w:rsid w:val="00C1637C"/>
    <w:rsid w:val="00C1641B"/>
    <w:rsid w:val="00C165FC"/>
    <w:rsid w:val="00C16DCE"/>
    <w:rsid w:val="00C176D5"/>
    <w:rsid w:val="00C17D24"/>
    <w:rsid w:val="00C2082C"/>
    <w:rsid w:val="00C20EB0"/>
    <w:rsid w:val="00C21004"/>
    <w:rsid w:val="00C21005"/>
    <w:rsid w:val="00C218DF"/>
    <w:rsid w:val="00C220B6"/>
    <w:rsid w:val="00C22D7C"/>
    <w:rsid w:val="00C22DDE"/>
    <w:rsid w:val="00C2338B"/>
    <w:rsid w:val="00C233CE"/>
    <w:rsid w:val="00C237DD"/>
    <w:rsid w:val="00C238F4"/>
    <w:rsid w:val="00C2393A"/>
    <w:rsid w:val="00C23A99"/>
    <w:rsid w:val="00C23AB5"/>
    <w:rsid w:val="00C245EE"/>
    <w:rsid w:val="00C24AE1"/>
    <w:rsid w:val="00C24B8D"/>
    <w:rsid w:val="00C24BD7"/>
    <w:rsid w:val="00C25813"/>
    <w:rsid w:val="00C26C71"/>
    <w:rsid w:val="00C27143"/>
    <w:rsid w:val="00C27490"/>
    <w:rsid w:val="00C27D37"/>
    <w:rsid w:val="00C309E8"/>
    <w:rsid w:val="00C31BCD"/>
    <w:rsid w:val="00C32017"/>
    <w:rsid w:val="00C32571"/>
    <w:rsid w:val="00C325CD"/>
    <w:rsid w:val="00C3322E"/>
    <w:rsid w:val="00C337F5"/>
    <w:rsid w:val="00C3383E"/>
    <w:rsid w:val="00C33B90"/>
    <w:rsid w:val="00C34161"/>
    <w:rsid w:val="00C34B5F"/>
    <w:rsid w:val="00C358D4"/>
    <w:rsid w:val="00C365C6"/>
    <w:rsid w:val="00C366F4"/>
    <w:rsid w:val="00C36785"/>
    <w:rsid w:val="00C3711C"/>
    <w:rsid w:val="00C37256"/>
    <w:rsid w:val="00C37A7B"/>
    <w:rsid w:val="00C37DC1"/>
    <w:rsid w:val="00C37FFE"/>
    <w:rsid w:val="00C40B50"/>
    <w:rsid w:val="00C419E3"/>
    <w:rsid w:val="00C419F4"/>
    <w:rsid w:val="00C41E6A"/>
    <w:rsid w:val="00C42160"/>
    <w:rsid w:val="00C42247"/>
    <w:rsid w:val="00C428E7"/>
    <w:rsid w:val="00C438A2"/>
    <w:rsid w:val="00C439BE"/>
    <w:rsid w:val="00C440B6"/>
    <w:rsid w:val="00C451B2"/>
    <w:rsid w:val="00C4539B"/>
    <w:rsid w:val="00C45466"/>
    <w:rsid w:val="00C455C1"/>
    <w:rsid w:val="00C4581D"/>
    <w:rsid w:val="00C45AC2"/>
    <w:rsid w:val="00C47472"/>
    <w:rsid w:val="00C500F0"/>
    <w:rsid w:val="00C504A7"/>
    <w:rsid w:val="00C506C9"/>
    <w:rsid w:val="00C50A16"/>
    <w:rsid w:val="00C51284"/>
    <w:rsid w:val="00C51C9A"/>
    <w:rsid w:val="00C520E6"/>
    <w:rsid w:val="00C52C68"/>
    <w:rsid w:val="00C52D98"/>
    <w:rsid w:val="00C52DA1"/>
    <w:rsid w:val="00C53423"/>
    <w:rsid w:val="00C53D24"/>
    <w:rsid w:val="00C54640"/>
    <w:rsid w:val="00C547A6"/>
    <w:rsid w:val="00C54A3A"/>
    <w:rsid w:val="00C5587F"/>
    <w:rsid w:val="00C55C32"/>
    <w:rsid w:val="00C56A67"/>
    <w:rsid w:val="00C56CC2"/>
    <w:rsid w:val="00C56D8D"/>
    <w:rsid w:val="00C57498"/>
    <w:rsid w:val="00C5763C"/>
    <w:rsid w:val="00C5780C"/>
    <w:rsid w:val="00C5796B"/>
    <w:rsid w:val="00C57C64"/>
    <w:rsid w:val="00C612C4"/>
    <w:rsid w:val="00C619A1"/>
    <w:rsid w:val="00C62370"/>
    <w:rsid w:val="00C62BBB"/>
    <w:rsid w:val="00C6305F"/>
    <w:rsid w:val="00C6325B"/>
    <w:rsid w:val="00C63DDD"/>
    <w:rsid w:val="00C63E99"/>
    <w:rsid w:val="00C649B8"/>
    <w:rsid w:val="00C64A64"/>
    <w:rsid w:val="00C65151"/>
    <w:rsid w:val="00C657F4"/>
    <w:rsid w:val="00C6598D"/>
    <w:rsid w:val="00C660FE"/>
    <w:rsid w:val="00C66119"/>
    <w:rsid w:val="00C66292"/>
    <w:rsid w:val="00C672A3"/>
    <w:rsid w:val="00C672F1"/>
    <w:rsid w:val="00C673D0"/>
    <w:rsid w:val="00C6742E"/>
    <w:rsid w:val="00C67B0B"/>
    <w:rsid w:val="00C67C0E"/>
    <w:rsid w:val="00C70012"/>
    <w:rsid w:val="00C71E2A"/>
    <w:rsid w:val="00C733BA"/>
    <w:rsid w:val="00C742F6"/>
    <w:rsid w:val="00C760DC"/>
    <w:rsid w:val="00C77777"/>
    <w:rsid w:val="00C8082B"/>
    <w:rsid w:val="00C80C6B"/>
    <w:rsid w:val="00C81A88"/>
    <w:rsid w:val="00C81D46"/>
    <w:rsid w:val="00C82298"/>
    <w:rsid w:val="00C82DC7"/>
    <w:rsid w:val="00C8331F"/>
    <w:rsid w:val="00C833B4"/>
    <w:rsid w:val="00C84284"/>
    <w:rsid w:val="00C84E33"/>
    <w:rsid w:val="00C85FFC"/>
    <w:rsid w:val="00C861FC"/>
    <w:rsid w:val="00C86C87"/>
    <w:rsid w:val="00C9005E"/>
    <w:rsid w:val="00C90111"/>
    <w:rsid w:val="00C9038E"/>
    <w:rsid w:val="00C9077B"/>
    <w:rsid w:val="00C90CA9"/>
    <w:rsid w:val="00C90F88"/>
    <w:rsid w:val="00C915F2"/>
    <w:rsid w:val="00C917B1"/>
    <w:rsid w:val="00C9193C"/>
    <w:rsid w:val="00C91B77"/>
    <w:rsid w:val="00C920E2"/>
    <w:rsid w:val="00C9370F"/>
    <w:rsid w:val="00C93765"/>
    <w:rsid w:val="00C93877"/>
    <w:rsid w:val="00C93D8C"/>
    <w:rsid w:val="00C93E07"/>
    <w:rsid w:val="00C946CC"/>
    <w:rsid w:val="00C959BD"/>
    <w:rsid w:val="00C95DFE"/>
    <w:rsid w:val="00C95F44"/>
    <w:rsid w:val="00C96331"/>
    <w:rsid w:val="00C96D1B"/>
    <w:rsid w:val="00C97106"/>
    <w:rsid w:val="00C978D4"/>
    <w:rsid w:val="00CA0031"/>
    <w:rsid w:val="00CA0413"/>
    <w:rsid w:val="00CA043A"/>
    <w:rsid w:val="00CA0E51"/>
    <w:rsid w:val="00CA1691"/>
    <w:rsid w:val="00CA41E7"/>
    <w:rsid w:val="00CA4A99"/>
    <w:rsid w:val="00CA4CCC"/>
    <w:rsid w:val="00CA5520"/>
    <w:rsid w:val="00CA5812"/>
    <w:rsid w:val="00CA5984"/>
    <w:rsid w:val="00CA5BD4"/>
    <w:rsid w:val="00CA5C14"/>
    <w:rsid w:val="00CA5E65"/>
    <w:rsid w:val="00CA7019"/>
    <w:rsid w:val="00CA76FC"/>
    <w:rsid w:val="00CA7E7B"/>
    <w:rsid w:val="00CB0236"/>
    <w:rsid w:val="00CB0CB1"/>
    <w:rsid w:val="00CB137C"/>
    <w:rsid w:val="00CB1881"/>
    <w:rsid w:val="00CB1969"/>
    <w:rsid w:val="00CB19E3"/>
    <w:rsid w:val="00CB2C3A"/>
    <w:rsid w:val="00CB2D38"/>
    <w:rsid w:val="00CB2F5E"/>
    <w:rsid w:val="00CB3EB6"/>
    <w:rsid w:val="00CB4137"/>
    <w:rsid w:val="00CB5084"/>
    <w:rsid w:val="00CB50D0"/>
    <w:rsid w:val="00CB52D0"/>
    <w:rsid w:val="00CB5578"/>
    <w:rsid w:val="00CB5671"/>
    <w:rsid w:val="00CB591C"/>
    <w:rsid w:val="00CB5943"/>
    <w:rsid w:val="00CB61B3"/>
    <w:rsid w:val="00CB6801"/>
    <w:rsid w:val="00CB6F83"/>
    <w:rsid w:val="00CB72AE"/>
    <w:rsid w:val="00CC00CD"/>
    <w:rsid w:val="00CC0579"/>
    <w:rsid w:val="00CC0AF3"/>
    <w:rsid w:val="00CC0BC6"/>
    <w:rsid w:val="00CC0E68"/>
    <w:rsid w:val="00CC1780"/>
    <w:rsid w:val="00CC194E"/>
    <w:rsid w:val="00CC21AC"/>
    <w:rsid w:val="00CC232E"/>
    <w:rsid w:val="00CC2514"/>
    <w:rsid w:val="00CC2D34"/>
    <w:rsid w:val="00CC2F69"/>
    <w:rsid w:val="00CC315F"/>
    <w:rsid w:val="00CC3995"/>
    <w:rsid w:val="00CC3D38"/>
    <w:rsid w:val="00CC3F2F"/>
    <w:rsid w:val="00CC40C3"/>
    <w:rsid w:val="00CC4CB4"/>
    <w:rsid w:val="00CC4E5D"/>
    <w:rsid w:val="00CC50AE"/>
    <w:rsid w:val="00CC5FFE"/>
    <w:rsid w:val="00CC61B7"/>
    <w:rsid w:val="00CC61CA"/>
    <w:rsid w:val="00CC69EC"/>
    <w:rsid w:val="00CC71D3"/>
    <w:rsid w:val="00CC743D"/>
    <w:rsid w:val="00CD02ED"/>
    <w:rsid w:val="00CD050A"/>
    <w:rsid w:val="00CD1017"/>
    <w:rsid w:val="00CD205D"/>
    <w:rsid w:val="00CD2A22"/>
    <w:rsid w:val="00CD2B50"/>
    <w:rsid w:val="00CD3172"/>
    <w:rsid w:val="00CD32FB"/>
    <w:rsid w:val="00CD4506"/>
    <w:rsid w:val="00CD4F50"/>
    <w:rsid w:val="00CD520B"/>
    <w:rsid w:val="00CD592E"/>
    <w:rsid w:val="00CD5982"/>
    <w:rsid w:val="00CD5A1A"/>
    <w:rsid w:val="00CD7EFA"/>
    <w:rsid w:val="00CE020E"/>
    <w:rsid w:val="00CE0566"/>
    <w:rsid w:val="00CE1CD4"/>
    <w:rsid w:val="00CE2761"/>
    <w:rsid w:val="00CE28FC"/>
    <w:rsid w:val="00CE314E"/>
    <w:rsid w:val="00CE3A85"/>
    <w:rsid w:val="00CE3D5C"/>
    <w:rsid w:val="00CE3E09"/>
    <w:rsid w:val="00CE3E14"/>
    <w:rsid w:val="00CE44C7"/>
    <w:rsid w:val="00CE53CC"/>
    <w:rsid w:val="00CE5F60"/>
    <w:rsid w:val="00CE65A7"/>
    <w:rsid w:val="00CE68FE"/>
    <w:rsid w:val="00CE69CC"/>
    <w:rsid w:val="00CE6E1E"/>
    <w:rsid w:val="00CE6EC4"/>
    <w:rsid w:val="00CE7CBF"/>
    <w:rsid w:val="00CE7F26"/>
    <w:rsid w:val="00CF1226"/>
    <w:rsid w:val="00CF1ABB"/>
    <w:rsid w:val="00CF1E1D"/>
    <w:rsid w:val="00CF24FE"/>
    <w:rsid w:val="00CF287F"/>
    <w:rsid w:val="00CF35D0"/>
    <w:rsid w:val="00CF3B57"/>
    <w:rsid w:val="00CF3DD5"/>
    <w:rsid w:val="00CF43E7"/>
    <w:rsid w:val="00CF4AF7"/>
    <w:rsid w:val="00CF4D20"/>
    <w:rsid w:val="00CF6296"/>
    <w:rsid w:val="00CF73F8"/>
    <w:rsid w:val="00CF7928"/>
    <w:rsid w:val="00CF7CA2"/>
    <w:rsid w:val="00D00911"/>
    <w:rsid w:val="00D00A8E"/>
    <w:rsid w:val="00D00DE0"/>
    <w:rsid w:val="00D00F79"/>
    <w:rsid w:val="00D012BF"/>
    <w:rsid w:val="00D01760"/>
    <w:rsid w:val="00D01838"/>
    <w:rsid w:val="00D0368E"/>
    <w:rsid w:val="00D03AC3"/>
    <w:rsid w:val="00D03D2D"/>
    <w:rsid w:val="00D03E7B"/>
    <w:rsid w:val="00D0401A"/>
    <w:rsid w:val="00D047E0"/>
    <w:rsid w:val="00D04B9F"/>
    <w:rsid w:val="00D04D43"/>
    <w:rsid w:val="00D04FFB"/>
    <w:rsid w:val="00D055FE"/>
    <w:rsid w:val="00D058E9"/>
    <w:rsid w:val="00D0612A"/>
    <w:rsid w:val="00D06CA3"/>
    <w:rsid w:val="00D1060D"/>
    <w:rsid w:val="00D10D14"/>
    <w:rsid w:val="00D10E7C"/>
    <w:rsid w:val="00D11182"/>
    <w:rsid w:val="00D1137B"/>
    <w:rsid w:val="00D11508"/>
    <w:rsid w:val="00D11807"/>
    <w:rsid w:val="00D11DB3"/>
    <w:rsid w:val="00D12D82"/>
    <w:rsid w:val="00D12F77"/>
    <w:rsid w:val="00D1306E"/>
    <w:rsid w:val="00D130B7"/>
    <w:rsid w:val="00D134CD"/>
    <w:rsid w:val="00D1401E"/>
    <w:rsid w:val="00D14B5F"/>
    <w:rsid w:val="00D14E13"/>
    <w:rsid w:val="00D14F23"/>
    <w:rsid w:val="00D160F6"/>
    <w:rsid w:val="00D16740"/>
    <w:rsid w:val="00D16A8B"/>
    <w:rsid w:val="00D16E39"/>
    <w:rsid w:val="00D171DE"/>
    <w:rsid w:val="00D172A4"/>
    <w:rsid w:val="00D17951"/>
    <w:rsid w:val="00D17AD8"/>
    <w:rsid w:val="00D2074E"/>
    <w:rsid w:val="00D2104A"/>
    <w:rsid w:val="00D21A58"/>
    <w:rsid w:val="00D21BB5"/>
    <w:rsid w:val="00D21FFC"/>
    <w:rsid w:val="00D223B6"/>
    <w:rsid w:val="00D223E8"/>
    <w:rsid w:val="00D224E1"/>
    <w:rsid w:val="00D22DC8"/>
    <w:rsid w:val="00D2477B"/>
    <w:rsid w:val="00D2522A"/>
    <w:rsid w:val="00D2531C"/>
    <w:rsid w:val="00D25428"/>
    <w:rsid w:val="00D2553E"/>
    <w:rsid w:val="00D2587F"/>
    <w:rsid w:val="00D2742F"/>
    <w:rsid w:val="00D2754F"/>
    <w:rsid w:val="00D277C5"/>
    <w:rsid w:val="00D279D9"/>
    <w:rsid w:val="00D30496"/>
    <w:rsid w:val="00D312DC"/>
    <w:rsid w:val="00D31B84"/>
    <w:rsid w:val="00D31C6A"/>
    <w:rsid w:val="00D31EDF"/>
    <w:rsid w:val="00D31FF9"/>
    <w:rsid w:val="00D32149"/>
    <w:rsid w:val="00D32256"/>
    <w:rsid w:val="00D32A27"/>
    <w:rsid w:val="00D32ABC"/>
    <w:rsid w:val="00D330CE"/>
    <w:rsid w:val="00D33693"/>
    <w:rsid w:val="00D33FA4"/>
    <w:rsid w:val="00D34B25"/>
    <w:rsid w:val="00D34C7F"/>
    <w:rsid w:val="00D34F4E"/>
    <w:rsid w:val="00D357F3"/>
    <w:rsid w:val="00D35C0E"/>
    <w:rsid w:val="00D36FBF"/>
    <w:rsid w:val="00D373A8"/>
    <w:rsid w:val="00D3762A"/>
    <w:rsid w:val="00D379A5"/>
    <w:rsid w:val="00D37BB3"/>
    <w:rsid w:val="00D401BE"/>
    <w:rsid w:val="00D4043A"/>
    <w:rsid w:val="00D40DB0"/>
    <w:rsid w:val="00D41093"/>
    <w:rsid w:val="00D41858"/>
    <w:rsid w:val="00D422DB"/>
    <w:rsid w:val="00D42AC2"/>
    <w:rsid w:val="00D4498E"/>
    <w:rsid w:val="00D4515F"/>
    <w:rsid w:val="00D451E8"/>
    <w:rsid w:val="00D466C9"/>
    <w:rsid w:val="00D47275"/>
    <w:rsid w:val="00D517F6"/>
    <w:rsid w:val="00D51AB7"/>
    <w:rsid w:val="00D51E15"/>
    <w:rsid w:val="00D52B7E"/>
    <w:rsid w:val="00D52E2F"/>
    <w:rsid w:val="00D52F59"/>
    <w:rsid w:val="00D53445"/>
    <w:rsid w:val="00D53E3E"/>
    <w:rsid w:val="00D54620"/>
    <w:rsid w:val="00D55904"/>
    <w:rsid w:val="00D55D68"/>
    <w:rsid w:val="00D5614E"/>
    <w:rsid w:val="00D5616F"/>
    <w:rsid w:val="00D56A53"/>
    <w:rsid w:val="00D57940"/>
    <w:rsid w:val="00D60327"/>
    <w:rsid w:val="00D61384"/>
    <w:rsid w:val="00D61526"/>
    <w:rsid w:val="00D61C39"/>
    <w:rsid w:val="00D61F81"/>
    <w:rsid w:val="00D620A6"/>
    <w:rsid w:val="00D623C0"/>
    <w:rsid w:val="00D62BE6"/>
    <w:rsid w:val="00D63359"/>
    <w:rsid w:val="00D63766"/>
    <w:rsid w:val="00D63912"/>
    <w:rsid w:val="00D63923"/>
    <w:rsid w:val="00D6451B"/>
    <w:rsid w:val="00D64B57"/>
    <w:rsid w:val="00D651A1"/>
    <w:rsid w:val="00D65861"/>
    <w:rsid w:val="00D65DEA"/>
    <w:rsid w:val="00D6650F"/>
    <w:rsid w:val="00D66579"/>
    <w:rsid w:val="00D676D3"/>
    <w:rsid w:val="00D67B06"/>
    <w:rsid w:val="00D67BC7"/>
    <w:rsid w:val="00D67C3B"/>
    <w:rsid w:val="00D701F1"/>
    <w:rsid w:val="00D705D3"/>
    <w:rsid w:val="00D70E00"/>
    <w:rsid w:val="00D70F7C"/>
    <w:rsid w:val="00D715AC"/>
    <w:rsid w:val="00D71851"/>
    <w:rsid w:val="00D718CF"/>
    <w:rsid w:val="00D728F5"/>
    <w:rsid w:val="00D72E9D"/>
    <w:rsid w:val="00D73249"/>
    <w:rsid w:val="00D73419"/>
    <w:rsid w:val="00D73881"/>
    <w:rsid w:val="00D73CA9"/>
    <w:rsid w:val="00D751B7"/>
    <w:rsid w:val="00D7524B"/>
    <w:rsid w:val="00D7536A"/>
    <w:rsid w:val="00D75396"/>
    <w:rsid w:val="00D759C0"/>
    <w:rsid w:val="00D75E99"/>
    <w:rsid w:val="00D765CE"/>
    <w:rsid w:val="00D766C7"/>
    <w:rsid w:val="00D7692B"/>
    <w:rsid w:val="00D7734F"/>
    <w:rsid w:val="00D7791D"/>
    <w:rsid w:val="00D8039E"/>
    <w:rsid w:val="00D8044C"/>
    <w:rsid w:val="00D805D6"/>
    <w:rsid w:val="00D8075E"/>
    <w:rsid w:val="00D80860"/>
    <w:rsid w:val="00D80D4C"/>
    <w:rsid w:val="00D8184D"/>
    <w:rsid w:val="00D81A7B"/>
    <w:rsid w:val="00D8223C"/>
    <w:rsid w:val="00D82B57"/>
    <w:rsid w:val="00D82CE5"/>
    <w:rsid w:val="00D831E3"/>
    <w:rsid w:val="00D8342C"/>
    <w:rsid w:val="00D84983"/>
    <w:rsid w:val="00D84C00"/>
    <w:rsid w:val="00D85494"/>
    <w:rsid w:val="00D8582C"/>
    <w:rsid w:val="00D85D61"/>
    <w:rsid w:val="00D8616D"/>
    <w:rsid w:val="00D8711B"/>
    <w:rsid w:val="00D87384"/>
    <w:rsid w:val="00D9015D"/>
    <w:rsid w:val="00D90683"/>
    <w:rsid w:val="00D90B2A"/>
    <w:rsid w:val="00D91483"/>
    <w:rsid w:val="00D915C8"/>
    <w:rsid w:val="00D9310B"/>
    <w:rsid w:val="00D931F3"/>
    <w:rsid w:val="00D93726"/>
    <w:rsid w:val="00D93F3E"/>
    <w:rsid w:val="00D9405B"/>
    <w:rsid w:val="00D94942"/>
    <w:rsid w:val="00D95145"/>
    <w:rsid w:val="00D95F31"/>
    <w:rsid w:val="00D96594"/>
    <w:rsid w:val="00D967CB"/>
    <w:rsid w:val="00D968D4"/>
    <w:rsid w:val="00D96EE0"/>
    <w:rsid w:val="00D97BD1"/>
    <w:rsid w:val="00D97EF0"/>
    <w:rsid w:val="00DA00C3"/>
    <w:rsid w:val="00DA01E9"/>
    <w:rsid w:val="00DA06B8"/>
    <w:rsid w:val="00DA14A9"/>
    <w:rsid w:val="00DA286D"/>
    <w:rsid w:val="00DA2969"/>
    <w:rsid w:val="00DA29B7"/>
    <w:rsid w:val="00DA2E5F"/>
    <w:rsid w:val="00DA337C"/>
    <w:rsid w:val="00DA422F"/>
    <w:rsid w:val="00DA4842"/>
    <w:rsid w:val="00DA4C97"/>
    <w:rsid w:val="00DA5989"/>
    <w:rsid w:val="00DA5AB1"/>
    <w:rsid w:val="00DA5F9D"/>
    <w:rsid w:val="00DA6719"/>
    <w:rsid w:val="00DA69B2"/>
    <w:rsid w:val="00DA7462"/>
    <w:rsid w:val="00DA7831"/>
    <w:rsid w:val="00DA7AD0"/>
    <w:rsid w:val="00DB02D7"/>
    <w:rsid w:val="00DB03CC"/>
    <w:rsid w:val="00DB12D4"/>
    <w:rsid w:val="00DB14F0"/>
    <w:rsid w:val="00DB1745"/>
    <w:rsid w:val="00DB19BB"/>
    <w:rsid w:val="00DB1AFF"/>
    <w:rsid w:val="00DB219A"/>
    <w:rsid w:val="00DB3165"/>
    <w:rsid w:val="00DB31EE"/>
    <w:rsid w:val="00DB4292"/>
    <w:rsid w:val="00DB5023"/>
    <w:rsid w:val="00DB6E46"/>
    <w:rsid w:val="00DB7117"/>
    <w:rsid w:val="00DB7760"/>
    <w:rsid w:val="00DB7DD4"/>
    <w:rsid w:val="00DC00B4"/>
    <w:rsid w:val="00DC0954"/>
    <w:rsid w:val="00DC0DF8"/>
    <w:rsid w:val="00DC15BA"/>
    <w:rsid w:val="00DC18CD"/>
    <w:rsid w:val="00DC1A68"/>
    <w:rsid w:val="00DC30B8"/>
    <w:rsid w:val="00DC478F"/>
    <w:rsid w:val="00DC558F"/>
    <w:rsid w:val="00DC61AC"/>
    <w:rsid w:val="00DC62E5"/>
    <w:rsid w:val="00DC6D70"/>
    <w:rsid w:val="00DC6DAA"/>
    <w:rsid w:val="00DC6F33"/>
    <w:rsid w:val="00DC7349"/>
    <w:rsid w:val="00DC7389"/>
    <w:rsid w:val="00DD0EA9"/>
    <w:rsid w:val="00DD14D8"/>
    <w:rsid w:val="00DD1599"/>
    <w:rsid w:val="00DD16F1"/>
    <w:rsid w:val="00DD1B03"/>
    <w:rsid w:val="00DD1E43"/>
    <w:rsid w:val="00DD1EDF"/>
    <w:rsid w:val="00DD2A62"/>
    <w:rsid w:val="00DD2F2F"/>
    <w:rsid w:val="00DD2F7A"/>
    <w:rsid w:val="00DD36D2"/>
    <w:rsid w:val="00DD37C4"/>
    <w:rsid w:val="00DD3885"/>
    <w:rsid w:val="00DD5808"/>
    <w:rsid w:val="00DD5946"/>
    <w:rsid w:val="00DD5B04"/>
    <w:rsid w:val="00DD5DAE"/>
    <w:rsid w:val="00DD5EC6"/>
    <w:rsid w:val="00DD605F"/>
    <w:rsid w:val="00DD6A79"/>
    <w:rsid w:val="00DD72A0"/>
    <w:rsid w:val="00DD735D"/>
    <w:rsid w:val="00DD7F7D"/>
    <w:rsid w:val="00DE0159"/>
    <w:rsid w:val="00DE064A"/>
    <w:rsid w:val="00DE082D"/>
    <w:rsid w:val="00DE1410"/>
    <w:rsid w:val="00DE20C6"/>
    <w:rsid w:val="00DE3119"/>
    <w:rsid w:val="00DE3C24"/>
    <w:rsid w:val="00DE3FF0"/>
    <w:rsid w:val="00DE4105"/>
    <w:rsid w:val="00DE4BEA"/>
    <w:rsid w:val="00DE5189"/>
    <w:rsid w:val="00DE5DA0"/>
    <w:rsid w:val="00DE7108"/>
    <w:rsid w:val="00DE78D1"/>
    <w:rsid w:val="00DE78FF"/>
    <w:rsid w:val="00DF0263"/>
    <w:rsid w:val="00DF0EB4"/>
    <w:rsid w:val="00DF158B"/>
    <w:rsid w:val="00DF170E"/>
    <w:rsid w:val="00DF193C"/>
    <w:rsid w:val="00DF1E36"/>
    <w:rsid w:val="00DF1F5C"/>
    <w:rsid w:val="00DF236B"/>
    <w:rsid w:val="00DF258A"/>
    <w:rsid w:val="00DF2A91"/>
    <w:rsid w:val="00DF3889"/>
    <w:rsid w:val="00DF3CC9"/>
    <w:rsid w:val="00DF4451"/>
    <w:rsid w:val="00DF49FF"/>
    <w:rsid w:val="00DF4FFB"/>
    <w:rsid w:val="00DF5236"/>
    <w:rsid w:val="00DF651F"/>
    <w:rsid w:val="00DF6F43"/>
    <w:rsid w:val="00DF71EA"/>
    <w:rsid w:val="00DF752F"/>
    <w:rsid w:val="00DF76A2"/>
    <w:rsid w:val="00E00B25"/>
    <w:rsid w:val="00E00B7A"/>
    <w:rsid w:val="00E02186"/>
    <w:rsid w:val="00E025C2"/>
    <w:rsid w:val="00E026BB"/>
    <w:rsid w:val="00E027C5"/>
    <w:rsid w:val="00E03124"/>
    <w:rsid w:val="00E031C3"/>
    <w:rsid w:val="00E03951"/>
    <w:rsid w:val="00E03DB8"/>
    <w:rsid w:val="00E03F17"/>
    <w:rsid w:val="00E0420C"/>
    <w:rsid w:val="00E0451C"/>
    <w:rsid w:val="00E04EDD"/>
    <w:rsid w:val="00E05E70"/>
    <w:rsid w:val="00E06255"/>
    <w:rsid w:val="00E064BC"/>
    <w:rsid w:val="00E07225"/>
    <w:rsid w:val="00E076B4"/>
    <w:rsid w:val="00E07B55"/>
    <w:rsid w:val="00E10579"/>
    <w:rsid w:val="00E10603"/>
    <w:rsid w:val="00E109DD"/>
    <w:rsid w:val="00E11229"/>
    <w:rsid w:val="00E114CA"/>
    <w:rsid w:val="00E127D1"/>
    <w:rsid w:val="00E13867"/>
    <w:rsid w:val="00E1397F"/>
    <w:rsid w:val="00E13AB8"/>
    <w:rsid w:val="00E1482E"/>
    <w:rsid w:val="00E16382"/>
    <w:rsid w:val="00E1699C"/>
    <w:rsid w:val="00E16E75"/>
    <w:rsid w:val="00E1746D"/>
    <w:rsid w:val="00E2012A"/>
    <w:rsid w:val="00E205A2"/>
    <w:rsid w:val="00E20BA4"/>
    <w:rsid w:val="00E210D0"/>
    <w:rsid w:val="00E21887"/>
    <w:rsid w:val="00E21CC0"/>
    <w:rsid w:val="00E23137"/>
    <w:rsid w:val="00E23980"/>
    <w:rsid w:val="00E23AB0"/>
    <w:rsid w:val="00E241E9"/>
    <w:rsid w:val="00E257C3"/>
    <w:rsid w:val="00E25CB3"/>
    <w:rsid w:val="00E25DA4"/>
    <w:rsid w:val="00E26237"/>
    <w:rsid w:val="00E26CB8"/>
    <w:rsid w:val="00E26D16"/>
    <w:rsid w:val="00E26FCF"/>
    <w:rsid w:val="00E27165"/>
    <w:rsid w:val="00E275D9"/>
    <w:rsid w:val="00E3044A"/>
    <w:rsid w:val="00E305A8"/>
    <w:rsid w:val="00E30E49"/>
    <w:rsid w:val="00E31A4A"/>
    <w:rsid w:val="00E3344A"/>
    <w:rsid w:val="00E33B29"/>
    <w:rsid w:val="00E33B62"/>
    <w:rsid w:val="00E3403D"/>
    <w:rsid w:val="00E344BD"/>
    <w:rsid w:val="00E34E6C"/>
    <w:rsid w:val="00E353E2"/>
    <w:rsid w:val="00E36345"/>
    <w:rsid w:val="00E36C86"/>
    <w:rsid w:val="00E36CEB"/>
    <w:rsid w:val="00E37A28"/>
    <w:rsid w:val="00E400C7"/>
    <w:rsid w:val="00E40430"/>
    <w:rsid w:val="00E40690"/>
    <w:rsid w:val="00E40AEB"/>
    <w:rsid w:val="00E40E82"/>
    <w:rsid w:val="00E41141"/>
    <w:rsid w:val="00E4143A"/>
    <w:rsid w:val="00E41F68"/>
    <w:rsid w:val="00E424C8"/>
    <w:rsid w:val="00E4251D"/>
    <w:rsid w:val="00E427EF"/>
    <w:rsid w:val="00E43D00"/>
    <w:rsid w:val="00E443B4"/>
    <w:rsid w:val="00E445E4"/>
    <w:rsid w:val="00E457CB"/>
    <w:rsid w:val="00E45D47"/>
    <w:rsid w:val="00E45DE4"/>
    <w:rsid w:val="00E45E63"/>
    <w:rsid w:val="00E4759C"/>
    <w:rsid w:val="00E50A7B"/>
    <w:rsid w:val="00E50B0B"/>
    <w:rsid w:val="00E50C57"/>
    <w:rsid w:val="00E510FE"/>
    <w:rsid w:val="00E514BA"/>
    <w:rsid w:val="00E51E25"/>
    <w:rsid w:val="00E5205B"/>
    <w:rsid w:val="00E521AE"/>
    <w:rsid w:val="00E529A3"/>
    <w:rsid w:val="00E533EE"/>
    <w:rsid w:val="00E53A21"/>
    <w:rsid w:val="00E53BCA"/>
    <w:rsid w:val="00E53DE2"/>
    <w:rsid w:val="00E53F02"/>
    <w:rsid w:val="00E5428D"/>
    <w:rsid w:val="00E54534"/>
    <w:rsid w:val="00E548C3"/>
    <w:rsid w:val="00E54F27"/>
    <w:rsid w:val="00E55FF1"/>
    <w:rsid w:val="00E56090"/>
    <w:rsid w:val="00E56408"/>
    <w:rsid w:val="00E565B9"/>
    <w:rsid w:val="00E56E7B"/>
    <w:rsid w:val="00E5733B"/>
    <w:rsid w:val="00E5756C"/>
    <w:rsid w:val="00E57811"/>
    <w:rsid w:val="00E57FB0"/>
    <w:rsid w:val="00E601BE"/>
    <w:rsid w:val="00E60A0D"/>
    <w:rsid w:val="00E60A44"/>
    <w:rsid w:val="00E60B5F"/>
    <w:rsid w:val="00E613AE"/>
    <w:rsid w:val="00E61429"/>
    <w:rsid w:val="00E6143A"/>
    <w:rsid w:val="00E61ABB"/>
    <w:rsid w:val="00E61FD7"/>
    <w:rsid w:val="00E623E6"/>
    <w:rsid w:val="00E62BBF"/>
    <w:rsid w:val="00E62C76"/>
    <w:rsid w:val="00E630A2"/>
    <w:rsid w:val="00E630C0"/>
    <w:rsid w:val="00E63107"/>
    <w:rsid w:val="00E6312C"/>
    <w:rsid w:val="00E634E6"/>
    <w:rsid w:val="00E63DCE"/>
    <w:rsid w:val="00E642EF"/>
    <w:rsid w:val="00E64700"/>
    <w:rsid w:val="00E65074"/>
    <w:rsid w:val="00E65857"/>
    <w:rsid w:val="00E65A79"/>
    <w:rsid w:val="00E65E70"/>
    <w:rsid w:val="00E66087"/>
    <w:rsid w:val="00E66D79"/>
    <w:rsid w:val="00E66FF9"/>
    <w:rsid w:val="00E6706F"/>
    <w:rsid w:val="00E673A2"/>
    <w:rsid w:val="00E67856"/>
    <w:rsid w:val="00E679C8"/>
    <w:rsid w:val="00E70314"/>
    <w:rsid w:val="00E724E7"/>
    <w:rsid w:val="00E72B41"/>
    <w:rsid w:val="00E7347B"/>
    <w:rsid w:val="00E73792"/>
    <w:rsid w:val="00E73D03"/>
    <w:rsid w:val="00E7471C"/>
    <w:rsid w:val="00E7498A"/>
    <w:rsid w:val="00E7514E"/>
    <w:rsid w:val="00E75DC5"/>
    <w:rsid w:val="00E76537"/>
    <w:rsid w:val="00E77784"/>
    <w:rsid w:val="00E77AF5"/>
    <w:rsid w:val="00E8035B"/>
    <w:rsid w:val="00E820F4"/>
    <w:rsid w:val="00E82263"/>
    <w:rsid w:val="00E823F9"/>
    <w:rsid w:val="00E82C1F"/>
    <w:rsid w:val="00E83671"/>
    <w:rsid w:val="00E83D1E"/>
    <w:rsid w:val="00E840EE"/>
    <w:rsid w:val="00E84314"/>
    <w:rsid w:val="00E849CA"/>
    <w:rsid w:val="00E84A71"/>
    <w:rsid w:val="00E8556F"/>
    <w:rsid w:val="00E86556"/>
    <w:rsid w:val="00E86D35"/>
    <w:rsid w:val="00E86DC2"/>
    <w:rsid w:val="00E86E32"/>
    <w:rsid w:val="00E86F2E"/>
    <w:rsid w:val="00E8732E"/>
    <w:rsid w:val="00E9011F"/>
    <w:rsid w:val="00E906EB"/>
    <w:rsid w:val="00E9170E"/>
    <w:rsid w:val="00E919FB"/>
    <w:rsid w:val="00E9241E"/>
    <w:rsid w:val="00E92460"/>
    <w:rsid w:val="00E92E62"/>
    <w:rsid w:val="00E93804"/>
    <w:rsid w:val="00E9429D"/>
    <w:rsid w:val="00E95434"/>
    <w:rsid w:val="00E96467"/>
    <w:rsid w:val="00E966DA"/>
    <w:rsid w:val="00E96948"/>
    <w:rsid w:val="00E9737B"/>
    <w:rsid w:val="00E97A3F"/>
    <w:rsid w:val="00E97F0A"/>
    <w:rsid w:val="00EA0100"/>
    <w:rsid w:val="00EA0BCE"/>
    <w:rsid w:val="00EA10E4"/>
    <w:rsid w:val="00EA17BC"/>
    <w:rsid w:val="00EA2744"/>
    <w:rsid w:val="00EA37B9"/>
    <w:rsid w:val="00EA39F7"/>
    <w:rsid w:val="00EA3DC2"/>
    <w:rsid w:val="00EA434E"/>
    <w:rsid w:val="00EA4757"/>
    <w:rsid w:val="00EA560B"/>
    <w:rsid w:val="00EA5669"/>
    <w:rsid w:val="00EA5CC6"/>
    <w:rsid w:val="00EA63EF"/>
    <w:rsid w:val="00EA7CBF"/>
    <w:rsid w:val="00EB0A89"/>
    <w:rsid w:val="00EB0BD8"/>
    <w:rsid w:val="00EB1573"/>
    <w:rsid w:val="00EB1910"/>
    <w:rsid w:val="00EB2564"/>
    <w:rsid w:val="00EB2D83"/>
    <w:rsid w:val="00EB2E97"/>
    <w:rsid w:val="00EB3416"/>
    <w:rsid w:val="00EB4AE1"/>
    <w:rsid w:val="00EB52F4"/>
    <w:rsid w:val="00EB5694"/>
    <w:rsid w:val="00EB5779"/>
    <w:rsid w:val="00EB5D2F"/>
    <w:rsid w:val="00EB67F1"/>
    <w:rsid w:val="00EB6ADA"/>
    <w:rsid w:val="00EB7132"/>
    <w:rsid w:val="00EB72CD"/>
    <w:rsid w:val="00EB749A"/>
    <w:rsid w:val="00EB76B6"/>
    <w:rsid w:val="00EB7D8A"/>
    <w:rsid w:val="00EC04F7"/>
    <w:rsid w:val="00EC05E2"/>
    <w:rsid w:val="00EC0E84"/>
    <w:rsid w:val="00EC16E2"/>
    <w:rsid w:val="00EC1CE7"/>
    <w:rsid w:val="00EC1DAE"/>
    <w:rsid w:val="00EC26F1"/>
    <w:rsid w:val="00EC3BA2"/>
    <w:rsid w:val="00EC3C94"/>
    <w:rsid w:val="00EC44DF"/>
    <w:rsid w:val="00EC4FB9"/>
    <w:rsid w:val="00EC5393"/>
    <w:rsid w:val="00EC5741"/>
    <w:rsid w:val="00EC5DA3"/>
    <w:rsid w:val="00EC6014"/>
    <w:rsid w:val="00EC6565"/>
    <w:rsid w:val="00EC6B3E"/>
    <w:rsid w:val="00EC73DE"/>
    <w:rsid w:val="00EC7637"/>
    <w:rsid w:val="00EC7C07"/>
    <w:rsid w:val="00EC7CF2"/>
    <w:rsid w:val="00ED046C"/>
    <w:rsid w:val="00ED053A"/>
    <w:rsid w:val="00ED1F03"/>
    <w:rsid w:val="00ED249D"/>
    <w:rsid w:val="00ED2D27"/>
    <w:rsid w:val="00ED3347"/>
    <w:rsid w:val="00ED3441"/>
    <w:rsid w:val="00ED3860"/>
    <w:rsid w:val="00ED3954"/>
    <w:rsid w:val="00ED4174"/>
    <w:rsid w:val="00ED43A2"/>
    <w:rsid w:val="00ED4967"/>
    <w:rsid w:val="00ED5140"/>
    <w:rsid w:val="00ED538C"/>
    <w:rsid w:val="00ED5771"/>
    <w:rsid w:val="00ED587F"/>
    <w:rsid w:val="00ED5964"/>
    <w:rsid w:val="00ED623F"/>
    <w:rsid w:val="00ED63A5"/>
    <w:rsid w:val="00ED69BA"/>
    <w:rsid w:val="00ED6D1A"/>
    <w:rsid w:val="00ED72E9"/>
    <w:rsid w:val="00ED732E"/>
    <w:rsid w:val="00ED74B3"/>
    <w:rsid w:val="00ED77F0"/>
    <w:rsid w:val="00ED7FBC"/>
    <w:rsid w:val="00EE0253"/>
    <w:rsid w:val="00EE0297"/>
    <w:rsid w:val="00EE1258"/>
    <w:rsid w:val="00EE13DA"/>
    <w:rsid w:val="00EE1668"/>
    <w:rsid w:val="00EE1EDB"/>
    <w:rsid w:val="00EE24E2"/>
    <w:rsid w:val="00EE2A20"/>
    <w:rsid w:val="00EE366D"/>
    <w:rsid w:val="00EE40A4"/>
    <w:rsid w:val="00EE5454"/>
    <w:rsid w:val="00EE59B5"/>
    <w:rsid w:val="00EE5FB7"/>
    <w:rsid w:val="00EE6783"/>
    <w:rsid w:val="00EE678B"/>
    <w:rsid w:val="00EE7B54"/>
    <w:rsid w:val="00EE7C47"/>
    <w:rsid w:val="00EE7C88"/>
    <w:rsid w:val="00EE7C8B"/>
    <w:rsid w:val="00EF0209"/>
    <w:rsid w:val="00EF07FB"/>
    <w:rsid w:val="00EF0EA4"/>
    <w:rsid w:val="00EF1E97"/>
    <w:rsid w:val="00EF2436"/>
    <w:rsid w:val="00EF2547"/>
    <w:rsid w:val="00EF2B2B"/>
    <w:rsid w:val="00EF2E1C"/>
    <w:rsid w:val="00EF2FD6"/>
    <w:rsid w:val="00EF326A"/>
    <w:rsid w:val="00EF397D"/>
    <w:rsid w:val="00EF427A"/>
    <w:rsid w:val="00EF45DF"/>
    <w:rsid w:val="00EF4944"/>
    <w:rsid w:val="00EF4952"/>
    <w:rsid w:val="00EF498F"/>
    <w:rsid w:val="00EF4A42"/>
    <w:rsid w:val="00EF510C"/>
    <w:rsid w:val="00EF55C4"/>
    <w:rsid w:val="00EF57BC"/>
    <w:rsid w:val="00EF5CA8"/>
    <w:rsid w:val="00EF6784"/>
    <w:rsid w:val="00EF688A"/>
    <w:rsid w:val="00EF6A03"/>
    <w:rsid w:val="00EF6DC2"/>
    <w:rsid w:val="00EF7506"/>
    <w:rsid w:val="00EF760B"/>
    <w:rsid w:val="00EF7BF4"/>
    <w:rsid w:val="00F0030F"/>
    <w:rsid w:val="00F00674"/>
    <w:rsid w:val="00F01657"/>
    <w:rsid w:val="00F01E67"/>
    <w:rsid w:val="00F02744"/>
    <w:rsid w:val="00F02BFD"/>
    <w:rsid w:val="00F02D25"/>
    <w:rsid w:val="00F03C3D"/>
    <w:rsid w:val="00F0435D"/>
    <w:rsid w:val="00F04580"/>
    <w:rsid w:val="00F04ECA"/>
    <w:rsid w:val="00F04F8B"/>
    <w:rsid w:val="00F06E19"/>
    <w:rsid w:val="00F06F84"/>
    <w:rsid w:val="00F076E7"/>
    <w:rsid w:val="00F07A86"/>
    <w:rsid w:val="00F07AA1"/>
    <w:rsid w:val="00F105AE"/>
    <w:rsid w:val="00F10618"/>
    <w:rsid w:val="00F10E7D"/>
    <w:rsid w:val="00F1108B"/>
    <w:rsid w:val="00F114FA"/>
    <w:rsid w:val="00F11768"/>
    <w:rsid w:val="00F11951"/>
    <w:rsid w:val="00F12262"/>
    <w:rsid w:val="00F12564"/>
    <w:rsid w:val="00F12AF8"/>
    <w:rsid w:val="00F12C52"/>
    <w:rsid w:val="00F13381"/>
    <w:rsid w:val="00F13828"/>
    <w:rsid w:val="00F13E62"/>
    <w:rsid w:val="00F13F51"/>
    <w:rsid w:val="00F148B7"/>
    <w:rsid w:val="00F14EA9"/>
    <w:rsid w:val="00F15505"/>
    <w:rsid w:val="00F1559B"/>
    <w:rsid w:val="00F15BFF"/>
    <w:rsid w:val="00F16669"/>
    <w:rsid w:val="00F16E4F"/>
    <w:rsid w:val="00F171B2"/>
    <w:rsid w:val="00F17244"/>
    <w:rsid w:val="00F20931"/>
    <w:rsid w:val="00F20ECE"/>
    <w:rsid w:val="00F213A0"/>
    <w:rsid w:val="00F21D54"/>
    <w:rsid w:val="00F21EF4"/>
    <w:rsid w:val="00F221A2"/>
    <w:rsid w:val="00F23113"/>
    <w:rsid w:val="00F23255"/>
    <w:rsid w:val="00F23393"/>
    <w:rsid w:val="00F23759"/>
    <w:rsid w:val="00F24644"/>
    <w:rsid w:val="00F25947"/>
    <w:rsid w:val="00F262D6"/>
    <w:rsid w:val="00F26F33"/>
    <w:rsid w:val="00F273D5"/>
    <w:rsid w:val="00F2748A"/>
    <w:rsid w:val="00F2786C"/>
    <w:rsid w:val="00F300A8"/>
    <w:rsid w:val="00F302C6"/>
    <w:rsid w:val="00F30400"/>
    <w:rsid w:val="00F3079E"/>
    <w:rsid w:val="00F31289"/>
    <w:rsid w:val="00F31293"/>
    <w:rsid w:val="00F3232D"/>
    <w:rsid w:val="00F3399B"/>
    <w:rsid w:val="00F33F4B"/>
    <w:rsid w:val="00F346ED"/>
    <w:rsid w:val="00F34945"/>
    <w:rsid w:val="00F34E1E"/>
    <w:rsid w:val="00F3570C"/>
    <w:rsid w:val="00F363A4"/>
    <w:rsid w:val="00F36765"/>
    <w:rsid w:val="00F368FF"/>
    <w:rsid w:val="00F37068"/>
    <w:rsid w:val="00F37E5F"/>
    <w:rsid w:val="00F37F3F"/>
    <w:rsid w:val="00F40992"/>
    <w:rsid w:val="00F40F72"/>
    <w:rsid w:val="00F412AF"/>
    <w:rsid w:val="00F41596"/>
    <w:rsid w:val="00F41D8B"/>
    <w:rsid w:val="00F42121"/>
    <w:rsid w:val="00F424B3"/>
    <w:rsid w:val="00F428B1"/>
    <w:rsid w:val="00F428B4"/>
    <w:rsid w:val="00F4345D"/>
    <w:rsid w:val="00F4387B"/>
    <w:rsid w:val="00F4387F"/>
    <w:rsid w:val="00F44120"/>
    <w:rsid w:val="00F45921"/>
    <w:rsid w:val="00F45B91"/>
    <w:rsid w:val="00F46639"/>
    <w:rsid w:val="00F476FD"/>
    <w:rsid w:val="00F50183"/>
    <w:rsid w:val="00F50D92"/>
    <w:rsid w:val="00F51765"/>
    <w:rsid w:val="00F51A51"/>
    <w:rsid w:val="00F51BC6"/>
    <w:rsid w:val="00F51CB4"/>
    <w:rsid w:val="00F52200"/>
    <w:rsid w:val="00F52324"/>
    <w:rsid w:val="00F52950"/>
    <w:rsid w:val="00F52C9D"/>
    <w:rsid w:val="00F533F1"/>
    <w:rsid w:val="00F55185"/>
    <w:rsid w:val="00F55679"/>
    <w:rsid w:val="00F561E3"/>
    <w:rsid w:val="00F565E6"/>
    <w:rsid w:val="00F5673A"/>
    <w:rsid w:val="00F56AFA"/>
    <w:rsid w:val="00F575E2"/>
    <w:rsid w:val="00F579FF"/>
    <w:rsid w:val="00F600E0"/>
    <w:rsid w:val="00F605EC"/>
    <w:rsid w:val="00F60F60"/>
    <w:rsid w:val="00F611A7"/>
    <w:rsid w:val="00F612CE"/>
    <w:rsid w:val="00F6133C"/>
    <w:rsid w:val="00F61405"/>
    <w:rsid w:val="00F621D3"/>
    <w:rsid w:val="00F62227"/>
    <w:rsid w:val="00F624A7"/>
    <w:rsid w:val="00F62AB6"/>
    <w:rsid w:val="00F65A3C"/>
    <w:rsid w:val="00F66009"/>
    <w:rsid w:val="00F66282"/>
    <w:rsid w:val="00F6639E"/>
    <w:rsid w:val="00F670E9"/>
    <w:rsid w:val="00F67AF1"/>
    <w:rsid w:val="00F67D8B"/>
    <w:rsid w:val="00F700CD"/>
    <w:rsid w:val="00F701C5"/>
    <w:rsid w:val="00F70961"/>
    <w:rsid w:val="00F70A8F"/>
    <w:rsid w:val="00F711E1"/>
    <w:rsid w:val="00F71397"/>
    <w:rsid w:val="00F72389"/>
    <w:rsid w:val="00F72516"/>
    <w:rsid w:val="00F72FB4"/>
    <w:rsid w:val="00F732CF"/>
    <w:rsid w:val="00F735E5"/>
    <w:rsid w:val="00F73B82"/>
    <w:rsid w:val="00F73E80"/>
    <w:rsid w:val="00F740A0"/>
    <w:rsid w:val="00F7422B"/>
    <w:rsid w:val="00F7469C"/>
    <w:rsid w:val="00F7492E"/>
    <w:rsid w:val="00F74945"/>
    <w:rsid w:val="00F749A3"/>
    <w:rsid w:val="00F74AE8"/>
    <w:rsid w:val="00F76721"/>
    <w:rsid w:val="00F76C11"/>
    <w:rsid w:val="00F77021"/>
    <w:rsid w:val="00F770AB"/>
    <w:rsid w:val="00F77DD4"/>
    <w:rsid w:val="00F77E61"/>
    <w:rsid w:val="00F80221"/>
    <w:rsid w:val="00F80411"/>
    <w:rsid w:val="00F80A0A"/>
    <w:rsid w:val="00F80C81"/>
    <w:rsid w:val="00F815AC"/>
    <w:rsid w:val="00F83B33"/>
    <w:rsid w:val="00F83CAE"/>
    <w:rsid w:val="00F840BF"/>
    <w:rsid w:val="00F8427A"/>
    <w:rsid w:val="00F843DF"/>
    <w:rsid w:val="00F84646"/>
    <w:rsid w:val="00F84899"/>
    <w:rsid w:val="00F85585"/>
    <w:rsid w:val="00F859F0"/>
    <w:rsid w:val="00F85CC1"/>
    <w:rsid w:val="00F8643C"/>
    <w:rsid w:val="00F86B5D"/>
    <w:rsid w:val="00F87634"/>
    <w:rsid w:val="00F87C13"/>
    <w:rsid w:val="00F87C5A"/>
    <w:rsid w:val="00F87E29"/>
    <w:rsid w:val="00F87F18"/>
    <w:rsid w:val="00F87F68"/>
    <w:rsid w:val="00F90C4D"/>
    <w:rsid w:val="00F911E1"/>
    <w:rsid w:val="00F9167D"/>
    <w:rsid w:val="00F91CB2"/>
    <w:rsid w:val="00F927E8"/>
    <w:rsid w:val="00F9289C"/>
    <w:rsid w:val="00F92FC1"/>
    <w:rsid w:val="00F932D1"/>
    <w:rsid w:val="00F93DBC"/>
    <w:rsid w:val="00F93E41"/>
    <w:rsid w:val="00F94644"/>
    <w:rsid w:val="00F952E4"/>
    <w:rsid w:val="00F9537B"/>
    <w:rsid w:val="00F953C2"/>
    <w:rsid w:val="00F96079"/>
    <w:rsid w:val="00F963FC"/>
    <w:rsid w:val="00F97CF1"/>
    <w:rsid w:val="00FA015F"/>
    <w:rsid w:val="00FA082B"/>
    <w:rsid w:val="00FA0FAC"/>
    <w:rsid w:val="00FA10F7"/>
    <w:rsid w:val="00FA1DA2"/>
    <w:rsid w:val="00FA313F"/>
    <w:rsid w:val="00FA3414"/>
    <w:rsid w:val="00FA347A"/>
    <w:rsid w:val="00FA3CDE"/>
    <w:rsid w:val="00FA49B7"/>
    <w:rsid w:val="00FA5043"/>
    <w:rsid w:val="00FA60C1"/>
    <w:rsid w:val="00FA65A3"/>
    <w:rsid w:val="00FA6F8B"/>
    <w:rsid w:val="00FA727C"/>
    <w:rsid w:val="00FA7A30"/>
    <w:rsid w:val="00FB033F"/>
    <w:rsid w:val="00FB0880"/>
    <w:rsid w:val="00FB12E3"/>
    <w:rsid w:val="00FB1570"/>
    <w:rsid w:val="00FB193B"/>
    <w:rsid w:val="00FB1FBC"/>
    <w:rsid w:val="00FB27B7"/>
    <w:rsid w:val="00FB35E3"/>
    <w:rsid w:val="00FB4C98"/>
    <w:rsid w:val="00FB4CE3"/>
    <w:rsid w:val="00FB583C"/>
    <w:rsid w:val="00FB630E"/>
    <w:rsid w:val="00FB6738"/>
    <w:rsid w:val="00FB691B"/>
    <w:rsid w:val="00FB6BE6"/>
    <w:rsid w:val="00FB731C"/>
    <w:rsid w:val="00FB7628"/>
    <w:rsid w:val="00FC05A0"/>
    <w:rsid w:val="00FC0811"/>
    <w:rsid w:val="00FC09B3"/>
    <w:rsid w:val="00FC1196"/>
    <w:rsid w:val="00FC15EB"/>
    <w:rsid w:val="00FC162C"/>
    <w:rsid w:val="00FC18DC"/>
    <w:rsid w:val="00FC2477"/>
    <w:rsid w:val="00FC2AC4"/>
    <w:rsid w:val="00FC2F73"/>
    <w:rsid w:val="00FC3A9B"/>
    <w:rsid w:val="00FC3AE1"/>
    <w:rsid w:val="00FC3DFC"/>
    <w:rsid w:val="00FC3EF4"/>
    <w:rsid w:val="00FC431B"/>
    <w:rsid w:val="00FC434C"/>
    <w:rsid w:val="00FC472C"/>
    <w:rsid w:val="00FC4FDF"/>
    <w:rsid w:val="00FC5CF4"/>
    <w:rsid w:val="00FC5D64"/>
    <w:rsid w:val="00FC6A39"/>
    <w:rsid w:val="00FC6DB9"/>
    <w:rsid w:val="00FC76A9"/>
    <w:rsid w:val="00FC79AB"/>
    <w:rsid w:val="00FC7BE7"/>
    <w:rsid w:val="00FC7DAC"/>
    <w:rsid w:val="00FD005D"/>
    <w:rsid w:val="00FD0216"/>
    <w:rsid w:val="00FD04AE"/>
    <w:rsid w:val="00FD0DFA"/>
    <w:rsid w:val="00FD1890"/>
    <w:rsid w:val="00FD1994"/>
    <w:rsid w:val="00FD30C2"/>
    <w:rsid w:val="00FD3508"/>
    <w:rsid w:val="00FD393C"/>
    <w:rsid w:val="00FD3AFF"/>
    <w:rsid w:val="00FD43BB"/>
    <w:rsid w:val="00FD4AF3"/>
    <w:rsid w:val="00FD5443"/>
    <w:rsid w:val="00FD6675"/>
    <w:rsid w:val="00FD6DC5"/>
    <w:rsid w:val="00FD72B1"/>
    <w:rsid w:val="00FD798D"/>
    <w:rsid w:val="00FE141E"/>
    <w:rsid w:val="00FE144E"/>
    <w:rsid w:val="00FE1768"/>
    <w:rsid w:val="00FE1DD5"/>
    <w:rsid w:val="00FE24F4"/>
    <w:rsid w:val="00FE2560"/>
    <w:rsid w:val="00FE35D0"/>
    <w:rsid w:val="00FE42ED"/>
    <w:rsid w:val="00FE4E06"/>
    <w:rsid w:val="00FE55A7"/>
    <w:rsid w:val="00FE5C5A"/>
    <w:rsid w:val="00FE601E"/>
    <w:rsid w:val="00FE60F1"/>
    <w:rsid w:val="00FE6432"/>
    <w:rsid w:val="00FE72A0"/>
    <w:rsid w:val="00FF0050"/>
    <w:rsid w:val="00FF045F"/>
    <w:rsid w:val="00FF13D4"/>
    <w:rsid w:val="00FF2053"/>
    <w:rsid w:val="00FF3B37"/>
    <w:rsid w:val="00FF3CC7"/>
    <w:rsid w:val="00FF3D6F"/>
    <w:rsid w:val="00FF441A"/>
    <w:rsid w:val="00FF4BD8"/>
    <w:rsid w:val="00FF4D11"/>
    <w:rsid w:val="00FF5214"/>
    <w:rsid w:val="00FF596E"/>
    <w:rsid w:val="00FF5B59"/>
    <w:rsid w:val="00FF5BFD"/>
    <w:rsid w:val="00FF5E27"/>
    <w:rsid w:val="00FF6095"/>
    <w:rsid w:val="00FF62FE"/>
    <w:rsid w:val="00FF6553"/>
    <w:rsid w:val="00FF70BD"/>
    <w:rsid w:val="00FF7124"/>
    <w:rsid w:val="00FF7A39"/>
    <w:rsid w:val="00FF7DD1"/>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45C1A"/>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paragraph" w:styleId="Ttulo2">
    <w:name w:val="heading 2"/>
    <w:basedOn w:val="Normal"/>
    <w:next w:val="Normal"/>
    <w:link w:val="Ttulo2Car"/>
    <w:uiPriority w:val="9"/>
    <w:semiHidden/>
    <w:unhideWhenUsed/>
    <w:qFormat/>
    <w:rsid w:val="00E84314"/>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styleId="Mencinsinresolver">
    <w:name w:val="Unresolved Mention"/>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character" w:customStyle="1" w:styleId="Ttulo2Car">
    <w:name w:val="Título 2 Car"/>
    <w:basedOn w:val="Fuentedeprrafopredeter"/>
    <w:link w:val="Ttulo2"/>
    <w:uiPriority w:val="9"/>
    <w:semiHidden/>
    <w:rsid w:val="00E84314"/>
    <w:rPr>
      <w:rFonts w:asciiTheme="majorHAnsi" w:eastAsiaTheme="majorEastAsia" w:hAnsiTheme="majorHAnsi" w:cstheme="majorBidi"/>
      <w:color w:val="365F91" w:themeColor="accent1" w:themeShade="BF"/>
      <w:sz w:val="26"/>
      <w:szCs w:val="26"/>
      <w:lang w:eastAsia="es-ES_tradnl"/>
    </w:rPr>
  </w:style>
  <w:style w:type="character" w:customStyle="1" w:styleId="apple-converted-space">
    <w:name w:val="apple-converted-space"/>
    <w:basedOn w:val="Fuentedeprrafopredeter"/>
    <w:rsid w:val="003A06CA"/>
  </w:style>
  <w:style w:type="paragraph" w:styleId="Revisin">
    <w:name w:val="Revision"/>
    <w:hidden/>
    <w:uiPriority w:val="99"/>
    <w:semiHidden/>
    <w:rsid w:val="00C31BCD"/>
    <w:pPr>
      <w:spacing w:after="0" w:line="240" w:lineRule="auto"/>
    </w:pPr>
    <w:rPr>
      <w:rFonts w:ascii="Times New Roman" w:eastAsia="Times New Roman" w:hAnsi="Times New Roman" w:cs="Times New Roman"/>
      <w:sz w:val="24"/>
      <w:szCs w:val="24"/>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4230913">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144344">
      <w:bodyDiv w:val="1"/>
      <w:marLeft w:val="0"/>
      <w:marRight w:val="0"/>
      <w:marTop w:val="0"/>
      <w:marBottom w:val="0"/>
      <w:divBdr>
        <w:top w:val="none" w:sz="0" w:space="0" w:color="auto"/>
        <w:left w:val="none" w:sz="0" w:space="0" w:color="auto"/>
        <w:bottom w:val="none" w:sz="0" w:space="0" w:color="auto"/>
        <w:right w:val="none" w:sz="0" w:space="0" w:color="auto"/>
      </w:divBdr>
      <w:divsChild>
        <w:div w:id="1610551597">
          <w:marLeft w:val="0"/>
          <w:marRight w:val="0"/>
          <w:marTop w:val="0"/>
          <w:marBottom w:val="0"/>
          <w:divBdr>
            <w:top w:val="none" w:sz="0" w:space="0" w:color="auto"/>
            <w:left w:val="none" w:sz="0" w:space="0" w:color="auto"/>
            <w:bottom w:val="none" w:sz="0" w:space="0" w:color="auto"/>
            <w:right w:val="none" w:sz="0" w:space="0" w:color="auto"/>
          </w:divBdr>
          <w:divsChild>
            <w:div w:id="2038459412">
              <w:marLeft w:val="0"/>
              <w:marRight w:val="0"/>
              <w:marTop w:val="0"/>
              <w:marBottom w:val="0"/>
              <w:divBdr>
                <w:top w:val="none" w:sz="0" w:space="0" w:color="auto"/>
                <w:left w:val="none" w:sz="0" w:space="0" w:color="auto"/>
                <w:bottom w:val="none" w:sz="0" w:space="0" w:color="auto"/>
                <w:right w:val="none" w:sz="0" w:space="0" w:color="auto"/>
              </w:divBdr>
              <w:divsChild>
                <w:div w:id="206068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5637734">
      <w:bodyDiv w:val="1"/>
      <w:marLeft w:val="0"/>
      <w:marRight w:val="0"/>
      <w:marTop w:val="0"/>
      <w:marBottom w:val="0"/>
      <w:divBdr>
        <w:top w:val="none" w:sz="0" w:space="0" w:color="auto"/>
        <w:left w:val="none" w:sz="0" w:space="0" w:color="auto"/>
        <w:bottom w:val="none" w:sz="0" w:space="0" w:color="auto"/>
        <w:right w:val="none" w:sz="0" w:space="0" w:color="auto"/>
      </w:divBdr>
      <w:divsChild>
        <w:div w:id="2103181439">
          <w:marLeft w:val="0"/>
          <w:marRight w:val="0"/>
          <w:marTop w:val="0"/>
          <w:marBottom w:val="0"/>
          <w:divBdr>
            <w:top w:val="none" w:sz="0" w:space="0" w:color="auto"/>
            <w:left w:val="none" w:sz="0" w:space="0" w:color="auto"/>
            <w:bottom w:val="none" w:sz="0" w:space="0" w:color="auto"/>
            <w:right w:val="none" w:sz="0" w:space="0" w:color="auto"/>
          </w:divBdr>
          <w:divsChild>
            <w:div w:id="2070616539">
              <w:marLeft w:val="0"/>
              <w:marRight w:val="0"/>
              <w:marTop w:val="0"/>
              <w:marBottom w:val="0"/>
              <w:divBdr>
                <w:top w:val="none" w:sz="0" w:space="0" w:color="auto"/>
                <w:left w:val="none" w:sz="0" w:space="0" w:color="auto"/>
                <w:bottom w:val="none" w:sz="0" w:space="0" w:color="auto"/>
                <w:right w:val="none" w:sz="0" w:space="0" w:color="auto"/>
              </w:divBdr>
              <w:divsChild>
                <w:div w:id="758605140">
                  <w:marLeft w:val="0"/>
                  <w:marRight w:val="0"/>
                  <w:marTop w:val="0"/>
                  <w:marBottom w:val="0"/>
                  <w:divBdr>
                    <w:top w:val="none" w:sz="0" w:space="0" w:color="auto"/>
                    <w:left w:val="none" w:sz="0" w:space="0" w:color="auto"/>
                    <w:bottom w:val="none" w:sz="0" w:space="0" w:color="auto"/>
                    <w:right w:val="none" w:sz="0" w:space="0" w:color="auto"/>
                  </w:divBdr>
                  <w:divsChild>
                    <w:div w:id="1845318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79496941">
      <w:bodyDiv w:val="1"/>
      <w:marLeft w:val="0"/>
      <w:marRight w:val="0"/>
      <w:marTop w:val="0"/>
      <w:marBottom w:val="0"/>
      <w:divBdr>
        <w:top w:val="none" w:sz="0" w:space="0" w:color="auto"/>
        <w:left w:val="none" w:sz="0" w:space="0" w:color="auto"/>
        <w:bottom w:val="none" w:sz="0" w:space="0" w:color="auto"/>
        <w:right w:val="none" w:sz="0" w:space="0" w:color="auto"/>
      </w:divBdr>
      <w:divsChild>
        <w:div w:id="689528428">
          <w:marLeft w:val="0"/>
          <w:marRight w:val="0"/>
          <w:marTop w:val="0"/>
          <w:marBottom w:val="0"/>
          <w:divBdr>
            <w:top w:val="none" w:sz="0" w:space="0" w:color="auto"/>
            <w:left w:val="none" w:sz="0" w:space="0" w:color="auto"/>
            <w:bottom w:val="none" w:sz="0" w:space="0" w:color="auto"/>
            <w:right w:val="none" w:sz="0" w:space="0" w:color="auto"/>
          </w:divBdr>
          <w:divsChild>
            <w:div w:id="23706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94449001">
      <w:bodyDiv w:val="1"/>
      <w:marLeft w:val="0"/>
      <w:marRight w:val="0"/>
      <w:marTop w:val="0"/>
      <w:marBottom w:val="0"/>
      <w:divBdr>
        <w:top w:val="none" w:sz="0" w:space="0" w:color="auto"/>
        <w:left w:val="none" w:sz="0" w:space="0" w:color="auto"/>
        <w:bottom w:val="none" w:sz="0" w:space="0" w:color="auto"/>
        <w:right w:val="none" w:sz="0" w:space="0" w:color="auto"/>
      </w:divBdr>
    </w:div>
    <w:div w:id="94985693">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90619">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056181">
      <w:bodyDiv w:val="1"/>
      <w:marLeft w:val="0"/>
      <w:marRight w:val="0"/>
      <w:marTop w:val="0"/>
      <w:marBottom w:val="0"/>
      <w:divBdr>
        <w:top w:val="none" w:sz="0" w:space="0" w:color="auto"/>
        <w:left w:val="none" w:sz="0" w:space="0" w:color="auto"/>
        <w:bottom w:val="none" w:sz="0" w:space="0" w:color="auto"/>
        <w:right w:val="none" w:sz="0" w:space="0" w:color="auto"/>
      </w:divBdr>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58679361">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68775389">
      <w:bodyDiv w:val="1"/>
      <w:marLeft w:val="0"/>
      <w:marRight w:val="0"/>
      <w:marTop w:val="0"/>
      <w:marBottom w:val="0"/>
      <w:divBdr>
        <w:top w:val="none" w:sz="0" w:space="0" w:color="auto"/>
        <w:left w:val="none" w:sz="0" w:space="0" w:color="auto"/>
        <w:bottom w:val="none" w:sz="0" w:space="0" w:color="auto"/>
        <w:right w:val="none" w:sz="0" w:space="0" w:color="auto"/>
      </w:divBdr>
      <w:divsChild>
        <w:div w:id="1940679825">
          <w:marLeft w:val="0"/>
          <w:marRight w:val="0"/>
          <w:marTop w:val="0"/>
          <w:marBottom w:val="0"/>
          <w:divBdr>
            <w:top w:val="none" w:sz="0" w:space="0" w:color="auto"/>
            <w:left w:val="none" w:sz="0" w:space="0" w:color="auto"/>
            <w:bottom w:val="none" w:sz="0" w:space="0" w:color="auto"/>
            <w:right w:val="none" w:sz="0" w:space="0" w:color="auto"/>
          </w:divBdr>
          <w:divsChild>
            <w:div w:id="1033657070">
              <w:marLeft w:val="0"/>
              <w:marRight w:val="0"/>
              <w:marTop w:val="0"/>
              <w:marBottom w:val="0"/>
              <w:divBdr>
                <w:top w:val="none" w:sz="0" w:space="0" w:color="auto"/>
                <w:left w:val="none" w:sz="0" w:space="0" w:color="auto"/>
                <w:bottom w:val="none" w:sz="0" w:space="0" w:color="auto"/>
                <w:right w:val="none" w:sz="0" w:space="0" w:color="auto"/>
              </w:divBdr>
              <w:divsChild>
                <w:div w:id="1885674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0133555">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1881237">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48802467">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15446229">
      <w:bodyDiv w:val="1"/>
      <w:marLeft w:val="0"/>
      <w:marRight w:val="0"/>
      <w:marTop w:val="0"/>
      <w:marBottom w:val="0"/>
      <w:divBdr>
        <w:top w:val="none" w:sz="0" w:space="0" w:color="auto"/>
        <w:left w:val="none" w:sz="0" w:space="0" w:color="auto"/>
        <w:bottom w:val="none" w:sz="0" w:space="0" w:color="auto"/>
        <w:right w:val="none" w:sz="0" w:space="0" w:color="auto"/>
      </w:divBdr>
      <w:divsChild>
        <w:div w:id="1042360156">
          <w:marLeft w:val="0"/>
          <w:marRight w:val="0"/>
          <w:marTop w:val="0"/>
          <w:marBottom w:val="0"/>
          <w:divBdr>
            <w:top w:val="none" w:sz="0" w:space="0" w:color="auto"/>
            <w:left w:val="none" w:sz="0" w:space="0" w:color="auto"/>
            <w:bottom w:val="none" w:sz="0" w:space="0" w:color="auto"/>
            <w:right w:val="none" w:sz="0" w:space="0" w:color="auto"/>
          </w:divBdr>
          <w:divsChild>
            <w:div w:id="469910124">
              <w:marLeft w:val="0"/>
              <w:marRight w:val="0"/>
              <w:marTop w:val="0"/>
              <w:marBottom w:val="0"/>
              <w:divBdr>
                <w:top w:val="none" w:sz="0" w:space="0" w:color="auto"/>
                <w:left w:val="none" w:sz="0" w:space="0" w:color="auto"/>
                <w:bottom w:val="none" w:sz="0" w:space="0" w:color="auto"/>
                <w:right w:val="none" w:sz="0" w:space="0" w:color="auto"/>
              </w:divBdr>
              <w:divsChild>
                <w:div w:id="1034884912">
                  <w:marLeft w:val="0"/>
                  <w:marRight w:val="0"/>
                  <w:marTop w:val="0"/>
                  <w:marBottom w:val="0"/>
                  <w:divBdr>
                    <w:top w:val="none" w:sz="0" w:space="0" w:color="auto"/>
                    <w:left w:val="none" w:sz="0" w:space="0" w:color="auto"/>
                    <w:bottom w:val="none" w:sz="0" w:space="0" w:color="auto"/>
                    <w:right w:val="none" w:sz="0" w:space="0" w:color="auto"/>
                  </w:divBdr>
                  <w:divsChild>
                    <w:div w:id="172166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61339907">
      <w:bodyDiv w:val="1"/>
      <w:marLeft w:val="0"/>
      <w:marRight w:val="0"/>
      <w:marTop w:val="0"/>
      <w:marBottom w:val="0"/>
      <w:divBdr>
        <w:top w:val="none" w:sz="0" w:space="0" w:color="auto"/>
        <w:left w:val="none" w:sz="0" w:space="0" w:color="auto"/>
        <w:bottom w:val="none" w:sz="0" w:space="0" w:color="auto"/>
        <w:right w:val="none" w:sz="0" w:space="0" w:color="auto"/>
      </w:divBdr>
      <w:divsChild>
        <w:div w:id="1982536059">
          <w:marLeft w:val="0"/>
          <w:marRight w:val="0"/>
          <w:marTop w:val="0"/>
          <w:marBottom w:val="0"/>
          <w:divBdr>
            <w:top w:val="none" w:sz="0" w:space="0" w:color="auto"/>
            <w:left w:val="none" w:sz="0" w:space="0" w:color="auto"/>
            <w:bottom w:val="none" w:sz="0" w:space="0" w:color="auto"/>
            <w:right w:val="none" w:sz="0" w:space="0" w:color="auto"/>
          </w:divBdr>
          <w:divsChild>
            <w:div w:id="2022706307">
              <w:marLeft w:val="0"/>
              <w:marRight w:val="0"/>
              <w:marTop w:val="0"/>
              <w:marBottom w:val="0"/>
              <w:divBdr>
                <w:top w:val="none" w:sz="0" w:space="0" w:color="auto"/>
                <w:left w:val="none" w:sz="0" w:space="0" w:color="auto"/>
                <w:bottom w:val="none" w:sz="0" w:space="0" w:color="auto"/>
                <w:right w:val="none" w:sz="0" w:space="0" w:color="auto"/>
              </w:divBdr>
              <w:divsChild>
                <w:div w:id="894196165">
                  <w:marLeft w:val="0"/>
                  <w:marRight w:val="0"/>
                  <w:marTop w:val="0"/>
                  <w:marBottom w:val="0"/>
                  <w:divBdr>
                    <w:top w:val="none" w:sz="0" w:space="0" w:color="auto"/>
                    <w:left w:val="none" w:sz="0" w:space="0" w:color="auto"/>
                    <w:bottom w:val="none" w:sz="0" w:space="0" w:color="auto"/>
                    <w:right w:val="none" w:sz="0" w:space="0" w:color="auto"/>
                  </w:divBdr>
                  <w:divsChild>
                    <w:div w:id="38015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78150842">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9685334">
      <w:bodyDiv w:val="1"/>
      <w:marLeft w:val="0"/>
      <w:marRight w:val="0"/>
      <w:marTop w:val="0"/>
      <w:marBottom w:val="0"/>
      <w:divBdr>
        <w:top w:val="none" w:sz="0" w:space="0" w:color="auto"/>
        <w:left w:val="none" w:sz="0" w:space="0" w:color="auto"/>
        <w:bottom w:val="none" w:sz="0" w:space="0" w:color="auto"/>
        <w:right w:val="none" w:sz="0" w:space="0" w:color="auto"/>
      </w:divBdr>
    </w:div>
    <w:div w:id="493641010">
      <w:bodyDiv w:val="1"/>
      <w:marLeft w:val="0"/>
      <w:marRight w:val="0"/>
      <w:marTop w:val="0"/>
      <w:marBottom w:val="0"/>
      <w:divBdr>
        <w:top w:val="none" w:sz="0" w:space="0" w:color="auto"/>
        <w:left w:val="none" w:sz="0" w:space="0" w:color="auto"/>
        <w:bottom w:val="none" w:sz="0" w:space="0" w:color="auto"/>
        <w:right w:val="none" w:sz="0" w:space="0" w:color="auto"/>
      </w:divBdr>
      <w:divsChild>
        <w:div w:id="2075425971">
          <w:marLeft w:val="0"/>
          <w:marRight w:val="0"/>
          <w:marTop w:val="0"/>
          <w:marBottom w:val="0"/>
          <w:divBdr>
            <w:top w:val="none" w:sz="0" w:space="0" w:color="auto"/>
            <w:left w:val="none" w:sz="0" w:space="0" w:color="auto"/>
            <w:bottom w:val="none" w:sz="0" w:space="0" w:color="auto"/>
            <w:right w:val="none" w:sz="0" w:space="0" w:color="auto"/>
          </w:divBdr>
          <w:divsChild>
            <w:div w:id="205337403">
              <w:marLeft w:val="0"/>
              <w:marRight w:val="0"/>
              <w:marTop w:val="0"/>
              <w:marBottom w:val="0"/>
              <w:divBdr>
                <w:top w:val="none" w:sz="0" w:space="0" w:color="auto"/>
                <w:left w:val="none" w:sz="0" w:space="0" w:color="auto"/>
                <w:bottom w:val="none" w:sz="0" w:space="0" w:color="auto"/>
                <w:right w:val="none" w:sz="0" w:space="0" w:color="auto"/>
              </w:divBdr>
              <w:divsChild>
                <w:div w:id="1457597653">
                  <w:marLeft w:val="0"/>
                  <w:marRight w:val="0"/>
                  <w:marTop w:val="0"/>
                  <w:marBottom w:val="0"/>
                  <w:divBdr>
                    <w:top w:val="none" w:sz="0" w:space="0" w:color="auto"/>
                    <w:left w:val="none" w:sz="0" w:space="0" w:color="auto"/>
                    <w:bottom w:val="none" w:sz="0" w:space="0" w:color="auto"/>
                    <w:right w:val="none" w:sz="0" w:space="0" w:color="auto"/>
                  </w:divBdr>
                  <w:divsChild>
                    <w:div w:id="1452169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12846565">
      <w:bodyDiv w:val="1"/>
      <w:marLeft w:val="0"/>
      <w:marRight w:val="0"/>
      <w:marTop w:val="0"/>
      <w:marBottom w:val="0"/>
      <w:divBdr>
        <w:top w:val="none" w:sz="0" w:space="0" w:color="auto"/>
        <w:left w:val="none" w:sz="0" w:space="0" w:color="auto"/>
        <w:bottom w:val="none" w:sz="0" w:space="0" w:color="auto"/>
        <w:right w:val="none" w:sz="0" w:space="0" w:color="auto"/>
      </w:divBdr>
    </w:div>
    <w:div w:id="512959422">
      <w:bodyDiv w:val="1"/>
      <w:marLeft w:val="0"/>
      <w:marRight w:val="0"/>
      <w:marTop w:val="0"/>
      <w:marBottom w:val="0"/>
      <w:divBdr>
        <w:top w:val="none" w:sz="0" w:space="0" w:color="auto"/>
        <w:left w:val="none" w:sz="0" w:space="0" w:color="auto"/>
        <w:bottom w:val="none" w:sz="0" w:space="0" w:color="auto"/>
        <w:right w:val="none" w:sz="0" w:space="0" w:color="auto"/>
      </w:divBdr>
    </w:div>
    <w:div w:id="519860012">
      <w:bodyDiv w:val="1"/>
      <w:marLeft w:val="0"/>
      <w:marRight w:val="0"/>
      <w:marTop w:val="0"/>
      <w:marBottom w:val="0"/>
      <w:divBdr>
        <w:top w:val="none" w:sz="0" w:space="0" w:color="auto"/>
        <w:left w:val="none" w:sz="0" w:space="0" w:color="auto"/>
        <w:bottom w:val="none" w:sz="0" w:space="0" w:color="auto"/>
        <w:right w:val="none" w:sz="0" w:space="0" w:color="auto"/>
      </w:divBdr>
      <w:divsChild>
        <w:div w:id="935869752">
          <w:marLeft w:val="0"/>
          <w:marRight w:val="0"/>
          <w:marTop w:val="0"/>
          <w:marBottom w:val="0"/>
          <w:divBdr>
            <w:top w:val="none" w:sz="0" w:space="0" w:color="auto"/>
            <w:left w:val="none" w:sz="0" w:space="0" w:color="auto"/>
            <w:bottom w:val="none" w:sz="0" w:space="0" w:color="auto"/>
            <w:right w:val="none" w:sz="0" w:space="0" w:color="auto"/>
          </w:divBdr>
          <w:divsChild>
            <w:div w:id="1469087117">
              <w:marLeft w:val="0"/>
              <w:marRight w:val="0"/>
              <w:marTop w:val="0"/>
              <w:marBottom w:val="0"/>
              <w:divBdr>
                <w:top w:val="none" w:sz="0" w:space="0" w:color="auto"/>
                <w:left w:val="none" w:sz="0" w:space="0" w:color="auto"/>
                <w:bottom w:val="none" w:sz="0" w:space="0" w:color="auto"/>
                <w:right w:val="none" w:sz="0" w:space="0" w:color="auto"/>
              </w:divBdr>
              <w:divsChild>
                <w:div w:id="1080370908">
                  <w:marLeft w:val="0"/>
                  <w:marRight w:val="0"/>
                  <w:marTop w:val="0"/>
                  <w:marBottom w:val="0"/>
                  <w:divBdr>
                    <w:top w:val="none" w:sz="0" w:space="0" w:color="auto"/>
                    <w:left w:val="none" w:sz="0" w:space="0" w:color="auto"/>
                    <w:bottom w:val="none" w:sz="0" w:space="0" w:color="auto"/>
                    <w:right w:val="none" w:sz="0" w:space="0" w:color="auto"/>
                  </w:divBdr>
                  <w:divsChild>
                    <w:div w:id="1690063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59361122">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69076510">
      <w:bodyDiv w:val="1"/>
      <w:marLeft w:val="0"/>
      <w:marRight w:val="0"/>
      <w:marTop w:val="0"/>
      <w:marBottom w:val="0"/>
      <w:divBdr>
        <w:top w:val="none" w:sz="0" w:space="0" w:color="auto"/>
        <w:left w:val="none" w:sz="0" w:space="0" w:color="auto"/>
        <w:bottom w:val="none" w:sz="0" w:space="0" w:color="auto"/>
        <w:right w:val="none" w:sz="0" w:space="0" w:color="auto"/>
      </w:divBdr>
    </w:div>
    <w:div w:id="581140375">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08127359">
      <w:bodyDiv w:val="1"/>
      <w:marLeft w:val="0"/>
      <w:marRight w:val="0"/>
      <w:marTop w:val="0"/>
      <w:marBottom w:val="0"/>
      <w:divBdr>
        <w:top w:val="none" w:sz="0" w:space="0" w:color="auto"/>
        <w:left w:val="none" w:sz="0" w:space="0" w:color="auto"/>
        <w:bottom w:val="none" w:sz="0" w:space="0" w:color="auto"/>
        <w:right w:val="none" w:sz="0" w:space="0" w:color="auto"/>
      </w:divBdr>
      <w:divsChild>
        <w:div w:id="1523393933">
          <w:marLeft w:val="0"/>
          <w:marRight w:val="0"/>
          <w:marTop w:val="0"/>
          <w:marBottom w:val="0"/>
          <w:divBdr>
            <w:top w:val="none" w:sz="0" w:space="0" w:color="auto"/>
            <w:left w:val="none" w:sz="0" w:space="0" w:color="auto"/>
            <w:bottom w:val="none" w:sz="0" w:space="0" w:color="auto"/>
            <w:right w:val="none" w:sz="0" w:space="0" w:color="auto"/>
          </w:divBdr>
          <w:divsChild>
            <w:div w:id="668682271">
              <w:marLeft w:val="0"/>
              <w:marRight w:val="0"/>
              <w:marTop w:val="0"/>
              <w:marBottom w:val="0"/>
              <w:divBdr>
                <w:top w:val="none" w:sz="0" w:space="0" w:color="auto"/>
                <w:left w:val="none" w:sz="0" w:space="0" w:color="auto"/>
                <w:bottom w:val="none" w:sz="0" w:space="0" w:color="auto"/>
                <w:right w:val="none" w:sz="0" w:space="0" w:color="auto"/>
              </w:divBdr>
              <w:divsChild>
                <w:div w:id="899948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65783682">
      <w:bodyDiv w:val="1"/>
      <w:marLeft w:val="0"/>
      <w:marRight w:val="0"/>
      <w:marTop w:val="0"/>
      <w:marBottom w:val="0"/>
      <w:divBdr>
        <w:top w:val="none" w:sz="0" w:space="0" w:color="auto"/>
        <w:left w:val="none" w:sz="0" w:space="0" w:color="auto"/>
        <w:bottom w:val="none" w:sz="0" w:space="0" w:color="auto"/>
        <w:right w:val="none" w:sz="0" w:space="0" w:color="auto"/>
      </w:divBdr>
      <w:divsChild>
        <w:div w:id="1875657694">
          <w:marLeft w:val="0"/>
          <w:marRight w:val="0"/>
          <w:marTop w:val="0"/>
          <w:marBottom w:val="0"/>
          <w:divBdr>
            <w:top w:val="none" w:sz="0" w:space="0" w:color="auto"/>
            <w:left w:val="none" w:sz="0" w:space="0" w:color="auto"/>
            <w:bottom w:val="none" w:sz="0" w:space="0" w:color="auto"/>
            <w:right w:val="none" w:sz="0" w:space="0" w:color="auto"/>
          </w:divBdr>
          <w:divsChild>
            <w:div w:id="1323243288">
              <w:marLeft w:val="0"/>
              <w:marRight w:val="0"/>
              <w:marTop w:val="0"/>
              <w:marBottom w:val="0"/>
              <w:divBdr>
                <w:top w:val="none" w:sz="0" w:space="0" w:color="auto"/>
                <w:left w:val="none" w:sz="0" w:space="0" w:color="auto"/>
                <w:bottom w:val="none" w:sz="0" w:space="0" w:color="auto"/>
                <w:right w:val="none" w:sz="0" w:space="0" w:color="auto"/>
              </w:divBdr>
              <w:divsChild>
                <w:div w:id="818765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0984687">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80090013">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27996429">
      <w:bodyDiv w:val="1"/>
      <w:marLeft w:val="0"/>
      <w:marRight w:val="0"/>
      <w:marTop w:val="0"/>
      <w:marBottom w:val="0"/>
      <w:divBdr>
        <w:top w:val="none" w:sz="0" w:space="0" w:color="auto"/>
        <w:left w:val="none" w:sz="0" w:space="0" w:color="auto"/>
        <w:bottom w:val="none" w:sz="0" w:space="0" w:color="auto"/>
        <w:right w:val="none" w:sz="0" w:space="0" w:color="auto"/>
      </w:divBdr>
      <w:divsChild>
        <w:div w:id="1994790054">
          <w:marLeft w:val="0"/>
          <w:marRight w:val="0"/>
          <w:marTop w:val="0"/>
          <w:marBottom w:val="0"/>
          <w:divBdr>
            <w:top w:val="none" w:sz="0" w:space="0" w:color="auto"/>
            <w:left w:val="none" w:sz="0" w:space="0" w:color="auto"/>
            <w:bottom w:val="none" w:sz="0" w:space="0" w:color="auto"/>
            <w:right w:val="none" w:sz="0" w:space="0" w:color="auto"/>
          </w:divBdr>
          <w:divsChild>
            <w:div w:id="1492988414">
              <w:marLeft w:val="0"/>
              <w:marRight w:val="0"/>
              <w:marTop w:val="0"/>
              <w:marBottom w:val="0"/>
              <w:divBdr>
                <w:top w:val="none" w:sz="0" w:space="0" w:color="auto"/>
                <w:left w:val="none" w:sz="0" w:space="0" w:color="auto"/>
                <w:bottom w:val="none" w:sz="0" w:space="0" w:color="auto"/>
                <w:right w:val="none" w:sz="0" w:space="0" w:color="auto"/>
              </w:divBdr>
              <w:divsChild>
                <w:div w:id="63457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7657133">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2238690">
      <w:bodyDiv w:val="1"/>
      <w:marLeft w:val="0"/>
      <w:marRight w:val="0"/>
      <w:marTop w:val="0"/>
      <w:marBottom w:val="0"/>
      <w:divBdr>
        <w:top w:val="none" w:sz="0" w:space="0" w:color="auto"/>
        <w:left w:val="none" w:sz="0" w:space="0" w:color="auto"/>
        <w:bottom w:val="none" w:sz="0" w:space="0" w:color="auto"/>
        <w:right w:val="none" w:sz="0" w:space="0" w:color="auto"/>
      </w:divBdr>
      <w:divsChild>
        <w:div w:id="1005858410">
          <w:marLeft w:val="0"/>
          <w:marRight w:val="0"/>
          <w:marTop w:val="0"/>
          <w:marBottom w:val="0"/>
          <w:divBdr>
            <w:top w:val="none" w:sz="0" w:space="0" w:color="auto"/>
            <w:left w:val="none" w:sz="0" w:space="0" w:color="auto"/>
            <w:bottom w:val="none" w:sz="0" w:space="0" w:color="auto"/>
            <w:right w:val="none" w:sz="0" w:space="0" w:color="auto"/>
          </w:divBdr>
          <w:divsChild>
            <w:div w:id="874081206">
              <w:marLeft w:val="0"/>
              <w:marRight w:val="0"/>
              <w:marTop w:val="0"/>
              <w:marBottom w:val="0"/>
              <w:divBdr>
                <w:top w:val="none" w:sz="0" w:space="0" w:color="auto"/>
                <w:left w:val="none" w:sz="0" w:space="0" w:color="auto"/>
                <w:bottom w:val="none" w:sz="0" w:space="0" w:color="auto"/>
                <w:right w:val="none" w:sz="0" w:space="0" w:color="auto"/>
              </w:divBdr>
              <w:divsChild>
                <w:div w:id="1299800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5520588">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76798332">
      <w:bodyDiv w:val="1"/>
      <w:marLeft w:val="0"/>
      <w:marRight w:val="0"/>
      <w:marTop w:val="0"/>
      <w:marBottom w:val="0"/>
      <w:divBdr>
        <w:top w:val="none" w:sz="0" w:space="0" w:color="auto"/>
        <w:left w:val="none" w:sz="0" w:space="0" w:color="auto"/>
        <w:bottom w:val="none" w:sz="0" w:space="0" w:color="auto"/>
        <w:right w:val="none" w:sz="0" w:space="0" w:color="auto"/>
      </w:divBdr>
      <w:divsChild>
        <w:div w:id="642001577">
          <w:marLeft w:val="0"/>
          <w:marRight w:val="0"/>
          <w:marTop w:val="0"/>
          <w:marBottom w:val="0"/>
          <w:divBdr>
            <w:top w:val="none" w:sz="0" w:space="0" w:color="auto"/>
            <w:left w:val="none" w:sz="0" w:space="0" w:color="auto"/>
            <w:bottom w:val="none" w:sz="0" w:space="0" w:color="auto"/>
            <w:right w:val="none" w:sz="0" w:space="0" w:color="auto"/>
          </w:divBdr>
          <w:divsChild>
            <w:div w:id="1454715168">
              <w:marLeft w:val="0"/>
              <w:marRight w:val="0"/>
              <w:marTop w:val="0"/>
              <w:marBottom w:val="0"/>
              <w:divBdr>
                <w:top w:val="none" w:sz="0" w:space="0" w:color="auto"/>
                <w:left w:val="none" w:sz="0" w:space="0" w:color="auto"/>
                <w:bottom w:val="none" w:sz="0" w:space="0" w:color="auto"/>
                <w:right w:val="none" w:sz="0" w:space="0" w:color="auto"/>
              </w:divBdr>
              <w:divsChild>
                <w:div w:id="973949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441662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39000403">
      <w:bodyDiv w:val="1"/>
      <w:marLeft w:val="0"/>
      <w:marRight w:val="0"/>
      <w:marTop w:val="0"/>
      <w:marBottom w:val="0"/>
      <w:divBdr>
        <w:top w:val="none" w:sz="0" w:space="0" w:color="auto"/>
        <w:left w:val="none" w:sz="0" w:space="0" w:color="auto"/>
        <w:bottom w:val="none" w:sz="0" w:space="0" w:color="auto"/>
        <w:right w:val="none" w:sz="0" w:space="0" w:color="auto"/>
      </w:divBdr>
    </w:div>
    <w:div w:id="841503518">
      <w:bodyDiv w:val="1"/>
      <w:marLeft w:val="0"/>
      <w:marRight w:val="0"/>
      <w:marTop w:val="0"/>
      <w:marBottom w:val="0"/>
      <w:divBdr>
        <w:top w:val="none" w:sz="0" w:space="0" w:color="auto"/>
        <w:left w:val="none" w:sz="0" w:space="0" w:color="auto"/>
        <w:bottom w:val="none" w:sz="0" w:space="0" w:color="auto"/>
        <w:right w:val="none" w:sz="0" w:space="0" w:color="auto"/>
      </w:divBdr>
      <w:divsChild>
        <w:div w:id="1472594732">
          <w:marLeft w:val="0"/>
          <w:marRight w:val="0"/>
          <w:marTop w:val="0"/>
          <w:marBottom w:val="0"/>
          <w:divBdr>
            <w:top w:val="none" w:sz="0" w:space="0" w:color="auto"/>
            <w:left w:val="none" w:sz="0" w:space="0" w:color="auto"/>
            <w:bottom w:val="none" w:sz="0" w:space="0" w:color="auto"/>
            <w:right w:val="none" w:sz="0" w:space="0" w:color="auto"/>
          </w:divBdr>
          <w:divsChild>
            <w:div w:id="558857304">
              <w:marLeft w:val="0"/>
              <w:marRight w:val="0"/>
              <w:marTop w:val="0"/>
              <w:marBottom w:val="0"/>
              <w:divBdr>
                <w:top w:val="none" w:sz="0" w:space="0" w:color="auto"/>
                <w:left w:val="none" w:sz="0" w:space="0" w:color="auto"/>
                <w:bottom w:val="none" w:sz="0" w:space="0" w:color="auto"/>
                <w:right w:val="none" w:sz="0" w:space="0" w:color="auto"/>
              </w:divBdr>
              <w:divsChild>
                <w:div w:id="164450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830520">
      <w:bodyDiv w:val="1"/>
      <w:marLeft w:val="0"/>
      <w:marRight w:val="0"/>
      <w:marTop w:val="0"/>
      <w:marBottom w:val="0"/>
      <w:divBdr>
        <w:top w:val="none" w:sz="0" w:space="0" w:color="auto"/>
        <w:left w:val="none" w:sz="0" w:space="0" w:color="auto"/>
        <w:bottom w:val="none" w:sz="0" w:space="0" w:color="auto"/>
        <w:right w:val="none" w:sz="0" w:space="0" w:color="auto"/>
      </w:divBdr>
    </w:div>
    <w:div w:id="850337716">
      <w:bodyDiv w:val="1"/>
      <w:marLeft w:val="0"/>
      <w:marRight w:val="0"/>
      <w:marTop w:val="0"/>
      <w:marBottom w:val="0"/>
      <w:divBdr>
        <w:top w:val="none" w:sz="0" w:space="0" w:color="auto"/>
        <w:left w:val="none" w:sz="0" w:space="0" w:color="auto"/>
        <w:bottom w:val="none" w:sz="0" w:space="0" w:color="auto"/>
        <w:right w:val="none" w:sz="0" w:space="0" w:color="auto"/>
      </w:divBdr>
      <w:divsChild>
        <w:div w:id="1303539871">
          <w:marLeft w:val="0"/>
          <w:marRight w:val="0"/>
          <w:marTop w:val="0"/>
          <w:marBottom w:val="0"/>
          <w:divBdr>
            <w:top w:val="none" w:sz="0" w:space="0" w:color="auto"/>
            <w:left w:val="none" w:sz="0" w:space="0" w:color="auto"/>
            <w:bottom w:val="none" w:sz="0" w:space="0" w:color="auto"/>
            <w:right w:val="none" w:sz="0" w:space="0" w:color="auto"/>
          </w:divBdr>
          <w:divsChild>
            <w:div w:id="494688211">
              <w:marLeft w:val="0"/>
              <w:marRight w:val="0"/>
              <w:marTop w:val="0"/>
              <w:marBottom w:val="0"/>
              <w:divBdr>
                <w:top w:val="none" w:sz="0" w:space="0" w:color="auto"/>
                <w:left w:val="none" w:sz="0" w:space="0" w:color="auto"/>
                <w:bottom w:val="none" w:sz="0" w:space="0" w:color="auto"/>
                <w:right w:val="none" w:sz="0" w:space="0" w:color="auto"/>
              </w:divBdr>
              <w:divsChild>
                <w:div w:id="1644038439">
                  <w:marLeft w:val="0"/>
                  <w:marRight w:val="0"/>
                  <w:marTop w:val="0"/>
                  <w:marBottom w:val="0"/>
                  <w:divBdr>
                    <w:top w:val="none" w:sz="0" w:space="0" w:color="auto"/>
                    <w:left w:val="none" w:sz="0" w:space="0" w:color="auto"/>
                    <w:bottom w:val="none" w:sz="0" w:space="0" w:color="auto"/>
                    <w:right w:val="none" w:sz="0" w:space="0" w:color="auto"/>
                  </w:divBdr>
                  <w:divsChild>
                    <w:div w:id="93240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3150604">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048670">
      <w:bodyDiv w:val="1"/>
      <w:marLeft w:val="0"/>
      <w:marRight w:val="0"/>
      <w:marTop w:val="0"/>
      <w:marBottom w:val="0"/>
      <w:divBdr>
        <w:top w:val="none" w:sz="0" w:space="0" w:color="auto"/>
        <w:left w:val="none" w:sz="0" w:space="0" w:color="auto"/>
        <w:bottom w:val="none" w:sz="0" w:space="0" w:color="auto"/>
        <w:right w:val="none" w:sz="0" w:space="0" w:color="auto"/>
      </w:divBdr>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883180127">
      <w:bodyDiv w:val="1"/>
      <w:marLeft w:val="0"/>
      <w:marRight w:val="0"/>
      <w:marTop w:val="0"/>
      <w:marBottom w:val="0"/>
      <w:divBdr>
        <w:top w:val="none" w:sz="0" w:space="0" w:color="auto"/>
        <w:left w:val="none" w:sz="0" w:space="0" w:color="auto"/>
        <w:bottom w:val="none" w:sz="0" w:space="0" w:color="auto"/>
        <w:right w:val="none" w:sz="0" w:space="0" w:color="auto"/>
      </w:divBdr>
      <w:divsChild>
        <w:div w:id="1920870200">
          <w:marLeft w:val="0"/>
          <w:marRight w:val="0"/>
          <w:marTop w:val="0"/>
          <w:marBottom w:val="0"/>
          <w:divBdr>
            <w:top w:val="none" w:sz="0" w:space="0" w:color="auto"/>
            <w:left w:val="none" w:sz="0" w:space="0" w:color="auto"/>
            <w:bottom w:val="none" w:sz="0" w:space="0" w:color="auto"/>
            <w:right w:val="none" w:sz="0" w:space="0" w:color="auto"/>
          </w:divBdr>
          <w:divsChild>
            <w:div w:id="851648674">
              <w:marLeft w:val="0"/>
              <w:marRight w:val="0"/>
              <w:marTop w:val="0"/>
              <w:marBottom w:val="0"/>
              <w:divBdr>
                <w:top w:val="none" w:sz="0" w:space="0" w:color="auto"/>
                <w:left w:val="none" w:sz="0" w:space="0" w:color="auto"/>
                <w:bottom w:val="none" w:sz="0" w:space="0" w:color="auto"/>
                <w:right w:val="none" w:sz="0" w:space="0" w:color="auto"/>
              </w:divBdr>
              <w:divsChild>
                <w:div w:id="1237396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4200762">
      <w:bodyDiv w:val="1"/>
      <w:marLeft w:val="0"/>
      <w:marRight w:val="0"/>
      <w:marTop w:val="0"/>
      <w:marBottom w:val="0"/>
      <w:divBdr>
        <w:top w:val="none" w:sz="0" w:space="0" w:color="auto"/>
        <w:left w:val="none" w:sz="0" w:space="0" w:color="auto"/>
        <w:bottom w:val="none" w:sz="0" w:space="0" w:color="auto"/>
        <w:right w:val="none" w:sz="0" w:space="0" w:color="auto"/>
      </w:divBdr>
    </w:div>
    <w:div w:id="894463004">
      <w:bodyDiv w:val="1"/>
      <w:marLeft w:val="0"/>
      <w:marRight w:val="0"/>
      <w:marTop w:val="0"/>
      <w:marBottom w:val="0"/>
      <w:divBdr>
        <w:top w:val="none" w:sz="0" w:space="0" w:color="auto"/>
        <w:left w:val="none" w:sz="0" w:space="0" w:color="auto"/>
        <w:bottom w:val="none" w:sz="0" w:space="0" w:color="auto"/>
        <w:right w:val="none" w:sz="0" w:space="0" w:color="auto"/>
      </w:divBdr>
      <w:divsChild>
        <w:div w:id="68617061">
          <w:marLeft w:val="0"/>
          <w:marRight w:val="0"/>
          <w:marTop w:val="0"/>
          <w:marBottom w:val="0"/>
          <w:divBdr>
            <w:top w:val="none" w:sz="0" w:space="0" w:color="auto"/>
            <w:left w:val="none" w:sz="0" w:space="0" w:color="auto"/>
            <w:bottom w:val="none" w:sz="0" w:space="0" w:color="auto"/>
            <w:right w:val="none" w:sz="0" w:space="0" w:color="auto"/>
          </w:divBdr>
          <w:divsChild>
            <w:div w:id="1053651746">
              <w:marLeft w:val="0"/>
              <w:marRight w:val="0"/>
              <w:marTop w:val="0"/>
              <w:marBottom w:val="0"/>
              <w:divBdr>
                <w:top w:val="none" w:sz="0" w:space="0" w:color="auto"/>
                <w:left w:val="none" w:sz="0" w:space="0" w:color="auto"/>
                <w:bottom w:val="none" w:sz="0" w:space="0" w:color="auto"/>
                <w:right w:val="none" w:sz="0" w:space="0" w:color="auto"/>
              </w:divBdr>
              <w:divsChild>
                <w:div w:id="443117741">
                  <w:marLeft w:val="0"/>
                  <w:marRight w:val="0"/>
                  <w:marTop w:val="0"/>
                  <w:marBottom w:val="0"/>
                  <w:divBdr>
                    <w:top w:val="none" w:sz="0" w:space="0" w:color="auto"/>
                    <w:left w:val="none" w:sz="0" w:space="0" w:color="auto"/>
                    <w:bottom w:val="none" w:sz="0" w:space="0" w:color="auto"/>
                    <w:right w:val="none" w:sz="0" w:space="0" w:color="auto"/>
                  </w:divBdr>
                  <w:divsChild>
                    <w:div w:id="302927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5313730">
      <w:bodyDiv w:val="1"/>
      <w:marLeft w:val="0"/>
      <w:marRight w:val="0"/>
      <w:marTop w:val="0"/>
      <w:marBottom w:val="0"/>
      <w:divBdr>
        <w:top w:val="none" w:sz="0" w:space="0" w:color="auto"/>
        <w:left w:val="none" w:sz="0" w:space="0" w:color="auto"/>
        <w:bottom w:val="none" w:sz="0" w:space="0" w:color="auto"/>
        <w:right w:val="none" w:sz="0" w:space="0" w:color="auto"/>
      </w:divBdr>
    </w:div>
    <w:div w:id="903639335">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2814326">
      <w:bodyDiv w:val="1"/>
      <w:marLeft w:val="0"/>
      <w:marRight w:val="0"/>
      <w:marTop w:val="0"/>
      <w:marBottom w:val="0"/>
      <w:divBdr>
        <w:top w:val="none" w:sz="0" w:space="0" w:color="auto"/>
        <w:left w:val="none" w:sz="0" w:space="0" w:color="auto"/>
        <w:bottom w:val="none" w:sz="0" w:space="0" w:color="auto"/>
        <w:right w:val="none" w:sz="0" w:space="0" w:color="auto"/>
      </w:divBdr>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3296817">
      <w:bodyDiv w:val="1"/>
      <w:marLeft w:val="0"/>
      <w:marRight w:val="0"/>
      <w:marTop w:val="0"/>
      <w:marBottom w:val="0"/>
      <w:divBdr>
        <w:top w:val="none" w:sz="0" w:space="0" w:color="auto"/>
        <w:left w:val="none" w:sz="0" w:space="0" w:color="auto"/>
        <w:bottom w:val="none" w:sz="0" w:space="0" w:color="auto"/>
        <w:right w:val="none" w:sz="0" w:space="0" w:color="auto"/>
      </w:divBdr>
    </w:div>
    <w:div w:id="925843760">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51285824">
      <w:bodyDiv w:val="1"/>
      <w:marLeft w:val="0"/>
      <w:marRight w:val="0"/>
      <w:marTop w:val="0"/>
      <w:marBottom w:val="0"/>
      <w:divBdr>
        <w:top w:val="none" w:sz="0" w:space="0" w:color="auto"/>
        <w:left w:val="none" w:sz="0" w:space="0" w:color="auto"/>
        <w:bottom w:val="none" w:sz="0" w:space="0" w:color="auto"/>
        <w:right w:val="none" w:sz="0" w:space="0" w:color="auto"/>
      </w:divBdr>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4774086">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1002395701">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25904290">
      <w:bodyDiv w:val="1"/>
      <w:marLeft w:val="0"/>
      <w:marRight w:val="0"/>
      <w:marTop w:val="0"/>
      <w:marBottom w:val="0"/>
      <w:divBdr>
        <w:top w:val="none" w:sz="0" w:space="0" w:color="auto"/>
        <w:left w:val="none" w:sz="0" w:space="0" w:color="auto"/>
        <w:bottom w:val="none" w:sz="0" w:space="0" w:color="auto"/>
        <w:right w:val="none" w:sz="0" w:space="0" w:color="auto"/>
      </w:divBdr>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49961090">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086416888">
      <w:bodyDiv w:val="1"/>
      <w:marLeft w:val="0"/>
      <w:marRight w:val="0"/>
      <w:marTop w:val="0"/>
      <w:marBottom w:val="0"/>
      <w:divBdr>
        <w:top w:val="none" w:sz="0" w:space="0" w:color="auto"/>
        <w:left w:val="none" w:sz="0" w:space="0" w:color="auto"/>
        <w:bottom w:val="none" w:sz="0" w:space="0" w:color="auto"/>
        <w:right w:val="none" w:sz="0" w:space="0" w:color="auto"/>
      </w:divBdr>
    </w:div>
    <w:div w:id="1102533683">
      <w:bodyDiv w:val="1"/>
      <w:marLeft w:val="0"/>
      <w:marRight w:val="0"/>
      <w:marTop w:val="0"/>
      <w:marBottom w:val="0"/>
      <w:divBdr>
        <w:top w:val="none" w:sz="0" w:space="0" w:color="auto"/>
        <w:left w:val="none" w:sz="0" w:space="0" w:color="auto"/>
        <w:bottom w:val="none" w:sz="0" w:space="0" w:color="auto"/>
        <w:right w:val="none" w:sz="0" w:space="0" w:color="auto"/>
      </w:divBdr>
      <w:divsChild>
        <w:div w:id="937952928">
          <w:marLeft w:val="0"/>
          <w:marRight w:val="0"/>
          <w:marTop w:val="0"/>
          <w:marBottom w:val="0"/>
          <w:divBdr>
            <w:top w:val="none" w:sz="0" w:space="0" w:color="auto"/>
            <w:left w:val="none" w:sz="0" w:space="0" w:color="auto"/>
            <w:bottom w:val="none" w:sz="0" w:space="0" w:color="auto"/>
            <w:right w:val="none" w:sz="0" w:space="0" w:color="auto"/>
          </w:divBdr>
          <w:divsChild>
            <w:div w:id="266161672">
              <w:marLeft w:val="0"/>
              <w:marRight w:val="0"/>
              <w:marTop w:val="0"/>
              <w:marBottom w:val="0"/>
              <w:divBdr>
                <w:top w:val="none" w:sz="0" w:space="0" w:color="auto"/>
                <w:left w:val="none" w:sz="0" w:space="0" w:color="auto"/>
                <w:bottom w:val="none" w:sz="0" w:space="0" w:color="auto"/>
                <w:right w:val="none" w:sz="0" w:space="0" w:color="auto"/>
              </w:divBdr>
              <w:divsChild>
                <w:div w:id="1082483636">
                  <w:marLeft w:val="0"/>
                  <w:marRight w:val="0"/>
                  <w:marTop w:val="0"/>
                  <w:marBottom w:val="0"/>
                  <w:divBdr>
                    <w:top w:val="none" w:sz="0" w:space="0" w:color="auto"/>
                    <w:left w:val="none" w:sz="0" w:space="0" w:color="auto"/>
                    <w:bottom w:val="none" w:sz="0" w:space="0" w:color="auto"/>
                    <w:right w:val="none" w:sz="0" w:space="0" w:color="auto"/>
                  </w:divBdr>
                  <w:divsChild>
                    <w:div w:id="167137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08046331">
      <w:bodyDiv w:val="1"/>
      <w:marLeft w:val="0"/>
      <w:marRight w:val="0"/>
      <w:marTop w:val="0"/>
      <w:marBottom w:val="0"/>
      <w:divBdr>
        <w:top w:val="none" w:sz="0" w:space="0" w:color="auto"/>
        <w:left w:val="none" w:sz="0" w:space="0" w:color="auto"/>
        <w:bottom w:val="none" w:sz="0" w:space="0" w:color="auto"/>
        <w:right w:val="none" w:sz="0" w:space="0" w:color="auto"/>
      </w:divBdr>
      <w:divsChild>
        <w:div w:id="1363172650">
          <w:marLeft w:val="0"/>
          <w:marRight w:val="0"/>
          <w:marTop w:val="0"/>
          <w:marBottom w:val="0"/>
          <w:divBdr>
            <w:top w:val="none" w:sz="0" w:space="0" w:color="auto"/>
            <w:left w:val="none" w:sz="0" w:space="0" w:color="auto"/>
            <w:bottom w:val="none" w:sz="0" w:space="0" w:color="auto"/>
            <w:right w:val="none" w:sz="0" w:space="0" w:color="auto"/>
          </w:divBdr>
          <w:divsChild>
            <w:div w:id="1155224784">
              <w:marLeft w:val="0"/>
              <w:marRight w:val="0"/>
              <w:marTop w:val="0"/>
              <w:marBottom w:val="0"/>
              <w:divBdr>
                <w:top w:val="none" w:sz="0" w:space="0" w:color="auto"/>
                <w:left w:val="none" w:sz="0" w:space="0" w:color="auto"/>
                <w:bottom w:val="none" w:sz="0" w:space="0" w:color="auto"/>
                <w:right w:val="none" w:sz="0" w:space="0" w:color="auto"/>
              </w:divBdr>
              <w:divsChild>
                <w:div w:id="1605845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715178">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43158371">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4856602">
      <w:bodyDiv w:val="1"/>
      <w:marLeft w:val="0"/>
      <w:marRight w:val="0"/>
      <w:marTop w:val="0"/>
      <w:marBottom w:val="0"/>
      <w:divBdr>
        <w:top w:val="none" w:sz="0" w:space="0" w:color="auto"/>
        <w:left w:val="none" w:sz="0" w:space="0" w:color="auto"/>
        <w:bottom w:val="none" w:sz="0" w:space="0" w:color="auto"/>
        <w:right w:val="none" w:sz="0" w:space="0" w:color="auto"/>
      </w:divBdr>
      <w:divsChild>
        <w:div w:id="1354383366">
          <w:marLeft w:val="0"/>
          <w:marRight w:val="0"/>
          <w:marTop w:val="0"/>
          <w:marBottom w:val="0"/>
          <w:divBdr>
            <w:top w:val="none" w:sz="0" w:space="0" w:color="auto"/>
            <w:left w:val="none" w:sz="0" w:space="0" w:color="auto"/>
            <w:bottom w:val="none" w:sz="0" w:space="0" w:color="auto"/>
            <w:right w:val="none" w:sz="0" w:space="0" w:color="auto"/>
          </w:divBdr>
          <w:divsChild>
            <w:div w:id="932206033">
              <w:marLeft w:val="0"/>
              <w:marRight w:val="0"/>
              <w:marTop w:val="0"/>
              <w:marBottom w:val="0"/>
              <w:divBdr>
                <w:top w:val="none" w:sz="0" w:space="0" w:color="auto"/>
                <w:left w:val="none" w:sz="0" w:space="0" w:color="auto"/>
                <w:bottom w:val="none" w:sz="0" w:space="0" w:color="auto"/>
                <w:right w:val="none" w:sz="0" w:space="0" w:color="auto"/>
              </w:divBdr>
              <w:divsChild>
                <w:div w:id="1323699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91649574">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2572790">
      <w:bodyDiv w:val="1"/>
      <w:marLeft w:val="0"/>
      <w:marRight w:val="0"/>
      <w:marTop w:val="0"/>
      <w:marBottom w:val="0"/>
      <w:divBdr>
        <w:top w:val="none" w:sz="0" w:space="0" w:color="auto"/>
        <w:left w:val="none" w:sz="0" w:space="0" w:color="auto"/>
        <w:bottom w:val="none" w:sz="0" w:space="0" w:color="auto"/>
        <w:right w:val="none" w:sz="0" w:space="0" w:color="auto"/>
      </w:divBdr>
    </w:div>
    <w:div w:id="1213344151">
      <w:bodyDiv w:val="1"/>
      <w:marLeft w:val="0"/>
      <w:marRight w:val="0"/>
      <w:marTop w:val="0"/>
      <w:marBottom w:val="0"/>
      <w:divBdr>
        <w:top w:val="none" w:sz="0" w:space="0" w:color="auto"/>
        <w:left w:val="none" w:sz="0" w:space="0" w:color="auto"/>
        <w:bottom w:val="none" w:sz="0" w:space="0" w:color="auto"/>
        <w:right w:val="none" w:sz="0" w:space="0" w:color="auto"/>
      </w:divBdr>
    </w:div>
    <w:div w:id="1213425965">
      <w:bodyDiv w:val="1"/>
      <w:marLeft w:val="0"/>
      <w:marRight w:val="0"/>
      <w:marTop w:val="0"/>
      <w:marBottom w:val="0"/>
      <w:divBdr>
        <w:top w:val="none" w:sz="0" w:space="0" w:color="auto"/>
        <w:left w:val="none" w:sz="0" w:space="0" w:color="auto"/>
        <w:bottom w:val="none" w:sz="0" w:space="0" w:color="auto"/>
        <w:right w:val="none" w:sz="0" w:space="0" w:color="auto"/>
      </w:divBdr>
      <w:divsChild>
        <w:div w:id="1898123514">
          <w:marLeft w:val="0"/>
          <w:marRight w:val="0"/>
          <w:marTop w:val="0"/>
          <w:marBottom w:val="0"/>
          <w:divBdr>
            <w:top w:val="none" w:sz="0" w:space="0" w:color="auto"/>
            <w:left w:val="none" w:sz="0" w:space="0" w:color="auto"/>
            <w:bottom w:val="none" w:sz="0" w:space="0" w:color="auto"/>
            <w:right w:val="none" w:sz="0" w:space="0" w:color="auto"/>
          </w:divBdr>
          <w:divsChild>
            <w:div w:id="577178891">
              <w:marLeft w:val="0"/>
              <w:marRight w:val="0"/>
              <w:marTop w:val="0"/>
              <w:marBottom w:val="0"/>
              <w:divBdr>
                <w:top w:val="none" w:sz="0" w:space="0" w:color="auto"/>
                <w:left w:val="none" w:sz="0" w:space="0" w:color="auto"/>
                <w:bottom w:val="none" w:sz="0" w:space="0" w:color="auto"/>
                <w:right w:val="none" w:sz="0" w:space="0" w:color="auto"/>
              </w:divBdr>
              <w:divsChild>
                <w:div w:id="1346323552">
                  <w:marLeft w:val="0"/>
                  <w:marRight w:val="0"/>
                  <w:marTop w:val="0"/>
                  <w:marBottom w:val="0"/>
                  <w:divBdr>
                    <w:top w:val="none" w:sz="0" w:space="0" w:color="auto"/>
                    <w:left w:val="none" w:sz="0" w:space="0" w:color="auto"/>
                    <w:bottom w:val="none" w:sz="0" w:space="0" w:color="auto"/>
                    <w:right w:val="none" w:sz="0" w:space="0" w:color="auto"/>
                  </w:divBdr>
                  <w:divsChild>
                    <w:div w:id="53616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27375474">
      <w:bodyDiv w:val="1"/>
      <w:marLeft w:val="0"/>
      <w:marRight w:val="0"/>
      <w:marTop w:val="0"/>
      <w:marBottom w:val="0"/>
      <w:divBdr>
        <w:top w:val="none" w:sz="0" w:space="0" w:color="auto"/>
        <w:left w:val="none" w:sz="0" w:space="0" w:color="auto"/>
        <w:bottom w:val="none" w:sz="0" w:space="0" w:color="auto"/>
        <w:right w:val="none" w:sz="0" w:space="0" w:color="auto"/>
      </w:divBdr>
    </w:div>
    <w:div w:id="1246646857">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09088797">
      <w:bodyDiv w:val="1"/>
      <w:marLeft w:val="0"/>
      <w:marRight w:val="0"/>
      <w:marTop w:val="0"/>
      <w:marBottom w:val="0"/>
      <w:divBdr>
        <w:top w:val="none" w:sz="0" w:space="0" w:color="auto"/>
        <w:left w:val="none" w:sz="0" w:space="0" w:color="auto"/>
        <w:bottom w:val="none" w:sz="0" w:space="0" w:color="auto"/>
        <w:right w:val="none" w:sz="0" w:space="0" w:color="auto"/>
      </w:divBdr>
    </w:div>
    <w:div w:id="1312295347">
      <w:bodyDiv w:val="1"/>
      <w:marLeft w:val="0"/>
      <w:marRight w:val="0"/>
      <w:marTop w:val="0"/>
      <w:marBottom w:val="0"/>
      <w:divBdr>
        <w:top w:val="none" w:sz="0" w:space="0" w:color="auto"/>
        <w:left w:val="none" w:sz="0" w:space="0" w:color="auto"/>
        <w:bottom w:val="none" w:sz="0" w:space="0" w:color="auto"/>
        <w:right w:val="none" w:sz="0" w:space="0" w:color="auto"/>
      </w:divBdr>
    </w:div>
    <w:div w:id="1314288308">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0426134">
      <w:bodyDiv w:val="1"/>
      <w:marLeft w:val="0"/>
      <w:marRight w:val="0"/>
      <w:marTop w:val="0"/>
      <w:marBottom w:val="0"/>
      <w:divBdr>
        <w:top w:val="none" w:sz="0" w:space="0" w:color="auto"/>
        <w:left w:val="none" w:sz="0" w:space="0" w:color="auto"/>
        <w:bottom w:val="none" w:sz="0" w:space="0" w:color="auto"/>
        <w:right w:val="none" w:sz="0" w:space="0" w:color="auto"/>
      </w:divBdr>
    </w:div>
    <w:div w:id="1327973237">
      <w:bodyDiv w:val="1"/>
      <w:marLeft w:val="0"/>
      <w:marRight w:val="0"/>
      <w:marTop w:val="0"/>
      <w:marBottom w:val="0"/>
      <w:divBdr>
        <w:top w:val="none" w:sz="0" w:space="0" w:color="auto"/>
        <w:left w:val="none" w:sz="0" w:space="0" w:color="auto"/>
        <w:bottom w:val="none" w:sz="0" w:space="0" w:color="auto"/>
        <w:right w:val="none" w:sz="0" w:space="0" w:color="auto"/>
      </w:divBdr>
    </w:div>
    <w:div w:id="1329864676">
      <w:bodyDiv w:val="1"/>
      <w:marLeft w:val="0"/>
      <w:marRight w:val="0"/>
      <w:marTop w:val="0"/>
      <w:marBottom w:val="0"/>
      <w:divBdr>
        <w:top w:val="none" w:sz="0" w:space="0" w:color="auto"/>
        <w:left w:val="none" w:sz="0" w:space="0" w:color="auto"/>
        <w:bottom w:val="none" w:sz="0" w:space="0" w:color="auto"/>
        <w:right w:val="none" w:sz="0" w:space="0" w:color="auto"/>
      </w:divBdr>
      <w:divsChild>
        <w:div w:id="385421705">
          <w:marLeft w:val="0"/>
          <w:marRight w:val="0"/>
          <w:marTop w:val="0"/>
          <w:marBottom w:val="0"/>
          <w:divBdr>
            <w:top w:val="none" w:sz="0" w:space="0" w:color="auto"/>
            <w:left w:val="none" w:sz="0" w:space="0" w:color="auto"/>
            <w:bottom w:val="none" w:sz="0" w:space="0" w:color="auto"/>
            <w:right w:val="none" w:sz="0" w:space="0" w:color="auto"/>
          </w:divBdr>
          <w:divsChild>
            <w:div w:id="17966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3951950">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4213872">
      <w:bodyDiv w:val="1"/>
      <w:marLeft w:val="0"/>
      <w:marRight w:val="0"/>
      <w:marTop w:val="0"/>
      <w:marBottom w:val="0"/>
      <w:divBdr>
        <w:top w:val="none" w:sz="0" w:space="0" w:color="auto"/>
        <w:left w:val="none" w:sz="0" w:space="0" w:color="auto"/>
        <w:bottom w:val="none" w:sz="0" w:space="0" w:color="auto"/>
        <w:right w:val="none" w:sz="0" w:space="0" w:color="auto"/>
      </w:divBdr>
      <w:divsChild>
        <w:div w:id="694817135">
          <w:marLeft w:val="0"/>
          <w:marRight w:val="0"/>
          <w:marTop w:val="0"/>
          <w:marBottom w:val="0"/>
          <w:divBdr>
            <w:top w:val="none" w:sz="0" w:space="0" w:color="auto"/>
            <w:left w:val="none" w:sz="0" w:space="0" w:color="auto"/>
            <w:bottom w:val="none" w:sz="0" w:space="0" w:color="auto"/>
            <w:right w:val="none" w:sz="0" w:space="0" w:color="auto"/>
          </w:divBdr>
          <w:divsChild>
            <w:div w:id="1524246835">
              <w:marLeft w:val="0"/>
              <w:marRight w:val="0"/>
              <w:marTop w:val="0"/>
              <w:marBottom w:val="0"/>
              <w:divBdr>
                <w:top w:val="none" w:sz="0" w:space="0" w:color="auto"/>
                <w:left w:val="none" w:sz="0" w:space="0" w:color="auto"/>
                <w:bottom w:val="none" w:sz="0" w:space="0" w:color="auto"/>
                <w:right w:val="none" w:sz="0" w:space="0" w:color="auto"/>
              </w:divBdr>
              <w:divsChild>
                <w:div w:id="667445988">
                  <w:marLeft w:val="0"/>
                  <w:marRight w:val="0"/>
                  <w:marTop w:val="0"/>
                  <w:marBottom w:val="0"/>
                  <w:divBdr>
                    <w:top w:val="none" w:sz="0" w:space="0" w:color="auto"/>
                    <w:left w:val="none" w:sz="0" w:space="0" w:color="auto"/>
                    <w:bottom w:val="none" w:sz="0" w:space="0" w:color="auto"/>
                    <w:right w:val="none" w:sz="0" w:space="0" w:color="auto"/>
                  </w:divBdr>
                  <w:divsChild>
                    <w:div w:id="1787580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48960988">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89908005">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7138254">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66140219">
      <w:bodyDiv w:val="1"/>
      <w:marLeft w:val="0"/>
      <w:marRight w:val="0"/>
      <w:marTop w:val="0"/>
      <w:marBottom w:val="0"/>
      <w:divBdr>
        <w:top w:val="none" w:sz="0" w:space="0" w:color="auto"/>
        <w:left w:val="none" w:sz="0" w:space="0" w:color="auto"/>
        <w:bottom w:val="none" w:sz="0" w:space="0" w:color="auto"/>
        <w:right w:val="none" w:sz="0" w:space="0" w:color="auto"/>
      </w:divBdr>
    </w:div>
    <w:div w:id="1573925530">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601329495">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0284887">
      <w:bodyDiv w:val="1"/>
      <w:marLeft w:val="0"/>
      <w:marRight w:val="0"/>
      <w:marTop w:val="0"/>
      <w:marBottom w:val="0"/>
      <w:divBdr>
        <w:top w:val="none" w:sz="0" w:space="0" w:color="auto"/>
        <w:left w:val="none" w:sz="0" w:space="0" w:color="auto"/>
        <w:bottom w:val="none" w:sz="0" w:space="0" w:color="auto"/>
        <w:right w:val="none" w:sz="0" w:space="0" w:color="auto"/>
      </w:divBdr>
      <w:divsChild>
        <w:div w:id="927079769">
          <w:marLeft w:val="0"/>
          <w:marRight w:val="0"/>
          <w:marTop w:val="0"/>
          <w:marBottom w:val="0"/>
          <w:divBdr>
            <w:top w:val="none" w:sz="0" w:space="0" w:color="auto"/>
            <w:left w:val="none" w:sz="0" w:space="0" w:color="auto"/>
            <w:bottom w:val="none" w:sz="0" w:space="0" w:color="auto"/>
            <w:right w:val="none" w:sz="0" w:space="0" w:color="auto"/>
          </w:divBdr>
          <w:divsChild>
            <w:div w:id="1644701967">
              <w:marLeft w:val="0"/>
              <w:marRight w:val="0"/>
              <w:marTop w:val="0"/>
              <w:marBottom w:val="0"/>
              <w:divBdr>
                <w:top w:val="none" w:sz="0" w:space="0" w:color="auto"/>
                <w:left w:val="none" w:sz="0" w:space="0" w:color="auto"/>
                <w:bottom w:val="none" w:sz="0" w:space="0" w:color="auto"/>
                <w:right w:val="none" w:sz="0" w:space="0" w:color="auto"/>
              </w:divBdr>
              <w:divsChild>
                <w:div w:id="371923142">
                  <w:marLeft w:val="0"/>
                  <w:marRight w:val="0"/>
                  <w:marTop w:val="0"/>
                  <w:marBottom w:val="0"/>
                  <w:divBdr>
                    <w:top w:val="none" w:sz="0" w:space="0" w:color="auto"/>
                    <w:left w:val="none" w:sz="0" w:space="0" w:color="auto"/>
                    <w:bottom w:val="none" w:sz="0" w:space="0" w:color="auto"/>
                    <w:right w:val="none" w:sz="0" w:space="0" w:color="auto"/>
                  </w:divBdr>
                  <w:divsChild>
                    <w:div w:id="1952516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63193784">
      <w:bodyDiv w:val="1"/>
      <w:marLeft w:val="0"/>
      <w:marRight w:val="0"/>
      <w:marTop w:val="0"/>
      <w:marBottom w:val="0"/>
      <w:divBdr>
        <w:top w:val="none" w:sz="0" w:space="0" w:color="auto"/>
        <w:left w:val="none" w:sz="0" w:space="0" w:color="auto"/>
        <w:bottom w:val="none" w:sz="0" w:space="0" w:color="auto"/>
        <w:right w:val="none" w:sz="0" w:space="0" w:color="auto"/>
      </w:divBdr>
      <w:divsChild>
        <w:div w:id="1417903108">
          <w:marLeft w:val="0"/>
          <w:marRight w:val="0"/>
          <w:marTop w:val="0"/>
          <w:marBottom w:val="0"/>
          <w:divBdr>
            <w:top w:val="none" w:sz="0" w:space="0" w:color="auto"/>
            <w:left w:val="none" w:sz="0" w:space="0" w:color="auto"/>
            <w:bottom w:val="none" w:sz="0" w:space="0" w:color="auto"/>
            <w:right w:val="none" w:sz="0" w:space="0" w:color="auto"/>
          </w:divBdr>
          <w:divsChild>
            <w:div w:id="1264530621">
              <w:marLeft w:val="0"/>
              <w:marRight w:val="0"/>
              <w:marTop w:val="0"/>
              <w:marBottom w:val="0"/>
              <w:divBdr>
                <w:top w:val="none" w:sz="0" w:space="0" w:color="auto"/>
                <w:left w:val="none" w:sz="0" w:space="0" w:color="auto"/>
                <w:bottom w:val="none" w:sz="0" w:space="0" w:color="auto"/>
                <w:right w:val="none" w:sz="0" w:space="0" w:color="auto"/>
              </w:divBdr>
              <w:divsChild>
                <w:div w:id="1960649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465043">
      <w:bodyDiv w:val="1"/>
      <w:marLeft w:val="0"/>
      <w:marRight w:val="0"/>
      <w:marTop w:val="0"/>
      <w:marBottom w:val="0"/>
      <w:divBdr>
        <w:top w:val="none" w:sz="0" w:space="0" w:color="auto"/>
        <w:left w:val="none" w:sz="0" w:space="0" w:color="auto"/>
        <w:bottom w:val="none" w:sz="0" w:space="0" w:color="auto"/>
        <w:right w:val="none" w:sz="0" w:space="0" w:color="auto"/>
      </w:divBdr>
      <w:divsChild>
        <w:div w:id="960645241">
          <w:marLeft w:val="0"/>
          <w:marRight w:val="0"/>
          <w:marTop w:val="0"/>
          <w:marBottom w:val="0"/>
          <w:divBdr>
            <w:top w:val="none" w:sz="0" w:space="0" w:color="auto"/>
            <w:left w:val="none" w:sz="0" w:space="0" w:color="auto"/>
            <w:bottom w:val="none" w:sz="0" w:space="0" w:color="auto"/>
            <w:right w:val="none" w:sz="0" w:space="0" w:color="auto"/>
          </w:divBdr>
          <w:divsChild>
            <w:div w:id="2127236759">
              <w:marLeft w:val="0"/>
              <w:marRight w:val="0"/>
              <w:marTop w:val="0"/>
              <w:marBottom w:val="0"/>
              <w:divBdr>
                <w:top w:val="none" w:sz="0" w:space="0" w:color="auto"/>
                <w:left w:val="none" w:sz="0" w:space="0" w:color="auto"/>
                <w:bottom w:val="none" w:sz="0" w:space="0" w:color="auto"/>
                <w:right w:val="none" w:sz="0" w:space="0" w:color="auto"/>
              </w:divBdr>
              <w:divsChild>
                <w:div w:id="1740788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5423701">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0624136">
      <w:bodyDiv w:val="1"/>
      <w:marLeft w:val="0"/>
      <w:marRight w:val="0"/>
      <w:marTop w:val="0"/>
      <w:marBottom w:val="0"/>
      <w:divBdr>
        <w:top w:val="none" w:sz="0" w:space="0" w:color="auto"/>
        <w:left w:val="none" w:sz="0" w:space="0" w:color="auto"/>
        <w:bottom w:val="none" w:sz="0" w:space="0" w:color="auto"/>
        <w:right w:val="none" w:sz="0" w:space="0" w:color="auto"/>
      </w:divBdr>
    </w:div>
    <w:div w:id="1708410328">
      <w:bodyDiv w:val="1"/>
      <w:marLeft w:val="0"/>
      <w:marRight w:val="0"/>
      <w:marTop w:val="0"/>
      <w:marBottom w:val="0"/>
      <w:divBdr>
        <w:top w:val="none" w:sz="0" w:space="0" w:color="auto"/>
        <w:left w:val="none" w:sz="0" w:space="0" w:color="auto"/>
        <w:bottom w:val="none" w:sz="0" w:space="0" w:color="auto"/>
        <w:right w:val="none" w:sz="0" w:space="0" w:color="auto"/>
      </w:divBdr>
      <w:divsChild>
        <w:div w:id="932855324">
          <w:marLeft w:val="0"/>
          <w:marRight w:val="0"/>
          <w:marTop w:val="0"/>
          <w:marBottom w:val="0"/>
          <w:divBdr>
            <w:top w:val="none" w:sz="0" w:space="0" w:color="auto"/>
            <w:left w:val="none" w:sz="0" w:space="0" w:color="auto"/>
            <w:bottom w:val="none" w:sz="0" w:space="0" w:color="auto"/>
            <w:right w:val="none" w:sz="0" w:space="0" w:color="auto"/>
          </w:divBdr>
          <w:divsChild>
            <w:div w:id="984509499">
              <w:marLeft w:val="0"/>
              <w:marRight w:val="0"/>
              <w:marTop w:val="0"/>
              <w:marBottom w:val="0"/>
              <w:divBdr>
                <w:top w:val="none" w:sz="0" w:space="0" w:color="auto"/>
                <w:left w:val="none" w:sz="0" w:space="0" w:color="auto"/>
                <w:bottom w:val="none" w:sz="0" w:space="0" w:color="auto"/>
                <w:right w:val="none" w:sz="0" w:space="0" w:color="auto"/>
              </w:divBdr>
              <w:divsChild>
                <w:div w:id="1891262088">
                  <w:marLeft w:val="0"/>
                  <w:marRight w:val="0"/>
                  <w:marTop w:val="0"/>
                  <w:marBottom w:val="0"/>
                  <w:divBdr>
                    <w:top w:val="none" w:sz="0" w:space="0" w:color="auto"/>
                    <w:left w:val="none" w:sz="0" w:space="0" w:color="auto"/>
                    <w:bottom w:val="none" w:sz="0" w:space="0" w:color="auto"/>
                    <w:right w:val="none" w:sz="0" w:space="0" w:color="auto"/>
                  </w:divBdr>
                  <w:divsChild>
                    <w:div w:id="691953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48769308">
      <w:bodyDiv w:val="1"/>
      <w:marLeft w:val="0"/>
      <w:marRight w:val="0"/>
      <w:marTop w:val="0"/>
      <w:marBottom w:val="0"/>
      <w:divBdr>
        <w:top w:val="none" w:sz="0" w:space="0" w:color="auto"/>
        <w:left w:val="none" w:sz="0" w:space="0" w:color="auto"/>
        <w:bottom w:val="none" w:sz="0" w:space="0" w:color="auto"/>
        <w:right w:val="none" w:sz="0" w:space="0" w:color="auto"/>
      </w:divBdr>
      <w:divsChild>
        <w:div w:id="849875501">
          <w:marLeft w:val="0"/>
          <w:marRight w:val="0"/>
          <w:marTop w:val="0"/>
          <w:marBottom w:val="0"/>
          <w:divBdr>
            <w:top w:val="none" w:sz="0" w:space="0" w:color="auto"/>
            <w:left w:val="none" w:sz="0" w:space="0" w:color="auto"/>
            <w:bottom w:val="none" w:sz="0" w:space="0" w:color="auto"/>
            <w:right w:val="none" w:sz="0" w:space="0" w:color="auto"/>
          </w:divBdr>
          <w:divsChild>
            <w:div w:id="627515589">
              <w:marLeft w:val="0"/>
              <w:marRight w:val="0"/>
              <w:marTop w:val="0"/>
              <w:marBottom w:val="0"/>
              <w:divBdr>
                <w:top w:val="none" w:sz="0" w:space="0" w:color="auto"/>
                <w:left w:val="none" w:sz="0" w:space="0" w:color="auto"/>
                <w:bottom w:val="none" w:sz="0" w:space="0" w:color="auto"/>
                <w:right w:val="none" w:sz="0" w:space="0" w:color="auto"/>
              </w:divBdr>
              <w:divsChild>
                <w:div w:id="2104102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9400849">
      <w:bodyDiv w:val="1"/>
      <w:marLeft w:val="0"/>
      <w:marRight w:val="0"/>
      <w:marTop w:val="0"/>
      <w:marBottom w:val="0"/>
      <w:divBdr>
        <w:top w:val="none" w:sz="0" w:space="0" w:color="auto"/>
        <w:left w:val="none" w:sz="0" w:space="0" w:color="auto"/>
        <w:bottom w:val="none" w:sz="0" w:space="0" w:color="auto"/>
        <w:right w:val="none" w:sz="0" w:space="0" w:color="auto"/>
      </w:divBdr>
      <w:divsChild>
        <w:div w:id="2108649876">
          <w:marLeft w:val="0"/>
          <w:marRight w:val="0"/>
          <w:marTop w:val="0"/>
          <w:marBottom w:val="0"/>
          <w:divBdr>
            <w:top w:val="none" w:sz="0" w:space="0" w:color="auto"/>
            <w:left w:val="none" w:sz="0" w:space="0" w:color="auto"/>
            <w:bottom w:val="none" w:sz="0" w:space="0" w:color="auto"/>
            <w:right w:val="none" w:sz="0" w:space="0" w:color="auto"/>
          </w:divBdr>
          <w:divsChild>
            <w:div w:id="955403916">
              <w:marLeft w:val="0"/>
              <w:marRight w:val="0"/>
              <w:marTop w:val="0"/>
              <w:marBottom w:val="0"/>
              <w:divBdr>
                <w:top w:val="none" w:sz="0" w:space="0" w:color="auto"/>
                <w:left w:val="none" w:sz="0" w:space="0" w:color="auto"/>
                <w:bottom w:val="none" w:sz="0" w:space="0" w:color="auto"/>
                <w:right w:val="none" w:sz="0" w:space="0" w:color="auto"/>
              </w:divBdr>
              <w:divsChild>
                <w:div w:id="933324785">
                  <w:marLeft w:val="0"/>
                  <w:marRight w:val="0"/>
                  <w:marTop w:val="0"/>
                  <w:marBottom w:val="0"/>
                  <w:divBdr>
                    <w:top w:val="none" w:sz="0" w:space="0" w:color="auto"/>
                    <w:left w:val="none" w:sz="0" w:space="0" w:color="auto"/>
                    <w:bottom w:val="none" w:sz="0" w:space="0" w:color="auto"/>
                    <w:right w:val="none" w:sz="0" w:space="0" w:color="auto"/>
                  </w:divBdr>
                  <w:divsChild>
                    <w:div w:id="31676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6827981">
      <w:bodyDiv w:val="1"/>
      <w:marLeft w:val="0"/>
      <w:marRight w:val="0"/>
      <w:marTop w:val="0"/>
      <w:marBottom w:val="0"/>
      <w:divBdr>
        <w:top w:val="none" w:sz="0" w:space="0" w:color="auto"/>
        <w:left w:val="none" w:sz="0" w:space="0" w:color="auto"/>
        <w:bottom w:val="none" w:sz="0" w:space="0" w:color="auto"/>
        <w:right w:val="none" w:sz="0" w:space="0" w:color="auto"/>
      </w:divBdr>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46305">
      <w:bodyDiv w:val="1"/>
      <w:marLeft w:val="0"/>
      <w:marRight w:val="0"/>
      <w:marTop w:val="0"/>
      <w:marBottom w:val="0"/>
      <w:divBdr>
        <w:top w:val="none" w:sz="0" w:space="0" w:color="auto"/>
        <w:left w:val="none" w:sz="0" w:space="0" w:color="auto"/>
        <w:bottom w:val="none" w:sz="0" w:space="0" w:color="auto"/>
        <w:right w:val="none" w:sz="0" w:space="0" w:color="auto"/>
      </w:divBdr>
    </w:div>
    <w:div w:id="1789466845">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6777416">
      <w:bodyDiv w:val="1"/>
      <w:marLeft w:val="0"/>
      <w:marRight w:val="0"/>
      <w:marTop w:val="0"/>
      <w:marBottom w:val="0"/>
      <w:divBdr>
        <w:top w:val="none" w:sz="0" w:space="0" w:color="auto"/>
        <w:left w:val="none" w:sz="0" w:space="0" w:color="auto"/>
        <w:bottom w:val="none" w:sz="0" w:space="0" w:color="auto"/>
        <w:right w:val="none" w:sz="0" w:space="0" w:color="auto"/>
      </w:divBdr>
      <w:divsChild>
        <w:div w:id="878473400">
          <w:marLeft w:val="0"/>
          <w:marRight w:val="0"/>
          <w:marTop w:val="0"/>
          <w:marBottom w:val="0"/>
          <w:divBdr>
            <w:top w:val="none" w:sz="0" w:space="0" w:color="auto"/>
            <w:left w:val="none" w:sz="0" w:space="0" w:color="auto"/>
            <w:bottom w:val="none" w:sz="0" w:space="0" w:color="auto"/>
            <w:right w:val="none" w:sz="0" w:space="0" w:color="auto"/>
          </w:divBdr>
          <w:divsChild>
            <w:div w:id="636031269">
              <w:marLeft w:val="0"/>
              <w:marRight w:val="0"/>
              <w:marTop w:val="0"/>
              <w:marBottom w:val="0"/>
              <w:divBdr>
                <w:top w:val="none" w:sz="0" w:space="0" w:color="auto"/>
                <w:left w:val="none" w:sz="0" w:space="0" w:color="auto"/>
                <w:bottom w:val="none" w:sz="0" w:space="0" w:color="auto"/>
                <w:right w:val="none" w:sz="0" w:space="0" w:color="auto"/>
              </w:divBdr>
              <w:divsChild>
                <w:div w:id="990787999">
                  <w:marLeft w:val="0"/>
                  <w:marRight w:val="0"/>
                  <w:marTop w:val="0"/>
                  <w:marBottom w:val="0"/>
                  <w:divBdr>
                    <w:top w:val="none" w:sz="0" w:space="0" w:color="auto"/>
                    <w:left w:val="none" w:sz="0" w:space="0" w:color="auto"/>
                    <w:bottom w:val="none" w:sz="0" w:space="0" w:color="auto"/>
                    <w:right w:val="none" w:sz="0" w:space="0" w:color="auto"/>
                  </w:divBdr>
                  <w:divsChild>
                    <w:div w:id="210045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085538">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4857320">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897814723">
      <w:bodyDiv w:val="1"/>
      <w:marLeft w:val="0"/>
      <w:marRight w:val="0"/>
      <w:marTop w:val="0"/>
      <w:marBottom w:val="0"/>
      <w:divBdr>
        <w:top w:val="none" w:sz="0" w:space="0" w:color="auto"/>
        <w:left w:val="none" w:sz="0" w:space="0" w:color="auto"/>
        <w:bottom w:val="none" w:sz="0" w:space="0" w:color="auto"/>
        <w:right w:val="none" w:sz="0" w:space="0" w:color="auto"/>
      </w:divBdr>
      <w:divsChild>
        <w:div w:id="230234604">
          <w:marLeft w:val="0"/>
          <w:marRight w:val="0"/>
          <w:marTop w:val="0"/>
          <w:marBottom w:val="0"/>
          <w:divBdr>
            <w:top w:val="none" w:sz="0" w:space="0" w:color="auto"/>
            <w:left w:val="none" w:sz="0" w:space="0" w:color="auto"/>
            <w:bottom w:val="none" w:sz="0" w:space="0" w:color="auto"/>
            <w:right w:val="none" w:sz="0" w:space="0" w:color="auto"/>
          </w:divBdr>
          <w:divsChild>
            <w:div w:id="2049253132">
              <w:marLeft w:val="0"/>
              <w:marRight w:val="0"/>
              <w:marTop w:val="0"/>
              <w:marBottom w:val="0"/>
              <w:divBdr>
                <w:top w:val="none" w:sz="0" w:space="0" w:color="auto"/>
                <w:left w:val="none" w:sz="0" w:space="0" w:color="auto"/>
                <w:bottom w:val="none" w:sz="0" w:space="0" w:color="auto"/>
                <w:right w:val="none" w:sz="0" w:space="0" w:color="auto"/>
              </w:divBdr>
              <w:divsChild>
                <w:div w:id="167986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333555">
      <w:bodyDiv w:val="1"/>
      <w:marLeft w:val="0"/>
      <w:marRight w:val="0"/>
      <w:marTop w:val="0"/>
      <w:marBottom w:val="0"/>
      <w:divBdr>
        <w:top w:val="none" w:sz="0" w:space="0" w:color="auto"/>
        <w:left w:val="none" w:sz="0" w:space="0" w:color="auto"/>
        <w:bottom w:val="none" w:sz="0" w:space="0" w:color="auto"/>
        <w:right w:val="none" w:sz="0" w:space="0" w:color="auto"/>
      </w:divBdr>
      <w:divsChild>
        <w:div w:id="1618832351">
          <w:marLeft w:val="0"/>
          <w:marRight w:val="0"/>
          <w:marTop w:val="0"/>
          <w:marBottom w:val="0"/>
          <w:divBdr>
            <w:top w:val="none" w:sz="0" w:space="0" w:color="auto"/>
            <w:left w:val="none" w:sz="0" w:space="0" w:color="auto"/>
            <w:bottom w:val="none" w:sz="0" w:space="0" w:color="auto"/>
            <w:right w:val="none" w:sz="0" w:space="0" w:color="auto"/>
          </w:divBdr>
          <w:divsChild>
            <w:div w:id="438573280">
              <w:marLeft w:val="0"/>
              <w:marRight w:val="0"/>
              <w:marTop w:val="0"/>
              <w:marBottom w:val="0"/>
              <w:divBdr>
                <w:top w:val="none" w:sz="0" w:space="0" w:color="auto"/>
                <w:left w:val="none" w:sz="0" w:space="0" w:color="auto"/>
                <w:bottom w:val="none" w:sz="0" w:space="0" w:color="auto"/>
                <w:right w:val="none" w:sz="0" w:space="0" w:color="auto"/>
              </w:divBdr>
              <w:divsChild>
                <w:div w:id="371198100">
                  <w:marLeft w:val="0"/>
                  <w:marRight w:val="0"/>
                  <w:marTop w:val="0"/>
                  <w:marBottom w:val="0"/>
                  <w:divBdr>
                    <w:top w:val="none" w:sz="0" w:space="0" w:color="auto"/>
                    <w:left w:val="none" w:sz="0" w:space="0" w:color="auto"/>
                    <w:bottom w:val="none" w:sz="0" w:space="0" w:color="auto"/>
                    <w:right w:val="none" w:sz="0" w:space="0" w:color="auto"/>
                  </w:divBdr>
                  <w:divsChild>
                    <w:div w:id="915288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57060202">
      <w:bodyDiv w:val="1"/>
      <w:marLeft w:val="0"/>
      <w:marRight w:val="0"/>
      <w:marTop w:val="0"/>
      <w:marBottom w:val="0"/>
      <w:divBdr>
        <w:top w:val="none" w:sz="0" w:space="0" w:color="auto"/>
        <w:left w:val="none" w:sz="0" w:space="0" w:color="auto"/>
        <w:bottom w:val="none" w:sz="0" w:space="0" w:color="auto"/>
        <w:right w:val="none" w:sz="0" w:space="0" w:color="auto"/>
      </w:divBdr>
      <w:divsChild>
        <w:div w:id="198133236">
          <w:marLeft w:val="0"/>
          <w:marRight w:val="0"/>
          <w:marTop w:val="0"/>
          <w:marBottom w:val="0"/>
          <w:divBdr>
            <w:top w:val="single" w:sz="6" w:space="0" w:color="BEE5EB"/>
            <w:left w:val="single" w:sz="6" w:space="0" w:color="BEE5EB"/>
            <w:bottom w:val="single" w:sz="6" w:space="0" w:color="BEE5EB"/>
            <w:right w:val="single" w:sz="6" w:space="0" w:color="BEE5EB"/>
          </w:divBdr>
        </w:div>
        <w:div w:id="997346022">
          <w:marLeft w:val="0"/>
          <w:marRight w:val="0"/>
          <w:marTop w:val="0"/>
          <w:marBottom w:val="0"/>
          <w:divBdr>
            <w:top w:val="single" w:sz="6" w:space="0" w:color="C4C4C4"/>
            <w:left w:val="single" w:sz="6" w:space="0" w:color="C4C4C4"/>
            <w:bottom w:val="single" w:sz="6" w:space="0" w:color="C4C4C4"/>
            <w:right w:val="single" w:sz="6" w:space="0" w:color="C4C4C4"/>
          </w:divBdr>
        </w:div>
      </w:divsChild>
    </w:div>
    <w:div w:id="1967008671">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0964369">
      <w:bodyDiv w:val="1"/>
      <w:marLeft w:val="0"/>
      <w:marRight w:val="0"/>
      <w:marTop w:val="0"/>
      <w:marBottom w:val="0"/>
      <w:divBdr>
        <w:top w:val="none" w:sz="0" w:space="0" w:color="auto"/>
        <w:left w:val="none" w:sz="0" w:space="0" w:color="auto"/>
        <w:bottom w:val="none" w:sz="0" w:space="0" w:color="auto"/>
        <w:right w:val="none" w:sz="0" w:space="0" w:color="auto"/>
      </w:divBdr>
    </w:div>
    <w:div w:id="2007396015">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09597345">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45056635">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84208209">
      <w:bodyDiv w:val="1"/>
      <w:marLeft w:val="0"/>
      <w:marRight w:val="0"/>
      <w:marTop w:val="0"/>
      <w:marBottom w:val="0"/>
      <w:divBdr>
        <w:top w:val="none" w:sz="0" w:space="0" w:color="auto"/>
        <w:left w:val="none" w:sz="0" w:space="0" w:color="auto"/>
        <w:bottom w:val="none" w:sz="0" w:space="0" w:color="auto"/>
        <w:right w:val="none" w:sz="0" w:space="0" w:color="auto"/>
      </w:divBdr>
    </w:div>
    <w:div w:id="2086803058">
      <w:bodyDiv w:val="1"/>
      <w:marLeft w:val="0"/>
      <w:marRight w:val="0"/>
      <w:marTop w:val="0"/>
      <w:marBottom w:val="0"/>
      <w:divBdr>
        <w:top w:val="none" w:sz="0" w:space="0" w:color="auto"/>
        <w:left w:val="none" w:sz="0" w:space="0" w:color="auto"/>
        <w:bottom w:val="none" w:sz="0" w:space="0" w:color="auto"/>
        <w:right w:val="none" w:sz="0" w:space="0" w:color="auto"/>
      </w:divBdr>
      <w:divsChild>
        <w:div w:id="177240049">
          <w:marLeft w:val="0"/>
          <w:marRight w:val="0"/>
          <w:marTop w:val="0"/>
          <w:marBottom w:val="0"/>
          <w:divBdr>
            <w:top w:val="none" w:sz="0" w:space="0" w:color="auto"/>
            <w:left w:val="none" w:sz="0" w:space="0" w:color="auto"/>
            <w:bottom w:val="none" w:sz="0" w:space="0" w:color="auto"/>
            <w:right w:val="none" w:sz="0" w:space="0" w:color="auto"/>
          </w:divBdr>
          <w:divsChild>
            <w:div w:id="1581257025">
              <w:marLeft w:val="0"/>
              <w:marRight w:val="0"/>
              <w:marTop w:val="0"/>
              <w:marBottom w:val="0"/>
              <w:divBdr>
                <w:top w:val="none" w:sz="0" w:space="0" w:color="auto"/>
                <w:left w:val="none" w:sz="0" w:space="0" w:color="auto"/>
                <w:bottom w:val="none" w:sz="0" w:space="0" w:color="auto"/>
                <w:right w:val="none" w:sz="0" w:space="0" w:color="auto"/>
              </w:divBdr>
              <w:divsChild>
                <w:div w:id="810488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398012">
      <w:bodyDiv w:val="1"/>
      <w:marLeft w:val="0"/>
      <w:marRight w:val="0"/>
      <w:marTop w:val="0"/>
      <w:marBottom w:val="0"/>
      <w:divBdr>
        <w:top w:val="none" w:sz="0" w:space="0" w:color="auto"/>
        <w:left w:val="none" w:sz="0" w:space="0" w:color="auto"/>
        <w:bottom w:val="none" w:sz="0" w:space="0" w:color="auto"/>
        <w:right w:val="none" w:sz="0" w:space="0" w:color="auto"/>
      </w:divBdr>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8521671-D56A-F342-8BC5-FA15744391E7}">
  <ds:schemaRefs>
    <ds:schemaRef ds:uri="http://schemas.openxmlformats.org/officeDocument/2006/bibliography"/>
  </ds:schemaRefs>
</ds:datastoreItem>
</file>

<file path=customXml/itemProps2.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8A06179F-07AD-462E-B59B-6BFE39F1A2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2</TotalTime>
  <Pages>11</Pages>
  <Words>3660</Words>
  <Characters>20134</Characters>
  <Application>Microsoft Office Word</Application>
  <DocSecurity>0</DocSecurity>
  <Lines>167</Lines>
  <Paragraphs>47</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23747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Martin Rojas Mejia</cp:lastModifiedBy>
  <cp:revision>3</cp:revision>
  <cp:lastPrinted>2020-01-30T15:05:00Z</cp:lastPrinted>
  <dcterms:created xsi:type="dcterms:W3CDTF">2022-04-07T15:41:00Z</dcterms:created>
  <dcterms:modified xsi:type="dcterms:W3CDTF">2022-05-03T21:32:00Z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