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p w14:paraId="0CF85C70" w14:textId="31A794F1" w:rsidR="005873AF" w:rsidRDefault="005873AF" w:rsidP="002652C1">
      <w:pPr>
        <w:contextualSpacing/>
        <w:jc w:val="both"/>
        <w:rPr>
          <w:rFonts w:ascii="Arial" w:eastAsia="Calibri" w:hAnsi="Arial" w:cs="Arial"/>
          <w:b/>
          <w:bCs/>
          <w:color w:val="000000" w:themeColor="text1"/>
          <w:sz w:val="22"/>
          <w:szCs w:val="22"/>
          <w:lang w:val="es-MX" w:eastAsia="en-US"/>
        </w:rPr>
      </w:pPr>
      <w:r>
        <w:rPr>
          <w:rFonts w:ascii="Arial" w:eastAsia="Calibri" w:hAnsi="Arial" w:cs="Arial"/>
          <w:b/>
          <w:bCs/>
          <w:color w:val="000000" w:themeColor="text1"/>
          <w:sz w:val="22"/>
          <w:szCs w:val="22"/>
          <w:lang w:val="es-MX" w:eastAsia="en-US"/>
        </w:rPr>
        <w:t xml:space="preserve">PLAN DE SALUD PÚBLICA DE INTERVENCIONES COLECTIVAS – PIC – Definición – contratación </w:t>
      </w:r>
    </w:p>
    <w:p w14:paraId="07868561" w14:textId="77777777" w:rsidR="005873AF" w:rsidRDefault="005873AF" w:rsidP="002652C1">
      <w:pPr>
        <w:contextualSpacing/>
        <w:jc w:val="both"/>
        <w:rPr>
          <w:rFonts w:ascii="Arial" w:eastAsia="Calibri" w:hAnsi="Arial" w:cs="Arial"/>
          <w:b/>
          <w:bCs/>
          <w:color w:val="000000" w:themeColor="text1"/>
          <w:sz w:val="22"/>
          <w:szCs w:val="22"/>
          <w:lang w:val="es-MX" w:eastAsia="en-US"/>
        </w:rPr>
      </w:pPr>
    </w:p>
    <w:p w14:paraId="4AA84CA9" w14:textId="55441753" w:rsidR="005873AF" w:rsidRPr="00713B6C" w:rsidRDefault="005873AF" w:rsidP="00713B6C">
      <w:pPr>
        <w:jc w:val="both"/>
        <w:rPr>
          <w:rFonts w:ascii="Arial" w:hAnsi="Arial" w:cs="Arial"/>
          <w:color w:val="000000" w:themeColor="text1"/>
          <w:sz w:val="20"/>
          <w:szCs w:val="20"/>
        </w:rPr>
      </w:pPr>
      <w:r w:rsidRPr="00713B6C">
        <w:rPr>
          <w:rFonts w:ascii="Arial" w:eastAsia="Arial" w:hAnsi="Arial" w:cs="Arial"/>
          <w:color w:val="000000" w:themeColor="text1"/>
          <w:sz w:val="20"/>
          <w:szCs w:val="20"/>
          <w:lang w:val="es-MX"/>
        </w:rPr>
        <w:t>[…] e</w:t>
      </w:r>
      <w:r w:rsidRPr="00713B6C">
        <w:rPr>
          <w:rFonts w:ascii="Arial" w:hAnsi="Arial" w:cs="Arial"/>
          <w:color w:val="000000" w:themeColor="text1"/>
          <w:sz w:val="20"/>
          <w:szCs w:val="20"/>
        </w:rPr>
        <w:t xml:space="preserve">l artículo 8 de la Resolución 518 de 2015, «Por la cual se dictan disposiciones en relación con la Gestión de la Salud Pública y se establecen directrices para la ejecución, seguimiento y evaluación del Plan de Salud Pública de Intervenciones Colectivas –PIC» define a los PIC así: </w:t>
      </w:r>
      <w:r w:rsidRPr="00713B6C">
        <w:rPr>
          <w:rFonts w:ascii="Arial" w:hAnsi="Arial" w:cs="Arial"/>
          <w:bCs/>
          <w:color w:val="000000" w:themeColor="text1"/>
          <w:sz w:val="20"/>
          <w:szCs w:val="20"/>
          <w:lang w:eastAsia="es-CO"/>
        </w:rPr>
        <w:t>«</w:t>
      </w:r>
      <w:r w:rsidRPr="00713B6C">
        <w:rPr>
          <w:rFonts w:ascii="Arial" w:hAnsi="Arial" w:cs="Arial"/>
          <w:color w:val="000000" w:themeColor="text1"/>
          <w:sz w:val="20"/>
          <w:szCs w:val="20"/>
        </w:rPr>
        <w:t>Es un plan complementario al Plan Obligatorio de Salud - POS y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PDSP</w:t>
      </w:r>
      <w:r w:rsidRPr="00713B6C">
        <w:rPr>
          <w:rFonts w:ascii="Arial" w:hAnsi="Arial" w:cs="Arial"/>
          <w:bCs/>
          <w:color w:val="000000" w:themeColor="text1"/>
          <w:sz w:val="20"/>
          <w:szCs w:val="20"/>
          <w:lang w:eastAsia="es-CO"/>
        </w:rPr>
        <w:t>»</w:t>
      </w:r>
      <w:r w:rsidRPr="00713B6C">
        <w:rPr>
          <w:rFonts w:ascii="Arial" w:hAnsi="Arial" w:cs="Arial"/>
          <w:color w:val="000000" w:themeColor="text1"/>
          <w:sz w:val="20"/>
          <w:szCs w:val="20"/>
        </w:rPr>
        <w:t>.</w:t>
      </w:r>
    </w:p>
    <w:p w14:paraId="08412229" w14:textId="28F7EF69" w:rsidR="005873AF" w:rsidRPr="00713B6C" w:rsidRDefault="005873AF" w:rsidP="00713B6C">
      <w:pPr>
        <w:jc w:val="both"/>
        <w:rPr>
          <w:rFonts w:ascii="Arial" w:hAnsi="Arial" w:cs="Arial"/>
          <w:color w:val="000000" w:themeColor="text1"/>
          <w:sz w:val="20"/>
          <w:szCs w:val="20"/>
        </w:rPr>
      </w:pPr>
      <w:r w:rsidRPr="00713B6C">
        <w:rPr>
          <w:rFonts w:ascii="Arial" w:hAnsi="Arial" w:cs="Arial"/>
          <w:color w:val="000000" w:themeColor="text1"/>
          <w:sz w:val="20"/>
          <w:szCs w:val="20"/>
        </w:rPr>
        <w:t xml:space="preserve"> </w:t>
      </w:r>
    </w:p>
    <w:p w14:paraId="67AD0F8F" w14:textId="25919427" w:rsidR="005873AF" w:rsidRPr="00713B6C" w:rsidRDefault="005873AF" w:rsidP="00713B6C">
      <w:pPr>
        <w:jc w:val="both"/>
        <w:rPr>
          <w:rFonts w:ascii="Arial" w:hAnsi="Arial" w:cs="Arial"/>
          <w:color w:val="000000" w:themeColor="text1"/>
          <w:sz w:val="20"/>
          <w:szCs w:val="20"/>
        </w:rPr>
      </w:pPr>
      <w:r w:rsidRPr="00713B6C">
        <w:rPr>
          <w:rFonts w:ascii="Arial" w:hAnsi="Arial" w:cs="Arial"/>
          <w:color w:val="000000" w:themeColor="text1"/>
          <w:sz w:val="20"/>
          <w:szCs w:val="20"/>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y cumpliendo con la normatividad vigente en materia de contratación estatal, para lo cual se tendrá en cuenta lo siguiente: en primer lugar, la entidad territorial contratará prioritariamente con las Empresas Sociales del Estado ubicadas en el territorio (incluye las IPS indígenas), las acciones del PIC para las cuales tenga capacidad técnica y operativa. En segundo lugar, cuando la IPS pública ubicada en el territorio no esté en capacidad de ejecutar algunas acciones del PIC, la entidad territorial podrá contratarlas con Empresas Sociales del Estado de municipios vecinos. Del mismo modo, podrá contratarlas cuando por su ubicación geográfica, estas IPS estén en mejor capacidad de garantizar el acceso de la población a dichas intervenciones. En tercer lugar, en el evento de que las IPS públicas no cuenten con la capacidad técnica y operativa, la entidad territorial podrá contratar las acciones del PIC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 </w:t>
      </w:r>
    </w:p>
    <w:p w14:paraId="5D2C2DAD" w14:textId="39C03EE8" w:rsidR="005873AF" w:rsidRPr="00713B6C" w:rsidRDefault="00F56DF8" w:rsidP="00713B6C">
      <w:pPr>
        <w:contextualSpacing/>
        <w:jc w:val="both"/>
        <w:rPr>
          <w:rFonts w:ascii="Arial" w:eastAsia="Calibri" w:hAnsi="Arial" w:cs="Arial"/>
          <w:bCs/>
          <w:color w:val="000000" w:themeColor="text1"/>
          <w:sz w:val="20"/>
          <w:szCs w:val="20"/>
          <w:lang w:eastAsia="en-US"/>
        </w:rPr>
      </w:pPr>
      <w:r w:rsidRPr="00713B6C">
        <w:rPr>
          <w:rFonts w:ascii="Arial" w:eastAsia="Calibri" w:hAnsi="Arial" w:cs="Arial"/>
          <w:bCs/>
          <w:color w:val="000000" w:themeColor="text1"/>
          <w:sz w:val="20"/>
          <w:szCs w:val="20"/>
          <w:lang w:eastAsia="en-US"/>
        </w:rPr>
        <w:t xml:space="preserve">[…] </w:t>
      </w:r>
    </w:p>
    <w:p w14:paraId="1709A921" w14:textId="77777777" w:rsidR="00F56DF8" w:rsidRPr="00713B6C" w:rsidRDefault="00F56DF8" w:rsidP="00713B6C">
      <w:pPr>
        <w:spacing w:after="120"/>
        <w:jc w:val="both"/>
        <w:rPr>
          <w:rFonts w:ascii="Arial" w:hAnsi="Arial" w:cs="Arial"/>
          <w:color w:val="000000" w:themeColor="text1"/>
          <w:sz w:val="20"/>
          <w:szCs w:val="20"/>
        </w:rPr>
      </w:pPr>
      <w:r w:rsidRPr="00713B6C">
        <w:rPr>
          <w:rFonts w:ascii="Arial" w:hAnsi="Arial" w:cs="Arial"/>
          <w:color w:val="000000" w:themeColor="text1"/>
          <w:sz w:val="20"/>
          <w:szCs w:val="20"/>
        </w:rPr>
        <w:t xml:space="preserve">En esa misma línea, el artículo 15 de la Resolución 518 de 2015 establece que para la contratación de las acciones del PIC, la entidad territorial debe verificar que la institución a contratar cumpla con los siguientes criterios: i) tener mínimo dos (2) años de experiencia relacionada con la ejecución de las acciones que se pretendan contratar; ii) disponer de un coordinador para la ejecución de las acciones del PIC que se pretenda contratar, respecto del cual se debe acreditar que cuenta con el perfil establecido por la entidad territorial; </w:t>
      </w:r>
      <w:proofErr w:type="spellStart"/>
      <w:r w:rsidRPr="00713B6C">
        <w:rPr>
          <w:rFonts w:ascii="Arial" w:hAnsi="Arial" w:cs="Arial"/>
          <w:color w:val="000000" w:themeColor="text1"/>
          <w:sz w:val="20"/>
          <w:szCs w:val="20"/>
        </w:rPr>
        <w:t>iii</w:t>
      </w:r>
      <w:proofErr w:type="spellEnd"/>
      <w:r w:rsidRPr="00713B6C">
        <w:rPr>
          <w:rFonts w:ascii="Arial" w:hAnsi="Arial" w:cs="Arial"/>
          <w:color w:val="000000" w:themeColor="text1"/>
          <w:sz w:val="20"/>
          <w:szCs w:val="20"/>
        </w:rPr>
        <w:t xml:space="preserve">) tener una evaluación satisfactoria en la ejecución técnica y financiera del último contrato suscrito con una entidad territorial; la evaluación deberá estar soportada y documentada frente a los lineamientos técnicos pactados; y iv) deberá cumplirse con lo establecido por el Sistema Único de Habilitación, cuando la acción del PIC a contratar lo requiera –manejo de biológicos, medicamentos, dispositivos, tamizajes o insumos médicos–. </w:t>
      </w:r>
    </w:p>
    <w:p w14:paraId="213A2A29" w14:textId="45C5865E" w:rsidR="00AB5DF8" w:rsidRPr="005873AF" w:rsidRDefault="00AB5DF8" w:rsidP="002652C1">
      <w:pPr>
        <w:jc w:val="both"/>
        <w:rPr>
          <w:rFonts w:ascii="Arial" w:eastAsia="Arial" w:hAnsi="Arial" w:cs="Arial"/>
          <w:color w:val="000000" w:themeColor="text1"/>
          <w:sz w:val="20"/>
          <w:szCs w:val="20"/>
          <w:lang w:val="es-ES" w:eastAsia="es-ES" w:bidi="es-ES"/>
        </w:rPr>
      </w:pPr>
    </w:p>
    <w:p w14:paraId="137EF084" w14:textId="77777777" w:rsidR="00AB5DF8" w:rsidRPr="005873AF" w:rsidRDefault="00AB5DF8" w:rsidP="002652C1">
      <w:pPr>
        <w:tabs>
          <w:tab w:val="left" w:pos="426"/>
        </w:tabs>
        <w:jc w:val="both"/>
        <w:rPr>
          <w:rFonts w:ascii="Arial" w:eastAsia="Calibri" w:hAnsi="Arial" w:cs="Arial"/>
          <w:b/>
          <w:bCs/>
          <w:color w:val="000000" w:themeColor="text1"/>
          <w:sz w:val="22"/>
          <w:szCs w:val="22"/>
          <w:lang w:val="es-MX" w:eastAsia="en-US"/>
        </w:rPr>
      </w:pPr>
      <w:bookmarkStart w:id="3" w:name="_Hlk77165666"/>
      <w:r w:rsidRPr="005873AF">
        <w:rPr>
          <w:rFonts w:ascii="Arial" w:eastAsia="Calibri" w:hAnsi="Arial" w:cs="Arial"/>
          <w:b/>
          <w:bCs/>
          <w:color w:val="000000" w:themeColor="text1"/>
          <w:sz w:val="22"/>
          <w:szCs w:val="22"/>
          <w:lang w:val="es-MX" w:eastAsia="en-US"/>
        </w:rPr>
        <w:t xml:space="preserve">LEY DE GARANTÍAS ELECTORALES ─ Prohibición artículo 33 ‒ </w:t>
      </w:r>
      <w:bookmarkEnd w:id="3"/>
      <w:r w:rsidRPr="005873AF">
        <w:rPr>
          <w:rFonts w:ascii="Arial" w:eastAsia="Calibri" w:hAnsi="Arial" w:cs="Arial"/>
          <w:b/>
          <w:bCs/>
          <w:color w:val="000000" w:themeColor="text1"/>
          <w:sz w:val="22"/>
          <w:szCs w:val="22"/>
          <w:lang w:val="es-MX" w:eastAsia="en-US"/>
        </w:rPr>
        <w:t xml:space="preserve">Contratación directa ‒ Alcance </w:t>
      </w:r>
    </w:p>
    <w:p w14:paraId="07DDB2B3" w14:textId="77777777" w:rsidR="00AB5DF8" w:rsidRPr="005873AF" w:rsidRDefault="00AB5DF8" w:rsidP="002652C1">
      <w:pPr>
        <w:tabs>
          <w:tab w:val="left" w:pos="426"/>
        </w:tabs>
        <w:jc w:val="both"/>
        <w:rPr>
          <w:rFonts w:ascii="Arial" w:eastAsia="Calibri" w:hAnsi="Arial" w:cs="Arial"/>
          <w:noProof/>
          <w:color w:val="000000" w:themeColor="text1"/>
          <w:sz w:val="20"/>
          <w:szCs w:val="20"/>
          <w:lang w:val="es-MX" w:eastAsia="en-US"/>
        </w:rPr>
      </w:pPr>
    </w:p>
    <w:p w14:paraId="0340FA94" w14:textId="0AAF8DC7" w:rsidR="00FB24E3" w:rsidRDefault="00AB5DF8" w:rsidP="00FB24E3">
      <w:pPr>
        <w:ind w:right="49"/>
        <w:jc w:val="both"/>
        <w:rPr>
          <w:rFonts w:ascii="Arial" w:hAnsi="Arial" w:cs="Arial"/>
          <w:color w:val="000000" w:themeColor="text1"/>
          <w:sz w:val="20"/>
          <w:szCs w:val="20"/>
          <w:lang w:eastAsia="x-none"/>
        </w:rPr>
      </w:pPr>
      <w:r w:rsidRPr="00713B6C">
        <w:rPr>
          <w:rFonts w:ascii="Arial" w:eastAsia="Calibri" w:hAnsi="Arial" w:cs="Arial"/>
          <w:noProof/>
          <w:color w:val="000000" w:themeColor="text1"/>
          <w:sz w:val="20"/>
          <w:szCs w:val="20"/>
          <w:lang w:val="es-MX" w:eastAsia="en-US"/>
        </w:rPr>
        <w:t xml:space="preserve">[…] </w:t>
      </w:r>
      <w:bookmarkEnd w:id="2"/>
      <w:r w:rsidR="00FB24E3" w:rsidRPr="00FB24E3">
        <w:rPr>
          <w:rFonts w:ascii="Arial" w:hAnsi="Arial" w:cs="Arial"/>
          <w:color w:val="000000" w:themeColor="text1"/>
          <w:sz w:val="20"/>
          <w:szCs w:val="20"/>
          <w:lang w:eastAsia="x-none"/>
        </w:rPr>
        <w:t xml:space="preserve">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w:t>
      </w:r>
      <w:r w:rsidR="00FB24E3" w:rsidRPr="00FB24E3">
        <w:rPr>
          <w:rFonts w:ascii="Arial" w:hAnsi="Arial" w:cs="Arial"/>
          <w:color w:val="000000" w:themeColor="text1"/>
          <w:sz w:val="20"/>
          <w:szCs w:val="20"/>
          <w:lang w:eastAsia="x-none"/>
        </w:rPr>
        <w:lastRenderedPageBreak/>
        <w:t xml:space="preserve">convocatoria pública en alguna de sus etapas, ni permita la participación de una pluralidad de oferentes. </w:t>
      </w:r>
    </w:p>
    <w:p w14:paraId="30D92C31" w14:textId="77777777" w:rsidR="00594EC1" w:rsidRPr="00FB24E3" w:rsidRDefault="00594EC1" w:rsidP="00FB24E3">
      <w:pPr>
        <w:ind w:right="49"/>
        <w:jc w:val="both"/>
        <w:rPr>
          <w:rFonts w:ascii="Arial" w:hAnsi="Arial" w:cs="Arial"/>
          <w:color w:val="000000" w:themeColor="text1"/>
          <w:sz w:val="20"/>
          <w:szCs w:val="20"/>
          <w:lang w:eastAsia="x-none"/>
        </w:rPr>
      </w:pPr>
    </w:p>
    <w:p w14:paraId="6662A6AF" w14:textId="03B33AB7" w:rsidR="00A1108C" w:rsidRDefault="00FB24E3" w:rsidP="00FB24E3">
      <w:pPr>
        <w:ind w:right="49"/>
        <w:jc w:val="both"/>
        <w:rPr>
          <w:rFonts w:ascii="Arial" w:hAnsi="Arial" w:cs="Arial"/>
          <w:color w:val="000000" w:themeColor="text1"/>
          <w:sz w:val="20"/>
          <w:szCs w:val="20"/>
          <w:lang w:eastAsia="x-none"/>
        </w:rPr>
      </w:pPr>
      <w:r w:rsidRPr="00FB24E3">
        <w:rPr>
          <w:rFonts w:ascii="Arial" w:hAnsi="Arial" w:cs="Arial"/>
          <w:color w:val="000000" w:themeColor="text1"/>
          <w:sz w:val="20"/>
          <w:szCs w:val="20"/>
          <w:lang w:eastAsia="x-none"/>
        </w:rPr>
        <w:t>De lo anterior se desprende que la restricción aplica, sin perjuicio de las excepciones establecidas en la misma ley, para celebrar cualquier contrato de forma directa, esto es, sin que exista un proceso abierto y competitivo, durante la etapa prelectoral de las elecciones presidenciales.</w:t>
      </w:r>
    </w:p>
    <w:p w14:paraId="0DE02453" w14:textId="77777777" w:rsidR="00FB24E3" w:rsidRPr="005873AF" w:rsidRDefault="00FB24E3" w:rsidP="00FB24E3">
      <w:pPr>
        <w:ind w:right="49"/>
        <w:jc w:val="both"/>
        <w:rPr>
          <w:rFonts w:ascii="Arial" w:eastAsia="Arial" w:hAnsi="Arial" w:cs="Arial"/>
          <w:bCs/>
          <w:color w:val="000000" w:themeColor="text1"/>
          <w:sz w:val="22"/>
          <w:szCs w:val="22"/>
        </w:rPr>
      </w:pPr>
    </w:p>
    <w:p w14:paraId="532BB815" w14:textId="6C340F0F" w:rsidR="00A1108C" w:rsidRPr="005873AF" w:rsidRDefault="00A1108C" w:rsidP="000340B3">
      <w:pPr>
        <w:jc w:val="both"/>
        <w:rPr>
          <w:rFonts w:ascii="Arial" w:eastAsia="Arial" w:hAnsi="Arial" w:cs="Arial"/>
          <w:b/>
          <w:bCs/>
          <w:color w:val="000000" w:themeColor="text1"/>
          <w:sz w:val="22"/>
          <w:szCs w:val="22"/>
        </w:rPr>
      </w:pPr>
      <w:r w:rsidRPr="005873AF">
        <w:rPr>
          <w:rFonts w:ascii="Arial" w:eastAsia="Arial" w:hAnsi="Arial" w:cs="Arial"/>
          <w:b/>
          <w:bCs/>
          <w:color w:val="000000" w:themeColor="text1"/>
          <w:sz w:val="22"/>
          <w:szCs w:val="22"/>
        </w:rPr>
        <w:t>LEY DE GARANTÍ</w:t>
      </w:r>
      <w:r w:rsidR="00C02EBD">
        <w:rPr>
          <w:rFonts w:ascii="Arial" w:eastAsia="Arial" w:hAnsi="Arial" w:cs="Arial"/>
          <w:b/>
          <w:bCs/>
          <w:color w:val="000000" w:themeColor="text1"/>
          <w:sz w:val="22"/>
          <w:szCs w:val="22"/>
        </w:rPr>
        <w:t>AS ELECTORALES – Excepciones – A</w:t>
      </w:r>
      <w:r w:rsidRPr="005873AF">
        <w:rPr>
          <w:rFonts w:ascii="Arial" w:eastAsia="Arial" w:hAnsi="Arial" w:cs="Arial"/>
          <w:b/>
          <w:bCs/>
          <w:color w:val="000000" w:themeColor="text1"/>
          <w:sz w:val="22"/>
          <w:szCs w:val="22"/>
        </w:rPr>
        <w:t xml:space="preserve">rtículo 33 </w:t>
      </w:r>
    </w:p>
    <w:p w14:paraId="57F71A07" w14:textId="77777777" w:rsidR="00A1108C" w:rsidRPr="005873AF" w:rsidRDefault="00A1108C" w:rsidP="000340B3">
      <w:pPr>
        <w:jc w:val="both"/>
        <w:rPr>
          <w:rFonts w:ascii="Arial" w:eastAsia="Arial" w:hAnsi="Arial" w:cs="Arial"/>
          <w:bCs/>
          <w:color w:val="000000" w:themeColor="text1"/>
          <w:sz w:val="20"/>
          <w:szCs w:val="20"/>
        </w:rPr>
      </w:pPr>
    </w:p>
    <w:p w14:paraId="709D0F8E" w14:textId="7485AE3C" w:rsidR="007954AF" w:rsidRDefault="00713B6C" w:rsidP="00713B6C">
      <w:pPr>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 </w:t>
      </w:r>
      <w:r w:rsidR="007954AF" w:rsidRPr="00713B6C">
        <w:rPr>
          <w:rFonts w:ascii="Arial" w:eastAsia="Arial" w:hAnsi="Arial" w:cs="Arial"/>
          <w:color w:val="000000" w:themeColor="text1"/>
          <w:sz w:val="20"/>
          <w:szCs w:val="20"/>
        </w:rPr>
        <w:t>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3924449" w14:textId="77777777" w:rsidR="00713B6C" w:rsidRDefault="00713B6C" w:rsidP="00713B6C">
      <w:pPr>
        <w:jc w:val="both"/>
        <w:rPr>
          <w:rFonts w:ascii="Arial" w:eastAsia="Arial" w:hAnsi="Arial" w:cs="Arial"/>
          <w:bCs/>
          <w:color w:val="000000" w:themeColor="text1"/>
          <w:sz w:val="20"/>
          <w:szCs w:val="20"/>
        </w:rPr>
      </w:pPr>
    </w:p>
    <w:p w14:paraId="546AA848" w14:textId="369B6C30" w:rsidR="007954AF" w:rsidRDefault="007954AF" w:rsidP="00713B6C">
      <w:pPr>
        <w:jc w:val="both"/>
        <w:rPr>
          <w:rFonts w:ascii="Arial" w:hAnsi="Arial" w:cs="Arial"/>
          <w:bCs/>
          <w:color w:val="000000" w:themeColor="text1"/>
          <w:sz w:val="20"/>
          <w:szCs w:val="20"/>
          <w:lang w:val="es-ES_tradnl"/>
        </w:rPr>
      </w:pPr>
      <w:r w:rsidRPr="00713B6C">
        <w:rPr>
          <w:rFonts w:ascii="Arial" w:eastAsia="Arial" w:hAnsi="Arial" w:cs="Arial"/>
          <w:bCs/>
          <w:color w:val="000000" w:themeColor="text1"/>
          <w:sz w:val="20"/>
          <w:szCs w:val="20"/>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713B6C">
        <w:rPr>
          <w:rFonts w:ascii="Arial" w:hAnsi="Arial" w:cs="Arial"/>
          <w:bCs/>
          <w:color w:val="000000" w:themeColor="text1"/>
          <w:sz w:val="20"/>
          <w:szCs w:val="20"/>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66F02EE6" w14:textId="77777777" w:rsidR="00594EC1" w:rsidRPr="00713B6C" w:rsidRDefault="00594EC1" w:rsidP="00713B6C">
      <w:pPr>
        <w:jc w:val="both"/>
        <w:rPr>
          <w:rFonts w:ascii="Arial" w:hAnsi="Arial" w:cs="Arial"/>
          <w:bCs/>
          <w:color w:val="000000" w:themeColor="text1"/>
          <w:sz w:val="20"/>
          <w:szCs w:val="20"/>
          <w:lang w:val="es-ES_tradnl"/>
        </w:rPr>
      </w:pPr>
    </w:p>
    <w:p w14:paraId="1AC6A900"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 La contratación referente a la defensa y seguridad del Estado;</w:t>
      </w:r>
    </w:p>
    <w:p w14:paraId="524E2C7B"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ii) Los contratos de crédito público;</w:t>
      </w:r>
    </w:p>
    <w:p w14:paraId="1C0D4F77"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r>
      <w:proofErr w:type="spellStart"/>
      <w:r w:rsidRPr="00713B6C">
        <w:rPr>
          <w:rFonts w:ascii="Arial" w:hAnsi="Arial" w:cs="Arial"/>
          <w:bCs/>
          <w:color w:val="000000" w:themeColor="text1"/>
          <w:sz w:val="20"/>
          <w:szCs w:val="20"/>
          <w:lang w:val="es-ES_tradnl"/>
        </w:rPr>
        <w:t>iii</w:t>
      </w:r>
      <w:proofErr w:type="spellEnd"/>
      <w:r w:rsidRPr="00713B6C">
        <w:rPr>
          <w:rFonts w:ascii="Arial" w:hAnsi="Arial" w:cs="Arial"/>
          <w:bCs/>
          <w:color w:val="000000" w:themeColor="text1"/>
          <w:sz w:val="20"/>
          <w:szCs w:val="20"/>
          <w:lang w:val="es-ES_tradnl"/>
        </w:rPr>
        <w:t xml:space="preserve">) Los contratos requeridos para cubrir las emergencias educativas, sanitarias y desastres; </w:t>
      </w:r>
    </w:p>
    <w:p w14:paraId="45AE4778"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49F8AC1F"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 xml:space="preserve">v) La contratación que deban realizar las entidades sanitarias y hospitalarias. </w:t>
      </w:r>
    </w:p>
    <w:p w14:paraId="09B8E758" w14:textId="77777777" w:rsidR="00C128B2" w:rsidRPr="005873AF" w:rsidRDefault="00C128B2" w:rsidP="003E718C">
      <w:pPr>
        <w:rPr>
          <w:rFonts w:ascii="Arial" w:hAnsi="Arial" w:cs="Arial"/>
          <w:color w:val="000000" w:themeColor="text1"/>
          <w:sz w:val="20"/>
          <w:szCs w:val="20"/>
          <w:lang w:val="es-ES_tradnl"/>
        </w:rPr>
      </w:pPr>
    </w:p>
    <w:p w14:paraId="4A290EFD" w14:textId="48A88CDD" w:rsidR="00C128B2" w:rsidRPr="00B76A79" w:rsidRDefault="003E718C" w:rsidP="000340B3">
      <w:pPr>
        <w:jc w:val="both"/>
        <w:rPr>
          <w:rFonts w:ascii="Arial" w:hAnsi="Arial" w:cs="Arial"/>
          <w:b/>
          <w:color w:val="000000" w:themeColor="text1"/>
          <w:sz w:val="22"/>
          <w:szCs w:val="22"/>
        </w:rPr>
      </w:pPr>
      <w:r w:rsidRPr="00B76A79">
        <w:rPr>
          <w:rFonts w:ascii="Arial" w:hAnsi="Arial" w:cs="Arial"/>
          <w:b/>
          <w:color w:val="000000" w:themeColor="text1"/>
          <w:sz w:val="22"/>
          <w:szCs w:val="22"/>
        </w:rPr>
        <w:t xml:space="preserve">LEY DE GARANTÍAS ELECTORALES – Excepciones – </w:t>
      </w:r>
      <w:r w:rsidR="00F56DF8" w:rsidRPr="00B76A79">
        <w:rPr>
          <w:rFonts w:ascii="Arial" w:hAnsi="Arial" w:cs="Arial"/>
          <w:b/>
          <w:color w:val="000000" w:themeColor="text1"/>
          <w:sz w:val="22"/>
          <w:szCs w:val="22"/>
        </w:rPr>
        <w:t xml:space="preserve">Destinatarios - </w:t>
      </w:r>
      <w:r w:rsidRPr="00B76A79">
        <w:rPr>
          <w:rFonts w:ascii="Arial" w:hAnsi="Arial" w:cs="Arial"/>
          <w:b/>
          <w:color w:val="000000" w:themeColor="text1"/>
          <w:sz w:val="22"/>
          <w:szCs w:val="22"/>
        </w:rPr>
        <w:t>Entidades sanitarias y hospitalarias</w:t>
      </w:r>
    </w:p>
    <w:p w14:paraId="7B4395D4" w14:textId="1D16123F" w:rsidR="003E718C" w:rsidRPr="00B76A79" w:rsidRDefault="003E718C" w:rsidP="000340B3">
      <w:pPr>
        <w:rPr>
          <w:rFonts w:ascii="Arial" w:hAnsi="Arial" w:cs="Arial"/>
          <w:color w:val="000000" w:themeColor="text1"/>
          <w:sz w:val="20"/>
          <w:szCs w:val="20"/>
        </w:rPr>
      </w:pPr>
    </w:p>
    <w:p w14:paraId="5C16DC0B" w14:textId="52A277FB" w:rsidR="00F56DF8" w:rsidRPr="00FB24E3" w:rsidRDefault="00F56DF8" w:rsidP="00713B6C">
      <w:pPr>
        <w:tabs>
          <w:tab w:val="left" w:pos="426"/>
        </w:tabs>
        <w:jc w:val="both"/>
        <w:rPr>
          <w:rFonts w:ascii="Arial" w:hAnsi="Arial" w:cs="Arial"/>
          <w:bCs/>
          <w:color w:val="000000" w:themeColor="text1"/>
          <w:sz w:val="20"/>
          <w:szCs w:val="20"/>
          <w:lang w:val="es-ES_tradnl"/>
        </w:rPr>
      </w:pPr>
      <w:r w:rsidRPr="00FB24E3">
        <w:rPr>
          <w:rFonts w:ascii="Arial" w:hAnsi="Arial" w:cs="Arial"/>
          <w:bCs/>
          <w:color w:val="000000" w:themeColor="text1"/>
          <w:sz w:val="20"/>
          <w:szCs w:val="20"/>
        </w:rPr>
        <w:t xml:space="preserve">[…] </w:t>
      </w:r>
      <w:r w:rsidRPr="00FB24E3">
        <w:rPr>
          <w:rFonts w:ascii="Arial" w:hAnsi="Arial" w:cs="Arial"/>
          <w:bCs/>
          <w:color w:val="000000" w:themeColor="text1"/>
          <w:sz w:val="20"/>
          <w:szCs w:val="20"/>
          <w:lang w:val="es-ES_tradnl"/>
        </w:rPr>
        <w:t xml:space="preserve">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3DE1B4DF" w14:textId="77777777" w:rsidR="00F56DF8" w:rsidRPr="00FB24E3" w:rsidRDefault="00F56DF8" w:rsidP="00713B6C">
      <w:pPr>
        <w:tabs>
          <w:tab w:val="left" w:pos="426"/>
        </w:tabs>
        <w:jc w:val="both"/>
        <w:rPr>
          <w:rFonts w:ascii="Arial" w:hAnsi="Arial" w:cs="Arial"/>
          <w:bCs/>
          <w:color w:val="000000" w:themeColor="text1"/>
          <w:sz w:val="20"/>
          <w:szCs w:val="20"/>
          <w:lang w:val="es-ES_tradnl"/>
        </w:rPr>
      </w:pPr>
    </w:p>
    <w:p w14:paraId="60AA84CD" w14:textId="706F3423" w:rsidR="00F56DF8" w:rsidRDefault="00F56DF8" w:rsidP="00713B6C">
      <w:pPr>
        <w:tabs>
          <w:tab w:val="left" w:pos="426"/>
        </w:tabs>
        <w:jc w:val="both"/>
        <w:rPr>
          <w:rFonts w:ascii="Arial" w:eastAsia="Arial" w:hAnsi="Arial" w:cs="Arial"/>
          <w:bCs/>
          <w:color w:val="000000" w:themeColor="text1"/>
          <w:sz w:val="20"/>
          <w:szCs w:val="20"/>
          <w:lang w:val="es-ES_tradnl"/>
        </w:rPr>
      </w:pPr>
      <w:r w:rsidRPr="00FB24E3">
        <w:rPr>
          <w:rFonts w:ascii="Arial" w:eastAsia="Arial" w:hAnsi="Arial" w:cs="Arial"/>
          <w:bCs/>
          <w:color w:val="000000" w:themeColor="text1"/>
          <w:sz w:val="20"/>
          <w:szCs w:val="20"/>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w:t>
      </w:r>
      <w:r w:rsidRPr="00FB24E3">
        <w:rPr>
          <w:rFonts w:ascii="Arial" w:eastAsia="Arial" w:hAnsi="Arial" w:cs="Arial"/>
          <w:bCs/>
          <w:i/>
          <w:iCs/>
          <w:color w:val="000000" w:themeColor="text1"/>
          <w:sz w:val="20"/>
          <w:szCs w:val="20"/>
        </w:rPr>
        <w:t>entidades sanitarias</w:t>
      </w:r>
      <w:r w:rsidRPr="00FB24E3">
        <w:rPr>
          <w:rFonts w:ascii="Arial" w:eastAsia="Arial" w:hAnsi="Arial" w:cs="Arial"/>
          <w:bCs/>
          <w:color w:val="000000" w:themeColor="text1"/>
          <w:sz w:val="20"/>
          <w:szCs w:val="20"/>
        </w:rPr>
        <w:t xml:space="preserve"> como «Entidades del Estado que prestan servicios sanitarios o de sanidad con el propósito de preservar la salud humana y la salud pública». Así mismo, el artículo citado también define las </w:t>
      </w:r>
      <w:r w:rsidRPr="00FB24E3">
        <w:rPr>
          <w:rFonts w:ascii="Arial" w:eastAsia="Arial" w:hAnsi="Arial" w:cs="Arial"/>
          <w:bCs/>
          <w:i/>
          <w:iCs/>
          <w:color w:val="000000" w:themeColor="text1"/>
          <w:sz w:val="20"/>
          <w:szCs w:val="20"/>
        </w:rPr>
        <w:t>autoridades sanitarias</w:t>
      </w:r>
      <w:r w:rsidRPr="00FB24E3">
        <w:rPr>
          <w:rFonts w:ascii="Arial" w:eastAsia="Arial" w:hAnsi="Arial" w:cs="Arial"/>
          <w:bCs/>
          <w:color w:val="000000" w:themeColor="text1"/>
          <w:sz w:val="20"/>
          <w:szCs w:val="20"/>
        </w:rPr>
        <w:t xml:space="preserve"> como «Entidades jurídicas de carácter público con atribuciones para ejercer funciones de rectoría, regulación, inspección, vigilancia y control de los sectores público y </w:t>
      </w:r>
      <w:r w:rsidRPr="00FB24E3">
        <w:rPr>
          <w:rFonts w:ascii="Arial" w:eastAsia="Arial" w:hAnsi="Arial" w:cs="Arial"/>
          <w:bCs/>
          <w:color w:val="000000" w:themeColor="text1"/>
          <w:sz w:val="20"/>
          <w:szCs w:val="20"/>
        </w:rPr>
        <w:lastRenderedPageBreak/>
        <w:t xml:space="preserve">privado en salud y adoptar medidas de prevención y seguimiento que garanticen la protección de la salud pública». Sin embargo, es necesario tener en cuenta que la excepción del artículo 33 de la Ley de Garantías solo aplica a las </w:t>
      </w:r>
      <w:r w:rsidRPr="00FB24E3">
        <w:rPr>
          <w:rFonts w:ascii="Arial" w:eastAsia="Arial" w:hAnsi="Arial" w:cs="Arial"/>
          <w:bCs/>
          <w:i/>
          <w:iCs/>
          <w:color w:val="000000" w:themeColor="text1"/>
          <w:sz w:val="20"/>
          <w:szCs w:val="20"/>
        </w:rPr>
        <w:t>entidades sanitarias</w:t>
      </w:r>
      <w:r w:rsidRPr="00FB24E3">
        <w:rPr>
          <w:rFonts w:ascii="Arial" w:eastAsia="Arial" w:hAnsi="Arial" w:cs="Arial"/>
          <w:bCs/>
          <w:color w:val="000000" w:themeColor="text1"/>
          <w:sz w:val="20"/>
          <w:szCs w:val="20"/>
        </w:rPr>
        <w:t xml:space="preserve">, no a las </w:t>
      </w:r>
      <w:r w:rsidRPr="00FB24E3">
        <w:rPr>
          <w:rFonts w:ascii="Arial" w:eastAsia="Arial" w:hAnsi="Arial" w:cs="Arial"/>
          <w:bCs/>
          <w:i/>
          <w:iCs/>
          <w:color w:val="000000" w:themeColor="text1"/>
          <w:sz w:val="20"/>
          <w:szCs w:val="20"/>
        </w:rPr>
        <w:t>autoridades sanitarias</w:t>
      </w:r>
      <w:r w:rsidRPr="00FB24E3">
        <w:rPr>
          <w:rFonts w:ascii="Arial" w:eastAsia="Arial" w:hAnsi="Arial" w:cs="Arial"/>
          <w:bCs/>
          <w:color w:val="000000" w:themeColor="text1"/>
          <w:sz w:val="20"/>
          <w:szCs w:val="20"/>
        </w:rPr>
        <w:t xml:space="preserve">. </w:t>
      </w:r>
      <w:r w:rsidRPr="00FB24E3">
        <w:rPr>
          <w:rFonts w:ascii="Arial" w:eastAsia="Arial" w:hAnsi="Arial" w:cs="Arial"/>
          <w:bCs/>
          <w:color w:val="000000" w:themeColor="text1"/>
          <w:sz w:val="20"/>
          <w:szCs w:val="20"/>
          <w:lang w:val="es-ES_tradnl"/>
        </w:rPr>
        <w:t xml:space="preserve">Así las cosas, para efectos de la excepción del artículo 33 es indiferente que la entidad estatal tenga funciones de </w:t>
      </w:r>
      <w:r w:rsidRPr="00FB24E3">
        <w:rPr>
          <w:rFonts w:ascii="Arial" w:eastAsia="Arial" w:hAnsi="Arial" w:cs="Arial"/>
          <w:bCs/>
          <w:i/>
          <w:iCs/>
          <w:color w:val="000000" w:themeColor="text1"/>
          <w:sz w:val="20"/>
          <w:szCs w:val="20"/>
          <w:lang w:val="es-ES_tradnl"/>
        </w:rPr>
        <w:t>autoridad sanitaria</w:t>
      </w:r>
      <w:r w:rsidRPr="00FB24E3">
        <w:rPr>
          <w:rFonts w:ascii="Arial" w:eastAsia="Arial" w:hAnsi="Arial" w:cs="Arial"/>
          <w:bCs/>
          <w:color w:val="000000" w:themeColor="text1"/>
          <w:sz w:val="20"/>
          <w:szCs w:val="20"/>
          <w:lang w:val="es-ES_tradnl"/>
        </w:rPr>
        <w:t xml:space="preserve">, pues lo relevante para determinar si la contratación está exceptuada de la prohibición general no es el carácter de autoridad sanitaria, sino que se trate de una </w:t>
      </w:r>
      <w:r w:rsidRPr="00FB24E3">
        <w:rPr>
          <w:rFonts w:ascii="Arial" w:eastAsia="Arial" w:hAnsi="Arial" w:cs="Arial"/>
          <w:bCs/>
          <w:i/>
          <w:iCs/>
          <w:color w:val="000000" w:themeColor="text1"/>
          <w:sz w:val="20"/>
          <w:szCs w:val="20"/>
          <w:lang w:val="es-ES_tradnl"/>
        </w:rPr>
        <w:t>entidad sanitaria</w:t>
      </w:r>
      <w:r w:rsidRPr="00FB24E3">
        <w:rPr>
          <w:rFonts w:ascii="Arial" w:eastAsia="Arial" w:hAnsi="Arial" w:cs="Arial"/>
          <w:bCs/>
          <w:color w:val="000000" w:themeColor="text1"/>
          <w:sz w:val="20"/>
          <w:szCs w:val="20"/>
          <w:lang w:val="es-ES_tradnl"/>
        </w:rPr>
        <w:t>.</w:t>
      </w:r>
      <w:r w:rsidRPr="00713B6C">
        <w:rPr>
          <w:rFonts w:ascii="Arial" w:eastAsia="Arial" w:hAnsi="Arial" w:cs="Arial"/>
          <w:bCs/>
          <w:color w:val="000000" w:themeColor="text1"/>
          <w:sz w:val="20"/>
          <w:szCs w:val="20"/>
          <w:lang w:val="es-ES_tradnl"/>
        </w:rPr>
        <w:t xml:space="preserve"> </w:t>
      </w:r>
    </w:p>
    <w:p w14:paraId="75300611" w14:textId="5BF92D2A" w:rsidR="00FB24E3" w:rsidRDefault="00FB24E3" w:rsidP="00713B6C">
      <w:pPr>
        <w:tabs>
          <w:tab w:val="left" w:pos="426"/>
        </w:tabs>
        <w:jc w:val="both"/>
        <w:rPr>
          <w:rFonts w:ascii="Arial" w:eastAsia="Arial" w:hAnsi="Arial" w:cs="Arial"/>
          <w:bCs/>
          <w:color w:val="000000" w:themeColor="text1"/>
          <w:sz w:val="20"/>
          <w:szCs w:val="20"/>
          <w:lang w:val="es-ES_tradnl"/>
        </w:rPr>
      </w:pPr>
    </w:p>
    <w:p w14:paraId="0146910F" w14:textId="183DFEC5" w:rsidR="00FB24E3" w:rsidRPr="00FB24E3" w:rsidRDefault="00FB24E3" w:rsidP="00FB24E3">
      <w:pPr>
        <w:tabs>
          <w:tab w:val="left" w:pos="426"/>
        </w:tabs>
        <w:jc w:val="both"/>
        <w:rPr>
          <w:rFonts w:ascii="Arial" w:hAnsi="Arial" w:cs="Arial"/>
          <w:bCs/>
          <w:color w:val="000000" w:themeColor="text1"/>
          <w:sz w:val="20"/>
          <w:szCs w:val="20"/>
          <w:lang w:val="es-ES_tradnl"/>
        </w:rPr>
      </w:pPr>
      <w:r>
        <w:rPr>
          <w:rFonts w:ascii="Arial" w:hAnsi="Arial" w:cs="Arial"/>
          <w:bCs/>
          <w:color w:val="000000" w:themeColor="text1"/>
          <w:sz w:val="20"/>
          <w:szCs w:val="20"/>
          <w:lang w:val="es-ES_tradnl"/>
        </w:rPr>
        <w:t xml:space="preserve">[…] </w:t>
      </w:r>
      <w:r w:rsidRPr="00FB24E3">
        <w:rPr>
          <w:rFonts w:ascii="Arial" w:hAnsi="Arial" w:cs="Arial"/>
          <w:bCs/>
          <w:color w:val="000000" w:themeColor="text1"/>
          <w:sz w:val="20"/>
          <w:szCs w:val="20"/>
          <w:lang w:val="es-ES_tradnl"/>
        </w:rPr>
        <w:t>respecto de la prohibición de la celebración de contratos interadministrativos en los cuales se ejecuten recursos públicos, es importante tener en cuenta que la Ley 996 de 2005 no estableció ninguna excepción a la prohibición del artículo 38 para este tipo de contratos, como si lo hizo con la restricción del artículo 33, por lo que se entiende que la prohibición comprende la celebración de contratos interadministrativos de cualquier sector, incluidos los relacionados con el sector de la salud.</w:t>
      </w:r>
    </w:p>
    <w:p w14:paraId="16352EB4" w14:textId="63C99904" w:rsidR="00DE104F" w:rsidRPr="005873AF" w:rsidRDefault="00F56DF8" w:rsidP="00713B6C">
      <w:pPr>
        <w:rPr>
          <w:rFonts w:ascii="Arial" w:hAnsi="Arial" w:cs="Arial"/>
          <w:color w:val="000000" w:themeColor="text1"/>
          <w:sz w:val="22"/>
        </w:rPr>
      </w:pPr>
      <w:r w:rsidRPr="00713B6C" w:rsidDel="00F56DF8">
        <w:rPr>
          <w:rFonts w:ascii="Arial" w:hAnsi="Arial" w:cs="Arial"/>
          <w:bCs/>
          <w:color w:val="000000" w:themeColor="text1"/>
          <w:sz w:val="20"/>
          <w:szCs w:val="20"/>
        </w:rPr>
        <w:t xml:space="preserve"> </w:t>
      </w:r>
    </w:p>
    <w:p w14:paraId="0EED21EF" w14:textId="77777777" w:rsidR="00594EC1" w:rsidRDefault="00594EC1">
      <w:pPr>
        <w:spacing w:after="200" w:line="276" w:lineRule="auto"/>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br w:type="page"/>
      </w:r>
    </w:p>
    <w:p w14:paraId="753ECFAC" w14:textId="7B0F2436" w:rsidR="00E47C87" w:rsidRPr="00E47C87" w:rsidRDefault="00E47C87" w:rsidP="00F05449">
      <w:pPr>
        <w:widowControl w:val="0"/>
        <w:autoSpaceDE w:val="0"/>
        <w:autoSpaceDN w:val="0"/>
        <w:spacing w:before="94"/>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lastRenderedPageBreak/>
        <w:t>CCE-DES-FM-17</w:t>
      </w:r>
    </w:p>
    <w:p w14:paraId="42F1D0CC" w14:textId="1F91F072" w:rsidR="00300726" w:rsidRPr="00F05449" w:rsidRDefault="00300726" w:rsidP="00300726">
      <w:pPr>
        <w:widowControl w:val="0"/>
        <w:autoSpaceDE w:val="0"/>
        <w:autoSpaceDN w:val="0"/>
        <w:rPr>
          <w:rFonts w:ascii="Arial" w:eastAsia="Arial MT" w:hAnsi="Arial MT" w:cs="Arial MT"/>
          <w:bCs/>
          <w:color w:val="000000" w:themeColor="text1"/>
          <w:sz w:val="22"/>
          <w:szCs w:val="22"/>
          <w:lang w:val="es-ES" w:eastAsia="en-US"/>
        </w:rPr>
      </w:pPr>
    </w:p>
    <w:p w14:paraId="3CC1FF42" w14:textId="77777777" w:rsidR="001A3C58" w:rsidRPr="00F05449" w:rsidRDefault="001A3C58" w:rsidP="00300726">
      <w:pPr>
        <w:widowControl w:val="0"/>
        <w:autoSpaceDE w:val="0"/>
        <w:autoSpaceDN w:val="0"/>
        <w:rPr>
          <w:rFonts w:ascii="Arial" w:eastAsia="Arial MT" w:hAnsi="Arial MT" w:cs="Arial MT"/>
          <w:bCs/>
          <w:color w:val="000000" w:themeColor="text1"/>
          <w:sz w:val="22"/>
          <w:szCs w:val="22"/>
          <w:lang w:val="es-ES" w:eastAsia="en-US"/>
        </w:rPr>
      </w:pPr>
    </w:p>
    <w:p w14:paraId="7B09415B" w14:textId="77777777" w:rsidR="0018730F" w:rsidRPr="00F05449" w:rsidRDefault="0018730F" w:rsidP="0018730F">
      <w:pPr>
        <w:rPr>
          <w:rFonts w:ascii="Arial" w:hAnsi="Arial" w:cs="Arial"/>
          <w:bCs/>
          <w:sz w:val="22"/>
        </w:rPr>
      </w:pPr>
    </w:p>
    <w:p w14:paraId="2D1D3B3E" w14:textId="25E956BC" w:rsidR="0018730F" w:rsidRPr="00B86532" w:rsidRDefault="001827E4" w:rsidP="0018730F">
      <w:pPr>
        <w:jc w:val="right"/>
        <w:rPr>
          <w:rFonts w:ascii="Arial" w:hAnsi="Arial" w:cs="Arial"/>
          <w:b/>
          <w:sz w:val="22"/>
        </w:rPr>
      </w:pPr>
      <w:r w:rsidRPr="001827E4">
        <w:rPr>
          <w:rFonts w:ascii="Arial" w:hAnsi="Arial" w:cs="Arial"/>
          <w:b/>
          <w:noProof/>
          <w:sz w:val="22"/>
        </w:rPr>
        <w:drawing>
          <wp:inline distT="0" distB="0" distL="0" distR="0" wp14:anchorId="5719E825" wp14:editId="70B8AB04">
            <wp:extent cx="2453054" cy="860906"/>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9598" cy="866712"/>
                    </a:xfrm>
                    <a:prstGeom prst="rect">
                      <a:avLst/>
                    </a:prstGeom>
                    <a:noFill/>
                    <a:ln>
                      <a:noFill/>
                    </a:ln>
                  </pic:spPr>
                </pic:pic>
              </a:graphicData>
            </a:graphic>
          </wp:inline>
        </w:drawing>
      </w:r>
    </w:p>
    <w:p w14:paraId="557684AD" w14:textId="7CC565B4" w:rsidR="0018730F" w:rsidRPr="00F05449" w:rsidRDefault="0018730F" w:rsidP="0018730F">
      <w:pPr>
        <w:rPr>
          <w:rFonts w:ascii="Arial" w:hAnsi="Arial" w:cs="Arial"/>
          <w:bCs/>
          <w:sz w:val="22"/>
        </w:rPr>
      </w:pPr>
    </w:p>
    <w:p w14:paraId="313F1E48" w14:textId="77777777" w:rsidR="00700BDE" w:rsidRPr="000F7818" w:rsidRDefault="00700BDE" w:rsidP="00B95C30">
      <w:pPr>
        <w:jc w:val="both"/>
        <w:rPr>
          <w:rFonts w:ascii="Arial" w:hAnsi="Arial" w:cs="Arial"/>
          <w:bCs/>
          <w:color w:val="000000" w:themeColor="text1"/>
          <w:sz w:val="22"/>
          <w:szCs w:val="22"/>
        </w:rPr>
      </w:pPr>
    </w:p>
    <w:p w14:paraId="5F5AE9EF" w14:textId="0437188C" w:rsidR="00B95C30" w:rsidRPr="003D1E53" w:rsidRDefault="00BE4FBF" w:rsidP="00B95C30">
      <w:pPr>
        <w:jc w:val="both"/>
        <w:rPr>
          <w:rFonts w:ascii="Arial" w:eastAsia="Calibri" w:hAnsi="Arial" w:cs="Arial"/>
          <w:color w:val="000000" w:themeColor="text1"/>
          <w:sz w:val="22"/>
          <w:szCs w:val="22"/>
        </w:rPr>
      </w:pPr>
      <w:bookmarkStart w:id="4" w:name="_Hlk80951783"/>
      <w:r w:rsidRPr="003D1E53">
        <w:rPr>
          <w:rFonts w:ascii="Arial" w:eastAsia="Calibri" w:hAnsi="Arial" w:cs="Arial"/>
          <w:color w:val="000000" w:themeColor="text1"/>
          <w:sz w:val="22"/>
          <w:szCs w:val="22"/>
        </w:rPr>
        <w:t>Señor</w:t>
      </w:r>
    </w:p>
    <w:p w14:paraId="34BF62D2" w14:textId="755FF8B4" w:rsidR="00A56E1D" w:rsidRPr="003D1E53" w:rsidRDefault="00B80F34"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Juan Carlos Jaramillo Serna</w:t>
      </w:r>
    </w:p>
    <w:p w14:paraId="00327671" w14:textId="7923B020" w:rsidR="003D1E53" w:rsidRPr="005873AF" w:rsidRDefault="00214693" w:rsidP="00B95C30">
      <w:pPr>
        <w:jc w:val="both"/>
        <w:rPr>
          <w:rFonts w:ascii="Arial" w:hAnsi="Arial" w:cs="Arial"/>
          <w:color w:val="000000" w:themeColor="text1"/>
          <w:sz w:val="22"/>
          <w:szCs w:val="22"/>
        </w:rPr>
      </w:pPr>
      <w:r w:rsidRPr="00B86532">
        <w:rPr>
          <w:rFonts w:ascii="Arial" w:hAnsi="Arial" w:cs="Arial"/>
          <w:sz w:val="22"/>
        </w:rPr>
        <w:t>Bogotá D.C.</w:t>
      </w:r>
    </w:p>
    <w:p w14:paraId="6514542E" w14:textId="77777777" w:rsidR="00093B01" w:rsidRPr="005873AF" w:rsidRDefault="00093B01" w:rsidP="00B95C30">
      <w:pPr>
        <w:jc w:val="both"/>
        <w:rPr>
          <w:rFonts w:ascii="Arial" w:eastAsia="Calibri" w:hAnsi="Arial" w:cs="Arial"/>
          <w:color w:val="000000" w:themeColor="text1"/>
          <w:sz w:val="22"/>
          <w:szCs w:val="22"/>
        </w:rPr>
      </w:pPr>
    </w:p>
    <w:p w14:paraId="0942E2A4" w14:textId="77777777" w:rsidR="000254DD" w:rsidRPr="005873AF" w:rsidRDefault="000254DD" w:rsidP="00B95C30">
      <w:pPr>
        <w:jc w:val="both"/>
        <w:rPr>
          <w:rFonts w:ascii="Arial" w:eastAsia="Calibri" w:hAnsi="Arial" w:cs="Arial"/>
          <w:color w:val="000000" w:themeColor="text1"/>
          <w:sz w:val="22"/>
          <w:szCs w:val="22"/>
        </w:rPr>
      </w:pPr>
    </w:p>
    <w:p w14:paraId="12E66182" w14:textId="6928B289" w:rsidR="00B95C30" w:rsidRPr="00632B7C" w:rsidRDefault="00A70C4A" w:rsidP="00F05449">
      <w:pPr>
        <w:rPr>
          <w:rFonts w:ascii="Arial" w:eastAsia="Calibri" w:hAnsi="Arial" w:cs="Arial"/>
          <w:b/>
          <w:sz w:val="22"/>
          <w:szCs w:val="22"/>
          <w:lang w:val="es-MX" w:eastAsia="en-US"/>
        </w:rPr>
      </w:pPr>
      <w:r>
        <w:rPr>
          <w:rFonts w:ascii="Arial" w:eastAsia="Calibri" w:hAnsi="Arial" w:cs="Arial"/>
          <w:b/>
          <w:sz w:val="22"/>
          <w:szCs w:val="22"/>
          <w:lang w:val="es-MX" w:eastAsia="en-US"/>
        </w:rPr>
        <w:t xml:space="preserve">                                            </w:t>
      </w:r>
      <w:r w:rsidR="00B95C30" w:rsidRPr="00632B7C">
        <w:rPr>
          <w:rFonts w:ascii="Arial" w:eastAsia="Calibri" w:hAnsi="Arial" w:cs="Arial"/>
          <w:b/>
          <w:sz w:val="22"/>
          <w:szCs w:val="22"/>
          <w:lang w:val="es-MX" w:eastAsia="en-US"/>
        </w:rPr>
        <w:t>Concepto C ‒</w:t>
      </w:r>
      <w:r w:rsidR="00856F87" w:rsidRPr="00632B7C">
        <w:rPr>
          <w:rFonts w:ascii="Arial" w:eastAsia="Calibri" w:hAnsi="Arial" w:cs="Arial"/>
          <w:b/>
          <w:sz w:val="22"/>
          <w:szCs w:val="22"/>
          <w:lang w:val="es-MX" w:eastAsia="en-US"/>
        </w:rPr>
        <w:t xml:space="preserve"> </w:t>
      </w:r>
      <w:r w:rsidR="00DF2B34" w:rsidRPr="00632B7C">
        <w:rPr>
          <w:rFonts w:ascii="Arial" w:eastAsia="Calibri" w:hAnsi="Arial" w:cs="Arial"/>
          <w:b/>
          <w:sz w:val="22"/>
          <w:szCs w:val="22"/>
          <w:lang w:val="es-MX" w:eastAsia="en-US"/>
        </w:rPr>
        <w:t>1</w:t>
      </w:r>
      <w:r w:rsidR="00214693">
        <w:rPr>
          <w:rFonts w:ascii="Arial" w:eastAsia="Calibri" w:hAnsi="Arial" w:cs="Arial"/>
          <w:b/>
          <w:sz w:val="22"/>
          <w:szCs w:val="22"/>
          <w:lang w:val="es-MX" w:eastAsia="en-US"/>
        </w:rPr>
        <w:t>69</w:t>
      </w:r>
      <w:r w:rsidR="00DF2B34" w:rsidRPr="00632B7C">
        <w:rPr>
          <w:rFonts w:ascii="Arial" w:eastAsia="Calibri" w:hAnsi="Arial" w:cs="Arial"/>
          <w:b/>
          <w:sz w:val="22"/>
          <w:szCs w:val="22"/>
          <w:lang w:val="es-MX" w:eastAsia="en-US"/>
        </w:rPr>
        <w:t xml:space="preserve"> </w:t>
      </w:r>
      <w:r w:rsidR="005E3AF3" w:rsidRPr="00632B7C">
        <w:rPr>
          <w:rFonts w:ascii="Arial" w:eastAsia="Calibri" w:hAnsi="Arial" w:cs="Arial"/>
          <w:b/>
          <w:sz w:val="22"/>
          <w:szCs w:val="22"/>
          <w:lang w:val="es-MX" w:eastAsia="en-US"/>
        </w:rPr>
        <w:t>de 2022</w:t>
      </w:r>
    </w:p>
    <w:p w14:paraId="20200123" w14:textId="461A4C5D" w:rsidR="0096347F" w:rsidRPr="005873AF"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3A0FAD"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27231A54" w:rsidR="009A773A" w:rsidRPr="003A0FAD" w:rsidRDefault="00713B6C" w:rsidP="00F05449">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PLAN DE SALUD PÚBLICA DE INTERVENCIONES COLECTIVAS – PIC – Definición – contratación / LEY DE GARANTÍAS ELECTORALES ─ Prohibición artículo 33 ‒ Contratación directa ‒ Alcance / LEY DE GARANTÍAS ELECTORALES – Excepciones – </w:t>
            </w:r>
            <w:r w:rsidR="00B76A79" w:rsidRPr="003A0FAD">
              <w:rPr>
                <w:rFonts w:ascii="Arial" w:eastAsiaTheme="minorHAnsi" w:hAnsi="Arial" w:cs="Arial"/>
                <w:color w:val="000000" w:themeColor="text1"/>
                <w:sz w:val="22"/>
                <w:szCs w:val="22"/>
                <w:lang w:val="es-ES_tradnl" w:eastAsia="en-US"/>
              </w:rPr>
              <w:t>A</w:t>
            </w:r>
            <w:r w:rsidRPr="003A0FAD">
              <w:rPr>
                <w:rFonts w:ascii="Arial" w:eastAsiaTheme="minorHAnsi" w:hAnsi="Arial" w:cs="Arial"/>
                <w:color w:val="000000" w:themeColor="text1"/>
                <w:sz w:val="22"/>
                <w:szCs w:val="22"/>
                <w:lang w:val="es-ES_tradnl" w:eastAsia="en-US"/>
              </w:rPr>
              <w:t>rtículo 33 / LEY DE GARANTÍAS ELECTORALES – Excepciones – Destinatarios - Entidades sanitarias y hospitalarias</w:t>
            </w:r>
          </w:p>
        </w:tc>
      </w:tr>
      <w:tr w:rsidR="00B95C30" w:rsidRPr="003A0FAD" w14:paraId="27CD52AB" w14:textId="77777777" w:rsidTr="0096347F">
        <w:trPr>
          <w:trHeight w:val="39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595615CC" w:rsidR="00B95C30" w:rsidRPr="003A0FAD" w:rsidRDefault="00B95C30" w:rsidP="00F05449">
            <w:pPr>
              <w:widowControl w:val="0"/>
              <w:autoSpaceDE w:val="0"/>
              <w:autoSpaceDN w:val="0"/>
              <w:adjustRightInd w:val="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Respuesta a consulta </w:t>
            </w:r>
            <w:r w:rsidR="00700BDE" w:rsidRPr="003A0FAD">
              <w:rPr>
                <w:rFonts w:ascii="Arial" w:eastAsiaTheme="minorHAnsi" w:hAnsi="Arial" w:cs="Arial"/>
                <w:color w:val="000000" w:themeColor="text1"/>
                <w:sz w:val="22"/>
                <w:szCs w:val="22"/>
                <w:lang w:val="es-ES_tradnl" w:eastAsia="en-US"/>
              </w:rPr>
              <w:t xml:space="preserve"># </w:t>
            </w:r>
            <w:r w:rsidR="00734546" w:rsidRPr="00734546">
              <w:rPr>
                <w:rFonts w:ascii="Arial" w:eastAsiaTheme="minorHAnsi" w:hAnsi="Arial" w:cs="Arial"/>
                <w:color w:val="000000" w:themeColor="text1"/>
                <w:sz w:val="22"/>
                <w:szCs w:val="22"/>
                <w:lang w:val="es-ES_tradnl" w:eastAsia="en-US"/>
              </w:rPr>
              <w:t>P20220222001751</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07A8E951" w14:textId="77777777" w:rsidR="003A0FAD" w:rsidRDefault="003A0FAD" w:rsidP="003C3339">
      <w:pPr>
        <w:jc w:val="both"/>
        <w:rPr>
          <w:rFonts w:ascii="Arial" w:eastAsia="Calibri" w:hAnsi="Arial" w:cs="Arial"/>
          <w:color w:val="000000" w:themeColor="text1"/>
          <w:sz w:val="22"/>
          <w:lang w:val="es-ES_tradnl"/>
        </w:rPr>
      </w:pPr>
    </w:p>
    <w:p w14:paraId="1CF4AEA0" w14:textId="568F1FC1" w:rsidR="003C3339" w:rsidRPr="005873AF" w:rsidRDefault="003C3339" w:rsidP="003C3339">
      <w:pPr>
        <w:jc w:val="both"/>
        <w:rPr>
          <w:rFonts w:ascii="Arial" w:eastAsia="Calibri" w:hAnsi="Arial" w:cs="Arial"/>
          <w:color w:val="000000" w:themeColor="text1"/>
          <w:sz w:val="22"/>
          <w:lang w:val="es-ES_tradnl"/>
        </w:rPr>
      </w:pPr>
      <w:r w:rsidRPr="003D1E53">
        <w:rPr>
          <w:rFonts w:ascii="Arial" w:eastAsia="Calibri" w:hAnsi="Arial" w:cs="Arial"/>
          <w:color w:val="000000" w:themeColor="text1"/>
          <w:sz w:val="22"/>
          <w:lang w:val="es-ES_tradnl"/>
        </w:rPr>
        <w:t>Estimad</w:t>
      </w:r>
      <w:r w:rsidR="003D1E53" w:rsidRPr="003D1E53">
        <w:rPr>
          <w:rFonts w:ascii="Arial" w:eastAsia="Calibri" w:hAnsi="Arial" w:cs="Arial"/>
          <w:color w:val="000000" w:themeColor="text1"/>
          <w:sz w:val="22"/>
          <w:lang w:val="es-ES_tradnl"/>
        </w:rPr>
        <w:t>o s</w:t>
      </w:r>
      <w:r w:rsidR="008164D9" w:rsidRPr="003D1E53">
        <w:rPr>
          <w:rFonts w:ascii="Arial" w:eastAsia="Calibri" w:hAnsi="Arial" w:cs="Arial"/>
          <w:color w:val="000000" w:themeColor="text1"/>
          <w:sz w:val="22"/>
          <w:lang w:val="es-ES_tradnl"/>
        </w:rPr>
        <w:t>eñor</w:t>
      </w:r>
      <w:r w:rsidR="003D1E53" w:rsidRPr="003D1E53">
        <w:rPr>
          <w:rFonts w:ascii="Arial" w:eastAsia="Calibri" w:hAnsi="Arial" w:cs="Arial"/>
          <w:color w:val="000000" w:themeColor="text1"/>
          <w:sz w:val="22"/>
          <w:lang w:val="es-ES_tradnl"/>
        </w:rPr>
        <w:t xml:space="preserve"> </w:t>
      </w:r>
      <w:r w:rsidR="00F14360">
        <w:rPr>
          <w:rFonts w:ascii="Arial" w:eastAsia="Calibri" w:hAnsi="Arial" w:cs="Arial"/>
          <w:color w:val="000000" w:themeColor="text1"/>
          <w:sz w:val="22"/>
          <w:lang w:val="es-ES_tradnl"/>
        </w:rPr>
        <w:t>Jaramillo Serna</w:t>
      </w:r>
      <w:r w:rsidR="00E746A6" w:rsidRPr="003D1E53">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682017DF" w:rsidR="00DD5B04" w:rsidRPr="005873AF" w:rsidRDefault="00DD5B04" w:rsidP="00DF76A2">
      <w:pPr>
        <w:spacing w:line="276" w:lineRule="auto"/>
        <w:jc w:val="both"/>
        <w:rPr>
          <w:rFonts w:ascii="Arial" w:eastAsia="Calibri" w:hAnsi="Arial" w:cs="Arial"/>
          <w:color w:val="000000" w:themeColor="text1"/>
          <w:sz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w:t>
      </w:r>
      <w:r w:rsidR="00F14360">
        <w:rPr>
          <w:rFonts w:ascii="Arial" w:eastAsia="Calibri" w:hAnsi="Arial" w:cs="Arial"/>
          <w:color w:val="000000" w:themeColor="text1"/>
          <w:sz w:val="22"/>
          <w:lang w:val="es-ES_tradnl"/>
        </w:rPr>
        <w:t>la petición de consulta radicada el 21 de febrero de 2022, la cual –conforme a lo dispuesto en el artículo 21 de la Ley 1437 de 2011– fue remitida a la Agencia mediante el oficio del Departamento Administrativo de la Función Pública</w:t>
      </w:r>
      <w:r w:rsidR="00642A8F">
        <w:rPr>
          <w:rFonts w:ascii="Arial" w:eastAsia="Calibri" w:hAnsi="Arial" w:cs="Arial"/>
          <w:color w:val="000000" w:themeColor="text1"/>
          <w:sz w:val="22"/>
          <w:lang w:val="es-ES_tradnl"/>
        </w:rPr>
        <w:t xml:space="preserve"> 20222040085921 del 22 de febrero de 2022</w:t>
      </w:r>
      <w:r w:rsidR="005A5564" w:rsidRPr="003D1E53">
        <w:rPr>
          <w:rFonts w:ascii="Arial" w:eastAsia="Calibri" w:hAnsi="Arial" w:cs="Arial"/>
          <w:color w:val="000000" w:themeColor="text1"/>
          <w:sz w:val="22"/>
          <w:lang w:val="es-ES_tradnl"/>
        </w:rPr>
        <w:t>.</w:t>
      </w:r>
      <w:r w:rsidR="005A5564" w:rsidRPr="005873AF">
        <w:rPr>
          <w:rFonts w:ascii="Arial" w:eastAsia="Calibri" w:hAnsi="Arial" w:cs="Arial"/>
          <w:color w:val="000000" w:themeColor="text1"/>
          <w:sz w:val="22"/>
          <w:lang w:val="es-ES_tradnl"/>
        </w:rPr>
        <w:t xml:space="preserve"> </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659F453" w14:textId="464BF6DC" w:rsidR="00DF2B34" w:rsidRPr="00F05449" w:rsidRDefault="00A70C4A" w:rsidP="00F05449">
      <w:pPr>
        <w:autoSpaceDE w:val="0"/>
        <w:autoSpaceDN w:val="0"/>
        <w:adjustRightInd w:val="0"/>
        <w:spacing w:line="276" w:lineRule="auto"/>
        <w:jc w:val="both"/>
        <w:rPr>
          <w:rFonts w:ascii="Arial" w:hAnsi="Arial" w:cs="Arial"/>
          <w:bCs/>
          <w:sz w:val="22"/>
          <w:szCs w:val="22"/>
        </w:rPr>
      </w:pPr>
      <w:bookmarkStart w:id="5" w:name="_Hlk99633761"/>
      <w:r w:rsidRPr="00A70C4A">
        <w:rPr>
          <w:rFonts w:ascii="Arial" w:eastAsia="Arial" w:hAnsi="Arial" w:cs="Arial"/>
          <w:color w:val="000000" w:themeColor="text1"/>
          <w:sz w:val="22"/>
          <w:szCs w:val="22"/>
        </w:rPr>
        <w:t xml:space="preserve">Respecto a </w:t>
      </w:r>
      <w:proofErr w:type="gramStart"/>
      <w:r w:rsidRPr="00A70C4A">
        <w:rPr>
          <w:rFonts w:ascii="Arial" w:eastAsia="Arial" w:hAnsi="Arial" w:cs="Arial"/>
          <w:color w:val="000000" w:themeColor="text1"/>
          <w:sz w:val="22"/>
          <w:szCs w:val="22"/>
        </w:rPr>
        <w:t>la</w:t>
      </w:r>
      <w:r w:rsidR="00563CF3">
        <w:rPr>
          <w:rFonts w:ascii="Arial" w:eastAsia="Arial" w:hAnsi="Arial" w:cs="Arial"/>
          <w:color w:val="000000" w:themeColor="text1"/>
          <w:sz w:val="22"/>
          <w:szCs w:val="22"/>
        </w:rPr>
        <w:t>s</w:t>
      </w:r>
      <w:r w:rsidRPr="00A70C4A">
        <w:rPr>
          <w:rFonts w:ascii="Arial" w:eastAsia="Arial" w:hAnsi="Arial" w:cs="Arial"/>
          <w:color w:val="000000" w:themeColor="text1"/>
          <w:sz w:val="22"/>
          <w:szCs w:val="22"/>
        </w:rPr>
        <w:t xml:space="preserve"> prohibici</w:t>
      </w:r>
      <w:r w:rsidR="008F6780">
        <w:rPr>
          <w:rFonts w:ascii="Arial" w:eastAsia="Arial" w:hAnsi="Arial" w:cs="Arial"/>
          <w:color w:val="000000" w:themeColor="text1"/>
          <w:sz w:val="22"/>
          <w:szCs w:val="22"/>
        </w:rPr>
        <w:t>ón</w:t>
      </w:r>
      <w:proofErr w:type="gramEnd"/>
      <w:r w:rsidR="008F6780">
        <w:rPr>
          <w:rFonts w:ascii="Arial" w:eastAsia="Arial" w:hAnsi="Arial" w:cs="Arial"/>
          <w:color w:val="000000" w:themeColor="text1"/>
          <w:sz w:val="22"/>
          <w:szCs w:val="22"/>
        </w:rPr>
        <w:t xml:space="preserve"> de contratación directa del artículo 33 de</w:t>
      </w:r>
      <w:r w:rsidRPr="00A70C4A">
        <w:rPr>
          <w:rFonts w:ascii="Arial" w:eastAsia="Arial" w:hAnsi="Arial" w:cs="Arial"/>
          <w:color w:val="000000" w:themeColor="text1"/>
          <w:sz w:val="22"/>
          <w:szCs w:val="22"/>
        </w:rPr>
        <w:t xml:space="preserve"> la Ley 996 de 2005</w:t>
      </w:r>
      <w:bookmarkEnd w:id="5"/>
      <w:r w:rsidRPr="00A70C4A">
        <w:rPr>
          <w:rFonts w:ascii="Arial" w:eastAsia="Arial" w:hAnsi="Arial" w:cs="Arial"/>
          <w:color w:val="000000" w:themeColor="text1"/>
          <w:sz w:val="22"/>
          <w:szCs w:val="22"/>
        </w:rPr>
        <w:t>, usted realiza la siguiente pregunta</w:t>
      </w:r>
      <w:r w:rsidR="00781CAE" w:rsidRPr="005873AF">
        <w:rPr>
          <w:rFonts w:ascii="Arial" w:eastAsia="Arial" w:hAnsi="Arial" w:cs="Arial"/>
          <w:color w:val="000000" w:themeColor="text1"/>
          <w:sz w:val="22"/>
          <w:szCs w:val="22"/>
          <w:lang w:val="es-MX"/>
        </w:rPr>
        <w:t>:</w:t>
      </w:r>
      <w:r w:rsidR="009433D1" w:rsidRPr="005873AF">
        <w:rPr>
          <w:rFonts w:ascii="Arial" w:eastAsia="Arial" w:hAnsi="Arial" w:cs="Arial"/>
          <w:color w:val="000000" w:themeColor="text1"/>
          <w:sz w:val="22"/>
          <w:szCs w:val="22"/>
          <w:lang w:val="es-MX"/>
        </w:rPr>
        <w:t xml:space="preserve"> </w:t>
      </w:r>
      <w:r w:rsidR="00DF2B34" w:rsidRPr="00F05449">
        <w:rPr>
          <w:rFonts w:ascii="Arial" w:hAnsi="Arial" w:cs="Arial"/>
          <w:sz w:val="22"/>
          <w:szCs w:val="22"/>
        </w:rPr>
        <w:t>«</w:t>
      </w:r>
      <w:r w:rsidR="00B8412C">
        <w:t xml:space="preserve">[…] </w:t>
      </w:r>
      <w:r w:rsidR="00B8412C" w:rsidRPr="00B8412C">
        <w:rPr>
          <w:rFonts w:ascii="Arial" w:hAnsi="Arial" w:cs="Arial"/>
          <w:sz w:val="22"/>
          <w:szCs w:val="22"/>
        </w:rPr>
        <w:t xml:space="preserve">los municipios y las gobernaciones para realizar la contratación de los PIC tienen que realizarla por invitación publica o la pueden realizar </w:t>
      </w:r>
      <w:r w:rsidR="00B8412C" w:rsidRPr="00B8412C">
        <w:rPr>
          <w:rFonts w:ascii="Arial" w:hAnsi="Arial" w:cs="Arial"/>
          <w:sz w:val="22"/>
          <w:szCs w:val="22"/>
        </w:rPr>
        <w:lastRenderedPageBreak/>
        <w:t>directamente en este momento a pesar de estar en ley de garantía y teniendo presente que son temas de salud que supuestamente están excluidos de la ley de garantías</w:t>
      </w:r>
      <w:r w:rsidR="00B8412C">
        <w:rPr>
          <w:rFonts w:ascii="Arial" w:hAnsi="Arial" w:cs="Arial"/>
          <w:sz w:val="22"/>
          <w:szCs w:val="22"/>
        </w:rPr>
        <w:t xml:space="preserve"> […]</w:t>
      </w:r>
      <w:r w:rsidR="00DF2B34" w:rsidRPr="00F05449">
        <w:rPr>
          <w:rFonts w:ascii="Arial" w:hAnsi="Arial" w:cs="Arial"/>
          <w:sz w:val="22"/>
          <w:szCs w:val="22"/>
        </w:rPr>
        <w:t>»</w:t>
      </w:r>
      <w:r>
        <w:rPr>
          <w:rFonts w:ascii="Arial" w:hAnsi="Arial" w:cs="Arial"/>
          <w:sz w:val="22"/>
          <w:szCs w:val="22"/>
        </w:rPr>
        <w:t>.</w:t>
      </w:r>
    </w:p>
    <w:p w14:paraId="037E7D68" w14:textId="67363858" w:rsidR="007446F6" w:rsidRPr="00DF2B34" w:rsidRDefault="007446F6" w:rsidP="005873AF">
      <w:pPr>
        <w:ind w:left="709" w:right="709"/>
        <w:jc w:val="both"/>
        <w:rPr>
          <w:rFonts w:ascii="Arial" w:hAnsi="Arial" w:cs="Arial"/>
          <w:color w:val="000000" w:themeColor="text1"/>
          <w:sz w:val="21"/>
          <w:szCs w:val="21"/>
          <w:highlight w:val="yellow"/>
        </w:rPr>
      </w:pPr>
    </w:p>
    <w:p w14:paraId="124D2DCA" w14:textId="77777777" w:rsidR="00DD5B04" w:rsidRPr="005873AF" w:rsidRDefault="00DD5B04" w:rsidP="0018444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104EB7CA" w14:textId="77777777" w:rsidR="00913A0F" w:rsidRPr="005873AF" w:rsidRDefault="00913A0F" w:rsidP="00184443">
      <w:pPr>
        <w:spacing w:line="276" w:lineRule="auto"/>
        <w:jc w:val="both"/>
        <w:rPr>
          <w:rFonts w:ascii="Arial" w:eastAsia="Calibri" w:hAnsi="Arial" w:cs="Arial"/>
          <w:color w:val="000000" w:themeColor="text1"/>
          <w:sz w:val="22"/>
          <w:szCs w:val="22"/>
          <w:lang w:val="es-ES_tradnl"/>
        </w:rPr>
      </w:pPr>
    </w:p>
    <w:p w14:paraId="75899EA6" w14:textId="2822AA2E" w:rsidR="007233F6" w:rsidRPr="000F7818" w:rsidRDefault="009E0444" w:rsidP="00F2207B">
      <w:pPr>
        <w:spacing w:after="120" w:line="276" w:lineRule="auto"/>
        <w:jc w:val="both"/>
        <w:rPr>
          <w:rFonts w:ascii="Arial" w:hAnsi="Arial" w:cs="Arial"/>
          <w:bCs/>
          <w:color w:val="000000" w:themeColor="text1"/>
          <w:sz w:val="22"/>
        </w:rPr>
      </w:pPr>
      <w:r w:rsidRPr="000F7818">
        <w:rPr>
          <w:rFonts w:ascii="Arial" w:hAnsi="Arial" w:cs="Arial"/>
          <w:bCs/>
          <w:color w:val="000000" w:themeColor="text1"/>
          <w:sz w:val="22"/>
        </w:rPr>
        <w:t>E</w:t>
      </w:r>
      <w:r w:rsidR="007233F6" w:rsidRPr="000F7818">
        <w:rPr>
          <w:rFonts w:ascii="Arial" w:hAnsi="Arial" w:cs="Arial"/>
          <w:bCs/>
          <w:color w:val="000000" w:themeColor="text1"/>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6" w:name="_Hlk61701014"/>
      <w:bookmarkStart w:id="7" w:name="_Hlk62136649"/>
      <w:r w:rsidR="007233F6" w:rsidRPr="000F7818">
        <w:rPr>
          <w:rFonts w:ascii="Arial" w:hAnsi="Arial" w:cs="Arial"/>
          <w:bCs/>
          <w:color w:val="000000" w:themeColor="text1"/>
          <w:sz w:val="22"/>
        </w:rPr>
        <w:t xml:space="preserve"> </w:t>
      </w:r>
      <w:r w:rsidR="007233F6" w:rsidRPr="000F7818">
        <w:rPr>
          <w:rFonts w:ascii="Arial" w:hAnsi="Arial" w:cs="Arial"/>
          <w:color w:val="000000" w:themeColor="text1"/>
          <w:sz w:val="22"/>
          <w:lang w:val="es-ES"/>
        </w:rPr>
        <w:t xml:space="preserve">Es necesario tener en cuenta que </w:t>
      </w:r>
      <w:bookmarkStart w:id="8" w:name="_Hlk61026958"/>
      <w:r w:rsidR="007233F6" w:rsidRPr="000F7818">
        <w:rPr>
          <w:rFonts w:ascii="Arial" w:hAnsi="Arial" w:cs="Arial"/>
          <w:color w:val="000000" w:themeColor="text1"/>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7233F6" w:rsidRPr="000F7818">
        <w:rPr>
          <w:rFonts w:ascii="Arial" w:hAnsi="Arial" w:cs="Arial"/>
          <w:bCs/>
          <w:color w:val="000000" w:themeColor="text1"/>
          <w:sz w:val="22"/>
        </w:rPr>
        <w:t xml:space="preserve"> de todos los partícipes de la contratación estatal.</w:t>
      </w:r>
    </w:p>
    <w:p w14:paraId="2C2E31C4" w14:textId="7AEC6C8B" w:rsidR="005119ED" w:rsidRPr="000F7818" w:rsidRDefault="007233F6" w:rsidP="00184443">
      <w:pPr>
        <w:spacing w:after="120" w:line="276" w:lineRule="auto"/>
        <w:ind w:firstLine="708"/>
        <w:jc w:val="both"/>
        <w:rPr>
          <w:rFonts w:ascii="Arial" w:hAnsi="Arial" w:cs="Arial"/>
          <w:color w:val="000000" w:themeColor="text1"/>
          <w:sz w:val="22"/>
          <w:lang w:val="es-ES"/>
        </w:rPr>
      </w:pPr>
      <w:r w:rsidRPr="000F7818">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F7818">
        <w:rPr>
          <w:rFonts w:ascii="Arial" w:hAnsi="Arial" w:cs="Arial"/>
          <w:color w:val="000000" w:themeColor="text1"/>
          <w:sz w:val="22"/>
          <w:vertAlign w:val="superscript"/>
          <w:lang w:val="es-ES"/>
        </w:rPr>
        <w:footnoteReference w:id="2"/>
      </w:r>
      <w:r w:rsidRPr="000F7818">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8"/>
      <w:r w:rsidRPr="000F7818">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6"/>
      <w:bookmarkEnd w:id="7"/>
    </w:p>
    <w:p w14:paraId="718A48D6" w14:textId="02E7C866" w:rsidR="00F54C37" w:rsidRPr="000F7818" w:rsidRDefault="007233F6" w:rsidP="00615336">
      <w:pPr>
        <w:spacing w:after="120" w:line="276" w:lineRule="auto"/>
        <w:ind w:firstLine="708"/>
        <w:jc w:val="both"/>
        <w:rPr>
          <w:rFonts w:ascii="Arial" w:eastAsia="Calibri" w:hAnsi="Arial" w:cs="Arial"/>
          <w:color w:val="000000" w:themeColor="text1"/>
          <w:sz w:val="22"/>
          <w:szCs w:val="22"/>
          <w:lang w:val="es-ES_tradnl"/>
        </w:rPr>
      </w:pPr>
      <w:r w:rsidRPr="000F7818">
        <w:rPr>
          <w:rFonts w:ascii="Arial" w:eastAsia="Calibri" w:hAnsi="Arial" w:cs="Arial"/>
          <w:color w:val="000000" w:themeColor="text1"/>
          <w:sz w:val="22"/>
        </w:rPr>
        <w:t xml:space="preserve">Sin perjuicio de lo anterior, </w:t>
      </w:r>
      <w:r w:rsidRPr="000F7818">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w:t>
      </w:r>
      <w:r w:rsidR="009E0444" w:rsidRPr="000F7818">
        <w:rPr>
          <w:rFonts w:ascii="Arial" w:eastAsia="Calibri" w:hAnsi="Arial" w:cs="Arial"/>
          <w:color w:val="000000" w:themeColor="text1"/>
          <w:sz w:val="22"/>
          <w:lang w:val="es-ES"/>
        </w:rPr>
        <w:t>, para lo cual se analizarán</w:t>
      </w:r>
      <w:r w:rsidR="00E85CE0" w:rsidRPr="000F7818">
        <w:rPr>
          <w:rFonts w:ascii="Arial" w:eastAsia="Calibri" w:hAnsi="Arial" w:cs="Arial"/>
          <w:color w:val="000000" w:themeColor="text1"/>
          <w:sz w:val="22"/>
          <w:lang w:val="es-ES"/>
        </w:rPr>
        <w:t xml:space="preserve"> los siguientes temas:</w:t>
      </w:r>
      <w:r w:rsidR="00E85CE0" w:rsidRPr="000F7818">
        <w:rPr>
          <w:rFonts w:ascii="Arial" w:eastAsia="Calibri" w:hAnsi="Arial" w:cs="Arial"/>
          <w:bCs/>
          <w:color w:val="000000" w:themeColor="text1"/>
          <w:sz w:val="22"/>
        </w:rPr>
        <w:t xml:space="preserve"> i) </w:t>
      </w:r>
      <w:r w:rsidR="00B8412C">
        <w:rPr>
          <w:rFonts w:ascii="Arial" w:eastAsia="Calibri" w:hAnsi="Arial" w:cs="Arial"/>
          <w:bCs/>
          <w:color w:val="000000" w:themeColor="text1"/>
          <w:sz w:val="22"/>
        </w:rPr>
        <w:t>p</w:t>
      </w:r>
      <w:r w:rsidR="006161BE" w:rsidRPr="000F7818">
        <w:rPr>
          <w:rFonts w:ascii="Arial" w:eastAsia="Calibri" w:hAnsi="Arial" w:cs="Arial"/>
          <w:bCs/>
          <w:color w:val="000000" w:themeColor="text1"/>
          <w:sz w:val="22"/>
        </w:rPr>
        <w:t>lan de Salud Público de In</w:t>
      </w:r>
      <w:r w:rsidR="004D1322" w:rsidRPr="000F7818">
        <w:rPr>
          <w:rFonts w:ascii="Arial" w:eastAsia="Calibri" w:hAnsi="Arial" w:cs="Arial"/>
          <w:bCs/>
          <w:color w:val="000000" w:themeColor="text1"/>
          <w:sz w:val="22"/>
        </w:rPr>
        <w:t xml:space="preserve">tervención Colectiva –PIC–; ii) </w:t>
      </w:r>
      <w:r w:rsidR="00615336" w:rsidRPr="005873AF">
        <w:rPr>
          <w:rFonts w:ascii="Arial" w:eastAsia="Calibri" w:hAnsi="Arial" w:cs="Arial"/>
          <w:bCs/>
          <w:color w:val="000000" w:themeColor="text1"/>
          <w:sz w:val="22"/>
        </w:rPr>
        <w:t>definición y finalidad de la Ley de Garantías Electorales</w:t>
      </w:r>
      <w:r w:rsidR="003D1E53" w:rsidRPr="000F7818">
        <w:rPr>
          <w:rFonts w:ascii="Arial" w:eastAsia="Calibri" w:hAnsi="Arial" w:cs="Arial"/>
          <w:bCs/>
          <w:color w:val="000000" w:themeColor="text1"/>
          <w:sz w:val="22"/>
        </w:rPr>
        <w:t xml:space="preserve">; </w:t>
      </w:r>
      <w:proofErr w:type="spellStart"/>
      <w:r w:rsidR="003D1E53" w:rsidRPr="000F7818">
        <w:rPr>
          <w:rFonts w:ascii="Arial" w:eastAsia="Calibri" w:hAnsi="Arial" w:cs="Arial"/>
          <w:bCs/>
          <w:color w:val="000000" w:themeColor="text1"/>
          <w:sz w:val="22"/>
        </w:rPr>
        <w:t>iii</w:t>
      </w:r>
      <w:proofErr w:type="spellEnd"/>
      <w:r w:rsidR="006161BE" w:rsidRPr="000F7818">
        <w:rPr>
          <w:rFonts w:ascii="Arial" w:eastAsia="Calibri" w:hAnsi="Arial" w:cs="Arial"/>
          <w:bCs/>
          <w:color w:val="000000" w:themeColor="text1"/>
          <w:sz w:val="22"/>
        </w:rPr>
        <w:t xml:space="preserve">) </w:t>
      </w:r>
      <w:r w:rsidR="00B8412C">
        <w:rPr>
          <w:rFonts w:ascii="Arial" w:eastAsia="Calibri" w:hAnsi="Arial" w:cs="Arial"/>
          <w:bCs/>
          <w:color w:val="000000" w:themeColor="text1"/>
          <w:sz w:val="22"/>
        </w:rPr>
        <w:t>r</w:t>
      </w:r>
      <w:r w:rsidR="003D2D38" w:rsidRPr="000F7818">
        <w:rPr>
          <w:rFonts w:ascii="Arial" w:eastAsia="Calibri" w:hAnsi="Arial" w:cs="Arial"/>
          <w:bCs/>
          <w:color w:val="000000" w:themeColor="text1"/>
          <w:sz w:val="22"/>
        </w:rPr>
        <w:t>estricciones en elecciones presidenciales: prohibición del artículo 33 de la Ley 996 de 2005</w:t>
      </w:r>
      <w:r w:rsidR="00E85CE0" w:rsidRPr="000F7818">
        <w:rPr>
          <w:rFonts w:ascii="Arial" w:eastAsia="Calibri" w:hAnsi="Arial" w:cs="Arial"/>
          <w:bCs/>
          <w:color w:val="000000" w:themeColor="text1"/>
          <w:sz w:val="22"/>
        </w:rPr>
        <w:t>,</w:t>
      </w:r>
      <w:r w:rsidR="003D1E53" w:rsidRPr="000F7818">
        <w:rPr>
          <w:rFonts w:ascii="Arial" w:eastAsia="Calibri" w:hAnsi="Arial" w:cs="Arial"/>
          <w:bCs/>
          <w:color w:val="000000" w:themeColor="text1"/>
          <w:sz w:val="22"/>
        </w:rPr>
        <w:t xml:space="preserve"> </w:t>
      </w:r>
      <w:r w:rsidR="00E85CE0" w:rsidRPr="000F7818">
        <w:rPr>
          <w:rFonts w:ascii="Arial" w:eastAsia="Calibri" w:hAnsi="Arial" w:cs="Arial"/>
          <w:bCs/>
          <w:color w:val="000000" w:themeColor="text1"/>
          <w:sz w:val="22"/>
        </w:rPr>
        <w:t xml:space="preserve"> </w:t>
      </w:r>
      <w:r w:rsidR="003D1E53" w:rsidRPr="000F7818">
        <w:rPr>
          <w:rFonts w:ascii="Arial" w:eastAsia="Calibri" w:hAnsi="Arial" w:cs="Arial"/>
          <w:bCs/>
          <w:color w:val="000000" w:themeColor="text1"/>
          <w:sz w:val="22"/>
        </w:rPr>
        <w:t>i</w:t>
      </w:r>
      <w:r w:rsidR="003D2D38" w:rsidRPr="000F7818">
        <w:rPr>
          <w:rFonts w:ascii="Arial" w:eastAsia="Calibri" w:hAnsi="Arial" w:cs="Arial"/>
          <w:bCs/>
          <w:color w:val="000000" w:themeColor="text1"/>
          <w:sz w:val="22"/>
        </w:rPr>
        <w:t>v</w:t>
      </w:r>
      <w:r w:rsidR="00E85CE0" w:rsidRPr="000F7818">
        <w:rPr>
          <w:rFonts w:ascii="Arial" w:eastAsia="Calibri" w:hAnsi="Arial" w:cs="Arial"/>
          <w:bCs/>
          <w:color w:val="000000" w:themeColor="text1"/>
          <w:sz w:val="22"/>
        </w:rPr>
        <w:t xml:space="preserve">) </w:t>
      </w:r>
      <w:r w:rsidR="00B8412C">
        <w:rPr>
          <w:rFonts w:ascii="Arial" w:eastAsia="Calibri" w:hAnsi="Arial" w:cs="Arial"/>
          <w:bCs/>
          <w:color w:val="000000" w:themeColor="text1"/>
          <w:sz w:val="22"/>
        </w:rPr>
        <w:t>d</w:t>
      </w:r>
      <w:r w:rsidR="003D2D38" w:rsidRPr="000F7818">
        <w:rPr>
          <w:rFonts w:ascii="Arial" w:eastAsia="Calibri" w:hAnsi="Arial" w:cs="Arial"/>
          <w:bCs/>
          <w:color w:val="000000" w:themeColor="text1"/>
          <w:sz w:val="22"/>
        </w:rPr>
        <w:t>estinatarios de la restricción del artículo 33 de la Ley 996 de 2005 y l</w:t>
      </w:r>
      <w:r w:rsidR="003D1E53" w:rsidRPr="000F7818">
        <w:rPr>
          <w:rFonts w:ascii="Arial" w:eastAsia="Calibri" w:hAnsi="Arial" w:cs="Arial"/>
          <w:bCs/>
          <w:color w:val="000000" w:themeColor="text1"/>
          <w:sz w:val="22"/>
        </w:rPr>
        <w:t>as excepciones a la prohibición</w:t>
      </w:r>
      <w:r w:rsidR="004D1322" w:rsidRPr="000F7818">
        <w:rPr>
          <w:rFonts w:ascii="Arial" w:eastAsia="Calibri" w:hAnsi="Arial" w:cs="Arial"/>
          <w:bCs/>
          <w:color w:val="000000" w:themeColor="text1"/>
          <w:sz w:val="22"/>
        </w:rPr>
        <w:t>.</w:t>
      </w:r>
    </w:p>
    <w:p w14:paraId="433DF896" w14:textId="2AD8EDD2" w:rsidR="003827B5" w:rsidRDefault="001459D2" w:rsidP="00184443">
      <w:pPr>
        <w:spacing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lastRenderedPageBreak/>
        <w:t>Esta Agencia</w:t>
      </w:r>
      <w:r w:rsidR="00E670DD" w:rsidRPr="005873AF">
        <w:rPr>
          <w:rFonts w:ascii="Arial" w:eastAsia="Calibri" w:hAnsi="Arial" w:cs="Arial"/>
          <w:color w:val="000000" w:themeColor="text1"/>
          <w:sz w:val="22"/>
        </w:rPr>
        <w:t xml:space="preserve"> se ha pronunciado en diferentes ocasiones sobre la Ley de Garantías</w:t>
      </w:r>
      <w:r w:rsidRPr="005873AF">
        <w:rPr>
          <w:rFonts w:ascii="Arial" w:eastAsia="Calibri" w:hAnsi="Arial" w:cs="Arial"/>
          <w:color w:val="000000" w:themeColor="text1"/>
          <w:sz w:val="22"/>
        </w:rPr>
        <w:t xml:space="preserve"> Electorales</w:t>
      </w:r>
      <w:r w:rsidR="00E670DD" w:rsidRPr="005873AF">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5873AF">
        <w:rPr>
          <w:rFonts w:ascii="Arial" w:eastAsia="Calibri" w:hAnsi="Arial" w:cs="Arial"/>
          <w:color w:val="000000" w:themeColor="text1"/>
          <w:sz w:val="22"/>
        </w:rPr>
        <w:t xml:space="preserve">, </w:t>
      </w:r>
      <w:r w:rsidR="00974B94" w:rsidRPr="005873AF">
        <w:rPr>
          <w:rFonts w:ascii="Arial" w:eastAsia="Calibri" w:hAnsi="Arial" w:cs="Arial"/>
          <w:color w:val="000000" w:themeColor="text1"/>
          <w:sz w:val="22"/>
        </w:rPr>
        <w:t xml:space="preserve"> C-227 del 24 de mayo de 2021</w:t>
      </w:r>
      <w:r w:rsidR="00E746A6" w:rsidRPr="005873AF">
        <w:rPr>
          <w:rFonts w:ascii="Arial" w:eastAsia="Calibri" w:hAnsi="Arial" w:cs="Arial"/>
          <w:color w:val="000000" w:themeColor="text1"/>
          <w:sz w:val="22"/>
        </w:rPr>
        <w:t xml:space="preserve"> y </w:t>
      </w:r>
      <w:r w:rsidR="0030575F" w:rsidRPr="005873AF">
        <w:rPr>
          <w:rFonts w:ascii="Arial" w:eastAsia="Calibri" w:hAnsi="Arial" w:cs="Arial"/>
          <w:color w:val="000000" w:themeColor="text1"/>
          <w:sz w:val="22"/>
        </w:rPr>
        <w:t>3</w:t>
      </w:r>
      <w:r w:rsidR="00E746A6" w:rsidRPr="005873AF">
        <w:rPr>
          <w:rFonts w:ascii="Arial" w:eastAsia="Calibri" w:hAnsi="Arial" w:cs="Arial"/>
          <w:color w:val="000000" w:themeColor="text1"/>
          <w:sz w:val="22"/>
        </w:rPr>
        <w:t>96 de</w:t>
      </w:r>
      <w:r w:rsidR="0030575F" w:rsidRPr="005873AF">
        <w:rPr>
          <w:rFonts w:ascii="Arial" w:eastAsia="Calibri" w:hAnsi="Arial" w:cs="Arial"/>
          <w:color w:val="000000" w:themeColor="text1"/>
          <w:sz w:val="22"/>
        </w:rPr>
        <w:t>l 13 de agosto de</w:t>
      </w:r>
      <w:r w:rsidR="00E746A6" w:rsidRPr="005873AF">
        <w:rPr>
          <w:rFonts w:ascii="Arial" w:eastAsia="Calibri" w:hAnsi="Arial" w:cs="Arial"/>
          <w:color w:val="000000" w:themeColor="text1"/>
          <w:sz w:val="22"/>
        </w:rPr>
        <w:t xml:space="preserve"> 2021</w:t>
      </w:r>
      <w:r w:rsidR="00E552DD" w:rsidRPr="005873AF">
        <w:rPr>
          <w:rFonts w:ascii="Arial" w:eastAsia="Calibri" w:hAnsi="Arial" w:cs="Arial"/>
          <w:color w:val="000000" w:themeColor="text1"/>
          <w:sz w:val="22"/>
        </w:rPr>
        <w:t>, C-429 del 27 de agosto de 2021</w:t>
      </w:r>
      <w:r w:rsidR="00A161D5" w:rsidRPr="005873AF">
        <w:rPr>
          <w:rFonts w:ascii="Arial" w:eastAsia="Calibri" w:hAnsi="Arial" w:cs="Arial"/>
          <w:color w:val="000000" w:themeColor="text1"/>
          <w:sz w:val="22"/>
        </w:rPr>
        <w:t xml:space="preserve">, C-456 del 3 de septiembre, C-481 del 9 de septiembre de 2021, </w:t>
      </w:r>
      <w:r w:rsidR="000A0A18" w:rsidRPr="005873AF">
        <w:rPr>
          <w:rFonts w:ascii="Arial" w:eastAsia="Calibri" w:hAnsi="Arial" w:cs="Arial"/>
          <w:color w:val="000000" w:themeColor="text1"/>
          <w:sz w:val="22"/>
        </w:rPr>
        <w:t>C- 528 del 27 de septiembre de 2021, C-550 del 5 de octubre de 2021</w:t>
      </w:r>
      <w:r w:rsidR="00E552DD" w:rsidRPr="005873AF">
        <w:rPr>
          <w:rFonts w:ascii="Arial" w:eastAsia="Calibri" w:hAnsi="Arial" w:cs="Arial"/>
          <w:color w:val="000000" w:themeColor="text1"/>
          <w:sz w:val="22"/>
        </w:rPr>
        <w:t xml:space="preserve"> y C-523 del </w:t>
      </w:r>
      <w:r w:rsidR="00E17CD1" w:rsidRPr="005873AF">
        <w:rPr>
          <w:rFonts w:ascii="Arial" w:eastAsia="Calibri" w:hAnsi="Arial" w:cs="Arial"/>
          <w:color w:val="000000" w:themeColor="text1"/>
          <w:sz w:val="22"/>
        </w:rPr>
        <w:t>10 de octubre de 2021</w:t>
      </w:r>
      <w:r w:rsidR="008D5CD5" w:rsidRPr="005873AF">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796CD4" w:rsidRPr="005873AF">
        <w:rPr>
          <w:rFonts w:ascii="Arial" w:eastAsia="Calibri" w:hAnsi="Arial" w:cs="Arial"/>
          <w:color w:val="000000" w:themeColor="text1"/>
          <w:sz w:val="22"/>
        </w:rPr>
        <w:t xml:space="preserve"> y</w:t>
      </w:r>
      <w:r w:rsidR="00913A0F" w:rsidRPr="005873AF">
        <w:rPr>
          <w:rFonts w:ascii="Arial" w:eastAsia="Calibri" w:hAnsi="Arial" w:cs="Arial"/>
          <w:color w:val="000000" w:themeColor="text1"/>
          <w:sz w:val="22"/>
        </w:rPr>
        <w:t xml:space="preserve"> C-002 del 15 de febrero de 2022, entre otros</w:t>
      </w:r>
      <w:r w:rsidR="00974B94" w:rsidRPr="005873AF">
        <w:rPr>
          <w:rFonts w:ascii="Arial" w:eastAsia="Calibri" w:hAnsi="Arial" w:cs="Arial"/>
          <w:color w:val="000000" w:themeColor="text1"/>
          <w:sz w:val="22"/>
        </w:rPr>
        <w:t>.</w:t>
      </w:r>
      <w:r w:rsidR="008F06C1">
        <w:rPr>
          <w:rFonts w:ascii="Arial" w:eastAsia="Calibri" w:hAnsi="Arial" w:cs="Arial"/>
          <w:color w:val="000000" w:themeColor="text1"/>
          <w:sz w:val="22"/>
        </w:rPr>
        <w:t xml:space="preserve"> De igual manera, en el concepto C-044 del 04 de marzo de 2022, </w:t>
      </w:r>
      <w:r w:rsidR="00C84DD3">
        <w:rPr>
          <w:rFonts w:ascii="Arial" w:eastAsia="Calibri" w:hAnsi="Arial" w:cs="Arial"/>
          <w:color w:val="000000" w:themeColor="text1"/>
          <w:sz w:val="22"/>
        </w:rPr>
        <w:t xml:space="preserve">la Agencia </w:t>
      </w:r>
      <w:r w:rsidR="008F06C1">
        <w:rPr>
          <w:rFonts w:ascii="Arial" w:eastAsia="Calibri" w:hAnsi="Arial" w:cs="Arial"/>
          <w:color w:val="000000" w:themeColor="text1"/>
          <w:sz w:val="22"/>
        </w:rPr>
        <w:t>abordó el tema de la contratación del PIC y la Ley de Garantías.</w:t>
      </w:r>
      <w:r w:rsidR="00111B3A">
        <w:rPr>
          <w:rFonts w:ascii="Arial" w:eastAsia="Calibri" w:hAnsi="Arial" w:cs="Arial"/>
          <w:color w:val="000000" w:themeColor="text1"/>
          <w:sz w:val="22"/>
        </w:rPr>
        <w:t xml:space="preserve"> </w:t>
      </w:r>
      <w:r w:rsidR="00111B3A" w:rsidRPr="005873AF">
        <w:rPr>
          <w:rFonts w:ascii="Arial" w:eastAsia="Calibri" w:hAnsi="Arial" w:cs="Arial"/>
          <w:color w:val="000000" w:themeColor="text1"/>
          <w:sz w:val="22"/>
        </w:rPr>
        <w:t>En lo pertinente se reiterarán las consideraciones señaladas en dichos conceptos</w:t>
      </w:r>
      <w:r w:rsidR="00111B3A">
        <w:rPr>
          <w:rFonts w:ascii="Arial" w:eastAsia="Calibri" w:hAnsi="Arial" w:cs="Arial"/>
          <w:color w:val="000000" w:themeColor="text1"/>
          <w:sz w:val="22"/>
        </w:rPr>
        <w:t>:</w:t>
      </w:r>
    </w:p>
    <w:p w14:paraId="49C896A7" w14:textId="77777777" w:rsidR="008F06C1" w:rsidRPr="005873AF" w:rsidRDefault="008F06C1" w:rsidP="00184443">
      <w:pPr>
        <w:spacing w:line="276" w:lineRule="auto"/>
        <w:ind w:firstLine="708"/>
        <w:jc w:val="both"/>
        <w:rPr>
          <w:rFonts w:ascii="Arial" w:eastAsia="Calibri" w:hAnsi="Arial" w:cs="Arial"/>
          <w:color w:val="000000" w:themeColor="text1"/>
          <w:sz w:val="22"/>
        </w:rPr>
      </w:pPr>
    </w:p>
    <w:p w14:paraId="52B2C7EB" w14:textId="42613C99" w:rsidR="003827B5" w:rsidRPr="005873AF" w:rsidRDefault="003827B5" w:rsidP="00184443">
      <w:pPr>
        <w:spacing w:line="276" w:lineRule="auto"/>
        <w:jc w:val="both"/>
        <w:rPr>
          <w:rFonts w:ascii="Arial" w:eastAsia="Calibri" w:hAnsi="Arial" w:cs="Arial"/>
          <w:b/>
          <w:bCs/>
          <w:color w:val="000000" w:themeColor="text1"/>
          <w:sz w:val="22"/>
        </w:rPr>
      </w:pPr>
      <w:r w:rsidRPr="005873AF">
        <w:rPr>
          <w:rFonts w:ascii="Arial" w:eastAsia="Calibri" w:hAnsi="Arial" w:cs="Arial"/>
          <w:b/>
          <w:bCs/>
          <w:color w:val="000000" w:themeColor="text1"/>
          <w:sz w:val="22"/>
        </w:rPr>
        <w:t>2.1. Plan de Salud Público de Intervención Colectiva –PIC–</w:t>
      </w:r>
    </w:p>
    <w:p w14:paraId="71205760" w14:textId="275E912D" w:rsidR="003827B5" w:rsidRPr="005873AF" w:rsidRDefault="003827B5" w:rsidP="00184443">
      <w:pPr>
        <w:spacing w:line="276" w:lineRule="auto"/>
        <w:jc w:val="both"/>
        <w:rPr>
          <w:rFonts w:ascii="Arial" w:eastAsia="Calibri" w:hAnsi="Arial" w:cs="Arial"/>
          <w:b/>
          <w:bCs/>
          <w:color w:val="000000" w:themeColor="text1"/>
          <w:sz w:val="22"/>
        </w:rPr>
      </w:pPr>
    </w:p>
    <w:p w14:paraId="318B68E0" w14:textId="76709022" w:rsidR="003827B5" w:rsidRPr="005873AF" w:rsidRDefault="00781832" w:rsidP="00184443">
      <w:pPr>
        <w:spacing w:after="120" w:line="276" w:lineRule="auto"/>
        <w:jc w:val="both"/>
        <w:rPr>
          <w:rFonts w:ascii="Arial" w:hAnsi="Arial" w:cs="Arial"/>
          <w:color w:val="000000" w:themeColor="text1"/>
          <w:sz w:val="22"/>
          <w:szCs w:val="22"/>
        </w:rPr>
      </w:pPr>
      <w:r w:rsidRPr="005873AF">
        <w:rPr>
          <w:rFonts w:ascii="Arial" w:eastAsia="Arial" w:hAnsi="Arial" w:cs="Arial"/>
          <w:color w:val="000000" w:themeColor="text1"/>
          <w:sz w:val="22"/>
          <w:szCs w:val="22"/>
          <w:lang w:val="es-MX"/>
        </w:rPr>
        <w:t xml:space="preserve">Teniendo en cuenta que las preguntas del peticionario se relacionan con el Plan de Salud Público de Intervención Colectiva –PIC–, desarrollado en la Resolución 518 de 2015, a </w:t>
      </w:r>
      <w:r w:rsidR="005873AF" w:rsidRPr="005873AF">
        <w:rPr>
          <w:rFonts w:ascii="Arial" w:eastAsia="Arial" w:hAnsi="Arial" w:cs="Arial"/>
          <w:color w:val="000000" w:themeColor="text1"/>
          <w:sz w:val="22"/>
          <w:szCs w:val="22"/>
          <w:lang w:val="es-MX"/>
        </w:rPr>
        <w:t>continuación,</w:t>
      </w:r>
      <w:r w:rsidRPr="005873AF">
        <w:rPr>
          <w:rFonts w:ascii="Arial" w:eastAsia="Arial" w:hAnsi="Arial" w:cs="Arial"/>
          <w:color w:val="000000" w:themeColor="text1"/>
          <w:sz w:val="22"/>
          <w:szCs w:val="22"/>
          <w:lang w:val="es-MX"/>
        </w:rPr>
        <w:t xml:space="preserve"> se realizarán algunas consideraciones en torno al mismo, atendiendo a los aspectos contractuales, para posteriormente analizar las prohibiciones establecidas en la Ley de Garantías Electorales. De esta manera, e</w:t>
      </w:r>
      <w:r w:rsidR="003827B5" w:rsidRPr="005873AF">
        <w:rPr>
          <w:rFonts w:ascii="Arial" w:hAnsi="Arial" w:cs="Arial"/>
          <w:color w:val="000000" w:themeColor="text1"/>
          <w:sz w:val="22"/>
          <w:szCs w:val="22"/>
        </w:rPr>
        <w:t xml:space="preserve">l artículo 8 de la Resolución 518 de 2015, </w:t>
      </w:r>
      <w:r w:rsidRPr="005873AF">
        <w:rPr>
          <w:rFonts w:ascii="Arial" w:hAnsi="Arial" w:cs="Arial"/>
          <w:color w:val="000000" w:themeColor="text1"/>
          <w:sz w:val="22"/>
          <w:szCs w:val="22"/>
        </w:rPr>
        <w:t>«</w:t>
      </w:r>
      <w:r w:rsidR="003827B5" w:rsidRPr="005873AF">
        <w:rPr>
          <w:rFonts w:ascii="Arial" w:hAnsi="Arial" w:cs="Arial"/>
          <w:color w:val="000000" w:themeColor="text1"/>
          <w:sz w:val="22"/>
          <w:szCs w:val="22"/>
        </w:rPr>
        <w:t>Por la cual se dictan disposiciones en relación con la Gestión de la Salud Pública y se establecen directrices para la ejecución, seguimiento y evaluación del Plan de Salud Pública de Intervenciones Colectivas –PIC</w:t>
      </w:r>
      <w:r w:rsidRPr="005873AF">
        <w:rPr>
          <w:rFonts w:ascii="Arial" w:hAnsi="Arial" w:cs="Arial"/>
          <w:color w:val="000000" w:themeColor="text1"/>
          <w:sz w:val="22"/>
          <w:szCs w:val="22"/>
        </w:rPr>
        <w:t>»</w:t>
      </w:r>
      <w:r w:rsidR="003827B5" w:rsidRPr="005873AF">
        <w:rPr>
          <w:rFonts w:ascii="Arial" w:hAnsi="Arial" w:cs="Arial"/>
          <w:color w:val="000000" w:themeColor="text1"/>
          <w:sz w:val="22"/>
          <w:szCs w:val="22"/>
        </w:rPr>
        <w:t xml:space="preserve"> define a los PIC así: </w:t>
      </w:r>
      <w:r w:rsidR="003827B5" w:rsidRPr="005873AF">
        <w:rPr>
          <w:rFonts w:ascii="Arial" w:hAnsi="Arial" w:cs="Arial"/>
          <w:bCs/>
          <w:color w:val="000000" w:themeColor="text1"/>
          <w:sz w:val="22"/>
          <w:szCs w:val="22"/>
          <w:lang w:eastAsia="es-CO"/>
        </w:rPr>
        <w:t>«</w:t>
      </w:r>
      <w:r w:rsidR="003827B5" w:rsidRPr="005873AF">
        <w:rPr>
          <w:rFonts w:ascii="Arial" w:hAnsi="Arial" w:cs="Arial"/>
          <w:color w:val="000000" w:themeColor="text1"/>
          <w:sz w:val="22"/>
          <w:szCs w:val="22"/>
        </w:rPr>
        <w:t>Es un plan complementario al Plan Obligatorio de Salud - POS</w:t>
      </w:r>
      <w:r w:rsidR="00A470A9" w:rsidRPr="005873AF">
        <w:rPr>
          <w:rFonts w:ascii="Arial" w:hAnsi="Arial" w:cs="Arial"/>
          <w:color w:val="000000" w:themeColor="text1"/>
          <w:sz w:val="22"/>
          <w:szCs w:val="22"/>
        </w:rPr>
        <w:t xml:space="preserve"> y</w:t>
      </w:r>
      <w:r w:rsidR="003827B5" w:rsidRPr="005873AF">
        <w:rPr>
          <w:rFonts w:ascii="Arial" w:hAnsi="Arial" w:cs="Arial"/>
          <w:color w:val="000000" w:themeColor="text1"/>
          <w:sz w:val="22"/>
          <w:szCs w:val="22"/>
        </w:rPr>
        <w:t xml:space="preserve">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PDSP</w:t>
      </w:r>
      <w:r w:rsidR="003827B5" w:rsidRPr="005873AF">
        <w:rPr>
          <w:rFonts w:ascii="Arial" w:hAnsi="Arial" w:cs="Arial"/>
          <w:bCs/>
          <w:color w:val="000000" w:themeColor="text1"/>
          <w:sz w:val="22"/>
          <w:szCs w:val="22"/>
          <w:lang w:eastAsia="es-CO"/>
        </w:rPr>
        <w:t>»</w:t>
      </w:r>
      <w:r w:rsidR="003827B5" w:rsidRPr="005873AF">
        <w:rPr>
          <w:rFonts w:ascii="Arial" w:hAnsi="Arial" w:cs="Arial"/>
          <w:color w:val="000000" w:themeColor="text1"/>
          <w:sz w:val="22"/>
          <w:szCs w:val="22"/>
        </w:rPr>
        <w:t xml:space="preserve">. </w:t>
      </w:r>
    </w:p>
    <w:p w14:paraId="4C432CC5" w14:textId="6191DFDE" w:rsidR="003827B5" w:rsidRPr="005873AF" w:rsidRDefault="003827B5" w:rsidP="00184443">
      <w:pPr>
        <w:spacing w:after="120"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y cumpliendo con la normatividad vigente en materia de contratación estatal, para lo cual </w:t>
      </w:r>
      <w:r w:rsidR="00781832" w:rsidRPr="005873AF">
        <w:rPr>
          <w:rFonts w:ascii="Arial" w:hAnsi="Arial" w:cs="Arial"/>
          <w:color w:val="000000" w:themeColor="text1"/>
          <w:sz w:val="22"/>
          <w:szCs w:val="22"/>
        </w:rPr>
        <w:t xml:space="preserve">se </w:t>
      </w:r>
      <w:r w:rsidRPr="005873AF">
        <w:rPr>
          <w:rFonts w:ascii="Arial" w:hAnsi="Arial" w:cs="Arial"/>
          <w:color w:val="000000" w:themeColor="text1"/>
          <w:sz w:val="22"/>
          <w:szCs w:val="22"/>
        </w:rPr>
        <w:t>tendrá en cuenta lo siguiente: en primer lugar, la entidad territorial contratará prioritariamente con las Empresas Sociales del Estado ubicadas en el territorio (incluye las IPS indígenas), las acciones del PIC para las cuales tenga capacidad técnica y operativa</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r w:rsidR="006359EC" w:rsidRPr="005873AF">
        <w:rPr>
          <w:rFonts w:ascii="Arial" w:hAnsi="Arial" w:cs="Arial"/>
          <w:color w:val="000000" w:themeColor="text1"/>
          <w:sz w:val="22"/>
          <w:szCs w:val="22"/>
        </w:rPr>
        <w:t>E</w:t>
      </w:r>
      <w:r w:rsidRPr="005873AF">
        <w:rPr>
          <w:rFonts w:ascii="Arial" w:hAnsi="Arial" w:cs="Arial"/>
          <w:color w:val="000000" w:themeColor="text1"/>
          <w:sz w:val="22"/>
          <w:szCs w:val="22"/>
        </w:rPr>
        <w:t xml:space="preserve">n segundo lugar, cuando la IPS pública ubicada en el territorio no esté en capacidad de ejecutar algunas acciones del PIC, la entidad territorial podrá contratarlas con Empresas </w:t>
      </w:r>
      <w:r w:rsidRPr="005873AF">
        <w:rPr>
          <w:rFonts w:ascii="Arial" w:hAnsi="Arial" w:cs="Arial"/>
          <w:color w:val="000000" w:themeColor="text1"/>
          <w:sz w:val="22"/>
          <w:szCs w:val="22"/>
        </w:rPr>
        <w:lastRenderedPageBreak/>
        <w:t>Sociales del Estado de municipios vecinos. Del mismo modo, podrá contratarlas cuando por su ubicación geográfica, estas IPS estén en mejor capacidad de garantizar el acceso de la población a dichas intervenciones</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r w:rsidR="006359EC" w:rsidRPr="005873AF">
        <w:rPr>
          <w:rFonts w:ascii="Arial" w:hAnsi="Arial" w:cs="Arial"/>
          <w:color w:val="000000" w:themeColor="text1"/>
          <w:sz w:val="22"/>
          <w:szCs w:val="22"/>
        </w:rPr>
        <w:t>E</w:t>
      </w:r>
      <w:r w:rsidRPr="005873AF">
        <w:rPr>
          <w:rFonts w:ascii="Arial" w:hAnsi="Arial" w:cs="Arial"/>
          <w:color w:val="000000" w:themeColor="text1"/>
          <w:sz w:val="22"/>
          <w:szCs w:val="22"/>
        </w:rPr>
        <w:t xml:space="preserve">n tercer lugar, en el evento de que las IPS públicas no cuenten con la capacidad técnica y operativa, la entidad territorial podrá contratar las acciones del PIC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 </w:t>
      </w:r>
    </w:p>
    <w:p w14:paraId="481961C6" w14:textId="3FD8C49C" w:rsidR="003827B5" w:rsidRPr="005873AF" w:rsidRDefault="003827B5" w:rsidP="00184443">
      <w:pPr>
        <w:spacing w:after="120"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En este sentido, se señala dentro de la Resolución 518 de 2015 que la institución que sea contratada para ejecutar las acciones PIC no podrá subcontratarlas. Sin embargo, podrá contratar las actividades de apoyo que permitan la ejecución de las intervenciones, procedimientos, actividades y adquisición de insumos, descritos en el Anexo Técnico que hace parte integral de la presente resolución. Así mismo, se señala que podrán realizarse alianzas entre dos o más municipios para la contratación de intervenciones colectivas en el marco de estrategias conjuntas de salud pública, que tengan un alcance regional o que permitan optimizar esfuerzos y recursos.</w:t>
      </w:r>
    </w:p>
    <w:p w14:paraId="10C8CB77" w14:textId="4AFDB31A" w:rsidR="003827B5" w:rsidRPr="005873AF" w:rsidRDefault="003827B5" w:rsidP="00F05449">
      <w:pPr>
        <w:spacing w:line="276" w:lineRule="auto"/>
        <w:ind w:firstLine="708"/>
        <w:jc w:val="both"/>
        <w:rPr>
          <w:rFonts w:ascii="Arial" w:hAnsi="Arial" w:cs="Arial"/>
          <w:color w:val="000000" w:themeColor="text1"/>
          <w:sz w:val="22"/>
          <w:szCs w:val="22"/>
        </w:rPr>
      </w:pPr>
      <w:r w:rsidRPr="005873AF">
        <w:rPr>
          <w:rFonts w:ascii="Arial" w:hAnsi="Arial" w:cs="Arial"/>
          <w:color w:val="000000" w:themeColor="text1"/>
          <w:sz w:val="22"/>
          <w:szCs w:val="22"/>
        </w:rPr>
        <w:t xml:space="preserve">En esa misma línea, el artículo 15 de la Resolución 518 de 2015 establece que para la contratación de las acciones del PIC, la entidad territorial debe verificar que la institución a contratar cumpla con los siguientes criterios: i) tener mínimo dos (2) años de experiencia relacionada con la ejecución de las acciones que se pretendan contratar; ii) disponer de un coordinador para la ejecución de las acciones del PIC que se pretenda contratar, respecto del cual se debe acreditar que cuenta con el perfil establecido por la entidad territorial; </w:t>
      </w:r>
      <w:proofErr w:type="spellStart"/>
      <w:r w:rsidRPr="005873AF">
        <w:rPr>
          <w:rFonts w:ascii="Arial" w:hAnsi="Arial" w:cs="Arial"/>
          <w:color w:val="000000" w:themeColor="text1"/>
          <w:sz w:val="22"/>
          <w:szCs w:val="22"/>
        </w:rPr>
        <w:t>iii</w:t>
      </w:r>
      <w:proofErr w:type="spellEnd"/>
      <w:r w:rsidRPr="005873AF">
        <w:rPr>
          <w:rFonts w:ascii="Arial" w:hAnsi="Arial" w:cs="Arial"/>
          <w:color w:val="000000" w:themeColor="text1"/>
          <w:sz w:val="22"/>
          <w:szCs w:val="22"/>
        </w:rPr>
        <w:t xml:space="preserve">) tener una evaluación satisfactoria en la ejecución técnica y financiera del último contrato suscrito con una entidad territorial; la evaluación deberá estar soportada y documentada frente a los lineamientos técnicos pactados; </w:t>
      </w:r>
      <w:r w:rsidR="00581151" w:rsidRPr="005873AF">
        <w:rPr>
          <w:rFonts w:ascii="Arial" w:hAnsi="Arial" w:cs="Arial"/>
          <w:color w:val="000000" w:themeColor="text1"/>
          <w:sz w:val="22"/>
          <w:szCs w:val="22"/>
        </w:rPr>
        <w:t xml:space="preserve">y </w:t>
      </w:r>
      <w:r w:rsidRPr="005873AF">
        <w:rPr>
          <w:rFonts w:ascii="Arial" w:hAnsi="Arial" w:cs="Arial"/>
          <w:color w:val="000000" w:themeColor="text1"/>
          <w:sz w:val="22"/>
          <w:szCs w:val="22"/>
        </w:rPr>
        <w:t xml:space="preserve">iv) </w:t>
      </w:r>
      <w:r w:rsidR="00581151" w:rsidRPr="005873AF">
        <w:rPr>
          <w:rFonts w:ascii="Arial" w:hAnsi="Arial" w:cs="Arial"/>
          <w:color w:val="000000" w:themeColor="text1"/>
          <w:sz w:val="22"/>
          <w:szCs w:val="22"/>
        </w:rPr>
        <w:t>d</w:t>
      </w:r>
      <w:r w:rsidRPr="005873AF">
        <w:rPr>
          <w:rFonts w:ascii="Arial" w:hAnsi="Arial" w:cs="Arial"/>
          <w:color w:val="000000" w:themeColor="text1"/>
          <w:sz w:val="22"/>
          <w:szCs w:val="22"/>
        </w:rPr>
        <w:t xml:space="preserve">eberá cumplirse con lo establecido por el Sistema Único de Habilitación, cuando la acción del PIC a contratar lo requiera </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manejo de biológicos, medicamentos, dispositivos, tamizajes o insumos médicos</w:t>
      </w:r>
      <w:r w:rsidR="006359EC" w:rsidRPr="005873AF">
        <w:rPr>
          <w:rFonts w:ascii="Arial" w:hAnsi="Arial" w:cs="Arial"/>
          <w:color w:val="000000" w:themeColor="text1"/>
          <w:sz w:val="22"/>
          <w:szCs w:val="22"/>
        </w:rPr>
        <w:t>–</w:t>
      </w:r>
      <w:r w:rsidRPr="005873AF">
        <w:rPr>
          <w:rFonts w:ascii="Arial" w:hAnsi="Arial" w:cs="Arial"/>
          <w:color w:val="000000" w:themeColor="text1"/>
          <w:sz w:val="22"/>
          <w:szCs w:val="22"/>
        </w:rPr>
        <w:t xml:space="preserve">. </w:t>
      </w:r>
    </w:p>
    <w:p w14:paraId="76DD091D" w14:textId="32CE93BA" w:rsidR="001D4D28" w:rsidRPr="005873AF" w:rsidRDefault="001D4D28" w:rsidP="00184443">
      <w:pPr>
        <w:spacing w:line="276" w:lineRule="auto"/>
        <w:jc w:val="both"/>
        <w:rPr>
          <w:rFonts w:ascii="Arial" w:eastAsia="Calibri" w:hAnsi="Arial" w:cs="Arial"/>
          <w:color w:val="000000" w:themeColor="text1"/>
          <w:sz w:val="22"/>
        </w:rPr>
      </w:pPr>
    </w:p>
    <w:p w14:paraId="41BBC2F5" w14:textId="4FFF5E60" w:rsidR="00EE3D05" w:rsidRPr="005B1F70" w:rsidRDefault="004D1322" w:rsidP="00184443">
      <w:pPr>
        <w:tabs>
          <w:tab w:val="left" w:pos="426"/>
        </w:tabs>
        <w:spacing w:line="276" w:lineRule="auto"/>
        <w:jc w:val="both"/>
        <w:rPr>
          <w:rFonts w:ascii="Arial" w:eastAsia="Arial" w:hAnsi="Arial" w:cs="Arial"/>
          <w:sz w:val="22"/>
          <w:szCs w:val="22"/>
        </w:rPr>
      </w:pPr>
      <w:r>
        <w:rPr>
          <w:rFonts w:ascii="Arial" w:eastAsia="Arial" w:hAnsi="Arial" w:cs="Arial"/>
          <w:b/>
          <w:sz w:val="22"/>
          <w:szCs w:val="22"/>
        </w:rPr>
        <w:t>2.2</w:t>
      </w:r>
      <w:r w:rsidR="00EE3D05" w:rsidRPr="00D22117">
        <w:rPr>
          <w:rFonts w:ascii="Arial" w:eastAsia="Arial" w:hAnsi="Arial" w:cs="Arial"/>
          <w:b/>
          <w:sz w:val="22"/>
          <w:szCs w:val="22"/>
        </w:rPr>
        <w:t xml:space="preserve">. </w:t>
      </w:r>
      <w:r w:rsidR="00111B3A" w:rsidRPr="005873AF">
        <w:rPr>
          <w:rFonts w:ascii="Arial" w:eastAsia="Calibri" w:hAnsi="Arial" w:cs="Arial"/>
          <w:b/>
          <w:bCs/>
          <w:color w:val="000000" w:themeColor="text1"/>
          <w:sz w:val="22"/>
        </w:rPr>
        <w:t>Definición y finalidad de la Ley de Garantías Electorales: alcance de las restricciones</w:t>
      </w:r>
      <w:r w:rsidR="00111B3A" w:rsidRPr="00D22117" w:rsidDel="00111B3A">
        <w:rPr>
          <w:rFonts w:ascii="Arial" w:eastAsia="Arial" w:hAnsi="Arial" w:cs="Arial"/>
          <w:b/>
          <w:sz w:val="22"/>
          <w:szCs w:val="22"/>
        </w:rPr>
        <w:t xml:space="preserve"> </w:t>
      </w:r>
    </w:p>
    <w:p w14:paraId="5B3303B9" w14:textId="06B7D3F1" w:rsidR="00EE3D05" w:rsidRDefault="00EE3D05" w:rsidP="00184443">
      <w:pPr>
        <w:tabs>
          <w:tab w:val="left" w:pos="426"/>
        </w:tabs>
        <w:spacing w:line="276" w:lineRule="auto"/>
        <w:jc w:val="both"/>
        <w:rPr>
          <w:rFonts w:ascii="Arial" w:hAnsi="Arial" w:cs="Arial"/>
          <w:bCs/>
          <w:sz w:val="22"/>
        </w:rPr>
      </w:pPr>
    </w:p>
    <w:p w14:paraId="50771552" w14:textId="77777777" w:rsidR="00111B3A" w:rsidRPr="005873AF" w:rsidRDefault="00111B3A" w:rsidP="00111B3A">
      <w:pPr>
        <w:tabs>
          <w:tab w:val="left" w:pos="426"/>
        </w:tabs>
        <w:spacing w:after="120" w:line="276" w:lineRule="auto"/>
        <w:jc w:val="both"/>
        <w:rPr>
          <w:rFonts w:ascii="Arial" w:hAnsi="Arial" w:cs="Arial"/>
          <w:bCs/>
          <w:color w:val="000000" w:themeColor="text1"/>
          <w:sz w:val="22"/>
          <w:lang w:eastAsia="es-CO"/>
        </w:rPr>
      </w:pPr>
      <w:bookmarkStart w:id="9" w:name="_35nkun2" w:colFirst="0" w:colLast="0"/>
      <w:bookmarkEnd w:id="9"/>
      <w:r w:rsidRPr="005873AF">
        <w:rPr>
          <w:rFonts w:ascii="Arial" w:eastAsia="Calibri" w:hAnsi="Arial" w:cs="Arial"/>
          <w:bCs/>
          <w:color w:val="000000" w:themeColor="text1"/>
          <w:sz w:val="22"/>
        </w:rPr>
        <w:t>El ordenamiento jurídico colombiano contempla previsiones claras para evitar la obtención de beneficios personales en asuntos propios de la administración pública</w:t>
      </w:r>
      <w:r w:rsidRPr="005873AF">
        <w:rPr>
          <w:rFonts w:ascii="Arial" w:eastAsia="Calibri" w:hAnsi="Arial" w:cs="Arial"/>
          <w:bCs/>
          <w:i/>
          <w:iCs/>
          <w:color w:val="000000" w:themeColor="text1"/>
          <w:sz w:val="22"/>
        </w:rPr>
        <w:t xml:space="preserve">. </w:t>
      </w:r>
      <w:r w:rsidRPr="005873AF">
        <w:rPr>
          <w:rFonts w:ascii="Arial" w:eastAsia="Calibri" w:hAnsi="Arial" w:cs="Arial"/>
          <w:bCs/>
          <w:color w:val="000000" w:themeColor="text1"/>
          <w:sz w:val="22"/>
        </w:rPr>
        <w:t xml:space="preserve">Por ejemplo, el artículo 127 de la Constitución Política establece una prohibición contractual a los </w:t>
      </w:r>
      <w:r w:rsidRPr="005873AF">
        <w:rPr>
          <w:rFonts w:ascii="Arial" w:eastAsia="Calibri" w:hAnsi="Arial" w:cs="Arial"/>
          <w:bCs/>
          <w:color w:val="000000" w:themeColor="text1"/>
          <w:sz w:val="22"/>
        </w:rPr>
        <w:lastRenderedPageBreak/>
        <w:t>servidores públicos y en cuanto a aspectos políticos establece restricciones a ciertos empleados del Estado, incluso en época no electoral</w:t>
      </w:r>
      <w:r w:rsidRPr="005873AF">
        <w:rPr>
          <w:rStyle w:val="Refdenotaalpie"/>
          <w:rFonts w:ascii="Arial" w:eastAsia="Calibri" w:hAnsi="Arial" w:cs="Arial"/>
          <w:bCs/>
          <w:color w:val="000000" w:themeColor="text1"/>
          <w:sz w:val="22"/>
        </w:rPr>
        <w:footnoteReference w:id="3"/>
      </w:r>
      <w:r w:rsidRPr="005873AF">
        <w:rPr>
          <w:rFonts w:ascii="Arial" w:eastAsia="Calibri" w:hAnsi="Arial" w:cs="Arial"/>
          <w:bCs/>
          <w:color w:val="000000" w:themeColor="text1"/>
          <w:sz w:val="22"/>
        </w:rPr>
        <w:t xml:space="preserve">. </w:t>
      </w:r>
    </w:p>
    <w:p w14:paraId="0379BF89" w14:textId="77777777" w:rsidR="00111B3A" w:rsidRPr="005873AF" w:rsidRDefault="00111B3A" w:rsidP="00111B3A">
      <w:pPr>
        <w:tabs>
          <w:tab w:val="left" w:pos="426"/>
        </w:tabs>
        <w:spacing w:line="276" w:lineRule="auto"/>
        <w:ind w:firstLine="709"/>
        <w:jc w:val="both"/>
        <w:rPr>
          <w:rFonts w:ascii="Arial" w:hAnsi="Arial" w:cs="Arial"/>
          <w:bCs/>
          <w:color w:val="000000" w:themeColor="text1"/>
          <w:sz w:val="22"/>
          <w:lang w:eastAsia="es-CO"/>
        </w:rPr>
      </w:pPr>
      <w:r w:rsidRPr="005873AF">
        <w:rPr>
          <w:rFonts w:ascii="Arial" w:hAnsi="Arial" w:cs="Arial"/>
          <w:bCs/>
          <w:color w:val="000000" w:themeColor="text1"/>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873AF">
        <w:rPr>
          <w:rStyle w:val="Refdenotaalpie"/>
          <w:rFonts w:ascii="Arial" w:hAnsi="Arial" w:cs="Arial"/>
          <w:bCs/>
          <w:color w:val="000000" w:themeColor="text1"/>
          <w:sz w:val="22"/>
          <w:lang w:eastAsia="es-CO"/>
        </w:rPr>
        <w:footnoteReference w:id="4"/>
      </w:r>
      <w:r w:rsidRPr="005873AF">
        <w:rPr>
          <w:rFonts w:ascii="Arial" w:hAnsi="Arial" w:cs="Arial"/>
          <w:bCs/>
          <w:color w:val="000000" w:themeColor="text1"/>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5873AF">
        <w:rPr>
          <w:rFonts w:ascii="Arial" w:eastAsia="Calibri" w:hAnsi="Arial" w:cs="Arial"/>
          <w:noProof/>
          <w:color w:val="000000" w:themeColor="text1"/>
          <w:sz w:val="22"/>
          <w:lang w:val="es-ES_tradnl"/>
        </w:rPr>
        <w:t xml:space="preserve"> </w:t>
      </w:r>
      <w:r w:rsidRPr="005873AF">
        <w:rPr>
          <w:rFonts w:ascii="Arial" w:hAnsi="Arial" w:cs="Arial"/>
          <w:bCs/>
          <w:color w:val="000000" w:themeColor="text1"/>
          <w:sz w:val="22"/>
          <w:lang w:eastAsia="es-CO"/>
        </w:rPr>
        <w:t>En armonía con lo anterior, la Corte Constitucional ha abordado la definición de la Ley de Garantías Electorales, en los siguientes términos:</w:t>
      </w:r>
    </w:p>
    <w:p w14:paraId="70B5AEF4" w14:textId="77777777" w:rsidR="00111B3A" w:rsidRPr="005873AF" w:rsidRDefault="00111B3A" w:rsidP="00111B3A">
      <w:pPr>
        <w:ind w:right="709"/>
        <w:rPr>
          <w:rFonts w:ascii="Arial" w:hAnsi="Arial" w:cs="Arial"/>
          <w:color w:val="000000" w:themeColor="text1"/>
          <w:sz w:val="21"/>
          <w:szCs w:val="21"/>
          <w:lang w:val="es-ES" w:eastAsia="es-CO"/>
        </w:rPr>
      </w:pPr>
    </w:p>
    <w:p w14:paraId="0505ABB9"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color w:val="000000" w:themeColor="text1"/>
          <w:sz w:val="21"/>
          <w:szCs w:val="21"/>
          <w:lang w:val="es-ES" w:eastAsia="es-CO"/>
        </w:rPr>
        <w:t xml:space="preserve">[…] </w:t>
      </w:r>
      <w:r w:rsidRPr="005873AF">
        <w:rPr>
          <w:rFonts w:ascii="Arial" w:hAnsi="Arial" w:cs="Arial"/>
          <w:bCs/>
          <w:color w:val="000000" w:themeColor="text1"/>
          <w:sz w:val="21"/>
          <w:szCs w:val="21"/>
          <w:lang w:eastAsia="es-CO"/>
        </w:rPr>
        <w:t>la definición de reglas claras que permitan acceder a los canales de expresión democrática de manera efectiva e igualitaria. El objetivo de una ley de garantías es definir esas reglas.</w:t>
      </w:r>
    </w:p>
    <w:p w14:paraId="45998D08"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 xml:space="preserve">[…] </w:t>
      </w:r>
    </w:p>
    <w:p w14:paraId="2EC447EB"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873AF">
        <w:rPr>
          <w:rStyle w:val="Refdenotaalpie"/>
          <w:rFonts w:ascii="Arial" w:hAnsi="Arial" w:cs="Arial"/>
          <w:color w:val="000000" w:themeColor="text1"/>
          <w:sz w:val="20"/>
          <w:szCs w:val="20"/>
        </w:rPr>
        <w:footnoteReference w:id="5"/>
      </w:r>
    </w:p>
    <w:p w14:paraId="3B07DE4F" w14:textId="77777777" w:rsidR="00111B3A" w:rsidRPr="005873AF" w:rsidRDefault="00111B3A" w:rsidP="00111B3A">
      <w:pPr>
        <w:ind w:left="709" w:right="709"/>
        <w:rPr>
          <w:rFonts w:ascii="Arial" w:hAnsi="Arial" w:cs="Arial"/>
          <w:bCs/>
          <w:color w:val="000000" w:themeColor="text1"/>
          <w:sz w:val="21"/>
          <w:szCs w:val="21"/>
          <w:lang w:eastAsia="es-CO"/>
        </w:rPr>
      </w:pPr>
    </w:p>
    <w:p w14:paraId="37E851AB" w14:textId="77777777" w:rsidR="00111B3A" w:rsidRPr="005873AF" w:rsidRDefault="00111B3A" w:rsidP="00111B3A">
      <w:pPr>
        <w:spacing w:line="276" w:lineRule="auto"/>
        <w:ind w:firstLine="709"/>
        <w:jc w:val="both"/>
        <w:rPr>
          <w:rFonts w:ascii="Arial" w:hAnsi="Arial" w:cs="Arial"/>
          <w:bCs/>
          <w:color w:val="000000" w:themeColor="text1"/>
          <w:sz w:val="22"/>
          <w:lang w:eastAsia="es-CO"/>
        </w:rPr>
      </w:pPr>
      <w:bookmarkStart w:id="10" w:name="_Hlk78818186"/>
      <w:r w:rsidRPr="005873AF">
        <w:rPr>
          <w:rFonts w:ascii="Arial" w:hAnsi="Arial" w:cs="Arial"/>
          <w:bCs/>
          <w:color w:val="000000" w:themeColor="text1"/>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5873AF">
        <w:rPr>
          <w:rFonts w:ascii="Arial" w:hAnsi="Arial" w:cs="Arial"/>
          <w:bCs/>
          <w:color w:val="000000" w:themeColor="text1"/>
          <w:sz w:val="22"/>
          <w:lang w:eastAsia="es-CO"/>
        </w:rPr>
        <w:t xml:space="preserve">Por ello, varias de las disposiciones de la Ley 996 de 2005, al contener normas prohibitivas, no admiten una interpretación amplia, </w:t>
      </w:r>
      <w:r w:rsidRPr="005873AF">
        <w:rPr>
          <w:rFonts w:ascii="Arial" w:hAnsi="Arial" w:cs="Arial"/>
          <w:bCs/>
          <w:color w:val="000000" w:themeColor="text1"/>
          <w:sz w:val="22"/>
          <w:lang w:eastAsia="es-CO"/>
        </w:rPr>
        <w:lastRenderedPageBreak/>
        <w:t>sino que deben interpretarse restrictivamente. En efecto, la Sala de Consulta y Servicio Civil del Consejo de Estado precisó lo siguiente:</w:t>
      </w:r>
    </w:p>
    <w:p w14:paraId="6691E635" w14:textId="77777777" w:rsidR="00111B3A" w:rsidRPr="005873AF" w:rsidRDefault="00111B3A" w:rsidP="00111B3A">
      <w:pPr>
        <w:ind w:firstLine="709"/>
        <w:rPr>
          <w:rFonts w:ascii="Arial" w:hAnsi="Arial" w:cs="Arial"/>
          <w:bCs/>
          <w:color w:val="000000" w:themeColor="text1"/>
          <w:sz w:val="22"/>
          <w:lang w:eastAsia="es-CO"/>
        </w:rPr>
      </w:pPr>
    </w:p>
    <w:p w14:paraId="06397E56"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873AF">
        <w:rPr>
          <w:rFonts w:ascii="Arial" w:hAnsi="Arial" w:cs="Arial"/>
          <w:bCs/>
          <w:color w:val="000000" w:themeColor="text1"/>
          <w:sz w:val="21"/>
          <w:szCs w:val="21"/>
          <w:lang w:eastAsia="es-CO"/>
        </w:rPr>
        <w:t>legis</w:t>
      </w:r>
      <w:proofErr w:type="spellEnd"/>
      <w:r w:rsidRPr="005873AF">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6B05F1D"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La jurisprudencia de la Corte Constitucional</w:t>
      </w:r>
      <w:r w:rsidRPr="005873AF">
        <w:rPr>
          <w:rStyle w:val="Refdenotaalpie"/>
          <w:rFonts w:ascii="Arial" w:hAnsi="Arial" w:cs="Arial"/>
          <w:bCs/>
          <w:color w:val="000000" w:themeColor="text1"/>
          <w:sz w:val="21"/>
          <w:szCs w:val="21"/>
          <w:lang w:eastAsia="es-CO"/>
        </w:rPr>
        <w:footnoteReference w:id="6"/>
      </w:r>
      <w:r w:rsidRPr="005873AF">
        <w:rPr>
          <w:rFonts w:ascii="Arial" w:hAnsi="Arial" w:cs="Arial"/>
          <w:bCs/>
          <w:color w:val="000000" w:themeColor="text1"/>
          <w:sz w:val="21"/>
          <w:szCs w:val="21"/>
          <w:lang w:eastAsia="es-CO"/>
        </w:rPr>
        <w:t> y del Consejo de Estado</w:t>
      </w:r>
      <w:r w:rsidRPr="005873AF">
        <w:rPr>
          <w:rStyle w:val="Refdenotaalpie"/>
          <w:rFonts w:ascii="Arial" w:hAnsi="Arial" w:cs="Arial"/>
          <w:bCs/>
          <w:color w:val="000000" w:themeColor="text1"/>
          <w:sz w:val="21"/>
          <w:szCs w:val="21"/>
          <w:lang w:eastAsia="es-CO"/>
        </w:rPr>
        <w:footnoteReference w:id="7"/>
      </w:r>
      <w:r w:rsidRPr="005873AF">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873AF">
        <w:rPr>
          <w:rStyle w:val="Refdenotaalpie"/>
          <w:rFonts w:ascii="Arial" w:hAnsi="Arial" w:cs="Arial"/>
          <w:bCs/>
          <w:color w:val="000000" w:themeColor="text1"/>
          <w:sz w:val="21"/>
          <w:szCs w:val="21"/>
          <w:lang w:eastAsia="es-CO"/>
        </w:rPr>
        <w:footnoteReference w:id="8"/>
      </w:r>
      <w:r w:rsidRPr="005873AF">
        <w:rPr>
          <w:rFonts w:ascii="Arial" w:hAnsi="Arial" w:cs="Arial"/>
          <w:bCs/>
          <w:color w:val="000000" w:themeColor="text1"/>
          <w:sz w:val="21"/>
          <w:szCs w:val="21"/>
          <w:lang w:eastAsia="es-CO"/>
        </w:rPr>
        <w:t>.</w:t>
      </w:r>
    </w:p>
    <w:p w14:paraId="173DCC61" w14:textId="77777777" w:rsidR="00111B3A" w:rsidRPr="005873AF" w:rsidRDefault="00111B3A" w:rsidP="00111B3A">
      <w:pPr>
        <w:ind w:right="709"/>
        <w:rPr>
          <w:rFonts w:ascii="Arial" w:hAnsi="Arial" w:cs="Arial"/>
          <w:bCs/>
          <w:color w:val="000000" w:themeColor="text1"/>
          <w:sz w:val="21"/>
          <w:szCs w:val="21"/>
          <w:lang w:eastAsia="es-CO"/>
        </w:rPr>
      </w:pPr>
    </w:p>
    <w:p w14:paraId="38D66DD8" w14:textId="77777777" w:rsidR="00111B3A" w:rsidRPr="005873AF" w:rsidRDefault="00111B3A" w:rsidP="00111B3A">
      <w:pPr>
        <w:spacing w:after="120" w:line="276" w:lineRule="auto"/>
        <w:jc w:val="both"/>
        <w:rPr>
          <w:rFonts w:ascii="Arial" w:eastAsia="Arial" w:hAnsi="Arial" w:cs="Arial"/>
          <w:color w:val="000000" w:themeColor="text1"/>
          <w:sz w:val="22"/>
          <w:lang w:val="es-ES" w:eastAsia="es-ES" w:bidi="es-ES"/>
        </w:rPr>
      </w:pPr>
      <w:r w:rsidRPr="005873AF">
        <w:rPr>
          <w:rFonts w:ascii="Arial" w:hAnsi="Arial" w:cs="Arial"/>
          <w:bCs/>
          <w:color w:val="000000" w:themeColor="text1"/>
          <w:sz w:val="22"/>
          <w:lang w:eastAsia="es-CO"/>
        </w:rPr>
        <w:tab/>
        <w:t>De</w:t>
      </w:r>
      <w:r w:rsidRPr="005873AF">
        <w:rPr>
          <w:rFonts w:ascii="Arial" w:eastAsia="Arial" w:hAnsi="Arial" w:cs="Arial"/>
          <w:color w:val="000000" w:themeColor="text1"/>
          <w:sz w:val="22"/>
          <w:lang w:val="es-ES" w:eastAsia="es-ES" w:bidi="es-ES"/>
        </w:rPr>
        <w:t xml:space="preserve"> conformidad con lo anterior, </w:t>
      </w:r>
      <w:bookmarkStart w:id="11" w:name="_Hlk77236098"/>
      <w:r w:rsidRPr="005873AF">
        <w:rPr>
          <w:rFonts w:ascii="Arial" w:eastAsia="Arial" w:hAnsi="Arial" w:cs="Arial"/>
          <w:color w:val="000000" w:themeColor="text1"/>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1540D1AF" w14:textId="77777777" w:rsidR="00111B3A" w:rsidRPr="005873AF" w:rsidRDefault="00111B3A" w:rsidP="00111B3A">
      <w:pPr>
        <w:spacing w:after="120"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t xml:space="preserve">Por un lado, el artículo 33 de la Ley 996 de 2005 prohíbe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la contratación directa por parte de todos los entes del Estado</w:t>
      </w:r>
      <w:r w:rsidRPr="005873AF">
        <w:rPr>
          <w:rFonts w:ascii="Arial" w:eastAsia="Calibri" w:hAnsi="Arial" w:cs="Arial"/>
          <w:bCs/>
          <w:color w:val="000000" w:themeColor="text1"/>
          <w:sz w:val="22"/>
        </w:rPr>
        <w:t>»</w:t>
      </w:r>
      <w:r w:rsidRPr="005873AF">
        <w:rPr>
          <w:rFonts w:ascii="Arial" w:eastAsia="Calibri" w:hAnsi="Arial" w:cs="Arial"/>
          <w:color w:val="000000" w:themeColor="text1"/>
          <w:sz w:val="22"/>
        </w:rPr>
        <w:t xml:space="preserve"> durante los cuatro (4) meses anteriores a las elecciones presidenciales, salvo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 xml:space="preserve">lo referente a la defensa y seguridad del Estado, los </w:t>
      </w:r>
      <w:r w:rsidRPr="005873AF">
        <w:rPr>
          <w:rFonts w:ascii="Arial" w:eastAsia="Calibri" w:hAnsi="Arial" w:cs="Arial"/>
          <w:color w:val="000000" w:themeColor="text1"/>
          <w:sz w:val="22"/>
        </w:rPr>
        <w:lastRenderedPageBreak/>
        <w:t>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22"/>
        </w:rPr>
        <w:t>»</w:t>
      </w:r>
      <w:r w:rsidRPr="005873AF">
        <w:rPr>
          <w:rFonts w:ascii="Arial" w:eastAsia="Calibri" w:hAnsi="Arial" w:cs="Arial"/>
          <w:bCs/>
          <w:color w:val="000000" w:themeColor="text1"/>
          <w:sz w:val="22"/>
          <w:vertAlign w:val="superscript"/>
        </w:rPr>
        <w:footnoteReference w:id="9"/>
      </w:r>
      <w:r w:rsidRPr="005873AF">
        <w:rPr>
          <w:rFonts w:ascii="Arial" w:eastAsia="Calibri" w:hAnsi="Arial" w:cs="Arial"/>
          <w:color w:val="000000" w:themeColor="text1"/>
          <w:sz w:val="22"/>
        </w:rPr>
        <w:t>.</w:t>
      </w:r>
    </w:p>
    <w:p w14:paraId="72B8F4B9" w14:textId="77777777" w:rsidR="00111B3A" w:rsidRPr="005873AF" w:rsidRDefault="00111B3A" w:rsidP="00111B3A">
      <w:pPr>
        <w:widowControl w:val="0"/>
        <w:autoSpaceDE w:val="0"/>
        <w:autoSpaceDN w:val="0"/>
        <w:spacing w:line="276" w:lineRule="auto"/>
        <w:ind w:right="113" w:firstLine="708"/>
        <w:jc w:val="both"/>
        <w:rPr>
          <w:rFonts w:ascii="Arial" w:eastAsia="Arial" w:hAnsi="Arial" w:cs="Arial"/>
          <w:color w:val="000000" w:themeColor="text1"/>
          <w:sz w:val="22"/>
          <w:lang w:val="es-ES" w:eastAsia="es-ES" w:bidi="es-ES"/>
        </w:rPr>
      </w:pPr>
      <w:r w:rsidRPr="005873AF">
        <w:rPr>
          <w:rFonts w:ascii="Arial" w:eastAsia="Calibri" w:hAnsi="Arial" w:cs="Arial"/>
          <w:color w:val="000000" w:themeColor="text1"/>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9"/>
          <w:szCs w:val="19"/>
        </w:rPr>
        <w:t>»</w:t>
      </w:r>
      <w:r w:rsidRPr="005873AF">
        <w:rPr>
          <w:rFonts w:ascii="Arial" w:eastAsia="Calibri" w:hAnsi="Arial" w:cs="Arial"/>
          <w:bCs/>
          <w:color w:val="000000" w:themeColor="text1"/>
          <w:sz w:val="19"/>
          <w:szCs w:val="19"/>
          <w:vertAlign w:val="superscript"/>
        </w:rPr>
        <w:footnoteReference w:id="10"/>
      </w:r>
      <w:r w:rsidRPr="005873AF">
        <w:rPr>
          <w:rFonts w:ascii="Arial" w:eastAsia="Calibri" w:hAnsi="Arial" w:cs="Arial"/>
          <w:color w:val="000000" w:themeColor="text1"/>
          <w:sz w:val="22"/>
        </w:rPr>
        <w:t>.</w:t>
      </w:r>
      <w:r w:rsidRPr="005873AF">
        <w:rPr>
          <w:rFonts w:ascii="Arial" w:eastAsia="Arial" w:hAnsi="Arial" w:cs="Arial"/>
          <w:color w:val="000000" w:themeColor="text1"/>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C91485B" w14:textId="77777777" w:rsidR="00111B3A" w:rsidRPr="005873AF" w:rsidRDefault="00111B3A" w:rsidP="00111B3A">
      <w:pPr>
        <w:widowControl w:val="0"/>
        <w:autoSpaceDE w:val="0"/>
        <w:autoSpaceDN w:val="0"/>
        <w:ind w:left="805" w:right="812"/>
        <w:rPr>
          <w:rFonts w:ascii="Arial" w:eastAsia="Arial" w:hAnsi="Arial" w:cs="Arial"/>
          <w:color w:val="000000" w:themeColor="text1"/>
          <w:sz w:val="22"/>
          <w:lang w:val="es-ES" w:eastAsia="es-ES" w:bidi="es-ES"/>
        </w:rPr>
      </w:pPr>
    </w:p>
    <w:p w14:paraId="2C919B4F" w14:textId="77777777" w:rsidR="00111B3A" w:rsidRPr="005873AF" w:rsidRDefault="00111B3A" w:rsidP="00111B3A">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5873AF">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873AF">
        <w:rPr>
          <w:rFonts w:ascii="Arial" w:eastAsia="Arial" w:hAnsi="Arial" w:cs="Arial"/>
          <w:bCs/>
          <w:color w:val="000000" w:themeColor="text1"/>
          <w:sz w:val="21"/>
          <w:szCs w:val="21"/>
          <w:lang w:val="es-ES" w:eastAsia="es-ES" w:bidi="es-ES"/>
        </w:rPr>
        <w:t xml:space="preserve">En cambio, para elecciones en general, excluyendo las correspondientes a </w:t>
      </w:r>
      <w:proofErr w:type="gramStart"/>
      <w:r w:rsidRPr="005873AF">
        <w:rPr>
          <w:rFonts w:ascii="Arial" w:eastAsia="Arial" w:hAnsi="Arial" w:cs="Arial"/>
          <w:bCs/>
          <w:color w:val="000000" w:themeColor="text1"/>
          <w:sz w:val="21"/>
          <w:szCs w:val="21"/>
          <w:lang w:val="es-ES" w:eastAsia="es-ES" w:bidi="es-ES"/>
        </w:rPr>
        <w:t>Presidente</w:t>
      </w:r>
      <w:proofErr w:type="gramEnd"/>
      <w:r w:rsidRPr="005873AF">
        <w:rPr>
          <w:rFonts w:ascii="Arial" w:eastAsia="Arial" w:hAnsi="Arial" w:cs="Arial"/>
          <w:bCs/>
          <w:color w:val="000000" w:themeColor="text1"/>
          <w:sz w:val="21"/>
          <w:szCs w:val="21"/>
          <w:lang w:val="es-ES" w:eastAsia="es-ES" w:bidi="es-ES"/>
        </w:rPr>
        <w:t xml:space="preserve"> de la República, a las autoridades territoriales allí mencionadas sólo se aplican las </w:t>
      </w:r>
      <w:r w:rsidRPr="005873AF">
        <w:rPr>
          <w:rFonts w:ascii="Arial" w:eastAsia="Arial" w:hAnsi="Arial" w:cs="Arial"/>
          <w:bCs/>
          <w:color w:val="000000" w:themeColor="text1"/>
          <w:sz w:val="21"/>
          <w:szCs w:val="21"/>
          <w:lang w:val="es-ES" w:eastAsia="es-ES" w:bidi="es-ES"/>
        </w:rPr>
        <w:lastRenderedPageBreak/>
        <w:t>restricciones contenidas en el parágrafo del artículo 38</w:t>
      </w:r>
      <w:r w:rsidRPr="005873AF">
        <w:rPr>
          <w:rFonts w:ascii="Arial" w:eastAsia="Arial" w:hAnsi="Arial" w:cs="Arial"/>
          <w:color w:val="000000" w:themeColor="text1"/>
          <w:sz w:val="21"/>
          <w:szCs w:val="21"/>
          <w:lang w:val="es-ES" w:eastAsia="es-ES" w:bidi="es-ES"/>
        </w:rPr>
        <w:t>.</w:t>
      </w:r>
      <w:r w:rsidRPr="005873AF">
        <w:rPr>
          <w:rFonts w:ascii="Arial" w:eastAsia="Arial" w:hAnsi="Arial" w:cs="Arial"/>
          <w:color w:val="000000" w:themeColor="text1"/>
          <w:sz w:val="21"/>
          <w:szCs w:val="21"/>
          <w:vertAlign w:val="superscript"/>
          <w:lang w:val="es-ES" w:eastAsia="es-ES" w:bidi="es-ES"/>
        </w:rPr>
        <w:footnoteReference w:id="11"/>
      </w:r>
    </w:p>
    <w:p w14:paraId="68FFEDC7" w14:textId="77777777" w:rsidR="00111B3A" w:rsidRPr="005873AF" w:rsidRDefault="00111B3A" w:rsidP="00111B3A">
      <w:pPr>
        <w:widowControl w:val="0"/>
        <w:autoSpaceDE w:val="0"/>
        <w:autoSpaceDN w:val="0"/>
        <w:spacing w:before="8"/>
        <w:rPr>
          <w:rFonts w:ascii="Arial" w:eastAsia="Arial" w:hAnsi="Arial" w:cs="Arial"/>
          <w:color w:val="000000" w:themeColor="text1"/>
          <w:sz w:val="22"/>
          <w:lang w:val="es-ES" w:eastAsia="es-ES" w:bidi="es-ES"/>
        </w:rPr>
      </w:pPr>
    </w:p>
    <w:p w14:paraId="3D51E175"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De lo anterior se desprende que </w:t>
      </w:r>
      <w:bookmarkStart w:id="13" w:name="_Hlk77236420"/>
      <w:bookmarkStart w:id="14" w:name="_Hlk78818435"/>
      <w:r w:rsidRPr="005873AF">
        <w:rPr>
          <w:rFonts w:ascii="Arial" w:eastAsia="Arial" w:hAnsi="Arial" w:cs="Arial"/>
          <w:color w:val="000000" w:themeColor="text1"/>
          <w:sz w:val="22"/>
          <w:lang w:val="es-ES" w:eastAsia="es-ES" w:bidi="es-ES"/>
        </w:rPr>
        <w:t xml:space="preserve">la Ley 996 de 2005 establece dos (2) tipos de restricciones en materia de contratación, las cuales coinciden parcialmente. </w:t>
      </w:r>
      <w:r w:rsidRPr="005873AF">
        <w:rPr>
          <w:rFonts w:ascii="Arial" w:eastAsia="Arial" w:hAnsi="Arial" w:cs="Arial"/>
          <w:i/>
          <w:iCs/>
          <w:color w:val="000000" w:themeColor="text1"/>
          <w:sz w:val="22"/>
          <w:lang w:val="es-ES" w:eastAsia="es-ES" w:bidi="es-ES"/>
        </w:rPr>
        <w:t>En primer lugar</w:t>
      </w:r>
      <w:r w:rsidRPr="005873AF">
        <w:rPr>
          <w:rFonts w:ascii="Arial" w:eastAsia="Arial" w:hAnsi="Arial" w:cs="Arial"/>
          <w:color w:val="000000" w:themeColor="text1"/>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873AF">
        <w:rPr>
          <w:rFonts w:ascii="Arial" w:eastAsia="Arial" w:hAnsi="Arial" w:cs="Arial"/>
          <w:i/>
          <w:iCs/>
          <w:color w:val="000000" w:themeColor="text1"/>
          <w:sz w:val="22"/>
          <w:lang w:val="es-ES" w:eastAsia="es-ES" w:bidi="es-ES"/>
        </w:rPr>
        <w:t>En segundo lugar</w:t>
      </w:r>
      <w:r w:rsidRPr="005873AF">
        <w:rPr>
          <w:rFonts w:ascii="Arial" w:eastAsia="Arial" w:hAnsi="Arial" w:cs="Arial"/>
          <w:color w:val="000000" w:themeColor="text1"/>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3"/>
    </w:p>
    <w:bookmarkEnd w:id="14"/>
    <w:p w14:paraId="09430A24"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Ambas restricciones no son excluyentes, lo que permite concluir que en el período preelectoral para elección de </w:t>
      </w:r>
      <w:proofErr w:type="gramStart"/>
      <w:r w:rsidRPr="005873AF">
        <w:rPr>
          <w:rFonts w:ascii="Arial" w:eastAsia="Arial" w:hAnsi="Arial" w:cs="Arial"/>
          <w:color w:val="000000" w:themeColor="text1"/>
          <w:sz w:val="22"/>
          <w:lang w:val="es-ES" w:eastAsia="es-ES" w:bidi="es-ES"/>
        </w:rPr>
        <w:t>Presidente</w:t>
      </w:r>
      <w:proofErr w:type="gramEnd"/>
      <w:r w:rsidRPr="005873AF">
        <w:rPr>
          <w:rFonts w:ascii="Arial" w:eastAsia="Arial" w:hAnsi="Arial" w:cs="Arial"/>
          <w:color w:val="000000" w:themeColor="text1"/>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5873AF">
        <w:rPr>
          <w:rFonts w:ascii="Arial" w:eastAsia="Arial" w:hAnsi="Arial" w:cs="Arial"/>
          <w:color w:val="000000" w:themeColor="text1"/>
          <w:sz w:val="22"/>
          <w:lang w:val="es-ES" w:eastAsia="es-ES" w:bidi="es-ES"/>
        </w:rPr>
        <w:t>Presidente</w:t>
      </w:r>
      <w:proofErr w:type="gramEnd"/>
      <w:r w:rsidRPr="005873AF">
        <w:rPr>
          <w:rFonts w:ascii="Arial" w:eastAsia="Arial" w:hAnsi="Arial" w:cs="Arial"/>
          <w:color w:val="000000" w:themeColor="text1"/>
          <w:sz w:val="22"/>
          <w:lang w:val="es-ES" w:eastAsia="es-ES" w:bidi="es-ES"/>
        </w:rPr>
        <w:t xml:space="preserve"> de la República, las autoridades allí mencionadas sólo deben aplicar las restricciones contenidas en el parágrafo del artículo 38.</w:t>
      </w:r>
    </w:p>
    <w:p w14:paraId="6BE8C93D" w14:textId="77777777" w:rsidR="00111B3A" w:rsidRPr="005873AF" w:rsidRDefault="00111B3A" w:rsidP="00111B3A">
      <w:pPr>
        <w:spacing w:line="276" w:lineRule="auto"/>
        <w:ind w:firstLine="708"/>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5873AF">
        <w:rPr>
          <w:rFonts w:ascii="Arial" w:eastAsia="Arial" w:hAnsi="Arial" w:cs="Arial"/>
          <w:color w:val="000000" w:themeColor="text1"/>
          <w:sz w:val="22"/>
          <w:lang w:val="es-ES" w:eastAsia="es-ES" w:bidi="es-ES"/>
        </w:rPr>
        <w:t>Presidente</w:t>
      </w:r>
      <w:proofErr w:type="gramEnd"/>
      <w:r w:rsidRPr="005873AF">
        <w:rPr>
          <w:rFonts w:ascii="Arial" w:eastAsia="Arial" w:hAnsi="Arial" w:cs="Arial"/>
          <w:color w:val="000000" w:themeColor="text1"/>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196DBDA" w14:textId="252DFD42" w:rsidR="00184443" w:rsidRDefault="00184443" w:rsidP="00184443">
      <w:pPr>
        <w:widowControl w:val="0"/>
        <w:pBdr>
          <w:top w:val="nil"/>
          <w:left w:val="nil"/>
          <w:bottom w:val="nil"/>
          <w:right w:val="nil"/>
          <w:between w:val="nil"/>
        </w:pBdr>
        <w:spacing w:line="276" w:lineRule="auto"/>
        <w:ind w:firstLine="709"/>
        <w:jc w:val="both"/>
        <w:rPr>
          <w:rFonts w:ascii="Arial" w:eastAsia="Arial" w:hAnsi="Arial" w:cs="Arial"/>
          <w:color w:val="000000"/>
          <w:sz w:val="22"/>
          <w:szCs w:val="22"/>
        </w:rPr>
      </w:pPr>
      <w:bookmarkStart w:id="15" w:name="_1ksv4uv" w:colFirst="0" w:colLast="0"/>
      <w:bookmarkEnd w:id="15"/>
    </w:p>
    <w:p w14:paraId="5C2E6711" w14:textId="70DD6835" w:rsidR="004500E8" w:rsidRPr="005873AF" w:rsidRDefault="004500E8" w:rsidP="004500E8">
      <w:pPr>
        <w:spacing w:line="276" w:lineRule="auto"/>
        <w:ind w:right="49"/>
        <w:jc w:val="both"/>
        <w:rPr>
          <w:rFonts w:ascii="Arial" w:hAnsi="Arial" w:cs="Arial"/>
          <w:b/>
          <w:color w:val="000000" w:themeColor="text1"/>
          <w:sz w:val="22"/>
          <w:szCs w:val="22"/>
          <w:lang w:val="es-ES" w:eastAsia="es-CO"/>
        </w:rPr>
      </w:pPr>
      <w:r w:rsidRPr="005873AF">
        <w:rPr>
          <w:rFonts w:ascii="Arial" w:hAnsi="Arial" w:cs="Arial"/>
          <w:b/>
          <w:color w:val="000000" w:themeColor="text1"/>
          <w:sz w:val="22"/>
          <w:szCs w:val="22"/>
          <w:lang w:val="es-ES" w:eastAsia="es-CO"/>
        </w:rPr>
        <w:t>2.</w:t>
      </w:r>
      <w:r w:rsidR="004D1322">
        <w:rPr>
          <w:rFonts w:ascii="Arial" w:hAnsi="Arial" w:cs="Arial"/>
          <w:b/>
          <w:color w:val="000000" w:themeColor="text1"/>
          <w:sz w:val="22"/>
          <w:szCs w:val="22"/>
          <w:lang w:val="es-ES" w:eastAsia="es-CO"/>
        </w:rPr>
        <w:t>3</w:t>
      </w:r>
      <w:r w:rsidRPr="005873AF">
        <w:rPr>
          <w:rFonts w:ascii="Arial" w:hAnsi="Arial" w:cs="Arial"/>
          <w:b/>
          <w:color w:val="000000" w:themeColor="text1"/>
          <w:sz w:val="22"/>
          <w:szCs w:val="22"/>
          <w:lang w:val="es-ES" w:eastAsia="es-CO"/>
        </w:rPr>
        <w:t xml:space="preserve">. </w:t>
      </w:r>
      <w:r w:rsidRPr="005873AF">
        <w:rPr>
          <w:rFonts w:ascii="Arial" w:hAnsi="Arial" w:cs="Arial"/>
          <w:b/>
          <w:bCs/>
          <w:color w:val="000000" w:themeColor="text1"/>
          <w:sz w:val="22"/>
          <w:szCs w:val="22"/>
          <w:lang w:val="es-MX" w:eastAsia="es-CO"/>
        </w:rPr>
        <w:t>Restricciones en elecciones presidenciales</w:t>
      </w:r>
      <w:r w:rsidR="00CC7D38" w:rsidRPr="005873AF">
        <w:rPr>
          <w:rFonts w:ascii="Arial" w:hAnsi="Arial" w:cs="Arial"/>
          <w:b/>
          <w:bCs/>
          <w:color w:val="000000" w:themeColor="text1"/>
          <w:sz w:val="22"/>
          <w:szCs w:val="22"/>
          <w:lang w:val="es-MX" w:eastAsia="es-CO"/>
        </w:rPr>
        <w:t>: prohibición del artículo 33 de la Ley 996 de 2005</w:t>
      </w:r>
    </w:p>
    <w:p w14:paraId="7B34CE04" w14:textId="75EB0471" w:rsidR="004500E8" w:rsidRDefault="004500E8" w:rsidP="004500E8">
      <w:pPr>
        <w:spacing w:line="276" w:lineRule="auto"/>
        <w:ind w:right="49"/>
        <w:jc w:val="both"/>
        <w:rPr>
          <w:rFonts w:ascii="Arial" w:hAnsi="Arial" w:cs="Arial"/>
          <w:bCs/>
          <w:color w:val="000000" w:themeColor="text1"/>
          <w:sz w:val="22"/>
          <w:szCs w:val="22"/>
          <w:lang w:val="es-MX" w:eastAsia="x-none"/>
        </w:rPr>
      </w:pPr>
    </w:p>
    <w:p w14:paraId="3A913228" w14:textId="77777777" w:rsidR="00A31B74" w:rsidRPr="005873AF" w:rsidRDefault="00A31B74" w:rsidP="00A31B74">
      <w:pPr>
        <w:spacing w:line="276" w:lineRule="auto"/>
        <w:ind w:right="49"/>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x-none"/>
        </w:rPr>
        <w:t xml:space="preserve">El ámbito material de la prohibición contenida </w:t>
      </w:r>
      <w:bookmarkStart w:id="16" w:name="_Hlk75628761"/>
      <w:r w:rsidRPr="005873AF">
        <w:rPr>
          <w:rFonts w:ascii="Arial" w:hAnsi="Arial" w:cs="Arial"/>
          <w:bCs/>
          <w:color w:val="000000" w:themeColor="text1"/>
          <w:sz w:val="22"/>
          <w:szCs w:val="22"/>
          <w:lang w:val="es-MX" w:eastAsia="x-none"/>
        </w:rPr>
        <w:t xml:space="preserve">en el artículo 33 de la ley 996 de 2005 </w:t>
      </w:r>
      <w:bookmarkEnd w:id="16"/>
      <w:r w:rsidRPr="005873AF">
        <w:rPr>
          <w:rFonts w:ascii="Arial" w:hAnsi="Arial" w:cs="Arial"/>
          <w:bCs/>
          <w:color w:val="000000" w:themeColor="text1"/>
          <w:sz w:val="22"/>
          <w:szCs w:val="22"/>
          <w:lang w:val="es-MX" w:eastAsia="x-none"/>
        </w:rPr>
        <w:t xml:space="preserve">está delimitado por la expresión </w:t>
      </w:r>
      <w:r w:rsidRPr="005873AF">
        <w:rPr>
          <w:rFonts w:ascii="Arial" w:eastAsia="Calibri" w:hAnsi="Arial" w:cs="Arial"/>
          <w:bCs/>
          <w:color w:val="000000" w:themeColor="text1"/>
          <w:sz w:val="20"/>
          <w:szCs w:val="20"/>
          <w:lang w:val="es-MX" w:eastAsia="en-US"/>
        </w:rPr>
        <w:t>«</w:t>
      </w:r>
      <w:r w:rsidRPr="005873AF">
        <w:rPr>
          <w:rFonts w:ascii="Arial" w:hAnsi="Arial" w:cs="Arial"/>
          <w:bCs/>
          <w:color w:val="000000" w:themeColor="text1"/>
          <w:sz w:val="22"/>
          <w:szCs w:val="22"/>
          <w:lang w:val="es-MX" w:eastAsia="x-none"/>
        </w:rPr>
        <w:t>queda prohibida la contratación directa</w:t>
      </w:r>
      <w:r w:rsidRPr="005873AF">
        <w:rPr>
          <w:rFonts w:ascii="Arial" w:eastAsiaTheme="minorHAnsi" w:hAnsi="Arial" w:cs="Arial"/>
          <w:color w:val="000000" w:themeColor="text1"/>
          <w:sz w:val="20"/>
          <w:szCs w:val="20"/>
          <w:lang w:val="es-MX" w:eastAsia="en-US"/>
        </w:rPr>
        <w:t>»</w:t>
      </w:r>
      <w:r w:rsidRPr="005873AF">
        <w:rPr>
          <w:rFonts w:ascii="Arial" w:hAnsi="Arial" w:cs="Arial"/>
          <w:bCs/>
          <w:color w:val="000000" w:themeColor="text1"/>
          <w:sz w:val="22"/>
          <w:szCs w:val="22"/>
          <w:lang w:val="es-MX" w:eastAsia="x-none"/>
        </w:rPr>
        <w:t xml:space="preserve">. </w:t>
      </w:r>
      <w:r w:rsidRPr="005873AF">
        <w:rPr>
          <w:rFonts w:ascii="Arial" w:hAnsi="Arial" w:cs="Arial"/>
          <w:color w:val="000000" w:themeColor="text1"/>
          <w:sz w:val="22"/>
          <w:szCs w:val="22"/>
          <w:lang w:val="es-MX" w:eastAsia="es-CO"/>
        </w:rPr>
        <w:t xml:space="preserve">A propósito de </w:t>
      </w:r>
      <w:r w:rsidRPr="005873AF">
        <w:rPr>
          <w:rFonts w:ascii="Arial" w:hAnsi="Arial" w:cs="Arial"/>
          <w:color w:val="000000" w:themeColor="text1"/>
          <w:sz w:val="22"/>
          <w:szCs w:val="22"/>
          <w:lang w:eastAsia="es-CO"/>
        </w:rPr>
        <w:t>esta restricción de la Ley de Garantías Electorales, la Sala de Consulta y Servicio Civil del Consejo de Estado ha considerado que:</w:t>
      </w:r>
    </w:p>
    <w:p w14:paraId="6F3DF601" w14:textId="77777777" w:rsidR="00A31B74" w:rsidRPr="005873AF" w:rsidRDefault="00A31B74" w:rsidP="00A31B74">
      <w:pPr>
        <w:spacing w:line="276" w:lineRule="auto"/>
        <w:ind w:left="708" w:right="49"/>
        <w:jc w:val="both"/>
        <w:rPr>
          <w:rFonts w:ascii="Arial" w:eastAsiaTheme="minorHAnsi" w:hAnsi="Arial" w:cs="Arial"/>
          <w:color w:val="000000" w:themeColor="text1"/>
          <w:sz w:val="21"/>
          <w:szCs w:val="21"/>
          <w:lang w:val="es-MX" w:eastAsia="en-US"/>
        </w:rPr>
      </w:pPr>
    </w:p>
    <w:p w14:paraId="37137D86" w14:textId="77777777" w:rsidR="00A31B74" w:rsidRPr="005873AF" w:rsidRDefault="00A31B74" w:rsidP="00A31B74">
      <w:pPr>
        <w:spacing w:after="120"/>
        <w:ind w:left="709" w:right="709"/>
        <w:jc w:val="both"/>
        <w:rPr>
          <w:rFonts w:ascii="Arial" w:hAnsi="Arial" w:cs="Arial"/>
          <w:color w:val="000000" w:themeColor="text1"/>
          <w:sz w:val="21"/>
          <w:szCs w:val="21"/>
          <w:lang w:val="es-ES" w:eastAsia="es-CO"/>
        </w:rPr>
      </w:pPr>
      <w:r w:rsidRPr="005873AF">
        <w:rPr>
          <w:rFonts w:ascii="Arial" w:hAnsi="Arial" w:cs="Arial"/>
          <w:color w:val="000000" w:themeColor="text1"/>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73AF">
        <w:rPr>
          <w:rFonts w:ascii="Arial" w:hAnsi="Arial" w:cs="Arial"/>
          <w:color w:val="000000" w:themeColor="text1"/>
          <w:sz w:val="21"/>
          <w:szCs w:val="21"/>
          <w:lang w:val="es-ES" w:eastAsia="es-CO"/>
        </w:rPr>
        <w:footnoteReference w:id="12"/>
      </w:r>
      <w:r w:rsidRPr="005873AF">
        <w:rPr>
          <w:rFonts w:ascii="Arial" w:hAnsi="Arial" w:cs="Arial"/>
          <w:color w:val="000000" w:themeColor="text1"/>
          <w:sz w:val="21"/>
          <w:szCs w:val="21"/>
          <w:lang w:val="es-ES" w:eastAsia="es-CO"/>
        </w:rPr>
        <w:t>.</w:t>
      </w:r>
    </w:p>
    <w:p w14:paraId="01C34C95" w14:textId="77777777" w:rsidR="00A31B74" w:rsidRPr="005873AF" w:rsidRDefault="00A31B74" w:rsidP="00A31B74">
      <w:pPr>
        <w:ind w:left="708" w:right="709"/>
        <w:jc w:val="both"/>
        <w:rPr>
          <w:rFonts w:ascii="Arial" w:eastAsiaTheme="minorHAnsi" w:hAnsi="Arial" w:cs="Arial"/>
          <w:color w:val="000000" w:themeColor="text1"/>
          <w:sz w:val="21"/>
          <w:szCs w:val="21"/>
          <w:lang w:val="es-MX" w:eastAsia="en-US"/>
        </w:rPr>
      </w:pPr>
      <w:r w:rsidRPr="005873AF">
        <w:rPr>
          <w:rFonts w:ascii="Arial" w:hAnsi="Arial" w:cs="Arial"/>
          <w:color w:val="000000" w:themeColor="text1"/>
          <w:sz w:val="21"/>
          <w:szCs w:val="21"/>
          <w:lang w:val="es-ES" w:eastAsia="es-CO"/>
        </w:rPr>
        <w:t xml:space="preserve">Esta Sala ha entendido </w:t>
      </w:r>
      <w:proofErr w:type="gramStart"/>
      <w:r w:rsidRPr="005873AF">
        <w:rPr>
          <w:rFonts w:ascii="Arial" w:hAnsi="Arial" w:cs="Arial"/>
          <w:color w:val="000000" w:themeColor="text1"/>
          <w:sz w:val="21"/>
          <w:szCs w:val="21"/>
          <w:lang w:val="es-ES" w:eastAsia="es-CO"/>
        </w:rPr>
        <w:t>que</w:t>
      </w:r>
      <w:proofErr w:type="gramEnd"/>
      <w:r w:rsidRPr="005873AF">
        <w:rPr>
          <w:rFonts w:ascii="Arial" w:hAnsi="Arial" w:cs="Arial"/>
          <w:color w:val="000000" w:themeColor="text1"/>
          <w:sz w:val="21"/>
          <w:szCs w:val="21"/>
          <w:lang w:val="es-ES" w:eastAsia="es-CO"/>
        </w:rPr>
        <w:t xml:space="preserve"> para los efectos de la ley de garantías, y dada su finalidad, el enunciado ´contratación directa´ es sinónimo </w:t>
      </w:r>
      <w:bookmarkStart w:id="19" w:name="_Hlk75741738"/>
      <w:r w:rsidRPr="005873AF">
        <w:rPr>
          <w:rFonts w:ascii="Arial" w:hAnsi="Arial" w:cs="Arial"/>
          <w:color w:val="000000" w:themeColor="text1"/>
          <w:sz w:val="21"/>
          <w:szCs w:val="21"/>
          <w:lang w:val="es-ES" w:eastAsia="es-CO"/>
        </w:rPr>
        <w:t xml:space="preserve">de cualquier sistema que no implique convocatoria pública y posibilidad de pluralidad de oferentes, </w:t>
      </w:r>
      <w:bookmarkEnd w:id="19"/>
      <w:r w:rsidRPr="005873AF">
        <w:rPr>
          <w:rFonts w:ascii="Arial" w:hAnsi="Arial" w:cs="Arial"/>
          <w:color w:val="000000" w:themeColor="text1"/>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5873AF">
        <w:rPr>
          <w:rFonts w:ascii="Arial" w:hAnsi="Arial" w:cs="Arial"/>
          <w:color w:val="000000" w:themeColor="text1"/>
          <w:sz w:val="21"/>
          <w:szCs w:val="21"/>
          <w:vertAlign w:val="superscript"/>
          <w:lang w:val="es-ES" w:eastAsia="es-CO"/>
        </w:rPr>
        <w:footnoteReference w:id="13"/>
      </w:r>
      <w:r w:rsidRPr="005873AF">
        <w:rPr>
          <w:rFonts w:ascii="Arial" w:hAnsi="Arial" w:cs="Arial"/>
          <w:color w:val="000000" w:themeColor="text1"/>
          <w:sz w:val="21"/>
          <w:szCs w:val="21"/>
          <w:vertAlign w:val="superscript"/>
          <w:lang w:val="es-ES" w:eastAsia="es-CO"/>
        </w:rPr>
        <w:t>.</w:t>
      </w:r>
      <w:r w:rsidRPr="005873AF">
        <w:rPr>
          <w:rFonts w:ascii="Arial" w:hAnsi="Arial" w:cs="Arial"/>
          <w:color w:val="000000" w:themeColor="text1"/>
          <w:sz w:val="21"/>
          <w:szCs w:val="21"/>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873AF">
        <w:rPr>
          <w:rFonts w:ascii="Arial" w:hAnsi="Arial" w:cs="Arial"/>
          <w:color w:val="000000" w:themeColor="text1"/>
          <w:sz w:val="22"/>
          <w:szCs w:val="22"/>
          <w:vertAlign w:val="superscript"/>
          <w:lang w:eastAsia="es-CO"/>
        </w:rPr>
        <w:footnoteReference w:id="14"/>
      </w:r>
      <w:r w:rsidRPr="005873AF">
        <w:rPr>
          <w:rFonts w:ascii="Arial" w:eastAsiaTheme="minorHAnsi" w:hAnsi="Arial" w:cs="Arial"/>
          <w:color w:val="000000" w:themeColor="text1"/>
          <w:sz w:val="21"/>
          <w:szCs w:val="21"/>
          <w:lang w:val="es-MX" w:eastAsia="en-US"/>
        </w:rPr>
        <w:t xml:space="preserve"> .</w:t>
      </w:r>
    </w:p>
    <w:p w14:paraId="3C5DADDF" w14:textId="77777777" w:rsidR="00A31B74" w:rsidRPr="005873AF" w:rsidRDefault="00A31B74" w:rsidP="00A31B74">
      <w:pPr>
        <w:shd w:val="clear" w:color="auto" w:fill="FFFFFF"/>
        <w:spacing w:line="276" w:lineRule="auto"/>
        <w:ind w:right="49" w:firstLine="709"/>
        <w:jc w:val="both"/>
        <w:rPr>
          <w:rFonts w:ascii="Arial" w:hAnsi="Arial" w:cs="Arial"/>
          <w:color w:val="000000" w:themeColor="text1"/>
          <w:sz w:val="22"/>
          <w:szCs w:val="22"/>
          <w:lang w:eastAsia="x-none"/>
        </w:rPr>
      </w:pPr>
    </w:p>
    <w:p w14:paraId="70E41143"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eastAsia="x-none"/>
        </w:rPr>
      </w:pPr>
      <w:r w:rsidRPr="005873AF">
        <w:rPr>
          <w:rFonts w:ascii="Arial" w:hAnsi="Arial" w:cs="Arial"/>
          <w:color w:val="000000" w:themeColor="text1"/>
          <w:sz w:val="22"/>
          <w:szCs w:val="22"/>
          <w:lang w:eastAsia="x-none"/>
        </w:rPr>
        <w:t xml:space="preserve">De conformidad con el citado concepto, </w:t>
      </w:r>
      <w:bookmarkStart w:id="21" w:name="_Hlk78818702"/>
      <w:r w:rsidRPr="005873AF">
        <w:rPr>
          <w:rFonts w:ascii="Arial" w:hAnsi="Arial" w:cs="Arial"/>
          <w:color w:val="000000" w:themeColor="text1"/>
          <w:sz w:val="22"/>
          <w:szCs w:val="22"/>
          <w:lang w:eastAsia="x-none"/>
        </w:rPr>
        <w:t xml:space="preserve">la prohibición del artículo 33 de la Ley de Garantías Electorales se refiere a </w:t>
      </w:r>
      <w:bookmarkStart w:id="22" w:name="_Hlk74294635"/>
      <w:r w:rsidRPr="005873AF">
        <w:rPr>
          <w:rFonts w:ascii="Arial" w:hAnsi="Arial" w:cs="Arial"/>
          <w:color w:val="000000" w:themeColor="text1"/>
          <w:sz w:val="19"/>
          <w:szCs w:val="19"/>
          <w:lang w:eastAsia="en-GB"/>
        </w:rPr>
        <w:t>«</w:t>
      </w:r>
      <w:bookmarkEnd w:id="22"/>
      <w:r w:rsidRPr="005873AF">
        <w:rPr>
          <w:rFonts w:ascii="Arial" w:hAnsi="Arial" w:cs="Arial"/>
          <w:color w:val="000000" w:themeColor="text1"/>
          <w:sz w:val="22"/>
          <w:szCs w:val="22"/>
          <w:lang w:eastAsia="x-none"/>
        </w:rPr>
        <w:t>cualquier sistema que no implique convocatoria pública y posibilidad de pluralidad de oferentes</w:t>
      </w:r>
      <w:bookmarkStart w:id="23" w:name="_Hlk74404754"/>
      <w:r w:rsidRPr="005873AF">
        <w:rPr>
          <w:rFonts w:ascii="Arial" w:hAnsi="Arial" w:cs="Arial"/>
          <w:color w:val="000000" w:themeColor="text1"/>
          <w:sz w:val="22"/>
          <w:szCs w:val="22"/>
          <w:lang w:eastAsia="en-GB"/>
        </w:rPr>
        <w:t>»</w:t>
      </w:r>
      <w:bookmarkEnd w:id="23"/>
      <w:r w:rsidRPr="005873AF">
        <w:rPr>
          <w:rFonts w:ascii="Arial" w:hAnsi="Arial" w:cs="Arial"/>
          <w:color w:val="000000" w:themeColor="text1"/>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1"/>
      <w:r w:rsidRPr="005873AF">
        <w:rPr>
          <w:rFonts w:ascii="Arial" w:hAnsi="Arial" w:cs="Arial"/>
          <w:color w:val="000000" w:themeColor="text1"/>
          <w:sz w:val="22"/>
          <w:szCs w:val="22"/>
          <w:lang w:eastAsia="x-none"/>
        </w:rPr>
        <w:t>Esta posición es congruente con la expedición de la Ley 1150 de 2007 que, entre otras reformas, introdujo la selección abreviada, rediseñó el concurso de méritos</w:t>
      </w:r>
      <w:r w:rsidRPr="005873AF">
        <w:rPr>
          <w:rFonts w:ascii="Arial" w:hAnsi="Arial" w:cs="Arial"/>
          <w:color w:val="000000" w:themeColor="text1"/>
          <w:sz w:val="22"/>
          <w:szCs w:val="22"/>
          <w:vertAlign w:val="superscript"/>
          <w:lang w:val="en-GB" w:eastAsia="x-none"/>
        </w:rPr>
        <w:footnoteReference w:id="15"/>
      </w:r>
      <w:r w:rsidRPr="005873AF">
        <w:rPr>
          <w:rFonts w:ascii="Arial" w:hAnsi="Arial" w:cs="Arial"/>
          <w:color w:val="000000" w:themeColor="text1"/>
          <w:sz w:val="22"/>
          <w:szCs w:val="22"/>
          <w:lang w:eastAsia="x-none"/>
        </w:rPr>
        <w:t xml:space="preserve"> y sistematizó las causales de contratación directa</w:t>
      </w:r>
      <w:r w:rsidRPr="005873AF">
        <w:rPr>
          <w:rFonts w:ascii="Arial" w:hAnsi="Arial" w:cs="Arial"/>
          <w:color w:val="000000" w:themeColor="text1"/>
          <w:sz w:val="22"/>
          <w:szCs w:val="22"/>
          <w:vertAlign w:val="superscript"/>
          <w:lang w:val="en-GB" w:eastAsia="x-none"/>
        </w:rPr>
        <w:footnoteReference w:id="16"/>
      </w:r>
      <w:r w:rsidRPr="005873AF">
        <w:rPr>
          <w:rFonts w:ascii="Arial" w:hAnsi="Arial" w:cs="Arial"/>
          <w:color w:val="000000" w:themeColor="text1"/>
          <w:sz w:val="22"/>
          <w:szCs w:val="22"/>
          <w:lang w:eastAsia="x-none"/>
        </w:rPr>
        <w:t xml:space="preserve">. </w:t>
      </w:r>
    </w:p>
    <w:p w14:paraId="78773298"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val="es-MX" w:eastAsia="x-none"/>
        </w:rPr>
      </w:pPr>
      <w:r w:rsidRPr="005873AF">
        <w:rPr>
          <w:rFonts w:ascii="Arial" w:hAnsi="Arial" w:cs="Arial"/>
          <w:color w:val="000000" w:themeColor="text1"/>
          <w:sz w:val="22"/>
          <w:szCs w:val="22"/>
          <w:lang w:eastAsia="x-none"/>
        </w:rPr>
        <w:t xml:space="preserve">De esta forma, con fundamento en la evolución de la normativa sobre la contratación pública, se ha depurado la noción de </w:t>
      </w:r>
      <w:r w:rsidRPr="005873AF">
        <w:rPr>
          <w:rFonts w:ascii="Arial" w:hAnsi="Arial" w:cs="Arial"/>
          <w:color w:val="000000" w:themeColor="text1"/>
          <w:sz w:val="19"/>
          <w:szCs w:val="19"/>
          <w:lang w:eastAsia="en-GB"/>
        </w:rPr>
        <w:t>«</w:t>
      </w:r>
      <w:r w:rsidRPr="005873AF">
        <w:rPr>
          <w:rFonts w:ascii="Arial" w:hAnsi="Arial" w:cs="Arial"/>
          <w:color w:val="000000" w:themeColor="text1"/>
          <w:sz w:val="22"/>
          <w:szCs w:val="22"/>
          <w:lang w:eastAsia="x-none"/>
        </w:rPr>
        <w:t>contratación directa</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xml:space="preserve">, precisando el Consejo de Estado –en el concepto citado– que, «aun cuando no coincide única y exactamente con la </w:t>
      </w:r>
      <w:r w:rsidRPr="005873AF">
        <w:rPr>
          <w:rFonts w:ascii="Arial" w:hAnsi="Arial" w:cs="Arial"/>
          <w:color w:val="000000" w:themeColor="text1"/>
          <w:sz w:val="22"/>
          <w:szCs w:val="22"/>
          <w:lang w:eastAsia="x-none"/>
        </w:rPr>
        <w:lastRenderedPageBreak/>
        <w:t>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873AF">
        <w:rPr>
          <w:rFonts w:ascii="Arial" w:hAnsi="Arial" w:cs="Arial"/>
          <w:color w:val="000000" w:themeColor="text1"/>
          <w:sz w:val="22"/>
          <w:szCs w:val="22"/>
          <w:vertAlign w:val="superscript"/>
          <w:lang w:val="en-GB" w:eastAsia="x-none"/>
        </w:rPr>
        <w:footnoteReference w:id="17"/>
      </w:r>
      <w:r w:rsidRPr="005873AF">
        <w:rPr>
          <w:rFonts w:ascii="Arial" w:hAnsi="Arial" w:cs="Arial"/>
          <w:color w:val="000000" w:themeColor="text1"/>
          <w:sz w:val="22"/>
          <w:szCs w:val="22"/>
          <w:lang w:eastAsia="x-none"/>
        </w:rPr>
        <w:t>, han establecido sistemas de contratación que implican convocatoria pública y participación de varios oferentes</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xml:space="preserve">. </w:t>
      </w:r>
    </w:p>
    <w:p w14:paraId="0FDCE9C8"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x-none"/>
        </w:rPr>
        <w:t>E</w:t>
      </w:r>
      <w:r w:rsidRPr="005873AF">
        <w:rPr>
          <w:rFonts w:ascii="Arial" w:hAnsi="Arial" w:cs="Arial"/>
          <w:color w:val="000000" w:themeColor="text1"/>
          <w:sz w:val="22"/>
          <w:szCs w:val="22"/>
          <w:lang w:eastAsia="x-none"/>
        </w:rPr>
        <w:t xml:space="preserve">n efecto, vale la pena mencionar que, </w:t>
      </w:r>
      <w:bookmarkStart w:id="25" w:name="_Hlk75636073"/>
      <w:r w:rsidRPr="005873AF">
        <w:rPr>
          <w:rFonts w:ascii="Arial" w:hAnsi="Arial" w:cs="Arial"/>
          <w:color w:val="000000" w:themeColor="text1"/>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5"/>
      <w:r w:rsidRPr="005873AF">
        <w:rPr>
          <w:rFonts w:ascii="Arial" w:hAnsi="Arial" w:cs="Arial"/>
          <w:color w:val="000000" w:themeColor="text1"/>
          <w:sz w:val="22"/>
          <w:szCs w:val="22"/>
          <w:vertAlign w:val="superscript"/>
          <w:lang w:eastAsia="x-none"/>
        </w:rPr>
        <w:footnoteReference w:id="18"/>
      </w:r>
      <w:r w:rsidRPr="005873AF">
        <w:rPr>
          <w:rFonts w:ascii="Arial" w:hAnsi="Arial" w:cs="Arial"/>
          <w:color w:val="000000" w:themeColor="text1"/>
          <w:sz w:val="22"/>
          <w:szCs w:val="22"/>
          <w:lang w:eastAsia="x-none"/>
        </w:rPr>
        <w:t xml:space="preserve">. </w:t>
      </w:r>
    </w:p>
    <w:p w14:paraId="29015B2D"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41385B2"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x-none"/>
        </w:rPr>
      </w:pPr>
      <w:bookmarkStart w:id="26" w:name="_Hlk78818796"/>
      <w:r w:rsidRPr="005873AF">
        <w:rPr>
          <w:rFonts w:ascii="Arial" w:hAnsi="Arial" w:cs="Arial"/>
          <w:bCs/>
          <w:color w:val="000000" w:themeColor="text1"/>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873AF">
        <w:rPr>
          <w:rFonts w:ascii="Arial" w:hAnsi="Arial" w:cs="Arial"/>
          <w:color w:val="000000" w:themeColor="text1"/>
          <w:sz w:val="22"/>
          <w:szCs w:val="22"/>
          <w:vertAlign w:val="superscript"/>
          <w:lang w:eastAsia="x-none"/>
        </w:rPr>
        <w:footnoteReference w:id="19"/>
      </w:r>
      <w:r w:rsidRPr="005873AF">
        <w:rPr>
          <w:rFonts w:ascii="Arial" w:hAnsi="Arial" w:cs="Arial"/>
          <w:bCs/>
          <w:color w:val="000000" w:themeColor="text1"/>
          <w:sz w:val="22"/>
          <w:szCs w:val="22"/>
          <w:lang w:val="es-MX" w:eastAsia="x-none"/>
        </w:rPr>
        <w:t>.</w:t>
      </w:r>
      <w:r w:rsidRPr="005873AF">
        <w:rPr>
          <w:rFonts w:ascii="Arial" w:hAnsi="Arial" w:cs="Arial"/>
          <w:color w:val="000000" w:themeColor="text1"/>
          <w:sz w:val="22"/>
          <w:szCs w:val="22"/>
          <w:vertAlign w:val="superscript"/>
          <w:lang w:eastAsia="x-none"/>
        </w:rPr>
        <w:t xml:space="preserve"> </w:t>
      </w:r>
    </w:p>
    <w:bookmarkEnd w:id="26"/>
    <w:p w14:paraId="6BFCC7EA"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eastAsia="x-none"/>
        </w:rPr>
      </w:pPr>
      <w:r w:rsidRPr="005873AF">
        <w:rPr>
          <w:rFonts w:ascii="Arial" w:hAnsi="Arial" w:cs="Arial"/>
          <w:bCs/>
          <w:color w:val="000000" w:themeColor="text1"/>
          <w:sz w:val="22"/>
          <w:szCs w:val="22"/>
          <w:lang w:val="es-MX" w:eastAsia="x-none"/>
        </w:rPr>
        <w:t>De lo anterior se deduce que la prohibición aplica, sin perjuicio de las excepciones establecidas en la misma ley, para celebrar cualquier contrato de forma directa, esto es, sin que exista un proceso abierto y competitivo.</w:t>
      </w:r>
      <w:r w:rsidRPr="005873AF">
        <w:rPr>
          <w:rFonts w:ascii="Arial" w:hAnsi="Arial" w:cs="Arial"/>
          <w:color w:val="000000" w:themeColor="text1"/>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w:t>
      </w:r>
      <w:r w:rsidRPr="005873AF">
        <w:rPr>
          <w:rFonts w:ascii="Arial" w:hAnsi="Arial" w:cs="Arial"/>
          <w:color w:val="000000" w:themeColor="text1"/>
          <w:sz w:val="22"/>
          <w:szCs w:val="22"/>
          <w:lang w:eastAsia="x-none"/>
        </w:rPr>
        <w:lastRenderedPageBreak/>
        <w:t>cual en ese período preelectoral de que trata la disposición pueden las entidades públicas seguir contratando bajo estas modalidades.</w:t>
      </w:r>
    </w:p>
    <w:p w14:paraId="5B8E5C6F"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x-none"/>
        </w:rPr>
      </w:pPr>
      <w:r w:rsidRPr="005873AF">
        <w:rPr>
          <w:rFonts w:ascii="Arial" w:hAnsi="Arial" w:cs="Arial"/>
          <w:bCs/>
          <w:color w:val="000000" w:themeColor="text1"/>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873AF">
        <w:rPr>
          <w:rStyle w:val="Refdenotaalpie"/>
          <w:rFonts w:ascii="Arial" w:hAnsi="Arial" w:cs="Arial"/>
          <w:bCs/>
          <w:color w:val="000000" w:themeColor="text1"/>
          <w:sz w:val="22"/>
          <w:szCs w:val="22"/>
          <w:lang w:val="es-MX" w:eastAsia="es-CO"/>
        </w:rPr>
        <w:footnoteReference w:id="20"/>
      </w:r>
      <w:r w:rsidRPr="005873AF">
        <w:rPr>
          <w:rFonts w:ascii="Arial" w:hAnsi="Arial" w:cs="Arial"/>
          <w:bCs/>
          <w:color w:val="000000" w:themeColor="text1"/>
          <w:sz w:val="22"/>
          <w:szCs w:val="22"/>
          <w:lang w:val="es-MX" w:eastAsia="es-CO"/>
        </w:rPr>
        <w:t>. Además, también es posible que contratos celebrados previamente se continúen ejecutando.</w:t>
      </w:r>
    </w:p>
    <w:p w14:paraId="7F7CF50C" w14:textId="77777777" w:rsidR="00A31B74" w:rsidRPr="005873AF" w:rsidRDefault="00A31B74" w:rsidP="00A31B74">
      <w:pPr>
        <w:spacing w:line="276" w:lineRule="auto"/>
        <w:ind w:firstLine="708"/>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w:t>
      </w:r>
      <w:proofErr w:type="spellStart"/>
      <w:r w:rsidRPr="005873AF">
        <w:rPr>
          <w:rFonts w:ascii="Arial" w:eastAsia="Arial" w:hAnsi="Arial" w:cs="Arial"/>
          <w:color w:val="000000" w:themeColor="text1"/>
          <w:sz w:val="22"/>
          <w:szCs w:val="22"/>
        </w:rPr>
        <w:t>iii</w:t>
      </w:r>
      <w:proofErr w:type="spellEnd"/>
      <w:r w:rsidRPr="005873AF">
        <w:rPr>
          <w:rFonts w:ascii="Arial" w:eastAsia="Arial" w:hAnsi="Arial" w:cs="Arial"/>
          <w:color w:val="000000" w:themeColor="text1"/>
          <w:sz w:val="22"/>
          <w:szCs w:val="22"/>
        </w:rPr>
        <w:t>)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7D1CEAF" w14:textId="77777777" w:rsidR="00A31B74" w:rsidRPr="005873AF" w:rsidRDefault="00A31B74" w:rsidP="00A31B74">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En esta labor es importante tener en cuenta, como lo anotó la Corte Constitucional, en Sentencia C-1153 de noviembre 11 de 2005</w:t>
      </w:r>
      <w:r w:rsidRPr="005873AF">
        <w:rPr>
          <w:color w:val="000000" w:themeColor="text1"/>
          <w:vertAlign w:val="superscript"/>
        </w:rPr>
        <w:t>,</w:t>
      </w:r>
      <w:r w:rsidRPr="005873AF">
        <w:rPr>
          <w:rFonts w:ascii="Arial" w:eastAsia="Arial" w:hAnsi="Arial" w:cs="Arial"/>
          <w:color w:val="000000" w:themeColor="text1"/>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873AF">
        <w:rPr>
          <w:rFonts w:ascii="Arial" w:eastAsia="Arial" w:hAnsi="Arial" w:cs="Arial"/>
          <w:color w:val="000000" w:themeColor="text1"/>
          <w:sz w:val="22"/>
          <w:szCs w:val="22"/>
          <w:vertAlign w:val="superscript"/>
        </w:rPr>
        <w:footnoteReference w:id="21"/>
      </w:r>
      <w:r w:rsidRPr="005873AF">
        <w:rPr>
          <w:rFonts w:ascii="Arial" w:eastAsia="Arial" w:hAnsi="Arial" w:cs="Arial"/>
          <w:color w:val="000000" w:themeColor="text1"/>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416547E" w14:textId="2A460960" w:rsidR="00A31B74" w:rsidRPr="00F05449" w:rsidRDefault="00A31B74" w:rsidP="00F05449">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 xml:space="preserve">Como se puede apreciar, el inciso segundo del artículo 33 dispone de dos (2) grandes grupos de excepciones a la prohibición de contratar directamente en la época </w:t>
      </w:r>
      <w:r w:rsidRPr="005873AF">
        <w:rPr>
          <w:rFonts w:ascii="Arial" w:eastAsia="Arial" w:hAnsi="Arial" w:cs="Arial"/>
          <w:color w:val="000000" w:themeColor="text1"/>
          <w:sz w:val="22"/>
          <w:szCs w:val="22"/>
        </w:rPr>
        <w:lastRenderedPageBreak/>
        <w:t xml:space="preserve">preelectoral. </w:t>
      </w:r>
      <w:r w:rsidRPr="005873AF">
        <w:rPr>
          <w:rFonts w:ascii="Arial" w:eastAsia="Arial" w:hAnsi="Arial" w:cs="Arial"/>
          <w:i/>
          <w:iCs/>
          <w:color w:val="000000" w:themeColor="text1"/>
          <w:sz w:val="22"/>
          <w:szCs w:val="22"/>
        </w:rPr>
        <w:t>Por un lado</w:t>
      </w:r>
      <w:r w:rsidRPr="005873AF">
        <w:rPr>
          <w:rFonts w:ascii="Arial" w:eastAsia="Arial" w:hAnsi="Arial" w:cs="Arial"/>
          <w:color w:val="000000" w:themeColor="text1"/>
          <w:sz w:val="22"/>
          <w:szCs w:val="22"/>
        </w:rPr>
        <w:t xml:space="preserve">, las que atienden el ejercicio de cierta función o la atención de determinada actividad particular y sin importar la calidad del ente que la cumpla o desarrolle. </w:t>
      </w:r>
      <w:r w:rsidRPr="005873AF">
        <w:rPr>
          <w:rFonts w:ascii="Arial" w:eastAsia="Arial" w:hAnsi="Arial" w:cs="Arial"/>
          <w:i/>
          <w:iCs/>
          <w:color w:val="000000" w:themeColor="text1"/>
          <w:sz w:val="22"/>
          <w:szCs w:val="22"/>
        </w:rPr>
        <w:t>Por otra parte</w:t>
      </w:r>
      <w:r w:rsidRPr="005873AF">
        <w:rPr>
          <w:rFonts w:ascii="Arial" w:eastAsia="Arial" w:hAnsi="Arial" w:cs="Arial"/>
          <w:color w:val="000000" w:themeColor="text1"/>
          <w:sz w:val="22"/>
          <w:szCs w:val="22"/>
        </w:rPr>
        <w:t>, las que aluden a las entidades sanitarias y hospitalarias acudiendo a un criterio eminentemente subjetivo –u orgánico–, pese a que no limita la excepción a un tipo de entidad en particular, sino que ata su aplicación a la naturaleza del respectivo ente.</w:t>
      </w:r>
      <w:r>
        <w:rPr>
          <w:rFonts w:ascii="Arial" w:eastAsia="Arial" w:hAnsi="Arial" w:cs="Arial"/>
          <w:color w:val="000000" w:themeColor="text1"/>
          <w:sz w:val="22"/>
          <w:szCs w:val="22"/>
        </w:rPr>
        <w:t xml:space="preserve"> </w:t>
      </w:r>
      <w:proofErr w:type="spellStart"/>
      <w:r>
        <w:rPr>
          <w:rFonts w:ascii="Arial" w:eastAsia="Arial" w:hAnsi="Arial" w:cs="Arial"/>
          <w:color w:val="000000" w:themeColor="text1"/>
          <w:sz w:val="22"/>
          <w:szCs w:val="22"/>
        </w:rPr>
        <w:t>m</w:t>
      </w:r>
      <w:r w:rsidRPr="005873AF">
        <w:rPr>
          <w:rFonts w:ascii="Arial" w:eastAsia="Arial" w:hAnsi="Arial" w:cs="Arial"/>
          <w:color w:val="000000" w:themeColor="text1"/>
          <w:sz w:val="22"/>
          <w:szCs w:val="22"/>
        </w:rPr>
        <w:t>Así</w:t>
      </w:r>
      <w:proofErr w:type="spellEnd"/>
      <w:r w:rsidRPr="005873AF">
        <w:rPr>
          <w:rFonts w:ascii="Arial" w:eastAsia="Arial" w:hAnsi="Arial" w:cs="Arial"/>
          <w:color w:val="000000" w:themeColor="text1"/>
          <w:sz w:val="22"/>
          <w:szCs w:val="22"/>
        </w:rPr>
        <w:t>, para determinar si la contratación de una entidad pública está exceptuada de la prohibición general para la contratación directa, el intérprete deberá analizar el caso concreto para establecer si se trata de una actividad de las descritas en la norma o que se trate de los que deban realizar las entidades sanitarias u hospitalarias.</w:t>
      </w:r>
    </w:p>
    <w:p w14:paraId="385B0C51" w14:textId="1D7C9E49" w:rsidR="00184443" w:rsidRDefault="00184443" w:rsidP="00184443">
      <w:pPr>
        <w:spacing w:line="276" w:lineRule="auto"/>
        <w:ind w:firstLine="708"/>
        <w:jc w:val="both"/>
        <w:rPr>
          <w:rFonts w:ascii="Arial" w:hAnsi="Arial" w:cs="Arial"/>
          <w:bCs/>
          <w:sz w:val="22"/>
          <w:lang w:eastAsia="es-CO"/>
        </w:rPr>
      </w:pPr>
    </w:p>
    <w:p w14:paraId="5ACB0940" w14:textId="7D0C1929" w:rsidR="004500E8" w:rsidRPr="005873AF" w:rsidRDefault="004500E8" w:rsidP="004500E8">
      <w:pPr>
        <w:spacing w:line="276" w:lineRule="auto"/>
        <w:ind w:right="49"/>
        <w:jc w:val="both"/>
        <w:rPr>
          <w:rFonts w:ascii="Arial" w:hAnsi="Arial" w:cs="Arial"/>
          <w:b/>
          <w:color w:val="000000" w:themeColor="text1"/>
          <w:sz w:val="22"/>
          <w:szCs w:val="22"/>
          <w:lang w:val="es-MX" w:eastAsia="x-none"/>
        </w:rPr>
      </w:pPr>
      <w:r w:rsidRPr="005873AF">
        <w:rPr>
          <w:rFonts w:ascii="Arial" w:hAnsi="Arial" w:cs="Arial"/>
          <w:b/>
          <w:color w:val="000000" w:themeColor="text1"/>
          <w:sz w:val="22"/>
          <w:szCs w:val="22"/>
          <w:lang w:val="es-MX" w:eastAsia="x-none"/>
        </w:rPr>
        <w:t>2.</w:t>
      </w:r>
      <w:r w:rsidR="004D1322">
        <w:rPr>
          <w:rFonts w:ascii="Arial" w:hAnsi="Arial" w:cs="Arial"/>
          <w:b/>
          <w:color w:val="000000" w:themeColor="text1"/>
          <w:sz w:val="22"/>
          <w:szCs w:val="22"/>
          <w:lang w:val="es-MX" w:eastAsia="x-none"/>
        </w:rPr>
        <w:t>4</w:t>
      </w:r>
      <w:r w:rsidRPr="005873AF">
        <w:rPr>
          <w:rFonts w:ascii="Arial" w:hAnsi="Arial" w:cs="Arial"/>
          <w:b/>
          <w:color w:val="000000" w:themeColor="text1"/>
          <w:sz w:val="22"/>
          <w:szCs w:val="22"/>
          <w:lang w:val="es-MX" w:eastAsia="x-none"/>
        </w:rPr>
        <w:t>. Destinatarios de la restricción del artículo 33 de la Ley 996 de 2005</w:t>
      </w:r>
      <w:r w:rsidR="006359EC" w:rsidRPr="005873AF">
        <w:rPr>
          <w:rFonts w:ascii="Arial" w:hAnsi="Arial" w:cs="Arial"/>
          <w:b/>
          <w:color w:val="000000" w:themeColor="text1"/>
          <w:sz w:val="22"/>
          <w:szCs w:val="22"/>
          <w:lang w:val="es-MX" w:eastAsia="x-none"/>
        </w:rPr>
        <w:t xml:space="preserve"> y las excepciones a la prohibición</w:t>
      </w:r>
    </w:p>
    <w:p w14:paraId="2EFAEC26" w14:textId="6B423429" w:rsidR="00A210E6" w:rsidRDefault="00A210E6" w:rsidP="004500E8">
      <w:pPr>
        <w:spacing w:line="276" w:lineRule="auto"/>
        <w:ind w:right="49"/>
        <w:jc w:val="both"/>
        <w:rPr>
          <w:rFonts w:ascii="Arial" w:eastAsia="Arial" w:hAnsi="Arial" w:cs="Arial"/>
          <w:color w:val="000000" w:themeColor="text1"/>
          <w:sz w:val="22"/>
          <w:szCs w:val="22"/>
        </w:rPr>
      </w:pPr>
    </w:p>
    <w:p w14:paraId="3875738F" w14:textId="77777777" w:rsidR="00A210E6" w:rsidRPr="005873AF" w:rsidRDefault="00A210E6" w:rsidP="00A210E6">
      <w:pPr>
        <w:spacing w:line="276" w:lineRule="auto"/>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873AF">
        <w:rPr>
          <w:color w:val="000000" w:themeColor="text1"/>
        </w:rPr>
        <w:t xml:space="preserve"> </w:t>
      </w:r>
      <w:r w:rsidRPr="005873AF">
        <w:rPr>
          <w:rFonts w:ascii="Arial" w:eastAsia="Arial" w:hAnsi="Arial" w:cs="Arial"/>
          <w:color w:val="000000" w:themeColor="text1"/>
          <w:sz w:val="22"/>
          <w:szCs w:val="22"/>
        </w:rPr>
        <w:t>En efecto, tal como lo ha sostenido el Consejo de Estado, el vocablo «todos» utilizado por el legislador comprende</w:t>
      </w:r>
      <w:r w:rsidRPr="005873AF">
        <w:rPr>
          <w:color w:val="000000" w:themeColor="text1"/>
        </w:rPr>
        <w:t xml:space="preserve"> </w:t>
      </w:r>
      <w:r w:rsidRPr="005873AF">
        <w:rPr>
          <w:rFonts w:ascii="Arial" w:eastAsia="Arial" w:hAnsi="Arial" w:cs="Arial"/>
          <w:color w:val="000000" w:themeColor="text1"/>
          <w:sz w:val="22"/>
          <w:szCs w:val="22"/>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w:t>
      </w:r>
    </w:p>
    <w:p w14:paraId="0CDF0FB1"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6469AB80" w14:textId="77777777" w:rsidR="00A210E6" w:rsidRPr="005873AF" w:rsidRDefault="00A210E6" w:rsidP="00A210E6">
      <w:pPr>
        <w:ind w:left="709" w:right="709"/>
        <w:jc w:val="both"/>
        <w:rPr>
          <w:color w:val="000000" w:themeColor="text1"/>
        </w:rPr>
      </w:pPr>
      <w:r w:rsidRPr="005873AF">
        <w:rPr>
          <w:rFonts w:ascii="Arial" w:eastAsia="Arial" w:hAnsi="Arial" w:cs="Arial"/>
          <w:color w:val="000000" w:themeColor="text1"/>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873AF">
        <w:rPr>
          <w:rFonts w:ascii="Arial" w:eastAsia="Arial" w:hAnsi="Arial" w:cs="Arial"/>
          <w:color w:val="000000" w:themeColor="text1"/>
          <w:sz w:val="21"/>
          <w:szCs w:val="21"/>
          <w:vertAlign w:val="superscript"/>
        </w:rPr>
        <w:footnoteReference w:id="22"/>
      </w:r>
      <w:r w:rsidRPr="005873AF">
        <w:rPr>
          <w:rFonts w:ascii="Arial" w:eastAsia="Arial" w:hAnsi="Arial" w:cs="Arial"/>
          <w:color w:val="000000" w:themeColor="text1"/>
          <w:sz w:val="21"/>
          <w:szCs w:val="21"/>
        </w:rPr>
        <w:t xml:space="preserve">. </w:t>
      </w:r>
    </w:p>
    <w:p w14:paraId="44E5422A"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2A2817FB" w14:textId="77777777" w:rsidR="00A210E6" w:rsidRPr="005873AF" w:rsidRDefault="00A210E6" w:rsidP="00A210E6">
      <w:pPr>
        <w:spacing w:line="276" w:lineRule="auto"/>
        <w:ind w:firstLine="709"/>
        <w:jc w:val="both"/>
        <w:rPr>
          <w:rFonts w:ascii="Arial" w:eastAsia="Arial" w:hAnsi="Arial" w:cs="Arial"/>
          <w:bCs/>
          <w:color w:val="000000" w:themeColor="text1"/>
          <w:sz w:val="22"/>
          <w:szCs w:val="22"/>
        </w:rPr>
      </w:pPr>
      <w:r w:rsidRPr="005873AF">
        <w:rPr>
          <w:rFonts w:ascii="Arial" w:eastAsia="Arial" w:hAnsi="Arial" w:cs="Arial"/>
          <w:color w:val="000000" w:themeColor="text1"/>
          <w:sz w:val="22"/>
          <w:szCs w:val="22"/>
        </w:rPr>
        <w:t xml:space="preserve">Por lo tanto, la restricción prevista en la Ley 996 de 2005, teniendo en cuenta la finalidad de la ley de garantías electorales, cobija a cualquier ente público que pueda a través de la contratación directa romper el equilibrio entre los partidos y los candidatos en </w:t>
      </w:r>
      <w:r w:rsidRPr="005873AF">
        <w:rPr>
          <w:rFonts w:ascii="Arial" w:eastAsia="Arial" w:hAnsi="Arial" w:cs="Arial"/>
          <w:color w:val="000000" w:themeColor="text1"/>
          <w:sz w:val="22"/>
          <w:szCs w:val="22"/>
        </w:rPr>
        <w:lastRenderedPageBreak/>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5F2CC00A" w14:textId="77777777" w:rsidR="00A210E6" w:rsidRPr="005873AF" w:rsidRDefault="00A210E6" w:rsidP="00A210E6">
      <w:pPr>
        <w:spacing w:before="120" w:line="276" w:lineRule="auto"/>
        <w:ind w:firstLine="709"/>
        <w:jc w:val="both"/>
        <w:rPr>
          <w:rFonts w:ascii="Arial" w:hAnsi="Arial" w:cs="Arial"/>
          <w:bCs/>
          <w:color w:val="000000" w:themeColor="text1"/>
          <w:sz w:val="22"/>
          <w:lang w:val="es-ES_tradnl"/>
        </w:rPr>
      </w:pPr>
      <w:r w:rsidRPr="005873AF">
        <w:rPr>
          <w:rFonts w:ascii="Arial" w:eastAsia="Arial" w:hAnsi="Arial" w:cs="Arial"/>
          <w:bCs/>
          <w:color w:val="000000" w:themeColor="text1"/>
          <w:sz w:val="22"/>
          <w:szCs w:val="22"/>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5873AF">
        <w:rPr>
          <w:rFonts w:ascii="Arial" w:hAnsi="Arial" w:cs="Arial"/>
          <w:bCs/>
          <w:color w:val="000000" w:themeColor="text1"/>
          <w:sz w:val="22"/>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2D020E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 La contratación referente a la defensa y seguridad del Estado;</w:t>
      </w:r>
    </w:p>
    <w:p w14:paraId="158A9BD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ii) Los contratos de crédito público;</w:t>
      </w:r>
    </w:p>
    <w:p w14:paraId="0188D50F"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r>
      <w:proofErr w:type="spellStart"/>
      <w:r w:rsidRPr="005873AF">
        <w:rPr>
          <w:rFonts w:ascii="Arial" w:hAnsi="Arial" w:cs="Arial"/>
          <w:bCs/>
          <w:color w:val="000000" w:themeColor="text1"/>
          <w:sz w:val="22"/>
          <w:lang w:val="es-ES_tradnl"/>
        </w:rPr>
        <w:t>iii</w:t>
      </w:r>
      <w:proofErr w:type="spellEnd"/>
      <w:r w:rsidRPr="005873AF">
        <w:rPr>
          <w:rFonts w:ascii="Arial" w:hAnsi="Arial" w:cs="Arial"/>
          <w:bCs/>
          <w:color w:val="000000" w:themeColor="text1"/>
          <w:sz w:val="22"/>
          <w:lang w:val="es-ES_tradnl"/>
        </w:rPr>
        <w:t xml:space="preserve">) Los contratos requeridos para cubrir las emergencias educativas, sanitarias y desastres; </w:t>
      </w:r>
    </w:p>
    <w:p w14:paraId="79624709"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4A4C130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 xml:space="preserve">v) La contratación que deban realizar las entidades sanitarias y hospitalarias. </w:t>
      </w:r>
    </w:p>
    <w:p w14:paraId="6382514D"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1975D071" w14:textId="77777777" w:rsidR="00A210E6" w:rsidRPr="005873AF" w:rsidRDefault="00A210E6" w:rsidP="00A210E6">
      <w:pPr>
        <w:tabs>
          <w:tab w:val="left" w:pos="426"/>
        </w:tabs>
        <w:ind w:firstLine="709"/>
        <w:jc w:val="both"/>
        <w:rPr>
          <w:rFonts w:ascii="Arial" w:hAnsi="Arial" w:cs="Arial"/>
          <w:bCs/>
          <w:color w:val="000000" w:themeColor="text1"/>
          <w:sz w:val="22"/>
          <w:lang w:val="es-ES_tradnl"/>
        </w:rPr>
      </w:pPr>
    </w:p>
    <w:p w14:paraId="57CA2DE1" w14:textId="77777777" w:rsidR="00A210E6" w:rsidRPr="005873AF" w:rsidRDefault="00A210E6" w:rsidP="00A210E6">
      <w:pPr>
        <w:shd w:val="clear" w:color="auto" w:fill="FFFFFF"/>
        <w:ind w:left="709" w:right="709"/>
        <w:jc w:val="both"/>
        <w:rPr>
          <w:rFonts w:ascii="Arial" w:hAnsi="Arial" w:cs="Arial"/>
          <w:color w:val="000000" w:themeColor="text1"/>
          <w:sz w:val="21"/>
          <w:szCs w:val="21"/>
          <w:lang w:val="es-ES_tradnl" w:eastAsia="es-CO"/>
        </w:rPr>
      </w:pPr>
      <w:r w:rsidRPr="005873AF">
        <w:rPr>
          <w:rFonts w:ascii="Arial" w:hAnsi="Arial" w:cs="Arial"/>
          <w:color w:val="000000" w:themeColor="text1"/>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5873AF">
        <w:rPr>
          <w:rFonts w:ascii="Arial" w:hAnsi="Arial" w:cs="Arial"/>
          <w:color w:val="000000" w:themeColor="text1"/>
          <w:sz w:val="21"/>
          <w:szCs w:val="21"/>
          <w:vertAlign w:val="superscript"/>
          <w:lang w:val="es-ES_tradnl" w:eastAsia="es-CO"/>
        </w:rPr>
        <w:footnoteReference w:id="23"/>
      </w:r>
      <w:r w:rsidRPr="005873AF">
        <w:rPr>
          <w:rFonts w:ascii="Arial" w:hAnsi="Arial" w:cs="Arial"/>
          <w:color w:val="000000" w:themeColor="text1"/>
          <w:sz w:val="21"/>
          <w:szCs w:val="21"/>
          <w:lang w:val="es-ES_tradnl" w:eastAsia="es-CO"/>
        </w:rPr>
        <w:t xml:space="preserve">. </w:t>
      </w:r>
    </w:p>
    <w:p w14:paraId="024EFEBD" w14:textId="77777777" w:rsidR="00A210E6" w:rsidRPr="005873AF" w:rsidRDefault="00A210E6" w:rsidP="00A210E6">
      <w:pPr>
        <w:shd w:val="clear" w:color="auto" w:fill="FFFFFF"/>
        <w:spacing w:line="276" w:lineRule="auto"/>
        <w:ind w:left="709" w:right="709"/>
        <w:jc w:val="both"/>
        <w:rPr>
          <w:rFonts w:ascii="Arial" w:hAnsi="Arial" w:cs="Arial"/>
          <w:color w:val="000000" w:themeColor="text1"/>
          <w:sz w:val="21"/>
          <w:szCs w:val="21"/>
          <w:lang w:val="es-ES_tradnl" w:eastAsia="es-CO"/>
        </w:rPr>
      </w:pPr>
    </w:p>
    <w:p w14:paraId="2B8F3EA6" w14:textId="77777777" w:rsidR="00A210E6" w:rsidRPr="005873AF" w:rsidRDefault="00A210E6" w:rsidP="00A210E6">
      <w:pPr>
        <w:shd w:val="clear" w:color="auto" w:fill="FFFFFF"/>
        <w:spacing w:line="276" w:lineRule="auto"/>
        <w:ind w:firstLine="709"/>
        <w:jc w:val="both"/>
        <w:rPr>
          <w:rFonts w:ascii="Arial" w:hAnsi="Arial" w:cs="Arial"/>
          <w:color w:val="000000" w:themeColor="text1"/>
          <w:sz w:val="22"/>
          <w:lang w:val="es-ES_tradnl" w:eastAsia="es-CO"/>
        </w:rPr>
      </w:pPr>
      <w:r w:rsidRPr="005873AF">
        <w:rPr>
          <w:rFonts w:ascii="Arial" w:hAnsi="Arial" w:cs="Arial"/>
          <w:color w:val="000000" w:themeColor="text1"/>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5873AF">
        <w:rPr>
          <w:rFonts w:ascii="Arial" w:hAnsi="Arial" w:cs="Arial"/>
          <w:color w:val="000000" w:themeColor="text1"/>
          <w:sz w:val="22"/>
          <w:lang w:val="es-ES_tradnl" w:eastAsia="es-CO"/>
        </w:rPr>
        <w:t>exequibilidad</w:t>
      </w:r>
      <w:proofErr w:type="spellEnd"/>
      <w:r w:rsidRPr="005873AF">
        <w:rPr>
          <w:rFonts w:ascii="Arial" w:hAnsi="Arial" w:cs="Arial"/>
          <w:color w:val="000000" w:themeColor="text1"/>
          <w:sz w:val="22"/>
          <w:lang w:val="es-ES_tradnl" w:eastAsia="es-CO"/>
        </w:rPr>
        <w:t xml:space="preserve">. Así, por ejemplo, la Corte Constitucional explicó que «las excepciones de limitación protegen diversos tipos de urgencias de defensa, salud, educación, infraestructura vial y de servicios públicos y </w:t>
      </w:r>
      <w:r w:rsidRPr="005873AF">
        <w:rPr>
          <w:rFonts w:ascii="Arial" w:hAnsi="Arial" w:cs="Arial"/>
          <w:color w:val="000000" w:themeColor="text1"/>
          <w:sz w:val="22"/>
          <w:lang w:val="es-ES_tradnl" w:eastAsia="es-CO"/>
        </w:rPr>
        <w:lastRenderedPageBreak/>
        <w:t>ecológicas tienden a no limitar desproporcionadamente la acción del Estado en el cumplimiento de sus fines, en procura de la igualdad entre candidatos como garantía electoral»</w:t>
      </w:r>
      <w:r w:rsidRPr="005873AF">
        <w:rPr>
          <w:rFonts w:ascii="Arial" w:hAnsi="Arial" w:cs="Arial"/>
          <w:color w:val="000000" w:themeColor="text1"/>
          <w:sz w:val="22"/>
          <w:vertAlign w:val="superscript"/>
          <w:lang w:val="es-ES_tradnl" w:eastAsia="es-CO"/>
        </w:rPr>
        <w:footnoteReference w:id="24"/>
      </w:r>
      <w:r w:rsidRPr="005873AF">
        <w:rPr>
          <w:rFonts w:ascii="Arial" w:hAnsi="Arial" w:cs="Arial"/>
          <w:color w:val="000000" w:themeColor="text1"/>
          <w:sz w:val="22"/>
          <w:lang w:val="es-ES_tradnl" w:eastAsia="es-CO"/>
        </w:rPr>
        <w:t xml:space="preserve">. </w:t>
      </w:r>
    </w:p>
    <w:p w14:paraId="316343AB"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bCs/>
          <w:color w:val="000000" w:themeColor="text1"/>
          <w:sz w:val="22"/>
          <w:lang w:val="es-ES_tradnl"/>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afectados por la restricción. De igual forma, la Sala de Consulta y Servicio Civil del Consejo de Estado, en concepto del 2 de septiembre de 2013</w:t>
      </w:r>
      <w:r w:rsidRPr="005873AF">
        <w:rPr>
          <w:rFonts w:ascii="Arial" w:hAnsi="Arial" w:cs="Arial"/>
          <w:color w:val="000000" w:themeColor="text1"/>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4827CE0A"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p>
    <w:p w14:paraId="3A182415" w14:textId="77777777" w:rsidR="00A210E6" w:rsidRPr="005873AF" w:rsidRDefault="00A210E6" w:rsidP="00A210E6">
      <w:pPr>
        <w:tabs>
          <w:tab w:val="left" w:pos="426"/>
        </w:tabs>
        <w:ind w:right="709"/>
        <w:jc w:val="both"/>
        <w:rPr>
          <w:rFonts w:ascii="Arial" w:hAnsi="Arial" w:cs="Arial"/>
          <w:color w:val="000000" w:themeColor="text1"/>
          <w:sz w:val="21"/>
          <w:szCs w:val="21"/>
          <w:lang w:val="es-ES_tradnl"/>
        </w:rPr>
      </w:pPr>
      <w:r w:rsidRPr="005873AF">
        <w:rPr>
          <w:rFonts w:ascii="Arial" w:hAnsi="Arial" w:cs="Arial"/>
          <w:color w:val="000000" w:themeColor="text1"/>
          <w:sz w:val="21"/>
          <w:szCs w:val="21"/>
          <w:lang w:val="es-ES_tradnl"/>
        </w:rPr>
        <w:tab/>
      </w:r>
      <w:r w:rsidRPr="005873AF">
        <w:rPr>
          <w:rFonts w:ascii="Arial" w:hAnsi="Arial" w:cs="Arial"/>
          <w:color w:val="000000" w:themeColor="text1"/>
          <w:sz w:val="21"/>
          <w:szCs w:val="21"/>
          <w:lang w:val="es-ES_tradnl"/>
        </w:rPr>
        <w:tab/>
        <w:t>[…]</w:t>
      </w:r>
    </w:p>
    <w:p w14:paraId="4B2D1A49" w14:textId="77777777" w:rsidR="00A210E6" w:rsidRPr="005873AF" w:rsidRDefault="00A210E6" w:rsidP="00A210E6">
      <w:pPr>
        <w:ind w:left="709" w:right="709"/>
        <w:jc w:val="both"/>
        <w:rPr>
          <w:rFonts w:ascii="Arial" w:hAnsi="Arial" w:cs="Arial"/>
          <w:i/>
          <w:color w:val="000000" w:themeColor="text1"/>
          <w:sz w:val="21"/>
          <w:szCs w:val="21"/>
          <w:lang w:val="es-ES_tradnl"/>
        </w:rPr>
      </w:pPr>
      <w:r w:rsidRPr="005873AF">
        <w:rPr>
          <w:rFonts w:ascii="Arial" w:hAnsi="Arial" w:cs="Arial"/>
          <w:i/>
          <w:color w:val="000000" w:themeColor="text1"/>
          <w:sz w:val="21"/>
          <w:szCs w:val="21"/>
          <w:lang w:val="es-ES_tradnl"/>
        </w:rPr>
        <w:t>Las excepciones aplicables a la restricción de contratación pública</w:t>
      </w:r>
    </w:p>
    <w:p w14:paraId="1C564880"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3528122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 xml:space="preserve">[…] </w:t>
      </w:r>
    </w:p>
    <w:p w14:paraId="5D4CDF6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5. Los que deban realizar las entidades sanitarias y hospitalarias […]</w:t>
      </w:r>
      <w:r w:rsidRPr="005873AF">
        <w:rPr>
          <w:rFonts w:ascii="Arial" w:hAnsi="Arial" w:cs="Arial"/>
          <w:color w:val="000000" w:themeColor="text1"/>
          <w:sz w:val="21"/>
          <w:szCs w:val="21"/>
          <w:shd w:val="clear" w:color="auto" w:fill="FFFFFF"/>
          <w:vertAlign w:val="superscript"/>
          <w:lang w:val="es-ES_tradnl"/>
        </w:rPr>
        <w:footnoteReference w:id="25"/>
      </w:r>
      <w:r w:rsidRPr="005873AF">
        <w:rPr>
          <w:rFonts w:ascii="Arial" w:hAnsi="Arial" w:cs="Arial"/>
          <w:color w:val="000000" w:themeColor="text1"/>
          <w:sz w:val="21"/>
          <w:szCs w:val="21"/>
          <w:shd w:val="clear" w:color="auto" w:fill="FFFFFF"/>
          <w:lang w:val="es-ES_tradnl"/>
        </w:rPr>
        <w:t>.</w:t>
      </w:r>
    </w:p>
    <w:p w14:paraId="69230A3E" w14:textId="77777777" w:rsidR="00A210E6" w:rsidRPr="005873AF" w:rsidRDefault="00A210E6" w:rsidP="00A210E6">
      <w:pPr>
        <w:spacing w:line="276" w:lineRule="auto"/>
        <w:ind w:left="709" w:right="709"/>
        <w:jc w:val="both"/>
        <w:rPr>
          <w:rFonts w:ascii="Arial" w:hAnsi="Arial" w:cs="Arial"/>
          <w:color w:val="000000" w:themeColor="text1"/>
          <w:sz w:val="21"/>
          <w:szCs w:val="21"/>
          <w:shd w:val="clear" w:color="auto" w:fill="FFFFFF"/>
          <w:lang w:val="es-ES_tradnl"/>
        </w:rPr>
      </w:pPr>
    </w:p>
    <w:p w14:paraId="004CE397"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Lo anterior implica que las excepciones al artículo 33 en comento deben interpretarse y aplicarse de manera estricta. En otras palabras, que no sería factible hacer interpretaciones extensivas</w:t>
      </w:r>
      <w:r w:rsidRPr="005873AF">
        <w:rPr>
          <w:rFonts w:ascii="Arial" w:hAnsi="Arial" w:cs="Arial"/>
          <w:bCs/>
          <w:i/>
          <w:iCs/>
          <w:color w:val="000000" w:themeColor="text1"/>
          <w:sz w:val="22"/>
          <w:lang w:val="es-ES_tradnl"/>
        </w:rPr>
        <w:t xml:space="preserve"> </w:t>
      </w:r>
      <w:r w:rsidRPr="005873AF">
        <w:rPr>
          <w:rFonts w:ascii="Arial" w:hAnsi="Arial" w:cs="Arial"/>
          <w:bCs/>
          <w:color w:val="000000" w:themeColor="text1"/>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0C3BD06"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bCs/>
          <w:color w:val="000000" w:themeColor="text1"/>
          <w:sz w:val="22"/>
          <w:lang w:val="es-ES_tradnl"/>
        </w:rPr>
        <w:t>Así las cosas, es pertinente analizar el quinto evento</w:t>
      </w:r>
      <w:r w:rsidRPr="005873AF">
        <w:rPr>
          <w:rFonts w:ascii="Arial" w:hAnsi="Arial" w:cs="Arial"/>
          <w:bCs/>
          <w:i/>
          <w:color w:val="000000" w:themeColor="text1"/>
          <w:sz w:val="22"/>
          <w:lang w:val="es-ES_tradnl"/>
        </w:rPr>
        <w:t xml:space="preserve"> </w:t>
      </w:r>
      <w:r w:rsidRPr="005873AF">
        <w:rPr>
          <w:rFonts w:ascii="Arial" w:hAnsi="Arial" w:cs="Arial"/>
          <w:bCs/>
          <w:iCs/>
          <w:color w:val="000000" w:themeColor="text1"/>
          <w:sz w:val="22"/>
          <w:lang w:val="es-ES_tradnl"/>
        </w:rPr>
        <w:t xml:space="preserve">exceptuado de la prohibición, relacionado con la contratación por parte de las </w:t>
      </w:r>
      <w:r w:rsidRPr="005873AF">
        <w:rPr>
          <w:rFonts w:ascii="Arial" w:hAnsi="Arial" w:cs="Arial"/>
          <w:bCs/>
          <w:color w:val="000000" w:themeColor="text1"/>
          <w:sz w:val="22"/>
          <w:lang w:val="es-ES_tradnl"/>
        </w:rPr>
        <w:t xml:space="preserve">entidades sanitarias y hospitalarias. Para ello, debe tenerse en cuenta el artículo 94 de la Ley 100 de 1993, que dispone </w:t>
      </w:r>
      <w:r w:rsidRPr="005873AF">
        <w:rPr>
          <w:rFonts w:ascii="Arial" w:hAnsi="Arial" w:cs="Arial"/>
          <w:bCs/>
          <w:color w:val="000000" w:themeColor="text1"/>
          <w:sz w:val="22"/>
          <w:lang w:val="es-ES_tradnl" w:eastAsia="es-CO"/>
        </w:rPr>
        <w:t>«</w:t>
      </w:r>
      <w:r w:rsidRPr="005873AF">
        <w:rPr>
          <w:rFonts w:ascii="Arial" w:hAnsi="Arial" w:cs="Arial"/>
          <w:bCs/>
          <w:color w:val="000000" w:themeColor="text1"/>
          <w:sz w:val="22"/>
          <w:lang w:val="es-ES_tradnl"/>
        </w:rPr>
        <w:t>l</w:t>
      </w:r>
      <w:r w:rsidRPr="005873AF">
        <w:rPr>
          <w:rFonts w:ascii="Arial" w:hAnsi="Arial" w:cs="Arial"/>
          <w:color w:val="000000" w:themeColor="text1"/>
          <w:sz w:val="22"/>
          <w:lang w:val="es-ES_tradnl"/>
        </w:rPr>
        <w:t>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5873AF">
        <w:rPr>
          <w:rFonts w:ascii="Arial" w:hAnsi="Arial" w:cs="Arial"/>
          <w:bCs/>
          <w:color w:val="000000" w:themeColor="text1"/>
          <w:sz w:val="22"/>
          <w:lang w:val="es-ES_tradnl" w:eastAsia="es-CO"/>
        </w:rPr>
        <w:t>»</w:t>
      </w:r>
      <w:r w:rsidRPr="005873AF">
        <w:rPr>
          <w:rFonts w:ascii="Arial" w:hAnsi="Arial" w:cs="Arial"/>
          <w:color w:val="000000" w:themeColor="text1"/>
          <w:sz w:val="22"/>
          <w:lang w:val="es-ES_tradnl"/>
        </w:rPr>
        <w:t xml:space="preserve">. </w:t>
      </w:r>
    </w:p>
    <w:p w14:paraId="10374642"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rPr>
      </w:pPr>
      <w:r w:rsidRPr="005873AF">
        <w:rPr>
          <w:rFonts w:ascii="Arial" w:hAnsi="Arial" w:cs="Arial"/>
          <w:color w:val="000000" w:themeColor="text1"/>
          <w:sz w:val="22"/>
          <w:lang w:val="es-ES_tradnl"/>
        </w:rPr>
        <w:t xml:space="preserve">Es decir que, a partir de la entrada en vigencia de la Ley 100 de 1993, las Empresas Sociales del Estado son las entidades públicas que tienen a su cargo la prestación de </w:t>
      </w:r>
      <w:r w:rsidRPr="005873AF">
        <w:rPr>
          <w:rFonts w:ascii="Arial" w:hAnsi="Arial" w:cs="Arial"/>
          <w:color w:val="000000" w:themeColor="text1"/>
          <w:sz w:val="22"/>
          <w:lang w:val="es-ES_tradnl"/>
        </w:rPr>
        <w:lastRenderedPageBreak/>
        <w:t>servicios de salud de manera directa. Igualmente, el artículo 197 de la misma disposición</w:t>
      </w:r>
      <w:r w:rsidRPr="005873AF">
        <w:rPr>
          <w:rFonts w:ascii="Arial" w:hAnsi="Arial" w:cs="Arial"/>
          <w:color w:val="000000" w:themeColor="text1"/>
          <w:sz w:val="22"/>
          <w:vertAlign w:val="superscript"/>
          <w:lang w:val="es-ES_tradnl"/>
        </w:rPr>
        <w:footnoteReference w:id="26"/>
      </w:r>
      <w:r w:rsidRPr="005873AF">
        <w:rPr>
          <w:rFonts w:ascii="Arial" w:hAnsi="Arial" w:cs="Arial"/>
          <w:color w:val="000000" w:themeColor="text1"/>
          <w:sz w:val="22"/>
          <w:lang w:val="es-ES_tradnl"/>
        </w:rPr>
        <w:t xml:space="preserve"> otorgó un término de 6 meses a las entidades territoriales prestadoras del servicio de salud para restructurarlas en Empresas Sociales del Estado. </w:t>
      </w:r>
    </w:p>
    <w:p w14:paraId="338F00E2"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color w:val="000000" w:themeColor="text1"/>
          <w:sz w:val="22"/>
          <w:lang w:val="es-ES_tradnl"/>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1021ACB4"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color w:val="000000" w:themeColor="text1"/>
          <w:sz w:val="22"/>
          <w:lang w:val="es-ES_tradnl"/>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p>
    <w:p w14:paraId="76EB3D9E"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39A7DA7F"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p>
    <w:p w14:paraId="77761CF7" w14:textId="77777777" w:rsidR="00A210E6" w:rsidRPr="005873AF" w:rsidRDefault="00A210E6" w:rsidP="00A210E6">
      <w:pPr>
        <w:tabs>
          <w:tab w:val="left" w:pos="426"/>
        </w:tabs>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 xml:space="preserve">[…] se encuentran cubiertos por la excepción contemplada en el inciso 2 del artículo 33 de la Ley de Garantías Electorales, las entidades hospitalarias que a la luz de las normas vigentes </w:t>
      </w:r>
      <w:r w:rsidRPr="005873AF">
        <w:rPr>
          <w:rFonts w:ascii="Arial" w:hAnsi="Arial" w:cs="Arial"/>
          <w:i/>
          <w:iCs/>
          <w:color w:val="000000" w:themeColor="text1"/>
          <w:sz w:val="21"/>
          <w:szCs w:val="21"/>
          <w:shd w:val="clear" w:color="auto" w:fill="FFFFFF"/>
          <w:lang w:val="es-ES_tradnl"/>
        </w:rPr>
        <w:t xml:space="preserve">no son otras distintas que las Empresas Sociales del estado y todas aquellas instituciones públicas </w:t>
      </w:r>
      <w:proofErr w:type="gramStart"/>
      <w:r w:rsidRPr="005873AF">
        <w:rPr>
          <w:rFonts w:ascii="Arial" w:hAnsi="Arial" w:cs="Arial"/>
          <w:i/>
          <w:iCs/>
          <w:color w:val="000000" w:themeColor="text1"/>
          <w:sz w:val="21"/>
          <w:szCs w:val="21"/>
          <w:shd w:val="clear" w:color="auto" w:fill="FFFFFF"/>
          <w:lang w:val="es-ES_tradnl"/>
        </w:rPr>
        <w:t>que</w:t>
      </w:r>
      <w:proofErr w:type="gramEnd"/>
      <w:r w:rsidRPr="005873AF">
        <w:rPr>
          <w:rFonts w:ascii="Arial" w:hAnsi="Arial" w:cs="Arial"/>
          <w:i/>
          <w:iCs/>
          <w:color w:val="000000" w:themeColor="text1"/>
          <w:sz w:val="21"/>
          <w:szCs w:val="21"/>
          <w:shd w:val="clear" w:color="auto" w:fill="FFFFFF"/>
          <w:lang w:val="es-ES_tradnl"/>
        </w:rPr>
        <w:t xml:space="preserve"> a pesar de no haberse transformado en Empresas Sociales del Estado, prestan un servicio de salud directo sobre el usuario en su carácter general de entidad hospitalaria</w:t>
      </w:r>
      <w:r w:rsidRPr="005873AF">
        <w:rPr>
          <w:rFonts w:ascii="Arial" w:hAnsi="Arial" w:cs="Arial"/>
          <w:color w:val="000000" w:themeColor="text1"/>
          <w:sz w:val="21"/>
          <w:szCs w:val="21"/>
          <w:shd w:val="clear" w:color="auto" w:fill="FFFFFF"/>
          <w:lang w:val="es-ES_tradnl"/>
        </w:rPr>
        <w:t xml:space="preserve"> […]. (Énfasis fuera de texto) </w:t>
      </w:r>
    </w:p>
    <w:p w14:paraId="09421FFA" w14:textId="77777777" w:rsidR="00A210E6" w:rsidRPr="005873AF" w:rsidRDefault="00A210E6" w:rsidP="00A210E6">
      <w:pPr>
        <w:tabs>
          <w:tab w:val="left" w:pos="426"/>
        </w:tabs>
        <w:spacing w:line="276" w:lineRule="auto"/>
        <w:ind w:left="709" w:right="709"/>
        <w:jc w:val="both"/>
        <w:rPr>
          <w:rFonts w:ascii="Arial" w:hAnsi="Arial" w:cs="Arial"/>
          <w:bCs/>
          <w:color w:val="000000" w:themeColor="text1"/>
          <w:sz w:val="21"/>
          <w:szCs w:val="21"/>
          <w:lang w:val="es-ES_tradnl"/>
        </w:rPr>
      </w:pPr>
    </w:p>
    <w:p w14:paraId="48D17131"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w:t>
      </w:r>
      <w:r w:rsidRPr="005873AF">
        <w:rPr>
          <w:rFonts w:ascii="Arial" w:hAnsi="Arial" w:cs="Arial"/>
          <w:bCs/>
          <w:color w:val="000000" w:themeColor="text1"/>
          <w:sz w:val="22"/>
          <w:lang w:val="es-ES_tradnl"/>
        </w:rPr>
        <w:lastRenderedPageBreak/>
        <w:t xml:space="preserve">establecido en el artículo 197 de la Ley 100 de 1993, prestan un servicio de salud directo como entidad hospitalaria. </w:t>
      </w:r>
    </w:p>
    <w:p w14:paraId="25F0478F"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0DF5FBDD" w14:textId="77777777" w:rsidR="00A210E6" w:rsidRPr="005873AF" w:rsidRDefault="00A210E6" w:rsidP="00A210E6">
      <w:pPr>
        <w:spacing w:before="120" w:after="120" w:line="276" w:lineRule="auto"/>
        <w:ind w:firstLine="709"/>
        <w:jc w:val="both"/>
        <w:rPr>
          <w:rFonts w:ascii="Arial" w:eastAsia="Arial" w:hAnsi="Arial" w:cs="Arial"/>
          <w:bCs/>
          <w:color w:val="000000" w:themeColor="text1"/>
          <w:sz w:val="22"/>
          <w:szCs w:val="22"/>
          <w:lang w:val="es-ES_tradnl"/>
        </w:rPr>
      </w:pPr>
      <w:r w:rsidRPr="005873AF">
        <w:rPr>
          <w:rFonts w:ascii="Arial" w:eastAsia="Arial" w:hAnsi="Arial" w:cs="Arial"/>
          <w:bCs/>
          <w:color w:val="000000" w:themeColor="text1"/>
          <w:sz w:val="22"/>
          <w:szCs w:val="22"/>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w:t>
      </w:r>
      <w:r w:rsidRPr="005873AF">
        <w:rPr>
          <w:rFonts w:ascii="Arial" w:eastAsia="Arial" w:hAnsi="Arial" w:cs="Arial"/>
          <w:bCs/>
          <w:i/>
          <w:iCs/>
          <w:color w:val="000000" w:themeColor="text1"/>
          <w:sz w:val="22"/>
          <w:szCs w:val="22"/>
        </w:rPr>
        <w:t>entidades sanitarias</w:t>
      </w:r>
      <w:r w:rsidRPr="005873AF">
        <w:rPr>
          <w:rFonts w:ascii="Arial" w:eastAsia="Arial" w:hAnsi="Arial" w:cs="Arial"/>
          <w:bCs/>
          <w:color w:val="000000" w:themeColor="text1"/>
          <w:sz w:val="22"/>
          <w:szCs w:val="22"/>
        </w:rPr>
        <w:t xml:space="preserve"> como «Entidades del Estado que prestan servicios sanitarios o de sanidad con el propósito de preservar la salud humana y la salud pública». Así mismo, el artículo citado también define las </w:t>
      </w:r>
      <w:r w:rsidRPr="005873AF">
        <w:rPr>
          <w:rFonts w:ascii="Arial" w:eastAsia="Arial" w:hAnsi="Arial" w:cs="Arial"/>
          <w:bCs/>
          <w:i/>
          <w:iCs/>
          <w:color w:val="000000" w:themeColor="text1"/>
          <w:sz w:val="22"/>
          <w:szCs w:val="22"/>
        </w:rPr>
        <w:t>autoridades sanitarias</w:t>
      </w:r>
      <w:r w:rsidRPr="005873AF">
        <w:rPr>
          <w:rFonts w:ascii="Arial" w:eastAsia="Arial" w:hAnsi="Arial" w:cs="Arial"/>
          <w:bCs/>
          <w:color w:val="000000" w:themeColor="text1"/>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5873AF">
        <w:rPr>
          <w:rFonts w:ascii="Arial" w:eastAsia="Arial" w:hAnsi="Arial" w:cs="Arial"/>
          <w:bCs/>
          <w:color w:val="000000" w:themeColor="text1"/>
          <w:sz w:val="22"/>
          <w:szCs w:val="22"/>
          <w:vertAlign w:val="superscript"/>
        </w:rPr>
        <w:footnoteReference w:id="27"/>
      </w:r>
      <w:r w:rsidRPr="005873AF">
        <w:rPr>
          <w:rFonts w:ascii="Arial" w:eastAsia="Arial" w:hAnsi="Arial" w:cs="Arial"/>
          <w:bCs/>
          <w:color w:val="000000" w:themeColor="text1"/>
          <w:sz w:val="22"/>
          <w:szCs w:val="22"/>
        </w:rPr>
        <w:t xml:space="preserve">. Sin embargo, es necesario tener en cuenta que la excepción del artículo 33 de la Ley de Garantías solo aplica a las </w:t>
      </w:r>
      <w:r w:rsidRPr="005873AF">
        <w:rPr>
          <w:rFonts w:ascii="Arial" w:eastAsia="Arial" w:hAnsi="Arial" w:cs="Arial"/>
          <w:bCs/>
          <w:i/>
          <w:iCs/>
          <w:color w:val="000000" w:themeColor="text1"/>
          <w:sz w:val="22"/>
          <w:szCs w:val="22"/>
        </w:rPr>
        <w:t>entidades sanitarias</w:t>
      </w:r>
      <w:r w:rsidRPr="005873AF">
        <w:rPr>
          <w:rFonts w:ascii="Arial" w:eastAsia="Arial" w:hAnsi="Arial" w:cs="Arial"/>
          <w:bCs/>
          <w:color w:val="000000" w:themeColor="text1"/>
          <w:sz w:val="22"/>
          <w:szCs w:val="22"/>
        </w:rPr>
        <w:t xml:space="preserve">, no a las </w:t>
      </w:r>
      <w:r w:rsidRPr="005873AF">
        <w:rPr>
          <w:rFonts w:ascii="Arial" w:eastAsia="Arial" w:hAnsi="Arial" w:cs="Arial"/>
          <w:bCs/>
          <w:i/>
          <w:iCs/>
          <w:color w:val="000000" w:themeColor="text1"/>
          <w:sz w:val="22"/>
          <w:szCs w:val="22"/>
        </w:rPr>
        <w:t>autoridades sanitarias</w:t>
      </w:r>
      <w:r w:rsidRPr="005873AF">
        <w:rPr>
          <w:rFonts w:ascii="Arial" w:eastAsia="Arial" w:hAnsi="Arial" w:cs="Arial"/>
          <w:bCs/>
          <w:color w:val="000000" w:themeColor="text1"/>
          <w:sz w:val="22"/>
          <w:szCs w:val="22"/>
        </w:rPr>
        <w:t xml:space="preserve">. </w:t>
      </w:r>
      <w:r w:rsidRPr="005873AF">
        <w:rPr>
          <w:rFonts w:ascii="Arial" w:eastAsia="Arial" w:hAnsi="Arial" w:cs="Arial"/>
          <w:bCs/>
          <w:color w:val="000000" w:themeColor="text1"/>
          <w:sz w:val="22"/>
          <w:szCs w:val="22"/>
          <w:lang w:val="es-ES_tradnl"/>
        </w:rPr>
        <w:t xml:space="preserve">Así las cosas, para efectos de la excepción del artículo 33 es indiferente que la entidad estatal tenga funciones de </w:t>
      </w:r>
      <w:r w:rsidRPr="005873AF">
        <w:rPr>
          <w:rFonts w:ascii="Arial" w:eastAsia="Arial" w:hAnsi="Arial" w:cs="Arial"/>
          <w:bCs/>
          <w:i/>
          <w:iCs/>
          <w:color w:val="000000" w:themeColor="text1"/>
          <w:sz w:val="22"/>
          <w:szCs w:val="22"/>
          <w:lang w:val="es-ES_tradnl"/>
        </w:rPr>
        <w:t>autoridad sanitaria</w:t>
      </w:r>
      <w:r w:rsidRPr="005873AF">
        <w:rPr>
          <w:rFonts w:ascii="Arial" w:eastAsia="Arial" w:hAnsi="Arial" w:cs="Arial"/>
          <w:bCs/>
          <w:color w:val="000000" w:themeColor="text1"/>
          <w:sz w:val="22"/>
          <w:szCs w:val="22"/>
          <w:lang w:val="es-ES_tradnl"/>
        </w:rPr>
        <w:t xml:space="preserve">, pues lo relevante para determinar si la contratación está exceptuada de la prohibición general no es el carácter de autoridad sanitaria, sino que se trate de una </w:t>
      </w:r>
      <w:r w:rsidRPr="005873AF">
        <w:rPr>
          <w:rFonts w:ascii="Arial" w:eastAsia="Arial" w:hAnsi="Arial" w:cs="Arial"/>
          <w:bCs/>
          <w:i/>
          <w:iCs/>
          <w:color w:val="000000" w:themeColor="text1"/>
          <w:sz w:val="22"/>
          <w:szCs w:val="22"/>
          <w:lang w:val="es-ES_tradnl"/>
        </w:rPr>
        <w:t>entidad sanitaria</w:t>
      </w:r>
      <w:r w:rsidRPr="005873AF">
        <w:rPr>
          <w:rFonts w:ascii="Arial" w:eastAsia="Arial" w:hAnsi="Arial" w:cs="Arial"/>
          <w:bCs/>
          <w:color w:val="000000" w:themeColor="text1"/>
          <w:sz w:val="22"/>
          <w:szCs w:val="22"/>
          <w:lang w:val="es-ES_tradnl"/>
        </w:rPr>
        <w:t xml:space="preserve">. </w:t>
      </w:r>
    </w:p>
    <w:p w14:paraId="30CC08A1" w14:textId="77777777" w:rsidR="00A210E6" w:rsidRPr="005873AF" w:rsidRDefault="00A210E6" w:rsidP="00F05449">
      <w:pPr>
        <w:spacing w:line="276" w:lineRule="auto"/>
        <w:ind w:firstLine="709"/>
        <w:jc w:val="both"/>
        <w:rPr>
          <w:rFonts w:ascii="Arial" w:eastAsia="Arial" w:hAnsi="Arial" w:cs="Arial"/>
          <w:bCs/>
          <w:color w:val="000000" w:themeColor="text1"/>
          <w:sz w:val="22"/>
          <w:szCs w:val="22"/>
          <w:lang w:val="es-ES_tradnl"/>
        </w:rPr>
      </w:pPr>
      <w:r w:rsidRPr="005873AF">
        <w:rPr>
          <w:rFonts w:ascii="Arial" w:eastAsia="Arial" w:hAnsi="Arial" w:cs="Arial"/>
          <w:bCs/>
          <w:color w:val="000000" w:themeColor="text1"/>
          <w:sz w:val="22"/>
          <w:szCs w:val="22"/>
          <w:lang w:val="es-ES_tradnl"/>
        </w:rPr>
        <w:t xml:space="preserve">Atendiendo el marco jurídico analizado, corresponderá a cada entidad estatal, incluyendo a aquellas autorizadas para suscribir contratos en el marco de los </w:t>
      </w:r>
      <w:r w:rsidRPr="005873AF">
        <w:rPr>
          <w:rFonts w:ascii="Arial" w:eastAsia="Arial" w:hAnsi="Arial" w:cs="Arial"/>
          <w:color w:val="000000" w:themeColor="text1"/>
          <w:sz w:val="22"/>
          <w:szCs w:val="22"/>
          <w:lang w:val="es-MX"/>
        </w:rPr>
        <w:t xml:space="preserve">Planes de Salud Pública de Intervenciones Colectivas –PIC–, la procedencia de celebrar un contrato estatal específico, para lo cual deberán tener en cuenta las prohibiciones establecidas en materia contractual en la Ley de Garantías Electorales, de acuerdo con lo explicado en las consideraciones de este concepto. </w:t>
      </w:r>
    </w:p>
    <w:p w14:paraId="6790D61F" w14:textId="1DDCEAE3" w:rsidR="00A6460F" w:rsidRDefault="00A6460F" w:rsidP="00F05449">
      <w:pPr>
        <w:tabs>
          <w:tab w:val="left" w:pos="426"/>
        </w:tabs>
        <w:spacing w:line="276" w:lineRule="auto"/>
        <w:jc w:val="both"/>
        <w:rPr>
          <w:rFonts w:ascii="Arial" w:hAnsi="Arial" w:cs="Arial"/>
          <w:bCs/>
          <w:sz w:val="22"/>
          <w:szCs w:val="22"/>
          <w:lang w:eastAsia="x-none"/>
        </w:rPr>
      </w:pPr>
    </w:p>
    <w:p w14:paraId="5071167E" w14:textId="10EDD341" w:rsidR="008A6AA1" w:rsidRDefault="008A6AA1">
      <w:pPr>
        <w:tabs>
          <w:tab w:val="left" w:pos="0"/>
        </w:tabs>
        <w:jc w:val="both"/>
        <w:rPr>
          <w:rFonts w:ascii="Arial" w:eastAsia="Calibri" w:hAnsi="Arial" w:cs="Arial"/>
          <w:b/>
          <w:color w:val="000000" w:themeColor="text1"/>
          <w:sz w:val="22"/>
          <w:lang w:val="es-ES_tradnl"/>
        </w:rPr>
      </w:pPr>
      <w:bookmarkStart w:id="27" w:name="_44sinio" w:colFirst="0" w:colLast="0"/>
      <w:bookmarkStart w:id="28" w:name="_2jxsxqh" w:colFirst="0" w:colLast="0"/>
      <w:bookmarkStart w:id="29" w:name="_z337ya" w:colFirst="0" w:colLast="0"/>
      <w:bookmarkStart w:id="30" w:name="_3j2qqm3" w:colFirst="0" w:colLast="0"/>
      <w:bookmarkStart w:id="31" w:name="_1y810tw" w:colFirst="0" w:colLast="0"/>
      <w:bookmarkStart w:id="32" w:name="_4i7ojhp" w:colFirst="0" w:colLast="0"/>
      <w:bookmarkStart w:id="33" w:name="_2xcytpi" w:colFirst="0" w:colLast="0"/>
      <w:bookmarkStart w:id="34" w:name="_1ci93xb" w:colFirst="0" w:colLast="0"/>
      <w:bookmarkStart w:id="35" w:name="_3whwml4" w:colFirst="0" w:colLast="0"/>
      <w:bookmarkStart w:id="36" w:name="_2bn6wsx" w:colFirst="0" w:colLast="0"/>
      <w:bookmarkStart w:id="37" w:name="_3as4poj" w:colFirst="0" w:colLast="0"/>
      <w:bookmarkStart w:id="38" w:name="_1pxezwc" w:colFirst="0" w:colLast="0"/>
      <w:bookmarkStart w:id="39" w:name="_49x2ik5" w:colFirst="0" w:colLast="0"/>
      <w:bookmarkEnd w:id="27"/>
      <w:bookmarkEnd w:id="28"/>
      <w:bookmarkEnd w:id="29"/>
      <w:bookmarkEnd w:id="30"/>
      <w:bookmarkEnd w:id="31"/>
      <w:bookmarkEnd w:id="32"/>
      <w:bookmarkEnd w:id="33"/>
      <w:bookmarkEnd w:id="34"/>
      <w:bookmarkEnd w:id="35"/>
      <w:bookmarkEnd w:id="36"/>
      <w:bookmarkEnd w:id="37"/>
      <w:bookmarkEnd w:id="38"/>
      <w:bookmarkEnd w:id="39"/>
      <w:r w:rsidRPr="005873AF">
        <w:rPr>
          <w:rFonts w:ascii="Arial" w:eastAsia="Calibri" w:hAnsi="Arial" w:cs="Arial"/>
          <w:b/>
          <w:color w:val="000000" w:themeColor="text1"/>
          <w:sz w:val="22"/>
          <w:lang w:val="es-ES_tradnl"/>
        </w:rPr>
        <w:t>3. Respuesta</w:t>
      </w:r>
    </w:p>
    <w:p w14:paraId="0ECE0DAD" w14:textId="24E588F1" w:rsidR="008612BD" w:rsidRDefault="008612BD">
      <w:pPr>
        <w:tabs>
          <w:tab w:val="left" w:pos="0"/>
        </w:tabs>
        <w:jc w:val="both"/>
        <w:rPr>
          <w:rFonts w:ascii="Arial" w:eastAsia="Calibri" w:hAnsi="Arial" w:cs="Arial"/>
          <w:b/>
          <w:color w:val="000000" w:themeColor="text1"/>
          <w:sz w:val="22"/>
          <w:lang w:val="es-ES_tradnl"/>
        </w:rPr>
      </w:pPr>
    </w:p>
    <w:p w14:paraId="6292DC4B" w14:textId="13137F89" w:rsidR="008612BD" w:rsidRPr="008612BD" w:rsidRDefault="00A210E6" w:rsidP="008118AD">
      <w:pPr>
        <w:ind w:left="709" w:right="709"/>
        <w:jc w:val="both"/>
        <w:rPr>
          <w:rFonts w:ascii="Arial" w:hAnsi="Arial" w:cs="Arial"/>
          <w:bCs/>
          <w:sz w:val="21"/>
          <w:szCs w:val="21"/>
        </w:rPr>
      </w:pPr>
      <w:r w:rsidRPr="00A210E6">
        <w:rPr>
          <w:rFonts w:ascii="Arial" w:hAnsi="Arial" w:cs="Arial"/>
          <w:sz w:val="21"/>
          <w:szCs w:val="21"/>
        </w:rPr>
        <w:lastRenderedPageBreak/>
        <w:t>Respecto a la prohibición de contratación directa del artículo 33 de la Ley 996 de 2005</w:t>
      </w:r>
      <w:r>
        <w:rPr>
          <w:rFonts w:ascii="Arial" w:hAnsi="Arial" w:cs="Arial"/>
          <w:sz w:val="21"/>
          <w:szCs w:val="21"/>
        </w:rPr>
        <w:t xml:space="preserve">: </w:t>
      </w:r>
      <w:r w:rsidR="008118AD" w:rsidRPr="008118AD">
        <w:rPr>
          <w:rFonts w:ascii="Arial" w:hAnsi="Arial" w:cs="Arial"/>
          <w:sz w:val="21"/>
          <w:szCs w:val="21"/>
        </w:rPr>
        <w:t>«[…] los municipios y las gobernaciones para realizar la contratación de los PIC tienen que realizarla por invitación publica o la pueden realizar directamente en este momento a pesar de estar en ley de garantía y teniendo presente que son temas de salud que supuestamente están excluidos de la ley de garantías […]»</w:t>
      </w:r>
      <w:r>
        <w:rPr>
          <w:rFonts w:ascii="Arial" w:hAnsi="Arial" w:cs="Arial"/>
          <w:sz w:val="21"/>
          <w:szCs w:val="21"/>
        </w:rPr>
        <w:t>.</w:t>
      </w:r>
    </w:p>
    <w:p w14:paraId="14C35534" w14:textId="77777777" w:rsidR="008612BD" w:rsidRPr="008612BD" w:rsidRDefault="008612BD" w:rsidP="00496039">
      <w:pPr>
        <w:tabs>
          <w:tab w:val="left" w:pos="0"/>
        </w:tabs>
        <w:jc w:val="both"/>
        <w:rPr>
          <w:rFonts w:ascii="Arial" w:eastAsia="Calibri" w:hAnsi="Arial" w:cs="Arial"/>
          <w:b/>
          <w:color w:val="000000" w:themeColor="text1"/>
          <w:sz w:val="22"/>
        </w:rPr>
      </w:pPr>
    </w:p>
    <w:p w14:paraId="221895F9" w14:textId="77777777" w:rsidR="00E10612" w:rsidRPr="005873AF" w:rsidRDefault="00E10612" w:rsidP="00E10612">
      <w:pPr>
        <w:spacing w:after="120" w:line="276" w:lineRule="auto"/>
        <w:jc w:val="both"/>
        <w:rPr>
          <w:rFonts w:ascii="Arial" w:eastAsia="Calibri" w:hAnsi="Arial" w:cs="Arial"/>
          <w:color w:val="000000" w:themeColor="text1"/>
          <w:sz w:val="22"/>
          <w:szCs w:val="22"/>
          <w:lang w:val="es-ES_tradnl" w:eastAsia="en-US"/>
        </w:rPr>
      </w:pPr>
      <w:r w:rsidRPr="005873AF">
        <w:rPr>
          <w:rFonts w:ascii="Arial" w:eastAsia="Calibri" w:hAnsi="Arial" w:cs="Arial"/>
          <w:color w:val="000000" w:themeColor="text1"/>
          <w:sz w:val="22"/>
          <w:szCs w:val="22"/>
          <w:lang w:val="es-ES_tradnl" w:eastAsia="en-US"/>
        </w:rPr>
        <w:t>De acuerdo con las competencias otorgadas a esta Agencia, en los términos señalados al inicio de las consideraciones, en relación con el alcance las prohibiciones establecidas en la Ley de Garantías Electorales, se tiene que el artículo 33 de la Ley 996 de 2005 establece una restricción en atención a la cual,</w:t>
      </w:r>
      <w:r w:rsidRPr="005873AF">
        <w:rPr>
          <w:rFonts w:ascii="Arial" w:eastAsia="Calibri" w:hAnsi="Arial" w:cs="Arial"/>
          <w:color w:val="000000" w:themeColor="text1"/>
          <w:sz w:val="25"/>
          <w:szCs w:val="25"/>
          <w:shd w:val="clear" w:color="auto" w:fill="FFFFFF"/>
          <w:lang w:val="es-ES_tradnl" w:eastAsia="en-US"/>
        </w:rPr>
        <w:t xml:space="preserve"> </w:t>
      </w:r>
      <w:r w:rsidRPr="005873AF">
        <w:rPr>
          <w:rFonts w:ascii="Arial" w:eastAsia="Calibri" w:hAnsi="Arial" w:cs="Arial"/>
          <w:color w:val="000000" w:themeColor="text1"/>
          <w:sz w:val="22"/>
          <w:szCs w:val="22"/>
          <w:lang w:val="es-ES_tradnl" w:eastAsia="en-US"/>
        </w:rPr>
        <w:t>durante los cuatro meses anteriores a la elección presidencial y hasta la realización de la elección en la segunda vuelta, si fuere el caso, está prohibida la contratación directa por parte de todos los entes del Estado. Esto implica que la celebración de contratos, cuya selección del contratista se realice de manera directa está prohibida durante el período de aplicación de esta restricción, en los términos explicados en las consideraciones.</w:t>
      </w:r>
    </w:p>
    <w:p w14:paraId="243E3665" w14:textId="77777777" w:rsidR="00E10612" w:rsidRPr="005873AF" w:rsidRDefault="00E10612" w:rsidP="00E10612">
      <w:pPr>
        <w:spacing w:after="120" w:line="276" w:lineRule="auto"/>
        <w:ind w:firstLine="708"/>
        <w:jc w:val="both"/>
        <w:rPr>
          <w:rFonts w:ascii="Arial" w:hAnsi="Arial" w:cs="Arial"/>
          <w:bCs/>
          <w:color w:val="000000" w:themeColor="text1"/>
          <w:sz w:val="22"/>
          <w:szCs w:val="22"/>
          <w:lang w:val="es-ES_tradnl" w:eastAsia="es-CO"/>
        </w:rPr>
      </w:pPr>
      <w:r w:rsidRPr="005873AF">
        <w:rPr>
          <w:rFonts w:ascii="Arial" w:hAnsi="Arial" w:cs="Arial"/>
          <w:bCs/>
          <w:color w:val="000000" w:themeColor="text1"/>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w:t>
      </w:r>
      <w:proofErr w:type="spellStart"/>
      <w:r w:rsidRPr="005873AF">
        <w:rPr>
          <w:rFonts w:ascii="Arial" w:hAnsi="Arial" w:cs="Arial"/>
          <w:bCs/>
          <w:color w:val="000000" w:themeColor="text1"/>
          <w:sz w:val="22"/>
          <w:szCs w:val="22"/>
          <w:lang w:val="es-ES_tradnl" w:eastAsia="x-none"/>
        </w:rPr>
        <w:t>iii</w:t>
      </w:r>
      <w:proofErr w:type="spellEnd"/>
      <w:r w:rsidRPr="005873AF">
        <w:rPr>
          <w:rFonts w:ascii="Arial" w:hAnsi="Arial" w:cs="Arial"/>
          <w:bCs/>
          <w:color w:val="000000" w:themeColor="text1"/>
          <w:sz w:val="22"/>
          <w:szCs w:val="22"/>
          <w:lang w:val="es-ES_tradnl" w:eastAsia="x-none"/>
        </w:rPr>
        <w:t>)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873AF">
        <w:rPr>
          <w:rFonts w:ascii="Arial" w:hAnsi="Arial" w:cs="Arial"/>
          <w:bCs/>
          <w:color w:val="000000" w:themeColor="text1"/>
          <w:sz w:val="22"/>
          <w:szCs w:val="22"/>
          <w:lang w:val="es-ES_tradnl" w:eastAsia="es-CO"/>
        </w:rPr>
        <w:t xml:space="preserve"> Por ello,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1B9785E" w14:textId="77777777" w:rsidR="00E10612" w:rsidRPr="005873AF" w:rsidRDefault="00E10612" w:rsidP="00E10612">
      <w:pPr>
        <w:spacing w:after="120" w:line="276" w:lineRule="auto"/>
        <w:ind w:firstLine="708"/>
        <w:jc w:val="both"/>
        <w:rPr>
          <w:rFonts w:ascii="Arial" w:hAnsi="Arial" w:cs="Arial"/>
          <w:bCs/>
          <w:color w:val="000000" w:themeColor="text1"/>
          <w:sz w:val="22"/>
          <w:szCs w:val="22"/>
          <w:lang w:val="es-ES_tradnl" w:eastAsia="x-none"/>
        </w:rPr>
      </w:pPr>
      <w:r w:rsidRPr="005873AF">
        <w:rPr>
          <w:rFonts w:ascii="Arial" w:hAnsi="Arial" w:cs="Arial"/>
          <w:bCs/>
          <w:color w:val="000000" w:themeColor="text1"/>
          <w:sz w:val="22"/>
          <w:szCs w:val="22"/>
          <w:lang w:val="es-ES_tradnl" w:eastAsia="x-none"/>
        </w:rPr>
        <w:t>Por otra parte, el artículo 33 de la Ley 996 de 2005 señala expresamente a los destinatarios de la prohibición, en el sentido de que son «todos los entes del Estado». Esto, de conformidad con lo expuesto, involucra a todas las entidades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sin perjuicio de las excepciones establecidas en el inciso segundo del artículo 33.</w:t>
      </w:r>
    </w:p>
    <w:p w14:paraId="3B65FA0C" w14:textId="15009BC1" w:rsidR="00400F0C" w:rsidRPr="005873AF" w:rsidRDefault="00E10612">
      <w:pPr>
        <w:autoSpaceDE w:val="0"/>
        <w:autoSpaceDN w:val="0"/>
        <w:adjustRightInd w:val="0"/>
        <w:spacing w:after="120" w:line="276" w:lineRule="auto"/>
        <w:ind w:firstLine="708"/>
        <w:jc w:val="both"/>
        <w:rPr>
          <w:rFonts w:ascii="Arial" w:hAnsi="Arial" w:cs="Arial"/>
          <w:color w:val="000000" w:themeColor="text1"/>
          <w:sz w:val="22"/>
          <w:szCs w:val="22"/>
        </w:rPr>
      </w:pPr>
      <w:r w:rsidRPr="005873AF">
        <w:rPr>
          <w:rFonts w:ascii="Arial" w:hAnsi="Arial" w:cs="Arial"/>
          <w:bCs/>
          <w:color w:val="000000" w:themeColor="text1"/>
          <w:sz w:val="22"/>
          <w:szCs w:val="22"/>
          <w:lang w:val="es-ES_tradnl" w:eastAsia="x-none"/>
        </w:rPr>
        <w:t xml:space="preserve">En consecuencia, las restricciones a la contratación contenidas en el artículo 33 de la Ley de Garantías Electorales son aplicables a todos los Entes del Estado. Por lo tanto, la celebración de cualquier contrato de forma directa, esto es, sin que exista un proceso </w:t>
      </w:r>
      <w:r w:rsidRPr="005873AF">
        <w:rPr>
          <w:rFonts w:ascii="Arial" w:hAnsi="Arial" w:cs="Arial"/>
          <w:bCs/>
          <w:color w:val="000000" w:themeColor="text1"/>
          <w:sz w:val="22"/>
          <w:szCs w:val="22"/>
          <w:lang w:val="es-ES_tradnl" w:eastAsia="x-none"/>
        </w:rPr>
        <w:lastRenderedPageBreak/>
        <w:t>abierto y competitivo, también se encuentra restringida para este tipo de entidades, sin perjuicio de las excepciones expresamente previstas en el inciso final del artículo 33 de dicha norma.</w:t>
      </w:r>
      <w:r w:rsidR="00847954">
        <w:rPr>
          <w:rFonts w:ascii="Arial" w:hAnsi="Arial" w:cs="Arial"/>
          <w:bCs/>
          <w:color w:val="000000" w:themeColor="text1"/>
          <w:sz w:val="22"/>
          <w:szCs w:val="22"/>
          <w:lang w:val="es-ES_tradnl" w:eastAsia="x-none"/>
        </w:rPr>
        <w:t xml:space="preserve"> </w:t>
      </w:r>
      <w:r w:rsidR="00400F0C" w:rsidRPr="005873AF">
        <w:rPr>
          <w:rFonts w:ascii="Arial" w:eastAsia="Calibri" w:hAnsi="Arial" w:cs="Arial"/>
          <w:bCs/>
          <w:color w:val="000000" w:themeColor="text1"/>
          <w:sz w:val="22"/>
          <w:szCs w:val="22"/>
          <w:lang w:val="es-ES_tradnl" w:eastAsia="es-CO"/>
        </w:rPr>
        <w:t>En tal sentido, de acuerdo con el marco jurídico expuesto le corresponderá a cada entidad estatal</w:t>
      </w:r>
      <w:r w:rsidR="0064091A" w:rsidRPr="005873AF">
        <w:rPr>
          <w:rFonts w:ascii="Arial" w:eastAsia="Calibri" w:hAnsi="Arial" w:cs="Arial"/>
          <w:bCs/>
          <w:color w:val="000000" w:themeColor="text1"/>
          <w:sz w:val="22"/>
          <w:szCs w:val="22"/>
          <w:lang w:val="es-ES_tradnl" w:eastAsia="es-CO"/>
        </w:rPr>
        <w:t xml:space="preserve">, </w:t>
      </w:r>
      <w:r w:rsidR="0064091A" w:rsidRPr="005873AF">
        <w:rPr>
          <w:rFonts w:ascii="Arial" w:eastAsia="Arial" w:hAnsi="Arial" w:cs="Arial"/>
          <w:bCs/>
          <w:color w:val="000000" w:themeColor="text1"/>
          <w:sz w:val="22"/>
          <w:szCs w:val="22"/>
          <w:lang w:val="es-ES_tradnl"/>
        </w:rPr>
        <w:t xml:space="preserve">incluyendo a aquellas autorizadas para suscribir contratos en el marco de los </w:t>
      </w:r>
      <w:r w:rsidR="0064091A" w:rsidRPr="005873AF">
        <w:rPr>
          <w:rFonts w:ascii="Arial" w:eastAsia="Arial" w:hAnsi="Arial" w:cs="Arial"/>
          <w:color w:val="000000" w:themeColor="text1"/>
          <w:sz w:val="22"/>
          <w:szCs w:val="22"/>
          <w:lang w:val="es-MX"/>
        </w:rPr>
        <w:t>Planes de Salud Pública de Intervenciones Colectivas –PIC–,</w:t>
      </w:r>
      <w:r w:rsidR="00400F0C" w:rsidRPr="005873AF">
        <w:rPr>
          <w:rFonts w:ascii="Arial" w:eastAsia="Calibri" w:hAnsi="Arial" w:cs="Arial"/>
          <w:bCs/>
          <w:color w:val="000000" w:themeColor="text1"/>
          <w:sz w:val="22"/>
          <w:szCs w:val="22"/>
          <w:lang w:val="es-ES_tradnl" w:eastAsia="es-CO"/>
        </w:rPr>
        <w:t xml:space="preserve"> definir la forma como adelanta</w:t>
      </w:r>
      <w:r w:rsidR="0064091A" w:rsidRPr="005873AF">
        <w:rPr>
          <w:rFonts w:ascii="Arial" w:eastAsia="Calibri" w:hAnsi="Arial" w:cs="Arial"/>
          <w:bCs/>
          <w:color w:val="000000" w:themeColor="text1"/>
          <w:sz w:val="22"/>
          <w:szCs w:val="22"/>
          <w:lang w:val="es-ES_tradnl" w:eastAsia="es-CO"/>
        </w:rPr>
        <w:t>n</w:t>
      </w:r>
      <w:r w:rsidR="00400F0C" w:rsidRPr="005873AF">
        <w:rPr>
          <w:rFonts w:ascii="Arial" w:eastAsia="Calibri" w:hAnsi="Arial" w:cs="Arial"/>
          <w:bCs/>
          <w:color w:val="000000" w:themeColor="text1"/>
          <w:sz w:val="22"/>
          <w:szCs w:val="22"/>
          <w:lang w:val="es-ES_tradnl" w:eastAsia="es-CO"/>
        </w:rPr>
        <w:t xml:space="preserve"> su actividad contractual, de manera que resulte armónica con las prohibiciones establecidas en la Ley 996 de 2005</w:t>
      </w:r>
      <w:r w:rsidR="00380D09">
        <w:rPr>
          <w:rFonts w:ascii="Arial" w:eastAsia="Calibri" w:hAnsi="Arial" w:cs="Arial"/>
          <w:bCs/>
          <w:color w:val="000000" w:themeColor="text1"/>
          <w:sz w:val="22"/>
          <w:szCs w:val="22"/>
          <w:lang w:val="es-ES_tradnl" w:eastAsia="es-CO"/>
        </w:rPr>
        <w:t>.</w:t>
      </w:r>
    </w:p>
    <w:p w14:paraId="52684671" w14:textId="77777777" w:rsidR="00400F0C" w:rsidRPr="005873AF" w:rsidRDefault="00400F0C" w:rsidP="002652C1">
      <w:pPr>
        <w:autoSpaceDE w:val="0"/>
        <w:autoSpaceDN w:val="0"/>
        <w:adjustRightInd w:val="0"/>
        <w:ind w:left="709" w:right="709"/>
        <w:jc w:val="both"/>
        <w:rPr>
          <w:rFonts w:ascii="Arial" w:hAnsi="Arial" w:cs="Arial"/>
          <w:color w:val="000000" w:themeColor="text1"/>
          <w:sz w:val="22"/>
          <w:szCs w:val="22"/>
        </w:rPr>
      </w:pPr>
    </w:p>
    <w:p w14:paraId="7B2C921D" w14:textId="0F779FF9" w:rsidR="00DD5B04" w:rsidRPr="005873AF"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49730030" w14:textId="03B13E4C" w:rsidR="00DD5B04" w:rsidRDefault="001827E4" w:rsidP="00F05449">
      <w:pPr>
        <w:pStyle w:val="NormalWeb"/>
        <w:spacing w:before="0" w:beforeAutospacing="0" w:after="0" w:afterAutospacing="0" w:line="276" w:lineRule="auto"/>
        <w:jc w:val="center"/>
        <w:rPr>
          <w:color w:val="000000" w:themeColor="text1"/>
          <w:lang w:val="es-ES_tradnl"/>
        </w:rPr>
      </w:pPr>
      <w:r>
        <w:rPr>
          <w:rFonts w:ascii="Arial" w:hAnsi="Arial" w:cs="Arial"/>
          <w:noProof/>
          <w:color w:val="000000" w:themeColor="text1"/>
          <w:sz w:val="22"/>
          <w:szCs w:val="22"/>
          <w:lang w:val="es-ES"/>
        </w:rPr>
        <w:drawing>
          <wp:inline distT="0" distB="0" distL="0" distR="0" wp14:anchorId="40A69216" wp14:editId="513F22A5">
            <wp:extent cx="2174875" cy="92583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4875" cy="925830"/>
                    </a:xfrm>
                    <a:prstGeom prst="rect">
                      <a:avLst/>
                    </a:prstGeom>
                    <a:noFill/>
                    <a:ln>
                      <a:noFill/>
                    </a:ln>
                  </pic:spPr>
                </pic:pic>
              </a:graphicData>
            </a:graphic>
          </wp:inline>
        </w:drawing>
      </w:r>
    </w:p>
    <w:p w14:paraId="3D9B6FCD" w14:textId="77777777" w:rsidR="001827E4" w:rsidRPr="005873AF" w:rsidRDefault="001827E4" w:rsidP="00F05449">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6A6B87" w:rsidRPr="005873AF" w14:paraId="0C7DC5F7" w14:textId="77777777" w:rsidTr="00F05449">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575" w:type="dxa"/>
            <w:tcBorders>
              <w:top w:val="nil"/>
              <w:left w:val="nil"/>
              <w:bottom w:val="dotted" w:sz="4" w:space="0" w:color="7F7F7F" w:themeColor="text1" w:themeTint="80"/>
              <w:right w:val="nil"/>
            </w:tcBorders>
            <w:vAlign w:val="center"/>
            <w:hideMark/>
          </w:tcPr>
          <w:p w14:paraId="288BFDA7" w14:textId="331C1691" w:rsidR="009B1F41" w:rsidRDefault="009B1F41" w:rsidP="00DF76A2">
            <w:pPr>
              <w:jc w:val="both"/>
              <w:rPr>
                <w:rFonts w:ascii="Arial" w:hAnsi="Arial" w:cs="Arial"/>
                <w:color w:val="000000" w:themeColor="text1"/>
                <w:sz w:val="16"/>
                <w:szCs w:val="16"/>
                <w:lang w:val="es-ES_tradnl" w:eastAsia="es-ES"/>
              </w:rPr>
            </w:pPr>
            <w:r w:rsidRPr="009B1F41">
              <w:rPr>
                <w:rFonts w:ascii="Arial" w:hAnsi="Arial" w:cs="Arial"/>
                <w:color w:val="000000" w:themeColor="text1"/>
                <w:sz w:val="16"/>
                <w:szCs w:val="16"/>
                <w:lang w:val="es-ES_tradnl" w:eastAsia="es-ES"/>
              </w:rPr>
              <w:t>Gabriel Alejandro Murcia Taboada</w:t>
            </w:r>
          </w:p>
          <w:p w14:paraId="240C71FD" w14:textId="61417E02"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Contratista</w:t>
            </w:r>
            <w:r w:rsidR="00FF0050" w:rsidRPr="005873AF">
              <w:rPr>
                <w:rFonts w:ascii="Arial" w:hAnsi="Arial" w:cs="Arial"/>
                <w:color w:val="000000" w:themeColor="text1"/>
                <w:sz w:val="16"/>
                <w:szCs w:val="16"/>
                <w:lang w:val="es-ES_tradnl" w:eastAsia="es-ES"/>
              </w:rPr>
              <w:t xml:space="preserve"> de la </w:t>
            </w:r>
            <w:r w:rsidRPr="005873AF">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F05449">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16E9293D" w14:textId="5AFC90FC" w:rsidR="00A1108C" w:rsidRPr="00C84DD3" w:rsidRDefault="00DF2B34" w:rsidP="00C05A61">
            <w:pPr>
              <w:jc w:val="both"/>
              <w:rPr>
                <w:rFonts w:ascii="Arial" w:hAnsi="Arial" w:cs="Arial"/>
                <w:color w:val="000000" w:themeColor="text1"/>
                <w:sz w:val="16"/>
                <w:szCs w:val="16"/>
                <w:lang w:val="es-ES_tradnl" w:eastAsia="es-ES"/>
              </w:rPr>
            </w:pPr>
            <w:r w:rsidRPr="00C84DD3">
              <w:rPr>
                <w:rFonts w:ascii="Arial" w:hAnsi="Arial" w:cs="Arial"/>
                <w:color w:val="000000" w:themeColor="text1"/>
                <w:sz w:val="16"/>
                <w:szCs w:val="16"/>
                <w:lang w:val="es-ES_tradnl" w:eastAsia="es-ES"/>
              </w:rPr>
              <w:t>Juan David Montoya</w:t>
            </w:r>
            <w:r w:rsidR="007821D6">
              <w:rPr>
                <w:rFonts w:ascii="Arial" w:hAnsi="Arial" w:cs="Arial"/>
                <w:color w:val="000000" w:themeColor="text1"/>
                <w:sz w:val="16"/>
                <w:szCs w:val="16"/>
                <w:lang w:val="es-ES_tradnl" w:eastAsia="es-ES"/>
              </w:rPr>
              <w:t xml:space="preserve"> Penagos</w:t>
            </w:r>
          </w:p>
          <w:p w14:paraId="130B3228" w14:textId="37410BEF" w:rsidR="002B08BA" w:rsidRPr="00DF2B34" w:rsidRDefault="00C84DD3" w:rsidP="00C05A61">
            <w:pPr>
              <w:jc w:val="both"/>
              <w:rPr>
                <w:rFonts w:ascii="Arial" w:hAnsi="Arial" w:cs="Arial"/>
                <w:color w:val="000000" w:themeColor="text1"/>
                <w:sz w:val="16"/>
                <w:szCs w:val="16"/>
                <w:highlight w:val="yellow"/>
                <w:lang w:val="es-ES_tradnl" w:eastAsia="es-ES"/>
              </w:rPr>
            </w:pPr>
            <w:r w:rsidRPr="00C84DD3">
              <w:rPr>
                <w:rFonts w:ascii="Arial" w:hAnsi="Arial" w:cs="Arial"/>
                <w:color w:val="000000" w:themeColor="text1"/>
                <w:sz w:val="16"/>
                <w:szCs w:val="16"/>
                <w:lang w:val="es-ES_tradnl" w:eastAsia="es-ES"/>
              </w:rPr>
              <w:t xml:space="preserve">Gestor T1-15 de la </w:t>
            </w:r>
            <w:r w:rsidR="00A1108C" w:rsidRPr="00C84DD3">
              <w:rPr>
                <w:rFonts w:ascii="Arial" w:hAnsi="Arial" w:cs="Arial"/>
                <w:color w:val="000000" w:themeColor="text1"/>
                <w:sz w:val="16"/>
                <w:szCs w:val="16"/>
                <w:lang w:val="es-ES_tradnl" w:eastAsia="es-ES"/>
              </w:rPr>
              <w:t xml:space="preserve">de </w:t>
            </w:r>
            <w:r w:rsidR="00015642" w:rsidRPr="00C84DD3">
              <w:rPr>
                <w:rFonts w:ascii="Arial" w:hAnsi="Arial" w:cs="Arial"/>
                <w:color w:val="000000" w:themeColor="text1"/>
                <w:sz w:val="16"/>
                <w:szCs w:val="16"/>
                <w:lang w:val="es-ES_tradnl" w:eastAsia="es-ES"/>
              </w:rPr>
              <w:t xml:space="preserve">la </w:t>
            </w:r>
            <w:r w:rsidR="003D281F" w:rsidRPr="00C84DD3">
              <w:rPr>
                <w:rFonts w:ascii="Arial" w:hAnsi="Arial" w:cs="Arial"/>
                <w:color w:val="000000" w:themeColor="text1"/>
                <w:sz w:val="16"/>
                <w:szCs w:val="16"/>
                <w:lang w:val="es-ES_tradnl" w:eastAsia="es-ES"/>
              </w:rPr>
              <w:t xml:space="preserve">Subdirección de Gestión Contractual </w:t>
            </w:r>
            <w:r w:rsidR="00015642" w:rsidRPr="00C84DD3">
              <w:rPr>
                <w:rFonts w:ascii="Arial" w:hAnsi="Arial" w:cs="Arial"/>
                <w:color w:val="000000" w:themeColor="text1"/>
                <w:sz w:val="16"/>
                <w:szCs w:val="16"/>
                <w:lang w:val="es-ES_tradnl" w:eastAsia="es-ES"/>
              </w:rPr>
              <w:t xml:space="preserve"> </w:t>
            </w:r>
          </w:p>
        </w:tc>
      </w:tr>
      <w:tr w:rsidR="00DD5B04" w:rsidRPr="006A6B87" w14:paraId="0FCBCA4A" w14:textId="77777777" w:rsidTr="00F05449">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EA40BDE" w14:textId="77777777" w:rsidR="009B1F41" w:rsidRPr="009F5860" w:rsidRDefault="009B1F41" w:rsidP="009B1F41">
            <w:pPr>
              <w:rPr>
                <w:rFonts w:ascii="Arial" w:hAnsi="Arial" w:cs="Arial"/>
                <w:sz w:val="16"/>
                <w:szCs w:val="16"/>
                <w:lang w:val="es-ES" w:eastAsia="es-ES"/>
              </w:rPr>
            </w:pPr>
            <w:r>
              <w:rPr>
                <w:rFonts w:ascii="Arial" w:hAnsi="Arial" w:cs="Arial"/>
                <w:sz w:val="16"/>
                <w:szCs w:val="16"/>
                <w:lang w:val="es-ES" w:eastAsia="es-ES"/>
              </w:rPr>
              <w:t xml:space="preserve">Andrés Ricardo Mancipe </w:t>
            </w:r>
            <w:r w:rsidRPr="00F5595D">
              <w:rPr>
                <w:rFonts w:ascii="Arial" w:hAnsi="Arial" w:cs="Arial"/>
                <w:sz w:val="16"/>
                <w:szCs w:val="16"/>
                <w:lang w:val="es-ES" w:eastAsia="es-ES"/>
              </w:rPr>
              <w:t>González</w:t>
            </w:r>
          </w:p>
          <w:p w14:paraId="1ADC483B" w14:textId="7545C0F4" w:rsidR="00DD5B04" w:rsidRPr="006A6B87" w:rsidRDefault="009B1F41" w:rsidP="00DF76A2">
            <w:pPr>
              <w:jc w:val="both"/>
              <w:rPr>
                <w:rFonts w:ascii="Arial" w:hAnsi="Arial" w:cs="Arial"/>
                <w:color w:val="000000" w:themeColor="text1"/>
                <w:sz w:val="16"/>
                <w:szCs w:val="16"/>
                <w:lang w:val="es-ES_tradnl" w:eastAsia="es-ES"/>
              </w:rPr>
            </w:pPr>
            <w:r w:rsidRPr="009F5860">
              <w:rPr>
                <w:rFonts w:ascii="Arial" w:hAnsi="Arial" w:cs="Arial"/>
                <w:sz w:val="16"/>
                <w:szCs w:val="16"/>
                <w:lang w:val="es-ES" w:eastAsia="es-ES"/>
              </w:rPr>
              <w:t xml:space="preserve">Subdirector de Gestión Contractual </w:t>
            </w:r>
            <w:r>
              <w:rPr>
                <w:rFonts w:ascii="Arial" w:hAnsi="Arial" w:cs="Arial"/>
                <w:sz w:val="16"/>
                <w:szCs w:val="16"/>
                <w:lang w:val="es-ES" w:eastAsia="es-ES"/>
              </w:rPr>
              <w:t>(E)</w:t>
            </w:r>
          </w:p>
        </w:tc>
      </w:tr>
      <w:bookmarkEnd w:id="4"/>
    </w:tbl>
    <w:p w14:paraId="75F18CB2" w14:textId="2AF73C9D" w:rsidR="00630845" w:rsidRPr="006A6B87" w:rsidRDefault="00630845" w:rsidP="00630845">
      <w:pPr>
        <w:rPr>
          <w:rFonts w:ascii="Arial" w:hAnsi="Arial" w:cs="Arial"/>
          <w:color w:val="000000" w:themeColor="text1"/>
          <w:lang w:val="es-ES_tradnl"/>
        </w:rPr>
      </w:pPr>
    </w:p>
    <w:p w14:paraId="5E9C37DB" w14:textId="5057876E" w:rsidR="00746E08" w:rsidRPr="006A6B87" w:rsidRDefault="00630845" w:rsidP="00322342">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D4461" w14:textId="77777777" w:rsidR="00BD71AB" w:rsidRDefault="00BD71AB">
      <w:r>
        <w:separator/>
      </w:r>
    </w:p>
  </w:endnote>
  <w:endnote w:type="continuationSeparator" w:id="0">
    <w:p w14:paraId="1AC927BF" w14:textId="77777777" w:rsidR="00BD71AB" w:rsidRDefault="00BD71AB">
      <w:r>
        <w:continuationSeparator/>
      </w:r>
    </w:p>
  </w:endnote>
  <w:endnote w:type="continuationNotice" w:id="1">
    <w:p w14:paraId="3E92F365" w14:textId="77777777" w:rsidR="00BD71AB" w:rsidRDefault="00BD71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62101545"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00117" w14:textId="77777777" w:rsidR="00BD71AB" w:rsidRDefault="00BD71AB">
      <w:r>
        <w:separator/>
      </w:r>
    </w:p>
  </w:footnote>
  <w:footnote w:type="continuationSeparator" w:id="0">
    <w:p w14:paraId="49FDE28C" w14:textId="77777777" w:rsidR="00BD71AB" w:rsidRDefault="00BD71AB">
      <w:r>
        <w:continuationSeparator/>
      </w:r>
    </w:p>
  </w:footnote>
  <w:footnote w:type="continuationNotice" w:id="1">
    <w:p w14:paraId="219E8043" w14:textId="77777777" w:rsidR="00BD71AB" w:rsidRDefault="00BD71AB"/>
  </w:footnote>
  <w:footnote w:id="2">
    <w:p w14:paraId="4F3142D7" w14:textId="77777777" w:rsidR="007233F6" w:rsidRPr="009026AC" w:rsidRDefault="007233F6" w:rsidP="007233F6">
      <w:pPr>
        <w:pStyle w:val="Textonotapie"/>
        <w:ind w:firstLine="709"/>
        <w:jc w:val="both"/>
        <w:rPr>
          <w:rFonts w:ascii="Arial" w:hAnsi="Arial" w:cs="Arial"/>
          <w:color w:val="000000" w:themeColor="text1"/>
          <w:sz w:val="19"/>
          <w:szCs w:val="19"/>
          <w:lang w:val="es-ES"/>
        </w:rPr>
      </w:pPr>
      <w:r w:rsidRPr="009026AC">
        <w:rPr>
          <w:rStyle w:val="Refdenotaalpie"/>
          <w:rFonts w:ascii="Arial" w:hAnsi="Arial" w:cs="Arial"/>
          <w:color w:val="000000" w:themeColor="text1"/>
          <w:sz w:val="19"/>
          <w:szCs w:val="19"/>
        </w:rPr>
        <w:footnoteRef/>
      </w:r>
      <w:r w:rsidRPr="009026A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26AC">
        <w:rPr>
          <w:rFonts w:ascii="Arial" w:hAnsi="Arial" w:cs="Arial"/>
          <w:i/>
          <w:iCs/>
          <w:color w:val="000000" w:themeColor="text1"/>
          <w:sz w:val="19"/>
          <w:szCs w:val="19"/>
        </w:rPr>
        <w:t xml:space="preserve">ibidem </w:t>
      </w:r>
      <w:r w:rsidRPr="009026AC">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w:t>
      </w:r>
    </w:p>
  </w:footnote>
  <w:footnote w:id="3">
    <w:p w14:paraId="5C7D11E9"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El artículo </w:t>
      </w:r>
      <w:r w:rsidRPr="005873AF">
        <w:rPr>
          <w:rFonts w:ascii="Arial" w:hAnsi="Arial" w:cs="Arial"/>
          <w:color w:val="000000" w:themeColor="text1"/>
          <w:sz w:val="18"/>
          <w:szCs w:val="18"/>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524EF16" w14:textId="77777777" w:rsidR="00111B3A" w:rsidRPr="005873AF" w:rsidRDefault="00111B3A" w:rsidP="00111B3A">
      <w:pPr>
        <w:pStyle w:val="Textonotapie"/>
        <w:ind w:firstLine="709"/>
        <w:jc w:val="both"/>
        <w:rPr>
          <w:rFonts w:ascii="Arial" w:hAnsi="Arial" w:cs="Arial"/>
          <w:color w:val="000000" w:themeColor="text1"/>
          <w:sz w:val="18"/>
          <w:szCs w:val="18"/>
        </w:rPr>
      </w:pPr>
      <w:proofErr w:type="gramStart"/>
      <w:r w:rsidRPr="005873AF">
        <w:rPr>
          <w:rFonts w:ascii="Arial" w:hAnsi="Arial" w:cs="Arial"/>
          <w:color w:val="000000" w:themeColor="text1"/>
          <w:sz w:val="18"/>
          <w:szCs w:val="18"/>
        </w:rPr>
        <w:t>»A</w:t>
      </w:r>
      <w:proofErr w:type="gramEnd"/>
      <w:r w:rsidRPr="005873AF">
        <w:rPr>
          <w:rFonts w:ascii="Arial" w:hAnsi="Arial" w:cs="Arial"/>
          <w:color w:val="000000" w:themeColor="text1"/>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34F4F7DC"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Gaceta del Congreso de la República No. 71 del 2005.</w:t>
      </w:r>
    </w:p>
  </w:footnote>
  <w:footnote w:id="5">
    <w:p w14:paraId="34D576BC"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 C- 1153 de 2005, M.P. Marco Gerardo Monroy Cabra.</w:t>
      </w:r>
    </w:p>
  </w:footnote>
  <w:footnote w:id="6">
    <w:p w14:paraId="7C38CC88"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2A0B6D20" w14:textId="77777777" w:rsidR="00111B3A" w:rsidRPr="005873AF" w:rsidRDefault="00111B3A" w:rsidP="00111B3A">
      <w:pPr>
        <w:pStyle w:val="Textonotapie"/>
        <w:ind w:firstLine="708"/>
        <w:jc w:val="both"/>
        <w:rPr>
          <w:rFonts w:ascii="Arial" w:hAnsi="Arial" w:cs="Arial"/>
          <w:color w:val="000000" w:themeColor="text1"/>
          <w:sz w:val="18"/>
          <w:szCs w:val="18"/>
          <w:lang w:val="es-CO"/>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136637E0"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de fecha 24 de julio de 2013, radicado 2166, </w:t>
      </w:r>
      <w:proofErr w:type="gramStart"/>
      <w:r w:rsidRPr="005873AF">
        <w:rPr>
          <w:rFonts w:ascii="Arial" w:hAnsi="Arial" w:cs="Arial"/>
          <w:color w:val="000000" w:themeColor="text1"/>
          <w:sz w:val="18"/>
          <w:szCs w:val="18"/>
        </w:rPr>
        <w:t>Consejero</w:t>
      </w:r>
      <w:proofErr w:type="gramEnd"/>
      <w:r w:rsidRPr="005873AF">
        <w:rPr>
          <w:rFonts w:ascii="Arial" w:hAnsi="Arial" w:cs="Arial"/>
          <w:color w:val="000000" w:themeColor="text1"/>
          <w:sz w:val="18"/>
          <w:szCs w:val="18"/>
        </w:rPr>
        <w:t xml:space="preserve"> Ponente: Álvaro </w:t>
      </w:r>
      <w:proofErr w:type="spellStart"/>
      <w:r w:rsidRPr="005873AF">
        <w:rPr>
          <w:rFonts w:ascii="Arial" w:hAnsi="Arial" w:cs="Arial"/>
          <w:color w:val="000000" w:themeColor="text1"/>
          <w:sz w:val="18"/>
          <w:szCs w:val="18"/>
        </w:rPr>
        <w:t>Namén</w:t>
      </w:r>
      <w:proofErr w:type="spellEnd"/>
      <w:r w:rsidRPr="005873AF">
        <w:rPr>
          <w:rFonts w:ascii="Arial" w:hAnsi="Arial" w:cs="Arial"/>
          <w:color w:val="000000" w:themeColor="text1"/>
          <w:sz w:val="18"/>
          <w:szCs w:val="18"/>
        </w:rPr>
        <w:t xml:space="preserve"> Vargas.  </w:t>
      </w:r>
    </w:p>
  </w:footnote>
  <w:footnote w:id="9">
    <w:p w14:paraId="537A3848" w14:textId="77777777" w:rsidR="00111B3A" w:rsidRPr="005873AF" w:rsidRDefault="00111B3A" w:rsidP="00111B3A">
      <w:pPr>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2CE0CEF" w14:textId="77777777" w:rsidR="00111B3A" w:rsidRPr="005873AF" w:rsidRDefault="00111B3A" w:rsidP="00111B3A">
      <w:pPr>
        <w:ind w:firstLine="709"/>
        <w:jc w:val="both"/>
        <w:rPr>
          <w:rFonts w:ascii="Arial" w:hAnsi="Arial" w:cs="Arial"/>
          <w:color w:val="000000" w:themeColor="text1"/>
          <w:sz w:val="18"/>
          <w:szCs w:val="18"/>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w:t>
      </w:r>
    </w:p>
  </w:footnote>
  <w:footnote w:id="10">
    <w:p w14:paraId="05D2DA16"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bookmarkStart w:id="12" w:name="38"/>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Artículo 38. Prohibiciones para los servidores públicos. A los empleados del Estado les está prohibido:</w:t>
      </w:r>
      <w:bookmarkEnd w:id="12"/>
    </w:p>
    <w:p w14:paraId="05052662"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 xml:space="preserve"> […]</w:t>
      </w:r>
    </w:p>
    <w:p w14:paraId="319E2D68"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Style w:val="baj"/>
          <w:rFonts w:ascii="Arial" w:hAnsi="Arial" w:cs="Arial"/>
          <w:color w:val="000000" w:themeColor="text1"/>
          <w:sz w:val="18"/>
          <w:szCs w:val="18"/>
          <w:lang w:val="es-MX"/>
        </w:rPr>
        <w:t xml:space="preserve"> Parágrafo.</w:t>
      </w:r>
      <w:r w:rsidRPr="005873AF">
        <w:rPr>
          <w:rFonts w:ascii="Arial" w:hAnsi="Arial" w:cs="Arial"/>
          <w:color w:val="000000" w:themeColor="text1"/>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w:t>
      </w:r>
    </w:p>
  </w:footnote>
  <w:footnote w:id="11">
    <w:p w14:paraId="1C40C447" w14:textId="77777777" w:rsidR="00111B3A" w:rsidRPr="005873AF" w:rsidRDefault="00111B3A" w:rsidP="00111B3A">
      <w:pPr>
        <w:ind w:left="100" w:right="244" w:firstLine="709"/>
        <w:jc w:val="both"/>
        <w:rPr>
          <w:rFonts w:ascii="Arial" w:hAnsi="Arial" w:cs="Arial"/>
          <w:color w:val="000000" w:themeColor="text1"/>
          <w:sz w:val="18"/>
          <w:szCs w:val="18"/>
          <w:lang w:val="es-ES"/>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Concepto del 17 de febrero de 2015. C.P. William Zambrano Cetina. Radicación No. 11001-03-06-000-2015-00164-00(2269).</w:t>
      </w:r>
    </w:p>
  </w:footnote>
  <w:footnote w:id="12">
    <w:p w14:paraId="5197261B" w14:textId="77777777" w:rsidR="00A31B74" w:rsidRPr="005873AF"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17" w:name="_Hlk74272731"/>
      <w:r w:rsidRPr="005873AF">
        <w:rPr>
          <w:rFonts w:ascii="Arial" w:hAnsi="Arial" w:cs="Arial"/>
          <w:color w:val="000000" w:themeColor="text1"/>
          <w:sz w:val="19"/>
          <w:szCs w:val="19"/>
        </w:rPr>
        <w:t>«</w:t>
      </w:r>
      <w:bookmarkEnd w:id="17"/>
      <w:r w:rsidRPr="005873AF">
        <w:rPr>
          <w:rFonts w:ascii="Arial" w:hAnsi="Arial" w:cs="Arial"/>
          <w:color w:val="000000" w:themeColor="text1"/>
          <w:sz w:val="19"/>
          <w:szCs w:val="19"/>
          <w:lang w:val="es-ES"/>
        </w:rPr>
        <w:t xml:space="preserve">[25] </w:t>
      </w:r>
      <w:r w:rsidRPr="005873AF">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18" w:name="_Hlk74271358"/>
      <w:r w:rsidRPr="005873AF">
        <w:rPr>
          <w:rFonts w:ascii="Arial" w:hAnsi="Arial" w:cs="Arial"/>
          <w:color w:val="000000" w:themeColor="text1"/>
          <w:sz w:val="19"/>
          <w:szCs w:val="19"/>
        </w:rPr>
        <w:t>»</w:t>
      </w:r>
      <w:bookmarkEnd w:id="18"/>
      <w:r w:rsidRPr="005873AF">
        <w:rPr>
          <w:rFonts w:ascii="Arial" w:hAnsi="Arial" w:cs="Arial"/>
          <w:color w:val="000000" w:themeColor="text1"/>
          <w:sz w:val="19"/>
          <w:szCs w:val="19"/>
        </w:rPr>
        <w:t>.</w:t>
      </w:r>
    </w:p>
  </w:footnote>
  <w:footnote w:id="13">
    <w:p w14:paraId="2E9DBA3E" w14:textId="77777777" w:rsidR="00A31B74" w:rsidRPr="005873AF"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20" w:name="_Hlk74294506"/>
      <w:r w:rsidRPr="005873AF">
        <w:rPr>
          <w:rFonts w:ascii="Arial" w:hAnsi="Arial" w:cs="Arial"/>
          <w:color w:val="000000" w:themeColor="text1"/>
          <w:sz w:val="19"/>
          <w:szCs w:val="19"/>
        </w:rPr>
        <w:t>«</w:t>
      </w:r>
      <w:r w:rsidRPr="005873AF">
        <w:rPr>
          <w:rFonts w:ascii="Arial" w:hAnsi="Arial" w:cs="Arial"/>
          <w:color w:val="000000" w:themeColor="text1"/>
          <w:sz w:val="19"/>
          <w:szCs w:val="19"/>
          <w:lang w:val="es-ES"/>
        </w:rPr>
        <w:t xml:space="preserve">[26] </w:t>
      </w:r>
      <w:bookmarkEnd w:id="20"/>
      <w:r w:rsidRPr="005873AF">
        <w:rPr>
          <w:rFonts w:ascii="Arial" w:hAnsi="Arial" w:cs="Arial"/>
          <w:color w:val="000000" w:themeColor="text1"/>
          <w:sz w:val="19"/>
          <w:szCs w:val="19"/>
        </w:rPr>
        <w:t>Al respecto ver el concepto 1712 de 2 de febrero de 2006. Consejo de Estado Sala de Consulta y Servicio Civil».</w:t>
      </w:r>
    </w:p>
  </w:footnote>
  <w:footnote w:id="14">
    <w:p w14:paraId="73FEAD98" w14:textId="77777777" w:rsidR="00A31B74" w:rsidRPr="005873AF"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footnote>
  <w:footnote w:id="15">
    <w:p w14:paraId="0C568E97"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color w:val="000000" w:themeColor="text1"/>
          <w:sz w:val="19"/>
          <w:szCs w:val="19"/>
          <w:lang w:val="es-ES"/>
        </w:rPr>
        <w:t xml:space="preserve">Artículo 2. </w:t>
      </w:r>
    </w:p>
  </w:footnote>
  <w:footnote w:id="16">
    <w:p w14:paraId="6FA8FFC2"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i/>
          <w:color w:val="000000" w:themeColor="text1"/>
          <w:sz w:val="19"/>
          <w:szCs w:val="19"/>
          <w:lang w:val="es-ES"/>
        </w:rPr>
        <w:t>Ídem</w:t>
      </w:r>
      <w:r w:rsidRPr="005873AF">
        <w:rPr>
          <w:rFonts w:ascii="Arial" w:hAnsi="Arial" w:cs="Arial"/>
          <w:color w:val="000000" w:themeColor="text1"/>
          <w:sz w:val="19"/>
          <w:szCs w:val="19"/>
          <w:lang w:val="es-ES"/>
        </w:rPr>
        <w:t>.</w:t>
      </w:r>
    </w:p>
  </w:footnote>
  <w:footnote w:id="17">
    <w:p w14:paraId="4168AB90"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bookmarkStart w:id="24" w:name="_Hlk74297130"/>
      <w:r w:rsidRPr="005873AF">
        <w:rPr>
          <w:rFonts w:ascii="Arial" w:hAnsi="Arial" w:cs="Arial"/>
          <w:color w:val="000000" w:themeColor="text1"/>
          <w:sz w:val="19"/>
          <w:szCs w:val="19"/>
          <w:lang w:val="es-ES"/>
        </w:rPr>
        <w:t>«</w:t>
      </w:r>
      <w:bookmarkEnd w:id="24"/>
      <w:r w:rsidRPr="005873AF">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8">
    <w:p w14:paraId="678A9757" w14:textId="77777777" w:rsidR="00A31B74" w:rsidRPr="005873AF" w:rsidRDefault="00A31B74" w:rsidP="00A31B74">
      <w:pPr>
        <w:shd w:val="clear" w:color="auto" w:fill="FFFFFF"/>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r w:rsidRPr="005873AF">
        <w:rPr>
          <w:rFonts w:ascii="Arial" w:hAnsi="Arial" w:cs="Arial"/>
          <w:color w:val="000000" w:themeColor="text1"/>
          <w:sz w:val="19"/>
          <w:szCs w:val="19"/>
          <w:lang w:val="es-ES"/>
        </w:rPr>
        <w:t xml:space="preserve">Consejo de Estado. Sala de Consulta y Servicio Civil, Concepto de 8 de mayo de 2018. Radicación Número: 11001-03-06-000-2018-00095-00(2382). Consejero Ponente: Álvaro </w:t>
      </w:r>
      <w:proofErr w:type="spellStart"/>
      <w:r w:rsidRPr="005873AF">
        <w:rPr>
          <w:rFonts w:ascii="Arial" w:hAnsi="Arial" w:cs="Arial"/>
          <w:color w:val="000000" w:themeColor="text1"/>
          <w:sz w:val="19"/>
          <w:szCs w:val="19"/>
          <w:lang w:val="es-ES"/>
        </w:rPr>
        <w:t>Namén</w:t>
      </w:r>
      <w:proofErr w:type="spellEnd"/>
      <w:r w:rsidRPr="005873AF">
        <w:rPr>
          <w:rFonts w:ascii="Arial" w:hAnsi="Arial" w:cs="Arial"/>
          <w:color w:val="000000" w:themeColor="text1"/>
          <w:sz w:val="19"/>
          <w:szCs w:val="19"/>
          <w:lang w:val="es-ES"/>
        </w:rPr>
        <w:t xml:space="preserve"> Vargas.</w:t>
      </w:r>
    </w:p>
  </w:footnote>
  <w:footnote w:id="19">
    <w:p w14:paraId="4ADCD140" w14:textId="77777777" w:rsidR="00A31B74" w:rsidRPr="005873AF"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08 de mayo de 2018. </w:t>
      </w:r>
      <w:proofErr w:type="spellStart"/>
      <w:r w:rsidRPr="005873AF">
        <w:rPr>
          <w:rFonts w:ascii="Arial" w:hAnsi="Arial" w:cs="Arial"/>
          <w:color w:val="000000" w:themeColor="text1"/>
          <w:sz w:val="19"/>
          <w:szCs w:val="19"/>
        </w:rPr>
        <w:t>Exp</w:t>
      </w:r>
      <w:proofErr w:type="spellEnd"/>
      <w:r w:rsidRPr="005873AF">
        <w:rPr>
          <w:rFonts w:ascii="Arial" w:hAnsi="Arial" w:cs="Arial"/>
          <w:color w:val="000000" w:themeColor="text1"/>
          <w:sz w:val="19"/>
          <w:szCs w:val="19"/>
        </w:rPr>
        <w:t xml:space="preserve">. 2.382. C.P.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footnote>
  <w:footnote w:id="20">
    <w:p w14:paraId="14546CA1" w14:textId="77777777" w:rsidR="00A31B74" w:rsidRPr="005873AF" w:rsidRDefault="00A31B74" w:rsidP="00A31B74">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COLOMBIA COMP</w:t>
      </w:r>
      <w:r>
        <w:rPr>
          <w:rFonts w:ascii="Arial" w:hAnsi="Arial" w:cs="Arial"/>
          <w:color w:val="000000" w:themeColor="text1"/>
          <w:sz w:val="19"/>
          <w:szCs w:val="19"/>
        </w:rPr>
        <w:t>R</w:t>
      </w:r>
      <w:r w:rsidRPr="005873AF">
        <w:rPr>
          <w:rFonts w:ascii="Arial" w:hAnsi="Arial" w:cs="Arial"/>
          <w:color w:val="000000" w:themeColor="text1"/>
          <w:sz w:val="19"/>
          <w:szCs w:val="19"/>
        </w:rPr>
        <w:t>A EFICIENTE. Circular Externa Única. Numeral 15.5.</w:t>
      </w:r>
    </w:p>
  </w:footnote>
  <w:footnote w:id="21">
    <w:p w14:paraId="05D810F1" w14:textId="77777777" w:rsidR="00A31B74" w:rsidRPr="005873AF" w:rsidRDefault="00A31B74" w:rsidP="00A31B74">
      <w:pPr>
        <w:pBdr>
          <w:top w:val="nil"/>
          <w:left w:val="nil"/>
          <w:bottom w:val="nil"/>
          <w:right w:val="nil"/>
          <w:between w:val="nil"/>
        </w:pBd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5DEF8B7F" w14:textId="5F82B792" w:rsidR="00A210E6" w:rsidRPr="005873AF" w:rsidRDefault="00A210E6">
      <w:pP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0507B8A5" w14:textId="34C94697" w:rsidR="00A210E6" w:rsidRPr="005873AF" w:rsidRDefault="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18 de febrero 2010. Rad. 11001-03-06-000-2010-00006-00 (1985). C.P. Enrique José Arboleda Perdomo.</w:t>
      </w:r>
    </w:p>
  </w:footnote>
  <w:footnote w:id="24">
    <w:p w14:paraId="14434EB6"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Corte Constitucional. Sentencia C-1153 de 2005 M.P. Marco Gerardo Monroy Cabra. </w:t>
      </w:r>
    </w:p>
  </w:footnote>
  <w:footnote w:id="25">
    <w:p w14:paraId="34D65754" w14:textId="6238A418" w:rsidR="00A210E6" w:rsidRPr="005873AF" w:rsidRDefault="00A210E6" w:rsidP="00F05449">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02 de septiembre de 2013. Rad. 11001-03-06-000-2013-00412-00 (2168). C.P. Álvaro </w:t>
      </w:r>
      <w:proofErr w:type="spellStart"/>
      <w:r w:rsidRPr="005873AF">
        <w:rPr>
          <w:rFonts w:ascii="Arial" w:hAnsi="Arial" w:cs="Arial"/>
          <w:color w:val="000000" w:themeColor="text1"/>
          <w:sz w:val="19"/>
          <w:szCs w:val="19"/>
        </w:rPr>
        <w:t>Namén</w:t>
      </w:r>
      <w:proofErr w:type="spellEnd"/>
      <w:r w:rsidRPr="005873AF">
        <w:rPr>
          <w:rFonts w:ascii="Arial" w:hAnsi="Arial" w:cs="Arial"/>
          <w:color w:val="000000" w:themeColor="text1"/>
          <w:sz w:val="19"/>
          <w:szCs w:val="19"/>
        </w:rPr>
        <w:t xml:space="preserve"> Vargas.</w:t>
      </w:r>
    </w:p>
  </w:footnote>
  <w:footnote w:id="26">
    <w:p w14:paraId="1DE107E9" w14:textId="77777777" w:rsidR="00A210E6" w:rsidRPr="005873AF" w:rsidRDefault="00A210E6" w:rsidP="00A210E6">
      <w:pPr>
        <w:pStyle w:val="Textonotapie"/>
        <w:ind w:firstLine="708"/>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color w:val="000000" w:themeColor="text1"/>
          <w:sz w:val="19"/>
          <w:szCs w:val="19"/>
          <w:lang w:val="es-CO"/>
        </w:rPr>
        <w:t>«</w:t>
      </w:r>
      <w:r w:rsidRPr="005873AF">
        <w:rPr>
          <w:rFonts w:ascii="Arial" w:hAnsi="Arial" w:cs="Arial"/>
          <w:color w:val="000000" w:themeColor="text1"/>
          <w:sz w:val="19"/>
          <w:szCs w:val="19"/>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7">
    <w:p w14:paraId="5CF939AE"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El artículo 2.8.8.1.4.2 del Decreto 780 de 2016 dispone que «Para efectos de la aplicación del presente Capítulo, entiéndase por Autoridades Sanitarias del </w:t>
      </w:r>
      <w:proofErr w:type="spellStart"/>
      <w:r w:rsidRPr="005873AF">
        <w:rPr>
          <w:rFonts w:ascii="Arial" w:hAnsi="Arial" w:cs="Arial"/>
          <w:color w:val="000000" w:themeColor="text1"/>
          <w:sz w:val="19"/>
          <w:szCs w:val="19"/>
        </w:rPr>
        <w:t>Sivigila</w:t>
      </w:r>
      <w:proofErr w:type="spellEnd"/>
      <w:r w:rsidRPr="005873AF">
        <w:rPr>
          <w:rFonts w:ascii="Arial" w:hAnsi="Arial" w:cs="Arial"/>
          <w:color w:val="000000" w:themeColor="text1"/>
          <w:sz w:val="19"/>
          <w:szCs w:val="19"/>
        </w:rPr>
        <w:t xml:space="preserve">, el Ministerio de Salud y Protección Social; el Instituto Nacional de Salud (INS); el Instituto Nacional de Vigilancia de Medicamentos y Alimentos (Invima), las Direcciones Territoriales de Salud, </w:t>
      </w:r>
      <w:r w:rsidRPr="005873AF">
        <w:rPr>
          <w:rFonts w:ascii="Arial" w:hAnsi="Arial" w:cs="Arial"/>
          <w:i/>
          <w:iCs/>
          <w:color w:val="000000" w:themeColor="text1"/>
          <w:sz w:val="19"/>
          <w:szCs w:val="19"/>
        </w:rPr>
        <w:t>y todas aquellas entidades que de acuerdo con la ley ejerzan funciones de vigilancia y control sanitario</w:t>
      </w:r>
      <w:r w:rsidRPr="005873AF">
        <w:rPr>
          <w:rFonts w:ascii="Arial" w:hAnsi="Arial" w:cs="Arial"/>
          <w:color w:val="000000" w:themeColor="text1"/>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57506287">
    <w:abstractNumId w:val="10"/>
  </w:num>
  <w:num w:numId="2" w16cid:durableId="2004235233">
    <w:abstractNumId w:val="8"/>
  </w:num>
  <w:num w:numId="3" w16cid:durableId="1095052463">
    <w:abstractNumId w:val="14"/>
  </w:num>
  <w:num w:numId="4" w16cid:durableId="800462308">
    <w:abstractNumId w:val="18"/>
  </w:num>
  <w:num w:numId="5" w16cid:durableId="305936365">
    <w:abstractNumId w:val="22"/>
  </w:num>
  <w:num w:numId="6" w16cid:durableId="114107445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90115">
    <w:abstractNumId w:val="20"/>
  </w:num>
  <w:num w:numId="8" w16cid:durableId="652872701">
    <w:abstractNumId w:val="0"/>
  </w:num>
  <w:num w:numId="9" w16cid:durableId="1024163383">
    <w:abstractNumId w:val="4"/>
  </w:num>
  <w:num w:numId="10" w16cid:durableId="955908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4190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9912110">
    <w:abstractNumId w:val="9"/>
  </w:num>
  <w:num w:numId="13" w16cid:durableId="1367098120">
    <w:abstractNumId w:val="12"/>
  </w:num>
  <w:num w:numId="14" w16cid:durableId="900016512">
    <w:abstractNumId w:val="7"/>
  </w:num>
  <w:num w:numId="15" w16cid:durableId="184759547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514119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327548">
    <w:abstractNumId w:val="24"/>
  </w:num>
  <w:num w:numId="18" w16cid:durableId="1807432769">
    <w:abstractNumId w:val="15"/>
  </w:num>
  <w:num w:numId="19" w16cid:durableId="1728644044">
    <w:abstractNumId w:val="2"/>
  </w:num>
  <w:num w:numId="20" w16cid:durableId="2090760711">
    <w:abstractNumId w:val="25"/>
  </w:num>
  <w:num w:numId="21" w16cid:durableId="1185091659">
    <w:abstractNumId w:val="17"/>
  </w:num>
  <w:num w:numId="22" w16cid:durableId="1921866286">
    <w:abstractNumId w:val="6"/>
  </w:num>
  <w:num w:numId="23" w16cid:durableId="1074082532">
    <w:abstractNumId w:val="5"/>
  </w:num>
  <w:num w:numId="24" w16cid:durableId="1102529885">
    <w:abstractNumId w:val="23"/>
  </w:num>
  <w:num w:numId="25" w16cid:durableId="770856456">
    <w:abstractNumId w:val="19"/>
  </w:num>
  <w:num w:numId="26" w16cid:durableId="1383477348">
    <w:abstractNumId w:val="3"/>
  </w:num>
  <w:num w:numId="27" w16cid:durableId="1724019252">
    <w:abstractNumId w:val="16"/>
  </w:num>
  <w:num w:numId="28" w16cid:durableId="15075964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63554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revisionView w:markup="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C36"/>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787"/>
    <w:rsid w:val="000278D2"/>
    <w:rsid w:val="0002797C"/>
    <w:rsid w:val="00031364"/>
    <w:rsid w:val="000315E1"/>
    <w:rsid w:val="0003236E"/>
    <w:rsid w:val="0003339A"/>
    <w:rsid w:val="00033BD8"/>
    <w:rsid w:val="000340B3"/>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B01"/>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080"/>
    <w:rsid w:val="000B244D"/>
    <w:rsid w:val="000B2B86"/>
    <w:rsid w:val="000B3051"/>
    <w:rsid w:val="000B30B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2E73"/>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818"/>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1B3A"/>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57B5C"/>
    <w:rsid w:val="00160401"/>
    <w:rsid w:val="00160D4E"/>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7E4"/>
    <w:rsid w:val="001829CD"/>
    <w:rsid w:val="00182F01"/>
    <w:rsid w:val="001833C2"/>
    <w:rsid w:val="001841E2"/>
    <w:rsid w:val="00184219"/>
    <w:rsid w:val="00184443"/>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3C85"/>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693"/>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2DA"/>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36"/>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286"/>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5E33"/>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12A"/>
    <w:rsid w:val="00364E04"/>
    <w:rsid w:val="003650AA"/>
    <w:rsid w:val="00365457"/>
    <w:rsid w:val="00365D3A"/>
    <w:rsid w:val="003664FF"/>
    <w:rsid w:val="00366BD2"/>
    <w:rsid w:val="003670B8"/>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86F75"/>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0FAD"/>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D3F"/>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2CF"/>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BE8"/>
    <w:rsid w:val="00562D86"/>
    <w:rsid w:val="00563CF3"/>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73AF"/>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4EC1"/>
    <w:rsid w:val="0059542B"/>
    <w:rsid w:val="00595AF6"/>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33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2B7C"/>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A8F"/>
    <w:rsid w:val="00642D7A"/>
    <w:rsid w:val="006433D5"/>
    <w:rsid w:val="00643412"/>
    <w:rsid w:val="00644BFD"/>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28"/>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509"/>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546"/>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1D6"/>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02E"/>
    <w:rsid w:val="007954AF"/>
    <w:rsid w:val="00795647"/>
    <w:rsid w:val="0079588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6B"/>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8AD"/>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8E2"/>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954"/>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6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6780"/>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64A6"/>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1F41"/>
    <w:rsid w:val="009B231D"/>
    <w:rsid w:val="009B2374"/>
    <w:rsid w:val="009B2E29"/>
    <w:rsid w:val="009B3163"/>
    <w:rsid w:val="009B35AE"/>
    <w:rsid w:val="009B422F"/>
    <w:rsid w:val="009B46BC"/>
    <w:rsid w:val="009B4D01"/>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E9B"/>
    <w:rsid w:val="009D4529"/>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0E6"/>
    <w:rsid w:val="00A213DD"/>
    <w:rsid w:val="00A21454"/>
    <w:rsid w:val="00A216CE"/>
    <w:rsid w:val="00A22025"/>
    <w:rsid w:val="00A22498"/>
    <w:rsid w:val="00A22571"/>
    <w:rsid w:val="00A2298D"/>
    <w:rsid w:val="00A24560"/>
    <w:rsid w:val="00A24E1D"/>
    <w:rsid w:val="00A25B0F"/>
    <w:rsid w:val="00A25BBB"/>
    <w:rsid w:val="00A25F2F"/>
    <w:rsid w:val="00A27FB6"/>
    <w:rsid w:val="00A30121"/>
    <w:rsid w:val="00A30368"/>
    <w:rsid w:val="00A3043A"/>
    <w:rsid w:val="00A30E02"/>
    <w:rsid w:val="00A30F6A"/>
    <w:rsid w:val="00A31B74"/>
    <w:rsid w:val="00A31C3E"/>
    <w:rsid w:val="00A31CE1"/>
    <w:rsid w:val="00A32254"/>
    <w:rsid w:val="00A32A8C"/>
    <w:rsid w:val="00A34538"/>
    <w:rsid w:val="00A34677"/>
    <w:rsid w:val="00A3540F"/>
    <w:rsid w:val="00A35630"/>
    <w:rsid w:val="00A35914"/>
    <w:rsid w:val="00A36189"/>
    <w:rsid w:val="00A37054"/>
    <w:rsid w:val="00A3753B"/>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60F"/>
    <w:rsid w:val="00A64F2F"/>
    <w:rsid w:val="00A65DBF"/>
    <w:rsid w:val="00A6611E"/>
    <w:rsid w:val="00A668BA"/>
    <w:rsid w:val="00A66DDA"/>
    <w:rsid w:val="00A66FA7"/>
    <w:rsid w:val="00A67D7D"/>
    <w:rsid w:val="00A67E16"/>
    <w:rsid w:val="00A67EB1"/>
    <w:rsid w:val="00A703CC"/>
    <w:rsid w:val="00A70C4A"/>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5B4"/>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476"/>
    <w:rsid w:val="00B80C72"/>
    <w:rsid w:val="00B80D5D"/>
    <w:rsid w:val="00B80F34"/>
    <w:rsid w:val="00B81964"/>
    <w:rsid w:val="00B81D46"/>
    <w:rsid w:val="00B81E6F"/>
    <w:rsid w:val="00B82123"/>
    <w:rsid w:val="00B821D4"/>
    <w:rsid w:val="00B8225B"/>
    <w:rsid w:val="00B82BB5"/>
    <w:rsid w:val="00B83182"/>
    <w:rsid w:val="00B839F0"/>
    <w:rsid w:val="00B8412C"/>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1AB"/>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1F6"/>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0F4"/>
    <w:rsid w:val="00DB7117"/>
    <w:rsid w:val="00DB7760"/>
    <w:rsid w:val="00DB7DD4"/>
    <w:rsid w:val="00DC00B4"/>
    <w:rsid w:val="00DC0585"/>
    <w:rsid w:val="00DC0954"/>
    <w:rsid w:val="00DC0DF8"/>
    <w:rsid w:val="00DC15BA"/>
    <w:rsid w:val="00DC18CD"/>
    <w:rsid w:val="00DC1A68"/>
    <w:rsid w:val="00DC30B8"/>
    <w:rsid w:val="00DC3B6B"/>
    <w:rsid w:val="00DC478F"/>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612"/>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5449"/>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60"/>
    <w:rsid w:val="00F1438F"/>
    <w:rsid w:val="00F148B7"/>
    <w:rsid w:val="00F14960"/>
    <w:rsid w:val="00F14E28"/>
    <w:rsid w:val="00F14EA9"/>
    <w:rsid w:val="00F15505"/>
    <w:rsid w:val="00F15BFF"/>
    <w:rsid w:val="00F16E4F"/>
    <w:rsid w:val="00F17244"/>
    <w:rsid w:val="00F20ECE"/>
    <w:rsid w:val="00F2121A"/>
    <w:rsid w:val="00F213A0"/>
    <w:rsid w:val="00F21D54"/>
    <w:rsid w:val="00F21EF4"/>
    <w:rsid w:val="00F2207B"/>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6DF8"/>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850"/>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171"/>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4D2D8-49FB-45BD-A596-A0F8C7E9EBF2}"/>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341CEDE-8010-472E-950A-D53F6747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21</Pages>
  <Words>8228</Words>
  <Characters>45260</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alejandro murcia</cp:lastModifiedBy>
  <cp:revision>4</cp:revision>
  <cp:lastPrinted>2021-08-27T20:19:00Z</cp:lastPrinted>
  <dcterms:created xsi:type="dcterms:W3CDTF">2022-04-08T16:35:00Z</dcterms:created>
  <dcterms:modified xsi:type="dcterms:W3CDTF">2022-04-08T16:40:00Z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