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18B05" w14:textId="0E82D900" w:rsidR="00F902AD" w:rsidRPr="00F902AD" w:rsidRDefault="00F902AD" w:rsidP="00DC77FB">
      <w:pPr>
        <w:spacing w:after="0" w:line="240" w:lineRule="auto"/>
        <w:rPr>
          <w:rFonts w:ascii="Verdana" w:eastAsia="Calibri" w:hAnsi="Verdana" w:cs="Arial"/>
          <w:b/>
          <w:bCs/>
          <w:lang w:val="es-ES" w:eastAsia="es-ES"/>
        </w:rPr>
      </w:pPr>
      <w:bookmarkStart w:id="0" w:name="_Hlk186494164"/>
      <w:r w:rsidRPr="00F902AD">
        <w:rPr>
          <w:rFonts w:ascii="Verdana" w:eastAsia="Calibri" w:hAnsi="Verdana" w:cs="Arial"/>
          <w:b/>
          <w:bCs/>
          <w:lang w:val="es-ES" w:eastAsia="es-ES"/>
        </w:rPr>
        <w:t>SERVICIO MILITAR – Obligatoriedad – Alcance</w:t>
      </w:r>
      <w:r w:rsidRPr="00F902AD">
        <w:rPr>
          <w:rFonts w:ascii="Verdana" w:eastAsia="Calibri" w:hAnsi="Verdana" w:cs="Arial"/>
          <w:b/>
          <w:bCs/>
          <w:lang w:val="es-ES" w:eastAsia="es-ES"/>
        </w:rPr>
        <w:t xml:space="preserve"> </w:t>
      </w:r>
      <w:r w:rsidRPr="00F902AD">
        <w:rPr>
          <w:rFonts w:ascii="Verdana" w:eastAsia="Calibri" w:hAnsi="Verdana" w:cs="Arial"/>
          <w:b/>
          <w:bCs/>
          <w:lang w:val="es-ES" w:eastAsia="es-ES"/>
        </w:rPr>
        <w:t>–</w:t>
      </w:r>
      <w:r w:rsidRPr="00F902AD">
        <w:rPr>
          <w:rFonts w:ascii="Verdana" w:eastAsia="Calibri" w:hAnsi="Verdana" w:cs="Arial"/>
          <w:b/>
          <w:bCs/>
          <w:lang w:val="es-ES" w:eastAsia="es-ES"/>
        </w:rPr>
        <w:t xml:space="preserve"> Obligatoriedad – Excepciones</w:t>
      </w:r>
    </w:p>
    <w:p w14:paraId="6FFB1F64" w14:textId="77777777" w:rsidR="00F902AD" w:rsidRDefault="00F902AD" w:rsidP="00DC77FB">
      <w:pPr>
        <w:spacing w:after="0" w:line="240" w:lineRule="auto"/>
        <w:rPr>
          <w:rFonts w:ascii="Verdana" w:eastAsia="Calibri" w:hAnsi="Verdana" w:cs="Arial"/>
          <w:lang w:val="es-ES" w:eastAsia="es-ES"/>
        </w:rPr>
      </w:pPr>
    </w:p>
    <w:p w14:paraId="3381B2D1" w14:textId="77777777" w:rsidR="00F902AD" w:rsidRDefault="00F902AD" w:rsidP="00F902AD">
      <w:pPr>
        <w:spacing w:after="120" w:line="276" w:lineRule="auto"/>
        <w:ind w:right="79"/>
        <w:jc w:val="both"/>
        <w:rPr>
          <w:rFonts w:ascii="Verdana" w:eastAsia="Century Gothic" w:hAnsi="Verdana" w:cs="Century Gothic"/>
        </w:rPr>
      </w:pPr>
      <w:r>
        <w:rPr>
          <w:rFonts w:ascii="Verdana" w:eastAsia="Times New Roman" w:hAnsi="Verdana" w:cs="Arial"/>
          <w:lang w:val="es-ES" w:eastAsia="es-ES"/>
        </w:rPr>
        <w:t>En respuesta al primer interrogante, esta Agencia quiere mencionar que s</w:t>
      </w:r>
      <w:r w:rsidRPr="003A3003">
        <w:rPr>
          <w:rFonts w:ascii="Verdana" w:eastAsia="Times New Roman" w:hAnsi="Verdana" w:cs="Arial"/>
          <w:lang w:val="es-ES_tradnl" w:eastAsia="es-ES"/>
        </w:rPr>
        <w:t xml:space="preserve">i bien el servicio militar es un servicio obligatorio, y dicha obligación </w:t>
      </w:r>
      <w:r w:rsidRPr="003A3003">
        <w:rPr>
          <w:rFonts w:ascii="Verdana" w:eastAsia="Century Gothic" w:hAnsi="Verdana" w:cs="Century Gothic"/>
        </w:rPr>
        <w:t>nace al momento en el que los colombianos cumplen su mayoría edad, el artículo 42 de la Ley 1861 de 2017 dispone en su primer inciso que la situación militar se deberá acreditar en tres eventos: i)</w:t>
      </w:r>
      <w:r w:rsidRPr="003A3003">
        <w:rPr>
          <w:rFonts w:ascii="Verdana" w:eastAsia="Century Gothic" w:hAnsi="Verdana" w:cs="Century Gothic"/>
          <w:u w:val="single"/>
        </w:rPr>
        <w:t xml:space="preserve"> para ejercer cargos públicos</w:t>
      </w:r>
      <w:r w:rsidRPr="003A3003">
        <w:rPr>
          <w:rFonts w:ascii="Verdana" w:eastAsia="Century Gothic" w:hAnsi="Verdana" w:cs="Century Gothic"/>
        </w:rPr>
        <w:t xml:space="preserve">, </w:t>
      </w:r>
      <w:proofErr w:type="spellStart"/>
      <w:r w:rsidRPr="003A3003">
        <w:rPr>
          <w:rFonts w:ascii="Verdana" w:eastAsia="Century Gothic" w:hAnsi="Verdana" w:cs="Century Gothic"/>
        </w:rPr>
        <w:t>ii</w:t>
      </w:r>
      <w:proofErr w:type="spellEnd"/>
      <w:r w:rsidRPr="003A3003">
        <w:rPr>
          <w:rFonts w:ascii="Verdana" w:eastAsia="Century Gothic" w:hAnsi="Verdana" w:cs="Century Gothic"/>
        </w:rPr>
        <w:t>)</w:t>
      </w:r>
      <w:r w:rsidRPr="003A3003">
        <w:rPr>
          <w:rFonts w:ascii="Verdana" w:eastAsia="Century Gothic" w:hAnsi="Verdana" w:cs="Century Gothic"/>
          <w:u w:val="single"/>
        </w:rPr>
        <w:t xml:space="preserve"> trabajar en el sector privado </w:t>
      </w:r>
      <w:r w:rsidRPr="003A3003">
        <w:rPr>
          <w:rFonts w:ascii="Verdana" w:eastAsia="Century Gothic" w:hAnsi="Verdana" w:cs="Century Gothic"/>
        </w:rPr>
        <w:t xml:space="preserve">y </w:t>
      </w:r>
      <w:proofErr w:type="spellStart"/>
      <w:r w:rsidRPr="003A3003">
        <w:rPr>
          <w:rFonts w:ascii="Verdana" w:eastAsia="Century Gothic" w:hAnsi="Verdana" w:cs="Century Gothic"/>
        </w:rPr>
        <w:t>iii</w:t>
      </w:r>
      <w:proofErr w:type="spellEnd"/>
      <w:r w:rsidRPr="003A3003">
        <w:rPr>
          <w:rFonts w:ascii="Verdana" w:eastAsia="Century Gothic" w:hAnsi="Verdana" w:cs="Century Gothic"/>
        </w:rPr>
        <w:t>)</w:t>
      </w:r>
      <w:r w:rsidRPr="003A3003">
        <w:rPr>
          <w:rFonts w:ascii="Verdana" w:eastAsia="Century Gothic" w:hAnsi="Verdana" w:cs="Century Gothic"/>
          <w:u w:val="single"/>
        </w:rPr>
        <w:t xml:space="preserve"> celebrar contratos de prestación de servicios como persona natural con cualquier entidad de derecho público</w:t>
      </w:r>
      <w:r w:rsidRPr="003A3003">
        <w:rPr>
          <w:rFonts w:ascii="Verdana" w:eastAsia="Century Gothic" w:hAnsi="Verdana" w:cs="Century Gothic"/>
        </w:rPr>
        <w:t>. Esta apreciación nos brinda una orientación frente al alcance y aplicabilidad de la norma citada, ya que son estos tres eventos en los que se deberá exigir por regla general.</w:t>
      </w:r>
      <w:r w:rsidRPr="003A3003">
        <w:rPr>
          <w:rFonts w:ascii="Verdana" w:hAnsi="Verdana"/>
        </w:rPr>
        <w:t xml:space="preserve"> En otras palabras, es posible afirmar que la situación militar es un requisito </w:t>
      </w:r>
      <w:r w:rsidRPr="003A3003">
        <w:rPr>
          <w:rFonts w:ascii="Verdana" w:eastAsia="Century Gothic" w:hAnsi="Verdana" w:cs="Century Gothic"/>
        </w:rPr>
        <w:t>que necesariamente debe verificarse en las circunstancias previstas en la norma</w:t>
      </w:r>
      <w:r>
        <w:rPr>
          <w:rFonts w:ascii="Verdana" w:eastAsia="Century Gothic" w:hAnsi="Verdana" w:cs="Century Gothic"/>
        </w:rPr>
        <w:t>.</w:t>
      </w:r>
    </w:p>
    <w:p w14:paraId="11B5BD57" w14:textId="77777777" w:rsidR="00F902AD" w:rsidRDefault="00F902AD" w:rsidP="00F902AD">
      <w:pPr>
        <w:spacing w:line="276" w:lineRule="auto"/>
        <w:jc w:val="both"/>
        <w:rPr>
          <w:rFonts w:ascii="Verdana" w:hAnsi="Verdana" w:cs="Arial"/>
          <w:bCs/>
        </w:rPr>
      </w:pPr>
      <w:r>
        <w:rPr>
          <w:rFonts w:ascii="Verdana" w:eastAsia="Century Gothic" w:hAnsi="Verdana" w:cs="Century Gothic"/>
          <w:bCs/>
        </w:rPr>
        <w:t xml:space="preserve">Ahora bien, </w:t>
      </w:r>
      <w:r>
        <w:rPr>
          <w:rFonts w:ascii="Verdana" w:hAnsi="Verdana" w:cs="Arial"/>
          <w:bCs/>
        </w:rPr>
        <w:t xml:space="preserve">la misma norma mencionada up </w:t>
      </w:r>
      <w:proofErr w:type="gramStart"/>
      <w:r>
        <w:rPr>
          <w:rFonts w:ascii="Verdana" w:hAnsi="Verdana" w:cs="Arial"/>
          <w:bCs/>
        </w:rPr>
        <w:t xml:space="preserve">supra </w:t>
      </w:r>
      <w:r w:rsidRPr="00555252">
        <w:rPr>
          <w:rFonts w:ascii="Verdana" w:hAnsi="Verdana" w:cs="Arial"/>
          <w:bCs/>
        </w:rPr>
        <w:t xml:space="preserve"> establece</w:t>
      </w:r>
      <w:proofErr w:type="gramEnd"/>
      <w:r w:rsidRPr="00555252">
        <w:rPr>
          <w:rFonts w:ascii="Verdana" w:hAnsi="Verdana" w:cs="Arial"/>
          <w:bCs/>
        </w:rPr>
        <w:t xml:space="preserve"> un acceso temporal al trabajo para personas que no han definido su situación militar, pero han sido declaradas no aptas, exentas o han superado la edad máxima de incorporación. Además, este beneficio se aplica a personas aptas pero exoneradas de pagar la cuota de compensación militar, según la sentencia C-277 de 2019 de la Corte Constitucional.</w:t>
      </w:r>
      <w:r>
        <w:rPr>
          <w:rFonts w:ascii="Verdana" w:hAnsi="Verdana" w:cs="Arial"/>
          <w:bCs/>
        </w:rPr>
        <w:t xml:space="preserve"> </w:t>
      </w:r>
    </w:p>
    <w:p w14:paraId="3A503EB0" w14:textId="5FFC3F68" w:rsidR="00F902AD" w:rsidRDefault="00F902AD" w:rsidP="00F902AD">
      <w:pPr>
        <w:spacing w:after="0" w:line="240" w:lineRule="auto"/>
        <w:jc w:val="both"/>
        <w:rPr>
          <w:rFonts w:ascii="Verdana" w:eastAsia="Geomanist Light" w:hAnsi="Verdana" w:cs="Arial"/>
          <w:color w:val="000000" w:themeColor="text1"/>
          <w:lang w:val="es-MX"/>
        </w:rPr>
      </w:pPr>
      <w:r w:rsidRPr="00555252">
        <w:rPr>
          <w:rFonts w:ascii="Verdana" w:hAnsi="Verdana" w:cs="Arial"/>
          <w:bCs/>
        </w:rPr>
        <w:t>Estas disposiciones se desarrollaron en el Decreto 977 de 2018, que autoriza a las entidades públicas a suscribir contratos de prestación de servicios con individuos en las condiciones mencionadas. El artículo 2.3.1.4.9.2. del mismo Decreto establece que los ciudadanos que no han definido su situación militar, clasificados según la Ley 1861 de 2017, obtendrán automáticamente los beneficios del artículo 42 de dicha ley (incluyendo un plazo de 18 meses para definir su situación militar) una vez se vinculen laboral o contractualmente.</w:t>
      </w:r>
    </w:p>
    <w:p w14:paraId="7330B38A" w14:textId="77777777" w:rsidR="00F902AD" w:rsidRDefault="00F902AD" w:rsidP="00DC77FB">
      <w:pPr>
        <w:spacing w:after="0" w:line="240" w:lineRule="auto"/>
        <w:rPr>
          <w:rFonts w:ascii="Verdana" w:eastAsia="Geomanist Light" w:hAnsi="Verdana" w:cs="Arial"/>
          <w:color w:val="000000" w:themeColor="text1"/>
          <w:lang w:val="es-MX"/>
        </w:rPr>
      </w:pPr>
    </w:p>
    <w:p w14:paraId="48776D6C" w14:textId="77777777" w:rsidR="00F902AD" w:rsidRDefault="00F902AD" w:rsidP="00DC77FB">
      <w:pPr>
        <w:spacing w:after="0" w:line="240" w:lineRule="auto"/>
        <w:rPr>
          <w:rFonts w:ascii="Verdana" w:eastAsia="Geomanist Light" w:hAnsi="Verdana" w:cs="Arial"/>
          <w:color w:val="000000" w:themeColor="text1"/>
          <w:lang w:val="es-MX"/>
        </w:rPr>
      </w:pPr>
    </w:p>
    <w:p w14:paraId="07E742CE" w14:textId="1ACAE4CD" w:rsidR="00F902AD" w:rsidRPr="00F902AD" w:rsidRDefault="00F902AD" w:rsidP="00DC77FB">
      <w:pPr>
        <w:spacing w:after="0" w:line="240" w:lineRule="auto"/>
        <w:rPr>
          <w:rFonts w:ascii="Verdana" w:eastAsia="Geomanist Light" w:hAnsi="Verdana" w:cs="Arial"/>
          <w:b/>
          <w:bCs/>
          <w:color w:val="000000" w:themeColor="text1"/>
          <w:lang w:val="es-MX"/>
        </w:rPr>
      </w:pPr>
      <w:r w:rsidRPr="00F902AD">
        <w:rPr>
          <w:rFonts w:ascii="Verdana" w:hAnsi="Verdana"/>
          <w:b/>
          <w:bCs/>
        </w:rPr>
        <w:t>OBLIGATORIEDAD</w:t>
      </w:r>
      <w:r w:rsidRPr="00F902AD">
        <w:rPr>
          <w:rFonts w:ascii="Verdana" w:hAnsi="Verdana"/>
          <w:b/>
          <w:bCs/>
          <w:spacing w:val="46"/>
          <w:w w:val="150"/>
        </w:rPr>
        <w:t xml:space="preserve"> </w:t>
      </w:r>
      <w:r w:rsidRPr="00F902AD">
        <w:rPr>
          <w:rFonts w:ascii="Verdana" w:hAnsi="Verdana"/>
          <w:b/>
          <w:bCs/>
        </w:rPr>
        <w:t>LA</w:t>
      </w:r>
      <w:r w:rsidRPr="00F902AD">
        <w:rPr>
          <w:rFonts w:ascii="Verdana" w:hAnsi="Verdana"/>
          <w:b/>
          <w:bCs/>
          <w:spacing w:val="42"/>
          <w:w w:val="150"/>
        </w:rPr>
        <w:t xml:space="preserve"> </w:t>
      </w:r>
      <w:r w:rsidRPr="00F902AD">
        <w:rPr>
          <w:rFonts w:ascii="Verdana" w:hAnsi="Verdana"/>
          <w:b/>
          <w:bCs/>
        </w:rPr>
        <w:t>AFILIACIÓN</w:t>
      </w:r>
      <w:r w:rsidRPr="00F902AD">
        <w:rPr>
          <w:rFonts w:ascii="Verdana" w:hAnsi="Verdana"/>
          <w:b/>
          <w:bCs/>
          <w:spacing w:val="46"/>
          <w:w w:val="150"/>
        </w:rPr>
        <w:t xml:space="preserve"> </w:t>
      </w:r>
      <w:r w:rsidRPr="00F902AD">
        <w:rPr>
          <w:rFonts w:ascii="Verdana" w:hAnsi="Verdana"/>
          <w:b/>
          <w:bCs/>
        </w:rPr>
        <w:t>AL</w:t>
      </w:r>
      <w:r w:rsidRPr="00F902AD">
        <w:rPr>
          <w:rFonts w:ascii="Verdana" w:hAnsi="Verdana"/>
          <w:b/>
          <w:bCs/>
          <w:spacing w:val="43"/>
          <w:w w:val="150"/>
        </w:rPr>
        <w:t xml:space="preserve"> </w:t>
      </w:r>
      <w:r w:rsidRPr="00F902AD">
        <w:rPr>
          <w:rFonts w:ascii="Verdana" w:hAnsi="Verdana"/>
          <w:b/>
          <w:bCs/>
        </w:rPr>
        <w:t>SISTEMA</w:t>
      </w:r>
      <w:r w:rsidRPr="00F902AD">
        <w:rPr>
          <w:rFonts w:ascii="Verdana" w:hAnsi="Verdana"/>
          <w:b/>
          <w:bCs/>
          <w:spacing w:val="44"/>
          <w:w w:val="150"/>
        </w:rPr>
        <w:t xml:space="preserve"> </w:t>
      </w:r>
      <w:r w:rsidRPr="00F902AD">
        <w:rPr>
          <w:rFonts w:ascii="Verdana" w:hAnsi="Verdana"/>
          <w:b/>
          <w:bCs/>
          <w:spacing w:val="-5"/>
        </w:rPr>
        <w:t xml:space="preserve">DE </w:t>
      </w:r>
      <w:r w:rsidRPr="00F902AD">
        <w:rPr>
          <w:rFonts w:ascii="Verdana" w:hAnsi="Verdana"/>
          <w:b/>
          <w:bCs/>
        </w:rPr>
        <w:t>SEGURIDAD</w:t>
      </w:r>
      <w:r w:rsidRPr="00F902AD">
        <w:rPr>
          <w:rFonts w:ascii="Verdana" w:hAnsi="Verdana"/>
          <w:b/>
          <w:bCs/>
          <w:spacing w:val="2"/>
        </w:rPr>
        <w:t xml:space="preserve"> </w:t>
      </w:r>
      <w:r w:rsidRPr="00F902AD">
        <w:rPr>
          <w:rFonts w:ascii="Verdana" w:hAnsi="Verdana"/>
          <w:b/>
          <w:bCs/>
        </w:rPr>
        <w:t>SOCIAL</w:t>
      </w:r>
      <w:r w:rsidRPr="00F902AD">
        <w:rPr>
          <w:rFonts w:ascii="Verdana" w:hAnsi="Verdana"/>
          <w:b/>
          <w:bCs/>
          <w:spacing w:val="3"/>
        </w:rPr>
        <w:t xml:space="preserve"> </w:t>
      </w:r>
      <w:r w:rsidRPr="00F902AD">
        <w:rPr>
          <w:rFonts w:ascii="Verdana" w:hAnsi="Verdana"/>
          <w:b/>
          <w:bCs/>
        </w:rPr>
        <w:t>INTEGRAL</w:t>
      </w:r>
      <w:r w:rsidRPr="00F902AD">
        <w:rPr>
          <w:rFonts w:ascii="Verdana" w:hAnsi="Verdana"/>
          <w:b/>
          <w:bCs/>
          <w:spacing w:val="3"/>
        </w:rPr>
        <w:t xml:space="preserve"> </w:t>
      </w:r>
      <w:r w:rsidRPr="00F902AD">
        <w:rPr>
          <w:rFonts w:ascii="Verdana" w:hAnsi="Verdana"/>
          <w:b/>
          <w:bCs/>
        </w:rPr>
        <w:t>–</w:t>
      </w:r>
      <w:r w:rsidRPr="00F902AD">
        <w:rPr>
          <w:rFonts w:ascii="Verdana" w:hAnsi="Verdana"/>
          <w:b/>
          <w:bCs/>
          <w:spacing w:val="1"/>
        </w:rPr>
        <w:t xml:space="preserve"> </w:t>
      </w:r>
      <w:r w:rsidRPr="00F902AD">
        <w:rPr>
          <w:rFonts w:ascii="Verdana" w:hAnsi="Verdana"/>
          <w:b/>
          <w:bCs/>
        </w:rPr>
        <w:t>Contratación</w:t>
      </w:r>
      <w:r w:rsidRPr="00F902AD">
        <w:rPr>
          <w:rFonts w:ascii="Verdana" w:hAnsi="Verdana"/>
          <w:b/>
          <w:bCs/>
          <w:spacing w:val="4"/>
        </w:rPr>
        <w:t xml:space="preserve"> </w:t>
      </w:r>
      <w:r w:rsidRPr="00F902AD">
        <w:rPr>
          <w:rFonts w:ascii="Verdana" w:hAnsi="Verdana"/>
          <w:b/>
          <w:bCs/>
          <w:spacing w:val="-2"/>
        </w:rPr>
        <w:t>Estatal</w:t>
      </w:r>
    </w:p>
    <w:p w14:paraId="1F83EF22" w14:textId="77777777" w:rsidR="00F902AD" w:rsidRDefault="00F902AD" w:rsidP="00DC77FB">
      <w:pPr>
        <w:spacing w:after="0" w:line="240" w:lineRule="auto"/>
        <w:rPr>
          <w:rFonts w:ascii="Verdana" w:eastAsia="Geomanist Light" w:hAnsi="Verdana" w:cs="Arial"/>
          <w:color w:val="000000" w:themeColor="text1"/>
          <w:lang w:val="es-MX"/>
        </w:rPr>
      </w:pPr>
    </w:p>
    <w:p w14:paraId="43E74EC1" w14:textId="77777777" w:rsidR="00F902AD" w:rsidRDefault="00F902AD" w:rsidP="00F902AD">
      <w:pPr>
        <w:spacing w:after="120" w:line="276" w:lineRule="auto"/>
        <w:ind w:right="79"/>
        <w:jc w:val="both"/>
        <w:rPr>
          <w:rFonts w:ascii="Verdana" w:eastAsia="Arial" w:hAnsi="Verdana" w:cs="Arial"/>
          <w:bCs/>
        </w:rPr>
      </w:pPr>
      <w:r>
        <w:rPr>
          <w:rFonts w:ascii="Verdana" w:eastAsia="Arial" w:hAnsi="Verdana" w:cs="Arial"/>
          <w:bCs/>
        </w:rPr>
        <w:t xml:space="preserve">En torno al segundo interrogante, </w:t>
      </w:r>
      <w:r w:rsidRPr="00EF2712">
        <w:rPr>
          <w:rFonts w:ascii="Verdana" w:eastAsia="Arial" w:hAnsi="Verdana" w:cs="Arial"/>
          <w:bCs/>
        </w:rPr>
        <w:t xml:space="preserve">teniendo en cuenta la finalidad de los requisitos habilitantes establecidos en el artículo 5 de la Ley 1150 de 2007, la autonomía de la voluntad de las entidades estatales para fijarlos, así como lo dispuesto en el artículo 50 de la Ley 789 de 2002, que establece como obligación el cumplimiento de las disposiciones para quienes deseen celebrar, renovar o liquidar contratos de cualquier naturaleza con entidades del sector público, esta </w:t>
      </w:r>
      <w:r w:rsidRPr="00EF2712">
        <w:rPr>
          <w:rFonts w:ascii="Verdana" w:eastAsia="Arial" w:hAnsi="Verdana" w:cs="Arial"/>
          <w:bCs/>
        </w:rPr>
        <w:lastRenderedPageBreak/>
        <w:t>Subdirección ha concluido, con base en la normativa desarrollada en el presente concepto, que el deber de acreditar el cumplimiento de las obligaciones relacionadas con el Sistema de Seguridad Social Integral debe ser verificado por las entidades estatales como el cumplimiento de un</w:t>
      </w:r>
      <w:r>
        <w:rPr>
          <w:rFonts w:ascii="Verdana" w:eastAsia="Arial" w:hAnsi="Verdana" w:cs="Arial"/>
          <w:bCs/>
        </w:rPr>
        <w:t xml:space="preserve"> deber legal</w:t>
      </w:r>
      <w:r w:rsidRPr="00EF2712">
        <w:rPr>
          <w:rFonts w:ascii="Verdana" w:eastAsia="Arial" w:hAnsi="Verdana" w:cs="Arial"/>
          <w:bCs/>
        </w:rPr>
        <w:t xml:space="preserve"> y no como un requisito habilitante cuyo fin es comprobar la aptitud del proponente para cumplir el contrato. Dichas obligaciones deben verificarse en todos los contratos que estas celebren, independientemente de su naturaleza o modalidad de selección, en diferentes momentos del proceso contractual, los cuales son: i) al momento de presentar la oferta, </w:t>
      </w:r>
      <w:proofErr w:type="spellStart"/>
      <w:r w:rsidRPr="00EF2712">
        <w:rPr>
          <w:rFonts w:ascii="Verdana" w:eastAsia="Arial" w:hAnsi="Verdana" w:cs="Arial"/>
          <w:bCs/>
        </w:rPr>
        <w:t>ii</w:t>
      </w:r>
      <w:proofErr w:type="spellEnd"/>
      <w:r w:rsidRPr="00EF2712">
        <w:rPr>
          <w:rFonts w:ascii="Verdana" w:eastAsia="Arial" w:hAnsi="Verdana" w:cs="Arial"/>
          <w:bCs/>
        </w:rPr>
        <w:t xml:space="preserve">) al perfeccionamiento del contrato estatal, </w:t>
      </w:r>
      <w:proofErr w:type="spellStart"/>
      <w:r w:rsidRPr="00EF2712">
        <w:rPr>
          <w:rFonts w:ascii="Verdana" w:eastAsia="Arial" w:hAnsi="Verdana" w:cs="Arial"/>
          <w:bCs/>
        </w:rPr>
        <w:t>iii</w:t>
      </w:r>
      <w:proofErr w:type="spellEnd"/>
      <w:r w:rsidRPr="00EF2712">
        <w:rPr>
          <w:rFonts w:ascii="Verdana" w:eastAsia="Arial" w:hAnsi="Verdana" w:cs="Arial"/>
          <w:bCs/>
        </w:rPr>
        <w:t xml:space="preserve">) para iniciar la ejecución del contrato, </w:t>
      </w:r>
      <w:proofErr w:type="spellStart"/>
      <w:r w:rsidRPr="00EF2712">
        <w:rPr>
          <w:rFonts w:ascii="Verdana" w:eastAsia="Arial" w:hAnsi="Verdana" w:cs="Arial"/>
          <w:bCs/>
        </w:rPr>
        <w:t>iv</w:t>
      </w:r>
      <w:proofErr w:type="spellEnd"/>
      <w:r w:rsidRPr="00EF2712">
        <w:rPr>
          <w:rFonts w:ascii="Verdana" w:eastAsia="Arial" w:hAnsi="Verdana" w:cs="Arial"/>
          <w:bCs/>
        </w:rPr>
        <w:t>) durante la ejecución del contrato, y v) al momento de la liquidación del contrato.</w:t>
      </w:r>
    </w:p>
    <w:p w14:paraId="1BC52386" w14:textId="77777777" w:rsidR="00F902AD" w:rsidRDefault="00F902AD" w:rsidP="00F902AD">
      <w:pPr>
        <w:spacing w:after="120" w:line="276" w:lineRule="auto"/>
        <w:ind w:right="79"/>
        <w:jc w:val="both"/>
        <w:rPr>
          <w:rFonts w:ascii="Verdana" w:eastAsia="Arial" w:hAnsi="Verdana" w:cs="Arial"/>
          <w:bCs/>
        </w:rPr>
      </w:pPr>
      <w:r w:rsidRPr="002D077A">
        <w:rPr>
          <w:rFonts w:ascii="Verdana" w:eastAsia="Arial" w:hAnsi="Verdana" w:cs="Arial"/>
          <w:bCs/>
        </w:rPr>
        <w:t>Téngase en cuenta que, de acuerdo con lo dispuesto en los artículos 153, 155, 157 y 203 de la ley 100 de 1993, los trabajadores independientes son afiliados obligatorios al sistema y deben cotizar al régimen contributivo en razón a su capacidad de pago, por lo cual en todo proceso de contratación le corresponderá verificar a la Entidad Contratante, que el oferente persona natural, se postule en calidad de “cotizante”, quienes son las personas vinculadas a través de contrato de trabajo, los servidores públicos, los pensionados y jubilados y los trabajadores independientes con capacidad de pago.</w:t>
      </w:r>
    </w:p>
    <w:p w14:paraId="0F7DD246" w14:textId="74F0843F" w:rsidR="00F902AD" w:rsidRDefault="00F902AD" w:rsidP="00F902AD">
      <w:pPr>
        <w:spacing w:after="0" w:line="240" w:lineRule="auto"/>
        <w:rPr>
          <w:rFonts w:ascii="Verdana" w:eastAsia="Geomanist Light" w:hAnsi="Verdana" w:cs="Arial"/>
          <w:color w:val="000000" w:themeColor="text1"/>
          <w:lang w:val="es-MX"/>
        </w:rPr>
      </w:pPr>
      <w:r w:rsidRPr="002D077A">
        <w:rPr>
          <w:rFonts w:ascii="Verdana" w:eastAsia="Arial" w:hAnsi="Verdana" w:cs="Arial"/>
          <w:bCs/>
        </w:rPr>
        <w:t xml:space="preserve">Por consiguiente, </w:t>
      </w:r>
      <w:proofErr w:type="gramStart"/>
      <w:r>
        <w:rPr>
          <w:rFonts w:ascii="Verdana" w:eastAsia="Arial" w:hAnsi="Verdana" w:cs="Arial"/>
          <w:bCs/>
        </w:rPr>
        <w:t>de acuerdo a</w:t>
      </w:r>
      <w:proofErr w:type="gramEnd"/>
      <w:r>
        <w:rPr>
          <w:rFonts w:ascii="Verdana" w:eastAsia="Arial" w:hAnsi="Verdana" w:cs="Arial"/>
          <w:bCs/>
        </w:rPr>
        <w:t xml:space="preserve"> la autonomía de la voluntad, </w:t>
      </w:r>
      <w:r w:rsidRPr="002D077A">
        <w:rPr>
          <w:rFonts w:ascii="Verdana" w:eastAsia="Arial" w:hAnsi="Verdana" w:cs="Arial"/>
          <w:bCs/>
        </w:rPr>
        <w:t>la entidad estatal determina como requiere al contratista y que características, frente a este requerimiento; la entidad contratante de manera discrecional fijará en el pliego de condiciones</w:t>
      </w:r>
      <w:r>
        <w:rPr>
          <w:rFonts w:ascii="Verdana" w:eastAsia="Arial" w:hAnsi="Verdana" w:cs="Arial"/>
          <w:bCs/>
        </w:rPr>
        <w:t xml:space="preserve"> y/o documento equivalente</w:t>
      </w:r>
      <w:r w:rsidRPr="002D077A">
        <w:rPr>
          <w:rFonts w:ascii="Verdana" w:eastAsia="Arial" w:hAnsi="Verdana" w:cs="Arial"/>
          <w:bCs/>
        </w:rPr>
        <w:t>, la información que deben aportar los proveedores</w:t>
      </w:r>
      <w:r>
        <w:rPr>
          <w:rFonts w:ascii="Verdana" w:eastAsia="Arial" w:hAnsi="Verdana" w:cs="Arial"/>
          <w:bCs/>
        </w:rPr>
        <w:t xml:space="preserve"> y/o futuros contratistas</w:t>
      </w:r>
      <w:r w:rsidRPr="002D077A">
        <w:rPr>
          <w:rFonts w:ascii="Verdana" w:eastAsia="Arial" w:hAnsi="Verdana" w:cs="Arial"/>
          <w:bCs/>
        </w:rPr>
        <w:t xml:space="preserve"> y las características que estos documentos deben consignar.</w:t>
      </w:r>
    </w:p>
    <w:p w14:paraId="1E25B840" w14:textId="77777777" w:rsidR="00F902AD" w:rsidRDefault="00F902AD" w:rsidP="00DC77FB">
      <w:pPr>
        <w:spacing w:after="0" w:line="240" w:lineRule="auto"/>
        <w:rPr>
          <w:rFonts w:ascii="Verdana" w:eastAsia="Geomanist Light" w:hAnsi="Verdana" w:cs="Arial"/>
          <w:color w:val="000000" w:themeColor="text1"/>
          <w:lang w:val="es-MX"/>
        </w:rPr>
      </w:pPr>
    </w:p>
    <w:p w14:paraId="10B56896" w14:textId="77777777" w:rsidR="00F902AD" w:rsidRDefault="00F902AD" w:rsidP="00DC77FB">
      <w:pPr>
        <w:spacing w:after="0" w:line="240" w:lineRule="auto"/>
        <w:rPr>
          <w:rFonts w:ascii="Verdana" w:eastAsia="Geomanist Light" w:hAnsi="Verdana" w:cs="Arial"/>
          <w:color w:val="000000" w:themeColor="text1"/>
          <w:lang w:val="es-MX"/>
        </w:rPr>
      </w:pPr>
    </w:p>
    <w:p w14:paraId="55032F93" w14:textId="77777777" w:rsidR="00F902AD" w:rsidRDefault="00F902AD" w:rsidP="00DC77FB">
      <w:pPr>
        <w:spacing w:after="0" w:line="240" w:lineRule="auto"/>
        <w:rPr>
          <w:rFonts w:ascii="Verdana" w:eastAsia="Geomanist Light" w:hAnsi="Verdana" w:cs="Arial"/>
          <w:color w:val="000000" w:themeColor="text1"/>
          <w:lang w:val="es-MX"/>
        </w:rPr>
      </w:pPr>
    </w:p>
    <w:p w14:paraId="4E88BE20" w14:textId="77777777" w:rsidR="00F902AD" w:rsidRDefault="00F902AD" w:rsidP="00DC77FB">
      <w:pPr>
        <w:spacing w:after="0" w:line="240" w:lineRule="auto"/>
        <w:rPr>
          <w:rFonts w:ascii="Verdana" w:eastAsia="Geomanist Light" w:hAnsi="Verdana" w:cs="Arial"/>
          <w:color w:val="000000" w:themeColor="text1"/>
          <w:lang w:val="es-MX"/>
        </w:rPr>
      </w:pPr>
    </w:p>
    <w:p w14:paraId="703B33CB" w14:textId="77777777" w:rsidR="00F902AD" w:rsidRDefault="00F902AD" w:rsidP="00DC77FB">
      <w:pPr>
        <w:spacing w:after="0" w:line="240" w:lineRule="auto"/>
        <w:rPr>
          <w:rFonts w:ascii="Verdana" w:eastAsia="Geomanist Light" w:hAnsi="Verdana" w:cs="Arial"/>
          <w:color w:val="000000" w:themeColor="text1"/>
          <w:lang w:val="es-MX"/>
        </w:rPr>
      </w:pPr>
    </w:p>
    <w:p w14:paraId="4BB62921" w14:textId="77777777" w:rsidR="00F902AD" w:rsidRDefault="00F902AD" w:rsidP="00DC77FB">
      <w:pPr>
        <w:spacing w:after="0" w:line="240" w:lineRule="auto"/>
        <w:rPr>
          <w:rFonts w:ascii="Verdana" w:eastAsia="Geomanist Light" w:hAnsi="Verdana" w:cs="Arial"/>
          <w:color w:val="000000" w:themeColor="text1"/>
          <w:lang w:val="es-MX"/>
        </w:rPr>
      </w:pPr>
    </w:p>
    <w:p w14:paraId="26150BFF" w14:textId="77777777" w:rsidR="00F902AD" w:rsidRDefault="00F902AD" w:rsidP="00DC77FB">
      <w:pPr>
        <w:spacing w:after="0" w:line="240" w:lineRule="auto"/>
        <w:rPr>
          <w:rFonts w:ascii="Verdana" w:eastAsia="Geomanist Light" w:hAnsi="Verdana" w:cs="Arial"/>
          <w:color w:val="000000" w:themeColor="text1"/>
          <w:lang w:val="es-MX"/>
        </w:rPr>
      </w:pPr>
    </w:p>
    <w:p w14:paraId="341B3F3A" w14:textId="77777777" w:rsidR="00F902AD" w:rsidRDefault="00F902AD" w:rsidP="00DC77FB">
      <w:pPr>
        <w:spacing w:after="0" w:line="240" w:lineRule="auto"/>
        <w:rPr>
          <w:rFonts w:ascii="Verdana" w:eastAsia="Geomanist Light" w:hAnsi="Verdana" w:cs="Arial"/>
          <w:color w:val="000000" w:themeColor="text1"/>
          <w:lang w:val="es-MX"/>
        </w:rPr>
      </w:pPr>
    </w:p>
    <w:p w14:paraId="2D2CAC65" w14:textId="77777777" w:rsidR="00F902AD" w:rsidRDefault="00F902AD" w:rsidP="00DC77FB">
      <w:pPr>
        <w:spacing w:after="0" w:line="240" w:lineRule="auto"/>
        <w:rPr>
          <w:rFonts w:ascii="Verdana" w:eastAsia="Geomanist Light" w:hAnsi="Verdana" w:cs="Arial"/>
          <w:color w:val="000000" w:themeColor="text1"/>
          <w:lang w:val="es-MX"/>
        </w:rPr>
      </w:pPr>
    </w:p>
    <w:p w14:paraId="60530724" w14:textId="77777777" w:rsidR="00F902AD" w:rsidRDefault="00F902AD" w:rsidP="00DC77FB">
      <w:pPr>
        <w:spacing w:after="0" w:line="240" w:lineRule="auto"/>
        <w:rPr>
          <w:rFonts w:ascii="Verdana" w:eastAsia="Geomanist Light" w:hAnsi="Verdana" w:cs="Arial"/>
          <w:color w:val="000000" w:themeColor="text1"/>
          <w:lang w:val="es-MX"/>
        </w:rPr>
      </w:pPr>
    </w:p>
    <w:p w14:paraId="4E17DA41" w14:textId="77777777" w:rsidR="00F902AD" w:rsidRDefault="00F902AD" w:rsidP="00DC77FB">
      <w:pPr>
        <w:spacing w:after="0" w:line="240" w:lineRule="auto"/>
        <w:rPr>
          <w:rFonts w:ascii="Verdana" w:eastAsia="Geomanist Light" w:hAnsi="Verdana" w:cs="Arial"/>
          <w:color w:val="000000" w:themeColor="text1"/>
          <w:lang w:val="es-MX"/>
        </w:rPr>
      </w:pPr>
    </w:p>
    <w:p w14:paraId="62999415" w14:textId="77777777" w:rsidR="00F902AD" w:rsidRDefault="00F902AD" w:rsidP="00DC77FB">
      <w:pPr>
        <w:spacing w:after="0" w:line="240" w:lineRule="auto"/>
        <w:rPr>
          <w:rFonts w:ascii="Verdana" w:eastAsia="Geomanist Light" w:hAnsi="Verdana" w:cs="Arial"/>
          <w:color w:val="000000" w:themeColor="text1"/>
          <w:lang w:val="es-MX"/>
        </w:rPr>
      </w:pPr>
    </w:p>
    <w:p w14:paraId="0B64C474" w14:textId="77777777" w:rsidR="00F902AD" w:rsidRDefault="00F902AD" w:rsidP="00DC77FB">
      <w:pPr>
        <w:spacing w:after="0" w:line="240" w:lineRule="auto"/>
        <w:rPr>
          <w:rFonts w:ascii="Verdana" w:eastAsia="Geomanist Light" w:hAnsi="Verdana" w:cs="Arial"/>
          <w:color w:val="000000" w:themeColor="text1"/>
          <w:lang w:val="es-MX"/>
        </w:rPr>
      </w:pPr>
    </w:p>
    <w:p w14:paraId="023DDED4" w14:textId="77777777" w:rsidR="00F902AD" w:rsidRDefault="00F902AD" w:rsidP="00DC77FB">
      <w:pPr>
        <w:spacing w:after="0" w:line="240" w:lineRule="auto"/>
        <w:rPr>
          <w:rFonts w:ascii="Verdana" w:eastAsia="Geomanist Light" w:hAnsi="Verdana" w:cs="Arial"/>
          <w:color w:val="000000" w:themeColor="text1"/>
          <w:lang w:val="es-MX"/>
        </w:rPr>
      </w:pPr>
    </w:p>
    <w:p w14:paraId="62CE15E7" w14:textId="33D15F32" w:rsidR="00DC77FB" w:rsidRPr="00CF64C0" w:rsidRDefault="00DC77FB" w:rsidP="00DC77FB">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F902AD">
        <w:rPr>
          <w:rFonts w:ascii="Verdana" w:eastAsia="Geomanist Light" w:hAnsi="Verdana" w:cs="Arial"/>
          <w:color w:val="201F1E"/>
          <w:lang w:val="es-MX"/>
        </w:rPr>
        <w:t>19</w:t>
      </w:r>
      <w:r w:rsidRPr="00CF64C0">
        <w:rPr>
          <w:rFonts w:ascii="Verdana" w:eastAsia="Geomanist Light" w:hAnsi="Verdana" w:cs="Arial"/>
          <w:color w:val="201F1E"/>
          <w:lang w:val="es-MX"/>
        </w:rPr>
        <w:t xml:space="preserve"> de </w:t>
      </w:r>
      <w:r w:rsidR="00F902AD">
        <w:rPr>
          <w:rFonts w:ascii="Verdana" w:eastAsia="Geomanist Light" w:hAnsi="Verdana" w:cs="Arial"/>
          <w:color w:val="201F1E"/>
          <w:lang w:val="es-MX"/>
        </w:rPr>
        <w:t>marzo</w:t>
      </w:r>
      <w:r w:rsidRPr="00CF64C0">
        <w:rPr>
          <w:rFonts w:ascii="Verdana" w:eastAsia="Geomanist Light" w:hAnsi="Verdana" w:cs="Arial"/>
          <w:color w:val="201F1E"/>
          <w:lang w:val="es-MX"/>
        </w:rPr>
        <w:t xml:space="preserve"> de </w:t>
      </w:r>
      <w:r w:rsidR="00F902AD">
        <w:rPr>
          <w:rFonts w:ascii="Verdana" w:eastAsia="Geomanist Light" w:hAnsi="Verdana" w:cs="Arial"/>
          <w:color w:val="201F1E"/>
          <w:lang w:val="es-MX"/>
        </w:rPr>
        <w:t>2025</w:t>
      </w:r>
    </w:p>
    <w:p w14:paraId="172B366E" w14:textId="77777777" w:rsidR="00DC77FB" w:rsidRPr="00630E73" w:rsidRDefault="00DC77FB" w:rsidP="00DC77FB">
      <w:pPr>
        <w:spacing w:after="0" w:line="240" w:lineRule="auto"/>
        <w:jc w:val="both"/>
        <w:rPr>
          <w:rFonts w:ascii="Verdana" w:eastAsia="Calibri" w:hAnsi="Verdana" w:cs="Arial"/>
          <w:color w:val="000000"/>
          <w:lang w:val="es-MX"/>
        </w:rPr>
      </w:pPr>
    </w:p>
    <w:p w14:paraId="35172A9D" w14:textId="24FC8A62" w:rsidR="00F902AD" w:rsidRDefault="00F902AD" w:rsidP="00F902AD">
      <w:pPr>
        <w:spacing w:after="0" w:line="240" w:lineRule="auto"/>
        <w:ind w:left="4956"/>
        <w:jc w:val="both"/>
        <w:rPr>
          <w:rFonts w:ascii="Verdana" w:eastAsia="Calibri" w:hAnsi="Verdana" w:cs="Arial"/>
          <w:lang w:val="es-ES" w:eastAsia="es-ES"/>
        </w:rPr>
      </w:pPr>
      <w:r w:rsidRPr="00F902AD">
        <w:rPr>
          <w:rFonts w:ascii="Verdana" w:eastAsia="Calibri" w:hAnsi="Verdana" w:cs="Arial"/>
          <w:lang w:val="es-ES" w:eastAsia="es-ES"/>
        </w:rPr>
        <w:drawing>
          <wp:inline distT="0" distB="0" distL="0" distR="0" wp14:anchorId="075595A4" wp14:editId="795A655A">
            <wp:extent cx="3305636" cy="1028844"/>
            <wp:effectExtent l="0" t="0" r="0" b="0"/>
            <wp:docPr id="17347536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753626" name=""/>
                    <pic:cNvPicPr/>
                  </pic:nvPicPr>
                  <pic:blipFill>
                    <a:blip r:embed="rId10"/>
                    <a:stretch>
                      <a:fillRect/>
                    </a:stretch>
                  </pic:blipFill>
                  <pic:spPr>
                    <a:xfrm>
                      <a:off x="0" y="0"/>
                      <a:ext cx="3305636" cy="1028844"/>
                    </a:xfrm>
                    <a:prstGeom prst="rect">
                      <a:avLst/>
                    </a:prstGeom>
                  </pic:spPr>
                </pic:pic>
              </a:graphicData>
            </a:graphic>
          </wp:inline>
        </w:drawing>
      </w:r>
    </w:p>
    <w:p w14:paraId="6FD3E8EF" w14:textId="44881EEC" w:rsidR="00DC77FB" w:rsidRPr="00EB1CF7" w:rsidRDefault="00DC77FB" w:rsidP="00DC77FB">
      <w:pPr>
        <w:spacing w:after="0" w:line="240" w:lineRule="auto"/>
        <w:jc w:val="both"/>
        <w:rPr>
          <w:rFonts w:ascii="Verdana" w:eastAsia="Calibri" w:hAnsi="Verdana" w:cs="Arial"/>
          <w:lang w:val="es-ES" w:eastAsia="es-ES"/>
        </w:rPr>
      </w:pPr>
      <w:r w:rsidRPr="00EB1CF7">
        <w:rPr>
          <w:rFonts w:ascii="Verdana" w:eastAsia="Calibri" w:hAnsi="Verdana" w:cs="Arial"/>
          <w:lang w:val="es-ES" w:eastAsia="es-ES"/>
        </w:rPr>
        <w:t>Señor</w:t>
      </w:r>
    </w:p>
    <w:p w14:paraId="2F9C03E6" w14:textId="77777777" w:rsidR="00DC77FB" w:rsidRPr="002C73FC" w:rsidRDefault="00DC77FB" w:rsidP="00DC77FB">
      <w:pPr>
        <w:spacing w:after="0" w:line="240" w:lineRule="auto"/>
        <w:rPr>
          <w:rFonts w:ascii="Verdana" w:eastAsia="Calibri" w:hAnsi="Verdana" w:cs="Arial"/>
          <w:b/>
          <w:bCs/>
          <w:lang w:eastAsia="es-ES_tradnl"/>
        </w:rPr>
      </w:pPr>
      <w:r w:rsidRPr="002C73FC">
        <w:rPr>
          <w:rFonts w:ascii="Verdana" w:eastAsia="Calibri" w:hAnsi="Verdana" w:cs="Arial"/>
          <w:b/>
          <w:bCs/>
          <w:lang w:eastAsia="es-ES_tradnl"/>
        </w:rPr>
        <w:t>OSCAR MANUEL P</w:t>
      </w:r>
      <w:r>
        <w:rPr>
          <w:rFonts w:ascii="Verdana" w:eastAsia="Calibri" w:hAnsi="Verdana" w:cs="Arial"/>
          <w:b/>
          <w:bCs/>
          <w:lang w:eastAsia="es-ES_tradnl"/>
        </w:rPr>
        <w:t>É</w:t>
      </w:r>
      <w:r w:rsidRPr="002C73FC">
        <w:rPr>
          <w:rFonts w:ascii="Verdana" w:eastAsia="Calibri" w:hAnsi="Verdana" w:cs="Arial"/>
          <w:b/>
          <w:bCs/>
          <w:lang w:eastAsia="es-ES_tradnl"/>
        </w:rPr>
        <w:t>REZ GOMEZ</w:t>
      </w:r>
    </w:p>
    <w:p w14:paraId="0F4E57C3" w14:textId="77777777" w:rsidR="00DC77FB" w:rsidRPr="002C73FC" w:rsidRDefault="00DC77FB" w:rsidP="00DC77FB">
      <w:pPr>
        <w:spacing w:after="0" w:line="240" w:lineRule="auto"/>
        <w:rPr>
          <w:rFonts w:ascii="Verdana" w:eastAsia="Calibri" w:hAnsi="Verdana" w:cs="Arial"/>
          <w:bCs/>
          <w:lang w:eastAsia="es-ES_tradnl"/>
        </w:rPr>
      </w:pPr>
      <w:hyperlink r:id="rId11" w:history="1">
        <w:r w:rsidRPr="002C73FC">
          <w:rPr>
            <w:rStyle w:val="Hipervnculo"/>
            <w:rFonts w:ascii="Verdana" w:hAnsi="Verdana"/>
          </w:rPr>
          <w:t>oscarperezgomez2014@gmail.com</w:t>
        </w:r>
      </w:hyperlink>
      <w:r w:rsidRPr="002C73FC">
        <w:rPr>
          <w:rFonts w:ascii="Verdana" w:eastAsia="Calibri" w:hAnsi="Verdana" w:cs="Arial"/>
          <w:bCs/>
          <w:lang w:eastAsia="es-ES_tradnl"/>
        </w:rPr>
        <w:t xml:space="preserve">; </w:t>
      </w:r>
    </w:p>
    <w:p w14:paraId="4B899913" w14:textId="77777777" w:rsidR="00DC77FB" w:rsidRPr="00EB1CF7" w:rsidRDefault="00DC77FB" w:rsidP="00DC77FB">
      <w:pPr>
        <w:spacing w:after="0" w:line="240" w:lineRule="auto"/>
        <w:rPr>
          <w:rFonts w:ascii="Verdana" w:eastAsia="Calibri" w:hAnsi="Verdana" w:cs="Arial"/>
          <w:lang w:val="es-ES" w:eastAsia="es-ES"/>
        </w:rPr>
      </w:pPr>
      <w:r>
        <w:rPr>
          <w:rFonts w:ascii="Verdana" w:eastAsia="Calibri" w:hAnsi="Verdana" w:cs="Arial"/>
          <w:lang w:val="es-ES" w:eastAsia="es-ES"/>
        </w:rPr>
        <w:t>Municipio de Restrepo, Valle del Cauca</w:t>
      </w:r>
    </w:p>
    <w:p w14:paraId="78C24172" w14:textId="77777777" w:rsidR="00DC77FB" w:rsidRPr="00EB1CF7" w:rsidRDefault="00DC77FB" w:rsidP="00DC77FB">
      <w:pPr>
        <w:spacing w:after="0" w:line="240" w:lineRule="auto"/>
        <w:rPr>
          <w:rFonts w:ascii="Verdana" w:eastAsia="Calibri" w:hAnsi="Verdana" w:cs="Arial"/>
          <w:b/>
          <w:bCs/>
          <w:color w:val="000000"/>
          <w:lang w:val="es-ES_tradnl" w:eastAsia="es-ES_tradnl"/>
        </w:rPr>
      </w:pPr>
    </w:p>
    <w:p w14:paraId="4F55A08F" w14:textId="77777777" w:rsidR="00DC77FB" w:rsidRPr="00EB1CF7" w:rsidRDefault="00DC77FB" w:rsidP="00DC77F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80"/>
        <w:gridCol w:w="5909"/>
      </w:tblGrid>
      <w:tr w:rsidR="00DC77FB" w:rsidRPr="00EB1CF7" w14:paraId="38547B9A" w14:textId="77777777" w:rsidTr="4C79310B">
        <w:trPr>
          <w:trHeight w:val="884"/>
        </w:trPr>
        <w:tc>
          <w:tcPr>
            <w:tcW w:w="2880" w:type="dxa"/>
          </w:tcPr>
          <w:p w14:paraId="22FD6864" w14:textId="77777777" w:rsidR="00DC77FB" w:rsidRPr="00420645" w:rsidRDefault="00DC77FB" w:rsidP="00507633">
            <w:pPr>
              <w:jc w:val="both"/>
              <w:rPr>
                <w:rFonts w:ascii="Verdana" w:eastAsia="Calibri" w:hAnsi="Verdana" w:cs="Arial"/>
                <w:b/>
                <w:bCs/>
                <w:color w:val="7030A0"/>
                <w:lang w:val="es-ES_tradnl" w:eastAsia="es-ES_tradnl"/>
              </w:rPr>
            </w:pPr>
          </w:p>
        </w:tc>
        <w:tc>
          <w:tcPr>
            <w:tcW w:w="5909" w:type="dxa"/>
          </w:tcPr>
          <w:p w14:paraId="6E9A8104" w14:textId="77777777" w:rsidR="00DC77FB" w:rsidRPr="00420645" w:rsidRDefault="00DC77FB" w:rsidP="00507633">
            <w:pPr>
              <w:jc w:val="both"/>
              <w:rPr>
                <w:rFonts w:ascii="Verdana" w:eastAsia="Calibri" w:hAnsi="Verdana" w:cs="Arial"/>
                <w:b/>
                <w:bCs/>
                <w:lang w:val="es-ES" w:eastAsia="es-ES"/>
              </w:rPr>
            </w:pPr>
            <w:r w:rsidRPr="00420645">
              <w:rPr>
                <w:rFonts w:ascii="Verdana" w:eastAsia="Calibri" w:hAnsi="Verdana" w:cs="Arial"/>
                <w:b/>
                <w:bCs/>
                <w:lang w:val="es-ES" w:eastAsia="es-ES"/>
              </w:rPr>
              <w:t xml:space="preserve">Concepto C – </w:t>
            </w:r>
            <w:r>
              <w:rPr>
                <w:rFonts w:ascii="Verdana" w:eastAsia="Calibri" w:hAnsi="Verdana" w:cs="Arial"/>
                <w:b/>
                <w:bCs/>
                <w:lang w:val="es-ES" w:eastAsia="es-ES"/>
              </w:rPr>
              <w:t>169</w:t>
            </w:r>
            <w:r w:rsidRPr="00420645">
              <w:rPr>
                <w:rFonts w:ascii="Verdana" w:eastAsia="Calibri" w:hAnsi="Verdana" w:cs="Arial"/>
                <w:b/>
                <w:bCs/>
                <w:lang w:val="es-ES" w:eastAsia="es-ES"/>
              </w:rPr>
              <w:t xml:space="preserve"> de 2025</w:t>
            </w:r>
          </w:p>
        </w:tc>
      </w:tr>
      <w:tr w:rsidR="00DC77FB" w:rsidRPr="00EB1CF7" w14:paraId="3ACA9C69" w14:textId="77777777" w:rsidTr="4C79310B">
        <w:trPr>
          <w:trHeight w:val="884"/>
        </w:trPr>
        <w:tc>
          <w:tcPr>
            <w:tcW w:w="2880" w:type="dxa"/>
          </w:tcPr>
          <w:p w14:paraId="1C16943F" w14:textId="77777777" w:rsidR="00DC77FB" w:rsidRPr="00EB1CF7" w:rsidRDefault="00DC77FB" w:rsidP="00507633">
            <w:pPr>
              <w:jc w:val="both"/>
              <w:rPr>
                <w:rFonts w:ascii="Verdana" w:eastAsia="Calibri" w:hAnsi="Verdana" w:cs="Arial"/>
                <w:color w:val="000000"/>
                <w:lang w:val="es-ES_tradnl" w:eastAsia="es-ES_tradnl"/>
              </w:rPr>
            </w:pPr>
            <w:r w:rsidRPr="00EB1CF7">
              <w:rPr>
                <w:rFonts w:ascii="Verdana" w:eastAsia="Calibri" w:hAnsi="Verdana" w:cs="Arial"/>
                <w:b/>
                <w:color w:val="000000"/>
                <w:lang w:val="es-ES_tradnl" w:eastAsia="es-ES_tradnl"/>
              </w:rPr>
              <w:t>Temas:</w:t>
            </w:r>
            <w:r w:rsidRPr="00EB1CF7">
              <w:rPr>
                <w:rFonts w:ascii="Verdana" w:eastAsia="Calibri" w:hAnsi="Verdana" w:cs="Arial"/>
                <w:color w:val="000000"/>
                <w:lang w:val="es-ES_tradnl" w:eastAsia="es-ES_tradnl"/>
              </w:rPr>
              <w:t xml:space="preserve">                   </w:t>
            </w:r>
          </w:p>
        </w:tc>
        <w:tc>
          <w:tcPr>
            <w:tcW w:w="5909" w:type="dxa"/>
          </w:tcPr>
          <w:p w14:paraId="2941EB70" w14:textId="77777777" w:rsidR="00DC77FB" w:rsidRDefault="00DC77FB" w:rsidP="00507633">
            <w:pPr>
              <w:spacing w:line="276" w:lineRule="auto"/>
              <w:jc w:val="both"/>
              <w:rPr>
                <w:rFonts w:ascii="Verdana" w:eastAsia="Calibri" w:hAnsi="Verdana" w:cs="Arial"/>
                <w:lang w:val="es-ES" w:eastAsia="es-ES"/>
              </w:rPr>
            </w:pPr>
            <w:r w:rsidRPr="0003228C">
              <w:rPr>
                <w:rFonts w:ascii="Verdana" w:eastAsia="Calibri" w:hAnsi="Verdana" w:cs="Arial"/>
                <w:lang w:val="es-ES" w:eastAsia="es-ES"/>
              </w:rPr>
              <w:t xml:space="preserve">SERVICIO MILITAR – Obligatoriedad – Alcance / </w:t>
            </w:r>
            <w:r w:rsidRPr="00DD7472">
              <w:rPr>
                <w:rFonts w:ascii="Verdana" w:eastAsia="Calibri" w:hAnsi="Verdana" w:cs="Arial"/>
                <w:lang w:val="es-ES" w:eastAsia="es-ES"/>
              </w:rPr>
              <w:t xml:space="preserve">SERVICIO MILITAR – Obligatoriedad – Excepciones / REQUISITOS HABILITANTES – Definición de la situación militar – Contratos de prestación de servicios – </w:t>
            </w:r>
            <w:r w:rsidRPr="00DD7472">
              <w:rPr>
                <w:rFonts w:ascii="Verdana" w:hAnsi="Verdana"/>
              </w:rPr>
              <w:t>OBLIGATORIEDAD</w:t>
            </w:r>
            <w:r w:rsidRPr="00DD7472">
              <w:rPr>
                <w:rFonts w:ascii="Verdana" w:hAnsi="Verdana"/>
                <w:spacing w:val="46"/>
                <w:w w:val="150"/>
              </w:rPr>
              <w:t xml:space="preserve"> </w:t>
            </w:r>
            <w:r w:rsidRPr="00DD7472">
              <w:rPr>
                <w:rFonts w:ascii="Verdana" w:hAnsi="Verdana"/>
              </w:rPr>
              <w:t>LA</w:t>
            </w:r>
            <w:r w:rsidRPr="00DD7472">
              <w:rPr>
                <w:rFonts w:ascii="Verdana" w:hAnsi="Verdana"/>
                <w:spacing w:val="42"/>
                <w:w w:val="150"/>
              </w:rPr>
              <w:t xml:space="preserve"> </w:t>
            </w:r>
            <w:r w:rsidRPr="00DD7472">
              <w:rPr>
                <w:rFonts w:ascii="Verdana" w:hAnsi="Verdana"/>
              </w:rPr>
              <w:t>AFILIACIÓN</w:t>
            </w:r>
            <w:r w:rsidRPr="00DD7472">
              <w:rPr>
                <w:rFonts w:ascii="Verdana" w:hAnsi="Verdana"/>
                <w:spacing w:val="46"/>
                <w:w w:val="150"/>
              </w:rPr>
              <w:t xml:space="preserve"> </w:t>
            </w:r>
            <w:r w:rsidRPr="00DD7472">
              <w:rPr>
                <w:rFonts w:ascii="Verdana" w:hAnsi="Verdana"/>
              </w:rPr>
              <w:t>AL</w:t>
            </w:r>
            <w:r w:rsidRPr="00DD7472">
              <w:rPr>
                <w:rFonts w:ascii="Verdana" w:hAnsi="Verdana"/>
                <w:spacing w:val="43"/>
                <w:w w:val="150"/>
              </w:rPr>
              <w:t xml:space="preserve"> </w:t>
            </w:r>
            <w:r w:rsidRPr="00DD7472">
              <w:rPr>
                <w:rFonts w:ascii="Verdana" w:hAnsi="Verdana"/>
              </w:rPr>
              <w:t>SISTEMA</w:t>
            </w:r>
            <w:r w:rsidRPr="00DD7472">
              <w:rPr>
                <w:rFonts w:ascii="Verdana" w:hAnsi="Verdana"/>
                <w:spacing w:val="44"/>
                <w:w w:val="150"/>
              </w:rPr>
              <w:t xml:space="preserve"> </w:t>
            </w:r>
            <w:r w:rsidRPr="00DD7472">
              <w:rPr>
                <w:rFonts w:ascii="Verdana" w:hAnsi="Verdana"/>
                <w:spacing w:val="-5"/>
              </w:rPr>
              <w:t xml:space="preserve">DE </w:t>
            </w:r>
            <w:r w:rsidRPr="00DD7472">
              <w:rPr>
                <w:rFonts w:ascii="Verdana" w:hAnsi="Verdana"/>
              </w:rPr>
              <w:t>SEGURIDAD</w:t>
            </w:r>
            <w:r w:rsidRPr="00DD7472">
              <w:rPr>
                <w:rFonts w:ascii="Verdana" w:hAnsi="Verdana"/>
                <w:spacing w:val="2"/>
              </w:rPr>
              <w:t xml:space="preserve"> </w:t>
            </w:r>
            <w:r w:rsidRPr="00DD7472">
              <w:rPr>
                <w:rFonts w:ascii="Verdana" w:hAnsi="Verdana"/>
              </w:rPr>
              <w:t>SOCIAL</w:t>
            </w:r>
            <w:r w:rsidRPr="00DD7472">
              <w:rPr>
                <w:rFonts w:ascii="Verdana" w:hAnsi="Verdana"/>
                <w:spacing w:val="3"/>
              </w:rPr>
              <w:t xml:space="preserve"> </w:t>
            </w:r>
            <w:r w:rsidRPr="00DD7472">
              <w:rPr>
                <w:rFonts w:ascii="Verdana" w:hAnsi="Verdana"/>
              </w:rPr>
              <w:t>INTEGRAL</w:t>
            </w:r>
            <w:r w:rsidRPr="00DD7472">
              <w:rPr>
                <w:rFonts w:ascii="Verdana" w:hAnsi="Verdana"/>
                <w:spacing w:val="3"/>
              </w:rPr>
              <w:t xml:space="preserve"> </w:t>
            </w:r>
            <w:r w:rsidRPr="00DD7472">
              <w:rPr>
                <w:rFonts w:ascii="Verdana" w:hAnsi="Verdana"/>
              </w:rPr>
              <w:t>–</w:t>
            </w:r>
            <w:r w:rsidRPr="00DD7472">
              <w:rPr>
                <w:rFonts w:ascii="Verdana" w:hAnsi="Verdana"/>
                <w:spacing w:val="1"/>
              </w:rPr>
              <w:t xml:space="preserve"> </w:t>
            </w:r>
            <w:r w:rsidRPr="00DD7472">
              <w:rPr>
                <w:rFonts w:ascii="Verdana" w:hAnsi="Verdana"/>
              </w:rPr>
              <w:t>Contratación</w:t>
            </w:r>
            <w:r w:rsidRPr="00DD7472">
              <w:rPr>
                <w:rFonts w:ascii="Verdana" w:hAnsi="Verdana"/>
                <w:spacing w:val="4"/>
              </w:rPr>
              <w:t xml:space="preserve"> </w:t>
            </w:r>
            <w:r w:rsidRPr="00DD7472">
              <w:rPr>
                <w:rFonts w:ascii="Verdana" w:hAnsi="Verdana"/>
                <w:spacing w:val="-2"/>
              </w:rPr>
              <w:t xml:space="preserve">Estatal </w:t>
            </w:r>
            <w:r w:rsidRPr="00DD7472">
              <w:rPr>
                <w:rFonts w:ascii="Verdana" w:hAnsi="Verdana"/>
              </w:rPr>
              <w:t>/</w:t>
            </w:r>
            <w:r w:rsidRPr="00DD7472">
              <w:rPr>
                <w:rFonts w:ascii="Verdana" w:hAnsi="Verdana"/>
                <w:spacing w:val="80"/>
              </w:rPr>
              <w:t xml:space="preserve"> </w:t>
            </w:r>
            <w:r w:rsidRPr="00DD7472">
              <w:rPr>
                <w:rFonts w:ascii="Verdana" w:hAnsi="Verdana"/>
              </w:rPr>
              <w:t>SEGURIDAD</w:t>
            </w:r>
            <w:r w:rsidRPr="00DD7472">
              <w:rPr>
                <w:rFonts w:ascii="Verdana" w:hAnsi="Verdana"/>
                <w:spacing w:val="80"/>
              </w:rPr>
              <w:t xml:space="preserve"> </w:t>
            </w:r>
            <w:r w:rsidRPr="00DD7472">
              <w:rPr>
                <w:rFonts w:ascii="Verdana" w:hAnsi="Verdana"/>
              </w:rPr>
              <w:t>SOCIAL</w:t>
            </w:r>
            <w:r w:rsidRPr="00DD7472">
              <w:rPr>
                <w:rFonts w:ascii="Verdana" w:hAnsi="Verdana"/>
                <w:spacing w:val="80"/>
              </w:rPr>
              <w:t xml:space="preserve"> </w:t>
            </w:r>
            <w:r w:rsidRPr="00DD7472">
              <w:rPr>
                <w:rFonts w:ascii="Verdana" w:hAnsi="Verdana"/>
              </w:rPr>
              <w:t>―</w:t>
            </w:r>
            <w:r w:rsidRPr="00DD7472">
              <w:rPr>
                <w:rFonts w:ascii="Verdana" w:hAnsi="Verdana"/>
                <w:spacing w:val="80"/>
              </w:rPr>
              <w:t xml:space="preserve"> </w:t>
            </w:r>
            <w:r w:rsidRPr="00DD7472">
              <w:rPr>
                <w:rFonts w:ascii="Verdana" w:hAnsi="Verdana"/>
              </w:rPr>
              <w:t>Verificación</w:t>
            </w:r>
            <w:r w:rsidRPr="00DD7472">
              <w:rPr>
                <w:rFonts w:ascii="Verdana" w:hAnsi="Verdana"/>
                <w:spacing w:val="80"/>
              </w:rPr>
              <w:t xml:space="preserve"> </w:t>
            </w:r>
            <w:r w:rsidRPr="00DD7472">
              <w:rPr>
                <w:rFonts w:ascii="Verdana" w:hAnsi="Verdana"/>
              </w:rPr>
              <w:t>―</w:t>
            </w:r>
            <w:r w:rsidRPr="00DD7472">
              <w:rPr>
                <w:rFonts w:ascii="Verdana" w:hAnsi="Verdana"/>
                <w:spacing w:val="80"/>
              </w:rPr>
              <w:t xml:space="preserve"> </w:t>
            </w:r>
            <w:r w:rsidRPr="00DD7472">
              <w:rPr>
                <w:rFonts w:ascii="Verdana" w:hAnsi="Verdana"/>
              </w:rPr>
              <w:t>Pago</w:t>
            </w:r>
            <w:r w:rsidRPr="00DD7472">
              <w:rPr>
                <w:rFonts w:ascii="Verdana" w:hAnsi="Verdana"/>
                <w:spacing w:val="80"/>
              </w:rPr>
              <w:t xml:space="preserve"> </w:t>
            </w:r>
            <w:r w:rsidRPr="00DD7472">
              <w:rPr>
                <w:rFonts w:ascii="Verdana" w:hAnsi="Verdana"/>
              </w:rPr>
              <w:t>― Persona natural</w:t>
            </w:r>
          </w:p>
          <w:p w14:paraId="60F1E427" w14:textId="77777777" w:rsidR="00DC77FB" w:rsidRPr="00EB1CF7" w:rsidRDefault="00DC77FB" w:rsidP="00507633">
            <w:pPr>
              <w:spacing w:line="276" w:lineRule="auto"/>
              <w:jc w:val="both"/>
              <w:rPr>
                <w:rFonts w:ascii="Verdana" w:eastAsia="Calibri" w:hAnsi="Verdana" w:cs="Arial"/>
                <w:lang w:val="es-ES" w:eastAsia="es-ES"/>
              </w:rPr>
            </w:pPr>
          </w:p>
        </w:tc>
      </w:tr>
      <w:tr w:rsidR="00DC77FB" w:rsidRPr="00EB1CF7" w14:paraId="1A9B1645" w14:textId="77777777" w:rsidTr="4C79310B">
        <w:tc>
          <w:tcPr>
            <w:tcW w:w="2880" w:type="dxa"/>
          </w:tcPr>
          <w:p w14:paraId="09DF45BC" w14:textId="77777777" w:rsidR="00DC77FB" w:rsidRPr="00EB1CF7" w:rsidRDefault="00DC77FB" w:rsidP="00507633">
            <w:pPr>
              <w:jc w:val="both"/>
              <w:rPr>
                <w:rFonts w:ascii="Verdana" w:eastAsia="Calibri" w:hAnsi="Verdana" w:cs="Arial"/>
                <w:b/>
                <w:lang w:val="es-ES_tradnl" w:eastAsia="es-ES_tradnl"/>
              </w:rPr>
            </w:pPr>
            <w:r w:rsidRPr="00EB1CF7">
              <w:rPr>
                <w:rFonts w:ascii="Verdana" w:eastAsia="Calibri" w:hAnsi="Verdana" w:cs="Arial"/>
                <w:b/>
                <w:lang w:val="es-ES_tradnl" w:eastAsia="es-ES_tradnl"/>
              </w:rPr>
              <w:t>Radicación:</w:t>
            </w:r>
            <w:r w:rsidRPr="00EB1CF7">
              <w:rPr>
                <w:rFonts w:ascii="Verdana" w:eastAsia="Calibri" w:hAnsi="Verdana" w:cs="Arial"/>
                <w:lang w:val="es-ES_tradnl" w:eastAsia="es-ES_tradnl"/>
              </w:rPr>
              <w:t xml:space="preserve">               </w:t>
            </w:r>
          </w:p>
        </w:tc>
        <w:tc>
          <w:tcPr>
            <w:tcW w:w="5909" w:type="dxa"/>
          </w:tcPr>
          <w:p w14:paraId="5582EBC0" w14:textId="5CF38CE7" w:rsidR="00DC77FB" w:rsidRPr="00EB1CF7" w:rsidRDefault="00DC77FB" w:rsidP="00507633">
            <w:pPr>
              <w:jc w:val="both"/>
              <w:rPr>
                <w:rFonts w:ascii="Verdana" w:eastAsia="Calibri" w:hAnsi="Verdana" w:cs="Arial"/>
                <w:lang w:eastAsia="es-ES_tradnl"/>
              </w:rPr>
            </w:pPr>
            <w:r w:rsidRPr="00EB1CF7">
              <w:rPr>
                <w:rFonts w:ascii="Verdana" w:eastAsia="Calibri" w:hAnsi="Verdana" w:cs="Arial"/>
                <w:lang w:val="es-ES_tradnl" w:eastAsia="es-ES_tradnl"/>
              </w:rPr>
              <w:t xml:space="preserve">Respuesta a la consulta con radicado No. </w:t>
            </w:r>
            <w:r w:rsidR="00F902AD" w:rsidRPr="00F902AD">
              <w:rPr>
                <w:rFonts w:ascii="Verdana" w:eastAsia="Calibri" w:hAnsi="Verdana" w:cs="Arial"/>
                <w:lang w:eastAsia="es-ES_tradnl"/>
              </w:rPr>
              <w:t>P20250211001283</w:t>
            </w:r>
            <w:r w:rsidRPr="00EB1CF7">
              <w:rPr>
                <w:rFonts w:ascii="Verdana" w:eastAsia="Calibri" w:hAnsi="Verdana" w:cs="Arial"/>
                <w:lang w:val="es-ES_tradnl" w:eastAsia="es-ES_tradnl"/>
              </w:rPr>
              <w:t xml:space="preserve">                            </w:t>
            </w:r>
          </w:p>
        </w:tc>
      </w:tr>
    </w:tbl>
    <w:p w14:paraId="4AB20FA9" w14:textId="77777777" w:rsidR="00DC77FB" w:rsidRPr="00EB1CF7" w:rsidRDefault="00DC77FB" w:rsidP="00DC77FB">
      <w:pPr>
        <w:spacing w:after="0" w:line="240" w:lineRule="auto"/>
        <w:jc w:val="both"/>
        <w:rPr>
          <w:rFonts w:ascii="Verdana" w:eastAsia="Calibri" w:hAnsi="Verdana" w:cs="Arial"/>
          <w:color w:val="000000"/>
          <w:lang w:val="es-ES_tradnl" w:eastAsia="es-ES_tradnl"/>
        </w:rPr>
      </w:pPr>
    </w:p>
    <w:p w14:paraId="2C0FA1E2" w14:textId="77777777" w:rsidR="00DC77FB" w:rsidRPr="00EB1CF7" w:rsidRDefault="00DC77FB" w:rsidP="00DC77FB">
      <w:pPr>
        <w:spacing w:after="0" w:line="240" w:lineRule="auto"/>
        <w:jc w:val="both"/>
        <w:rPr>
          <w:rFonts w:ascii="Verdana" w:eastAsia="Calibri" w:hAnsi="Verdana" w:cs="Arial"/>
          <w:color w:val="000000"/>
          <w:lang w:val="es-ES_tradnl" w:eastAsia="es-ES_tradnl"/>
        </w:rPr>
      </w:pPr>
    </w:p>
    <w:p w14:paraId="6EC22C9F" w14:textId="77777777" w:rsidR="00DC77FB" w:rsidRPr="00EB1CF7" w:rsidRDefault="00DC77FB" w:rsidP="00DC77FB">
      <w:pPr>
        <w:spacing w:after="0" w:line="276" w:lineRule="auto"/>
        <w:jc w:val="both"/>
        <w:rPr>
          <w:rFonts w:ascii="Verdana" w:eastAsia="Calibri" w:hAnsi="Verdana" w:cs="Arial"/>
          <w:lang w:val="es-ES" w:eastAsia="es-ES"/>
        </w:rPr>
      </w:pPr>
      <w:r w:rsidRPr="00EB1CF7">
        <w:rPr>
          <w:rFonts w:ascii="Verdana" w:eastAsia="Calibri" w:hAnsi="Verdana" w:cs="Arial"/>
          <w:lang w:val="es-ES" w:eastAsia="es-ES"/>
        </w:rPr>
        <w:t>Estimad</w:t>
      </w:r>
      <w:r>
        <w:rPr>
          <w:rFonts w:ascii="Verdana" w:eastAsia="Calibri" w:hAnsi="Verdana" w:cs="Arial"/>
          <w:lang w:val="es-ES" w:eastAsia="es-ES"/>
        </w:rPr>
        <w:t xml:space="preserve">o </w:t>
      </w:r>
      <w:r w:rsidRPr="00EB1CF7">
        <w:rPr>
          <w:rFonts w:ascii="Verdana" w:eastAsia="Calibri" w:hAnsi="Verdana" w:cs="Arial"/>
          <w:lang w:val="es-ES" w:eastAsia="es-ES"/>
        </w:rPr>
        <w:t>señor</w:t>
      </w:r>
      <w:r>
        <w:rPr>
          <w:rFonts w:ascii="Verdana" w:eastAsia="Calibri" w:hAnsi="Verdana" w:cs="Arial"/>
          <w:lang w:val="es-ES" w:eastAsia="es-ES"/>
        </w:rPr>
        <w:t xml:space="preserve"> Pérez</w:t>
      </w:r>
      <w:r w:rsidRPr="00EB1CF7">
        <w:rPr>
          <w:rFonts w:ascii="Verdana" w:eastAsia="Calibri" w:hAnsi="Verdana" w:cs="Arial"/>
          <w:lang w:val="es-ES" w:eastAsia="es-ES"/>
        </w:rPr>
        <w:t xml:space="preserve">: </w:t>
      </w:r>
    </w:p>
    <w:p w14:paraId="2A36C194" w14:textId="77777777" w:rsidR="00DC77FB" w:rsidRPr="00EB1CF7" w:rsidRDefault="00DC77FB" w:rsidP="00DC77FB">
      <w:pPr>
        <w:tabs>
          <w:tab w:val="left" w:pos="3768"/>
        </w:tabs>
        <w:spacing w:after="0" w:line="276" w:lineRule="auto"/>
        <w:jc w:val="both"/>
        <w:rPr>
          <w:rFonts w:ascii="Verdana" w:eastAsia="Calibri" w:hAnsi="Verdana" w:cs="Arial"/>
          <w:color w:val="000000" w:themeColor="text1"/>
          <w:lang w:val="es-ES" w:eastAsia="es-ES"/>
        </w:rPr>
      </w:pPr>
      <w:r w:rsidRPr="00EB1CF7">
        <w:rPr>
          <w:rFonts w:ascii="Verdana" w:eastAsia="Calibri" w:hAnsi="Verdana" w:cs="Arial"/>
          <w:color w:val="000000" w:themeColor="text1"/>
          <w:lang w:val="es-ES" w:eastAsia="es-ES"/>
        </w:rPr>
        <w:tab/>
      </w:r>
    </w:p>
    <w:p w14:paraId="11AD2150" w14:textId="77777777" w:rsidR="00DC77FB" w:rsidRDefault="00DC77FB" w:rsidP="00DC77FB">
      <w:pPr>
        <w:spacing w:after="0" w:line="276" w:lineRule="auto"/>
        <w:jc w:val="both"/>
        <w:rPr>
          <w:rFonts w:ascii="Verdana" w:eastAsia="Calibri" w:hAnsi="Verdana" w:cs="Arial"/>
          <w:lang w:val="es-ES" w:eastAsia="es-ES"/>
        </w:rPr>
      </w:pPr>
      <w:r w:rsidRPr="00EB1CF7">
        <w:rPr>
          <w:rFonts w:ascii="Verdana" w:eastAsia="Calibri" w:hAnsi="Verdana" w:cs="Arial"/>
          <w:color w:val="000000" w:themeColor="text1"/>
          <w:lang w:val="es-ES" w:eastAsia="es-ES"/>
        </w:rPr>
        <w:t>En ejercicio de la competencia otorgada por los artículos 3, numeral 5º, y 11, numeral 8º, del Decreto Ley 4170 de 2011,</w:t>
      </w:r>
      <w:r w:rsidRPr="00EB1CF7">
        <w:rPr>
          <w:rFonts w:ascii="Verdana" w:eastAsia="Arial MT" w:hAnsi="Verdana" w:cs="Arial MT"/>
          <w:lang w:val="es-ES" w:eastAsia="es-ES"/>
        </w:rPr>
        <w:t xml:space="preserve"> </w:t>
      </w:r>
      <w:r w:rsidRPr="00EB1CF7">
        <w:rPr>
          <w:rFonts w:ascii="Verdana" w:hAnsi="Verdana" w:cs="Arial"/>
        </w:rPr>
        <w:t xml:space="preserve">así como lo establecido en el artículo 4 de la Resolución 1707 de 2018 expedida por esta Entidad, </w:t>
      </w:r>
      <w:r w:rsidRPr="00EB1CF7">
        <w:rPr>
          <w:rFonts w:ascii="Verdana" w:eastAsia="Calibri" w:hAnsi="Verdana" w:cs="Arial"/>
          <w:color w:val="000000" w:themeColor="text1"/>
          <w:lang w:val="es-ES" w:eastAsia="es-ES"/>
        </w:rPr>
        <w:t xml:space="preserve">la Agencia Nacional de Contratación Pública – Colombia Compra Eficiente responde su solicitud </w:t>
      </w:r>
      <w:r>
        <w:rPr>
          <w:rFonts w:ascii="Verdana" w:eastAsia="Calibri" w:hAnsi="Verdana" w:cs="Arial"/>
          <w:color w:val="000000" w:themeColor="text1"/>
          <w:lang w:val="es-ES" w:eastAsia="es-ES"/>
        </w:rPr>
        <w:t>del 11</w:t>
      </w:r>
      <w:r w:rsidRPr="00EB1CF7">
        <w:rPr>
          <w:rFonts w:ascii="Verdana" w:eastAsia="Calibri" w:hAnsi="Verdana" w:cs="Arial"/>
          <w:lang w:val="es-ES" w:eastAsia="es-ES"/>
        </w:rPr>
        <w:t xml:space="preserve"> de </w:t>
      </w:r>
      <w:r>
        <w:rPr>
          <w:rFonts w:ascii="Verdana" w:eastAsia="Calibri" w:hAnsi="Verdana" w:cs="Arial"/>
          <w:lang w:val="es-ES" w:eastAsia="es-ES"/>
        </w:rPr>
        <w:t>febrero</w:t>
      </w:r>
      <w:r w:rsidRPr="00EB1CF7">
        <w:rPr>
          <w:rFonts w:ascii="Verdana" w:eastAsia="Calibri" w:hAnsi="Verdana" w:cs="Arial"/>
          <w:lang w:val="es-ES" w:eastAsia="es-ES"/>
        </w:rPr>
        <w:t xml:space="preserve"> de 202</w:t>
      </w:r>
      <w:r>
        <w:rPr>
          <w:rFonts w:ascii="Verdana" w:eastAsia="Calibri" w:hAnsi="Verdana" w:cs="Arial"/>
          <w:lang w:val="es-ES" w:eastAsia="es-ES"/>
        </w:rPr>
        <w:t>5</w:t>
      </w:r>
      <w:r w:rsidRPr="00EB1CF7">
        <w:rPr>
          <w:rFonts w:ascii="Verdana" w:eastAsia="Calibri" w:hAnsi="Verdana" w:cs="Arial"/>
          <w:lang w:val="es-ES" w:eastAsia="es-ES"/>
        </w:rPr>
        <w:t xml:space="preserve">, en la cual </w:t>
      </w:r>
      <w:r>
        <w:rPr>
          <w:rFonts w:ascii="Verdana" w:eastAsia="Calibri" w:hAnsi="Verdana" w:cs="Arial"/>
          <w:lang w:val="es-ES" w:eastAsia="es-ES"/>
        </w:rPr>
        <w:t xml:space="preserve">consulta </w:t>
      </w:r>
      <w:r w:rsidRPr="00EB1CF7">
        <w:rPr>
          <w:rFonts w:ascii="Verdana" w:eastAsia="Calibri" w:hAnsi="Verdana" w:cs="Arial"/>
          <w:lang w:val="es-ES" w:eastAsia="es-ES"/>
        </w:rPr>
        <w:t xml:space="preserve">sobre lo siguiente: </w:t>
      </w:r>
      <w:bookmarkStart w:id="1" w:name="_Hlk95313578"/>
    </w:p>
    <w:p w14:paraId="39E3A5AC" w14:textId="77777777" w:rsidR="00DC77FB" w:rsidRDefault="00DC77FB" w:rsidP="00DC77FB">
      <w:pPr>
        <w:spacing w:after="0" w:line="276" w:lineRule="auto"/>
        <w:jc w:val="both"/>
        <w:rPr>
          <w:rFonts w:ascii="Verdana" w:eastAsia="Calibri" w:hAnsi="Verdana" w:cs="Arial"/>
          <w:lang w:val="es-ES" w:eastAsia="es-ES"/>
        </w:rPr>
      </w:pPr>
    </w:p>
    <w:p w14:paraId="6D578662" w14:textId="77777777" w:rsidR="00DC77FB" w:rsidRPr="002C73FC" w:rsidRDefault="00DC77FB" w:rsidP="00DC77FB">
      <w:pPr>
        <w:spacing w:after="0" w:line="240" w:lineRule="auto"/>
        <w:ind w:left="709" w:right="709"/>
        <w:jc w:val="both"/>
        <w:rPr>
          <w:rFonts w:ascii="Verdana" w:eastAsia="Century Gothic" w:hAnsi="Verdana" w:cs="Century Gothic"/>
          <w:i/>
          <w:iCs/>
          <w:sz w:val="21"/>
          <w:szCs w:val="21"/>
          <w:lang w:val="es-ES"/>
        </w:rPr>
      </w:pPr>
      <w:r w:rsidRPr="00EB1CF7">
        <w:rPr>
          <w:rFonts w:ascii="Verdana" w:eastAsia="Century Gothic" w:hAnsi="Verdana" w:cs="Century Gothic"/>
          <w:i/>
          <w:iCs/>
          <w:sz w:val="21"/>
          <w:szCs w:val="21"/>
          <w:lang w:val="es-ES"/>
        </w:rPr>
        <w:t>“</w:t>
      </w:r>
      <w:bookmarkEnd w:id="1"/>
      <w:r>
        <w:rPr>
          <w:rFonts w:ascii="Verdana" w:eastAsia="Century Gothic" w:hAnsi="Verdana" w:cs="Century Gothic"/>
          <w:i/>
          <w:iCs/>
          <w:sz w:val="21"/>
          <w:szCs w:val="21"/>
          <w:lang w:val="es-ES"/>
        </w:rPr>
        <w:t xml:space="preserve">[…] </w:t>
      </w:r>
      <w:r w:rsidRPr="002C73FC">
        <w:rPr>
          <w:rFonts w:ascii="Verdana" w:eastAsia="Century Gothic" w:hAnsi="Verdana" w:cs="Century Gothic"/>
          <w:i/>
          <w:iCs/>
          <w:sz w:val="21"/>
          <w:szCs w:val="21"/>
        </w:rPr>
        <w:t xml:space="preserve">¿Una Entidad Territorial (Alcaldía Municipal) de </w:t>
      </w:r>
      <w:proofErr w:type="spellStart"/>
      <w:r w:rsidRPr="002C73FC">
        <w:rPr>
          <w:rFonts w:ascii="Verdana" w:eastAsia="Century Gothic" w:hAnsi="Verdana" w:cs="Century Gothic"/>
          <w:i/>
          <w:iCs/>
          <w:sz w:val="21"/>
          <w:szCs w:val="21"/>
        </w:rPr>
        <w:t>categoria</w:t>
      </w:r>
      <w:proofErr w:type="spellEnd"/>
      <w:r w:rsidRPr="002C73FC">
        <w:rPr>
          <w:rFonts w:ascii="Verdana" w:eastAsia="Century Gothic" w:hAnsi="Verdana" w:cs="Century Gothic"/>
          <w:i/>
          <w:iCs/>
          <w:sz w:val="21"/>
          <w:szCs w:val="21"/>
        </w:rPr>
        <w:t xml:space="preserve"> sexta que </w:t>
      </w:r>
      <w:proofErr w:type="spellStart"/>
      <w:r w:rsidRPr="002C73FC">
        <w:rPr>
          <w:rFonts w:ascii="Verdana" w:eastAsia="Century Gothic" w:hAnsi="Verdana" w:cs="Century Gothic"/>
          <w:i/>
          <w:iCs/>
          <w:sz w:val="21"/>
          <w:szCs w:val="21"/>
        </w:rPr>
        <w:t>esta</w:t>
      </w:r>
      <w:proofErr w:type="spellEnd"/>
      <w:r w:rsidRPr="002C73FC">
        <w:rPr>
          <w:rFonts w:ascii="Verdana" w:eastAsia="Century Gothic" w:hAnsi="Verdana" w:cs="Century Gothic"/>
          <w:i/>
          <w:iCs/>
          <w:sz w:val="21"/>
          <w:szCs w:val="21"/>
        </w:rPr>
        <w:t xml:space="preserve"> sumida al régimen de contratación de la ley 80 y 1150, dentro </w:t>
      </w:r>
      <w:r w:rsidRPr="002C73FC">
        <w:rPr>
          <w:rFonts w:ascii="Verdana" w:eastAsia="Century Gothic" w:hAnsi="Verdana" w:cs="Century Gothic"/>
          <w:i/>
          <w:iCs/>
          <w:sz w:val="21"/>
          <w:szCs w:val="21"/>
        </w:rPr>
        <w:lastRenderedPageBreak/>
        <w:t xml:space="preserve">de sus requisitos para contratar Prestaciones de Servicios Profesionales y de apoyo puede exigirle, a los posibles contratistas la tarjeta militar o impedirse de contratarlo si no tiene la tarjeta militar? Además de argumentarle que no lo </w:t>
      </w:r>
      <w:proofErr w:type="spellStart"/>
      <w:r w:rsidRPr="002C73FC">
        <w:rPr>
          <w:rFonts w:ascii="Verdana" w:eastAsia="Century Gothic" w:hAnsi="Verdana" w:cs="Century Gothic"/>
          <w:i/>
          <w:iCs/>
          <w:sz w:val="21"/>
          <w:szCs w:val="21"/>
        </w:rPr>
        <w:t>contraran</w:t>
      </w:r>
      <w:proofErr w:type="spellEnd"/>
      <w:r w:rsidRPr="002C73FC">
        <w:rPr>
          <w:rFonts w:ascii="Verdana" w:eastAsia="Century Gothic" w:hAnsi="Verdana" w:cs="Century Gothic"/>
          <w:i/>
          <w:iCs/>
          <w:sz w:val="21"/>
          <w:szCs w:val="21"/>
        </w:rPr>
        <w:t xml:space="preserve"> porque el Certificado soporte de </w:t>
      </w:r>
      <w:proofErr w:type="spellStart"/>
      <w:r w:rsidRPr="002C73FC">
        <w:rPr>
          <w:rFonts w:ascii="Verdana" w:eastAsia="Century Gothic" w:hAnsi="Verdana" w:cs="Century Gothic"/>
          <w:i/>
          <w:iCs/>
          <w:sz w:val="21"/>
          <w:szCs w:val="21"/>
        </w:rPr>
        <w:t>tramite</w:t>
      </w:r>
      <w:proofErr w:type="spellEnd"/>
      <w:r w:rsidRPr="002C73FC">
        <w:rPr>
          <w:rFonts w:ascii="Verdana" w:eastAsia="Century Gothic" w:hAnsi="Verdana" w:cs="Century Gothic"/>
          <w:i/>
          <w:iCs/>
          <w:sz w:val="21"/>
          <w:szCs w:val="21"/>
        </w:rPr>
        <w:t xml:space="preserve"> de </w:t>
      </w:r>
      <w:proofErr w:type="spellStart"/>
      <w:r w:rsidRPr="002C73FC">
        <w:rPr>
          <w:rFonts w:ascii="Verdana" w:eastAsia="Century Gothic" w:hAnsi="Verdana" w:cs="Century Gothic"/>
          <w:i/>
          <w:iCs/>
          <w:sz w:val="21"/>
          <w:szCs w:val="21"/>
        </w:rPr>
        <w:t>afiliacion</w:t>
      </w:r>
      <w:proofErr w:type="spellEnd"/>
      <w:r w:rsidRPr="002C73FC">
        <w:rPr>
          <w:rFonts w:ascii="Verdana" w:eastAsia="Century Gothic" w:hAnsi="Verdana" w:cs="Century Gothic"/>
          <w:i/>
          <w:iCs/>
          <w:sz w:val="21"/>
          <w:szCs w:val="21"/>
        </w:rPr>
        <w:t xml:space="preserve"> a la EPS no es válido y no tiene </w:t>
      </w:r>
      <w:proofErr w:type="spellStart"/>
      <w:r w:rsidRPr="002C73FC">
        <w:rPr>
          <w:rFonts w:ascii="Verdana" w:eastAsia="Century Gothic" w:hAnsi="Verdana" w:cs="Century Gothic"/>
          <w:i/>
          <w:iCs/>
          <w:sz w:val="21"/>
          <w:szCs w:val="21"/>
        </w:rPr>
        <w:t>garantia</w:t>
      </w:r>
      <w:proofErr w:type="spellEnd"/>
      <w:r w:rsidRPr="002C73FC">
        <w:rPr>
          <w:rFonts w:ascii="Verdana" w:eastAsia="Century Gothic" w:hAnsi="Verdana" w:cs="Century Gothic"/>
          <w:i/>
          <w:iCs/>
          <w:sz w:val="21"/>
          <w:szCs w:val="21"/>
        </w:rPr>
        <w:t xml:space="preserve"> normativa?</w:t>
      </w:r>
      <w:r>
        <w:rPr>
          <w:rFonts w:ascii="Verdana" w:eastAsia="Century Gothic" w:hAnsi="Verdana" w:cs="Century Gothic"/>
          <w:i/>
          <w:iCs/>
          <w:sz w:val="21"/>
          <w:szCs w:val="21"/>
        </w:rPr>
        <w:t xml:space="preserve"> […]” </w:t>
      </w:r>
      <w:r w:rsidRPr="002C73FC">
        <w:rPr>
          <w:rFonts w:ascii="Verdana" w:eastAsia="Century Gothic" w:hAnsi="Verdana" w:cs="Century Gothic"/>
          <w:sz w:val="21"/>
          <w:szCs w:val="21"/>
        </w:rPr>
        <w:t>(SIC)</w:t>
      </w:r>
    </w:p>
    <w:p w14:paraId="51CB41B4" w14:textId="77777777" w:rsidR="00DC77FB" w:rsidRPr="00EB1CF7" w:rsidRDefault="00DC77FB" w:rsidP="00DC77FB">
      <w:pPr>
        <w:pStyle w:val="Prrafodelista"/>
        <w:tabs>
          <w:tab w:val="left" w:pos="142"/>
          <w:tab w:val="left" w:pos="284"/>
        </w:tabs>
        <w:spacing w:line="276" w:lineRule="auto"/>
        <w:ind w:left="0"/>
        <w:jc w:val="both"/>
        <w:rPr>
          <w:rFonts w:ascii="Verdana" w:eastAsia="Century Gothic" w:hAnsi="Verdana" w:cs="Century Gothic"/>
          <w:b/>
          <w:bCs/>
        </w:rPr>
      </w:pPr>
    </w:p>
    <w:p w14:paraId="7DA48A00" w14:textId="77777777" w:rsidR="00DC77FB" w:rsidRPr="00EB1CF7" w:rsidRDefault="00DC77FB" w:rsidP="00DC77FB">
      <w:pPr>
        <w:spacing w:after="120" w:line="276" w:lineRule="auto"/>
        <w:ind w:firstLine="709"/>
        <w:jc w:val="both"/>
        <w:rPr>
          <w:rFonts w:ascii="Verdana" w:eastAsia="Calibri" w:hAnsi="Verdana" w:cs="Arial"/>
          <w:color w:val="000000"/>
          <w:lang w:val="es-ES" w:eastAsia="es-ES"/>
        </w:rPr>
      </w:pPr>
      <w:r w:rsidRPr="00EB1CF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B1CF7">
        <w:rPr>
          <w:rFonts w:ascii="Verdana" w:eastAsia="Calibri" w:hAnsi="Verdana" w:cs="Arial"/>
          <w:color w:val="000000"/>
          <w:szCs w:val="24"/>
          <w:lang w:val="es-ES_tradnl" w:eastAsia="es-ES_tradnl"/>
        </w:rPr>
        <w:tab/>
      </w:r>
    </w:p>
    <w:p w14:paraId="2C4F2C9E" w14:textId="77777777" w:rsidR="00DC77FB" w:rsidRPr="00EB1CF7" w:rsidRDefault="00DC77FB" w:rsidP="00DC77FB">
      <w:pPr>
        <w:spacing w:after="0" w:line="276" w:lineRule="auto"/>
        <w:ind w:firstLine="709"/>
        <w:jc w:val="both"/>
        <w:rPr>
          <w:rFonts w:ascii="Verdana" w:eastAsia="Calibri" w:hAnsi="Verdana" w:cs="Arial"/>
          <w:color w:val="000000"/>
          <w:lang w:val="es-ES" w:eastAsia="es-ES"/>
        </w:rPr>
      </w:pPr>
      <w:r w:rsidRPr="00EB1CF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EB1CF7">
        <w:rPr>
          <w:rFonts w:ascii="Verdana" w:eastAsia="Calibri" w:hAnsi="Verdana" w:cs="Arial"/>
          <w:color w:val="7030A0"/>
          <w:lang w:val="es-ES" w:eastAsia="es-ES"/>
        </w:rPr>
        <w:t xml:space="preserve"> </w:t>
      </w:r>
      <w:r w:rsidRPr="00EB1CF7">
        <w:rPr>
          <w:rFonts w:ascii="Verdana" w:eastAsia="Calibri" w:hAnsi="Verdana" w:cs="Arial"/>
          <w:color w:val="000000"/>
          <w:lang w:val="es-ES" w:eastAsia="es-ES"/>
        </w:rPr>
        <w:t>problema</w:t>
      </w:r>
      <w:r w:rsidRPr="00EB1CF7">
        <w:rPr>
          <w:rFonts w:ascii="Verdana" w:eastAsia="Calibri" w:hAnsi="Verdana" w:cs="Arial"/>
          <w:color w:val="7030A0"/>
          <w:lang w:val="es-ES" w:eastAsia="es-ES"/>
        </w:rPr>
        <w:t xml:space="preserve"> </w:t>
      </w:r>
      <w:r w:rsidRPr="00EB1CF7">
        <w:rPr>
          <w:rFonts w:ascii="Verdana" w:eastAsia="Calibri" w:hAnsi="Verdana" w:cs="Arial"/>
          <w:color w:val="000000"/>
          <w:lang w:val="es-ES" w:eastAsia="es-ES"/>
        </w:rPr>
        <w:t>jurídico</w:t>
      </w:r>
      <w:r w:rsidRPr="00EB1CF7">
        <w:rPr>
          <w:rFonts w:ascii="Verdana" w:eastAsia="Calibri" w:hAnsi="Verdana" w:cs="Arial"/>
          <w:color w:val="7030A0"/>
          <w:lang w:val="es-ES" w:eastAsia="es-ES"/>
        </w:rPr>
        <w:t xml:space="preserve"> </w:t>
      </w:r>
      <w:r w:rsidRPr="00EB1CF7">
        <w:rPr>
          <w:rFonts w:ascii="Verdana" w:eastAsia="Calibri" w:hAnsi="Verdana" w:cs="Arial"/>
          <w:color w:val="000000"/>
          <w:lang w:val="es-ES" w:eastAsia="es-ES"/>
        </w:rPr>
        <w:t xml:space="preserve">de su consulta. </w:t>
      </w:r>
    </w:p>
    <w:p w14:paraId="746F84BC" w14:textId="77777777" w:rsidR="00DC77FB" w:rsidRPr="00EB1CF7" w:rsidRDefault="00DC77FB" w:rsidP="00DC77FB">
      <w:pPr>
        <w:spacing w:after="0" w:line="276" w:lineRule="auto"/>
        <w:ind w:firstLine="709"/>
        <w:jc w:val="both"/>
        <w:rPr>
          <w:rFonts w:ascii="Verdana" w:eastAsia="Calibri" w:hAnsi="Verdana" w:cs="Arial"/>
          <w:color w:val="000000"/>
          <w:lang w:val="es-ES" w:eastAsia="es-ES"/>
        </w:rPr>
      </w:pPr>
    </w:p>
    <w:p w14:paraId="75440A3E" w14:textId="77777777" w:rsidR="00DC77FB" w:rsidRPr="00EB1CF7" w:rsidRDefault="00DC77FB" w:rsidP="00DC77F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B1CF7">
        <w:rPr>
          <w:rFonts w:ascii="Verdana" w:eastAsia="Century Gothic" w:hAnsi="Verdana" w:cs="Century Gothic"/>
          <w:b/>
          <w:bCs/>
        </w:rPr>
        <w:t>Problemas planteados:</w:t>
      </w:r>
    </w:p>
    <w:p w14:paraId="4E49E6BB" w14:textId="77777777" w:rsidR="00DC77FB" w:rsidRPr="00EB1CF7" w:rsidRDefault="00DC77FB" w:rsidP="00DC77FB">
      <w:pPr>
        <w:tabs>
          <w:tab w:val="left" w:pos="426"/>
        </w:tabs>
        <w:spacing w:after="0" w:line="276" w:lineRule="auto"/>
        <w:jc w:val="both"/>
        <w:rPr>
          <w:rFonts w:ascii="Verdana" w:eastAsia="Century Gothic" w:hAnsi="Verdana" w:cs="Century Gothic"/>
          <w:lang w:val="es-ES"/>
        </w:rPr>
      </w:pPr>
    </w:p>
    <w:p w14:paraId="042577AB" w14:textId="77777777" w:rsidR="00DC77FB" w:rsidRDefault="00DC77FB" w:rsidP="00DC77FB">
      <w:pPr>
        <w:spacing w:after="0" w:line="276" w:lineRule="auto"/>
        <w:jc w:val="both"/>
        <w:rPr>
          <w:rFonts w:ascii="Verdana" w:eastAsia="Century Gothic" w:hAnsi="Verdana" w:cs="Century Gothic"/>
        </w:rPr>
      </w:pPr>
      <w:r w:rsidRPr="00EB1CF7">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EB1CF7">
        <w:rPr>
          <w:rFonts w:ascii="Verdana" w:eastAsia="Century Gothic" w:hAnsi="Verdana" w:cs="Century Gothic"/>
        </w:rPr>
        <w:t xml:space="preserve"> siguiente</w:t>
      </w:r>
      <w:r>
        <w:rPr>
          <w:rFonts w:ascii="Verdana" w:eastAsia="Century Gothic" w:hAnsi="Verdana" w:cs="Century Gothic"/>
        </w:rPr>
        <w:t xml:space="preserve">s </w:t>
      </w:r>
      <w:r w:rsidRPr="00EB1CF7">
        <w:rPr>
          <w:rFonts w:ascii="Verdana" w:eastAsia="Century Gothic" w:hAnsi="Verdana" w:cs="Century Gothic"/>
        </w:rPr>
        <w:t>problema</w:t>
      </w:r>
      <w:r>
        <w:rPr>
          <w:rFonts w:ascii="Verdana" w:eastAsia="Century Gothic" w:hAnsi="Verdana" w:cs="Century Gothic"/>
        </w:rPr>
        <w:t>s</w:t>
      </w:r>
      <w:r w:rsidRPr="00EB1CF7">
        <w:rPr>
          <w:rFonts w:ascii="Verdana" w:eastAsia="Century Gothic" w:hAnsi="Verdana" w:cs="Century Gothic"/>
        </w:rPr>
        <w:t xml:space="preserve"> jurídico</w:t>
      </w:r>
      <w:r>
        <w:rPr>
          <w:rFonts w:ascii="Verdana" w:eastAsia="Century Gothic" w:hAnsi="Verdana" w:cs="Century Gothic"/>
        </w:rPr>
        <w:t>s</w:t>
      </w:r>
      <w:r w:rsidRPr="00EB1CF7">
        <w:rPr>
          <w:rFonts w:ascii="Verdana" w:eastAsia="Century Gothic" w:hAnsi="Verdana" w:cs="Century Gothic"/>
        </w:rPr>
        <w:t xml:space="preserve">: </w:t>
      </w:r>
    </w:p>
    <w:p w14:paraId="2C6C8588" w14:textId="77777777" w:rsidR="00DC77FB" w:rsidRDefault="00DC77FB" w:rsidP="00DC77FB">
      <w:pPr>
        <w:spacing w:after="0" w:line="276" w:lineRule="auto"/>
        <w:jc w:val="both"/>
        <w:rPr>
          <w:rFonts w:ascii="Verdana" w:eastAsia="Century Gothic" w:hAnsi="Verdana" w:cs="Century Gothic"/>
        </w:rPr>
      </w:pPr>
    </w:p>
    <w:p w14:paraId="5A4B84E7" w14:textId="77777777" w:rsidR="00DC77FB" w:rsidRDefault="00DC77FB" w:rsidP="00DC77FB">
      <w:pPr>
        <w:pStyle w:val="Prrafodelista"/>
        <w:numPr>
          <w:ilvl w:val="0"/>
          <w:numId w:val="17"/>
        </w:numPr>
        <w:spacing w:after="0" w:line="276" w:lineRule="auto"/>
        <w:jc w:val="both"/>
        <w:rPr>
          <w:rFonts w:ascii="Verdana" w:eastAsia="Century Gothic" w:hAnsi="Verdana" w:cs="Century Gothic"/>
        </w:rPr>
      </w:pPr>
      <w:r w:rsidRPr="007A4765">
        <w:rPr>
          <w:rFonts w:ascii="Verdana" w:eastAsia="Century Gothic" w:hAnsi="Verdana" w:cs="Century Gothic"/>
        </w:rPr>
        <w:t xml:space="preserve">¿Es necesario que la situación militar se encuentre definida para acceder </w:t>
      </w:r>
      <w:r w:rsidRPr="00F66DA5">
        <w:rPr>
          <w:rFonts w:ascii="Verdana" w:eastAsia="Century Gothic" w:hAnsi="Verdana" w:cs="Century Gothic"/>
        </w:rPr>
        <w:t>a contratos de prestación de servicio con el estado?</w:t>
      </w:r>
    </w:p>
    <w:p w14:paraId="1E366B3C" w14:textId="77777777" w:rsidR="00DC77FB" w:rsidRPr="00F66DA5" w:rsidRDefault="00DC77FB" w:rsidP="00DC77FB">
      <w:pPr>
        <w:pStyle w:val="Prrafodelista"/>
        <w:spacing w:after="0" w:line="276" w:lineRule="auto"/>
        <w:jc w:val="both"/>
        <w:rPr>
          <w:rFonts w:ascii="Verdana" w:eastAsia="Century Gothic" w:hAnsi="Verdana" w:cs="Century Gothic"/>
        </w:rPr>
      </w:pPr>
    </w:p>
    <w:p w14:paraId="28BCA40E" w14:textId="77777777" w:rsidR="00DC77FB" w:rsidRDefault="00DC77FB" w:rsidP="00DC77FB">
      <w:pPr>
        <w:pStyle w:val="Prrafodelista"/>
        <w:numPr>
          <w:ilvl w:val="0"/>
          <w:numId w:val="17"/>
        </w:numPr>
        <w:spacing w:after="0" w:line="276" w:lineRule="auto"/>
        <w:jc w:val="both"/>
        <w:rPr>
          <w:rFonts w:ascii="Verdana" w:eastAsia="Century Gothic" w:hAnsi="Verdana" w:cs="Century Gothic"/>
        </w:rPr>
      </w:pPr>
      <w:r>
        <w:rPr>
          <w:rFonts w:ascii="Verdana" w:eastAsia="Century Gothic" w:hAnsi="Verdana" w:cs="Century Gothic"/>
        </w:rPr>
        <w:t xml:space="preserve">¿Cómo debe verificarse por parte de las entidades estatales el cumplimiento de las </w:t>
      </w:r>
      <w:r w:rsidRPr="00F66DA5">
        <w:rPr>
          <w:rFonts w:ascii="Verdana" w:eastAsia="Arial" w:hAnsi="Verdana" w:cs="Arial"/>
          <w:bCs/>
        </w:rPr>
        <w:t>obligaciones relacionadas con el Sistema de Seguridad Social Integral</w:t>
      </w:r>
      <w:r w:rsidRPr="00F66DA5">
        <w:rPr>
          <w:rFonts w:ascii="Verdana" w:eastAsia="Century Gothic" w:hAnsi="Verdana" w:cs="Century Gothic"/>
        </w:rPr>
        <w:t>?</w:t>
      </w:r>
    </w:p>
    <w:p w14:paraId="67EE7CF5" w14:textId="77777777" w:rsidR="00DC77FB" w:rsidRPr="00F66DA5" w:rsidRDefault="00DC77FB" w:rsidP="00DC77FB">
      <w:pPr>
        <w:spacing w:line="276" w:lineRule="auto"/>
        <w:jc w:val="both"/>
        <w:rPr>
          <w:rFonts w:ascii="Verdana" w:eastAsia="Century Gothic" w:hAnsi="Verdana" w:cs="Century Gothic"/>
        </w:rPr>
      </w:pPr>
    </w:p>
    <w:p w14:paraId="433CB4F8" w14:textId="77777777" w:rsidR="00DC77FB" w:rsidRPr="00EB1CF7" w:rsidRDefault="00DC77FB" w:rsidP="00DC77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t>Respuestas:</w:t>
      </w:r>
    </w:p>
    <w:p w14:paraId="0AF77280" w14:textId="77777777" w:rsidR="00DC77FB" w:rsidRPr="00EB1CF7" w:rsidRDefault="00DC77FB" w:rsidP="00DC77F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C77FB" w:rsidRPr="00EB1CF7" w14:paraId="5036A90B" w14:textId="77777777" w:rsidTr="00507633">
        <w:trPr>
          <w:jc w:val="center"/>
        </w:trPr>
        <w:tc>
          <w:tcPr>
            <w:tcW w:w="8828" w:type="dxa"/>
            <w:shd w:val="clear" w:color="auto" w:fill="auto"/>
          </w:tcPr>
          <w:p w14:paraId="51F05B43" w14:textId="77777777" w:rsidR="00DC77FB" w:rsidRDefault="00DC77FB" w:rsidP="00507633">
            <w:pPr>
              <w:spacing w:after="120" w:line="276" w:lineRule="auto"/>
              <w:ind w:right="79"/>
              <w:jc w:val="both"/>
              <w:rPr>
                <w:rFonts w:ascii="Verdana" w:eastAsia="Century Gothic" w:hAnsi="Verdana" w:cs="Century Gothic"/>
              </w:rPr>
            </w:pPr>
            <w:bookmarkStart w:id="2" w:name="_Hlk171694685"/>
            <w:r>
              <w:rPr>
                <w:rFonts w:ascii="Verdana" w:eastAsia="Times New Roman" w:hAnsi="Verdana" w:cs="Arial"/>
                <w:lang w:val="es-ES" w:eastAsia="es-ES"/>
              </w:rPr>
              <w:t>En respuesta al primer interrogante, esta Agencia quiere mencionar que s</w:t>
            </w:r>
            <w:r w:rsidRPr="003A3003">
              <w:rPr>
                <w:rFonts w:ascii="Verdana" w:eastAsia="Times New Roman" w:hAnsi="Verdana" w:cs="Arial"/>
                <w:lang w:val="es-ES_tradnl" w:eastAsia="es-ES"/>
              </w:rPr>
              <w:t xml:space="preserve">i bien el servicio militar es un servicio obligatorio, y dicha obligación </w:t>
            </w:r>
            <w:r w:rsidRPr="003A3003">
              <w:rPr>
                <w:rFonts w:ascii="Verdana" w:eastAsia="Century Gothic" w:hAnsi="Verdana" w:cs="Century Gothic"/>
              </w:rPr>
              <w:t>nace al momento en el que los colombianos cumplen su mayoría edad, el artículo 42 de la Ley 1861 de 2017 dispone en su primer inciso que la situación militar se deberá acreditar en tres eventos: i)</w:t>
            </w:r>
            <w:r w:rsidRPr="003A3003">
              <w:rPr>
                <w:rFonts w:ascii="Verdana" w:eastAsia="Century Gothic" w:hAnsi="Verdana" w:cs="Century Gothic"/>
                <w:u w:val="single"/>
              </w:rPr>
              <w:t xml:space="preserve"> para ejercer cargos públicos</w:t>
            </w:r>
            <w:r w:rsidRPr="003A3003">
              <w:rPr>
                <w:rFonts w:ascii="Verdana" w:eastAsia="Century Gothic" w:hAnsi="Verdana" w:cs="Century Gothic"/>
              </w:rPr>
              <w:t xml:space="preserve">, </w:t>
            </w:r>
            <w:proofErr w:type="spellStart"/>
            <w:r w:rsidRPr="003A3003">
              <w:rPr>
                <w:rFonts w:ascii="Verdana" w:eastAsia="Century Gothic" w:hAnsi="Verdana" w:cs="Century Gothic"/>
              </w:rPr>
              <w:t>ii</w:t>
            </w:r>
            <w:proofErr w:type="spellEnd"/>
            <w:r w:rsidRPr="003A3003">
              <w:rPr>
                <w:rFonts w:ascii="Verdana" w:eastAsia="Century Gothic" w:hAnsi="Verdana" w:cs="Century Gothic"/>
              </w:rPr>
              <w:t>)</w:t>
            </w:r>
            <w:r w:rsidRPr="003A3003">
              <w:rPr>
                <w:rFonts w:ascii="Verdana" w:eastAsia="Century Gothic" w:hAnsi="Verdana" w:cs="Century Gothic"/>
                <w:u w:val="single"/>
              </w:rPr>
              <w:t xml:space="preserve"> trabajar en el sector privado </w:t>
            </w:r>
            <w:r w:rsidRPr="003A3003">
              <w:rPr>
                <w:rFonts w:ascii="Verdana" w:eastAsia="Century Gothic" w:hAnsi="Verdana" w:cs="Century Gothic"/>
              </w:rPr>
              <w:t xml:space="preserve">y </w:t>
            </w:r>
            <w:proofErr w:type="spellStart"/>
            <w:r w:rsidRPr="003A3003">
              <w:rPr>
                <w:rFonts w:ascii="Verdana" w:eastAsia="Century Gothic" w:hAnsi="Verdana" w:cs="Century Gothic"/>
              </w:rPr>
              <w:t>iii</w:t>
            </w:r>
            <w:proofErr w:type="spellEnd"/>
            <w:r w:rsidRPr="003A3003">
              <w:rPr>
                <w:rFonts w:ascii="Verdana" w:eastAsia="Century Gothic" w:hAnsi="Verdana" w:cs="Century Gothic"/>
              </w:rPr>
              <w:t>)</w:t>
            </w:r>
            <w:r w:rsidRPr="003A3003">
              <w:rPr>
                <w:rFonts w:ascii="Verdana" w:eastAsia="Century Gothic" w:hAnsi="Verdana" w:cs="Century Gothic"/>
                <w:u w:val="single"/>
              </w:rPr>
              <w:t xml:space="preserve"> celebrar contratos de prestación de servicios como persona natural con cualquier entidad de derecho público</w:t>
            </w:r>
            <w:r w:rsidRPr="003A3003">
              <w:rPr>
                <w:rFonts w:ascii="Verdana" w:eastAsia="Century Gothic" w:hAnsi="Verdana" w:cs="Century Gothic"/>
              </w:rPr>
              <w:t>. Esta apreciación nos brinda una orientación frente al alcance y aplicabilidad de la norma citada, ya que son estos tres eventos en los que se deberá exigir por regla general.</w:t>
            </w:r>
            <w:r w:rsidRPr="003A3003">
              <w:rPr>
                <w:rFonts w:ascii="Verdana" w:hAnsi="Verdana"/>
              </w:rPr>
              <w:t xml:space="preserve"> En otras palabras, es posible afirmar que la situación militar es un requisito </w:t>
            </w:r>
            <w:r w:rsidRPr="003A3003">
              <w:rPr>
                <w:rFonts w:ascii="Verdana" w:eastAsia="Century Gothic" w:hAnsi="Verdana" w:cs="Century Gothic"/>
              </w:rPr>
              <w:t>que necesariamente debe verificarse en las circunstancias previstas en la norma</w:t>
            </w:r>
            <w:r>
              <w:rPr>
                <w:rFonts w:ascii="Verdana" w:eastAsia="Century Gothic" w:hAnsi="Verdana" w:cs="Century Gothic"/>
              </w:rPr>
              <w:t>.</w:t>
            </w:r>
          </w:p>
          <w:p w14:paraId="0CE9ED1D" w14:textId="77777777" w:rsidR="00DC77FB" w:rsidRDefault="00DC77FB" w:rsidP="00507633">
            <w:pPr>
              <w:spacing w:line="276" w:lineRule="auto"/>
              <w:ind w:firstLine="709"/>
              <w:jc w:val="both"/>
              <w:rPr>
                <w:rFonts w:ascii="Verdana" w:hAnsi="Verdana" w:cs="Arial"/>
                <w:bCs/>
              </w:rPr>
            </w:pPr>
            <w:r>
              <w:rPr>
                <w:rFonts w:ascii="Verdana" w:eastAsia="Century Gothic" w:hAnsi="Verdana" w:cs="Century Gothic"/>
                <w:bCs/>
              </w:rPr>
              <w:t xml:space="preserve">Ahora bien, </w:t>
            </w:r>
            <w:r>
              <w:rPr>
                <w:rFonts w:ascii="Verdana" w:hAnsi="Verdana" w:cs="Arial"/>
                <w:bCs/>
              </w:rPr>
              <w:t xml:space="preserve">la misma norma mencionada up </w:t>
            </w:r>
            <w:proofErr w:type="gramStart"/>
            <w:r>
              <w:rPr>
                <w:rFonts w:ascii="Verdana" w:hAnsi="Verdana" w:cs="Arial"/>
                <w:bCs/>
              </w:rPr>
              <w:t xml:space="preserve">supra </w:t>
            </w:r>
            <w:r w:rsidRPr="00555252">
              <w:rPr>
                <w:rFonts w:ascii="Verdana" w:hAnsi="Verdana" w:cs="Arial"/>
                <w:bCs/>
              </w:rPr>
              <w:t xml:space="preserve"> establece</w:t>
            </w:r>
            <w:proofErr w:type="gramEnd"/>
            <w:r w:rsidRPr="00555252">
              <w:rPr>
                <w:rFonts w:ascii="Verdana" w:hAnsi="Verdana" w:cs="Arial"/>
                <w:bCs/>
              </w:rPr>
              <w:t xml:space="preserve"> un acceso temporal al trabajo para personas que no han definido su situación militar, pero han sido declaradas no aptas, exentas o han superado la edad máxima de incorporación. Además, este beneficio se aplica a personas aptas pero exoneradas de pagar la cuota de compensación militar, según la sentencia C-277 de 2019 de la Corte Constitucional.</w:t>
            </w:r>
            <w:r>
              <w:rPr>
                <w:rFonts w:ascii="Verdana" w:hAnsi="Verdana" w:cs="Arial"/>
                <w:bCs/>
              </w:rPr>
              <w:t xml:space="preserve"> </w:t>
            </w:r>
          </w:p>
          <w:p w14:paraId="053A27DD" w14:textId="77777777" w:rsidR="00DC77FB" w:rsidRDefault="00DC77FB" w:rsidP="00507633">
            <w:pPr>
              <w:spacing w:line="276" w:lineRule="auto"/>
              <w:ind w:firstLine="709"/>
              <w:jc w:val="both"/>
              <w:rPr>
                <w:rFonts w:ascii="Verdana" w:hAnsi="Verdana" w:cs="Arial"/>
                <w:bCs/>
              </w:rPr>
            </w:pPr>
          </w:p>
          <w:p w14:paraId="2317F0D9" w14:textId="77777777" w:rsidR="00DC77FB" w:rsidRDefault="00DC77FB" w:rsidP="00507633">
            <w:pPr>
              <w:spacing w:line="276" w:lineRule="auto"/>
              <w:ind w:firstLine="709"/>
              <w:jc w:val="both"/>
              <w:rPr>
                <w:rFonts w:ascii="Verdana" w:hAnsi="Verdana" w:cs="Arial"/>
                <w:bCs/>
              </w:rPr>
            </w:pPr>
            <w:r w:rsidRPr="00555252">
              <w:rPr>
                <w:rFonts w:ascii="Verdana" w:hAnsi="Verdana" w:cs="Arial"/>
                <w:bCs/>
              </w:rPr>
              <w:t>Estas disposiciones se desarrollaron en el Decreto 977 de 2018, que autoriza a las entidades públicas a suscribir contratos de prestación de servicios con individuos en las condiciones mencionadas. El artículo 2.3.1.4.9.2. del mismo Decreto establece que los ciudadanos que no han definido su situación militar, clasificados según la Ley 1861 de 2017, obtendrán automáticamente los beneficios del artículo 42 de dicha ley (incluyendo un plazo de 18 meses para definir su situación militar) una vez se vinculen laboral o contractualmente.</w:t>
            </w:r>
            <w:r>
              <w:rPr>
                <w:rFonts w:ascii="Verdana" w:hAnsi="Verdana" w:cs="Arial"/>
                <w:bCs/>
              </w:rPr>
              <w:t xml:space="preserve"> </w:t>
            </w:r>
          </w:p>
          <w:p w14:paraId="687F8B13" w14:textId="77777777" w:rsidR="00DC77FB" w:rsidRDefault="00DC77FB" w:rsidP="00507633">
            <w:pPr>
              <w:spacing w:after="120" w:line="276" w:lineRule="auto"/>
              <w:ind w:right="79"/>
              <w:jc w:val="both"/>
              <w:rPr>
                <w:rFonts w:ascii="Verdana" w:eastAsia="Arial" w:hAnsi="Verdana" w:cs="Arial"/>
                <w:bCs/>
              </w:rPr>
            </w:pPr>
          </w:p>
          <w:p w14:paraId="0007345E" w14:textId="77777777" w:rsidR="00DC77FB" w:rsidRDefault="00DC77FB" w:rsidP="00507633">
            <w:pPr>
              <w:spacing w:after="120" w:line="276" w:lineRule="auto"/>
              <w:ind w:right="79"/>
              <w:jc w:val="both"/>
              <w:rPr>
                <w:rFonts w:ascii="Verdana" w:eastAsia="Arial" w:hAnsi="Verdana" w:cs="Arial"/>
                <w:bCs/>
              </w:rPr>
            </w:pPr>
            <w:r>
              <w:rPr>
                <w:rFonts w:ascii="Verdana" w:eastAsia="Arial" w:hAnsi="Verdana" w:cs="Arial"/>
                <w:bCs/>
              </w:rPr>
              <w:t xml:space="preserve">En torno al segundo interrogante, </w:t>
            </w:r>
            <w:r w:rsidRPr="00EF2712">
              <w:rPr>
                <w:rFonts w:ascii="Verdana" w:eastAsia="Arial" w:hAnsi="Verdana" w:cs="Arial"/>
                <w:bCs/>
              </w:rPr>
              <w:t xml:space="preserve">teniendo en cuenta la finalidad de los requisitos habilitantes establecidos en el artículo 5 de la Ley 1150 de 2007, la autonomía de la voluntad de las entidades estatales para fijarlos, así como lo dispuesto en el artículo 50 de la Ley 789 de 2002, que establece como obligación el cumplimiento de las disposiciones para quienes deseen celebrar, </w:t>
            </w:r>
            <w:r w:rsidRPr="00EF2712">
              <w:rPr>
                <w:rFonts w:ascii="Verdana" w:eastAsia="Arial" w:hAnsi="Verdana" w:cs="Arial"/>
                <w:bCs/>
              </w:rPr>
              <w:lastRenderedPageBreak/>
              <w:t>renovar o liquidar contratos de cualquier naturaleza con entidades del sector público, esta Subdirección ha concluido, con base en la normativa desarrollada en el presente concepto, que el deber de acreditar el cumplimiento de las obligaciones relacionadas con el Sistema de Seguridad Social Integral debe ser verificado por las entidades estatales como el cumplimiento de un</w:t>
            </w:r>
            <w:r>
              <w:rPr>
                <w:rFonts w:ascii="Verdana" w:eastAsia="Arial" w:hAnsi="Verdana" w:cs="Arial"/>
                <w:bCs/>
              </w:rPr>
              <w:t xml:space="preserve"> deber legal</w:t>
            </w:r>
            <w:r w:rsidRPr="00EF2712">
              <w:rPr>
                <w:rFonts w:ascii="Verdana" w:eastAsia="Arial" w:hAnsi="Verdana" w:cs="Arial"/>
                <w:bCs/>
              </w:rPr>
              <w:t xml:space="preserve"> y no como un requisito habilitante cuyo fin es comprobar la aptitud del proponente para cumplir el contrato. Dichas obligaciones deben verificarse en todos los contratos que estas celebren, independientemente de su naturaleza o modalidad de selección, en diferentes momentos del proceso contractual, los cuales son: i) al momento de presentar la oferta, </w:t>
            </w:r>
            <w:proofErr w:type="spellStart"/>
            <w:r w:rsidRPr="00EF2712">
              <w:rPr>
                <w:rFonts w:ascii="Verdana" w:eastAsia="Arial" w:hAnsi="Verdana" w:cs="Arial"/>
                <w:bCs/>
              </w:rPr>
              <w:t>ii</w:t>
            </w:r>
            <w:proofErr w:type="spellEnd"/>
            <w:r w:rsidRPr="00EF2712">
              <w:rPr>
                <w:rFonts w:ascii="Verdana" w:eastAsia="Arial" w:hAnsi="Verdana" w:cs="Arial"/>
                <w:bCs/>
              </w:rPr>
              <w:t xml:space="preserve">) al perfeccionamiento del contrato estatal, </w:t>
            </w:r>
            <w:proofErr w:type="spellStart"/>
            <w:r w:rsidRPr="00EF2712">
              <w:rPr>
                <w:rFonts w:ascii="Verdana" w:eastAsia="Arial" w:hAnsi="Verdana" w:cs="Arial"/>
                <w:bCs/>
              </w:rPr>
              <w:t>iii</w:t>
            </w:r>
            <w:proofErr w:type="spellEnd"/>
            <w:r w:rsidRPr="00EF2712">
              <w:rPr>
                <w:rFonts w:ascii="Verdana" w:eastAsia="Arial" w:hAnsi="Verdana" w:cs="Arial"/>
                <w:bCs/>
              </w:rPr>
              <w:t xml:space="preserve">) para iniciar la ejecución del contrato, </w:t>
            </w:r>
            <w:proofErr w:type="spellStart"/>
            <w:r w:rsidRPr="00EF2712">
              <w:rPr>
                <w:rFonts w:ascii="Verdana" w:eastAsia="Arial" w:hAnsi="Verdana" w:cs="Arial"/>
                <w:bCs/>
              </w:rPr>
              <w:t>iv</w:t>
            </w:r>
            <w:proofErr w:type="spellEnd"/>
            <w:r w:rsidRPr="00EF2712">
              <w:rPr>
                <w:rFonts w:ascii="Verdana" w:eastAsia="Arial" w:hAnsi="Verdana" w:cs="Arial"/>
                <w:bCs/>
              </w:rPr>
              <w:t>) durante la ejecución del contrato, y v) al momento de la liquidación del contrato.</w:t>
            </w:r>
          </w:p>
          <w:p w14:paraId="2F70B32C" w14:textId="77777777" w:rsidR="00DC77FB" w:rsidRDefault="00DC77FB" w:rsidP="00507633">
            <w:pPr>
              <w:spacing w:after="120" w:line="276" w:lineRule="auto"/>
              <w:ind w:right="79"/>
              <w:jc w:val="both"/>
              <w:rPr>
                <w:rFonts w:ascii="Verdana" w:eastAsia="Arial" w:hAnsi="Verdana" w:cs="Arial"/>
                <w:bCs/>
              </w:rPr>
            </w:pPr>
            <w:r w:rsidRPr="002D077A">
              <w:rPr>
                <w:rFonts w:ascii="Verdana" w:eastAsia="Arial" w:hAnsi="Verdana" w:cs="Arial"/>
                <w:bCs/>
              </w:rPr>
              <w:t>Téngase en cuenta que, de acuerdo con lo dispuesto en los artículos 153, 155, 157 y 203 de la ley 100 de 1993, los trabajadores independientes son afiliados obligatorios al sistema y deben cotizar al régimen contributivo en razón a su capacidad de pago, por lo cual en todo proceso de contratación le corresponderá verificar a la Entidad Contratante, que el oferente persona natural, se postule en calidad de “cotizante”, quienes son las personas vinculadas a través de contrato de trabajo, los servidores públicos, los pensionados y jubilados y los trabajadores independientes con capacidad de pago.</w:t>
            </w:r>
          </w:p>
          <w:p w14:paraId="11965B3B" w14:textId="77777777" w:rsidR="00DC77FB" w:rsidRPr="003A3003" w:rsidRDefault="00DC77FB" w:rsidP="00507633">
            <w:pPr>
              <w:spacing w:after="120" w:line="276" w:lineRule="auto"/>
              <w:ind w:right="79"/>
              <w:jc w:val="both"/>
              <w:rPr>
                <w:rFonts w:ascii="Verdana" w:eastAsia="Arial" w:hAnsi="Verdana" w:cs="Arial"/>
                <w:bCs/>
              </w:rPr>
            </w:pPr>
            <w:r w:rsidRPr="002D077A">
              <w:rPr>
                <w:rFonts w:ascii="Verdana" w:eastAsia="Arial" w:hAnsi="Verdana" w:cs="Arial"/>
                <w:bCs/>
              </w:rPr>
              <w:t xml:space="preserve">Por consiguiente, </w:t>
            </w:r>
            <w:proofErr w:type="gramStart"/>
            <w:r>
              <w:rPr>
                <w:rFonts w:ascii="Verdana" w:eastAsia="Arial" w:hAnsi="Verdana" w:cs="Arial"/>
                <w:bCs/>
              </w:rPr>
              <w:t>de acuerdo a</w:t>
            </w:r>
            <w:proofErr w:type="gramEnd"/>
            <w:r>
              <w:rPr>
                <w:rFonts w:ascii="Verdana" w:eastAsia="Arial" w:hAnsi="Verdana" w:cs="Arial"/>
                <w:bCs/>
              </w:rPr>
              <w:t xml:space="preserve"> la autonomía de la voluntad, </w:t>
            </w:r>
            <w:r w:rsidRPr="002D077A">
              <w:rPr>
                <w:rFonts w:ascii="Verdana" w:eastAsia="Arial" w:hAnsi="Verdana" w:cs="Arial"/>
                <w:bCs/>
              </w:rPr>
              <w:t>la entidad estatal determina como requiere al contratista y que características, frente a este requerimiento; la entidad contratante de manera discrecional fijará en el pliego de condiciones</w:t>
            </w:r>
            <w:r>
              <w:rPr>
                <w:rFonts w:ascii="Verdana" w:eastAsia="Arial" w:hAnsi="Verdana" w:cs="Arial"/>
                <w:bCs/>
              </w:rPr>
              <w:t xml:space="preserve"> y/o documento equivalente</w:t>
            </w:r>
            <w:r w:rsidRPr="002D077A">
              <w:rPr>
                <w:rFonts w:ascii="Verdana" w:eastAsia="Arial" w:hAnsi="Verdana" w:cs="Arial"/>
                <w:bCs/>
              </w:rPr>
              <w:t>, la información que deben aportar los proveedores</w:t>
            </w:r>
            <w:r>
              <w:rPr>
                <w:rFonts w:ascii="Verdana" w:eastAsia="Arial" w:hAnsi="Verdana" w:cs="Arial"/>
                <w:bCs/>
              </w:rPr>
              <w:t xml:space="preserve"> y/o futuros contratistas</w:t>
            </w:r>
            <w:r w:rsidRPr="002D077A">
              <w:rPr>
                <w:rFonts w:ascii="Verdana" w:eastAsia="Arial" w:hAnsi="Verdana" w:cs="Arial"/>
                <w:bCs/>
              </w:rPr>
              <w:t xml:space="preserve"> y las características que estos documentos deben consignar.</w:t>
            </w:r>
          </w:p>
        </w:tc>
      </w:tr>
    </w:tbl>
    <w:p w14:paraId="5BFFF731" w14:textId="77777777" w:rsidR="00DC77FB" w:rsidRPr="00EB1CF7" w:rsidRDefault="00DC77FB" w:rsidP="00DC77FB">
      <w:pPr>
        <w:tabs>
          <w:tab w:val="left" w:pos="142"/>
          <w:tab w:val="left" w:pos="284"/>
        </w:tabs>
        <w:spacing w:after="0" w:line="276" w:lineRule="auto"/>
        <w:jc w:val="both"/>
        <w:rPr>
          <w:rFonts w:ascii="Verdana" w:eastAsia="Century Gothic" w:hAnsi="Verdana" w:cs="Century Gothic"/>
          <w:b/>
          <w:bCs/>
          <w:lang w:val="es-ES"/>
        </w:rPr>
      </w:pPr>
    </w:p>
    <w:bookmarkEnd w:id="2"/>
    <w:p w14:paraId="05BAF7BC" w14:textId="77777777" w:rsidR="00DC77FB" w:rsidRPr="00EB1CF7" w:rsidRDefault="00DC77FB" w:rsidP="00DC77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t>Razones de las respuestas:</w:t>
      </w:r>
    </w:p>
    <w:p w14:paraId="70BE8E1B" w14:textId="77777777" w:rsidR="00DC77FB" w:rsidRPr="00EB1CF7" w:rsidRDefault="00DC77FB" w:rsidP="00DC77FB">
      <w:pPr>
        <w:spacing w:after="0" w:line="276" w:lineRule="auto"/>
        <w:jc w:val="both"/>
        <w:rPr>
          <w:rFonts w:ascii="Verdana" w:eastAsia="Calibri" w:hAnsi="Verdana" w:cs="Arial"/>
          <w:color w:val="7030A0"/>
          <w:lang w:val="es-ES"/>
        </w:rPr>
      </w:pPr>
    </w:p>
    <w:p w14:paraId="595EA575" w14:textId="77777777" w:rsidR="00DC77FB" w:rsidRDefault="00DC77FB" w:rsidP="00DC77FB">
      <w:pPr>
        <w:spacing w:after="0" w:line="276" w:lineRule="auto"/>
        <w:jc w:val="both"/>
        <w:rPr>
          <w:rFonts w:ascii="Verdana" w:eastAsia="Calibri" w:hAnsi="Verdana" w:cs="Arial"/>
          <w:lang w:val="es-ES"/>
        </w:rPr>
      </w:pPr>
      <w:r w:rsidRPr="00EB1CF7">
        <w:rPr>
          <w:rFonts w:ascii="Verdana" w:eastAsia="Calibri" w:hAnsi="Verdana" w:cs="Arial"/>
          <w:lang w:val="es-ES"/>
        </w:rPr>
        <w:t>Lo anterior se sustenta en las siguientes consideraciones:</w:t>
      </w:r>
    </w:p>
    <w:p w14:paraId="1EFE58E4" w14:textId="77777777" w:rsidR="00DC77FB" w:rsidRDefault="00DC77FB" w:rsidP="00DC77FB">
      <w:pPr>
        <w:spacing w:after="0" w:line="276" w:lineRule="auto"/>
        <w:jc w:val="both"/>
        <w:rPr>
          <w:rFonts w:ascii="Verdana" w:eastAsia="Calibri" w:hAnsi="Verdana" w:cs="Arial"/>
          <w:lang w:val="es-ES"/>
        </w:rPr>
      </w:pPr>
    </w:p>
    <w:p w14:paraId="1EA4DF13" w14:textId="77777777" w:rsidR="00DC77FB" w:rsidRPr="002D077A" w:rsidRDefault="00DC77FB" w:rsidP="00DC77FB">
      <w:pPr>
        <w:spacing w:after="120" w:line="276" w:lineRule="auto"/>
        <w:ind w:firstLine="363"/>
        <w:jc w:val="both"/>
        <w:rPr>
          <w:rFonts w:ascii="Verdana" w:eastAsia="Century Gothic" w:hAnsi="Verdana" w:cs="Century Gothic"/>
        </w:rPr>
      </w:pPr>
      <w:r w:rsidRPr="002D077A">
        <w:rPr>
          <w:rFonts w:ascii="Verdana" w:eastAsia="Century Gothic" w:hAnsi="Verdana" w:cs="Century Gothic"/>
        </w:rPr>
        <w:t xml:space="preserve">En la actualidad, la Ley 1861 de 2017 estipula, entre otras cosas, los beneficios y exclusiones de la prestación del servicio militar obligatorio, indicando en su artículo 4 que dicha obligación nace al momento en el que los </w:t>
      </w:r>
      <w:r w:rsidRPr="002D077A">
        <w:rPr>
          <w:rFonts w:ascii="Verdana" w:eastAsia="Century Gothic" w:hAnsi="Verdana" w:cs="Century Gothic"/>
        </w:rPr>
        <w:lastRenderedPageBreak/>
        <w:t>colombianos cumplen su mayoría edad, con el fin de contribuir y alcanzar los fines del Estado encomendados a la Fuerza Pública.</w:t>
      </w:r>
    </w:p>
    <w:p w14:paraId="360E90E1" w14:textId="77777777" w:rsidR="00DC77FB" w:rsidRPr="002D077A" w:rsidRDefault="00DC77FB" w:rsidP="00DC77FB">
      <w:pPr>
        <w:spacing w:after="120" w:line="276" w:lineRule="auto"/>
        <w:ind w:firstLine="363"/>
        <w:jc w:val="both"/>
        <w:rPr>
          <w:rFonts w:ascii="Verdana" w:eastAsia="Century Gothic" w:hAnsi="Verdana" w:cs="Century Gothic"/>
        </w:rPr>
      </w:pPr>
      <w:r w:rsidRPr="002D077A">
        <w:rPr>
          <w:rFonts w:ascii="Verdana" w:eastAsia="Century Gothic" w:hAnsi="Verdana" w:cs="Century Gothic"/>
        </w:rPr>
        <w:t xml:space="preserve">No todo colombiano se encuentra obligado a cumplir con esta obligación constitucional, sino tan sólo aquellos que sean declarados aptos de conformidad con los requisitos establecidos en la Ley 1861 de 2017 y que hayan sido seleccionados a través de un sorteo, siempre y cuando este sea procedente, a partir de la mayoría de edad hasta faltando un día para cumplir los veinticuatro (24) años. </w:t>
      </w:r>
      <w:bookmarkStart w:id="3" w:name="_Hlk143791252"/>
    </w:p>
    <w:p w14:paraId="67D8CB52" w14:textId="77777777" w:rsidR="00DC77FB" w:rsidRPr="002D077A" w:rsidRDefault="00DC77FB" w:rsidP="00DC77FB">
      <w:pPr>
        <w:spacing w:after="120" w:line="276" w:lineRule="auto"/>
        <w:ind w:firstLine="363"/>
        <w:jc w:val="both"/>
        <w:rPr>
          <w:rFonts w:ascii="Verdana" w:eastAsia="Century Gothic" w:hAnsi="Verdana" w:cs="Century Gothic"/>
        </w:rPr>
      </w:pPr>
      <w:r w:rsidRPr="002D077A">
        <w:rPr>
          <w:rFonts w:ascii="Verdana" w:eastAsia="Century Gothic" w:hAnsi="Verdana" w:cs="Century Gothic"/>
        </w:rPr>
        <w:t xml:space="preserve">De igual forma, </w:t>
      </w:r>
      <w:bookmarkStart w:id="4" w:name="_Hlk143964974"/>
      <w:r w:rsidRPr="002D077A">
        <w:rPr>
          <w:rFonts w:ascii="Verdana" w:eastAsia="Century Gothic" w:hAnsi="Verdana" w:cs="Century Gothic"/>
        </w:rPr>
        <w:t xml:space="preserve">el artículo 12 de la Ley 1861 de 2017 contempló dieciséis (16) causales de exoneración para prestar el servicio militar obligatorio. Ahora bien, pese a que eventualmente existiera una causal de exoneración, de conformidad con el artículo 11 ibidem, todo “varón colombiano” deberá definir su situación militar, a partir de la fecha que cumpla su mayoría de edad y hasta el día en que cumpla 50 años. </w:t>
      </w:r>
      <w:bookmarkEnd w:id="3"/>
      <w:bookmarkEnd w:id="4"/>
    </w:p>
    <w:p w14:paraId="02FD02DA" w14:textId="77777777" w:rsidR="00DC77FB" w:rsidRPr="002D077A" w:rsidRDefault="00DC77FB" w:rsidP="00DC77FB">
      <w:pPr>
        <w:spacing w:after="120" w:line="276" w:lineRule="auto"/>
        <w:ind w:firstLine="363"/>
        <w:jc w:val="both"/>
        <w:rPr>
          <w:rFonts w:ascii="Verdana" w:eastAsia="Century Gothic" w:hAnsi="Verdana" w:cs="Century Gothic"/>
        </w:rPr>
      </w:pPr>
      <w:r w:rsidRPr="002D077A">
        <w:rPr>
          <w:rFonts w:ascii="Verdana" w:eastAsia="Century Gothic" w:hAnsi="Verdana" w:cs="Century Gothic"/>
        </w:rPr>
        <w:t>El trámite para la definición de la situación militar inicia con la inscripción que realiza la Organización de Reclutamiento y Movilización</w:t>
      </w:r>
      <w:r w:rsidRPr="0003228C">
        <w:footnoteReference w:id="1"/>
      </w:r>
      <w:r w:rsidRPr="002D077A">
        <w:rPr>
          <w:rFonts w:ascii="Verdana" w:eastAsia="Century Gothic" w:hAnsi="Verdana" w:cs="Century Gothic"/>
        </w:rPr>
        <w:t xml:space="preserve"> y culmina con el pago de la cuota de compensación militar, cuando no se está exonerado de esta</w:t>
      </w:r>
      <w:r w:rsidRPr="0003228C">
        <w:footnoteReference w:id="2"/>
      </w:r>
      <w:r w:rsidRPr="002D077A">
        <w:rPr>
          <w:rFonts w:ascii="Verdana" w:eastAsia="Century Gothic" w:hAnsi="Verdana" w:cs="Century Gothic"/>
        </w:rPr>
        <w:t xml:space="preserve">. Al respecto, el artículo 2.3.1.4.3.1. del Decreto 1070 de 2015, modificado por el Decreto 977 de 2018, que reglamentó el servicio de reclutamiento, control de reservas y movilizaciones, indica que es la Organización de Reclutamiento y Movilización la responsable de inscribir anualmente a los colombianos que en dicho periodo estén llamados a definir su situación militar, una vez hayan cumplido la mayoría de edad, conforme a lo dispuesto por el parágrafo 2° del artículo 17 de la Ley 1861 de 2017.  </w:t>
      </w:r>
    </w:p>
    <w:p w14:paraId="3F63148D" w14:textId="77777777" w:rsidR="00DC77FB" w:rsidRPr="002D077A" w:rsidRDefault="00DC77FB" w:rsidP="00DC77FB">
      <w:pPr>
        <w:spacing w:after="120" w:line="276" w:lineRule="auto"/>
        <w:ind w:firstLine="363"/>
        <w:jc w:val="both"/>
        <w:rPr>
          <w:rFonts w:ascii="Verdana" w:eastAsia="Century Gothic" w:hAnsi="Verdana" w:cs="Century Gothic"/>
        </w:rPr>
      </w:pPr>
      <w:r w:rsidRPr="002D077A">
        <w:rPr>
          <w:rFonts w:ascii="Verdana" w:eastAsia="Century Gothic" w:hAnsi="Verdana" w:cs="Century Gothic"/>
        </w:rPr>
        <w:t xml:space="preserve">Posteriormente, dicho registro es complementado por el ciudadano al momento en el que éste inicie la inscripción para definir su situación militar en el portal web dispuesto para tal fin, creando un correo electrónico y adjuntando a la plataforma informática sus datos personales y los soportes documentales que acrediten las causales de exoneración y/o aplazamiento, en el cual el ciudadano podrá obtener un certificado en línea que acredite el inicio del proceso. Nótese que el artículo 2.3.1.4.3.1. del Decreto 1070 de 2015, modificado por el Decreto 977 de 2018, dispone que el ciudadano, al momento de la inscripción para definir su situación militar, debe allegar como mínimo, </w:t>
      </w:r>
      <w:r w:rsidRPr="002D077A">
        <w:rPr>
          <w:rFonts w:ascii="Verdana" w:eastAsia="Century Gothic" w:hAnsi="Verdana" w:cs="Century Gothic"/>
        </w:rPr>
        <w:lastRenderedPageBreak/>
        <w:t xml:space="preserve">entre otros documentos descritos en el citado artículo, los soportes documentales que acrediten que se está incurso en alguna de las causales de exoneración, de lo cual se concluye que aun cuando se configure alguna de las circunstancias señaladas en el artículo 12 de la Ley 1861 de 2017 es obligatorio definir la situación militar. </w:t>
      </w:r>
    </w:p>
    <w:p w14:paraId="57183745" w14:textId="77777777" w:rsidR="00DC77FB" w:rsidRPr="002D077A" w:rsidRDefault="00DC77FB" w:rsidP="00DC77FB">
      <w:pPr>
        <w:spacing w:after="120" w:line="276" w:lineRule="auto"/>
        <w:ind w:firstLine="363"/>
        <w:jc w:val="both"/>
        <w:rPr>
          <w:rFonts w:ascii="Verdana" w:eastAsia="Century Gothic" w:hAnsi="Verdana" w:cs="Century Gothic"/>
        </w:rPr>
      </w:pPr>
      <w:bookmarkStart w:id="5" w:name="_Hlk143965046"/>
      <w:r w:rsidRPr="002D077A">
        <w:rPr>
          <w:rFonts w:ascii="Verdana" w:eastAsia="Century Gothic" w:hAnsi="Verdana" w:cs="Century Gothic"/>
        </w:rPr>
        <w:t xml:space="preserve">Por otra parte, el artículo 42 de la Ley 1861 de 2017 dispone en su primer inciso que la situación militar se deberá acreditar en tres eventos: i) para ejercer cargos públicos, </w:t>
      </w:r>
      <w:proofErr w:type="spellStart"/>
      <w:r w:rsidRPr="002D077A">
        <w:rPr>
          <w:rFonts w:ascii="Verdana" w:eastAsia="Century Gothic" w:hAnsi="Verdana" w:cs="Century Gothic"/>
        </w:rPr>
        <w:t>ii</w:t>
      </w:r>
      <w:proofErr w:type="spellEnd"/>
      <w:r w:rsidRPr="002D077A">
        <w:rPr>
          <w:rFonts w:ascii="Verdana" w:eastAsia="Century Gothic" w:hAnsi="Verdana" w:cs="Century Gothic"/>
        </w:rPr>
        <w:t xml:space="preserve">) trabajar en el sector privado y </w:t>
      </w:r>
      <w:proofErr w:type="spellStart"/>
      <w:r w:rsidRPr="002D077A">
        <w:rPr>
          <w:rFonts w:ascii="Verdana" w:eastAsia="Century Gothic" w:hAnsi="Verdana" w:cs="Century Gothic"/>
        </w:rPr>
        <w:t>iii</w:t>
      </w:r>
      <w:proofErr w:type="spellEnd"/>
      <w:r w:rsidRPr="002D077A">
        <w:rPr>
          <w:rFonts w:ascii="Verdana" w:eastAsia="Century Gothic" w:hAnsi="Verdana" w:cs="Century Gothic"/>
        </w:rPr>
        <w:t>) celebrar contratos de prestación de servicios como persona natural con cualquier entidad de derecho público. De esta manera, se concluye prima facie que, para la celebración de contratos de prestación de servicios con personas naturales, resulta obligatorio que se acredite definida la situación militar mediante los documentos señalados.</w:t>
      </w:r>
      <w:bookmarkEnd w:id="5"/>
    </w:p>
    <w:p w14:paraId="570D3EF0" w14:textId="77777777" w:rsidR="00DC77FB" w:rsidRPr="002D077A" w:rsidRDefault="00DC77FB" w:rsidP="00DC77FB">
      <w:pPr>
        <w:spacing w:after="120" w:line="276" w:lineRule="auto"/>
        <w:ind w:firstLine="363"/>
        <w:jc w:val="both"/>
        <w:rPr>
          <w:rFonts w:ascii="Verdana" w:eastAsia="Century Gothic" w:hAnsi="Verdana" w:cs="Century Gothic"/>
        </w:rPr>
      </w:pPr>
      <w:r w:rsidRPr="002D077A">
        <w:rPr>
          <w:rFonts w:ascii="Verdana" w:eastAsia="Century Gothic" w:hAnsi="Verdana" w:cs="Century Gothic"/>
        </w:rPr>
        <w:t>En relación con este punto, la Circular Externa Única expedida por la Agencia Nacional de Contratación Pública – Colombia Compra Eficiente señaló que es deber de las Entidades Públicas verificar que la situación militar del futuro contratista se encuentre definida para efectos de la celebración del contrato de prestación de servicios</w:t>
      </w:r>
      <w:r w:rsidRPr="0003228C">
        <w:rPr>
          <w:vertAlign w:val="superscript"/>
        </w:rPr>
        <w:footnoteReference w:id="3"/>
      </w:r>
      <w:r w:rsidRPr="002D077A">
        <w:rPr>
          <w:rFonts w:ascii="Verdana" w:eastAsia="Century Gothic" w:hAnsi="Verdana" w:cs="Century Gothic"/>
        </w:rPr>
        <w:t>.</w:t>
      </w:r>
    </w:p>
    <w:p w14:paraId="3234541B" w14:textId="77777777" w:rsidR="00DC77FB" w:rsidRPr="002D077A" w:rsidRDefault="00DC77FB" w:rsidP="00DC77FB">
      <w:pPr>
        <w:spacing w:after="120" w:line="276" w:lineRule="auto"/>
        <w:ind w:firstLine="363"/>
        <w:jc w:val="both"/>
        <w:rPr>
          <w:rFonts w:ascii="Verdana" w:eastAsia="Century Gothic" w:hAnsi="Verdana" w:cs="Century Gothic"/>
        </w:rPr>
      </w:pPr>
      <w:r w:rsidRPr="002D077A">
        <w:rPr>
          <w:rFonts w:ascii="Verdana" w:eastAsia="Century Gothic" w:hAnsi="Verdana" w:cs="Century Gothic"/>
        </w:rPr>
        <w:t xml:space="preserve">Sin embargo, </w:t>
      </w:r>
      <w:bookmarkStart w:id="6" w:name="_Hlk143965057"/>
      <w:r w:rsidRPr="002D077A">
        <w:rPr>
          <w:rFonts w:ascii="Verdana" w:eastAsia="Century Gothic" w:hAnsi="Verdana" w:cs="Century Gothic"/>
        </w:rPr>
        <w:t>el inciso segundo del artículo 42 de la Ley 1861 de 2017 permitió el acceso temporal al trabajo a quienes no hayan definido su situación 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bookmarkEnd w:id="6"/>
      <w:r w:rsidRPr="0003228C">
        <w:footnoteReference w:id="4"/>
      </w:r>
      <w:r w:rsidRPr="002D077A">
        <w:rPr>
          <w:rFonts w:ascii="Verdana" w:eastAsia="Century Gothic" w:hAnsi="Verdana" w:cs="Century Gothic"/>
        </w:rPr>
        <w:t xml:space="preserve">. </w:t>
      </w:r>
    </w:p>
    <w:p w14:paraId="1C8B5E43" w14:textId="77777777" w:rsidR="00DC77FB" w:rsidRPr="002D077A" w:rsidRDefault="00DC77FB" w:rsidP="00DC77FB">
      <w:pPr>
        <w:spacing w:after="120" w:line="276" w:lineRule="auto"/>
        <w:ind w:firstLine="363"/>
        <w:jc w:val="both"/>
        <w:rPr>
          <w:rFonts w:ascii="Verdana" w:eastAsia="Century Gothic" w:hAnsi="Verdana" w:cs="Century Gothic"/>
        </w:rPr>
      </w:pPr>
      <w:r w:rsidRPr="002D077A">
        <w:rPr>
          <w:rFonts w:ascii="Verdana" w:eastAsia="Century Gothic" w:hAnsi="Verdana" w:cs="Century Gothic"/>
        </w:rPr>
        <w:t xml:space="preserve">Asimismo, el inciso primero del artículo 2.3.1.4.9.2 del Decreto 1070 de 2015, modificado por el Decreto 977 de 2018, dispuso que el anterior beneficio se obtendría automáticamente cuando el ciudadano se vincule laboral o contractualmente a una empresa nacional o extranjera, oficial o particular, y se </w:t>
      </w:r>
      <w:r w:rsidRPr="002D077A">
        <w:rPr>
          <w:rFonts w:ascii="Verdana" w:eastAsia="Century Gothic" w:hAnsi="Verdana" w:cs="Century Gothic"/>
        </w:rPr>
        <w:lastRenderedPageBreak/>
        <w:t>encuentre clasificado en los términos de la Ley 1861 de 2017 como no apto, exento o si ha superado la edad máxima de incorporación, incluyendo el nuevo grupo poblacional beneficiario en virtud de lo resuelto en la sentencia anteriormente citada. Para tal efecto, el inciso segundo otorgó un plazo máximo de dieciocho (18) meses para definir su situación militar. En lo pertinente, la disposición citada establece:</w:t>
      </w:r>
    </w:p>
    <w:p w14:paraId="29ABEAA3" w14:textId="77777777" w:rsidR="00DC77FB" w:rsidRDefault="00DC77FB" w:rsidP="00DC77FB">
      <w:pPr>
        <w:pStyle w:val="Prrafodelista"/>
        <w:spacing w:after="120"/>
        <w:ind w:left="1069" w:right="709"/>
        <w:jc w:val="both"/>
        <w:rPr>
          <w:rFonts w:ascii="Verdana" w:eastAsia="Century Gothic" w:hAnsi="Verdana" w:cs="Century Gothic"/>
          <w:sz w:val="20"/>
          <w:szCs w:val="20"/>
        </w:rPr>
      </w:pPr>
      <w:r w:rsidRPr="0003228C">
        <w:rPr>
          <w:rFonts w:ascii="Verdana" w:eastAsia="Century Gothic" w:hAnsi="Verdana" w:cs="Century Gothic"/>
          <w:sz w:val="20"/>
          <w:szCs w:val="20"/>
        </w:rPr>
        <w:t>“[…] Sin perjuicio de la obligación anterior, las entidades públicas o privadas no podrán exigir al ciudadano la presentación de la tarjeta militar para ingresar a un empleo. 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 En todo caso, no se podrán contabilizar dentro de los dieciocho (18) meses, las demoras que no le sean imputables al trabajador. […]”. [Énfasis fuera de texto]</w:t>
      </w:r>
    </w:p>
    <w:p w14:paraId="43552ED4" w14:textId="77777777" w:rsidR="00DC77FB" w:rsidRPr="0003228C" w:rsidRDefault="00DC77FB" w:rsidP="00DC77FB">
      <w:pPr>
        <w:pStyle w:val="Prrafodelista"/>
        <w:spacing w:after="120" w:line="240" w:lineRule="auto"/>
        <w:ind w:left="1069" w:right="709"/>
        <w:jc w:val="both"/>
        <w:rPr>
          <w:rFonts w:ascii="Verdana" w:eastAsia="Century Gothic" w:hAnsi="Verdana" w:cs="Century Gothic"/>
          <w:sz w:val="20"/>
          <w:szCs w:val="20"/>
        </w:rPr>
      </w:pPr>
    </w:p>
    <w:p w14:paraId="35F25D06" w14:textId="77777777" w:rsidR="00DC77FB" w:rsidRPr="002D077A" w:rsidRDefault="00DC77FB" w:rsidP="00DC77FB">
      <w:pPr>
        <w:spacing w:after="120" w:line="276" w:lineRule="auto"/>
        <w:ind w:firstLine="386"/>
        <w:jc w:val="both"/>
        <w:rPr>
          <w:rFonts w:ascii="Verdana" w:eastAsia="Calibri" w:hAnsi="Verdana" w:cs="Arial"/>
          <w:lang w:val="es-ES_tradnl"/>
        </w:rPr>
      </w:pPr>
      <w:r w:rsidRPr="002D077A">
        <w:rPr>
          <w:rFonts w:ascii="Verdana" w:eastAsia="Calibri" w:hAnsi="Verdana" w:cs="Arial"/>
        </w:rPr>
        <w:t>Ahora bien, con</w:t>
      </w:r>
      <w:r w:rsidRPr="002D077A">
        <w:rPr>
          <w:rFonts w:ascii="Verdana" w:eastAsia="Calibri" w:hAnsi="Verdana" w:cs="Arial"/>
          <w:lang w:val="es-ES_tradnl"/>
        </w:rPr>
        <w:t xml:space="preserve"> excepción de los procedimientos regidos por documentos tipo, es necesario tener en cuenta que existe un margen de discrecionalidad para definir el contenido del pliego de condiciones</w:t>
      </w:r>
      <w:r w:rsidRPr="0003228C">
        <w:rPr>
          <w:rStyle w:val="Refdenotaalpie"/>
          <w:rFonts w:ascii="Verdana" w:eastAsia="Calibri" w:hAnsi="Verdana" w:cs="Arial"/>
          <w:lang w:val="es-ES_tradnl"/>
        </w:rPr>
        <w:footnoteReference w:id="5"/>
      </w:r>
      <w:r w:rsidRPr="002D077A">
        <w:rPr>
          <w:rFonts w:ascii="Verdana" w:eastAsia="Calibri" w:hAnsi="Verdana" w:cs="Arial"/>
          <w:lang w:val="es-ES_tradnl"/>
        </w:rPr>
        <w:t>. Salvo los aspectos que se encuentren reglados en la actuación administrativa, esto implica libertad de las entidades para determinar los requisitos habilitantes sujetos a verificación en los documentos del proceso. Lo anterior en la medida que no existen potestades completamente discrecionales, por lo que dichos elementos reglados son una limitación efectiva a la libertad de configuración</w:t>
      </w:r>
      <w:r w:rsidRPr="0003228C">
        <w:rPr>
          <w:rStyle w:val="Refdenotaalpie"/>
          <w:rFonts w:ascii="Verdana" w:eastAsia="Calibri" w:hAnsi="Verdana" w:cs="Arial"/>
          <w:lang w:val="es-ES_tradnl"/>
        </w:rPr>
        <w:footnoteReference w:id="6"/>
      </w:r>
      <w:r w:rsidRPr="002D077A">
        <w:rPr>
          <w:rFonts w:ascii="Verdana" w:eastAsia="Calibri" w:hAnsi="Verdana" w:cs="Arial"/>
          <w:lang w:val="es-ES_tradnl"/>
        </w:rPr>
        <w:t xml:space="preserve">.  </w:t>
      </w:r>
    </w:p>
    <w:p w14:paraId="2DE77923" w14:textId="77777777" w:rsidR="00DC77FB" w:rsidRDefault="00DC77FB" w:rsidP="00DC77FB">
      <w:pPr>
        <w:spacing w:after="120" w:line="276" w:lineRule="auto"/>
        <w:ind w:firstLine="386"/>
        <w:jc w:val="both"/>
        <w:rPr>
          <w:rFonts w:ascii="Verdana" w:hAnsi="Verdana" w:cs="Arial"/>
          <w:lang w:val="es-ES_tradnl"/>
        </w:rPr>
      </w:pPr>
      <w:r w:rsidRPr="002D077A">
        <w:rPr>
          <w:rFonts w:ascii="Verdana" w:hAnsi="Verdana" w:cs="Arial"/>
          <w:lang w:val="es-ES_tradnl"/>
        </w:rPr>
        <w:t xml:space="preserve">Con la derogatoria del literal a) del artículo 36 de la Ley 48 de 1993, esta reflexión es importante para establecer el alcance del artículo 42 de la Ley 1861 </w:t>
      </w:r>
      <w:r w:rsidRPr="002D077A">
        <w:rPr>
          <w:rFonts w:ascii="Verdana" w:hAnsi="Verdana" w:cs="Arial"/>
          <w:lang w:val="es-ES_tradnl"/>
        </w:rPr>
        <w:lastRenderedPageBreak/>
        <w:t>de 2017</w:t>
      </w:r>
      <w:r w:rsidRPr="0003228C">
        <w:rPr>
          <w:rStyle w:val="Refdenotaalpie"/>
          <w:rFonts w:ascii="Verdana" w:hAnsi="Verdana" w:cs="Arial"/>
          <w:lang w:val="es-ES_tradnl"/>
        </w:rPr>
        <w:footnoteReference w:id="7"/>
      </w:r>
      <w:r w:rsidRPr="002D077A">
        <w:rPr>
          <w:rFonts w:ascii="Verdana" w:hAnsi="Verdana" w:cs="Arial"/>
          <w:lang w:val="es-ES_tradnl"/>
        </w:rPr>
        <w:t>. El inciso primero de la norma vigente dispone que “La situación militar se deberá acreditar para […] celebrar contratos de prestación de servicios como persona natural con cualquier entidad de derecho público”. Esto significa que la definición de la situación militar es un requisito que necesariamente debe verificarse en las circunstancias previstas en la norma, sin que del texto normativo se desprenda la obligatoriedad de la validación en contratos diferentes a los definidos en el artículo 32.3 de la Ley 80 de 1993.</w:t>
      </w:r>
    </w:p>
    <w:p w14:paraId="241EF1E8" w14:textId="77777777" w:rsidR="00DC77FB" w:rsidRPr="00F93556" w:rsidRDefault="00DC77FB" w:rsidP="00DC77FB">
      <w:pPr>
        <w:spacing w:after="120" w:line="276" w:lineRule="auto"/>
        <w:ind w:firstLine="386"/>
        <w:jc w:val="both"/>
        <w:rPr>
          <w:rFonts w:ascii="Verdana" w:eastAsia="Calibri" w:hAnsi="Verdana" w:cs="Arial"/>
        </w:rPr>
      </w:pPr>
      <w:r w:rsidRPr="00F93556">
        <w:rPr>
          <w:rFonts w:ascii="Verdana" w:eastAsia="Calibri" w:hAnsi="Verdana" w:cs="Arial"/>
        </w:rPr>
        <w:t>La norma previamente citada establece un acceso temporal al empleo para personas cuya situación militar no ha sido definida, pero que han sido declaradas no aptas, exentas o que han superado la edad máxima de incorporación. Este beneficio también se extiende a quienes son aptos pero están exonerados del pago de la cuota de compensación militar, conforme a lo dispuesto en la sentencia C-277 de 2019 de la Corte Constitucional.</w:t>
      </w:r>
    </w:p>
    <w:p w14:paraId="523321FA" w14:textId="77777777" w:rsidR="00DC77FB" w:rsidRDefault="00DC77FB" w:rsidP="00DC77FB">
      <w:pPr>
        <w:spacing w:after="120" w:line="276" w:lineRule="auto"/>
        <w:ind w:firstLine="386"/>
        <w:jc w:val="both"/>
        <w:rPr>
          <w:rFonts w:ascii="Verdana" w:eastAsia="Calibri" w:hAnsi="Verdana" w:cs="Arial"/>
        </w:rPr>
      </w:pPr>
      <w:r w:rsidRPr="00F93556">
        <w:rPr>
          <w:rFonts w:ascii="Verdana" w:eastAsia="Calibri" w:hAnsi="Verdana" w:cs="Arial"/>
        </w:rPr>
        <w:t>Estas disposiciones fueron desarrolladas en el Decreto 977 de 2018, el cual faculta a las entidades públicas para suscribir contratos de prestación de servicios con individuos que se encuentren en las condiciones mencionadas. En su artículo 2.3.1.4.9.2., el mismo Decreto establece que aquellos ciudadanos cuya situación militar no ha sido definida, clasificados según la Ley 1861 de 2017, accederán automáticamente a los beneficios del artículo 42 de dicha ley (que incluye un plazo de 18 meses para regularizar su situación) al momento de vincularse laboral o contractualmente.</w:t>
      </w:r>
    </w:p>
    <w:p w14:paraId="0EAB65B7" w14:textId="77777777" w:rsidR="00DC77FB" w:rsidRDefault="00DC77FB" w:rsidP="00DC77FB">
      <w:pPr>
        <w:spacing w:after="120" w:line="276" w:lineRule="auto"/>
        <w:ind w:firstLine="386"/>
        <w:jc w:val="both"/>
        <w:rPr>
          <w:rFonts w:ascii="Verdana" w:eastAsia="Calibri" w:hAnsi="Verdana" w:cs="Arial"/>
        </w:rPr>
      </w:pPr>
    </w:p>
    <w:p w14:paraId="6069D48D" w14:textId="77777777" w:rsidR="00DC77FB" w:rsidRPr="00F93556" w:rsidRDefault="00DC77FB" w:rsidP="00DC77FB">
      <w:pPr>
        <w:spacing w:after="120" w:line="276" w:lineRule="auto"/>
        <w:ind w:firstLine="386"/>
        <w:jc w:val="both"/>
        <w:rPr>
          <w:rFonts w:ascii="Verdana" w:eastAsia="Calibri" w:hAnsi="Verdana" w:cs="Arial"/>
        </w:rPr>
      </w:pPr>
      <w:r w:rsidRPr="00F93556">
        <w:rPr>
          <w:rFonts w:ascii="Verdana" w:eastAsia="Calibri" w:hAnsi="Verdana" w:cs="Arial"/>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w:t>
      </w:r>
      <w:r>
        <w:rPr>
          <w:rFonts w:ascii="Verdana" w:eastAsia="Calibri" w:hAnsi="Verdana" w:cs="Arial"/>
        </w:rPr>
        <w:t xml:space="preserve"> </w:t>
      </w:r>
      <w:r w:rsidRPr="00F93556">
        <w:rPr>
          <w:rFonts w:ascii="Verdana" w:eastAsia="Calibri" w:hAnsi="Verdana" w:cs="Arial"/>
        </w:rPr>
        <w:t xml:space="preserve">desempleo, entre otras. De acuerdo con la Ley 100 de 1993, el Sistema de </w:t>
      </w:r>
      <w:r w:rsidRPr="00F93556">
        <w:rPr>
          <w:rFonts w:ascii="Verdana" w:eastAsia="Calibri" w:hAnsi="Verdana" w:cs="Arial"/>
        </w:rPr>
        <w:lastRenderedPageBreak/>
        <w:t>Seguridad Social Integral en Colombia se compone de los sistemas de pensiones, de salud y de riesgos laborales y de los servicios sociales complementarios</w:t>
      </w:r>
      <w:r>
        <w:rPr>
          <w:rStyle w:val="Refdenotaalpie"/>
          <w:rFonts w:ascii="Verdana" w:eastAsia="Calibri" w:hAnsi="Verdana" w:cs="Arial"/>
        </w:rPr>
        <w:footnoteReference w:id="8"/>
      </w:r>
    </w:p>
    <w:p w14:paraId="570C1278" w14:textId="77777777" w:rsidR="00DC77FB" w:rsidRDefault="00DC77FB" w:rsidP="00DC77FB">
      <w:pPr>
        <w:spacing w:after="120" w:line="276" w:lineRule="auto"/>
        <w:ind w:firstLine="386"/>
        <w:jc w:val="both"/>
        <w:rPr>
          <w:rFonts w:ascii="Verdana" w:eastAsia="Calibri" w:hAnsi="Verdana" w:cs="Arial"/>
        </w:rPr>
      </w:pPr>
      <w:r w:rsidRPr="00F93556">
        <w:rPr>
          <w:rFonts w:ascii="Verdana" w:eastAsia="Calibri" w:hAnsi="Verdana" w:cs="Arial"/>
        </w:rPr>
        <w:t>Que el numeral 3.4 del artículo 153 de la norma ibidem establece la obligatoriedad al sistema general de seguridad social</w:t>
      </w:r>
      <w:r>
        <w:rPr>
          <w:rStyle w:val="Refdenotaalpie"/>
          <w:rFonts w:ascii="Verdana" w:eastAsia="Calibri" w:hAnsi="Verdana" w:cs="Arial"/>
        </w:rPr>
        <w:footnoteReference w:id="9"/>
      </w:r>
      <w:r w:rsidRPr="00F93556">
        <w:rPr>
          <w:rFonts w:ascii="Verdana" w:eastAsia="Calibri" w:hAnsi="Verdana" w:cs="Arial"/>
        </w:rPr>
        <w:t>, en concordancia con dicha norma, el numeral 5 del artículo 155 de la Ley 100 de 1993 señala los partícipes den sistema y dentro de los cuales se encuentran “Los empleadores, los trabajadores y sus organizaciones y los trabajadores independientes que cotizan al sistema contributivo y los pensionados”.</w:t>
      </w:r>
    </w:p>
    <w:p w14:paraId="052D58FE" w14:textId="77777777" w:rsidR="00DC77FB" w:rsidRDefault="00DC77FB" w:rsidP="00DC77FB">
      <w:pPr>
        <w:spacing w:after="120" w:line="276" w:lineRule="auto"/>
        <w:ind w:firstLine="386"/>
        <w:jc w:val="both"/>
        <w:rPr>
          <w:rFonts w:ascii="Verdana" w:eastAsia="Calibri" w:hAnsi="Verdana" w:cs="Arial"/>
        </w:rPr>
      </w:pPr>
      <w:r w:rsidRPr="00F93556">
        <w:rPr>
          <w:rFonts w:ascii="Verdana" w:eastAsia="Calibri" w:hAnsi="Verdana" w:cs="Arial"/>
        </w:rPr>
        <w:t>Ahora bien, los afiliados al sistema pueden ser de dos categorías, tal y como lo señala el artículo 157 de la precitada norma, es decir pueden ser A. Afiliados al sistema o B. Personas vinculadas al sistema y a su vez los afiliados pueden ser:</w:t>
      </w:r>
    </w:p>
    <w:p w14:paraId="37BBC21E" w14:textId="77777777" w:rsidR="00DC77FB" w:rsidRDefault="00DC77FB" w:rsidP="00DC77FB">
      <w:pPr>
        <w:spacing w:before="160"/>
        <w:ind w:left="709" w:right="709"/>
        <w:jc w:val="both"/>
        <w:rPr>
          <w:rFonts w:ascii="Verdana" w:hAnsi="Verdana"/>
          <w:i/>
          <w:sz w:val="21"/>
          <w:szCs w:val="21"/>
        </w:rPr>
      </w:pPr>
      <w:r w:rsidRPr="00F93556">
        <w:rPr>
          <w:rFonts w:ascii="Verdana" w:hAnsi="Verdana"/>
          <w:i/>
          <w:spacing w:val="-4"/>
          <w:sz w:val="21"/>
          <w:szCs w:val="21"/>
        </w:rPr>
        <w:t>“(…)</w:t>
      </w:r>
      <w:r>
        <w:rPr>
          <w:rFonts w:ascii="Verdana" w:hAnsi="Verdana"/>
          <w:i/>
          <w:sz w:val="21"/>
          <w:szCs w:val="21"/>
        </w:rPr>
        <w:t xml:space="preserve"> </w:t>
      </w:r>
      <w:proofErr w:type="gramStart"/>
      <w:r>
        <w:rPr>
          <w:rFonts w:ascii="Verdana" w:hAnsi="Verdana"/>
          <w:i/>
          <w:sz w:val="21"/>
          <w:szCs w:val="21"/>
        </w:rPr>
        <w:t>1.</w:t>
      </w:r>
      <w:r w:rsidRPr="00F93556">
        <w:rPr>
          <w:rFonts w:ascii="Verdana" w:hAnsi="Verdana"/>
          <w:i/>
          <w:sz w:val="21"/>
          <w:szCs w:val="21"/>
        </w:rPr>
        <w:t>Los</w:t>
      </w:r>
      <w:proofErr w:type="gramEnd"/>
      <w:r w:rsidRPr="00F93556">
        <w:rPr>
          <w:rFonts w:ascii="Verdana" w:hAnsi="Verdana"/>
          <w:i/>
          <w:sz w:val="21"/>
          <w:szCs w:val="21"/>
        </w:rPr>
        <w:t xml:space="preserve"> afiliados al Sistema mediante el régimen contributivo son las personas</w:t>
      </w:r>
      <w:r w:rsidRPr="00F93556">
        <w:rPr>
          <w:rFonts w:ascii="Verdana" w:hAnsi="Verdana"/>
          <w:i/>
          <w:spacing w:val="-8"/>
          <w:sz w:val="21"/>
          <w:szCs w:val="21"/>
        </w:rPr>
        <w:t xml:space="preserve"> </w:t>
      </w:r>
      <w:r w:rsidRPr="00F93556">
        <w:rPr>
          <w:rFonts w:ascii="Verdana" w:hAnsi="Verdana"/>
          <w:i/>
          <w:sz w:val="21"/>
          <w:szCs w:val="21"/>
        </w:rPr>
        <w:t>vinculadas</w:t>
      </w:r>
      <w:r w:rsidRPr="00F93556">
        <w:rPr>
          <w:rFonts w:ascii="Verdana" w:hAnsi="Verdana"/>
          <w:i/>
          <w:spacing w:val="-7"/>
          <w:sz w:val="21"/>
          <w:szCs w:val="21"/>
        </w:rPr>
        <w:t xml:space="preserve"> </w:t>
      </w:r>
      <w:r w:rsidRPr="00F93556">
        <w:rPr>
          <w:rFonts w:ascii="Verdana" w:hAnsi="Verdana"/>
          <w:i/>
          <w:sz w:val="21"/>
          <w:szCs w:val="21"/>
        </w:rPr>
        <w:t>a</w:t>
      </w:r>
      <w:r w:rsidRPr="00F93556">
        <w:rPr>
          <w:rFonts w:ascii="Verdana" w:hAnsi="Verdana"/>
          <w:i/>
          <w:spacing w:val="-10"/>
          <w:sz w:val="21"/>
          <w:szCs w:val="21"/>
        </w:rPr>
        <w:t xml:space="preserve"> </w:t>
      </w:r>
      <w:r w:rsidRPr="00F93556">
        <w:rPr>
          <w:rFonts w:ascii="Verdana" w:hAnsi="Verdana"/>
          <w:i/>
          <w:sz w:val="21"/>
          <w:szCs w:val="21"/>
        </w:rPr>
        <w:t>través</w:t>
      </w:r>
      <w:r w:rsidRPr="00F93556">
        <w:rPr>
          <w:rFonts w:ascii="Verdana" w:hAnsi="Verdana"/>
          <w:i/>
          <w:spacing w:val="-9"/>
          <w:sz w:val="21"/>
          <w:szCs w:val="21"/>
        </w:rPr>
        <w:t xml:space="preserve"> </w:t>
      </w:r>
      <w:r w:rsidRPr="00F93556">
        <w:rPr>
          <w:rFonts w:ascii="Verdana" w:hAnsi="Verdana"/>
          <w:i/>
          <w:sz w:val="21"/>
          <w:szCs w:val="21"/>
        </w:rPr>
        <w:t>de</w:t>
      </w:r>
      <w:r w:rsidRPr="00F93556">
        <w:rPr>
          <w:rFonts w:ascii="Verdana" w:hAnsi="Verdana"/>
          <w:i/>
          <w:spacing w:val="-10"/>
          <w:sz w:val="21"/>
          <w:szCs w:val="21"/>
        </w:rPr>
        <w:t xml:space="preserve"> </w:t>
      </w:r>
      <w:r w:rsidRPr="00F93556">
        <w:rPr>
          <w:rFonts w:ascii="Verdana" w:hAnsi="Verdana"/>
          <w:i/>
          <w:sz w:val="21"/>
          <w:szCs w:val="21"/>
        </w:rPr>
        <w:t>contrato</w:t>
      </w:r>
      <w:r w:rsidRPr="00F93556">
        <w:rPr>
          <w:rFonts w:ascii="Verdana" w:hAnsi="Verdana"/>
          <w:i/>
          <w:spacing w:val="-7"/>
          <w:sz w:val="21"/>
          <w:szCs w:val="21"/>
        </w:rPr>
        <w:t xml:space="preserve"> </w:t>
      </w:r>
      <w:r w:rsidRPr="00F93556">
        <w:rPr>
          <w:rFonts w:ascii="Verdana" w:hAnsi="Verdana"/>
          <w:i/>
          <w:sz w:val="21"/>
          <w:szCs w:val="21"/>
        </w:rPr>
        <w:t>de</w:t>
      </w:r>
      <w:r w:rsidRPr="00F93556">
        <w:rPr>
          <w:rFonts w:ascii="Verdana" w:hAnsi="Verdana"/>
          <w:i/>
          <w:spacing w:val="-10"/>
          <w:sz w:val="21"/>
          <w:szCs w:val="21"/>
        </w:rPr>
        <w:t xml:space="preserve"> </w:t>
      </w:r>
      <w:r w:rsidRPr="00F93556">
        <w:rPr>
          <w:rFonts w:ascii="Verdana" w:hAnsi="Verdana"/>
          <w:i/>
          <w:sz w:val="21"/>
          <w:szCs w:val="21"/>
        </w:rPr>
        <w:t>trabajo,</w:t>
      </w:r>
      <w:r w:rsidRPr="00F93556">
        <w:rPr>
          <w:rFonts w:ascii="Verdana" w:hAnsi="Verdana"/>
          <w:i/>
          <w:spacing w:val="-4"/>
          <w:sz w:val="21"/>
          <w:szCs w:val="21"/>
        </w:rPr>
        <w:t xml:space="preserve"> </w:t>
      </w:r>
      <w:r w:rsidRPr="00F93556">
        <w:rPr>
          <w:rFonts w:ascii="Verdana" w:hAnsi="Verdana"/>
          <w:i/>
          <w:sz w:val="21"/>
          <w:szCs w:val="21"/>
          <w:u w:val="single"/>
        </w:rPr>
        <w:t>los</w:t>
      </w:r>
      <w:r w:rsidRPr="00F93556">
        <w:rPr>
          <w:rFonts w:ascii="Verdana" w:hAnsi="Verdana"/>
          <w:i/>
          <w:spacing w:val="-10"/>
          <w:sz w:val="21"/>
          <w:szCs w:val="21"/>
          <w:u w:val="single"/>
        </w:rPr>
        <w:t xml:space="preserve"> </w:t>
      </w:r>
      <w:r w:rsidRPr="00F93556">
        <w:rPr>
          <w:rFonts w:ascii="Verdana" w:hAnsi="Verdana"/>
          <w:i/>
          <w:sz w:val="21"/>
          <w:szCs w:val="21"/>
          <w:u w:val="single"/>
        </w:rPr>
        <w:t>servidores</w:t>
      </w:r>
      <w:r w:rsidRPr="00F93556">
        <w:rPr>
          <w:rFonts w:ascii="Verdana" w:hAnsi="Verdana"/>
          <w:i/>
          <w:spacing w:val="-7"/>
          <w:sz w:val="21"/>
          <w:szCs w:val="21"/>
          <w:u w:val="single"/>
        </w:rPr>
        <w:t xml:space="preserve"> </w:t>
      </w:r>
      <w:r w:rsidRPr="00F93556">
        <w:rPr>
          <w:rFonts w:ascii="Verdana" w:hAnsi="Verdana"/>
          <w:i/>
          <w:sz w:val="21"/>
          <w:szCs w:val="21"/>
          <w:u w:val="single"/>
        </w:rPr>
        <w:t>públicos</w:t>
      </w:r>
      <w:r w:rsidRPr="00F93556">
        <w:rPr>
          <w:rFonts w:ascii="Verdana" w:hAnsi="Verdana"/>
          <w:i/>
          <w:sz w:val="21"/>
          <w:szCs w:val="21"/>
        </w:rPr>
        <w:t>,</w:t>
      </w:r>
      <w:r w:rsidRPr="00F93556">
        <w:rPr>
          <w:rFonts w:ascii="Verdana" w:hAnsi="Verdana"/>
          <w:i/>
          <w:spacing w:val="-10"/>
          <w:sz w:val="21"/>
          <w:szCs w:val="21"/>
        </w:rPr>
        <w:t xml:space="preserve"> </w:t>
      </w:r>
      <w:r w:rsidRPr="00F93556">
        <w:rPr>
          <w:rFonts w:ascii="Verdana" w:hAnsi="Verdana"/>
          <w:i/>
          <w:sz w:val="21"/>
          <w:szCs w:val="21"/>
        </w:rPr>
        <w:t>los pensionados y jubilados y los trabajadores independientes con capacidad de pago. Estas personas deberán afiliarse al Sistema mediante las normas del régimen contributivo de que trata el capítulo I del título III de la presente Ley.</w:t>
      </w:r>
    </w:p>
    <w:p w14:paraId="3912DB6E" w14:textId="77777777" w:rsidR="00DC77FB" w:rsidRPr="00F93556" w:rsidRDefault="00DC77FB" w:rsidP="00DC77FB">
      <w:pPr>
        <w:pStyle w:val="Prrafodelista"/>
        <w:spacing w:before="160"/>
        <w:ind w:right="709"/>
        <w:jc w:val="both"/>
        <w:rPr>
          <w:rFonts w:ascii="Verdana" w:hAnsi="Verdana"/>
          <w:i/>
          <w:sz w:val="21"/>
          <w:szCs w:val="21"/>
        </w:rPr>
      </w:pPr>
      <w:r>
        <w:rPr>
          <w:rFonts w:ascii="Verdana" w:hAnsi="Verdana"/>
          <w:i/>
          <w:sz w:val="21"/>
          <w:szCs w:val="21"/>
        </w:rPr>
        <w:t>2.</w:t>
      </w:r>
      <w:r w:rsidRPr="00F93556">
        <w:rPr>
          <w:rFonts w:ascii="Verdana" w:hAnsi="Verdana"/>
          <w:i/>
          <w:sz w:val="21"/>
          <w:szCs w:val="21"/>
        </w:rPr>
        <w:t>Los</w:t>
      </w:r>
      <w:r w:rsidRPr="00F93556">
        <w:rPr>
          <w:rFonts w:ascii="Verdana" w:hAnsi="Verdana"/>
          <w:i/>
          <w:spacing w:val="-11"/>
          <w:sz w:val="21"/>
          <w:szCs w:val="21"/>
        </w:rPr>
        <w:t xml:space="preserve"> </w:t>
      </w:r>
      <w:r w:rsidRPr="00F93556">
        <w:rPr>
          <w:rFonts w:ascii="Verdana" w:hAnsi="Verdana"/>
          <w:i/>
          <w:sz w:val="21"/>
          <w:szCs w:val="21"/>
        </w:rPr>
        <w:t>afiliados</w:t>
      </w:r>
      <w:r w:rsidRPr="00F93556">
        <w:rPr>
          <w:rFonts w:ascii="Verdana" w:hAnsi="Verdana"/>
          <w:i/>
          <w:spacing w:val="-9"/>
          <w:sz w:val="21"/>
          <w:szCs w:val="21"/>
        </w:rPr>
        <w:t xml:space="preserve"> </w:t>
      </w:r>
      <w:r w:rsidRPr="00F93556">
        <w:rPr>
          <w:rFonts w:ascii="Verdana" w:hAnsi="Verdana"/>
          <w:i/>
          <w:sz w:val="21"/>
          <w:szCs w:val="21"/>
        </w:rPr>
        <w:t>al</w:t>
      </w:r>
      <w:r w:rsidRPr="00F93556">
        <w:rPr>
          <w:rFonts w:ascii="Verdana" w:hAnsi="Verdana"/>
          <w:i/>
          <w:spacing w:val="-11"/>
          <w:sz w:val="21"/>
          <w:szCs w:val="21"/>
        </w:rPr>
        <w:t xml:space="preserve"> </w:t>
      </w:r>
      <w:r w:rsidRPr="00F93556">
        <w:rPr>
          <w:rFonts w:ascii="Verdana" w:hAnsi="Verdana"/>
          <w:i/>
          <w:sz w:val="21"/>
          <w:szCs w:val="21"/>
        </w:rPr>
        <w:t>Sistema</w:t>
      </w:r>
      <w:r w:rsidRPr="00F93556">
        <w:rPr>
          <w:rFonts w:ascii="Verdana" w:hAnsi="Verdana"/>
          <w:i/>
          <w:spacing w:val="-9"/>
          <w:sz w:val="21"/>
          <w:szCs w:val="21"/>
        </w:rPr>
        <w:t xml:space="preserve"> </w:t>
      </w:r>
      <w:r w:rsidRPr="00F93556">
        <w:rPr>
          <w:rFonts w:ascii="Verdana" w:hAnsi="Verdana"/>
          <w:i/>
          <w:sz w:val="21"/>
          <w:szCs w:val="21"/>
        </w:rPr>
        <w:t>mediante</w:t>
      </w:r>
      <w:r w:rsidRPr="00F93556">
        <w:rPr>
          <w:rFonts w:ascii="Verdana" w:hAnsi="Verdana"/>
          <w:i/>
          <w:spacing w:val="-9"/>
          <w:sz w:val="21"/>
          <w:szCs w:val="21"/>
        </w:rPr>
        <w:t xml:space="preserve"> </w:t>
      </w:r>
      <w:r w:rsidRPr="00F93556">
        <w:rPr>
          <w:rFonts w:ascii="Verdana" w:hAnsi="Verdana"/>
          <w:i/>
          <w:sz w:val="21"/>
          <w:szCs w:val="21"/>
        </w:rPr>
        <w:t>el</w:t>
      </w:r>
      <w:r w:rsidRPr="00F93556">
        <w:rPr>
          <w:rFonts w:ascii="Verdana" w:hAnsi="Verdana"/>
          <w:i/>
          <w:spacing w:val="-11"/>
          <w:sz w:val="21"/>
          <w:szCs w:val="21"/>
        </w:rPr>
        <w:t xml:space="preserve"> </w:t>
      </w:r>
      <w:r w:rsidRPr="00F93556">
        <w:rPr>
          <w:rFonts w:ascii="Verdana" w:hAnsi="Verdana"/>
          <w:i/>
          <w:sz w:val="21"/>
          <w:szCs w:val="21"/>
        </w:rPr>
        <w:t>régimen</w:t>
      </w:r>
      <w:r w:rsidRPr="00F93556">
        <w:rPr>
          <w:rFonts w:ascii="Verdana" w:hAnsi="Verdana"/>
          <w:i/>
          <w:spacing w:val="-9"/>
          <w:sz w:val="21"/>
          <w:szCs w:val="21"/>
        </w:rPr>
        <w:t xml:space="preserve"> </w:t>
      </w:r>
      <w:r w:rsidRPr="00F93556">
        <w:rPr>
          <w:rFonts w:ascii="Verdana" w:hAnsi="Verdana"/>
          <w:i/>
          <w:sz w:val="21"/>
          <w:szCs w:val="21"/>
        </w:rPr>
        <w:t>subsidiado</w:t>
      </w:r>
      <w:r w:rsidRPr="00F93556">
        <w:rPr>
          <w:rFonts w:ascii="Verdana" w:hAnsi="Verdana"/>
          <w:i/>
          <w:spacing w:val="-8"/>
          <w:sz w:val="21"/>
          <w:szCs w:val="21"/>
        </w:rPr>
        <w:t xml:space="preserve"> </w:t>
      </w:r>
      <w:r w:rsidRPr="00F93556">
        <w:rPr>
          <w:rFonts w:ascii="Verdana" w:hAnsi="Verdana"/>
          <w:i/>
          <w:sz w:val="21"/>
          <w:szCs w:val="21"/>
        </w:rPr>
        <w:t>de</w:t>
      </w:r>
      <w:r w:rsidRPr="00F93556">
        <w:rPr>
          <w:rFonts w:ascii="Verdana" w:hAnsi="Verdana"/>
          <w:i/>
          <w:spacing w:val="-11"/>
          <w:sz w:val="21"/>
          <w:szCs w:val="21"/>
        </w:rPr>
        <w:t xml:space="preserve"> </w:t>
      </w:r>
      <w:r w:rsidRPr="00F93556">
        <w:rPr>
          <w:rFonts w:ascii="Verdana" w:hAnsi="Verdana"/>
          <w:i/>
          <w:sz w:val="21"/>
          <w:szCs w:val="21"/>
        </w:rPr>
        <w:t>que</w:t>
      </w:r>
      <w:r w:rsidRPr="00F93556">
        <w:rPr>
          <w:rFonts w:ascii="Verdana" w:hAnsi="Verdana"/>
          <w:i/>
          <w:spacing w:val="-11"/>
          <w:sz w:val="21"/>
          <w:szCs w:val="21"/>
        </w:rPr>
        <w:t xml:space="preserve"> </w:t>
      </w:r>
      <w:r w:rsidRPr="00F93556">
        <w:rPr>
          <w:rFonts w:ascii="Verdana" w:hAnsi="Verdana"/>
          <w:i/>
          <w:sz w:val="21"/>
          <w:szCs w:val="21"/>
        </w:rPr>
        <w:t>trata</w:t>
      </w:r>
      <w:r w:rsidRPr="00F93556">
        <w:rPr>
          <w:rFonts w:ascii="Verdana" w:hAnsi="Verdana"/>
          <w:i/>
          <w:spacing w:val="-10"/>
          <w:sz w:val="21"/>
          <w:szCs w:val="21"/>
        </w:rPr>
        <w:t xml:space="preserve"> </w:t>
      </w:r>
      <w:r w:rsidRPr="00F93556">
        <w:rPr>
          <w:rFonts w:ascii="Verdana" w:hAnsi="Verdana"/>
          <w:i/>
          <w:sz w:val="21"/>
          <w:szCs w:val="21"/>
        </w:rPr>
        <w:t>el Artículo</w:t>
      </w:r>
      <w:r w:rsidRPr="00F93556">
        <w:rPr>
          <w:rFonts w:ascii="Verdana" w:hAnsi="Verdana"/>
          <w:i/>
          <w:spacing w:val="-1"/>
          <w:sz w:val="21"/>
          <w:szCs w:val="21"/>
        </w:rPr>
        <w:t xml:space="preserve"> </w:t>
      </w:r>
      <w:hyperlink r:id="rId12" w:anchor="211">
        <w:r w:rsidRPr="00F93556">
          <w:rPr>
            <w:rFonts w:ascii="Verdana" w:hAnsi="Verdana"/>
            <w:i/>
            <w:color w:val="0000FF"/>
            <w:sz w:val="21"/>
            <w:szCs w:val="21"/>
            <w:u w:val="single" w:color="0000FF"/>
          </w:rPr>
          <w:t>211</w:t>
        </w:r>
      </w:hyperlink>
      <w:r w:rsidRPr="00F93556">
        <w:rPr>
          <w:rFonts w:ascii="Verdana" w:hAnsi="Verdana"/>
          <w:i/>
          <w:color w:val="0000FF"/>
          <w:spacing w:val="-2"/>
          <w:sz w:val="21"/>
          <w:szCs w:val="21"/>
        </w:rPr>
        <w:t xml:space="preserve"> </w:t>
      </w:r>
      <w:r w:rsidRPr="00F93556">
        <w:rPr>
          <w:rFonts w:ascii="Verdana" w:hAnsi="Verdana"/>
          <w:i/>
          <w:sz w:val="21"/>
          <w:szCs w:val="21"/>
        </w:rPr>
        <w:t>de la presente Ley son las personas sin capacidad de pago para cubrir el monto total de la cotización. Serán subsidiadas en el Sistema General de Seguridad Social en Salud la población más pobre y vulnerable del país en las áreas rural y urbana. (…)”</w:t>
      </w:r>
    </w:p>
    <w:p w14:paraId="2378DF55" w14:textId="77777777" w:rsidR="00DC77FB" w:rsidRDefault="00DC77FB" w:rsidP="00DC77FB">
      <w:pPr>
        <w:spacing w:after="120" w:line="276" w:lineRule="auto"/>
        <w:ind w:firstLine="386"/>
        <w:jc w:val="both"/>
        <w:rPr>
          <w:rFonts w:ascii="Verdana" w:eastAsia="Calibri" w:hAnsi="Verdana" w:cs="Arial"/>
        </w:rPr>
      </w:pPr>
    </w:p>
    <w:p w14:paraId="6F1C8795" w14:textId="77777777" w:rsidR="00DC77FB" w:rsidRDefault="00DC77FB" w:rsidP="00DC77FB">
      <w:pPr>
        <w:spacing w:after="120" w:line="276" w:lineRule="auto"/>
        <w:ind w:firstLine="386"/>
        <w:jc w:val="both"/>
        <w:rPr>
          <w:rFonts w:ascii="Verdana" w:eastAsia="Calibri" w:hAnsi="Verdana" w:cs="Arial"/>
        </w:rPr>
      </w:pPr>
      <w:r w:rsidRPr="00F93556">
        <w:rPr>
          <w:rFonts w:ascii="Verdana" w:eastAsia="Calibri" w:hAnsi="Verdana" w:cs="Arial"/>
        </w:rPr>
        <w:t xml:space="preserve">Por otro lado, en materia de contratación estatal, el artículo 50 de la Ley 789 de 2002 dispuso como obligación de quien quiere celebrar, renovar o liquidar contratos de cualquier naturaleza con entidades del sector público, cumplir con las obligaciones a los sistemas de salud, riesgos profesionales, pensiones y </w:t>
      </w:r>
      <w:r w:rsidRPr="00F93556">
        <w:rPr>
          <w:rFonts w:ascii="Verdana" w:eastAsia="Calibri" w:hAnsi="Verdana" w:cs="Arial"/>
        </w:rPr>
        <w:lastRenderedPageBreak/>
        <w:t>aportes a la Caja de Compensación Familiar, Instituto Colombiano de Bienestar Familiar y Servicio Nacional de Aprendizaje. Así 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w:t>
      </w:r>
      <w:r>
        <w:rPr>
          <w:rFonts w:ascii="Verdana" w:eastAsia="Calibri" w:hAnsi="Verdana" w:cs="Arial"/>
        </w:rPr>
        <w:t>r.</w:t>
      </w:r>
    </w:p>
    <w:p w14:paraId="348A58D0" w14:textId="77777777" w:rsidR="00DC77FB" w:rsidRDefault="00DC77FB" w:rsidP="00DC77FB">
      <w:pPr>
        <w:spacing w:after="120" w:line="276" w:lineRule="auto"/>
        <w:ind w:firstLine="386"/>
        <w:jc w:val="both"/>
        <w:rPr>
          <w:rFonts w:ascii="Verdana" w:eastAsia="Calibri" w:hAnsi="Verdana" w:cs="Arial"/>
        </w:rPr>
      </w:pPr>
      <w:r w:rsidRPr="00F93556">
        <w:rPr>
          <w:rFonts w:ascii="Verdana" w:eastAsia="Calibri" w:hAnsi="Verdana" w:cs="Arial"/>
        </w:rPr>
        <w:t>Esta norma fue analizada por la Sección Tercera del Consejo de Estado, quien consideró que el artículo 50 de la Ley 789 de 2002 tiene por objeto evitar la evasión por parte de los empleadores de las cotizaciones al Sistema de Seguridad Social Integral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durante la ejecución de un contrato, verifiquen el cumplimiento de las obligaciones del Sistema de Seguridad Social Integral por parte de los oferentes.</w:t>
      </w:r>
    </w:p>
    <w:p w14:paraId="3A7DFCCE" w14:textId="77777777" w:rsidR="00DC77FB" w:rsidRDefault="00DC77FB" w:rsidP="00DC77FB">
      <w:pPr>
        <w:spacing w:after="120" w:line="276" w:lineRule="auto"/>
        <w:ind w:firstLine="386"/>
        <w:jc w:val="both"/>
        <w:rPr>
          <w:rFonts w:ascii="Verdana" w:eastAsia="Calibri" w:hAnsi="Verdana" w:cs="Arial"/>
        </w:rPr>
      </w:pPr>
      <w:r w:rsidRPr="003D4E38">
        <w:rPr>
          <w:rFonts w:ascii="Verdana" w:eastAsia="Calibri" w:hAnsi="Verdana" w:cs="Aria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0E582B21" w14:textId="77777777" w:rsidR="00DC77FB" w:rsidRDefault="00DC77FB" w:rsidP="00DC77FB">
      <w:pPr>
        <w:ind w:left="709" w:right="709"/>
        <w:jc w:val="both"/>
        <w:rPr>
          <w:rFonts w:ascii="Verdana" w:hAnsi="Verdana"/>
          <w:sz w:val="21"/>
        </w:rPr>
      </w:pPr>
      <w:r>
        <w:rPr>
          <w:rFonts w:ascii="Verdana" w:hAnsi="Verdana"/>
          <w:sz w:val="21"/>
        </w:rPr>
        <w:t xml:space="preserve">“[…] </w:t>
      </w:r>
      <w:r w:rsidRPr="003D4E38">
        <w:rPr>
          <w:rFonts w:ascii="Verdana" w:hAnsi="Verdana"/>
          <w:sz w:val="21"/>
        </w:rPr>
        <w:t>Para la ejecución se requerirá de la aprobación de la garantía y de la existencia de las disponibilidades presupuestales correspondientes, salvo</w:t>
      </w:r>
      <w:r w:rsidRPr="003D4E38">
        <w:rPr>
          <w:rFonts w:ascii="Verdana" w:hAnsi="Verdana"/>
          <w:spacing w:val="-10"/>
          <w:sz w:val="21"/>
        </w:rPr>
        <w:t xml:space="preserve"> </w:t>
      </w:r>
      <w:r w:rsidRPr="003D4E38">
        <w:rPr>
          <w:rFonts w:ascii="Verdana" w:hAnsi="Verdana"/>
          <w:sz w:val="21"/>
        </w:rPr>
        <w:t>que</w:t>
      </w:r>
      <w:r w:rsidRPr="003D4E38">
        <w:rPr>
          <w:rFonts w:ascii="Verdana" w:hAnsi="Verdana"/>
          <w:spacing w:val="-11"/>
          <w:sz w:val="21"/>
        </w:rPr>
        <w:t xml:space="preserve"> </w:t>
      </w:r>
      <w:r w:rsidRPr="003D4E38">
        <w:rPr>
          <w:rFonts w:ascii="Verdana" w:hAnsi="Verdana"/>
          <w:sz w:val="21"/>
        </w:rPr>
        <w:t>se</w:t>
      </w:r>
      <w:r w:rsidRPr="003D4E38">
        <w:rPr>
          <w:rFonts w:ascii="Verdana" w:hAnsi="Verdana"/>
          <w:spacing w:val="-11"/>
          <w:sz w:val="21"/>
        </w:rPr>
        <w:t xml:space="preserve"> </w:t>
      </w:r>
      <w:r w:rsidRPr="003D4E38">
        <w:rPr>
          <w:rFonts w:ascii="Verdana" w:hAnsi="Verdana"/>
          <w:sz w:val="21"/>
        </w:rPr>
        <w:t>trate</w:t>
      </w:r>
      <w:r w:rsidRPr="003D4E38">
        <w:rPr>
          <w:rFonts w:ascii="Verdana" w:hAnsi="Verdana"/>
          <w:spacing w:val="-11"/>
          <w:sz w:val="21"/>
        </w:rPr>
        <w:t xml:space="preserve"> </w:t>
      </w:r>
      <w:r w:rsidRPr="003D4E38">
        <w:rPr>
          <w:rFonts w:ascii="Verdana" w:hAnsi="Verdana"/>
          <w:sz w:val="21"/>
        </w:rPr>
        <w:t>de</w:t>
      </w:r>
      <w:r w:rsidRPr="003D4E38">
        <w:rPr>
          <w:rFonts w:ascii="Verdana" w:hAnsi="Verdana"/>
          <w:spacing w:val="-12"/>
          <w:sz w:val="21"/>
        </w:rPr>
        <w:t xml:space="preserve"> </w:t>
      </w:r>
      <w:r w:rsidRPr="003D4E38">
        <w:rPr>
          <w:rFonts w:ascii="Verdana" w:hAnsi="Verdana"/>
          <w:sz w:val="21"/>
        </w:rPr>
        <w:t>la</w:t>
      </w:r>
      <w:r w:rsidRPr="003D4E38">
        <w:rPr>
          <w:rFonts w:ascii="Verdana" w:hAnsi="Verdana"/>
          <w:spacing w:val="-12"/>
          <w:sz w:val="21"/>
        </w:rPr>
        <w:t xml:space="preserve"> </w:t>
      </w:r>
      <w:r w:rsidRPr="003D4E38">
        <w:rPr>
          <w:rFonts w:ascii="Verdana" w:hAnsi="Verdana"/>
          <w:sz w:val="21"/>
        </w:rPr>
        <w:t>contratación</w:t>
      </w:r>
      <w:r w:rsidRPr="003D4E38">
        <w:rPr>
          <w:rFonts w:ascii="Verdana" w:hAnsi="Verdana"/>
          <w:spacing w:val="-8"/>
          <w:sz w:val="21"/>
        </w:rPr>
        <w:t xml:space="preserve"> </w:t>
      </w:r>
      <w:r w:rsidRPr="003D4E38">
        <w:rPr>
          <w:rFonts w:ascii="Verdana" w:hAnsi="Verdana"/>
          <w:sz w:val="21"/>
        </w:rPr>
        <w:t>con</w:t>
      </w:r>
      <w:r w:rsidRPr="003D4E38">
        <w:rPr>
          <w:rFonts w:ascii="Verdana" w:hAnsi="Verdana"/>
          <w:spacing w:val="-11"/>
          <w:sz w:val="21"/>
        </w:rPr>
        <w:t xml:space="preserve"> </w:t>
      </w:r>
      <w:r w:rsidRPr="003D4E38">
        <w:rPr>
          <w:rFonts w:ascii="Verdana" w:hAnsi="Verdana"/>
          <w:sz w:val="21"/>
        </w:rPr>
        <w:t>recursos</w:t>
      </w:r>
      <w:r w:rsidRPr="003D4E38">
        <w:rPr>
          <w:rFonts w:ascii="Verdana" w:hAnsi="Verdana"/>
          <w:spacing w:val="-9"/>
          <w:sz w:val="21"/>
        </w:rPr>
        <w:t xml:space="preserve"> </w:t>
      </w:r>
      <w:r w:rsidRPr="003D4E38">
        <w:rPr>
          <w:rFonts w:ascii="Verdana" w:hAnsi="Verdana"/>
          <w:sz w:val="21"/>
        </w:rPr>
        <w:t>de</w:t>
      </w:r>
      <w:r w:rsidRPr="003D4E38">
        <w:rPr>
          <w:rFonts w:ascii="Verdana" w:hAnsi="Verdana"/>
          <w:spacing w:val="-12"/>
          <w:sz w:val="21"/>
        </w:rPr>
        <w:t xml:space="preserve"> </w:t>
      </w:r>
      <w:r w:rsidRPr="003D4E38">
        <w:rPr>
          <w:rFonts w:ascii="Verdana" w:hAnsi="Verdana"/>
          <w:sz w:val="21"/>
        </w:rPr>
        <w:t>vigencias</w:t>
      </w:r>
      <w:r w:rsidRPr="003D4E38">
        <w:rPr>
          <w:rFonts w:ascii="Verdana" w:hAnsi="Verdana"/>
          <w:spacing w:val="-9"/>
          <w:sz w:val="21"/>
        </w:rPr>
        <w:t xml:space="preserve"> </w:t>
      </w:r>
      <w:r w:rsidRPr="003D4E38">
        <w:rPr>
          <w:rFonts w:ascii="Verdana" w:hAnsi="Verdana"/>
          <w:sz w:val="21"/>
        </w:rPr>
        <w:t>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677B3E9E" w14:textId="77777777" w:rsidR="00DC77FB" w:rsidRPr="003D4E38" w:rsidRDefault="00DC77FB" w:rsidP="00DC77FB">
      <w:pPr>
        <w:ind w:left="709" w:right="709"/>
        <w:jc w:val="both"/>
        <w:rPr>
          <w:rFonts w:ascii="Verdana" w:hAnsi="Verdana"/>
          <w:sz w:val="21"/>
        </w:rPr>
      </w:pPr>
      <w:r w:rsidRPr="003D4E38">
        <w:rPr>
          <w:rFonts w:ascii="Verdana" w:hAnsi="Verdana"/>
          <w:sz w:val="21"/>
        </w:rPr>
        <w:t>Parágrafo</w:t>
      </w:r>
      <w:r w:rsidRPr="003D4E38">
        <w:rPr>
          <w:rFonts w:ascii="Verdana" w:hAnsi="Verdana"/>
          <w:spacing w:val="-19"/>
          <w:sz w:val="21"/>
        </w:rPr>
        <w:t xml:space="preserve"> </w:t>
      </w:r>
      <w:r w:rsidRPr="003D4E38">
        <w:rPr>
          <w:rFonts w:ascii="Verdana" w:hAnsi="Verdana"/>
          <w:sz w:val="21"/>
        </w:rPr>
        <w:t>1.</w:t>
      </w:r>
      <w:r w:rsidRPr="003D4E38">
        <w:rPr>
          <w:rFonts w:ascii="Verdana" w:hAnsi="Verdana"/>
          <w:spacing w:val="-7"/>
          <w:sz w:val="21"/>
        </w:rPr>
        <w:t xml:space="preserve"> </w:t>
      </w:r>
      <w:r w:rsidRPr="003D4E38">
        <w:rPr>
          <w:rFonts w:ascii="Verdana" w:hAnsi="Verdana"/>
          <w:sz w:val="21"/>
        </w:rPr>
        <w:t>El</w:t>
      </w:r>
      <w:r w:rsidRPr="003D4E38">
        <w:rPr>
          <w:rFonts w:ascii="Verdana" w:hAnsi="Verdana"/>
          <w:spacing w:val="-19"/>
          <w:sz w:val="21"/>
        </w:rPr>
        <w:t xml:space="preserve"> </w:t>
      </w:r>
      <w:r w:rsidRPr="003D4E38">
        <w:rPr>
          <w:rFonts w:ascii="Verdana" w:hAnsi="Verdana"/>
          <w:sz w:val="21"/>
        </w:rPr>
        <w:t>requisito</w:t>
      </w:r>
      <w:r w:rsidRPr="003D4E38">
        <w:rPr>
          <w:rFonts w:ascii="Verdana" w:hAnsi="Verdana"/>
          <w:spacing w:val="-17"/>
          <w:sz w:val="21"/>
        </w:rPr>
        <w:t xml:space="preserve"> </w:t>
      </w:r>
      <w:r w:rsidRPr="003D4E38">
        <w:rPr>
          <w:rFonts w:ascii="Verdana" w:hAnsi="Verdana"/>
          <w:sz w:val="21"/>
        </w:rPr>
        <w:t>establecido</w:t>
      </w:r>
      <w:r w:rsidRPr="003D4E38">
        <w:rPr>
          <w:rFonts w:ascii="Verdana" w:hAnsi="Verdana"/>
          <w:spacing w:val="-16"/>
          <w:sz w:val="21"/>
        </w:rPr>
        <w:t xml:space="preserve"> </w:t>
      </w:r>
      <w:r w:rsidRPr="003D4E38">
        <w:rPr>
          <w:rFonts w:ascii="Verdana" w:hAnsi="Verdana"/>
          <w:sz w:val="21"/>
        </w:rPr>
        <w:t>en</w:t>
      </w:r>
      <w:r w:rsidRPr="003D4E38">
        <w:rPr>
          <w:rFonts w:ascii="Verdana" w:hAnsi="Verdana"/>
          <w:spacing w:val="-19"/>
          <w:sz w:val="21"/>
        </w:rPr>
        <w:t xml:space="preserve"> </w:t>
      </w:r>
      <w:r w:rsidRPr="003D4E38">
        <w:rPr>
          <w:rFonts w:ascii="Verdana" w:hAnsi="Verdana"/>
          <w:sz w:val="21"/>
        </w:rPr>
        <w:t>la</w:t>
      </w:r>
      <w:r w:rsidRPr="003D4E38">
        <w:rPr>
          <w:rFonts w:ascii="Verdana" w:hAnsi="Verdana"/>
          <w:spacing w:val="-18"/>
          <w:sz w:val="21"/>
        </w:rPr>
        <w:t xml:space="preserve"> </w:t>
      </w:r>
      <w:r w:rsidRPr="003D4E38">
        <w:rPr>
          <w:rFonts w:ascii="Verdana" w:hAnsi="Verdana"/>
          <w:sz w:val="21"/>
        </w:rPr>
        <w:t>parte</w:t>
      </w:r>
      <w:r w:rsidRPr="003D4E38">
        <w:rPr>
          <w:rFonts w:ascii="Verdana" w:hAnsi="Verdana"/>
          <w:spacing w:val="-19"/>
          <w:sz w:val="21"/>
        </w:rPr>
        <w:t xml:space="preserve"> </w:t>
      </w:r>
      <w:r w:rsidRPr="003D4E38">
        <w:rPr>
          <w:rFonts w:ascii="Verdana" w:hAnsi="Verdana"/>
          <w:sz w:val="21"/>
        </w:rPr>
        <w:t>final</w:t>
      </w:r>
      <w:r w:rsidRPr="003D4E38">
        <w:rPr>
          <w:rFonts w:ascii="Verdana" w:hAnsi="Verdana"/>
          <w:spacing w:val="-17"/>
          <w:sz w:val="21"/>
        </w:rPr>
        <w:t xml:space="preserve"> </w:t>
      </w:r>
      <w:r w:rsidRPr="003D4E38">
        <w:rPr>
          <w:rFonts w:ascii="Verdana" w:hAnsi="Verdana"/>
          <w:sz w:val="21"/>
        </w:rPr>
        <w:t>del</w:t>
      </w:r>
      <w:r w:rsidRPr="003D4E38">
        <w:rPr>
          <w:rFonts w:ascii="Verdana" w:hAnsi="Verdana"/>
          <w:spacing w:val="-19"/>
          <w:sz w:val="21"/>
        </w:rPr>
        <w:t xml:space="preserve"> </w:t>
      </w:r>
      <w:r w:rsidRPr="003D4E38">
        <w:rPr>
          <w:rFonts w:ascii="Verdana" w:hAnsi="Verdana"/>
          <w:sz w:val="21"/>
        </w:rPr>
        <w:t>inciso</w:t>
      </w:r>
      <w:r w:rsidRPr="003D4E38">
        <w:rPr>
          <w:rFonts w:ascii="Verdana" w:hAnsi="Verdana"/>
          <w:spacing w:val="-18"/>
          <w:sz w:val="21"/>
        </w:rPr>
        <w:t xml:space="preserve"> </w:t>
      </w:r>
      <w:r w:rsidRPr="003D4E38">
        <w:rPr>
          <w:rFonts w:ascii="Verdana" w:hAnsi="Verdana"/>
          <w:sz w:val="21"/>
        </w:rPr>
        <w:t>segundo de este artículo deberá acreditarse para la realización de cada pago derivado del contrato estatal.</w:t>
      </w:r>
    </w:p>
    <w:p w14:paraId="7E1E24FC" w14:textId="77777777" w:rsidR="00DC77FB" w:rsidRPr="003D4E38" w:rsidRDefault="00DC77FB" w:rsidP="00DC77FB">
      <w:pPr>
        <w:spacing w:after="120" w:line="276" w:lineRule="auto"/>
        <w:ind w:left="709" w:right="709"/>
        <w:jc w:val="both"/>
        <w:rPr>
          <w:rFonts w:ascii="Verdana" w:eastAsia="Calibri" w:hAnsi="Verdana" w:cs="Arial"/>
        </w:rPr>
      </w:pPr>
      <w:r w:rsidRPr="003D4E38">
        <w:rPr>
          <w:rFonts w:ascii="Verdana" w:hAnsi="Verdana"/>
          <w:sz w:val="21"/>
        </w:rPr>
        <w:t xml:space="preserve">El servidor público que sin justa causa no verifique el pago de los aportes a que se refiere el presente artículo, incurrirá en causal de </w:t>
      </w:r>
      <w:r w:rsidRPr="003D4E38">
        <w:rPr>
          <w:rFonts w:ascii="Verdana" w:hAnsi="Verdana"/>
          <w:sz w:val="21"/>
        </w:rPr>
        <w:lastRenderedPageBreak/>
        <w:t>mala conducta, que será sancionada con arreglo al régimen disciplinario vigente</w:t>
      </w:r>
      <w:r>
        <w:rPr>
          <w:rFonts w:ascii="Verdana" w:hAnsi="Verdana"/>
          <w:sz w:val="21"/>
        </w:rPr>
        <w:t xml:space="preserve"> […]”</w:t>
      </w:r>
    </w:p>
    <w:p w14:paraId="657DE5D5" w14:textId="77777777" w:rsidR="00DC77FB" w:rsidRDefault="00DC77FB" w:rsidP="00DC77FB">
      <w:pPr>
        <w:spacing w:after="120" w:line="276" w:lineRule="auto"/>
        <w:ind w:firstLine="386"/>
        <w:jc w:val="both"/>
        <w:rPr>
          <w:rFonts w:ascii="Verdana" w:hAnsi="Verdana"/>
        </w:rPr>
      </w:pPr>
      <w:r w:rsidRPr="003D4E38">
        <w:rPr>
          <w:rFonts w:ascii="Verdana" w:eastAsia="Calibri" w:hAnsi="Verdana" w:cs="Arial"/>
        </w:rPr>
        <w:t>De la lectura integral del artículo 23 de la Ley 1150 de 2007 se infiere que, si bien los proponentes y los contratistas deben estar al día en el pago al Sistema de Seguridad Social Integral, la verificación de este requisito, por parte de la</w:t>
      </w:r>
      <w:r>
        <w:rPr>
          <w:rFonts w:ascii="Verdana" w:eastAsia="Calibri" w:hAnsi="Verdana" w:cs="Arial"/>
        </w:rPr>
        <w:t xml:space="preserve">s </w:t>
      </w:r>
      <w:r w:rsidRPr="003D4E38">
        <w:rPr>
          <w:rFonts w:ascii="Verdana" w:hAnsi="Verdana"/>
        </w:rPr>
        <w:t>Entidades Estatales, se efectuará cuando realicen los pagos del contrato, es decir, durante la ejecución.</w:t>
      </w:r>
    </w:p>
    <w:p w14:paraId="29E71A2F" w14:textId="77777777" w:rsidR="00DC77FB" w:rsidRDefault="00DC77FB" w:rsidP="00DC77FB">
      <w:pPr>
        <w:spacing w:after="120" w:line="276" w:lineRule="auto"/>
        <w:ind w:firstLine="386"/>
        <w:jc w:val="both"/>
        <w:rPr>
          <w:rFonts w:ascii="Verdana" w:hAnsi="Verdana"/>
        </w:rPr>
      </w:pPr>
      <w:r w:rsidRPr="003D4E38">
        <w:rPr>
          <w:rFonts w:ascii="Verdana" w:hAnsi="Verdana"/>
        </w:rPr>
        <w:t>En</w:t>
      </w:r>
      <w:r w:rsidRPr="003D4E38">
        <w:rPr>
          <w:rFonts w:ascii="Verdana" w:hAnsi="Verdana"/>
          <w:spacing w:val="-5"/>
        </w:rPr>
        <w:t xml:space="preserve"> </w:t>
      </w:r>
      <w:r w:rsidRPr="003D4E38">
        <w:rPr>
          <w:rFonts w:ascii="Verdana" w:hAnsi="Verdana"/>
        </w:rPr>
        <w:t>conclusión,</w:t>
      </w:r>
      <w:r w:rsidRPr="003D4E38">
        <w:rPr>
          <w:rFonts w:ascii="Verdana" w:hAnsi="Verdana"/>
          <w:spacing w:val="-2"/>
        </w:rPr>
        <w:t xml:space="preserve"> </w:t>
      </w:r>
      <w:r w:rsidRPr="003D4E38">
        <w:rPr>
          <w:rFonts w:ascii="Verdana" w:hAnsi="Verdana"/>
        </w:rPr>
        <w:t>de</w:t>
      </w:r>
      <w:r w:rsidRPr="003D4E38">
        <w:rPr>
          <w:rFonts w:ascii="Verdana" w:hAnsi="Verdana"/>
          <w:spacing w:val="-6"/>
        </w:rPr>
        <w:t xml:space="preserve"> </w:t>
      </w:r>
      <w:r w:rsidRPr="003D4E38">
        <w:rPr>
          <w:rFonts w:ascii="Verdana" w:hAnsi="Verdana"/>
        </w:rPr>
        <w:t>acuerdo</w:t>
      </w:r>
      <w:r w:rsidRPr="003D4E38">
        <w:rPr>
          <w:rFonts w:ascii="Verdana" w:hAnsi="Verdana"/>
          <w:spacing w:val="-3"/>
        </w:rPr>
        <w:t xml:space="preserve"> </w:t>
      </w:r>
      <w:r w:rsidRPr="003D4E38">
        <w:rPr>
          <w:rFonts w:ascii="Verdana" w:hAnsi="Verdana"/>
        </w:rPr>
        <w:t>con</w:t>
      </w:r>
      <w:r w:rsidRPr="003D4E38">
        <w:rPr>
          <w:rFonts w:ascii="Verdana" w:hAnsi="Verdana"/>
          <w:spacing w:val="-5"/>
        </w:rPr>
        <w:t xml:space="preserve"> </w:t>
      </w:r>
      <w:r w:rsidRPr="003D4E38">
        <w:rPr>
          <w:rFonts w:ascii="Verdana" w:hAnsi="Verdana"/>
        </w:rPr>
        <w:t>lo</w:t>
      </w:r>
      <w:r w:rsidRPr="003D4E38">
        <w:rPr>
          <w:rFonts w:ascii="Verdana" w:hAnsi="Verdana"/>
          <w:spacing w:val="-6"/>
        </w:rPr>
        <w:t xml:space="preserve"> </w:t>
      </w:r>
      <w:r w:rsidRPr="003D4E38">
        <w:rPr>
          <w:rFonts w:ascii="Verdana" w:hAnsi="Verdana"/>
        </w:rPr>
        <w:t>dispuesto</w:t>
      </w:r>
      <w:r w:rsidRPr="003D4E38">
        <w:rPr>
          <w:rFonts w:ascii="Verdana" w:hAnsi="Verdana"/>
          <w:spacing w:val="-3"/>
        </w:rPr>
        <w:t xml:space="preserve"> </w:t>
      </w:r>
      <w:r w:rsidRPr="003D4E38">
        <w:rPr>
          <w:rFonts w:ascii="Verdana" w:hAnsi="Verdana"/>
        </w:rPr>
        <w:t>en</w:t>
      </w:r>
      <w:r w:rsidRPr="003D4E38">
        <w:rPr>
          <w:rFonts w:ascii="Verdana" w:hAnsi="Verdana"/>
          <w:spacing w:val="-5"/>
        </w:rPr>
        <w:t xml:space="preserve"> </w:t>
      </w:r>
      <w:r w:rsidRPr="003D4E38">
        <w:rPr>
          <w:rFonts w:ascii="Verdana" w:hAnsi="Verdana"/>
        </w:rPr>
        <w:t>los</w:t>
      </w:r>
      <w:r w:rsidRPr="003D4E38">
        <w:rPr>
          <w:rFonts w:ascii="Verdana" w:hAnsi="Verdana"/>
          <w:spacing w:val="-5"/>
        </w:rPr>
        <w:t xml:space="preserve"> </w:t>
      </w:r>
      <w:r w:rsidRPr="003D4E38">
        <w:rPr>
          <w:rFonts w:ascii="Verdana" w:hAnsi="Verdana"/>
        </w:rPr>
        <w:t>artículos</w:t>
      </w:r>
      <w:r w:rsidRPr="003D4E38">
        <w:rPr>
          <w:rFonts w:ascii="Verdana" w:hAnsi="Verdana"/>
          <w:spacing w:val="-3"/>
        </w:rPr>
        <w:t xml:space="preserve"> </w:t>
      </w:r>
      <w:r w:rsidRPr="003D4E38">
        <w:rPr>
          <w:rFonts w:ascii="Verdana" w:hAnsi="Verdana"/>
        </w:rPr>
        <w:t>153,</w:t>
      </w:r>
      <w:r w:rsidRPr="003D4E38">
        <w:rPr>
          <w:rFonts w:ascii="Verdana" w:hAnsi="Verdana"/>
          <w:spacing w:val="-5"/>
        </w:rPr>
        <w:t xml:space="preserve"> </w:t>
      </w:r>
      <w:r w:rsidRPr="003D4E38">
        <w:rPr>
          <w:rFonts w:ascii="Verdana" w:hAnsi="Verdana"/>
        </w:rPr>
        <w:t>155,</w:t>
      </w:r>
      <w:r w:rsidRPr="003D4E38">
        <w:rPr>
          <w:rFonts w:ascii="Verdana" w:hAnsi="Verdana"/>
          <w:spacing w:val="-5"/>
        </w:rPr>
        <w:t xml:space="preserve"> </w:t>
      </w:r>
      <w:r w:rsidRPr="003D4E38">
        <w:rPr>
          <w:rFonts w:ascii="Verdana" w:hAnsi="Verdana"/>
        </w:rPr>
        <w:t>157</w:t>
      </w:r>
      <w:r w:rsidRPr="003D4E38">
        <w:rPr>
          <w:rFonts w:ascii="Verdana" w:hAnsi="Verdana"/>
          <w:spacing w:val="-5"/>
        </w:rPr>
        <w:t xml:space="preserve"> </w:t>
      </w:r>
      <w:r w:rsidRPr="003D4E38">
        <w:rPr>
          <w:rFonts w:ascii="Verdana" w:hAnsi="Verdana"/>
        </w:rPr>
        <w:t>y</w:t>
      </w:r>
      <w:r w:rsidRPr="003D4E38">
        <w:rPr>
          <w:rFonts w:ascii="Verdana" w:hAnsi="Verdana"/>
          <w:spacing w:val="-6"/>
        </w:rPr>
        <w:t xml:space="preserve"> </w:t>
      </w:r>
      <w:r w:rsidRPr="003D4E38">
        <w:rPr>
          <w:rFonts w:ascii="Verdana" w:hAnsi="Verdana"/>
        </w:rPr>
        <w:t>203 de</w:t>
      </w:r>
      <w:r w:rsidRPr="003D4E38">
        <w:rPr>
          <w:rFonts w:ascii="Verdana" w:hAnsi="Verdana"/>
          <w:spacing w:val="-13"/>
        </w:rPr>
        <w:t xml:space="preserve"> </w:t>
      </w:r>
      <w:r w:rsidRPr="003D4E38">
        <w:rPr>
          <w:rFonts w:ascii="Verdana" w:hAnsi="Verdana"/>
        </w:rPr>
        <w:t>la</w:t>
      </w:r>
      <w:r w:rsidRPr="003D4E38">
        <w:rPr>
          <w:rFonts w:ascii="Verdana" w:hAnsi="Verdana"/>
          <w:spacing w:val="-13"/>
        </w:rPr>
        <w:t xml:space="preserve"> </w:t>
      </w:r>
      <w:r w:rsidRPr="003D4E38">
        <w:rPr>
          <w:rFonts w:ascii="Verdana" w:hAnsi="Verdana"/>
        </w:rPr>
        <w:t>ley</w:t>
      </w:r>
      <w:r w:rsidRPr="003D4E38">
        <w:rPr>
          <w:rFonts w:ascii="Verdana" w:hAnsi="Verdana"/>
          <w:spacing w:val="-12"/>
        </w:rPr>
        <w:t xml:space="preserve"> </w:t>
      </w:r>
      <w:r w:rsidRPr="003D4E38">
        <w:rPr>
          <w:rFonts w:ascii="Verdana" w:hAnsi="Verdana"/>
        </w:rPr>
        <w:t>100</w:t>
      </w:r>
      <w:r w:rsidRPr="003D4E38">
        <w:rPr>
          <w:rFonts w:ascii="Verdana" w:hAnsi="Verdana"/>
          <w:spacing w:val="-12"/>
        </w:rPr>
        <w:t xml:space="preserve"> </w:t>
      </w:r>
      <w:r w:rsidRPr="003D4E38">
        <w:rPr>
          <w:rFonts w:ascii="Verdana" w:hAnsi="Verdana"/>
        </w:rPr>
        <w:t>de</w:t>
      </w:r>
      <w:r w:rsidRPr="003D4E38">
        <w:rPr>
          <w:rFonts w:ascii="Verdana" w:hAnsi="Verdana"/>
          <w:spacing w:val="-13"/>
        </w:rPr>
        <w:t xml:space="preserve"> </w:t>
      </w:r>
      <w:r w:rsidRPr="003D4E38">
        <w:rPr>
          <w:rFonts w:ascii="Verdana" w:hAnsi="Verdana"/>
        </w:rPr>
        <w:t>1993,</w:t>
      </w:r>
      <w:r w:rsidRPr="003D4E38">
        <w:rPr>
          <w:rFonts w:ascii="Verdana" w:hAnsi="Verdana"/>
          <w:spacing w:val="-11"/>
        </w:rPr>
        <w:t xml:space="preserve"> </w:t>
      </w:r>
      <w:r w:rsidRPr="003D4E38">
        <w:rPr>
          <w:rFonts w:ascii="Verdana" w:hAnsi="Verdana"/>
        </w:rPr>
        <w:t>los</w:t>
      </w:r>
      <w:r w:rsidRPr="003D4E38">
        <w:rPr>
          <w:rFonts w:ascii="Verdana" w:hAnsi="Verdana"/>
          <w:spacing w:val="-12"/>
        </w:rPr>
        <w:t xml:space="preserve"> </w:t>
      </w:r>
      <w:r w:rsidRPr="003D4E38">
        <w:rPr>
          <w:rFonts w:ascii="Verdana" w:hAnsi="Verdana"/>
        </w:rPr>
        <w:t>trabajadores</w:t>
      </w:r>
      <w:r w:rsidRPr="003D4E38">
        <w:rPr>
          <w:rFonts w:ascii="Verdana" w:hAnsi="Verdana"/>
          <w:spacing w:val="-10"/>
        </w:rPr>
        <w:t xml:space="preserve"> </w:t>
      </w:r>
      <w:r w:rsidRPr="003D4E38">
        <w:rPr>
          <w:rFonts w:ascii="Verdana" w:hAnsi="Verdana"/>
        </w:rPr>
        <w:t>independientes</w:t>
      </w:r>
      <w:r w:rsidRPr="003D4E38">
        <w:rPr>
          <w:rFonts w:ascii="Verdana" w:hAnsi="Verdana"/>
          <w:spacing w:val="-9"/>
        </w:rPr>
        <w:t xml:space="preserve"> </w:t>
      </w:r>
      <w:r w:rsidRPr="003D4E38">
        <w:rPr>
          <w:rFonts w:ascii="Verdana" w:hAnsi="Verdana"/>
        </w:rPr>
        <w:t>son</w:t>
      </w:r>
      <w:r w:rsidRPr="003D4E38">
        <w:rPr>
          <w:rFonts w:ascii="Verdana" w:hAnsi="Verdana"/>
          <w:spacing w:val="-12"/>
        </w:rPr>
        <w:t xml:space="preserve"> </w:t>
      </w:r>
      <w:r w:rsidRPr="003D4E38">
        <w:rPr>
          <w:rFonts w:ascii="Verdana" w:hAnsi="Verdana"/>
        </w:rPr>
        <w:t>afiliados</w:t>
      </w:r>
      <w:r w:rsidRPr="003D4E38">
        <w:rPr>
          <w:rFonts w:ascii="Verdana" w:hAnsi="Verdana"/>
          <w:spacing w:val="-11"/>
        </w:rPr>
        <w:t xml:space="preserve"> </w:t>
      </w:r>
      <w:r w:rsidRPr="003D4E38">
        <w:rPr>
          <w:rFonts w:ascii="Verdana" w:hAnsi="Verdana"/>
        </w:rPr>
        <w:t>obligatorios al sistema y deben cotizar al régimen contributivo en razón a su capacidad de pago,</w:t>
      </w:r>
      <w:r w:rsidRPr="003D4E38">
        <w:rPr>
          <w:rFonts w:ascii="Verdana" w:hAnsi="Verdana"/>
          <w:spacing w:val="-7"/>
        </w:rPr>
        <w:t xml:space="preserve"> </w:t>
      </w:r>
      <w:r w:rsidRPr="003D4E38">
        <w:rPr>
          <w:rFonts w:ascii="Verdana" w:hAnsi="Verdana"/>
        </w:rPr>
        <w:t>por</w:t>
      </w:r>
      <w:r w:rsidRPr="003D4E38">
        <w:rPr>
          <w:rFonts w:ascii="Verdana" w:hAnsi="Verdana"/>
          <w:spacing w:val="-8"/>
        </w:rPr>
        <w:t xml:space="preserve"> </w:t>
      </w:r>
      <w:r w:rsidRPr="003D4E38">
        <w:rPr>
          <w:rFonts w:ascii="Verdana" w:hAnsi="Verdana"/>
        </w:rPr>
        <w:t>lo</w:t>
      </w:r>
      <w:r w:rsidRPr="003D4E38">
        <w:rPr>
          <w:rFonts w:ascii="Verdana" w:hAnsi="Verdana"/>
          <w:spacing w:val="-7"/>
        </w:rPr>
        <w:t xml:space="preserve"> </w:t>
      </w:r>
      <w:r w:rsidRPr="003D4E38">
        <w:rPr>
          <w:rFonts w:ascii="Verdana" w:hAnsi="Verdana"/>
        </w:rPr>
        <w:t>cual</w:t>
      </w:r>
      <w:r w:rsidRPr="003D4E38">
        <w:rPr>
          <w:rFonts w:ascii="Verdana" w:hAnsi="Verdana"/>
          <w:spacing w:val="-7"/>
        </w:rPr>
        <w:t xml:space="preserve"> </w:t>
      </w:r>
      <w:r w:rsidRPr="003D4E38">
        <w:rPr>
          <w:rFonts w:ascii="Verdana" w:hAnsi="Verdana"/>
        </w:rPr>
        <w:t>en</w:t>
      </w:r>
      <w:r w:rsidRPr="003D4E38">
        <w:rPr>
          <w:rFonts w:ascii="Verdana" w:hAnsi="Verdana"/>
          <w:spacing w:val="-7"/>
        </w:rPr>
        <w:t xml:space="preserve"> </w:t>
      </w:r>
      <w:r w:rsidRPr="003D4E38">
        <w:rPr>
          <w:rFonts w:ascii="Verdana" w:hAnsi="Verdana"/>
        </w:rPr>
        <w:t>todo</w:t>
      </w:r>
      <w:r w:rsidRPr="003D4E38">
        <w:rPr>
          <w:rFonts w:ascii="Verdana" w:hAnsi="Verdana"/>
          <w:spacing w:val="-8"/>
        </w:rPr>
        <w:t xml:space="preserve"> </w:t>
      </w:r>
      <w:r w:rsidRPr="003D4E38">
        <w:rPr>
          <w:rFonts w:ascii="Verdana" w:hAnsi="Verdana"/>
        </w:rPr>
        <w:t>proceso</w:t>
      </w:r>
      <w:r w:rsidRPr="003D4E38">
        <w:rPr>
          <w:rFonts w:ascii="Verdana" w:hAnsi="Verdana"/>
          <w:spacing w:val="-6"/>
        </w:rPr>
        <w:t xml:space="preserve"> </w:t>
      </w:r>
      <w:r w:rsidRPr="003D4E38">
        <w:rPr>
          <w:rFonts w:ascii="Verdana" w:hAnsi="Verdana"/>
        </w:rPr>
        <w:t>de</w:t>
      </w:r>
      <w:r w:rsidRPr="003D4E38">
        <w:rPr>
          <w:rFonts w:ascii="Verdana" w:hAnsi="Verdana"/>
          <w:spacing w:val="-7"/>
        </w:rPr>
        <w:t xml:space="preserve"> </w:t>
      </w:r>
      <w:r w:rsidRPr="003D4E38">
        <w:rPr>
          <w:rFonts w:ascii="Verdana" w:hAnsi="Verdana"/>
        </w:rPr>
        <w:t>contratación</w:t>
      </w:r>
      <w:r w:rsidRPr="003D4E38">
        <w:rPr>
          <w:rFonts w:ascii="Verdana" w:hAnsi="Verdana"/>
          <w:spacing w:val="-4"/>
        </w:rPr>
        <w:t xml:space="preserve"> </w:t>
      </w:r>
      <w:r w:rsidRPr="003D4E38">
        <w:rPr>
          <w:rFonts w:ascii="Verdana" w:hAnsi="Verdana"/>
        </w:rPr>
        <w:t>le</w:t>
      </w:r>
      <w:r w:rsidRPr="003D4E38">
        <w:rPr>
          <w:rFonts w:ascii="Verdana" w:hAnsi="Verdana"/>
          <w:spacing w:val="-7"/>
        </w:rPr>
        <w:t xml:space="preserve"> </w:t>
      </w:r>
      <w:r w:rsidRPr="003D4E38">
        <w:rPr>
          <w:rFonts w:ascii="Verdana" w:hAnsi="Verdana"/>
        </w:rPr>
        <w:t>corresponderá</w:t>
      </w:r>
      <w:r w:rsidRPr="003D4E38">
        <w:rPr>
          <w:rFonts w:ascii="Verdana" w:hAnsi="Verdana"/>
          <w:spacing w:val="-5"/>
        </w:rPr>
        <w:t xml:space="preserve"> </w:t>
      </w:r>
      <w:r w:rsidRPr="003D4E38">
        <w:rPr>
          <w:rFonts w:ascii="Verdana" w:hAnsi="Verdana"/>
        </w:rPr>
        <w:t>verificar</w:t>
      </w:r>
      <w:r w:rsidRPr="003D4E38">
        <w:rPr>
          <w:rFonts w:ascii="Verdana" w:hAnsi="Verdana"/>
          <w:spacing w:val="-5"/>
        </w:rPr>
        <w:t xml:space="preserve"> </w:t>
      </w:r>
      <w:r w:rsidRPr="003D4E38">
        <w:rPr>
          <w:rFonts w:ascii="Verdana" w:hAnsi="Verdana"/>
        </w:rPr>
        <w:t>a</w:t>
      </w:r>
      <w:r w:rsidRPr="003D4E38">
        <w:rPr>
          <w:rFonts w:ascii="Verdana" w:hAnsi="Verdana"/>
          <w:spacing w:val="-7"/>
        </w:rPr>
        <w:t xml:space="preserve"> </w:t>
      </w:r>
      <w:r w:rsidRPr="003D4E38">
        <w:rPr>
          <w:rFonts w:ascii="Verdana" w:hAnsi="Verdana"/>
        </w:rPr>
        <w:t>la Entidad Contratante, que el oferente persona natural, se postule en calidad de “cotizante”,</w:t>
      </w:r>
      <w:r w:rsidRPr="003D4E38">
        <w:rPr>
          <w:rFonts w:ascii="Verdana" w:hAnsi="Verdana"/>
          <w:spacing w:val="-19"/>
        </w:rPr>
        <w:t xml:space="preserve"> </w:t>
      </w:r>
      <w:r w:rsidRPr="003D4E38">
        <w:rPr>
          <w:rFonts w:ascii="Verdana" w:hAnsi="Verdana"/>
        </w:rPr>
        <w:t>quienes</w:t>
      </w:r>
      <w:r w:rsidRPr="003D4E38">
        <w:rPr>
          <w:rFonts w:ascii="Verdana" w:hAnsi="Verdana"/>
          <w:spacing w:val="-17"/>
        </w:rPr>
        <w:t xml:space="preserve"> </w:t>
      </w:r>
      <w:r w:rsidRPr="003D4E38">
        <w:rPr>
          <w:rFonts w:ascii="Verdana" w:hAnsi="Verdana"/>
        </w:rPr>
        <w:t>son</w:t>
      </w:r>
      <w:r w:rsidRPr="003D4E38">
        <w:rPr>
          <w:rFonts w:ascii="Verdana" w:hAnsi="Verdana"/>
          <w:spacing w:val="-18"/>
        </w:rPr>
        <w:t xml:space="preserve"> </w:t>
      </w:r>
      <w:r w:rsidRPr="003D4E38">
        <w:rPr>
          <w:rFonts w:ascii="Verdana" w:hAnsi="Verdana"/>
        </w:rPr>
        <w:t>las</w:t>
      </w:r>
      <w:r w:rsidRPr="003D4E38">
        <w:rPr>
          <w:rFonts w:ascii="Verdana" w:hAnsi="Verdana"/>
          <w:spacing w:val="-18"/>
        </w:rPr>
        <w:t xml:space="preserve"> </w:t>
      </w:r>
      <w:r w:rsidRPr="003D4E38">
        <w:rPr>
          <w:rFonts w:ascii="Verdana" w:hAnsi="Verdana"/>
        </w:rPr>
        <w:t>personas</w:t>
      </w:r>
      <w:r w:rsidRPr="003D4E38">
        <w:rPr>
          <w:rFonts w:ascii="Verdana" w:hAnsi="Verdana"/>
          <w:spacing w:val="-16"/>
        </w:rPr>
        <w:t xml:space="preserve"> </w:t>
      </w:r>
      <w:r w:rsidRPr="003D4E38">
        <w:rPr>
          <w:rFonts w:ascii="Verdana" w:hAnsi="Verdana"/>
        </w:rPr>
        <w:t>vinculadas</w:t>
      </w:r>
      <w:r w:rsidRPr="003D4E38">
        <w:rPr>
          <w:rFonts w:ascii="Verdana" w:hAnsi="Verdana"/>
          <w:spacing w:val="-16"/>
        </w:rPr>
        <w:t xml:space="preserve"> </w:t>
      </w:r>
      <w:r w:rsidRPr="003D4E38">
        <w:rPr>
          <w:rFonts w:ascii="Verdana" w:hAnsi="Verdana"/>
        </w:rPr>
        <w:t>a</w:t>
      </w:r>
      <w:r w:rsidRPr="003D4E38">
        <w:rPr>
          <w:rFonts w:ascii="Verdana" w:hAnsi="Verdana"/>
          <w:spacing w:val="-19"/>
        </w:rPr>
        <w:t xml:space="preserve"> </w:t>
      </w:r>
      <w:r w:rsidRPr="003D4E38">
        <w:rPr>
          <w:rFonts w:ascii="Verdana" w:hAnsi="Verdana"/>
        </w:rPr>
        <w:t>través</w:t>
      </w:r>
      <w:r w:rsidRPr="003D4E38">
        <w:rPr>
          <w:rFonts w:ascii="Verdana" w:hAnsi="Verdana"/>
          <w:spacing w:val="-17"/>
        </w:rPr>
        <w:t xml:space="preserve"> </w:t>
      </w:r>
      <w:r w:rsidRPr="003D4E38">
        <w:rPr>
          <w:rFonts w:ascii="Verdana" w:hAnsi="Verdana"/>
        </w:rPr>
        <w:t>de</w:t>
      </w:r>
      <w:r w:rsidRPr="003D4E38">
        <w:rPr>
          <w:rFonts w:ascii="Verdana" w:hAnsi="Verdana"/>
          <w:spacing w:val="-18"/>
        </w:rPr>
        <w:t xml:space="preserve"> </w:t>
      </w:r>
      <w:r w:rsidRPr="003D4E38">
        <w:rPr>
          <w:rFonts w:ascii="Verdana" w:hAnsi="Verdana"/>
        </w:rPr>
        <w:t>contrato</w:t>
      </w:r>
      <w:r w:rsidRPr="003D4E38">
        <w:rPr>
          <w:rFonts w:ascii="Verdana" w:hAnsi="Verdana"/>
          <w:spacing w:val="-16"/>
        </w:rPr>
        <w:t xml:space="preserve"> </w:t>
      </w:r>
      <w:r w:rsidRPr="003D4E38">
        <w:rPr>
          <w:rFonts w:ascii="Verdana" w:hAnsi="Verdana"/>
        </w:rPr>
        <w:t>de</w:t>
      </w:r>
      <w:r w:rsidRPr="003D4E38">
        <w:rPr>
          <w:rFonts w:ascii="Verdana" w:hAnsi="Verdana"/>
          <w:spacing w:val="-18"/>
        </w:rPr>
        <w:t xml:space="preserve"> </w:t>
      </w:r>
      <w:r w:rsidRPr="003D4E38">
        <w:rPr>
          <w:rFonts w:ascii="Verdana" w:hAnsi="Verdana"/>
        </w:rPr>
        <w:t>trabajo,</w:t>
      </w:r>
      <w:r>
        <w:rPr>
          <w:rFonts w:ascii="Verdana" w:hAnsi="Verdana"/>
        </w:rPr>
        <w:t xml:space="preserve"> </w:t>
      </w:r>
      <w:r w:rsidRPr="00DD7472">
        <w:rPr>
          <w:rFonts w:ascii="Verdana" w:hAnsi="Verdana"/>
          <w:u w:val="single"/>
        </w:rPr>
        <w:t>los servidores públicos</w:t>
      </w:r>
      <w:r w:rsidRPr="00DD7472">
        <w:rPr>
          <w:rFonts w:ascii="Verdana" w:hAnsi="Verdana"/>
        </w:rPr>
        <w:t>, los pensionados y jubilados y los trabajadores independientes con capacidad de pago</w:t>
      </w:r>
      <w:r>
        <w:rPr>
          <w:rFonts w:ascii="Verdana" w:hAnsi="Verdana"/>
        </w:rPr>
        <w:t xml:space="preserve">. </w:t>
      </w:r>
    </w:p>
    <w:p w14:paraId="21E455F1" w14:textId="77777777" w:rsidR="00DC77FB" w:rsidRPr="00DD7472" w:rsidRDefault="00DC77FB" w:rsidP="00DC77FB">
      <w:pPr>
        <w:spacing w:after="120" w:line="276" w:lineRule="auto"/>
        <w:ind w:firstLine="386"/>
        <w:jc w:val="both"/>
        <w:rPr>
          <w:rFonts w:ascii="Verdana" w:hAnsi="Verdana"/>
        </w:rPr>
      </w:pPr>
      <w:r w:rsidRPr="00DD7472">
        <w:rPr>
          <w:rFonts w:ascii="Verdana" w:hAnsi="Verdana"/>
        </w:rPr>
        <w:t>Por</w:t>
      </w:r>
      <w:r w:rsidRPr="00DD7472">
        <w:rPr>
          <w:rFonts w:ascii="Verdana" w:hAnsi="Verdana"/>
          <w:spacing w:val="-20"/>
        </w:rPr>
        <w:t xml:space="preserve"> </w:t>
      </w:r>
      <w:r w:rsidRPr="00DD7472">
        <w:rPr>
          <w:rFonts w:ascii="Verdana" w:hAnsi="Verdana"/>
        </w:rPr>
        <w:t>consiguiente,</w:t>
      </w:r>
      <w:r w:rsidRPr="00DD7472">
        <w:rPr>
          <w:rFonts w:ascii="Verdana" w:hAnsi="Verdana"/>
          <w:spacing w:val="-19"/>
        </w:rPr>
        <w:t xml:space="preserve"> </w:t>
      </w:r>
      <w:r w:rsidRPr="00DD7472">
        <w:rPr>
          <w:rFonts w:ascii="Verdana" w:hAnsi="Verdana"/>
        </w:rPr>
        <w:t>la</w:t>
      </w:r>
      <w:r w:rsidRPr="00DD7472">
        <w:rPr>
          <w:rFonts w:ascii="Verdana" w:hAnsi="Verdana"/>
          <w:spacing w:val="-19"/>
        </w:rPr>
        <w:t xml:space="preserve"> </w:t>
      </w:r>
      <w:r w:rsidRPr="00DD7472">
        <w:rPr>
          <w:rFonts w:ascii="Verdana" w:hAnsi="Verdana"/>
        </w:rPr>
        <w:t>entidad</w:t>
      </w:r>
      <w:r w:rsidRPr="00DD7472">
        <w:rPr>
          <w:rFonts w:ascii="Verdana" w:hAnsi="Verdana"/>
          <w:spacing w:val="-20"/>
        </w:rPr>
        <w:t xml:space="preserve"> </w:t>
      </w:r>
      <w:r w:rsidRPr="00DD7472">
        <w:rPr>
          <w:rFonts w:ascii="Verdana" w:hAnsi="Verdana"/>
        </w:rPr>
        <w:t>estatal</w:t>
      </w:r>
      <w:r w:rsidRPr="00DD7472">
        <w:rPr>
          <w:rFonts w:ascii="Verdana" w:hAnsi="Verdana"/>
          <w:spacing w:val="-19"/>
        </w:rPr>
        <w:t xml:space="preserve"> </w:t>
      </w:r>
      <w:r w:rsidRPr="00DD7472">
        <w:rPr>
          <w:rFonts w:ascii="Verdana" w:hAnsi="Verdana"/>
        </w:rPr>
        <w:t>determina</w:t>
      </w:r>
      <w:r w:rsidRPr="00DD7472">
        <w:rPr>
          <w:rFonts w:ascii="Verdana" w:hAnsi="Verdana"/>
          <w:spacing w:val="-20"/>
        </w:rPr>
        <w:t xml:space="preserve"> </w:t>
      </w:r>
      <w:r w:rsidRPr="00DD7472">
        <w:rPr>
          <w:rFonts w:ascii="Verdana" w:hAnsi="Verdana"/>
        </w:rPr>
        <w:t>como</w:t>
      </w:r>
      <w:r w:rsidRPr="00DD7472">
        <w:rPr>
          <w:rFonts w:ascii="Verdana" w:hAnsi="Verdana"/>
          <w:spacing w:val="-19"/>
        </w:rPr>
        <w:t xml:space="preserve"> </w:t>
      </w:r>
      <w:r w:rsidRPr="00DD7472">
        <w:rPr>
          <w:rFonts w:ascii="Verdana" w:hAnsi="Verdana"/>
        </w:rPr>
        <w:t>requiere</w:t>
      </w:r>
      <w:r w:rsidRPr="00DD7472">
        <w:rPr>
          <w:rFonts w:ascii="Verdana" w:hAnsi="Verdana"/>
          <w:spacing w:val="-19"/>
        </w:rPr>
        <w:t xml:space="preserve"> </w:t>
      </w:r>
      <w:r w:rsidRPr="00DD7472">
        <w:rPr>
          <w:rFonts w:ascii="Verdana" w:hAnsi="Verdana"/>
        </w:rPr>
        <w:t>al</w:t>
      </w:r>
      <w:r w:rsidRPr="00DD7472">
        <w:rPr>
          <w:rFonts w:ascii="Verdana" w:hAnsi="Verdana"/>
          <w:spacing w:val="-20"/>
        </w:rPr>
        <w:t xml:space="preserve"> </w:t>
      </w:r>
      <w:r w:rsidRPr="00DD7472">
        <w:rPr>
          <w:rFonts w:ascii="Verdana" w:hAnsi="Verdana"/>
        </w:rPr>
        <w:t>contratista y que características, frente a este requerimiento; la entidad contratante de manera discrecional fija en el pliego de condiciones</w:t>
      </w:r>
      <w:r>
        <w:rPr>
          <w:rFonts w:ascii="Verdana" w:hAnsi="Verdana"/>
        </w:rPr>
        <w:t xml:space="preserve"> y/o documento contentivo</w:t>
      </w:r>
      <w:r w:rsidRPr="00DD7472">
        <w:rPr>
          <w:rFonts w:ascii="Verdana" w:hAnsi="Verdana"/>
        </w:rPr>
        <w:t xml:space="preserve">, la información que deben aportar los proveedores y las características que estos documentos deben </w:t>
      </w:r>
      <w:r w:rsidRPr="00DD7472">
        <w:rPr>
          <w:rFonts w:ascii="Verdana" w:hAnsi="Verdana"/>
          <w:spacing w:val="-2"/>
        </w:rPr>
        <w:t>consignar.</w:t>
      </w:r>
    </w:p>
    <w:p w14:paraId="4FC1C25C" w14:textId="77777777" w:rsidR="00DC77FB" w:rsidRPr="00EB1CF7" w:rsidRDefault="00DC77FB" w:rsidP="00DC77FB">
      <w:pPr>
        <w:spacing w:after="0" w:line="276" w:lineRule="auto"/>
        <w:jc w:val="both"/>
        <w:rPr>
          <w:rFonts w:ascii="Verdana" w:eastAsia="Calibri" w:hAnsi="Verdana" w:cs="Arial"/>
          <w:color w:val="000000" w:themeColor="text1"/>
        </w:rPr>
      </w:pPr>
    </w:p>
    <w:p w14:paraId="574A2C05" w14:textId="77777777" w:rsidR="00DC77FB" w:rsidRPr="00EB1CF7" w:rsidRDefault="00DC77FB" w:rsidP="00DC77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t>Referencias normativas:</w:t>
      </w:r>
    </w:p>
    <w:p w14:paraId="5387AB89" w14:textId="77777777" w:rsidR="00DC77FB" w:rsidRPr="00DD7472" w:rsidRDefault="00DC77FB" w:rsidP="00DC77F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C77FB" w:rsidRPr="00DD7472" w14:paraId="749D677F" w14:textId="77777777" w:rsidTr="00507633">
        <w:trPr>
          <w:trHeight w:val="870"/>
          <w:jc w:val="center"/>
        </w:trPr>
        <w:tc>
          <w:tcPr>
            <w:tcW w:w="8647" w:type="dxa"/>
          </w:tcPr>
          <w:p w14:paraId="16CC79F1" w14:textId="77777777" w:rsidR="00DC77FB" w:rsidRPr="00DD7472" w:rsidRDefault="00DC77FB" w:rsidP="00DC77FB">
            <w:pPr>
              <w:pStyle w:val="Prrafodelista"/>
              <w:widowControl w:val="0"/>
              <w:numPr>
                <w:ilvl w:val="0"/>
                <w:numId w:val="18"/>
              </w:numPr>
              <w:autoSpaceDE w:val="0"/>
              <w:autoSpaceDN w:val="0"/>
              <w:spacing w:line="276" w:lineRule="auto"/>
              <w:jc w:val="both"/>
              <w:rPr>
                <w:rFonts w:ascii="Verdana" w:hAnsi="Verdana" w:cs="Arial"/>
              </w:rPr>
            </w:pPr>
            <w:r w:rsidRPr="00DD7472">
              <w:rPr>
                <w:rFonts w:ascii="Verdana" w:hAnsi="Verdana" w:cs="Arial"/>
              </w:rPr>
              <w:t>Ley 1861 de 2017, artículos 17, 26, 27, 28 y 42.</w:t>
            </w:r>
          </w:p>
          <w:p w14:paraId="3D6EDDDB" w14:textId="77777777" w:rsidR="00DC77FB" w:rsidRPr="00DD7472" w:rsidRDefault="00DC77FB" w:rsidP="00DC77FB">
            <w:pPr>
              <w:pStyle w:val="Prrafodelista"/>
              <w:widowControl w:val="0"/>
              <w:numPr>
                <w:ilvl w:val="0"/>
                <w:numId w:val="18"/>
              </w:numPr>
              <w:autoSpaceDE w:val="0"/>
              <w:autoSpaceDN w:val="0"/>
              <w:spacing w:line="276" w:lineRule="auto"/>
              <w:jc w:val="both"/>
              <w:rPr>
                <w:rFonts w:ascii="Verdana" w:hAnsi="Verdana" w:cs="Arial"/>
              </w:rPr>
            </w:pPr>
            <w:r w:rsidRPr="00DD7472">
              <w:rPr>
                <w:rFonts w:ascii="Verdana" w:hAnsi="Verdana" w:cs="Arial"/>
              </w:rPr>
              <w:t>Decreto 1070 de 2015, artículos 2.3.1.4.9.2., 2.3.1.4.9.3. y 2.3.1.4.9.5.</w:t>
            </w:r>
          </w:p>
          <w:p w14:paraId="6141E316" w14:textId="77777777" w:rsidR="00DC77FB" w:rsidRPr="00DD7472" w:rsidRDefault="00DC77FB" w:rsidP="00DC77FB">
            <w:pPr>
              <w:pStyle w:val="Prrafodelista"/>
              <w:widowControl w:val="0"/>
              <w:numPr>
                <w:ilvl w:val="0"/>
                <w:numId w:val="18"/>
              </w:numPr>
              <w:autoSpaceDE w:val="0"/>
              <w:autoSpaceDN w:val="0"/>
              <w:spacing w:line="276" w:lineRule="auto"/>
              <w:jc w:val="both"/>
              <w:rPr>
                <w:rFonts w:ascii="Verdana" w:hAnsi="Verdana" w:cs="Arial"/>
              </w:rPr>
            </w:pPr>
            <w:r w:rsidRPr="00DD7472">
              <w:rPr>
                <w:rFonts w:ascii="Verdana" w:hAnsi="Verdana" w:cs="Arial"/>
              </w:rPr>
              <w:t>Ley 80 de 1993, articulo 32.</w:t>
            </w:r>
          </w:p>
          <w:p w14:paraId="37B1BC9A" w14:textId="77777777" w:rsidR="00DC77FB" w:rsidRDefault="00DC77FB" w:rsidP="00DC77FB">
            <w:pPr>
              <w:pStyle w:val="Prrafodelista"/>
              <w:widowControl w:val="0"/>
              <w:numPr>
                <w:ilvl w:val="0"/>
                <w:numId w:val="18"/>
              </w:numPr>
              <w:autoSpaceDE w:val="0"/>
              <w:autoSpaceDN w:val="0"/>
              <w:spacing w:line="276" w:lineRule="auto"/>
              <w:jc w:val="both"/>
              <w:rPr>
                <w:rFonts w:ascii="Verdana" w:hAnsi="Verdana" w:cs="Arial"/>
              </w:rPr>
            </w:pPr>
            <w:r w:rsidRPr="00DD7472">
              <w:rPr>
                <w:rFonts w:ascii="Verdana" w:hAnsi="Verdana" w:cs="Arial"/>
              </w:rPr>
              <w:t>Decreto 977 de 2018.</w:t>
            </w:r>
          </w:p>
          <w:p w14:paraId="389D3238" w14:textId="77777777" w:rsidR="00DC77FB" w:rsidRPr="00DD7472" w:rsidRDefault="00DC77FB" w:rsidP="00DC77FB">
            <w:pPr>
              <w:pStyle w:val="Textoindependiente"/>
              <w:widowControl w:val="0"/>
              <w:numPr>
                <w:ilvl w:val="0"/>
                <w:numId w:val="18"/>
              </w:numPr>
              <w:tabs>
                <w:tab w:val="left" w:pos="822"/>
              </w:tabs>
              <w:autoSpaceDE w:val="0"/>
              <w:autoSpaceDN w:val="0"/>
              <w:spacing w:before="0" w:beforeAutospacing="0" w:after="0" w:afterAutospacing="0"/>
              <w:rPr>
                <w:rFonts w:ascii="Verdana" w:hAnsi="Verdana"/>
                <w:sz w:val="22"/>
                <w:szCs w:val="22"/>
              </w:rPr>
            </w:pPr>
            <w:r w:rsidRPr="00DD7472">
              <w:rPr>
                <w:rFonts w:ascii="Verdana" w:hAnsi="Verdana"/>
                <w:sz w:val="22"/>
                <w:szCs w:val="22"/>
              </w:rPr>
              <w:t>Ley</w:t>
            </w:r>
            <w:r w:rsidRPr="00DD7472">
              <w:rPr>
                <w:rFonts w:ascii="Verdana" w:hAnsi="Verdana"/>
                <w:spacing w:val="-9"/>
                <w:sz w:val="22"/>
                <w:szCs w:val="22"/>
              </w:rPr>
              <w:t xml:space="preserve"> </w:t>
            </w:r>
            <w:r w:rsidRPr="00DD7472">
              <w:rPr>
                <w:rFonts w:ascii="Verdana" w:hAnsi="Verdana"/>
                <w:sz w:val="22"/>
                <w:szCs w:val="22"/>
              </w:rPr>
              <w:t>80</w:t>
            </w:r>
            <w:r w:rsidRPr="00DD7472">
              <w:rPr>
                <w:rFonts w:ascii="Verdana" w:hAnsi="Verdana"/>
                <w:spacing w:val="-9"/>
                <w:sz w:val="22"/>
                <w:szCs w:val="22"/>
              </w:rPr>
              <w:t xml:space="preserve"> </w:t>
            </w:r>
            <w:r w:rsidRPr="00DD7472">
              <w:rPr>
                <w:rFonts w:ascii="Verdana" w:hAnsi="Verdana"/>
                <w:sz w:val="22"/>
                <w:szCs w:val="22"/>
              </w:rPr>
              <w:t>de</w:t>
            </w:r>
            <w:r w:rsidRPr="00DD7472">
              <w:rPr>
                <w:rFonts w:ascii="Verdana" w:hAnsi="Verdana"/>
                <w:spacing w:val="-9"/>
                <w:sz w:val="22"/>
                <w:szCs w:val="22"/>
              </w:rPr>
              <w:t xml:space="preserve"> </w:t>
            </w:r>
            <w:r w:rsidRPr="00DD7472">
              <w:rPr>
                <w:rFonts w:ascii="Verdana" w:hAnsi="Verdana"/>
                <w:sz w:val="22"/>
                <w:szCs w:val="22"/>
              </w:rPr>
              <w:t>1993,</w:t>
            </w:r>
            <w:r w:rsidRPr="00DD7472">
              <w:rPr>
                <w:rFonts w:ascii="Verdana" w:hAnsi="Verdana"/>
                <w:spacing w:val="-9"/>
                <w:sz w:val="22"/>
                <w:szCs w:val="22"/>
              </w:rPr>
              <w:t xml:space="preserve"> </w:t>
            </w:r>
            <w:r w:rsidRPr="00DD7472">
              <w:rPr>
                <w:rFonts w:ascii="Verdana" w:hAnsi="Verdana"/>
                <w:sz w:val="22"/>
                <w:szCs w:val="22"/>
              </w:rPr>
              <w:t>artículo</w:t>
            </w:r>
            <w:r w:rsidRPr="00DD7472">
              <w:rPr>
                <w:rFonts w:ascii="Verdana" w:hAnsi="Verdana"/>
                <w:spacing w:val="-8"/>
                <w:sz w:val="22"/>
                <w:szCs w:val="22"/>
              </w:rPr>
              <w:t xml:space="preserve"> </w:t>
            </w:r>
            <w:r w:rsidRPr="00DD7472">
              <w:rPr>
                <w:rFonts w:ascii="Verdana" w:hAnsi="Verdana"/>
                <w:spacing w:val="-10"/>
                <w:sz w:val="22"/>
                <w:szCs w:val="22"/>
              </w:rPr>
              <w:t>4</w:t>
            </w:r>
          </w:p>
          <w:p w14:paraId="019C52C2" w14:textId="77777777" w:rsidR="00DC77FB" w:rsidRPr="00DD7472" w:rsidRDefault="00DC77FB" w:rsidP="00DC77FB">
            <w:pPr>
              <w:pStyle w:val="Textoindependiente"/>
              <w:widowControl w:val="0"/>
              <w:numPr>
                <w:ilvl w:val="0"/>
                <w:numId w:val="18"/>
              </w:numPr>
              <w:tabs>
                <w:tab w:val="left" w:pos="822"/>
              </w:tabs>
              <w:autoSpaceDE w:val="0"/>
              <w:autoSpaceDN w:val="0"/>
              <w:spacing w:before="38" w:beforeAutospacing="0" w:after="0" w:afterAutospacing="0"/>
              <w:rPr>
                <w:rFonts w:ascii="Verdana" w:hAnsi="Verdana"/>
                <w:sz w:val="22"/>
                <w:szCs w:val="22"/>
              </w:rPr>
            </w:pPr>
            <w:r w:rsidRPr="00DD7472">
              <w:rPr>
                <w:rFonts w:ascii="Verdana" w:hAnsi="Verdana"/>
                <w:sz w:val="22"/>
                <w:szCs w:val="22"/>
              </w:rPr>
              <w:t>Ley</w:t>
            </w:r>
            <w:r w:rsidRPr="00DD7472">
              <w:rPr>
                <w:rFonts w:ascii="Verdana" w:hAnsi="Verdana"/>
                <w:spacing w:val="-10"/>
                <w:sz w:val="22"/>
                <w:szCs w:val="22"/>
              </w:rPr>
              <w:t xml:space="preserve"> </w:t>
            </w:r>
            <w:r w:rsidRPr="00DD7472">
              <w:rPr>
                <w:rFonts w:ascii="Verdana" w:hAnsi="Verdana"/>
                <w:sz w:val="22"/>
                <w:szCs w:val="22"/>
              </w:rPr>
              <w:t>100</w:t>
            </w:r>
            <w:r w:rsidRPr="00DD7472">
              <w:rPr>
                <w:rFonts w:ascii="Verdana" w:hAnsi="Verdana"/>
                <w:spacing w:val="-9"/>
                <w:sz w:val="22"/>
                <w:szCs w:val="22"/>
              </w:rPr>
              <w:t xml:space="preserve"> </w:t>
            </w:r>
            <w:r w:rsidRPr="00DD7472">
              <w:rPr>
                <w:rFonts w:ascii="Verdana" w:hAnsi="Verdana"/>
                <w:sz w:val="22"/>
                <w:szCs w:val="22"/>
              </w:rPr>
              <w:t>de</w:t>
            </w:r>
            <w:r w:rsidRPr="00DD7472">
              <w:rPr>
                <w:rFonts w:ascii="Verdana" w:hAnsi="Verdana"/>
                <w:spacing w:val="-9"/>
                <w:sz w:val="22"/>
                <w:szCs w:val="22"/>
              </w:rPr>
              <w:t xml:space="preserve"> </w:t>
            </w:r>
            <w:r w:rsidRPr="00DD7472">
              <w:rPr>
                <w:rFonts w:ascii="Verdana" w:hAnsi="Verdana"/>
                <w:sz w:val="22"/>
                <w:szCs w:val="22"/>
              </w:rPr>
              <w:t>1993,</w:t>
            </w:r>
            <w:r w:rsidRPr="00DD7472">
              <w:rPr>
                <w:rFonts w:ascii="Verdana" w:hAnsi="Verdana"/>
                <w:spacing w:val="-10"/>
                <w:sz w:val="22"/>
                <w:szCs w:val="22"/>
              </w:rPr>
              <w:t xml:space="preserve"> </w:t>
            </w:r>
            <w:r w:rsidRPr="00DD7472">
              <w:rPr>
                <w:rFonts w:ascii="Verdana" w:hAnsi="Verdana"/>
                <w:sz w:val="22"/>
                <w:szCs w:val="22"/>
              </w:rPr>
              <w:t>artículo</w:t>
            </w:r>
            <w:r w:rsidRPr="00DD7472">
              <w:rPr>
                <w:rFonts w:ascii="Verdana" w:hAnsi="Verdana"/>
                <w:spacing w:val="-9"/>
                <w:sz w:val="22"/>
                <w:szCs w:val="22"/>
              </w:rPr>
              <w:t xml:space="preserve"> </w:t>
            </w:r>
            <w:r w:rsidRPr="00DD7472">
              <w:rPr>
                <w:rFonts w:ascii="Verdana" w:hAnsi="Verdana"/>
                <w:spacing w:val="-5"/>
                <w:sz w:val="22"/>
                <w:szCs w:val="22"/>
              </w:rPr>
              <w:t>18</w:t>
            </w:r>
          </w:p>
          <w:p w14:paraId="651F89BB" w14:textId="77777777" w:rsidR="00DC77FB" w:rsidRPr="00DD7472" w:rsidRDefault="00DC77FB" w:rsidP="00DC77FB">
            <w:pPr>
              <w:pStyle w:val="Textoindependiente"/>
              <w:widowControl w:val="0"/>
              <w:numPr>
                <w:ilvl w:val="0"/>
                <w:numId w:val="18"/>
              </w:numPr>
              <w:tabs>
                <w:tab w:val="left" w:pos="822"/>
              </w:tabs>
              <w:autoSpaceDE w:val="0"/>
              <w:autoSpaceDN w:val="0"/>
              <w:spacing w:before="38" w:beforeAutospacing="0" w:after="0" w:afterAutospacing="0"/>
              <w:rPr>
                <w:rFonts w:ascii="Verdana" w:hAnsi="Verdana"/>
                <w:sz w:val="22"/>
                <w:szCs w:val="22"/>
              </w:rPr>
            </w:pPr>
            <w:r w:rsidRPr="00DD7472">
              <w:rPr>
                <w:rFonts w:ascii="Verdana" w:hAnsi="Verdana"/>
                <w:sz w:val="22"/>
                <w:szCs w:val="22"/>
              </w:rPr>
              <w:t>Ley</w:t>
            </w:r>
            <w:r w:rsidRPr="00DD7472">
              <w:rPr>
                <w:rFonts w:ascii="Verdana" w:hAnsi="Verdana"/>
                <w:spacing w:val="-9"/>
                <w:sz w:val="22"/>
                <w:szCs w:val="22"/>
              </w:rPr>
              <w:t xml:space="preserve"> </w:t>
            </w:r>
            <w:r w:rsidRPr="00DD7472">
              <w:rPr>
                <w:rFonts w:ascii="Verdana" w:hAnsi="Verdana"/>
                <w:sz w:val="22"/>
                <w:szCs w:val="22"/>
              </w:rPr>
              <w:t>1150</w:t>
            </w:r>
            <w:r w:rsidRPr="00DD7472">
              <w:rPr>
                <w:rFonts w:ascii="Verdana" w:hAnsi="Verdana"/>
                <w:spacing w:val="-9"/>
                <w:sz w:val="22"/>
                <w:szCs w:val="22"/>
              </w:rPr>
              <w:t xml:space="preserve"> </w:t>
            </w:r>
            <w:r w:rsidRPr="00DD7472">
              <w:rPr>
                <w:rFonts w:ascii="Verdana" w:hAnsi="Verdana"/>
                <w:sz w:val="22"/>
                <w:szCs w:val="22"/>
              </w:rPr>
              <w:t>de</w:t>
            </w:r>
            <w:r w:rsidRPr="00DD7472">
              <w:rPr>
                <w:rFonts w:ascii="Verdana" w:hAnsi="Verdana"/>
                <w:spacing w:val="-8"/>
                <w:sz w:val="22"/>
                <w:szCs w:val="22"/>
              </w:rPr>
              <w:t xml:space="preserve"> </w:t>
            </w:r>
            <w:r w:rsidRPr="00DD7472">
              <w:rPr>
                <w:rFonts w:ascii="Verdana" w:hAnsi="Verdana"/>
                <w:sz w:val="22"/>
                <w:szCs w:val="22"/>
              </w:rPr>
              <w:t>2007,</w:t>
            </w:r>
            <w:r w:rsidRPr="00DD7472">
              <w:rPr>
                <w:rFonts w:ascii="Verdana" w:hAnsi="Verdana"/>
                <w:spacing w:val="-9"/>
                <w:sz w:val="22"/>
                <w:szCs w:val="22"/>
              </w:rPr>
              <w:t xml:space="preserve"> </w:t>
            </w:r>
            <w:r w:rsidRPr="00DD7472">
              <w:rPr>
                <w:rFonts w:ascii="Verdana" w:hAnsi="Verdana"/>
                <w:sz w:val="22"/>
                <w:szCs w:val="22"/>
              </w:rPr>
              <w:t>artículo</w:t>
            </w:r>
            <w:r w:rsidRPr="00DD7472">
              <w:rPr>
                <w:rFonts w:ascii="Verdana" w:hAnsi="Verdana"/>
                <w:spacing w:val="-8"/>
                <w:sz w:val="22"/>
                <w:szCs w:val="22"/>
              </w:rPr>
              <w:t xml:space="preserve"> </w:t>
            </w:r>
            <w:r w:rsidRPr="00DD7472">
              <w:rPr>
                <w:rFonts w:ascii="Verdana" w:hAnsi="Verdana"/>
                <w:spacing w:val="-5"/>
                <w:sz w:val="22"/>
                <w:szCs w:val="22"/>
              </w:rPr>
              <w:t>23</w:t>
            </w:r>
          </w:p>
          <w:p w14:paraId="05F3C00D" w14:textId="77777777" w:rsidR="00DC77FB" w:rsidRPr="00DD7472" w:rsidRDefault="00DC77FB" w:rsidP="00DC77FB">
            <w:pPr>
              <w:pStyle w:val="Textoindependiente"/>
              <w:widowControl w:val="0"/>
              <w:numPr>
                <w:ilvl w:val="0"/>
                <w:numId w:val="18"/>
              </w:numPr>
              <w:tabs>
                <w:tab w:val="left" w:pos="822"/>
              </w:tabs>
              <w:autoSpaceDE w:val="0"/>
              <w:autoSpaceDN w:val="0"/>
              <w:spacing w:before="38" w:beforeAutospacing="0" w:after="0" w:afterAutospacing="0"/>
              <w:rPr>
                <w:rFonts w:ascii="Verdana" w:hAnsi="Verdana"/>
                <w:sz w:val="22"/>
                <w:szCs w:val="22"/>
              </w:rPr>
            </w:pPr>
            <w:r w:rsidRPr="00DD7472">
              <w:rPr>
                <w:rFonts w:ascii="Verdana" w:hAnsi="Verdana"/>
                <w:sz w:val="22"/>
                <w:szCs w:val="22"/>
              </w:rPr>
              <w:t>Ley</w:t>
            </w:r>
            <w:r w:rsidRPr="00DD7472">
              <w:rPr>
                <w:rFonts w:ascii="Verdana" w:hAnsi="Verdana"/>
                <w:spacing w:val="-9"/>
                <w:sz w:val="22"/>
                <w:szCs w:val="22"/>
              </w:rPr>
              <w:t xml:space="preserve"> </w:t>
            </w:r>
            <w:r w:rsidRPr="00DD7472">
              <w:rPr>
                <w:rFonts w:ascii="Verdana" w:hAnsi="Verdana"/>
                <w:sz w:val="22"/>
                <w:szCs w:val="22"/>
              </w:rPr>
              <w:t>789</w:t>
            </w:r>
            <w:r w:rsidRPr="00DD7472">
              <w:rPr>
                <w:rFonts w:ascii="Verdana" w:hAnsi="Verdana"/>
                <w:spacing w:val="-8"/>
                <w:sz w:val="22"/>
                <w:szCs w:val="22"/>
              </w:rPr>
              <w:t xml:space="preserve"> </w:t>
            </w:r>
            <w:r w:rsidRPr="00DD7472">
              <w:rPr>
                <w:rFonts w:ascii="Verdana" w:hAnsi="Verdana"/>
                <w:sz w:val="22"/>
                <w:szCs w:val="22"/>
              </w:rPr>
              <w:t>de</w:t>
            </w:r>
            <w:r w:rsidRPr="00DD7472">
              <w:rPr>
                <w:rFonts w:ascii="Verdana" w:hAnsi="Verdana"/>
                <w:spacing w:val="-8"/>
                <w:sz w:val="22"/>
                <w:szCs w:val="22"/>
              </w:rPr>
              <w:t xml:space="preserve"> </w:t>
            </w:r>
            <w:r w:rsidRPr="00DD7472">
              <w:rPr>
                <w:rFonts w:ascii="Verdana" w:hAnsi="Verdana"/>
                <w:sz w:val="22"/>
                <w:szCs w:val="22"/>
              </w:rPr>
              <w:t>2002,</w:t>
            </w:r>
            <w:r w:rsidRPr="00DD7472">
              <w:rPr>
                <w:rFonts w:ascii="Verdana" w:hAnsi="Verdana"/>
                <w:spacing w:val="-8"/>
                <w:sz w:val="22"/>
                <w:szCs w:val="22"/>
              </w:rPr>
              <w:t xml:space="preserve"> </w:t>
            </w:r>
            <w:r w:rsidRPr="00DD7472">
              <w:rPr>
                <w:rFonts w:ascii="Verdana" w:hAnsi="Verdana"/>
                <w:sz w:val="22"/>
                <w:szCs w:val="22"/>
              </w:rPr>
              <w:t>artículo</w:t>
            </w:r>
            <w:r w:rsidRPr="00DD7472">
              <w:rPr>
                <w:rFonts w:ascii="Verdana" w:hAnsi="Verdana"/>
                <w:spacing w:val="-8"/>
                <w:sz w:val="22"/>
                <w:szCs w:val="22"/>
              </w:rPr>
              <w:t xml:space="preserve"> </w:t>
            </w:r>
            <w:r w:rsidRPr="00DD7472">
              <w:rPr>
                <w:rFonts w:ascii="Verdana" w:hAnsi="Verdana"/>
                <w:spacing w:val="-5"/>
                <w:sz w:val="22"/>
                <w:szCs w:val="22"/>
              </w:rPr>
              <w:t>50</w:t>
            </w:r>
          </w:p>
          <w:p w14:paraId="731B6DFD" w14:textId="77777777" w:rsidR="00DC77FB" w:rsidRPr="00DD7472" w:rsidRDefault="00DC77FB" w:rsidP="00DC77FB">
            <w:pPr>
              <w:pStyle w:val="Textoindependiente"/>
              <w:widowControl w:val="0"/>
              <w:numPr>
                <w:ilvl w:val="0"/>
                <w:numId w:val="18"/>
              </w:numPr>
              <w:tabs>
                <w:tab w:val="left" w:pos="822"/>
              </w:tabs>
              <w:autoSpaceDE w:val="0"/>
              <w:autoSpaceDN w:val="0"/>
              <w:spacing w:before="38" w:beforeAutospacing="0" w:after="0" w:afterAutospacing="0"/>
              <w:rPr>
                <w:rFonts w:ascii="Verdana" w:hAnsi="Verdana"/>
                <w:sz w:val="22"/>
                <w:szCs w:val="22"/>
              </w:rPr>
            </w:pPr>
            <w:r w:rsidRPr="00DD7472">
              <w:rPr>
                <w:rFonts w:ascii="Verdana" w:hAnsi="Verdana"/>
                <w:sz w:val="22"/>
                <w:szCs w:val="22"/>
              </w:rPr>
              <w:t>Ley</w:t>
            </w:r>
            <w:r w:rsidRPr="00DD7472">
              <w:rPr>
                <w:rFonts w:ascii="Verdana" w:hAnsi="Verdana"/>
                <w:spacing w:val="-9"/>
                <w:sz w:val="22"/>
                <w:szCs w:val="22"/>
              </w:rPr>
              <w:t xml:space="preserve"> </w:t>
            </w:r>
            <w:r w:rsidRPr="00DD7472">
              <w:rPr>
                <w:rFonts w:ascii="Verdana" w:hAnsi="Verdana"/>
                <w:sz w:val="22"/>
                <w:szCs w:val="22"/>
              </w:rPr>
              <w:t>797</w:t>
            </w:r>
            <w:r w:rsidRPr="00DD7472">
              <w:rPr>
                <w:rFonts w:ascii="Verdana" w:hAnsi="Verdana"/>
                <w:spacing w:val="-8"/>
                <w:sz w:val="22"/>
                <w:szCs w:val="22"/>
              </w:rPr>
              <w:t xml:space="preserve"> </w:t>
            </w:r>
            <w:r w:rsidRPr="00DD7472">
              <w:rPr>
                <w:rFonts w:ascii="Verdana" w:hAnsi="Verdana"/>
                <w:sz w:val="22"/>
                <w:szCs w:val="22"/>
              </w:rPr>
              <w:t>de</w:t>
            </w:r>
            <w:r w:rsidRPr="00DD7472">
              <w:rPr>
                <w:rFonts w:ascii="Verdana" w:hAnsi="Verdana"/>
                <w:spacing w:val="-8"/>
                <w:sz w:val="22"/>
                <w:szCs w:val="22"/>
              </w:rPr>
              <w:t xml:space="preserve"> </w:t>
            </w:r>
            <w:r w:rsidRPr="00DD7472">
              <w:rPr>
                <w:rFonts w:ascii="Verdana" w:hAnsi="Verdana"/>
                <w:sz w:val="22"/>
                <w:szCs w:val="22"/>
              </w:rPr>
              <w:t>2003,</w:t>
            </w:r>
            <w:r w:rsidRPr="00DD7472">
              <w:rPr>
                <w:rFonts w:ascii="Verdana" w:hAnsi="Verdana"/>
                <w:spacing w:val="-8"/>
                <w:sz w:val="22"/>
                <w:szCs w:val="22"/>
              </w:rPr>
              <w:t xml:space="preserve"> </w:t>
            </w:r>
            <w:r w:rsidRPr="00DD7472">
              <w:rPr>
                <w:rFonts w:ascii="Verdana" w:hAnsi="Verdana"/>
                <w:sz w:val="22"/>
                <w:szCs w:val="22"/>
              </w:rPr>
              <w:t>artículo</w:t>
            </w:r>
            <w:r w:rsidRPr="00DD7472">
              <w:rPr>
                <w:rFonts w:ascii="Verdana" w:hAnsi="Verdana"/>
                <w:spacing w:val="-8"/>
                <w:sz w:val="22"/>
                <w:szCs w:val="22"/>
              </w:rPr>
              <w:t xml:space="preserve"> </w:t>
            </w:r>
            <w:r w:rsidRPr="00DD7472">
              <w:rPr>
                <w:rFonts w:ascii="Verdana" w:hAnsi="Verdana"/>
                <w:spacing w:val="-10"/>
                <w:sz w:val="22"/>
                <w:szCs w:val="22"/>
              </w:rPr>
              <w:t>5</w:t>
            </w:r>
          </w:p>
          <w:p w14:paraId="7E5776BF" w14:textId="77777777" w:rsidR="00DC77FB" w:rsidRPr="00DD7472" w:rsidRDefault="00DC77FB" w:rsidP="00DC77FB">
            <w:pPr>
              <w:pStyle w:val="Textoindependiente"/>
              <w:widowControl w:val="0"/>
              <w:numPr>
                <w:ilvl w:val="0"/>
                <w:numId w:val="18"/>
              </w:numPr>
              <w:tabs>
                <w:tab w:val="left" w:pos="822"/>
              </w:tabs>
              <w:autoSpaceDE w:val="0"/>
              <w:autoSpaceDN w:val="0"/>
              <w:spacing w:before="38" w:beforeAutospacing="0" w:after="0" w:afterAutospacing="0"/>
              <w:rPr>
                <w:rFonts w:ascii="Verdana" w:hAnsi="Verdana"/>
                <w:sz w:val="22"/>
                <w:szCs w:val="22"/>
                <w:lang w:val="pt-PT"/>
              </w:rPr>
            </w:pPr>
            <w:r w:rsidRPr="00DD7472">
              <w:rPr>
                <w:rFonts w:ascii="Verdana" w:hAnsi="Verdana" w:cs="Arial"/>
                <w:sz w:val="22"/>
                <w:szCs w:val="22"/>
                <w:lang w:val="pt-PT"/>
              </w:rPr>
              <w:t>Sentencia C277 de 2019, Corte constitucional.</w:t>
            </w:r>
          </w:p>
          <w:p w14:paraId="7C7376B1" w14:textId="77777777" w:rsidR="00DC77FB" w:rsidRPr="00DD7472" w:rsidRDefault="00DC77FB" w:rsidP="00DC77FB">
            <w:pPr>
              <w:pStyle w:val="Textoindependiente"/>
              <w:widowControl w:val="0"/>
              <w:numPr>
                <w:ilvl w:val="0"/>
                <w:numId w:val="18"/>
              </w:numPr>
              <w:tabs>
                <w:tab w:val="left" w:pos="822"/>
              </w:tabs>
              <w:autoSpaceDE w:val="0"/>
              <w:autoSpaceDN w:val="0"/>
              <w:spacing w:before="38" w:beforeAutospacing="0" w:after="0" w:afterAutospacing="0"/>
              <w:rPr>
                <w:rFonts w:ascii="Verdana" w:hAnsi="Verdana"/>
                <w:sz w:val="22"/>
                <w:szCs w:val="22"/>
                <w:lang w:val="pt-PT"/>
              </w:rPr>
            </w:pPr>
            <w:r w:rsidRPr="00DD7472">
              <w:rPr>
                <w:rFonts w:ascii="Verdana" w:hAnsi="Verdana" w:cs="Arial"/>
                <w:sz w:val="22"/>
                <w:szCs w:val="22"/>
              </w:rPr>
              <w:t>Sentencia T 313 de 5 de septiembre de 2022, Corte constitucional.</w:t>
            </w:r>
          </w:p>
        </w:tc>
      </w:tr>
    </w:tbl>
    <w:p w14:paraId="55987570" w14:textId="77777777" w:rsidR="00DC77FB" w:rsidRPr="00EB1CF7" w:rsidRDefault="00DC77FB" w:rsidP="00DC77FB">
      <w:pPr>
        <w:widowControl w:val="0"/>
        <w:autoSpaceDE w:val="0"/>
        <w:autoSpaceDN w:val="0"/>
        <w:spacing w:after="0" w:line="276" w:lineRule="auto"/>
        <w:jc w:val="both"/>
        <w:rPr>
          <w:rFonts w:ascii="Verdana" w:hAnsi="Verdana" w:cs="Arial"/>
        </w:rPr>
      </w:pPr>
    </w:p>
    <w:p w14:paraId="54DE1EBB" w14:textId="77777777" w:rsidR="00DC77FB" w:rsidRPr="00EB1CF7" w:rsidRDefault="00DC77FB" w:rsidP="00DC77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lastRenderedPageBreak/>
        <w:t>Doctrina de la Agencia Nacional de Contratación Pública:</w:t>
      </w:r>
    </w:p>
    <w:p w14:paraId="684DCBFD" w14:textId="77777777" w:rsidR="00DC77FB" w:rsidRPr="00EB1CF7" w:rsidRDefault="00DC77FB" w:rsidP="00DC77FB">
      <w:pPr>
        <w:widowControl w:val="0"/>
        <w:autoSpaceDE w:val="0"/>
        <w:autoSpaceDN w:val="0"/>
        <w:spacing w:after="0" w:line="276" w:lineRule="auto"/>
        <w:jc w:val="both"/>
        <w:rPr>
          <w:rFonts w:ascii="Verdana" w:hAnsi="Verdana" w:cs="Arial"/>
        </w:rPr>
      </w:pPr>
    </w:p>
    <w:p w14:paraId="0B97A3DF" w14:textId="77777777" w:rsidR="00DC77FB" w:rsidRDefault="00DC77FB" w:rsidP="00DC77FB">
      <w:pPr>
        <w:jc w:val="both"/>
        <w:rPr>
          <w:rFonts w:ascii="Verdana" w:hAnsi="Verdana"/>
        </w:rPr>
      </w:pPr>
      <w:r w:rsidRPr="00464A14">
        <w:rPr>
          <w:rFonts w:ascii="Verdana" w:eastAsia="Calibri" w:hAnsi="Verdana" w:cs="Arial"/>
          <w:bCs/>
          <w:shd w:val="clear" w:color="auto" w:fill="FFFFFF"/>
        </w:rPr>
        <w:t>La Agencia Nacional de Contratación Pública – Colombia Compra Eficiente se ha pronunciado sobre el artículo 42 de la Ley 1861 de 2017 en los conceptos con radicados Nos. 4201912000006434 del 31 de octubre de 2019, 4201912000007914 y 4201912000007922 del 26 de diciembre del 2019; y en los conceptos C-068 del 28 de febrero de 2020, C-620 del 22 de septiembre de 2020, C-089 de 2021</w:t>
      </w:r>
      <w:r>
        <w:rPr>
          <w:rFonts w:ascii="Verdana" w:eastAsia="Calibri" w:hAnsi="Verdana" w:cs="Arial"/>
          <w:bCs/>
          <w:shd w:val="clear" w:color="auto" w:fill="FFFFFF"/>
        </w:rPr>
        <w:t xml:space="preserve"> y </w:t>
      </w:r>
      <w:r w:rsidRPr="00464A14">
        <w:rPr>
          <w:rFonts w:ascii="Verdana" w:eastAsia="Calibri" w:hAnsi="Verdana" w:cs="Arial"/>
          <w:bCs/>
          <w:shd w:val="clear" w:color="auto" w:fill="FFFFFF"/>
        </w:rPr>
        <w:t>C-336 del 21 de julio de 2021</w:t>
      </w:r>
      <w:r>
        <w:rPr>
          <w:rFonts w:ascii="Verdana" w:eastAsia="Calibri" w:hAnsi="Verdana" w:cs="Arial"/>
          <w:bCs/>
          <w:shd w:val="clear" w:color="auto" w:fill="FFFFFF"/>
        </w:rPr>
        <w:t xml:space="preserve">, </w:t>
      </w:r>
      <w:r w:rsidRPr="00464A14">
        <w:rPr>
          <w:rFonts w:ascii="Verdana" w:eastAsia="Calibri" w:hAnsi="Verdana" w:cs="Arial"/>
          <w:bCs/>
          <w:shd w:val="clear" w:color="auto" w:fill="FFFFFF"/>
        </w:rPr>
        <w:t>C-628 de 29 de septiembre de 2022</w:t>
      </w:r>
      <w:r>
        <w:rPr>
          <w:rFonts w:ascii="Verdana" w:eastAsia="Calibri" w:hAnsi="Verdana" w:cs="Arial"/>
          <w:bCs/>
          <w:shd w:val="clear" w:color="auto" w:fill="FFFFFF"/>
        </w:rPr>
        <w:t>,</w:t>
      </w:r>
      <w:r w:rsidRPr="00464A14">
        <w:rPr>
          <w:rFonts w:ascii="Verdana" w:eastAsia="Calibri" w:hAnsi="Verdana" w:cs="Arial"/>
          <w:bCs/>
          <w:shd w:val="clear" w:color="auto" w:fill="FFFFFF"/>
        </w:rPr>
        <w:t xml:space="preserve"> C-653 del 11 de octubre de 2022 </w:t>
      </w:r>
      <w:r>
        <w:rPr>
          <w:rFonts w:ascii="Verdana" w:eastAsia="Calibri" w:hAnsi="Verdana" w:cs="Arial"/>
          <w:bCs/>
          <w:shd w:val="clear" w:color="auto" w:fill="FFFFFF"/>
        </w:rPr>
        <w:t>y C-944 de enero de 2023</w:t>
      </w:r>
      <w:r>
        <w:rPr>
          <w:rFonts w:ascii="Verdana" w:eastAsia="Calibri" w:hAnsi="Verdana" w:cs="Arial"/>
          <w:shd w:val="clear" w:color="auto" w:fill="FFFFFF"/>
          <w:lang w:val="es-ES"/>
        </w:rPr>
        <w:t>.</w:t>
      </w:r>
      <w:r>
        <w:rPr>
          <w:rFonts w:ascii="Verdana" w:hAnsi="Verdana"/>
        </w:rPr>
        <w:t xml:space="preserve"> </w:t>
      </w:r>
    </w:p>
    <w:p w14:paraId="53765842" w14:textId="77777777" w:rsidR="00DC77FB" w:rsidRPr="00DD7472" w:rsidRDefault="00DC77FB" w:rsidP="00DC77FB">
      <w:pPr>
        <w:jc w:val="both"/>
        <w:rPr>
          <w:rFonts w:ascii="Verdana" w:hAnsi="Verdana"/>
        </w:rPr>
      </w:pPr>
      <w:r w:rsidRPr="00DD7472">
        <w:rPr>
          <w:rFonts w:ascii="Verdana" w:hAnsi="Verdana"/>
        </w:rPr>
        <w:t>Ahora bien, respecto a la Acreditación de estar al día con los pagos de lo equivalente a la seguridad social conceptos con radicados 42019130000005594 de 30 de septiembre de 2019, 4201913000006384 de 21 de octubre de 2019, 4201912000007492 de 17 de diciembre</w:t>
      </w:r>
      <w:r w:rsidRPr="00DD7472">
        <w:rPr>
          <w:rFonts w:ascii="Verdana" w:hAnsi="Verdana"/>
          <w:spacing w:val="-1"/>
        </w:rPr>
        <w:t xml:space="preserve"> </w:t>
      </w:r>
      <w:r w:rsidRPr="00DD7472">
        <w:rPr>
          <w:rFonts w:ascii="Verdana" w:hAnsi="Verdana"/>
        </w:rPr>
        <w:t>de</w:t>
      </w:r>
      <w:r w:rsidRPr="00DD7472">
        <w:rPr>
          <w:rFonts w:ascii="Verdana" w:hAnsi="Verdana"/>
          <w:spacing w:val="-3"/>
        </w:rPr>
        <w:t xml:space="preserve"> </w:t>
      </w:r>
      <w:r w:rsidRPr="00DD7472">
        <w:rPr>
          <w:rFonts w:ascii="Verdana" w:hAnsi="Verdana"/>
        </w:rPr>
        <w:t>2019,</w:t>
      </w:r>
      <w:r w:rsidRPr="00DD7472">
        <w:rPr>
          <w:rFonts w:ascii="Verdana" w:hAnsi="Verdana"/>
          <w:spacing w:val="-2"/>
        </w:rPr>
        <w:t xml:space="preserve"> </w:t>
      </w:r>
      <w:r w:rsidRPr="00DD7472">
        <w:rPr>
          <w:rFonts w:ascii="Verdana" w:hAnsi="Verdana"/>
        </w:rPr>
        <w:t>C-040</w:t>
      </w:r>
      <w:r w:rsidRPr="00DD7472">
        <w:rPr>
          <w:rFonts w:ascii="Verdana" w:hAnsi="Verdana"/>
          <w:spacing w:val="-2"/>
        </w:rPr>
        <w:t xml:space="preserve"> </w:t>
      </w:r>
      <w:r w:rsidRPr="00DD7472">
        <w:rPr>
          <w:rFonts w:ascii="Verdana" w:hAnsi="Verdana"/>
        </w:rPr>
        <w:t>de</w:t>
      </w:r>
      <w:r w:rsidRPr="00DD7472">
        <w:rPr>
          <w:rFonts w:ascii="Verdana" w:hAnsi="Verdana"/>
          <w:spacing w:val="-3"/>
        </w:rPr>
        <w:t xml:space="preserve"> </w:t>
      </w:r>
      <w:r w:rsidRPr="00DD7472">
        <w:rPr>
          <w:rFonts w:ascii="Verdana" w:hAnsi="Verdana"/>
        </w:rPr>
        <w:t>5</w:t>
      </w:r>
      <w:r w:rsidRPr="00DD7472">
        <w:rPr>
          <w:rFonts w:ascii="Verdana" w:hAnsi="Verdana"/>
          <w:spacing w:val="-3"/>
        </w:rPr>
        <w:t xml:space="preserve"> </w:t>
      </w:r>
      <w:r w:rsidRPr="00DD7472">
        <w:rPr>
          <w:rFonts w:ascii="Verdana" w:hAnsi="Verdana"/>
        </w:rPr>
        <w:t>de</w:t>
      </w:r>
      <w:r w:rsidRPr="00DD7472">
        <w:rPr>
          <w:rFonts w:ascii="Verdana" w:hAnsi="Verdana"/>
          <w:spacing w:val="-3"/>
        </w:rPr>
        <w:t xml:space="preserve"> </w:t>
      </w:r>
      <w:r w:rsidRPr="00DD7472">
        <w:rPr>
          <w:rFonts w:ascii="Verdana" w:hAnsi="Verdana"/>
        </w:rPr>
        <w:t>febrero</w:t>
      </w:r>
      <w:r w:rsidRPr="00DD7472">
        <w:rPr>
          <w:rFonts w:ascii="Verdana" w:hAnsi="Verdana"/>
          <w:spacing w:val="-1"/>
        </w:rPr>
        <w:t xml:space="preserve"> </w:t>
      </w:r>
      <w:r w:rsidRPr="00DD7472">
        <w:rPr>
          <w:rFonts w:ascii="Verdana" w:hAnsi="Verdana"/>
        </w:rPr>
        <w:t>de</w:t>
      </w:r>
      <w:r w:rsidRPr="00DD7472">
        <w:rPr>
          <w:rFonts w:ascii="Verdana" w:hAnsi="Verdana"/>
          <w:spacing w:val="-3"/>
        </w:rPr>
        <w:t xml:space="preserve"> </w:t>
      </w:r>
      <w:r w:rsidRPr="00DD7472">
        <w:rPr>
          <w:rFonts w:ascii="Verdana" w:hAnsi="Verdana"/>
        </w:rPr>
        <w:t>2020</w:t>
      </w:r>
      <w:r w:rsidRPr="00DD7472">
        <w:rPr>
          <w:rFonts w:ascii="Verdana" w:hAnsi="Verdana"/>
          <w:spacing w:val="-2"/>
        </w:rPr>
        <w:t xml:space="preserve"> </w:t>
      </w:r>
      <w:r w:rsidRPr="00DD7472">
        <w:rPr>
          <w:rFonts w:ascii="Verdana" w:hAnsi="Verdana"/>
        </w:rPr>
        <w:t>y,</w:t>
      </w:r>
      <w:r w:rsidRPr="00DD7472">
        <w:rPr>
          <w:rFonts w:ascii="Verdana" w:hAnsi="Verdana"/>
          <w:spacing w:val="-3"/>
        </w:rPr>
        <w:t xml:space="preserve"> </w:t>
      </w:r>
      <w:r w:rsidRPr="00DD7472">
        <w:rPr>
          <w:rFonts w:ascii="Verdana" w:hAnsi="Verdana"/>
        </w:rPr>
        <w:t>C-042</w:t>
      </w:r>
      <w:r w:rsidRPr="00DD7472">
        <w:rPr>
          <w:rFonts w:ascii="Verdana" w:hAnsi="Verdana"/>
          <w:spacing w:val="-2"/>
        </w:rPr>
        <w:t xml:space="preserve"> </w:t>
      </w:r>
      <w:r w:rsidRPr="00DD7472">
        <w:rPr>
          <w:rFonts w:ascii="Verdana" w:hAnsi="Verdana"/>
        </w:rPr>
        <w:t>de</w:t>
      </w:r>
      <w:r w:rsidRPr="00DD7472">
        <w:rPr>
          <w:rFonts w:ascii="Verdana" w:hAnsi="Verdana"/>
          <w:spacing w:val="-3"/>
        </w:rPr>
        <w:t xml:space="preserve"> </w:t>
      </w:r>
      <w:r w:rsidRPr="00DD7472">
        <w:rPr>
          <w:rFonts w:ascii="Verdana" w:hAnsi="Verdana"/>
        </w:rPr>
        <w:t>5</w:t>
      </w:r>
      <w:r w:rsidRPr="00DD7472">
        <w:rPr>
          <w:rFonts w:ascii="Verdana" w:hAnsi="Verdana"/>
          <w:spacing w:val="-3"/>
        </w:rPr>
        <w:t xml:space="preserve"> </w:t>
      </w:r>
      <w:r w:rsidRPr="00DD7472">
        <w:rPr>
          <w:rFonts w:ascii="Verdana" w:hAnsi="Verdana"/>
        </w:rPr>
        <w:t>de</w:t>
      </w:r>
      <w:r w:rsidRPr="00DD7472">
        <w:rPr>
          <w:rFonts w:ascii="Verdana" w:hAnsi="Verdana"/>
          <w:spacing w:val="-3"/>
        </w:rPr>
        <w:t xml:space="preserve"> </w:t>
      </w:r>
      <w:r w:rsidRPr="00DD7472">
        <w:rPr>
          <w:rFonts w:ascii="Verdana" w:hAnsi="Verdana"/>
        </w:rPr>
        <w:t>febrero</w:t>
      </w:r>
      <w:r w:rsidRPr="00DD7472">
        <w:rPr>
          <w:rFonts w:ascii="Verdana" w:hAnsi="Verdana"/>
          <w:spacing w:val="-1"/>
        </w:rPr>
        <w:t xml:space="preserve"> </w:t>
      </w:r>
      <w:r w:rsidRPr="00DD7472">
        <w:rPr>
          <w:rFonts w:ascii="Verdana" w:hAnsi="Verdana"/>
        </w:rPr>
        <w:t>de 2020, C-205 del 07 de abril de 2020, C-134 del 07 de abril de 2021, C-181 de 7 de abril de 2022, C-679 del 14 de octubre de 2022, C – 778 del 29 de noviembre de 2022 , C-273 del 22 de agosto de 2024 y C-779 del 12 de noviembre de 2024</w:t>
      </w:r>
      <w:r>
        <w:rPr>
          <w:rFonts w:ascii="Verdana" w:hAnsi="Verdana"/>
        </w:rPr>
        <w:t xml:space="preserve">; </w:t>
      </w:r>
      <w:r w:rsidRPr="00DD7472">
        <w:rPr>
          <w:rFonts w:ascii="Verdana" w:hAnsi="Verdana" w:cs="Arial"/>
          <w:shd w:val="clear" w:color="auto" w:fill="FFFFFF"/>
        </w:rPr>
        <w:t>Estos y otros conceptos se encuentran disponibles para consulta en el Sistema de Relatoría</w:t>
      </w:r>
      <w:r w:rsidRPr="005A267A">
        <w:rPr>
          <w:rFonts w:ascii="Verdana" w:hAnsi="Verdana" w:cs="Arial"/>
          <w:shd w:val="clear" w:color="auto" w:fill="FFFFFF"/>
        </w:rPr>
        <w:t xml:space="preserve">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3"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7E24C94B" w14:textId="77777777" w:rsidR="00DC77FB" w:rsidRPr="00586FE0" w:rsidRDefault="00DC77FB" w:rsidP="00DC77FB">
      <w:pPr>
        <w:widowControl w:val="0"/>
        <w:autoSpaceDE w:val="0"/>
        <w:autoSpaceDN w:val="0"/>
        <w:spacing w:after="0" w:line="276" w:lineRule="auto"/>
        <w:jc w:val="both"/>
        <w:rPr>
          <w:rFonts w:ascii="Verdana" w:hAnsi="Verdana" w:cs="Arial"/>
          <w:color w:val="000000" w:themeColor="text1"/>
          <w:shd w:val="clear" w:color="auto" w:fill="FFFFFF"/>
        </w:rPr>
      </w:pPr>
      <w:r w:rsidRPr="00E16F2A">
        <w:rPr>
          <w:rFonts w:ascii="Verdana" w:eastAsia="Calibri" w:hAnsi="Verdana" w:cs="Arial"/>
          <w:color w:val="000000" w:themeColor="text1"/>
        </w:rPr>
        <w:t>Le informamos que ya se encuentra disponible la </w:t>
      </w:r>
      <w:r w:rsidRPr="00E16F2A">
        <w:rPr>
          <w:rFonts w:ascii="Verdana" w:eastAsia="Calibri" w:hAnsi="Verdana" w:cs="Arial"/>
          <w:b/>
          <w:bCs/>
          <w:color w:val="000000" w:themeColor="text1"/>
        </w:rPr>
        <w:t>Guía para el manejo de ofertas artificialmente bajas en Procesos de Contratación.</w:t>
      </w:r>
      <w:r w:rsidRPr="00E16F2A">
        <w:rPr>
          <w:rFonts w:ascii="Verdana" w:eastAsia="Calibri" w:hAnsi="Verdana" w:cs="Arial"/>
          <w:color w:val="000000" w:themeColor="text1"/>
        </w:rPr>
        <w:t xml:space="preserve"> En </w:t>
      </w:r>
      <w:proofErr w:type="gramStart"/>
      <w:r w:rsidRPr="00E16F2A">
        <w:rPr>
          <w:rFonts w:ascii="Verdana" w:eastAsia="Calibri" w:hAnsi="Verdana" w:cs="Arial"/>
          <w:color w:val="000000" w:themeColor="text1"/>
        </w:rPr>
        <w:t>este  documento</w:t>
      </w:r>
      <w:proofErr w:type="gramEnd"/>
      <w:r w:rsidRPr="00E16F2A">
        <w:rPr>
          <w:rFonts w:ascii="Verdana" w:eastAsia="Calibri" w:hAnsi="Verdana" w:cs="Arial"/>
          <w:color w:val="000000" w:themeColor="text1"/>
        </w:rPr>
        <w:t xml:space="preserve"> podrás consultar una serie de pautas para el manejo ofertas artificialmente bajas, en línea con las mejores prácticas internacionales en la materia. Puede consultar la versión actualizada en el siguiente enlace: </w:t>
      </w:r>
      <w:hyperlink r:id="rId14" w:tgtFrame="_blank" w:tooltip="Dirección URL original: https://www.colombiacompra.gov.co/manuales-guias-y-pliegos-tipo/manuales-y-guias/guia-para-el-manejo-de-ofertas-artificialmente-baja-0. Haga clic o pulse si confía en este vínculo." w:history="1">
        <w:r w:rsidRPr="00E16F2A">
          <w:rPr>
            <w:rStyle w:val="Hipervnculo"/>
            <w:rFonts w:ascii="Verdana" w:eastAsia="Calibri" w:hAnsi="Verdana" w:cs="Arial"/>
          </w:rPr>
          <w:t>https://www.colombiacompra.gov.co/manuales-guias-y-pliegos-tipo/manuales-y-guias/guia-para-el-manejo-de-ofertas-artificialmente-baja-0</w:t>
        </w:r>
      </w:hyperlink>
      <w:r w:rsidRPr="00E16F2A">
        <w:rPr>
          <w:rFonts w:ascii="Verdana" w:eastAsia="Calibri" w:hAnsi="Verdana" w:cs="Arial"/>
          <w:color w:val="000000" w:themeColor="text1"/>
          <w:u w:val="single"/>
        </w:rPr>
        <w:t> </w:t>
      </w:r>
    </w:p>
    <w:p w14:paraId="644B42F9" w14:textId="77777777" w:rsidR="00DC77FB" w:rsidRPr="00E16F2A" w:rsidRDefault="00DC77FB" w:rsidP="00DC77FB">
      <w:pPr>
        <w:spacing w:after="0" w:line="240" w:lineRule="auto"/>
        <w:jc w:val="both"/>
        <w:rPr>
          <w:rFonts w:ascii="Verdana" w:eastAsia="Calibri" w:hAnsi="Verdana" w:cs="Arial"/>
          <w:color w:val="000000" w:themeColor="text1"/>
        </w:rPr>
      </w:pPr>
      <w:r w:rsidRPr="00E16F2A">
        <w:rPr>
          <w:rFonts w:ascii="Verdana" w:eastAsia="Calibri" w:hAnsi="Verdana" w:cs="Arial"/>
          <w:color w:val="000000" w:themeColor="text1"/>
        </w:rPr>
        <w:t>De otra parte, te contamos que ya publicamos la </w:t>
      </w:r>
      <w:r w:rsidRPr="00E16F2A">
        <w:rPr>
          <w:rFonts w:ascii="Verdana" w:eastAsia="Calibri" w:hAnsi="Verdana" w:cs="Arial"/>
          <w:b/>
          <w:bCs/>
          <w:color w:val="000000" w:themeColor="text1"/>
        </w:rPr>
        <w:t>Guía para incentivar la participación de Mujeres en el Sistema de Compras y Contratación Pública</w:t>
      </w:r>
      <w:r w:rsidRPr="00E16F2A">
        <w:rPr>
          <w:rFonts w:ascii="Verdana" w:eastAsia="Calibri" w:hAnsi="Verdana" w:cs="Arial"/>
          <w:color w:val="000000" w:themeColor="text1"/>
        </w:rPr>
        <w:t>. Esta guía tiene como finalidad ofrecer información de valor para que las Entidades Estatales fomenten de manera efectiva la participación de las mujeres en el mercado de compras públicas. Puedes consultar la guía en el siguiente enlace: </w:t>
      </w:r>
      <w:hyperlink r:id="rId15" w:tgtFrame="_blank" w:tooltip="Dirección URL original: https://www.colombiacompra.gov.co/manuales-guias-y-pliegos-tipo/manuales-y-guias/guia-para-incentivar-la-participacion-de-las-mujeres. Haga clic o pulse si confía en este vínculo." w:history="1">
        <w:r w:rsidRPr="00E16F2A">
          <w:rPr>
            <w:rStyle w:val="Hipervnculo"/>
            <w:rFonts w:ascii="Verdana" w:eastAsia="Calibri" w:hAnsi="Verdana" w:cs="Arial"/>
          </w:rPr>
          <w:t>https://www.colombiacompra.gov.co/manuales-guias-y-pliegos-tipo/manuales-y-guias/guia-para-incentivar-la-participacion-de-las-mujeres</w:t>
        </w:r>
      </w:hyperlink>
    </w:p>
    <w:p w14:paraId="365526B2" w14:textId="77777777" w:rsidR="00DC77FB" w:rsidRDefault="00DC77FB" w:rsidP="00DC77FB">
      <w:pPr>
        <w:spacing w:after="0" w:line="240" w:lineRule="auto"/>
        <w:jc w:val="both"/>
        <w:rPr>
          <w:rFonts w:ascii="Verdana" w:eastAsia="Calibri" w:hAnsi="Verdana" w:cs="Arial"/>
          <w:color w:val="000000" w:themeColor="text1"/>
          <w:lang w:val="es-MX"/>
        </w:rPr>
      </w:pPr>
      <w:r w:rsidRPr="00E16F2A">
        <w:rPr>
          <w:rFonts w:ascii="Verdana" w:eastAsia="Calibri" w:hAnsi="Verdana" w:cs="Arial"/>
          <w:color w:val="000000" w:themeColor="text1"/>
        </w:rPr>
        <w:lastRenderedPageBreak/>
        <w:t>También te invitamos a consultar la </w:t>
      </w:r>
      <w:r w:rsidRPr="00E16F2A">
        <w:rPr>
          <w:rFonts w:ascii="Verdana" w:eastAsia="Calibri" w:hAnsi="Verdana" w:cs="Arial"/>
          <w:b/>
          <w:bCs/>
          <w:color w:val="000000" w:themeColor="text1"/>
        </w:rPr>
        <w:t>versión VIII de 2024</w:t>
      </w:r>
      <w:r w:rsidRPr="00E16F2A">
        <w:rPr>
          <w:rFonts w:ascii="Verdana" w:eastAsia="Calibri" w:hAnsi="Verdana" w:cs="Arial"/>
          <w:color w:val="000000" w:themeColor="text1"/>
        </w:rPr>
        <w:t>, del </w:t>
      </w:r>
      <w:r w:rsidRPr="00E16F2A">
        <w:rPr>
          <w:rFonts w:ascii="Verdana" w:eastAsia="Calibri" w:hAnsi="Verdana" w:cs="Arial"/>
          <w:b/>
          <w:bCs/>
          <w:color w:val="000000" w:themeColor="text1"/>
        </w:rPr>
        <w:t>Boletín de Relatoría</w:t>
      </w:r>
      <w:r w:rsidRPr="00E16F2A">
        <w:rPr>
          <w:rFonts w:ascii="Verdana" w:eastAsia="Calibri" w:hAnsi="Verdana" w:cs="Arial"/>
          <w:color w:val="000000" w:themeColor="text1"/>
        </w:rPr>
        <w:t> de la Subdirección de Gestión Contractual relacionado con la participación de las MIPYMES en los procesos de compra y contratación pública, el cual se puede descargar en la página web de la Agencia: </w:t>
      </w:r>
      <w:hyperlink r:id="rId16" w:tgtFrame="_blank" w:tooltip="Dirección URL original: https://www.colombiacompra.gov.co/sites/cce_public/files/files_2020/boletin_de_realtoria_viii.pdf. Haga clic o pulse si confía en este vínculo." w:history="1">
        <w:r w:rsidRPr="00E16F2A">
          <w:rPr>
            <w:rStyle w:val="Hipervnculo"/>
            <w:rFonts w:ascii="Verdana" w:eastAsia="Calibri" w:hAnsi="Verdana" w:cs="Arial"/>
          </w:rPr>
          <w:t>https://www.colombiacompra.gov.co/sites/cce_public/files/files_2020/boletin_de_realtoria_viii.pdf</w:t>
        </w:r>
      </w:hyperlink>
    </w:p>
    <w:p w14:paraId="7BBA4524" w14:textId="77777777" w:rsidR="00DC77FB" w:rsidRPr="000471DA" w:rsidRDefault="00DC77FB" w:rsidP="00DC77FB">
      <w:pPr>
        <w:widowControl w:val="0"/>
        <w:autoSpaceDE w:val="0"/>
        <w:autoSpaceDN w:val="0"/>
        <w:spacing w:after="0" w:line="276" w:lineRule="auto"/>
        <w:jc w:val="both"/>
        <w:rPr>
          <w:rFonts w:ascii="Verdana" w:eastAsia="Calibri" w:hAnsi="Verdana" w:cs="Arial"/>
          <w:color w:val="000000" w:themeColor="text1"/>
          <w:lang w:val="es-MX"/>
        </w:rPr>
      </w:pPr>
    </w:p>
    <w:p w14:paraId="33FB650C" w14:textId="77777777" w:rsidR="00DC77FB" w:rsidRPr="00EB1CF7" w:rsidRDefault="00DC77FB" w:rsidP="00DC77FB">
      <w:pPr>
        <w:widowControl w:val="0"/>
        <w:autoSpaceDE w:val="0"/>
        <w:autoSpaceDN w:val="0"/>
        <w:spacing w:after="0" w:line="276" w:lineRule="auto"/>
        <w:jc w:val="both"/>
        <w:rPr>
          <w:rFonts w:ascii="Verdana" w:hAnsi="Verdana" w:cs="Arial"/>
          <w:lang w:val="es-ES_tradnl"/>
        </w:rPr>
      </w:pPr>
      <w:r w:rsidRPr="00EB1CF7">
        <w:rPr>
          <w:rFonts w:ascii="Verdana" w:hAnsi="Verdana" w:cs="Arial"/>
        </w:rPr>
        <w:t xml:space="preserve">Este concepto tiene el alcance previsto en el artículo 28 del Código de Procedimiento Administrativo y de lo Contencioso Administrativo </w:t>
      </w:r>
      <w:r w:rsidRPr="00EB1CF7">
        <w:rPr>
          <w:rFonts w:ascii="Verdana" w:hAnsi="Verdana" w:cs="Arial"/>
          <w:lang w:val="es-ES_tradnl"/>
        </w:rPr>
        <w:t>y las expresiones aquí utilizadas con mayúscula inicial deben ser entendidas con el significado que les otorga el artículo 2.2.1.1.1.3.1. del Decreto 1082 de 2015.</w:t>
      </w:r>
    </w:p>
    <w:p w14:paraId="4E6057A6" w14:textId="77777777" w:rsidR="00DC77FB" w:rsidRPr="00EB1CF7" w:rsidRDefault="00DC77FB" w:rsidP="00DC77FB">
      <w:pPr>
        <w:widowControl w:val="0"/>
        <w:autoSpaceDE w:val="0"/>
        <w:autoSpaceDN w:val="0"/>
        <w:spacing w:after="0" w:line="276" w:lineRule="auto"/>
        <w:jc w:val="both"/>
        <w:rPr>
          <w:rFonts w:ascii="Verdana" w:hAnsi="Verdana" w:cs="Arial"/>
        </w:rPr>
      </w:pPr>
    </w:p>
    <w:p w14:paraId="610F506C" w14:textId="77777777" w:rsidR="00DC77FB" w:rsidRPr="00EB1CF7" w:rsidRDefault="00DC77FB" w:rsidP="00DC77FB">
      <w:pPr>
        <w:spacing w:after="0" w:line="240" w:lineRule="auto"/>
        <w:rPr>
          <w:rFonts w:ascii="Verdana" w:hAnsi="Verdana" w:cs="Arial"/>
          <w:lang w:eastAsia="es-CO"/>
        </w:rPr>
      </w:pPr>
      <w:r w:rsidRPr="00EB1CF7">
        <w:rPr>
          <w:rFonts w:ascii="Verdana" w:eastAsia="Times New Roman" w:hAnsi="Verdana" w:cs="Arial"/>
          <w:lang w:eastAsia="es-CO"/>
        </w:rPr>
        <w:t>Atentamente,</w:t>
      </w:r>
      <w:r w:rsidRPr="00EB1CF7">
        <w:rPr>
          <w:rFonts w:ascii="Verdana" w:hAnsi="Verdana" w:cs="Arial"/>
          <w:lang w:eastAsia="es-CO"/>
        </w:rPr>
        <w:t xml:space="preserve"> </w:t>
      </w:r>
    </w:p>
    <w:p w14:paraId="238D2643" w14:textId="32F9B179" w:rsidR="00DC77FB" w:rsidRPr="00EB1CF7" w:rsidRDefault="00F902AD" w:rsidP="00DC77FB">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301A2CD9" wp14:editId="77375C0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C77FB" w:rsidRPr="00E4307F" w14:paraId="6E135D05" w14:textId="77777777" w:rsidTr="00507633">
        <w:trPr>
          <w:trHeight w:val="315"/>
        </w:trPr>
        <w:tc>
          <w:tcPr>
            <w:tcW w:w="893" w:type="dxa"/>
            <w:vAlign w:val="center"/>
            <w:hideMark/>
          </w:tcPr>
          <w:bookmarkEnd w:id="0"/>
          <w:p w14:paraId="7901A8CF" w14:textId="77777777" w:rsidR="00DC77FB" w:rsidRPr="00E4307F" w:rsidRDefault="00DC77FB" w:rsidP="00507633">
            <w:pPr>
              <w:spacing w:after="255"/>
              <w:contextualSpacing/>
              <w:rPr>
                <w:rFonts w:ascii="Verdana" w:hAnsi="Verdana" w:cs="Arial"/>
                <w:sz w:val="16"/>
                <w:szCs w:val="16"/>
                <w:lang w:val="es-ES" w:eastAsia="es-ES"/>
              </w:rPr>
            </w:pPr>
            <w:r w:rsidRPr="009731F5">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4FB6108C" w14:textId="77777777" w:rsidR="00DC77FB" w:rsidRPr="009731F5" w:rsidRDefault="00DC77FB" w:rsidP="00507633">
            <w:pPr>
              <w:contextualSpacing/>
              <w:rPr>
                <w:rFonts w:ascii="Verdana" w:hAnsi="Verdana" w:cs="Arial"/>
                <w:sz w:val="16"/>
                <w:szCs w:val="16"/>
                <w:lang w:eastAsia="es-CO"/>
              </w:rPr>
            </w:pPr>
            <w:r w:rsidRPr="009731F5">
              <w:rPr>
                <w:rFonts w:ascii="Verdana" w:hAnsi="Verdana" w:cs="Arial"/>
                <w:sz w:val="16"/>
                <w:szCs w:val="16"/>
                <w:lang w:eastAsia="es-CO"/>
              </w:rPr>
              <w:t>Richard Andrés Montenegro Siefken</w:t>
            </w:r>
          </w:p>
          <w:p w14:paraId="16A5B4BC" w14:textId="77777777" w:rsidR="00DC77FB" w:rsidRPr="00E4307F" w:rsidRDefault="00DC77FB" w:rsidP="00507633">
            <w:pPr>
              <w:spacing w:after="255"/>
              <w:contextualSpacing/>
              <w:rPr>
                <w:rFonts w:ascii="Verdana" w:eastAsia="Arial" w:hAnsi="Verdana" w:cs="Arial"/>
                <w:sz w:val="16"/>
                <w:szCs w:val="16"/>
              </w:rPr>
            </w:pPr>
            <w:r w:rsidRPr="009731F5">
              <w:rPr>
                <w:rFonts w:ascii="Verdana" w:hAnsi="Verdana" w:cs="Arial"/>
                <w:sz w:val="16"/>
                <w:szCs w:val="16"/>
                <w:lang w:eastAsia="es-CO"/>
              </w:rPr>
              <w:t>Contratista de la Subdirección de Gestión Contractual</w:t>
            </w:r>
          </w:p>
        </w:tc>
      </w:tr>
      <w:tr w:rsidR="00DC77FB" w:rsidRPr="00E4307F" w14:paraId="52181A75" w14:textId="77777777" w:rsidTr="00507633">
        <w:trPr>
          <w:trHeight w:val="330"/>
        </w:trPr>
        <w:tc>
          <w:tcPr>
            <w:tcW w:w="893" w:type="dxa"/>
            <w:vAlign w:val="center"/>
            <w:hideMark/>
          </w:tcPr>
          <w:p w14:paraId="77E48904" w14:textId="77777777" w:rsidR="00DC77FB" w:rsidRPr="00E4307F" w:rsidRDefault="00DC77FB" w:rsidP="00507633">
            <w:pPr>
              <w:spacing w:after="255"/>
              <w:contextualSpacing/>
              <w:rPr>
                <w:rFonts w:ascii="Verdana" w:hAnsi="Verdana" w:cs="Arial"/>
                <w:sz w:val="16"/>
                <w:szCs w:val="16"/>
                <w:lang w:val="es-ES" w:eastAsia="es-ES"/>
              </w:rPr>
            </w:pPr>
            <w:r w:rsidRPr="009731F5">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5695691" w14:textId="77777777" w:rsidR="00DC77FB" w:rsidRPr="009731F5" w:rsidRDefault="00DC77FB" w:rsidP="00507633">
            <w:pPr>
              <w:jc w:val="both"/>
              <w:rPr>
                <w:rFonts w:ascii="Verdana" w:hAnsi="Verdana" w:cs="Arial"/>
                <w:sz w:val="16"/>
                <w:szCs w:val="16"/>
              </w:rPr>
            </w:pPr>
            <w:r>
              <w:rPr>
                <w:rFonts w:ascii="Verdana" w:hAnsi="Verdana" w:cs="Arial"/>
                <w:sz w:val="16"/>
                <w:szCs w:val="16"/>
              </w:rPr>
              <w:t xml:space="preserve">Juan Carlos González </w:t>
            </w:r>
            <w:proofErr w:type="spellStart"/>
            <w:r>
              <w:rPr>
                <w:rFonts w:ascii="Verdana" w:hAnsi="Verdana" w:cs="Arial"/>
                <w:sz w:val="16"/>
                <w:szCs w:val="16"/>
              </w:rPr>
              <w:t>Vasquez</w:t>
            </w:r>
            <w:proofErr w:type="spellEnd"/>
          </w:p>
          <w:p w14:paraId="052AB2C0" w14:textId="77777777" w:rsidR="00DC77FB" w:rsidRPr="00E4307F" w:rsidRDefault="00DC77FB" w:rsidP="00507633">
            <w:pPr>
              <w:pStyle w:val="paragraph"/>
              <w:spacing w:before="0" w:beforeAutospacing="0" w:after="0" w:afterAutospacing="0"/>
              <w:contextualSpacing/>
              <w:textAlignment w:val="baseline"/>
              <w:rPr>
                <w:rFonts w:ascii="Verdana" w:hAnsi="Verdana" w:cs="Segoe UI"/>
                <w:sz w:val="16"/>
                <w:szCs w:val="16"/>
              </w:rPr>
            </w:pPr>
            <w:r>
              <w:rPr>
                <w:rFonts w:ascii="Verdana" w:hAnsi="Verdana" w:cs="Arial"/>
                <w:sz w:val="16"/>
                <w:szCs w:val="16"/>
                <w:lang w:val="es-ES" w:eastAsia="es-ES"/>
              </w:rPr>
              <w:t>Contratista</w:t>
            </w:r>
            <w:r w:rsidRPr="009731F5">
              <w:rPr>
                <w:rFonts w:ascii="Verdana" w:hAnsi="Verdana" w:cs="Arial"/>
                <w:sz w:val="16"/>
                <w:szCs w:val="16"/>
                <w:lang w:val="es-ES" w:eastAsia="es-ES"/>
              </w:rPr>
              <w:t xml:space="preserve"> de la Subdirección de Gestión Contractual</w:t>
            </w:r>
          </w:p>
        </w:tc>
      </w:tr>
      <w:tr w:rsidR="00DC77FB" w:rsidRPr="00E4307F" w14:paraId="48F30FE1" w14:textId="77777777" w:rsidTr="00507633">
        <w:trPr>
          <w:trHeight w:val="300"/>
        </w:trPr>
        <w:tc>
          <w:tcPr>
            <w:tcW w:w="893" w:type="dxa"/>
            <w:vAlign w:val="center"/>
            <w:hideMark/>
          </w:tcPr>
          <w:p w14:paraId="01BBE8E1" w14:textId="77777777" w:rsidR="00DC77FB" w:rsidRPr="00E4307F" w:rsidRDefault="00DC77FB" w:rsidP="00507633">
            <w:pPr>
              <w:spacing w:after="255"/>
              <w:contextualSpacing/>
              <w:rPr>
                <w:rFonts w:ascii="Verdana" w:hAnsi="Verdana" w:cs="Arial"/>
                <w:sz w:val="16"/>
                <w:szCs w:val="16"/>
                <w:lang w:val="es-ES" w:eastAsia="es-ES"/>
              </w:rPr>
            </w:pPr>
            <w:r w:rsidRPr="009731F5">
              <w:rPr>
                <w:rFonts w:ascii="Verdana" w:hAnsi="Verdana" w:cs="Arial"/>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0E1A235" w14:textId="77777777" w:rsidR="00DC77FB" w:rsidRPr="009731F5" w:rsidRDefault="00DC77FB" w:rsidP="00507633">
            <w:pPr>
              <w:contextualSpacing/>
              <w:rPr>
                <w:rFonts w:ascii="Verdana" w:hAnsi="Verdana" w:cs="Arial"/>
                <w:sz w:val="16"/>
                <w:szCs w:val="16"/>
                <w:lang w:eastAsia="es-CO"/>
              </w:rPr>
            </w:pPr>
            <w:r w:rsidRPr="009731F5">
              <w:rPr>
                <w:rFonts w:ascii="Verdana" w:hAnsi="Verdana" w:cs="Arial"/>
                <w:sz w:val="16"/>
                <w:szCs w:val="16"/>
                <w:lang w:eastAsia="es-CO"/>
              </w:rPr>
              <w:t xml:space="preserve">Carolina Quintero </w:t>
            </w:r>
            <w:proofErr w:type="spellStart"/>
            <w:r w:rsidRPr="009731F5">
              <w:rPr>
                <w:rFonts w:ascii="Verdana" w:hAnsi="Verdana" w:cs="Arial"/>
                <w:sz w:val="16"/>
                <w:szCs w:val="16"/>
                <w:lang w:eastAsia="es-CO"/>
              </w:rPr>
              <w:t>Gacharná</w:t>
            </w:r>
            <w:proofErr w:type="spellEnd"/>
          </w:p>
          <w:p w14:paraId="0B189404" w14:textId="77777777" w:rsidR="00DC77FB" w:rsidRPr="00E4307F" w:rsidRDefault="00DC77FB" w:rsidP="00507633">
            <w:pPr>
              <w:spacing w:after="255"/>
              <w:contextualSpacing/>
              <w:rPr>
                <w:rFonts w:ascii="Verdana" w:eastAsia="Calibri" w:hAnsi="Verdana" w:cs="Arial"/>
                <w:sz w:val="16"/>
                <w:szCs w:val="16"/>
                <w:lang w:val="pt-BR" w:eastAsia="es-ES"/>
              </w:rPr>
            </w:pPr>
            <w:r w:rsidRPr="009731F5">
              <w:rPr>
                <w:rFonts w:ascii="Verdana" w:hAnsi="Verdana" w:cs="Arial"/>
                <w:sz w:val="16"/>
                <w:szCs w:val="16"/>
                <w:lang w:eastAsia="es-CO"/>
              </w:rPr>
              <w:t>Subdirectora de Gestión Contractual ANCP – CCE</w:t>
            </w:r>
          </w:p>
        </w:tc>
      </w:tr>
    </w:tbl>
    <w:p w14:paraId="2FB50DF2" w14:textId="77777777" w:rsidR="00DC77FB" w:rsidRPr="00EB1CF7" w:rsidRDefault="00DC77FB" w:rsidP="00DC77FB">
      <w:pPr>
        <w:spacing w:after="0" w:line="240" w:lineRule="auto"/>
        <w:rPr>
          <w:rFonts w:ascii="Verdana" w:eastAsia="Times New Roman" w:hAnsi="Verdana" w:cs="Arial"/>
          <w:sz w:val="24"/>
          <w:szCs w:val="24"/>
          <w:lang w:eastAsia="es-ES"/>
        </w:rPr>
      </w:pPr>
    </w:p>
    <w:p w14:paraId="3900974D" w14:textId="77777777" w:rsidR="003D5B0D" w:rsidRPr="00FF2772" w:rsidRDefault="003D5B0D" w:rsidP="00FF2772"/>
    <w:sectPr w:rsidR="003D5B0D" w:rsidRPr="00FF2772"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01D8F" w14:textId="77777777" w:rsidR="005D7C70" w:rsidRDefault="005D7C70" w:rsidP="004A1847">
      <w:pPr>
        <w:spacing w:after="0" w:line="240" w:lineRule="auto"/>
      </w:pPr>
      <w:r>
        <w:separator/>
      </w:r>
    </w:p>
  </w:endnote>
  <w:endnote w:type="continuationSeparator" w:id="0">
    <w:p w14:paraId="10B0014B" w14:textId="77777777" w:rsidR="005D7C70" w:rsidRDefault="005D7C7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BCB41" w14:textId="77777777" w:rsidR="005D7C70" w:rsidRDefault="005D7C70" w:rsidP="004A1847">
      <w:pPr>
        <w:spacing w:after="0" w:line="240" w:lineRule="auto"/>
      </w:pPr>
      <w:r>
        <w:separator/>
      </w:r>
    </w:p>
  </w:footnote>
  <w:footnote w:type="continuationSeparator" w:id="0">
    <w:p w14:paraId="6452B82A" w14:textId="77777777" w:rsidR="005D7C70" w:rsidRDefault="005D7C70" w:rsidP="004A1847">
      <w:pPr>
        <w:spacing w:after="0" w:line="240" w:lineRule="auto"/>
      </w:pPr>
      <w:r>
        <w:continuationSeparator/>
      </w:r>
    </w:p>
  </w:footnote>
  <w:footnote w:id="1">
    <w:p w14:paraId="02891BD7" w14:textId="77777777" w:rsidR="00DC77FB" w:rsidRPr="007D4110" w:rsidRDefault="00DC77FB" w:rsidP="00DC77FB">
      <w:pPr>
        <w:pStyle w:val="Textonotapie"/>
        <w:contextualSpacing/>
        <w:jc w:val="both"/>
        <w:rPr>
          <w:rFonts w:ascii="Verdana" w:hAnsi="Verdana" w:cs="Arial"/>
          <w:color w:val="000000" w:themeColor="text1"/>
          <w:sz w:val="16"/>
          <w:szCs w:val="16"/>
        </w:rPr>
      </w:pPr>
      <w:r w:rsidRPr="007D4110">
        <w:rPr>
          <w:rStyle w:val="Refdenotaalpie"/>
          <w:rFonts w:ascii="Verdana" w:hAnsi="Verdana"/>
          <w:sz w:val="16"/>
          <w:szCs w:val="16"/>
        </w:rPr>
        <w:footnoteRef/>
      </w:r>
      <w:r w:rsidRPr="007D4110">
        <w:rPr>
          <w:rFonts w:ascii="Verdana" w:hAnsi="Verdana" w:cs="Arial"/>
          <w:color w:val="000000" w:themeColor="text1"/>
          <w:sz w:val="16"/>
          <w:szCs w:val="16"/>
        </w:rPr>
        <w:t>Artículo 17 de la Ley 1861 de 2017.</w:t>
      </w:r>
    </w:p>
    <w:p w14:paraId="60FDC0A6" w14:textId="77777777" w:rsidR="00DC77FB" w:rsidRPr="007D4110" w:rsidRDefault="00DC77FB" w:rsidP="00DC77FB">
      <w:pPr>
        <w:pStyle w:val="Textonotapie"/>
        <w:rPr>
          <w:rFonts w:ascii="Verdana" w:hAnsi="Verdana"/>
          <w:sz w:val="16"/>
          <w:szCs w:val="16"/>
          <w:lang w:val="es-CO"/>
        </w:rPr>
      </w:pPr>
    </w:p>
  </w:footnote>
  <w:footnote w:id="2">
    <w:p w14:paraId="01D48D55" w14:textId="77777777" w:rsidR="00DC77FB" w:rsidRPr="007D4110" w:rsidRDefault="00DC77FB" w:rsidP="00DC77FB">
      <w:pPr>
        <w:pStyle w:val="Textonotapie"/>
        <w:rPr>
          <w:rFonts w:ascii="Verdana" w:hAnsi="Verdana"/>
          <w:sz w:val="16"/>
          <w:szCs w:val="16"/>
          <w:lang w:val="es-CO"/>
        </w:rPr>
      </w:pPr>
      <w:r w:rsidRPr="007D4110">
        <w:rPr>
          <w:rStyle w:val="Refdenotaalpie"/>
          <w:rFonts w:ascii="Verdana" w:hAnsi="Verdana"/>
          <w:sz w:val="16"/>
          <w:szCs w:val="16"/>
        </w:rPr>
        <w:footnoteRef/>
      </w:r>
      <w:r w:rsidRPr="007D4110">
        <w:rPr>
          <w:rFonts w:ascii="Verdana" w:hAnsi="Verdana"/>
          <w:sz w:val="16"/>
          <w:szCs w:val="16"/>
        </w:rPr>
        <w:t xml:space="preserve"> Artículos 26 a 28, Ibídem.</w:t>
      </w:r>
    </w:p>
  </w:footnote>
  <w:footnote w:id="3">
    <w:p w14:paraId="523EA502" w14:textId="77777777" w:rsidR="00DC77FB" w:rsidRPr="007D4110" w:rsidRDefault="00DC77FB" w:rsidP="00DC77FB">
      <w:pPr>
        <w:ind w:firstLine="709"/>
        <w:contextualSpacing/>
        <w:jc w:val="both"/>
        <w:rPr>
          <w:rFonts w:ascii="Verdana" w:hAnsi="Verdana" w:cs="Arial"/>
          <w:color w:val="000000"/>
          <w:sz w:val="16"/>
          <w:szCs w:val="16"/>
          <w:lang w:val="es-ES"/>
        </w:rPr>
      </w:pPr>
      <w:r w:rsidRPr="007D4110">
        <w:rPr>
          <w:rStyle w:val="Refdenotaalpie"/>
          <w:rFonts w:ascii="Verdana" w:hAnsi="Verdana" w:cs="Arial"/>
          <w:sz w:val="16"/>
          <w:szCs w:val="16"/>
        </w:rPr>
        <w:footnoteRef/>
      </w:r>
      <w:r w:rsidRPr="007D4110">
        <w:rPr>
          <w:rFonts w:ascii="Verdana" w:hAnsi="Verdana" w:cs="Arial"/>
          <w:sz w:val="16"/>
          <w:szCs w:val="16"/>
        </w:rPr>
        <w:t xml:space="preserve"> </w:t>
      </w:r>
      <w:r w:rsidRPr="007D4110">
        <w:rPr>
          <w:rFonts w:ascii="Verdana" w:hAnsi="Verdana" w:cs="Arial"/>
          <w:color w:val="000000"/>
          <w:sz w:val="16"/>
          <w:szCs w:val="16"/>
          <w:lang w:val="es-ES"/>
        </w:rPr>
        <w:t xml:space="preserve">Las Entidades Estatales, al momento de celebrar un contrato de prestación de servicios con una persona natural, deben verificar que la situación militar del futuro contratista se encuentra definida, a través de la tarjeta de reservista o el certificado digital del que habla el artículo 40 de la Ley 1861 de 2017. Ver Circular Externa Única. Agencia Nacional de Contratación Pública Colombia Compra Eficiente. 2022. Disponible en: </w:t>
      </w:r>
      <w:hyperlink r:id="rId1" w:history="1">
        <w:r w:rsidRPr="002C72C5">
          <w:rPr>
            <w:rStyle w:val="Hipervnculo"/>
            <w:rFonts w:ascii="Verdana" w:hAnsi="Verdana" w:cs="Arial"/>
            <w:color w:val="4472C4" w:themeColor="accent1"/>
            <w:sz w:val="16"/>
            <w:szCs w:val="16"/>
          </w:rPr>
          <w:t>https://www.colombiacompra.gov.co/sites/cce_public/files/cce_circulares/cce-eicp-ma-06_circular_externa_con_comentarios_de_ciudadanos-_v2f_002.pdf</w:t>
        </w:r>
      </w:hyperlink>
      <w:r w:rsidRPr="002C72C5">
        <w:rPr>
          <w:rFonts w:ascii="Verdana" w:hAnsi="Verdana" w:cs="Arial"/>
          <w:color w:val="4472C4" w:themeColor="accent1"/>
          <w:sz w:val="16"/>
          <w:szCs w:val="16"/>
          <w:lang w:val="es-ES"/>
        </w:rPr>
        <w:t xml:space="preserve"> </w:t>
      </w:r>
    </w:p>
    <w:p w14:paraId="484D213C" w14:textId="77777777" w:rsidR="00DC77FB" w:rsidRPr="007D4110" w:rsidRDefault="00DC77FB" w:rsidP="00DC77FB">
      <w:pPr>
        <w:ind w:firstLine="709"/>
        <w:contextualSpacing/>
        <w:jc w:val="both"/>
        <w:rPr>
          <w:rFonts w:ascii="Verdana" w:hAnsi="Verdana" w:cs="Arial"/>
          <w:sz w:val="16"/>
          <w:szCs w:val="16"/>
        </w:rPr>
      </w:pPr>
    </w:p>
  </w:footnote>
  <w:footnote w:id="4">
    <w:p w14:paraId="5200CDAB" w14:textId="77777777" w:rsidR="00DC77FB" w:rsidRPr="007D4110" w:rsidRDefault="00DC77FB" w:rsidP="00DC77FB">
      <w:pPr>
        <w:pStyle w:val="Textonotapie"/>
        <w:ind w:firstLine="708"/>
        <w:contextualSpacing/>
        <w:jc w:val="both"/>
        <w:rPr>
          <w:rFonts w:ascii="Verdana" w:hAnsi="Verdana" w:cs="Arial"/>
          <w:sz w:val="16"/>
          <w:szCs w:val="16"/>
        </w:rPr>
      </w:pPr>
      <w:r w:rsidRPr="007D4110">
        <w:rPr>
          <w:rStyle w:val="Refdenotaalpie"/>
          <w:rFonts w:ascii="Verdana" w:hAnsi="Verdana" w:cs="Arial"/>
          <w:sz w:val="16"/>
          <w:szCs w:val="16"/>
        </w:rPr>
        <w:footnoteRef/>
      </w:r>
      <w:r w:rsidRPr="007D4110">
        <w:rPr>
          <w:rFonts w:ascii="Verdana" w:hAnsi="Verdana" w:cs="Arial"/>
          <w:sz w:val="16"/>
          <w:szCs w:val="16"/>
        </w:rPr>
        <w:t xml:space="preserve"> Corte Constitucional. Sentencia C-277 del 19 de junio de 2019. M.P. Carlos Bernal Pulido.</w:t>
      </w:r>
    </w:p>
    <w:p w14:paraId="03DEEEEB" w14:textId="77777777" w:rsidR="00DC77FB" w:rsidRPr="007D4110" w:rsidRDefault="00DC77FB" w:rsidP="00DC77FB">
      <w:pPr>
        <w:pStyle w:val="Textonotapie"/>
        <w:ind w:firstLine="708"/>
        <w:contextualSpacing/>
        <w:jc w:val="both"/>
        <w:rPr>
          <w:rFonts w:ascii="Verdana" w:hAnsi="Verdana" w:cs="Arial"/>
          <w:sz w:val="16"/>
          <w:szCs w:val="16"/>
          <w:lang w:val="es-CO"/>
        </w:rPr>
      </w:pPr>
    </w:p>
  </w:footnote>
  <w:footnote w:id="5">
    <w:p w14:paraId="1A806006" w14:textId="77777777" w:rsidR="00DC77FB" w:rsidRPr="007D4110" w:rsidRDefault="00DC77FB" w:rsidP="00DC77FB">
      <w:pPr>
        <w:pStyle w:val="Textonotapie"/>
        <w:ind w:firstLine="708"/>
        <w:jc w:val="both"/>
        <w:rPr>
          <w:rFonts w:ascii="Verdana" w:hAnsi="Verdana" w:cs="Arial"/>
          <w:sz w:val="16"/>
          <w:szCs w:val="16"/>
        </w:rPr>
      </w:pPr>
      <w:r w:rsidRPr="007D4110">
        <w:rPr>
          <w:rStyle w:val="Refdenotaalpie"/>
          <w:rFonts w:ascii="Verdana" w:hAnsi="Verdana" w:cs="Arial"/>
          <w:sz w:val="16"/>
          <w:szCs w:val="16"/>
        </w:rPr>
        <w:footnoteRef/>
      </w:r>
      <w:r w:rsidRPr="007D4110">
        <w:rPr>
          <w:rFonts w:ascii="Verdana" w:hAnsi="Verdana" w:cs="Arial"/>
          <w:sz w:val="16"/>
          <w:szCs w:val="16"/>
        </w:rPr>
        <w:t xml:space="preserve"> GONZÁLEZ LÓPEZ, Edgar. El pliego de condiciones en la contratación estatal: la reforma consagrada en la Ley 1150 de 2007 y sus decretos reglamentarios. Bogotá: Universidad Externando de Colombia, 2012. p. 87 y ss.</w:t>
      </w:r>
    </w:p>
  </w:footnote>
  <w:footnote w:id="6">
    <w:p w14:paraId="49F097ED" w14:textId="77777777" w:rsidR="00DC77FB" w:rsidRPr="007D4110" w:rsidRDefault="00DC77FB" w:rsidP="00DC77FB">
      <w:pPr>
        <w:pStyle w:val="Textonotapie"/>
        <w:ind w:firstLine="708"/>
        <w:jc w:val="both"/>
        <w:rPr>
          <w:rFonts w:ascii="Verdana" w:hAnsi="Verdana" w:cs="Arial"/>
          <w:sz w:val="16"/>
          <w:szCs w:val="16"/>
        </w:rPr>
      </w:pPr>
      <w:r w:rsidRPr="007D4110">
        <w:rPr>
          <w:rStyle w:val="Refdenotaalpie"/>
          <w:rFonts w:ascii="Verdana" w:hAnsi="Verdana" w:cs="Arial"/>
          <w:sz w:val="16"/>
          <w:szCs w:val="16"/>
        </w:rPr>
        <w:footnoteRef/>
      </w:r>
      <w:r w:rsidRPr="007D4110">
        <w:rPr>
          <w:rFonts w:ascii="Verdana" w:hAnsi="Verdana" w:cs="Arial"/>
          <w:sz w:val="16"/>
          <w:szCs w:val="16"/>
        </w:rPr>
        <w:t xml:space="preserve"> Como explica la doctrina, “La discrecionalidad no es un espacio de decisión infinitamente abierto; hay una apertura, pero limitada por los márgenes de la realidad fáctica, y su apreciación racional y razonable. La libertad administrativa no es una planicie sin fronteras, sino un anillo con ribetes elásticos y relativos (pues hay zonas en las que la decisión conforme a Derecho está abierta a distintas opiniones y valoraciones), pero hay ribetes que perfilan el ‘margen’ de la discrecionalidad. Conviene insistir en la idea de que no hay potestades absolutamente discrecionales, pues siempre están confinadas por un margen que las acota (de allí que el espacio de libre discrecionalidad pueda ser comparado con el hueco central de una rosquilla o un ‘donut’). Siempre que hay algún elemento reglado que delimita la dosis o el ‘margen’ de discrecionalidad, y que permite a los tribunales controlar dónde está la frontera que separa la ilegítima arbitrariedad de la legítima arbitrariedad” (Cfr. BLANQUER, David. Derecho administrativo: el fin, los medios y el control. Tomo I. Valencia: Tirant lo Blanch, 2010. p. 192).    </w:t>
      </w:r>
    </w:p>
  </w:footnote>
  <w:footnote w:id="7">
    <w:p w14:paraId="2E013F75" w14:textId="77777777" w:rsidR="00DC77FB" w:rsidRPr="007D4110" w:rsidRDefault="00DC77FB" w:rsidP="00DC77FB">
      <w:pPr>
        <w:pStyle w:val="Textonotapie"/>
        <w:ind w:firstLine="708"/>
        <w:jc w:val="both"/>
        <w:rPr>
          <w:rFonts w:ascii="Verdana" w:hAnsi="Verdana" w:cs="Arial"/>
          <w:sz w:val="16"/>
          <w:szCs w:val="16"/>
        </w:rPr>
      </w:pPr>
      <w:r w:rsidRPr="007D4110">
        <w:rPr>
          <w:rStyle w:val="Refdenotaalpie"/>
          <w:rFonts w:ascii="Verdana" w:hAnsi="Verdana" w:cs="Arial"/>
          <w:sz w:val="16"/>
          <w:szCs w:val="16"/>
        </w:rPr>
        <w:footnoteRef/>
      </w:r>
      <w:r w:rsidRPr="007D4110">
        <w:rPr>
          <w:rFonts w:ascii="Verdana" w:hAnsi="Verdana" w:cs="Arial"/>
          <w:sz w:val="16"/>
          <w:szCs w:val="16"/>
        </w:rPr>
        <w:t xml:space="preserve"> En lo pertinente, el derogado artículo 36 de la Ley 48 de 1993 disponía que “Los colombianos hasta los 50 años de edad, están obligados a definir su situación militar. No obstante, las entidades públicas o privadas no podrán exigir a los particulares la presentación de la libreta militar, correspondiéndoles a éstas la verificación del cumplimiento de esta obligación en coordinación con la autoridad militar competente únicamente para los siguientes efectos: a) Celebrar contratos con cualquier entidad pública […]”. </w:t>
      </w:r>
    </w:p>
  </w:footnote>
  <w:footnote w:id="8">
    <w:p w14:paraId="00EC359D" w14:textId="77777777" w:rsidR="00DC77FB" w:rsidRPr="00F93556" w:rsidRDefault="00DC77FB" w:rsidP="00DC77FB">
      <w:pPr>
        <w:tabs>
          <w:tab w:val="left" w:pos="7797"/>
        </w:tabs>
        <w:spacing w:before="115"/>
        <w:ind w:left="260" w:right="979"/>
        <w:jc w:val="both"/>
        <w:rPr>
          <w:rFonts w:ascii="Verdana" w:hAnsi="Verdana"/>
          <w:sz w:val="16"/>
          <w:szCs w:val="16"/>
        </w:rPr>
      </w:pPr>
      <w:r w:rsidRPr="00F93556">
        <w:rPr>
          <w:rStyle w:val="Refdenotaalpie"/>
          <w:rFonts w:ascii="Verdana" w:hAnsi="Verdana"/>
          <w:sz w:val="16"/>
          <w:szCs w:val="16"/>
        </w:rPr>
        <w:footnoteRef/>
      </w:r>
      <w:r w:rsidRPr="00F93556">
        <w:rPr>
          <w:rFonts w:ascii="Verdana" w:hAnsi="Verdana"/>
          <w:sz w:val="16"/>
          <w:szCs w:val="16"/>
        </w:rPr>
        <w:t xml:space="preserve"> </w:t>
      </w:r>
      <w:r w:rsidRPr="00F93556">
        <w:rPr>
          <w:rFonts w:ascii="Verdana" w:eastAsia="Calibri" w:hAnsi="Verdana" w:cs="Arial"/>
          <w:sz w:val="16"/>
          <w:szCs w:val="16"/>
          <w:shd w:val="clear" w:color="auto" w:fill="FFFFFF"/>
          <w:lang w:val="es-ES"/>
        </w:rPr>
        <w:t>Ley 100 de 1993: “Artículo 8 Conformación del Sistema de Seguridad Social Integral. El</w:t>
      </w:r>
      <w:r>
        <w:rPr>
          <w:rFonts w:ascii="Verdana" w:eastAsia="Calibri" w:hAnsi="Verdana" w:cs="Arial"/>
          <w:sz w:val="16"/>
          <w:szCs w:val="16"/>
          <w:shd w:val="clear" w:color="auto" w:fill="FFFFFF"/>
          <w:lang w:val="es-ES"/>
        </w:rPr>
        <w:t xml:space="preserve"> </w:t>
      </w:r>
      <w:r w:rsidRPr="00F93556">
        <w:rPr>
          <w:rFonts w:ascii="Verdana" w:eastAsia="Calibri" w:hAnsi="Verdana" w:cs="Arial"/>
          <w:sz w:val="16"/>
          <w:szCs w:val="16"/>
          <w:shd w:val="clear" w:color="auto" w:fill="FFFFFF"/>
          <w:lang w:val="es-ES"/>
        </w:rPr>
        <w:t>Sistema de Seguridad Social Integral es el conjunto armónico de entidades públicas y privadas, normas y procedimientos y está conformado por los regímenes generales establecidos para pensiones, salud, riesgos profesionales y los servicios sociales complementarios que se definen en la presente Ley ”.</w:t>
      </w:r>
    </w:p>
  </w:footnote>
  <w:footnote w:id="9">
    <w:p w14:paraId="00D16DCE" w14:textId="77777777" w:rsidR="00DC77FB" w:rsidRPr="00F93556" w:rsidRDefault="00DC77FB" w:rsidP="00DC77FB">
      <w:pPr>
        <w:tabs>
          <w:tab w:val="left" w:pos="7797"/>
        </w:tabs>
        <w:spacing w:line="240" w:lineRule="auto"/>
        <w:ind w:left="260" w:right="979"/>
        <w:jc w:val="both"/>
        <w:rPr>
          <w:rFonts w:ascii="Verdana" w:hAnsi="Verdana"/>
          <w:sz w:val="16"/>
          <w:szCs w:val="16"/>
        </w:rPr>
      </w:pPr>
      <w:r w:rsidRPr="00F93556">
        <w:rPr>
          <w:rStyle w:val="Refdenotaalpie"/>
          <w:rFonts w:ascii="Verdana" w:hAnsi="Verdana"/>
          <w:sz w:val="16"/>
          <w:szCs w:val="16"/>
          <w:vertAlign w:val="baseline"/>
        </w:rPr>
        <w:footnoteRef/>
      </w:r>
      <w:r w:rsidRPr="00F93556">
        <w:rPr>
          <w:rStyle w:val="Refdenotaalpie"/>
          <w:rFonts w:ascii="Verdana" w:hAnsi="Verdana"/>
          <w:sz w:val="16"/>
          <w:szCs w:val="16"/>
          <w:vertAlign w:val="baseline"/>
        </w:rPr>
        <w:t xml:space="preserve"> 3.4 Obligatoriedad. La afiliación al Sistema General de Seguridad Social en Salud es obligatoria para todos</w:t>
      </w:r>
      <w:r w:rsidRPr="00F93556">
        <w:rPr>
          <w:rFonts w:ascii="Verdana" w:hAnsi="Verdana"/>
          <w:sz w:val="16"/>
          <w:szCs w:val="16"/>
        </w:rPr>
        <w:t xml:space="preserve"> </w:t>
      </w:r>
      <w:r w:rsidRPr="00F93556">
        <w:rPr>
          <w:rStyle w:val="Refdenotaalpie"/>
          <w:rFonts w:ascii="Verdana" w:hAnsi="Verdana"/>
          <w:sz w:val="16"/>
          <w:szCs w:val="16"/>
          <w:vertAlign w:val="baseline"/>
        </w:rPr>
        <w:t>los residentes en Colombia.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6738EF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46657238" o:spid="_x0000_i1025" type="#_x0000_t75" style="width:11.25pt;height:11.25pt;visibility:visible;mso-wrap-style:square">
            <v:imagedata r:id="rId1" o:title=""/>
          </v:shape>
        </w:pict>
      </mc:Choice>
      <mc:Fallback>
        <w:drawing>
          <wp:inline distT="0" distB="0" distL="0" distR="0" wp14:anchorId="064CD998" wp14:editId="4D443D90">
            <wp:extent cx="142875" cy="142875"/>
            <wp:effectExtent l="0" t="0" r="0" b="0"/>
            <wp:docPr id="1646657238" name="Imagen 1646657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E322C0D"/>
    <w:multiLevelType w:val="hybridMultilevel"/>
    <w:tmpl w:val="6BD2CC38"/>
    <w:lvl w:ilvl="0" w:tplc="24900FFE">
      <w:start w:val="1"/>
      <w:numFmt w:val="decimal"/>
      <w:lvlText w:val="%1."/>
      <w:lvlJc w:val="left"/>
      <w:pPr>
        <w:ind w:left="720" w:hanging="360"/>
      </w:pPr>
      <w:rPr>
        <w:rFonts w:hint="default"/>
        <w:color w:val="auto"/>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5096623"/>
    <w:multiLevelType w:val="hybridMultilevel"/>
    <w:tmpl w:val="C99E3F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0"/>
  </w:num>
  <w:num w:numId="16" w16cid:durableId="1330140246">
    <w:abstractNumId w:val="0"/>
  </w:num>
  <w:num w:numId="17" w16cid:durableId="1753316624">
    <w:abstractNumId w:val="3"/>
  </w:num>
  <w:num w:numId="18" w16cid:durableId="10791392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627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00F86"/>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5D7C70"/>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410E4"/>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73B3E"/>
    <w:rsid w:val="00DA231B"/>
    <w:rsid w:val="00DC39FC"/>
    <w:rsid w:val="00DC77FB"/>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902AD"/>
    <w:rsid w:val="00FA47C0"/>
    <w:rsid w:val="00FB5DD1"/>
    <w:rsid w:val="00FC2B5D"/>
    <w:rsid w:val="00FF1449"/>
    <w:rsid w:val="00FF2772"/>
    <w:rsid w:val="4C79310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C77F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C77FB"/>
    <w:rPr>
      <w:rFonts w:ascii="Geomanist Light" w:hAnsi="Geomanist Light"/>
      <w:lang w:val="es-ES"/>
    </w:rPr>
  </w:style>
  <w:style w:type="paragraph" w:styleId="Textoindependiente">
    <w:name w:val="Body Text"/>
    <w:basedOn w:val="Normal"/>
    <w:link w:val="TextoindependienteCar"/>
    <w:uiPriority w:val="99"/>
    <w:unhideWhenUsed/>
    <w:rsid w:val="00DC77F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DC77FB"/>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secretariasenado.gov.co/senado/basedoc/ley_0100_1993_pr004.html"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files_2020%2Fboletin_de_realtoria_viii.pdf&amp;data=05%7C02%7Crichard.montenegro%40colombiacompra.gov.co%7C925ae1c2336243aecb2908dd21173dd2%7C7b09041e245149d08cb179d5e3d8c1be%7C0%7C0%7C638703105895352717%7CUnknown%7CTWFpbGZsb3d8eyJFbXB0eU1hcGkiOnRydWUsIlYiOiIwLjAuMDAwMCIsIlAiOiJXaW4zMiIsIkFOIjoiTWFpbCIsIldUIjoyfQ%3D%3D%7C0%7C%7C%7C&amp;sdata=yMAHoW5ekLuHXKfsx8KpIRO5KUAfFYcB9n%2FEgT2Pyv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taiza3006@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para-incentivar-la-participacion-de-las-mujeres&amp;data=05%7C02%7Crichard.montenegro%40colombiacompra.gov.co%7C925ae1c2336243aecb2908dd21173dd2%7C7b09041e245149d08cb179d5e3d8c1be%7C0%7C0%7C638703105895336308%7CUnknown%7CTWFpbGZsb3d8eyJFbXB0eU1hcGkiOnRydWUsIlYiOiIwLjAuMDAwMCIsIlAiOiJXaW4zMiIsIkFOIjoiTWFpbCIsIldUIjoyfQ%3D%3D%7C0%7C%7C%7C&amp;sdata=CAJhSWUiqo%2FHx8JF3Lxsp6zUELeRS76MPWKp0fUaYZM%3D&amp;reserved=0"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para-el-manejo-de-ofertas-artificialmente-baja-0&amp;data=05%7C02%7Crichard.montenegro%40colombiacompra.gov.co%7C925ae1c2336243aecb2908dd21173dd2%7C7b09041e245149d08cb179d5e3d8c1be%7C0%7C0%7C638703105895315615%7CUnknown%7CTWFpbGZsb3d8eyJFbXB0eU1hcGkiOnRydWUsIlYiOiIwLjAuMDAwMCIsIlAiOiJXaW4zMiIsIkFOIjoiTWFpbCIsIldUIjoyfQ%3D%3D%7C0%7C%7C%7C&amp;sdata=vF8lsjGG2tf83CgOF%2F7Mvl1%2FUdwMKUw5PIX4zx7np9o%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DD7B24-7285-46B8-833A-3EAA049F83CC}"/>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5059</Words>
  <Characters>27828</Characters>
  <Application>Microsoft Office Word</Application>
  <DocSecurity>0</DocSecurity>
  <Lines>231</Lines>
  <Paragraphs>65</Paragraphs>
  <ScaleCrop>false</ScaleCrop>
  <Company/>
  <LinksUpToDate>false</LinksUpToDate>
  <CharactersWithSpaces>32822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2025-03-26T21:10:00Z</dcterms:created>
  <dcterms:modified xsi:type="dcterms:W3CDTF">2025-03-26T21:10:00Z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