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22376" w14:textId="77777777" w:rsidR="00ED79C8" w:rsidRPr="00523932" w:rsidRDefault="00ED79C8" w:rsidP="00ED79C8">
      <w:pPr>
        <w:spacing w:after="0" w:line="240" w:lineRule="auto"/>
        <w:rPr>
          <w:rFonts w:ascii="Verdana" w:eastAsia="Calibri" w:hAnsi="Verdana" w:cs="Arial"/>
          <w:b/>
          <w:sz w:val="20"/>
          <w:szCs w:val="20"/>
          <w:lang w:val="es-MX" w:eastAsia="es-ES_tradnl"/>
        </w:rPr>
      </w:pPr>
    </w:p>
    <w:p w14:paraId="4AA7427A" w14:textId="77777777" w:rsidR="00ED79C8" w:rsidRPr="00523932" w:rsidRDefault="00ED79C8" w:rsidP="00ED79C8">
      <w:pPr>
        <w:spacing w:after="0" w:line="240" w:lineRule="auto"/>
        <w:jc w:val="both"/>
        <w:rPr>
          <w:rFonts w:ascii="Verdana" w:eastAsia="Calibri" w:hAnsi="Verdana" w:cs="Arial"/>
          <w:b/>
          <w:lang w:val="es-MX" w:eastAsia="es-ES_tradnl"/>
        </w:rPr>
      </w:pPr>
      <w:r w:rsidRPr="00523932">
        <w:rPr>
          <w:rFonts w:ascii="Verdana" w:eastAsia="Calibri" w:hAnsi="Verdana" w:cs="Arial"/>
          <w:b/>
          <w:lang w:val="es-MX" w:eastAsia="es-ES_tradnl"/>
        </w:rPr>
        <w:t>INHABILIDADES – Definición – Finalidad – Limitación capacidad contractual</w:t>
      </w:r>
    </w:p>
    <w:p w14:paraId="0DAE2FA5" w14:textId="77777777" w:rsidR="00ED79C8" w:rsidRPr="00523932" w:rsidRDefault="00ED79C8" w:rsidP="00ED79C8">
      <w:pPr>
        <w:spacing w:after="0" w:line="240" w:lineRule="auto"/>
        <w:rPr>
          <w:rFonts w:ascii="Verdana" w:eastAsia="Calibri" w:hAnsi="Verdana" w:cs="Arial"/>
          <w:bCs/>
          <w:sz w:val="20"/>
          <w:szCs w:val="20"/>
          <w:lang w:val="es-MX" w:eastAsia="es-ES_tradnl"/>
        </w:rPr>
      </w:pPr>
    </w:p>
    <w:p w14:paraId="6E6680F0" w14:textId="77777777" w:rsidR="00ED79C8" w:rsidRPr="00523932" w:rsidRDefault="00ED79C8" w:rsidP="00ED79C8">
      <w:pPr>
        <w:spacing w:after="0" w:line="240" w:lineRule="auto"/>
        <w:jc w:val="both"/>
        <w:rPr>
          <w:rFonts w:ascii="Verdana" w:eastAsia="Geomanist Light" w:hAnsi="Verdana" w:cs="Arial"/>
          <w:color w:val="000000" w:themeColor="text1"/>
          <w:sz w:val="20"/>
          <w:szCs w:val="20"/>
          <w:lang w:val="es-MX"/>
        </w:rPr>
      </w:pPr>
      <w:r w:rsidRPr="00523932">
        <w:rPr>
          <w:rFonts w:ascii="Verdana" w:eastAsia="Geomanist Light" w:hAnsi="Verdana" w:cs="Arial"/>
          <w:color w:val="000000" w:themeColor="text1"/>
          <w:sz w:val="20"/>
          <w:szCs w:val="20"/>
          <w:lang w:val="es-MX"/>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p>
    <w:p w14:paraId="6D6D79A3" w14:textId="77777777" w:rsidR="00ED79C8" w:rsidRPr="00523932" w:rsidRDefault="00ED79C8" w:rsidP="00ED79C8">
      <w:pPr>
        <w:spacing w:after="0" w:line="240" w:lineRule="auto"/>
        <w:jc w:val="both"/>
        <w:rPr>
          <w:rFonts w:ascii="Verdana" w:eastAsia="Geomanist Light" w:hAnsi="Verdana" w:cs="Arial"/>
          <w:color w:val="000000" w:themeColor="text1"/>
          <w:sz w:val="20"/>
          <w:szCs w:val="20"/>
          <w:lang w:val="es-MX"/>
        </w:rPr>
      </w:pPr>
    </w:p>
    <w:p w14:paraId="1BE04533" w14:textId="77777777" w:rsidR="00ED79C8" w:rsidRPr="00523932" w:rsidRDefault="00ED79C8" w:rsidP="00ED79C8">
      <w:pPr>
        <w:spacing w:after="0" w:line="240" w:lineRule="auto"/>
        <w:jc w:val="both"/>
        <w:rPr>
          <w:rFonts w:ascii="Verdana" w:eastAsia="Calibri" w:hAnsi="Verdana" w:cs="Arial"/>
          <w:b/>
          <w:lang w:val="es-MX" w:eastAsia="es-ES_tradnl"/>
        </w:rPr>
      </w:pPr>
      <w:r w:rsidRPr="00523932">
        <w:rPr>
          <w:rFonts w:ascii="Verdana" w:eastAsia="Calibri" w:hAnsi="Verdana" w:cs="Arial"/>
          <w:b/>
          <w:lang w:val="es-MX" w:eastAsia="es-ES_tradnl"/>
        </w:rPr>
        <w:t>CONTRATACIÓN ESTATAL – Capacidad – Validez contratos – Régimen de contratación – Inscripción – Limitación de la capacidad</w:t>
      </w:r>
    </w:p>
    <w:p w14:paraId="05CB670F" w14:textId="77777777" w:rsidR="00ED79C8" w:rsidRPr="00523932" w:rsidRDefault="00ED79C8" w:rsidP="00ED79C8">
      <w:pPr>
        <w:spacing w:after="0" w:line="240" w:lineRule="auto"/>
        <w:jc w:val="both"/>
        <w:rPr>
          <w:rFonts w:ascii="Verdana" w:eastAsia="Calibri" w:hAnsi="Verdana" w:cs="Arial"/>
          <w:bCs/>
          <w:sz w:val="20"/>
          <w:szCs w:val="20"/>
          <w:lang w:val="es-MX" w:eastAsia="es-ES_tradnl"/>
        </w:rPr>
      </w:pPr>
    </w:p>
    <w:p w14:paraId="673D6065" w14:textId="77777777" w:rsidR="00ED79C8" w:rsidRPr="00523932" w:rsidRDefault="00ED79C8" w:rsidP="00ED79C8">
      <w:pPr>
        <w:spacing w:after="0" w:line="240" w:lineRule="auto"/>
        <w:jc w:val="both"/>
        <w:rPr>
          <w:rFonts w:ascii="Verdana" w:eastAsia="Calibri" w:hAnsi="Verdana" w:cs="Arial"/>
          <w:bCs/>
          <w:sz w:val="20"/>
          <w:szCs w:val="20"/>
          <w:lang w:val="es-MX" w:eastAsia="es-ES_tradnl"/>
        </w:rPr>
      </w:pPr>
      <w:r w:rsidRPr="00523932">
        <w:rPr>
          <w:rFonts w:ascii="Verdana" w:eastAsia="Calibri" w:hAnsi="Verdana" w:cs="Arial"/>
          <w:bCs/>
          <w:sz w:val="20"/>
          <w:szCs w:val="20"/>
          <w:lang w:val="es-MX" w:eastAsia="es-ES_tradnl"/>
        </w:rPr>
        <w:t>[…] 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 se destaca el régimen de inhabilidades e incompatibilidades como un conjunto de normas que imponen restricciones para los sujetos que, eventualmente, pretendan participar en los procedimientos de selección o celebrar contratos con las entidades estatales.</w:t>
      </w:r>
    </w:p>
    <w:p w14:paraId="38A7FA81" w14:textId="77777777" w:rsidR="00ED79C8" w:rsidRPr="00523932" w:rsidRDefault="00ED79C8" w:rsidP="00ED79C8">
      <w:pPr>
        <w:spacing w:after="0" w:line="240" w:lineRule="auto"/>
        <w:jc w:val="both"/>
        <w:rPr>
          <w:rFonts w:ascii="Verdana" w:eastAsia="Calibri" w:hAnsi="Verdana" w:cs="Arial"/>
          <w:bCs/>
          <w:sz w:val="20"/>
          <w:szCs w:val="20"/>
          <w:lang w:val="es-MX" w:eastAsia="es-ES_tradnl"/>
        </w:rPr>
      </w:pPr>
    </w:p>
    <w:p w14:paraId="1F41EB5A" w14:textId="77777777" w:rsidR="00ED79C8" w:rsidRDefault="00ED79C8" w:rsidP="00ED79C8">
      <w:pPr>
        <w:spacing w:after="0" w:line="240" w:lineRule="auto"/>
        <w:jc w:val="both"/>
        <w:rPr>
          <w:rFonts w:ascii="Verdana" w:eastAsia="Calibri" w:hAnsi="Verdana" w:cs="Arial"/>
          <w:bCs/>
          <w:sz w:val="20"/>
          <w:szCs w:val="20"/>
          <w:lang w:val="es-MX" w:eastAsia="es-ES_tradnl"/>
        </w:rPr>
      </w:pPr>
      <w:r w:rsidRPr="00523932">
        <w:rPr>
          <w:rFonts w:ascii="Verdana" w:eastAsia="Calibri" w:hAnsi="Verdana" w:cs="Arial"/>
          <w:bCs/>
          <w:sz w:val="20"/>
          <w:szCs w:val="20"/>
          <w:lang w:val="es-MX" w:eastAsia="es-ES_tradnl"/>
        </w:rPr>
        <w:t xml:space="preserve">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w:t>
      </w:r>
      <w:r w:rsidRPr="00523932">
        <w:rPr>
          <w:rFonts w:ascii="Verdana" w:eastAsia="Calibri" w:hAnsi="Verdana" w:cs="Arial"/>
          <w:bCs/>
          <w:sz w:val="20"/>
          <w:szCs w:val="20"/>
          <w:lang w:val="es-MX" w:eastAsia="es-ES_tradnl"/>
        </w:rPr>
        <w:lastRenderedPageBreak/>
        <w:t>de la capacidad contractual. De manera que la presencia de ellas impide que se puedan celebrar contratos con el Estado o participar en procedimientos de selección de las entidades estatales, por lo que de cualquiera de ellas se derivan los mismos efectos jurídicos.</w:t>
      </w:r>
    </w:p>
    <w:p w14:paraId="3EEE8FEC" w14:textId="77777777" w:rsidR="00ED79C8" w:rsidRPr="00523932" w:rsidRDefault="00ED79C8" w:rsidP="00ED79C8">
      <w:pPr>
        <w:spacing w:after="0" w:line="240" w:lineRule="auto"/>
        <w:jc w:val="both"/>
        <w:rPr>
          <w:rFonts w:ascii="Verdana" w:eastAsia="Calibri" w:hAnsi="Verdana" w:cs="Arial"/>
          <w:bCs/>
          <w:sz w:val="20"/>
          <w:szCs w:val="20"/>
          <w:lang w:val="es-MX" w:eastAsia="es-ES_tradnl"/>
        </w:rPr>
      </w:pPr>
    </w:p>
    <w:p w14:paraId="61141B5C" w14:textId="77777777" w:rsidR="00ED79C8" w:rsidRPr="00523932" w:rsidRDefault="00ED79C8" w:rsidP="00ED79C8">
      <w:pPr>
        <w:spacing w:after="0" w:line="240" w:lineRule="auto"/>
        <w:jc w:val="both"/>
        <w:rPr>
          <w:rFonts w:ascii="Verdana" w:eastAsia="Calibri" w:hAnsi="Verdana" w:cs="Arial"/>
          <w:b/>
          <w:lang w:val="es-MX" w:eastAsia="es-ES_tradnl"/>
        </w:rPr>
      </w:pPr>
      <w:r>
        <w:rPr>
          <w:rFonts w:ascii="Verdana" w:eastAsia="Calibri" w:hAnsi="Verdana" w:cs="Arial"/>
          <w:b/>
          <w:lang w:val="es-MX" w:eastAsia="es-ES_tradnl"/>
        </w:rPr>
        <w:t>PARTICULARES QUE ADMINISTRAN RECURSOS PÚBLICOS</w:t>
      </w:r>
      <w:r w:rsidRPr="00523932">
        <w:rPr>
          <w:rFonts w:ascii="Verdana" w:eastAsia="Calibri" w:hAnsi="Verdana" w:cs="Arial"/>
          <w:b/>
          <w:lang w:val="es-MX" w:eastAsia="es-ES_tradnl"/>
        </w:rPr>
        <w:t xml:space="preserve"> –</w:t>
      </w:r>
      <w:r>
        <w:rPr>
          <w:rFonts w:ascii="Verdana" w:eastAsia="Calibri" w:hAnsi="Verdana" w:cs="Arial"/>
          <w:b/>
          <w:lang w:val="es-MX" w:eastAsia="es-ES_tradnl"/>
        </w:rPr>
        <w:t xml:space="preserve"> Régimen de inhabilidades e incompatibilidades – Extensión </w:t>
      </w:r>
    </w:p>
    <w:p w14:paraId="5B6A9553" w14:textId="77777777" w:rsidR="00ED79C8" w:rsidRPr="00523932" w:rsidRDefault="00ED79C8" w:rsidP="00ED79C8">
      <w:pPr>
        <w:spacing w:after="0" w:line="240" w:lineRule="auto"/>
        <w:rPr>
          <w:rFonts w:ascii="Verdana" w:eastAsia="Calibri" w:hAnsi="Verdana" w:cs="Arial"/>
          <w:bCs/>
          <w:sz w:val="20"/>
          <w:szCs w:val="20"/>
          <w:lang w:val="es-MX" w:eastAsia="es-ES_tradnl"/>
        </w:rPr>
      </w:pPr>
    </w:p>
    <w:p w14:paraId="22EF897D" w14:textId="77777777" w:rsidR="00ED79C8" w:rsidRDefault="00ED79C8" w:rsidP="00ED79C8">
      <w:pPr>
        <w:spacing w:after="0" w:line="240" w:lineRule="auto"/>
        <w:jc w:val="both"/>
        <w:rPr>
          <w:rFonts w:ascii="Verdana" w:eastAsia="Calibri" w:hAnsi="Verdana" w:cs="Arial"/>
          <w:bCs/>
          <w:sz w:val="20"/>
          <w:szCs w:val="20"/>
          <w:lang w:val="es-MX" w:eastAsia="es-ES_tradnl"/>
        </w:rPr>
      </w:pPr>
      <w:r>
        <w:rPr>
          <w:rFonts w:ascii="Verdana" w:eastAsia="Calibri" w:hAnsi="Verdana" w:cs="Arial"/>
          <w:bCs/>
          <w:sz w:val="20"/>
          <w:szCs w:val="20"/>
          <w:lang w:val="es-MX" w:eastAsia="es-ES_tradnl"/>
        </w:rPr>
        <w:t>L</w:t>
      </w:r>
      <w:r w:rsidRPr="00555999">
        <w:rPr>
          <w:rFonts w:ascii="Verdana" w:eastAsia="Calibri" w:hAnsi="Verdana" w:cs="Arial"/>
          <w:bCs/>
          <w:sz w:val="20"/>
          <w:szCs w:val="20"/>
          <w:lang w:val="es-MX" w:eastAsia="es-ES_tradnl"/>
        </w:rPr>
        <w:t>as restricciones a la capacidad jurídica para la celebración de contratos se extiend</w:t>
      </w:r>
      <w:r>
        <w:rPr>
          <w:rFonts w:ascii="Verdana" w:eastAsia="Calibri" w:hAnsi="Verdana" w:cs="Arial"/>
          <w:bCs/>
          <w:sz w:val="20"/>
          <w:szCs w:val="20"/>
          <w:lang w:val="es-MX" w:eastAsia="es-ES_tradnl"/>
        </w:rPr>
        <w:t>e</w:t>
      </w:r>
      <w:r w:rsidRPr="00555999">
        <w:rPr>
          <w:rFonts w:ascii="Verdana" w:eastAsia="Calibri" w:hAnsi="Verdana" w:cs="Arial"/>
          <w:bCs/>
          <w:sz w:val="20"/>
          <w:szCs w:val="20"/>
          <w:lang w:val="es-MX" w:eastAsia="es-ES_tradnl"/>
        </w:rPr>
        <w:t>n a los negocios jurídicos entre particulares. Al respecto, el parágrafo 3 del artículo 8 del Estatuto General de Contratación de la Administración Pública, adicionado por el artículo 3 de la Ley 2014 de 2019, dispone que “Las inhabilidades e incompatibilidades contempladas en este artículo se aplicarán a cualquier proceso de contratación privada en el que se comprometan recursos públicos”.</w:t>
      </w:r>
    </w:p>
    <w:p w14:paraId="5A7A4F4F" w14:textId="77777777" w:rsidR="00ED79C8" w:rsidRPr="00555999" w:rsidRDefault="00ED79C8" w:rsidP="00ED79C8">
      <w:pPr>
        <w:spacing w:after="0" w:line="240" w:lineRule="auto"/>
        <w:jc w:val="both"/>
        <w:rPr>
          <w:rFonts w:ascii="Verdana" w:eastAsia="Calibri" w:hAnsi="Verdana" w:cs="Arial"/>
          <w:bCs/>
          <w:sz w:val="20"/>
          <w:szCs w:val="20"/>
          <w:lang w:val="es-MX" w:eastAsia="es-ES_tradnl"/>
        </w:rPr>
      </w:pPr>
    </w:p>
    <w:p w14:paraId="21416DCE" w14:textId="77777777" w:rsidR="00ED79C8" w:rsidRPr="000F6022" w:rsidRDefault="00ED79C8" w:rsidP="00ED79C8">
      <w:pPr>
        <w:spacing w:after="0" w:line="240" w:lineRule="auto"/>
        <w:jc w:val="both"/>
        <w:rPr>
          <w:rFonts w:ascii="Verdana" w:eastAsia="Times New Roman" w:hAnsi="Verdana" w:cs="Arial"/>
          <w:color w:val="000000"/>
          <w:sz w:val="20"/>
          <w:szCs w:val="20"/>
          <w:lang w:val="es-MX" w:eastAsia="es-MX"/>
        </w:rPr>
      </w:pPr>
    </w:p>
    <w:p w14:paraId="661E4516" w14:textId="77777777" w:rsidR="00ED79C8" w:rsidRPr="00DE2AC7" w:rsidRDefault="00ED79C8" w:rsidP="00ED79C8">
      <w:pPr>
        <w:spacing w:after="0" w:line="240" w:lineRule="auto"/>
        <w:jc w:val="both"/>
        <w:rPr>
          <w:rFonts w:ascii="Verdana" w:eastAsia="Geomanist Light" w:hAnsi="Verdana" w:cs="Arial"/>
          <w:color w:val="000000" w:themeColor="text1"/>
        </w:rPr>
      </w:pPr>
    </w:p>
    <w:p w14:paraId="324D413F" w14:textId="77777777" w:rsidR="00ED79C8" w:rsidRDefault="00ED79C8" w:rsidP="00ED79C8">
      <w:pPr>
        <w:spacing w:after="0" w:line="240" w:lineRule="auto"/>
        <w:rPr>
          <w:rFonts w:ascii="Verdana" w:eastAsia="Geomanist Light" w:hAnsi="Verdana" w:cs="Arial"/>
          <w:color w:val="000000" w:themeColor="text1"/>
          <w:lang w:val="es-MX"/>
        </w:rPr>
      </w:pPr>
    </w:p>
    <w:p w14:paraId="58CCE913" w14:textId="77777777" w:rsidR="00ED79C8" w:rsidRDefault="00ED79C8" w:rsidP="00ED79C8">
      <w:pPr>
        <w:spacing w:after="0" w:line="240" w:lineRule="auto"/>
        <w:rPr>
          <w:rFonts w:ascii="Verdana" w:eastAsia="Geomanist Light" w:hAnsi="Verdana" w:cs="Arial"/>
          <w:color w:val="000000" w:themeColor="text1"/>
          <w:lang w:val="es-MX"/>
        </w:rPr>
      </w:pPr>
    </w:p>
    <w:p w14:paraId="481659EA" w14:textId="77777777" w:rsidR="00ED79C8" w:rsidRDefault="00ED79C8" w:rsidP="00ED79C8">
      <w:pPr>
        <w:spacing w:after="0" w:line="240" w:lineRule="auto"/>
        <w:rPr>
          <w:rFonts w:ascii="Verdana" w:eastAsia="Geomanist Light" w:hAnsi="Verdana" w:cs="Arial"/>
          <w:color w:val="000000" w:themeColor="text1"/>
          <w:lang w:val="es-MX"/>
        </w:rPr>
      </w:pPr>
    </w:p>
    <w:p w14:paraId="1C8441F3" w14:textId="77777777" w:rsidR="00ED79C8" w:rsidRDefault="00ED79C8" w:rsidP="00ED79C8">
      <w:pPr>
        <w:spacing w:after="0" w:line="240" w:lineRule="auto"/>
        <w:rPr>
          <w:rFonts w:ascii="Verdana" w:eastAsia="Geomanist Light" w:hAnsi="Verdana" w:cs="Arial"/>
          <w:color w:val="000000" w:themeColor="text1"/>
          <w:lang w:val="es-MX"/>
        </w:rPr>
      </w:pPr>
    </w:p>
    <w:p w14:paraId="18E2B5E3" w14:textId="77777777" w:rsidR="00ED79C8" w:rsidRDefault="00ED79C8" w:rsidP="00ED79C8">
      <w:pPr>
        <w:spacing w:after="0" w:line="240" w:lineRule="auto"/>
        <w:rPr>
          <w:rFonts w:ascii="Verdana" w:eastAsia="Geomanist Light" w:hAnsi="Verdana" w:cs="Arial"/>
          <w:color w:val="000000" w:themeColor="text1"/>
          <w:lang w:val="es-MX"/>
        </w:rPr>
      </w:pPr>
    </w:p>
    <w:p w14:paraId="4C687831" w14:textId="77777777" w:rsidR="00ED79C8" w:rsidRDefault="00ED79C8" w:rsidP="00ED79C8">
      <w:pPr>
        <w:spacing w:after="0" w:line="240" w:lineRule="auto"/>
        <w:rPr>
          <w:rFonts w:ascii="Verdana" w:eastAsia="Geomanist Light" w:hAnsi="Verdana" w:cs="Arial"/>
          <w:color w:val="000000" w:themeColor="text1"/>
          <w:lang w:val="es-MX"/>
        </w:rPr>
      </w:pPr>
    </w:p>
    <w:p w14:paraId="5ED7C884" w14:textId="77777777" w:rsidR="00ED79C8" w:rsidRDefault="00ED79C8" w:rsidP="00ED79C8">
      <w:pPr>
        <w:spacing w:after="0" w:line="240" w:lineRule="auto"/>
        <w:rPr>
          <w:rFonts w:ascii="Verdana" w:eastAsia="Geomanist Light" w:hAnsi="Verdana" w:cs="Arial"/>
          <w:color w:val="000000" w:themeColor="text1"/>
          <w:lang w:val="es-MX"/>
        </w:rPr>
      </w:pPr>
    </w:p>
    <w:p w14:paraId="17344C31" w14:textId="77777777" w:rsidR="00ED79C8" w:rsidRDefault="00ED79C8" w:rsidP="00ED79C8">
      <w:pPr>
        <w:spacing w:after="0" w:line="240" w:lineRule="auto"/>
        <w:rPr>
          <w:rFonts w:ascii="Verdana" w:eastAsia="Geomanist Light" w:hAnsi="Verdana" w:cs="Arial"/>
          <w:color w:val="000000" w:themeColor="text1"/>
          <w:lang w:val="es-MX"/>
        </w:rPr>
      </w:pPr>
    </w:p>
    <w:p w14:paraId="4C5BBE47" w14:textId="77777777" w:rsidR="00ED79C8" w:rsidRDefault="00ED79C8" w:rsidP="00ED79C8">
      <w:pPr>
        <w:spacing w:after="0" w:line="240" w:lineRule="auto"/>
        <w:rPr>
          <w:rFonts w:ascii="Verdana" w:eastAsia="Geomanist Light" w:hAnsi="Verdana" w:cs="Arial"/>
          <w:color w:val="000000" w:themeColor="text1"/>
          <w:lang w:val="es-MX"/>
        </w:rPr>
      </w:pPr>
    </w:p>
    <w:p w14:paraId="769F98C2" w14:textId="77777777" w:rsidR="00ED79C8" w:rsidRDefault="00ED79C8" w:rsidP="00ED79C8">
      <w:pPr>
        <w:spacing w:after="0" w:line="240" w:lineRule="auto"/>
        <w:rPr>
          <w:rFonts w:ascii="Verdana" w:eastAsia="Geomanist Light" w:hAnsi="Verdana" w:cs="Arial"/>
          <w:color w:val="000000" w:themeColor="text1"/>
          <w:lang w:val="es-MX"/>
        </w:rPr>
      </w:pPr>
    </w:p>
    <w:p w14:paraId="63B44B0D" w14:textId="77777777" w:rsidR="00ED79C8" w:rsidRDefault="00ED79C8" w:rsidP="00ED79C8">
      <w:pPr>
        <w:spacing w:after="0" w:line="240" w:lineRule="auto"/>
        <w:rPr>
          <w:rFonts w:ascii="Verdana" w:eastAsia="Geomanist Light" w:hAnsi="Verdana" w:cs="Arial"/>
          <w:color w:val="000000" w:themeColor="text1"/>
          <w:lang w:val="es-MX"/>
        </w:rPr>
      </w:pPr>
    </w:p>
    <w:p w14:paraId="16B0263D" w14:textId="77777777" w:rsidR="00ED79C8" w:rsidRDefault="00ED79C8" w:rsidP="00ED79C8">
      <w:pPr>
        <w:spacing w:after="0" w:line="240" w:lineRule="auto"/>
        <w:rPr>
          <w:rFonts w:ascii="Verdana" w:eastAsia="Geomanist Light" w:hAnsi="Verdana" w:cs="Arial"/>
          <w:color w:val="000000" w:themeColor="text1"/>
          <w:lang w:val="es-MX"/>
        </w:rPr>
      </w:pPr>
    </w:p>
    <w:p w14:paraId="7EB7B6F1" w14:textId="77777777" w:rsidR="00ED79C8" w:rsidRDefault="00ED79C8" w:rsidP="00ED79C8">
      <w:pPr>
        <w:spacing w:after="0" w:line="240" w:lineRule="auto"/>
        <w:rPr>
          <w:rFonts w:ascii="Verdana" w:eastAsia="Geomanist Light" w:hAnsi="Verdana" w:cs="Arial"/>
          <w:color w:val="000000" w:themeColor="text1"/>
          <w:lang w:val="es-MX"/>
        </w:rPr>
      </w:pPr>
    </w:p>
    <w:p w14:paraId="68F23203" w14:textId="77777777" w:rsidR="00ED79C8" w:rsidRDefault="00ED79C8" w:rsidP="00ED79C8">
      <w:pPr>
        <w:spacing w:after="0" w:line="240" w:lineRule="auto"/>
        <w:rPr>
          <w:rFonts w:ascii="Verdana" w:eastAsia="Geomanist Light" w:hAnsi="Verdana" w:cs="Arial"/>
          <w:color w:val="000000" w:themeColor="text1"/>
          <w:lang w:val="es-MX"/>
        </w:rPr>
      </w:pPr>
    </w:p>
    <w:p w14:paraId="2E757DAC" w14:textId="77777777" w:rsidR="00ED79C8" w:rsidRDefault="00ED79C8" w:rsidP="00ED79C8">
      <w:pPr>
        <w:spacing w:after="0" w:line="240" w:lineRule="auto"/>
        <w:rPr>
          <w:rFonts w:ascii="Verdana" w:eastAsia="Geomanist Light" w:hAnsi="Verdana" w:cs="Arial"/>
          <w:color w:val="000000" w:themeColor="text1"/>
          <w:lang w:val="es-MX"/>
        </w:rPr>
      </w:pPr>
    </w:p>
    <w:p w14:paraId="6C630E7E" w14:textId="77777777" w:rsidR="00ED79C8" w:rsidRDefault="00ED79C8" w:rsidP="00ED79C8">
      <w:pPr>
        <w:spacing w:after="0" w:line="240" w:lineRule="auto"/>
        <w:rPr>
          <w:rFonts w:ascii="Verdana" w:eastAsia="Geomanist Light" w:hAnsi="Verdana" w:cs="Arial"/>
          <w:color w:val="000000" w:themeColor="text1"/>
          <w:lang w:val="es-MX"/>
        </w:rPr>
      </w:pPr>
    </w:p>
    <w:p w14:paraId="2F2FDDE7" w14:textId="77777777" w:rsidR="00ED79C8" w:rsidRDefault="00ED79C8" w:rsidP="00ED79C8">
      <w:pPr>
        <w:spacing w:after="0" w:line="240" w:lineRule="auto"/>
        <w:rPr>
          <w:rFonts w:ascii="Verdana" w:eastAsia="Geomanist Light" w:hAnsi="Verdana" w:cs="Arial"/>
          <w:color w:val="000000" w:themeColor="text1"/>
          <w:lang w:val="es-MX"/>
        </w:rPr>
      </w:pPr>
    </w:p>
    <w:p w14:paraId="5A60B092" w14:textId="77777777" w:rsidR="00ED79C8" w:rsidRDefault="00ED79C8" w:rsidP="00ED79C8">
      <w:pPr>
        <w:spacing w:after="0" w:line="240" w:lineRule="auto"/>
        <w:rPr>
          <w:rFonts w:ascii="Verdana" w:eastAsia="Geomanist Light" w:hAnsi="Verdana" w:cs="Arial"/>
          <w:color w:val="000000" w:themeColor="text1"/>
          <w:lang w:val="es-MX"/>
        </w:rPr>
      </w:pPr>
    </w:p>
    <w:p w14:paraId="4A62C015" w14:textId="77777777" w:rsidR="00ED79C8" w:rsidRDefault="00ED79C8" w:rsidP="00ED79C8">
      <w:pPr>
        <w:spacing w:after="0" w:line="240" w:lineRule="auto"/>
        <w:rPr>
          <w:rFonts w:ascii="Verdana" w:eastAsia="Geomanist Light" w:hAnsi="Verdana" w:cs="Arial"/>
          <w:color w:val="000000" w:themeColor="text1"/>
          <w:lang w:val="es-MX"/>
        </w:rPr>
      </w:pPr>
    </w:p>
    <w:p w14:paraId="496FC6D0" w14:textId="77777777" w:rsidR="00ED79C8" w:rsidRDefault="00ED79C8" w:rsidP="00ED79C8">
      <w:pPr>
        <w:spacing w:after="0" w:line="240" w:lineRule="auto"/>
        <w:rPr>
          <w:rFonts w:ascii="Verdana" w:eastAsia="Geomanist Light" w:hAnsi="Verdana" w:cs="Arial"/>
          <w:color w:val="000000" w:themeColor="text1"/>
          <w:lang w:val="es-MX"/>
        </w:rPr>
      </w:pPr>
    </w:p>
    <w:p w14:paraId="602AE397" w14:textId="77777777" w:rsidR="00ED79C8" w:rsidRDefault="00ED79C8" w:rsidP="00ED79C8">
      <w:pPr>
        <w:spacing w:after="0" w:line="240" w:lineRule="auto"/>
        <w:rPr>
          <w:rFonts w:ascii="Verdana" w:eastAsia="Geomanist Light" w:hAnsi="Verdana" w:cs="Arial"/>
          <w:color w:val="000000" w:themeColor="text1"/>
          <w:lang w:val="es-MX"/>
        </w:rPr>
      </w:pPr>
    </w:p>
    <w:p w14:paraId="686A0360" w14:textId="77777777" w:rsidR="00ED79C8" w:rsidRDefault="00ED79C8" w:rsidP="00ED79C8">
      <w:pPr>
        <w:spacing w:after="0" w:line="240" w:lineRule="auto"/>
        <w:rPr>
          <w:rFonts w:ascii="Verdana" w:eastAsia="Geomanist Light" w:hAnsi="Verdana" w:cs="Arial"/>
          <w:color w:val="000000" w:themeColor="text1"/>
          <w:lang w:val="es-MX"/>
        </w:rPr>
      </w:pPr>
    </w:p>
    <w:p w14:paraId="46106CD1" w14:textId="77777777" w:rsidR="00ED79C8" w:rsidRDefault="00ED79C8" w:rsidP="00ED79C8">
      <w:pPr>
        <w:spacing w:after="0" w:line="240" w:lineRule="auto"/>
        <w:rPr>
          <w:rFonts w:ascii="Verdana" w:eastAsia="Geomanist Light" w:hAnsi="Verdana" w:cs="Arial"/>
          <w:color w:val="000000" w:themeColor="text1"/>
          <w:lang w:val="es-MX"/>
        </w:rPr>
      </w:pPr>
    </w:p>
    <w:p w14:paraId="7F2B59D3" w14:textId="77777777" w:rsidR="00ED79C8" w:rsidRDefault="00ED79C8" w:rsidP="00ED79C8">
      <w:pPr>
        <w:spacing w:after="0" w:line="240" w:lineRule="auto"/>
        <w:rPr>
          <w:rFonts w:ascii="Verdana" w:eastAsia="Geomanist Light" w:hAnsi="Verdana" w:cs="Arial"/>
          <w:color w:val="000000" w:themeColor="text1"/>
          <w:lang w:val="es-MX"/>
        </w:rPr>
      </w:pPr>
    </w:p>
    <w:p w14:paraId="3D21F3EE" w14:textId="77777777" w:rsidR="00ED79C8" w:rsidRDefault="00ED79C8" w:rsidP="00ED79C8">
      <w:pPr>
        <w:spacing w:after="0" w:line="240" w:lineRule="auto"/>
        <w:rPr>
          <w:rFonts w:ascii="Verdana" w:eastAsia="Geomanist Light" w:hAnsi="Verdana" w:cs="Arial"/>
          <w:color w:val="000000" w:themeColor="text1"/>
          <w:lang w:val="es-MX"/>
        </w:rPr>
      </w:pPr>
    </w:p>
    <w:p w14:paraId="7B6654ED" w14:textId="77777777" w:rsidR="00ED79C8" w:rsidRDefault="00ED79C8" w:rsidP="000829A1">
      <w:pPr>
        <w:spacing w:after="0" w:line="240" w:lineRule="auto"/>
        <w:rPr>
          <w:rFonts w:ascii="Verdana" w:eastAsia="Geomanist Light" w:hAnsi="Verdana" w:cs="Arial"/>
          <w:color w:val="000000" w:themeColor="text1"/>
          <w:lang w:val="es-MX"/>
        </w:rPr>
      </w:pPr>
    </w:p>
    <w:p w14:paraId="646A6993" w14:textId="54527BDB" w:rsidR="000829A1" w:rsidRPr="00593A5F" w:rsidRDefault="000829A1" w:rsidP="000829A1">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F4CCF">
        <w:rPr>
          <w:rFonts w:ascii="Verdana" w:eastAsia="Geomanist Light" w:hAnsi="Verdana" w:cs="Arial"/>
          <w:color w:val="000000" w:themeColor="text1"/>
          <w:lang w:val="es-MX"/>
        </w:rPr>
        <w:t>19 de Noviembre de 2025</w:t>
      </w:r>
    </w:p>
    <w:p w14:paraId="61611D3E" w14:textId="77777777" w:rsidR="000829A1" w:rsidRDefault="000829A1" w:rsidP="000829A1">
      <w:pPr>
        <w:spacing w:after="0" w:line="240" w:lineRule="auto"/>
        <w:jc w:val="both"/>
        <w:rPr>
          <w:rFonts w:ascii="Verdana" w:eastAsia="Calibri" w:hAnsi="Verdana" w:cs="Arial"/>
          <w:color w:val="000000"/>
          <w:lang w:val="es-ES"/>
        </w:rPr>
      </w:pPr>
    </w:p>
    <w:p w14:paraId="65ABC27E" w14:textId="42B9EB81" w:rsidR="000829A1" w:rsidRDefault="00F80FE6" w:rsidP="00F80FE6">
      <w:pPr>
        <w:spacing w:after="0" w:line="240" w:lineRule="auto"/>
        <w:jc w:val="right"/>
        <w:rPr>
          <w:rFonts w:ascii="Verdana" w:eastAsia="Calibri" w:hAnsi="Verdana" w:cs="Arial"/>
          <w:color w:val="000000"/>
          <w:lang w:val="es-ES"/>
        </w:rPr>
      </w:pPr>
      <w:r w:rsidRPr="00F80FE6">
        <w:rPr>
          <w:rFonts w:ascii="Verdana" w:eastAsia="Calibri" w:hAnsi="Verdana" w:cs="Arial"/>
          <w:noProof/>
          <w:color w:val="000000"/>
          <w:lang w:val="es-ES"/>
        </w:rPr>
        <w:drawing>
          <wp:inline distT="0" distB="0" distL="0" distR="0" wp14:anchorId="718C8FA6" wp14:editId="3D9E1497">
            <wp:extent cx="2750457" cy="711200"/>
            <wp:effectExtent l="0" t="0" r="5715" b="0"/>
            <wp:docPr id="15089748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974806" name=""/>
                    <pic:cNvPicPr/>
                  </pic:nvPicPr>
                  <pic:blipFill>
                    <a:blip r:embed="rId10"/>
                    <a:stretch>
                      <a:fillRect/>
                    </a:stretch>
                  </pic:blipFill>
                  <pic:spPr>
                    <a:xfrm>
                      <a:off x="0" y="0"/>
                      <a:ext cx="2855049" cy="738245"/>
                    </a:xfrm>
                    <a:prstGeom prst="rect">
                      <a:avLst/>
                    </a:prstGeom>
                  </pic:spPr>
                </pic:pic>
              </a:graphicData>
            </a:graphic>
          </wp:inline>
        </w:drawing>
      </w:r>
    </w:p>
    <w:p w14:paraId="680D9A82" w14:textId="77777777" w:rsidR="00F80FE6" w:rsidRPr="00593A5F" w:rsidRDefault="00F80FE6" w:rsidP="000829A1">
      <w:pPr>
        <w:spacing w:after="0" w:line="240" w:lineRule="auto"/>
        <w:jc w:val="both"/>
        <w:rPr>
          <w:rFonts w:ascii="Verdana" w:eastAsia="Calibri" w:hAnsi="Verdana" w:cs="Arial"/>
          <w:color w:val="000000"/>
          <w:lang w:val="es-ES"/>
        </w:rPr>
      </w:pPr>
    </w:p>
    <w:p w14:paraId="095135FE" w14:textId="77777777" w:rsidR="000829A1" w:rsidRPr="00B96799" w:rsidRDefault="000829A1" w:rsidP="000829A1">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0B90F910" w14:textId="77777777" w:rsidR="000829A1" w:rsidRPr="0085423D" w:rsidRDefault="000829A1" w:rsidP="000829A1">
      <w:pPr>
        <w:spacing w:after="0" w:line="240" w:lineRule="auto"/>
        <w:rPr>
          <w:rFonts w:ascii="Verdana" w:eastAsia="Calibri" w:hAnsi="Verdana" w:cs="Arial"/>
          <w:b/>
          <w:lang w:val="es-ES_tradnl" w:eastAsia="es-ES_tradnl"/>
        </w:rPr>
      </w:pPr>
      <w:bookmarkStart w:id="0" w:name="OLE_LINK1"/>
      <w:r w:rsidRPr="0079772D">
        <w:rPr>
          <w:rFonts w:ascii="Verdana" w:eastAsia="Calibri" w:hAnsi="Verdana" w:cs="Arial"/>
          <w:b/>
          <w:lang w:val="es-ES_tradnl" w:eastAsia="es-ES_tradnl"/>
        </w:rPr>
        <w:t>Nicolas Acevedo González</w:t>
      </w:r>
      <w:r>
        <w:rPr>
          <w:rFonts w:ascii="Verdana" w:eastAsia="Calibri" w:hAnsi="Verdana" w:cs="Arial"/>
          <w:b/>
          <w:lang w:val="es-ES_tradnl" w:eastAsia="es-ES_tradnl"/>
        </w:rPr>
        <w:t xml:space="preserve"> </w:t>
      </w:r>
    </w:p>
    <w:bookmarkEnd w:id="0"/>
    <w:p w14:paraId="53AF9F99" w14:textId="77777777" w:rsidR="000829A1" w:rsidRPr="00507587" w:rsidRDefault="000829A1" w:rsidP="000829A1">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5B702E">
        <w:rPr>
          <w:rFonts w:ascii="Verdana" w:hAnsi="Verdana"/>
        </w:rPr>
        <w:instrText>nicolas.acevedo@icbf.gov.co</w:instrText>
      </w:r>
      <w:r>
        <w:rPr>
          <w:rFonts w:ascii="Verdana" w:hAnsi="Verdana"/>
        </w:rPr>
        <w:instrText>"</w:instrText>
      </w:r>
      <w:r>
        <w:rPr>
          <w:rFonts w:ascii="Verdana" w:hAnsi="Verdana"/>
        </w:rPr>
      </w:r>
      <w:r>
        <w:rPr>
          <w:rFonts w:ascii="Verdana" w:hAnsi="Verdana"/>
        </w:rPr>
        <w:fldChar w:fldCharType="separate"/>
      </w:r>
      <w:r w:rsidRPr="00A91D92">
        <w:rPr>
          <w:rStyle w:val="Hipervnculo"/>
          <w:rFonts w:ascii="Verdana" w:hAnsi="Verdana"/>
        </w:rPr>
        <w:t>nicolas.acevedo@icbf.gov.co</w:t>
      </w:r>
      <w:r>
        <w:rPr>
          <w:rFonts w:ascii="Verdana" w:hAnsi="Verdana"/>
        </w:rPr>
        <w:fldChar w:fldCharType="end"/>
      </w:r>
      <w:r>
        <w:rPr>
          <w:rFonts w:ascii="Verdana" w:hAnsi="Verdana"/>
        </w:rPr>
        <w:t xml:space="preserve">   </w:t>
      </w:r>
      <w:r w:rsidRPr="0084291A">
        <w:rPr>
          <w:rFonts w:ascii="Verdana" w:hAnsi="Verdana"/>
        </w:rPr>
        <w:t xml:space="preserve"> </w:t>
      </w:r>
      <w:r>
        <w:rPr>
          <w:rFonts w:ascii="Verdana" w:hAnsi="Verdana"/>
        </w:rPr>
        <w:t xml:space="preserve"> </w:t>
      </w:r>
      <w:r w:rsidRPr="00507587">
        <w:rPr>
          <w:rFonts w:ascii="Verdana" w:hAnsi="Verdana"/>
        </w:rPr>
        <w:t xml:space="preserve">            </w:t>
      </w:r>
      <w:r w:rsidRPr="00507587">
        <w:rPr>
          <w:rFonts w:ascii="Verdana" w:eastAsia="Calibri" w:hAnsi="Verdana" w:cs="Arial"/>
          <w:lang w:val="es-ES" w:eastAsia="es-ES"/>
        </w:rPr>
        <w:t xml:space="preserve">    </w:t>
      </w:r>
    </w:p>
    <w:p w14:paraId="138A80AF" w14:textId="77777777" w:rsidR="000829A1" w:rsidRDefault="000829A1" w:rsidP="000829A1">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437773B8" w14:textId="77777777" w:rsidR="000829A1" w:rsidRPr="00593A5F" w:rsidRDefault="000829A1" w:rsidP="000829A1">
      <w:pPr>
        <w:spacing w:after="0" w:line="240" w:lineRule="auto"/>
        <w:rPr>
          <w:rFonts w:ascii="Verdana" w:eastAsia="Calibri" w:hAnsi="Verdana" w:cs="Arial"/>
          <w:b/>
          <w:bCs/>
          <w:color w:val="000000"/>
          <w:lang w:val="es-ES_tradnl" w:eastAsia="es-ES_tradnl"/>
        </w:rPr>
      </w:pPr>
    </w:p>
    <w:p w14:paraId="589F31E2" w14:textId="77777777" w:rsidR="000829A1" w:rsidRPr="00593A5F" w:rsidRDefault="000829A1" w:rsidP="000829A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829A1" w:rsidRPr="00593A5F" w14:paraId="6FBF7139" w14:textId="77777777" w:rsidTr="00597922">
        <w:trPr>
          <w:trHeight w:val="884"/>
        </w:trPr>
        <w:tc>
          <w:tcPr>
            <w:tcW w:w="2689" w:type="dxa"/>
          </w:tcPr>
          <w:p w14:paraId="6E499559" w14:textId="77777777" w:rsidR="000829A1" w:rsidRPr="00C00976" w:rsidRDefault="000829A1" w:rsidP="00597922">
            <w:pPr>
              <w:jc w:val="both"/>
              <w:rPr>
                <w:rFonts w:ascii="Verdana" w:eastAsia="Calibri" w:hAnsi="Verdana" w:cs="Arial"/>
                <w:b/>
                <w:bCs/>
                <w:color w:val="7030A0"/>
                <w:lang w:val="es-ES_tradnl" w:eastAsia="es-ES_tradnl"/>
              </w:rPr>
            </w:pPr>
          </w:p>
        </w:tc>
        <w:tc>
          <w:tcPr>
            <w:tcW w:w="6100" w:type="dxa"/>
          </w:tcPr>
          <w:p w14:paraId="17F366E7" w14:textId="7DED7D65" w:rsidR="000829A1" w:rsidRPr="00C00976" w:rsidRDefault="000829A1" w:rsidP="00597922">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FD2086">
              <w:rPr>
                <w:rFonts w:ascii="Verdana" w:eastAsia="Calibri" w:hAnsi="Verdana" w:cs="Arial"/>
                <w:b/>
                <w:bCs/>
                <w:lang w:val="es-ES" w:eastAsia="es-ES"/>
              </w:rPr>
              <w:t>1690</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0829A1" w:rsidRPr="00593A5F" w14:paraId="1B9B0CFA" w14:textId="77777777" w:rsidTr="00597922">
        <w:trPr>
          <w:trHeight w:val="884"/>
        </w:trPr>
        <w:tc>
          <w:tcPr>
            <w:tcW w:w="2689" w:type="dxa"/>
          </w:tcPr>
          <w:p w14:paraId="1E679896" w14:textId="77777777" w:rsidR="000829A1" w:rsidRPr="00593A5F" w:rsidRDefault="000829A1" w:rsidP="0059792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7557628" w14:textId="77777777" w:rsidR="000829A1" w:rsidRPr="00A11406" w:rsidRDefault="000829A1" w:rsidP="00597922">
            <w:pPr>
              <w:spacing w:line="276" w:lineRule="auto"/>
              <w:jc w:val="both"/>
              <w:rPr>
                <w:rFonts w:ascii="Verdana" w:eastAsia="Calibri" w:hAnsi="Verdana" w:cs="Arial"/>
                <w:lang w:val="es-ES" w:eastAsia="es-ES"/>
              </w:rPr>
            </w:pPr>
            <w:r w:rsidRPr="003575C9">
              <w:rPr>
                <w:rFonts w:ascii="Verdana" w:eastAsia="Calibri" w:hAnsi="Verdana" w:cs="Arial"/>
                <w:lang w:val="es-ES" w:eastAsia="es-ES"/>
              </w:rPr>
              <w:t>INHABILIDADES – Definición – Finalidad – Limitación capacidad contractual</w:t>
            </w:r>
            <w:r>
              <w:rPr>
                <w:rFonts w:ascii="Verdana" w:eastAsia="Calibri" w:hAnsi="Verdana" w:cs="Arial"/>
                <w:lang w:val="es-ES" w:eastAsia="es-ES"/>
              </w:rPr>
              <w:t xml:space="preserve"> / </w:t>
            </w:r>
            <w:r w:rsidRPr="003575C9">
              <w:rPr>
                <w:rFonts w:ascii="Verdana" w:eastAsia="Calibri" w:hAnsi="Verdana" w:cs="Arial"/>
                <w:lang w:val="es-ES" w:eastAsia="es-ES"/>
              </w:rPr>
              <w:t>CONTRATACIÓN ESTATAL – Capacidad – Validez contratos – Régimen de contratación – Inscripción – Limitación de la capacidad</w:t>
            </w:r>
            <w:r>
              <w:rPr>
                <w:rFonts w:ascii="Verdana" w:eastAsia="Calibri" w:hAnsi="Verdana" w:cs="Arial"/>
                <w:lang w:val="es-ES" w:eastAsia="es-ES"/>
              </w:rPr>
              <w:t xml:space="preserve"> / </w:t>
            </w:r>
            <w:r w:rsidRPr="00D91491">
              <w:rPr>
                <w:rFonts w:ascii="Verdana" w:eastAsia="Calibri" w:hAnsi="Verdana" w:cs="Arial"/>
                <w:lang w:val="es-ES" w:eastAsia="es-ES"/>
              </w:rPr>
              <w:t>PARTICULARES QUE ADMINISTRAN RECURSOS PÚBLICOS – Régimen de inhabilidades e incompatibilidades – Extensión</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4A290D4" w14:textId="77777777" w:rsidR="000829A1" w:rsidRPr="00593A5F" w:rsidRDefault="000829A1" w:rsidP="00597922">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829A1" w:rsidRPr="008E6AD9" w14:paraId="296C5948" w14:textId="77777777" w:rsidTr="00597922">
        <w:tc>
          <w:tcPr>
            <w:tcW w:w="2689" w:type="dxa"/>
          </w:tcPr>
          <w:p w14:paraId="264DA551" w14:textId="77777777" w:rsidR="000829A1" w:rsidRPr="008E6AD9" w:rsidRDefault="000829A1" w:rsidP="00597922">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BCBEDBE" w14:textId="77777777" w:rsidR="000829A1" w:rsidRPr="00B92340" w:rsidRDefault="000829A1" w:rsidP="00597922">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2219B8">
              <w:rPr>
                <w:rFonts w:ascii="Verdana" w:eastAsia="Calibri" w:hAnsi="Verdana" w:cs="Arial"/>
                <w:lang w:val="es-ES_tradnl" w:eastAsia="es-ES_tradnl"/>
              </w:rPr>
              <w:t>1_2025_11_14_012889</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CA9EF08" w14:textId="77777777" w:rsidR="000829A1" w:rsidRPr="00593A5F" w:rsidRDefault="000829A1" w:rsidP="000829A1">
      <w:pPr>
        <w:spacing w:after="0" w:line="240" w:lineRule="auto"/>
        <w:jc w:val="both"/>
        <w:rPr>
          <w:rFonts w:ascii="Verdana" w:eastAsia="Calibri" w:hAnsi="Verdana" w:cs="Arial"/>
          <w:color w:val="000000"/>
          <w:lang w:val="es-ES_tradnl" w:eastAsia="es-ES_tradnl"/>
        </w:rPr>
      </w:pPr>
    </w:p>
    <w:p w14:paraId="5E43D182" w14:textId="77777777" w:rsidR="000829A1" w:rsidRPr="00593A5F" w:rsidRDefault="000829A1" w:rsidP="000829A1">
      <w:pPr>
        <w:spacing w:after="0" w:line="240" w:lineRule="auto"/>
        <w:jc w:val="both"/>
        <w:rPr>
          <w:rFonts w:ascii="Verdana" w:eastAsia="Calibri" w:hAnsi="Verdana" w:cs="Arial"/>
          <w:color w:val="000000"/>
          <w:lang w:val="es-ES_tradnl" w:eastAsia="es-ES_tradnl"/>
        </w:rPr>
      </w:pPr>
    </w:p>
    <w:p w14:paraId="6AC94CA1" w14:textId="77777777" w:rsidR="000829A1" w:rsidRPr="008E6AD9" w:rsidRDefault="000829A1" w:rsidP="000829A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4F155B">
        <w:rPr>
          <w:rFonts w:ascii="Verdana" w:eastAsia="Calibri" w:hAnsi="Verdana" w:cs="Arial"/>
          <w:lang w:val="es-ES" w:eastAsia="es-ES"/>
        </w:rPr>
        <w:t>Acevedo González</w:t>
      </w:r>
      <w:r w:rsidRPr="008E6AD9">
        <w:rPr>
          <w:rFonts w:ascii="Verdana" w:eastAsia="Calibri" w:hAnsi="Verdana" w:cs="Arial"/>
          <w:lang w:val="es-ES" w:eastAsia="es-ES"/>
        </w:rPr>
        <w:t xml:space="preserve">: </w:t>
      </w:r>
    </w:p>
    <w:p w14:paraId="478DA59D" w14:textId="77777777" w:rsidR="000829A1" w:rsidRDefault="000829A1" w:rsidP="000829A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0174BE2" w14:textId="77777777" w:rsidR="000829A1" w:rsidRPr="00593A5F" w:rsidRDefault="000829A1" w:rsidP="000829A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su</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15 de octubre de 2025 realizada al Departamento Administrativo de la Función Pública, la cual –conforme al artículo 21 de la Ley 1437 de 2011– fue remitida por competencia a esta entidad mediante correo </w:t>
      </w:r>
      <w:r>
        <w:rPr>
          <w:rFonts w:ascii="Verdana" w:eastAsia="Calibri" w:hAnsi="Verdana" w:cs="Arial"/>
          <w:lang w:val="es-ES" w:eastAsia="es-ES"/>
        </w:rPr>
        <w:lastRenderedPageBreak/>
        <w:t>electrónico del 13 de octubre de las misma anualidad, en que plantea las siguientes inquietudes</w:t>
      </w:r>
      <w:r w:rsidRPr="008E6AD9">
        <w:rPr>
          <w:rFonts w:ascii="Verdana" w:eastAsia="Calibri" w:hAnsi="Verdana" w:cs="Arial"/>
          <w:lang w:val="es-ES" w:eastAsia="es-ES"/>
        </w:rPr>
        <w:t xml:space="preserve">: </w:t>
      </w:r>
    </w:p>
    <w:p w14:paraId="38C6DA65" w14:textId="77777777" w:rsidR="000829A1" w:rsidRPr="00272A7B" w:rsidRDefault="000829A1" w:rsidP="000829A1">
      <w:pPr>
        <w:pStyle w:val="Prrafodelista"/>
        <w:tabs>
          <w:tab w:val="left" w:pos="142"/>
          <w:tab w:val="left" w:pos="284"/>
        </w:tabs>
        <w:spacing w:after="0" w:line="276" w:lineRule="auto"/>
        <w:ind w:left="0"/>
        <w:jc w:val="both"/>
        <w:rPr>
          <w:rFonts w:ascii="Verdana" w:eastAsia="Century Gothic" w:hAnsi="Verdana" w:cs="Century Gothic"/>
          <w:b/>
          <w:bCs/>
        </w:rPr>
      </w:pPr>
    </w:p>
    <w:p w14:paraId="3FB51E7F" w14:textId="77777777" w:rsidR="000829A1" w:rsidRPr="00841344" w:rsidRDefault="000829A1" w:rsidP="004D60A5">
      <w:pPr>
        <w:spacing w:after="0" w:line="240" w:lineRule="auto"/>
        <w:ind w:left="709" w:right="709"/>
        <w:jc w:val="both"/>
        <w:rPr>
          <w:rFonts w:ascii="Verdana" w:eastAsia="Century Gothic" w:hAnsi="Verdana" w:cs="Century Gothic"/>
          <w:sz w:val="21"/>
          <w:szCs w:val="21"/>
          <w:lang w:val="es-ES"/>
        </w:rPr>
      </w:pPr>
      <w:bookmarkStart w:id="1" w:name="_Hlk95313578"/>
      <w:r w:rsidRPr="00CD413C">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 xml:space="preserve">[…] </w:t>
      </w:r>
      <w:r w:rsidRPr="0043748B">
        <w:rPr>
          <w:rFonts w:ascii="Verdana" w:eastAsia="Century Gothic" w:hAnsi="Verdana" w:cs="Century Gothic"/>
          <w:sz w:val="20"/>
          <w:szCs w:val="20"/>
          <w:lang w:val="es-ES"/>
        </w:rPr>
        <w:t>¿Le es aplicable el régimen de inhabilidades, incompatibilidades y conflictos de interés a particulares que administran recursos públicos y/o prestan un servicio público de acuerdo con la jurisprudencia y las leyes? de ser aplicable inclusive parcialmente ¿Cuál es su alcance?</w:t>
      </w:r>
      <w:r w:rsidRPr="00CD413C">
        <w:rPr>
          <w:rFonts w:ascii="Verdana" w:eastAsia="Century Gothic" w:hAnsi="Verdana" w:cs="Century Gothic"/>
          <w:sz w:val="20"/>
          <w:szCs w:val="20"/>
        </w:rPr>
        <w:t xml:space="preserve">”. </w:t>
      </w:r>
    </w:p>
    <w:p w14:paraId="225FC4C2" w14:textId="77777777" w:rsidR="000829A1" w:rsidRPr="008E6AD9" w:rsidRDefault="000829A1" w:rsidP="000829A1">
      <w:pPr>
        <w:pStyle w:val="Prrafodelista"/>
        <w:tabs>
          <w:tab w:val="left" w:pos="142"/>
          <w:tab w:val="left" w:pos="284"/>
        </w:tabs>
        <w:spacing w:after="0" w:line="276" w:lineRule="auto"/>
        <w:ind w:left="0"/>
        <w:jc w:val="both"/>
        <w:rPr>
          <w:rFonts w:ascii="Verdana" w:eastAsia="Century Gothic" w:hAnsi="Verdana" w:cs="Century Gothic"/>
          <w:b/>
          <w:bCs/>
        </w:rPr>
      </w:pPr>
    </w:p>
    <w:p w14:paraId="4F0BF90D" w14:textId="77777777" w:rsidR="000829A1" w:rsidRPr="00A652FF" w:rsidRDefault="000829A1" w:rsidP="000829A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95E58DE" w14:textId="77777777" w:rsidR="000829A1" w:rsidRDefault="000829A1" w:rsidP="000829A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p>
    <w:p w14:paraId="5383FAC3" w14:textId="77777777" w:rsidR="000829A1" w:rsidRPr="00593A5F" w:rsidRDefault="000829A1" w:rsidP="000829A1">
      <w:pPr>
        <w:spacing w:after="0" w:line="276" w:lineRule="auto"/>
        <w:ind w:firstLine="709"/>
        <w:jc w:val="both"/>
        <w:rPr>
          <w:rFonts w:ascii="Verdana" w:eastAsia="Calibri" w:hAnsi="Verdana" w:cs="Arial"/>
          <w:color w:val="000000"/>
          <w:lang w:val="es-ES" w:eastAsia="es-ES"/>
        </w:rPr>
      </w:pPr>
    </w:p>
    <w:p w14:paraId="0937FAF0" w14:textId="77777777" w:rsidR="000829A1" w:rsidRPr="00593A5F" w:rsidRDefault="000829A1" w:rsidP="000829A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3A27279" w14:textId="77777777" w:rsidR="000829A1" w:rsidRPr="00593A5F" w:rsidRDefault="000829A1" w:rsidP="000829A1">
      <w:pPr>
        <w:tabs>
          <w:tab w:val="left" w:pos="426"/>
        </w:tabs>
        <w:spacing w:after="0" w:line="276" w:lineRule="auto"/>
        <w:jc w:val="both"/>
        <w:rPr>
          <w:rFonts w:ascii="Verdana" w:eastAsia="Century Gothic" w:hAnsi="Verdana" w:cs="Century Gothic"/>
          <w:lang w:val="es-ES"/>
        </w:rPr>
      </w:pPr>
    </w:p>
    <w:p w14:paraId="4A0E6905" w14:textId="77777777" w:rsidR="000829A1" w:rsidRPr="00593A5F" w:rsidRDefault="000829A1" w:rsidP="000829A1">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¿el régimen de inhabilidades e incompatibilidades previsto en el artículo 8 de la Ley 80 de 1993 se extiende a los particulares que administren recursos públicos?       </w:t>
      </w:r>
    </w:p>
    <w:p w14:paraId="25DFAF39" w14:textId="77777777" w:rsidR="000829A1" w:rsidRPr="004B140F" w:rsidRDefault="000829A1" w:rsidP="000829A1">
      <w:pPr>
        <w:spacing w:after="0" w:line="276" w:lineRule="auto"/>
        <w:jc w:val="both"/>
        <w:rPr>
          <w:rFonts w:ascii="Verdana" w:eastAsia="Calibri" w:hAnsi="Verdana" w:cs="Arial"/>
          <w:color w:val="7030A0"/>
        </w:rPr>
      </w:pPr>
    </w:p>
    <w:p w14:paraId="1151DF59" w14:textId="77777777" w:rsidR="000829A1" w:rsidRPr="00593A5F" w:rsidRDefault="000829A1" w:rsidP="000829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CF2114F" w14:textId="77777777" w:rsidR="000829A1" w:rsidRPr="00593A5F" w:rsidRDefault="000829A1" w:rsidP="000829A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829A1" w:rsidRPr="00593A5F" w14:paraId="0C2A86D6" w14:textId="77777777" w:rsidTr="00D64C2C">
        <w:trPr>
          <w:jc w:val="center"/>
        </w:trPr>
        <w:tc>
          <w:tcPr>
            <w:tcW w:w="8828" w:type="dxa"/>
          </w:tcPr>
          <w:p w14:paraId="3D8EAB1D" w14:textId="77777777" w:rsidR="000829A1" w:rsidRDefault="000829A1" w:rsidP="00597922">
            <w:pPr>
              <w:spacing w:after="120" w:line="276" w:lineRule="auto"/>
              <w:jc w:val="both"/>
              <w:rPr>
                <w:rFonts w:ascii="Verdana" w:eastAsia="Calibri" w:hAnsi="Verdana" w:cs="Arial"/>
                <w:lang w:val="es-ES_tradnl"/>
              </w:rPr>
            </w:pPr>
            <w:bookmarkStart w:id="2" w:name="_Hlk171694685"/>
            <w:r>
              <w:rPr>
                <w:rFonts w:ascii="Verdana" w:eastAsia="Calibri" w:hAnsi="Verdana" w:cs="Arial"/>
                <w:bCs/>
                <w:color w:val="000000" w:themeColor="text1"/>
              </w:rPr>
              <w:lastRenderedPageBreak/>
              <w:t>Conforme a la interpretación general de las normas del sistema de compras públicas,</w:t>
            </w:r>
            <w:r>
              <w:rPr>
                <w:rFonts w:ascii="Verdana" w:eastAsia="Calibri" w:hAnsi="Verdana" w:cs="Arial"/>
                <w:color w:val="000000" w:themeColor="text1"/>
              </w:rPr>
              <w:t xml:space="preserve"> </w:t>
            </w:r>
            <w:r>
              <w:rPr>
                <w:rFonts w:ascii="Verdana" w:eastAsia="Calibri" w:hAnsi="Verdana" w:cs="Arial"/>
                <w:lang w:val="es-ES_tradnl"/>
              </w:rPr>
              <w:t>el literal a) del artículo 8.1 de la Ley 80 de 1993 dispone que s</w:t>
            </w:r>
            <w:r w:rsidRPr="00446B74">
              <w:rPr>
                <w:rFonts w:ascii="Verdana" w:eastAsia="Calibri" w:hAnsi="Verdana" w:cs="Arial"/>
                <w:lang w:val="es-ES_tradnl"/>
              </w:rPr>
              <w:t xml:space="preserve">on inhábiles para participar </w:t>
            </w:r>
            <w:r>
              <w:rPr>
                <w:rFonts w:ascii="Verdana" w:eastAsia="Calibri" w:hAnsi="Verdana" w:cs="Arial"/>
                <w:lang w:val="es-ES_tradnl"/>
              </w:rPr>
              <w:t xml:space="preserve">procesos de selección </w:t>
            </w:r>
            <w:r w:rsidRPr="00446B74">
              <w:rPr>
                <w:rFonts w:ascii="Verdana" w:eastAsia="Calibri" w:hAnsi="Verdana" w:cs="Arial"/>
                <w:lang w:val="es-ES_tradnl"/>
              </w:rPr>
              <w:t xml:space="preserve">y para celebrar contratos </w:t>
            </w:r>
            <w:r>
              <w:rPr>
                <w:rFonts w:ascii="Verdana" w:eastAsia="Calibri" w:hAnsi="Verdana" w:cs="Arial"/>
                <w:lang w:val="es-ES_tradnl"/>
              </w:rPr>
              <w:t>estatales “</w:t>
            </w:r>
            <w:r w:rsidRPr="00446B74">
              <w:rPr>
                <w:rFonts w:ascii="Verdana" w:eastAsia="Calibri" w:hAnsi="Verdana" w:cs="Arial"/>
                <w:lang w:val="es-ES_tradnl"/>
              </w:rPr>
              <w:t>Las personas que se hallen inhabilitadas para contratar por la Constitución y las leyes</w:t>
            </w:r>
            <w:r>
              <w:rPr>
                <w:rFonts w:ascii="Verdana" w:eastAsia="Calibri" w:hAnsi="Verdana" w:cs="Arial"/>
                <w:lang w:val="es-ES_tradnl"/>
              </w:rPr>
              <w:t>”</w:t>
            </w:r>
            <w:r w:rsidRPr="00446B74">
              <w:rPr>
                <w:rFonts w:ascii="Verdana" w:eastAsia="Calibri" w:hAnsi="Verdana" w:cs="Arial"/>
                <w:lang w:val="es-ES_tradnl"/>
              </w:rPr>
              <w:t>.</w:t>
            </w:r>
            <w:r>
              <w:rPr>
                <w:rFonts w:ascii="Verdana" w:eastAsia="Calibri" w:hAnsi="Verdana" w:cs="Arial"/>
                <w:lang w:val="es-ES_tradnl"/>
              </w:rPr>
              <w:t xml:space="preserve"> De esta manera, el régimen de inhabilidades en el sistema de compras públicas no se agota en el artículo 8 precitado, sino que se integra con otras normas del ordenamiento jurídico. Asimismo, todas se extienden a las entidades exceptuadas del EGCAP, especialmente, cuando el inciso primero del artículo 13 de la Ley 1150 de 2007 prescribe que “[…] </w:t>
            </w:r>
            <w:r w:rsidRPr="00446B74">
              <w:rPr>
                <w:rFonts w:ascii="Verdana" w:eastAsia="Calibri" w:hAnsi="Verdana" w:cs="Arial"/>
                <w:lang w:val="es-ES_tradnl"/>
              </w:rPr>
              <w:t>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Pr>
                <w:rFonts w:ascii="Verdana" w:eastAsia="Calibri" w:hAnsi="Verdana" w:cs="Arial"/>
                <w:lang w:val="es-ES_tradnl"/>
              </w:rPr>
              <w:t>”. Incluso, en virtud del artículo 6 del Decreto 092 de 2017, también hacen parte de los negocios jurídicos que se suscriban con las ESAL conforme a los artículos 355 constitucional o 96 de la Ley 489 de 1998</w:t>
            </w:r>
            <w:r>
              <w:rPr>
                <w:rStyle w:val="Refdenotaalpie"/>
                <w:rFonts w:ascii="Verdana" w:eastAsia="Calibri" w:hAnsi="Verdana" w:cs="Arial"/>
                <w:lang w:val="es-ES_tradnl"/>
              </w:rPr>
              <w:footnoteReference w:id="2"/>
            </w:r>
            <w:r>
              <w:rPr>
                <w:rFonts w:ascii="Verdana" w:eastAsia="Calibri" w:hAnsi="Verdana" w:cs="Arial"/>
                <w:lang w:val="es-ES_tradnl"/>
              </w:rPr>
              <w:t>.</w:t>
            </w:r>
          </w:p>
          <w:p w14:paraId="25473FD8" w14:textId="77777777" w:rsidR="000829A1" w:rsidRDefault="000829A1" w:rsidP="00597922">
            <w:pPr>
              <w:spacing w:after="120" w:line="276" w:lineRule="auto"/>
              <w:ind w:firstLine="709"/>
              <w:jc w:val="both"/>
              <w:rPr>
                <w:rFonts w:ascii="Verdana" w:eastAsia="Calibri" w:hAnsi="Verdana" w:cs="Arial"/>
                <w:lang w:val="es-ES_tradnl"/>
              </w:rPr>
            </w:pPr>
            <w:r>
              <w:rPr>
                <w:rFonts w:ascii="Verdana" w:eastAsia="Calibri" w:hAnsi="Verdana" w:cs="Arial"/>
                <w:lang w:val="es-ES_tradnl"/>
              </w:rPr>
              <w:t>Lo anterior no obsta para que las restricciones a la capacidad jurídica para la celebración de contratos se extiendan a los negocios jurídicos entre particulares. Al respecto, el parágrafo 3 del artículo 8 del Estatuto General de Contratación de la Administración Pública, adicionado por el artículo 3 de la Ley 2014 de 2019, dispone que “</w:t>
            </w:r>
            <w:r w:rsidRPr="006909C4">
              <w:rPr>
                <w:rFonts w:ascii="Verdana" w:eastAsia="Calibri" w:hAnsi="Verdana" w:cs="Arial"/>
                <w:lang w:val="es-ES_tradnl"/>
              </w:rPr>
              <w:t>Las inhabilidades e incompatibilidades contempladas en este artículo se aplicarán a cualquier proceso de contratación privada en el que se comprometan recursos públicos</w:t>
            </w:r>
            <w:r>
              <w:rPr>
                <w:rFonts w:ascii="Verdana" w:eastAsia="Calibri" w:hAnsi="Verdana" w:cs="Arial"/>
                <w:lang w:val="es-ES_tradnl"/>
              </w:rPr>
              <w:t>”</w:t>
            </w:r>
            <w:r w:rsidRPr="006909C4">
              <w:rPr>
                <w:rFonts w:ascii="Verdana" w:eastAsia="Calibri" w:hAnsi="Verdana" w:cs="Arial"/>
                <w:lang w:val="es-ES_tradnl"/>
              </w:rPr>
              <w:t>.</w:t>
            </w:r>
          </w:p>
          <w:p w14:paraId="3968FFCF" w14:textId="77777777" w:rsidR="000829A1" w:rsidRPr="001941FD" w:rsidRDefault="000829A1" w:rsidP="00597922">
            <w:pPr>
              <w:spacing w:line="276" w:lineRule="auto"/>
              <w:ind w:firstLine="709"/>
              <w:jc w:val="both"/>
              <w:rPr>
                <w:rFonts w:ascii="Verdana" w:eastAsia="Calibri" w:hAnsi="Verdana" w:cs="Arial"/>
                <w:bCs/>
                <w:color w:val="000000" w:themeColor="text1"/>
              </w:rPr>
            </w:pPr>
            <w:r w:rsidRPr="006D71DE">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w:t>
            </w:r>
            <w:r w:rsidRPr="006D71DE">
              <w:rPr>
                <w:rStyle w:val="s15"/>
                <w:rFonts w:ascii="Verdana" w:hAnsi="Verdana"/>
                <w:color w:val="000000"/>
              </w:rPr>
              <w:lastRenderedPageBreak/>
              <w:t>Así, cada entidad definirá la forma de adelantar su gestión contractual, sin que sea atribución de Colombia Compra Eficiente validar sus actuaciones.</w:t>
            </w:r>
          </w:p>
        </w:tc>
      </w:tr>
    </w:tbl>
    <w:p w14:paraId="56838307" w14:textId="77777777" w:rsidR="000829A1" w:rsidRPr="00593A5F" w:rsidRDefault="000829A1" w:rsidP="000829A1">
      <w:pPr>
        <w:tabs>
          <w:tab w:val="left" w:pos="142"/>
          <w:tab w:val="left" w:pos="284"/>
        </w:tabs>
        <w:spacing w:after="0" w:line="276" w:lineRule="auto"/>
        <w:jc w:val="both"/>
        <w:rPr>
          <w:rFonts w:ascii="Verdana" w:eastAsia="Century Gothic" w:hAnsi="Verdana" w:cs="Century Gothic"/>
          <w:b/>
          <w:bCs/>
          <w:lang w:val="es-ES"/>
        </w:rPr>
      </w:pPr>
    </w:p>
    <w:bookmarkEnd w:id="2"/>
    <w:p w14:paraId="0E4681BB" w14:textId="77777777" w:rsidR="000829A1" w:rsidRPr="00593A5F" w:rsidRDefault="000829A1" w:rsidP="000829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1EBA2C6" w14:textId="77777777" w:rsidR="000829A1" w:rsidRPr="00593A5F" w:rsidRDefault="000829A1" w:rsidP="000829A1">
      <w:pPr>
        <w:spacing w:after="0" w:line="276" w:lineRule="auto"/>
        <w:jc w:val="both"/>
        <w:rPr>
          <w:rFonts w:ascii="Verdana" w:eastAsia="Calibri" w:hAnsi="Verdana" w:cs="Arial"/>
          <w:color w:val="7030A0"/>
          <w:lang w:val="es-ES"/>
        </w:rPr>
      </w:pPr>
    </w:p>
    <w:p w14:paraId="07D0567B" w14:textId="77777777" w:rsidR="000829A1" w:rsidRDefault="000829A1" w:rsidP="000829A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E926A46" w14:textId="77777777" w:rsidR="000829A1" w:rsidRPr="00415608" w:rsidRDefault="000829A1" w:rsidP="000829A1">
      <w:pPr>
        <w:spacing w:after="0" w:line="276" w:lineRule="auto"/>
        <w:jc w:val="both"/>
        <w:rPr>
          <w:rFonts w:ascii="Verdana" w:eastAsia="Calibri" w:hAnsi="Verdana" w:cs="Arial"/>
          <w:lang w:val="es-ES"/>
        </w:rPr>
      </w:pPr>
    </w:p>
    <w:p w14:paraId="3203E51C" w14:textId="77777777" w:rsidR="000829A1" w:rsidRPr="00E96901" w:rsidRDefault="000829A1" w:rsidP="000829A1">
      <w:pPr>
        <w:pStyle w:val="Sinespaciado"/>
        <w:spacing w:after="120" w:line="276" w:lineRule="auto"/>
        <w:jc w:val="both"/>
        <w:rPr>
          <w:rFonts w:ascii="Verdana" w:hAnsi="Verdana" w:cs="Arial"/>
          <w:sz w:val="22"/>
        </w:rPr>
      </w:pPr>
      <w:r w:rsidRPr="00E96901">
        <w:rPr>
          <w:rFonts w:ascii="Verdana" w:hAnsi="Verdana" w:cs="Arial"/>
          <w:sz w:val="22"/>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r>
        <w:rPr>
          <w:rFonts w:ascii="Verdana" w:hAnsi="Verdana" w:cs="Arial"/>
          <w:sz w:val="22"/>
        </w:rPr>
        <w:t xml:space="preserve"> </w:t>
      </w:r>
    </w:p>
    <w:p w14:paraId="5A79294E" w14:textId="77777777" w:rsidR="000829A1" w:rsidRPr="00E96901" w:rsidRDefault="000829A1" w:rsidP="000829A1">
      <w:pPr>
        <w:spacing w:line="276" w:lineRule="auto"/>
        <w:ind w:firstLine="709"/>
        <w:jc w:val="both"/>
        <w:rPr>
          <w:rFonts w:ascii="Verdana" w:hAnsi="Verdana" w:cs="Arial"/>
        </w:rPr>
      </w:pPr>
      <w:r w:rsidRPr="00E96901">
        <w:rPr>
          <w:rFonts w:ascii="Verdana" w:hAnsi="Verdana" w:cs="Arial"/>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E96901">
        <w:rPr>
          <w:rStyle w:val="Refdenotaalpie"/>
          <w:rFonts w:ascii="Verdana" w:hAnsi="Verdana" w:cs="Arial"/>
        </w:rPr>
        <w:footnoteReference w:id="3"/>
      </w:r>
      <w:r w:rsidRPr="00E96901">
        <w:rPr>
          <w:rFonts w:ascii="Verdana" w:hAnsi="Verdana" w:cs="Arial"/>
        </w:rPr>
        <w:t>.</w:t>
      </w:r>
    </w:p>
    <w:p w14:paraId="75326FC5" w14:textId="77777777" w:rsidR="000829A1" w:rsidRPr="00E96901" w:rsidRDefault="000829A1" w:rsidP="000829A1">
      <w:pPr>
        <w:pStyle w:val="Sinespaciado"/>
        <w:spacing w:line="276" w:lineRule="auto"/>
        <w:ind w:firstLine="709"/>
        <w:jc w:val="both"/>
        <w:rPr>
          <w:rFonts w:ascii="Verdana" w:hAnsi="Verdana" w:cs="Arial"/>
          <w:sz w:val="22"/>
        </w:rPr>
      </w:pPr>
      <w:r w:rsidRPr="00E96901">
        <w:rPr>
          <w:rFonts w:ascii="Verdana" w:hAnsi="Verdana" w:cs="Arial"/>
          <w:sz w:val="22"/>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2AF6E1FD" w14:textId="77777777" w:rsidR="000829A1" w:rsidRPr="00E96901" w:rsidRDefault="000829A1" w:rsidP="000829A1">
      <w:pPr>
        <w:pStyle w:val="Sinespaciado"/>
        <w:spacing w:line="276" w:lineRule="auto"/>
        <w:jc w:val="both"/>
        <w:rPr>
          <w:rFonts w:ascii="Verdana" w:hAnsi="Verdana" w:cs="Arial"/>
          <w:sz w:val="22"/>
        </w:rPr>
      </w:pPr>
    </w:p>
    <w:p w14:paraId="5C485F54" w14:textId="77777777" w:rsidR="000829A1" w:rsidRPr="006909C4" w:rsidRDefault="000829A1" w:rsidP="000829A1">
      <w:pPr>
        <w:pStyle w:val="NormalWeb"/>
        <w:shd w:val="clear" w:color="auto" w:fill="FFFFFF"/>
        <w:spacing w:before="0" w:beforeAutospacing="0" w:after="120" w:afterAutospacing="0"/>
        <w:ind w:left="709" w:right="709"/>
        <w:jc w:val="both"/>
        <w:rPr>
          <w:rFonts w:ascii="Verdana" w:hAnsi="Verdana" w:cs="Arial"/>
          <w:sz w:val="20"/>
          <w:szCs w:val="20"/>
          <w:lang w:val="es-ES"/>
        </w:rPr>
      </w:pPr>
      <w:r w:rsidRPr="006909C4">
        <w:rPr>
          <w:rFonts w:ascii="Verdana" w:hAnsi="Verdana" w:cs="Arial"/>
          <w:sz w:val="20"/>
          <w:szCs w:val="20"/>
          <w:lang w:val="es-ES"/>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w:t>
      </w:r>
      <w:r w:rsidRPr="006909C4">
        <w:rPr>
          <w:rFonts w:ascii="Verdana" w:hAnsi="Verdana" w:cs="Arial"/>
          <w:sz w:val="20"/>
          <w:szCs w:val="20"/>
          <w:lang w:val="es-ES"/>
        </w:rPr>
        <w:lastRenderedPageBreak/>
        <w:t>se inspira, justifica y legitima la existencia de las normas que definen y regulan las inhabilidades e incompatibilidades.</w:t>
      </w:r>
    </w:p>
    <w:p w14:paraId="5F7E1119" w14:textId="77777777" w:rsidR="000829A1" w:rsidRPr="006909C4" w:rsidRDefault="000829A1" w:rsidP="000829A1">
      <w:pPr>
        <w:pStyle w:val="NormalWeb"/>
        <w:shd w:val="clear" w:color="auto" w:fill="FFFFFF"/>
        <w:spacing w:before="0" w:beforeAutospacing="0" w:after="0" w:afterAutospacing="0"/>
        <w:ind w:left="709" w:right="709"/>
        <w:jc w:val="both"/>
        <w:rPr>
          <w:rFonts w:ascii="Verdana" w:hAnsi="Verdana" w:cs="Arial"/>
          <w:sz w:val="20"/>
          <w:szCs w:val="20"/>
          <w:lang w:val="es-ES"/>
        </w:rPr>
      </w:pPr>
      <w:r w:rsidRPr="006909C4">
        <w:rPr>
          <w:rFonts w:ascii="Verdana"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6909C4">
        <w:rPr>
          <w:rStyle w:val="Refdenotaalpie"/>
          <w:rFonts w:ascii="Verdana" w:hAnsi="Verdana" w:cs="Arial"/>
          <w:sz w:val="20"/>
          <w:szCs w:val="20"/>
          <w:lang w:val="es-ES"/>
        </w:rPr>
        <w:footnoteReference w:id="4"/>
      </w:r>
      <w:r w:rsidRPr="006909C4">
        <w:rPr>
          <w:rFonts w:ascii="Verdana" w:hAnsi="Verdana" w:cs="Arial"/>
          <w:sz w:val="20"/>
          <w:szCs w:val="20"/>
          <w:lang w:val="es-ES"/>
        </w:rPr>
        <w:t>.</w:t>
      </w:r>
    </w:p>
    <w:p w14:paraId="0262E864" w14:textId="77777777" w:rsidR="000829A1" w:rsidRPr="002829DE" w:rsidRDefault="000829A1" w:rsidP="000829A1">
      <w:pPr>
        <w:pStyle w:val="NormalWeb"/>
        <w:shd w:val="clear" w:color="auto" w:fill="FFFFFF"/>
        <w:spacing w:before="0" w:beforeAutospacing="0" w:after="0" w:afterAutospacing="0"/>
        <w:ind w:left="709" w:right="709"/>
        <w:jc w:val="both"/>
        <w:rPr>
          <w:rFonts w:ascii="Verdana" w:hAnsi="Verdana" w:cs="Arial"/>
          <w:sz w:val="21"/>
          <w:szCs w:val="21"/>
          <w:lang w:val="es-ES"/>
        </w:rPr>
      </w:pPr>
    </w:p>
    <w:p w14:paraId="277A04EB" w14:textId="77777777" w:rsidR="000829A1" w:rsidRPr="00E96901" w:rsidRDefault="000829A1" w:rsidP="000829A1">
      <w:pPr>
        <w:pStyle w:val="Sinespaciado"/>
        <w:spacing w:line="276" w:lineRule="auto"/>
        <w:ind w:firstLine="709"/>
        <w:jc w:val="both"/>
        <w:rPr>
          <w:rFonts w:ascii="Verdana" w:hAnsi="Verdana" w:cs="Arial"/>
          <w:sz w:val="22"/>
        </w:rPr>
      </w:pPr>
      <w:r w:rsidRPr="00E96901">
        <w:rPr>
          <w:rFonts w:ascii="Verdana" w:hAnsi="Verdana"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0F1B74E2" w14:textId="77777777" w:rsidR="000829A1" w:rsidRPr="00E96901" w:rsidRDefault="000829A1" w:rsidP="000829A1">
      <w:pPr>
        <w:pStyle w:val="Sinespaciado"/>
        <w:spacing w:line="276" w:lineRule="auto"/>
        <w:ind w:firstLine="709"/>
        <w:jc w:val="both"/>
        <w:rPr>
          <w:rFonts w:ascii="Verdana" w:hAnsi="Verdana" w:cs="Arial"/>
          <w:sz w:val="22"/>
        </w:rPr>
      </w:pPr>
    </w:p>
    <w:p w14:paraId="2B5FAD7D" w14:textId="77777777" w:rsidR="000829A1" w:rsidRPr="006909C4" w:rsidRDefault="000829A1" w:rsidP="000829A1">
      <w:pPr>
        <w:spacing w:after="120" w:line="240" w:lineRule="auto"/>
        <w:ind w:left="709" w:right="709"/>
        <w:jc w:val="both"/>
        <w:rPr>
          <w:rFonts w:ascii="Verdana" w:hAnsi="Verdana" w:cs="Arial"/>
          <w:sz w:val="20"/>
          <w:szCs w:val="20"/>
        </w:rPr>
      </w:pPr>
      <w:r w:rsidRPr="006909C4">
        <w:rPr>
          <w:rFonts w:ascii="Verdana" w:hAnsi="Verdana" w:cs="Arial"/>
          <w:sz w:val="20"/>
          <w:szCs w:val="20"/>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108F4E68" w14:textId="77777777" w:rsidR="000829A1" w:rsidRPr="00E96901" w:rsidRDefault="000829A1" w:rsidP="000829A1">
      <w:pPr>
        <w:spacing w:after="0" w:line="240" w:lineRule="auto"/>
        <w:ind w:left="709" w:right="709"/>
        <w:jc w:val="both"/>
        <w:rPr>
          <w:rFonts w:ascii="Verdana" w:hAnsi="Verdana" w:cs="Arial"/>
          <w:sz w:val="21"/>
          <w:szCs w:val="21"/>
        </w:rPr>
      </w:pPr>
      <w:r w:rsidRPr="006909C4">
        <w:rPr>
          <w:rFonts w:ascii="Verdana" w:hAnsi="Verdana" w:cs="Arial"/>
          <w:sz w:val="20"/>
          <w:szCs w:val="20"/>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w:t>
      </w:r>
      <w:r w:rsidRPr="006909C4">
        <w:rPr>
          <w:rFonts w:ascii="Verdana" w:hAnsi="Verdana" w:cs="Arial"/>
          <w:sz w:val="20"/>
          <w:szCs w:val="20"/>
        </w:rPr>
        <w:lastRenderedPageBreak/>
        <w:t>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6909C4">
        <w:rPr>
          <w:rStyle w:val="Refdenotaalpie"/>
          <w:rFonts w:ascii="Verdana" w:hAnsi="Verdana" w:cs="Arial"/>
          <w:sz w:val="20"/>
          <w:szCs w:val="20"/>
        </w:rPr>
        <w:footnoteReference w:id="5"/>
      </w:r>
      <w:r w:rsidRPr="006909C4">
        <w:rPr>
          <w:rFonts w:ascii="Verdana" w:hAnsi="Verdana" w:cs="Arial"/>
          <w:sz w:val="20"/>
          <w:szCs w:val="20"/>
        </w:rPr>
        <w:t>.</w:t>
      </w:r>
    </w:p>
    <w:p w14:paraId="64BFB5E2" w14:textId="77777777" w:rsidR="000829A1" w:rsidRPr="00E96901" w:rsidRDefault="000829A1" w:rsidP="000829A1">
      <w:pPr>
        <w:spacing w:after="0" w:line="240" w:lineRule="auto"/>
        <w:ind w:right="709"/>
        <w:jc w:val="both"/>
        <w:rPr>
          <w:rFonts w:ascii="Verdana" w:hAnsi="Verdana" w:cs="Arial"/>
        </w:rPr>
      </w:pPr>
    </w:p>
    <w:p w14:paraId="151B2B1D" w14:textId="722E13F3" w:rsidR="1C0F21E5" w:rsidRDefault="1C0F21E5" w:rsidP="1C0F21E5">
      <w:pPr>
        <w:spacing w:after="0" w:line="240" w:lineRule="auto"/>
        <w:ind w:right="709"/>
        <w:jc w:val="both"/>
        <w:rPr>
          <w:rFonts w:ascii="Verdana" w:hAnsi="Verdana" w:cs="Arial"/>
        </w:rPr>
      </w:pPr>
    </w:p>
    <w:p w14:paraId="29B19198" w14:textId="77777777" w:rsidR="000829A1" w:rsidRPr="00E96901" w:rsidRDefault="000829A1" w:rsidP="000829A1">
      <w:pPr>
        <w:spacing w:after="0" w:line="276" w:lineRule="auto"/>
        <w:ind w:firstLine="709"/>
        <w:jc w:val="both"/>
        <w:rPr>
          <w:rFonts w:ascii="Verdana" w:hAnsi="Verdana" w:cs="Arial"/>
        </w:rPr>
      </w:pPr>
      <w:r w:rsidRPr="00E96901">
        <w:rPr>
          <w:rFonts w:ascii="Verdana" w:hAnsi="Verdana"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1C2B3CAD" w14:textId="77777777" w:rsidR="000829A1" w:rsidRPr="00E96901" w:rsidRDefault="000829A1" w:rsidP="000829A1">
      <w:pPr>
        <w:pStyle w:val="Sinespaciado"/>
        <w:tabs>
          <w:tab w:val="left" w:pos="1532"/>
        </w:tabs>
        <w:spacing w:line="276" w:lineRule="auto"/>
        <w:jc w:val="both"/>
        <w:rPr>
          <w:rFonts w:ascii="Verdana" w:hAnsi="Verdana" w:cs="Arial"/>
          <w:sz w:val="22"/>
        </w:rPr>
      </w:pPr>
    </w:p>
    <w:p w14:paraId="41C38520" w14:textId="77777777" w:rsidR="000829A1" w:rsidRPr="006909C4" w:rsidRDefault="000829A1" w:rsidP="000829A1">
      <w:pPr>
        <w:spacing w:after="0" w:line="240" w:lineRule="auto"/>
        <w:ind w:left="709" w:right="709"/>
        <w:jc w:val="both"/>
        <w:rPr>
          <w:rFonts w:ascii="Verdana" w:hAnsi="Verdana" w:cs="Arial"/>
          <w:sz w:val="20"/>
          <w:szCs w:val="20"/>
        </w:rPr>
      </w:pPr>
      <w:r w:rsidRPr="006909C4">
        <w:rPr>
          <w:rFonts w:ascii="Verdana" w:hAnsi="Verdana" w:cs="Arial"/>
          <w:sz w:val="20"/>
          <w:szCs w:val="20"/>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6909C4">
        <w:rPr>
          <w:rFonts w:ascii="Verdana" w:hAnsi="Verdana" w:cs="Arial"/>
          <w:i/>
          <w:iCs/>
          <w:sz w:val="20"/>
          <w:szCs w:val="20"/>
        </w:rPr>
        <w:t xml:space="preserve">pro </w:t>
      </w:r>
      <w:proofErr w:type="spellStart"/>
      <w:r w:rsidRPr="006909C4">
        <w:rPr>
          <w:rFonts w:ascii="Verdana" w:hAnsi="Verdana" w:cs="Arial"/>
          <w:i/>
          <w:iCs/>
          <w:sz w:val="20"/>
          <w:szCs w:val="20"/>
        </w:rPr>
        <w:t>libertate</w:t>
      </w:r>
      <w:proofErr w:type="spellEnd"/>
      <w:r w:rsidRPr="006909C4">
        <w:rPr>
          <w:rFonts w:ascii="Verdana" w:hAnsi="Verdana" w:cs="Arial"/>
          <w:sz w:val="20"/>
          <w:szCs w:val="20"/>
        </w:rPr>
        <w:t xml:space="preserve">, sino el de legalidad, el que ordena que la función pública debe someterse estrictamente a lo que disponga la Constitución y la ley (CP art. 6). </w:t>
      </w:r>
    </w:p>
    <w:p w14:paraId="04D6F305" w14:textId="77777777" w:rsidR="000829A1" w:rsidRPr="006909C4" w:rsidRDefault="000829A1" w:rsidP="000829A1">
      <w:pPr>
        <w:spacing w:after="120" w:line="240" w:lineRule="auto"/>
        <w:ind w:left="709" w:right="709"/>
        <w:jc w:val="both"/>
        <w:rPr>
          <w:rFonts w:ascii="Verdana" w:hAnsi="Verdana" w:cs="Arial"/>
          <w:sz w:val="20"/>
          <w:szCs w:val="20"/>
        </w:rPr>
      </w:pPr>
      <w:r w:rsidRPr="006909C4">
        <w:rPr>
          <w:rFonts w:ascii="Verdana" w:hAnsi="Verdana" w:cs="Arial"/>
          <w:sz w:val="20"/>
          <w:szCs w:val="20"/>
        </w:rPr>
        <w:t xml:space="preserve">[…] </w:t>
      </w:r>
    </w:p>
    <w:p w14:paraId="2534BE16" w14:textId="6956D960" w:rsidR="1C0F21E5" w:rsidRDefault="1C0F21E5" w:rsidP="1C0F21E5">
      <w:pPr>
        <w:spacing w:after="120" w:line="240" w:lineRule="auto"/>
        <w:ind w:left="709" w:right="709"/>
        <w:jc w:val="both"/>
        <w:rPr>
          <w:rFonts w:ascii="Verdana" w:hAnsi="Verdana" w:cs="Arial"/>
          <w:sz w:val="20"/>
          <w:szCs w:val="20"/>
        </w:rPr>
      </w:pPr>
    </w:p>
    <w:p w14:paraId="4535CADA" w14:textId="77777777" w:rsidR="000829A1" w:rsidRPr="00E96901" w:rsidRDefault="000829A1" w:rsidP="000829A1">
      <w:pPr>
        <w:spacing w:after="0" w:line="240" w:lineRule="auto"/>
        <w:ind w:left="709" w:right="709"/>
        <w:jc w:val="both"/>
        <w:rPr>
          <w:rFonts w:ascii="Verdana" w:hAnsi="Verdana" w:cs="Arial"/>
          <w:sz w:val="21"/>
          <w:szCs w:val="21"/>
        </w:rPr>
      </w:pPr>
      <w:r w:rsidRPr="006909C4">
        <w:rPr>
          <w:rFonts w:ascii="Verdana" w:hAnsi="Verdana" w:cs="Arial"/>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6909C4">
        <w:rPr>
          <w:rStyle w:val="Refdenotaalpie"/>
          <w:rFonts w:ascii="Verdana" w:hAnsi="Verdana" w:cs="Arial"/>
          <w:sz w:val="20"/>
          <w:szCs w:val="20"/>
        </w:rPr>
        <w:footnoteReference w:id="6"/>
      </w:r>
      <w:r w:rsidRPr="006909C4">
        <w:rPr>
          <w:rFonts w:ascii="Verdana" w:hAnsi="Verdana" w:cs="Arial"/>
          <w:sz w:val="20"/>
          <w:szCs w:val="20"/>
        </w:rPr>
        <w:t>.</w:t>
      </w:r>
    </w:p>
    <w:p w14:paraId="3BB3E456" w14:textId="77777777" w:rsidR="000829A1" w:rsidRPr="00E96901" w:rsidRDefault="000829A1" w:rsidP="000829A1">
      <w:pPr>
        <w:spacing w:after="0" w:line="276" w:lineRule="auto"/>
        <w:ind w:left="709" w:right="709"/>
        <w:jc w:val="both"/>
        <w:rPr>
          <w:rFonts w:ascii="Verdana" w:hAnsi="Verdana" w:cs="Arial"/>
        </w:rPr>
      </w:pPr>
    </w:p>
    <w:p w14:paraId="7F4B9A98" w14:textId="77777777" w:rsidR="000829A1" w:rsidRPr="00E96901" w:rsidRDefault="000829A1" w:rsidP="000829A1">
      <w:pPr>
        <w:spacing w:line="276" w:lineRule="auto"/>
        <w:ind w:firstLine="709"/>
        <w:jc w:val="both"/>
        <w:rPr>
          <w:rFonts w:ascii="Verdana" w:hAnsi="Verdana" w:cs="Arial"/>
        </w:rPr>
      </w:pPr>
      <w:r w:rsidRPr="00E96901">
        <w:rPr>
          <w:rFonts w:ascii="Verdana" w:hAnsi="Verdana" w:cs="Arial"/>
        </w:rPr>
        <w:t xml:space="preserve">Conviene también distinguir las fuentes de las inhabilidades, las cuales han sido clasificadas en dos (2) grupos: i) inhabilidades-sanción y </w:t>
      </w:r>
      <w:proofErr w:type="spellStart"/>
      <w:r w:rsidRPr="00E96901">
        <w:rPr>
          <w:rFonts w:ascii="Verdana" w:hAnsi="Verdana" w:cs="Arial"/>
        </w:rPr>
        <w:t>ii</w:t>
      </w:r>
      <w:proofErr w:type="spellEnd"/>
      <w:r w:rsidRPr="00E96901">
        <w:rPr>
          <w:rFonts w:ascii="Verdana" w:hAnsi="Verdana" w:cs="Arial"/>
        </w:rPr>
        <w:t xml:space="preserve">) inhabilidades-requisito. En el primer grupo se encuentran las inhabilidades que surgen como consecuencia de un proceso sancionatorio, en los ámbitos penal, disciplinario, contravencional o de pérdida de investidura. En el segundo grupo </w:t>
      </w:r>
      <w:r w:rsidRPr="00E96901">
        <w:rPr>
          <w:rFonts w:ascii="Verdana" w:hAnsi="Verdana" w:cs="Arial"/>
        </w:rPr>
        <w:lastRenderedPageBreak/>
        <w:t>están aquellas que no devienen de un proceso sancionatorio, sino de condiciones propias de la persona y garantizan la moralidad, la imparcialidad, la eficacia y la transparencia</w:t>
      </w:r>
      <w:r w:rsidRPr="00E96901">
        <w:rPr>
          <w:rStyle w:val="Refdenotaalpie"/>
          <w:rFonts w:ascii="Verdana" w:hAnsi="Verdana" w:cs="Arial"/>
        </w:rPr>
        <w:footnoteReference w:id="7"/>
      </w:r>
      <w:r w:rsidRPr="00E96901">
        <w:rPr>
          <w:rFonts w:ascii="Verdana" w:hAnsi="Verdana" w:cs="Arial"/>
        </w:rPr>
        <w:t>.</w:t>
      </w:r>
    </w:p>
    <w:p w14:paraId="14872C1B" w14:textId="21923027" w:rsidR="1C0F21E5" w:rsidRDefault="1C0F21E5" w:rsidP="1C0F21E5">
      <w:pPr>
        <w:spacing w:line="276" w:lineRule="auto"/>
        <w:ind w:firstLine="709"/>
        <w:jc w:val="both"/>
        <w:rPr>
          <w:rFonts w:ascii="Verdana" w:hAnsi="Verdana" w:cs="Arial"/>
        </w:rPr>
      </w:pPr>
    </w:p>
    <w:p w14:paraId="1276B3E1" w14:textId="77777777" w:rsidR="000829A1" w:rsidRPr="00E96901" w:rsidRDefault="000829A1" w:rsidP="000829A1">
      <w:pPr>
        <w:spacing w:before="120" w:after="120" w:line="276" w:lineRule="auto"/>
        <w:ind w:firstLine="709"/>
        <w:jc w:val="both"/>
        <w:rPr>
          <w:rFonts w:ascii="Verdana" w:hAnsi="Verdana" w:cs="Arial"/>
        </w:rPr>
      </w:pPr>
      <w:r w:rsidRPr="00E96901">
        <w:rPr>
          <w:rFonts w:ascii="Verdana" w:hAnsi="Verdana" w:cs="Arial"/>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3" w:name="_Hlk40976328"/>
      <w:r w:rsidRPr="00E96901">
        <w:rPr>
          <w:rFonts w:ascii="Verdana" w:hAnsi="Verdana"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3"/>
    </w:p>
    <w:p w14:paraId="292A27A0" w14:textId="74F56B14" w:rsidR="1C0F21E5" w:rsidRDefault="1C0F21E5" w:rsidP="1C0F21E5">
      <w:pPr>
        <w:spacing w:before="120" w:after="120" w:line="276" w:lineRule="auto"/>
        <w:ind w:firstLine="709"/>
        <w:jc w:val="both"/>
        <w:rPr>
          <w:rFonts w:ascii="Verdana" w:hAnsi="Verdana" w:cs="Arial"/>
        </w:rPr>
      </w:pPr>
    </w:p>
    <w:p w14:paraId="6EDF7F8C" w14:textId="77777777" w:rsidR="000829A1" w:rsidRPr="00E96901" w:rsidRDefault="000829A1" w:rsidP="000829A1">
      <w:pPr>
        <w:spacing w:after="120" w:line="276" w:lineRule="auto"/>
        <w:ind w:firstLine="708"/>
        <w:jc w:val="both"/>
        <w:rPr>
          <w:rFonts w:ascii="Verdana" w:eastAsia="Calibri" w:hAnsi="Verdana" w:cs="Arial"/>
          <w:lang w:val="es-ES_tradnl"/>
        </w:rPr>
      </w:pPr>
      <w:r w:rsidRPr="1C0F21E5">
        <w:rPr>
          <w:rFonts w:ascii="Verdana" w:eastAsia="Calibri" w:hAnsi="Verdana" w:cs="Arial"/>
          <w:i/>
          <w:lang w:val="es-ES"/>
        </w:rPr>
        <w:t>Igualmente</w:t>
      </w:r>
      <w:r w:rsidRPr="1C0F21E5">
        <w:rPr>
          <w:rFonts w:ascii="Verdana" w:eastAsia="Calibri" w:hAnsi="Verdana" w:cs="Arial"/>
          <w:lang w:val="es-ES"/>
        </w:rPr>
        <w:t xml:space="preserve">, </w:t>
      </w:r>
      <w:bookmarkStart w:id="4" w:name="_Hlk135133412"/>
      <w:r w:rsidRPr="1C0F21E5">
        <w:rPr>
          <w:rFonts w:ascii="Verdana" w:eastAsia="Calibri" w:hAnsi="Verdana" w:cs="Arial"/>
          <w:lang w:val="es-ES"/>
        </w:rPr>
        <w:t xml:space="preserve">en la contratación estatal, la </w:t>
      </w:r>
      <w:r w:rsidRPr="1C0F21E5">
        <w:rPr>
          <w:rFonts w:ascii="Verdana" w:eastAsia="Calibri" w:hAnsi="Verdana" w:cs="Arial"/>
          <w:i/>
          <w:lang w:val="es-ES"/>
        </w:rPr>
        <w:t>capacidad</w:t>
      </w:r>
      <w:r w:rsidRPr="1C0F21E5">
        <w:rPr>
          <w:rFonts w:ascii="Verdana" w:eastAsia="Calibri" w:hAnsi="Verdana" w:cs="Arial"/>
          <w:lang w:val="es-ES"/>
        </w:rPr>
        <w:t xml:space="preserve"> también es un requisito de validez de los contratos, tanto en el régimen de las entidades sujetas al Estatuto General de Contratación de la Administración Pública</w:t>
      </w:r>
      <w:r w:rsidRPr="1C0F21E5">
        <w:rPr>
          <w:rStyle w:val="Refdenotaalpie"/>
          <w:rFonts w:ascii="Verdana" w:eastAsia="Calibri" w:hAnsi="Verdana" w:cs="Arial"/>
          <w:lang w:val="es-ES"/>
        </w:rPr>
        <w:footnoteReference w:id="8"/>
      </w:r>
      <w:r w:rsidRPr="1C0F21E5">
        <w:rPr>
          <w:rFonts w:ascii="Verdana" w:eastAsia="Calibri" w:hAnsi="Verdana" w:cs="Arial"/>
          <w:lang w:val="es-ES"/>
        </w:rPr>
        <w:t xml:space="preserve"> como en el de las entidades exceptuadas de aquel</w:t>
      </w:r>
      <w:r w:rsidRPr="1C0F21E5">
        <w:rPr>
          <w:rStyle w:val="Refdenotaalpie"/>
          <w:rFonts w:ascii="Verdana" w:eastAsia="Calibri" w:hAnsi="Verdana" w:cs="Arial"/>
          <w:lang w:val="es-ES"/>
        </w:rPr>
        <w:footnoteReference w:id="9"/>
      </w:r>
      <w:r w:rsidRPr="1C0F21E5">
        <w:rPr>
          <w:rFonts w:ascii="Verdana" w:eastAsia="Calibri" w:hAnsi="Verdana" w:cs="Arial"/>
          <w:lang w:val="es-ES"/>
        </w:rPr>
        <w:t xml:space="preserve">. Si bien la regulación de la capacidad se integra por varias disposiciones y exigencias especiales –como el requisito de inscribirse, por regla general, en el Registro Único de Proponentes (RUP), </w:t>
      </w:r>
      <w:r w:rsidRPr="1C0F21E5">
        <w:rPr>
          <w:rFonts w:ascii="Verdana" w:eastAsia="Calibri" w:hAnsi="Verdana" w:cs="Arial"/>
          <w:lang w:val="es-ES"/>
        </w:rPr>
        <w:lastRenderedPageBreak/>
        <w:t>establecido en el artículo 6 de la Ley 1150 de 2007, modificado por el artículo 221 del Decreto 19 de 2012</w:t>
      </w:r>
      <w:r w:rsidRPr="1C0F21E5">
        <w:rPr>
          <w:rStyle w:val="Refdenotaalpie"/>
          <w:rFonts w:ascii="Verdana" w:eastAsia="Calibri" w:hAnsi="Verdana" w:cs="Arial"/>
          <w:lang w:val="es-ES"/>
        </w:rPr>
        <w:footnoteReference w:id="10"/>
      </w:r>
      <w:r w:rsidRPr="1C0F21E5">
        <w:rPr>
          <w:rFonts w:ascii="Verdana" w:eastAsia="Calibri" w:hAnsi="Verdana" w:cs="Arial"/>
          <w:lang w:val="es-ES"/>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1C0F21E5">
        <w:rPr>
          <w:rStyle w:val="Refdenotaalpie"/>
          <w:rFonts w:ascii="Verdana" w:eastAsia="Calibri" w:hAnsi="Verdana" w:cs="Arial"/>
          <w:lang w:val="es-ES"/>
        </w:rPr>
        <w:footnoteReference w:id="11"/>
      </w:r>
      <w:r w:rsidRPr="1C0F21E5">
        <w:rPr>
          <w:rFonts w:ascii="Verdana" w:eastAsia="Calibri" w:hAnsi="Verdana" w:cs="Arial"/>
          <w:lang w:val="es-ES"/>
        </w:rPr>
        <w:t>.</w:t>
      </w:r>
    </w:p>
    <w:p w14:paraId="74F6FCA0" w14:textId="0A118BB4" w:rsidR="1C0F21E5" w:rsidRDefault="1C0F21E5" w:rsidP="1C0F21E5">
      <w:pPr>
        <w:spacing w:after="120" w:line="276" w:lineRule="auto"/>
        <w:ind w:firstLine="709"/>
        <w:jc w:val="both"/>
        <w:rPr>
          <w:rFonts w:ascii="Verdana" w:eastAsia="Calibri" w:hAnsi="Verdana" w:cs="Arial"/>
          <w:lang w:val="es-ES"/>
        </w:rPr>
      </w:pPr>
    </w:p>
    <w:p w14:paraId="0F2D22A3" w14:textId="77777777" w:rsidR="000829A1" w:rsidRPr="00E96901" w:rsidRDefault="000829A1" w:rsidP="000829A1">
      <w:pPr>
        <w:spacing w:after="120" w:line="276" w:lineRule="auto"/>
        <w:ind w:firstLine="709"/>
        <w:jc w:val="both"/>
        <w:rPr>
          <w:rFonts w:ascii="Verdana" w:eastAsia="Calibri" w:hAnsi="Verdana" w:cs="Arial"/>
          <w:lang w:val="es-ES"/>
        </w:rPr>
      </w:pPr>
      <w:r w:rsidRPr="1C0F21E5">
        <w:rPr>
          <w:rFonts w:ascii="Verdana" w:eastAsia="Calibri" w:hAnsi="Verdana" w:cs="Arial"/>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1C0F21E5">
        <w:rPr>
          <w:rFonts w:ascii="Verdana" w:eastAsia="Calibri" w:hAnsi="Verdana" w:cs="Arial"/>
          <w:lang w:val="es-ES"/>
        </w:rPr>
        <w:t>ii</w:t>
      </w:r>
      <w:proofErr w:type="spellEnd"/>
      <w:r w:rsidRPr="1C0F21E5">
        <w:rPr>
          <w:rFonts w:ascii="Verdana" w:eastAsia="Calibri" w:hAnsi="Verdana" w:cs="Arial"/>
          <w:lang w:val="es-ES"/>
        </w:rPr>
        <w:t xml:space="preserve">) de vínculos personales relativos al parentesco o al estado civil o </w:t>
      </w:r>
      <w:proofErr w:type="spellStart"/>
      <w:r w:rsidRPr="1C0F21E5">
        <w:rPr>
          <w:rFonts w:ascii="Verdana" w:eastAsia="Calibri" w:hAnsi="Verdana" w:cs="Arial"/>
          <w:lang w:val="es-ES"/>
        </w:rPr>
        <w:t>iii</w:t>
      </w:r>
      <w:proofErr w:type="spellEnd"/>
      <w:r w:rsidRPr="1C0F21E5">
        <w:rPr>
          <w:rFonts w:ascii="Verdana" w:eastAsia="Calibri" w:hAnsi="Verdana" w:cs="Arial"/>
          <w:lang w:val="es-ES"/>
        </w:rPr>
        <w:t xml:space="preserve">)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w:t>
      </w:r>
      <w:r w:rsidRPr="1C0F21E5">
        <w:rPr>
          <w:rFonts w:ascii="Verdana" w:eastAsia="Calibri" w:hAnsi="Verdana" w:cs="Arial"/>
          <w:lang w:val="es-ES"/>
        </w:rPr>
        <w:lastRenderedPageBreak/>
        <w:t>selección de las entidades estatales, por lo que de cualquiera de ellas se derivan los mismos efectos jurídicos</w:t>
      </w:r>
      <w:r w:rsidRPr="1C0F21E5">
        <w:rPr>
          <w:rStyle w:val="Refdenotaalpie"/>
          <w:rFonts w:ascii="Verdana" w:eastAsia="Calibri" w:hAnsi="Verdana" w:cs="Arial"/>
          <w:lang w:val="es-ES"/>
        </w:rPr>
        <w:footnoteReference w:id="12"/>
      </w:r>
      <w:r w:rsidRPr="1C0F21E5">
        <w:rPr>
          <w:rFonts w:ascii="Verdana" w:eastAsia="Calibri" w:hAnsi="Verdana" w:cs="Arial"/>
          <w:lang w:val="es-ES"/>
        </w:rPr>
        <w:t>.</w:t>
      </w:r>
    </w:p>
    <w:bookmarkEnd w:id="4"/>
    <w:p w14:paraId="4C933A5A" w14:textId="4A32A315" w:rsidR="1C0F21E5" w:rsidRDefault="1C0F21E5" w:rsidP="1C0F21E5">
      <w:pPr>
        <w:spacing w:after="120" w:line="276" w:lineRule="auto"/>
        <w:ind w:firstLine="709"/>
        <w:jc w:val="both"/>
        <w:rPr>
          <w:rFonts w:ascii="Verdana" w:eastAsia="Calibri" w:hAnsi="Verdana" w:cs="Arial"/>
          <w:lang w:val="es-ES"/>
        </w:rPr>
      </w:pPr>
    </w:p>
    <w:p w14:paraId="51967598" w14:textId="77777777" w:rsidR="000829A1" w:rsidRDefault="000829A1" w:rsidP="000829A1">
      <w:pPr>
        <w:spacing w:after="120" w:line="276" w:lineRule="auto"/>
        <w:ind w:firstLine="709"/>
        <w:jc w:val="both"/>
        <w:rPr>
          <w:rFonts w:ascii="Verdana" w:eastAsia="Calibri" w:hAnsi="Verdana" w:cs="Arial"/>
          <w:lang w:val="es-ES"/>
        </w:rPr>
      </w:pPr>
      <w:r w:rsidRPr="1C0F21E5">
        <w:rPr>
          <w:rFonts w:ascii="Verdana" w:eastAsia="Calibri" w:hAnsi="Verdana" w:cs="Arial"/>
          <w:lang w:val="es-ES"/>
        </w:rPr>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1C0F21E5">
        <w:rPr>
          <w:rFonts w:ascii="Verdana" w:eastAsia="Calibri" w:hAnsi="Verdana" w:cs="Arial"/>
          <w:lang w:val="es-ES"/>
        </w:rPr>
        <w:t>neopunitiva</w:t>
      </w:r>
      <w:proofErr w:type="spellEnd"/>
      <w:r w:rsidRPr="1C0F21E5">
        <w:rPr>
          <w:rFonts w:ascii="Verdana" w:eastAsia="Calibri" w:hAnsi="Verdana" w:cs="Arial"/>
          <w:lang w:val="es-ES"/>
        </w:rPr>
        <w:t>”</w:t>
      </w:r>
      <w:r w:rsidRPr="1C0F21E5">
        <w:rPr>
          <w:rStyle w:val="Refdenotaalpie"/>
          <w:rFonts w:ascii="Verdana" w:eastAsia="Calibri" w:hAnsi="Verdana" w:cs="Arial"/>
          <w:lang w:val="es-ES"/>
        </w:rPr>
        <w:footnoteReference w:id="13"/>
      </w:r>
      <w:r w:rsidRPr="1C0F21E5">
        <w:rPr>
          <w:rFonts w:ascii="Verdana" w:eastAsia="Calibri" w:hAnsi="Verdana" w:cs="Arial"/>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B7DF357" w14:textId="7F693C1A" w:rsidR="1C0F21E5" w:rsidRDefault="1C0F21E5" w:rsidP="1C0F21E5">
      <w:pPr>
        <w:spacing w:after="120" w:line="276" w:lineRule="auto"/>
        <w:ind w:firstLine="709"/>
        <w:jc w:val="both"/>
        <w:rPr>
          <w:rFonts w:ascii="Verdana" w:eastAsia="Calibri" w:hAnsi="Verdana" w:cs="Arial"/>
          <w:lang w:val="es-ES"/>
        </w:rPr>
      </w:pPr>
    </w:p>
    <w:p w14:paraId="142A32C5" w14:textId="77777777" w:rsidR="000829A1" w:rsidRDefault="000829A1" w:rsidP="000829A1">
      <w:pPr>
        <w:spacing w:after="120" w:line="276" w:lineRule="auto"/>
        <w:ind w:firstLine="709"/>
        <w:jc w:val="both"/>
        <w:rPr>
          <w:rFonts w:ascii="Verdana" w:eastAsia="Calibri" w:hAnsi="Verdana" w:cs="Arial"/>
          <w:lang w:val="es-ES_tradnl"/>
        </w:rPr>
      </w:pPr>
      <w:r w:rsidRPr="1C0F21E5">
        <w:rPr>
          <w:rFonts w:ascii="Verdana" w:eastAsia="Calibri" w:hAnsi="Verdana" w:cs="Arial"/>
          <w:lang w:val="es-ES"/>
        </w:rPr>
        <w:t xml:space="preserve">Ahora bien, el literal a) del artículo 8.1 de la Ley 80 de 1993 dispone que son inhábiles para participar procesos de selección y para celebrar contratos estatales “Las personas que se hallen inhabilitadas para contratar por la Constitución y las leyes”. De esta manera, el régimen de inhabilidades en el sistema de compras públicas no se agota en el artículo 8 precitado, sino que se integra con otras normas del ordenamiento jurídico. Asimismo, todas se extienden a las entidades exceptuadas del EGCAP, especialmente, cuando el </w:t>
      </w:r>
      <w:r w:rsidRPr="1C0F21E5">
        <w:rPr>
          <w:rFonts w:ascii="Verdana" w:eastAsia="Calibri" w:hAnsi="Verdana" w:cs="Arial"/>
          <w:lang w:val="es-ES"/>
        </w:rPr>
        <w:lastRenderedPageBreak/>
        <w:t>inciso primero del artículo 13 de la Ley 1150 de 2007 prescribe que “[…]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Incluso, en virtud del artículo 6 del Decreto 092 de 2017, también hacen parte de los negocios jurídicos que se suscriban con las ESAL conforme a los artículos 355 constitucional o 96 de la Ley 489 de 1998</w:t>
      </w:r>
      <w:r w:rsidRPr="1C0F21E5">
        <w:rPr>
          <w:rStyle w:val="Refdenotaalpie"/>
          <w:rFonts w:ascii="Verdana" w:eastAsia="Calibri" w:hAnsi="Verdana" w:cs="Arial"/>
          <w:lang w:val="es-ES"/>
        </w:rPr>
        <w:footnoteReference w:id="14"/>
      </w:r>
      <w:r w:rsidRPr="1C0F21E5">
        <w:rPr>
          <w:rFonts w:ascii="Verdana" w:eastAsia="Calibri" w:hAnsi="Verdana" w:cs="Arial"/>
          <w:lang w:val="es-ES"/>
        </w:rPr>
        <w:t>.</w:t>
      </w:r>
    </w:p>
    <w:p w14:paraId="0A659108" w14:textId="0182A917" w:rsidR="1C0F21E5" w:rsidRDefault="1C0F21E5" w:rsidP="1C0F21E5">
      <w:pPr>
        <w:spacing w:after="120" w:line="276" w:lineRule="auto"/>
        <w:ind w:firstLine="709"/>
        <w:jc w:val="both"/>
        <w:rPr>
          <w:rFonts w:ascii="Verdana" w:eastAsia="Calibri" w:hAnsi="Verdana" w:cs="Arial"/>
          <w:lang w:val="es-ES"/>
        </w:rPr>
      </w:pPr>
    </w:p>
    <w:p w14:paraId="31EA6E48" w14:textId="77777777" w:rsidR="000829A1" w:rsidRDefault="000829A1" w:rsidP="000829A1">
      <w:pPr>
        <w:spacing w:after="120" w:line="276" w:lineRule="auto"/>
        <w:ind w:firstLine="709"/>
        <w:jc w:val="both"/>
        <w:rPr>
          <w:rFonts w:ascii="Verdana" w:eastAsia="Calibri" w:hAnsi="Verdana" w:cs="Arial"/>
          <w:lang w:val="es-ES_tradnl"/>
        </w:rPr>
      </w:pPr>
      <w:r>
        <w:rPr>
          <w:rFonts w:ascii="Verdana" w:eastAsia="Calibri" w:hAnsi="Verdana" w:cs="Arial"/>
          <w:lang w:val="es-ES_tradnl"/>
        </w:rPr>
        <w:t>Lo anterior no obsta para que las restricciones a la capacidad jurídica para la celebración de contratos se extiendan a los negocios jurídicos entre particulares. Al respecto, el parágrafo 3 del artículo 8 del Estatuto General de Contratación de la Administración Pública, adicionado por el artículo 3 de la Ley 2014 de 2019, dispone que “</w:t>
      </w:r>
      <w:r w:rsidRPr="006909C4">
        <w:rPr>
          <w:rFonts w:ascii="Verdana" w:eastAsia="Calibri" w:hAnsi="Verdana" w:cs="Arial"/>
          <w:lang w:val="es-ES_tradnl"/>
        </w:rPr>
        <w:t>Las inhabilidades e incompatibilidades contempladas en este artículo se aplicarán a cualquier proceso de contratación privada en el que se comprometan recursos públicos</w:t>
      </w:r>
      <w:r>
        <w:rPr>
          <w:rFonts w:ascii="Verdana" w:eastAsia="Calibri" w:hAnsi="Verdana" w:cs="Arial"/>
          <w:lang w:val="es-ES_tradnl"/>
        </w:rPr>
        <w:t>”</w:t>
      </w:r>
      <w:r w:rsidRPr="006909C4">
        <w:rPr>
          <w:rFonts w:ascii="Verdana" w:eastAsia="Calibri" w:hAnsi="Verdana" w:cs="Arial"/>
          <w:lang w:val="es-ES_tradnl"/>
        </w:rPr>
        <w:t>.</w:t>
      </w:r>
    </w:p>
    <w:p w14:paraId="4B727B1C" w14:textId="77777777" w:rsidR="000829A1" w:rsidRPr="00F4158D" w:rsidRDefault="000829A1" w:rsidP="000829A1">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F4158D">
        <w:rPr>
          <w:rFonts w:ascii="Verdana" w:eastAsia="Calibri"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1E9C13C" w14:textId="77777777" w:rsidR="000829A1" w:rsidRDefault="000829A1" w:rsidP="000829A1">
      <w:pPr>
        <w:spacing w:after="0" w:line="276" w:lineRule="auto"/>
        <w:ind w:firstLine="708"/>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w:t>
      </w:r>
      <w:r w:rsidRPr="00F4158D">
        <w:rPr>
          <w:rFonts w:ascii="Verdana" w:eastAsia="Calibri" w:hAnsi="Verdana" w:cs="Arial"/>
          <w:bCs/>
          <w:color w:val="000000" w:themeColor="text1"/>
        </w:rPr>
        <w:lastRenderedPageBreak/>
        <w:t>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FA6C906" w14:textId="77777777" w:rsidR="000829A1" w:rsidRPr="0016510D" w:rsidRDefault="000829A1" w:rsidP="000829A1">
      <w:pPr>
        <w:spacing w:after="0" w:line="276" w:lineRule="auto"/>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 </w:t>
      </w:r>
    </w:p>
    <w:p w14:paraId="3C7AEE28" w14:textId="77777777" w:rsidR="000829A1" w:rsidRPr="00593A5F" w:rsidRDefault="000829A1" w:rsidP="000829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30F526A" w14:textId="77777777" w:rsidR="000829A1" w:rsidRPr="00593A5F" w:rsidRDefault="000829A1" w:rsidP="000829A1">
      <w:pPr>
        <w:widowControl w:val="0"/>
        <w:autoSpaceDE w:val="0"/>
        <w:autoSpaceDN w:val="0"/>
        <w:spacing w:after="0" w:line="276" w:lineRule="auto"/>
        <w:jc w:val="both"/>
        <w:rPr>
          <w:rFonts w:ascii="Verdana" w:hAnsi="Verdana" w:cs="Arial"/>
        </w:rPr>
      </w:pPr>
    </w:p>
    <w:p w14:paraId="24C67286" w14:textId="09FD7E4C" w:rsidR="1C0F21E5" w:rsidRDefault="1C0F21E5" w:rsidP="1C0F21E5">
      <w:pPr>
        <w:widowControl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829A1" w:rsidRPr="002407CE" w14:paraId="19BA67DE" w14:textId="77777777" w:rsidTr="00597922">
        <w:trPr>
          <w:trHeight w:val="870"/>
          <w:jc w:val="center"/>
        </w:trPr>
        <w:tc>
          <w:tcPr>
            <w:tcW w:w="8647" w:type="dxa"/>
          </w:tcPr>
          <w:p w14:paraId="0DD99D34" w14:textId="77777777" w:rsidR="000829A1" w:rsidRDefault="000829A1" w:rsidP="005979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150, 209, 267 y 355.</w:t>
            </w:r>
          </w:p>
          <w:p w14:paraId="70708E8F" w14:textId="77777777" w:rsidR="000829A1" w:rsidRDefault="000829A1" w:rsidP="005979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8.</w:t>
            </w:r>
          </w:p>
          <w:p w14:paraId="2919E668" w14:textId="77777777" w:rsidR="000829A1" w:rsidRDefault="000829A1" w:rsidP="005979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 96.</w:t>
            </w:r>
          </w:p>
          <w:p w14:paraId="61A8F12E" w14:textId="77777777" w:rsidR="000829A1" w:rsidRPr="0013347D" w:rsidRDefault="000829A1" w:rsidP="0059792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6 y 13.</w:t>
            </w:r>
          </w:p>
          <w:p w14:paraId="293963E7" w14:textId="77777777" w:rsidR="000829A1" w:rsidRPr="0013347D" w:rsidRDefault="000829A1" w:rsidP="00597922">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Decreto 092 de 2017, artículo 6.</w:t>
            </w:r>
          </w:p>
        </w:tc>
      </w:tr>
    </w:tbl>
    <w:p w14:paraId="1F2F660C" w14:textId="77777777" w:rsidR="000829A1" w:rsidRPr="002407CE" w:rsidRDefault="000829A1" w:rsidP="000829A1">
      <w:pPr>
        <w:widowControl w:val="0"/>
        <w:autoSpaceDE w:val="0"/>
        <w:autoSpaceDN w:val="0"/>
        <w:spacing w:after="0" w:line="276" w:lineRule="auto"/>
        <w:jc w:val="both"/>
        <w:rPr>
          <w:rFonts w:ascii="Verdana" w:hAnsi="Verdana" w:cs="Arial"/>
        </w:rPr>
      </w:pPr>
    </w:p>
    <w:p w14:paraId="173EEA9A" w14:textId="469125CE" w:rsidR="1C0F21E5" w:rsidRDefault="1C0F21E5" w:rsidP="1C0F21E5">
      <w:pPr>
        <w:widowControl w:val="0"/>
        <w:spacing w:after="0" w:line="276" w:lineRule="auto"/>
        <w:jc w:val="both"/>
        <w:rPr>
          <w:rFonts w:ascii="Verdana" w:hAnsi="Verdana" w:cs="Arial"/>
        </w:rPr>
      </w:pPr>
    </w:p>
    <w:p w14:paraId="786AAF40" w14:textId="77777777" w:rsidR="000829A1" w:rsidRPr="00593A5F" w:rsidRDefault="000829A1" w:rsidP="000829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FD222BC" w14:textId="77777777" w:rsidR="000829A1" w:rsidRPr="00593A5F" w:rsidRDefault="000829A1" w:rsidP="000829A1">
      <w:pPr>
        <w:widowControl w:val="0"/>
        <w:autoSpaceDE w:val="0"/>
        <w:autoSpaceDN w:val="0"/>
        <w:spacing w:after="0" w:line="276" w:lineRule="auto"/>
        <w:jc w:val="both"/>
        <w:rPr>
          <w:rFonts w:ascii="Verdana" w:hAnsi="Verdana" w:cs="Arial"/>
        </w:rPr>
      </w:pPr>
    </w:p>
    <w:p w14:paraId="2B8B6322" w14:textId="77777777" w:rsidR="000829A1" w:rsidRPr="007E4299" w:rsidRDefault="000829A1" w:rsidP="000829A1">
      <w:pPr>
        <w:widowControl w:val="0"/>
        <w:autoSpaceDE w:val="0"/>
        <w:autoSpaceDN w:val="0"/>
        <w:spacing w:after="0" w:line="276" w:lineRule="auto"/>
        <w:jc w:val="both"/>
        <w:rPr>
          <w:rStyle w:val="normaltextrun"/>
          <w:rFonts w:ascii="Verdana" w:hAnsi="Verdana"/>
        </w:rPr>
      </w:pPr>
      <w:r w:rsidRPr="00277E26">
        <w:rPr>
          <w:rStyle w:val="normaltextrun"/>
          <w:rFonts w:ascii="Verdana" w:hAnsi="Verdana" w:cs="Arial"/>
          <w:shd w:val="clear" w:color="auto" w:fill="FFFFFF"/>
          <w:lang w:val="es-ES"/>
        </w:rPr>
        <w:t>Esta Subdirección</w:t>
      </w:r>
      <w:r>
        <w:rPr>
          <w:rStyle w:val="normaltextrun"/>
          <w:rFonts w:ascii="Verdana" w:hAnsi="Verdana" w:cs="Arial"/>
          <w:shd w:val="clear" w:color="auto" w:fill="FFFFFF"/>
          <w:lang w:val="es-ES"/>
        </w:rPr>
        <w:t xml:space="preserve"> </w:t>
      </w:r>
      <w:r w:rsidRPr="009D1699">
        <w:rPr>
          <w:rStyle w:val="normaltextrun"/>
          <w:rFonts w:ascii="Verdana" w:hAnsi="Verdana" w:cs="Arial"/>
          <w:shd w:val="clear" w:color="auto" w:fill="FFFFFF"/>
          <w:lang w:val="es-ES"/>
        </w:rPr>
        <w:t xml:space="preserve">se ha pronunciado sobre </w:t>
      </w:r>
      <w:r>
        <w:rPr>
          <w:rStyle w:val="normaltextrun"/>
          <w:rFonts w:ascii="Verdana" w:hAnsi="Verdana" w:cs="Arial"/>
          <w:shd w:val="clear" w:color="auto" w:fill="FFFFFF"/>
          <w:lang w:val="es-ES"/>
        </w:rPr>
        <w:t>el régimen de inhabilidades e incompatibilidades</w:t>
      </w:r>
      <w:r w:rsidRPr="00277E26">
        <w:rPr>
          <w:rStyle w:val="normaltextrun"/>
          <w:rFonts w:ascii="Verdana" w:hAnsi="Verdana" w:cs="Arial"/>
          <w:shd w:val="clear" w:color="auto" w:fill="FFFFFF"/>
          <w:lang w:val="es-ES"/>
        </w:rPr>
        <w:t xml:space="preserve"> en los Conceptos </w:t>
      </w:r>
      <w:r w:rsidRPr="003D07ED">
        <w:rPr>
          <w:rStyle w:val="normaltextrun"/>
          <w:rFonts w:ascii="Verdana" w:hAnsi="Verdana" w:cs="Arial"/>
          <w:shd w:val="clear" w:color="auto" w:fill="FFFFFF"/>
          <w:lang w:val="es-ES"/>
        </w:rPr>
        <w:t>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w:t>
      </w:r>
      <w:r>
        <w:rPr>
          <w:rStyle w:val="normaltextrun"/>
          <w:rFonts w:ascii="Verdana" w:hAnsi="Verdana" w:cs="Arial"/>
          <w:shd w:val="clear" w:color="auto" w:fill="FFFFFF"/>
          <w:lang w:val="es-ES"/>
        </w:rPr>
        <w:t xml:space="preserve"> </w:t>
      </w:r>
      <w:r w:rsidRPr="003D07ED">
        <w:rPr>
          <w:rStyle w:val="normaltextrun"/>
          <w:rFonts w:ascii="Verdana" w:hAnsi="Verdana" w:cs="Arial"/>
          <w:shd w:val="clear" w:color="auto" w:fill="FFFFFF"/>
          <w:lang w:val="es-ES"/>
        </w:rPr>
        <w:t xml:space="preserve">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w:t>
      </w:r>
      <w:r w:rsidRPr="003D07ED">
        <w:rPr>
          <w:rStyle w:val="normaltextrun"/>
          <w:rFonts w:ascii="Verdana" w:hAnsi="Verdana" w:cs="Arial"/>
          <w:shd w:val="clear" w:color="auto" w:fill="FFFFFF"/>
          <w:lang w:val="es-ES"/>
        </w:rPr>
        <w:lastRenderedPageBreak/>
        <w:t>de febrero de 2022, C-318 del 18 de mayo de 2022, C-252 del 30 de mayo de 2022, C-175 del 4 de mayo de 2023, C-234 del 5 de julio de 2023</w:t>
      </w:r>
      <w:r>
        <w:rPr>
          <w:rStyle w:val="normaltextrun"/>
          <w:rFonts w:ascii="Verdana" w:hAnsi="Verdana" w:cs="Arial"/>
          <w:shd w:val="clear" w:color="auto" w:fill="FFFFFF"/>
          <w:lang w:val="es-ES"/>
        </w:rPr>
        <w:t xml:space="preserve">, </w:t>
      </w:r>
      <w:r w:rsidRPr="003D07ED">
        <w:rPr>
          <w:rStyle w:val="normaltextrun"/>
          <w:rFonts w:ascii="Verdana" w:hAnsi="Verdana" w:cs="Arial"/>
          <w:shd w:val="clear" w:color="auto" w:fill="FFFFFF"/>
          <w:lang w:val="es-ES"/>
        </w:rPr>
        <w:t>C-408 del 21 de agosto de 2024</w:t>
      </w:r>
      <w:r>
        <w:rPr>
          <w:rStyle w:val="normaltextrun"/>
          <w:rFonts w:ascii="Verdana" w:hAnsi="Verdana" w:cs="Arial"/>
          <w:shd w:val="clear" w:color="auto" w:fill="FFFFFF"/>
          <w:lang w:val="es-ES"/>
        </w:rPr>
        <w:t>, C-975 del 16 de diciembre de 2024, C-1027 del 29 de enero de 2015, C-053 del 30 de enero de 2025, C-030 del 21 de febrero de 2025, C-344 del 28 de abril de 2025, C-434 del 14 de mayo de 2025, C-595 del 4 de junio de 2025 y C-1447 del 16 de octubre de 2025</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 xml:space="preserve">. </w:t>
      </w:r>
    </w:p>
    <w:p w14:paraId="1D66EB37" w14:textId="77777777" w:rsidR="000829A1" w:rsidRPr="00096788" w:rsidRDefault="000829A1" w:rsidP="000829A1">
      <w:pPr>
        <w:widowControl w:val="0"/>
        <w:autoSpaceDE w:val="0"/>
        <w:autoSpaceDN w:val="0"/>
        <w:spacing w:after="0" w:line="276" w:lineRule="auto"/>
        <w:jc w:val="both"/>
        <w:rPr>
          <w:rFonts w:ascii="Verdana" w:hAnsi="Verdana" w:cs="Arial"/>
          <w:color w:val="000000" w:themeColor="text1"/>
          <w:shd w:val="clear" w:color="auto" w:fill="FFFFFF"/>
        </w:rPr>
      </w:pPr>
    </w:p>
    <w:p w14:paraId="0C78883C" w14:textId="7CD275BE" w:rsidR="1C0F21E5" w:rsidRDefault="1C0F21E5" w:rsidP="1C0F21E5">
      <w:pPr>
        <w:widowControl w:val="0"/>
        <w:spacing w:after="0" w:line="276" w:lineRule="auto"/>
        <w:jc w:val="both"/>
        <w:rPr>
          <w:rFonts w:ascii="Verdana" w:hAnsi="Verdana" w:cs="Arial"/>
          <w:color w:val="000000" w:themeColor="text1"/>
        </w:rPr>
      </w:pPr>
    </w:p>
    <w:p w14:paraId="105A6AFC" w14:textId="77777777" w:rsidR="000829A1" w:rsidRPr="001205D1" w:rsidRDefault="000829A1" w:rsidP="000829A1">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77C6FC64" w14:textId="77777777" w:rsidR="000829A1" w:rsidRDefault="000829A1" w:rsidP="000829A1">
      <w:pPr>
        <w:spacing w:after="0"/>
        <w:jc w:val="both"/>
        <w:rPr>
          <w:rFonts w:ascii="Verdana" w:hAnsi="Verdana"/>
        </w:rPr>
      </w:pPr>
    </w:p>
    <w:p w14:paraId="27CD8709" w14:textId="77777777" w:rsidR="000829A1" w:rsidRPr="0038088D" w:rsidRDefault="000829A1" w:rsidP="000829A1">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12C21DBE" w14:textId="77777777" w:rsidR="000829A1" w:rsidRPr="0038088D" w:rsidRDefault="000829A1" w:rsidP="000829A1">
      <w:pPr>
        <w:spacing w:after="0"/>
        <w:jc w:val="both"/>
        <w:rPr>
          <w:rFonts w:ascii="Verdana" w:hAnsi="Verdana"/>
        </w:rPr>
      </w:pPr>
    </w:p>
    <w:p w14:paraId="3BFBC1B7" w14:textId="77777777" w:rsidR="000829A1" w:rsidRPr="0038088D" w:rsidRDefault="000829A1" w:rsidP="000829A1">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44434C17" w14:textId="77777777" w:rsidR="000829A1" w:rsidRPr="0038088D" w:rsidRDefault="000829A1" w:rsidP="000829A1">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64CAFA8D" w14:textId="77777777" w:rsidR="000829A1" w:rsidRPr="0038088D" w:rsidRDefault="000829A1" w:rsidP="000829A1">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3">
        <w:r w:rsidRPr="0038088D">
          <w:rPr>
            <w:rStyle w:val="Hipervnculo"/>
            <w:rFonts w:ascii="Verdana" w:eastAsia="Verdana" w:hAnsi="Verdana" w:cs="Verdana"/>
          </w:rPr>
          <w:t>ventanilladeradicacion@colombiacompra.gov.co</w:t>
        </w:r>
      </w:hyperlink>
    </w:p>
    <w:p w14:paraId="59FAD826" w14:textId="77777777" w:rsidR="000829A1" w:rsidRPr="0038088D" w:rsidRDefault="000829A1" w:rsidP="000829A1">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4">
        <w:r w:rsidRPr="0038088D">
          <w:rPr>
            <w:rStyle w:val="Hipervnculo"/>
            <w:rFonts w:ascii="Verdana" w:eastAsia="Verdana" w:hAnsi="Verdana" w:cs="Verdana"/>
          </w:rPr>
          <w:t>https://www.colombiacompra.gov.co/pqrsd/informacion-importante-antes-de-formular-una-pqrsd</w:t>
        </w:r>
      </w:hyperlink>
    </w:p>
    <w:p w14:paraId="07431D59" w14:textId="77777777" w:rsidR="000829A1" w:rsidRPr="0038088D" w:rsidRDefault="000829A1" w:rsidP="000829A1">
      <w:pPr>
        <w:spacing w:after="0" w:line="240" w:lineRule="auto"/>
        <w:ind w:left="720"/>
        <w:jc w:val="both"/>
        <w:rPr>
          <w:rFonts w:ascii="Verdana" w:hAnsi="Verdana"/>
        </w:rPr>
      </w:pPr>
    </w:p>
    <w:p w14:paraId="34C99641" w14:textId="77777777" w:rsidR="000829A1" w:rsidRPr="0038088D" w:rsidRDefault="000829A1" w:rsidP="000829A1">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5"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34961AEC" w14:textId="77777777" w:rsidR="000829A1" w:rsidRPr="0038088D" w:rsidRDefault="000829A1" w:rsidP="000829A1">
      <w:pPr>
        <w:spacing w:after="0" w:line="240" w:lineRule="auto"/>
        <w:rPr>
          <w:rFonts w:ascii="Verdana" w:hAnsi="Verdana"/>
        </w:rPr>
      </w:pPr>
    </w:p>
    <w:p w14:paraId="7D93AB5E" w14:textId="77777777" w:rsidR="000829A1" w:rsidRPr="0038088D" w:rsidRDefault="000829A1" w:rsidP="000829A1">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25223AF9" w14:textId="77777777" w:rsidR="000829A1" w:rsidRPr="00116940" w:rsidRDefault="000829A1" w:rsidP="000829A1">
      <w:pPr>
        <w:spacing w:after="0" w:line="240" w:lineRule="auto"/>
        <w:jc w:val="both"/>
        <w:rPr>
          <w:rFonts w:ascii="Verdana" w:hAnsi="Verdana"/>
        </w:rPr>
      </w:pPr>
    </w:p>
    <w:p w14:paraId="2D3D25AB" w14:textId="77777777" w:rsidR="000829A1" w:rsidRPr="00116940" w:rsidRDefault="000829A1" w:rsidP="000829A1">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DDAE857" w14:textId="77777777" w:rsidR="000829A1" w:rsidRPr="00116940" w:rsidRDefault="000829A1" w:rsidP="000829A1">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2101590" w14:textId="77777777" w:rsidR="000829A1" w:rsidRPr="00E22E6E" w:rsidRDefault="000829A1" w:rsidP="000829A1">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E182BD9" w14:textId="77777777" w:rsidR="000829A1" w:rsidRPr="009C4035" w:rsidRDefault="000829A1" w:rsidP="000829A1">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r>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0570B4F" w14:textId="77777777" w:rsidR="000829A1" w:rsidRPr="00593A5F" w:rsidRDefault="000829A1" w:rsidP="000829A1">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659A9B2" w14:textId="77777777" w:rsidR="000829A1" w:rsidRPr="00593A5F" w:rsidRDefault="000829A1" w:rsidP="000829A1">
      <w:pPr>
        <w:widowControl w:val="0"/>
        <w:autoSpaceDE w:val="0"/>
        <w:autoSpaceDN w:val="0"/>
        <w:spacing w:after="0" w:line="276" w:lineRule="auto"/>
        <w:jc w:val="both"/>
        <w:rPr>
          <w:rFonts w:ascii="Verdana" w:hAnsi="Verdana" w:cs="Arial"/>
        </w:rPr>
      </w:pPr>
    </w:p>
    <w:p w14:paraId="08CFDCE5" w14:textId="77777777" w:rsidR="000829A1" w:rsidRPr="00593A5F" w:rsidRDefault="000829A1" w:rsidP="000829A1">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FC62730" w14:textId="7BCDD2ED" w:rsidR="1C0F21E5" w:rsidRDefault="1C0F21E5" w:rsidP="1C0F21E5">
      <w:pPr>
        <w:spacing w:after="0" w:line="240" w:lineRule="auto"/>
        <w:rPr>
          <w:rFonts w:ascii="Verdana" w:hAnsi="Verdana" w:cs="Arial"/>
          <w:lang w:eastAsia="es-CO"/>
        </w:rPr>
      </w:pPr>
    </w:p>
    <w:p w14:paraId="716C346F" w14:textId="525EB1AB" w:rsidR="54A8EEA5" w:rsidRDefault="00101169" w:rsidP="00101169">
      <w:pPr>
        <w:spacing w:after="0" w:line="240" w:lineRule="auto"/>
        <w:jc w:val="center"/>
      </w:pPr>
      <w:r w:rsidRPr="00C07C60">
        <w:rPr>
          <w:rFonts w:ascii="Verdana" w:hAnsi="Verdana" w:cs="Arial"/>
          <w:noProof/>
          <w:lang w:eastAsia="es-CO"/>
        </w:rPr>
        <w:drawing>
          <wp:inline distT="0" distB="0" distL="0" distR="0" wp14:anchorId="15D2D281" wp14:editId="53E2491F">
            <wp:extent cx="4241800" cy="1778000"/>
            <wp:effectExtent l="0" t="0" r="0" b="0"/>
            <wp:docPr id="1084895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95296" name=""/>
                    <pic:cNvPicPr/>
                  </pic:nvPicPr>
                  <pic:blipFill>
                    <a:blip r:embed="rId16"/>
                    <a:stretch>
                      <a:fillRect/>
                    </a:stretch>
                  </pic:blipFill>
                  <pic:spPr>
                    <a:xfrm>
                      <a:off x="0" y="0"/>
                      <a:ext cx="4241800" cy="1778000"/>
                    </a:xfrm>
                    <a:prstGeom prst="rect">
                      <a:avLst/>
                    </a:prstGeom>
                  </pic:spPr>
                </pic:pic>
              </a:graphicData>
            </a:graphic>
          </wp:inline>
        </w:drawing>
      </w:r>
    </w:p>
    <w:p w14:paraId="2959FEC1" w14:textId="77777777" w:rsidR="000829A1" w:rsidRPr="00593A5F" w:rsidRDefault="000829A1" w:rsidP="000829A1">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829A1" w:rsidRPr="00593A5F" w14:paraId="6397A08B" w14:textId="77777777" w:rsidTr="00597922">
        <w:trPr>
          <w:trHeight w:val="315"/>
        </w:trPr>
        <w:tc>
          <w:tcPr>
            <w:tcW w:w="893" w:type="dxa"/>
            <w:vAlign w:val="center"/>
            <w:hideMark/>
          </w:tcPr>
          <w:p w14:paraId="7C8F097A" w14:textId="77777777" w:rsidR="000829A1" w:rsidRPr="003751C7" w:rsidRDefault="000829A1" w:rsidP="00597922">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6B8595" w14:textId="77777777" w:rsidR="000829A1" w:rsidRPr="00254A7A" w:rsidRDefault="000829A1" w:rsidP="00597922">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5F06D23" w14:textId="77777777" w:rsidR="000829A1" w:rsidRPr="00254A7A" w:rsidRDefault="000829A1" w:rsidP="00597922">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829A1" w:rsidRPr="00593A5F" w14:paraId="5FBD6CF0" w14:textId="77777777" w:rsidTr="00597922">
        <w:trPr>
          <w:trHeight w:val="330"/>
        </w:trPr>
        <w:tc>
          <w:tcPr>
            <w:tcW w:w="893" w:type="dxa"/>
            <w:vAlign w:val="center"/>
            <w:hideMark/>
          </w:tcPr>
          <w:p w14:paraId="4AF6E39D" w14:textId="77777777" w:rsidR="000829A1" w:rsidRPr="003751C7" w:rsidRDefault="000829A1" w:rsidP="00597922">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C86E62F" w14:textId="77777777" w:rsidR="000829A1" w:rsidRPr="001B6B73" w:rsidRDefault="000829A1" w:rsidP="00597922">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5E398558" w14:textId="77777777" w:rsidR="000829A1" w:rsidRPr="00254A7A" w:rsidRDefault="000829A1" w:rsidP="00597922">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0829A1" w:rsidRPr="00593A5F" w14:paraId="66E05D74" w14:textId="77777777" w:rsidTr="00597922">
        <w:trPr>
          <w:trHeight w:val="300"/>
        </w:trPr>
        <w:tc>
          <w:tcPr>
            <w:tcW w:w="893" w:type="dxa"/>
            <w:vAlign w:val="center"/>
          </w:tcPr>
          <w:p w14:paraId="01092994" w14:textId="77777777" w:rsidR="000829A1" w:rsidRPr="003751C7" w:rsidRDefault="000829A1" w:rsidP="00597922">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8CC5F1" w14:textId="77777777" w:rsidR="000829A1" w:rsidRPr="004E184A" w:rsidRDefault="000829A1" w:rsidP="00597922">
            <w:pPr>
              <w:contextualSpacing/>
              <w:rPr>
                <w:rFonts w:ascii="Verdana" w:eastAsia="Calibri" w:hAnsi="Verdana" w:cs="Arial"/>
                <w:sz w:val="16"/>
                <w:szCs w:val="16"/>
                <w:lang w:val="es-ES_tradnl" w:eastAsia="es-ES"/>
              </w:rPr>
            </w:pPr>
            <w:r w:rsidRPr="004E184A">
              <w:rPr>
                <w:rFonts w:ascii="Verdana" w:eastAsia="Calibri" w:hAnsi="Verdana" w:cs="Arial"/>
                <w:sz w:val="16"/>
                <w:szCs w:val="16"/>
                <w:lang w:val="es-ES_tradnl" w:eastAsia="es-ES"/>
              </w:rPr>
              <w:t>Ana María Tolosa Rico</w:t>
            </w:r>
          </w:p>
          <w:p w14:paraId="4E928AB7" w14:textId="77777777" w:rsidR="000829A1" w:rsidRPr="003751C7" w:rsidRDefault="000829A1" w:rsidP="00597922">
            <w:pPr>
              <w:contextualSpacing/>
              <w:rPr>
                <w:rFonts w:ascii="Verdana" w:eastAsia="Calibri" w:hAnsi="Verdana" w:cs="Arial"/>
                <w:sz w:val="16"/>
                <w:szCs w:val="16"/>
                <w:lang w:val="pt-BR" w:eastAsia="es-ES"/>
              </w:rPr>
            </w:pPr>
            <w:r w:rsidRPr="004E184A">
              <w:rPr>
                <w:rFonts w:ascii="Verdana" w:eastAsia="Calibri" w:hAnsi="Verdana" w:cs="Arial"/>
                <w:sz w:val="16"/>
                <w:szCs w:val="16"/>
                <w:lang w:val="es-ES_tradnl" w:eastAsia="es-ES"/>
              </w:rPr>
              <w:t>Subdirectora de Gestión Contractual (E)</w:t>
            </w:r>
          </w:p>
        </w:tc>
      </w:tr>
    </w:tbl>
    <w:p w14:paraId="486E1637" w14:textId="77777777" w:rsidR="000829A1" w:rsidRPr="00543BFE" w:rsidRDefault="000829A1" w:rsidP="000829A1"/>
    <w:p w14:paraId="4257051C" w14:textId="77777777" w:rsidR="000829A1" w:rsidRPr="00543BFE" w:rsidRDefault="000829A1" w:rsidP="000829A1"/>
    <w:p w14:paraId="0F293BF4" w14:textId="700608D2" w:rsidR="00127233" w:rsidRPr="00E54359" w:rsidRDefault="00127233" w:rsidP="00E54359"/>
    <w:sectPr w:rsidR="00127233" w:rsidRPr="00E5435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BEDFE" w14:textId="77777777" w:rsidR="005D1C15" w:rsidRDefault="005D1C15" w:rsidP="004A1847">
      <w:pPr>
        <w:spacing w:after="0" w:line="240" w:lineRule="auto"/>
      </w:pPr>
      <w:r>
        <w:separator/>
      </w:r>
    </w:p>
  </w:endnote>
  <w:endnote w:type="continuationSeparator" w:id="0">
    <w:p w14:paraId="76BB9D83" w14:textId="77777777" w:rsidR="005D1C15" w:rsidRDefault="005D1C15" w:rsidP="004A1847">
      <w:pPr>
        <w:spacing w:after="0" w:line="240" w:lineRule="auto"/>
      </w:pPr>
      <w:r>
        <w:continuationSeparator/>
      </w:r>
    </w:p>
  </w:endnote>
  <w:endnote w:type="continuationNotice" w:id="1">
    <w:p w14:paraId="29576B35" w14:textId="77777777" w:rsidR="005D1C15" w:rsidRDefault="005D1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3E496" w14:textId="77777777" w:rsidR="005D1C15" w:rsidRDefault="005D1C15" w:rsidP="004A1847">
      <w:pPr>
        <w:spacing w:after="0" w:line="240" w:lineRule="auto"/>
      </w:pPr>
      <w:r>
        <w:separator/>
      </w:r>
    </w:p>
  </w:footnote>
  <w:footnote w:type="continuationSeparator" w:id="0">
    <w:p w14:paraId="65D6B4F5" w14:textId="77777777" w:rsidR="005D1C15" w:rsidRDefault="005D1C15" w:rsidP="004A1847">
      <w:pPr>
        <w:spacing w:after="0" w:line="240" w:lineRule="auto"/>
      </w:pPr>
      <w:r>
        <w:continuationSeparator/>
      </w:r>
    </w:p>
  </w:footnote>
  <w:footnote w:type="continuationNotice" w:id="1">
    <w:p w14:paraId="1E5BB93E" w14:textId="77777777" w:rsidR="005D1C15" w:rsidRDefault="005D1C15">
      <w:pPr>
        <w:spacing w:after="0" w:line="240" w:lineRule="auto"/>
      </w:pPr>
    </w:p>
  </w:footnote>
  <w:footnote w:id="2">
    <w:p w14:paraId="1F6BE7CE" w14:textId="77777777" w:rsidR="000829A1" w:rsidRPr="001F0D99" w:rsidRDefault="000829A1" w:rsidP="000829A1">
      <w:pPr>
        <w:pStyle w:val="Textonotapie"/>
        <w:ind w:firstLine="709"/>
        <w:jc w:val="both"/>
        <w:rPr>
          <w:rFonts w:ascii="Verdana" w:hAnsi="Verdana"/>
          <w:sz w:val="16"/>
          <w:szCs w:val="16"/>
          <w:lang w:val="es-CO"/>
        </w:rPr>
      </w:pPr>
      <w:r w:rsidRPr="001F0D99">
        <w:rPr>
          <w:rStyle w:val="Refdenotaalpie"/>
          <w:rFonts w:ascii="Verdana" w:hAnsi="Verdana"/>
          <w:sz w:val="16"/>
          <w:szCs w:val="16"/>
        </w:rPr>
        <w:footnoteRef/>
      </w:r>
      <w:r w:rsidRPr="001F0D99">
        <w:rPr>
          <w:rFonts w:ascii="Verdana" w:hAnsi="Verdana"/>
          <w:sz w:val="16"/>
          <w:szCs w:val="16"/>
        </w:rPr>
        <w:t xml:space="preserve"> El artículo 6 del Decreto 092 de 2017, “Por el cual se reglamenta la contratación con entidades privadas sin ánimo de lucro a la que hace referencia el inciso segundo del artículo 355 de la Constitución Política”, dispone que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footnote>
  <w:footnote w:id="3">
    <w:p w14:paraId="09A87B24" w14:textId="77777777" w:rsidR="000829A1" w:rsidRPr="001F0D99" w:rsidRDefault="000829A1" w:rsidP="000829A1">
      <w:pPr>
        <w:pStyle w:val="Textonotapie"/>
        <w:ind w:firstLine="709"/>
        <w:jc w:val="both"/>
        <w:rPr>
          <w:rFonts w:ascii="Verdana" w:hAnsi="Verdana" w:cs="Arial"/>
          <w:sz w:val="16"/>
          <w:szCs w:val="16"/>
          <w:lang w:val="es-ES_tradnl"/>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CORTE CONSTITUCIONAL. Sentencia C-1016 de 2012. M.P. Jorge Iván Palacio.</w:t>
      </w:r>
    </w:p>
  </w:footnote>
  <w:footnote w:id="4">
    <w:p w14:paraId="1F88DB7D" w14:textId="77777777" w:rsidR="000829A1" w:rsidRPr="001F0D99" w:rsidRDefault="000829A1" w:rsidP="000829A1">
      <w:pPr>
        <w:pStyle w:val="Textonotapie"/>
        <w:ind w:firstLine="709"/>
        <w:jc w:val="both"/>
        <w:rPr>
          <w:rFonts w:ascii="Verdana" w:hAnsi="Verdana" w:cs="Arial"/>
          <w:sz w:val="16"/>
          <w:szCs w:val="16"/>
          <w:lang w:val="pt-BR"/>
        </w:rPr>
      </w:pPr>
      <w:r w:rsidRPr="001F0D99">
        <w:rPr>
          <w:rStyle w:val="Refdenotaalpie"/>
          <w:rFonts w:ascii="Verdana" w:hAnsi="Verdana" w:cs="Arial"/>
          <w:sz w:val="16"/>
          <w:szCs w:val="16"/>
        </w:rPr>
        <w:footnoteRef/>
      </w:r>
      <w:r w:rsidRPr="001F0D99">
        <w:rPr>
          <w:rFonts w:ascii="Verdana" w:hAnsi="Verdana" w:cs="Arial"/>
          <w:sz w:val="16"/>
          <w:szCs w:val="16"/>
        </w:rPr>
        <w:t xml:space="preserve"> CONSEJO DE ESTADO. Sección Tercera. Subsección A. Sentencia del 13 de noviembre de 2013. </w:t>
      </w:r>
      <w:r w:rsidRPr="001F0D99">
        <w:rPr>
          <w:rFonts w:ascii="Verdana" w:hAnsi="Verdana" w:cs="Arial"/>
          <w:sz w:val="16"/>
          <w:szCs w:val="16"/>
          <w:lang w:val="pt-BR"/>
        </w:rPr>
        <w:t>Rad. 25.646. C.P. Mauricio Fajardo Gómez.</w:t>
      </w:r>
    </w:p>
  </w:footnote>
  <w:footnote w:id="5">
    <w:p w14:paraId="605901DB" w14:textId="77777777" w:rsidR="000829A1" w:rsidRPr="001F0D99" w:rsidRDefault="000829A1" w:rsidP="000829A1">
      <w:pPr>
        <w:pStyle w:val="Textonotapie"/>
        <w:ind w:firstLine="709"/>
        <w:jc w:val="both"/>
        <w:rPr>
          <w:rFonts w:ascii="Verdana" w:hAnsi="Verdana" w:cs="Arial"/>
          <w:sz w:val="16"/>
          <w:szCs w:val="16"/>
          <w:lang w:val="es-ES_tradnl"/>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 xml:space="preserve">CORTE CONSTITUCIONAL. Sentencia C-415 de 1994. M.P. </w:t>
      </w:r>
      <w:r w:rsidRPr="001F0D99">
        <w:rPr>
          <w:rFonts w:ascii="Verdana" w:hAnsi="Verdana" w:cs="Arial"/>
          <w:sz w:val="16"/>
          <w:szCs w:val="16"/>
          <w:lang w:val="es-ES_tradnl"/>
        </w:rPr>
        <w:t>Eduardo Cifuentes Muñoz.</w:t>
      </w:r>
    </w:p>
  </w:footnote>
  <w:footnote w:id="6">
    <w:p w14:paraId="51A91848" w14:textId="77777777" w:rsidR="000829A1" w:rsidRPr="001F0D99" w:rsidRDefault="000829A1" w:rsidP="000829A1">
      <w:pPr>
        <w:pStyle w:val="Textonotapie"/>
        <w:ind w:firstLine="709"/>
        <w:jc w:val="both"/>
        <w:rPr>
          <w:rFonts w:ascii="Verdana" w:hAnsi="Verdana" w:cs="Arial"/>
          <w:sz w:val="16"/>
          <w:szCs w:val="16"/>
          <w:lang w:val="pt-BR"/>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Ibidem.</w:t>
      </w:r>
    </w:p>
  </w:footnote>
  <w:footnote w:id="7">
    <w:p w14:paraId="5F15674F" w14:textId="77777777" w:rsidR="000829A1" w:rsidRPr="001F0D99" w:rsidRDefault="000829A1" w:rsidP="000829A1">
      <w:pPr>
        <w:pStyle w:val="Textonotapie"/>
        <w:ind w:firstLine="709"/>
        <w:jc w:val="both"/>
        <w:rPr>
          <w:rFonts w:ascii="Verdana" w:hAnsi="Verdana" w:cs="Arial"/>
          <w:sz w:val="16"/>
          <w:szCs w:val="16"/>
          <w:lang w:val="es-CO"/>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 xml:space="preserve">CORTE CONSTITUCIONAL. </w:t>
      </w:r>
      <w:r w:rsidRPr="001F0D99">
        <w:rPr>
          <w:rFonts w:ascii="Verdana" w:hAnsi="Verdana" w:cs="Arial"/>
          <w:sz w:val="16"/>
          <w:szCs w:val="16"/>
        </w:rPr>
        <w:t xml:space="preserve">Sentencia C-780 de 2001. </w:t>
      </w:r>
      <w:r w:rsidRPr="001F0D99">
        <w:rPr>
          <w:rFonts w:ascii="Verdana" w:hAnsi="Verdana" w:cs="Arial"/>
          <w:sz w:val="16"/>
          <w:szCs w:val="16"/>
          <w:lang w:val="es-CO"/>
        </w:rPr>
        <w:t xml:space="preserve">M.P. Jaime Córdoba Triviño. </w:t>
      </w:r>
    </w:p>
  </w:footnote>
  <w:footnote w:id="8">
    <w:p w14:paraId="532923C8" w14:textId="77777777" w:rsidR="000829A1" w:rsidRPr="001F0D99" w:rsidRDefault="000829A1" w:rsidP="000829A1">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6C4E8094" w14:textId="77777777" w:rsidR="000829A1" w:rsidRPr="001F0D99" w:rsidRDefault="000829A1" w:rsidP="000829A1">
      <w:pPr>
        <w:pStyle w:val="Textonotapie"/>
        <w:ind w:firstLine="709"/>
        <w:jc w:val="both"/>
        <w:rPr>
          <w:rFonts w:ascii="Verdana" w:hAnsi="Verdana" w:cs="Arial"/>
          <w:sz w:val="16"/>
          <w:szCs w:val="16"/>
        </w:rPr>
      </w:pPr>
      <w:r w:rsidRPr="001F0D99">
        <w:rPr>
          <w:rFonts w:ascii="Verdana" w:hAnsi="Verdana" w:cs="Arial"/>
          <w:sz w:val="16"/>
          <w:szCs w:val="16"/>
        </w:rPr>
        <w:t>Las personas jurídicas nacionales y extranjeras deberán acreditar que su duración no será inferior a la del plazo del contrato y un año más”.</w:t>
      </w:r>
    </w:p>
  </w:footnote>
  <w:footnote w:id="9">
    <w:p w14:paraId="1AA78E33" w14:textId="77777777" w:rsidR="000829A1" w:rsidRPr="001F0D99" w:rsidRDefault="000829A1" w:rsidP="000829A1">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Código Civil: “Artículo 1502. Requisitos para obligarse. Para que una persona se obligue a otra por un acto o declaración de voluntad, es necesario:</w:t>
      </w:r>
    </w:p>
    <w:p w14:paraId="29070BAD" w14:textId="77777777" w:rsidR="000829A1" w:rsidRPr="001F0D99" w:rsidRDefault="000829A1" w:rsidP="000829A1">
      <w:pPr>
        <w:pStyle w:val="Textonotapie"/>
        <w:ind w:firstLine="709"/>
        <w:jc w:val="both"/>
        <w:rPr>
          <w:rFonts w:ascii="Verdana" w:hAnsi="Verdana" w:cs="Arial"/>
          <w:sz w:val="16"/>
          <w:szCs w:val="16"/>
        </w:rPr>
      </w:pPr>
      <w:r w:rsidRPr="001F0D99">
        <w:rPr>
          <w:rFonts w:ascii="Verdana" w:hAnsi="Verdana" w:cs="Arial"/>
          <w:sz w:val="16"/>
          <w:szCs w:val="16"/>
        </w:rPr>
        <w:t>1o.) que sea legalmente capaz.</w:t>
      </w:r>
    </w:p>
    <w:p w14:paraId="0E57BAD3" w14:textId="77777777" w:rsidR="000829A1" w:rsidRPr="001F0D99" w:rsidRDefault="000829A1" w:rsidP="000829A1">
      <w:pPr>
        <w:pStyle w:val="Textonotapie"/>
        <w:ind w:firstLine="709"/>
        <w:jc w:val="both"/>
        <w:rPr>
          <w:rFonts w:ascii="Verdana" w:hAnsi="Verdana" w:cs="Arial"/>
          <w:sz w:val="16"/>
          <w:szCs w:val="16"/>
        </w:rPr>
      </w:pPr>
      <w:r w:rsidRPr="001F0D99">
        <w:rPr>
          <w:rFonts w:ascii="Verdana" w:hAnsi="Verdana" w:cs="Arial"/>
          <w:sz w:val="16"/>
          <w:szCs w:val="16"/>
        </w:rPr>
        <w:t>[…]</w:t>
      </w:r>
    </w:p>
    <w:p w14:paraId="56A6F55C" w14:textId="77777777" w:rsidR="000829A1" w:rsidRPr="001F0D99" w:rsidRDefault="000829A1" w:rsidP="000829A1">
      <w:pPr>
        <w:pStyle w:val="Textonotapie"/>
        <w:ind w:firstLine="709"/>
        <w:jc w:val="both"/>
        <w:rPr>
          <w:rFonts w:ascii="Verdana" w:hAnsi="Verdana" w:cs="Arial"/>
          <w:sz w:val="16"/>
          <w:szCs w:val="16"/>
        </w:rPr>
      </w:pPr>
      <w:r w:rsidRPr="001F0D99">
        <w:rPr>
          <w:rFonts w:ascii="Verdana" w:hAnsi="Verdana" w:cs="Arial"/>
          <w:sz w:val="16"/>
          <w:szCs w:val="16"/>
        </w:rPr>
        <w:t>La capacidad legal de una persona consiste en poderse obligar por sí misma, sin el ministerio o la autorización de otra”.</w:t>
      </w:r>
    </w:p>
  </w:footnote>
  <w:footnote w:id="10">
    <w:p w14:paraId="5E1FB9EA" w14:textId="77777777" w:rsidR="000829A1" w:rsidRPr="001F0D99" w:rsidRDefault="000829A1" w:rsidP="000829A1">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Decreto Ley 19 de 2012: “Artículo 221. El artículo 6 de la Ley 1150 de 2007, quedará así:</w:t>
      </w:r>
    </w:p>
    <w:p w14:paraId="022C2AA4" w14:textId="77777777" w:rsidR="000829A1" w:rsidRPr="001F0D99" w:rsidRDefault="000829A1" w:rsidP="000829A1">
      <w:pPr>
        <w:pStyle w:val="Textonotapie"/>
        <w:ind w:firstLine="709"/>
        <w:jc w:val="both"/>
        <w:rPr>
          <w:rFonts w:ascii="Verdana" w:hAnsi="Verdana" w:cs="Arial"/>
          <w:sz w:val="16"/>
          <w:szCs w:val="16"/>
          <w:lang w:val="es-ES"/>
        </w:rPr>
      </w:pPr>
      <w:r w:rsidRPr="001F0D99">
        <w:rPr>
          <w:rFonts w:ascii="Verdana" w:hAnsi="Verdana" w:cs="Arial"/>
          <w:sz w:val="16"/>
          <w:szCs w:val="16"/>
        </w:rPr>
        <w:t>Artículo 6. De la verificación de las condiciones de los proponentes. T</w:t>
      </w:r>
      <w:r w:rsidRPr="001F0D99">
        <w:rPr>
          <w:rFonts w:ascii="Verdana" w:hAnsi="Verdana" w:cs="Arial"/>
          <w:sz w:val="16"/>
          <w:szCs w:val="16"/>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36C86E1" w14:textId="77777777" w:rsidR="000829A1" w:rsidRPr="001F0D99" w:rsidRDefault="000829A1" w:rsidP="000829A1">
      <w:pPr>
        <w:pStyle w:val="Textonotapie"/>
        <w:ind w:firstLine="709"/>
        <w:jc w:val="both"/>
        <w:rPr>
          <w:rFonts w:ascii="Verdana" w:hAnsi="Verdana" w:cs="Arial"/>
          <w:sz w:val="16"/>
          <w:szCs w:val="16"/>
          <w:lang w:val="es-ES"/>
        </w:rPr>
      </w:pPr>
      <w:r w:rsidRPr="001F0D99">
        <w:rPr>
          <w:rFonts w:ascii="Verdana" w:hAnsi="Verdana" w:cs="Arial"/>
          <w:sz w:val="16"/>
          <w:szCs w:val="16"/>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1">
    <w:p w14:paraId="257F5383" w14:textId="77777777" w:rsidR="000829A1" w:rsidRPr="001F0D99" w:rsidRDefault="000829A1" w:rsidP="000829A1">
      <w:pPr>
        <w:pStyle w:val="Textonotapie"/>
        <w:ind w:firstLine="709"/>
        <w:jc w:val="both"/>
        <w:rPr>
          <w:rFonts w:ascii="Verdana" w:hAnsi="Verdana" w:cs="Arial"/>
          <w:sz w:val="16"/>
          <w:szCs w:val="16"/>
          <w:lang w:val="es-ES"/>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1F0D99">
        <w:rPr>
          <w:rFonts w:ascii="Verdana" w:hAnsi="Verdana" w:cs="Arial"/>
          <w:i/>
          <w:iCs/>
          <w:sz w:val="16"/>
          <w:szCs w:val="16"/>
          <w:lang w:val="es-ES"/>
        </w:rPr>
        <w:t>el régimen de inhabilidades e incompatibilidades</w:t>
      </w:r>
      <w:r w:rsidRPr="001F0D99">
        <w:rPr>
          <w:rFonts w:ascii="Verdana" w:hAnsi="Verdana" w:cs="Arial"/>
          <w:sz w:val="16"/>
          <w:szCs w:val="16"/>
          <w:lang w:val="es-ES"/>
        </w:rPr>
        <w:t xml:space="preserve"> (1) y la obligación de ciertos proponentes de inscribirse en el </w:t>
      </w:r>
      <w:r w:rsidRPr="001F0D99">
        <w:rPr>
          <w:rFonts w:ascii="Verdana" w:hAnsi="Verdana" w:cs="Arial"/>
          <w:i/>
          <w:iCs/>
          <w:sz w:val="16"/>
          <w:szCs w:val="16"/>
          <w:lang w:val="es-ES"/>
        </w:rPr>
        <w:t>registro único</w:t>
      </w:r>
      <w:r w:rsidRPr="001F0D99">
        <w:rPr>
          <w:rFonts w:ascii="Verdana" w:hAnsi="Verdana" w:cs="Arial"/>
          <w:sz w:val="16"/>
          <w:szCs w:val="16"/>
          <w:lang w:val="es-ES"/>
        </w:rPr>
        <w:t xml:space="preserve"> (2)” (BENAVIDES, José Luis. El contrato estatal. Entre el Derecho público y el Derecho privado. 2ª ed. Bogotá: Universidad Externado de Colombia, 2004. p. 278). </w:t>
      </w:r>
    </w:p>
  </w:footnote>
  <w:footnote w:id="12">
    <w:p w14:paraId="20B3970B" w14:textId="77777777" w:rsidR="000829A1" w:rsidRPr="001F0D99" w:rsidRDefault="000829A1" w:rsidP="000829A1">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3">
    <w:p w14:paraId="24B63B4B" w14:textId="77777777" w:rsidR="000829A1" w:rsidRPr="001F0D99" w:rsidRDefault="000829A1" w:rsidP="000829A1">
      <w:pPr>
        <w:pStyle w:val="Textonotapie"/>
        <w:ind w:firstLine="709"/>
        <w:jc w:val="both"/>
        <w:rPr>
          <w:rFonts w:ascii="Verdana" w:hAnsi="Verdana" w:cs="Arial"/>
          <w:sz w:val="16"/>
          <w:szCs w:val="16"/>
          <w:lang w:val="es-ES"/>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14">
    <w:p w14:paraId="7E0D6BDB" w14:textId="77777777" w:rsidR="000829A1" w:rsidRPr="001F0D99" w:rsidRDefault="000829A1" w:rsidP="000829A1">
      <w:pPr>
        <w:pStyle w:val="Textonotapie"/>
        <w:ind w:firstLine="709"/>
        <w:jc w:val="both"/>
        <w:rPr>
          <w:rFonts w:ascii="Verdana" w:hAnsi="Verdana"/>
          <w:sz w:val="16"/>
          <w:szCs w:val="16"/>
          <w:lang w:val="es-CO"/>
        </w:rPr>
      </w:pPr>
      <w:r w:rsidRPr="001F0D99">
        <w:rPr>
          <w:rStyle w:val="Refdenotaalpie"/>
          <w:rFonts w:ascii="Verdana" w:hAnsi="Verdana"/>
          <w:sz w:val="16"/>
          <w:szCs w:val="16"/>
        </w:rPr>
        <w:footnoteRef/>
      </w:r>
      <w:r w:rsidRPr="001F0D99">
        <w:rPr>
          <w:rFonts w:ascii="Verdana" w:hAnsi="Verdana"/>
          <w:sz w:val="16"/>
          <w:szCs w:val="16"/>
        </w:rPr>
        <w:t xml:space="preserve"> El artículo 6 del Decreto 092 de 2017, “Por el cual se reglamenta la contratación con entidades privadas sin ánimo de lucro a la que hace referencia el inciso segundo del artículo 355 de la Constitución Política”, dispone que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7.45pt;height:7.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925"/>
    <w:rsid w:val="00082362"/>
    <w:rsid w:val="000829A1"/>
    <w:rsid w:val="000A683E"/>
    <w:rsid w:val="000B19B9"/>
    <w:rsid w:val="000D0334"/>
    <w:rsid w:val="000D5DA7"/>
    <w:rsid w:val="000F6486"/>
    <w:rsid w:val="00101169"/>
    <w:rsid w:val="00116940"/>
    <w:rsid w:val="00125105"/>
    <w:rsid w:val="00127233"/>
    <w:rsid w:val="0015699B"/>
    <w:rsid w:val="001A33BF"/>
    <w:rsid w:val="001E4177"/>
    <w:rsid w:val="001F0B24"/>
    <w:rsid w:val="001F3DA9"/>
    <w:rsid w:val="001F7DC6"/>
    <w:rsid w:val="0022400B"/>
    <w:rsid w:val="002421BB"/>
    <w:rsid w:val="0025796E"/>
    <w:rsid w:val="00270787"/>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271A"/>
    <w:rsid w:val="004D60A5"/>
    <w:rsid w:val="004F21C4"/>
    <w:rsid w:val="004F685F"/>
    <w:rsid w:val="005566E8"/>
    <w:rsid w:val="00574867"/>
    <w:rsid w:val="00591460"/>
    <w:rsid w:val="005A65E0"/>
    <w:rsid w:val="005C3777"/>
    <w:rsid w:val="005C5CDC"/>
    <w:rsid w:val="005D1C15"/>
    <w:rsid w:val="005D476C"/>
    <w:rsid w:val="006200BF"/>
    <w:rsid w:val="006219F8"/>
    <w:rsid w:val="006302F7"/>
    <w:rsid w:val="00642724"/>
    <w:rsid w:val="00646B9F"/>
    <w:rsid w:val="00665D70"/>
    <w:rsid w:val="006900D9"/>
    <w:rsid w:val="00693678"/>
    <w:rsid w:val="006A618E"/>
    <w:rsid w:val="00706C16"/>
    <w:rsid w:val="007340C3"/>
    <w:rsid w:val="0075235A"/>
    <w:rsid w:val="00756841"/>
    <w:rsid w:val="007649AB"/>
    <w:rsid w:val="00771D0C"/>
    <w:rsid w:val="007833AC"/>
    <w:rsid w:val="007B268C"/>
    <w:rsid w:val="007B7171"/>
    <w:rsid w:val="007C0C0F"/>
    <w:rsid w:val="007C3DC2"/>
    <w:rsid w:val="007D25E7"/>
    <w:rsid w:val="007E5497"/>
    <w:rsid w:val="00806F5F"/>
    <w:rsid w:val="00820278"/>
    <w:rsid w:val="008258C9"/>
    <w:rsid w:val="00844AE9"/>
    <w:rsid w:val="00867F95"/>
    <w:rsid w:val="00882C32"/>
    <w:rsid w:val="008843B6"/>
    <w:rsid w:val="00891928"/>
    <w:rsid w:val="008931EE"/>
    <w:rsid w:val="008A446D"/>
    <w:rsid w:val="008B25F1"/>
    <w:rsid w:val="008D180B"/>
    <w:rsid w:val="008F0EA7"/>
    <w:rsid w:val="00923EEF"/>
    <w:rsid w:val="009303B5"/>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95C01"/>
    <w:rsid w:val="00BA504C"/>
    <w:rsid w:val="00BC3D36"/>
    <w:rsid w:val="00BD54A6"/>
    <w:rsid w:val="00BD7F72"/>
    <w:rsid w:val="00BF4CCF"/>
    <w:rsid w:val="00BF7425"/>
    <w:rsid w:val="00C04FB3"/>
    <w:rsid w:val="00C11D8B"/>
    <w:rsid w:val="00C15139"/>
    <w:rsid w:val="00C330EB"/>
    <w:rsid w:val="00C50D69"/>
    <w:rsid w:val="00C5365C"/>
    <w:rsid w:val="00C715D8"/>
    <w:rsid w:val="00C754BE"/>
    <w:rsid w:val="00C76B1C"/>
    <w:rsid w:val="00C925AC"/>
    <w:rsid w:val="00CB6357"/>
    <w:rsid w:val="00CC1B26"/>
    <w:rsid w:val="00D361FD"/>
    <w:rsid w:val="00D423A2"/>
    <w:rsid w:val="00D44E26"/>
    <w:rsid w:val="00D520D8"/>
    <w:rsid w:val="00D63AC2"/>
    <w:rsid w:val="00D64C2C"/>
    <w:rsid w:val="00D7383B"/>
    <w:rsid w:val="00D7788A"/>
    <w:rsid w:val="00DA231B"/>
    <w:rsid w:val="00DC39FC"/>
    <w:rsid w:val="00DF5254"/>
    <w:rsid w:val="00E02524"/>
    <w:rsid w:val="00E16408"/>
    <w:rsid w:val="00E20894"/>
    <w:rsid w:val="00E208F2"/>
    <w:rsid w:val="00E245AB"/>
    <w:rsid w:val="00E2764C"/>
    <w:rsid w:val="00E27F2E"/>
    <w:rsid w:val="00E50AFE"/>
    <w:rsid w:val="00E54359"/>
    <w:rsid w:val="00E6542C"/>
    <w:rsid w:val="00E75C92"/>
    <w:rsid w:val="00E771DC"/>
    <w:rsid w:val="00E8772A"/>
    <w:rsid w:val="00E90F6B"/>
    <w:rsid w:val="00E92C27"/>
    <w:rsid w:val="00EA0E3D"/>
    <w:rsid w:val="00EC38A7"/>
    <w:rsid w:val="00ED5306"/>
    <w:rsid w:val="00ED79C8"/>
    <w:rsid w:val="00EE1AA8"/>
    <w:rsid w:val="00F23FEA"/>
    <w:rsid w:val="00F31EDC"/>
    <w:rsid w:val="00F462B3"/>
    <w:rsid w:val="00F5664F"/>
    <w:rsid w:val="00F666C4"/>
    <w:rsid w:val="00F76AFC"/>
    <w:rsid w:val="00F80FE6"/>
    <w:rsid w:val="00F83A70"/>
    <w:rsid w:val="00FA0AD1"/>
    <w:rsid w:val="00FA47C0"/>
    <w:rsid w:val="00FB5DD1"/>
    <w:rsid w:val="00FC2B5D"/>
    <w:rsid w:val="00FD2086"/>
    <w:rsid w:val="00FF1449"/>
    <w:rsid w:val="00FF7963"/>
    <w:rsid w:val="00FF7C46"/>
    <w:rsid w:val="09908A09"/>
    <w:rsid w:val="13CFC91B"/>
    <w:rsid w:val="144C94E2"/>
    <w:rsid w:val="19A2EC2C"/>
    <w:rsid w:val="1C0F21E5"/>
    <w:rsid w:val="2859CA1B"/>
    <w:rsid w:val="2D5D8C04"/>
    <w:rsid w:val="32A4F9CF"/>
    <w:rsid w:val="356CEDFD"/>
    <w:rsid w:val="54A8EEA5"/>
    <w:rsid w:val="55D96BFC"/>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829A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29A1"/>
    <w:rPr>
      <w:rFonts w:ascii="Geomanist Light" w:hAnsi="Geomanist Light"/>
      <w:lang w:val="es-ES"/>
    </w:rPr>
  </w:style>
  <w:style w:type="character" w:customStyle="1" w:styleId="s15">
    <w:name w:val="s15"/>
    <w:basedOn w:val="Fuentedeprrafopredeter"/>
    <w:rsid w:val="000829A1"/>
  </w:style>
  <w:style w:type="character" w:customStyle="1" w:styleId="NormalWebCar">
    <w:name w:val="Normal (Web) Car"/>
    <w:link w:val="NormalWeb"/>
    <w:uiPriority w:val="99"/>
    <w:rsid w:val="000829A1"/>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0829A1"/>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064CE7A-5BC1-43E9-A120-9AB60238E0F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15</Pages>
  <Words>4599</Words>
  <Characters>25296</Characters>
  <Application>Microsoft Office Word</Application>
  <DocSecurity>0</DocSecurity>
  <Lines>210</Lines>
  <Paragraphs>59</Paragraphs>
  <ScaleCrop>false</ScaleCrop>
  <Company/>
  <LinksUpToDate>false</LinksUpToDate>
  <CharactersWithSpaces>29836</CharactersWithSpaces>
  <SharedDoc>false</SharedDoc>
  <HLinks>
    <vt:vector size="36" baseType="variant">
      <vt:variant>
        <vt:i4>4456513</vt:i4>
      </vt:variant>
      <vt:variant>
        <vt:i4>15</vt:i4>
      </vt:variant>
      <vt:variant>
        <vt:i4>0</vt:i4>
      </vt:variant>
      <vt:variant>
        <vt:i4>5</vt:i4>
      </vt:variant>
      <vt:variant>
        <vt:lpwstr>https://forms.office.com/r/pPHyWVs2SZ</vt:lpwstr>
      </vt:variant>
      <vt:variant>
        <vt:lpwstr/>
      </vt:variant>
      <vt:variant>
        <vt:i4>3407926</vt:i4>
      </vt:variant>
      <vt:variant>
        <vt:i4>12</vt:i4>
      </vt:variant>
      <vt:variant>
        <vt:i4>0</vt:i4>
      </vt:variant>
      <vt:variant>
        <vt:i4>5</vt:i4>
      </vt:variant>
      <vt:variant>
        <vt:lpwstr>https://www.colombiacompra.gov.co/pqrsd/informacion-importante-antes-de-formular-una-pqrsd</vt:lpwstr>
      </vt:variant>
      <vt:variant>
        <vt:lpwstr/>
      </vt:variant>
      <vt:variant>
        <vt:i4>4980779</vt:i4>
      </vt:variant>
      <vt:variant>
        <vt:i4>9</vt:i4>
      </vt:variant>
      <vt:variant>
        <vt:i4>0</vt:i4>
      </vt:variant>
      <vt:variant>
        <vt:i4>5</vt:i4>
      </vt:variant>
      <vt:variant>
        <vt:lpwstr>mailto:ventanilladeradicacion@colombiacompra.gov.co</vt:lpwstr>
      </vt:variant>
      <vt:variant>
        <vt:lpwstr/>
      </vt: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7667781</vt:i4>
      </vt:variant>
      <vt:variant>
        <vt:i4>0</vt:i4>
      </vt:variant>
      <vt:variant>
        <vt:i4>0</vt:i4>
      </vt:variant>
      <vt:variant>
        <vt:i4>5</vt:i4>
      </vt:variant>
      <vt:variant>
        <vt:lpwstr>mailto:nicolas.acevedo@icbf.gov.co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2025-11-19T21:10:00Z</dcterms:created>
  <dcterms:modified xsi:type="dcterms:W3CDTF">2025-11-19T22:49:00Z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