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D56E9" w14:textId="77777777" w:rsidR="00A9029C" w:rsidRPr="00107753" w:rsidRDefault="00A9029C" w:rsidP="00A9029C">
      <w:pPr>
        <w:spacing w:after="0" w:line="240" w:lineRule="auto"/>
        <w:jc w:val="both"/>
        <w:rPr>
          <w:rFonts w:ascii="Verdana" w:eastAsia="Calibri" w:hAnsi="Verdana" w:cs="Arial"/>
          <w:b/>
          <w:lang w:val="es-ES_tradnl"/>
        </w:rPr>
      </w:pPr>
      <w:bookmarkStart w:id="0" w:name="_Hlk143780582"/>
      <w:r w:rsidRPr="00107753">
        <w:rPr>
          <w:rFonts w:ascii="Verdana" w:eastAsia="Calibri" w:hAnsi="Verdana" w:cs="Arial"/>
          <w:b/>
          <w:lang w:val="es-ES_tradnl" w:eastAsia="es-ES_tradnl"/>
        </w:rPr>
        <w:t xml:space="preserve">PUBLICIDAD – SECOP – Entidades exceptuadas </w:t>
      </w:r>
    </w:p>
    <w:p w14:paraId="03CC1DE9" w14:textId="77777777" w:rsidR="00A9029C" w:rsidRDefault="00A9029C" w:rsidP="00A9029C">
      <w:pPr>
        <w:spacing w:after="0" w:line="240" w:lineRule="auto"/>
        <w:jc w:val="both"/>
        <w:rPr>
          <w:rFonts w:ascii="Verdana" w:eastAsia="Calibri" w:hAnsi="Verdana" w:cs="Arial"/>
          <w:b/>
          <w:sz w:val="20"/>
          <w:szCs w:val="20"/>
          <w:lang w:val="es-ES_tradnl"/>
        </w:rPr>
      </w:pPr>
    </w:p>
    <w:p w14:paraId="5E0A5016" w14:textId="75AB91F9" w:rsidR="00A9029C" w:rsidRPr="00A9029C" w:rsidRDefault="00A9029C" w:rsidP="00A9029C">
      <w:pPr>
        <w:spacing w:after="0" w:line="240" w:lineRule="auto"/>
        <w:jc w:val="both"/>
        <w:rPr>
          <w:rFonts w:ascii="Verdana" w:eastAsia="Calibri" w:hAnsi="Verdana" w:cs="Arial"/>
          <w:sz w:val="20"/>
          <w:szCs w:val="20"/>
          <w:lang w:val="es-ES"/>
        </w:rPr>
      </w:pPr>
      <w:r>
        <w:rPr>
          <w:rFonts w:ascii="Verdana" w:eastAsia="Calibri" w:hAnsi="Verdana" w:cs="Arial"/>
          <w:sz w:val="20"/>
          <w:szCs w:val="20"/>
          <w:lang w:val="es-ES"/>
        </w:rPr>
        <w:t>T</w:t>
      </w:r>
      <w:r w:rsidRPr="00A9029C">
        <w:rPr>
          <w:rFonts w:ascii="Verdana" w:eastAsia="Calibri" w:hAnsi="Verdana" w:cs="Arial"/>
          <w:sz w:val="20"/>
          <w:szCs w:val="20"/>
          <w:lang w:val="es-ES"/>
        </w:rPr>
        <w:t>ratándose del deber de publicación de las entidades exceptuadas del Estatuto General de Contratación de la Administración Pública resulta particularmente relevante lo dispuesto en el artículo 53 de la Ley 2195 de 2022, mediante el cual se adiciona el artículo 13 de la Ley 1150 de 2007</w:t>
      </w:r>
    </w:p>
    <w:p w14:paraId="4CAF3C20" w14:textId="77777777" w:rsidR="00A9029C" w:rsidRPr="00107753" w:rsidRDefault="00A9029C" w:rsidP="00A9029C">
      <w:pPr>
        <w:spacing w:after="0" w:line="240" w:lineRule="auto"/>
        <w:jc w:val="both"/>
        <w:rPr>
          <w:rFonts w:ascii="Verdana" w:eastAsia="Calibri" w:hAnsi="Verdana" w:cs="Arial"/>
          <w:color w:val="000000" w:themeColor="text1"/>
          <w:sz w:val="20"/>
          <w:szCs w:val="20"/>
          <w:lang w:val="es-ES_tradnl"/>
        </w:rPr>
      </w:pPr>
    </w:p>
    <w:p w14:paraId="79A2732F" w14:textId="77777777" w:rsidR="00A9029C" w:rsidRPr="00107753" w:rsidRDefault="00A9029C" w:rsidP="00A9029C">
      <w:pPr>
        <w:spacing w:after="0" w:line="240" w:lineRule="auto"/>
        <w:jc w:val="both"/>
        <w:rPr>
          <w:rFonts w:ascii="Verdana" w:eastAsia="Calibri" w:hAnsi="Verdana" w:cs="Arial"/>
          <w:b/>
          <w:lang w:val="es-ES_tradnl" w:eastAsia="es-ES_tradnl"/>
        </w:rPr>
      </w:pPr>
      <w:r w:rsidRPr="00107753">
        <w:rPr>
          <w:rFonts w:ascii="Verdana" w:eastAsia="Calibri" w:hAnsi="Verdana" w:cs="Arial"/>
          <w:b/>
          <w:lang w:val="es-ES_tradnl" w:eastAsia="es-ES_tradnl"/>
        </w:rPr>
        <w:t>PUBLICIDAD – SECOP – Fundamento Normativo – Ley 1712 de 2014 –</w:t>
      </w:r>
      <w:r w:rsidRPr="00107753">
        <w:rPr>
          <w:rFonts w:ascii="Verdana" w:eastAsia="Calibri" w:hAnsi="Verdana" w:cs="Arial"/>
          <w:b/>
          <w:lang w:val="es-ES_tradnl"/>
        </w:rPr>
        <w:t xml:space="preserve"> Decreto 1081 de 2015</w:t>
      </w:r>
      <w:r w:rsidRPr="00107753">
        <w:rPr>
          <w:rFonts w:ascii="Verdana" w:eastAsia="Calibri" w:hAnsi="Verdana" w:cs="Arial"/>
          <w:b/>
          <w:lang w:val="es-ES_tradnl" w:eastAsia="es-ES_tradnl"/>
        </w:rPr>
        <w:t xml:space="preserve"> </w:t>
      </w:r>
    </w:p>
    <w:p w14:paraId="6829D0ED" w14:textId="77777777" w:rsidR="00A9029C" w:rsidRDefault="00A9029C" w:rsidP="00A9029C">
      <w:pPr>
        <w:widowControl w:val="0"/>
        <w:tabs>
          <w:tab w:val="left" w:pos="728"/>
        </w:tabs>
        <w:autoSpaceDE w:val="0"/>
        <w:autoSpaceDN w:val="0"/>
        <w:spacing w:after="120" w:line="276" w:lineRule="auto"/>
        <w:jc w:val="both"/>
        <w:rPr>
          <w:rFonts w:ascii="Verdana" w:eastAsia="Calibri" w:hAnsi="Verdana" w:cs="Arial"/>
          <w:bCs/>
          <w:sz w:val="20"/>
          <w:szCs w:val="20"/>
          <w:lang w:val="es-ES_tradnl"/>
        </w:rPr>
      </w:pPr>
    </w:p>
    <w:p w14:paraId="0EBC5B17" w14:textId="5D2FEED0" w:rsidR="00A9029C" w:rsidRPr="00A9029C" w:rsidRDefault="00A9029C" w:rsidP="00A9029C">
      <w:pPr>
        <w:spacing w:after="0" w:line="240" w:lineRule="auto"/>
        <w:jc w:val="both"/>
        <w:rPr>
          <w:rFonts w:ascii="Verdana" w:eastAsia="Calibri" w:hAnsi="Verdana" w:cs="Arial"/>
          <w:sz w:val="20"/>
          <w:szCs w:val="20"/>
          <w:lang w:val="es-ES_tradnl" w:eastAsia="es-ES_tradnl"/>
        </w:rPr>
      </w:pPr>
      <w:r w:rsidRPr="00A9029C">
        <w:rPr>
          <w:rFonts w:ascii="Verdana" w:eastAsia="Calibri" w:hAnsi="Verdana" w:cs="Arial"/>
          <w:sz w:val="20"/>
          <w:szCs w:val="20"/>
          <w:lang w:val="es-ES_tradnl" w:eastAsia="es-ES_tradnl"/>
        </w:rPr>
        <w:t>La Ley 1712 de 2014, por medio de la cual se crea la Ley de Transparencia y del Derecho de Acceso a la Información Pública Nacional y se dictan otras disposiciones, identifica como principios que orientan el derecho de acceso a la información pública, el principio de máxima publicidad, el principio de transparencia en la información y el principio de buena fe.</w:t>
      </w:r>
    </w:p>
    <w:p w14:paraId="2709B839" w14:textId="77777777" w:rsidR="00A9029C" w:rsidRPr="00A9029C" w:rsidRDefault="00A9029C" w:rsidP="00A9029C">
      <w:pPr>
        <w:spacing w:after="0" w:line="240" w:lineRule="auto"/>
        <w:jc w:val="both"/>
        <w:rPr>
          <w:rFonts w:ascii="Verdana" w:hAnsi="Verdana" w:cs="Arial"/>
        </w:rPr>
      </w:pPr>
    </w:p>
    <w:p w14:paraId="6531E7C9" w14:textId="77777777" w:rsidR="00A9029C" w:rsidRPr="00107753" w:rsidRDefault="00A9029C" w:rsidP="00A9029C">
      <w:pPr>
        <w:spacing w:after="0" w:line="240" w:lineRule="auto"/>
        <w:jc w:val="both"/>
        <w:rPr>
          <w:rFonts w:ascii="Verdana" w:eastAsia="Calibri" w:hAnsi="Verdana" w:cs="Arial"/>
          <w:b/>
          <w:lang w:val="es-ES_tradnl" w:eastAsia="es-ES_tradnl"/>
        </w:rPr>
      </w:pPr>
      <w:r w:rsidRPr="00107753">
        <w:rPr>
          <w:rFonts w:ascii="Verdana" w:eastAsia="Calibri" w:hAnsi="Verdana" w:cs="Arial"/>
          <w:b/>
          <w:lang w:val="es-ES_tradnl" w:eastAsia="es-ES_tradnl"/>
        </w:rPr>
        <w:t xml:space="preserve">PUBLICIDAD – SECOP – Fundamento Normativo – </w:t>
      </w:r>
      <w:r w:rsidRPr="00107753">
        <w:rPr>
          <w:rFonts w:ascii="Verdana" w:eastAsia="Calibri" w:hAnsi="Verdana" w:cs="Arial"/>
          <w:b/>
          <w:lang w:val="es-ES_tradnl"/>
        </w:rPr>
        <w:t xml:space="preserve">Ley 1150 de 2007 - </w:t>
      </w:r>
      <w:r w:rsidRPr="00107753">
        <w:rPr>
          <w:rFonts w:ascii="Verdana" w:eastAsia="Calibri" w:hAnsi="Verdana" w:cs="Arial"/>
          <w:b/>
          <w:lang w:val="es-ES_tradnl" w:eastAsia="es-ES_tradnl"/>
        </w:rPr>
        <w:t xml:space="preserve">Ley 2195 de 2022 </w:t>
      </w:r>
    </w:p>
    <w:p w14:paraId="4696014E" w14:textId="77777777" w:rsidR="00A9029C" w:rsidRPr="00107753" w:rsidRDefault="00A9029C" w:rsidP="00A9029C">
      <w:pPr>
        <w:spacing w:after="0" w:line="240" w:lineRule="auto"/>
        <w:jc w:val="both"/>
        <w:rPr>
          <w:rFonts w:ascii="Verdana" w:eastAsia="Calibri" w:hAnsi="Verdana" w:cs="Arial"/>
          <w:b/>
          <w:sz w:val="20"/>
          <w:szCs w:val="20"/>
          <w:lang w:val="es-ES_tradnl"/>
        </w:rPr>
      </w:pPr>
    </w:p>
    <w:p w14:paraId="6C3C2DD5" w14:textId="77777777" w:rsidR="00425428" w:rsidRDefault="00A9029C" w:rsidP="00425428">
      <w:pPr>
        <w:pStyle w:val="Textoindependiente"/>
        <w:spacing w:line="276" w:lineRule="auto"/>
        <w:jc w:val="both"/>
        <w:rPr>
          <w:rFonts w:ascii="Verdana" w:eastAsia="Calibri" w:hAnsi="Verdana" w:cs="Arial"/>
          <w:sz w:val="20"/>
          <w:szCs w:val="20"/>
          <w:lang w:val="es-ES_tradnl" w:eastAsia="es-ES_tradnl"/>
        </w:rPr>
      </w:pPr>
      <w:r w:rsidRPr="00A9029C">
        <w:rPr>
          <w:rFonts w:ascii="Verdana" w:eastAsia="Calibri" w:hAnsi="Verdana" w:cs="Arial"/>
          <w:sz w:val="20"/>
          <w:szCs w:val="20"/>
          <w:lang w:val="es-ES_tradnl" w:eastAsia="es-ES_tradnl"/>
        </w:rPr>
        <w:t>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Además de lo anterior, es de precisar que el artículo 3 de la Ley 1150 de 2007 ya había establecido que el Sistema Electrónico para la Contratación Pública – SECOP “Contará con la información oficial de la contratación realizada con dineros públicos</w:t>
      </w:r>
      <w:r w:rsidR="00425428">
        <w:rPr>
          <w:rFonts w:eastAsia="Calibri"/>
          <w:sz w:val="20"/>
          <w:szCs w:val="20"/>
          <w:lang w:val="es-ES_tradnl" w:eastAsia="es-ES_tradnl"/>
        </w:rPr>
        <w:t>”</w:t>
      </w:r>
      <w:r w:rsidRPr="00A9029C">
        <w:rPr>
          <w:rFonts w:ascii="Verdana" w:eastAsia="Calibri" w:hAnsi="Verdana" w:cs="Arial"/>
          <w:sz w:val="20"/>
          <w:szCs w:val="20"/>
          <w:lang w:val="es-ES_tradnl" w:eastAsia="es-ES_tradnl"/>
        </w:rPr>
        <w:t>.</w:t>
      </w:r>
    </w:p>
    <w:p w14:paraId="200E4278" w14:textId="77777777" w:rsidR="00425428" w:rsidRDefault="00425428" w:rsidP="00425428">
      <w:pPr>
        <w:pStyle w:val="Textoindependiente"/>
        <w:spacing w:line="276" w:lineRule="auto"/>
        <w:jc w:val="both"/>
        <w:rPr>
          <w:rFonts w:ascii="Verdana" w:eastAsia="Calibri" w:hAnsi="Verdana" w:cs="Arial"/>
          <w:sz w:val="20"/>
          <w:szCs w:val="20"/>
          <w:lang w:val="es-ES_tradnl" w:eastAsia="es-ES_tradnl"/>
        </w:rPr>
      </w:pPr>
    </w:p>
    <w:p w14:paraId="39CCEB90" w14:textId="5BB73F8F" w:rsidR="00A9029C" w:rsidRPr="00A9029C" w:rsidRDefault="00A9029C" w:rsidP="00425428">
      <w:pPr>
        <w:pStyle w:val="Textoindependiente"/>
        <w:spacing w:line="276" w:lineRule="auto"/>
        <w:jc w:val="both"/>
        <w:rPr>
          <w:rFonts w:ascii="Verdana" w:eastAsia="Calibri" w:hAnsi="Verdana" w:cs="Arial"/>
          <w:sz w:val="20"/>
          <w:szCs w:val="20"/>
          <w:lang w:val="es-ES_tradnl" w:eastAsia="es-ES_tradnl"/>
        </w:rPr>
      </w:pPr>
      <w:r w:rsidRPr="00A9029C">
        <w:rPr>
          <w:rFonts w:ascii="Verdana" w:eastAsia="Calibri" w:hAnsi="Verdana" w:cs="Arial"/>
          <w:sz w:val="20"/>
          <w:szCs w:val="20"/>
          <w:lang w:val="es-ES_tradnl" w:eastAsia="es-ES_tradnl"/>
        </w:rPr>
        <w:t>Las anteriores disposiciones normativas fueron complementadas con la expedición de la Ley 2195 de 2022, por medio de la cual se adoptan medidas en materia de transparencia, prevención y lucha contra la corrupción. Según el artículo 1, esta Ley “[…] 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w:t>
      </w:r>
    </w:p>
    <w:p w14:paraId="44E5AE12" w14:textId="77777777" w:rsidR="00A9029C" w:rsidRPr="00A9029C" w:rsidRDefault="00A9029C" w:rsidP="00A9029C">
      <w:pPr>
        <w:spacing w:after="0"/>
        <w:rPr>
          <w:rFonts w:ascii="Verdana" w:eastAsia="Calibri" w:hAnsi="Verdana" w:cs="Arial"/>
          <w:sz w:val="20"/>
          <w:szCs w:val="20"/>
          <w:lang w:val="es-ES_tradnl" w:eastAsia="es-ES_tradnl"/>
        </w:rPr>
      </w:pPr>
    </w:p>
    <w:p w14:paraId="1112FC73" w14:textId="77777777" w:rsidR="00A9029C" w:rsidRDefault="00A9029C" w:rsidP="00C15139">
      <w:pPr>
        <w:spacing w:after="0"/>
        <w:rPr>
          <w:rFonts w:ascii="Verdana" w:hAnsi="Verdana"/>
        </w:rPr>
      </w:pPr>
    </w:p>
    <w:p w14:paraId="57DFAD37" w14:textId="77777777" w:rsidR="00A9029C" w:rsidRDefault="00A9029C" w:rsidP="00C15139">
      <w:pPr>
        <w:spacing w:after="0"/>
        <w:rPr>
          <w:rFonts w:ascii="Verdana" w:hAnsi="Verdana"/>
        </w:rPr>
      </w:pPr>
    </w:p>
    <w:p w14:paraId="467DC6A3" w14:textId="77777777" w:rsidR="00A9029C" w:rsidRDefault="00A9029C" w:rsidP="00C15139">
      <w:pPr>
        <w:spacing w:after="0"/>
        <w:rPr>
          <w:rFonts w:ascii="Verdana" w:hAnsi="Verdana"/>
        </w:rPr>
      </w:pPr>
    </w:p>
    <w:p w14:paraId="6B494BD4" w14:textId="77777777" w:rsidR="00A9029C" w:rsidRDefault="00A9029C" w:rsidP="00C15139">
      <w:pPr>
        <w:spacing w:after="0"/>
        <w:rPr>
          <w:rFonts w:ascii="Verdana" w:hAnsi="Verdana"/>
        </w:rPr>
      </w:pPr>
    </w:p>
    <w:p w14:paraId="6B5F82A9" w14:textId="77777777" w:rsidR="00A9029C" w:rsidRDefault="00A9029C" w:rsidP="00C15139">
      <w:pPr>
        <w:spacing w:after="0"/>
        <w:rPr>
          <w:rFonts w:ascii="Verdana" w:hAnsi="Verdana"/>
        </w:rPr>
      </w:pPr>
    </w:p>
    <w:p w14:paraId="12443EE0" w14:textId="0A9CAFE3" w:rsidR="00C15139" w:rsidRPr="00725A15" w:rsidRDefault="00C15139" w:rsidP="00C15139">
      <w:pPr>
        <w:spacing w:after="0"/>
        <w:rPr>
          <w:rFonts w:ascii="Verdana" w:hAnsi="Verdana"/>
        </w:rPr>
      </w:pPr>
      <w:r w:rsidRPr="00725A15">
        <w:rPr>
          <w:rFonts w:ascii="Verdana" w:hAnsi="Verdana"/>
        </w:rPr>
        <w:t xml:space="preserve">Bogotá D.C., </w:t>
      </w:r>
      <w:r w:rsidR="00A9029C">
        <w:rPr>
          <w:rFonts w:ascii="Verdana" w:hAnsi="Verdana"/>
        </w:rPr>
        <w:t xml:space="preserve">30 </w:t>
      </w:r>
      <w:proofErr w:type="gramStart"/>
      <w:r w:rsidR="00A9029C">
        <w:rPr>
          <w:rFonts w:ascii="Verdana" w:hAnsi="Verdana"/>
        </w:rPr>
        <w:t>Diciembre</w:t>
      </w:r>
      <w:proofErr w:type="gramEnd"/>
      <w:r w:rsidR="00A9029C">
        <w:rPr>
          <w:rFonts w:ascii="Verdana" w:hAnsi="Verdana"/>
        </w:rPr>
        <w:t xml:space="preserve"> 2025</w:t>
      </w:r>
      <w:r w:rsidRPr="00725A15">
        <w:rPr>
          <w:rFonts w:ascii="Verdana" w:hAnsi="Verdana"/>
        </w:rPr>
        <w:tab/>
      </w:r>
      <w:r w:rsidRPr="00725A15">
        <w:rPr>
          <w:rFonts w:ascii="Verdana" w:hAnsi="Verdana"/>
        </w:rPr>
        <w:br/>
      </w:r>
    </w:p>
    <w:p w14:paraId="01AB1523" w14:textId="77777777" w:rsidR="00616202" w:rsidRPr="00725A15" w:rsidRDefault="00616202" w:rsidP="00616202">
      <w:pPr>
        <w:spacing w:after="0" w:line="240" w:lineRule="auto"/>
        <w:jc w:val="both"/>
        <w:rPr>
          <w:rFonts w:ascii="Verdana" w:eastAsia="Calibri" w:hAnsi="Verdana" w:cs="Arial"/>
          <w:lang w:val="es-ES" w:eastAsia="es-ES"/>
        </w:rPr>
      </w:pPr>
      <w:bookmarkStart w:id="1" w:name="_Hlk218015357"/>
      <w:r w:rsidRPr="00725A15">
        <w:rPr>
          <w:rFonts w:ascii="Verdana" w:eastAsia="Calibri" w:hAnsi="Verdana" w:cs="Arial"/>
          <w:lang w:val="es-ES" w:eastAsia="es-ES"/>
        </w:rPr>
        <w:t>Señora</w:t>
      </w:r>
    </w:p>
    <w:p w14:paraId="1B5693F1" w14:textId="77777777" w:rsidR="00616202" w:rsidRPr="00725A15" w:rsidRDefault="00616202" w:rsidP="00616202">
      <w:pPr>
        <w:spacing w:after="0" w:line="240" w:lineRule="auto"/>
        <w:jc w:val="both"/>
        <w:rPr>
          <w:rFonts w:ascii="Verdana" w:eastAsia="Calibri" w:hAnsi="Verdana" w:cs="Arial"/>
          <w:b/>
          <w:lang w:eastAsia="es-ES"/>
        </w:rPr>
      </w:pPr>
      <w:r w:rsidRPr="00725A15">
        <w:rPr>
          <w:rFonts w:ascii="Verdana" w:eastAsia="Calibri" w:hAnsi="Verdana" w:cs="Arial"/>
          <w:b/>
          <w:lang w:eastAsia="es-ES"/>
        </w:rPr>
        <w:t>MÓNICA JULIANA RODRÍGUEZ CASTAÑEDA</w:t>
      </w:r>
    </w:p>
    <w:p w14:paraId="63764F2E" w14:textId="77777777" w:rsidR="00616202" w:rsidRPr="00725A15" w:rsidRDefault="00616202" w:rsidP="00616202">
      <w:pPr>
        <w:spacing w:after="0" w:line="240" w:lineRule="auto"/>
        <w:jc w:val="both"/>
        <w:rPr>
          <w:rFonts w:ascii="Verdana" w:eastAsia="Geomanist Light" w:hAnsi="Verdana" w:cs="Arial"/>
          <w:color w:val="000000" w:themeColor="text1"/>
        </w:rPr>
      </w:pPr>
      <w:r w:rsidRPr="00725A15">
        <w:rPr>
          <w:rFonts w:ascii="Verdana" w:eastAsia="Times New Roman" w:hAnsi="Verdana" w:cs="Calibri"/>
          <w:color w:val="1F4E78"/>
          <w:u w:val="single"/>
          <w:lang w:eastAsia="es-CO"/>
        </w:rPr>
        <w:t>monicarodriguez.abogadafa@gmail.com</w:t>
      </w:r>
      <w:r w:rsidRPr="00725A15">
        <w:rPr>
          <w:rFonts w:ascii="Verdana" w:eastAsia="Geomanist Light" w:hAnsi="Verdana" w:cs="Arial"/>
          <w:color w:val="000000" w:themeColor="text1"/>
        </w:rPr>
        <w:t xml:space="preserve"> </w:t>
      </w:r>
    </w:p>
    <w:p w14:paraId="4CC88541" w14:textId="77777777" w:rsidR="00616202" w:rsidRPr="00725A15" w:rsidRDefault="00616202" w:rsidP="00616202">
      <w:pPr>
        <w:spacing w:after="0" w:line="240" w:lineRule="auto"/>
        <w:jc w:val="both"/>
        <w:rPr>
          <w:rFonts w:ascii="Verdana" w:eastAsia="Calibri" w:hAnsi="Verdana" w:cs="Arial"/>
          <w:lang w:val="it-IT" w:eastAsia="es-ES"/>
        </w:rPr>
      </w:pPr>
      <w:r w:rsidRPr="00725A15">
        <w:rPr>
          <w:rFonts w:ascii="Verdana" w:eastAsia="Geomanist Light" w:hAnsi="Verdana" w:cs="Arial"/>
          <w:color w:val="000000" w:themeColor="text1"/>
          <w:lang w:val="it-IT"/>
        </w:rPr>
        <w:t>Bogotá D.C</w:t>
      </w:r>
    </w:p>
    <w:p w14:paraId="43ACFDE2" w14:textId="77777777" w:rsidR="00616202" w:rsidRDefault="00616202" w:rsidP="00616202">
      <w:pPr>
        <w:spacing w:after="0" w:line="240" w:lineRule="auto"/>
        <w:jc w:val="both"/>
        <w:rPr>
          <w:rFonts w:ascii="Verdana" w:eastAsia="Calibri" w:hAnsi="Verdana" w:cs="Arial"/>
          <w:b/>
          <w:bCs/>
          <w:color w:val="000000"/>
          <w:lang w:val="it-IT" w:eastAsia="es-ES_tradnl"/>
        </w:rPr>
      </w:pPr>
    </w:p>
    <w:p w14:paraId="2C95085E" w14:textId="070FE08E" w:rsidR="00A9029C" w:rsidRDefault="00A9029C" w:rsidP="00A9029C">
      <w:pPr>
        <w:spacing w:after="0" w:line="240" w:lineRule="auto"/>
        <w:jc w:val="right"/>
        <w:rPr>
          <w:rFonts w:ascii="Verdana" w:eastAsia="Calibri" w:hAnsi="Verdana" w:cs="Arial"/>
          <w:b/>
          <w:bCs/>
          <w:color w:val="000000"/>
          <w:lang w:val="it-IT" w:eastAsia="es-ES_tradnl"/>
        </w:rPr>
      </w:pPr>
      <w:r w:rsidRPr="00A9029C">
        <w:rPr>
          <w:rFonts w:ascii="Verdana" w:eastAsia="Calibri" w:hAnsi="Verdana" w:cs="Arial"/>
          <w:b/>
          <w:bCs/>
          <w:noProof/>
          <w:color w:val="000000"/>
          <w:lang w:val="it-IT" w:eastAsia="es-ES_tradnl"/>
        </w:rPr>
        <w:drawing>
          <wp:inline distT="0" distB="0" distL="0" distR="0" wp14:anchorId="07266149" wp14:editId="666EDBC0">
            <wp:extent cx="3772227" cy="1066892"/>
            <wp:effectExtent l="0" t="0" r="0" b="0"/>
            <wp:docPr id="10901184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118477" name=""/>
                    <pic:cNvPicPr/>
                  </pic:nvPicPr>
                  <pic:blipFill>
                    <a:blip r:embed="rId10"/>
                    <a:stretch>
                      <a:fillRect/>
                    </a:stretch>
                  </pic:blipFill>
                  <pic:spPr>
                    <a:xfrm>
                      <a:off x="0" y="0"/>
                      <a:ext cx="3772227" cy="1066892"/>
                    </a:xfrm>
                    <a:prstGeom prst="rect">
                      <a:avLst/>
                    </a:prstGeom>
                  </pic:spPr>
                </pic:pic>
              </a:graphicData>
            </a:graphic>
          </wp:inline>
        </w:drawing>
      </w:r>
    </w:p>
    <w:p w14:paraId="5803895E" w14:textId="77777777" w:rsidR="00A9029C" w:rsidRPr="00725A15" w:rsidRDefault="00A9029C" w:rsidP="00616202">
      <w:pPr>
        <w:spacing w:after="0" w:line="240" w:lineRule="auto"/>
        <w:jc w:val="both"/>
        <w:rPr>
          <w:rFonts w:ascii="Verdana" w:eastAsia="Calibri" w:hAnsi="Verdana" w:cs="Arial"/>
          <w:b/>
          <w:bCs/>
          <w:color w:val="000000"/>
          <w:lang w:val="it-IT"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16202" w:rsidRPr="00725A15" w14:paraId="543B17B6" w14:textId="77777777" w:rsidTr="001724C6">
        <w:trPr>
          <w:trHeight w:val="884"/>
        </w:trPr>
        <w:tc>
          <w:tcPr>
            <w:tcW w:w="2689" w:type="dxa"/>
          </w:tcPr>
          <w:p w14:paraId="7505FFDB" w14:textId="77777777" w:rsidR="00616202" w:rsidRPr="00725A15" w:rsidRDefault="00616202" w:rsidP="001724C6">
            <w:pPr>
              <w:jc w:val="both"/>
              <w:rPr>
                <w:rFonts w:ascii="Verdana" w:eastAsia="Calibri" w:hAnsi="Verdana" w:cs="Arial"/>
                <w:b/>
                <w:bCs/>
                <w:color w:val="7030A0"/>
                <w:lang w:val="it-IT" w:eastAsia="es-ES_tradnl"/>
              </w:rPr>
            </w:pPr>
          </w:p>
        </w:tc>
        <w:tc>
          <w:tcPr>
            <w:tcW w:w="6100" w:type="dxa"/>
          </w:tcPr>
          <w:p w14:paraId="02355CF0" w14:textId="77777777" w:rsidR="00616202" w:rsidRPr="00725A15" w:rsidRDefault="00616202" w:rsidP="001724C6">
            <w:pPr>
              <w:jc w:val="both"/>
              <w:rPr>
                <w:rFonts w:ascii="Verdana" w:eastAsia="Calibri" w:hAnsi="Verdana" w:cs="Arial"/>
                <w:b/>
                <w:bCs/>
                <w:color w:val="7030A0"/>
                <w:lang w:val="es-ES" w:eastAsia="es-ES"/>
              </w:rPr>
            </w:pPr>
            <w:r w:rsidRPr="00725A15">
              <w:rPr>
                <w:rFonts w:ascii="Verdana" w:eastAsia="Calibri" w:hAnsi="Verdana" w:cs="Arial"/>
                <w:b/>
                <w:bCs/>
                <w:lang w:val="es-ES" w:eastAsia="es-ES"/>
              </w:rPr>
              <w:t>Concepto C – 1692 de 2025</w:t>
            </w:r>
          </w:p>
        </w:tc>
      </w:tr>
      <w:tr w:rsidR="00616202" w:rsidRPr="00725A15" w14:paraId="6032B8D3" w14:textId="77777777" w:rsidTr="001724C6">
        <w:trPr>
          <w:trHeight w:val="884"/>
        </w:trPr>
        <w:tc>
          <w:tcPr>
            <w:tcW w:w="2689" w:type="dxa"/>
          </w:tcPr>
          <w:p w14:paraId="7A09879E" w14:textId="77777777" w:rsidR="00616202" w:rsidRPr="00725A15" w:rsidRDefault="00616202" w:rsidP="001724C6">
            <w:pPr>
              <w:jc w:val="both"/>
              <w:rPr>
                <w:rFonts w:ascii="Verdana" w:eastAsia="Calibri" w:hAnsi="Verdana" w:cs="Arial"/>
                <w:color w:val="000000"/>
                <w:lang w:val="es-ES_tradnl" w:eastAsia="es-ES_tradnl"/>
              </w:rPr>
            </w:pPr>
            <w:r w:rsidRPr="00725A15">
              <w:rPr>
                <w:rFonts w:ascii="Verdana" w:eastAsia="Calibri" w:hAnsi="Verdana" w:cs="Arial"/>
                <w:b/>
                <w:color w:val="000000"/>
                <w:lang w:val="es-ES_tradnl" w:eastAsia="es-ES_tradnl"/>
              </w:rPr>
              <w:t>Temas:</w:t>
            </w:r>
            <w:r w:rsidRPr="00725A15">
              <w:rPr>
                <w:rFonts w:ascii="Verdana" w:eastAsia="Calibri" w:hAnsi="Verdana" w:cs="Arial"/>
                <w:color w:val="000000"/>
                <w:lang w:val="es-ES_tradnl" w:eastAsia="es-ES_tradnl"/>
              </w:rPr>
              <w:t xml:space="preserve">                   </w:t>
            </w:r>
          </w:p>
        </w:tc>
        <w:tc>
          <w:tcPr>
            <w:tcW w:w="6100" w:type="dxa"/>
          </w:tcPr>
          <w:p w14:paraId="5AA4BBD2" w14:textId="77777777" w:rsidR="00616202" w:rsidRPr="00725A15" w:rsidRDefault="00616202" w:rsidP="001724C6">
            <w:pPr>
              <w:jc w:val="both"/>
              <w:rPr>
                <w:rFonts w:ascii="Verdana" w:eastAsia="Calibri" w:hAnsi="Verdana" w:cs="Arial"/>
                <w:bCs/>
                <w:lang w:val="es-ES_tradnl" w:eastAsia="es-ES_tradnl"/>
              </w:rPr>
            </w:pPr>
            <w:r w:rsidRPr="00725A15">
              <w:rPr>
                <w:rFonts w:ascii="Verdana" w:eastAsia="Calibri" w:hAnsi="Verdana" w:cs="Arial"/>
                <w:bCs/>
                <w:lang w:val="es-ES_tradnl" w:eastAsia="es-ES_tradnl"/>
              </w:rPr>
              <w:t>PUBLICIDAD – SECOP – Entidades exceptuadas / PUBLICIDAD – SECOP – Fundamento Normativo – Ley 1712 de 2014 –</w:t>
            </w:r>
            <w:r w:rsidRPr="00725A15">
              <w:rPr>
                <w:rFonts w:ascii="Verdana" w:eastAsia="Calibri" w:hAnsi="Verdana" w:cs="Arial"/>
                <w:bCs/>
                <w:lang w:val="es-ES_tradnl"/>
              </w:rPr>
              <w:t xml:space="preserve"> Decreto 1081 de 2015</w:t>
            </w:r>
            <w:r w:rsidRPr="00725A15">
              <w:rPr>
                <w:rFonts w:ascii="Verdana" w:eastAsia="Calibri" w:hAnsi="Verdana" w:cs="Arial"/>
                <w:bCs/>
                <w:lang w:val="es-ES_tradnl" w:eastAsia="es-ES_tradnl"/>
              </w:rPr>
              <w:t xml:space="preserve"> / PUBLICIDAD – SECOP – Fundamento Normativo – </w:t>
            </w:r>
            <w:r w:rsidRPr="00725A15">
              <w:rPr>
                <w:rFonts w:ascii="Verdana" w:eastAsia="Calibri" w:hAnsi="Verdana" w:cs="Arial"/>
                <w:bCs/>
                <w:lang w:val="es-ES_tradnl"/>
              </w:rPr>
              <w:t xml:space="preserve">Ley 1150 de 2007 - </w:t>
            </w:r>
            <w:r w:rsidRPr="00725A15">
              <w:rPr>
                <w:rFonts w:ascii="Verdana" w:eastAsia="Calibri" w:hAnsi="Verdana" w:cs="Arial"/>
                <w:bCs/>
                <w:lang w:val="es-ES_tradnl" w:eastAsia="es-ES_tradnl"/>
              </w:rPr>
              <w:t xml:space="preserve">Ley 2195 de 2022 </w:t>
            </w:r>
          </w:p>
          <w:p w14:paraId="7CC65834" w14:textId="77777777" w:rsidR="00616202" w:rsidRPr="00725A15" w:rsidRDefault="00616202" w:rsidP="001724C6">
            <w:pPr>
              <w:spacing w:line="276" w:lineRule="auto"/>
              <w:jc w:val="both"/>
              <w:rPr>
                <w:rFonts w:ascii="Verdana" w:eastAsia="Calibri" w:hAnsi="Verdana" w:cs="Arial"/>
                <w:lang w:val="es-ES" w:eastAsia="es-ES"/>
              </w:rPr>
            </w:pPr>
            <w:r w:rsidRPr="00725A15">
              <w:rPr>
                <w:rFonts w:ascii="Verdana" w:eastAsia="Calibri" w:hAnsi="Verdana" w:cs="Arial"/>
                <w:lang w:val="es-ES" w:eastAsia="es-ES"/>
              </w:rPr>
              <w:t xml:space="preserve">  </w:t>
            </w:r>
          </w:p>
        </w:tc>
      </w:tr>
      <w:tr w:rsidR="00616202" w:rsidRPr="00725A15" w14:paraId="6513B312" w14:textId="77777777" w:rsidTr="001724C6">
        <w:tc>
          <w:tcPr>
            <w:tcW w:w="2689" w:type="dxa"/>
          </w:tcPr>
          <w:p w14:paraId="14E97343" w14:textId="77777777" w:rsidR="00616202" w:rsidRPr="00725A15" w:rsidRDefault="00616202" w:rsidP="001724C6">
            <w:pPr>
              <w:jc w:val="both"/>
              <w:rPr>
                <w:rFonts w:ascii="Verdana" w:eastAsia="Calibri" w:hAnsi="Verdana" w:cs="Arial"/>
                <w:b/>
                <w:lang w:val="es-ES_tradnl" w:eastAsia="es-ES_tradnl"/>
              </w:rPr>
            </w:pPr>
            <w:r w:rsidRPr="00725A15">
              <w:rPr>
                <w:rFonts w:ascii="Verdana" w:eastAsia="Calibri" w:hAnsi="Verdana" w:cs="Arial"/>
                <w:b/>
                <w:lang w:val="es-ES_tradnl" w:eastAsia="es-ES_tradnl"/>
              </w:rPr>
              <w:t>Radicación:</w:t>
            </w:r>
            <w:r w:rsidRPr="00725A15">
              <w:rPr>
                <w:rFonts w:ascii="Verdana" w:eastAsia="Calibri" w:hAnsi="Verdana" w:cs="Arial"/>
                <w:lang w:val="es-ES_tradnl" w:eastAsia="es-ES_tradnl"/>
              </w:rPr>
              <w:t xml:space="preserve">               </w:t>
            </w:r>
          </w:p>
        </w:tc>
        <w:tc>
          <w:tcPr>
            <w:tcW w:w="6100" w:type="dxa"/>
          </w:tcPr>
          <w:p w14:paraId="5AF78770" w14:textId="5189DDE4" w:rsidR="00616202" w:rsidRPr="00725A15" w:rsidRDefault="00616202" w:rsidP="001724C6">
            <w:pPr>
              <w:spacing w:line="276" w:lineRule="auto"/>
              <w:jc w:val="both"/>
              <w:rPr>
                <w:rFonts w:ascii="Verdana" w:eastAsia="Calibri" w:hAnsi="Verdana" w:cs="Arial"/>
                <w:lang w:eastAsia="es-ES_tradnl"/>
              </w:rPr>
            </w:pPr>
            <w:r w:rsidRPr="00725A15">
              <w:rPr>
                <w:rFonts w:ascii="Verdana" w:eastAsia="Calibri" w:hAnsi="Verdana" w:cs="Arial"/>
                <w:lang w:val="es-ES_tradnl" w:eastAsia="es-ES_tradnl"/>
              </w:rPr>
              <w:t xml:space="preserve">Respuesta a la consulta con radicado No. </w:t>
            </w:r>
            <w:r w:rsidRPr="00725A15">
              <w:rPr>
                <w:rFonts w:ascii="Verdana" w:eastAsia="Calibri" w:hAnsi="Verdana" w:cs="Arial"/>
                <w:lang w:eastAsia="es-ES_tradnl"/>
              </w:rPr>
              <w:t>1_2025_11_14_012901</w:t>
            </w:r>
            <w:r w:rsidR="0056680B">
              <w:rPr>
                <w:rFonts w:ascii="Verdana" w:eastAsia="Calibri" w:hAnsi="Verdana" w:cs="Arial"/>
                <w:lang w:val="es-ES_tradnl" w:eastAsia="es-ES_tradnl"/>
              </w:rPr>
              <w:t xml:space="preserve"> </w:t>
            </w:r>
          </w:p>
        </w:tc>
      </w:tr>
    </w:tbl>
    <w:p w14:paraId="3FC99C25" w14:textId="77777777" w:rsidR="00616202" w:rsidRPr="00725A15" w:rsidRDefault="00616202" w:rsidP="00616202">
      <w:pPr>
        <w:spacing w:after="0" w:line="240" w:lineRule="auto"/>
        <w:jc w:val="both"/>
        <w:rPr>
          <w:rFonts w:ascii="Verdana" w:eastAsia="Calibri" w:hAnsi="Verdana" w:cs="Arial"/>
          <w:color w:val="000000"/>
          <w:lang w:val="es-ES_tradnl" w:eastAsia="es-ES_tradnl"/>
        </w:rPr>
      </w:pPr>
    </w:p>
    <w:p w14:paraId="347812C8" w14:textId="77777777" w:rsidR="00616202" w:rsidRPr="00725A15" w:rsidRDefault="00616202" w:rsidP="00616202">
      <w:pPr>
        <w:spacing w:after="0" w:line="240" w:lineRule="auto"/>
        <w:jc w:val="both"/>
        <w:rPr>
          <w:rFonts w:ascii="Verdana" w:eastAsia="Calibri" w:hAnsi="Verdana" w:cs="Arial"/>
          <w:color w:val="000000"/>
          <w:lang w:val="es-ES_tradnl" w:eastAsia="es-ES_tradnl"/>
        </w:rPr>
      </w:pPr>
    </w:p>
    <w:p w14:paraId="7D75463D" w14:textId="77777777" w:rsidR="00616202" w:rsidRPr="00725A15" w:rsidRDefault="00616202" w:rsidP="00616202">
      <w:pPr>
        <w:spacing w:after="0" w:line="276" w:lineRule="auto"/>
        <w:jc w:val="both"/>
        <w:rPr>
          <w:rFonts w:ascii="Verdana" w:eastAsia="Calibri" w:hAnsi="Verdana" w:cs="Arial"/>
          <w:lang w:val="es-ES" w:eastAsia="es-ES"/>
        </w:rPr>
      </w:pPr>
      <w:r w:rsidRPr="00725A15">
        <w:rPr>
          <w:rFonts w:ascii="Verdana" w:eastAsia="Calibri" w:hAnsi="Verdana" w:cs="Arial"/>
          <w:lang w:val="es-ES" w:eastAsia="es-ES"/>
        </w:rPr>
        <w:t xml:space="preserve">Estimada señora Rodriguez: </w:t>
      </w:r>
    </w:p>
    <w:p w14:paraId="17148C39" w14:textId="77777777" w:rsidR="00616202" w:rsidRPr="00725A15" w:rsidRDefault="00616202" w:rsidP="00616202">
      <w:pPr>
        <w:tabs>
          <w:tab w:val="left" w:pos="3768"/>
        </w:tabs>
        <w:spacing w:after="0" w:line="276" w:lineRule="auto"/>
        <w:jc w:val="both"/>
        <w:rPr>
          <w:rFonts w:ascii="Verdana" w:eastAsia="Calibri" w:hAnsi="Verdana" w:cs="Arial"/>
          <w:color w:val="000000" w:themeColor="text1"/>
          <w:lang w:val="es-ES" w:eastAsia="es-ES"/>
        </w:rPr>
      </w:pPr>
      <w:r w:rsidRPr="00725A15">
        <w:rPr>
          <w:rFonts w:ascii="Verdana" w:eastAsia="Calibri" w:hAnsi="Verdana" w:cs="Arial"/>
          <w:color w:val="000000" w:themeColor="text1"/>
          <w:lang w:val="es-ES" w:eastAsia="es-ES"/>
        </w:rPr>
        <w:tab/>
      </w:r>
    </w:p>
    <w:p w14:paraId="0A541624" w14:textId="366B11E6" w:rsidR="00616202" w:rsidRPr="00725A15" w:rsidRDefault="00616202" w:rsidP="00616202">
      <w:pPr>
        <w:spacing w:after="0" w:line="276" w:lineRule="auto"/>
        <w:jc w:val="both"/>
        <w:rPr>
          <w:rFonts w:ascii="Verdana" w:eastAsia="Calibri" w:hAnsi="Verdana" w:cs="Arial"/>
          <w:color w:val="7030A0"/>
          <w:lang w:val="es-ES" w:eastAsia="es-ES"/>
        </w:rPr>
      </w:pPr>
      <w:r w:rsidRPr="00725A15">
        <w:rPr>
          <w:rFonts w:ascii="Verdana" w:eastAsia="Calibri" w:hAnsi="Verdana" w:cs="Arial"/>
          <w:color w:val="000000" w:themeColor="text1"/>
          <w:lang w:val="es-ES" w:eastAsia="es-ES"/>
        </w:rPr>
        <w:t>En ejercicio de la competencia otorgada por los artículos 3, numeral 5º, y 11, numeral 8º, del Decreto Ley 4170 de 2011,</w:t>
      </w:r>
      <w:r w:rsidRPr="00725A15">
        <w:rPr>
          <w:rFonts w:ascii="Verdana" w:eastAsia="Arial MT" w:hAnsi="Verdana" w:cs="Arial MT"/>
          <w:lang w:val="es-ES" w:eastAsia="es-ES"/>
        </w:rPr>
        <w:t xml:space="preserve"> </w:t>
      </w:r>
      <w:r w:rsidRPr="00725A15">
        <w:rPr>
          <w:rFonts w:ascii="Verdana" w:hAnsi="Verdana" w:cs="Arial"/>
        </w:rPr>
        <w:t xml:space="preserve">así como lo establecido en el artículo 4 de la Resolución 1707 de 2018 expedida por esta Entidad, </w:t>
      </w:r>
      <w:r w:rsidRPr="00725A15">
        <w:rPr>
          <w:rFonts w:ascii="Verdana" w:eastAsia="Calibri" w:hAnsi="Verdana" w:cs="Arial"/>
          <w:color w:val="000000" w:themeColor="text1"/>
          <w:lang w:val="es-ES" w:eastAsia="es-ES"/>
        </w:rPr>
        <w:t xml:space="preserve">la Agencia Nacional de Contratación Pública – Colombia Compra Eficiente responde la solicitud de consulta de </w:t>
      </w:r>
      <w:r w:rsidRPr="00725A15">
        <w:rPr>
          <w:rFonts w:ascii="Verdana" w:eastAsia="Calibri" w:hAnsi="Verdana" w:cs="Arial"/>
          <w:lang w:val="es-ES" w:eastAsia="es-ES"/>
        </w:rPr>
        <w:t>fecha 21 de octubre de 2025 frente a la Contraloría General de la República, remitida por competencia a esta entidad –conforme al artículo 21 de la Ley 1437 de 2011– mediante correo electrónico del 14 de noviembre de la presente anualidad,</w:t>
      </w:r>
      <w:r w:rsidR="0056680B">
        <w:rPr>
          <w:rFonts w:ascii="Verdana" w:eastAsia="Calibri" w:hAnsi="Verdana" w:cs="Arial"/>
          <w:lang w:val="es-ES" w:eastAsia="es-ES"/>
        </w:rPr>
        <w:t xml:space="preserve"> reiterado el 17 de diciembre,</w:t>
      </w:r>
      <w:r w:rsidRPr="00725A15">
        <w:rPr>
          <w:rFonts w:ascii="Verdana" w:eastAsia="Calibri" w:hAnsi="Verdana" w:cs="Arial"/>
          <w:lang w:val="es-ES" w:eastAsia="es-ES"/>
        </w:rPr>
        <w:t xml:space="preserve"> en la cual plantea que: </w:t>
      </w:r>
    </w:p>
    <w:p w14:paraId="56E215BB" w14:textId="77777777" w:rsidR="00616202" w:rsidRPr="00725A15" w:rsidRDefault="00616202" w:rsidP="00616202">
      <w:pPr>
        <w:pStyle w:val="Prrafodelista"/>
        <w:tabs>
          <w:tab w:val="left" w:pos="142"/>
          <w:tab w:val="left" w:pos="284"/>
        </w:tabs>
        <w:spacing w:after="0" w:line="276" w:lineRule="auto"/>
        <w:ind w:left="0"/>
        <w:jc w:val="both"/>
        <w:rPr>
          <w:rFonts w:ascii="Verdana" w:eastAsia="Century Gothic" w:hAnsi="Verdana" w:cs="Century Gothic"/>
          <w:b/>
          <w:bCs/>
        </w:rPr>
      </w:pPr>
    </w:p>
    <w:p w14:paraId="3A6878AE" w14:textId="77777777" w:rsidR="00616202" w:rsidRPr="00725A15" w:rsidRDefault="00616202" w:rsidP="00616202">
      <w:pPr>
        <w:spacing w:after="0" w:line="240" w:lineRule="auto"/>
        <w:ind w:left="709" w:right="709"/>
        <w:jc w:val="both"/>
        <w:rPr>
          <w:rFonts w:ascii="Verdana" w:eastAsia="Century Gothic" w:hAnsi="Verdana" w:cs="Century Gothic"/>
          <w:sz w:val="21"/>
          <w:szCs w:val="21"/>
        </w:rPr>
      </w:pPr>
      <w:r w:rsidRPr="00725A15">
        <w:rPr>
          <w:rFonts w:ascii="Verdana" w:eastAsia="Century Gothic" w:hAnsi="Verdana" w:cs="Century Gothic"/>
        </w:rPr>
        <w:lastRenderedPageBreak/>
        <w:t>“</w:t>
      </w:r>
      <w:r w:rsidRPr="00725A15">
        <w:rPr>
          <w:rFonts w:ascii="Verdana" w:eastAsia="Century Gothic" w:hAnsi="Verdana" w:cs="Century Gothic"/>
          <w:sz w:val="21"/>
          <w:szCs w:val="21"/>
        </w:rPr>
        <w:t xml:space="preserve">En atención a lo dispuesto en la Ley 2195 de 2022, al establecer lo siguiente: “Artículo 53. Adiciónese los siguientes incisos al artículo 13 de la Ley 1150 de 2007, el cual quedará así: </w:t>
      </w:r>
    </w:p>
    <w:p w14:paraId="54EA8B91" w14:textId="77777777" w:rsidR="00616202" w:rsidRPr="00725A15" w:rsidRDefault="00616202" w:rsidP="00616202">
      <w:pPr>
        <w:spacing w:after="0" w:line="240" w:lineRule="auto"/>
        <w:ind w:left="709" w:right="709"/>
        <w:jc w:val="both"/>
        <w:rPr>
          <w:rFonts w:ascii="Verdana" w:eastAsia="Century Gothic" w:hAnsi="Verdana" w:cs="Century Gothic"/>
          <w:sz w:val="21"/>
          <w:szCs w:val="21"/>
        </w:rPr>
      </w:pPr>
    </w:p>
    <w:p w14:paraId="44F92A25" w14:textId="77777777" w:rsidR="00616202" w:rsidRPr="00725A15" w:rsidRDefault="00616202" w:rsidP="00616202">
      <w:pPr>
        <w:spacing w:after="0" w:line="240" w:lineRule="auto"/>
        <w:ind w:left="709" w:right="709"/>
        <w:jc w:val="both"/>
        <w:rPr>
          <w:rFonts w:ascii="Verdana" w:eastAsia="Century Gothic" w:hAnsi="Verdana" w:cs="Century Gothic"/>
          <w:sz w:val="21"/>
          <w:szCs w:val="21"/>
        </w:rPr>
      </w:pPr>
      <w:r w:rsidRPr="00725A15">
        <w:rPr>
          <w:rFonts w:ascii="Verdana" w:eastAsia="Century Gothic" w:hAnsi="Verdana" w:cs="Century Gothic"/>
          <w:sz w:val="21"/>
          <w:szCs w:val="21"/>
        </w:rPr>
        <w:t xml:space="preserve">Artículo 13. 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 </w:t>
      </w:r>
    </w:p>
    <w:p w14:paraId="25D29992" w14:textId="77777777" w:rsidR="00616202" w:rsidRPr="00725A15" w:rsidRDefault="00616202" w:rsidP="00616202">
      <w:pPr>
        <w:spacing w:after="0" w:line="240" w:lineRule="auto"/>
        <w:ind w:left="709" w:right="709"/>
        <w:jc w:val="both"/>
        <w:rPr>
          <w:rFonts w:ascii="Verdana" w:eastAsia="Century Gothic" w:hAnsi="Verdana" w:cs="Century Gothic"/>
          <w:sz w:val="21"/>
          <w:szCs w:val="21"/>
        </w:rPr>
      </w:pPr>
    </w:p>
    <w:p w14:paraId="1B5A3E7F" w14:textId="77777777" w:rsidR="00616202" w:rsidRPr="00725A15" w:rsidRDefault="00616202" w:rsidP="00616202">
      <w:pPr>
        <w:spacing w:after="0" w:line="240" w:lineRule="auto"/>
        <w:ind w:left="709" w:right="709"/>
        <w:jc w:val="both"/>
        <w:rPr>
          <w:rFonts w:ascii="Verdana" w:eastAsia="Century Gothic" w:hAnsi="Verdana" w:cs="Century Gothic"/>
          <w:sz w:val="21"/>
          <w:szCs w:val="21"/>
        </w:rPr>
      </w:pPr>
      <w:r w:rsidRPr="00725A15">
        <w:rPr>
          <w:rFonts w:ascii="Verdana" w:eastAsia="Century Gothic" w:hAnsi="Verdana" w:cs="Century Gothic"/>
          <w:sz w:val="21"/>
          <w:szCs w:val="21"/>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725A15">
        <w:rPr>
          <w:rFonts w:ascii="Verdana" w:eastAsia="Century Gothic" w:hAnsi="Verdana" w:cs="Century Gothic"/>
          <w:sz w:val="21"/>
          <w:szCs w:val="21"/>
        </w:rPr>
        <w:t>postcontractual</w:t>
      </w:r>
      <w:proofErr w:type="spellEnd"/>
      <w:r w:rsidRPr="00725A15">
        <w:rPr>
          <w:rFonts w:ascii="Verdana" w:eastAsia="Century Gothic" w:hAnsi="Verdana" w:cs="Century Gothic"/>
          <w:sz w:val="21"/>
          <w:szCs w:val="21"/>
        </w:rPr>
        <w:t xml:space="preserve">. A partir de la </w:t>
      </w:r>
      <w:proofErr w:type="gramStart"/>
      <w:r w:rsidRPr="00725A15">
        <w:rPr>
          <w:rFonts w:ascii="Verdana" w:eastAsia="Century Gothic" w:hAnsi="Verdana" w:cs="Century Gothic"/>
          <w:sz w:val="21"/>
          <w:szCs w:val="21"/>
        </w:rPr>
        <w:t>entrada en vigencia</w:t>
      </w:r>
      <w:proofErr w:type="gramEnd"/>
      <w:r w:rsidRPr="00725A15">
        <w:rPr>
          <w:rFonts w:ascii="Verdana" w:eastAsia="Century Gothic" w:hAnsi="Verdana" w:cs="Century Gothic"/>
          <w:sz w:val="21"/>
          <w:szCs w:val="21"/>
        </w:rPr>
        <w:t xml:space="preserve"> de la presente Ley, se establecerá un periodo de transición de seis (6) meses, para que las entidades den cumplimiento efectivo a lo aquí establecido.” (Negrilla y subrayado fuera del texto) La ley, y en particular el artículo previamente mencionado, detalla los documentos sobre los cuales recae la obligación de publicación en la plataforma SECOP II. No obstante, de acuerdo con dicho contenido, no se evidencia que la norma, y especialmente el artículo 53 de la Ley 2195 de 2022, haga referencia de manera taxativa al término para la publicación en dicha plataforma. </w:t>
      </w:r>
    </w:p>
    <w:p w14:paraId="701C5A69" w14:textId="77777777" w:rsidR="00616202" w:rsidRPr="00725A15" w:rsidRDefault="00616202" w:rsidP="00616202">
      <w:pPr>
        <w:spacing w:after="0" w:line="240" w:lineRule="auto"/>
        <w:ind w:left="709" w:right="709"/>
        <w:jc w:val="both"/>
        <w:rPr>
          <w:rFonts w:ascii="Verdana" w:eastAsia="Century Gothic" w:hAnsi="Verdana" w:cs="Century Gothic"/>
          <w:sz w:val="21"/>
          <w:szCs w:val="21"/>
        </w:rPr>
      </w:pPr>
    </w:p>
    <w:p w14:paraId="0AC56AE7" w14:textId="77777777" w:rsidR="00616202" w:rsidRPr="00725A15" w:rsidRDefault="00616202" w:rsidP="00616202">
      <w:pPr>
        <w:spacing w:after="0" w:line="240" w:lineRule="auto"/>
        <w:ind w:left="709" w:right="709"/>
        <w:jc w:val="both"/>
        <w:rPr>
          <w:rFonts w:ascii="Verdana" w:eastAsia="Century Gothic" w:hAnsi="Verdana" w:cs="Century Gothic"/>
          <w:sz w:val="21"/>
          <w:szCs w:val="21"/>
        </w:rPr>
      </w:pPr>
      <w:r w:rsidRPr="00725A15">
        <w:rPr>
          <w:rFonts w:ascii="Verdana" w:eastAsia="Century Gothic" w:hAnsi="Verdana" w:cs="Century Gothic"/>
          <w:sz w:val="21"/>
          <w:szCs w:val="21"/>
        </w:rPr>
        <w:t xml:space="preserve">De esta manera, ¿debe entenderse que las empresas o entidades sometidas a régimen exceptuado pueden realizar la publicación en la plataforma SECOP II dentro del término que consideren prudente para efectuar dicha actividad? ¿Es válido interpretar el artículo 53 de la Ley 2195 de 2022 a partir de la consideración anteriormente expuesta? </w:t>
      </w:r>
    </w:p>
    <w:p w14:paraId="52A2E407" w14:textId="77777777" w:rsidR="00616202" w:rsidRPr="00725A15" w:rsidRDefault="00616202" w:rsidP="00616202">
      <w:pPr>
        <w:spacing w:after="0" w:line="240" w:lineRule="auto"/>
        <w:ind w:left="709" w:right="709"/>
        <w:jc w:val="both"/>
        <w:rPr>
          <w:rFonts w:ascii="Verdana" w:eastAsia="Century Gothic" w:hAnsi="Verdana" w:cs="Century Gothic"/>
          <w:sz w:val="21"/>
          <w:szCs w:val="21"/>
        </w:rPr>
      </w:pPr>
    </w:p>
    <w:p w14:paraId="4E12BEA7" w14:textId="77777777" w:rsidR="00616202" w:rsidRPr="00725A15" w:rsidRDefault="00616202" w:rsidP="00616202">
      <w:pPr>
        <w:spacing w:after="0" w:line="240" w:lineRule="auto"/>
        <w:ind w:left="709" w:right="709"/>
        <w:jc w:val="both"/>
        <w:rPr>
          <w:rFonts w:ascii="Verdana" w:eastAsia="Century Gothic" w:hAnsi="Verdana" w:cs="Century Gothic"/>
          <w:sz w:val="21"/>
          <w:szCs w:val="21"/>
        </w:rPr>
      </w:pPr>
      <w:r w:rsidRPr="00725A15">
        <w:rPr>
          <w:rFonts w:ascii="Verdana" w:eastAsia="Century Gothic" w:hAnsi="Verdana" w:cs="Century Gothic"/>
          <w:sz w:val="21"/>
          <w:szCs w:val="21"/>
        </w:rPr>
        <w:t xml:space="preserve">2. Sin perjuicio de lo anterior, lo cierto es que el decreto 1082 de 2015 dispuso el término con el que cuentan las entidades estatales para publicar su actividad contractual en la plataforma SECOP II así: “ARTÍCULO 2.2.1.1.1.7.1. Publicidad en el SECOP. La Entidad Estatal </w:t>
      </w:r>
      <w:r w:rsidRPr="00725A15">
        <w:rPr>
          <w:rFonts w:ascii="Verdana" w:eastAsia="Century Gothic" w:hAnsi="Verdana" w:cs="Century Gothic"/>
          <w:sz w:val="21"/>
          <w:szCs w:val="21"/>
        </w:rPr>
        <w:lastRenderedPageBreak/>
        <w:t xml:space="preserve">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 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 (Negrilla y subrayado fuera del texto) Este decreto </w:t>
      </w:r>
      <w:proofErr w:type="gramStart"/>
      <w:r w:rsidRPr="00725A15">
        <w:rPr>
          <w:rFonts w:ascii="Verdana" w:eastAsia="Century Gothic" w:hAnsi="Verdana" w:cs="Century Gothic"/>
          <w:sz w:val="21"/>
          <w:szCs w:val="21"/>
        </w:rPr>
        <w:t>entró en vigencia</w:t>
      </w:r>
      <w:proofErr w:type="gramEnd"/>
      <w:r w:rsidRPr="00725A15">
        <w:rPr>
          <w:rFonts w:ascii="Verdana" w:eastAsia="Century Gothic" w:hAnsi="Verdana" w:cs="Century Gothic"/>
          <w:sz w:val="21"/>
          <w:szCs w:val="21"/>
        </w:rPr>
        <w:t xml:space="preserve"> siete (7) años antes de la promulgación de la Ley 2195 de 2022. </w:t>
      </w:r>
    </w:p>
    <w:p w14:paraId="4028EBE7" w14:textId="77777777" w:rsidR="00616202" w:rsidRPr="00725A15" w:rsidRDefault="00616202" w:rsidP="00616202">
      <w:pPr>
        <w:spacing w:after="0" w:line="240" w:lineRule="auto"/>
        <w:ind w:left="709" w:right="709"/>
        <w:jc w:val="both"/>
        <w:rPr>
          <w:rFonts w:ascii="Verdana" w:eastAsia="Century Gothic" w:hAnsi="Verdana" w:cs="Century Gothic"/>
          <w:sz w:val="21"/>
          <w:szCs w:val="21"/>
        </w:rPr>
      </w:pPr>
    </w:p>
    <w:p w14:paraId="7CEED195" w14:textId="77777777" w:rsidR="00616202" w:rsidRPr="00725A15" w:rsidRDefault="00616202" w:rsidP="00616202">
      <w:pPr>
        <w:spacing w:after="0" w:line="240" w:lineRule="auto"/>
        <w:ind w:left="709" w:right="709"/>
        <w:jc w:val="both"/>
        <w:rPr>
          <w:rFonts w:ascii="Verdana" w:eastAsia="Century Gothic" w:hAnsi="Verdana" w:cs="Century Gothic"/>
          <w:sz w:val="21"/>
          <w:szCs w:val="21"/>
        </w:rPr>
      </w:pPr>
      <w:proofErr w:type="gramStart"/>
      <w:r w:rsidRPr="00725A15">
        <w:rPr>
          <w:rFonts w:ascii="Verdana" w:eastAsia="Century Gothic" w:hAnsi="Verdana" w:cs="Century Gothic"/>
          <w:sz w:val="21"/>
          <w:szCs w:val="21"/>
        </w:rPr>
        <w:t>¿El artículo 53 de la Ley 2195 de 2022 debe aplicarse en concordancia con lo dispuesto en el artículo 2.</w:t>
      </w:r>
      <w:proofErr w:type="gramEnd"/>
      <w:r w:rsidRPr="00725A15">
        <w:rPr>
          <w:rFonts w:ascii="Verdana" w:eastAsia="Century Gothic" w:hAnsi="Verdana" w:cs="Century Gothic"/>
          <w:sz w:val="21"/>
          <w:szCs w:val="21"/>
        </w:rPr>
        <w:t xml:space="preserve">2.1.1.1.7.1 del Decreto 1082 de 2015? Aun teniendo en cuenta </w:t>
      </w:r>
      <w:proofErr w:type="gramStart"/>
      <w:r w:rsidRPr="00725A15">
        <w:rPr>
          <w:rFonts w:ascii="Verdana" w:eastAsia="Century Gothic" w:hAnsi="Verdana" w:cs="Century Gothic"/>
          <w:sz w:val="21"/>
          <w:szCs w:val="21"/>
        </w:rPr>
        <w:t>que</w:t>
      </w:r>
      <w:proofErr w:type="gramEnd"/>
      <w:r w:rsidRPr="00725A15">
        <w:rPr>
          <w:rFonts w:ascii="Verdana" w:eastAsia="Century Gothic" w:hAnsi="Verdana" w:cs="Century Gothic"/>
          <w:sz w:val="21"/>
          <w:szCs w:val="21"/>
        </w:rPr>
        <w:t xml:space="preserve"> en el decreto, en la Subsección 7 -Publicidad-, se establece su aplicación a las entidades estatales que se encuentran totalmente sometidas al Estatuto General de Contratación de la Administración Pública, no se hace una referencia taxativa a dicha vinculación normativa respecto de las empresas o entidades con capital mixto, las empresas de servicios públicos domiciliarios y demás organizaciones sometidas a régimen exceptuado. </w:t>
      </w:r>
    </w:p>
    <w:p w14:paraId="70EB4B12" w14:textId="77777777" w:rsidR="00616202" w:rsidRPr="00725A15" w:rsidRDefault="00616202" w:rsidP="00616202">
      <w:pPr>
        <w:spacing w:after="0" w:line="240" w:lineRule="auto"/>
        <w:ind w:left="709" w:right="709"/>
        <w:jc w:val="both"/>
        <w:rPr>
          <w:rFonts w:ascii="Verdana" w:eastAsia="Century Gothic" w:hAnsi="Verdana" w:cs="Century Gothic"/>
          <w:sz w:val="21"/>
          <w:szCs w:val="21"/>
        </w:rPr>
      </w:pPr>
    </w:p>
    <w:p w14:paraId="0DABDAD1" w14:textId="77777777" w:rsidR="00616202" w:rsidRPr="00725A15" w:rsidRDefault="00616202" w:rsidP="00616202">
      <w:pPr>
        <w:spacing w:after="0" w:line="240" w:lineRule="auto"/>
        <w:ind w:left="709" w:right="709"/>
        <w:jc w:val="both"/>
        <w:rPr>
          <w:rFonts w:ascii="Verdana" w:eastAsia="Century Gothic" w:hAnsi="Verdana" w:cs="Century Gothic"/>
          <w:sz w:val="21"/>
          <w:szCs w:val="21"/>
          <w:lang w:val="es-ES"/>
        </w:rPr>
      </w:pPr>
      <w:r w:rsidRPr="00725A15">
        <w:rPr>
          <w:rFonts w:ascii="Verdana" w:eastAsia="Century Gothic" w:hAnsi="Verdana" w:cs="Century Gothic"/>
          <w:sz w:val="21"/>
          <w:szCs w:val="21"/>
        </w:rPr>
        <w:t>3. De esta manera, y en concordancia con las normas citadas en los puntos anteriores, solicitamos se dé respuesta a los interrogantes expuestos en cada uno de ellos. Así mismo, solicitamos se nos brinde claridad normativa respecto de la obligación de publicidad en la plataforma SECOP II para las entidades o empresas que cuenten con un régimen contractual exceptuado</w:t>
      </w:r>
      <w:r w:rsidRPr="00725A15">
        <w:rPr>
          <w:rFonts w:ascii="Verdana" w:eastAsia="Century Gothic" w:hAnsi="Verdana" w:cs="Century Gothic"/>
          <w:sz w:val="21"/>
          <w:szCs w:val="21"/>
          <w:lang w:val="es-ES"/>
        </w:rPr>
        <w:t xml:space="preserve">”. </w:t>
      </w:r>
    </w:p>
    <w:p w14:paraId="14F63F59" w14:textId="77777777" w:rsidR="00616202" w:rsidRPr="00725A15" w:rsidRDefault="00616202" w:rsidP="00616202">
      <w:pPr>
        <w:pStyle w:val="Prrafodelista"/>
        <w:tabs>
          <w:tab w:val="left" w:pos="142"/>
          <w:tab w:val="left" w:pos="284"/>
        </w:tabs>
        <w:spacing w:after="0" w:line="276" w:lineRule="auto"/>
        <w:ind w:left="0"/>
        <w:jc w:val="both"/>
        <w:rPr>
          <w:rFonts w:ascii="Verdana" w:eastAsia="Century Gothic" w:hAnsi="Verdana" w:cs="Century Gothic"/>
          <w:b/>
          <w:bCs/>
        </w:rPr>
      </w:pPr>
    </w:p>
    <w:p w14:paraId="45E8EE62" w14:textId="77777777" w:rsidR="00616202" w:rsidRPr="00725A15" w:rsidRDefault="00616202" w:rsidP="00616202">
      <w:pPr>
        <w:spacing w:after="120" w:line="276" w:lineRule="auto"/>
        <w:ind w:firstLine="709"/>
        <w:jc w:val="both"/>
        <w:rPr>
          <w:rFonts w:ascii="Verdana" w:eastAsia="Calibri" w:hAnsi="Verdana" w:cs="Arial"/>
          <w:color w:val="000000"/>
          <w:lang w:val="es-ES" w:eastAsia="es-ES"/>
        </w:rPr>
      </w:pPr>
      <w:r w:rsidRPr="00725A15">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w:t>
      </w:r>
      <w:r w:rsidRPr="00725A15">
        <w:rPr>
          <w:rFonts w:ascii="Verdana" w:eastAsia="Calibri" w:hAnsi="Verdana" w:cs="Arial"/>
          <w:color w:val="000000"/>
          <w:lang w:val="es-ES" w:eastAsia="es-ES"/>
        </w:rPr>
        <w:lastRenderedPageBreak/>
        <w:t xml:space="preserve">participantes de la contratación pública. Esta competencia de interpretación de normas generales, por definición, no puede extenderse a la resolución de controversias ni a brindar asesorías sobre casos puntuales. </w:t>
      </w:r>
      <w:r w:rsidRPr="00725A15">
        <w:rPr>
          <w:rFonts w:ascii="Verdana" w:eastAsia="Calibri" w:hAnsi="Verdana" w:cs="Arial"/>
          <w:color w:val="000000"/>
          <w:lang w:val="es-ES_tradnl" w:eastAsia="es-ES_tradnl"/>
        </w:rPr>
        <w:tab/>
      </w:r>
    </w:p>
    <w:p w14:paraId="140DF029" w14:textId="77777777" w:rsidR="00616202" w:rsidRPr="00725A15" w:rsidRDefault="00616202" w:rsidP="00616202">
      <w:pPr>
        <w:spacing w:after="0" w:line="276" w:lineRule="auto"/>
        <w:ind w:firstLine="709"/>
        <w:jc w:val="both"/>
        <w:rPr>
          <w:rFonts w:ascii="Verdana" w:eastAsia="Calibri" w:hAnsi="Verdana" w:cs="Arial"/>
          <w:color w:val="000000"/>
          <w:lang w:val="es-ES" w:eastAsia="es-ES"/>
        </w:rPr>
      </w:pPr>
      <w:r w:rsidRPr="00725A15">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específicas que la hayan motivado, pero haciendo unas consideraciones sobre las normas generales relacionadas con el</w:t>
      </w:r>
      <w:r w:rsidRPr="00725A15">
        <w:rPr>
          <w:rFonts w:ascii="Verdana" w:eastAsia="Calibri" w:hAnsi="Verdana" w:cs="Arial"/>
          <w:color w:val="7030A0"/>
          <w:lang w:val="es-ES" w:eastAsia="es-ES"/>
        </w:rPr>
        <w:t xml:space="preserve"> </w:t>
      </w:r>
      <w:r w:rsidRPr="00725A15">
        <w:rPr>
          <w:rFonts w:ascii="Verdana" w:eastAsia="Calibri" w:hAnsi="Verdana" w:cs="Arial"/>
          <w:color w:val="000000"/>
          <w:lang w:val="es-ES" w:eastAsia="es-ES"/>
        </w:rPr>
        <w:t>problema</w:t>
      </w:r>
      <w:r w:rsidRPr="00725A15">
        <w:rPr>
          <w:rFonts w:ascii="Verdana" w:eastAsia="Calibri" w:hAnsi="Verdana" w:cs="Arial"/>
          <w:color w:val="7030A0"/>
          <w:lang w:val="es-ES" w:eastAsia="es-ES"/>
        </w:rPr>
        <w:t xml:space="preserve"> </w:t>
      </w:r>
      <w:r w:rsidRPr="00725A15">
        <w:rPr>
          <w:rFonts w:ascii="Verdana" w:eastAsia="Calibri" w:hAnsi="Verdana" w:cs="Arial"/>
          <w:color w:val="000000"/>
          <w:lang w:val="es-ES" w:eastAsia="es-ES"/>
        </w:rPr>
        <w:t>jurídico</w:t>
      </w:r>
      <w:r w:rsidRPr="00725A15">
        <w:rPr>
          <w:rFonts w:ascii="Verdana" w:eastAsia="Calibri" w:hAnsi="Verdana" w:cs="Arial"/>
          <w:color w:val="7030A0"/>
          <w:lang w:val="es-ES" w:eastAsia="es-ES"/>
        </w:rPr>
        <w:t xml:space="preserve"> </w:t>
      </w:r>
      <w:r w:rsidRPr="00725A15">
        <w:rPr>
          <w:rFonts w:ascii="Verdana" w:eastAsia="Calibri" w:hAnsi="Verdana" w:cs="Arial"/>
          <w:color w:val="000000"/>
          <w:lang w:val="es-ES" w:eastAsia="es-ES"/>
        </w:rPr>
        <w:t xml:space="preserve">de su consulta.  </w:t>
      </w:r>
    </w:p>
    <w:p w14:paraId="75C2FE1A" w14:textId="77777777" w:rsidR="00616202" w:rsidRPr="00725A15" w:rsidRDefault="00616202" w:rsidP="00616202">
      <w:pPr>
        <w:spacing w:after="0" w:line="276" w:lineRule="auto"/>
        <w:ind w:firstLine="709"/>
        <w:jc w:val="both"/>
        <w:rPr>
          <w:rFonts w:ascii="Verdana" w:eastAsia="Calibri" w:hAnsi="Verdana" w:cs="Arial"/>
          <w:color w:val="000000"/>
          <w:lang w:val="es-ES" w:eastAsia="es-ES"/>
        </w:rPr>
      </w:pPr>
    </w:p>
    <w:p w14:paraId="549B27E6" w14:textId="77777777" w:rsidR="00616202" w:rsidRPr="00725A15" w:rsidRDefault="00616202" w:rsidP="00616202">
      <w:pPr>
        <w:spacing w:after="0" w:line="276" w:lineRule="auto"/>
        <w:ind w:firstLine="709"/>
        <w:jc w:val="both"/>
        <w:rPr>
          <w:rFonts w:ascii="Verdana" w:eastAsia="Calibri" w:hAnsi="Verdana" w:cs="Arial"/>
          <w:color w:val="000000"/>
          <w:lang w:val="es-ES" w:eastAsia="es-ES"/>
        </w:rPr>
      </w:pPr>
    </w:p>
    <w:p w14:paraId="5F569784" w14:textId="77777777" w:rsidR="00616202" w:rsidRPr="00725A15" w:rsidRDefault="00616202" w:rsidP="00616202">
      <w:pPr>
        <w:pStyle w:val="Prrafodelista"/>
        <w:numPr>
          <w:ilvl w:val="0"/>
          <w:numId w:val="17"/>
        </w:numPr>
        <w:tabs>
          <w:tab w:val="left" w:pos="142"/>
          <w:tab w:val="left" w:pos="284"/>
        </w:tabs>
        <w:spacing w:after="0" w:line="276" w:lineRule="auto"/>
        <w:jc w:val="both"/>
        <w:rPr>
          <w:rFonts w:ascii="Verdana" w:eastAsia="Century Gothic" w:hAnsi="Verdana" w:cs="Century Gothic"/>
          <w:b/>
          <w:bCs/>
        </w:rPr>
      </w:pPr>
      <w:r w:rsidRPr="00725A15">
        <w:rPr>
          <w:rFonts w:ascii="Verdana" w:eastAsia="Century Gothic" w:hAnsi="Verdana" w:cs="Century Gothic"/>
          <w:b/>
          <w:bCs/>
        </w:rPr>
        <w:t>Problema planteado:</w:t>
      </w:r>
    </w:p>
    <w:p w14:paraId="17FF918D" w14:textId="77777777" w:rsidR="00616202" w:rsidRPr="00725A15" w:rsidRDefault="00616202" w:rsidP="00616202">
      <w:pPr>
        <w:tabs>
          <w:tab w:val="left" w:pos="426"/>
        </w:tabs>
        <w:spacing w:after="0" w:line="276" w:lineRule="auto"/>
        <w:jc w:val="both"/>
        <w:rPr>
          <w:rFonts w:ascii="Verdana" w:eastAsia="Century Gothic" w:hAnsi="Verdana" w:cs="Century Gothic"/>
          <w:lang w:val="es-ES"/>
        </w:rPr>
      </w:pPr>
    </w:p>
    <w:p w14:paraId="427F8598" w14:textId="1B4BFEB9" w:rsidR="00616202" w:rsidRPr="00725A15" w:rsidRDefault="00616202" w:rsidP="00616202">
      <w:pPr>
        <w:spacing w:after="0" w:line="276" w:lineRule="auto"/>
        <w:jc w:val="both"/>
        <w:rPr>
          <w:rFonts w:ascii="Verdana" w:eastAsia="Century Gothic" w:hAnsi="Verdana" w:cs="Century Gothic"/>
        </w:rPr>
      </w:pPr>
      <w:r w:rsidRPr="00725A15">
        <w:rPr>
          <w:rFonts w:ascii="Verdana" w:eastAsia="Century Gothic" w:hAnsi="Verdana" w:cs="Century Gothic"/>
        </w:rPr>
        <w:t xml:space="preserve">De acuerdo con el contenido de su solicitud, esta Agencia resolverá el siguiente problema jurídico: </w:t>
      </w:r>
      <w:r w:rsidR="00360C4F" w:rsidRPr="00725A15">
        <w:rPr>
          <w:rFonts w:ascii="Verdana" w:eastAsia="Century Gothic" w:hAnsi="Verdana" w:cs="Century Gothic"/>
        </w:rPr>
        <w:t>¿Cuál es el alcance de la obligación de publicar la actividad contractual en la plataforma transaccional del SECOP para las entidades exceptuadas?</w:t>
      </w:r>
    </w:p>
    <w:p w14:paraId="3134FAFA" w14:textId="77777777" w:rsidR="00616202" w:rsidRPr="00725A15" w:rsidRDefault="00616202" w:rsidP="00616202">
      <w:pPr>
        <w:spacing w:after="0" w:line="276" w:lineRule="auto"/>
        <w:jc w:val="both"/>
        <w:rPr>
          <w:rFonts w:ascii="Verdana" w:eastAsia="Calibri" w:hAnsi="Verdana" w:cs="Arial"/>
          <w:color w:val="7030A0"/>
        </w:rPr>
      </w:pPr>
    </w:p>
    <w:p w14:paraId="588D0BBB" w14:textId="77777777" w:rsidR="00616202" w:rsidRPr="00725A15" w:rsidRDefault="00616202" w:rsidP="00616202">
      <w:pPr>
        <w:pStyle w:val="Prrafodelista"/>
        <w:numPr>
          <w:ilvl w:val="0"/>
          <w:numId w:val="17"/>
        </w:numPr>
        <w:tabs>
          <w:tab w:val="left" w:pos="142"/>
          <w:tab w:val="left" w:pos="284"/>
        </w:tabs>
        <w:spacing w:after="0" w:line="276" w:lineRule="auto"/>
        <w:jc w:val="both"/>
        <w:rPr>
          <w:rFonts w:ascii="Verdana" w:eastAsia="Century Gothic" w:hAnsi="Verdana" w:cs="Century Gothic"/>
          <w:b/>
          <w:bCs/>
        </w:rPr>
      </w:pPr>
      <w:r w:rsidRPr="00725A15">
        <w:rPr>
          <w:rFonts w:ascii="Verdana" w:eastAsia="Century Gothic" w:hAnsi="Verdana" w:cs="Century Gothic"/>
          <w:b/>
          <w:bCs/>
        </w:rPr>
        <w:t>Respuesta:</w:t>
      </w:r>
    </w:p>
    <w:p w14:paraId="3607E6A4" w14:textId="77777777" w:rsidR="00616202" w:rsidRPr="00725A15" w:rsidRDefault="00616202" w:rsidP="00616202">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16202" w:rsidRPr="00725A15" w14:paraId="31B0D97A" w14:textId="77777777" w:rsidTr="001724C6">
        <w:trPr>
          <w:jc w:val="center"/>
        </w:trPr>
        <w:tc>
          <w:tcPr>
            <w:tcW w:w="8828" w:type="dxa"/>
          </w:tcPr>
          <w:p w14:paraId="7E020159" w14:textId="2A2AB7B3" w:rsidR="00360C4F" w:rsidRPr="00725A15" w:rsidRDefault="00360C4F" w:rsidP="00360C4F">
            <w:pPr>
              <w:spacing w:after="120" w:line="276" w:lineRule="auto"/>
              <w:jc w:val="both"/>
              <w:rPr>
                <w:rFonts w:ascii="Verdana" w:eastAsia="Calibri" w:hAnsi="Verdana" w:cs="Arial"/>
                <w:color w:val="000000" w:themeColor="text1"/>
              </w:rPr>
            </w:pPr>
            <w:bookmarkStart w:id="2" w:name="_Hlk171694685"/>
            <w:r w:rsidRPr="00725A15">
              <w:rPr>
                <w:rFonts w:ascii="Verdana" w:eastAsia="Calibri" w:hAnsi="Verdana" w:cs="Arial"/>
                <w:shd w:val="clear" w:color="auto" w:fill="FFFFFF"/>
                <w:lang w:val="es-ES"/>
              </w:rPr>
              <w:t>En relación con el problema jurídico</w:t>
            </w:r>
            <w:r w:rsidRPr="00725A15">
              <w:rPr>
                <w:rFonts w:ascii="Verdana" w:eastAsia="Calibri" w:hAnsi="Verdana" w:cs="Arial"/>
                <w:lang w:val="es-ES" w:eastAsia="es-ES"/>
              </w:rPr>
              <w:t xml:space="preserve">, debe señalarse que, tratándose del deber de publicación de las entidades exceptuadas del Estatuto General de Contratación de la Administración Pública resulta particularmente relevante lo dispuesto en el artículo 53 de la Ley 2195 de 2022, </w:t>
            </w:r>
            <w:r w:rsidRPr="00725A15">
              <w:rPr>
                <w:rFonts w:ascii="Verdana" w:hAnsi="Verdana" w:cs="Arial"/>
                <w:bCs/>
              </w:rPr>
              <w:t>mediante el cual se adiciona el artículo 13 de la Ley 1150 de 2007. La referida disposición les asigna la obligación a las entidades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w:t>
            </w:r>
            <w:r w:rsidRPr="00725A15">
              <w:rPr>
                <w:rFonts w:ascii="Verdana" w:eastAsia="Calibri" w:hAnsi="Verdana" w:cs="Arial"/>
                <w:color w:val="000000" w:themeColor="text1"/>
              </w:rPr>
              <w:t xml:space="preserve">, sin incluir ninguna excepción relacionada con la naturaleza u objeto contractual. </w:t>
            </w:r>
          </w:p>
          <w:p w14:paraId="0E65A110" w14:textId="0FF700C0" w:rsidR="00221F6C" w:rsidRPr="00725A15" w:rsidRDefault="00221F6C" w:rsidP="00221F6C">
            <w:pPr>
              <w:spacing w:after="120" w:line="276" w:lineRule="auto"/>
              <w:jc w:val="both"/>
              <w:rPr>
                <w:rFonts w:ascii="Verdana" w:hAnsi="Verdana" w:cs="Arial"/>
                <w:bCs/>
              </w:rPr>
            </w:pPr>
            <w:r w:rsidRPr="00725A15">
              <w:rPr>
                <w:rFonts w:ascii="Verdana" w:eastAsia="Calibri" w:hAnsi="Verdana" w:cs="Arial"/>
                <w:lang w:val="es-ES" w:eastAsia="es-ES"/>
              </w:rPr>
              <w:t xml:space="preserve">          </w:t>
            </w:r>
            <w:r w:rsidR="00311CE4" w:rsidRPr="00311CE4">
              <w:rPr>
                <w:rFonts w:ascii="Verdana" w:eastAsia="Calibri" w:hAnsi="Verdana" w:cs="Arial"/>
                <w:lang w:eastAsia="es-ES"/>
              </w:rPr>
              <w:t xml:space="preserve">No obstante, es necesario precisar que la publicación en el SECOP de los documentos relacionados con la actividad contractual ya era obligatoria para las entidades que cuentan con un régimen especial. El artículo 53 de la Ley 2195 de 2022 —que modifica el artículo 13 de la Ley 1150 de 2007— complementa dicho deber al exigir que esta actividad se tramite a través del </w:t>
            </w:r>
            <w:r w:rsidR="00311CE4" w:rsidRPr="00311CE4">
              <w:rPr>
                <w:rFonts w:ascii="Verdana" w:eastAsia="Calibri" w:hAnsi="Verdana" w:cs="Arial"/>
                <w:lang w:eastAsia="es-ES"/>
              </w:rPr>
              <w:lastRenderedPageBreak/>
              <w:t>SECOP II. En otras palabras, mediante el artículo 53 de la Ley 2195 de 2022, el Congreso de la República dispuso que las entidades estatales exceptuadas del Estatuto General de Contratación de la Administración Pública deben adelantar su actividad contractual en el SECOP II, esto es, en la plataforma transaccional vigente.</w:t>
            </w:r>
            <w:r w:rsidRPr="00725A15">
              <w:rPr>
                <w:rFonts w:ascii="Verdana" w:hAnsi="Verdana" w:cs="Arial"/>
                <w:bCs/>
              </w:rPr>
              <w:t xml:space="preserve"> </w:t>
            </w:r>
          </w:p>
          <w:p w14:paraId="6BE09CE1" w14:textId="61EB65CC" w:rsidR="00221F6C" w:rsidRPr="00725A15" w:rsidRDefault="00221F6C" w:rsidP="00221F6C">
            <w:pPr>
              <w:spacing w:after="120" w:line="276" w:lineRule="auto"/>
              <w:ind w:firstLine="708"/>
              <w:jc w:val="both"/>
              <w:rPr>
                <w:rFonts w:ascii="Verdana" w:hAnsi="Verdana" w:cs="Arial"/>
                <w:bCs/>
              </w:rPr>
            </w:pPr>
            <w:r w:rsidRPr="00725A15">
              <w:rPr>
                <w:rFonts w:ascii="Verdana" w:hAnsi="Verdana" w:cs="Arial"/>
                <w:bCs/>
              </w:rPr>
              <w:t>Respecto al término para publicar los documentos en el SECOP II, sin perjuicio del uso eminentemente transaccional de la plataforma, debe señalarse que la Ley 1712 de 2014, fue reglamentada por el Decreto 103 de 2015, hoy compilado en el Decreto 1081 de 2015. Este último señala, en el artículo 2.1.1.2.1.7, que las entidades deberán publicar en el SECOP la información de su gestión contractual</w:t>
            </w:r>
            <w:r w:rsidRPr="00725A15">
              <w:rPr>
                <w:rFonts w:ascii="Verdana" w:hAnsi="Verdana"/>
                <w:bCs/>
              </w:rPr>
              <w:footnoteReference w:id="1"/>
            </w:r>
            <w:r w:rsidRPr="00725A15">
              <w:rPr>
                <w:rFonts w:ascii="Verdana" w:hAnsi="Verdana" w:cs="Arial"/>
                <w:bCs/>
              </w:rPr>
              <w:t>. El inciso segundo de dicho artículo precisa el momento para realizar la publicación, remitiendo al mismo plazo establecido en el artículo 2.2.1.1.1.7.1 del Decreto 1082 de 2015, esto es, dentro de los tres (3) días siguientes a la expedición del documento. En efecto, el inciso indicado establece: “Los sujetos obligados que contratan con cargo a recursos públicos deben publicar la información de su gestión contractual en el plazo previsto en el artículo 19 del Decreto 1510 de 2013, o el que lo modifique, sustituya o adicione”. Cabe aclarar que el artículo 19 indicado fue compilado en el artículo 2.2.1.1.1.7.1 del Decreto 1082 de 2015. En este sentido, se colige que el artículo 2.1.1.2.1.7 del Decreto 1081 de 2015 estableció el mismo término de publicidad de los sujetos que contraten con cargo a recursos públicos, al establecido para las entidades sometidas al EGCAP, esto es, los tres (3) días siguientes a la expedición del documento.</w:t>
            </w:r>
          </w:p>
          <w:p w14:paraId="53899581" w14:textId="77777777" w:rsidR="00221F6C" w:rsidRPr="00725A15" w:rsidRDefault="00221F6C" w:rsidP="00221F6C">
            <w:pPr>
              <w:spacing w:line="276" w:lineRule="auto"/>
              <w:ind w:firstLine="709"/>
              <w:contextualSpacing/>
              <w:jc w:val="both"/>
              <w:rPr>
                <w:rFonts w:ascii="Verdana" w:hAnsi="Verdana" w:cs="Arial"/>
                <w:bCs/>
              </w:rPr>
            </w:pPr>
            <w:r w:rsidRPr="00725A15">
              <w:rPr>
                <w:rFonts w:ascii="Verdana" w:hAnsi="Verdana" w:cs="Arial"/>
                <w:bCs/>
              </w:rPr>
              <w:t xml:space="preserve">Así las cosas, se concluye que el plazo dado a las entidades para cumplir con la obligación de publicar los documentos relacionados con su actividad contractual en el SECOP proviene de un mandato legal y reglamentario, por lo </w:t>
            </w:r>
            <w:r w:rsidRPr="00725A15">
              <w:rPr>
                <w:rFonts w:ascii="Verdana" w:hAnsi="Verdana" w:cs="Arial"/>
                <w:bCs/>
              </w:rPr>
              <w:lastRenderedPageBreak/>
              <w:t xml:space="preserve">que esta Agencia no puede contradecir las normas que regulan la materia y fijar un plazo diferente al señalado. </w:t>
            </w:r>
          </w:p>
          <w:p w14:paraId="3AF56013" w14:textId="1BE51A54" w:rsidR="00221F6C" w:rsidRPr="00725A15" w:rsidRDefault="00221F6C" w:rsidP="00221F6C">
            <w:pPr>
              <w:spacing w:before="120" w:after="120" w:line="276" w:lineRule="auto"/>
              <w:jc w:val="both"/>
              <w:rPr>
                <w:rFonts w:ascii="Verdana" w:hAnsi="Verdana" w:cs="Arial"/>
                <w:bCs/>
              </w:rPr>
            </w:pPr>
            <w:r w:rsidRPr="00725A15">
              <w:rPr>
                <w:rFonts w:ascii="Verdana" w:hAnsi="Verdana" w:cs="Arial"/>
                <w:bCs/>
              </w:rPr>
              <w:t xml:space="preserve">          Tal y como se señaló en las consideraciones del presente concepto, es preciso advertir que el artículo 53 de la Ley 2195 de 2022 hace referencia a la obligación de las entidades exceptuadas de publicar los documentos relacionados con su actividad contractual, la cual define como “[…] los documentos, contratos, actos e información generada por oferentes, contratista, contratante, supervisor o interventor, tanto en la etapa precontractual, como en la contractual y la </w:t>
            </w:r>
            <w:proofErr w:type="spellStart"/>
            <w:r w:rsidRPr="00725A15">
              <w:rPr>
                <w:rFonts w:ascii="Verdana" w:hAnsi="Verdana" w:cs="Arial"/>
                <w:bCs/>
              </w:rPr>
              <w:t>postcontractual</w:t>
            </w:r>
            <w:proofErr w:type="spellEnd"/>
            <w:r w:rsidRPr="00725A15">
              <w:rPr>
                <w:rFonts w:ascii="Verdana" w:hAnsi="Verdana" w:cs="Arial"/>
                <w:bCs/>
              </w:rPr>
              <w:t>”. En ese sentido, la citada disposición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w:t>
            </w:r>
          </w:p>
          <w:p w14:paraId="644FC642" w14:textId="25D9E704" w:rsidR="00221F6C" w:rsidRPr="00725A15" w:rsidRDefault="00221F6C" w:rsidP="00221F6C">
            <w:pPr>
              <w:spacing w:after="120" w:line="276" w:lineRule="auto"/>
              <w:ind w:firstLine="709"/>
              <w:jc w:val="both"/>
              <w:rPr>
                <w:rFonts w:ascii="Verdana" w:eastAsia="Calibri" w:hAnsi="Verdana" w:cs="Arial"/>
                <w:shd w:val="clear" w:color="auto" w:fill="FFFFFF"/>
                <w:lang w:val="es-ES"/>
              </w:rPr>
            </w:pPr>
            <w:r w:rsidRPr="00725A15">
              <w:rPr>
                <w:rFonts w:ascii="Verdana" w:eastAsia="Calibri" w:hAnsi="Verdana" w:cs="Arial"/>
                <w:shd w:val="clear" w:color="auto" w:fill="FFFFFF"/>
                <w:lang w:val="es-ES"/>
              </w:rPr>
              <w:t xml:space="preserve">En ese mismo sentido, la </w:t>
            </w:r>
            <w:r w:rsidRPr="00725A15">
              <w:rPr>
                <w:rFonts w:ascii="Verdana" w:eastAsia="Calibri" w:hAnsi="Verdana" w:cs="Arial"/>
                <w:lang w:val="es-ES"/>
              </w:rPr>
              <w:t xml:space="preserve">Circular 002 del 23 de agosto de 2024, expedida por la Agencia Nacional de Contratación Pública – Colombia Compra Eficiente, a través de la cual se dictan lineamientos para la aplicación del artículo 53 de la Ley 2195 de 2022, en el literal d) –denominado “Procedencia de los recursos como punto de partida para la publicación en el SECOP II”–, señala: </w:t>
            </w:r>
            <w:r w:rsidRPr="00725A15">
              <w:rPr>
                <w:rFonts w:ascii="Verdana" w:eastAsia="Calibri" w:hAnsi="Verdana" w:cs="Arial"/>
                <w:color w:val="000000"/>
              </w:rPr>
              <w:t>“La obligación de publicar la actividad contractual siempre ha estado encaminada a que se publique aquella información relacionada con la ejecución de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w:t>
            </w:r>
          </w:p>
          <w:p w14:paraId="662B999C" w14:textId="24563C17" w:rsidR="00616202" w:rsidRPr="00725A15" w:rsidRDefault="00445BBA" w:rsidP="00725A15">
            <w:pPr>
              <w:spacing w:line="276" w:lineRule="auto"/>
              <w:jc w:val="both"/>
              <w:rPr>
                <w:rFonts w:ascii="Verdana" w:hAnsi="Verdana"/>
                <w:color w:val="000000"/>
              </w:rPr>
            </w:pPr>
            <w:r w:rsidRPr="00725A15">
              <w:rPr>
                <w:rFonts w:ascii="Verdana" w:eastAsia="Calibri" w:hAnsi="Verdana" w:cs="Arial"/>
              </w:rPr>
              <w:t xml:space="preserve">        </w:t>
            </w:r>
            <w:r w:rsidR="00221F6C" w:rsidRPr="00725A15">
              <w:rPr>
                <w:rFonts w:ascii="Verdana" w:hAnsi="Verdana" w:cs="Arial"/>
                <w:bCs/>
              </w:rPr>
              <w:t xml:space="preserve">Ahora bien, le corresponderá a cada entidad definir cuáles de las actividades que desarrolla se encuentran cobijadas por el deber de publicidad explicado en las consideraciones anteriores, con el fin de determinar si son objeto de la obligación consagrada en el artículo objeto de estudio. Para el caso de la vinculación de profesionales médicos esta Agencia debe señalar que no es posible pronunciarse sobre estos casos particulares, debido al ámbito de </w:t>
            </w:r>
            <w:r w:rsidR="00221F6C" w:rsidRPr="00725A15">
              <w:rPr>
                <w:rFonts w:ascii="Verdana" w:hAnsi="Verdana" w:cs="Arial"/>
                <w:bCs/>
              </w:rPr>
              <w:lastRenderedPageBreak/>
              <w:t xml:space="preserve">competencias señalado en las consideraciones y, adicionalmente, dado que no se conoce la naturaleza de la vinculación de estos profesionales, de lo cual dependerá si rige o no la obligación de publicar los documentos relacionados con la actividad contractual. </w:t>
            </w:r>
            <w:r w:rsidRPr="00725A15">
              <w:rPr>
                <w:rFonts w:ascii="Verdana" w:eastAsia="Calibri" w:hAnsi="Verdana" w:cs="Arial"/>
                <w:lang w:val="es-ES"/>
              </w:rPr>
              <w:t xml:space="preserve">         </w:t>
            </w:r>
          </w:p>
        </w:tc>
      </w:tr>
      <w:bookmarkEnd w:id="2"/>
    </w:tbl>
    <w:p w14:paraId="6893F50F" w14:textId="77777777" w:rsidR="00616202" w:rsidRPr="00725A15" w:rsidRDefault="00616202" w:rsidP="00616202">
      <w:pPr>
        <w:tabs>
          <w:tab w:val="left" w:pos="142"/>
          <w:tab w:val="left" w:pos="284"/>
        </w:tabs>
        <w:spacing w:after="0" w:line="276" w:lineRule="auto"/>
        <w:jc w:val="both"/>
        <w:rPr>
          <w:rFonts w:ascii="Verdana" w:eastAsia="Century Gothic" w:hAnsi="Verdana" w:cs="Century Gothic"/>
          <w:b/>
          <w:bCs/>
          <w:lang w:val="es-ES"/>
        </w:rPr>
      </w:pPr>
    </w:p>
    <w:p w14:paraId="0F2D3531" w14:textId="77777777" w:rsidR="00616202" w:rsidRPr="00725A15" w:rsidRDefault="00616202" w:rsidP="00616202">
      <w:pPr>
        <w:numPr>
          <w:ilvl w:val="0"/>
          <w:numId w:val="17"/>
        </w:numPr>
        <w:tabs>
          <w:tab w:val="left" w:pos="142"/>
          <w:tab w:val="left" w:pos="284"/>
        </w:tabs>
        <w:spacing w:after="0" w:line="276" w:lineRule="auto"/>
        <w:jc w:val="both"/>
        <w:rPr>
          <w:rFonts w:ascii="Verdana" w:eastAsia="Century Gothic" w:hAnsi="Verdana" w:cs="Century Gothic"/>
          <w:b/>
          <w:bCs/>
          <w:lang w:val="es-ES"/>
        </w:rPr>
      </w:pPr>
      <w:r w:rsidRPr="00725A15">
        <w:rPr>
          <w:rFonts w:ascii="Verdana" w:eastAsia="Century Gothic" w:hAnsi="Verdana" w:cs="Century Gothic"/>
          <w:b/>
          <w:bCs/>
          <w:lang w:val="es-ES"/>
        </w:rPr>
        <w:t>Razones de la respuesta:</w:t>
      </w:r>
    </w:p>
    <w:p w14:paraId="545E4C20" w14:textId="77777777" w:rsidR="00616202" w:rsidRPr="00725A15" w:rsidRDefault="00616202" w:rsidP="00616202">
      <w:pPr>
        <w:spacing w:after="0" w:line="276" w:lineRule="auto"/>
        <w:jc w:val="both"/>
        <w:rPr>
          <w:rFonts w:ascii="Verdana" w:eastAsia="Calibri" w:hAnsi="Verdana" w:cs="Arial"/>
          <w:color w:val="7030A0"/>
          <w:lang w:val="es-ES"/>
        </w:rPr>
      </w:pPr>
    </w:p>
    <w:p w14:paraId="409B51B9" w14:textId="77777777" w:rsidR="00616202" w:rsidRPr="00725A15" w:rsidRDefault="00616202" w:rsidP="00616202">
      <w:pPr>
        <w:spacing w:after="0" w:line="276" w:lineRule="auto"/>
        <w:jc w:val="both"/>
        <w:rPr>
          <w:rFonts w:ascii="Verdana" w:eastAsia="Calibri" w:hAnsi="Verdana" w:cs="Arial"/>
          <w:lang w:val="es-ES"/>
        </w:rPr>
      </w:pPr>
      <w:r w:rsidRPr="00725A15">
        <w:rPr>
          <w:rFonts w:ascii="Verdana" w:eastAsia="Calibri" w:hAnsi="Verdana" w:cs="Arial"/>
          <w:lang w:val="es-ES"/>
        </w:rPr>
        <w:t>Lo anterior se sustenta en las siguientes consideraciones:</w:t>
      </w:r>
    </w:p>
    <w:p w14:paraId="02D54FD0" w14:textId="77777777" w:rsidR="00221F6C" w:rsidRPr="00725A15" w:rsidRDefault="00221F6C" w:rsidP="00616202">
      <w:pPr>
        <w:spacing w:after="0" w:line="276" w:lineRule="auto"/>
        <w:jc w:val="both"/>
        <w:rPr>
          <w:rFonts w:ascii="Verdana" w:eastAsia="Calibri" w:hAnsi="Verdana" w:cs="Arial"/>
          <w:lang w:val="es-ES"/>
        </w:rPr>
      </w:pPr>
    </w:p>
    <w:p w14:paraId="0FF02B13" w14:textId="10709513" w:rsidR="00221F6C" w:rsidRPr="00725A15" w:rsidRDefault="00221F6C" w:rsidP="00221F6C">
      <w:pPr>
        <w:pStyle w:val="Textoindependiente"/>
        <w:spacing w:line="276" w:lineRule="auto"/>
        <w:jc w:val="both"/>
        <w:rPr>
          <w:rFonts w:ascii="Verdana" w:hAnsi="Verdana" w:cs="Arial"/>
          <w:sz w:val="22"/>
          <w:szCs w:val="22"/>
        </w:rPr>
      </w:pPr>
      <w:bookmarkStart w:id="3" w:name="_Hlk109055109"/>
      <w:bookmarkStart w:id="4" w:name="_Hlk109111865"/>
      <w:r w:rsidRPr="00725A15">
        <w:rPr>
          <w:rFonts w:ascii="Verdana" w:hAnsi="Verdana" w:cs="Arial"/>
          <w:sz w:val="22"/>
          <w:szCs w:val="22"/>
        </w:rPr>
        <w:t xml:space="preserve">La Ley 1712 de 2014, por medio de la cual se crea la Ley de Transparencia y del Derecho de Acceso a la Información Pública Nacional y se dictan otras disposiciones, identifica como principios que orientan el derecho de acceso a la información pública, el principio de máxima publicidad, el principio de transparencia en la información y el principio de buena fe. El principio de máxima publicidad establece que </w:t>
      </w:r>
      <w:r w:rsidR="00725A15">
        <w:rPr>
          <w:rFonts w:ascii="Verdana" w:hAnsi="Verdana" w:cs="Arial"/>
          <w:sz w:val="22"/>
          <w:szCs w:val="22"/>
        </w:rPr>
        <w:t>“</w:t>
      </w:r>
      <w:r w:rsidRPr="00725A15">
        <w:rPr>
          <w:rFonts w:ascii="Verdana" w:hAnsi="Verdana" w:cs="Arial"/>
          <w:sz w:val="22"/>
          <w:szCs w:val="22"/>
        </w:rPr>
        <w:t>toda información en posesión, bajo control o custodia de un sujeto obligado es pública y no podrá ser reservada o limitada sino por disposición constitucional o legal</w:t>
      </w:r>
      <w:r w:rsidR="00725A15">
        <w:rPr>
          <w:rFonts w:ascii="Verdana" w:hAnsi="Verdana" w:cs="Arial"/>
          <w:sz w:val="22"/>
          <w:szCs w:val="22"/>
        </w:rPr>
        <w:t>”</w:t>
      </w:r>
      <w:r w:rsidRPr="00725A15">
        <w:rPr>
          <w:rStyle w:val="Refdenotaalpie"/>
          <w:rFonts w:ascii="Verdana" w:hAnsi="Verdana" w:cs="Arial"/>
          <w:sz w:val="22"/>
          <w:szCs w:val="22"/>
        </w:rPr>
        <w:footnoteReference w:id="2"/>
      </w:r>
      <w:r w:rsidRPr="00725A15">
        <w:rPr>
          <w:rFonts w:ascii="Verdana" w:hAnsi="Verdana" w:cs="Arial"/>
          <w:sz w:val="22"/>
          <w:szCs w:val="22"/>
        </w:rPr>
        <w:t>. El principio de transparencia en la información alude al deber de los sujetos de proporcionar y facilitar el acceso a la misma en los términos más amplios posibles, a través de los medios y procedimientos que establezca la</w:t>
      </w:r>
      <w:r w:rsidRPr="00725A15">
        <w:rPr>
          <w:rFonts w:ascii="Verdana" w:hAnsi="Verdana" w:cs="Arial"/>
          <w:spacing w:val="-2"/>
          <w:sz w:val="22"/>
          <w:szCs w:val="22"/>
        </w:rPr>
        <w:t xml:space="preserve"> </w:t>
      </w:r>
      <w:r w:rsidRPr="00725A15">
        <w:rPr>
          <w:rFonts w:ascii="Verdana" w:hAnsi="Verdana" w:cs="Arial"/>
          <w:sz w:val="22"/>
          <w:szCs w:val="22"/>
        </w:rPr>
        <w:t>ley</w:t>
      </w:r>
      <w:r w:rsidRPr="00725A15">
        <w:rPr>
          <w:rStyle w:val="Refdenotaalpie"/>
          <w:rFonts w:ascii="Verdana" w:hAnsi="Verdana" w:cs="Arial"/>
          <w:sz w:val="22"/>
          <w:szCs w:val="22"/>
        </w:rPr>
        <w:footnoteReference w:id="3"/>
      </w:r>
      <w:r w:rsidRPr="00725A15">
        <w:rPr>
          <w:rFonts w:ascii="Verdana" w:hAnsi="Verdana" w:cs="Arial"/>
          <w:sz w:val="22"/>
          <w:szCs w:val="22"/>
        </w:rPr>
        <w:t>. Y el principio de buena fe hace referencia al deber de todo sujeto obligado de cumplir con las obligaciones derivadas del derecho de acceso a la información pública con motivación honesta, leal y desprovista de cualquier intención dolosa o culposa</w:t>
      </w:r>
      <w:bookmarkEnd w:id="3"/>
      <w:r w:rsidRPr="00725A15">
        <w:rPr>
          <w:rStyle w:val="Refdenotaalpie"/>
          <w:rFonts w:ascii="Verdana" w:hAnsi="Verdana" w:cs="Arial"/>
          <w:sz w:val="22"/>
          <w:szCs w:val="22"/>
        </w:rPr>
        <w:footnoteReference w:id="4"/>
      </w:r>
      <w:r w:rsidRPr="00725A15">
        <w:rPr>
          <w:rFonts w:ascii="Verdana" w:hAnsi="Verdana" w:cs="Arial"/>
          <w:sz w:val="22"/>
          <w:szCs w:val="22"/>
        </w:rPr>
        <w:t xml:space="preserve">. </w:t>
      </w:r>
    </w:p>
    <w:p w14:paraId="0BB13F50" w14:textId="77777777" w:rsidR="00221F6C" w:rsidRPr="00725A15" w:rsidRDefault="00221F6C" w:rsidP="00221F6C">
      <w:pPr>
        <w:pStyle w:val="Textoindependiente"/>
        <w:spacing w:line="276" w:lineRule="auto"/>
        <w:ind w:firstLine="708"/>
        <w:jc w:val="both"/>
        <w:rPr>
          <w:rFonts w:ascii="Verdana" w:hAnsi="Verdana" w:cs="Arial"/>
          <w:sz w:val="22"/>
          <w:szCs w:val="22"/>
        </w:rPr>
      </w:pPr>
      <w:r w:rsidRPr="00725A15">
        <w:rPr>
          <w:rFonts w:ascii="Verdana" w:hAnsi="Verdana" w:cs="Arial"/>
          <w:sz w:val="22"/>
          <w:szCs w:val="22"/>
        </w:rPr>
        <w:lastRenderedPageBreak/>
        <w:t xml:space="preserve">La citada Ley establece, en el literal e) del artículo 9, que los </w:t>
      </w:r>
      <w:r w:rsidRPr="00725A15">
        <w:rPr>
          <w:rFonts w:ascii="Verdana" w:hAnsi="Verdana" w:cs="Arial"/>
          <w:i/>
          <w:iCs/>
          <w:sz w:val="22"/>
          <w:szCs w:val="22"/>
        </w:rPr>
        <w:t xml:space="preserve">sujetos obligados </w:t>
      </w:r>
      <w:r w:rsidRPr="00725A15">
        <w:rPr>
          <w:rFonts w:ascii="Verdana" w:hAnsi="Verdana" w:cs="Arial"/>
          <w:sz w:val="22"/>
          <w:szCs w:val="22"/>
        </w:rPr>
        <w:t xml:space="preserve">deben publicar la información relativa a su contratación. </w:t>
      </w:r>
      <w:r w:rsidRPr="00725A15">
        <w:rPr>
          <w:rFonts w:ascii="Verdana" w:eastAsia="Arial MT" w:hAnsi="Verdana" w:cs="Arial"/>
          <w:sz w:val="22"/>
          <w:szCs w:val="22"/>
          <w:lang w:val="es-ES" w:eastAsia="en-US"/>
        </w:rPr>
        <w:t xml:space="preserve">El artículo 5 </w:t>
      </w:r>
      <w:r w:rsidRPr="00725A15">
        <w:rPr>
          <w:rFonts w:ascii="Verdana" w:eastAsia="Arial MT" w:hAnsi="Verdana" w:cs="Arial"/>
          <w:i/>
          <w:iCs/>
          <w:sz w:val="22"/>
          <w:szCs w:val="22"/>
          <w:lang w:val="es-ES" w:eastAsia="en-US"/>
        </w:rPr>
        <w:t>ibidem</w:t>
      </w:r>
      <w:r w:rsidRPr="00725A15">
        <w:rPr>
          <w:rFonts w:ascii="Verdana" w:eastAsia="Arial MT" w:hAnsi="Verdana" w:cs="Arial"/>
          <w:sz w:val="22"/>
          <w:szCs w:val="22"/>
          <w:lang w:val="es-ES" w:eastAsia="en-US"/>
        </w:rPr>
        <w:t>, al describir qué se entiende por sujetos obligados, consagra una lista cuyo propósito es incluir a cualquier entidad, órgano, organismo, o persona natural que desempeñe funciones públicas o administre recursos públicos. También son sujetos obligados las empresas públicas, las empresas del Estado y las sociedades en las que el Estado tenga participación, sin que importe su monto</w:t>
      </w:r>
      <w:bookmarkEnd w:id="4"/>
      <w:r w:rsidRPr="00725A15">
        <w:rPr>
          <w:rStyle w:val="Refdenotaalpie"/>
          <w:rFonts w:ascii="Verdana" w:hAnsi="Verdana" w:cs="Arial"/>
          <w:sz w:val="22"/>
          <w:szCs w:val="22"/>
        </w:rPr>
        <w:footnoteReference w:id="5"/>
      </w:r>
      <w:r w:rsidRPr="00725A15">
        <w:rPr>
          <w:rFonts w:ascii="Verdana" w:eastAsia="Arial MT" w:hAnsi="Verdana" w:cs="Arial"/>
          <w:sz w:val="22"/>
          <w:szCs w:val="22"/>
          <w:lang w:val="es-ES" w:eastAsia="en-US"/>
        </w:rPr>
        <w:t>.</w:t>
      </w:r>
      <w:r w:rsidRPr="00725A15">
        <w:rPr>
          <w:rFonts w:ascii="Verdana" w:hAnsi="Verdana" w:cs="Arial"/>
          <w:sz w:val="22"/>
          <w:szCs w:val="22"/>
        </w:rPr>
        <w:t xml:space="preserve"> </w:t>
      </w:r>
    </w:p>
    <w:p w14:paraId="29D69783" w14:textId="77777777" w:rsidR="00221F6C" w:rsidRPr="00725A15" w:rsidRDefault="00221F6C" w:rsidP="00221F6C">
      <w:pPr>
        <w:pStyle w:val="Textoindependiente"/>
        <w:spacing w:before="2" w:line="276" w:lineRule="auto"/>
        <w:ind w:firstLine="709"/>
        <w:jc w:val="both"/>
        <w:rPr>
          <w:rFonts w:ascii="Verdana" w:hAnsi="Verdana" w:cs="Arial"/>
          <w:sz w:val="22"/>
          <w:szCs w:val="22"/>
        </w:rPr>
      </w:pPr>
      <w:r w:rsidRPr="00725A15">
        <w:rPr>
          <w:rFonts w:ascii="Verdana" w:hAnsi="Verdana" w:cs="Arial"/>
          <w:sz w:val="22"/>
          <w:szCs w:val="22"/>
        </w:rPr>
        <w:t>La anterior obligación fue desarrollada por el artículo 2.1.1.2.1.7. del Decreto Único Reglamentario 1081 de 2015</w:t>
      </w:r>
      <w:r w:rsidRPr="00725A15">
        <w:rPr>
          <w:rStyle w:val="Refdenotaalpie"/>
          <w:rFonts w:ascii="Verdana" w:hAnsi="Verdana" w:cs="Arial"/>
          <w:sz w:val="22"/>
          <w:szCs w:val="22"/>
        </w:rPr>
        <w:footnoteReference w:id="6"/>
      </w:r>
      <w:r w:rsidRPr="00725A15">
        <w:rPr>
          <w:rFonts w:ascii="Verdana" w:hAnsi="Verdana" w:cs="Arial"/>
          <w:sz w:val="22"/>
          <w:szCs w:val="22"/>
        </w:rPr>
        <w:t>, el cual dispone que la publicación de la información contractual de los sujetos obligados,</w:t>
      </w:r>
      <w:r w:rsidRPr="00725A15">
        <w:rPr>
          <w:rFonts w:ascii="Verdana" w:hAnsi="Verdana" w:cs="Arial"/>
          <w:spacing w:val="3"/>
          <w:sz w:val="22"/>
          <w:szCs w:val="22"/>
        </w:rPr>
        <w:t xml:space="preserve"> </w:t>
      </w:r>
      <w:r w:rsidRPr="00725A15">
        <w:rPr>
          <w:rFonts w:ascii="Verdana" w:hAnsi="Verdana" w:cs="Arial"/>
          <w:sz w:val="22"/>
          <w:szCs w:val="22"/>
        </w:rPr>
        <w:t xml:space="preserve">que contratan con cargo a recursos públicos, debe hacerse en el Sistema Electrónico de Contratación Pública ─ SECOP. </w:t>
      </w:r>
    </w:p>
    <w:p w14:paraId="287F3FF4" w14:textId="7723F395" w:rsidR="00221F6C" w:rsidRPr="00725A15" w:rsidRDefault="00221F6C" w:rsidP="00221F6C">
      <w:pPr>
        <w:pStyle w:val="Textoindependiente"/>
        <w:spacing w:line="276" w:lineRule="auto"/>
        <w:ind w:firstLine="709"/>
        <w:jc w:val="both"/>
        <w:rPr>
          <w:rFonts w:ascii="Verdana" w:hAnsi="Verdana" w:cs="Arial"/>
          <w:sz w:val="22"/>
          <w:szCs w:val="22"/>
        </w:rPr>
      </w:pPr>
      <w:r w:rsidRPr="00725A15">
        <w:rPr>
          <w:rFonts w:ascii="Verdana" w:hAnsi="Verdana" w:cs="Arial"/>
          <w:sz w:val="22"/>
          <w:szCs w:val="22"/>
        </w:rPr>
        <w:t xml:space="preserve">Asimismo, de acuerdo con el literal g) del artículo 11 de la misma Ley, todos los destinatarios de la ley de transparencia deben garantizar la publicidad de </w:t>
      </w:r>
      <w:r w:rsidR="00725A15">
        <w:rPr>
          <w:rFonts w:ascii="Verdana" w:hAnsi="Verdana" w:cs="Arial"/>
          <w:sz w:val="22"/>
          <w:szCs w:val="22"/>
        </w:rPr>
        <w:t>“</w:t>
      </w:r>
      <w:r w:rsidRPr="00725A15">
        <w:rPr>
          <w:rFonts w:ascii="Verdana" w:hAnsi="Verdana" w:cs="Arial"/>
          <w:sz w:val="22"/>
          <w:szCs w:val="22"/>
        </w:rPr>
        <w:t>sus procedimientos, lineamientos, políticas en materia de adquisiciones y compras, así como todos los datos de adjudicación y ejecución de contratos, incluidos concursos y licitaciones</w:t>
      </w:r>
      <w:r w:rsidR="00725A15">
        <w:rPr>
          <w:rFonts w:ascii="Verdana" w:hAnsi="Verdana" w:cs="Arial"/>
          <w:sz w:val="22"/>
          <w:szCs w:val="22"/>
        </w:rPr>
        <w:t>”</w:t>
      </w:r>
      <w:r w:rsidRPr="00725A15">
        <w:rPr>
          <w:rFonts w:ascii="Verdana" w:hAnsi="Verdana" w:cs="Arial"/>
          <w:sz w:val="22"/>
          <w:szCs w:val="22"/>
        </w:rPr>
        <w:t xml:space="preserve">, y esta información también debe estar en el SECOP. Además de lo anterior, es de precisar que el artículo 3 de la Ley 1150 de 2007 ya había establecido que el Sistema Electrónico para la Contratación </w:t>
      </w:r>
      <w:r w:rsidRPr="00725A15">
        <w:rPr>
          <w:rFonts w:ascii="Verdana" w:hAnsi="Verdana" w:cs="Arial"/>
          <w:sz w:val="22"/>
          <w:szCs w:val="22"/>
        </w:rPr>
        <w:lastRenderedPageBreak/>
        <w:t xml:space="preserve">Pública – SECOP </w:t>
      </w:r>
      <w:r w:rsidR="00725A15">
        <w:rPr>
          <w:rFonts w:ascii="Verdana" w:hAnsi="Verdana" w:cs="Arial"/>
          <w:sz w:val="22"/>
          <w:szCs w:val="22"/>
        </w:rPr>
        <w:t>“</w:t>
      </w:r>
      <w:r w:rsidRPr="00725A15">
        <w:rPr>
          <w:rFonts w:ascii="Verdana" w:hAnsi="Verdana" w:cs="Arial"/>
          <w:sz w:val="22"/>
          <w:szCs w:val="22"/>
        </w:rPr>
        <w:t>Contará con la información oficial de la contratación realizada con dineros públicos</w:t>
      </w:r>
      <w:r w:rsidR="00725A15">
        <w:rPr>
          <w:rFonts w:ascii="Verdana" w:hAnsi="Verdana" w:cs="Arial"/>
          <w:sz w:val="22"/>
          <w:szCs w:val="22"/>
        </w:rPr>
        <w:t>”</w:t>
      </w:r>
      <w:r w:rsidRPr="00725A15">
        <w:rPr>
          <w:rStyle w:val="Refdenotaalpie"/>
          <w:rFonts w:ascii="Verdana" w:hAnsi="Verdana" w:cs="Arial"/>
          <w:sz w:val="22"/>
          <w:szCs w:val="22"/>
        </w:rPr>
        <w:footnoteReference w:id="7"/>
      </w:r>
      <w:r w:rsidRPr="00725A15">
        <w:rPr>
          <w:rFonts w:ascii="Verdana" w:hAnsi="Verdana" w:cs="Arial"/>
          <w:sz w:val="22"/>
          <w:szCs w:val="22"/>
        </w:rPr>
        <w:t>.</w:t>
      </w:r>
    </w:p>
    <w:p w14:paraId="34C5326E" w14:textId="3453F571" w:rsidR="00221F6C" w:rsidRPr="00725A15" w:rsidRDefault="00221F6C" w:rsidP="00221F6C">
      <w:pPr>
        <w:spacing w:after="0" w:line="276" w:lineRule="auto"/>
        <w:ind w:firstLine="709"/>
        <w:contextualSpacing/>
        <w:jc w:val="both"/>
        <w:rPr>
          <w:rFonts w:ascii="Verdana" w:hAnsi="Verdana" w:cs="Arial"/>
        </w:rPr>
      </w:pPr>
      <w:bookmarkStart w:id="6" w:name="_Hlk109111930"/>
      <w:r w:rsidRPr="00725A15">
        <w:rPr>
          <w:rFonts w:ascii="Verdana" w:hAnsi="Verdana" w:cs="Arial"/>
        </w:rPr>
        <w:t xml:space="preserve">Las anteriores disposiciones normativas fueron complementadas con la expedición de la Ley 2195 de 2022, por medio de la cual se adoptan medidas en materia de transparencia, prevención y lucha contra la corrupción. </w:t>
      </w:r>
      <w:r w:rsidRPr="00725A15">
        <w:rPr>
          <w:rFonts w:ascii="Verdana" w:eastAsia="Calibri" w:hAnsi="Verdana" w:cs="Arial"/>
          <w:lang w:val="es-ES_tradnl" w:eastAsia="es-ES_tradnl"/>
        </w:rPr>
        <w:t xml:space="preserve">Según el artículo 1, esta Ley </w:t>
      </w:r>
      <w:r w:rsidR="00725A15">
        <w:rPr>
          <w:rFonts w:ascii="Verdana" w:eastAsia="Calibri" w:hAnsi="Verdana" w:cs="Arial"/>
          <w:lang w:val="es-ES_tradnl" w:eastAsia="es-ES_tradnl"/>
        </w:rPr>
        <w:t>“</w:t>
      </w:r>
      <w:r w:rsidRPr="00725A15">
        <w:rPr>
          <w:rFonts w:ascii="Verdana" w:eastAsia="Times New Roman" w:hAnsi="Verdana" w:cs="Arial"/>
          <w:lang w:val="es-ES_tradnl" w:eastAsia="es-ES_tradnl"/>
        </w:rPr>
        <w:t xml:space="preserve">[…] </w:t>
      </w:r>
      <w:r w:rsidRPr="00725A15">
        <w:rPr>
          <w:rFonts w:ascii="Verdana" w:eastAsia="Calibri" w:hAnsi="Verdana" w:cs="Arial"/>
          <w:lang w:val="es-ES_tradnl" w:eastAsia="es-ES_tradnl"/>
        </w:rPr>
        <w:t>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w:t>
      </w:r>
      <w:r w:rsidR="00725A15">
        <w:rPr>
          <w:rFonts w:ascii="Verdana" w:eastAsia="Calibri" w:hAnsi="Verdana" w:cs="Arial"/>
          <w:lang w:val="es-ES_tradnl" w:eastAsia="es-ES_tradnl"/>
        </w:rPr>
        <w:t>”</w:t>
      </w:r>
      <w:r w:rsidRPr="00725A15">
        <w:rPr>
          <w:rFonts w:ascii="Verdana" w:eastAsia="Calibri" w:hAnsi="Verdana" w:cs="Arial"/>
          <w:lang w:val="es-ES_tradnl" w:eastAsia="es-ES_tradnl"/>
        </w:rPr>
        <w:t xml:space="preserve">. Dentro del capítulo VIII de esta Ley, que lleva por título </w:t>
      </w:r>
      <w:r w:rsidR="00725A15">
        <w:rPr>
          <w:rFonts w:ascii="Verdana" w:eastAsia="Calibri" w:hAnsi="Verdana" w:cs="Arial"/>
          <w:lang w:val="es-ES_tradnl" w:eastAsia="es-ES_tradnl"/>
        </w:rPr>
        <w:t>“</w:t>
      </w:r>
      <w:r w:rsidRPr="00725A15">
        <w:rPr>
          <w:rFonts w:ascii="Verdana" w:eastAsia="Calibri" w:hAnsi="Verdana" w:cs="Arial"/>
          <w:lang w:val="es-ES_tradnl" w:eastAsia="es-ES_tradnl"/>
        </w:rPr>
        <w:t>Disposiciones en materia contractual para la moralización y la transparencia</w:t>
      </w:r>
      <w:r w:rsidR="00725A15">
        <w:rPr>
          <w:rFonts w:ascii="Verdana" w:eastAsia="Calibri" w:hAnsi="Verdana" w:cs="Arial"/>
          <w:lang w:val="es-ES_tradnl" w:eastAsia="es-ES_tradnl"/>
        </w:rPr>
        <w:t>”</w:t>
      </w:r>
      <w:r w:rsidRPr="00725A15">
        <w:rPr>
          <w:rFonts w:ascii="Verdana" w:eastAsia="Calibri" w:hAnsi="Verdana" w:cs="Arial"/>
          <w:lang w:val="es-ES_tradnl" w:eastAsia="es-ES_tradnl"/>
        </w:rPr>
        <w:t xml:space="preserve">, se ubica </w:t>
      </w:r>
      <w:r w:rsidRPr="00725A15">
        <w:rPr>
          <w:rFonts w:ascii="Verdana" w:hAnsi="Verdana" w:cs="Arial"/>
        </w:rPr>
        <w:t xml:space="preserve">el artículo 53, 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 </w:t>
      </w:r>
      <w:bookmarkEnd w:id="6"/>
      <w:r w:rsidRPr="00725A15">
        <w:rPr>
          <w:rFonts w:ascii="Verdana" w:hAnsi="Verdana" w:cs="Arial"/>
        </w:rPr>
        <w:t>Al respecto, la norma citada de manera expresa señala:</w:t>
      </w:r>
    </w:p>
    <w:p w14:paraId="0C2C880C" w14:textId="77777777" w:rsidR="00221F6C" w:rsidRPr="00725A15" w:rsidRDefault="00221F6C" w:rsidP="00221F6C">
      <w:pPr>
        <w:spacing w:after="0" w:line="240" w:lineRule="auto"/>
        <w:ind w:firstLine="301"/>
        <w:contextualSpacing/>
        <w:rPr>
          <w:rFonts w:ascii="Verdana" w:hAnsi="Verdana"/>
        </w:rPr>
      </w:pPr>
    </w:p>
    <w:p w14:paraId="236BDEEC" w14:textId="77777777" w:rsidR="00221F6C" w:rsidRPr="00725A15" w:rsidRDefault="00221F6C" w:rsidP="00221F6C">
      <w:pPr>
        <w:spacing w:after="0" w:line="240" w:lineRule="auto"/>
        <w:ind w:left="709" w:right="709"/>
        <w:contextualSpacing/>
        <w:jc w:val="both"/>
        <w:rPr>
          <w:rFonts w:ascii="Verdana" w:eastAsia="Calibri" w:hAnsi="Verdana" w:cs="Arial"/>
          <w:sz w:val="21"/>
          <w:szCs w:val="21"/>
        </w:rPr>
      </w:pPr>
      <w:r w:rsidRPr="00725A15">
        <w:rPr>
          <w:rFonts w:ascii="Verdana" w:eastAsia="Calibri" w:hAnsi="Verdana" w:cs="Arial"/>
          <w:sz w:val="21"/>
          <w:szCs w:val="21"/>
        </w:rPr>
        <w:t>Adiciónese los siguientes incisos al artículo 13 de la Ley 1150 de 2007, el cual quedará así:</w:t>
      </w:r>
    </w:p>
    <w:p w14:paraId="7C53BDCD" w14:textId="77777777" w:rsidR="00221F6C" w:rsidRPr="00725A15" w:rsidRDefault="00221F6C" w:rsidP="00221F6C">
      <w:pPr>
        <w:spacing w:after="0" w:line="240" w:lineRule="auto"/>
        <w:ind w:left="709" w:right="709"/>
        <w:contextualSpacing/>
        <w:jc w:val="both"/>
        <w:rPr>
          <w:rFonts w:ascii="Verdana" w:eastAsia="Calibri" w:hAnsi="Verdana" w:cs="Arial"/>
          <w:sz w:val="21"/>
          <w:szCs w:val="21"/>
        </w:rPr>
      </w:pPr>
    </w:p>
    <w:p w14:paraId="33A558E9" w14:textId="77777777" w:rsidR="00221F6C" w:rsidRPr="00725A15" w:rsidRDefault="00221F6C" w:rsidP="00221F6C">
      <w:pPr>
        <w:spacing w:after="0" w:line="240" w:lineRule="auto"/>
        <w:ind w:left="709" w:right="709"/>
        <w:contextualSpacing/>
        <w:jc w:val="both"/>
        <w:rPr>
          <w:rFonts w:ascii="Verdana" w:eastAsia="Calibri" w:hAnsi="Verdana" w:cs="Arial"/>
          <w:sz w:val="21"/>
          <w:szCs w:val="21"/>
        </w:rPr>
      </w:pPr>
      <w:r w:rsidRPr="00725A15">
        <w:rPr>
          <w:rFonts w:ascii="Verdana" w:eastAsia="Calibri" w:hAnsi="Verdana" w:cs="Arial"/>
          <w:sz w:val="21"/>
          <w:szCs w:val="21"/>
        </w:rPr>
        <w:t xml:space="preserve">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w:t>
      </w:r>
      <w:r w:rsidRPr="00725A15">
        <w:rPr>
          <w:rFonts w:ascii="Verdana" w:eastAsia="Calibri" w:hAnsi="Verdana" w:cs="Arial"/>
          <w:sz w:val="21"/>
          <w:szCs w:val="21"/>
        </w:rPr>
        <w:lastRenderedPageBreak/>
        <w:t>caso y estarán sometidas al régimen de inhabilidades e incompatibilidades previsto legalmente para la contratación estatal.</w:t>
      </w:r>
    </w:p>
    <w:p w14:paraId="6950AACC" w14:textId="77777777" w:rsidR="00221F6C" w:rsidRPr="00725A15" w:rsidRDefault="00221F6C" w:rsidP="00221F6C">
      <w:pPr>
        <w:spacing w:after="0" w:line="240" w:lineRule="auto"/>
        <w:ind w:left="709" w:right="709"/>
        <w:contextualSpacing/>
        <w:jc w:val="both"/>
        <w:rPr>
          <w:rFonts w:ascii="Verdana" w:eastAsia="Calibri" w:hAnsi="Verdana" w:cs="Arial"/>
          <w:sz w:val="21"/>
          <w:szCs w:val="21"/>
        </w:rPr>
      </w:pPr>
    </w:p>
    <w:p w14:paraId="56B5513D" w14:textId="77777777" w:rsidR="00221F6C" w:rsidRPr="00725A15" w:rsidRDefault="00221F6C" w:rsidP="00221F6C">
      <w:pPr>
        <w:spacing w:after="0" w:line="240" w:lineRule="auto"/>
        <w:ind w:left="709" w:right="709"/>
        <w:contextualSpacing/>
        <w:jc w:val="both"/>
        <w:rPr>
          <w:rFonts w:ascii="Verdana" w:eastAsia="Calibri" w:hAnsi="Verdana" w:cs="Arial"/>
          <w:i/>
          <w:iCs/>
          <w:sz w:val="21"/>
          <w:szCs w:val="21"/>
        </w:rPr>
      </w:pPr>
      <w:r w:rsidRPr="00725A15">
        <w:rPr>
          <w:rFonts w:ascii="Verdana" w:eastAsia="Calibri" w:hAnsi="Verdana" w:cs="Arial"/>
          <w:i/>
          <w:iCs/>
          <w:sz w:val="21"/>
          <w:szCs w:val="21"/>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725A15">
        <w:rPr>
          <w:rFonts w:ascii="Verdana" w:eastAsia="Calibri" w:hAnsi="Verdana" w:cs="Arial"/>
          <w:i/>
          <w:iCs/>
          <w:sz w:val="21"/>
          <w:szCs w:val="21"/>
        </w:rPr>
        <w:t>postcontractual</w:t>
      </w:r>
      <w:proofErr w:type="spellEnd"/>
      <w:r w:rsidRPr="00725A15">
        <w:rPr>
          <w:rFonts w:ascii="Verdana" w:eastAsia="Calibri" w:hAnsi="Verdana" w:cs="Arial"/>
          <w:i/>
          <w:iCs/>
          <w:sz w:val="21"/>
          <w:szCs w:val="21"/>
        </w:rPr>
        <w:t>.</w:t>
      </w:r>
    </w:p>
    <w:p w14:paraId="04FA780A" w14:textId="77777777" w:rsidR="00221F6C" w:rsidRPr="00725A15" w:rsidRDefault="00221F6C" w:rsidP="00221F6C">
      <w:pPr>
        <w:spacing w:after="0" w:line="240" w:lineRule="auto"/>
        <w:ind w:left="709" w:right="709"/>
        <w:contextualSpacing/>
        <w:jc w:val="both"/>
        <w:rPr>
          <w:rFonts w:ascii="Verdana" w:eastAsia="Calibri" w:hAnsi="Verdana" w:cs="Arial"/>
          <w:sz w:val="21"/>
          <w:szCs w:val="21"/>
        </w:rPr>
      </w:pPr>
    </w:p>
    <w:p w14:paraId="17DBDA2C" w14:textId="77777777" w:rsidR="00221F6C" w:rsidRPr="00725A15" w:rsidRDefault="00221F6C" w:rsidP="00221F6C">
      <w:pPr>
        <w:spacing w:after="0" w:line="240" w:lineRule="auto"/>
        <w:ind w:left="709" w:right="709"/>
        <w:contextualSpacing/>
        <w:jc w:val="both"/>
        <w:rPr>
          <w:rFonts w:ascii="Verdana" w:eastAsia="Calibri" w:hAnsi="Verdana" w:cs="Arial"/>
          <w:sz w:val="21"/>
          <w:szCs w:val="21"/>
        </w:rPr>
      </w:pPr>
      <w:r w:rsidRPr="00725A15">
        <w:rPr>
          <w:rFonts w:ascii="Verdana" w:eastAsia="Calibri" w:hAnsi="Verdana" w:cs="Arial"/>
          <w:sz w:val="21"/>
          <w:szCs w:val="21"/>
        </w:rPr>
        <w:t xml:space="preserve">A partir de la </w:t>
      </w:r>
      <w:proofErr w:type="gramStart"/>
      <w:r w:rsidRPr="00725A15">
        <w:rPr>
          <w:rFonts w:ascii="Verdana" w:eastAsia="Calibri" w:hAnsi="Verdana" w:cs="Arial"/>
          <w:sz w:val="21"/>
          <w:szCs w:val="21"/>
        </w:rPr>
        <w:t>entrada en vigencia</w:t>
      </w:r>
      <w:proofErr w:type="gramEnd"/>
      <w:r w:rsidRPr="00725A15">
        <w:rPr>
          <w:rFonts w:ascii="Verdana" w:eastAsia="Calibri" w:hAnsi="Verdana" w:cs="Arial"/>
          <w:sz w:val="21"/>
          <w:szCs w:val="21"/>
        </w:rPr>
        <w:t xml:space="preserve"> de la presente Ley, se establecerá un periodo de transición de seis (6) meses, para que las entidades den cumplimiento efectivo a lo aquí establecido. (Cursiva fuera del original).</w:t>
      </w:r>
    </w:p>
    <w:p w14:paraId="684D88D9" w14:textId="77777777" w:rsidR="00221F6C" w:rsidRPr="00725A15" w:rsidRDefault="00221F6C" w:rsidP="00221F6C">
      <w:pPr>
        <w:spacing w:after="0" w:line="240" w:lineRule="auto"/>
        <w:ind w:firstLine="709"/>
        <w:contextualSpacing/>
        <w:jc w:val="both"/>
        <w:rPr>
          <w:rFonts w:ascii="Verdana" w:eastAsia="Calibri" w:hAnsi="Verdana"/>
          <w:lang w:val="es-ES_tradnl"/>
        </w:rPr>
      </w:pPr>
    </w:p>
    <w:p w14:paraId="0187D5E3" w14:textId="77E86C57" w:rsidR="00221F6C" w:rsidRPr="00725A15" w:rsidRDefault="00221F6C" w:rsidP="00221F6C">
      <w:pPr>
        <w:spacing w:after="120" w:line="276" w:lineRule="auto"/>
        <w:ind w:firstLine="709"/>
        <w:jc w:val="both"/>
        <w:rPr>
          <w:rFonts w:ascii="Verdana" w:eastAsia="Calibri" w:hAnsi="Verdana" w:cs="Arial"/>
          <w:lang w:val="es-ES_tradnl" w:eastAsia="es-ES_tradnl"/>
        </w:rPr>
      </w:pPr>
      <w:r w:rsidRPr="00725A15">
        <w:rPr>
          <w:rFonts w:ascii="Verdana" w:eastAsia="Calibri" w:hAnsi="Verdana" w:cs="Arial"/>
          <w:lang w:val="es-ES_tradnl"/>
        </w:rPr>
        <w:t xml:space="preserve">Cabe destacar que cuando la norma trascrita hace referencia a que el mencionado deber de publicidad debe cumplirse en el SECOP II o </w:t>
      </w:r>
      <w:r w:rsidR="00725A15">
        <w:rPr>
          <w:rFonts w:ascii="Verdana" w:hAnsi="Verdana" w:cs="Arial"/>
        </w:rPr>
        <w:t>“</w:t>
      </w:r>
      <w:r w:rsidRPr="00725A15">
        <w:rPr>
          <w:rFonts w:ascii="Verdana" w:eastAsia="Calibri" w:hAnsi="Verdana" w:cs="Arial"/>
          <w:lang w:val="es-ES_tradnl"/>
        </w:rPr>
        <w:t>la plataforma transaccional que haga sus veces</w:t>
      </w:r>
      <w:r w:rsidR="00725A15">
        <w:rPr>
          <w:rFonts w:ascii="Verdana" w:hAnsi="Verdana" w:cs="Arial"/>
        </w:rPr>
        <w:t>”</w:t>
      </w:r>
      <w:r w:rsidRPr="00725A15">
        <w:rPr>
          <w:rFonts w:ascii="Verdana" w:eastAsia="Calibri" w:hAnsi="Verdana" w:cs="Arial"/>
          <w:lang w:val="es-ES_tradnl"/>
        </w:rPr>
        <w:t xml:space="preserve">,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w:t>
      </w:r>
      <w:r w:rsidR="00725A15">
        <w:rPr>
          <w:rFonts w:ascii="Verdana" w:hAnsi="Verdana" w:cs="Arial"/>
        </w:rPr>
        <w:t>“</w:t>
      </w:r>
      <w:r w:rsidRPr="00725A15">
        <w:rPr>
          <w:rFonts w:ascii="Verdana" w:eastAsia="Calibri" w:hAnsi="Verdana" w:cs="Arial"/>
          <w:lang w:val="es-ES_tradnl"/>
        </w:rPr>
        <w:t>la plataforma que haga sus veces</w:t>
      </w:r>
      <w:r w:rsidR="00725A15">
        <w:rPr>
          <w:rFonts w:ascii="Verdana" w:hAnsi="Verdana" w:cs="Arial"/>
        </w:rPr>
        <w:t>”</w:t>
      </w:r>
      <w:r w:rsidRPr="00725A15">
        <w:rPr>
          <w:rFonts w:ascii="Verdana" w:eastAsia="Calibri" w:hAnsi="Verdana" w:cs="Arial"/>
          <w:lang w:val="es-ES_tradnl"/>
        </w:rPr>
        <w:t xml:space="preserve"> no puede interpretarse como una autorización para que las entidades obligadas en virtud del artículo 53 de la Ley 2195 de 2022 pueden emplear sus páginas web o sus propios portales electrónicos para cumplir con el deber de publicidad que les asiste. </w:t>
      </w:r>
      <w:r w:rsidRPr="00725A15">
        <w:rPr>
          <w:rFonts w:ascii="Verdana" w:eastAsia="Calibri" w:hAnsi="Verdana" w:cs="Arial"/>
          <w:lang w:val="es-ES_tradnl" w:eastAsia="es-ES_tradnl"/>
        </w:rPr>
        <w:t>Con esto se logra que la ciudadanía pueda encontrar en un mismo sistema la gestión de la actividad contractual del Estado, garantizándose en mayor grado la transparencia y el acceso a la documentación pública.</w:t>
      </w:r>
    </w:p>
    <w:p w14:paraId="53250BE7" w14:textId="73BFC444" w:rsidR="00221F6C" w:rsidRPr="00725A15" w:rsidRDefault="00221F6C" w:rsidP="6A56FCEA">
      <w:pPr>
        <w:spacing w:before="120" w:after="120" w:line="276" w:lineRule="auto"/>
        <w:ind w:firstLine="709"/>
        <w:jc w:val="both"/>
        <w:rPr>
          <w:rFonts w:ascii="Verdana" w:eastAsia="Calibri" w:hAnsi="Verdana" w:cs="Arial"/>
          <w:lang w:val="es-ES"/>
        </w:rPr>
      </w:pPr>
      <w:bookmarkStart w:id="7" w:name="_Hlk109111956"/>
      <w:r w:rsidRPr="6A56FCEA">
        <w:rPr>
          <w:rFonts w:ascii="Verdana" w:eastAsia="Calibri" w:hAnsi="Verdana" w:cs="Arial"/>
          <w:lang w:val="es-ES"/>
        </w:rPr>
        <w:t xml:space="preserve">En cuanto a los documentos que deben ser publicados en el SECOP II a efectos de dar cumplimiento al mandato consagrado en el artículo 53 de la Ley 2195 de 2022, es preciso advertir que la disposición hace referencia a los documentos relacionados con su </w:t>
      </w:r>
      <w:r w:rsidRPr="6A56FCEA">
        <w:rPr>
          <w:rFonts w:ascii="Verdana" w:eastAsia="Calibri" w:hAnsi="Verdana" w:cs="Arial"/>
          <w:i/>
          <w:iCs/>
          <w:lang w:val="es-ES"/>
        </w:rPr>
        <w:t>actividad contractual,</w:t>
      </w:r>
      <w:r w:rsidRPr="6A56FCEA">
        <w:rPr>
          <w:rFonts w:ascii="Verdana" w:eastAsia="Calibri" w:hAnsi="Verdana" w:cs="Arial"/>
          <w:lang w:val="es-ES"/>
        </w:rPr>
        <w:t xml:space="preserve"> la cual define como </w:t>
      </w:r>
      <w:r w:rsidR="00725A15" w:rsidRPr="6A56FCEA">
        <w:rPr>
          <w:rFonts w:ascii="Verdana" w:eastAsia="Calibri" w:hAnsi="Verdana" w:cs="Arial"/>
          <w:lang w:val="es-ES"/>
        </w:rPr>
        <w:t>“</w:t>
      </w:r>
      <w:r w:rsidRPr="6A56FCEA">
        <w:rPr>
          <w:rFonts w:ascii="Verdana" w:eastAsia="Calibri" w:hAnsi="Verdana" w:cs="Arial"/>
          <w:lang w:val="es-ES"/>
        </w:rPr>
        <w:t>[…] los documentos, contratos, actos e información generada por oferentes, contratista, contratante, supervisor o interventor, tanto en la etapa precontractual, como en la contractual y la postcontractual</w:t>
      </w:r>
      <w:r w:rsidR="00725A15" w:rsidRPr="6A56FCEA">
        <w:rPr>
          <w:rFonts w:ascii="Verdana" w:eastAsia="Calibri" w:hAnsi="Verdana" w:cs="Arial"/>
          <w:lang w:val="es-ES"/>
        </w:rPr>
        <w:t>”</w:t>
      </w:r>
      <w:r w:rsidRPr="6A56FCEA">
        <w:rPr>
          <w:rFonts w:ascii="Verdana" w:eastAsia="Calibri" w:hAnsi="Verdana" w:cs="Arial"/>
          <w:lang w:val="es-ES"/>
        </w:rPr>
        <w:t xml:space="preserve">. En ese sentido, el </w:t>
      </w:r>
      <w:r w:rsidRPr="6A56FCEA">
        <w:rPr>
          <w:rFonts w:ascii="Verdana" w:eastAsia="Calibri" w:hAnsi="Verdana" w:cs="Arial"/>
          <w:lang w:val="es-ES"/>
        </w:rPr>
        <w:lastRenderedPageBreak/>
        <w:t xml:space="preserve">artículo 53 de la Ley 2195 de 2022 establece el deber de publicar toda aquella información relacionada con el respectivo contrato, sin incluir ninguna excepción relacionada con la naturaleza u objeto contractual, por lo que no puede colegirse que los procesos de contratación relacionados con asuntos </w:t>
      </w:r>
      <w:r w:rsidR="00725A15" w:rsidRPr="6A56FCEA">
        <w:rPr>
          <w:rFonts w:ascii="Verdana" w:eastAsia="Calibri" w:hAnsi="Verdana" w:cs="Arial"/>
          <w:i/>
          <w:iCs/>
          <w:lang w:val="es-ES"/>
        </w:rPr>
        <w:t>“</w:t>
      </w:r>
      <w:r w:rsidRPr="6A56FCEA">
        <w:rPr>
          <w:rFonts w:ascii="Verdana" w:eastAsia="Calibri" w:hAnsi="Verdana" w:cs="Arial"/>
          <w:i/>
          <w:iCs/>
          <w:lang w:val="es-ES"/>
        </w:rPr>
        <w:t>no misionales</w:t>
      </w:r>
      <w:r w:rsidR="00725A15" w:rsidRPr="6A56FCEA">
        <w:rPr>
          <w:rFonts w:ascii="Verdana" w:eastAsia="Calibri" w:hAnsi="Verdana" w:cs="Arial"/>
          <w:i/>
          <w:iCs/>
          <w:lang w:val="es-ES"/>
        </w:rPr>
        <w:t>”</w:t>
      </w:r>
      <w:r w:rsidRPr="6A56FCEA">
        <w:rPr>
          <w:rFonts w:ascii="Verdana" w:eastAsia="Calibri" w:hAnsi="Verdana" w:cs="Arial"/>
          <w:lang w:val="es-ES"/>
        </w:rPr>
        <w:t xml:space="preserve"> estén </w:t>
      </w:r>
      <w:r w:rsidRPr="6A56FCEA">
        <w:rPr>
          <w:rFonts w:ascii="Verdana" w:eastAsia="Calibri" w:hAnsi="Verdana" w:cs="Arial"/>
          <w:i/>
          <w:iCs/>
          <w:lang w:val="es-ES"/>
        </w:rPr>
        <w:t>per se</w:t>
      </w:r>
      <w:r w:rsidRPr="6A56FCEA">
        <w:rPr>
          <w:rFonts w:ascii="Verdana" w:eastAsia="Calibri" w:hAnsi="Verdana" w:cs="Arial"/>
          <w:lang w:val="es-ES"/>
        </w:rPr>
        <w:t xml:space="preserve"> excluidos del deber de publicidad. </w:t>
      </w:r>
    </w:p>
    <w:bookmarkEnd w:id="7"/>
    <w:p w14:paraId="3B08AF38" w14:textId="77777777" w:rsidR="00725A15" w:rsidRPr="00725A15" w:rsidRDefault="00725A15" w:rsidP="00725A15">
      <w:pPr>
        <w:spacing w:after="120" w:line="276" w:lineRule="auto"/>
        <w:ind w:firstLine="360"/>
        <w:jc w:val="both"/>
        <w:rPr>
          <w:rFonts w:ascii="Verdana" w:eastAsia="Calibri" w:hAnsi="Verdana" w:cs="Arial"/>
          <w:lang w:val="es-ES_tradnl" w:eastAsia="es-ES_tradnl"/>
        </w:rPr>
      </w:pPr>
      <w:r w:rsidRPr="00725A15">
        <w:rPr>
          <w:rFonts w:ascii="Verdana" w:eastAsia="Calibri" w:hAnsi="Verdana" w:cs="Arial"/>
          <w:lang w:val="es-ES_tradnl" w:eastAsia="es-ES_tradnl"/>
        </w:rPr>
        <w:t>Con el propósito de garantizar el cumplimiento del mencionado deber de publicidad, la Agencia Nacional de Contratación Pública - Colombia Compra Eficiente, en su calidad de administrador del SECOP, en los términos establecidos en el numeral 8 del artículo 3 del Decreto-Ley 4170</w:t>
      </w:r>
      <w:r w:rsidRPr="00725A15">
        <w:rPr>
          <w:rFonts w:ascii="Verdana" w:eastAsia="Calibri" w:hAnsi="Verdana" w:cs="Arial"/>
          <w:vertAlign w:val="superscript"/>
          <w:lang w:val="es-ES_tradnl" w:eastAsia="es-ES_tradnl"/>
        </w:rPr>
        <w:footnoteReference w:id="8"/>
      </w:r>
      <w:r w:rsidRPr="00725A15">
        <w:rPr>
          <w:rFonts w:ascii="Verdana" w:eastAsia="Calibri" w:hAnsi="Verdana" w:cs="Arial"/>
          <w:lang w:val="es-ES_tradnl" w:eastAsia="es-ES_tradnl"/>
        </w:rPr>
        <w:t>, tiene dispuesto dos módulos para las entidades estatales con régimen especial, los cuales son:</w:t>
      </w:r>
    </w:p>
    <w:p w14:paraId="5736DD79" w14:textId="77777777" w:rsidR="00725A15" w:rsidRPr="00725A15" w:rsidRDefault="00725A15" w:rsidP="00725A15">
      <w:pPr>
        <w:numPr>
          <w:ilvl w:val="0"/>
          <w:numId w:val="20"/>
        </w:numPr>
        <w:spacing w:after="120" w:line="276" w:lineRule="auto"/>
        <w:jc w:val="both"/>
        <w:rPr>
          <w:rFonts w:ascii="Verdana" w:hAnsi="Verdana" w:cs="Arial"/>
          <w:u w:val="single"/>
          <w:lang w:val="es-MX" w:eastAsia="es-ES"/>
        </w:rPr>
      </w:pPr>
      <w:r w:rsidRPr="00725A15">
        <w:rPr>
          <w:rFonts w:ascii="Verdana" w:eastAsia="Times New Roman" w:hAnsi="Verdana" w:cs="Arial"/>
          <w:b/>
          <w:bCs/>
          <w:lang w:val="es-MX" w:eastAsia="es-ES"/>
        </w:rPr>
        <w:t>Contratación Régimen Especial (con ofertas)</w:t>
      </w:r>
      <w:r w:rsidRPr="00725A15">
        <w:rPr>
          <w:rFonts w:ascii="Verdana" w:eastAsia="Calibri" w:hAnsi="Verdana" w:cs="Arial"/>
          <w:iCs/>
          <w:vertAlign w:val="superscript"/>
          <w:lang w:val="es-ES"/>
        </w:rPr>
        <w:footnoteReference w:id="9"/>
      </w:r>
      <w:r w:rsidRPr="00725A15">
        <w:rPr>
          <w:rFonts w:ascii="Verdana" w:eastAsia="Times New Roman" w:hAnsi="Verdana" w:cs="Arial"/>
          <w:b/>
          <w:bCs/>
          <w:lang w:val="es-MX" w:eastAsia="es-ES"/>
        </w:rPr>
        <w:t>:</w:t>
      </w:r>
      <w:r w:rsidRPr="00725A15">
        <w:rPr>
          <w:rFonts w:ascii="Verdana" w:eastAsia="Times New Roman" w:hAnsi="Verdana" w:cs="Arial"/>
          <w:lang w:val="es-MX" w:eastAsia="es-ES"/>
        </w:rPr>
        <w:t xml:space="preserve"> Permite a las entidades gestionar sus procesos competitivos de contratación. Mediante este módulo las entidades pueden adelantar el proceso de contratación de manera transaccional, es decir, que </w:t>
      </w:r>
      <w:r w:rsidRPr="00725A15">
        <w:rPr>
          <w:rFonts w:ascii="Verdana" w:eastAsia="Times New Roman" w:hAnsi="Verdana" w:cs="Arial"/>
          <w:lang w:val="es-MX" w:eastAsia="es-CO"/>
        </w:rPr>
        <w:t xml:space="preserve">a través de este módulo las entidades estatales pueden estructurar el proceso de contratación, recibir ofertas de los proveedores, generar el contrato de electrónico y realizar la gestión contractual. </w:t>
      </w:r>
    </w:p>
    <w:p w14:paraId="6EDB42EC" w14:textId="77777777" w:rsidR="00725A15" w:rsidRPr="00725A15" w:rsidRDefault="00725A15" w:rsidP="00725A15">
      <w:pPr>
        <w:numPr>
          <w:ilvl w:val="0"/>
          <w:numId w:val="20"/>
        </w:numPr>
        <w:spacing w:after="120" w:line="276" w:lineRule="auto"/>
        <w:jc w:val="both"/>
        <w:rPr>
          <w:rFonts w:ascii="Verdana" w:hAnsi="Verdana" w:cs="Arial"/>
          <w:u w:val="single"/>
          <w:lang w:val="es-MX" w:eastAsia="es-ES"/>
        </w:rPr>
      </w:pPr>
      <w:r w:rsidRPr="00725A15">
        <w:rPr>
          <w:rFonts w:ascii="Verdana" w:eastAsia="Times New Roman" w:hAnsi="Verdana" w:cs="Arial"/>
          <w:b/>
          <w:bCs/>
          <w:lang w:val="es-MX" w:eastAsia="es-ES"/>
        </w:rPr>
        <w:t>Contratación Régimen Especial (sin ofertas)</w:t>
      </w:r>
      <w:r w:rsidRPr="00725A15">
        <w:rPr>
          <w:rFonts w:ascii="Verdana" w:eastAsia="Calibri" w:hAnsi="Verdana" w:cs="Arial"/>
          <w:iCs/>
          <w:vertAlign w:val="superscript"/>
          <w:lang w:val="es-ES"/>
        </w:rPr>
        <w:footnoteReference w:id="10"/>
      </w:r>
      <w:r w:rsidRPr="00725A15">
        <w:rPr>
          <w:rFonts w:ascii="Verdana" w:eastAsia="Times New Roman" w:hAnsi="Verdana" w:cs="Arial"/>
          <w:b/>
          <w:bCs/>
          <w:lang w:val="es-MX" w:eastAsia="es-ES"/>
        </w:rPr>
        <w:t>:</w:t>
      </w:r>
      <w:r w:rsidRPr="00725A15">
        <w:rPr>
          <w:rFonts w:ascii="Verdana" w:eastAsia="Times New Roman" w:hAnsi="Verdana" w:cs="Arial"/>
          <w:lang w:val="es-MX" w:eastAsia="es-ES"/>
        </w:rPr>
        <w:t xml:space="preserve"> Este módulo permite a las entidades gestionar sus procesos de selección directos. Asimismo, este módulo </w:t>
      </w:r>
      <w:r w:rsidRPr="00725A15">
        <w:rPr>
          <w:rFonts w:ascii="Verdana" w:hAnsi="Verdana" w:cs="Arial"/>
          <w:lang w:val="es-MX"/>
        </w:rPr>
        <w:t xml:space="preserve">permite estructurar los procesos de contratación, publicar documentos generados por fuera de la plataforma y realizar la gestión contractual en línea. </w:t>
      </w:r>
    </w:p>
    <w:p w14:paraId="6CA33B03" w14:textId="77777777" w:rsidR="00725A15" w:rsidRPr="00725A15" w:rsidRDefault="00725A15" w:rsidP="00725A15">
      <w:pPr>
        <w:autoSpaceDE w:val="0"/>
        <w:autoSpaceDN w:val="0"/>
        <w:adjustRightInd w:val="0"/>
        <w:spacing w:after="120" w:line="276" w:lineRule="auto"/>
        <w:ind w:firstLine="708"/>
        <w:jc w:val="both"/>
        <w:rPr>
          <w:rFonts w:ascii="Verdana" w:eastAsia="Calibri" w:hAnsi="Verdana" w:cs="Arial"/>
          <w:iCs/>
          <w:lang w:val="es-ES" w:eastAsia="es-ES_tradnl"/>
        </w:rPr>
      </w:pPr>
      <w:r w:rsidRPr="00725A15">
        <w:rPr>
          <w:rFonts w:ascii="Verdana" w:eastAsia="Calibri" w:hAnsi="Verdana" w:cs="Arial"/>
          <w:iCs/>
          <w:lang w:val="es-ES" w:eastAsia="es-ES_tradnl"/>
        </w:rPr>
        <w:t xml:space="preserve">Ahora bien, </w:t>
      </w:r>
      <w:bookmarkStart w:id="8" w:name="_Hlk109112150"/>
      <w:r w:rsidRPr="00725A15">
        <w:rPr>
          <w:rFonts w:ascii="Verdana" w:eastAsia="Calibri" w:hAnsi="Verdana" w:cs="Arial"/>
          <w:iCs/>
          <w:lang w:val="es-ES" w:eastAsia="es-ES_tradnl"/>
        </w:rPr>
        <w:t xml:space="preserve">dado que el artículo 53 de la Ley 2195 de 2022 no cambió la forma en que se perfeccionan los contratos suscritos por estas entidades </w:t>
      </w:r>
      <w:r w:rsidRPr="00725A15">
        <w:rPr>
          <w:rFonts w:ascii="Verdana" w:eastAsia="Calibri" w:hAnsi="Verdana" w:cs="Arial"/>
          <w:iCs/>
          <w:lang w:val="es-ES" w:eastAsia="es-ES_tradnl"/>
        </w:rPr>
        <w:lastRenderedPageBreak/>
        <w:t>exceptuadas, para cumplir con el deber de publicidad que les asiste, estas podrán elegir cualquiera de las siguientes opciones:</w:t>
      </w:r>
    </w:p>
    <w:p w14:paraId="4D1BD5DB" w14:textId="77777777" w:rsidR="00725A15" w:rsidRPr="00725A15" w:rsidRDefault="00725A15" w:rsidP="00725A15">
      <w:pPr>
        <w:numPr>
          <w:ilvl w:val="0"/>
          <w:numId w:val="19"/>
        </w:numPr>
        <w:autoSpaceDE w:val="0"/>
        <w:autoSpaceDN w:val="0"/>
        <w:adjustRightInd w:val="0"/>
        <w:spacing w:after="120" w:line="276" w:lineRule="auto"/>
        <w:jc w:val="both"/>
        <w:rPr>
          <w:rFonts w:ascii="Verdana" w:eastAsia="Calibri" w:hAnsi="Verdana" w:cs="Arial"/>
          <w:iCs/>
          <w:lang w:val="es-ES"/>
        </w:rPr>
      </w:pPr>
      <w:r w:rsidRPr="00725A15">
        <w:rPr>
          <w:rFonts w:ascii="Verdana" w:hAnsi="Verdana" w:cs="Arial"/>
          <w:lang w:val="es-ES"/>
        </w:rPr>
        <w:t>F</w:t>
      </w:r>
      <w:proofErr w:type="spellStart"/>
      <w:r w:rsidRPr="00725A15">
        <w:rPr>
          <w:rFonts w:ascii="Verdana" w:hAnsi="Verdana" w:cs="Arial"/>
          <w:lang w:val="es-MX"/>
        </w:rPr>
        <w:t>irmar</w:t>
      </w:r>
      <w:proofErr w:type="spellEnd"/>
      <w:r w:rsidRPr="00725A15">
        <w:rPr>
          <w:rFonts w:ascii="Verdana" w:hAnsi="Verdana" w:cs="Arial"/>
          <w:lang w:val="es-MX"/>
        </w:rPr>
        <w:t xml:space="preserve"> el contrato electrónicamente, es decir, realizar un uso transaccional de la plataforma.</w:t>
      </w:r>
    </w:p>
    <w:p w14:paraId="3FE7FE76" w14:textId="77777777" w:rsidR="00725A15" w:rsidRPr="00725A15" w:rsidRDefault="00725A15" w:rsidP="00725A15">
      <w:pPr>
        <w:numPr>
          <w:ilvl w:val="0"/>
          <w:numId w:val="19"/>
        </w:numPr>
        <w:autoSpaceDE w:val="0"/>
        <w:autoSpaceDN w:val="0"/>
        <w:adjustRightInd w:val="0"/>
        <w:spacing w:after="120" w:line="276" w:lineRule="auto"/>
        <w:jc w:val="both"/>
        <w:rPr>
          <w:rFonts w:ascii="Verdana" w:hAnsi="Verdana" w:cs="Arial"/>
          <w:lang w:val="es-MX"/>
        </w:rPr>
      </w:pPr>
      <w:r w:rsidRPr="00725A15">
        <w:rPr>
          <w:rFonts w:ascii="Verdana" w:hAnsi="Verdana" w:cs="Arial"/>
          <w:lang w:val="es-MX"/>
        </w:rPr>
        <w:t>Firmar el contrato en físico y publica los documentos de ejecución en la etapa precontractual del SECOP II, es decir, realizar un uso publicitario de la plataforma.</w:t>
      </w:r>
    </w:p>
    <w:p w14:paraId="4219CEC8" w14:textId="109CFC86" w:rsidR="00725A15" w:rsidRPr="00725A15" w:rsidRDefault="00725A15" w:rsidP="00725A15">
      <w:pPr>
        <w:autoSpaceDE w:val="0"/>
        <w:autoSpaceDN w:val="0"/>
        <w:adjustRightInd w:val="0"/>
        <w:spacing w:after="120" w:line="276" w:lineRule="auto"/>
        <w:ind w:firstLine="708"/>
        <w:jc w:val="both"/>
        <w:rPr>
          <w:rFonts w:ascii="Verdana" w:eastAsia="Times New Roman" w:hAnsi="Verdana" w:cs="Arial"/>
          <w:lang w:eastAsia="es-ES_tradnl"/>
        </w:rPr>
      </w:pPr>
      <w:r w:rsidRPr="00725A15">
        <w:rPr>
          <w:rFonts w:ascii="Verdana" w:eastAsia="Times New Roman" w:hAnsi="Verdana" w:cs="Arial"/>
          <w:lang w:eastAsia="es-ES_tradnl"/>
        </w:rPr>
        <w:t xml:space="preserve">En el primer caso, si la entidad opta por hacer uso de la plataforma de manera transaccional (firmando el contrato electrónicamente), deberá utilizar el módulo de </w:t>
      </w:r>
      <w:r>
        <w:rPr>
          <w:rFonts w:ascii="Verdana" w:eastAsia="Times New Roman" w:hAnsi="Verdana" w:cs="Arial"/>
          <w:lang w:eastAsia="es-ES_tradnl"/>
        </w:rPr>
        <w:t>“</w:t>
      </w:r>
      <w:r w:rsidRPr="00725A15">
        <w:rPr>
          <w:rFonts w:ascii="Verdana" w:eastAsia="Times New Roman" w:hAnsi="Verdana" w:cs="Arial"/>
          <w:lang w:eastAsia="es-ES_tradnl"/>
        </w:rPr>
        <w:t>Contratación Régimen Especial</w:t>
      </w:r>
      <w:r>
        <w:rPr>
          <w:rFonts w:ascii="Verdana" w:eastAsia="Times New Roman" w:hAnsi="Verdana" w:cs="Arial"/>
          <w:lang w:eastAsia="es-ES_tradnl"/>
        </w:rPr>
        <w:t>”</w:t>
      </w:r>
      <w:r w:rsidRPr="00725A15">
        <w:rPr>
          <w:rFonts w:ascii="Verdana" w:eastAsia="Times New Roman" w:hAnsi="Verdana" w:cs="Arial"/>
          <w:lang w:eastAsia="es-ES_tradnl"/>
        </w:rPr>
        <w:t>, estructurar el proceso de contratación, generar el contrato electrónico y realizar la gestión contractual en línea a través de la plataforma.</w:t>
      </w:r>
    </w:p>
    <w:p w14:paraId="731EA74B" w14:textId="48EAF4D9" w:rsidR="00725A15" w:rsidRPr="00725A15" w:rsidRDefault="00725A15" w:rsidP="00725A15">
      <w:pPr>
        <w:autoSpaceDE w:val="0"/>
        <w:autoSpaceDN w:val="0"/>
        <w:adjustRightInd w:val="0"/>
        <w:spacing w:after="120" w:line="276" w:lineRule="auto"/>
        <w:ind w:firstLine="357"/>
        <w:jc w:val="both"/>
        <w:rPr>
          <w:rFonts w:ascii="Verdana" w:eastAsia="Times New Roman" w:hAnsi="Verdana" w:cs="Arial"/>
          <w:lang w:eastAsia="es-ES_tradnl"/>
        </w:rPr>
      </w:pPr>
      <w:r w:rsidRPr="00725A15">
        <w:rPr>
          <w:rFonts w:ascii="Verdana" w:eastAsia="Times New Roman" w:hAnsi="Verdana" w:cs="Arial"/>
          <w:lang w:eastAsia="es-ES_tradnl"/>
        </w:rPr>
        <w:t xml:space="preserve">En el segundo caso, si decide utilizar el SECOP II como herramienta de publicidad, deberá crear el proceso de contratación en el SECOP II mediante el módulo </w:t>
      </w:r>
      <w:r>
        <w:rPr>
          <w:rFonts w:ascii="Verdana" w:eastAsia="Times New Roman" w:hAnsi="Verdana" w:cs="Arial"/>
          <w:lang w:eastAsia="es-ES_tradnl"/>
        </w:rPr>
        <w:t>“</w:t>
      </w:r>
      <w:r w:rsidRPr="00725A15">
        <w:rPr>
          <w:rFonts w:ascii="Verdana" w:eastAsia="Times New Roman" w:hAnsi="Verdana" w:cs="Arial"/>
          <w:i/>
          <w:iCs/>
          <w:lang w:eastAsia="es-ES_tradnl"/>
        </w:rPr>
        <w:t>Contratación Régimen Especial (sin ofertas)</w:t>
      </w:r>
      <w:r>
        <w:rPr>
          <w:rFonts w:ascii="Verdana" w:eastAsia="Times New Roman" w:hAnsi="Verdana" w:cs="Arial"/>
          <w:i/>
          <w:iCs/>
          <w:lang w:eastAsia="es-ES_tradnl"/>
        </w:rPr>
        <w:t>”</w:t>
      </w:r>
      <w:r w:rsidRPr="00725A15">
        <w:rPr>
          <w:rFonts w:ascii="Verdana" w:eastAsia="Times New Roman" w:hAnsi="Verdana" w:cs="Arial"/>
          <w:lang w:eastAsia="es-ES_tradnl"/>
        </w:rPr>
        <w:t xml:space="preserve">, cargar todos los documentos del proceso en la sección dispuesta para ello y publicar el proceso. La publicación de los documentos de la gestión contractual, incluido el contrato firmado manuscritamente, se debe realizar mediante modificaciones al proceso a través de la opción “Modificaciones/Adendas”. Sin embargo, las entidades públicas deberán tener en cuenta </w:t>
      </w:r>
      <w:proofErr w:type="gramStart"/>
      <w:r w:rsidRPr="00725A15">
        <w:rPr>
          <w:rFonts w:ascii="Verdana" w:eastAsia="Times New Roman" w:hAnsi="Verdana" w:cs="Arial"/>
          <w:lang w:eastAsia="es-ES_tradnl"/>
        </w:rPr>
        <w:t>que</w:t>
      </w:r>
      <w:proofErr w:type="gramEnd"/>
      <w:r w:rsidRPr="00725A15">
        <w:rPr>
          <w:rFonts w:ascii="Verdana" w:eastAsia="Times New Roman" w:hAnsi="Verdana" w:cs="Arial"/>
          <w:lang w:eastAsia="es-ES_tradnl"/>
        </w:rPr>
        <w:t xml:space="preserve"> si utilizan esta opción, no deben dar clic en “</w:t>
      </w:r>
      <w:r w:rsidRPr="00725A15">
        <w:rPr>
          <w:rFonts w:ascii="Verdana" w:eastAsia="Times New Roman" w:hAnsi="Verdana" w:cs="Arial"/>
          <w:i/>
          <w:iCs/>
          <w:lang w:eastAsia="es-ES_tradnl"/>
        </w:rPr>
        <w:t>Finalizar</w:t>
      </w:r>
      <w:r w:rsidRPr="00725A15">
        <w:rPr>
          <w:rFonts w:ascii="Verdana" w:eastAsia="Times New Roman" w:hAnsi="Verdana" w:cs="Arial"/>
          <w:lang w:eastAsia="es-ES_tradnl"/>
        </w:rPr>
        <w:t>” después de publicar el proceso, en tanto que la plataforma cierra el expediente y no permite la publicación posterior de ningún otro documento.</w:t>
      </w:r>
    </w:p>
    <w:bookmarkEnd w:id="8"/>
    <w:p w14:paraId="0734DECF" w14:textId="77777777" w:rsidR="0056680B" w:rsidRDefault="00725A15" w:rsidP="00725A15">
      <w:pPr>
        <w:spacing w:after="120" w:line="276" w:lineRule="auto"/>
        <w:ind w:firstLine="709"/>
        <w:jc w:val="both"/>
        <w:rPr>
          <w:rFonts w:ascii="Verdana" w:eastAsia="Calibri" w:hAnsi="Verdana" w:cs="Arial"/>
          <w:lang w:val="es-ES"/>
        </w:rPr>
      </w:pPr>
      <w:r w:rsidRPr="00725A15">
        <w:rPr>
          <w:rFonts w:ascii="Verdana" w:eastAsia="Calibri" w:hAnsi="Verdana" w:cs="Arial"/>
          <w:lang w:val="es-ES_tradnl" w:eastAsia="es-ES_tradnl"/>
        </w:rPr>
        <w:t xml:space="preserve">Ahora bien, respecto al término para publicar los documentos en el SECOP II, debe señalarse, tal y como se expuso en el numeral anterior, que </w:t>
      </w:r>
      <w:r w:rsidRPr="00725A15">
        <w:rPr>
          <w:rFonts w:ascii="Verdana" w:eastAsia="Calibri" w:hAnsi="Verdana" w:cs="Arial"/>
          <w:lang w:val="es-ES"/>
        </w:rPr>
        <w:t xml:space="preserve">el deber de publicar los documentos relacionados con la contratación también se encuentra regulado en la Ley 1712 de 2014, que señala en el literal g) del artículo 11, que todo sujeto obligado debe publicar sus procedimientos, lineamientos, políticas en materia de adquisiciones y compras, así como todos los datos de adjudicación y ejecución de sus contratos. Esta obligación, en principio, fue reglamentada por el Decreto 103 de 2015, hoy compilado en el Decreto 1081 de 2015. Este último señala en el artículo 2.1.1.2.1.7, que las entidades deberán publicar en el SECOP </w:t>
      </w:r>
      <w:r w:rsidRPr="00725A15">
        <w:rPr>
          <w:rFonts w:ascii="Verdana" w:hAnsi="Verdana" w:cs="Arial"/>
          <w:lang w:val="es-ES"/>
        </w:rPr>
        <w:t>la información de su gestión contractual</w:t>
      </w:r>
      <w:r w:rsidRPr="00725A15">
        <w:rPr>
          <w:rStyle w:val="Refdenotaalpie"/>
          <w:rFonts w:ascii="Verdana" w:hAnsi="Verdana" w:cs="Arial"/>
          <w:lang w:val="es-ES"/>
        </w:rPr>
        <w:footnoteReference w:id="11"/>
      </w:r>
      <w:r w:rsidRPr="00725A15">
        <w:rPr>
          <w:rFonts w:ascii="Verdana" w:eastAsia="Calibri" w:hAnsi="Verdana" w:cs="Arial"/>
          <w:lang w:val="es-ES"/>
        </w:rPr>
        <w:t xml:space="preserve">. Asimismo, este precepto consagra </w:t>
      </w:r>
      <w:r w:rsidRPr="00725A15">
        <w:rPr>
          <w:rFonts w:ascii="Verdana" w:eastAsia="Calibri" w:hAnsi="Verdana" w:cs="Arial"/>
          <w:lang w:val="es-ES"/>
        </w:rPr>
        <w:lastRenderedPageBreak/>
        <w:t xml:space="preserve">que: </w:t>
      </w:r>
      <w:r>
        <w:rPr>
          <w:rFonts w:ascii="Verdana" w:eastAsia="Calibri" w:hAnsi="Verdana" w:cs="Arial"/>
          <w:lang w:val="es-ES"/>
        </w:rPr>
        <w:t>“</w:t>
      </w:r>
      <w:r w:rsidRPr="00725A15">
        <w:rPr>
          <w:rFonts w:ascii="Verdana" w:eastAsia="Calibri" w:hAnsi="Verdana" w:cs="Arial"/>
          <w:lang w:val="es-ES"/>
        </w:rPr>
        <w:t>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r>
        <w:rPr>
          <w:rFonts w:ascii="Verdana" w:eastAsia="Calibri" w:hAnsi="Verdana" w:cs="Arial"/>
          <w:lang w:val="es-ES"/>
        </w:rPr>
        <w:t>”</w:t>
      </w:r>
      <w:r w:rsidRPr="00725A15">
        <w:rPr>
          <w:rFonts w:ascii="Verdana" w:eastAsia="Calibri" w:hAnsi="Verdana" w:cs="Arial"/>
          <w:lang w:val="es-ES"/>
        </w:rPr>
        <w:t xml:space="preserve">. </w:t>
      </w:r>
    </w:p>
    <w:p w14:paraId="3E65BF3D" w14:textId="1254711C" w:rsidR="00725A15" w:rsidRPr="0056680B" w:rsidRDefault="00725A15" w:rsidP="0056680B">
      <w:pPr>
        <w:spacing w:after="120" w:line="276" w:lineRule="auto"/>
        <w:ind w:firstLine="709"/>
        <w:jc w:val="both"/>
        <w:rPr>
          <w:rFonts w:ascii="Verdana" w:eastAsia="Calibri" w:hAnsi="Verdana" w:cs="Arial"/>
          <w:lang w:val="es-ES_tradnl"/>
        </w:rPr>
      </w:pPr>
      <w:r w:rsidRPr="00725A15">
        <w:rPr>
          <w:rFonts w:ascii="Verdana" w:eastAsia="Calibri" w:hAnsi="Verdana" w:cs="Arial"/>
          <w:lang w:val="es-ES"/>
        </w:rPr>
        <w:t xml:space="preserve">En armonía con lo anterior, el inciso segundo de dicho artículo precisa el momento para realizar la publicación, remitiendo al mismo plazo establecido en el artículo 2.2.1.1.1.7.1 del Decreto 1082 de 2015, esto es, dentro de los tres (3) días siguientes a la expedición del documento. En efecto, el inciso indicado establece: </w:t>
      </w:r>
      <w:r>
        <w:rPr>
          <w:rFonts w:ascii="Verdana" w:eastAsia="Calibri" w:hAnsi="Verdana" w:cs="Arial"/>
          <w:lang w:val="es-ES"/>
        </w:rPr>
        <w:t>“</w:t>
      </w:r>
      <w:r w:rsidRPr="00725A15">
        <w:rPr>
          <w:rFonts w:ascii="Verdana" w:eastAsia="Calibri" w:hAnsi="Verdana" w:cs="Arial"/>
          <w:lang w:val="es-ES"/>
        </w:rPr>
        <w:t>Los sujetos obligados que contratan con cargo a recursos públicos deben publicar la información de su gestión contractual en el plazo previsto en el artículo 19 del Decreto 1510 de 2013, o el que lo modifique, sustituya o adicione</w:t>
      </w:r>
      <w:r>
        <w:rPr>
          <w:rFonts w:ascii="Verdana" w:eastAsia="Calibri" w:hAnsi="Verdana" w:cs="Arial"/>
          <w:lang w:val="es-ES"/>
        </w:rPr>
        <w:t>”</w:t>
      </w:r>
      <w:r w:rsidRPr="00725A15">
        <w:rPr>
          <w:rFonts w:ascii="Verdana" w:eastAsia="Calibri" w:hAnsi="Verdana" w:cs="Arial"/>
          <w:lang w:val="es-ES"/>
        </w:rPr>
        <w:t xml:space="preserve">. Cabe aclarar que el artículo 19 indicado fue compilado en el artículo 2.2.1.1.1.7.1 del Decreto 1082 de 2015. </w:t>
      </w:r>
    </w:p>
    <w:p w14:paraId="60664AD2" w14:textId="7FB55CCE" w:rsidR="00725A15" w:rsidRDefault="00725A15" w:rsidP="00725A15">
      <w:pPr>
        <w:spacing w:after="0" w:line="276" w:lineRule="auto"/>
        <w:ind w:firstLine="708"/>
        <w:contextualSpacing/>
        <w:jc w:val="both"/>
        <w:rPr>
          <w:rFonts w:ascii="Verdana" w:hAnsi="Verdana" w:cs="Arial"/>
          <w:color w:val="333333"/>
          <w:shd w:val="clear" w:color="auto" w:fill="FFFFFF"/>
        </w:rPr>
      </w:pPr>
      <w:r w:rsidRPr="00725A15">
        <w:rPr>
          <w:rFonts w:ascii="Verdana" w:eastAsia="Calibri" w:hAnsi="Verdana" w:cs="Arial"/>
          <w:lang w:val="es-ES" w:eastAsia="es-ES_tradnl"/>
        </w:rPr>
        <w:t xml:space="preserve">De </w:t>
      </w:r>
      <w:r w:rsidRPr="00311CE4">
        <w:rPr>
          <w:rFonts w:ascii="Verdana" w:eastAsia="Calibri" w:hAnsi="Verdana" w:cs="Arial"/>
          <w:lang w:val="es-ES" w:eastAsia="es-ES_tradnl"/>
        </w:rPr>
        <w:t xml:space="preserve">conformidad con lo expuesto se concluye que el término que tienen las </w:t>
      </w:r>
      <w:r w:rsidRPr="00311CE4">
        <w:rPr>
          <w:rFonts w:ascii="Verdana" w:hAnsi="Verdana" w:cs="Arial"/>
          <w:shd w:val="clear" w:color="auto" w:fill="FFFFFF"/>
        </w:rPr>
        <w:t xml:space="preserve">entidades estatales que por disposición legal cuenten con un régimen contractual excepcional al del Estatuto General de Contratación de la Administración Pública, para publicar en el SECOP II es de </w:t>
      </w:r>
      <w:r w:rsidR="0056680B">
        <w:rPr>
          <w:rFonts w:ascii="Verdana" w:hAnsi="Verdana" w:cs="Arial"/>
          <w:shd w:val="clear" w:color="auto" w:fill="FFFFFF"/>
        </w:rPr>
        <w:t>(</w:t>
      </w:r>
      <w:r w:rsidRPr="00311CE4">
        <w:rPr>
          <w:rFonts w:ascii="Verdana" w:hAnsi="Verdana" w:cs="Arial"/>
          <w:shd w:val="clear" w:color="auto" w:fill="FFFFFF"/>
        </w:rPr>
        <w:t>3</w:t>
      </w:r>
      <w:r w:rsidR="0056680B">
        <w:rPr>
          <w:rFonts w:ascii="Verdana" w:hAnsi="Verdana" w:cs="Arial"/>
          <w:shd w:val="clear" w:color="auto" w:fill="FFFFFF"/>
        </w:rPr>
        <w:t>)</w:t>
      </w:r>
      <w:r w:rsidRPr="00311CE4">
        <w:rPr>
          <w:rFonts w:ascii="Verdana" w:hAnsi="Verdana" w:cs="Arial"/>
          <w:shd w:val="clear" w:color="auto" w:fill="FFFFFF"/>
        </w:rPr>
        <w:t xml:space="preserve"> días. Lo anterior, sin perjuicio de que dichas entidades hagan uso transaccional de la plataforma, caso en el cual la publicación de los documentos deberá hacerse en tiempo real, </w:t>
      </w:r>
      <w:proofErr w:type="gramStart"/>
      <w:r w:rsidRPr="00311CE4">
        <w:rPr>
          <w:rFonts w:ascii="Verdana" w:hAnsi="Verdana" w:cs="Arial"/>
          <w:shd w:val="clear" w:color="auto" w:fill="FFFFFF"/>
        </w:rPr>
        <w:t>de acuerdo al</w:t>
      </w:r>
      <w:proofErr w:type="gramEnd"/>
      <w:r w:rsidRPr="00311CE4">
        <w:rPr>
          <w:rFonts w:ascii="Verdana" w:hAnsi="Verdana" w:cs="Arial"/>
          <w:shd w:val="clear" w:color="auto" w:fill="FFFFFF"/>
        </w:rPr>
        <w:t xml:space="preserve"> cronograma definido para el proceso de selección.</w:t>
      </w:r>
    </w:p>
    <w:p w14:paraId="04EB02CB" w14:textId="77777777" w:rsidR="00725A15" w:rsidRPr="00725A15" w:rsidRDefault="00725A15" w:rsidP="00725A15">
      <w:pPr>
        <w:spacing w:after="0" w:line="276" w:lineRule="auto"/>
        <w:ind w:firstLine="708"/>
        <w:contextualSpacing/>
        <w:jc w:val="both"/>
        <w:rPr>
          <w:rFonts w:ascii="Verdana" w:eastAsia="Calibri" w:hAnsi="Verdana" w:cs="Arial"/>
          <w:lang w:val="es-ES" w:eastAsia="es-ES_tradnl"/>
        </w:rPr>
      </w:pPr>
    </w:p>
    <w:p w14:paraId="4547FBD9" w14:textId="77777777" w:rsidR="00360C4F" w:rsidRPr="00725A15" w:rsidRDefault="00360C4F" w:rsidP="00360C4F">
      <w:pPr>
        <w:spacing w:after="120" w:line="276" w:lineRule="auto"/>
        <w:ind w:firstLine="708"/>
        <w:jc w:val="both"/>
        <w:rPr>
          <w:rFonts w:ascii="Verdana" w:eastAsia="Calibri" w:hAnsi="Verdana" w:cs="Arial"/>
          <w:color w:val="000000" w:themeColor="text1"/>
        </w:rPr>
      </w:pPr>
      <w:r w:rsidRPr="00725A15">
        <w:rPr>
          <w:rFonts w:ascii="Verdana" w:eastAsia="Calibri" w:hAnsi="Verdana" w:cs="Arial"/>
          <w:color w:val="000000" w:themeColor="text1"/>
        </w:rPr>
        <w:t xml:space="preserve">Además, el artículo 53 de la Ley 2195 de 2022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se requiere que publiquen </w:t>
      </w:r>
      <w:r w:rsidRPr="00725A15">
        <w:rPr>
          <w:rFonts w:ascii="Verdana" w:eastAsia="Calibri" w:hAnsi="Verdana" w:cs="Arial"/>
          <w:color w:val="000000" w:themeColor="text1"/>
        </w:rPr>
        <w:lastRenderedPageBreak/>
        <w:t xml:space="preserve">en el SECOP II todo documento expedido durante las diferentes etapas del proceso contractual, abarcando desde la fase previa a su celebración, pasando por la ejecución y hasta la fase posterior a su ejecución. </w:t>
      </w:r>
    </w:p>
    <w:p w14:paraId="75957AF0" w14:textId="77777777" w:rsidR="00360C4F" w:rsidRPr="00725A15" w:rsidRDefault="00360C4F" w:rsidP="00360C4F">
      <w:pPr>
        <w:spacing w:after="120" w:line="276" w:lineRule="auto"/>
        <w:ind w:firstLine="708"/>
        <w:jc w:val="both"/>
        <w:rPr>
          <w:rFonts w:ascii="Verdana" w:eastAsia="Calibri" w:hAnsi="Verdana" w:cs="Arial"/>
          <w:color w:val="000000" w:themeColor="text1"/>
        </w:rPr>
      </w:pPr>
      <w:r w:rsidRPr="00725A15">
        <w:rPr>
          <w:rFonts w:ascii="Verdana" w:eastAsia="Calibri" w:hAnsi="Verdana" w:cs="Arial"/>
          <w:color w:val="000000" w:themeColor="text1"/>
        </w:rPr>
        <w:t>Adicionalmente se aclara que, el cumplimiento del deber de publicación de la documentación contractual debe armonizarse con las normas aplicables al tipo de información que estas contienen</w:t>
      </w:r>
      <w:r w:rsidRPr="00725A15">
        <w:rPr>
          <w:rStyle w:val="Refdenotaalpie"/>
          <w:rFonts w:ascii="Verdana" w:eastAsia="Calibri" w:hAnsi="Verdana" w:cs="Arial"/>
          <w:color w:val="000000" w:themeColor="text1"/>
        </w:rPr>
        <w:footnoteReference w:id="12"/>
      </w:r>
      <w:r w:rsidRPr="00725A15">
        <w:rPr>
          <w:rFonts w:ascii="Verdana" w:eastAsia="Calibri" w:hAnsi="Verdana" w:cs="Arial"/>
          <w:color w:val="000000" w:themeColor="text1"/>
        </w:rPr>
        <w:t>. Lo anterior significa que, respecto de datos sensibles, información sometida a reserva o de la cual proceda un tratamiento especial que impida su publicidad, las entidades deberán proceder de conformidad con el tratamiento que impongan tales normas, tema que se retomará más adelante.</w:t>
      </w:r>
    </w:p>
    <w:p w14:paraId="029A317E" w14:textId="77777777" w:rsidR="00360C4F" w:rsidRPr="00725A15" w:rsidRDefault="00360C4F" w:rsidP="00360C4F">
      <w:pPr>
        <w:spacing w:after="120" w:line="276" w:lineRule="auto"/>
        <w:jc w:val="both"/>
        <w:rPr>
          <w:rFonts w:ascii="Verdana" w:eastAsia="Calibri" w:hAnsi="Verdana" w:cs="Arial"/>
          <w:color w:val="000000" w:themeColor="text1"/>
        </w:rPr>
      </w:pPr>
      <w:r w:rsidRPr="00725A15">
        <w:rPr>
          <w:rFonts w:ascii="Verdana" w:eastAsia="Calibri" w:hAnsi="Verdana" w:cs="Arial"/>
          <w:color w:val="000000" w:themeColor="text1"/>
        </w:rPr>
        <w:tab/>
        <w:t>Teniendo en cuenta el marco normativo antes reseñado, la Circular Externa Única expedida por la Agencia Nacional de Contratación Pública - Colombia Compra Eficiente</w:t>
      </w:r>
      <w:r w:rsidRPr="00725A15">
        <w:rPr>
          <w:rStyle w:val="Refdenotaalpie"/>
          <w:rFonts w:ascii="Verdana" w:eastAsia="Calibri" w:hAnsi="Verdana" w:cs="Arial"/>
          <w:color w:val="000000" w:themeColor="text1"/>
        </w:rPr>
        <w:footnoteReference w:id="13"/>
      </w:r>
      <w:r w:rsidRPr="00725A15">
        <w:rPr>
          <w:rFonts w:ascii="Verdana" w:eastAsia="Calibri" w:hAnsi="Verdana" w:cs="Arial"/>
          <w:color w:val="000000" w:themeColor="text1"/>
        </w:rPr>
        <w:t xml:space="preserve"> - estableció que todas las entidades del Estado tienen el deber de publicar oportunamente la información oficial de la contratación en el SECOP, sin distinción de su régimen jurídico, naturaleza jurídica o la pertenencia a una u otra rama del poder público</w:t>
      </w:r>
      <w:r w:rsidRPr="00725A15">
        <w:rPr>
          <w:rStyle w:val="Refdenotaalpie"/>
          <w:rFonts w:ascii="Verdana" w:eastAsia="Calibri" w:hAnsi="Verdana" w:cs="Arial"/>
          <w:color w:val="000000" w:themeColor="text1"/>
        </w:rPr>
        <w:footnoteReference w:id="14"/>
      </w:r>
      <w:r w:rsidRPr="00725A15">
        <w:rPr>
          <w:rFonts w:ascii="Verdana" w:eastAsia="Calibri" w:hAnsi="Verdana" w:cs="Arial"/>
          <w:color w:val="000000" w:themeColor="text1"/>
        </w:rPr>
        <w:t>. De igual forma, en la Circular Externa No. 002 del 23 de agosto de 2024</w:t>
      </w:r>
      <w:r w:rsidRPr="00725A15">
        <w:rPr>
          <w:rStyle w:val="Refdenotaalpie"/>
          <w:rFonts w:ascii="Verdana" w:eastAsia="Calibri" w:hAnsi="Verdana" w:cs="Arial"/>
          <w:color w:val="000000" w:themeColor="text1"/>
        </w:rPr>
        <w:footnoteReference w:id="15"/>
      </w:r>
      <w:r w:rsidRPr="00725A15">
        <w:rPr>
          <w:rFonts w:ascii="Verdana" w:eastAsia="Calibri" w:hAnsi="Verdana" w:cs="Arial"/>
          <w:color w:val="000000" w:themeColor="text1"/>
        </w:rPr>
        <w:t xml:space="preserve">, estableció los </w:t>
      </w:r>
      <w:r w:rsidRPr="00725A15">
        <w:rPr>
          <w:rFonts w:ascii="Verdana" w:eastAsia="Calibri" w:hAnsi="Verdana" w:cs="Arial"/>
          <w:color w:val="000000" w:themeColor="text1"/>
        </w:rPr>
        <w:lastRenderedPageBreak/>
        <w:t>lineamientos para la aplicación del artículo 53 de la Ley 2195 de 2022 por parte de las Entidades Estales que por disposición legal cuentan con un régimen contractual excepcional al del Estatuto General de Contratación de la Administración Pública.</w:t>
      </w:r>
    </w:p>
    <w:p w14:paraId="7420561C" w14:textId="77777777" w:rsidR="00360C4F" w:rsidRPr="00725A15" w:rsidRDefault="00360C4F" w:rsidP="00360C4F">
      <w:pPr>
        <w:spacing w:after="0" w:line="276" w:lineRule="auto"/>
        <w:ind w:firstLine="708"/>
        <w:contextualSpacing/>
        <w:jc w:val="both"/>
        <w:rPr>
          <w:rFonts w:ascii="Verdana" w:eastAsia="Calibri" w:hAnsi="Verdana" w:cs="Arial"/>
          <w:lang w:val="es-ES"/>
        </w:rPr>
      </w:pPr>
      <w:r w:rsidRPr="00725A15">
        <w:rPr>
          <w:rFonts w:ascii="Verdana" w:eastAsia="Calibri" w:hAnsi="Verdana" w:cs="Arial"/>
          <w:shd w:val="clear" w:color="auto" w:fill="FFFFFF"/>
          <w:lang w:val="es-ES"/>
        </w:rPr>
        <w:t xml:space="preserve">En consonancia con la interpretación antes expuesta, </w:t>
      </w:r>
      <w:r w:rsidRPr="00725A15">
        <w:rPr>
          <w:rFonts w:ascii="Verdana" w:eastAsia="Calibri" w:hAnsi="Verdana" w:cs="Arial"/>
          <w:lang w:val="es-ES"/>
        </w:rPr>
        <w:t>la Circular 002 del 23 de agosto de 2024</w:t>
      </w:r>
      <w:r w:rsidRPr="00725A15">
        <w:rPr>
          <w:rFonts w:ascii="Verdana" w:eastAsia="Aptos" w:hAnsi="Verdana" w:cs="Times New Roman"/>
          <w:vertAlign w:val="superscript"/>
          <w:lang w:val="es-ES"/>
        </w:rPr>
        <w:footnoteReference w:id="16"/>
      </w:r>
      <w:r w:rsidRPr="00725A15">
        <w:rPr>
          <w:rFonts w:ascii="Verdana" w:eastAsia="Calibri" w:hAnsi="Verdana" w:cs="Arial"/>
          <w:lang w:val="es-ES"/>
        </w:rPr>
        <w:t>, expedida por la Agencia Nacional de Contratación Pública – Colombia Compra Eficiente, a través de la cual se dictan lineamientos para la aplicación del artículo 53 de la Ley 2195 de 2022, en el literal d) –denominado “Procedencia de los recursos como punto de partida para la publicación en el SECOP II”–, señala:</w:t>
      </w:r>
    </w:p>
    <w:p w14:paraId="179456E7" w14:textId="77777777" w:rsidR="00360C4F" w:rsidRPr="00725A15" w:rsidRDefault="00360C4F" w:rsidP="00360C4F">
      <w:pPr>
        <w:spacing w:after="0" w:line="276" w:lineRule="auto"/>
        <w:ind w:firstLine="709"/>
        <w:jc w:val="both"/>
        <w:rPr>
          <w:rFonts w:ascii="Verdana" w:eastAsia="Calibri" w:hAnsi="Verdana" w:cs="Arial"/>
          <w:sz w:val="21"/>
          <w:szCs w:val="21"/>
          <w:lang w:val="es-ES"/>
        </w:rPr>
      </w:pPr>
    </w:p>
    <w:p w14:paraId="30D69098" w14:textId="77777777" w:rsidR="00360C4F" w:rsidRPr="00725A15" w:rsidRDefault="00360C4F" w:rsidP="00360C4F">
      <w:pPr>
        <w:spacing w:after="0" w:line="240" w:lineRule="auto"/>
        <w:ind w:left="709" w:right="709"/>
        <w:jc w:val="both"/>
        <w:rPr>
          <w:rFonts w:ascii="Verdana" w:eastAsia="Calibri" w:hAnsi="Verdana" w:cs="Arial"/>
          <w:color w:val="000000"/>
          <w:sz w:val="21"/>
          <w:szCs w:val="21"/>
        </w:rPr>
      </w:pPr>
      <w:r w:rsidRPr="00725A15">
        <w:rPr>
          <w:rFonts w:ascii="Verdana" w:eastAsia="Calibri" w:hAnsi="Verdana" w:cs="Arial"/>
          <w:color w:val="000000"/>
          <w:sz w:val="21"/>
          <w:szCs w:val="21"/>
        </w:rPr>
        <w:t xml:space="preserve">“La obligación de publicar la actividad contractual siempre ha estado encaminada a que se publique aquella información relacionada con la ejecución de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 De conformidad con lo expuesto, teniendo en cuenta que el artículo 53 complementa la disposición contenida en el artículo 3 de la Ley 1150 de 2007, debe entenderse que la contratación a la que se refiere es aquella </w:t>
      </w:r>
      <w:bookmarkStart w:id="9" w:name="_Hlk186230457"/>
      <w:r w:rsidRPr="00725A15">
        <w:rPr>
          <w:rFonts w:ascii="Verdana" w:eastAsia="Calibri" w:hAnsi="Verdana" w:cs="Arial"/>
          <w:color w:val="000000"/>
          <w:sz w:val="21"/>
          <w:szCs w:val="21"/>
        </w:rPr>
        <w:t>realizada con recursos públicos</w:t>
      </w:r>
      <w:bookmarkEnd w:id="9"/>
      <w:r w:rsidRPr="00725A15">
        <w:rPr>
          <w:rFonts w:ascii="Verdana" w:eastAsia="Calibri" w:hAnsi="Verdana" w:cs="Arial"/>
          <w:color w:val="000000"/>
          <w:sz w:val="21"/>
          <w:szCs w:val="21"/>
        </w:rPr>
        <w:t>, cuya información es la que debe publicarse en el SECOP II”.</w:t>
      </w:r>
    </w:p>
    <w:p w14:paraId="3275E54C" w14:textId="77777777" w:rsidR="00360C4F" w:rsidRPr="00725A15" w:rsidRDefault="00360C4F" w:rsidP="00360C4F">
      <w:pPr>
        <w:spacing w:after="0" w:line="276" w:lineRule="auto"/>
        <w:ind w:left="709" w:right="616"/>
        <w:jc w:val="both"/>
        <w:rPr>
          <w:rFonts w:ascii="Verdana" w:eastAsia="Calibri" w:hAnsi="Verdana" w:cs="Arial"/>
          <w:color w:val="000000"/>
          <w:lang w:val="es-ES_tradnl"/>
        </w:rPr>
      </w:pPr>
    </w:p>
    <w:p w14:paraId="6FEA526C" w14:textId="053B5DAB" w:rsidR="00360C4F" w:rsidRPr="00725A15" w:rsidRDefault="00360C4F" w:rsidP="00360C4F">
      <w:pPr>
        <w:spacing w:after="120" w:line="276" w:lineRule="auto"/>
        <w:ind w:firstLine="709"/>
        <w:jc w:val="both"/>
        <w:rPr>
          <w:rFonts w:ascii="Verdana" w:eastAsia="Calibri" w:hAnsi="Verdana" w:cs="Arial"/>
          <w:shd w:val="clear" w:color="auto" w:fill="FFFFFF"/>
        </w:rPr>
      </w:pPr>
      <w:r w:rsidRPr="00725A15">
        <w:rPr>
          <w:rFonts w:ascii="Verdana" w:eastAsia="Calibri" w:hAnsi="Verdana" w:cs="Arial"/>
          <w:lang w:val="es-ES"/>
        </w:rPr>
        <w:t>De conformidad con lo anterior, debe entenderse que la contratación a la que se refiere el artículo 53 de la Ley 2195 de 202</w:t>
      </w:r>
      <w:r w:rsidR="00725A15" w:rsidRPr="00725A15">
        <w:rPr>
          <w:rFonts w:ascii="Verdana" w:eastAsia="Calibri" w:hAnsi="Verdana" w:cs="Arial"/>
          <w:lang w:val="es-ES"/>
        </w:rPr>
        <w:t>2</w:t>
      </w:r>
      <w:r w:rsidRPr="00725A15">
        <w:rPr>
          <w:rFonts w:ascii="Verdana" w:eastAsia="Calibri" w:hAnsi="Verdana" w:cs="Arial"/>
          <w:lang w:val="es-ES"/>
        </w:rPr>
        <w:t xml:space="preserve">, es aquella realizada con cargo a recursos públicos, cuya información es la que debe publicarse en el SECOP II, acorde con la interpretación sistemática que permite armonizar la referida norma con todo el contexto normativo que establece que en dicha plataforma se debe publicar sólo la información relativa a la actividad contractual financiada dineros públicos. </w:t>
      </w:r>
      <w:r w:rsidRPr="00725A15">
        <w:rPr>
          <w:rFonts w:ascii="Verdana" w:eastAsia="Calibri" w:hAnsi="Verdana" w:cs="Arial"/>
          <w:shd w:val="clear" w:color="auto" w:fill="FFFFFF"/>
        </w:rPr>
        <w:t xml:space="preserve">En consideración a esto, resulta claro que la obligatoriedad de publicar la actividad contractual establecida en el artículo 13 de la Ley 1150 de 2007, adicionado por el artículo 53 de la Ley 2195 de 2022, se refiere a la contratación financiada con recursos públicos, deviniendo en </w:t>
      </w:r>
      <w:r w:rsidRPr="00725A15">
        <w:rPr>
          <w:rFonts w:ascii="Verdana" w:eastAsia="Calibri" w:hAnsi="Verdana" w:cs="Arial"/>
          <w:shd w:val="clear" w:color="auto" w:fill="FFFFFF"/>
        </w:rPr>
        <w:lastRenderedPageBreak/>
        <w:t xml:space="preserve">potestativa la publicación de la contratación </w:t>
      </w:r>
      <w:r w:rsidRPr="00725A15">
        <w:rPr>
          <w:rFonts w:ascii="Verdana" w:eastAsia="Calibri" w:hAnsi="Verdana" w:cs="Arial"/>
          <w:shd w:val="clear" w:color="auto" w:fill="FFFFFF"/>
          <w:lang w:val="es-ES"/>
        </w:rPr>
        <w:t xml:space="preserve">desarrollada con otro tipo de recursos. </w:t>
      </w:r>
    </w:p>
    <w:p w14:paraId="0B68F3D2" w14:textId="77777777" w:rsidR="00360C4F" w:rsidRPr="00725A15" w:rsidRDefault="00360C4F" w:rsidP="00360C4F">
      <w:pPr>
        <w:spacing w:after="0" w:line="276" w:lineRule="auto"/>
        <w:ind w:firstLine="708"/>
        <w:jc w:val="both"/>
        <w:rPr>
          <w:rFonts w:ascii="Verdana" w:eastAsia="Aptos" w:hAnsi="Verdana" w:cs="Arial"/>
          <w:shd w:val="clear" w:color="auto" w:fill="FFFFFF"/>
        </w:rPr>
      </w:pPr>
      <w:r w:rsidRPr="00725A15">
        <w:rPr>
          <w:rFonts w:ascii="Verdana" w:eastAsia="Calibri" w:hAnsi="Verdana" w:cs="Arial"/>
          <w:color w:val="000000" w:themeColor="text1"/>
        </w:rPr>
        <w:t>Finalmente, se advierte que la Agencia Nacional de Contratación Pública – Colombia Compra Eficiente, por vía consultiva, no puede definir un criterio universal y absoluto sobre la materia que se aborda, sino que brinda elementos hermenéuticos de carácter general para que los partícipes del sistema de compras y contratación pública adopten la decisión que corresponda, lo cual es acorde con el principio de juridicidad. Por lo que, e</w:t>
      </w:r>
      <w:r w:rsidRPr="00725A15">
        <w:rPr>
          <w:rFonts w:ascii="Verdana" w:eastAsia="Aptos" w:hAnsi="Verdana" w:cs="Arial"/>
          <w:shd w:val="clear" w:color="auto" w:fill="FFFFFF"/>
        </w:rPr>
        <w:t xml:space="preserve">n todo caso, corresponde a cada entidad de régimen especial de contratación dar cumplimiento al deber de publicación que les asiste en relación con su actividad contractual en cumplimiento del artículo 53 de la Ley 2195 de 2022. </w:t>
      </w:r>
    </w:p>
    <w:p w14:paraId="6D2E3D1A" w14:textId="77777777" w:rsidR="00616202" w:rsidRPr="00725A15" w:rsidRDefault="00616202" w:rsidP="00616202">
      <w:pPr>
        <w:tabs>
          <w:tab w:val="left" w:pos="709"/>
        </w:tabs>
        <w:spacing w:after="0" w:line="276" w:lineRule="auto"/>
        <w:jc w:val="both"/>
        <w:rPr>
          <w:rFonts w:ascii="Verdana" w:eastAsia="Calibri" w:hAnsi="Verdana" w:cs="Arial"/>
          <w:color w:val="000000" w:themeColor="text1"/>
        </w:rPr>
      </w:pPr>
    </w:p>
    <w:p w14:paraId="21EB05E2" w14:textId="77777777" w:rsidR="00616202" w:rsidRPr="00725A15" w:rsidRDefault="00616202" w:rsidP="00616202">
      <w:pPr>
        <w:numPr>
          <w:ilvl w:val="0"/>
          <w:numId w:val="17"/>
        </w:numPr>
        <w:tabs>
          <w:tab w:val="left" w:pos="142"/>
          <w:tab w:val="left" w:pos="284"/>
        </w:tabs>
        <w:spacing w:after="0" w:line="276" w:lineRule="auto"/>
        <w:jc w:val="both"/>
        <w:rPr>
          <w:rFonts w:ascii="Verdana" w:eastAsia="Century Gothic" w:hAnsi="Verdana" w:cs="Century Gothic"/>
          <w:b/>
          <w:bCs/>
          <w:lang w:val="es-ES"/>
        </w:rPr>
      </w:pPr>
      <w:r w:rsidRPr="00725A15">
        <w:rPr>
          <w:rFonts w:ascii="Verdana" w:eastAsia="Century Gothic" w:hAnsi="Verdana" w:cs="Century Gothic"/>
          <w:b/>
          <w:bCs/>
          <w:lang w:val="es-ES"/>
        </w:rPr>
        <w:t>Referencias normativas:</w:t>
      </w:r>
    </w:p>
    <w:p w14:paraId="504D7742" w14:textId="77777777" w:rsidR="00616202" w:rsidRPr="00725A15" w:rsidRDefault="00616202" w:rsidP="00616202">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16202" w:rsidRPr="00725A15" w14:paraId="788F0A50" w14:textId="77777777" w:rsidTr="001724C6">
        <w:trPr>
          <w:trHeight w:val="870"/>
          <w:jc w:val="center"/>
        </w:trPr>
        <w:tc>
          <w:tcPr>
            <w:tcW w:w="8647" w:type="dxa"/>
          </w:tcPr>
          <w:p w14:paraId="46E4F5BE" w14:textId="77777777" w:rsidR="00616202" w:rsidRPr="00725A15" w:rsidRDefault="00616202" w:rsidP="00616202">
            <w:pPr>
              <w:widowControl w:val="0"/>
              <w:numPr>
                <w:ilvl w:val="0"/>
                <w:numId w:val="16"/>
              </w:numPr>
              <w:autoSpaceDE w:val="0"/>
              <w:autoSpaceDN w:val="0"/>
              <w:spacing w:after="120" w:line="276" w:lineRule="auto"/>
              <w:ind w:left="714" w:hanging="357"/>
              <w:jc w:val="both"/>
              <w:rPr>
                <w:rFonts w:ascii="Verdana" w:hAnsi="Verdana" w:cs="Arial"/>
                <w:color w:val="000000" w:themeColor="text1"/>
                <w:lang w:val="es-ES_tradnl"/>
              </w:rPr>
            </w:pPr>
            <w:r w:rsidRPr="00725A15">
              <w:rPr>
                <w:rFonts w:ascii="Verdana" w:hAnsi="Verdana" w:cs="Arial"/>
                <w:lang w:val="es-ES"/>
              </w:rPr>
              <w:t>Constitución Política de Colombia, artículos 74 y 209.</w:t>
            </w:r>
          </w:p>
          <w:p w14:paraId="58B460E6" w14:textId="77777777" w:rsidR="00616202" w:rsidRPr="00725A15" w:rsidRDefault="00616202" w:rsidP="00616202">
            <w:pPr>
              <w:widowControl w:val="0"/>
              <w:numPr>
                <w:ilvl w:val="0"/>
                <w:numId w:val="16"/>
              </w:numPr>
              <w:autoSpaceDE w:val="0"/>
              <w:autoSpaceDN w:val="0"/>
              <w:spacing w:after="120" w:line="276" w:lineRule="auto"/>
              <w:ind w:left="714" w:hanging="357"/>
              <w:jc w:val="both"/>
              <w:rPr>
                <w:rFonts w:ascii="Verdana" w:hAnsi="Verdana" w:cs="Arial"/>
                <w:color w:val="000000" w:themeColor="text1"/>
                <w:lang w:val="es-ES_tradnl"/>
              </w:rPr>
            </w:pPr>
            <w:r w:rsidRPr="00725A15">
              <w:rPr>
                <w:rFonts w:ascii="Verdana" w:hAnsi="Verdana" w:cs="Arial"/>
                <w:lang w:val="es-ES"/>
              </w:rPr>
              <w:t>Ley 100 de 1993, artículos 177, 180 y 181.</w:t>
            </w:r>
          </w:p>
          <w:p w14:paraId="1AF64075" w14:textId="77777777" w:rsidR="00616202" w:rsidRPr="00725A15" w:rsidRDefault="00616202" w:rsidP="00616202">
            <w:pPr>
              <w:widowControl w:val="0"/>
              <w:numPr>
                <w:ilvl w:val="0"/>
                <w:numId w:val="16"/>
              </w:numPr>
              <w:autoSpaceDE w:val="0"/>
              <w:autoSpaceDN w:val="0"/>
              <w:spacing w:after="120" w:line="276" w:lineRule="auto"/>
              <w:ind w:left="714" w:hanging="357"/>
              <w:jc w:val="both"/>
              <w:rPr>
                <w:rFonts w:ascii="Verdana" w:hAnsi="Verdana" w:cs="Arial"/>
                <w:color w:val="000000" w:themeColor="text1"/>
                <w:lang w:val="es-ES_tradnl"/>
              </w:rPr>
            </w:pPr>
            <w:r w:rsidRPr="00725A15">
              <w:rPr>
                <w:rFonts w:ascii="Verdana" w:hAnsi="Verdana" w:cs="Arial"/>
                <w:lang w:val="es-ES"/>
              </w:rPr>
              <w:t>Ley 1150 de 2007, artículos 3, 13 y 33.</w:t>
            </w:r>
          </w:p>
          <w:p w14:paraId="7413875E" w14:textId="77777777" w:rsidR="00616202" w:rsidRPr="00725A15" w:rsidRDefault="00616202" w:rsidP="00616202">
            <w:pPr>
              <w:widowControl w:val="0"/>
              <w:numPr>
                <w:ilvl w:val="0"/>
                <w:numId w:val="16"/>
              </w:numPr>
              <w:autoSpaceDE w:val="0"/>
              <w:autoSpaceDN w:val="0"/>
              <w:spacing w:after="120" w:line="276" w:lineRule="auto"/>
              <w:ind w:left="714" w:hanging="357"/>
              <w:jc w:val="both"/>
              <w:rPr>
                <w:rFonts w:ascii="Verdana" w:hAnsi="Verdana" w:cs="Arial"/>
                <w:color w:val="000000" w:themeColor="text1"/>
                <w:lang w:val="es-ES_tradnl"/>
              </w:rPr>
            </w:pPr>
            <w:r w:rsidRPr="00725A15">
              <w:rPr>
                <w:rFonts w:ascii="Verdana" w:hAnsi="Verdana" w:cs="Arial"/>
                <w:lang w:val="es-ES"/>
              </w:rPr>
              <w:t>Ley 1266 de 2008, artículo 3.</w:t>
            </w:r>
          </w:p>
          <w:p w14:paraId="2C3D0A33" w14:textId="77777777" w:rsidR="00616202" w:rsidRPr="00725A15" w:rsidRDefault="00616202" w:rsidP="00616202">
            <w:pPr>
              <w:widowControl w:val="0"/>
              <w:numPr>
                <w:ilvl w:val="0"/>
                <w:numId w:val="16"/>
              </w:numPr>
              <w:autoSpaceDE w:val="0"/>
              <w:autoSpaceDN w:val="0"/>
              <w:spacing w:after="120" w:line="276" w:lineRule="auto"/>
              <w:ind w:left="714" w:hanging="357"/>
              <w:jc w:val="both"/>
              <w:rPr>
                <w:rFonts w:ascii="Verdana" w:hAnsi="Verdana" w:cs="Arial"/>
                <w:color w:val="000000" w:themeColor="text1"/>
                <w:lang w:val="es-ES_tradnl"/>
              </w:rPr>
            </w:pPr>
            <w:r w:rsidRPr="00725A15">
              <w:rPr>
                <w:rFonts w:ascii="Verdana" w:hAnsi="Verdana" w:cs="Arial"/>
                <w:lang w:val="es-ES"/>
              </w:rPr>
              <w:t>Ley 1437 de 2011, artículos 3, 21, 28, 24, 25 y 112.</w:t>
            </w:r>
          </w:p>
          <w:p w14:paraId="3CBD137B" w14:textId="77777777" w:rsidR="00616202" w:rsidRPr="00725A15" w:rsidRDefault="00616202" w:rsidP="00616202">
            <w:pPr>
              <w:widowControl w:val="0"/>
              <w:numPr>
                <w:ilvl w:val="0"/>
                <w:numId w:val="16"/>
              </w:numPr>
              <w:autoSpaceDE w:val="0"/>
              <w:autoSpaceDN w:val="0"/>
              <w:spacing w:after="120" w:line="276" w:lineRule="auto"/>
              <w:ind w:left="714" w:hanging="357"/>
              <w:jc w:val="both"/>
              <w:rPr>
                <w:rFonts w:ascii="Verdana" w:hAnsi="Verdana" w:cs="Arial"/>
                <w:color w:val="000000" w:themeColor="text1"/>
                <w:lang w:val="es-ES_tradnl"/>
              </w:rPr>
            </w:pPr>
            <w:r w:rsidRPr="00725A15">
              <w:rPr>
                <w:rFonts w:ascii="Verdana" w:hAnsi="Verdana" w:cs="Arial"/>
                <w:lang w:val="es-ES"/>
              </w:rPr>
              <w:t xml:space="preserve">Ley 1581 de 2012, artículos 3 y 5. </w:t>
            </w:r>
          </w:p>
          <w:p w14:paraId="3CA11E11" w14:textId="77777777" w:rsidR="00616202" w:rsidRPr="00725A15" w:rsidRDefault="00616202" w:rsidP="00616202">
            <w:pPr>
              <w:widowControl w:val="0"/>
              <w:numPr>
                <w:ilvl w:val="0"/>
                <w:numId w:val="16"/>
              </w:numPr>
              <w:autoSpaceDE w:val="0"/>
              <w:autoSpaceDN w:val="0"/>
              <w:spacing w:after="120" w:line="276" w:lineRule="auto"/>
              <w:ind w:left="714" w:hanging="357"/>
              <w:jc w:val="both"/>
              <w:rPr>
                <w:rFonts w:ascii="Verdana" w:hAnsi="Verdana" w:cs="Arial"/>
                <w:color w:val="000000" w:themeColor="text1"/>
                <w:lang w:val="es-ES_tradnl"/>
              </w:rPr>
            </w:pPr>
            <w:r w:rsidRPr="00725A15">
              <w:rPr>
                <w:rFonts w:ascii="Verdana" w:hAnsi="Verdana" w:cs="Arial"/>
                <w:lang w:val="es-ES"/>
              </w:rPr>
              <w:t>Ley 1712 de 2014, artículos 5, 6, 11, 18, 19 y 21.</w:t>
            </w:r>
          </w:p>
          <w:p w14:paraId="0C0B377D" w14:textId="77777777" w:rsidR="00616202" w:rsidRPr="00725A15" w:rsidRDefault="00616202" w:rsidP="00616202">
            <w:pPr>
              <w:widowControl w:val="0"/>
              <w:numPr>
                <w:ilvl w:val="0"/>
                <w:numId w:val="16"/>
              </w:numPr>
              <w:autoSpaceDE w:val="0"/>
              <w:autoSpaceDN w:val="0"/>
              <w:spacing w:after="120" w:line="276" w:lineRule="auto"/>
              <w:ind w:left="714" w:hanging="357"/>
              <w:jc w:val="both"/>
              <w:rPr>
                <w:rFonts w:ascii="Verdana" w:hAnsi="Verdana" w:cs="Arial"/>
                <w:color w:val="000000" w:themeColor="text1"/>
                <w:lang w:val="es-ES_tradnl"/>
              </w:rPr>
            </w:pPr>
            <w:r w:rsidRPr="00725A15">
              <w:rPr>
                <w:rFonts w:ascii="Verdana" w:hAnsi="Verdana" w:cs="Arial"/>
                <w:lang w:val="es-ES"/>
              </w:rPr>
              <w:t>Ley 2195 de 2022, artículos 1 y 53.</w:t>
            </w:r>
          </w:p>
          <w:p w14:paraId="255C6A90" w14:textId="77777777" w:rsidR="00616202" w:rsidRPr="00725A15" w:rsidRDefault="00616202" w:rsidP="00616202">
            <w:pPr>
              <w:widowControl w:val="0"/>
              <w:numPr>
                <w:ilvl w:val="0"/>
                <w:numId w:val="16"/>
              </w:numPr>
              <w:autoSpaceDE w:val="0"/>
              <w:autoSpaceDN w:val="0"/>
              <w:spacing w:after="120" w:line="276" w:lineRule="auto"/>
              <w:ind w:left="714" w:hanging="357"/>
              <w:jc w:val="both"/>
              <w:rPr>
                <w:rFonts w:ascii="Verdana" w:hAnsi="Verdana" w:cs="Arial"/>
                <w:color w:val="000000" w:themeColor="text1"/>
                <w:lang w:val="es-ES_tradnl"/>
              </w:rPr>
            </w:pPr>
            <w:r w:rsidRPr="00725A15">
              <w:rPr>
                <w:rFonts w:ascii="Verdana" w:hAnsi="Verdana" w:cs="Arial"/>
                <w:lang w:val="es-ES"/>
              </w:rPr>
              <w:t>Decreto Ley 4170 de 2011, artículo 1.</w:t>
            </w:r>
          </w:p>
          <w:p w14:paraId="6570D9F9" w14:textId="77777777" w:rsidR="00616202" w:rsidRPr="00725A15" w:rsidRDefault="00616202" w:rsidP="00616202">
            <w:pPr>
              <w:widowControl w:val="0"/>
              <w:numPr>
                <w:ilvl w:val="0"/>
                <w:numId w:val="16"/>
              </w:numPr>
              <w:autoSpaceDE w:val="0"/>
              <w:autoSpaceDN w:val="0"/>
              <w:spacing w:after="120" w:line="276" w:lineRule="auto"/>
              <w:ind w:left="714" w:hanging="357"/>
              <w:jc w:val="both"/>
              <w:rPr>
                <w:rFonts w:ascii="Verdana" w:hAnsi="Verdana" w:cs="Arial"/>
                <w:color w:val="000000" w:themeColor="text1"/>
                <w:lang w:val="es-ES_tradnl"/>
              </w:rPr>
            </w:pPr>
            <w:r w:rsidRPr="00725A15">
              <w:rPr>
                <w:rFonts w:ascii="Verdana" w:hAnsi="Verdana" w:cs="Arial"/>
                <w:lang w:val="es-ES"/>
              </w:rPr>
              <w:t xml:space="preserve">Decreto 1074 de 2015, artículo </w:t>
            </w:r>
            <w:r w:rsidRPr="00725A15">
              <w:rPr>
                <w:rFonts w:ascii="Verdana" w:eastAsia="Calibri" w:hAnsi="Verdana" w:cs="Arial"/>
                <w:color w:val="000000"/>
                <w:lang w:val="es-ES_tradnl" w:eastAsia="en-GB"/>
              </w:rPr>
              <w:t>2.2.2.25.1.3.</w:t>
            </w:r>
          </w:p>
          <w:p w14:paraId="3567001F" w14:textId="77777777" w:rsidR="00616202" w:rsidRPr="00725A15" w:rsidRDefault="00616202" w:rsidP="00616202">
            <w:pPr>
              <w:widowControl w:val="0"/>
              <w:numPr>
                <w:ilvl w:val="0"/>
                <w:numId w:val="16"/>
              </w:numPr>
              <w:autoSpaceDE w:val="0"/>
              <w:autoSpaceDN w:val="0"/>
              <w:spacing w:after="120" w:line="276" w:lineRule="auto"/>
              <w:ind w:left="714" w:hanging="357"/>
              <w:jc w:val="both"/>
              <w:rPr>
                <w:rFonts w:ascii="Verdana" w:hAnsi="Verdana" w:cs="Arial"/>
                <w:color w:val="000000" w:themeColor="text1"/>
                <w:lang w:val="es-ES_tradnl"/>
              </w:rPr>
            </w:pPr>
            <w:r w:rsidRPr="00725A15">
              <w:rPr>
                <w:rFonts w:ascii="Verdana" w:hAnsi="Verdana" w:cs="Arial"/>
                <w:lang w:val="es-ES"/>
              </w:rPr>
              <w:t>Decreto 1081 de 2015, artículo 2.1.1.2.1.7.</w:t>
            </w:r>
          </w:p>
          <w:p w14:paraId="4B7C76DC" w14:textId="77777777" w:rsidR="00616202" w:rsidRPr="00725A15" w:rsidRDefault="00616202" w:rsidP="00616202">
            <w:pPr>
              <w:widowControl w:val="0"/>
              <w:numPr>
                <w:ilvl w:val="0"/>
                <w:numId w:val="16"/>
              </w:numPr>
              <w:autoSpaceDE w:val="0"/>
              <w:autoSpaceDN w:val="0"/>
              <w:spacing w:after="120" w:line="276" w:lineRule="auto"/>
              <w:ind w:left="714" w:hanging="357"/>
              <w:jc w:val="both"/>
              <w:rPr>
                <w:rFonts w:ascii="Verdana" w:hAnsi="Verdana" w:cs="Arial"/>
                <w:color w:val="000000" w:themeColor="text1"/>
                <w:lang w:val="es-ES_tradnl"/>
              </w:rPr>
            </w:pPr>
            <w:r w:rsidRPr="00725A15">
              <w:rPr>
                <w:rFonts w:ascii="Verdana" w:hAnsi="Verdana" w:cs="Arial"/>
                <w:lang w:val="es-ES"/>
              </w:rPr>
              <w:t>Decreto 1082 de 2015, artículos 2.2.1.1.1.3.1 y 2.2.1.1.1.7.1.</w:t>
            </w:r>
          </w:p>
          <w:p w14:paraId="00E8A859" w14:textId="77777777" w:rsidR="00616202" w:rsidRPr="00725A15" w:rsidRDefault="00616202" w:rsidP="001724C6">
            <w:pPr>
              <w:widowControl w:val="0"/>
              <w:autoSpaceDE w:val="0"/>
              <w:autoSpaceDN w:val="0"/>
              <w:spacing w:after="120" w:line="276" w:lineRule="auto"/>
              <w:ind w:left="357"/>
              <w:jc w:val="both"/>
              <w:rPr>
                <w:rFonts w:ascii="Verdana" w:hAnsi="Verdana" w:cs="Arial"/>
                <w:color w:val="000000" w:themeColor="text1"/>
                <w:lang w:val="es-ES_tradnl"/>
              </w:rPr>
            </w:pPr>
            <w:r w:rsidRPr="00725A15">
              <w:rPr>
                <w:rFonts w:ascii="Verdana" w:hAnsi="Verdana" w:cs="Arial"/>
                <w:color w:val="000000" w:themeColor="text1"/>
                <w:lang w:val="es-ES_tradnl"/>
              </w:rPr>
              <w:t xml:space="preserve"> </w:t>
            </w:r>
          </w:p>
        </w:tc>
      </w:tr>
    </w:tbl>
    <w:p w14:paraId="228B90CF" w14:textId="77777777" w:rsidR="00616202" w:rsidRPr="00725A15" w:rsidRDefault="00616202" w:rsidP="00616202">
      <w:pPr>
        <w:widowControl w:val="0"/>
        <w:autoSpaceDE w:val="0"/>
        <w:autoSpaceDN w:val="0"/>
        <w:spacing w:after="0" w:line="276" w:lineRule="auto"/>
        <w:jc w:val="both"/>
        <w:rPr>
          <w:rFonts w:ascii="Verdana" w:hAnsi="Verdana" w:cs="Arial"/>
        </w:rPr>
      </w:pPr>
    </w:p>
    <w:p w14:paraId="5F3F09DF" w14:textId="77777777" w:rsidR="00616202" w:rsidRPr="00725A15" w:rsidRDefault="00616202" w:rsidP="00616202">
      <w:pPr>
        <w:numPr>
          <w:ilvl w:val="0"/>
          <w:numId w:val="17"/>
        </w:numPr>
        <w:tabs>
          <w:tab w:val="left" w:pos="142"/>
          <w:tab w:val="left" w:pos="284"/>
        </w:tabs>
        <w:spacing w:after="0" w:line="276" w:lineRule="auto"/>
        <w:jc w:val="both"/>
        <w:rPr>
          <w:rFonts w:ascii="Verdana" w:eastAsia="Century Gothic" w:hAnsi="Verdana" w:cs="Century Gothic"/>
          <w:b/>
          <w:bCs/>
          <w:lang w:val="es-ES"/>
        </w:rPr>
      </w:pPr>
      <w:r w:rsidRPr="00725A15">
        <w:rPr>
          <w:rFonts w:ascii="Verdana" w:eastAsia="Century Gothic" w:hAnsi="Verdana" w:cs="Century Gothic"/>
          <w:b/>
          <w:bCs/>
          <w:lang w:val="es-ES"/>
        </w:rPr>
        <w:t>Doctrina de la Agencia Nacional de Contratación Pública:</w:t>
      </w:r>
    </w:p>
    <w:p w14:paraId="106AA474" w14:textId="77777777" w:rsidR="00616202" w:rsidRPr="00725A15" w:rsidRDefault="00616202" w:rsidP="00616202">
      <w:pPr>
        <w:widowControl w:val="0"/>
        <w:autoSpaceDE w:val="0"/>
        <w:autoSpaceDN w:val="0"/>
        <w:spacing w:after="0" w:line="276" w:lineRule="auto"/>
        <w:jc w:val="both"/>
        <w:rPr>
          <w:rFonts w:ascii="Verdana" w:hAnsi="Verdana" w:cs="Arial"/>
        </w:rPr>
      </w:pPr>
    </w:p>
    <w:p w14:paraId="6633B3F4" w14:textId="77777777" w:rsidR="00616202" w:rsidRPr="00725A15" w:rsidRDefault="00616202" w:rsidP="00616202">
      <w:pPr>
        <w:widowControl w:val="0"/>
        <w:autoSpaceDE w:val="0"/>
        <w:autoSpaceDN w:val="0"/>
        <w:spacing w:after="0" w:line="276" w:lineRule="auto"/>
        <w:jc w:val="both"/>
        <w:rPr>
          <w:rFonts w:ascii="Verdana" w:hAnsi="Verdana"/>
        </w:rPr>
      </w:pPr>
      <w:r w:rsidRPr="00725A15">
        <w:rPr>
          <w:rFonts w:ascii="Verdana" w:hAnsi="Verdana" w:cs="Arial"/>
          <w:shd w:val="clear" w:color="auto" w:fill="FFFFFF"/>
        </w:rPr>
        <w:t xml:space="preserve">Esta Subdirección se ha pronunciado sobre los fundamentos normativos del </w:t>
      </w:r>
      <w:r w:rsidRPr="00725A15">
        <w:rPr>
          <w:rFonts w:ascii="Verdana" w:hAnsi="Verdana" w:cs="Arial"/>
          <w:shd w:val="clear" w:color="auto" w:fill="FFFFFF"/>
        </w:rPr>
        <w:lastRenderedPageBreak/>
        <w:t>deber de publicar la documentación contractual en las Sistema Electrónico de Contratación Pública–SECOP–, han sido materia de estudio de la doctrina de esta Subdirección en los Conceptos CU-003 del 15 de enero de 2020 y CU-367 del 23 de julio de 2020, reiterados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C-074 del 10 de marzo de 2022, C-083 del 18 de marzo de 2022, C-135 del 28 de marzo de 2022, C-332 del 24 de mayo de 2022, C-337 del 25 de mayo de 2022, C-355 del 2 de junio de 2022, C-379 del 22 de junio de 2022 y C-794 del 10 de julio de 2025. De igual manera, esta Subdirección se ha referido al alcance de lo dispuesto en el artículo 53 de la Ley 2195 de 2022 en los conceptos C-049 del 7 de marzo de 2022, C-120 del 22 de marzo de 2022, C-124 del 22 de marzo de 2022, C-132 del 28 de marzo de 2022, C-337 del 25 de mayo de 2022, C-348 del 13 de junio de 2022, C-357 del 13 de junio de 2022, C-422 del 13 de julio de 2022, C-475 del 26 de julio de 2022, C-480 del 18 de julio de 2022, C-492 del 2 de agosto de 2022, C-495 del 2 de agosto de 2022, C-510 del 8 de agosto de 2022, C-508 de 30 de agosto de 2022, C-457 del 24 de octubre de 2023, C-460 del 30 de noviembre de 2023, C-592 del 7 de octubre de 2024 y C-794 del 2 de julio de 2025</w:t>
      </w:r>
      <w:r w:rsidRPr="00725A15">
        <w:rPr>
          <w:rFonts w:ascii="Verdana" w:hAnsi="Verdana"/>
        </w:rPr>
        <w:t xml:space="preserve">. </w:t>
      </w:r>
      <w:r w:rsidRPr="00725A15">
        <w:rPr>
          <w:rFonts w:ascii="Verdana" w:hAnsi="Verdana" w:cs="Arial"/>
          <w:shd w:val="clear" w:color="auto" w:fill="FFFFFF"/>
        </w:rPr>
        <w:t xml:space="preserve">Estos y otros se encuentran disponibles para consulta en el Sistema de relatoría de la Agencia, al cual puede accederse a través del siguiente enlace: </w:t>
      </w:r>
      <w:hyperlink r:id="rId11" w:history="1">
        <w:r w:rsidRPr="00725A15">
          <w:rPr>
            <w:rFonts w:ascii="Verdana" w:hAnsi="Verdana" w:cs="Arial"/>
            <w:color w:val="0000FF"/>
            <w:u w:val="single"/>
            <w:shd w:val="clear" w:color="auto" w:fill="FFFFFF"/>
          </w:rPr>
          <w:t>https://relatoria.colombiacompra.gov.co/busqueda/conceptos</w:t>
        </w:r>
      </w:hyperlink>
      <w:r w:rsidRPr="00725A15">
        <w:rPr>
          <w:rFonts w:ascii="Verdana" w:hAnsi="Verdana" w:cs="Arial"/>
          <w:shd w:val="clear" w:color="auto" w:fill="FFFFFF"/>
        </w:rPr>
        <w:t xml:space="preserve">. </w:t>
      </w:r>
      <w:r w:rsidRPr="00725A15">
        <w:rPr>
          <w:rFonts w:ascii="Verdana" w:hAnsi="Verdana" w:cs="Arial"/>
          <w:color w:val="FF0000"/>
          <w:shd w:val="clear" w:color="auto" w:fill="FFFFFF"/>
          <w:lang w:val="es-ES"/>
        </w:rPr>
        <w:t xml:space="preserve"> </w:t>
      </w:r>
    </w:p>
    <w:p w14:paraId="4D7574D7" w14:textId="77777777" w:rsidR="00616202" w:rsidRPr="00725A15" w:rsidRDefault="00616202" w:rsidP="00616202">
      <w:pPr>
        <w:widowControl w:val="0"/>
        <w:autoSpaceDE w:val="0"/>
        <w:autoSpaceDN w:val="0"/>
        <w:spacing w:after="0" w:line="276" w:lineRule="auto"/>
        <w:jc w:val="both"/>
        <w:rPr>
          <w:rFonts w:ascii="Verdana" w:hAnsi="Verdana" w:cs="Arial"/>
          <w:color w:val="FF0000"/>
          <w:shd w:val="clear" w:color="auto" w:fill="FFFFFF"/>
          <w:lang w:val="es-ES_tradnl"/>
        </w:rPr>
      </w:pPr>
      <w:r w:rsidRPr="00725A15">
        <w:rPr>
          <w:rFonts w:ascii="Verdana" w:hAnsi="Verdana" w:cs="Arial"/>
          <w:color w:val="000000" w:themeColor="text1"/>
          <w:shd w:val="clear" w:color="auto" w:fill="FFFFFF"/>
          <w:lang w:val="es-ES_tradnl"/>
        </w:rPr>
        <w:t xml:space="preserve"> </w:t>
      </w:r>
      <w:r w:rsidRPr="00725A15">
        <w:rPr>
          <w:rFonts w:ascii="Verdana" w:hAnsi="Verdana" w:cs="Arial"/>
          <w:color w:val="FF0000"/>
          <w:shd w:val="clear" w:color="auto" w:fill="FFFFFF"/>
          <w:lang w:val="es-ES_tradnl"/>
        </w:rPr>
        <w:t xml:space="preserve">        </w:t>
      </w:r>
    </w:p>
    <w:p w14:paraId="2E1037AB" w14:textId="77777777" w:rsidR="00616202" w:rsidRPr="00725A15" w:rsidRDefault="00616202" w:rsidP="00616202">
      <w:pPr>
        <w:widowControl w:val="0"/>
        <w:autoSpaceDE w:val="0"/>
        <w:autoSpaceDN w:val="0"/>
        <w:spacing w:after="0" w:line="276" w:lineRule="auto"/>
        <w:jc w:val="both"/>
        <w:rPr>
          <w:rFonts w:ascii="Verdana" w:hAnsi="Verdana" w:cs="Arial"/>
          <w:lang w:val="es-ES_tradnl"/>
        </w:rPr>
      </w:pPr>
      <w:r w:rsidRPr="00725A15">
        <w:rPr>
          <w:rFonts w:ascii="Verdana" w:hAnsi="Verdana" w:cs="Arial"/>
        </w:rPr>
        <w:t xml:space="preserve">Este concepto tiene el alcance previsto en el artículo 28 del Código de Procedimiento Administrativo y de lo Contencioso Administrativo </w:t>
      </w:r>
      <w:r w:rsidRPr="00725A15">
        <w:rPr>
          <w:rFonts w:ascii="Verdana" w:hAnsi="Verdana" w:cs="Arial"/>
          <w:lang w:val="es-ES_tradnl"/>
        </w:rPr>
        <w:t>y las expresiones aquí utilizadas con mayúscula inicial deben ser entendidas con el significado que les otorga el artículo 2.2.1.1.1.3.1. del Decreto 1082 de 2015.</w:t>
      </w:r>
    </w:p>
    <w:p w14:paraId="3F34739D" w14:textId="77777777" w:rsidR="00616202" w:rsidRPr="00725A15" w:rsidRDefault="00616202" w:rsidP="00616202">
      <w:pPr>
        <w:widowControl w:val="0"/>
        <w:autoSpaceDE w:val="0"/>
        <w:autoSpaceDN w:val="0"/>
        <w:spacing w:after="0" w:line="276" w:lineRule="auto"/>
        <w:jc w:val="both"/>
        <w:rPr>
          <w:rFonts w:ascii="Verdana" w:hAnsi="Verdana" w:cs="Arial"/>
        </w:rPr>
      </w:pPr>
    </w:p>
    <w:p w14:paraId="5A44155E" w14:textId="77777777" w:rsidR="00616202" w:rsidRPr="00725A15" w:rsidRDefault="00616202" w:rsidP="00616202">
      <w:pPr>
        <w:spacing w:after="0" w:line="240" w:lineRule="auto"/>
        <w:rPr>
          <w:rFonts w:ascii="Verdana" w:hAnsi="Verdana" w:cs="Arial"/>
          <w:lang w:eastAsia="es-CO"/>
        </w:rPr>
      </w:pPr>
      <w:r w:rsidRPr="00725A15">
        <w:rPr>
          <w:rFonts w:ascii="Verdana" w:eastAsia="Times New Roman" w:hAnsi="Verdana" w:cs="Arial"/>
          <w:lang w:eastAsia="es-CO"/>
        </w:rPr>
        <w:t>Atentamente,</w:t>
      </w:r>
      <w:r w:rsidRPr="00725A15">
        <w:rPr>
          <w:rFonts w:ascii="Verdana" w:hAnsi="Verdana" w:cs="Arial"/>
          <w:lang w:eastAsia="es-CO"/>
        </w:rPr>
        <w:t xml:space="preserve"> </w:t>
      </w:r>
    </w:p>
    <w:p w14:paraId="00F48DFF" w14:textId="77777777" w:rsidR="00616202" w:rsidRPr="00725A15" w:rsidRDefault="00616202" w:rsidP="00616202">
      <w:pPr>
        <w:spacing w:after="0" w:line="240" w:lineRule="auto"/>
        <w:rPr>
          <w:rFonts w:ascii="Verdana" w:hAnsi="Verdana" w:cs="Arial"/>
          <w:lang w:eastAsia="es-CO"/>
        </w:rPr>
      </w:pPr>
    </w:p>
    <w:p w14:paraId="40F810C1" w14:textId="26D4A701" w:rsidR="00616202" w:rsidRPr="00725A15" w:rsidRDefault="00A9029C" w:rsidP="00616202">
      <w:pPr>
        <w:spacing w:after="0" w:line="240" w:lineRule="auto"/>
        <w:jc w:val="center"/>
        <w:rPr>
          <w:rFonts w:ascii="Verdana" w:hAnsi="Verdana"/>
        </w:rPr>
      </w:pPr>
      <w:r w:rsidRPr="002C3AD6">
        <w:rPr>
          <w:rFonts w:ascii="Century Gothic" w:hAnsi="Century Gothic"/>
          <w:noProof/>
        </w:rPr>
        <w:lastRenderedPageBreak/>
        <w:drawing>
          <wp:inline distT="0" distB="0" distL="0" distR="0" wp14:anchorId="47178F1B" wp14:editId="6DD9CC0F">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2"/>
                    <a:stretch>
                      <a:fillRect/>
                    </a:stretch>
                  </pic:blipFill>
                  <pic:spPr>
                    <a:xfrm>
                      <a:off x="0" y="0"/>
                      <a:ext cx="3772426" cy="1400370"/>
                    </a:xfrm>
                    <a:prstGeom prst="rect">
                      <a:avLst/>
                    </a:prstGeom>
                  </pic:spPr>
                </pic:pic>
              </a:graphicData>
            </a:graphic>
          </wp:inline>
        </w:drawing>
      </w:r>
    </w:p>
    <w:p w14:paraId="07A7A0E6" w14:textId="77777777" w:rsidR="00616202" w:rsidRPr="00725A15" w:rsidRDefault="00616202" w:rsidP="00616202">
      <w:pPr>
        <w:spacing w:line="276" w:lineRule="auto"/>
        <w:jc w:val="center"/>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16202" w:rsidRPr="00311CE4" w14:paraId="2651A9CD" w14:textId="77777777" w:rsidTr="001724C6">
        <w:trPr>
          <w:trHeight w:val="315"/>
        </w:trPr>
        <w:tc>
          <w:tcPr>
            <w:tcW w:w="893" w:type="dxa"/>
            <w:vAlign w:val="center"/>
            <w:hideMark/>
          </w:tcPr>
          <w:p w14:paraId="44D43BE5" w14:textId="77777777" w:rsidR="00616202" w:rsidRPr="00311CE4" w:rsidRDefault="00616202" w:rsidP="001724C6">
            <w:pPr>
              <w:spacing w:line="276" w:lineRule="auto"/>
              <w:jc w:val="both"/>
              <w:rPr>
                <w:rFonts w:ascii="Verdana" w:hAnsi="Verdana"/>
                <w:sz w:val="16"/>
                <w:szCs w:val="16"/>
              </w:rPr>
            </w:pPr>
            <w:r w:rsidRPr="00311CE4">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1D0A9DB4" w14:textId="77777777" w:rsidR="00616202" w:rsidRPr="00311CE4" w:rsidRDefault="00616202" w:rsidP="001724C6">
            <w:pPr>
              <w:spacing w:line="276" w:lineRule="auto"/>
              <w:jc w:val="both"/>
              <w:rPr>
                <w:rFonts w:ascii="Verdana" w:hAnsi="Verdana"/>
                <w:sz w:val="16"/>
                <w:szCs w:val="16"/>
              </w:rPr>
            </w:pPr>
            <w:r w:rsidRPr="00311CE4">
              <w:rPr>
                <w:rFonts w:ascii="Verdana" w:hAnsi="Verdana"/>
                <w:sz w:val="16"/>
                <w:szCs w:val="16"/>
              </w:rPr>
              <w:t xml:space="preserve">Diana Carolina Blanco Rodriguez </w:t>
            </w:r>
          </w:p>
          <w:p w14:paraId="3B50D03E" w14:textId="77777777" w:rsidR="00616202" w:rsidRPr="00311CE4" w:rsidRDefault="00616202" w:rsidP="001724C6">
            <w:pPr>
              <w:spacing w:line="276" w:lineRule="auto"/>
              <w:jc w:val="both"/>
              <w:rPr>
                <w:rFonts w:ascii="Verdana" w:hAnsi="Verdana"/>
                <w:sz w:val="16"/>
                <w:szCs w:val="16"/>
              </w:rPr>
            </w:pPr>
            <w:r w:rsidRPr="00311CE4">
              <w:rPr>
                <w:rFonts w:ascii="Verdana" w:hAnsi="Verdana"/>
                <w:sz w:val="16"/>
                <w:szCs w:val="16"/>
              </w:rPr>
              <w:t>Contratista de la Subdirección de Gestión Contractual</w:t>
            </w:r>
          </w:p>
        </w:tc>
      </w:tr>
      <w:tr w:rsidR="00616202" w:rsidRPr="00311CE4" w14:paraId="14235A99" w14:textId="77777777" w:rsidTr="001724C6">
        <w:trPr>
          <w:trHeight w:val="330"/>
        </w:trPr>
        <w:tc>
          <w:tcPr>
            <w:tcW w:w="893" w:type="dxa"/>
            <w:vAlign w:val="center"/>
            <w:hideMark/>
          </w:tcPr>
          <w:p w14:paraId="25EBD7B2" w14:textId="77777777" w:rsidR="00616202" w:rsidRPr="00311CE4" w:rsidRDefault="00616202" w:rsidP="001724C6">
            <w:pPr>
              <w:spacing w:line="276" w:lineRule="auto"/>
              <w:jc w:val="both"/>
              <w:rPr>
                <w:rFonts w:ascii="Verdana" w:hAnsi="Verdana"/>
                <w:sz w:val="16"/>
                <w:szCs w:val="16"/>
              </w:rPr>
            </w:pPr>
            <w:r w:rsidRPr="00311CE4">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63BE804F" w14:textId="77777777" w:rsidR="00616202" w:rsidRPr="00311CE4" w:rsidRDefault="00616202" w:rsidP="001724C6">
            <w:pPr>
              <w:spacing w:line="276" w:lineRule="auto"/>
              <w:jc w:val="both"/>
              <w:rPr>
                <w:rFonts w:ascii="Verdana" w:hAnsi="Verdana"/>
                <w:sz w:val="16"/>
                <w:szCs w:val="16"/>
              </w:rPr>
            </w:pPr>
            <w:r w:rsidRPr="00311CE4">
              <w:rPr>
                <w:rFonts w:ascii="Verdana" w:hAnsi="Verdana"/>
                <w:sz w:val="16"/>
                <w:szCs w:val="16"/>
              </w:rPr>
              <w:t>Diana Lucía Saavedra Castañeda</w:t>
            </w:r>
          </w:p>
          <w:p w14:paraId="1E4D3CD4" w14:textId="77777777" w:rsidR="00616202" w:rsidRPr="00311CE4" w:rsidRDefault="00616202" w:rsidP="001724C6">
            <w:pPr>
              <w:spacing w:line="276" w:lineRule="auto"/>
              <w:jc w:val="both"/>
              <w:rPr>
                <w:rFonts w:ascii="Verdana" w:hAnsi="Verdana"/>
                <w:sz w:val="16"/>
                <w:szCs w:val="16"/>
              </w:rPr>
            </w:pPr>
            <w:r w:rsidRPr="00311CE4">
              <w:rPr>
                <w:rFonts w:ascii="Verdana" w:hAnsi="Verdana"/>
                <w:sz w:val="16"/>
                <w:szCs w:val="16"/>
              </w:rPr>
              <w:t>Contratista de la Subdirección de Gestión Contractual </w:t>
            </w:r>
          </w:p>
        </w:tc>
      </w:tr>
      <w:tr w:rsidR="00616202" w:rsidRPr="00311CE4" w14:paraId="03C6196C" w14:textId="77777777" w:rsidTr="001724C6">
        <w:trPr>
          <w:trHeight w:val="300"/>
        </w:trPr>
        <w:tc>
          <w:tcPr>
            <w:tcW w:w="893" w:type="dxa"/>
            <w:vAlign w:val="center"/>
            <w:hideMark/>
          </w:tcPr>
          <w:p w14:paraId="2B57614C" w14:textId="77777777" w:rsidR="00616202" w:rsidRPr="00311CE4" w:rsidRDefault="00616202" w:rsidP="001724C6">
            <w:pPr>
              <w:spacing w:line="276" w:lineRule="auto"/>
              <w:jc w:val="both"/>
              <w:rPr>
                <w:rFonts w:ascii="Verdana" w:hAnsi="Verdana"/>
                <w:sz w:val="16"/>
                <w:szCs w:val="16"/>
              </w:rPr>
            </w:pPr>
            <w:r w:rsidRPr="00311CE4">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523C5F8C" w14:textId="77777777" w:rsidR="00616202" w:rsidRPr="00311CE4" w:rsidRDefault="00616202" w:rsidP="001724C6">
            <w:pPr>
              <w:spacing w:line="276" w:lineRule="auto"/>
              <w:jc w:val="both"/>
              <w:rPr>
                <w:rFonts w:ascii="Verdana" w:hAnsi="Verdana"/>
                <w:sz w:val="16"/>
                <w:szCs w:val="16"/>
                <w:lang w:val="pt-BR"/>
              </w:rPr>
            </w:pPr>
            <w:r w:rsidRPr="00311CE4">
              <w:rPr>
                <w:rFonts w:ascii="Verdana" w:hAnsi="Verdana"/>
                <w:sz w:val="16"/>
                <w:szCs w:val="16"/>
                <w:lang w:val="pt-BR"/>
              </w:rPr>
              <w:t xml:space="preserve">Carolina Quintero </w:t>
            </w:r>
            <w:proofErr w:type="spellStart"/>
            <w:r w:rsidRPr="00311CE4">
              <w:rPr>
                <w:rFonts w:ascii="Verdana" w:hAnsi="Verdana"/>
                <w:sz w:val="16"/>
                <w:szCs w:val="16"/>
                <w:lang w:val="pt-BR"/>
              </w:rPr>
              <w:t>Gacharná</w:t>
            </w:r>
            <w:proofErr w:type="spellEnd"/>
          </w:p>
          <w:p w14:paraId="712A6DE0" w14:textId="77777777" w:rsidR="00616202" w:rsidRPr="00311CE4" w:rsidRDefault="00616202" w:rsidP="001724C6">
            <w:pPr>
              <w:spacing w:line="276" w:lineRule="auto"/>
              <w:jc w:val="both"/>
              <w:rPr>
                <w:rFonts w:ascii="Verdana" w:hAnsi="Verdana"/>
                <w:sz w:val="16"/>
                <w:szCs w:val="16"/>
                <w:lang w:val="pt-BR"/>
              </w:rPr>
            </w:pPr>
            <w:r w:rsidRPr="00311CE4">
              <w:rPr>
                <w:rFonts w:ascii="Verdana" w:hAnsi="Verdana"/>
                <w:sz w:val="16"/>
                <w:szCs w:val="16"/>
              </w:rPr>
              <w:t>Subdirectora</w:t>
            </w:r>
            <w:r w:rsidRPr="00311CE4">
              <w:rPr>
                <w:rFonts w:ascii="Verdana" w:hAnsi="Verdana"/>
                <w:sz w:val="16"/>
                <w:szCs w:val="16"/>
                <w:lang w:val="pt-BR"/>
              </w:rPr>
              <w:t xml:space="preserve"> de Gestión Contratual ANCP – CCE</w:t>
            </w:r>
          </w:p>
        </w:tc>
      </w:tr>
    </w:tbl>
    <w:p w14:paraId="61C9FF34" w14:textId="77777777" w:rsidR="00616202" w:rsidRPr="00311CE4" w:rsidRDefault="00616202" w:rsidP="00616202">
      <w:pPr>
        <w:spacing w:after="0"/>
        <w:rPr>
          <w:rFonts w:ascii="Verdana" w:hAnsi="Verdana"/>
          <w:sz w:val="16"/>
          <w:szCs w:val="16"/>
        </w:rPr>
      </w:pPr>
    </w:p>
    <w:bookmarkEnd w:id="0"/>
    <w:bookmarkEnd w:id="1"/>
    <w:p w14:paraId="249B4F8A" w14:textId="77777777" w:rsidR="00616202" w:rsidRPr="00725A15" w:rsidRDefault="00616202" w:rsidP="00C15139">
      <w:pPr>
        <w:spacing w:after="0"/>
        <w:rPr>
          <w:rFonts w:ascii="Verdana" w:hAnsi="Verdana"/>
        </w:rPr>
      </w:pPr>
    </w:p>
    <w:sectPr w:rsidR="00616202" w:rsidRPr="00725A15"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F2D57" w14:textId="77777777" w:rsidR="000D6FB2" w:rsidRDefault="000D6FB2" w:rsidP="004A1847">
      <w:pPr>
        <w:spacing w:after="0" w:line="240" w:lineRule="auto"/>
      </w:pPr>
      <w:r>
        <w:separator/>
      </w:r>
    </w:p>
  </w:endnote>
  <w:endnote w:type="continuationSeparator" w:id="0">
    <w:p w14:paraId="1A81E3B7" w14:textId="77777777" w:rsidR="000D6FB2" w:rsidRDefault="000D6FB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charset w:val="00"/>
    <w:family w:val="auto"/>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0"/>
    <w:family w:val="auto"/>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E49D5" w14:textId="77777777" w:rsidR="000D6FB2" w:rsidRDefault="000D6FB2" w:rsidP="004A1847">
      <w:pPr>
        <w:spacing w:after="0" w:line="240" w:lineRule="auto"/>
      </w:pPr>
      <w:r>
        <w:separator/>
      </w:r>
    </w:p>
  </w:footnote>
  <w:footnote w:type="continuationSeparator" w:id="0">
    <w:p w14:paraId="056711C1" w14:textId="77777777" w:rsidR="000D6FB2" w:rsidRDefault="000D6FB2" w:rsidP="004A1847">
      <w:pPr>
        <w:spacing w:after="0" w:line="240" w:lineRule="auto"/>
      </w:pPr>
      <w:r>
        <w:continuationSeparator/>
      </w:r>
    </w:p>
  </w:footnote>
  <w:footnote w:id="1">
    <w:p w14:paraId="575E2E5B" w14:textId="58D3ADA2" w:rsidR="00221F6C" w:rsidRPr="00D77B72" w:rsidRDefault="00221F6C" w:rsidP="00221F6C">
      <w:pPr>
        <w:pStyle w:val="NormalWeb"/>
        <w:spacing w:before="0" w:beforeAutospacing="0" w:after="0" w:afterAutospacing="0"/>
        <w:ind w:firstLine="708"/>
        <w:jc w:val="both"/>
        <w:rPr>
          <w:rFonts w:ascii="Arial" w:hAnsi="Arial" w:cs="Arial"/>
          <w:color w:val="000000"/>
          <w:sz w:val="19"/>
          <w:szCs w:val="19"/>
        </w:rPr>
      </w:pPr>
      <w:r w:rsidRPr="00D77B72">
        <w:rPr>
          <w:rStyle w:val="Refdenotaalpie"/>
          <w:rFonts w:ascii="Arial" w:hAnsi="Arial" w:cs="Arial"/>
          <w:sz w:val="19"/>
          <w:szCs w:val="19"/>
        </w:rPr>
        <w:footnoteRef/>
      </w:r>
      <w:r w:rsidRPr="00D77B72">
        <w:rPr>
          <w:rFonts w:ascii="Arial" w:hAnsi="Arial" w:cs="Arial"/>
          <w:sz w:val="19"/>
          <w:szCs w:val="19"/>
        </w:rPr>
        <w:t xml:space="preserve"> Decreto 1081 de 2015 </w:t>
      </w:r>
      <w:r w:rsidR="00725A15">
        <w:rPr>
          <w:rFonts w:ascii="Arial" w:hAnsi="Arial" w:cs="Arial"/>
          <w:sz w:val="19"/>
          <w:szCs w:val="19"/>
        </w:rPr>
        <w:t>“</w:t>
      </w:r>
      <w:r w:rsidRPr="00D77B72">
        <w:rPr>
          <w:rFonts w:ascii="Arial" w:hAnsi="Arial" w:cs="Arial"/>
          <w:color w:val="000000"/>
          <w:sz w:val="19"/>
          <w:szCs w:val="19"/>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53254EC5" w14:textId="7C3B6F3C" w:rsidR="00221F6C" w:rsidRPr="00D77B72" w:rsidRDefault="00221F6C" w:rsidP="00221F6C">
      <w:pPr>
        <w:spacing w:after="0" w:line="240" w:lineRule="auto"/>
        <w:jc w:val="both"/>
        <w:rPr>
          <w:rFonts w:ascii="Arial" w:eastAsia="Times New Roman" w:hAnsi="Arial" w:cs="Arial"/>
          <w:color w:val="000000"/>
          <w:sz w:val="19"/>
          <w:szCs w:val="19"/>
          <w:lang w:eastAsia="es-CO"/>
        </w:rPr>
      </w:pPr>
      <w:r w:rsidRPr="00D77B72">
        <w:rPr>
          <w:rFonts w:ascii="Arial" w:eastAsia="Times New Roman" w:hAnsi="Arial" w:cs="Arial"/>
          <w:color w:val="000000"/>
          <w:sz w:val="19"/>
          <w:szCs w:val="19"/>
          <w:lang w:eastAsia="es-CO"/>
        </w:rPr>
        <w:t>  </w:t>
      </w:r>
      <w:r w:rsidRPr="00D77B72">
        <w:rPr>
          <w:rFonts w:ascii="Arial" w:eastAsia="Times New Roman" w:hAnsi="Arial" w:cs="Arial"/>
          <w:color w:val="000000"/>
          <w:sz w:val="19"/>
          <w:szCs w:val="19"/>
          <w:lang w:eastAsia="es-CO"/>
        </w:rPr>
        <w:tab/>
      </w:r>
      <w:r w:rsidR="00725A15">
        <w:rPr>
          <w:rFonts w:ascii="Arial" w:eastAsia="Times New Roman" w:hAnsi="Arial" w:cs="Arial"/>
          <w:color w:val="000000"/>
          <w:sz w:val="19"/>
          <w:szCs w:val="19"/>
          <w:lang w:eastAsia="es-CO"/>
        </w:rPr>
        <w:t>“</w:t>
      </w:r>
      <w:r w:rsidRPr="00D77B72">
        <w:rPr>
          <w:rFonts w:ascii="Arial" w:eastAsia="Times New Roman" w:hAnsi="Arial" w:cs="Arial"/>
          <w:color w:val="000000"/>
          <w:sz w:val="19"/>
          <w:szCs w:val="19"/>
          <w:lang w:eastAsia="es-CO"/>
        </w:rPr>
        <w:t>Los sujetos obligados que contratan con cargo a recursos públicos deben publicar la información de su gestión contractual en el plazo previsto en el artículo 19 del Decreto 1510 de 2013, o el que lo modifique, sustituya o adicione. </w:t>
      </w:r>
    </w:p>
    <w:p w14:paraId="594BC31E" w14:textId="701DB904" w:rsidR="00221F6C" w:rsidRPr="00D77B72" w:rsidRDefault="00221F6C" w:rsidP="00221F6C">
      <w:pPr>
        <w:spacing w:after="0" w:line="240" w:lineRule="auto"/>
        <w:jc w:val="both"/>
        <w:rPr>
          <w:rFonts w:ascii="Arial" w:hAnsi="Arial" w:cs="Arial"/>
          <w:sz w:val="19"/>
          <w:szCs w:val="19"/>
        </w:rPr>
      </w:pPr>
      <w:r w:rsidRPr="00D77B72">
        <w:rPr>
          <w:rFonts w:ascii="Arial" w:eastAsia="Times New Roman" w:hAnsi="Arial" w:cs="Arial"/>
          <w:color w:val="000000"/>
          <w:sz w:val="19"/>
          <w:szCs w:val="19"/>
          <w:lang w:eastAsia="es-CO"/>
        </w:rPr>
        <w:t>  </w:t>
      </w:r>
      <w:r w:rsidRPr="00D77B72">
        <w:rPr>
          <w:rFonts w:ascii="Arial" w:eastAsia="Times New Roman" w:hAnsi="Arial" w:cs="Arial"/>
          <w:color w:val="000000"/>
          <w:sz w:val="19"/>
          <w:szCs w:val="19"/>
          <w:lang w:eastAsia="es-CO"/>
        </w:rPr>
        <w:tab/>
      </w:r>
      <w:r w:rsidR="00725A15">
        <w:rPr>
          <w:rFonts w:ascii="Arial" w:eastAsia="Times New Roman" w:hAnsi="Arial" w:cs="Arial"/>
          <w:color w:val="000000"/>
          <w:sz w:val="19"/>
          <w:szCs w:val="19"/>
          <w:lang w:eastAsia="es-CO"/>
        </w:rPr>
        <w:t>“</w:t>
      </w:r>
      <w:r w:rsidRPr="00D77B72">
        <w:rPr>
          <w:rFonts w:ascii="Arial" w:eastAsia="Times New Roman" w:hAnsi="Arial" w:cs="Arial"/>
          <w:color w:val="000000"/>
          <w:sz w:val="19"/>
          <w:szCs w:val="19"/>
          <w:lang w:eastAsia="es-CO"/>
        </w:rPr>
        <w:t>Los sujetos obligados que contratan con recursos públicos y recursos privados, deben publicar la información de su gestión contractual con cargo a recursos públicos en el Sistema Electrónico para la Contratación Pública (SECOP)</w:t>
      </w:r>
      <w:r w:rsidR="00725A15">
        <w:rPr>
          <w:rFonts w:ascii="Arial" w:hAnsi="Arial" w:cs="Arial"/>
          <w:sz w:val="19"/>
          <w:szCs w:val="19"/>
        </w:rPr>
        <w:t>”</w:t>
      </w:r>
      <w:r w:rsidRPr="00D77B72">
        <w:rPr>
          <w:rFonts w:ascii="Arial" w:hAnsi="Arial" w:cs="Arial"/>
          <w:sz w:val="19"/>
          <w:szCs w:val="19"/>
        </w:rPr>
        <w:t>.</w:t>
      </w:r>
    </w:p>
    <w:p w14:paraId="4A8930C9" w14:textId="77777777" w:rsidR="00221F6C" w:rsidRPr="00D77B72" w:rsidRDefault="00221F6C" w:rsidP="00221F6C">
      <w:pPr>
        <w:spacing w:after="0" w:line="240" w:lineRule="auto"/>
        <w:jc w:val="both"/>
        <w:rPr>
          <w:rFonts w:ascii="Arial" w:eastAsia="Times New Roman" w:hAnsi="Arial" w:cs="Arial"/>
          <w:color w:val="000000"/>
          <w:sz w:val="19"/>
          <w:szCs w:val="19"/>
          <w:lang w:eastAsia="es-CO"/>
        </w:rPr>
      </w:pPr>
    </w:p>
  </w:footnote>
  <w:footnote w:id="2">
    <w:p w14:paraId="3DF1645D" w14:textId="7239860D" w:rsidR="00221F6C" w:rsidRPr="00D77B72" w:rsidRDefault="00221F6C" w:rsidP="00221F6C">
      <w:pPr>
        <w:spacing w:after="0" w:line="240" w:lineRule="auto"/>
        <w:ind w:firstLine="707"/>
        <w:jc w:val="both"/>
        <w:rPr>
          <w:rFonts w:ascii="Arial" w:hAnsi="Arial" w:cs="Arial"/>
          <w:sz w:val="19"/>
          <w:szCs w:val="19"/>
        </w:rPr>
      </w:pPr>
      <w:r w:rsidRPr="00D77B72">
        <w:rPr>
          <w:rStyle w:val="Refdenotaalpie"/>
          <w:rFonts w:ascii="Arial" w:hAnsi="Arial" w:cs="Arial"/>
          <w:sz w:val="19"/>
          <w:szCs w:val="19"/>
        </w:rPr>
        <w:footnoteRef/>
      </w:r>
      <w:r w:rsidRPr="00D77B72">
        <w:rPr>
          <w:rFonts w:ascii="Arial" w:hAnsi="Arial" w:cs="Arial"/>
          <w:sz w:val="19"/>
          <w:szCs w:val="19"/>
          <w:vertAlign w:val="superscript"/>
        </w:rPr>
        <w:t xml:space="preserve"> </w:t>
      </w:r>
      <w:r w:rsidRPr="00D77B72">
        <w:rPr>
          <w:rFonts w:ascii="Arial" w:hAnsi="Arial" w:cs="Arial"/>
          <w:sz w:val="19"/>
          <w:szCs w:val="19"/>
        </w:rPr>
        <w:t xml:space="preserve">Ley 1712 de 2014: </w:t>
      </w:r>
      <w:r w:rsidR="00725A15">
        <w:rPr>
          <w:rFonts w:ascii="Arial" w:hAnsi="Arial" w:cs="Arial"/>
          <w:sz w:val="19"/>
          <w:szCs w:val="19"/>
        </w:rPr>
        <w:t>“</w:t>
      </w:r>
      <w:r w:rsidRPr="00D77B72">
        <w:rPr>
          <w:rFonts w:ascii="Arial" w:hAnsi="Arial" w:cs="Arial"/>
          <w:sz w:val="19"/>
          <w:szCs w:val="19"/>
        </w:rPr>
        <w:t>Artículo 2. Toda información en posesión, bajo control o custodia de un sujeto obligado es pública y no podrá ser reservada o limitada sino por disposición constitucional o legal, de conformidad con la presente ley</w:t>
      </w:r>
      <w:r w:rsidR="00725A15">
        <w:rPr>
          <w:rFonts w:ascii="Arial" w:hAnsi="Arial" w:cs="Arial"/>
          <w:sz w:val="19"/>
          <w:szCs w:val="19"/>
        </w:rPr>
        <w:t>”</w:t>
      </w:r>
      <w:r w:rsidRPr="00D77B72">
        <w:rPr>
          <w:rFonts w:ascii="Arial" w:hAnsi="Arial" w:cs="Arial"/>
          <w:sz w:val="19"/>
          <w:szCs w:val="19"/>
        </w:rPr>
        <w:t>.</w:t>
      </w:r>
    </w:p>
  </w:footnote>
  <w:footnote w:id="3">
    <w:p w14:paraId="70A40C3D" w14:textId="77777777" w:rsidR="00221F6C" w:rsidRPr="00D77B72" w:rsidRDefault="00221F6C" w:rsidP="00221F6C">
      <w:pPr>
        <w:pStyle w:val="Textonotapie"/>
        <w:jc w:val="both"/>
        <w:rPr>
          <w:rFonts w:ascii="Arial" w:hAnsi="Arial" w:cs="Arial"/>
          <w:sz w:val="19"/>
          <w:szCs w:val="19"/>
        </w:rPr>
      </w:pPr>
    </w:p>
    <w:p w14:paraId="607672CC" w14:textId="4ACD98CB" w:rsidR="00221F6C" w:rsidRPr="00D77B72" w:rsidRDefault="00221F6C" w:rsidP="00221F6C">
      <w:pPr>
        <w:pStyle w:val="Textonotapie"/>
        <w:ind w:firstLine="707"/>
        <w:jc w:val="both"/>
        <w:rPr>
          <w:rFonts w:ascii="Arial" w:hAnsi="Arial" w:cs="Arial"/>
          <w:sz w:val="19"/>
          <w:szCs w:val="19"/>
          <w:lang w:val="es-CO"/>
        </w:rPr>
      </w:pPr>
      <w:r w:rsidRPr="00D77B72">
        <w:rPr>
          <w:rStyle w:val="Refdenotaalpie"/>
          <w:rFonts w:ascii="Arial" w:hAnsi="Arial" w:cs="Arial"/>
          <w:sz w:val="19"/>
          <w:szCs w:val="19"/>
        </w:rPr>
        <w:footnoteRef/>
      </w:r>
      <w:r w:rsidRPr="00D77B72">
        <w:rPr>
          <w:rFonts w:ascii="Arial" w:hAnsi="Arial" w:cs="Arial"/>
          <w:sz w:val="19"/>
          <w:szCs w:val="19"/>
          <w:vertAlign w:val="superscript"/>
        </w:rPr>
        <w:t xml:space="preserve"> </w:t>
      </w:r>
      <w:r w:rsidRPr="00D77B72">
        <w:rPr>
          <w:rFonts w:ascii="Arial" w:hAnsi="Arial" w:cs="Arial"/>
          <w:sz w:val="19"/>
          <w:szCs w:val="19"/>
        </w:rPr>
        <w:t xml:space="preserve">Ley 1712 de 2014: </w:t>
      </w:r>
      <w:r w:rsidR="00725A15">
        <w:rPr>
          <w:rFonts w:ascii="Arial" w:hAnsi="Arial" w:cs="Arial"/>
          <w:sz w:val="19"/>
          <w:szCs w:val="19"/>
        </w:rPr>
        <w:t>“</w:t>
      </w:r>
      <w:r w:rsidRPr="00D77B72">
        <w:rPr>
          <w:rFonts w:ascii="Arial" w:hAnsi="Arial" w:cs="Arial"/>
          <w:sz w:val="19"/>
          <w:szCs w:val="19"/>
        </w:rPr>
        <w:t xml:space="preserve">Artículo 3. </w:t>
      </w:r>
      <w:bookmarkStart w:id="5" w:name="3"/>
      <w:r w:rsidRPr="00D77B72">
        <w:rPr>
          <w:rFonts w:ascii="Arial" w:hAnsi="Arial" w:cs="Arial"/>
          <w:sz w:val="19"/>
          <w:szCs w:val="19"/>
          <w:lang w:val="es-CO"/>
        </w:rPr>
        <w:t>Otros principios de la transparencia y acceso a la información pública.</w:t>
      </w:r>
      <w:bookmarkEnd w:id="5"/>
      <w:r w:rsidRPr="00D77B72">
        <w:rPr>
          <w:rFonts w:ascii="Arial" w:hAnsi="Arial" w:cs="Arial"/>
          <w:sz w:val="19"/>
          <w:szCs w:val="19"/>
          <w:lang w:val="es-CO"/>
        </w:rPr>
        <w:t> </w:t>
      </w:r>
    </w:p>
    <w:p w14:paraId="3B1EF904" w14:textId="77777777" w:rsidR="00221F6C" w:rsidRPr="00D77B72" w:rsidRDefault="00221F6C" w:rsidP="00221F6C">
      <w:pPr>
        <w:pStyle w:val="Textonotapie"/>
        <w:ind w:firstLine="707"/>
        <w:jc w:val="both"/>
        <w:rPr>
          <w:rFonts w:ascii="Arial" w:hAnsi="Arial" w:cs="Arial"/>
          <w:sz w:val="19"/>
          <w:szCs w:val="19"/>
          <w:lang w:val="es-CO"/>
        </w:rPr>
      </w:pPr>
      <w:r w:rsidRPr="00D77B72">
        <w:rPr>
          <w:rFonts w:ascii="Arial" w:hAnsi="Arial" w:cs="Arial"/>
          <w:sz w:val="19"/>
          <w:szCs w:val="19"/>
          <w:lang w:val="es-CO"/>
        </w:rPr>
        <w:t>[…]</w:t>
      </w:r>
    </w:p>
    <w:p w14:paraId="2E43E06D" w14:textId="77777777" w:rsidR="00221F6C" w:rsidRPr="00D77B72" w:rsidRDefault="00221F6C" w:rsidP="00221F6C">
      <w:pPr>
        <w:pStyle w:val="Textonotapie"/>
        <w:ind w:firstLine="707"/>
        <w:jc w:val="both"/>
        <w:rPr>
          <w:rFonts w:ascii="Arial" w:hAnsi="Arial" w:cs="Arial"/>
          <w:sz w:val="19"/>
          <w:szCs w:val="19"/>
        </w:rPr>
      </w:pPr>
      <w:r w:rsidRPr="00D77B72">
        <w:rPr>
          <w:rStyle w:val="baj"/>
          <w:rFonts w:ascii="Arial" w:hAnsi="Arial" w:cs="Arial"/>
          <w:b/>
          <w:bCs/>
          <w:sz w:val="19"/>
          <w:szCs w:val="19"/>
        </w:rPr>
        <w:t>Principio de transparencia</w:t>
      </w:r>
      <w:r w:rsidRPr="00D77B72">
        <w:rPr>
          <w:rFonts w:ascii="Arial" w:hAnsi="Arial" w:cs="Arial"/>
          <w:sz w:val="19"/>
          <w:szCs w:val="19"/>
        </w:rPr>
        <w:t xml:space="preserve">. Principio conforme al cual toda la información en poder de los sujetos obligados definidos en esta ley se presume pública, en </w:t>
      </w:r>
      <w:r w:rsidRPr="00D77B72">
        <w:rPr>
          <w:rFonts w:ascii="Arial" w:hAnsi="Arial" w:cs="Arial"/>
          <w:sz w:val="19"/>
          <w:szCs w:val="19"/>
        </w:rPr>
        <w:t>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p w14:paraId="7D05847E" w14:textId="77777777" w:rsidR="00221F6C" w:rsidRPr="00D77B72" w:rsidRDefault="00221F6C" w:rsidP="00221F6C">
      <w:pPr>
        <w:pStyle w:val="Textonotapie"/>
        <w:jc w:val="both"/>
        <w:rPr>
          <w:rFonts w:ascii="Arial" w:hAnsi="Arial" w:cs="Arial"/>
          <w:sz w:val="19"/>
          <w:szCs w:val="19"/>
          <w:lang w:val="es-CO"/>
        </w:rPr>
      </w:pPr>
    </w:p>
  </w:footnote>
  <w:footnote w:id="4">
    <w:p w14:paraId="57B8E03D" w14:textId="55B1B326" w:rsidR="00221F6C" w:rsidRPr="00D77B72" w:rsidRDefault="00221F6C" w:rsidP="00221F6C">
      <w:pPr>
        <w:pStyle w:val="Textonotapie"/>
        <w:ind w:firstLine="707"/>
        <w:jc w:val="both"/>
        <w:rPr>
          <w:rFonts w:ascii="Arial" w:hAnsi="Arial" w:cs="Arial"/>
          <w:sz w:val="19"/>
          <w:szCs w:val="19"/>
          <w:lang w:val="es-CO"/>
        </w:rPr>
      </w:pPr>
      <w:r w:rsidRPr="00D77B72">
        <w:rPr>
          <w:rStyle w:val="Refdenotaalpie"/>
          <w:rFonts w:ascii="Arial" w:hAnsi="Arial" w:cs="Arial"/>
          <w:sz w:val="19"/>
          <w:szCs w:val="19"/>
        </w:rPr>
        <w:footnoteRef/>
      </w:r>
      <w:r w:rsidRPr="00D77B72">
        <w:rPr>
          <w:rFonts w:ascii="Arial" w:hAnsi="Arial" w:cs="Arial"/>
          <w:sz w:val="19"/>
          <w:szCs w:val="19"/>
          <w:vertAlign w:val="superscript"/>
        </w:rPr>
        <w:t xml:space="preserve"> </w:t>
      </w:r>
      <w:r w:rsidRPr="00D77B72">
        <w:rPr>
          <w:rFonts w:ascii="Arial" w:hAnsi="Arial" w:cs="Arial"/>
          <w:sz w:val="19"/>
          <w:szCs w:val="19"/>
        </w:rPr>
        <w:t xml:space="preserve">Ley 1712 de 2014: </w:t>
      </w:r>
      <w:r w:rsidR="00725A15">
        <w:rPr>
          <w:rFonts w:ascii="Arial" w:hAnsi="Arial" w:cs="Arial"/>
          <w:sz w:val="19"/>
          <w:szCs w:val="19"/>
        </w:rPr>
        <w:t>“</w:t>
      </w:r>
      <w:r w:rsidRPr="00D77B72">
        <w:rPr>
          <w:rFonts w:ascii="Arial" w:hAnsi="Arial" w:cs="Arial"/>
          <w:sz w:val="19"/>
          <w:szCs w:val="19"/>
        </w:rPr>
        <w:t xml:space="preserve">Artículo 3. </w:t>
      </w:r>
      <w:r w:rsidRPr="00D77B72">
        <w:rPr>
          <w:rFonts w:ascii="Arial" w:hAnsi="Arial" w:cs="Arial"/>
          <w:sz w:val="19"/>
          <w:szCs w:val="19"/>
          <w:lang w:val="es-CO"/>
        </w:rPr>
        <w:t>Otros principios de la transparencia y acceso a la información pública. </w:t>
      </w:r>
    </w:p>
    <w:p w14:paraId="6A7F77C6" w14:textId="77777777" w:rsidR="00221F6C" w:rsidRPr="00D77B72" w:rsidRDefault="00221F6C" w:rsidP="00221F6C">
      <w:pPr>
        <w:pStyle w:val="Textonotapie"/>
        <w:ind w:firstLine="707"/>
        <w:jc w:val="both"/>
        <w:rPr>
          <w:rFonts w:ascii="Arial" w:hAnsi="Arial" w:cs="Arial"/>
          <w:sz w:val="19"/>
          <w:szCs w:val="19"/>
          <w:lang w:val="es-ES"/>
        </w:rPr>
      </w:pPr>
      <w:r w:rsidRPr="00D77B72">
        <w:rPr>
          <w:rFonts w:ascii="Arial" w:hAnsi="Arial" w:cs="Arial"/>
          <w:sz w:val="19"/>
          <w:szCs w:val="19"/>
          <w:lang w:val="es-ES"/>
        </w:rPr>
        <w:t>[…]</w:t>
      </w:r>
    </w:p>
    <w:p w14:paraId="3722CB2F" w14:textId="77777777" w:rsidR="00221F6C" w:rsidRPr="00D77B72" w:rsidRDefault="00221F6C" w:rsidP="00221F6C">
      <w:pPr>
        <w:pStyle w:val="Textonotapie"/>
        <w:ind w:firstLine="707"/>
        <w:jc w:val="both"/>
        <w:rPr>
          <w:rFonts w:ascii="Arial" w:hAnsi="Arial" w:cs="Arial"/>
          <w:sz w:val="19"/>
          <w:szCs w:val="19"/>
          <w:lang w:val="es-ES"/>
        </w:rPr>
      </w:pPr>
      <w:r w:rsidRPr="00D77B72">
        <w:rPr>
          <w:rStyle w:val="baj"/>
          <w:rFonts w:ascii="Arial" w:hAnsi="Arial" w:cs="Arial"/>
          <w:b/>
          <w:bCs/>
          <w:sz w:val="19"/>
          <w:szCs w:val="19"/>
        </w:rPr>
        <w:t>Principio de buena fe</w:t>
      </w:r>
      <w:r w:rsidRPr="00D77B72">
        <w:rPr>
          <w:rFonts w:ascii="Arial" w:hAnsi="Arial" w:cs="Arial"/>
          <w:sz w:val="19"/>
          <w:szCs w:val="19"/>
        </w:rPr>
        <w:t>. En virtud del cual todo sujeto obligado, al cumplir con las obligaciones derivadas del derecho de acceso a la información pública, lo hará con motivación honesta, leal y desprovista de cualquier intención dolosa o culposa.</w:t>
      </w:r>
    </w:p>
  </w:footnote>
  <w:footnote w:id="5">
    <w:p w14:paraId="4CD9A543" w14:textId="77777777" w:rsidR="00221F6C" w:rsidRPr="00D77B72" w:rsidRDefault="00221F6C" w:rsidP="00221F6C">
      <w:pPr>
        <w:spacing w:after="0" w:line="240" w:lineRule="auto"/>
        <w:ind w:firstLine="707"/>
        <w:jc w:val="both"/>
        <w:rPr>
          <w:rFonts w:ascii="Arial" w:hAnsi="Arial" w:cs="Arial"/>
          <w:sz w:val="19"/>
          <w:szCs w:val="19"/>
        </w:rPr>
      </w:pPr>
    </w:p>
    <w:p w14:paraId="54A5D75A" w14:textId="3C6C44DC" w:rsidR="00221F6C" w:rsidRPr="00D77B72" w:rsidRDefault="00221F6C" w:rsidP="00221F6C">
      <w:pPr>
        <w:spacing w:after="0" w:line="240" w:lineRule="auto"/>
        <w:ind w:firstLine="707"/>
        <w:jc w:val="both"/>
        <w:rPr>
          <w:rFonts w:ascii="Arial" w:hAnsi="Arial" w:cs="Arial"/>
          <w:sz w:val="19"/>
          <w:szCs w:val="19"/>
        </w:rPr>
      </w:pPr>
      <w:r w:rsidRPr="00D77B72">
        <w:rPr>
          <w:rStyle w:val="Refdenotaalpie"/>
          <w:rFonts w:ascii="Arial" w:hAnsi="Arial" w:cs="Arial"/>
          <w:sz w:val="19"/>
          <w:szCs w:val="19"/>
        </w:rPr>
        <w:footnoteRef/>
      </w:r>
      <w:r w:rsidRPr="00D77B72">
        <w:rPr>
          <w:rFonts w:ascii="Arial" w:hAnsi="Arial" w:cs="Arial"/>
          <w:sz w:val="19"/>
          <w:szCs w:val="19"/>
        </w:rPr>
        <w:t xml:space="preserve"> Ley 1712 de 2014: </w:t>
      </w:r>
      <w:r w:rsidR="00725A15">
        <w:rPr>
          <w:rFonts w:ascii="Arial" w:hAnsi="Arial" w:cs="Arial"/>
          <w:sz w:val="19"/>
          <w:szCs w:val="19"/>
        </w:rPr>
        <w:t>“</w:t>
      </w:r>
      <w:r w:rsidRPr="00D77B72">
        <w:rPr>
          <w:rFonts w:ascii="Arial" w:hAnsi="Arial" w:cs="Arial"/>
          <w:sz w:val="19"/>
          <w:szCs w:val="19"/>
        </w:rPr>
        <w:t>Artículo 5. Ámbito de aplicación. Las disposiciones de esta ley serán aplicables a las siguientes personas en calidad de sujetos obligados:</w:t>
      </w:r>
    </w:p>
    <w:p w14:paraId="794373A1" w14:textId="00DF6681" w:rsidR="00221F6C" w:rsidRPr="00D77B72" w:rsidRDefault="00725A15" w:rsidP="00221F6C">
      <w:pPr>
        <w:spacing w:after="0" w:line="240" w:lineRule="auto"/>
        <w:ind w:firstLine="707"/>
        <w:jc w:val="both"/>
        <w:rPr>
          <w:rFonts w:ascii="Arial" w:hAnsi="Arial" w:cs="Arial"/>
          <w:sz w:val="19"/>
          <w:szCs w:val="19"/>
        </w:rPr>
      </w:pPr>
      <w:r>
        <w:rPr>
          <w:rFonts w:ascii="Arial" w:hAnsi="Arial" w:cs="Arial"/>
          <w:sz w:val="19"/>
          <w:szCs w:val="19"/>
        </w:rPr>
        <w:t>“</w:t>
      </w:r>
      <w:r w:rsidR="00221F6C" w:rsidRPr="00D77B72">
        <w:rPr>
          <w:rFonts w:ascii="Arial" w:hAnsi="Arial" w:cs="Arial"/>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r>
        <w:rPr>
          <w:rFonts w:ascii="Arial" w:hAnsi="Arial" w:cs="Arial"/>
          <w:sz w:val="19"/>
          <w:szCs w:val="19"/>
        </w:rPr>
        <w:t>”</w:t>
      </w:r>
      <w:r w:rsidR="00221F6C" w:rsidRPr="00D77B72">
        <w:rPr>
          <w:rFonts w:ascii="Arial" w:hAnsi="Arial" w:cs="Arial"/>
          <w:sz w:val="19"/>
          <w:szCs w:val="19"/>
        </w:rPr>
        <w:t>.</w:t>
      </w:r>
    </w:p>
    <w:p w14:paraId="2BB7E2D2" w14:textId="77777777" w:rsidR="00221F6C" w:rsidRPr="00D77B72" w:rsidRDefault="00221F6C" w:rsidP="00221F6C">
      <w:pPr>
        <w:pStyle w:val="Textonotapie"/>
        <w:jc w:val="both"/>
        <w:rPr>
          <w:rFonts w:ascii="Arial" w:hAnsi="Arial" w:cs="Arial"/>
          <w:sz w:val="19"/>
          <w:szCs w:val="19"/>
        </w:rPr>
      </w:pPr>
    </w:p>
  </w:footnote>
  <w:footnote w:id="6">
    <w:p w14:paraId="48856B87" w14:textId="601C1D44" w:rsidR="00221F6C" w:rsidRPr="00D77B72" w:rsidRDefault="00221F6C" w:rsidP="00221F6C">
      <w:pPr>
        <w:spacing w:after="0" w:line="240" w:lineRule="auto"/>
        <w:ind w:firstLine="709"/>
        <w:jc w:val="both"/>
        <w:rPr>
          <w:rFonts w:ascii="Arial" w:hAnsi="Arial" w:cs="Arial"/>
          <w:sz w:val="19"/>
          <w:szCs w:val="19"/>
        </w:rPr>
      </w:pPr>
      <w:r w:rsidRPr="00D77B72">
        <w:rPr>
          <w:rStyle w:val="Refdenotaalpie"/>
          <w:rFonts w:ascii="Arial" w:hAnsi="Arial" w:cs="Arial"/>
          <w:sz w:val="19"/>
          <w:szCs w:val="19"/>
        </w:rPr>
        <w:footnoteRef/>
      </w:r>
      <w:r w:rsidRPr="00D77B72">
        <w:rPr>
          <w:rFonts w:ascii="Arial" w:hAnsi="Arial" w:cs="Arial"/>
          <w:sz w:val="19"/>
          <w:szCs w:val="19"/>
        </w:rPr>
        <w:t xml:space="preserve"> </w:t>
      </w:r>
      <w:r w:rsidR="00725A15">
        <w:rPr>
          <w:rFonts w:ascii="Arial" w:hAnsi="Arial" w:cs="Arial"/>
          <w:sz w:val="19"/>
          <w:szCs w:val="19"/>
        </w:rPr>
        <w:t>“</w:t>
      </w:r>
      <w:r w:rsidRPr="00D77B72">
        <w:rPr>
          <w:rFonts w:ascii="Arial" w:hAnsi="Arial" w:cs="Arial"/>
          <w:sz w:val="19"/>
          <w:szCs w:val="19"/>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p>
    <w:p w14:paraId="417B00B2" w14:textId="77777777" w:rsidR="00221F6C" w:rsidRPr="00D77B72" w:rsidRDefault="00221F6C" w:rsidP="00221F6C">
      <w:pPr>
        <w:spacing w:after="0" w:line="240" w:lineRule="auto"/>
        <w:ind w:firstLine="708"/>
        <w:jc w:val="both"/>
        <w:rPr>
          <w:rFonts w:ascii="Arial" w:hAnsi="Arial" w:cs="Arial"/>
          <w:sz w:val="19"/>
          <w:szCs w:val="19"/>
        </w:rPr>
      </w:pPr>
      <w:r w:rsidRPr="00D77B72">
        <w:rPr>
          <w:rFonts w:ascii="Arial" w:hAnsi="Arial" w:cs="Arial"/>
          <w:sz w:val="19"/>
          <w:szCs w:val="19"/>
        </w:rPr>
        <w:t>[…].</w:t>
      </w:r>
    </w:p>
    <w:p w14:paraId="26D680A9" w14:textId="6C885176" w:rsidR="00221F6C" w:rsidRPr="00D77B72" w:rsidRDefault="00725A15" w:rsidP="00221F6C">
      <w:pPr>
        <w:spacing w:after="0" w:line="240" w:lineRule="auto"/>
        <w:ind w:firstLine="709"/>
        <w:jc w:val="both"/>
        <w:rPr>
          <w:rFonts w:ascii="Arial" w:hAnsi="Arial" w:cs="Arial"/>
          <w:sz w:val="19"/>
          <w:szCs w:val="19"/>
        </w:rPr>
      </w:pPr>
      <w:r>
        <w:rPr>
          <w:rFonts w:ascii="Arial" w:hAnsi="Arial" w:cs="Arial"/>
          <w:sz w:val="19"/>
          <w:szCs w:val="19"/>
        </w:rPr>
        <w:t>“</w:t>
      </w:r>
      <w:r w:rsidR="00221F6C" w:rsidRPr="00D77B72">
        <w:rPr>
          <w:rFonts w:ascii="Arial" w:hAnsi="Arial" w:cs="Arial"/>
          <w:sz w:val="19"/>
          <w:szCs w:val="19"/>
        </w:rPr>
        <w:t>Los sujetos obligados que contratan con recursos públicos y recursos privados, deben publicar la información de su gestión contractual con cargo a recursos públicos en el Sistema Electrónico para la Contratación Pública [SECOP]</w:t>
      </w:r>
      <w:r>
        <w:rPr>
          <w:rFonts w:ascii="Arial" w:hAnsi="Arial" w:cs="Arial"/>
          <w:sz w:val="19"/>
          <w:szCs w:val="19"/>
        </w:rPr>
        <w:t>”</w:t>
      </w:r>
      <w:r w:rsidR="00221F6C" w:rsidRPr="00D77B72">
        <w:rPr>
          <w:rFonts w:ascii="Arial" w:hAnsi="Arial" w:cs="Arial"/>
          <w:sz w:val="19"/>
          <w:szCs w:val="19"/>
        </w:rPr>
        <w:t>.</w:t>
      </w:r>
    </w:p>
    <w:p w14:paraId="0E129EA0" w14:textId="77777777" w:rsidR="00221F6C" w:rsidRPr="00D77B72" w:rsidRDefault="00221F6C" w:rsidP="00221F6C">
      <w:pPr>
        <w:pStyle w:val="Textonotapie"/>
        <w:jc w:val="both"/>
        <w:rPr>
          <w:rFonts w:ascii="Arial" w:hAnsi="Arial" w:cs="Arial"/>
          <w:sz w:val="19"/>
          <w:szCs w:val="19"/>
        </w:rPr>
      </w:pPr>
    </w:p>
  </w:footnote>
  <w:footnote w:id="7">
    <w:p w14:paraId="7B5C21AF" w14:textId="23ECC7F4" w:rsidR="00221F6C" w:rsidRPr="008F04CD" w:rsidRDefault="00221F6C" w:rsidP="00221F6C">
      <w:pPr>
        <w:spacing w:after="0" w:line="240" w:lineRule="auto"/>
        <w:ind w:firstLine="709"/>
        <w:jc w:val="both"/>
        <w:rPr>
          <w:rFonts w:ascii="Arial" w:hAnsi="Arial" w:cs="Arial"/>
          <w:sz w:val="19"/>
          <w:szCs w:val="19"/>
        </w:rPr>
      </w:pPr>
      <w:r>
        <w:rPr>
          <w:rStyle w:val="Refdenotaalpie"/>
        </w:rPr>
        <w:footnoteRef/>
      </w:r>
      <w:r>
        <w:t xml:space="preserve"> </w:t>
      </w:r>
      <w:r w:rsidR="00725A15">
        <w:t>“</w:t>
      </w:r>
      <w:r>
        <w:t xml:space="preserve">[…] </w:t>
      </w:r>
      <w:r w:rsidRPr="008F04CD">
        <w:rPr>
          <w:rFonts w:ascii="Arial" w:hAnsi="Arial" w:cs="Arial"/>
          <w:sz w:val="19"/>
          <w:szCs w:val="19"/>
        </w:rPr>
        <w:t xml:space="preserve">El Gobierno Nacional desarrollará el Sistema Electrónico para la Contratación Pública, </w:t>
      </w:r>
      <w:r w:rsidRPr="008F04CD">
        <w:rPr>
          <w:rFonts w:ascii="Arial" w:hAnsi="Arial" w:cs="Arial"/>
          <w:sz w:val="19"/>
          <w:szCs w:val="19"/>
        </w:rPr>
        <w:t>Secop, el cual:</w:t>
      </w:r>
    </w:p>
    <w:p w14:paraId="1885344E" w14:textId="496D4991" w:rsidR="00221F6C" w:rsidRPr="008F04CD" w:rsidRDefault="00725A15" w:rsidP="00221F6C">
      <w:pPr>
        <w:spacing w:after="0" w:line="240" w:lineRule="auto"/>
        <w:ind w:firstLine="709"/>
        <w:jc w:val="both"/>
        <w:rPr>
          <w:rFonts w:ascii="Arial" w:hAnsi="Arial" w:cs="Arial"/>
          <w:sz w:val="19"/>
          <w:szCs w:val="19"/>
        </w:rPr>
      </w:pPr>
      <w:r>
        <w:rPr>
          <w:rFonts w:ascii="Arial" w:hAnsi="Arial" w:cs="Arial"/>
          <w:sz w:val="19"/>
          <w:szCs w:val="19"/>
        </w:rPr>
        <w:t>“</w:t>
      </w:r>
      <w:r w:rsidR="00221F6C" w:rsidRPr="008F04CD">
        <w:rPr>
          <w:rFonts w:ascii="Arial" w:hAnsi="Arial" w:cs="Arial"/>
          <w:sz w:val="19"/>
          <w:szCs w:val="19"/>
        </w:rPr>
        <w:t>[…]</w:t>
      </w:r>
    </w:p>
    <w:p w14:paraId="49346662" w14:textId="29612036" w:rsidR="00221F6C" w:rsidRPr="008F04CD" w:rsidRDefault="00725A15" w:rsidP="00221F6C">
      <w:pPr>
        <w:spacing w:after="0" w:line="240" w:lineRule="auto"/>
        <w:ind w:firstLine="709"/>
        <w:jc w:val="both"/>
        <w:rPr>
          <w:rFonts w:ascii="Arial" w:hAnsi="Arial" w:cs="Arial"/>
          <w:sz w:val="19"/>
          <w:szCs w:val="19"/>
        </w:rPr>
      </w:pPr>
      <w:r>
        <w:rPr>
          <w:rFonts w:ascii="Arial" w:hAnsi="Arial" w:cs="Arial"/>
          <w:sz w:val="19"/>
          <w:szCs w:val="19"/>
        </w:rPr>
        <w:t>“</w:t>
      </w:r>
      <w:r w:rsidR="00221F6C" w:rsidRPr="008F04CD">
        <w:rPr>
          <w:rFonts w:ascii="Arial" w:hAnsi="Arial" w:cs="Arial"/>
          <w:sz w:val="19"/>
          <w:szCs w:val="19"/>
        </w:rPr>
        <w:t>c) Contará con la información oficial de la contratación realizada con dineros públicos, para lo cual establecerá los patrones a que haya lugar y se encargará de su difusión a través de canales electrónicos […]</w:t>
      </w:r>
      <w:r>
        <w:rPr>
          <w:rFonts w:ascii="Arial" w:hAnsi="Arial" w:cs="Arial"/>
          <w:sz w:val="19"/>
          <w:szCs w:val="19"/>
        </w:rPr>
        <w:t>”</w:t>
      </w:r>
      <w:r w:rsidR="00221F6C">
        <w:rPr>
          <w:rFonts w:ascii="Arial" w:hAnsi="Arial" w:cs="Arial"/>
          <w:sz w:val="19"/>
          <w:szCs w:val="19"/>
        </w:rPr>
        <w:t>.</w:t>
      </w:r>
    </w:p>
  </w:footnote>
  <w:footnote w:id="8">
    <w:p w14:paraId="4F5134F4" w14:textId="4686F4CF" w:rsidR="00725A15" w:rsidRPr="00D77B72" w:rsidRDefault="00725A15" w:rsidP="00725A15">
      <w:pPr>
        <w:pStyle w:val="Textonotapie"/>
        <w:ind w:firstLine="708"/>
        <w:jc w:val="both"/>
        <w:rPr>
          <w:rFonts w:ascii="Arial" w:hAnsi="Arial" w:cs="Arial"/>
          <w:sz w:val="19"/>
          <w:szCs w:val="19"/>
        </w:rPr>
      </w:pPr>
      <w:r w:rsidRPr="00D77B72">
        <w:rPr>
          <w:rStyle w:val="Refdenotaalpie"/>
          <w:rFonts w:ascii="Arial" w:hAnsi="Arial" w:cs="Arial"/>
          <w:sz w:val="19"/>
          <w:szCs w:val="19"/>
        </w:rPr>
        <w:footnoteRef/>
      </w:r>
      <w:r w:rsidRPr="00D77B72">
        <w:rPr>
          <w:rFonts w:ascii="Arial" w:hAnsi="Arial" w:cs="Arial"/>
          <w:sz w:val="19"/>
          <w:szCs w:val="19"/>
        </w:rPr>
        <w:t xml:space="preserve"> Decreto 4170 de 2011: </w:t>
      </w:r>
      <w:r>
        <w:rPr>
          <w:rFonts w:ascii="Arial" w:hAnsi="Arial" w:cs="Arial"/>
          <w:sz w:val="19"/>
          <w:szCs w:val="19"/>
        </w:rPr>
        <w:t>“</w:t>
      </w:r>
      <w:r w:rsidRPr="00D77B72">
        <w:rPr>
          <w:rFonts w:ascii="Arial" w:hAnsi="Arial" w:cs="Arial"/>
          <w:sz w:val="19"/>
          <w:szCs w:val="19"/>
        </w:rPr>
        <w:t>Artículo 3. Funciones: La Agencia Nacional de Contratación Pública –Colombia Compra Eficiente– ejercerá las siguientes funciones: [...]</w:t>
      </w:r>
    </w:p>
    <w:p w14:paraId="7969463C" w14:textId="0E53A8ED" w:rsidR="00725A15" w:rsidRPr="00D77B72" w:rsidRDefault="00725A15" w:rsidP="00725A15">
      <w:pPr>
        <w:pStyle w:val="Textonotapie"/>
        <w:ind w:firstLine="708"/>
        <w:jc w:val="both"/>
        <w:rPr>
          <w:rFonts w:ascii="Arial" w:hAnsi="Arial" w:cs="Arial"/>
          <w:sz w:val="19"/>
          <w:szCs w:val="19"/>
        </w:rPr>
      </w:pPr>
      <w:r>
        <w:rPr>
          <w:rFonts w:ascii="Arial" w:hAnsi="Arial" w:cs="Arial"/>
          <w:sz w:val="19"/>
          <w:szCs w:val="19"/>
        </w:rPr>
        <w:t>“</w:t>
      </w:r>
      <w:r w:rsidRPr="00D77B72">
        <w:rPr>
          <w:rFonts w:ascii="Arial" w:hAnsi="Arial" w:cs="Arial"/>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 [...]</w:t>
      </w:r>
      <w:r>
        <w:rPr>
          <w:rFonts w:ascii="Arial" w:hAnsi="Arial" w:cs="Arial"/>
          <w:sz w:val="19"/>
          <w:szCs w:val="19"/>
        </w:rPr>
        <w:t>”</w:t>
      </w:r>
      <w:r w:rsidRPr="00D77B72">
        <w:rPr>
          <w:rFonts w:ascii="Arial" w:hAnsi="Arial" w:cs="Arial"/>
          <w:sz w:val="19"/>
          <w:szCs w:val="19"/>
        </w:rPr>
        <w:t>.</w:t>
      </w:r>
    </w:p>
    <w:p w14:paraId="56B86495" w14:textId="77777777" w:rsidR="00725A15" w:rsidRPr="00D77B72" w:rsidRDefault="00725A15" w:rsidP="00725A15">
      <w:pPr>
        <w:pStyle w:val="Textonotapie"/>
        <w:jc w:val="both"/>
        <w:rPr>
          <w:rFonts w:ascii="Arial" w:hAnsi="Arial" w:cs="Arial"/>
          <w:sz w:val="19"/>
          <w:szCs w:val="19"/>
          <w:lang w:val="es-ES"/>
        </w:rPr>
      </w:pPr>
    </w:p>
  </w:footnote>
  <w:footnote w:id="9">
    <w:p w14:paraId="7AF77A79" w14:textId="77777777" w:rsidR="00725A15" w:rsidRPr="00D77B72" w:rsidRDefault="00725A15" w:rsidP="00725A15">
      <w:pPr>
        <w:pStyle w:val="Textonotapie"/>
        <w:ind w:firstLine="708"/>
        <w:jc w:val="both"/>
        <w:rPr>
          <w:rStyle w:val="Hipervnculo"/>
          <w:rFonts w:ascii="Arial" w:hAnsi="Arial" w:cs="Arial"/>
          <w:sz w:val="19"/>
          <w:szCs w:val="19"/>
        </w:rPr>
      </w:pPr>
      <w:r w:rsidRPr="00D77B72">
        <w:rPr>
          <w:rStyle w:val="Refdenotaalpie"/>
          <w:rFonts w:ascii="Arial" w:hAnsi="Arial" w:cs="Arial"/>
          <w:sz w:val="19"/>
          <w:szCs w:val="19"/>
        </w:rPr>
        <w:footnoteRef/>
      </w:r>
      <w:r w:rsidRPr="00D77B72">
        <w:rPr>
          <w:rFonts w:ascii="Arial" w:hAnsi="Arial" w:cs="Arial"/>
          <w:sz w:val="19"/>
          <w:szCs w:val="19"/>
        </w:rPr>
        <w:t xml:space="preserve"> En el siguiente link se puede consultar la Guía para gestionar o publicar los procesos de Régimen Especial con oferta en el SECOP II:  </w:t>
      </w:r>
      <w:hyperlink r:id="rId1" w:history="1">
        <w:r w:rsidRPr="00D77B72">
          <w:rPr>
            <w:rStyle w:val="Hipervnculo"/>
            <w:rFonts w:ascii="Arial" w:hAnsi="Arial" w:cs="Arial"/>
            <w:sz w:val="19"/>
            <w:szCs w:val="19"/>
          </w:rPr>
          <w:t>https://www.colombiacompra.gov.co/node/23628</w:t>
        </w:r>
      </w:hyperlink>
    </w:p>
    <w:p w14:paraId="032265B4" w14:textId="77777777" w:rsidR="00725A15" w:rsidRPr="00D77B72" w:rsidRDefault="00725A15" w:rsidP="00725A15">
      <w:pPr>
        <w:pStyle w:val="Textonotapie"/>
        <w:ind w:firstLine="708"/>
        <w:jc w:val="both"/>
        <w:rPr>
          <w:rFonts w:ascii="Arial" w:hAnsi="Arial" w:cs="Arial"/>
          <w:sz w:val="19"/>
          <w:szCs w:val="19"/>
        </w:rPr>
      </w:pPr>
      <w:r w:rsidRPr="00D77B72">
        <w:rPr>
          <w:rFonts w:ascii="Arial" w:hAnsi="Arial" w:cs="Arial"/>
          <w:sz w:val="19"/>
          <w:szCs w:val="19"/>
        </w:rPr>
        <w:t xml:space="preserve"> </w:t>
      </w:r>
    </w:p>
  </w:footnote>
  <w:footnote w:id="10">
    <w:p w14:paraId="59A453AD" w14:textId="77777777" w:rsidR="00725A15" w:rsidRPr="00D77B72" w:rsidRDefault="00725A15" w:rsidP="00725A15">
      <w:pPr>
        <w:pStyle w:val="Textonotapie"/>
        <w:ind w:firstLine="708"/>
        <w:jc w:val="both"/>
        <w:rPr>
          <w:rFonts w:ascii="Arial" w:hAnsi="Arial" w:cs="Arial"/>
          <w:sz w:val="19"/>
          <w:szCs w:val="19"/>
        </w:rPr>
      </w:pPr>
      <w:r w:rsidRPr="00D77B72">
        <w:rPr>
          <w:rStyle w:val="Refdenotaalpie"/>
          <w:rFonts w:ascii="Arial" w:hAnsi="Arial" w:cs="Arial"/>
          <w:sz w:val="19"/>
          <w:szCs w:val="19"/>
        </w:rPr>
        <w:footnoteRef/>
      </w:r>
      <w:r w:rsidRPr="00D77B72">
        <w:rPr>
          <w:rFonts w:ascii="Arial" w:hAnsi="Arial" w:cs="Arial"/>
          <w:sz w:val="19"/>
          <w:szCs w:val="19"/>
        </w:rPr>
        <w:t xml:space="preserve"> En el siguiente link se puede consultar la Guía para gestionar o publicar los procesos de Régimen Especial sin oferta en el SECOP II:   </w:t>
      </w:r>
      <w:hyperlink r:id="rId2" w:history="1">
        <w:r w:rsidRPr="00D77B72">
          <w:rPr>
            <w:rStyle w:val="Hipervnculo"/>
            <w:rFonts w:ascii="Arial" w:hAnsi="Arial" w:cs="Arial"/>
            <w:sz w:val="19"/>
            <w:szCs w:val="19"/>
          </w:rPr>
          <w:t>https://www.colombiacompra.gov.co/node/30741</w:t>
        </w:r>
      </w:hyperlink>
    </w:p>
  </w:footnote>
  <w:footnote w:id="11">
    <w:p w14:paraId="102AF0EA" w14:textId="0B1249BB" w:rsidR="00725A15" w:rsidRPr="00D77B72" w:rsidRDefault="00725A15" w:rsidP="00725A15">
      <w:pPr>
        <w:pStyle w:val="NormalWeb"/>
        <w:spacing w:before="0" w:beforeAutospacing="0" w:after="0" w:afterAutospacing="0"/>
        <w:ind w:firstLine="708"/>
        <w:jc w:val="both"/>
        <w:rPr>
          <w:rFonts w:ascii="Arial" w:hAnsi="Arial" w:cs="Arial"/>
          <w:color w:val="000000"/>
          <w:sz w:val="19"/>
          <w:szCs w:val="19"/>
        </w:rPr>
      </w:pPr>
      <w:r w:rsidRPr="00D77B72">
        <w:rPr>
          <w:rStyle w:val="Refdenotaalpie"/>
          <w:rFonts w:ascii="Arial" w:hAnsi="Arial" w:cs="Arial"/>
          <w:sz w:val="19"/>
          <w:szCs w:val="19"/>
        </w:rPr>
        <w:footnoteRef/>
      </w:r>
      <w:r w:rsidRPr="00D77B72">
        <w:rPr>
          <w:rFonts w:ascii="Arial" w:hAnsi="Arial" w:cs="Arial"/>
          <w:sz w:val="19"/>
          <w:szCs w:val="19"/>
        </w:rPr>
        <w:t xml:space="preserve"> Decreto 1081 de 2015 </w:t>
      </w:r>
      <w:r>
        <w:rPr>
          <w:rFonts w:ascii="Arial" w:hAnsi="Arial" w:cs="Arial"/>
          <w:sz w:val="19"/>
          <w:szCs w:val="19"/>
        </w:rPr>
        <w:t>“</w:t>
      </w:r>
      <w:r w:rsidRPr="00D77B72">
        <w:rPr>
          <w:rFonts w:ascii="Arial" w:hAnsi="Arial" w:cs="Arial"/>
          <w:color w:val="000000"/>
          <w:sz w:val="19"/>
          <w:szCs w:val="19"/>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5A68FC0D" w14:textId="0102FF7F" w:rsidR="00725A15" w:rsidRPr="00D77B72" w:rsidRDefault="00725A15" w:rsidP="00725A15">
      <w:pPr>
        <w:spacing w:after="0" w:line="240" w:lineRule="auto"/>
        <w:jc w:val="both"/>
        <w:rPr>
          <w:rFonts w:ascii="Arial" w:eastAsia="Times New Roman" w:hAnsi="Arial" w:cs="Arial"/>
          <w:color w:val="000000"/>
          <w:sz w:val="19"/>
          <w:szCs w:val="19"/>
          <w:lang w:eastAsia="es-CO"/>
        </w:rPr>
      </w:pPr>
      <w:r w:rsidRPr="00D77B72">
        <w:rPr>
          <w:rFonts w:ascii="Arial" w:eastAsia="Times New Roman" w:hAnsi="Arial" w:cs="Arial"/>
          <w:color w:val="000000"/>
          <w:sz w:val="19"/>
          <w:szCs w:val="19"/>
          <w:lang w:eastAsia="es-CO"/>
        </w:rPr>
        <w:t>  </w:t>
      </w:r>
      <w:r w:rsidRPr="00D77B72">
        <w:rPr>
          <w:rFonts w:ascii="Arial" w:eastAsia="Times New Roman" w:hAnsi="Arial" w:cs="Arial"/>
          <w:color w:val="000000"/>
          <w:sz w:val="19"/>
          <w:szCs w:val="19"/>
          <w:lang w:eastAsia="es-CO"/>
        </w:rPr>
        <w:tab/>
      </w:r>
      <w:r>
        <w:rPr>
          <w:rFonts w:ascii="Arial" w:eastAsia="Times New Roman" w:hAnsi="Arial" w:cs="Arial"/>
          <w:color w:val="000000"/>
          <w:sz w:val="19"/>
          <w:szCs w:val="19"/>
          <w:lang w:eastAsia="es-CO"/>
        </w:rPr>
        <w:t>“</w:t>
      </w:r>
      <w:r w:rsidRPr="00D77B72">
        <w:rPr>
          <w:rFonts w:ascii="Arial" w:eastAsia="Times New Roman" w:hAnsi="Arial" w:cs="Arial"/>
          <w:color w:val="000000"/>
          <w:sz w:val="19"/>
          <w:szCs w:val="19"/>
          <w:lang w:eastAsia="es-CO"/>
        </w:rPr>
        <w:t>Los sujetos obligados que contratan con cargo a recursos públicos deben publicar la información de su gestión contractual en el plazo previsto en el artículo 19 del Decreto 1510 de 2013, o el que lo modifique, sustituya o adicione. </w:t>
      </w:r>
    </w:p>
    <w:p w14:paraId="089A5DA9" w14:textId="336A1273" w:rsidR="00725A15" w:rsidRPr="00D77B72" w:rsidRDefault="00725A15" w:rsidP="00725A15">
      <w:pPr>
        <w:spacing w:after="0" w:line="240" w:lineRule="auto"/>
        <w:jc w:val="both"/>
        <w:rPr>
          <w:rFonts w:ascii="Arial" w:hAnsi="Arial" w:cs="Arial"/>
          <w:sz w:val="19"/>
          <w:szCs w:val="19"/>
        </w:rPr>
      </w:pPr>
      <w:r w:rsidRPr="00D77B72">
        <w:rPr>
          <w:rFonts w:ascii="Arial" w:eastAsia="Times New Roman" w:hAnsi="Arial" w:cs="Arial"/>
          <w:color w:val="000000"/>
          <w:sz w:val="19"/>
          <w:szCs w:val="19"/>
          <w:lang w:eastAsia="es-CO"/>
        </w:rPr>
        <w:t>  </w:t>
      </w:r>
      <w:r w:rsidRPr="00D77B72">
        <w:rPr>
          <w:rFonts w:ascii="Arial" w:eastAsia="Times New Roman" w:hAnsi="Arial" w:cs="Arial"/>
          <w:color w:val="000000"/>
          <w:sz w:val="19"/>
          <w:szCs w:val="19"/>
          <w:lang w:eastAsia="es-CO"/>
        </w:rPr>
        <w:tab/>
      </w:r>
      <w:r>
        <w:rPr>
          <w:rFonts w:ascii="Arial" w:eastAsia="Times New Roman" w:hAnsi="Arial" w:cs="Arial"/>
          <w:color w:val="000000"/>
          <w:sz w:val="19"/>
          <w:szCs w:val="19"/>
          <w:lang w:eastAsia="es-CO"/>
        </w:rPr>
        <w:t>“</w:t>
      </w:r>
      <w:r w:rsidRPr="00D77B72">
        <w:rPr>
          <w:rFonts w:ascii="Arial" w:eastAsia="Times New Roman" w:hAnsi="Arial" w:cs="Arial"/>
          <w:color w:val="000000"/>
          <w:sz w:val="19"/>
          <w:szCs w:val="19"/>
          <w:lang w:eastAsia="es-CO"/>
        </w:rPr>
        <w:t>Los sujetos obligados que contratan con recursos públicos y recursos privados, deben publicar la información de su gestión contractual con cargo a recursos públicos en el Sistema Electrónico para la Contratación Pública (SECOP)</w:t>
      </w:r>
      <w:r>
        <w:rPr>
          <w:rFonts w:ascii="Arial" w:hAnsi="Arial" w:cs="Arial"/>
          <w:sz w:val="19"/>
          <w:szCs w:val="19"/>
        </w:rPr>
        <w:t>”</w:t>
      </w:r>
      <w:r w:rsidRPr="00D77B72">
        <w:rPr>
          <w:rFonts w:ascii="Arial" w:hAnsi="Arial" w:cs="Arial"/>
          <w:sz w:val="19"/>
          <w:szCs w:val="19"/>
        </w:rPr>
        <w:t>.</w:t>
      </w:r>
    </w:p>
    <w:p w14:paraId="2507D531" w14:textId="77777777" w:rsidR="00725A15" w:rsidRPr="00D77B72" w:rsidRDefault="00725A15" w:rsidP="00725A15">
      <w:pPr>
        <w:spacing w:after="0" w:line="240" w:lineRule="auto"/>
        <w:jc w:val="both"/>
        <w:rPr>
          <w:rFonts w:ascii="Arial" w:eastAsia="Times New Roman" w:hAnsi="Arial" w:cs="Arial"/>
          <w:color w:val="000000"/>
          <w:sz w:val="19"/>
          <w:szCs w:val="19"/>
          <w:lang w:eastAsia="es-CO"/>
        </w:rPr>
      </w:pPr>
    </w:p>
  </w:footnote>
  <w:footnote w:id="12">
    <w:p w14:paraId="3CE66248" w14:textId="77777777" w:rsidR="00360C4F" w:rsidRPr="008F5C50" w:rsidRDefault="00360C4F" w:rsidP="00360C4F">
      <w:pPr>
        <w:pStyle w:val="Textonotapie"/>
        <w:ind w:firstLine="708"/>
        <w:jc w:val="both"/>
        <w:rPr>
          <w:rFonts w:ascii="Verdana" w:hAnsi="Verdana"/>
          <w:sz w:val="14"/>
          <w:szCs w:val="14"/>
          <w:lang w:val="es-CO"/>
        </w:rPr>
      </w:pPr>
      <w:r w:rsidRPr="008F5C50">
        <w:rPr>
          <w:rStyle w:val="Refdenotaalpie"/>
          <w:rFonts w:ascii="Verdana" w:hAnsi="Verdana"/>
          <w:sz w:val="14"/>
          <w:szCs w:val="14"/>
        </w:rPr>
        <w:footnoteRef/>
      </w:r>
      <w:r w:rsidRPr="008F5C50">
        <w:rPr>
          <w:rFonts w:ascii="Verdana" w:hAnsi="Verdana"/>
          <w:sz w:val="14"/>
          <w:szCs w:val="14"/>
        </w:rPr>
        <w:t xml:space="preserve"> </w:t>
      </w:r>
      <w:r w:rsidRPr="008F5C50">
        <w:rPr>
          <w:rFonts w:ascii="Verdana" w:hAnsi="Verdana"/>
          <w:sz w:val="14"/>
          <w:szCs w:val="14"/>
          <w:lang w:val="es-CO"/>
        </w:rPr>
        <w:t xml:space="preserve">Ley 1437 de 2011: “Artículo 24. Informaciones y documentos reservados. Solo tendrán carácter reservado las informaciones y documentos expresamente sometidos a reserva por la Constitución Política o la ley, y en especial: </w:t>
      </w:r>
    </w:p>
    <w:p w14:paraId="6D553DFE" w14:textId="77777777" w:rsidR="00360C4F" w:rsidRPr="008F5C50" w:rsidRDefault="00360C4F" w:rsidP="00360C4F">
      <w:pPr>
        <w:pStyle w:val="Textonotapie"/>
        <w:ind w:firstLine="708"/>
        <w:jc w:val="both"/>
        <w:rPr>
          <w:rFonts w:ascii="Verdana" w:hAnsi="Verdana"/>
          <w:sz w:val="14"/>
          <w:szCs w:val="14"/>
          <w:lang w:val="es-CO"/>
        </w:rPr>
      </w:pPr>
      <w:r w:rsidRPr="008F5C50">
        <w:rPr>
          <w:rFonts w:ascii="Verdana" w:hAnsi="Verdana"/>
          <w:sz w:val="14"/>
          <w:szCs w:val="14"/>
          <w:lang w:val="es-CO"/>
        </w:rPr>
        <w:t xml:space="preserve">1. Los relacionados con la defensa o seguridad nacionales. </w:t>
      </w:r>
    </w:p>
    <w:p w14:paraId="7A38314E" w14:textId="77777777" w:rsidR="00360C4F" w:rsidRPr="008F5C50" w:rsidRDefault="00360C4F" w:rsidP="00360C4F">
      <w:pPr>
        <w:pStyle w:val="Textonotapie"/>
        <w:ind w:firstLine="708"/>
        <w:jc w:val="both"/>
        <w:rPr>
          <w:rFonts w:ascii="Verdana" w:hAnsi="Verdana"/>
          <w:sz w:val="14"/>
          <w:szCs w:val="14"/>
          <w:lang w:val="es-CO"/>
        </w:rPr>
      </w:pPr>
      <w:r w:rsidRPr="008F5C50">
        <w:rPr>
          <w:rFonts w:ascii="Verdana" w:hAnsi="Verdana"/>
          <w:sz w:val="14"/>
          <w:szCs w:val="14"/>
          <w:lang w:val="es-CO"/>
        </w:rPr>
        <w:t xml:space="preserve">2. Las instrucciones en materia diplomática o sobre negociaciones reservadas. </w:t>
      </w:r>
    </w:p>
    <w:p w14:paraId="58C87D3D" w14:textId="77777777" w:rsidR="00360C4F" w:rsidRPr="008F5C50" w:rsidRDefault="00360C4F" w:rsidP="00360C4F">
      <w:pPr>
        <w:pStyle w:val="Textonotapie"/>
        <w:ind w:firstLine="708"/>
        <w:jc w:val="both"/>
        <w:rPr>
          <w:rFonts w:ascii="Verdana" w:hAnsi="Verdana"/>
          <w:sz w:val="14"/>
          <w:szCs w:val="14"/>
          <w:lang w:val="es-CO"/>
        </w:rPr>
      </w:pPr>
      <w:r w:rsidRPr="008F5C50">
        <w:rPr>
          <w:rFonts w:ascii="Verdana" w:hAnsi="Verdana"/>
          <w:sz w:val="14"/>
          <w:szCs w:val="14"/>
          <w:lang w:val="es-CO"/>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1E796966" w14:textId="77777777" w:rsidR="00360C4F" w:rsidRPr="008F5C50" w:rsidRDefault="00360C4F" w:rsidP="00360C4F">
      <w:pPr>
        <w:pStyle w:val="Textonotapie"/>
        <w:ind w:firstLine="708"/>
        <w:jc w:val="both"/>
        <w:rPr>
          <w:rFonts w:ascii="Verdana" w:hAnsi="Verdana"/>
          <w:sz w:val="14"/>
          <w:szCs w:val="14"/>
          <w:lang w:val="es-CO"/>
        </w:rPr>
      </w:pPr>
      <w:r w:rsidRPr="008F5C50">
        <w:rPr>
          <w:rFonts w:ascii="Verdana" w:hAnsi="Verdana"/>
          <w:sz w:val="14"/>
          <w:szCs w:val="14"/>
          <w:lang w:val="es-CO"/>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32CD3889" w14:textId="77777777" w:rsidR="00360C4F" w:rsidRPr="008F5C50" w:rsidRDefault="00360C4F" w:rsidP="00360C4F">
      <w:pPr>
        <w:pStyle w:val="Textonotapie"/>
        <w:ind w:firstLine="708"/>
        <w:jc w:val="both"/>
        <w:rPr>
          <w:rFonts w:ascii="Verdana" w:hAnsi="Verdana"/>
          <w:sz w:val="14"/>
          <w:szCs w:val="14"/>
          <w:lang w:val="es-CO"/>
        </w:rPr>
      </w:pPr>
      <w:r w:rsidRPr="008F5C50">
        <w:rPr>
          <w:rFonts w:ascii="Verdana" w:hAnsi="Verdana"/>
          <w:sz w:val="14"/>
          <w:szCs w:val="14"/>
          <w:lang w:val="es-CO"/>
        </w:rPr>
        <w:t xml:space="preserve">5. Los datos referentes a la información financiera y comercial, en los términos de la Ley Estatutaria 1266 de 2008. </w:t>
      </w:r>
    </w:p>
    <w:p w14:paraId="05FEA861" w14:textId="77777777" w:rsidR="00360C4F" w:rsidRPr="008F5C50" w:rsidRDefault="00360C4F" w:rsidP="00360C4F">
      <w:pPr>
        <w:pStyle w:val="Textonotapie"/>
        <w:ind w:firstLine="708"/>
        <w:jc w:val="both"/>
        <w:rPr>
          <w:rFonts w:ascii="Verdana" w:hAnsi="Verdana"/>
          <w:sz w:val="14"/>
          <w:szCs w:val="14"/>
          <w:lang w:val="es-CO"/>
        </w:rPr>
      </w:pPr>
      <w:r w:rsidRPr="008F5C50">
        <w:rPr>
          <w:rFonts w:ascii="Verdana" w:hAnsi="Verdana"/>
          <w:sz w:val="14"/>
          <w:szCs w:val="14"/>
          <w:lang w:val="es-CO"/>
        </w:rPr>
        <w:t xml:space="preserve">6. Los protegidos por el secreto comercial o industrial, así como los planes estratégicos de las empresas públicas de servicios públicos. </w:t>
      </w:r>
    </w:p>
    <w:p w14:paraId="158E4517" w14:textId="77777777" w:rsidR="00360C4F" w:rsidRPr="008F5C50" w:rsidRDefault="00360C4F" w:rsidP="00360C4F">
      <w:pPr>
        <w:pStyle w:val="Textonotapie"/>
        <w:ind w:firstLine="708"/>
        <w:jc w:val="both"/>
        <w:rPr>
          <w:rFonts w:ascii="Verdana" w:hAnsi="Verdana"/>
          <w:sz w:val="14"/>
          <w:szCs w:val="14"/>
          <w:lang w:val="es-CO"/>
        </w:rPr>
      </w:pPr>
      <w:r w:rsidRPr="008F5C50">
        <w:rPr>
          <w:rFonts w:ascii="Verdana" w:hAnsi="Verdana"/>
          <w:sz w:val="14"/>
          <w:szCs w:val="14"/>
          <w:lang w:val="es-CO"/>
        </w:rPr>
        <w:t xml:space="preserve">7. Los amparados por el secreto profesional. </w:t>
      </w:r>
    </w:p>
    <w:p w14:paraId="0DFD5182" w14:textId="77777777" w:rsidR="00360C4F" w:rsidRPr="008F5C50" w:rsidRDefault="00360C4F" w:rsidP="00360C4F">
      <w:pPr>
        <w:pStyle w:val="Textonotapie"/>
        <w:ind w:firstLine="708"/>
        <w:jc w:val="both"/>
        <w:rPr>
          <w:rFonts w:ascii="Verdana" w:hAnsi="Verdana"/>
          <w:sz w:val="14"/>
          <w:szCs w:val="14"/>
          <w:lang w:val="es-CO"/>
        </w:rPr>
      </w:pPr>
      <w:r w:rsidRPr="008F5C50">
        <w:rPr>
          <w:rFonts w:ascii="Verdana" w:hAnsi="Verdana"/>
          <w:sz w:val="14"/>
          <w:szCs w:val="14"/>
          <w:lang w:val="es-CO"/>
        </w:rPr>
        <w:t xml:space="preserve">8. Los datos genéticos humanos. </w:t>
      </w:r>
    </w:p>
    <w:p w14:paraId="4A2CAD03" w14:textId="77777777" w:rsidR="00360C4F" w:rsidRPr="008F5C50" w:rsidRDefault="00360C4F" w:rsidP="00360C4F">
      <w:pPr>
        <w:pStyle w:val="Textonotapie"/>
        <w:ind w:firstLine="708"/>
        <w:jc w:val="both"/>
        <w:rPr>
          <w:rFonts w:ascii="Verdana" w:hAnsi="Verdana"/>
          <w:sz w:val="14"/>
          <w:szCs w:val="14"/>
          <w:lang w:val="es-CO"/>
        </w:rPr>
      </w:pPr>
      <w:r w:rsidRPr="008F5C50">
        <w:rPr>
          <w:rFonts w:ascii="Verdana" w:hAnsi="Verdana"/>
          <w:sz w:val="14"/>
          <w:szCs w:val="14"/>
          <w:lang w:val="es-CO"/>
        </w:rPr>
        <w:t>Parágrafo. Para efecto de la solicitud de información de carácter reservado, enunciada en los numerales 3, 5, 6 y 7 solo podrá ser solicitada por el titular de la información, por sus apoderados o por personas autorizadas con facultad expresa para acceder a esa información”.</w:t>
      </w:r>
    </w:p>
    <w:p w14:paraId="2EF61C31" w14:textId="77777777" w:rsidR="00360C4F" w:rsidRPr="008F5C50" w:rsidRDefault="00360C4F" w:rsidP="00360C4F">
      <w:pPr>
        <w:pStyle w:val="Textonotapie"/>
        <w:ind w:firstLine="708"/>
        <w:jc w:val="both"/>
        <w:rPr>
          <w:rFonts w:ascii="Verdana" w:hAnsi="Verdana"/>
          <w:sz w:val="14"/>
          <w:szCs w:val="14"/>
          <w:lang w:val="es-CO"/>
        </w:rPr>
      </w:pPr>
    </w:p>
  </w:footnote>
  <w:footnote w:id="13">
    <w:p w14:paraId="32A43DF2" w14:textId="77777777" w:rsidR="00360C4F" w:rsidRPr="008F5C50" w:rsidRDefault="00360C4F" w:rsidP="00360C4F">
      <w:pPr>
        <w:pStyle w:val="Textonotapie"/>
        <w:ind w:firstLine="708"/>
        <w:jc w:val="both"/>
        <w:rPr>
          <w:rFonts w:ascii="Verdana" w:hAnsi="Verdana"/>
          <w:sz w:val="14"/>
          <w:szCs w:val="14"/>
        </w:rPr>
      </w:pPr>
      <w:r w:rsidRPr="0044221C">
        <w:rPr>
          <w:rStyle w:val="Refdenotaalpie"/>
          <w:rFonts w:ascii="Verdana" w:hAnsi="Verdana"/>
          <w:sz w:val="14"/>
          <w:szCs w:val="14"/>
        </w:rPr>
        <w:footnoteRef/>
      </w:r>
      <w:r w:rsidRPr="0044221C">
        <w:rPr>
          <w:rFonts w:ascii="Verdana" w:hAnsi="Verdana"/>
          <w:sz w:val="14"/>
          <w:szCs w:val="14"/>
        </w:rPr>
        <w:t xml:space="preserve"> </w:t>
      </w:r>
      <w:r w:rsidRPr="0044221C">
        <w:rPr>
          <w:rFonts w:ascii="Verdana" w:eastAsia="Calibri" w:hAnsi="Verdana" w:cs="Arial"/>
          <w:color w:val="000000" w:themeColor="text1"/>
          <w:sz w:val="14"/>
          <w:szCs w:val="14"/>
        </w:rPr>
        <w:t xml:space="preserve">Agencia Nacional de Contratación Pública - Colombia Compra Eficiente. Circular Externa Única. Disponible en: </w:t>
      </w:r>
      <w:hyperlink r:id="rId3" w:history="1">
        <w:r w:rsidRPr="0044221C">
          <w:rPr>
            <w:rStyle w:val="Hipervnculo"/>
            <w:rFonts w:ascii="Verdana" w:hAnsi="Verdana"/>
            <w:sz w:val="14"/>
            <w:szCs w:val="14"/>
          </w:rPr>
          <w:t>https://www.colombiacompra.gov.co/normativa-y-relatoria/circular-unica-externa</w:t>
        </w:r>
      </w:hyperlink>
      <w:r w:rsidRPr="0044221C">
        <w:rPr>
          <w:rFonts w:ascii="Verdana" w:hAnsi="Verdana"/>
          <w:sz w:val="14"/>
          <w:szCs w:val="14"/>
        </w:rPr>
        <w:t xml:space="preserve"> </w:t>
      </w:r>
    </w:p>
    <w:p w14:paraId="61E944F4" w14:textId="77777777" w:rsidR="00360C4F" w:rsidRPr="0044221C" w:rsidRDefault="00360C4F" w:rsidP="00360C4F">
      <w:pPr>
        <w:pStyle w:val="Textonotapie"/>
        <w:ind w:firstLine="708"/>
        <w:jc w:val="both"/>
        <w:rPr>
          <w:rFonts w:ascii="Verdana" w:hAnsi="Verdana"/>
          <w:sz w:val="14"/>
          <w:szCs w:val="14"/>
        </w:rPr>
      </w:pPr>
    </w:p>
  </w:footnote>
  <w:footnote w:id="14">
    <w:p w14:paraId="4D072EE3" w14:textId="77777777" w:rsidR="00360C4F" w:rsidRPr="008F5C50" w:rsidRDefault="00360C4F" w:rsidP="00360C4F">
      <w:pPr>
        <w:pStyle w:val="Textonotapie"/>
        <w:ind w:firstLine="708"/>
        <w:jc w:val="both"/>
        <w:rPr>
          <w:rFonts w:ascii="Verdana" w:hAnsi="Verdana"/>
          <w:sz w:val="14"/>
          <w:szCs w:val="14"/>
          <w:lang w:val="es-CO"/>
        </w:rPr>
      </w:pPr>
      <w:r w:rsidRPr="008F5C50">
        <w:rPr>
          <w:rStyle w:val="Refdenotaalpie"/>
          <w:rFonts w:ascii="Verdana" w:hAnsi="Verdana"/>
          <w:sz w:val="14"/>
          <w:szCs w:val="14"/>
        </w:rPr>
        <w:footnoteRef/>
      </w:r>
      <w:r w:rsidRPr="008F5C50">
        <w:rPr>
          <w:rFonts w:ascii="Verdana" w:hAnsi="Verdana"/>
          <w:sz w:val="14"/>
          <w:szCs w:val="14"/>
        </w:rPr>
        <w:t xml:space="preserve"> </w:t>
      </w:r>
      <w:r w:rsidRPr="008F5C50">
        <w:rPr>
          <w:rFonts w:ascii="Verdana" w:hAnsi="Verdana"/>
          <w:sz w:val="14"/>
          <w:szCs w:val="14"/>
          <w:lang w:val="es-CO"/>
        </w:rPr>
        <w:t xml:space="preserve">“Numeral 1.1 Las Entidades Estatales de acuerdo con la definición del Decreto Reglamentario 1082 de 2015. </w:t>
      </w:r>
    </w:p>
    <w:p w14:paraId="279EAA09" w14:textId="77777777" w:rsidR="00360C4F" w:rsidRPr="008F5C50" w:rsidRDefault="00360C4F" w:rsidP="00360C4F">
      <w:pPr>
        <w:pStyle w:val="Textonotapie"/>
        <w:ind w:firstLine="708"/>
        <w:jc w:val="both"/>
        <w:rPr>
          <w:rFonts w:ascii="Verdana" w:hAnsi="Verdana"/>
          <w:sz w:val="14"/>
          <w:szCs w:val="14"/>
          <w:lang w:val="es-CO"/>
        </w:rPr>
      </w:pPr>
      <w:r w:rsidRPr="008F5C50">
        <w:rPr>
          <w:rFonts w:ascii="Verdana" w:hAnsi="Verdana"/>
          <w:sz w:val="14"/>
          <w:szCs w:val="14"/>
          <w:lang w:val="es-CO"/>
        </w:rPr>
        <w:t xml:space="preserve">A partir del 18 de julio de 2022, 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 </w:t>
      </w:r>
    </w:p>
    <w:p w14:paraId="0CEDE082" w14:textId="77777777" w:rsidR="00360C4F" w:rsidRDefault="00360C4F" w:rsidP="00360C4F">
      <w:pPr>
        <w:pStyle w:val="Textonotapie"/>
        <w:ind w:firstLine="708"/>
        <w:jc w:val="both"/>
        <w:rPr>
          <w:rFonts w:ascii="Verdana" w:hAnsi="Verdana"/>
          <w:sz w:val="14"/>
          <w:szCs w:val="14"/>
          <w:lang w:val="es-CO"/>
        </w:rPr>
      </w:pPr>
      <w:r w:rsidRPr="008F5C50">
        <w:rPr>
          <w:rFonts w:ascii="Verdana" w:hAnsi="Verdana"/>
          <w:sz w:val="14"/>
          <w:szCs w:val="14"/>
          <w:lang w:val="es-CO"/>
        </w:rPr>
        <w:t>Los particulares deberán publicar la información oficial de la contratación realizada con cargo a recursos públicos. Estos deberán realizar la publicación a través del módulo “Régimen Especial”.</w:t>
      </w:r>
    </w:p>
    <w:p w14:paraId="1CCA8869" w14:textId="77777777" w:rsidR="00360C4F" w:rsidRPr="008F5C50" w:rsidRDefault="00360C4F" w:rsidP="00360C4F">
      <w:pPr>
        <w:pStyle w:val="Textonotapie"/>
        <w:ind w:firstLine="708"/>
        <w:jc w:val="both"/>
        <w:rPr>
          <w:rFonts w:ascii="Verdana" w:hAnsi="Verdana"/>
          <w:sz w:val="14"/>
          <w:szCs w:val="14"/>
          <w:lang w:val="es-CO"/>
        </w:rPr>
      </w:pPr>
    </w:p>
  </w:footnote>
  <w:footnote w:id="15">
    <w:p w14:paraId="20DFEBEE" w14:textId="77777777" w:rsidR="00360C4F" w:rsidRPr="0044221C" w:rsidRDefault="00360C4F" w:rsidP="00360C4F">
      <w:pPr>
        <w:pStyle w:val="Textonotapie"/>
        <w:ind w:firstLine="708"/>
        <w:jc w:val="both"/>
        <w:rPr>
          <w:rFonts w:ascii="Verdana" w:hAnsi="Verdana"/>
          <w:sz w:val="14"/>
          <w:szCs w:val="14"/>
        </w:rPr>
      </w:pPr>
      <w:r w:rsidRPr="0044221C">
        <w:rPr>
          <w:rStyle w:val="Refdenotaalpie"/>
          <w:rFonts w:ascii="Verdana" w:hAnsi="Verdana"/>
          <w:sz w:val="14"/>
          <w:szCs w:val="14"/>
        </w:rPr>
        <w:footnoteRef/>
      </w:r>
      <w:r w:rsidRPr="0044221C">
        <w:rPr>
          <w:rFonts w:ascii="Verdana" w:hAnsi="Verdana"/>
          <w:sz w:val="14"/>
          <w:szCs w:val="14"/>
        </w:rPr>
        <w:t xml:space="preserve"> </w:t>
      </w:r>
      <w:r w:rsidRPr="008F5C50">
        <w:rPr>
          <w:rFonts w:ascii="Verdana" w:eastAsia="Calibri" w:hAnsi="Verdana" w:cs="Arial"/>
          <w:color w:val="000000" w:themeColor="text1"/>
          <w:sz w:val="14"/>
          <w:szCs w:val="14"/>
        </w:rPr>
        <w:t xml:space="preserve">Agencia Nacional de Contratación Pública - Colombia Compra Eficiente. Circular Externa No. 002 de 2024. Disponible en: </w:t>
      </w:r>
      <w:r w:rsidRPr="0044221C">
        <w:rPr>
          <w:rFonts w:ascii="Verdana" w:hAnsi="Verdana"/>
          <w:sz w:val="14"/>
          <w:szCs w:val="14"/>
        </w:rPr>
        <w:t xml:space="preserve"> </w:t>
      </w:r>
      <w:hyperlink r:id="rId4" w:history="1">
        <w:r w:rsidRPr="0044221C">
          <w:rPr>
            <w:rStyle w:val="Hipervnculo"/>
            <w:rFonts w:ascii="Verdana" w:hAnsi="Verdana"/>
            <w:sz w:val="14"/>
            <w:szCs w:val="14"/>
          </w:rPr>
          <w:t>https://www.colombiacompra.gov.co/wp-content/uploads/2025/03/doc-20240823-wa0021.pdf</w:t>
        </w:r>
      </w:hyperlink>
      <w:r>
        <w:rPr>
          <w:rFonts w:ascii="Verdana" w:hAnsi="Verdana"/>
          <w:sz w:val="14"/>
          <w:szCs w:val="14"/>
        </w:rPr>
        <w:t xml:space="preserve"> </w:t>
      </w:r>
    </w:p>
  </w:footnote>
  <w:footnote w:id="16">
    <w:p w14:paraId="04D690A9" w14:textId="77777777" w:rsidR="00360C4F" w:rsidRPr="0044221C" w:rsidRDefault="00360C4F" w:rsidP="00360C4F">
      <w:pPr>
        <w:autoSpaceDE w:val="0"/>
        <w:autoSpaceDN w:val="0"/>
        <w:adjustRightInd w:val="0"/>
        <w:spacing w:after="0" w:line="240" w:lineRule="auto"/>
        <w:ind w:firstLine="708"/>
        <w:jc w:val="both"/>
        <w:rPr>
          <w:rFonts w:ascii="Verdana" w:eastAsia="Calibri" w:hAnsi="Verdana" w:cs="Arial"/>
          <w:sz w:val="14"/>
          <w:szCs w:val="14"/>
          <w:lang w:val="es-ES" w:eastAsia="es-ES_tradnl"/>
        </w:rPr>
      </w:pPr>
      <w:r w:rsidRPr="0044221C">
        <w:rPr>
          <w:rStyle w:val="Refdenotaalpie"/>
          <w:rFonts w:ascii="Verdana" w:hAnsi="Verdana" w:cs="Arial"/>
          <w:sz w:val="14"/>
          <w:szCs w:val="14"/>
        </w:rPr>
        <w:footnoteRef/>
      </w:r>
      <w:r w:rsidRPr="0044221C">
        <w:rPr>
          <w:rFonts w:ascii="Verdana" w:hAnsi="Verdana" w:cs="Arial"/>
          <w:sz w:val="14"/>
          <w:szCs w:val="14"/>
        </w:rPr>
        <w:t xml:space="preserve"> Disponible en el siguiente enlace: </w:t>
      </w:r>
      <w:hyperlink r:id="rId5" w:history="1">
        <w:r w:rsidRPr="0044221C">
          <w:rPr>
            <w:rStyle w:val="Hipervnculo"/>
            <w:rFonts w:ascii="Verdana" w:hAnsi="Verdana" w:cs="Arial"/>
            <w:sz w:val="14"/>
            <w:szCs w:val="14"/>
          </w:rPr>
          <w:t>https://www.colombiacompra.gov.co/sites/cce_public/files/cce_circulares/doc-20240823-wa0021.pdf</w:t>
        </w:r>
      </w:hyperlink>
      <w:r w:rsidRPr="0044221C">
        <w:rPr>
          <w:rFonts w:ascii="Verdana" w:hAnsi="Verdana" w:cs="Arial"/>
          <w:sz w:val="14"/>
          <w:szCs w:val="14"/>
        </w:rPr>
        <w:t xml:space="preserve"> </w:t>
      </w:r>
    </w:p>
    <w:p w14:paraId="36784D81" w14:textId="77777777" w:rsidR="00360C4F" w:rsidRPr="0044221C" w:rsidRDefault="00360C4F" w:rsidP="00360C4F">
      <w:pPr>
        <w:autoSpaceDE w:val="0"/>
        <w:autoSpaceDN w:val="0"/>
        <w:adjustRightInd w:val="0"/>
        <w:spacing w:after="0" w:line="240" w:lineRule="auto"/>
        <w:ind w:firstLine="708"/>
        <w:jc w:val="both"/>
        <w:rPr>
          <w:rFonts w:ascii="Verdana" w:eastAsia="Times New Roman" w:hAnsi="Verdana" w:cs="Arial"/>
          <w:sz w:val="14"/>
          <w:szCs w:val="14"/>
          <w:lang w:eastAsia="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97758607"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289744715" name="Imagen 28974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1E4309D"/>
    <w:multiLevelType w:val="hybridMultilevel"/>
    <w:tmpl w:val="B0E2594A"/>
    <w:lvl w:ilvl="0" w:tplc="008E945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6E958FB"/>
    <w:multiLevelType w:val="hybridMultilevel"/>
    <w:tmpl w:val="CFB63380"/>
    <w:lvl w:ilvl="0" w:tplc="53E29190">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0F82114"/>
    <w:multiLevelType w:val="hybridMultilevel"/>
    <w:tmpl w:val="B6C06020"/>
    <w:lvl w:ilvl="0" w:tplc="2F4CFC7C">
      <w:start w:val="1"/>
      <w:numFmt w:val="decimal"/>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4"/>
  </w:num>
  <w:num w:numId="14" w16cid:durableId="895897244">
    <w:abstractNumId w:val="17"/>
  </w:num>
  <w:num w:numId="15" w16cid:durableId="390349800">
    <w:abstractNumId w:val="13"/>
  </w:num>
  <w:num w:numId="16" w16cid:durableId="679089576">
    <w:abstractNumId w:val="11"/>
  </w:num>
  <w:num w:numId="17" w16cid:durableId="1339963199">
    <w:abstractNumId w:val="3"/>
  </w:num>
  <w:num w:numId="18" w16cid:durableId="1328823183">
    <w:abstractNumId w:val="6"/>
  </w:num>
  <w:num w:numId="19" w16cid:durableId="2043675015">
    <w:abstractNumId w:val="12"/>
  </w:num>
  <w:num w:numId="20" w16cid:durableId="1255355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57D4"/>
    <w:rsid w:val="00046945"/>
    <w:rsid w:val="00061B2A"/>
    <w:rsid w:val="00082362"/>
    <w:rsid w:val="000A683E"/>
    <w:rsid w:val="000B19B9"/>
    <w:rsid w:val="000D0334"/>
    <w:rsid w:val="000D5DA7"/>
    <w:rsid w:val="000D6FB2"/>
    <w:rsid w:val="000F6486"/>
    <w:rsid w:val="00116940"/>
    <w:rsid w:val="00121C31"/>
    <w:rsid w:val="00125105"/>
    <w:rsid w:val="00127233"/>
    <w:rsid w:val="0015699B"/>
    <w:rsid w:val="00172A4D"/>
    <w:rsid w:val="00190DA7"/>
    <w:rsid w:val="001A1AAC"/>
    <w:rsid w:val="001A33BF"/>
    <w:rsid w:val="001E4177"/>
    <w:rsid w:val="001F0B24"/>
    <w:rsid w:val="001F7DC6"/>
    <w:rsid w:val="00221F6C"/>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118BD"/>
    <w:rsid w:val="00311CE4"/>
    <w:rsid w:val="00322A85"/>
    <w:rsid w:val="00324168"/>
    <w:rsid w:val="00330834"/>
    <w:rsid w:val="00334620"/>
    <w:rsid w:val="003448F4"/>
    <w:rsid w:val="00360C4F"/>
    <w:rsid w:val="00374F5E"/>
    <w:rsid w:val="00377E3E"/>
    <w:rsid w:val="003A779E"/>
    <w:rsid w:val="003D0F4D"/>
    <w:rsid w:val="003D5B0D"/>
    <w:rsid w:val="003E0499"/>
    <w:rsid w:val="003E4F80"/>
    <w:rsid w:val="003E6439"/>
    <w:rsid w:val="003F3941"/>
    <w:rsid w:val="00405F91"/>
    <w:rsid w:val="00406575"/>
    <w:rsid w:val="00411199"/>
    <w:rsid w:val="00414C74"/>
    <w:rsid w:val="00425428"/>
    <w:rsid w:val="0042722E"/>
    <w:rsid w:val="0044528D"/>
    <w:rsid w:val="00445BBA"/>
    <w:rsid w:val="00466E39"/>
    <w:rsid w:val="004842CC"/>
    <w:rsid w:val="004A1847"/>
    <w:rsid w:val="004A305D"/>
    <w:rsid w:val="004F21C4"/>
    <w:rsid w:val="004F685F"/>
    <w:rsid w:val="00547D59"/>
    <w:rsid w:val="005566E8"/>
    <w:rsid w:val="0056680B"/>
    <w:rsid w:val="00574867"/>
    <w:rsid w:val="00591460"/>
    <w:rsid w:val="005A65E0"/>
    <w:rsid w:val="005B61AC"/>
    <w:rsid w:val="005C3777"/>
    <w:rsid w:val="005C5CDC"/>
    <w:rsid w:val="005D476C"/>
    <w:rsid w:val="00616202"/>
    <w:rsid w:val="006200BF"/>
    <w:rsid w:val="006219F8"/>
    <w:rsid w:val="006302F7"/>
    <w:rsid w:val="00646B9F"/>
    <w:rsid w:val="00665D70"/>
    <w:rsid w:val="006900D9"/>
    <w:rsid w:val="00706C16"/>
    <w:rsid w:val="00725A15"/>
    <w:rsid w:val="007340C3"/>
    <w:rsid w:val="0075235A"/>
    <w:rsid w:val="00756841"/>
    <w:rsid w:val="007649AB"/>
    <w:rsid w:val="00771D0C"/>
    <w:rsid w:val="007833AC"/>
    <w:rsid w:val="007A65B3"/>
    <w:rsid w:val="007B268C"/>
    <w:rsid w:val="007B7171"/>
    <w:rsid w:val="007C0C0F"/>
    <w:rsid w:val="007C3DC2"/>
    <w:rsid w:val="007D033B"/>
    <w:rsid w:val="007E5497"/>
    <w:rsid w:val="00806F5F"/>
    <w:rsid w:val="00820278"/>
    <w:rsid w:val="008258C9"/>
    <w:rsid w:val="00844AE9"/>
    <w:rsid w:val="00867F95"/>
    <w:rsid w:val="008843B6"/>
    <w:rsid w:val="00891928"/>
    <w:rsid w:val="008A446D"/>
    <w:rsid w:val="008B25F1"/>
    <w:rsid w:val="008D078A"/>
    <w:rsid w:val="008D180B"/>
    <w:rsid w:val="008F0EA7"/>
    <w:rsid w:val="00923EEF"/>
    <w:rsid w:val="009419F9"/>
    <w:rsid w:val="009526DA"/>
    <w:rsid w:val="0095685E"/>
    <w:rsid w:val="00961B09"/>
    <w:rsid w:val="00965334"/>
    <w:rsid w:val="0097093E"/>
    <w:rsid w:val="009A05B7"/>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42BA8"/>
    <w:rsid w:val="00A9029C"/>
    <w:rsid w:val="00AB0ADB"/>
    <w:rsid w:val="00AC42D2"/>
    <w:rsid w:val="00AD0845"/>
    <w:rsid w:val="00B00C0E"/>
    <w:rsid w:val="00B01B1A"/>
    <w:rsid w:val="00B0381D"/>
    <w:rsid w:val="00B44A47"/>
    <w:rsid w:val="00B64291"/>
    <w:rsid w:val="00B72CD3"/>
    <w:rsid w:val="00B72FFF"/>
    <w:rsid w:val="00B94A85"/>
    <w:rsid w:val="00BC3D36"/>
    <w:rsid w:val="00BD54A6"/>
    <w:rsid w:val="00BD7F72"/>
    <w:rsid w:val="00BF7425"/>
    <w:rsid w:val="00C04FB3"/>
    <w:rsid w:val="00C11D8B"/>
    <w:rsid w:val="00C15139"/>
    <w:rsid w:val="00C311F6"/>
    <w:rsid w:val="00C330EB"/>
    <w:rsid w:val="00C50D69"/>
    <w:rsid w:val="00C5365C"/>
    <w:rsid w:val="00C754BE"/>
    <w:rsid w:val="00C76B1C"/>
    <w:rsid w:val="00C81617"/>
    <w:rsid w:val="00C925AC"/>
    <w:rsid w:val="00CB6357"/>
    <w:rsid w:val="00CC1B26"/>
    <w:rsid w:val="00D361FD"/>
    <w:rsid w:val="00D423A2"/>
    <w:rsid w:val="00D44E26"/>
    <w:rsid w:val="00D520D8"/>
    <w:rsid w:val="00D63AC2"/>
    <w:rsid w:val="00D7383B"/>
    <w:rsid w:val="00D7788A"/>
    <w:rsid w:val="00DA231B"/>
    <w:rsid w:val="00DB0AFC"/>
    <w:rsid w:val="00DC39FC"/>
    <w:rsid w:val="00DD5622"/>
    <w:rsid w:val="00DF5254"/>
    <w:rsid w:val="00E02524"/>
    <w:rsid w:val="00E16408"/>
    <w:rsid w:val="00E20894"/>
    <w:rsid w:val="00E245AB"/>
    <w:rsid w:val="00E2764C"/>
    <w:rsid w:val="00E27F2E"/>
    <w:rsid w:val="00E32788"/>
    <w:rsid w:val="00E50AFE"/>
    <w:rsid w:val="00E75C92"/>
    <w:rsid w:val="00E771DC"/>
    <w:rsid w:val="00E8772A"/>
    <w:rsid w:val="00E90F6B"/>
    <w:rsid w:val="00E92C27"/>
    <w:rsid w:val="00EA0E3D"/>
    <w:rsid w:val="00EC38A7"/>
    <w:rsid w:val="00EE1AA8"/>
    <w:rsid w:val="00F23FEA"/>
    <w:rsid w:val="00F278EF"/>
    <w:rsid w:val="00F31EDC"/>
    <w:rsid w:val="00F430A9"/>
    <w:rsid w:val="00F462B3"/>
    <w:rsid w:val="00F5664F"/>
    <w:rsid w:val="00F666C4"/>
    <w:rsid w:val="00F76AFC"/>
    <w:rsid w:val="00FA47C0"/>
    <w:rsid w:val="00FB5DD1"/>
    <w:rsid w:val="00FC0DB5"/>
    <w:rsid w:val="00FC2B5D"/>
    <w:rsid w:val="00FF1449"/>
    <w:rsid w:val="00FF7963"/>
    <w:rsid w:val="071B8F93"/>
    <w:rsid w:val="09908A09"/>
    <w:rsid w:val="0FF4CCA8"/>
    <w:rsid w:val="13CFC91B"/>
    <w:rsid w:val="19A2EC2C"/>
    <w:rsid w:val="2859CA1B"/>
    <w:rsid w:val="32A4F9CF"/>
    <w:rsid w:val="356CEDFD"/>
    <w:rsid w:val="69614A15"/>
    <w:rsid w:val="6A56FCEA"/>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1620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16202"/>
    <w:rPr>
      <w:rFonts w:ascii="Geomanist Light" w:hAnsi="Geomanist Light"/>
      <w:lang w:val="es-ES"/>
    </w:rPr>
  </w:style>
  <w:style w:type="character" w:customStyle="1" w:styleId="NormalWebCar">
    <w:name w:val="Normal (Web) Car"/>
    <w:link w:val="NormalWeb"/>
    <w:uiPriority w:val="99"/>
    <w:rsid w:val="00221F6C"/>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rsid w:val="00221F6C"/>
    <w:pPr>
      <w:spacing w:after="120"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rsid w:val="00221F6C"/>
    <w:rPr>
      <w:rFonts w:ascii="Times New Roman" w:eastAsia="Times New Roman" w:hAnsi="Times New Roman" w:cs="Times New Roman"/>
      <w:sz w:val="24"/>
      <w:szCs w:val="24"/>
      <w:lang w:eastAsia="es-CO"/>
    </w:rPr>
  </w:style>
  <w:style w:type="character" w:customStyle="1" w:styleId="baj">
    <w:name w:val="b_aj"/>
    <w:basedOn w:val="Fuentedeprrafopredeter"/>
    <w:rsid w:val="00221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normativa-y-relatoria/circular-unica-externa" TargetMode="External"/><Relationship Id="rId2" Type="http://schemas.openxmlformats.org/officeDocument/2006/relationships/hyperlink" Target="https://www.colombiacompra.gov.co/node/30741" TargetMode="External"/><Relationship Id="rId1" Type="http://schemas.openxmlformats.org/officeDocument/2006/relationships/hyperlink" Target="https://www.colombiacompra.gov.co/node/23628" TargetMode="External"/><Relationship Id="rId5" Type="http://schemas.openxmlformats.org/officeDocument/2006/relationships/hyperlink" Target="https://www.colombiacompra.gov.co/sites/cce_public/files/cce_circulares/doc-20240823-wa0021.pdf" TargetMode="External"/><Relationship Id="rId4" Type="http://schemas.openxmlformats.org/officeDocument/2006/relationships/hyperlink" Target="https://www.colombiacompra.gov.co/wp-content/uploads/2025/03/doc-20240823-wa002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35234A7-8021-4BA9-A49C-97266BFBBD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19</Pages>
  <Words>5674</Words>
  <Characters>29906</Characters>
  <Application>Microsoft Office Word</Application>
  <DocSecurity>0</DocSecurity>
  <Lines>586</Lines>
  <Paragraphs>113</Paragraphs>
  <ScaleCrop>false</ScaleCrop>
  <Company/>
  <LinksUpToDate>false</LinksUpToDate>
  <CharactersWithSpaces>35467</CharactersWithSpaces>
  <SharedDoc>false</SharedDoc>
  <HLinks>
    <vt:vector size="36" baseType="variant">
      <vt:variant>
        <vt:i4>7471218</vt:i4>
      </vt:variant>
      <vt:variant>
        <vt:i4>0</vt:i4>
      </vt:variant>
      <vt:variant>
        <vt:i4>0</vt:i4>
      </vt:variant>
      <vt:variant>
        <vt:i4>5</vt:i4>
      </vt:variant>
      <vt:variant>
        <vt:lpwstr>https://relatoria.colombiacompra.gov.co/busqueda/conceptos</vt:lpwstr>
      </vt:variant>
      <vt:variant>
        <vt:lpwstr/>
      </vt:variant>
      <vt:variant>
        <vt:i4>5177425</vt:i4>
      </vt:variant>
      <vt:variant>
        <vt:i4>12</vt:i4>
      </vt:variant>
      <vt:variant>
        <vt:i4>0</vt:i4>
      </vt:variant>
      <vt:variant>
        <vt:i4>5</vt:i4>
      </vt:variant>
      <vt:variant>
        <vt:lpwstr>https://www.colombiacompra.gov.co/sites/cce_public/files/cce_circulares/doc-20240823-wa0021.pdf</vt:lpwstr>
      </vt:variant>
      <vt:variant>
        <vt:lpwstr/>
      </vt:variant>
      <vt:variant>
        <vt:i4>5046283</vt:i4>
      </vt:variant>
      <vt:variant>
        <vt:i4>9</vt:i4>
      </vt:variant>
      <vt:variant>
        <vt:i4>0</vt:i4>
      </vt:variant>
      <vt:variant>
        <vt:i4>5</vt:i4>
      </vt:variant>
      <vt:variant>
        <vt:lpwstr>https://www.colombiacompra.gov.co/wp-content/uploads/2025/03/doc-20240823-wa0021.pdf</vt:lpwstr>
      </vt:variant>
      <vt:variant>
        <vt:lpwstr/>
      </vt:variant>
      <vt:variant>
        <vt:i4>3014713</vt:i4>
      </vt:variant>
      <vt:variant>
        <vt:i4>6</vt:i4>
      </vt:variant>
      <vt:variant>
        <vt:i4>0</vt:i4>
      </vt:variant>
      <vt:variant>
        <vt:i4>5</vt:i4>
      </vt:variant>
      <vt:variant>
        <vt:lpwstr>https://www.colombiacompra.gov.co/normativa-y-relatoria/circular-unica-externa</vt:lpwstr>
      </vt:variant>
      <vt:variant>
        <vt:lpwstr/>
      </vt:variant>
      <vt:variant>
        <vt:i4>5701654</vt:i4>
      </vt:variant>
      <vt:variant>
        <vt:i4>3</vt:i4>
      </vt:variant>
      <vt:variant>
        <vt:i4>0</vt:i4>
      </vt:variant>
      <vt:variant>
        <vt:i4>5</vt:i4>
      </vt:variant>
      <vt:variant>
        <vt:lpwstr>https://www.colombiacompra.gov.co/node/30741</vt:lpwstr>
      </vt:variant>
      <vt:variant>
        <vt:lpwstr/>
      </vt:variant>
      <vt:variant>
        <vt:i4>6160403</vt:i4>
      </vt:variant>
      <vt:variant>
        <vt:i4>0</vt:i4>
      </vt:variant>
      <vt:variant>
        <vt:i4>0</vt:i4>
      </vt:variant>
      <vt:variant>
        <vt:i4>5</vt:i4>
      </vt:variant>
      <vt:variant>
        <vt:lpwstr>https://www.colombiacompra.gov.co/node/23628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2026-01-06T13:49:00Z</dcterms:created>
  <dcterms:modified xsi:type="dcterms:W3CDTF">2026-01-06T13:49:00Z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