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17830" w14:textId="77777777" w:rsidR="009D7C37" w:rsidRPr="000657E7" w:rsidRDefault="009D7C37" w:rsidP="009D7C37">
      <w:pPr>
        <w:spacing w:after="0" w:line="240" w:lineRule="auto"/>
        <w:jc w:val="both"/>
        <w:rPr>
          <w:rFonts w:ascii="Verdana" w:eastAsia="Calibri" w:hAnsi="Verdana" w:cs="Arial"/>
          <w:b/>
          <w:bCs/>
          <w:lang w:eastAsia="es-ES_tradnl"/>
        </w:rPr>
      </w:pPr>
      <w:bookmarkStart w:id="0" w:name="_Hlk143780582"/>
      <w:r w:rsidRPr="000657E7">
        <w:rPr>
          <w:rFonts w:ascii="Verdana" w:eastAsia="Calibri" w:hAnsi="Verdana" w:cs="Arial"/>
          <w:b/>
          <w:bCs/>
          <w:lang w:eastAsia="es-ES_tradnl"/>
        </w:rPr>
        <w:t>LEY DE EMPRENDIMIENTO – Ley 2069 de 2020 – Artículo 32 – Criterios diferenciales – Emprendimientos de mujeres – Empresas de mujeres</w:t>
      </w:r>
    </w:p>
    <w:p w14:paraId="4AECA78C" w14:textId="77777777" w:rsidR="009D7C37" w:rsidRPr="000657E7" w:rsidRDefault="009D7C37" w:rsidP="009D7C37">
      <w:pPr>
        <w:spacing w:after="0" w:line="240" w:lineRule="auto"/>
        <w:jc w:val="both"/>
        <w:rPr>
          <w:rFonts w:ascii="Verdana" w:eastAsia="Calibri" w:hAnsi="Verdana" w:cs="Arial"/>
          <w:bCs/>
          <w:sz w:val="20"/>
          <w:szCs w:val="20"/>
          <w:lang w:eastAsia="es-ES_tradnl"/>
        </w:rPr>
      </w:pPr>
    </w:p>
    <w:p w14:paraId="73E48517" w14:textId="77777777" w:rsidR="009D7C37" w:rsidRPr="000657E7" w:rsidRDefault="009D7C37" w:rsidP="000F0DE9">
      <w:pPr>
        <w:spacing w:after="0" w:line="240" w:lineRule="auto"/>
        <w:jc w:val="both"/>
        <w:rPr>
          <w:rFonts w:ascii="Verdana" w:eastAsia="Calibri" w:hAnsi="Verdana" w:cs="Arial"/>
          <w:bCs/>
          <w:sz w:val="20"/>
          <w:szCs w:val="20"/>
          <w:lang w:eastAsia="es-ES_tradnl"/>
        </w:rPr>
      </w:pPr>
      <w:r w:rsidRPr="000657E7">
        <w:rPr>
          <w:rFonts w:ascii="Verdana" w:eastAsia="Calibri" w:hAnsi="Verdana" w:cs="Arial"/>
          <w:bCs/>
          <w:sz w:val="20"/>
          <w:szCs w:val="20"/>
          <w:lang w:eastAsia="es-ES_tradnl"/>
        </w:rPr>
        <w:t xml:space="preserve">Particularmente, el artículo 32 </w:t>
      </w:r>
      <w:r w:rsidRPr="000657E7">
        <w:rPr>
          <w:rFonts w:ascii="Verdana" w:eastAsia="Calibri" w:hAnsi="Verdana" w:cs="Arial"/>
          <w:bCs/>
          <w:i/>
          <w:iCs/>
          <w:sz w:val="20"/>
          <w:szCs w:val="20"/>
          <w:lang w:eastAsia="es-ES_tradnl"/>
        </w:rPr>
        <w:t>ibidem</w:t>
      </w:r>
      <w:r w:rsidRPr="000657E7">
        <w:rPr>
          <w:rFonts w:ascii="Verdana" w:eastAsia="Calibri" w:hAnsi="Verdana" w:cs="Arial"/>
          <w:bCs/>
          <w:sz w:val="20"/>
          <w:szCs w:val="20"/>
          <w:lang w:eastAsia="es-ES_tradnl"/>
        </w:rPr>
        <w:t xml:space="preserve"> regula criterios diferenciales y puntajes adicionales para los “emprendimientos y empresas de mujeres” en el sistema de compras y contratación pública. En relación con este aspecto, el inciso primero de la norma citada prescribe: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20D2BE64" w14:textId="77777777" w:rsidR="009D7C37" w:rsidRPr="000657E7" w:rsidRDefault="009D7C37" w:rsidP="000F0DE9">
      <w:pPr>
        <w:tabs>
          <w:tab w:val="left" w:pos="709"/>
        </w:tabs>
        <w:spacing w:after="0" w:line="240" w:lineRule="auto"/>
        <w:ind w:left="709" w:right="709"/>
        <w:contextualSpacing/>
        <w:jc w:val="both"/>
        <w:rPr>
          <w:rFonts w:ascii="Verdana" w:eastAsia="Calibri" w:hAnsi="Verdana" w:cs="Arial"/>
          <w:bCs/>
          <w:sz w:val="20"/>
          <w:szCs w:val="20"/>
          <w:lang w:eastAsia="es-ES_tradnl"/>
        </w:rPr>
      </w:pPr>
    </w:p>
    <w:p w14:paraId="4FDEBFB2" w14:textId="77777777" w:rsidR="009D7C37" w:rsidRPr="000657E7" w:rsidRDefault="009D7C37" w:rsidP="000F0DE9">
      <w:pPr>
        <w:tabs>
          <w:tab w:val="left" w:pos="709"/>
        </w:tabs>
        <w:spacing w:after="0" w:line="240" w:lineRule="auto"/>
        <w:jc w:val="both"/>
        <w:rPr>
          <w:rFonts w:ascii="Verdana" w:eastAsia="Calibri" w:hAnsi="Verdana" w:cs="Arial"/>
          <w:bCs/>
          <w:sz w:val="20"/>
          <w:szCs w:val="20"/>
          <w:lang w:eastAsia="es-ES_tradnl"/>
        </w:rPr>
      </w:pPr>
      <w:r w:rsidRPr="000657E7">
        <w:rPr>
          <w:rFonts w:ascii="Verdana" w:eastAsia="Calibri" w:hAnsi="Verdana" w:cs="Arial"/>
          <w:bCs/>
          <w:sz w:val="20"/>
          <w:szCs w:val="20"/>
          <w:lang w:eastAsia="es-ES_tradnl"/>
        </w:rPr>
        <w:t>De esta manera, los denominados “criterios diferenciales” del artículo señalado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w:t>
      </w:r>
    </w:p>
    <w:p w14:paraId="2F6CE070" w14:textId="77777777" w:rsidR="009D7C37" w:rsidRPr="000657E7" w:rsidRDefault="009D7C37" w:rsidP="009D7C37">
      <w:pPr>
        <w:spacing w:after="0" w:line="240" w:lineRule="auto"/>
        <w:jc w:val="both"/>
        <w:rPr>
          <w:rFonts w:ascii="Verdana" w:eastAsia="Calibri" w:hAnsi="Verdana" w:cs="Arial"/>
          <w:b/>
          <w:bCs/>
          <w:sz w:val="20"/>
          <w:szCs w:val="20"/>
          <w:lang w:eastAsia="es-ES_tradnl"/>
        </w:rPr>
      </w:pPr>
    </w:p>
    <w:p w14:paraId="7EEAFB2E" w14:textId="77777777" w:rsidR="009D7C37" w:rsidRPr="000657E7" w:rsidRDefault="009D7C37" w:rsidP="009D7C37">
      <w:pPr>
        <w:spacing w:after="0"/>
        <w:jc w:val="both"/>
        <w:rPr>
          <w:rFonts w:ascii="Verdana" w:eastAsia="Calibri" w:hAnsi="Verdana" w:cs="Arial"/>
          <w:b/>
          <w:bCs/>
          <w:lang w:eastAsia="es-ES_tradnl"/>
        </w:rPr>
      </w:pPr>
      <w:r w:rsidRPr="000657E7">
        <w:rPr>
          <w:rFonts w:ascii="Verdana" w:eastAsia="Calibri" w:hAnsi="Verdana" w:cs="Arial"/>
          <w:b/>
          <w:bCs/>
          <w:lang w:eastAsia="es-ES_tradnl"/>
        </w:rPr>
        <w:t>DECRETO 1860 DE 2021 – Vigencia</w:t>
      </w:r>
    </w:p>
    <w:p w14:paraId="17B31364" w14:textId="77777777" w:rsidR="009D7C37" w:rsidRPr="000657E7" w:rsidRDefault="009D7C37" w:rsidP="009D7C37">
      <w:pPr>
        <w:spacing w:after="0" w:line="240" w:lineRule="auto"/>
        <w:jc w:val="both"/>
        <w:rPr>
          <w:rFonts w:ascii="Verdana" w:eastAsia="Calibri" w:hAnsi="Verdana" w:cs="Arial"/>
          <w:b/>
          <w:bCs/>
          <w:sz w:val="20"/>
          <w:szCs w:val="20"/>
          <w:lang w:eastAsia="es-ES_tradnl"/>
        </w:rPr>
      </w:pPr>
    </w:p>
    <w:p w14:paraId="4BFBAA96" w14:textId="77777777" w:rsidR="009D7C37" w:rsidRPr="000657E7" w:rsidRDefault="009D7C37" w:rsidP="000F0DE9">
      <w:pPr>
        <w:spacing w:after="0" w:line="240" w:lineRule="auto"/>
        <w:jc w:val="both"/>
        <w:rPr>
          <w:rFonts w:ascii="Verdana" w:eastAsia="Calibri" w:hAnsi="Verdana" w:cs="Arial"/>
          <w:sz w:val="20"/>
          <w:szCs w:val="20"/>
          <w:lang w:val="es-ES_tradnl" w:eastAsia="es-ES_tradnl"/>
        </w:rPr>
      </w:pPr>
      <w:r w:rsidRPr="000657E7">
        <w:rPr>
          <w:rFonts w:ascii="Verdana" w:eastAsia="Calibri" w:hAnsi="Verdana" w:cs="Arial"/>
          <w:sz w:val="20"/>
          <w:szCs w:val="20"/>
          <w:lang w:val="es-ES_tradnl" w:eastAsia="es-ES_tradnl"/>
        </w:rPr>
        <w:t>En este contexto, el pasado 24 de diciembre, el Gobierno Nacional expidió el Decreto 1860 de 2021</w:t>
      </w:r>
      <w:r w:rsidRPr="000657E7">
        <w:rPr>
          <w:rFonts w:ascii="Verdana" w:eastAsia="Times New Roman" w:hAnsi="Verdana" w:cs="Arial"/>
          <w:sz w:val="20"/>
          <w:szCs w:val="20"/>
          <w:lang w:eastAsia="es-ES_tradnl"/>
        </w:rPr>
        <w:t xml:space="preserve"> </w:t>
      </w:r>
      <w:r w:rsidRPr="000657E7">
        <w:rPr>
          <w:rFonts w:ascii="Verdana" w:eastAsia="Calibri" w:hAnsi="Verdana" w:cs="Arial"/>
          <w:sz w:val="20"/>
          <w:szCs w:val="20"/>
          <w:lang w:val="es-ES_tradnl" w:eastAsia="es-ES_tradnl"/>
        </w:rPr>
        <w:t>“Por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incluyendo los puntajes adicionales y regula su aplicación.</w:t>
      </w:r>
    </w:p>
    <w:p w14:paraId="10CC0C5E" w14:textId="77777777" w:rsidR="009D7C37" w:rsidRPr="000657E7" w:rsidRDefault="009D7C37" w:rsidP="009D7C37">
      <w:pPr>
        <w:spacing w:after="0" w:line="240" w:lineRule="auto"/>
        <w:jc w:val="both"/>
        <w:rPr>
          <w:rFonts w:ascii="Verdana" w:eastAsia="Calibri" w:hAnsi="Verdana" w:cs="Arial"/>
          <w:b/>
          <w:bCs/>
          <w:sz w:val="20"/>
          <w:szCs w:val="20"/>
          <w:lang w:eastAsia="es-ES_tradnl"/>
        </w:rPr>
      </w:pPr>
    </w:p>
    <w:p w14:paraId="7F033DBF" w14:textId="77777777" w:rsidR="009D7C37" w:rsidRPr="000657E7" w:rsidRDefault="009D7C37" w:rsidP="009D7C37">
      <w:pPr>
        <w:spacing w:after="0"/>
        <w:jc w:val="both"/>
        <w:rPr>
          <w:rFonts w:ascii="Verdana" w:eastAsia="Calibri" w:hAnsi="Verdana" w:cs="Arial"/>
          <w:b/>
          <w:bCs/>
          <w:lang w:val="es-ES_tradnl" w:eastAsia="es-ES_tradnl"/>
        </w:rPr>
      </w:pPr>
      <w:r w:rsidRPr="000657E7">
        <w:rPr>
          <w:rFonts w:ascii="Verdana" w:eastAsia="Calibri" w:hAnsi="Verdana" w:cs="Arial"/>
          <w:b/>
          <w:bCs/>
          <w:lang w:eastAsia="es-ES_tradnl"/>
        </w:rPr>
        <w:t xml:space="preserve">DECRETO 1860 DE 2021 – Emprendimientos y empresas de mujeres – Definición – Artículo 2.2.1.2.4.2.14 – Numeral 1 – </w:t>
      </w:r>
      <w:r w:rsidRPr="000657E7">
        <w:rPr>
          <w:rFonts w:ascii="Verdana" w:eastAsia="Calibri" w:hAnsi="Verdana" w:cs="Arial"/>
          <w:b/>
          <w:bCs/>
          <w:lang w:val="es-ES_tradnl" w:eastAsia="es-ES_tradnl"/>
        </w:rPr>
        <w:t>Acreditación</w:t>
      </w:r>
    </w:p>
    <w:p w14:paraId="3A64D328" w14:textId="77777777" w:rsidR="009D7C37" w:rsidRPr="000657E7" w:rsidRDefault="009D7C37" w:rsidP="009D7C37">
      <w:pPr>
        <w:spacing w:after="0" w:line="240" w:lineRule="auto"/>
        <w:jc w:val="both"/>
        <w:rPr>
          <w:rFonts w:ascii="Verdana" w:eastAsia="Calibri" w:hAnsi="Verdana" w:cs="Arial"/>
          <w:b/>
          <w:bCs/>
          <w:sz w:val="20"/>
          <w:szCs w:val="20"/>
          <w:lang w:val="es-ES_tradnl" w:eastAsia="es-ES_tradnl"/>
        </w:rPr>
      </w:pPr>
    </w:p>
    <w:p w14:paraId="4905684B" w14:textId="77777777" w:rsidR="009D7C37" w:rsidRPr="000657E7" w:rsidRDefault="009D7C37" w:rsidP="000F0DE9">
      <w:pPr>
        <w:spacing w:after="0" w:line="240" w:lineRule="auto"/>
        <w:jc w:val="both"/>
        <w:rPr>
          <w:rFonts w:ascii="Verdana" w:eastAsia="Calibri" w:hAnsi="Verdana" w:cs="Arial"/>
          <w:sz w:val="20"/>
          <w:szCs w:val="20"/>
          <w:lang w:val="es-ES_tradnl"/>
        </w:rPr>
      </w:pPr>
      <w:r w:rsidRPr="000657E7">
        <w:rPr>
          <w:rFonts w:ascii="Verdana" w:eastAsia="Calibri" w:hAnsi="Verdana" w:cs="Arial"/>
          <w:sz w:val="20"/>
          <w:szCs w:val="20"/>
          <w:lang w:val="es-ES" w:eastAsia="es-ES_tradnl"/>
        </w:rPr>
        <w:t xml:space="preserve">El </w:t>
      </w:r>
      <w:r w:rsidRPr="000657E7">
        <w:rPr>
          <w:rFonts w:ascii="Verdana" w:eastAsia="Times New Roman" w:hAnsi="Verdana" w:cs="Arial"/>
          <w:i/>
          <w:sz w:val="20"/>
          <w:szCs w:val="20"/>
          <w:lang w:val="es-ES_tradnl" w:eastAsia="es-ES"/>
        </w:rPr>
        <w:t>numeral primero</w:t>
      </w:r>
      <w:r w:rsidRPr="000657E7">
        <w:rPr>
          <w:rFonts w:ascii="Verdana" w:eastAsia="Times New Roman" w:hAnsi="Verdana" w:cs="Arial"/>
          <w:sz w:val="20"/>
          <w:szCs w:val="20"/>
          <w:lang w:val="es-ES_tradnl" w:eastAsia="es-ES"/>
        </w:rPr>
        <w:t xml:space="preserve"> establece que </w:t>
      </w:r>
      <w:r w:rsidRPr="000657E7">
        <w:rPr>
          <w:rFonts w:ascii="Verdana" w:eastAsia="Calibri" w:hAnsi="Verdana" w:cs="Arial"/>
          <w:sz w:val="20"/>
          <w:szCs w:val="20"/>
          <w:lang w:val="es-ES_tradnl"/>
        </w:rPr>
        <w:t xml:space="preserve">una sociedad podrá ser considerada como un emprendimiento o empresa de mujeres cuando más del cincuenta por ciento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w:t>
      </w:r>
    </w:p>
    <w:p w14:paraId="6F7ED903" w14:textId="77777777" w:rsidR="009D7C37" w:rsidRPr="000657E7" w:rsidRDefault="009D7C37" w:rsidP="000F0DE9">
      <w:pPr>
        <w:spacing w:after="0" w:line="240" w:lineRule="auto"/>
        <w:jc w:val="both"/>
        <w:rPr>
          <w:rFonts w:ascii="Verdana" w:eastAsia="Calibri" w:hAnsi="Verdana" w:cs="Arial"/>
          <w:sz w:val="20"/>
          <w:szCs w:val="20"/>
          <w:lang w:val="es-ES_tradnl"/>
        </w:rPr>
      </w:pPr>
    </w:p>
    <w:p w14:paraId="70584B23" w14:textId="77777777" w:rsidR="009D7C37" w:rsidRPr="000657E7" w:rsidRDefault="009D7C37" w:rsidP="000F0DE9">
      <w:pPr>
        <w:shd w:val="clear" w:color="auto" w:fill="FFFFFF"/>
        <w:spacing w:after="0" w:line="240" w:lineRule="auto"/>
        <w:ind w:right="-93"/>
        <w:jc w:val="both"/>
        <w:textAlignment w:val="baseline"/>
        <w:rPr>
          <w:rFonts w:ascii="Verdana" w:hAnsi="Verdana" w:cs="Arial"/>
          <w:sz w:val="20"/>
          <w:szCs w:val="20"/>
        </w:rPr>
      </w:pPr>
      <w:r w:rsidRPr="000657E7">
        <w:rPr>
          <w:rFonts w:ascii="Verdana" w:hAnsi="Verdana" w:cs="Arial"/>
          <w:sz w:val="20"/>
          <w:szCs w:val="20"/>
        </w:rPr>
        <w:t xml:space="preserve">Como medio para la acreditación de este criterio, señala la normativa referida que: </w:t>
      </w:r>
      <w:r w:rsidRPr="000657E7">
        <w:rPr>
          <w:rFonts w:ascii="Verdana" w:eastAsia="Times New Roman" w:hAnsi="Verdana" w:cs="Arial"/>
          <w:i/>
          <w:sz w:val="20"/>
          <w:szCs w:val="20"/>
          <w:lang w:val="es-ES_tradnl" w:eastAsia="es-ES"/>
        </w:rPr>
        <w:t>“</w:t>
      </w:r>
      <w:r w:rsidRPr="000657E7">
        <w:rPr>
          <w:rFonts w:ascii="Verdana" w:hAnsi="Verdana" w:cs="Arial"/>
          <w:i/>
          <w:sz w:val="20"/>
          <w:szCs w:val="20"/>
        </w:rPr>
        <w:t>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r w:rsidRPr="000657E7">
        <w:rPr>
          <w:rFonts w:ascii="Verdana" w:eastAsia="Times New Roman" w:hAnsi="Verdana" w:cs="Arial"/>
          <w:i/>
          <w:sz w:val="20"/>
          <w:szCs w:val="20"/>
          <w:lang w:val="es-ES_tradnl" w:eastAsia="es-ES"/>
        </w:rPr>
        <w:t>”</w:t>
      </w:r>
      <w:r w:rsidRPr="000657E7">
        <w:rPr>
          <w:rFonts w:ascii="Verdana" w:hAnsi="Verdana" w:cs="Arial"/>
          <w:sz w:val="20"/>
          <w:szCs w:val="20"/>
        </w:rPr>
        <w:t>.</w:t>
      </w:r>
    </w:p>
    <w:p w14:paraId="06477215" w14:textId="77777777" w:rsidR="009D7C37" w:rsidRPr="000657E7" w:rsidRDefault="009D7C37" w:rsidP="000F0DE9">
      <w:pPr>
        <w:tabs>
          <w:tab w:val="left" w:pos="426"/>
        </w:tabs>
        <w:spacing w:after="0" w:line="240" w:lineRule="auto"/>
        <w:jc w:val="both"/>
        <w:rPr>
          <w:rFonts w:ascii="Verdana" w:eastAsia="Calibri" w:hAnsi="Verdana" w:cs="Arial"/>
          <w:sz w:val="20"/>
          <w:szCs w:val="20"/>
          <w:lang w:val="es-ES_tradnl" w:eastAsia="es-ES_tradnl"/>
        </w:rPr>
      </w:pPr>
    </w:p>
    <w:p w14:paraId="143C6A90" w14:textId="35251A54" w:rsidR="00675E31" w:rsidRPr="000657E7" w:rsidRDefault="009D7C37" w:rsidP="00675E31">
      <w:pPr>
        <w:tabs>
          <w:tab w:val="left" w:pos="426"/>
        </w:tabs>
        <w:spacing w:after="0" w:line="240" w:lineRule="auto"/>
        <w:jc w:val="both"/>
        <w:rPr>
          <w:rFonts w:ascii="Verdana" w:hAnsi="Verdana"/>
          <w:b/>
          <w:bCs/>
          <w:sz w:val="20"/>
          <w:szCs w:val="20"/>
        </w:rPr>
      </w:pPr>
      <w:r w:rsidRPr="000657E7">
        <w:rPr>
          <w:rFonts w:ascii="Verdana" w:eastAsia="Calibri" w:hAnsi="Verdana" w:cs="Arial"/>
          <w:sz w:val="20"/>
          <w:szCs w:val="20"/>
          <w:lang w:val="es-ES_tradnl" w:eastAsia="es-ES_tradnl"/>
        </w:rPr>
        <w:t xml:space="preserve">[…] ninguno de los cuatro supuestos de hecho contempla una alternativa referente a que la persona jurídica esté conformada por otras personas jurídicas. Así las cosas, una interpretación exegética del artículo </w:t>
      </w:r>
      <w:r w:rsidRPr="000657E7">
        <w:rPr>
          <w:rFonts w:ascii="Verdana" w:eastAsia="Calibri" w:hAnsi="Verdana" w:cs="Arial"/>
          <w:sz w:val="20"/>
          <w:szCs w:val="20"/>
          <w:lang w:val="es-ES" w:eastAsia="es-ES_tradnl"/>
        </w:rPr>
        <w:t xml:space="preserve">2.2.1.2.4.2.14 del Decreto 1082 de 2015 permite concluir </w:t>
      </w:r>
      <w:r w:rsidRPr="000657E7">
        <w:rPr>
          <w:rFonts w:ascii="Verdana" w:eastAsia="Calibri" w:hAnsi="Verdana" w:cs="Arial"/>
          <w:sz w:val="20"/>
          <w:szCs w:val="20"/>
          <w:lang w:val="es-ES_tradnl" w:eastAsia="es-ES_tradnl"/>
        </w:rPr>
        <w:t xml:space="preserve">que la aplicación de los criterios diferenciales a favor de los emprendimientos y empresas de mujeres no se extiende frente a aquellas personas jurídicas cuyos accionistas sean otras personas jurídicas, pues el numeral primero es claro en señalar que </w:t>
      </w:r>
      <w:r w:rsidRPr="000657E7">
        <w:rPr>
          <w:rFonts w:ascii="Verdana" w:eastAsia="Calibri" w:hAnsi="Verdana" w:cs="Arial"/>
          <w:sz w:val="20"/>
          <w:szCs w:val="20"/>
          <w:lang w:val="es-ES_tradnl"/>
        </w:rPr>
        <w:t>una sociedad podrá ser considerada como un emprendimiento o empresa de mujeres cuando más del cincuenta por ciento (50%) de sus acciones, partes de interés o cuotas de participación, pertenezcan a mujeres, de lo cual se infiere que se refiere a mujeres naturales, dado que es grupo poblacional al cual están dirigidas estas medidas afirmativa.</w:t>
      </w:r>
    </w:p>
    <w:p w14:paraId="3F626230" w14:textId="77777777" w:rsidR="00675E31" w:rsidRPr="000657E7" w:rsidRDefault="00675E31" w:rsidP="00675E31">
      <w:pPr>
        <w:tabs>
          <w:tab w:val="left" w:pos="426"/>
        </w:tabs>
        <w:spacing w:after="0" w:line="240" w:lineRule="auto"/>
        <w:jc w:val="both"/>
        <w:rPr>
          <w:rFonts w:ascii="Verdana" w:hAnsi="Verdana"/>
          <w:b/>
          <w:bCs/>
          <w:sz w:val="20"/>
          <w:szCs w:val="20"/>
        </w:rPr>
      </w:pPr>
    </w:p>
    <w:p w14:paraId="1A1E3ED3" w14:textId="6D2202EA" w:rsidR="00675E31" w:rsidRPr="000657E7" w:rsidRDefault="00675E31" w:rsidP="00675E31">
      <w:pPr>
        <w:jc w:val="both"/>
        <w:rPr>
          <w:rFonts w:ascii="Verdana" w:hAnsi="Verdana" w:cs="Arial"/>
          <w:b/>
          <w:bCs/>
          <w:lang w:val="es-ES"/>
        </w:rPr>
      </w:pPr>
      <w:r w:rsidRPr="000657E7">
        <w:rPr>
          <w:rFonts w:ascii="Verdana" w:hAnsi="Verdana" w:cs="Arial"/>
          <w:b/>
          <w:bCs/>
          <w:lang w:val="es-ES"/>
        </w:rPr>
        <w:t>CAPACIDAD JURÍDICA – Persona Natural – Persona jurídica – Emprendimientos y empresas de mujeres – Definición – Artículo 2.2.1.2.4.2.14 – Numeral 1</w:t>
      </w:r>
    </w:p>
    <w:p w14:paraId="6ADE3777" w14:textId="52E8900D" w:rsidR="000657E7" w:rsidRPr="000657E7" w:rsidRDefault="000657E7" w:rsidP="000657E7">
      <w:pPr>
        <w:spacing w:after="120" w:line="240" w:lineRule="auto"/>
        <w:jc w:val="both"/>
        <w:rPr>
          <w:rFonts w:ascii="Verdana" w:eastAsia="Calibri" w:hAnsi="Verdana" w:cs="Arial"/>
          <w:sz w:val="20"/>
          <w:szCs w:val="20"/>
        </w:rPr>
      </w:pPr>
      <w:r w:rsidRPr="000657E7">
        <w:rPr>
          <w:rFonts w:ascii="Verdana" w:eastAsia="Calibri" w:hAnsi="Verdana" w:cs="Arial"/>
          <w:bCs/>
          <w:sz w:val="20"/>
          <w:szCs w:val="20"/>
          <w:lang w:eastAsia="es-ES_tradnl"/>
        </w:rPr>
        <w:t xml:space="preserve">[…] </w:t>
      </w:r>
      <w:r w:rsidRPr="000657E7">
        <w:rPr>
          <w:rFonts w:ascii="Verdana" w:eastAsia="Calibri" w:hAnsi="Verdana" w:cs="Arial"/>
          <w:sz w:val="20"/>
          <w:szCs w:val="20"/>
        </w:rPr>
        <w:t>La capacidad jurídica es la facultad que tiene una persona natural o jurídica para celebrar contratos con una Entidad Estatal, es decir, i) la capacidad de obligarse a cumplir el objeto del contrato y ii) de no estar incursa en inhabilidades o incompatibilidades que impidan la celebración del contrato.</w:t>
      </w:r>
    </w:p>
    <w:p w14:paraId="6A02C498" w14:textId="77777777" w:rsidR="000657E7" w:rsidRPr="000657E7" w:rsidRDefault="000657E7" w:rsidP="000657E7">
      <w:pPr>
        <w:spacing w:after="120" w:line="240" w:lineRule="auto"/>
        <w:jc w:val="both"/>
        <w:rPr>
          <w:rFonts w:ascii="Verdana" w:eastAsia="Calibri" w:hAnsi="Verdana" w:cs="Arial"/>
          <w:sz w:val="20"/>
          <w:szCs w:val="20"/>
        </w:rPr>
      </w:pPr>
      <w:r w:rsidRPr="000657E7">
        <w:rPr>
          <w:rFonts w:ascii="Verdana" w:eastAsia="Calibri" w:hAnsi="Verdana" w:cs="Arial"/>
          <w:sz w:val="20"/>
          <w:szCs w:val="20"/>
        </w:rPr>
        <w:t>Tratándose de personas naturales la capacidad jurídica para contratar la tienen los mayores de edad, a menos que por disposición expresa se encuentren limitados por decisión judicial, como la interdicción judicial, y que no estén incursas en inhabilidades, incompatibilidades o prohibiciones para contratar derivadas de la ley. En el caso de las personas jurídicas, su capacidad jurídica está relacionada con: (i) la posibilidad de adelantar actividades en el marco de su objeto social; (ii) las facultades de su representante legal y la autorización del órgano social competente cuando esto es necesario de acuerdo con sus estatutos; y (iii) la ausencia de inhabilidades, incompatibilidades, conflicto de intereses o prohibiciones para contratar, derivadas de la ley.</w:t>
      </w:r>
    </w:p>
    <w:p w14:paraId="073CD882" w14:textId="3EEB2DCC" w:rsidR="000657E7" w:rsidRPr="000657E7" w:rsidRDefault="000657E7" w:rsidP="000657E7">
      <w:pPr>
        <w:spacing w:after="120" w:line="240" w:lineRule="auto"/>
        <w:jc w:val="both"/>
        <w:rPr>
          <w:rFonts w:ascii="Verdana" w:eastAsia="Calibri" w:hAnsi="Verdana" w:cs="Arial"/>
          <w:sz w:val="20"/>
          <w:szCs w:val="20"/>
        </w:rPr>
      </w:pPr>
      <w:r w:rsidRPr="000657E7">
        <w:rPr>
          <w:rFonts w:ascii="Verdana" w:eastAsia="Calibri" w:hAnsi="Verdana" w:cs="Arial"/>
          <w:sz w:val="20"/>
          <w:szCs w:val="20"/>
        </w:rPr>
        <w:t xml:space="preserve">Así las cosas, si bien los menores de edad no tienen capacidad jurídica para contratar con el Estado, lo cierto es que el primer supuesto del artículo </w:t>
      </w:r>
      <w:r w:rsidRPr="000657E7">
        <w:rPr>
          <w:rFonts w:ascii="Verdana" w:eastAsia="Calibri" w:hAnsi="Verdana" w:cs="Arial"/>
          <w:sz w:val="20"/>
          <w:szCs w:val="20"/>
          <w:lang w:eastAsia="es-ES_tradnl"/>
        </w:rPr>
        <w:t>2.2.1.2.4.2.14. del Decreto 1082 de 2015</w:t>
      </w:r>
      <w:r w:rsidRPr="000657E7">
        <w:rPr>
          <w:rFonts w:ascii="Verdana" w:eastAsia="Calibri" w:hAnsi="Verdana" w:cs="Arial"/>
          <w:sz w:val="20"/>
          <w:szCs w:val="20"/>
        </w:rPr>
        <w:t xml:space="preserve"> contempla el concepto de emprendimientos y empresas de mujeres cuando se trate de personas jurídicas. En ese sentido, el análisis que se haga respecto a la capacidad jurídica del proponente debe ser frente a la persona jurídica y no frente a sus socios, accionistas. </w:t>
      </w:r>
      <w:r w:rsidRPr="000657E7">
        <w:rPr>
          <w:rFonts w:ascii="Verdana" w:eastAsia="Calibri" w:hAnsi="Verdana" w:cs="Arial"/>
          <w:bCs/>
          <w:sz w:val="20"/>
          <w:szCs w:val="20"/>
          <w:lang w:eastAsia="es-ES_tradnl"/>
        </w:rPr>
        <w:t>[…]</w:t>
      </w:r>
    </w:p>
    <w:p w14:paraId="67B96C2E" w14:textId="77777777" w:rsidR="007100B0" w:rsidRDefault="007100B0" w:rsidP="00047B09">
      <w:pPr>
        <w:spacing w:after="0" w:line="240" w:lineRule="auto"/>
        <w:rPr>
          <w:rFonts w:ascii="Verdana" w:eastAsia="Geomanist Light" w:hAnsi="Verdana" w:cs="Arial"/>
        </w:rPr>
      </w:pPr>
    </w:p>
    <w:p w14:paraId="4C9F592F" w14:textId="77777777" w:rsidR="007100B0" w:rsidRDefault="007100B0" w:rsidP="00047B09">
      <w:pPr>
        <w:spacing w:after="0" w:line="240" w:lineRule="auto"/>
        <w:rPr>
          <w:rFonts w:ascii="Verdana" w:eastAsia="Geomanist Light" w:hAnsi="Verdana" w:cs="Arial"/>
        </w:rPr>
      </w:pPr>
    </w:p>
    <w:p w14:paraId="77AA5127" w14:textId="4F7813E0" w:rsidR="00E245AB" w:rsidRPr="00470CF3" w:rsidRDefault="00E245AB" w:rsidP="00047B09">
      <w:pPr>
        <w:spacing w:after="0" w:line="240" w:lineRule="auto"/>
        <w:rPr>
          <w:rFonts w:ascii="Verdana" w:eastAsia="Geomanist Light" w:hAnsi="Verdana" w:cs="Arial"/>
          <w:lang w:val="es-MX"/>
        </w:rPr>
      </w:pPr>
      <w:r w:rsidRPr="00470CF3">
        <w:rPr>
          <w:rFonts w:ascii="Verdana" w:hAnsi="Verdana"/>
        </w:rPr>
        <w:lastRenderedPageBreak/>
        <w:t xml:space="preserve">Bogotá D.C., </w:t>
      </w:r>
      <w:r w:rsidR="00675E31">
        <w:rPr>
          <w:rFonts w:ascii="Verdana" w:hAnsi="Verdana"/>
        </w:rPr>
        <w:t>20 de marzo del 2025</w:t>
      </w:r>
    </w:p>
    <w:p w14:paraId="5CDAF2A8" w14:textId="77777777" w:rsidR="00E245AB" w:rsidRDefault="00E245AB" w:rsidP="00047B09">
      <w:pPr>
        <w:spacing w:after="0" w:line="240" w:lineRule="auto"/>
        <w:rPr>
          <w:rFonts w:ascii="Verdana" w:hAnsi="Verdana"/>
        </w:rPr>
      </w:pPr>
    </w:p>
    <w:p w14:paraId="74F704B9" w14:textId="68F670FC" w:rsidR="00675E31" w:rsidRDefault="006C6427" w:rsidP="006C6427">
      <w:pPr>
        <w:spacing w:after="0" w:line="240" w:lineRule="auto"/>
        <w:jc w:val="right"/>
        <w:rPr>
          <w:rFonts w:ascii="Verdana" w:hAnsi="Verdana"/>
        </w:rPr>
      </w:pPr>
      <w:r w:rsidRPr="006C6427">
        <w:rPr>
          <w:rFonts w:ascii="Verdana" w:hAnsi="Verdana"/>
          <w:noProof/>
        </w:rPr>
        <w:drawing>
          <wp:inline distT="0" distB="0" distL="0" distR="0" wp14:anchorId="51595421" wp14:editId="6D25DDEF">
            <wp:extent cx="2905125" cy="962025"/>
            <wp:effectExtent l="0" t="0" r="9525" b="9525"/>
            <wp:docPr id="1170387143" name="Imagen 1" descr="Interfaz de usuario gráfica,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0387143" name="Imagen 1" descr="Interfaz de usuario gráfica, Texto&#10;&#10;El contenido generado por IA puede ser incorrecto."/>
                    <pic:cNvPicPr/>
                  </pic:nvPicPr>
                  <pic:blipFill>
                    <a:blip r:embed="rId11"/>
                    <a:stretch>
                      <a:fillRect/>
                    </a:stretch>
                  </pic:blipFill>
                  <pic:spPr>
                    <a:xfrm>
                      <a:off x="0" y="0"/>
                      <a:ext cx="2905533" cy="962160"/>
                    </a:xfrm>
                    <a:prstGeom prst="rect">
                      <a:avLst/>
                    </a:prstGeom>
                  </pic:spPr>
                </pic:pic>
              </a:graphicData>
            </a:graphic>
          </wp:inline>
        </w:drawing>
      </w:r>
    </w:p>
    <w:p w14:paraId="307572A9" w14:textId="77777777" w:rsidR="00675E31" w:rsidRPr="00470CF3" w:rsidRDefault="00675E31" w:rsidP="00047B09">
      <w:pPr>
        <w:spacing w:after="0" w:line="240" w:lineRule="auto"/>
        <w:rPr>
          <w:rFonts w:ascii="Verdana" w:hAnsi="Verdana"/>
        </w:rPr>
      </w:pPr>
    </w:p>
    <w:p w14:paraId="569BFBBC" w14:textId="77777777" w:rsidR="00BE6F9D" w:rsidRPr="003739E6" w:rsidRDefault="00BE6F9D" w:rsidP="00BE6F9D">
      <w:pPr>
        <w:spacing w:after="0" w:line="240" w:lineRule="auto"/>
        <w:jc w:val="both"/>
        <w:rPr>
          <w:rFonts w:ascii="Verdana" w:eastAsia="Calibri" w:hAnsi="Verdana" w:cs="Arial"/>
          <w:lang w:val="en-US" w:eastAsia="es-ES"/>
        </w:rPr>
      </w:pPr>
      <w:r w:rsidRPr="003739E6">
        <w:rPr>
          <w:rFonts w:ascii="Verdana" w:eastAsia="Calibri" w:hAnsi="Verdana" w:cs="Arial"/>
          <w:lang w:val="en-US" w:eastAsia="es-ES"/>
        </w:rPr>
        <w:t>Señor</w:t>
      </w:r>
    </w:p>
    <w:p w14:paraId="391539EF" w14:textId="77777777" w:rsidR="00BE6F9D" w:rsidRPr="003739E6" w:rsidRDefault="00444D84" w:rsidP="00BE6F9D">
      <w:pPr>
        <w:spacing w:after="0" w:line="240" w:lineRule="auto"/>
        <w:rPr>
          <w:rFonts w:ascii="Verdana" w:eastAsia="Calibri" w:hAnsi="Verdana" w:cs="Arial"/>
          <w:b/>
          <w:lang w:val="en-US" w:eastAsia="es-ES"/>
        </w:rPr>
      </w:pPr>
      <w:r w:rsidRPr="003739E6">
        <w:rPr>
          <w:rFonts w:ascii="Verdana" w:eastAsia="Calibri" w:hAnsi="Verdana" w:cs="Arial"/>
          <w:b/>
          <w:lang w:val="en-US" w:eastAsia="es-ES"/>
        </w:rPr>
        <w:t>Johnathan Cotacio</w:t>
      </w:r>
    </w:p>
    <w:p w14:paraId="7E5C491B" w14:textId="77777777" w:rsidR="00BE6F9D" w:rsidRPr="003739E6" w:rsidRDefault="00094EE3" w:rsidP="00BE6F9D">
      <w:pPr>
        <w:spacing w:after="0" w:line="240" w:lineRule="auto"/>
        <w:rPr>
          <w:rFonts w:ascii="Verdana" w:hAnsi="Verdana"/>
          <w:lang w:val="en-US"/>
        </w:rPr>
      </w:pPr>
      <w:hyperlink r:id="rId12" w:history="1">
        <w:r w:rsidRPr="003739E6">
          <w:rPr>
            <w:rStyle w:val="Hipervnculo"/>
            <w:rFonts w:ascii="Verdana" w:hAnsi="Verdana"/>
            <w:lang w:val="en-US"/>
          </w:rPr>
          <w:t>johnathancotacio@gmail.com</w:t>
        </w:r>
      </w:hyperlink>
      <w:r w:rsidRPr="003739E6">
        <w:rPr>
          <w:rFonts w:ascii="Verdana" w:hAnsi="Verdana"/>
          <w:lang w:val="en-US"/>
        </w:rPr>
        <w:t xml:space="preserve"> </w:t>
      </w:r>
    </w:p>
    <w:p w14:paraId="356D955C" w14:textId="77777777" w:rsidR="00BE6F9D" w:rsidRPr="00675E31" w:rsidRDefault="00094EE3" w:rsidP="00BE6F9D">
      <w:pPr>
        <w:spacing w:after="0" w:line="240" w:lineRule="auto"/>
        <w:rPr>
          <w:rFonts w:ascii="Verdana" w:hAnsi="Verdana" w:cs="Arial"/>
        </w:rPr>
      </w:pPr>
      <w:r w:rsidRPr="00675E31">
        <w:rPr>
          <w:rFonts w:ascii="Verdana" w:hAnsi="Verdana" w:cs="Arial"/>
        </w:rPr>
        <w:t xml:space="preserve">Florencia, Caquetá. </w:t>
      </w:r>
    </w:p>
    <w:p w14:paraId="4807AA56" w14:textId="77777777" w:rsidR="00BE6F9D" w:rsidRPr="00675E31" w:rsidRDefault="00BE6F9D" w:rsidP="00BE6F9D">
      <w:pPr>
        <w:spacing w:after="0" w:line="240" w:lineRule="auto"/>
        <w:rPr>
          <w:rFonts w:ascii="Verdana" w:eastAsia="Calibri" w:hAnsi="Verdana" w:cs="Arial"/>
          <w:b/>
          <w:bCs/>
          <w:highlight w:val="cyan"/>
          <w:lang w:eastAsia="es-ES_tradnl"/>
        </w:rPr>
      </w:pPr>
    </w:p>
    <w:p w14:paraId="691E7CC2" w14:textId="77777777" w:rsidR="00BE6F9D" w:rsidRPr="00675E31" w:rsidRDefault="00BE6F9D" w:rsidP="00BE6F9D">
      <w:pPr>
        <w:spacing w:after="0" w:line="240" w:lineRule="auto"/>
        <w:rPr>
          <w:rFonts w:ascii="Verdana" w:eastAsia="Calibri" w:hAnsi="Verdana" w:cs="Arial"/>
          <w:b/>
          <w:bCs/>
          <w:highlight w:val="cyan"/>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160"/>
        <w:gridCol w:w="6629"/>
      </w:tblGrid>
      <w:tr w:rsidR="00BE6F9D" w:rsidRPr="00A5382C" w14:paraId="0B1F68BA" w14:textId="77777777" w:rsidTr="00047B09">
        <w:trPr>
          <w:trHeight w:val="282"/>
        </w:trPr>
        <w:tc>
          <w:tcPr>
            <w:tcW w:w="2160" w:type="dxa"/>
          </w:tcPr>
          <w:p w14:paraId="51A4FE4F" w14:textId="77777777" w:rsidR="00BE6F9D" w:rsidRPr="00675E31" w:rsidRDefault="00BE6F9D" w:rsidP="00A5382C">
            <w:pPr>
              <w:jc w:val="both"/>
              <w:rPr>
                <w:rFonts w:ascii="Verdana" w:eastAsia="Calibri" w:hAnsi="Verdana" w:cs="Arial"/>
                <w:b/>
                <w:bCs/>
                <w:highlight w:val="cyan"/>
                <w:lang w:eastAsia="es-ES_tradnl"/>
              </w:rPr>
            </w:pPr>
          </w:p>
        </w:tc>
        <w:tc>
          <w:tcPr>
            <w:tcW w:w="6629" w:type="dxa"/>
          </w:tcPr>
          <w:p w14:paraId="2DD9A3F0" w14:textId="77777777" w:rsidR="00BE6F9D" w:rsidRPr="002F6840" w:rsidRDefault="00BE6F9D" w:rsidP="00A5382C">
            <w:pPr>
              <w:jc w:val="both"/>
              <w:rPr>
                <w:rFonts w:ascii="Verdana" w:eastAsia="Calibri" w:hAnsi="Verdana" w:cs="Arial"/>
                <w:b/>
                <w:bCs/>
                <w:lang w:val="es-ES" w:eastAsia="es-ES"/>
              </w:rPr>
            </w:pPr>
            <w:r w:rsidRPr="00A5382C">
              <w:rPr>
                <w:rFonts w:ascii="Verdana" w:eastAsia="Calibri" w:hAnsi="Verdana" w:cs="Arial"/>
                <w:b/>
                <w:bCs/>
                <w:lang w:val="es-ES" w:eastAsia="es-ES"/>
              </w:rPr>
              <w:t xml:space="preserve">Concepto </w:t>
            </w:r>
            <w:r w:rsidRPr="00A5382C">
              <w:rPr>
                <w:rFonts w:ascii="Verdana" w:eastAsia="Calibri" w:hAnsi="Verdana" w:cs="Arial"/>
                <w:b/>
                <w:bCs/>
                <w:lang w:eastAsia="es-ES"/>
              </w:rPr>
              <w:t>C-</w:t>
            </w:r>
            <w:r w:rsidR="00381EB4" w:rsidRPr="00A5382C">
              <w:rPr>
                <w:rFonts w:ascii="Verdana" w:eastAsia="Calibri" w:hAnsi="Verdana" w:cs="Arial"/>
                <w:b/>
                <w:bCs/>
                <w:lang w:eastAsia="es-ES"/>
              </w:rPr>
              <w:t>171</w:t>
            </w:r>
            <w:r w:rsidRPr="00A5382C">
              <w:rPr>
                <w:rFonts w:ascii="Verdana" w:eastAsia="Calibri" w:hAnsi="Verdana" w:cs="Arial"/>
                <w:b/>
                <w:bCs/>
                <w:lang w:eastAsia="es-ES"/>
              </w:rPr>
              <w:t xml:space="preserve"> </w:t>
            </w:r>
            <w:r w:rsidRPr="00A5382C">
              <w:rPr>
                <w:rFonts w:ascii="Verdana" w:eastAsia="Calibri" w:hAnsi="Verdana" w:cs="Arial"/>
                <w:b/>
                <w:bCs/>
                <w:lang w:val="es-ES" w:eastAsia="es-ES"/>
              </w:rPr>
              <w:t>de 2025</w:t>
            </w:r>
          </w:p>
          <w:p w14:paraId="41BD02C0" w14:textId="77777777" w:rsidR="00BD3290" w:rsidRPr="00A5382C" w:rsidRDefault="00BD3290" w:rsidP="00A5382C">
            <w:pPr>
              <w:jc w:val="both"/>
              <w:rPr>
                <w:rFonts w:ascii="Verdana" w:eastAsia="Calibri" w:hAnsi="Verdana" w:cs="Arial"/>
                <w:b/>
                <w:bCs/>
                <w:lang w:eastAsia="es-ES"/>
              </w:rPr>
            </w:pPr>
          </w:p>
        </w:tc>
      </w:tr>
      <w:tr w:rsidR="00BE6F9D" w:rsidRPr="00A5382C" w14:paraId="11743C83" w14:textId="77777777" w:rsidTr="005667F9">
        <w:trPr>
          <w:trHeight w:val="884"/>
        </w:trPr>
        <w:tc>
          <w:tcPr>
            <w:tcW w:w="2160" w:type="dxa"/>
            <w:shd w:val="clear" w:color="auto" w:fill="auto"/>
          </w:tcPr>
          <w:p w14:paraId="4F016D67" w14:textId="77777777" w:rsidR="00BE6F9D" w:rsidRPr="00A5382C" w:rsidRDefault="00BE6F9D" w:rsidP="00A5382C">
            <w:pPr>
              <w:jc w:val="both"/>
              <w:rPr>
                <w:rFonts w:ascii="Verdana" w:eastAsia="Calibri" w:hAnsi="Verdana" w:cs="Arial"/>
                <w:b/>
                <w:lang w:val="es-ES_tradnl" w:eastAsia="es-ES_tradnl"/>
              </w:rPr>
            </w:pPr>
            <w:r w:rsidRPr="00A5382C">
              <w:rPr>
                <w:rFonts w:ascii="Verdana" w:eastAsia="Calibri" w:hAnsi="Verdana" w:cs="Arial"/>
                <w:b/>
                <w:lang w:val="es-ES_tradnl" w:eastAsia="es-ES_tradnl"/>
              </w:rPr>
              <w:t xml:space="preserve">Temas:                   </w:t>
            </w:r>
          </w:p>
        </w:tc>
        <w:tc>
          <w:tcPr>
            <w:tcW w:w="6629" w:type="dxa"/>
            <w:shd w:val="clear" w:color="auto" w:fill="auto"/>
          </w:tcPr>
          <w:p w14:paraId="2AB77299" w14:textId="65110174" w:rsidR="00BE6F9D" w:rsidRDefault="004C6A07" w:rsidP="00A5382C">
            <w:pPr>
              <w:jc w:val="both"/>
              <w:rPr>
                <w:rFonts w:ascii="Verdana" w:hAnsi="Verdana" w:cs="Arial"/>
                <w:lang w:val="es-ES"/>
              </w:rPr>
            </w:pPr>
            <w:r w:rsidRPr="00A5382C">
              <w:rPr>
                <w:rFonts w:ascii="Verdana" w:hAnsi="Verdana" w:cs="Arial"/>
                <w:lang w:val="es-ES"/>
              </w:rPr>
              <w:t>LEY DE EMPRENDIMIENTO – Ley 2069 de 2020 – Artículo 32 – Criterios diferenciales – Emprendimientos de mujeres – Empresas de mujeres / DECRETO 1860 DE 2021 – Vigencia / DECRETO 1860 DE 2021 – Emprendimientos y empresas de mujeres – Definición – Artículo 2.2.1.2.4.2.14 – Numeral 1 – Acreditación</w:t>
            </w:r>
            <w:r w:rsidR="00A5382C">
              <w:rPr>
                <w:rFonts w:ascii="Verdana" w:hAnsi="Verdana" w:cs="Arial"/>
                <w:lang w:val="es-ES"/>
              </w:rPr>
              <w:t xml:space="preserve"> / CAPACIDAD JURÍDICA – Persona Natural – Persona </w:t>
            </w:r>
            <w:r w:rsidR="00675E31">
              <w:rPr>
                <w:rFonts w:ascii="Verdana" w:hAnsi="Verdana" w:cs="Arial"/>
                <w:lang w:val="es-ES"/>
              </w:rPr>
              <w:t>jurídica</w:t>
            </w:r>
            <w:r w:rsidR="00A5382C">
              <w:rPr>
                <w:rFonts w:ascii="Verdana" w:hAnsi="Verdana" w:cs="Arial"/>
                <w:lang w:val="es-ES"/>
              </w:rPr>
              <w:t xml:space="preserve"> </w:t>
            </w:r>
            <w:r w:rsidR="00EB08B1" w:rsidRPr="00A5382C">
              <w:rPr>
                <w:rFonts w:ascii="Verdana" w:hAnsi="Verdana" w:cs="Arial"/>
                <w:lang w:val="es-ES"/>
              </w:rPr>
              <w:t>– Emprendimientos y empresas de mujeres – Definición – Artículo 2.2.1.2.4.2.14 – Numeral 1</w:t>
            </w:r>
          </w:p>
          <w:p w14:paraId="04CEED5A" w14:textId="77777777" w:rsidR="00A5382C" w:rsidRPr="00A5382C" w:rsidRDefault="00A5382C" w:rsidP="00047B09">
            <w:pPr>
              <w:jc w:val="both"/>
              <w:rPr>
                <w:rFonts w:ascii="Verdana" w:hAnsi="Verdana" w:cs="Arial"/>
                <w:lang w:val="es-ES_tradnl"/>
              </w:rPr>
            </w:pPr>
          </w:p>
        </w:tc>
      </w:tr>
      <w:tr w:rsidR="00BE6F9D" w:rsidRPr="00A5382C" w14:paraId="38801731" w14:textId="77777777" w:rsidTr="005667F9">
        <w:trPr>
          <w:trHeight w:val="368"/>
        </w:trPr>
        <w:tc>
          <w:tcPr>
            <w:tcW w:w="2160" w:type="dxa"/>
            <w:shd w:val="clear" w:color="auto" w:fill="auto"/>
          </w:tcPr>
          <w:p w14:paraId="33422483" w14:textId="77777777" w:rsidR="00BE6F9D" w:rsidRPr="00A5382C" w:rsidRDefault="00BE6F9D" w:rsidP="00A5382C">
            <w:pPr>
              <w:jc w:val="both"/>
              <w:rPr>
                <w:rFonts w:ascii="Verdana" w:eastAsia="Calibri" w:hAnsi="Verdana" w:cs="Arial"/>
                <w:b/>
                <w:lang w:val="es-ES_tradnl" w:eastAsia="es-ES_tradnl"/>
              </w:rPr>
            </w:pPr>
            <w:r w:rsidRPr="00A5382C">
              <w:rPr>
                <w:rFonts w:ascii="Verdana" w:eastAsia="Calibri" w:hAnsi="Verdana" w:cs="Arial"/>
                <w:b/>
                <w:lang w:val="es-ES_tradnl" w:eastAsia="es-ES_tradnl"/>
              </w:rPr>
              <w:t>Radicación:</w:t>
            </w:r>
            <w:r w:rsidRPr="00A5382C">
              <w:rPr>
                <w:rFonts w:ascii="Verdana" w:eastAsia="Calibri" w:hAnsi="Verdana" w:cs="Arial"/>
                <w:lang w:val="es-ES_tradnl" w:eastAsia="es-ES_tradnl"/>
              </w:rPr>
              <w:t xml:space="preserve">               </w:t>
            </w:r>
          </w:p>
        </w:tc>
        <w:tc>
          <w:tcPr>
            <w:tcW w:w="6629" w:type="dxa"/>
            <w:shd w:val="clear" w:color="auto" w:fill="auto"/>
          </w:tcPr>
          <w:p w14:paraId="0B7F94E7" w14:textId="77777777" w:rsidR="00BE6F9D" w:rsidRPr="00A5382C" w:rsidRDefault="00BE6F9D" w:rsidP="00A5382C">
            <w:pPr>
              <w:jc w:val="both"/>
              <w:rPr>
                <w:rFonts w:ascii="Verdana" w:eastAsia="Calibri" w:hAnsi="Verdana" w:cs="Arial"/>
                <w:lang w:eastAsia="es-ES_tradnl"/>
              </w:rPr>
            </w:pPr>
            <w:r w:rsidRPr="00A5382C">
              <w:rPr>
                <w:rFonts w:ascii="Verdana" w:eastAsia="Calibri" w:hAnsi="Verdana" w:cs="Arial"/>
                <w:lang w:val="es-ES_tradnl" w:eastAsia="es-ES_tradnl"/>
              </w:rPr>
              <w:t xml:space="preserve">Respuesta a consulta con radicado No. </w:t>
            </w:r>
            <w:r w:rsidR="004D7C7A" w:rsidRPr="00A5382C">
              <w:rPr>
                <w:rFonts w:ascii="Verdana" w:eastAsia="Calibri" w:hAnsi="Verdana" w:cs="Arial"/>
                <w:lang w:eastAsia="es-ES_tradnl"/>
              </w:rPr>
              <w:t>P20250211001295</w:t>
            </w:r>
          </w:p>
        </w:tc>
      </w:tr>
    </w:tbl>
    <w:p w14:paraId="25069243" w14:textId="77777777" w:rsidR="00BE6F9D" w:rsidRPr="00470CF3" w:rsidRDefault="00BE6F9D" w:rsidP="00BE6F9D">
      <w:pPr>
        <w:spacing w:after="0" w:line="240" w:lineRule="auto"/>
        <w:jc w:val="both"/>
        <w:rPr>
          <w:rFonts w:ascii="Verdana" w:eastAsia="Calibri" w:hAnsi="Verdana" w:cs="Arial"/>
          <w:highlight w:val="cyan"/>
          <w:lang w:val="es-ES_tradnl" w:eastAsia="es-ES_tradnl"/>
        </w:rPr>
      </w:pPr>
    </w:p>
    <w:p w14:paraId="0825D78E" w14:textId="77777777" w:rsidR="00BE6F9D" w:rsidRPr="00470CF3" w:rsidRDefault="00BE6F9D" w:rsidP="00BE6F9D">
      <w:pPr>
        <w:spacing w:after="0" w:line="240" w:lineRule="auto"/>
        <w:jc w:val="both"/>
        <w:rPr>
          <w:rFonts w:ascii="Verdana" w:eastAsia="Calibri" w:hAnsi="Verdana" w:cs="Arial"/>
          <w:highlight w:val="cyan"/>
          <w:lang w:val="es-ES_tradnl" w:eastAsia="es-ES_tradnl"/>
        </w:rPr>
      </w:pPr>
    </w:p>
    <w:p w14:paraId="2ECB1371" w14:textId="77777777" w:rsidR="00BE6F9D" w:rsidRPr="00470CF3" w:rsidRDefault="00BE6F9D" w:rsidP="00BE6F9D">
      <w:pPr>
        <w:spacing w:after="0" w:line="276" w:lineRule="auto"/>
        <w:jc w:val="both"/>
        <w:rPr>
          <w:rFonts w:ascii="Verdana" w:eastAsia="Calibri" w:hAnsi="Verdana" w:cs="Arial"/>
          <w:lang w:val="es-ES" w:eastAsia="es-ES"/>
        </w:rPr>
      </w:pPr>
      <w:r w:rsidRPr="00470CF3">
        <w:rPr>
          <w:rFonts w:ascii="Verdana" w:eastAsia="Calibri" w:hAnsi="Verdana" w:cs="Arial"/>
          <w:lang w:val="es-ES" w:eastAsia="es-ES"/>
        </w:rPr>
        <w:t xml:space="preserve">Estimado señor </w:t>
      </w:r>
      <w:r w:rsidR="009863B0" w:rsidRPr="00470CF3">
        <w:rPr>
          <w:rFonts w:ascii="Verdana" w:eastAsia="Calibri" w:hAnsi="Verdana" w:cs="Arial"/>
          <w:lang w:val="es-ES" w:eastAsia="es-ES"/>
        </w:rPr>
        <w:t>Cotacio</w:t>
      </w:r>
      <w:r w:rsidRPr="00470CF3">
        <w:rPr>
          <w:rFonts w:ascii="Verdana" w:eastAsia="Calibri" w:hAnsi="Verdana" w:cs="Arial"/>
          <w:lang w:val="es-ES" w:eastAsia="es-ES"/>
        </w:rPr>
        <w:t>;</w:t>
      </w:r>
    </w:p>
    <w:p w14:paraId="3FB59A03" w14:textId="77777777" w:rsidR="00BE6F9D" w:rsidRPr="00470CF3" w:rsidRDefault="00BE6F9D" w:rsidP="00047B09">
      <w:pPr>
        <w:spacing w:after="0" w:line="276" w:lineRule="auto"/>
        <w:jc w:val="both"/>
        <w:rPr>
          <w:rStyle w:val="Hipervnculo"/>
          <w:rFonts w:ascii="Verdana" w:hAnsi="Verdana" w:cs="Arial"/>
          <w:highlight w:val="cyan"/>
        </w:rPr>
      </w:pPr>
    </w:p>
    <w:p w14:paraId="34E23544" w14:textId="77777777" w:rsidR="00BE6F9D" w:rsidRPr="00470CF3" w:rsidRDefault="00BE6F9D" w:rsidP="00BE6F9D">
      <w:pPr>
        <w:spacing w:after="0" w:line="276" w:lineRule="auto"/>
        <w:jc w:val="both"/>
        <w:rPr>
          <w:rFonts w:ascii="Verdana" w:eastAsia="Calibri" w:hAnsi="Verdana" w:cs="Arial"/>
          <w:lang w:val="es-ES" w:eastAsia="es-ES"/>
        </w:rPr>
      </w:pPr>
      <w:r w:rsidRPr="00470CF3">
        <w:rPr>
          <w:rFonts w:ascii="Verdana" w:eastAsia="Calibri" w:hAnsi="Verdana" w:cs="Arial"/>
          <w:lang w:val="es-ES" w:eastAsia="es-ES"/>
        </w:rPr>
        <w:t>En ejercicio de la competencia otorgada por los artículos 3, numeral 5º, y 11, numeral 8º, del Decreto Ley 4170 de 2011,</w:t>
      </w:r>
      <w:r w:rsidRPr="00470CF3">
        <w:rPr>
          <w:rFonts w:ascii="Verdana" w:eastAsia="Arial MT" w:hAnsi="Verdana" w:cs="Arial"/>
          <w:lang w:val="es-ES" w:eastAsia="es-ES"/>
        </w:rPr>
        <w:t xml:space="preserve"> </w:t>
      </w:r>
      <w:r w:rsidRPr="00470CF3">
        <w:rPr>
          <w:rFonts w:ascii="Verdana" w:hAnsi="Verdana" w:cs="Arial"/>
        </w:rPr>
        <w:t xml:space="preserve">así como lo establecido en el artículo 4 de la Resolución 1707 de 2018 expedida por esta Entidad, </w:t>
      </w:r>
      <w:r w:rsidRPr="00470CF3">
        <w:rPr>
          <w:rFonts w:ascii="Verdana" w:eastAsia="Calibri" w:hAnsi="Verdana" w:cs="Arial"/>
          <w:lang w:val="es-ES" w:eastAsia="es-ES"/>
        </w:rPr>
        <w:t xml:space="preserve">la Agencia Nacional de Contratación Pública – Colombia Compra Eficiente– responde su solicitud, </w:t>
      </w:r>
      <w:r w:rsidR="002316DE" w:rsidRPr="00470CF3">
        <w:rPr>
          <w:rFonts w:ascii="Verdana" w:eastAsia="Calibri" w:hAnsi="Verdana" w:cs="Arial"/>
          <w:lang w:val="es-ES" w:eastAsia="es-ES"/>
        </w:rPr>
        <w:t>d</w:t>
      </w:r>
      <w:r w:rsidRPr="00470CF3">
        <w:rPr>
          <w:rFonts w:ascii="Verdana" w:eastAsia="Calibri" w:hAnsi="Verdana" w:cs="Arial"/>
          <w:lang w:val="es-ES" w:eastAsia="es-ES"/>
        </w:rPr>
        <w:t xml:space="preserve">el </w:t>
      </w:r>
      <w:r w:rsidR="00124414" w:rsidRPr="00470CF3">
        <w:rPr>
          <w:rFonts w:ascii="Verdana" w:eastAsia="Calibri" w:hAnsi="Verdana" w:cs="Arial"/>
          <w:lang w:val="es-ES" w:eastAsia="es-ES"/>
        </w:rPr>
        <w:t>11 de febrero del 2025</w:t>
      </w:r>
      <w:r w:rsidRPr="00470CF3">
        <w:rPr>
          <w:rFonts w:ascii="Verdana" w:eastAsia="Calibri" w:hAnsi="Verdana" w:cs="Arial"/>
          <w:lang w:val="es-ES" w:eastAsia="es-ES"/>
        </w:rPr>
        <w:t xml:space="preserve">, en la cual manifiesta lo siguiente: </w:t>
      </w:r>
    </w:p>
    <w:p w14:paraId="652232D0" w14:textId="77777777" w:rsidR="00BE6F9D" w:rsidRPr="00470CF3" w:rsidRDefault="00BE6F9D" w:rsidP="00BE6F9D">
      <w:pPr>
        <w:spacing w:after="0" w:line="276" w:lineRule="auto"/>
        <w:jc w:val="both"/>
        <w:rPr>
          <w:rFonts w:ascii="Verdana" w:eastAsia="Calibri" w:hAnsi="Verdana" w:cs="Arial"/>
          <w:highlight w:val="cyan"/>
          <w:lang w:val="es-ES" w:eastAsia="es-ES"/>
        </w:rPr>
      </w:pPr>
    </w:p>
    <w:p w14:paraId="6C044FD8" w14:textId="77777777" w:rsidR="00BE6F9D" w:rsidRPr="00470CF3" w:rsidRDefault="00BE6F9D" w:rsidP="00BE6F9D">
      <w:pPr>
        <w:spacing w:after="0" w:line="240" w:lineRule="auto"/>
        <w:ind w:left="709" w:right="709"/>
        <w:jc w:val="both"/>
        <w:rPr>
          <w:rFonts w:ascii="Verdana" w:eastAsia="Century Gothic" w:hAnsi="Verdana" w:cs="Arial"/>
          <w:sz w:val="20"/>
          <w:szCs w:val="20"/>
        </w:rPr>
      </w:pPr>
      <w:r w:rsidRPr="00470CF3">
        <w:rPr>
          <w:rFonts w:ascii="Verdana" w:eastAsia="Century Gothic" w:hAnsi="Verdana" w:cs="Arial"/>
          <w:sz w:val="20"/>
          <w:szCs w:val="20"/>
        </w:rPr>
        <w:t>“[…]</w:t>
      </w:r>
      <w:r w:rsidRPr="00470CF3">
        <w:rPr>
          <w:rFonts w:ascii="Verdana" w:hAnsi="Verdana" w:cs="Arial"/>
          <w:sz w:val="20"/>
          <w:szCs w:val="20"/>
        </w:rPr>
        <w:t xml:space="preserve"> ¿</w:t>
      </w:r>
      <w:r w:rsidR="008006F2" w:rsidRPr="00470CF3">
        <w:rPr>
          <w:rFonts w:ascii="Verdana" w:hAnsi="Verdana" w:cs="Arial"/>
          <w:sz w:val="20"/>
          <w:szCs w:val="20"/>
        </w:rPr>
        <w:t>Se puede acreditar la calidad de emprendimientos y empresas de mujeres, cuando las accionistas de la empresa son mujeres menores de edad</w:t>
      </w:r>
      <w:r w:rsidRPr="00470CF3">
        <w:rPr>
          <w:rFonts w:ascii="Verdana" w:hAnsi="Verdana" w:cs="Arial"/>
          <w:sz w:val="20"/>
          <w:szCs w:val="20"/>
        </w:rPr>
        <w:t xml:space="preserve">? </w:t>
      </w:r>
      <w:r w:rsidRPr="00470CF3">
        <w:rPr>
          <w:rFonts w:ascii="Verdana" w:eastAsia="Century Gothic" w:hAnsi="Verdana" w:cs="Arial"/>
          <w:sz w:val="20"/>
          <w:szCs w:val="20"/>
        </w:rPr>
        <w:t>[…]”</w:t>
      </w:r>
    </w:p>
    <w:p w14:paraId="7C77FC17" w14:textId="77777777" w:rsidR="00BE6F9D" w:rsidRPr="00470CF3" w:rsidRDefault="00BE6F9D" w:rsidP="00047B09">
      <w:pPr>
        <w:spacing w:after="0" w:line="276" w:lineRule="auto"/>
        <w:jc w:val="both"/>
        <w:rPr>
          <w:rFonts w:ascii="Verdana" w:hAnsi="Verdana" w:cs="Arial"/>
          <w:highlight w:val="cyan"/>
          <w:lang w:val="es-ES"/>
        </w:rPr>
      </w:pPr>
    </w:p>
    <w:p w14:paraId="220EEA7B" w14:textId="77777777" w:rsidR="00BE6F9D" w:rsidRPr="00470CF3" w:rsidRDefault="00BE6F9D" w:rsidP="00BE6F9D">
      <w:pPr>
        <w:spacing w:after="120" w:line="276" w:lineRule="auto"/>
        <w:ind w:firstLine="709"/>
        <w:jc w:val="both"/>
        <w:rPr>
          <w:rFonts w:ascii="Verdana" w:eastAsia="Calibri" w:hAnsi="Verdana" w:cs="Arial"/>
          <w:color w:val="000000"/>
          <w:lang w:val="es-ES_tradnl" w:eastAsia="es-ES_tradnl"/>
        </w:rPr>
      </w:pPr>
      <w:r w:rsidRPr="00470CF3">
        <w:rPr>
          <w:rFonts w:ascii="Verdana" w:eastAsia="Calibri" w:hAnsi="Verdana" w:cs="Arial"/>
          <w:color w:val="000000"/>
          <w:lang w:val="es-ES" w:eastAsia="es-ES"/>
        </w:rPr>
        <w:lastRenderedPageBreak/>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3146285B" w14:textId="77777777" w:rsidR="00BE6F9D" w:rsidRPr="00470CF3" w:rsidRDefault="00BE6F9D" w:rsidP="00BE6F9D">
      <w:pPr>
        <w:spacing w:after="0" w:line="276" w:lineRule="auto"/>
        <w:ind w:firstLine="709"/>
        <w:jc w:val="both"/>
        <w:rPr>
          <w:rFonts w:ascii="Verdana" w:eastAsia="Calibri" w:hAnsi="Verdana" w:cs="Arial"/>
          <w:color w:val="000000"/>
          <w:lang w:val="es-ES" w:eastAsia="es-ES"/>
        </w:rPr>
      </w:pPr>
      <w:r w:rsidRPr="00470CF3">
        <w:rPr>
          <w:rFonts w:ascii="Verdana" w:eastAsia="Calibri" w:hAnsi="Verdana" w:cs="Arial"/>
          <w:color w:val="000000"/>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B870352" w14:textId="77777777" w:rsidR="00BE6F9D" w:rsidRPr="00470CF3" w:rsidRDefault="00BE6F9D" w:rsidP="00BE6F9D">
      <w:pPr>
        <w:spacing w:after="0"/>
        <w:jc w:val="both"/>
        <w:rPr>
          <w:rStyle w:val="Hipervnculo"/>
          <w:rFonts w:ascii="Verdana" w:hAnsi="Verdana"/>
          <w:highlight w:val="cyan"/>
          <w:lang w:val="es-ES"/>
        </w:rPr>
      </w:pPr>
    </w:p>
    <w:p w14:paraId="35975FF1" w14:textId="77777777" w:rsidR="00BE6F9D" w:rsidRPr="00470CF3" w:rsidRDefault="00BE6F9D" w:rsidP="00BE6F9D">
      <w:pPr>
        <w:pStyle w:val="Prrafodelista"/>
        <w:numPr>
          <w:ilvl w:val="0"/>
          <w:numId w:val="16"/>
        </w:numPr>
        <w:tabs>
          <w:tab w:val="left" w:pos="142"/>
          <w:tab w:val="left" w:pos="284"/>
        </w:tabs>
        <w:spacing w:after="0" w:line="276" w:lineRule="auto"/>
        <w:ind w:left="0" w:firstLine="0"/>
        <w:jc w:val="both"/>
        <w:rPr>
          <w:rFonts w:ascii="Verdana" w:eastAsia="Century Gothic" w:hAnsi="Verdana" w:cs="Arial"/>
          <w:b/>
          <w:bCs/>
        </w:rPr>
      </w:pPr>
      <w:r w:rsidRPr="00470CF3">
        <w:rPr>
          <w:rFonts w:ascii="Verdana" w:eastAsia="Century Gothic" w:hAnsi="Verdana" w:cs="Arial"/>
          <w:b/>
          <w:bCs/>
        </w:rPr>
        <w:t>Problema planteado:</w:t>
      </w:r>
    </w:p>
    <w:p w14:paraId="0B4883D6" w14:textId="77777777" w:rsidR="00BE6F9D" w:rsidRPr="00470CF3" w:rsidRDefault="00BE6F9D" w:rsidP="00BE6F9D">
      <w:pPr>
        <w:spacing w:after="0"/>
        <w:jc w:val="both"/>
        <w:rPr>
          <w:rStyle w:val="Hipervnculo"/>
          <w:rFonts w:ascii="Verdana" w:hAnsi="Verdana" w:cs="Arial"/>
          <w:highlight w:val="cyan"/>
        </w:rPr>
      </w:pPr>
    </w:p>
    <w:p w14:paraId="77F64FB4" w14:textId="77777777" w:rsidR="000743A4" w:rsidRPr="00470CF3" w:rsidRDefault="00BE6F9D" w:rsidP="00BE6F9D">
      <w:pPr>
        <w:spacing w:after="0" w:line="276" w:lineRule="auto"/>
        <w:jc w:val="both"/>
        <w:rPr>
          <w:rFonts w:ascii="Verdana" w:eastAsia="Century Gothic" w:hAnsi="Verdana" w:cs="Arial"/>
        </w:rPr>
      </w:pPr>
      <w:r w:rsidRPr="00470CF3">
        <w:rPr>
          <w:rFonts w:ascii="Verdana" w:eastAsia="Century Gothic" w:hAnsi="Verdana" w:cs="Arial"/>
        </w:rPr>
        <w:t>De acuerdo con el contenido de su solicitud, esta Agencia resolverá el siguiente problema jurídico:</w:t>
      </w:r>
      <w:r w:rsidR="00703A74" w:rsidRPr="00470CF3">
        <w:rPr>
          <w:rFonts w:ascii="Verdana" w:eastAsia="Century Gothic" w:hAnsi="Verdana" w:cs="Arial"/>
        </w:rPr>
        <w:t xml:space="preserve"> </w:t>
      </w:r>
      <w:r w:rsidR="00FC7A99" w:rsidRPr="00470CF3">
        <w:rPr>
          <w:rFonts w:ascii="Verdana" w:eastAsia="Calibri" w:hAnsi="Verdana" w:cs="Arial"/>
          <w:lang w:val="es-ES" w:eastAsia="es-ES_tradnl"/>
        </w:rPr>
        <w:t>¿</w:t>
      </w:r>
      <w:r w:rsidR="00703A74" w:rsidRPr="00470CF3">
        <w:rPr>
          <w:rFonts w:ascii="Verdana" w:eastAsia="Calibri" w:hAnsi="Verdana" w:cs="Arial"/>
          <w:lang w:val="es-ES" w:eastAsia="es-ES_tradnl"/>
        </w:rPr>
        <w:t xml:space="preserve">Puede </w:t>
      </w:r>
      <w:r w:rsidR="00703A74" w:rsidRPr="00470CF3">
        <w:rPr>
          <w:rFonts w:ascii="Verdana" w:eastAsia="Century Gothic" w:hAnsi="Verdana" w:cs="Century Gothic"/>
        </w:rPr>
        <w:t xml:space="preserve">acreditarse la condición de </w:t>
      </w:r>
      <w:r w:rsidR="00DF4798" w:rsidRPr="00470CF3">
        <w:rPr>
          <w:rFonts w:ascii="Verdana" w:eastAsia="Century Gothic" w:hAnsi="Verdana" w:cs="Century Gothic"/>
        </w:rPr>
        <w:t>E</w:t>
      </w:r>
      <w:r w:rsidR="00703A74" w:rsidRPr="00470CF3">
        <w:rPr>
          <w:rFonts w:ascii="Verdana" w:eastAsia="Century Gothic" w:hAnsi="Verdana" w:cs="Century Gothic"/>
        </w:rPr>
        <w:t>mprendimiento</w:t>
      </w:r>
      <w:r w:rsidR="003807CB" w:rsidRPr="00470CF3">
        <w:rPr>
          <w:rFonts w:ascii="Verdana" w:eastAsia="Century Gothic" w:hAnsi="Verdana" w:cs="Century Gothic"/>
        </w:rPr>
        <w:t>s</w:t>
      </w:r>
      <w:r w:rsidR="00703A74" w:rsidRPr="00470CF3">
        <w:rPr>
          <w:rFonts w:ascii="Verdana" w:eastAsia="Century Gothic" w:hAnsi="Verdana" w:cs="Century Gothic"/>
        </w:rPr>
        <w:t xml:space="preserve"> y </w:t>
      </w:r>
      <w:r w:rsidR="00DF4798" w:rsidRPr="00470CF3">
        <w:rPr>
          <w:rFonts w:ascii="Verdana" w:eastAsia="Century Gothic" w:hAnsi="Verdana" w:cs="Century Gothic"/>
        </w:rPr>
        <w:t>E</w:t>
      </w:r>
      <w:r w:rsidR="00703A74" w:rsidRPr="00470CF3">
        <w:rPr>
          <w:rFonts w:ascii="Verdana" w:eastAsia="Century Gothic" w:hAnsi="Verdana" w:cs="Century Gothic"/>
        </w:rPr>
        <w:t>mpresa</w:t>
      </w:r>
      <w:r w:rsidR="003807CB" w:rsidRPr="00470CF3">
        <w:rPr>
          <w:rFonts w:ascii="Verdana" w:eastAsia="Century Gothic" w:hAnsi="Verdana" w:cs="Century Gothic"/>
        </w:rPr>
        <w:t>s</w:t>
      </w:r>
      <w:r w:rsidR="00703A74" w:rsidRPr="00470CF3">
        <w:rPr>
          <w:rFonts w:ascii="Verdana" w:eastAsia="Century Gothic" w:hAnsi="Verdana" w:cs="Century Gothic"/>
        </w:rPr>
        <w:t xml:space="preserve"> de </w:t>
      </w:r>
      <w:r w:rsidR="00DF4798" w:rsidRPr="00470CF3">
        <w:rPr>
          <w:rFonts w:ascii="Verdana" w:eastAsia="Century Gothic" w:hAnsi="Verdana" w:cs="Century Gothic"/>
        </w:rPr>
        <w:t>M</w:t>
      </w:r>
      <w:r w:rsidR="00703A74" w:rsidRPr="00470CF3">
        <w:rPr>
          <w:rFonts w:ascii="Verdana" w:eastAsia="Century Gothic" w:hAnsi="Verdana" w:cs="Century Gothic"/>
        </w:rPr>
        <w:t xml:space="preserve">ujeres conforme </w:t>
      </w:r>
      <w:r w:rsidR="00E22D87" w:rsidRPr="00470CF3">
        <w:rPr>
          <w:rFonts w:ascii="Verdana" w:eastAsia="Century Gothic" w:hAnsi="Verdana" w:cs="Century Gothic"/>
        </w:rPr>
        <w:t>a lo dispuesto en el</w:t>
      </w:r>
      <w:r w:rsidR="00703A74" w:rsidRPr="00470CF3">
        <w:rPr>
          <w:rFonts w:ascii="Verdana" w:eastAsia="Century Gothic" w:hAnsi="Verdana" w:cs="Century Gothic"/>
        </w:rPr>
        <w:t xml:space="preserve"> numeral primero del artículo </w:t>
      </w:r>
      <w:r w:rsidR="00703A74" w:rsidRPr="00470CF3">
        <w:rPr>
          <w:rFonts w:ascii="Verdana" w:eastAsia="Calibri" w:hAnsi="Verdana" w:cs="Arial"/>
          <w:lang w:val="es-ES" w:eastAsia="es-ES_tradnl"/>
        </w:rPr>
        <w:t xml:space="preserve">2.2.1.2.4.2.14 del Decreto 1082 de 2015 cuando una </w:t>
      </w:r>
      <w:r w:rsidR="00974362" w:rsidRPr="00470CF3">
        <w:rPr>
          <w:rFonts w:ascii="Verdana" w:eastAsia="Calibri" w:hAnsi="Verdana" w:cs="Arial"/>
          <w:lang w:val="es-ES" w:eastAsia="es-ES_tradnl"/>
        </w:rPr>
        <w:t>o algunas de las accionistas son mujeres menores de edad?</w:t>
      </w:r>
    </w:p>
    <w:p w14:paraId="3F5C979D" w14:textId="77777777" w:rsidR="00BE6F9D" w:rsidRPr="00470CF3" w:rsidRDefault="00BE6F9D" w:rsidP="00BE6F9D">
      <w:pPr>
        <w:spacing w:after="0" w:line="276" w:lineRule="auto"/>
        <w:jc w:val="both"/>
        <w:rPr>
          <w:rStyle w:val="Hipervnculo"/>
          <w:rFonts w:ascii="Verdana" w:hAnsi="Verdana" w:cs="Arial"/>
          <w:lang w:val="es-ES"/>
        </w:rPr>
      </w:pPr>
    </w:p>
    <w:p w14:paraId="5E31392D" w14:textId="77777777" w:rsidR="00BE6F9D" w:rsidRPr="00470CF3" w:rsidRDefault="00BE6F9D" w:rsidP="00BE6F9D">
      <w:pPr>
        <w:pStyle w:val="Prrafodelista"/>
        <w:widowControl w:val="0"/>
        <w:numPr>
          <w:ilvl w:val="0"/>
          <w:numId w:val="16"/>
        </w:numPr>
        <w:autoSpaceDE w:val="0"/>
        <w:autoSpaceDN w:val="0"/>
        <w:spacing w:before="1" w:after="0" w:line="240" w:lineRule="auto"/>
        <w:ind w:left="360"/>
        <w:jc w:val="both"/>
        <w:outlineLvl w:val="0"/>
        <w:rPr>
          <w:rFonts w:ascii="Verdana" w:eastAsia="Arial" w:hAnsi="Verdana" w:cs="Arial"/>
          <w:b/>
          <w:bCs/>
        </w:rPr>
      </w:pPr>
      <w:r w:rsidRPr="00470CF3">
        <w:rPr>
          <w:rFonts w:ascii="Verdana" w:eastAsia="Arial" w:hAnsi="Verdana" w:cs="Arial"/>
          <w:b/>
          <w:bCs/>
        </w:rPr>
        <w:t>Respuesta:</w:t>
      </w:r>
    </w:p>
    <w:p w14:paraId="216B56B4" w14:textId="77777777" w:rsidR="00BE6F9D" w:rsidRPr="00470CF3" w:rsidRDefault="00BE6F9D" w:rsidP="00BE6F9D">
      <w:pPr>
        <w:spacing w:after="0"/>
        <w:rPr>
          <w:rFonts w:ascii="Verdana" w:eastAsia="Aptos" w:hAnsi="Verdana" w:cs="Arial"/>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BE6F9D" w:rsidRPr="00470CF3" w14:paraId="4DC772F5" w14:textId="77777777" w:rsidTr="00B75394">
        <w:trPr>
          <w:trHeight w:val="1908"/>
        </w:trPr>
        <w:tc>
          <w:tcPr>
            <w:tcW w:w="8828" w:type="dxa"/>
            <w:shd w:val="clear" w:color="auto" w:fill="auto"/>
          </w:tcPr>
          <w:p w14:paraId="54063EF0" w14:textId="3F62F07D" w:rsidR="00BE6F9D" w:rsidRPr="00470CF3" w:rsidRDefault="00BE6F9D" w:rsidP="005667F9">
            <w:pPr>
              <w:spacing w:after="120" w:line="276" w:lineRule="auto"/>
              <w:jc w:val="both"/>
              <w:rPr>
                <w:rFonts w:ascii="Verdana" w:eastAsia="Calibri" w:hAnsi="Verdana" w:cs="Arial"/>
                <w:lang w:val="es-ES"/>
              </w:rPr>
            </w:pPr>
            <w:bookmarkStart w:id="1" w:name="_Hlk171067516"/>
            <w:r w:rsidRPr="00470CF3">
              <w:rPr>
                <w:rFonts w:ascii="Verdana" w:eastAsia="Calibri" w:hAnsi="Verdana" w:cs="Arial"/>
                <w:lang w:val="es-ES"/>
              </w:rPr>
              <w:t>En respuesta al problema planteado</w:t>
            </w:r>
            <w:r w:rsidR="00B85631">
              <w:rPr>
                <w:rFonts w:ascii="Verdana" w:eastAsia="Calibri" w:hAnsi="Verdana" w:cs="Arial"/>
                <w:lang w:val="es-ES"/>
              </w:rPr>
              <w:t>,</w:t>
            </w:r>
            <w:r w:rsidRPr="00470CF3">
              <w:rPr>
                <w:rFonts w:ascii="Verdana" w:eastAsia="Calibri" w:hAnsi="Verdana" w:cs="Arial"/>
                <w:lang w:val="es-ES"/>
              </w:rPr>
              <w:t xml:space="preserve"> esta Subdirección manifiesta</w:t>
            </w:r>
            <w:r w:rsidR="00012AF6" w:rsidRPr="00470CF3">
              <w:rPr>
                <w:rFonts w:ascii="Verdana" w:eastAsia="Calibri" w:hAnsi="Verdana" w:cs="Arial"/>
                <w:lang w:val="es-ES"/>
              </w:rPr>
              <w:t xml:space="preserve"> lo siguiente</w:t>
            </w:r>
            <w:r w:rsidRPr="00470CF3">
              <w:rPr>
                <w:rFonts w:ascii="Verdana" w:eastAsia="Calibri" w:hAnsi="Verdana" w:cs="Arial"/>
                <w:lang w:val="es-ES"/>
              </w:rPr>
              <w:t>:</w:t>
            </w:r>
          </w:p>
          <w:p w14:paraId="5C6332E0" w14:textId="77777777" w:rsidR="00B907FD" w:rsidRPr="00470CF3" w:rsidRDefault="00B907FD" w:rsidP="00B907FD">
            <w:pPr>
              <w:spacing w:after="120" w:line="276" w:lineRule="auto"/>
              <w:jc w:val="both"/>
              <w:rPr>
                <w:rFonts w:ascii="Verdana" w:eastAsia="Calibri" w:hAnsi="Verdana" w:cs="Arial"/>
                <w:lang w:val="es-ES_tradnl" w:eastAsia="es-ES_tradnl"/>
              </w:rPr>
            </w:pPr>
            <w:r w:rsidRPr="00470CF3">
              <w:rPr>
                <w:rFonts w:ascii="Verdana" w:eastAsia="Calibri" w:hAnsi="Verdana" w:cs="Arial"/>
                <w:lang w:val="es-ES" w:eastAsia="es-ES_tradnl"/>
              </w:rPr>
              <w:t>El artículo 2.2.1.2.4.2.14 del Decreto 1082 de 2015 – modificado por el decreto 1860 de 2021 – establece las condiciones y requisitos en atención a los cuales se definen los emprendimientos y empresas de mujeres, a las que les aplican los criterios diferenciales. Para estos efectos, cada uno de los cuatro (4) numerales de la norma establecen unas condiciones alternativas que definen los emprendimientos y empresas de mujeres.</w:t>
            </w:r>
            <w:r w:rsidRPr="00470CF3">
              <w:rPr>
                <w:rFonts w:ascii="Verdana" w:eastAsia="Calibri" w:hAnsi="Verdana" w:cs="Arial"/>
                <w:lang w:val="es-ES_tradnl" w:eastAsia="es-ES_tradnl"/>
              </w:rPr>
              <w:t xml:space="preserve"> </w:t>
            </w:r>
          </w:p>
          <w:p w14:paraId="6E309EBE" w14:textId="7C83111A" w:rsidR="0045614A" w:rsidRPr="00470CF3" w:rsidRDefault="0045614A" w:rsidP="0045614A">
            <w:pPr>
              <w:spacing w:after="120" w:line="276" w:lineRule="auto"/>
              <w:ind w:firstLine="708"/>
              <w:jc w:val="both"/>
              <w:rPr>
                <w:rFonts w:ascii="Verdana" w:eastAsia="Calibri" w:hAnsi="Verdana" w:cs="Arial"/>
                <w:lang w:val="es-ES_tradnl" w:eastAsia="es-ES_tradnl"/>
              </w:rPr>
            </w:pPr>
            <w:r w:rsidRPr="00470CF3">
              <w:rPr>
                <w:rFonts w:ascii="Verdana" w:eastAsia="Calibri" w:hAnsi="Verdana" w:cs="Arial"/>
                <w:lang w:val="es-ES_tradnl" w:eastAsia="es-ES_tradnl"/>
              </w:rPr>
              <w:lastRenderedPageBreak/>
              <w:t>Particularmente, el numeral primero del referido numeral establece que se considera emprendimientos y empresas de mujeres “</w:t>
            </w:r>
            <w:r w:rsidRPr="00470CF3">
              <w:rPr>
                <w:rFonts w:ascii="Verdana" w:eastAsia="Times New Roman" w:hAnsi="Verdana" w:cs="Arial"/>
                <w:i/>
                <w:iCs/>
                <w:lang w:eastAsia="es-CO"/>
              </w:rPr>
              <w:t>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w:t>
            </w:r>
            <w:r w:rsidRPr="00470CF3">
              <w:rPr>
                <w:rFonts w:ascii="Verdana" w:eastAsia="Calibri" w:hAnsi="Verdana" w:cs="Arial"/>
                <w:lang w:val="es-ES_tradnl" w:eastAsia="es-ES_tradnl"/>
              </w:rPr>
              <w:t xml:space="preserve">” </w:t>
            </w:r>
            <w:r w:rsidR="0019451B" w:rsidRPr="00470CF3">
              <w:rPr>
                <w:rFonts w:ascii="Verdana" w:eastAsia="Calibri" w:hAnsi="Verdana" w:cs="Arial"/>
                <w:lang w:val="es-ES_tradnl" w:eastAsia="es-ES_tradnl"/>
              </w:rPr>
              <w:t>Este supuesto</w:t>
            </w:r>
            <w:r w:rsidR="00D46761" w:rsidRPr="00470CF3">
              <w:rPr>
                <w:rFonts w:ascii="Verdana" w:eastAsia="Calibri" w:hAnsi="Verdana" w:cs="Arial"/>
                <w:lang w:val="es-ES_tradnl" w:eastAsia="es-ES_tradnl"/>
              </w:rPr>
              <w:t xml:space="preserve">, se </w:t>
            </w:r>
            <w:r w:rsidR="00772557" w:rsidRPr="00470CF3">
              <w:rPr>
                <w:rFonts w:ascii="Verdana" w:eastAsia="Calibri" w:hAnsi="Verdana" w:cs="Arial"/>
                <w:lang w:val="es-ES_tradnl" w:eastAsia="es-ES_tradnl"/>
              </w:rPr>
              <w:t>acreditar</w:t>
            </w:r>
            <w:r w:rsidR="009B4123" w:rsidRPr="00470CF3">
              <w:rPr>
                <w:rFonts w:ascii="Verdana" w:eastAsia="Calibri" w:hAnsi="Verdana" w:cs="Arial"/>
                <w:lang w:val="es-ES_tradnl" w:eastAsia="es-ES_tradnl"/>
              </w:rPr>
              <w:t>á</w:t>
            </w:r>
            <w:r w:rsidR="00772557" w:rsidRPr="00470CF3">
              <w:rPr>
                <w:rFonts w:ascii="Verdana" w:eastAsia="Calibri" w:hAnsi="Verdana" w:cs="Arial"/>
                <w:lang w:val="es-ES_tradnl" w:eastAsia="es-ES_tradnl"/>
              </w:rPr>
              <w:t>, con</w:t>
            </w:r>
            <w:r w:rsidR="0019451B" w:rsidRPr="00470CF3">
              <w:rPr>
                <w:rFonts w:ascii="Verdana" w:eastAsia="Calibri" w:hAnsi="Verdana" w:cs="Arial"/>
                <w:lang w:val="es-ES_tradnl" w:eastAsia="es-ES_tradnl"/>
              </w:rPr>
              <w:t xml:space="preserve"> una certificación expedida por el representante legal y el revisor fiscal, cuando exista </w:t>
            </w:r>
            <w:r w:rsidR="00772557" w:rsidRPr="00470CF3">
              <w:rPr>
                <w:rFonts w:ascii="Verdana" w:eastAsia="Calibri" w:hAnsi="Verdana" w:cs="Arial"/>
                <w:lang w:val="es-ES_tradnl" w:eastAsia="es-ES_tradnl"/>
              </w:rPr>
              <w:t xml:space="preserve">de acuerdo con </w:t>
            </w:r>
            <w:r w:rsidR="009B4123" w:rsidRPr="00470CF3">
              <w:rPr>
                <w:rFonts w:ascii="Verdana" w:eastAsia="Calibri" w:hAnsi="Verdana" w:cs="Arial"/>
                <w:lang w:val="es-ES_tradnl" w:eastAsia="es-ES_tradnl"/>
              </w:rPr>
              <w:t>los requerimientos</w:t>
            </w:r>
            <w:r w:rsidR="00772557" w:rsidRPr="00470CF3">
              <w:rPr>
                <w:rFonts w:ascii="Verdana" w:eastAsia="Calibri" w:hAnsi="Verdana" w:cs="Arial"/>
                <w:lang w:val="es-ES_tradnl" w:eastAsia="es-ES_tradnl"/>
              </w:rPr>
              <w:t xml:space="preserve"> de ley, o el contador, donde constante la distribución de los derechos de sociedad y el tiempo en el que las mujeres </w:t>
            </w:r>
            <w:r w:rsidR="009B4123" w:rsidRPr="00470CF3">
              <w:rPr>
                <w:rFonts w:ascii="Verdana" w:eastAsia="Calibri" w:hAnsi="Verdana" w:cs="Arial"/>
                <w:lang w:val="es-ES_tradnl" w:eastAsia="es-ES_tradnl"/>
              </w:rPr>
              <w:t>ha mantenido</w:t>
            </w:r>
            <w:r w:rsidR="00772557" w:rsidRPr="00470CF3">
              <w:rPr>
                <w:rFonts w:ascii="Verdana" w:eastAsia="Calibri" w:hAnsi="Verdana" w:cs="Arial"/>
                <w:lang w:val="es-ES_tradnl" w:eastAsia="es-ES_tradnl"/>
              </w:rPr>
              <w:t xml:space="preserve"> su participación. </w:t>
            </w:r>
          </w:p>
          <w:p w14:paraId="06711990" w14:textId="3DB0C7B1" w:rsidR="006A331A" w:rsidRDefault="006A331A" w:rsidP="607FDB73">
            <w:pPr>
              <w:spacing w:after="120" w:line="276" w:lineRule="auto"/>
              <w:ind w:firstLine="709"/>
              <w:jc w:val="both"/>
              <w:rPr>
                <w:rFonts w:ascii="Verdana" w:eastAsia="Calibri" w:hAnsi="Verdana" w:cs="Arial"/>
                <w:lang w:val="es-ES" w:eastAsia="es-ES"/>
              </w:rPr>
            </w:pPr>
            <w:r w:rsidRPr="607FDB73">
              <w:rPr>
                <w:rFonts w:ascii="Verdana" w:eastAsia="Calibri" w:hAnsi="Verdana" w:cs="Arial"/>
                <w:lang w:val="es-ES" w:eastAsia="es-ES"/>
              </w:rPr>
              <w:t xml:space="preserve">En atención a la pregunta planteada, debe señalarse que, de acuerdo con el artículo 98 del Código de Comercio, las sociedades legalmente constituidas conforman una persona </w:t>
            </w:r>
            <w:r w:rsidR="00891F81" w:rsidRPr="607FDB73">
              <w:rPr>
                <w:rFonts w:ascii="Verdana" w:eastAsia="Calibri" w:hAnsi="Verdana" w:cs="Arial"/>
                <w:lang w:val="es-ES" w:eastAsia="es-ES"/>
              </w:rPr>
              <w:t>jurídica</w:t>
            </w:r>
            <w:r w:rsidRPr="607FDB73">
              <w:rPr>
                <w:rFonts w:ascii="Verdana" w:eastAsia="Calibri" w:hAnsi="Verdana" w:cs="Arial"/>
                <w:lang w:val="es-ES" w:eastAsia="es-ES"/>
              </w:rPr>
              <w:t xml:space="preserve"> distinta de los socios o accionistas que la integran. En ese sentido, respecto al evento en su consulta, es necesario distinguir entre la persona </w:t>
            </w:r>
            <w:r w:rsidR="00047B09" w:rsidRPr="607FDB73">
              <w:rPr>
                <w:rFonts w:ascii="Verdana" w:eastAsia="Calibri" w:hAnsi="Verdana" w:cs="Arial"/>
                <w:lang w:val="es-ES" w:eastAsia="es-ES"/>
              </w:rPr>
              <w:t>jurídica</w:t>
            </w:r>
            <w:r w:rsidRPr="607FDB73">
              <w:rPr>
                <w:rFonts w:ascii="Verdana" w:eastAsia="Calibri" w:hAnsi="Verdana" w:cs="Arial"/>
                <w:lang w:val="es-ES" w:eastAsia="es-ES"/>
              </w:rPr>
              <w:t xml:space="preserve"> y los socios que hacen parte de ella. Por ello, en el marco de un proceso de contratación deberá determinarse la calidad de la persona que funge como proponente, pues si el oferente es persona </w:t>
            </w:r>
            <w:r w:rsidR="00047B09" w:rsidRPr="607FDB73">
              <w:rPr>
                <w:rFonts w:ascii="Verdana" w:eastAsia="Calibri" w:hAnsi="Verdana" w:cs="Arial"/>
                <w:lang w:val="es-ES" w:eastAsia="es-ES"/>
              </w:rPr>
              <w:t>jurídica</w:t>
            </w:r>
            <w:r w:rsidRPr="607FDB73">
              <w:rPr>
                <w:rFonts w:ascii="Verdana" w:eastAsia="Calibri" w:hAnsi="Verdana" w:cs="Arial"/>
                <w:lang w:val="es-ES" w:eastAsia="es-ES"/>
              </w:rPr>
              <w:t xml:space="preserve"> se deberá determinar si esta, como persona distinta de sus socios individualmente considerados, cumple con los requisitos exigidos no solo para participar en el proceso sino también para ser acreedor de los criterios establecidos.</w:t>
            </w:r>
          </w:p>
          <w:p w14:paraId="3BEE518D" w14:textId="2F54672D" w:rsidR="006A331A" w:rsidRDefault="006A331A" w:rsidP="006A331A">
            <w:pPr>
              <w:spacing w:after="120" w:line="276" w:lineRule="auto"/>
              <w:ind w:firstLine="709"/>
              <w:jc w:val="both"/>
              <w:rPr>
                <w:rFonts w:ascii="Verdana" w:eastAsia="Calibri" w:hAnsi="Verdana" w:cs="Arial"/>
                <w:lang w:val="es-ES_tradnl" w:eastAsia="es-ES_tradnl"/>
              </w:rPr>
            </w:pPr>
            <w:r>
              <w:rPr>
                <w:rFonts w:ascii="Verdana" w:eastAsia="Calibri" w:hAnsi="Verdana" w:cs="Arial"/>
              </w:rPr>
              <w:t xml:space="preserve">En sentido, independientemente de que la edad de los socios, accionistas o constituyentes, tratándose de un oferente que sea una persona </w:t>
            </w:r>
            <w:r w:rsidR="00047B09">
              <w:rPr>
                <w:rFonts w:ascii="Verdana" w:eastAsia="Calibri" w:hAnsi="Verdana" w:cs="Arial"/>
              </w:rPr>
              <w:t>jurídica</w:t>
            </w:r>
            <w:r>
              <w:rPr>
                <w:rFonts w:ascii="Verdana" w:eastAsia="Calibri" w:hAnsi="Verdana" w:cs="Arial"/>
              </w:rPr>
              <w:t xml:space="preserve">, para determinar si puede o no ser beneficiario de los criterios diferenciales a favor de las empresas y emprendimientos de mujeres, debe determinarse que la persona </w:t>
            </w:r>
            <w:r w:rsidR="00047B09">
              <w:rPr>
                <w:rFonts w:ascii="Verdana" w:eastAsia="Calibri" w:hAnsi="Verdana" w:cs="Arial"/>
              </w:rPr>
              <w:t>jurídica</w:t>
            </w:r>
            <w:r>
              <w:rPr>
                <w:rFonts w:ascii="Verdana" w:eastAsia="Calibri" w:hAnsi="Verdana" w:cs="Arial"/>
              </w:rPr>
              <w:t xml:space="preserve"> cumpla con los requisitos antes expuestos. Nótese que el numeral primero del artículo </w:t>
            </w:r>
            <w:r w:rsidRPr="00470CF3">
              <w:rPr>
                <w:rFonts w:ascii="Verdana" w:eastAsia="Calibri" w:hAnsi="Verdana" w:cs="Arial"/>
                <w:lang w:eastAsia="es-ES_tradnl"/>
              </w:rPr>
              <w:t>2.2.1.2.4.2.14.</w:t>
            </w:r>
            <w:r>
              <w:rPr>
                <w:rFonts w:ascii="Verdana" w:eastAsia="Calibri" w:hAnsi="Verdana" w:cs="Arial"/>
                <w:lang w:eastAsia="es-ES_tradnl"/>
              </w:rPr>
              <w:t xml:space="preserve"> del Decreto 1082 de 2015 no hace ninguna distinción en la calidad de los socios, diferente a que el porcentaje de participación de mujeres y d</w:t>
            </w:r>
            <w:r w:rsidRPr="00A05973">
              <w:rPr>
                <w:rFonts w:ascii="Verdana" w:eastAsia="Calibri" w:hAnsi="Verdana" w:cs="Arial"/>
                <w:lang w:eastAsia="es-ES_tradnl"/>
              </w:rPr>
              <w:t>onde no distingue el legislador, no le es dado hacerlo al intérprete</w:t>
            </w:r>
            <w:r>
              <w:rPr>
                <w:rFonts w:ascii="Verdana" w:eastAsia="Calibri" w:hAnsi="Verdana" w:cs="Arial"/>
                <w:lang w:eastAsia="es-ES_tradnl"/>
              </w:rPr>
              <w:t xml:space="preserve">. </w:t>
            </w:r>
          </w:p>
          <w:p w14:paraId="5EF3E5E5" w14:textId="446959F7" w:rsidR="00BE6F9D" w:rsidRPr="00470CF3" w:rsidRDefault="00A33303" w:rsidP="001A2BDD">
            <w:pPr>
              <w:spacing w:after="120" w:line="276" w:lineRule="auto"/>
              <w:ind w:firstLine="708"/>
              <w:jc w:val="both"/>
              <w:rPr>
                <w:rFonts w:ascii="Verdana" w:eastAsia="Calibri" w:hAnsi="Verdana" w:cs="Arial"/>
                <w:lang w:val="es-ES_tradnl" w:eastAsia="es-ES_tradnl"/>
              </w:rPr>
            </w:pPr>
            <w:r w:rsidRPr="00470CF3">
              <w:rPr>
                <w:rFonts w:ascii="Verdana" w:eastAsia="Calibri" w:hAnsi="Verdana" w:cs="Arial"/>
                <w:lang w:val="es-ES_tradnl" w:eastAsia="es-ES_tradnl"/>
              </w:rPr>
              <w:t xml:space="preserve">En línea con lo expuesto, y teniendo en consideración que </w:t>
            </w:r>
            <w:r w:rsidR="00EF2138" w:rsidRPr="00470CF3">
              <w:rPr>
                <w:rFonts w:ascii="Verdana" w:eastAsia="Calibri" w:hAnsi="Verdana" w:cs="Arial"/>
                <w:lang w:val="es-ES_tradnl" w:eastAsia="es-ES_tradnl"/>
              </w:rPr>
              <w:t>una de las</w:t>
            </w:r>
            <w:r w:rsidR="00A45B42" w:rsidRPr="00470CF3">
              <w:rPr>
                <w:rFonts w:ascii="Verdana" w:eastAsia="Calibri" w:hAnsi="Verdana" w:cs="Arial"/>
                <w:lang w:val="es-ES_tradnl" w:eastAsia="es-ES_tradnl"/>
              </w:rPr>
              <w:t xml:space="preserve"> finalidad</w:t>
            </w:r>
            <w:r w:rsidR="00EF2138" w:rsidRPr="00470CF3">
              <w:rPr>
                <w:rFonts w:ascii="Verdana" w:eastAsia="Calibri" w:hAnsi="Verdana" w:cs="Arial"/>
                <w:lang w:val="es-ES_tradnl" w:eastAsia="es-ES_tradnl"/>
              </w:rPr>
              <w:t>es</w:t>
            </w:r>
            <w:r w:rsidR="00A45B42" w:rsidRPr="00470CF3">
              <w:rPr>
                <w:rFonts w:ascii="Verdana" w:eastAsia="Calibri" w:hAnsi="Verdana" w:cs="Arial"/>
                <w:lang w:val="es-ES_tradnl" w:eastAsia="es-ES_tradnl"/>
              </w:rPr>
              <w:t xml:space="preserve"> de </w:t>
            </w:r>
            <w:r w:rsidR="00506169">
              <w:rPr>
                <w:rFonts w:ascii="Verdana" w:eastAsia="Calibri" w:hAnsi="Verdana" w:cs="Arial"/>
                <w:lang w:val="es-ES_tradnl" w:eastAsia="es-ES_tradnl"/>
              </w:rPr>
              <w:t>L</w:t>
            </w:r>
            <w:r w:rsidR="00A45B42" w:rsidRPr="00470CF3">
              <w:rPr>
                <w:rFonts w:ascii="Verdana" w:eastAsia="Calibri" w:hAnsi="Verdana" w:cs="Arial"/>
                <w:lang w:val="es-ES_tradnl" w:eastAsia="es-ES_tradnl"/>
              </w:rPr>
              <w:t xml:space="preserve">ey de </w:t>
            </w:r>
            <w:r w:rsidR="00506169">
              <w:rPr>
                <w:rFonts w:ascii="Verdana" w:eastAsia="Calibri" w:hAnsi="Verdana" w:cs="Arial"/>
                <w:lang w:val="es-ES_tradnl" w:eastAsia="es-ES_tradnl"/>
              </w:rPr>
              <w:t>E</w:t>
            </w:r>
            <w:r w:rsidR="00A45B42" w:rsidRPr="00470CF3">
              <w:rPr>
                <w:rFonts w:ascii="Verdana" w:eastAsia="Calibri" w:hAnsi="Verdana" w:cs="Arial"/>
                <w:lang w:val="es-ES_tradnl" w:eastAsia="es-ES_tradnl"/>
              </w:rPr>
              <w:t>mprendimien</w:t>
            </w:r>
            <w:r w:rsidR="008246FF" w:rsidRPr="00470CF3">
              <w:rPr>
                <w:rFonts w:ascii="Verdana" w:eastAsia="Calibri" w:hAnsi="Verdana" w:cs="Arial"/>
                <w:lang w:val="es-ES_tradnl" w:eastAsia="es-ES_tradnl"/>
              </w:rPr>
              <w:t xml:space="preserve">to </w:t>
            </w:r>
            <w:r w:rsidR="009E46F8" w:rsidRPr="00470CF3">
              <w:rPr>
                <w:rFonts w:ascii="Verdana" w:eastAsia="Calibri" w:hAnsi="Verdana" w:cs="Arial"/>
                <w:lang w:val="es-ES_tradnl" w:eastAsia="es-ES_tradnl"/>
              </w:rPr>
              <w:t>se centra en</w:t>
            </w:r>
            <w:r w:rsidR="008246FF" w:rsidRPr="00470CF3">
              <w:rPr>
                <w:rFonts w:ascii="Verdana" w:eastAsia="Calibri" w:hAnsi="Verdana" w:cs="Arial"/>
                <w:lang w:val="es-ES_tradnl" w:eastAsia="es-ES_tradnl"/>
              </w:rPr>
              <w:t xml:space="preserve"> propiciar el crecimiento, consolidación y sostenibilidad de l</w:t>
            </w:r>
            <w:r w:rsidR="009B7AB2" w:rsidRPr="00470CF3">
              <w:rPr>
                <w:rFonts w:ascii="Verdana" w:eastAsia="Calibri" w:hAnsi="Verdana" w:cs="Arial"/>
                <w:lang w:val="es-ES_tradnl" w:eastAsia="es-ES_tradnl"/>
              </w:rPr>
              <w:t>o</w:t>
            </w:r>
            <w:r w:rsidR="008246FF" w:rsidRPr="00470CF3">
              <w:rPr>
                <w:rFonts w:ascii="Verdana" w:eastAsia="Calibri" w:hAnsi="Verdana" w:cs="Arial"/>
                <w:lang w:val="es-ES_tradnl" w:eastAsia="es-ES_tradnl"/>
              </w:rPr>
              <w:t>s</w:t>
            </w:r>
            <w:r w:rsidR="009B7AB2" w:rsidRPr="00470CF3">
              <w:rPr>
                <w:rFonts w:ascii="Verdana" w:eastAsia="Calibri" w:hAnsi="Verdana" w:cs="Arial"/>
                <w:lang w:val="es-ES_tradnl" w:eastAsia="es-ES_tradnl"/>
              </w:rPr>
              <w:t xml:space="preserve"> </w:t>
            </w:r>
            <w:r w:rsidR="0070624B" w:rsidRPr="00470CF3">
              <w:rPr>
                <w:rFonts w:ascii="Verdana" w:eastAsia="Calibri" w:hAnsi="Verdana" w:cs="Arial"/>
                <w:lang w:val="es-ES_tradnl" w:eastAsia="es-ES_tradnl"/>
              </w:rPr>
              <w:t>emprendimientos y empresas de mujeres</w:t>
            </w:r>
            <w:r w:rsidR="008246FF" w:rsidRPr="00470CF3">
              <w:rPr>
                <w:rFonts w:ascii="Verdana" w:eastAsia="Calibri" w:hAnsi="Verdana" w:cs="Arial"/>
                <w:lang w:val="es-ES_tradnl" w:eastAsia="es-ES_tradnl"/>
              </w:rPr>
              <w:t>,</w:t>
            </w:r>
            <w:r w:rsidR="00562760" w:rsidRPr="00470CF3">
              <w:rPr>
                <w:rFonts w:ascii="Verdana" w:eastAsia="Calibri" w:hAnsi="Verdana" w:cs="Arial"/>
                <w:lang w:val="es-ES_tradnl" w:eastAsia="es-ES_tradnl"/>
              </w:rPr>
              <w:t xml:space="preserve"> </w:t>
            </w:r>
            <w:r w:rsidR="00445DD1" w:rsidRPr="00470CF3">
              <w:rPr>
                <w:rFonts w:ascii="Verdana" w:eastAsia="Calibri" w:hAnsi="Verdana" w:cs="Arial"/>
                <w:lang w:val="es-ES_tradnl" w:eastAsia="es-ES_tradnl"/>
              </w:rPr>
              <w:t xml:space="preserve">en aras en </w:t>
            </w:r>
            <w:r w:rsidR="008246FF" w:rsidRPr="00470CF3">
              <w:rPr>
                <w:rFonts w:ascii="Verdana" w:eastAsia="Calibri" w:hAnsi="Verdana" w:cs="Arial"/>
                <w:lang w:val="es-ES_tradnl" w:eastAsia="es-ES_tradnl"/>
              </w:rPr>
              <w:t>aumentar el bienestar social y generar equidad</w:t>
            </w:r>
            <w:r w:rsidR="000B0428" w:rsidRPr="00470CF3">
              <w:rPr>
                <w:rFonts w:ascii="Verdana" w:eastAsia="Calibri" w:hAnsi="Verdana" w:cs="Arial"/>
                <w:lang w:val="es-ES_tradnl" w:eastAsia="es-ES_tradnl"/>
              </w:rPr>
              <w:t xml:space="preserve">, es viable </w:t>
            </w:r>
            <w:r w:rsidR="00F153D4" w:rsidRPr="00470CF3">
              <w:rPr>
                <w:rFonts w:ascii="Verdana" w:eastAsia="Calibri" w:hAnsi="Verdana" w:cs="Arial"/>
                <w:lang w:val="es-ES_tradnl" w:eastAsia="es-ES_tradnl"/>
              </w:rPr>
              <w:t xml:space="preserve">acreditar </w:t>
            </w:r>
            <w:r w:rsidR="00F153D4" w:rsidRPr="00470CF3">
              <w:rPr>
                <w:rFonts w:ascii="Verdana" w:eastAsia="Century Gothic" w:hAnsi="Verdana" w:cs="Century Gothic"/>
              </w:rPr>
              <w:t xml:space="preserve">la condición de </w:t>
            </w:r>
            <w:r w:rsidR="0070624B" w:rsidRPr="00470CF3">
              <w:rPr>
                <w:rFonts w:ascii="Verdana" w:eastAsia="Century Gothic" w:hAnsi="Verdana" w:cs="Century Gothic"/>
              </w:rPr>
              <w:t>emprendimientos y empresas de mujeres</w:t>
            </w:r>
            <w:r w:rsidR="00F153D4" w:rsidRPr="00470CF3">
              <w:rPr>
                <w:rFonts w:ascii="Verdana" w:eastAsia="Century Gothic" w:hAnsi="Verdana" w:cs="Century Gothic"/>
              </w:rPr>
              <w:t xml:space="preserve"> conforme al numeral primero del artículo </w:t>
            </w:r>
            <w:r w:rsidR="00F153D4" w:rsidRPr="00470CF3">
              <w:rPr>
                <w:rFonts w:ascii="Verdana" w:eastAsia="Calibri" w:hAnsi="Verdana" w:cs="Arial"/>
                <w:lang w:val="es-ES" w:eastAsia="es-ES_tradnl"/>
              </w:rPr>
              <w:t>2.2.1.2.4.2.14 del Decreto 1082 de 2015</w:t>
            </w:r>
            <w:r w:rsidR="002E0A8D" w:rsidRPr="00470CF3">
              <w:rPr>
                <w:rFonts w:ascii="Verdana" w:eastAsia="Calibri" w:hAnsi="Verdana" w:cs="Arial"/>
                <w:lang w:val="es-ES" w:eastAsia="es-ES_tradnl"/>
              </w:rPr>
              <w:t xml:space="preserve">, </w:t>
            </w:r>
            <w:r w:rsidR="00F153D4" w:rsidRPr="00470CF3">
              <w:rPr>
                <w:rFonts w:ascii="Verdana" w:eastAsia="Calibri" w:hAnsi="Verdana" w:cs="Arial"/>
                <w:lang w:val="es-ES" w:eastAsia="es-ES_tradnl"/>
              </w:rPr>
              <w:t xml:space="preserve">cuando una o </w:t>
            </w:r>
            <w:r w:rsidR="00F153D4" w:rsidRPr="00470CF3">
              <w:rPr>
                <w:rFonts w:ascii="Verdana" w:eastAsia="Calibri" w:hAnsi="Verdana" w:cs="Arial"/>
                <w:lang w:val="es-ES" w:eastAsia="es-ES_tradnl"/>
              </w:rPr>
              <w:lastRenderedPageBreak/>
              <w:t xml:space="preserve">algunas de las accionistas </w:t>
            </w:r>
            <w:r w:rsidR="002E0A8D" w:rsidRPr="00470CF3">
              <w:rPr>
                <w:rFonts w:ascii="Verdana" w:eastAsia="Calibri" w:hAnsi="Verdana" w:cs="Arial"/>
                <w:lang w:val="es-ES" w:eastAsia="es-ES_tradnl"/>
              </w:rPr>
              <w:t>sean</w:t>
            </w:r>
            <w:r w:rsidR="00F153D4" w:rsidRPr="00470CF3">
              <w:rPr>
                <w:rFonts w:ascii="Verdana" w:eastAsia="Calibri" w:hAnsi="Verdana" w:cs="Arial"/>
                <w:lang w:val="es-ES" w:eastAsia="es-ES_tradnl"/>
              </w:rPr>
              <w:t xml:space="preserve"> mujeres menores de edad</w:t>
            </w:r>
            <w:r w:rsidR="0070624B">
              <w:rPr>
                <w:rFonts w:ascii="Verdana" w:eastAsia="Calibri" w:hAnsi="Verdana" w:cs="Arial"/>
                <w:lang w:val="es-ES" w:eastAsia="es-ES_tradnl"/>
              </w:rPr>
              <w:t>. L</w:t>
            </w:r>
            <w:r w:rsidR="00ED3736" w:rsidRPr="00470CF3">
              <w:rPr>
                <w:rFonts w:ascii="Verdana" w:eastAsia="Calibri" w:hAnsi="Verdana" w:cs="Arial"/>
                <w:lang w:val="es-ES" w:eastAsia="es-ES_tradnl"/>
              </w:rPr>
              <w:t xml:space="preserve">o anterior, </w:t>
            </w:r>
            <w:r w:rsidR="00EF2138" w:rsidRPr="00470CF3">
              <w:rPr>
                <w:rFonts w:ascii="Verdana" w:eastAsia="Calibri" w:hAnsi="Verdana" w:cs="Arial"/>
                <w:lang w:val="es-ES" w:eastAsia="es-ES_tradnl"/>
              </w:rPr>
              <w:t xml:space="preserve">siempre que se cumplan con los supuestos previstos en la </w:t>
            </w:r>
            <w:r w:rsidR="00ED3736" w:rsidRPr="00470CF3">
              <w:rPr>
                <w:rFonts w:ascii="Verdana" w:eastAsia="Calibri" w:hAnsi="Verdana" w:cs="Arial"/>
                <w:lang w:val="es-ES" w:eastAsia="es-ES_tradnl"/>
              </w:rPr>
              <w:t>mencionada</w:t>
            </w:r>
            <w:r w:rsidR="004221D2">
              <w:rPr>
                <w:rFonts w:ascii="Verdana" w:eastAsia="Calibri" w:hAnsi="Verdana" w:cs="Arial"/>
                <w:lang w:val="es-ES" w:eastAsia="es-ES_tradnl"/>
              </w:rPr>
              <w:t xml:space="preserve"> norma</w:t>
            </w:r>
            <w:r w:rsidR="00EF2138" w:rsidRPr="00470CF3">
              <w:rPr>
                <w:rFonts w:ascii="Verdana" w:eastAsia="Calibri" w:hAnsi="Verdana" w:cs="Arial"/>
                <w:lang w:val="es-ES" w:eastAsia="es-ES_tradnl"/>
              </w:rPr>
              <w:t xml:space="preserve">, estos son: i) </w:t>
            </w:r>
            <w:r w:rsidR="009B7AB2" w:rsidRPr="00470CF3">
              <w:rPr>
                <w:rFonts w:ascii="Verdana" w:eastAsia="Calibri" w:hAnsi="Verdana" w:cs="Arial"/>
                <w:lang w:val="es-ES" w:eastAsia="es-ES_tradnl"/>
              </w:rPr>
              <w:t>que l</w:t>
            </w:r>
            <w:r w:rsidR="00B8768F">
              <w:rPr>
                <w:rFonts w:ascii="Verdana" w:eastAsia="Calibri" w:hAnsi="Verdana" w:cs="Arial"/>
                <w:lang w:val="es-ES" w:eastAsia="es-ES_tradnl"/>
              </w:rPr>
              <w:t>a</w:t>
            </w:r>
            <w:r w:rsidR="009B7AB2" w:rsidRPr="00470CF3">
              <w:rPr>
                <w:rFonts w:ascii="Verdana" w:eastAsia="Calibri" w:hAnsi="Verdana" w:cs="Arial"/>
                <w:lang w:val="es-ES" w:eastAsia="es-ES_tradnl"/>
              </w:rPr>
              <w:t xml:space="preserve"> </w:t>
            </w:r>
            <w:r w:rsidR="00B30478" w:rsidRPr="00470CF3">
              <w:rPr>
                <w:rFonts w:ascii="Verdana" w:eastAsia="Calibri" w:hAnsi="Verdana" w:cs="Arial"/>
                <w:lang w:val="es-ES" w:eastAsia="es-ES_tradnl"/>
              </w:rPr>
              <w:t xml:space="preserve">participación </w:t>
            </w:r>
            <w:r w:rsidR="00352396" w:rsidRPr="00470CF3">
              <w:rPr>
                <w:rFonts w:ascii="Verdana" w:eastAsia="Calibri" w:hAnsi="Verdana" w:cs="Arial"/>
                <w:lang w:val="es-ES" w:eastAsia="es-ES_tradnl"/>
              </w:rPr>
              <w:t xml:space="preserve">de más del </w:t>
            </w:r>
            <w:r w:rsidR="0070624B">
              <w:rPr>
                <w:rFonts w:ascii="Verdana" w:eastAsia="Calibri" w:hAnsi="Verdana" w:cs="Arial"/>
                <w:lang w:val="es-ES" w:eastAsia="es-ES_tradnl"/>
              </w:rPr>
              <w:t>cincuenta por ciento</w:t>
            </w:r>
            <w:r w:rsidR="00352396" w:rsidRPr="00470CF3">
              <w:rPr>
                <w:rFonts w:ascii="Verdana" w:eastAsia="Calibri" w:hAnsi="Verdana" w:cs="Arial"/>
                <w:lang w:val="es-ES" w:eastAsia="es-ES_tradnl"/>
              </w:rPr>
              <w:t xml:space="preserve"> </w:t>
            </w:r>
            <w:r w:rsidR="0070624B">
              <w:rPr>
                <w:rFonts w:ascii="Verdana" w:eastAsia="Calibri" w:hAnsi="Verdana" w:cs="Arial"/>
                <w:lang w:val="es-ES" w:eastAsia="es-ES_tradnl"/>
              </w:rPr>
              <w:t>(</w:t>
            </w:r>
            <w:r w:rsidR="00352396" w:rsidRPr="00470CF3">
              <w:rPr>
                <w:rFonts w:ascii="Verdana" w:eastAsia="Calibri" w:hAnsi="Verdana" w:cs="Arial"/>
                <w:lang w:val="es-ES" w:eastAsia="es-ES_tradnl"/>
              </w:rPr>
              <w:t>50%</w:t>
            </w:r>
            <w:r w:rsidR="0070624B">
              <w:rPr>
                <w:rFonts w:ascii="Verdana" w:eastAsia="Calibri" w:hAnsi="Verdana" w:cs="Arial"/>
                <w:lang w:val="es-ES" w:eastAsia="es-ES_tradnl"/>
              </w:rPr>
              <w:t>)</w:t>
            </w:r>
            <w:r w:rsidR="00352396" w:rsidRPr="00470CF3">
              <w:rPr>
                <w:rFonts w:ascii="Verdana" w:eastAsia="Calibri" w:hAnsi="Verdana" w:cs="Arial"/>
                <w:lang w:val="es-ES" w:eastAsia="es-ES_tradnl"/>
              </w:rPr>
              <w:t xml:space="preserve"> de las acciones, partes de </w:t>
            </w:r>
            <w:r w:rsidR="00115334" w:rsidRPr="00470CF3">
              <w:rPr>
                <w:rFonts w:ascii="Verdana" w:eastAsia="Calibri" w:hAnsi="Verdana" w:cs="Arial"/>
                <w:lang w:val="es-ES" w:eastAsia="es-ES_tradnl"/>
              </w:rPr>
              <w:t>interés</w:t>
            </w:r>
            <w:r w:rsidR="00352396" w:rsidRPr="00470CF3">
              <w:rPr>
                <w:rFonts w:ascii="Verdana" w:eastAsia="Calibri" w:hAnsi="Verdana" w:cs="Arial"/>
                <w:lang w:val="es-ES" w:eastAsia="es-ES_tradnl"/>
              </w:rPr>
              <w:t xml:space="preserve"> o cuotas de participación pertenezcan a mujeres</w:t>
            </w:r>
            <w:r w:rsidR="00B4230A" w:rsidRPr="00470CF3">
              <w:rPr>
                <w:rFonts w:ascii="Verdana" w:eastAsia="Calibri" w:hAnsi="Verdana" w:cs="Arial"/>
                <w:lang w:val="es-ES" w:eastAsia="es-ES_tradnl"/>
              </w:rPr>
              <w:t>; ii)</w:t>
            </w:r>
            <w:r w:rsidR="00092CE3" w:rsidRPr="00470CF3">
              <w:rPr>
                <w:rFonts w:ascii="Verdana" w:eastAsia="Calibri" w:hAnsi="Verdana" w:cs="Arial"/>
                <w:lang w:val="es-ES" w:eastAsia="es-ES_tradnl"/>
              </w:rPr>
              <w:t xml:space="preserve"> </w:t>
            </w:r>
            <w:r w:rsidR="00352396" w:rsidRPr="00470CF3">
              <w:rPr>
                <w:rFonts w:ascii="Verdana" w:eastAsia="Calibri" w:hAnsi="Verdana" w:cs="Arial"/>
                <w:lang w:val="es-ES" w:eastAsia="es-ES_tradnl"/>
              </w:rPr>
              <w:t xml:space="preserve">y </w:t>
            </w:r>
            <w:r w:rsidR="001A2BDD" w:rsidRPr="00470CF3">
              <w:rPr>
                <w:rFonts w:ascii="Verdana" w:eastAsia="Calibri" w:hAnsi="Verdana" w:cs="Arial"/>
                <w:lang w:val="es-ES" w:eastAsia="es-ES_tradnl"/>
              </w:rPr>
              <w:t xml:space="preserve">que los derechos de propiedad hayan pertenecido a estas por lo menos el último año anterior a la fecha del cierre del proceso de selección. </w:t>
            </w:r>
            <w:r w:rsidR="00A55B38" w:rsidRPr="00470CF3">
              <w:rPr>
                <w:rFonts w:ascii="Verdana" w:eastAsia="Calibri" w:hAnsi="Verdana" w:cs="Arial"/>
                <w:lang w:val="es-ES_tradnl" w:eastAsia="es-ES_tradnl"/>
              </w:rPr>
              <w:t xml:space="preserve"> </w:t>
            </w:r>
          </w:p>
        </w:tc>
      </w:tr>
      <w:bookmarkEnd w:id="1"/>
    </w:tbl>
    <w:p w14:paraId="073FE58E" w14:textId="77777777" w:rsidR="00BE6F9D" w:rsidRPr="00470CF3" w:rsidRDefault="00BE6F9D" w:rsidP="00047B09">
      <w:pPr>
        <w:widowControl w:val="0"/>
        <w:autoSpaceDE w:val="0"/>
        <w:autoSpaceDN w:val="0"/>
        <w:spacing w:after="0" w:line="240" w:lineRule="auto"/>
        <w:ind w:left="360" w:hanging="360"/>
        <w:outlineLvl w:val="0"/>
        <w:rPr>
          <w:rFonts w:ascii="Verdana" w:eastAsia="Arial" w:hAnsi="Verdana" w:cs="Arial"/>
          <w:b/>
          <w:bCs/>
          <w:lang w:val="es-ES"/>
        </w:rPr>
      </w:pPr>
    </w:p>
    <w:p w14:paraId="39561B94" w14:textId="77777777" w:rsidR="00BE6F9D" w:rsidRPr="00470CF3" w:rsidRDefault="00BE6F9D" w:rsidP="00047B09">
      <w:pPr>
        <w:widowControl w:val="0"/>
        <w:autoSpaceDE w:val="0"/>
        <w:autoSpaceDN w:val="0"/>
        <w:spacing w:after="0" w:line="240" w:lineRule="auto"/>
        <w:ind w:left="360" w:hanging="360"/>
        <w:outlineLvl w:val="0"/>
        <w:rPr>
          <w:rFonts w:ascii="Verdana" w:eastAsia="Arial" w:hAnsi="Verdana" w:cs="Arial"/>
          <w:b/>
          <w:bCs/>
          <w:lang w:val="es-ES"/>
        </w:rPr>
      </w:pPr>
      <w:r w:rsidRPr="00470CF3">
        <w:rPr>
          <w:rFonts w:ascii="Verdana" w:eastAsia="Arial" w:hAnsi="Verdana" w:cs="Arial"/>
          <w:b/>
          <w:bCs/>
          <w:lang w:val="es-ES"/>
        </w:rPr>
        <w:t>3. Razones de la respuesta:</w:t>
      </w:r>
    </w:p>
    <w:p w14:paraId="376CCFF0" w14:textId="77777777" w:rsidR="00BE6F9D" w:rsidRPr="00470CF3" w:rsidRDefault="00BE6F9D" w:rsidP="00BE6F9D">
      <w:pPr>
        <w:spacing w:after="0" w:line="276" w:lineRule="auto"/>
        <w:jc w:val="both"/>
        <w:rPr>
          <w:rFonts w:ascii="Verdana" w:eastAsia="Calibri" w:hAnsi="Verdana" w:cs="Arial"/>
          <w:lang w:val="es-ES"/>
        </w:rPr>
      </w:pPr>
    </w:p>
    <w:p w14:paraId="6471F57D" w14:textId="77777777" w:rsidR="0002184C" w:rsidRPr="00470CF3" w:rsidRDefault="00BE6F9D" w:rsidP="00BE6F9D">
      <w:pPr>
        <w:spacing w:after="0" w:line="276" w:lineRule="auto"/>
        <w:jc w:val="both"/>
        <w:rPr>
          <w:rFonts w:ascii="Verdana" w:eastAsia="Calibri" w:hAnsi="Verdana" w:cs="Arial"/>
          <w:lang w:val="es-ES"/>
        </w:rPr>
      </w:pPr>
      <w:r w:rsidRPr="00470CF3">
        <w:rPr>
          <w:rFonts w:ascii="Verdana" w:eastAsia="Calibri" w:hAnsi="Verdana" w:cs="Arial"/>
          <w:lang w:val="es-ES"/>
        </w:rPr>
        <w:t>La respuesta anterior se sustenta en las siguientes consideraciones:</w:t>
      </w:r>
    </w:p>
    <w:p w14:paraId="02E3AB4F" w14:textId="77777777" w:rsidR="0002184C" w:rsidRPr="00470CF3" w:rsidRDefault="0002184C" w:rsidP="00BE6F9D">
      <w:pPr>
        <w:spacing w:after="0" w:line="276" w:lineRule="auto"/>
        <w:jc w:val="both"/>
        <w:rPr>
          <w:rFonts w:ascii="Verdana" w:eastAsia="Calibri" w:hAnsi="Verdana" w:cs="Arial"/>
          <w:lang w:val="es-ES"/>
        </w:rPr>
      </w:pPr>
    </w:p>
    <w:p w14:paraId="732FA294" w14:textId="77777777" w:rsidR="0002184C" w:rsidRPr="00470CF3" w:rsidRDefault="0002184C" w:rsidP="0002184C">
      <w:pPr>
        <w:spacing w:after="120" w:line="276" w:lineRule="auto"/>
        <w:jc w:val="both"/>
        <w:rPr>
          <w:rFonts w:ascii="Verdana" w:eastAsia="Calibri" w:hAnsi="Verdana" w:cs="Arial"/>
          <w:lang w:val="es-ES_tradnl" w:eastAsia="es-ES_tradnl"/>
        </w:rPr>
      </w:pPr>
      <w:r w:rsidRPr="00470CF3">
        <w:rPr>
          <w:rFonts w:ascii="Verdana" w:eastAsia="Calibri" w:hAnsi="Verdana" w:cs="Arial"/>
          <w:lang w:val="es-ES"/>
        </w:rPr>
        <w:t xml:space="preserve">Respecto del objeto de su consulta debe advertirse que, </w:t>
      </w:r>
      <w:r w:rsidRPr="00470CF3">
        <w:rPr>
          <w:rFonts w:ascii="Verdana" w:eastAsia="Calibri" w:hAnsi="Verdana" w:cs="Arial"/>
          <w:lang w:val="es-ES_tradnl" w:eastAsia="es-ES_tradnl"/>
        </w:rPr>
        <w:t>el 31 de diciembre de 2020 se promulgó la Ley 2069, “Por medio de la cual se impulsa el emprendimiento en Colombia”. Como dispone el artículo 1, aquella “tiene por objeto establecer un marco regulatorio que propicie el emprendimiento y el crecimiento, consolidación y sostenibilidad de las empresas, con el fin de aumentar el bienestar social y generar equidad”</w:t>
      </w:r>
      <w:r w:rsidRPr="00470CF3">
        <w:rPr>
          <w:rFonts w:ascii="Verdana" w:eastAsia="Calibri" w:hAnsi="Verdana" w:cs="Arial"/>
          <w:vertAlign w:val="superscript"/>
          <w:lang w:val="es-ES_tradnl" w:eastAsia="es-ES_tradnl"/>
        </w:rPr>
        <w:footnoteReference w:id="2"/>
      </w:r>
      <w:r w:rsidRPr="00470CF3">
        <w:rPr>
          <w:rFonts w:ascii="Verdana" w:eastAsia="Calibri" w:hAnsi="Verdana" w:cs="Arial"/>
          <w:lang w:val="es-ES_tradnl" w:eastAsia="es-ES_tradnl"/>
        </w:rPr>
        <w:t xml:space="preserve">. Esto, a partir de “[…] un enfoque regionalizado de acuerdo con las realidades socioeconómicas de cada región”. </w:t>
      </w:r>
    </w:p>
    <w:p w14:paraId="057D0068" w14:textId="77777777" w:rsidR="0002184C" w:rsidRPr="00470CF3" w:rsidRDefault="0002184C" w:rsidP="0002184C">
      <w:pPr>
        <w:spacing w:after="120" w:line="276" w:lineRule="auto"/>
        <w:ind w:firstLine="708"/>
        <w:jc w:val="both"/>
        <w:rPr>
          <w:rFonts w:ascii="Verdana" w:eastAsia="Calibri" w:hAnsi="Verdana" w:cs="Arial"/>
          <w:lang w:val="es-ES" w:eastAsia="es-ES"/>
        </w:rPr>
      </w:pPr>
      <w:r w:rsidRPr="77DDC22B">
        <w:rPr>
          <w:rFonts w:ascii="Verdana" w:eastAsia="Calibri" w:hAnsi="Verdana" w:cs="Arial"/>
          <w:lang w:val="es-ES" w:eastAsia="es-ES"/>
        </w:rPr>
        <w:t>En desarrollo de esta finalidad, se establecen medidas de apoyo para las micro, pequeñas y medianas empresas –Mipymes–, mediante la racionalización y simplificación de los trámites y tarifas</w:t>
      </w:r>
      <w:r w:rsidRPr="77DDC22B">
        <w:rPr>
          <w:rFonts w:ascii="Verdana" w:eastAsia="Calibri" w:hAnsi="Verdana" w:cs="Arial"/>
          <w:vertAlign w:val="superscript"/>
          <w:lang w:val="es-ES" w:eastAsia="es-ES"/>
        </w:rPr>
        <w:footnoteReference w:id="3"/>
      </w:r>
      <w:r w:rsidRPr="77DDC22B">
        <w:rPr>
          <w:rFonts w:ascii="Verdana" w:eastAsia="Calibri" w:hAnsi="Verdana" w:cs="Arial"/>
          <w:lang w:val="es-ES" w:eastAsia="es-ES"/>
        </w:rPr>
        <w:t>, así como incentivos a favor de aquellas dentro del sistema de compras y contratación pública</w:t>
      </w:r>
      <w:r w:rsidRPr="77DDC22B">
        <w:rPr>
          <w:rFonts w:ascii="Verdana" w:eastAsia="Calibri" w:hAnsi="Verdana" w:cs="Arial"/>
          <w:vertAlign w:val="superscript"/>
          <w:lang w:val="es-ES" w:eastAsia="es-ES"/>
        </w:rPr>
        <w:footnoteReference w:id="4"/>
      </w:r>
      <w:r w:rsidRPr="77DDC22B">
        <w:rPr>
          <w:rFonts w:ascii="Verdana" w:eastAsia="Calibri" w:hAnsi="Verdana" w:cs="Arial"/>
          <w:lang w:val="es-ES" w:eastAsia="es-ES"/>
        </w:rPr>
        <w:t>. También se consagran mecanismos de acceso al financiamiento</w:t>
      </w:r>
      <w:r w:rsidRPr="77DDC22B">
        <w:rPr>
          <w:rFonts w:ascii="Verdana" w:eastAsia="Calibri" w:hAnsi="Verdana" w:cs="Arial"/>
          <w:vertAlign w:val="superscript"/>
          <w:lang w:val="es-ES" w:eastAsia="es-ES"/>
        </w:rPr>
        <w:footnoteReference w:id="5"/>
      </w:r>
      <w:r w:rsidRPr="77DDC22B">
        <w:rPr>
          <w:rFonts w:ascii="Verdana" w:eastAsia="Calibri" w:hAnsi="Verdana" w:cs="Arial"/>
          <w:lang w:val="es-ES" w:eastAsia="es-ES"/>
        </w:rPr>
        <w:t xml:space="preserve">, se unifican las fuentes de emprendimiento y de desarrollo empresarial, para fortalecer y promover los </w:t>
      </w:r>
      <w:r w:rsidRPr="77DDC22B">
        <w:rPr>
          <w:rFonts w:ascii="Verdana" w:eastAsia="Calibri" w:hAnsi="Verdana" w:cs="Arial"/>
          <w:lang w:val="es-ES" w:eastAsia="es-ES"/>
        </w:rPr>
        <w:lastRenderedPageBreak/>
        <w:t>distintos sectores de la economía</w:t>
      </w:r>
      <w:r w:rsidRPr="77DDC22B">
        <w:rPr>
          <w:rFonts w:ascii="Verdana" w:eastAsia="Calibri" w:hAnsi="Verdana" w:cs="Arial"/>
          <w:vertAlign w:val="superscript"/>
          <w:lang w:val="es-ES" w:eastAsia="es-ES"/>
        </w:rPr>
        <w:footnoteReference w:id="6"/>
      </w:r>
      <w:r w:rsidRPr="77DDC22B">
        <w:rPr>
          <w:rFonts w:ascii="Verdana" w:eastAsia="Calibri" w:hAnsi="Verdana" w:cs="Arial"/>
          <w:lang w:val="es-ES" w:eastAsia="es-ES"/>
        </w:rPr>
        <w:t xml:space="preserve"> y se prevén medidas de educación para el emprendimiento y la innovación</w:t>
      </w:r>
      <w:r w:rsidRPr="77DDC22B">
        <w:rPr>
          <w:rFonts w:ascii="Verdana" w:eastAsia="Calibri" w:hAnsi="Verdana" w:cs="Arial"/>
          <w:vertAlign w:val="superscript"/>
          <w:lang w:val="es-ES" w:eastAsia="es-ES"/>
        </w:rPr>
        <w:footnoteReference w:id="7"/>
      </w:r>
      <w:r w:rsidRPr="77DDC22B">
        <w:rPr>
          <w:rFonts w:ascii="Verdana" w:eastAsia="Calibri" w:hAnsi="Verdana" w:cs="Arial"/>
          <w:lang w:val="es-ES" w:eastAsia="es-ES"/>
        </w:rPr>
        <w:t>.</w:t>
      </w:r>
    </w:p>
    <w:p w14:paraId="27854AE8" w14:textId="77777777" w:rsidR="0002184C" w:rsidRPr="00470CF3" w:rsidRDefault="0002184C" w:rsidP="0002184C">
      <w:pPr>
        <w:spacing w:after="0" w:line="276" w:lineRule="auto"/>
        <w:ind w:firstLine="709"/>
        <w:jc w:val="both"/>
        <w:rPr>
          <w:rFonts w:ascii="Verdana" w:eastAsia="Calibri" w:hAnsi="Verdana" w:cs="Arial"/>
          <w:bCs/>
          <w:lang w:eastAsia="es-ES_tradnl"/>
        </w:rPr>
      </w:pPr>
      <w:r w:rsidRPr="00470CF3">
        <w:rPr>
          <w:rFonts w:ascii="Verdana" w:eastAsia="Calibri" w:hAnsi="Verdana" w:cs="Arial"/>
          <w:lang w:val="es-ES_tradnl" w:eastAsia="es-ES_tradnl"/>
        </w:rPr>
        <w:t xml:space="preserve">Como se indicó, parte de la Ley 2069 contiene normas que modifican algunos aspectos de la contratación estatal para promover el emprendimiento. </w:t>
      </w:r>
      <w:r w:rsidRPr="00470CF3">
        <w:rPr>
          <w:rFonts w:ascii="Verdana" w:eastAsia="Calibri" w:hAnsi="Verdana" w:cs="Arial"/>
          <w:bCs/>
          <w:lang w:eastAsia="es-ES_tradnl"/>
        </w:rPr>
        <w:t xml:space="preserve">Particularmente, el artículo 32 </w:t>
      </w:r>
      <w:r w:rsidRPr="00470CF3">
        <w:rPr>
          <w:rFonts w:ascii="Verdana" w:eastAsia="Calibri" w:hAnsi="Verdana" w:cs="Arial"/>
          <w:bCs/>
          <w:i/>
          <w:iCs/>
          <w:lang w:eastAsia="es-ES_tradnl"/>
        </w:rPr>
        <w:t>ibidem</w:t>
      </w:r>
      <w:r w:rsidRPr="00470CF3">
        <w:rPr>
          <w:rFonts w:ascii="Verdana" w:eastAsia="Calibri" w:hAnsi="Verdana" w:cs="Arial"/>
          <w:bCs/>
          <w:vertAlign w:val="superscript"/>
          <w:lang w:eastAsia="es-ES_tradnl"/>
        </w:rPr>
        <w:footnoteReference w:id="8"/>
      </w:r>
      <w:r w:rsidRPr="00470CF3">
        <w:rPr>
          <w:rFonts w:ascii="Verdana" w:eastAsia="Calibri" w:hAnsi="Verdana" w:cs="Arial"/>
          <w:bCs/>
          <w:lang w:eastAsia="es-ES_tradnl"/>
        </w:rPr>
        <w:t xml:space="preserve"> regula criterios diferenciales y puntajes adicionales para los “emprendimientos y empresas de mujeres” en el sistema de compras y contratación pública. En relación con este aspecto, el inciso primero de la norma citada prescribe: </w:t>
      </w:r>
    </w:p>
    <w:p w14:paraId="3F9777CE" w14:textId="77777777" w:rsidR="0002184C" w:rsidRPr="00470CF3" w:rsidRDefault="0002184C" w:rsidP="0002184C">
      <w:pPr>
        <w:tabs>
          <w:tab w:val="left" w:pos="709"/>
        </w:tabs>
        <w:spacing w:after="0" w:line="276" w:lineRule="auto"/>
        <w:ind w:left="709" w:right="709"/>
        <w:contextualSpacing/>
        <w:jc w:val="both"/>
        <w:rPr>
          <w:rFonts w:ascii="Verdana" w:eastAsia="Calibri" w:hAnsi="Verdana" w:cs="Arial"/>
          <w:bCs/>
          <w:lang w:eastAsia="es-ES_tradnl"/>
        </w:rPr>
      </w:pPr>
    </w:p>
    <w:p w14:paraId="30DBE54A" w14:textId="77777777" w:rsidR="0002184C" w:rsidRPr="00470CF3" w:rsidRDefault="0002184C" w:rsidP="0002184C">
      <w:pPr>
        <w:tabs>
          <w:tab w:val="left" w:pos="709"/>
        </w:tabs>
        <w:spacing w:after="0" w:line="240" w:lineRule="auto"/>
        <w:ind w:left="709" w:right="709"/>
        <w:contextualSpacing/>
        <w:jc w:val="both"/>
        <w:rPr>
          <w:rFonts w:ascii="Verdana" w:eastAsia="Calibri" w:hAnsi="Verdana" w:cs="Arial"/>
          <w:bCs/>
          <w:sz w:val="20"/>
          <w:szCs w:val="20"/>
          <w:lang w:eastAsia="es-ES_tradnl"/>
        </w:rPr>
      </w:pPr>
      <w:r w:rsidRPr="00470CF3">
        <w:rPr>
          <w:rFonts w:ascii="Verdana" w:eastAsia="Calibri" w:hAnsi="Verdana" w:cs="Arial"/>
          <w:bCs/>
          <w:sz w:val="20"/>
          <w:szCs w:val="20"/>
          <w:lang w:eastAsia="es-ES_tradnl"/>
        </w:rPr>
        <w:t xml:space="preserve">“De acuerdo con el resultado del análisis del sector, las entidades estatales incluirán requisitos diferenciales y puntajes adicionales en los procesos de </w:t>
      </w:r>
      <w:bookmarkStart w:id="2" w:name="_Hlk63770487"/>
      <w:r w:rsidRPr="00470CF3">
        <w:rPr>
          <w:rFonts w:ascii="Verdana" w:eastAsia="Calibri" w:hAnsi="Verdana" w:cs="Arial"/>
          <w:bCs/>
          <w:sz w:val="20"/>
          <w:szCs w:val="20"/>
          <w:lang w:eastAsia="es-ES_tradnl"/>
        </w:rPr>
        <w:t>licitación pública, selección abreviada de menor cuantía y concurso de méritos</w:t>
      </w:r>
      <w:bookmarkEnd w:id="2"/>
      <w:r w:rsidRPr="00470CF3">
        <w:rPr>
          <w:rFonts w:ascii="Verdana" w:eastAsia="Calibri" w:hAnsi="Verdana" w:cs="Arial"/>
          <w:bCs/>
          <w:sz w:val="20"/>
          <w:szCs w:val="20"/>
          <w:lang w:eastAsia="es-ES_tradnl"/>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7EF81E59" w14:textId="77777777" w:rsidR="0002184C" w:rsidRPr="00470CF3" w:rsidRDefault="0002184C" w:rsidP="0002184C">
      <w:pPr>
        <w:tabs>
          <w:tab w:val="left" w:pos="709"/>
        </w:tabs>
        <w:spacing w:after="0" w:line="276" w:lineRule="auto"/>
        <w:ind w:left="709" w:right="709"/>
        <w:contextualSpacing/>
        <w:jc w:val="both"/>
        <w:rPr>
          <w:rFonts w:ascii="Verdana" w:eastAsia="Calibri" w:hAnsi="Verdana" w:cs="Arial"/>
          <w:bCs/>
          <w:lang w:eastAsia="es-ES_tradnl"/>
        </w:rPr>
      </w:pPr>
    </w:p>
    <w:p w14:paraId="0FB12DB4" w14:textId="77777777" w:rsidR="0002184C" w:rsidRPr="00470CF3" w:rsidRDefault="0002184C" w:rsidP="0002184C">
      <w:pPr>
        <w:tabs>
          <w:tab w:val="left" w:pos="709"/>
        </w:tabs>
        <w:spacing w:after="120" w:line="276" w:lineRule="auto"/>
        <w:ind w:firstLine="709"/>
        <w:jc w:val="both"/>
        <w:rPr>
          <w:rFonts w:ascii="Verdana" w:eastAsia="Calibri" w:hAnsi="Verdana" w:cs="Arial"/>
          <w:bCs/>
          <w:lang w:eastAsia="es-ES_tradnl"/>
        </w:rPr>
      </w:pPr>
      <w:r w:rsidRPr="00470CF3">
        <w:rPr>
          <w:rFonts w:ascii="Verdana" w:eastAsia="Calibri" w:hAnsi="Verdana" w:cs="Arial"/>
          <w:bCs/>
          <w:lang w:eastAsia="es-ES_tradnl"/>
        </w:rPr>
        <w:t xml:space="preserve">De esta manera, los denominados “criterios diferenciales” del artículo señalado –que incluyen tanto los “requisitos diferenciales” como los “puntajes adicionales”– aplican a “[…] los procesos de licitación pública, selección abreviada de menor cuantía y concurso de méritos […]”, excluyendo las demás modalidades de selección del artículo 2 de la Ley 1150 de 2007. Así mismo, sin distinciones ulteriores, la norma en comento también se extiende a todos los procedimientos que realicen las Entidades Estatales excluidas de la Ley 80 de 1993.     </w:t>
      </w:r>
    </w:p>
    <w:p w14:paraId="1B32FF20" w14:textId="27BA396D" w:rsidR="0002184C" w:rsidRPr="00470CF3" w:rsidRDefault="0002184C" w:rsidP="0002184C">
      <w:pPr>
        <w:spacing w:after="120" w:line="276" w:lineRule="auto"/>
        <w:ind w:firstLine="709"/>
        <w:jc w:val="both"/>
        <w:rPr>
          <w:rFonts w:ascii="Verdana" w:eastAsia="Calibri" w:hAnsi="Verdana" w:cs="Arial"/>
          <w:lang w:val="es-ES_tradnl" w:eastAsia="es-ES_tradnl"/>
        </w:rPr>
      </w:pPr>
      <w:r w:rsidRPr="00470CF3">
        <w:rPr>
          <w:rFonts w:ascii="Verdana" w:eastAsia="Calibri" w:hAnsi="Verdana" w:cs="Arial"/>
          <w:bCs/>
          <w:lang w:eastAsia="es-ES_tradnl"/>
        </w:rPr>
        <w:t xml:space="preserve">No obstante, el artículo 32 de la Ley 2069 de 2020 alude a la necesidad del desarrollo normativo posterior. Al respecto, el parágrafo dispone que “La </w:t>
      </w:r>
      <w:r w:rsidRPr="00470CF3">
        <w:rPr>
          <w:rFonts w:ascii="Verdana" w:eastAsia="Calibri" w:hAnsi="Verdana" w:cs="Arial"/>
          <w:bCs/>
          <w:lang w:eastAsia="es-ES_tradnl"/>
        </w:rPr>
        <w:lastRenderedPageBreak/>
        <w:t>definición de emprendimientos y empresas de mujeres se reglamentará por el gobierno nacional”. En ese sentido, la aplicación de criterios diferenciales en favor de emprendimientos</w:t>
      </w:r>
      <w:r w:rsidR="00C50AFD">
        <w:rPr>
          <w:rFonts w:ascii="Verdana" w:eastAsia="Calibri" w:hAnsi="Verdana" w:cs="Arial"/>
          <w:bCs/>
          <w:lang w:eastAsia="es-ES_tradnl"/>
        </w:rPr>
        <w:t xml:space="preserve"> y empresas</w:t>
      </w:r>
      <w:r w:rsidRPr="00470CF3">
        <w:rPr>
          <w:rFonts w:ascii="Verdana" w:eastAsia="Calibri" w:hAnsi="Verdana" w:cs="Arial"/>
          <w:bCs/>
          <w:lang w:eastAsia="es-ES_tradnl"/>
        </w:rPr>
        <w:t xml:space="preserve"> de mujeres estaba condicionada por el ejercicio de la potestad reglamentaria, en orden de establecer la regulación en marco de la cual las Entidades Estatales deben aplicar los criterios diferenciales establecidos en el artículo 32 de la Ley 2069 de 2020. </w:t>
      </w:r>
    </w:p>
    <w:p w14:paraId="0E7232F7" w14:textId="77777777" w:rsidR="0002184C" w:rsidRPr="00470CF3" w:rsidRDefault="0002184C" w:rsidP="0002184C">
      <w:pPr>
        <w:spacing w:after="120" w:line="276" w:lineRule="auto"/>
        <w:ind w:firstLine="709"/>
        <w:jc w:val="both"/>
        <w:rPr>
          <w:rFonts w:ascii="Verdana" w:eastAsia="Times New Roman" w:hAnsi="Verdana" w:cs="Arial"/>
          <w:lang w:eastAsia="es-CO"/>
        </w:rPr>
      </w:pPr>
      <w:r w:rsidRPr="00470CF3">
        <w:rPr>
          <w:rFonts w:ascii="Verdana" w:eastAsia="Calibri" w:hAnsi="Verdana" w:cs="Arial"/>
          <w:lang w:val="es-ES_tradnl" w:eastAsia="es-ES_tradnl"/>
        </w:rPr>
        <w:t>En este contexto, el pasado 24 de diciembre, el Gobierno Nacional expidió el Decreto 1860 de 2021</w:t>
      </w:r>
      <w:r w:rsidRPr="00470CF3">
        <w:rPr>
          <w:rFonts w:ascii="Verdana" w:eastAsia="Times New Roman" w:hAnsi="Verdana" w:cs="Arial"/>
          <w:lang w:eastAsia="es-ES_tradnl"/>
        </w:rPr>
        <w:t xml:space="preserve"> </w:t>
      </w:r>
      <w:r w:rsidRPr="00470CF3">
        <w:rPr>
          <w:rFonts w:ascii="Verdana" w:eastAsia="Calibri" w:hAnsi="Verdana" w:cs="Arial"/>
          <w:lang w:val="es-ES_tradnl" w:eastAsia="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incluyendo los puntajes adicionales y regula su aplicación. </w:t>
      </w:r>
    </w:p>
    <w:p w14:paraId="4E19D405" w14:textId="77777777" w:rsidR="0002184C" w:rsidRPr="00470CF3" w:rsidRDefault="0002184C" w:rsidP="0002184C">
      <w:pPr>
        <w:spacing w:after="0" w:line="276" w:lineRule="auto"/>
        <w:ind w:firstLine="709"/>
        <w:jc w:val="both"/>
        <w:rPr>
          <w:rFonts w:ascii="Verdana" w:eastAsia="Calibri" w:hAnsi="Verdana" w:cs="Arial"/>
          <w:lang w:val="es-ES" w:eastAsia="es-ES_tradnl"/>
        </w:rPr>
      </w:pPr>
      <w:r w:rsidRPr="00470CF3">
        <w:rPr>
          <w:rFonts w:ascii="Verdana" w:eastAsia="Calibri" w:hAnsi="Verdana" w:cs="Arial"/>
          <w:lang w:val="es-ES" w:eastAsia="es-ES_tradnl"/>
        </w:rPr>
        <w:t xml:space="preserve">Así las cosas, el artículo 2.2.1.2.4.2.14 al Decreto 1082 de 2015 establece las condiciones y requisitos en atención a los cuales se definen los emprendimientos y empresas de mujeres, a las que les aplican los criterios diferenciales. Para estos efectos, cada uno de los cuatro (4) numerales de la norma establecen unas condiciones alternativas que definen los emprendimientos y empresas de mujeres, a efectos de aplicar los criterios diferenciales, en los siguientes términos:   </w:t>
      </w:r>
    </w:p>
    <w:p w14:paraId="4FE796B0" w14:textId="77777777" w:rsidR="0002184C" w:rsidRPr="00470CF3" w:rsidRDefault="0002184C" w:rsidP="0002184C">
      <w:pPr>
        <w:spacing w:after="0" w:line="276" w:lineRule="auto"/>
        <w:contextualSpacing/>
        <w:jc w:val="both"/>
        <w:rPr>
          <w:rFonts w:ascii="Verdana" w:eastAsia="Calibri" w:hAnsi="Verdana" w:cs="Arial"/>
          <w:lang w:val="es-ES_tradnl" w:eastAsia="es-ES_tradnl"/>
        </w:rPr>
      </w:pPr>
    </w:p>
    <w:p w14:paraId="028CB3BC"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470CF3">
        <w:rPr>
          <w:rFonts w:ascii="Verdana" w:eastAsia="Times New Roman" w:hAnsi="Verdana" w:cs="Arial"/>
          <w:sz w:val="20"/>
          <w:szCs w:val="20"/>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6AD7E5F2"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470CF3">
        <w:rPr>
          <w:rFonts w:ascii="Verdana" w:eastAsia="Times New Roman" w:hAnsi="Verdana" w:cs="Arial"/>
          <w:sz w:val="20"/>
          <w:szCs w:val="20"/>
          <w:lang w:eastAsia="es-CO"/>
        </w:rPr>
        <w:t>  </w:t>
      </w:r>
    </w:p>
    <w:p w14:paraId="779D6D06"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470CF3">
        <w:rPr>
          <w:rFonts w:ascii="Verdana" w:eastAsia="Times New Roman" w:hAnsi="Verdana" w:cs="Arial"/>
          <w:i/>
          <w:iCs/>
          <w:sz w:val="20"/>
          <w:szCs w:val="20"/>
          <w:lang w:eastAsia="es-CO"/>
        </w:rPr>
        <w:t xml:space="preserve">1. 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w:t>
      </w:r>
      <w:r w:rsidRPr="00470CF3">
        <w:rPr>
          <w:rFonts w:ascii="Verdana" w:eastAsia="Times New Roman" w:hAnsi="Verdana" w:cs="Arial"/>
          <w:i/>
          <w:iCs/>
          <w:sz w:val="20"/>
          <w:szCs w:val="20"/>
          <w:lang w:eastAsia="es-CO"/>
        </w:rPr>
        <w:lastRenderedPageBreak/>
        <w:t>los derechos en la sociedad y el tiempo en el que las mujeres han mantenido su participación.</w:t>
      </w:r>
    </w:p>
    <w:p w14:paraId="6D6C768A"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750C739B"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470CF3">
        <w:rPr>
          <w:rFonts w:ascii="Verdana" w:eastAsia="Times New Roman" w:hAnsi="Verdana" w:cs="Arial"/>
          <w:i/>
          <w:iCs/>
          <w:sz w:val="20"/>
          <w:szCs w:val="20"/>
          <w:lang w:eastAsia="es-CO"/>
        </w:rPr>
        <w:t>2. 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79BBFBAA"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3BB29A6D"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470CF3">
        <w:rPr>
          <w:rFonts w:ascii="Verdana" w:eastAsia="Times New Roman" w:hAnsi="Verdana" w:cs="Arial"/>
          <w:i/>
          <w:iCs/>
          <w:sz w:val="20"/>
          <w:szCs w:val="20"/>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4DDB1034"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6809751A"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470CF3">
        <w:rPr>
          <w:rFonts w:ascii="Verdana" w:eastAsia="Times New Roman" w:hAnsi="Verdana" w:cs="Arial"/>
          <w:i/>
          <w:iCs/>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4DDE5AF5"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p>
    <w:p w14:paraId="66545426"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i/>
          <w:iCs/>
          <w:sz w:val="20"/>
          <w:szCs w:val="20"/>
          <w:lang w:eastAsia="es-CO"/>
        </w:rPr>
      </w:pPr>
      <w:r w:rsidRPr="00470CF3">
        <w:rPr>
          <w:rFonts w:ascii="Verdana" w:eastAsia="Times New Roman" w:hAnsi="Verdana" w:cs="Arial"/>
          <w:i/>
          <w:iCs/>
          <w:sz w:val="20"/>
          <w:szCs w:val="20"/>
          <w:lang w:eastAsia="es-CO"/>
        </w:rPr>
        <w:t>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w:t>
      </w:r>
    </w:p>
    <w:p w14:paraId="4C2D2C44"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7C080D35"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470CF3">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5BEFA8A8"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14261F5C"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470CF3">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158DB63C"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p>
    <w:p w14:paraId="7894DCE8" w14:textId="77777777" w:rsidR="0002184C" w:rsidRPr="00470CF3" w:rsidRDefault="0002184C" w:rsidP="0002184C">
      <w:pPr>
        <w:shd w:val="clear" w:color="auto" w:fill="FFFFFF"/>
        <w:spacing w:after="0" w:line="240" w:lineRule="auto"/>
        <w:ind w:left="709" w:right="709"/>
        <w:contextualSpacing/>
        <w:jc w:val="both"/>
        <w:textAlignment w:val="baseline"/>
        <w:rPr>
          <w:rFonts w:ascii="Verdana" w:eastAsia="Times New Roman" w:hAnsi="Verdana" w:cs="Arial"/>
          <w:sz w:val="20"/>
          <w:szCs w:val="20"/>
          <w:lang w:eastAsia="es-CO"/>
        </w:rPr>
      </w:pPr>
      <w:r w:rsidRPr="00470CF3">
        <w:rPr>
          <w:rFonts w:ascii="Verdana" w:eastAsia="Times New Roman" w:hAnsi="Verdana" w:cs="Arial"/>
          <w:sz w:val="20"/>
          <w:szCs w:val="20"/>
          <w:lang w:eastAsia="es-CO"/>
        </w:rPr>
        <w:t xml:space="preserve">Parágrafo. Respecto a los incentivos contractuales para los emprendimientos y empresas de mujeres, las certificaciones de trata el presente artículo deben expedirse bajo la gravedad de juramento con una </w:t>
      </w:r>
      <w:r w:rsidRPr="00470CF3">
        <w:rPr>
          <w:rFonts w:ascii="Verdana" w:eastAsia="Times New Roman" w:hAnsi="Verdana" w:cs="Arial"/>
          <w:sz w:val="20"/>
          <w:szCs w:val="20"/>
          <w:lang w:eastAsia="es-CO"/>
        </w:rPr>
        <w:lastRenderedPageBreak/>
        <w:t>fecha de máximo treinta (30) días calendario anteriores a la prevista para el cierre del procedimiento de selección” [Énfasis fuera de texto].</w:t>
      </w:r>
    </w:p>
    <w:p w14:paraId="01EBAA91" w14:textId="77777777" w:rsidR="0002184C" w:rsidRPr="00470CF3" w:rsidRDefault="0002184C" w:rsidP="0002184C">
      <w:pPr>
        <w:spacing w:after="0" w:line="276" w:lineRule="auto"/>
        <w:ind w:firstLine="709"/>
        <w:contextualSpacing/>
        <w:jc w:val="both"/>
        <w:rPr>
          <w:rFonts w:ascii="Verdana" w:eastAsia="Calibri" w:hAnsi="Verdana" w:cs="Arial"/>
          <w:lang w:val="es-ES_tradnl" w:eastAsia="es-ES_tradnl"/>
        </w:rPr>
      </w:pPr>
    </w:p>
    <w:p w14:paraId="48FB40EF" w14:textId="2D770B37" w:rsidR="0002184C" w:rsidRPr="00470CF3" w:rsidRDefault="0002184C" w:rsidP="0002184C">
      <w:pPr>
        <w:spacing w:after="120" w:line="276" w:lineRule="auto"/>
        <w:ind w:firstLine="709"/>
        <w:jc w:val="both"/>
        <w:rPr>
          <w:rFonts w:ascii="Verdana" w:eastAsia="Calibri" w:hAnsi="Verdana" w:cs="Arial"/>
          <w:lang w:val="es-ES" w:eastAsia="es-ES_tradnl"/>
        </w:rPr>
      </w:pPr>
      <w:r w:rsidRPr="00470CF3">
        <w:rPr>
          <w:rFonts w:ascii="Verdana" w:eastAsia="Calibri" w:hAnsi="Verdana" w:cs="Arial"/>
          <w:lang w:val="es-ES" w:eastAsia="es-ES_tradnl"/>
        </w:rPr>
        <w:t>De acuerdo con lo establecido en este artículo, para efectos de la aplicación de los criterios diferenciales en el sistema de compras públicas, en los términos del artículo 32 de la Ley 2069 de 2020, son considerados emprendimientos y empresas de mujeres aquellas personas jurídicas o naturales que cumplan con alguno de los cuatro (4) supuestos de hecho previstos en la norma citada y acrediten estos supuestos con los documentos previstos para ello. Teniendo en cuenta el objeto de la consulta, resulta relevante el análisis del criterio definido en el numeral primero artículo precitado</w:t>
      </w:r>
      <w:r w:rsidR="00E51B28">
        <w:rPr>
          <w:rFonts w:ascii="Verdana" w:eastAsia="Calibri" w:hAnsi="Verdana" w:cs="Arial"/>
          <w:lang w:val="es-ES" w:eastAsia="es-ES_tradnl"/>
        </w:rPr>
        <w:t xml:space="preserve">, dado que usted se refiere a </w:t>
      </w:r>
      <w:r w:rsidR="00895595">
        <w:rPr>
          <w:rFonts w:ascii="Verdana" w:eastAsia="Calibri" w:hAnsi="Verdana" w:cs="Arial"/>
          <w:lang w:val="es-ES" w:eastAsia="es-ES_tradnl"/>
        </w:rPr>
        <w:t>una condición de los “accionistas”</w:t>
      </w:r>
      <w:r w:rsidRPr="00470CF3">
        <w:rPr>
          <w:rFonts w:ascii="Verdana" w:eastAsia="Calibri" w:hAnsi="Verdana" w:cs="Arial"/>
          <w:lang w:val="es-ES" w:eastAsia="es-ES_tradnl"/>
        </w:rPr>
        <w:t xml:space="preserve">. </w:t>
      </w:r>
    </w:p>
    <w:p w14:paraId="69F6FCDF" w14:textId="77777777" w:rsidR="0002184C" w:rsidRPr="00470CF3" w:rsidRDefault="0002184C" w:rsidP="0002184C">
      <w:pPr>
        <w:spacing w:after="120" w:line="276" w:lineRule="auto"/>
        <w:ind w:firstLine="709"/>
        <w:jc w:val="both"/>
        <w:rPr>
          <w:rFonts w:ascii="Verdana" w:eastAsia="Calibri" w:hAnsi="Verdana" w:cs="Arial"/>
          <w:lang w:val="es-ES_tradnl"/>
        </w:rPr>
      </w:pPr>
      <w:r w:rsidRPr="00470CF3">
        <w:rPr>
          <w:rFonts w:ascii="Verdana" w:eastAsia="Calibri" w:hAnsi="Verdana" w:cs="Arial"/>
          <w:lang w:val="es-ES" w:eastAsia="es-ES_tradnl"/>
        </w:rPr>
        <w:t xml:space="preserve">El </w:t>
      </w:r>
      <w:r w:rsidRPr="00470CF3">
        <w:rPr>
          <w:rFonts w:ascii="Verdana" w:eastAsia="Times New Roman" w:hAnsi="Verdana" w:cs="Arial"/>
          <w:i/>
          <w:lang w:val="es-ES_tradnl" w:eastAsia="es-ES"/>
        </w:rPr>
        <w:t>numeral primero</w:t>
      </w:r>
      <w:r w:rsidRPr="00470CF3">
        <w:rPr>
          <w:rFonts w:ascii="Verdana" w:eastAsia="Times New Roman" w:hAnsi="Verdana" w:cs="Arial"/>
          <w:lang w:val="es-ES_tradnl" w:eastAsia="es-ES"/>
        </w:rPr>
        <w:t xml:space="preserve"> establece que </w:t>
      </w:r>
      <w:r w:rsidRPr="00470CF3">
        <w:rPr>
          <w:rFonts w:ascii="Verdana" w:eastAsia="Calibri" w:hAnsi="Verdana" w:cs="Arial"/>
          <w:lang w:val="es-ES_tradnl"/>
        </w:rPr>
        <w:t xml:space="preserve">una sociedad podrá ser considerada como un emprendimiento o empresa de mujeres cuando más del cincuenta por ciento (50%) de sus acciones, partes de interés o cuotas de participación, pertenezcan a mujeres. Sin embargo, el supuesto de hecho de la norma transcrita, adicionalmente, exige que la titularidad de tal participación haya pertenecido a mujeres, por lo menos, durante el año anterior a la fecha de cierre del proceso de selección. </w:t>
      </w:r>
    </w:p>
    <w:p w14:paraId="434FE502" w14:textId="77777777" w:rsidR="0002184C" w:rsidRPr="00470CF3" w:rsidRDefault="0002184C" w:rsidP="0002184C">
      <w:pPr>
        <w:spacing w:after="120" w:line="276" w:lineRule="auto"/>
        <w:ind w:firstLine="709"/>
        <w:jc w:val="both"/>
        <w:rPr>
          <w:rFonts w:ascii="Verdana" w:eastAsia="Calibri" w:hAnsi="Verdana" w:cs="Arial"/>
          <w:lang w:val="es-ES"/>
        </w:rPr>
      </w:pPr>
      <w:r w:rsidRPr="77DDC22B">
        <w:rPr>
          <w:rFonts w:ascii="Verdana" w:eastAsia="Calibri" w:hAnsi="Verdana" w:cs="Arial"/>
          <w:lang w:val="es-ES"/>
        </w:rPr>
        <w:t>Esto quiere decir que, no basta con que la participación en una sociedad sea mayoritariamente de mujeres para que sea considerada como un emprendimiento o empresa a los que se refiere la norma, sino que además es necesario que dicha participación mayoritaria se haya mantenido como mínimo durante el periodo de un (1) año, contado a partir de la fecha de cierre del proceso de selección. De esta manera, el primer criterio establecido en la norma para definir los emprendimientos y empresas de mujeres deja por fuera de dicha categoría a aquellas sociedades que, a pesar de contar con la participación mayoritaria de mujeres, no cuenten con el requerimiento del tiempo mínimo de un (1) año.</w:t>
      </w:r>
    </w:p>
    <w:p w14:paraId="6B114A14" w14:textId="77777777" w:rsidR="0002184C" w:rsidRPr="00470CF3" w:rsidRDefault="0002184C" w:rsidP="0002184C">
      <w:pPr>
        <w:spacing w:after="120" w:line="276" w:lineRule="auto"/>
        <w:ind w:firstLine="709"/>
        <w:jc w:val="both"/>
        <w:rPr>
          <w:rFonts w:ascii="Verdana" w:hAnsi="Verdana" w:cs="Arial"/>
          <w:lang w:val="es-ES_tradnl" w:eastAsia="es-ES"/>
        </w:rPr>
      </w:pPr>
      <w:r w:rsidRPr="00470CF3">
        <w:rPr>
          <w:rFonts w:ascii="Verdana" w:eastAsia="Calibri" w:hAnsi="Verdana" w:cs="Arial"/>
          <w:lang w:val="es-ES_tradnl"/>
        </w:rPr>
        <w:t xml:space="preserve">Así mismo, debe precisarse que la participación mayoritaria de mujeres </w:t>
      </w:r>
      <w:r w:rsidRPr="00470CF3">
        <w:rPr>
          <w:rFonts w:ascii="Verdana" w:hAnsi="Verdana" w:cs="Arial"/>
        </w:rPr>
        <w:t xml:space="preserve">puede ser ejercida por diferentes personas durante el último año, siempre que durante dicho periodo la participación </w:t>
      </w:r>
      <w:r w:rsidRPr="00470CF3">
        <w:rPr>
          <w:rFonts w:ascii="Verdana" w:hAnsi="Verdana" w:cs="Arial"/>
          <w:i/>
          <w:iCs/>
        </w:rPr>
        <w:t>mayoritaria</w:t>
      </w:r>
      <w:r w:rsidRPr="00470CF3">
        <w:rPr>
          <w:rFonts w:ascii="Verdana" w:hAnsi="Verdana" w:cs="Arial"/>
        </w:rPr>
        <w:t xml:space="preserve"> de mujeres se haya mantenido, aunque se trate de mujeres distintas. En tal sentido, se cumple con la norma, toda vez que la finalidad y alcance es que la titularidad mayoritaria por un (1) año sea ejercida por mujeres, a pesar de que cambien las propietarias de las partes de interés o cuotas de participación. </w:t>
      </w:r>
    </w:p>
    <w:p w14:paraId="1153BEA1" w14:textId="77777777" w:rsidR="0002184C" w:rsidRPr="00470CF3" w:rsidRDefault="0002184C" w:rsidP="0002184C">
      <w:pPr>
        <w:shd w:val="clear" w:color="auto" w:fill="FFFFFF"/>
        <w:spacing w:after="120" w:line="276" w:lineRule="auto"/>
        <w:ind w:right="-93" w:firstLine="709"/>
        <w:jc w:val="both"/>
        <w:textAlignment w:val="baseline"/>
        <w:rPr>
          <w:rFonts w:ascii="Verdana" w:hAnsi="Verdana" w:cs="Arial"/>
        </w:rPr>
      </w:pPr>
      <w:r w:rsidRPr="00470CF3">
        <w:rPr>
          <w:rFonts w:ascii="Verdana" w:hAnsi="Verdana" w:cs="Arial"/>
        </w:rPr>
        <w:lastRenderedPageBreak/>
        <w:t xml:space="preserve">Como medio para la acreditación de este criterio, señala la normativa referida que: </w:t>
      </w:r>
      <w:r w:rsidRPr="00470CF3">
        <w:rPr>
          <w:rFonts w:ascii="Verdana" w:eastAsia="Times New Roman" w:hAnsi="Verdana" w:cs="Arial"/>
          <w:i/>
          <w:lang w:val="es-ES_tradnl" w:eastAsia="es-ES"/>
        </w:rPr>
        <w:t>“</w:t>
      </w:r>
      <w:r w:rsidRPr="00470CF3">
        <w:rPr>
          <w:rFonts w:ascii="Verdana" w:hAnsi="Verdana" w:cs="Arial"/>
          <w:i/>
        </w:rPr>
        <w:t>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r w:rsidRPr="00470CF3">
        <w:rPr>
          <w:rFonts w:ascii="Verdana" w:eastAsia="Times New Roman" w:hAnsi="Verdana" w:cs="Arial"/>
          <w:i/>
          <w:lang w:val="es-ES_tradnl" w:eastAsia="es-ES"/>
        </w:rPr>
        <w:t>”</w:t>
      </w:r>
      <w:r w:rsidRPr="00470CF3">
        <w:rPr>
          <w:rFonts w:ascii="Verdana" w:hAnsi="Verdana" w:cs="Arial"/>
        </w:rPr>
        <w:t>.</w:t>
      </w:r>
    </w:p>
    <w:p w14:paraId="54C4E68D" w14:textId="77777777" w:rsidR="0002184C" w:rsidRPr="00470CF3" w:rsidRDefault="0002184C" w:rsidP="0002184C">
      <w:pPr>
        <w:spacing w:after="120" w:line="276" w:lineRule="auto"/>
        <w:ind w:firstLine="709"/>
        <w:jc w:val="both"/>
        <w:rPr>
          <w:rFonts w:ascii="Verdana" w:eastAsia="Calibri" w:hAnsi="Verdana" w:cs="Arial"/>
          <w:lang w:val="es-ES" w:eastAsia="es-ES"/>
        </w:rPr>
      </w:pPr>
      <w:r w:rsidRPr="77DDC22B">
        <w:rPr>
          <w:rFonts w:ascii="Verdana" w:eastAsia="Calibri" w:hAnsi="Verdana" w:cs="Arial"/>
          <w:lang w:val="es-ES" w:eastAsia="es-ES"/>
        </w:rPr>
        <w:t xml:space="preserve">De acuerdo con la revisión de todos los numerales del artículo 2.2.1.2.4.2.14 es posible advertir que para cada uno de estos fueron expresamente establecidos los documentos que sirven como medio para su acreditación. De este modo dichos documentos constituyen una tarifa legal probatoria para demostrar que los proponentes son emprendimientos o empresas de mujeres y que, por lo tanto, tienen derecho a la aplicación de los criterios diferenciales reglamentados por el artículo 2.2.1.2.4.2.15 del Decreto 1082 de 2015, en desarrollo del artículo 32 de la Ley 2069 de 2020. Esto significa que a quienes pretendan acceder a tales beneficios en consideración a las definiciones establecidas en el numeral </w:t>
      </w:r>
      <w:r w:rsidRPr="77DDC22B">
        <w:rPr>
          <w:rFonts w:ascii="Verdana" w:eastAsia="Calibri" w:hAnsi="Verdana" w:cs="Arial"/>
          <w:i/>
          <w:lang w:val="es-ES" w:eastAsia="es-ES"/>
        </w:rPr>
        <w:t>primero</w:t>
      </w:r>
      <w:r w:rsidRPr="77DDC22B">
        <w:rPr>
          <w:rFonts w:ascii="Verdana" w:eastAsia="Calibri" w:hAnsi="Verdana" w:cs="Arial"/>
          <w:lang w:val="es-ES" w:eastAsia="es-ES"/>
        </w:rPr>
        <w:t xml:space="preserve"> del artículo 2.2.1.2.4.2.14, les corresponde presentar la mencionada certificación con sus respectivos soportes.</w:t>
      </w:r>
    </w:p>
    <w:p w14:paraId="36F7B2A4" w14:textId="39254B44" w:rsidR="00BE70A8" w:rsidRDefault="0002184C" w:rsidP="607FDB73">
      <w:pPr>
        <w:spacing w:after="120" w:line="276" w:lineRule="auto"/>
        <w:ind w:firstLine="709"/>
        <w:jc w:val="both"/>
        <w:rPr>
          <w:rFonts w:ascii="Verdana" w:eastAsia="Calibri" w:hAnsi="Verdana" w:cs="Arial"/>
          <w:lang w:val="es-ES" w:eastAsia="es-ES"/>
        </w:rPr>
      </w:pPr>
      <w:r w:rsidRPr="607FDB73">
        <w:rPr>
          <w:rFonts w:ascii="Verdana" w:eastAsia="Calibri" w:hAnsi="Verdana" w:cs="Arial"/>
          <w:lang w:val="es-ES" w:eastAsia="es-ES"/>
        </w:rPr>
        <w:t>En atención a la pregunta planteada, debe señalarse que,</w:t>
      </w:r>
      <w:r w:rsidR="009F03C9" w:rsidRPr="607FDB73">
        <w:rPr>
          <w:rFonts w:ascii="Verdana" w:eastAsia="Calibri" w:hAnsi="Verdana" w:cs="Arial"/>
          <w:lang w:val="es-ES" w:eastAsia="es-ES"/>
        </w:rPr>
        <w:t xml:space="preserve"> </w:t>
      </w:r>
      <w:r w:rsidR="00CF684B" w:rsidRPr="607FDB73">
        <w:rPr>
          <w:rFonts w:ascii="Verdana" w:eastAsia="Calibri" w:hAnsi="Verdana" w:cs="Arial"/>
          <w:lang w:val="es-ES" w:eastAsia="es-ES"/>
        </w:rPr>
        <w:t>de acuerdo con el artículo 98 del Código de Comercio</w:t>
      </w:r>
      <w:r w:rsidR="004F731F">
        <w:rPr>
          <w:rStyle w:val="Refdenotaalpie"/>
          <w:rFonts w:ascii="Verdana" w:eastAsia="Calibri" w:hAnsi="Verdana" w:cs="Arial"/>
          <w:lang w:val="es-ES_tradnl" w:eastAsia="es-ES_tradnl"/>
        </w:rPr>
        <w:footnoteReference w:id="9"/>
      </w:r>
      <w:r w:rsidR="00CF684B" w:rsidRPr="607FDB73">
        <w:rPr>
          <w:rFonts w:ascii="Verdana" w:eastAsia="Calibri" w:hAnsi="Verdana" w:cs="Arial"/>
          <w:lang w:val="es-ES" w:eastAsia="es-ES"/>
        </w:rPr>
        <w:t xml:space="preserve">, </w:t>
      </w:r>
      <w:r w:rsidR="002A2588" w:rsidRPr="607FDB73">
        <w:rPr>
          <w:rFonts w:ascii="Verdana" w:eastAsia="Calibri" w:hAnsi="Verdana" w:cs="Arial"/>
          <w:lang w:val="es-ES" w:eastAsia="es-ES"/>
        </w:rPr>
        <w:t>las sociedades legalmente constituidas conforman</w:t>
      </w:r>
      <w:r w:rsidR="004F731F" w:rsidRPr="607FDB73">
        <w:rPr>
          <w:rFonts w:ascii="Verdana" w:eastAsia="Calibri" w:hAnsi="Verdana" w:cs="Arial"/>
          <w:lang w:val="es-ES" w:eastAsia="es-ES"/>
        </w:rPr>
        <w:t xml:space="preserve"> una persona </w:t>
      </w:r>
      <w:r w:rsidR="005E42AD" w:rsidRPr="607FDB73">
        <w:rPr>
          <w:rFonts w:ascii="Verdana" w:eastAsia="Calibri" w:hAnsi="Verdana" w:cs="Arial"/>
          <w:lang w:val="es-ES" w:eastAsia="es-ES"/>
        </w:rPr>
        <w:t>jurídica</w:t>
      </w:r>
      <w:r w:rsidR="004F731F" w:rsidRPr="607FDB73">
        <w:rPr>
          <w:rFonts w:ascii="Verdana" w:eastAsia="Calibri" w:hAnsi="Verdana" w:cs="Arial"/>
          <w:lang w:val="es-ES" w:eastAsia="es-ES"/>
        </w:rPr>
        <w:t xml:space="preserve"> distinta de los socios</w:t>
      </w:r>
      <w:r w:rsidR="00DD1FDE" w:rsidRPr="607FDB73">
        <w:rPr>
          <w:rFonts w:ascii="Verdana" w:eastAsia="Calibri" w:hAnsi="Verdana" w:cs="Arial"/>
          <w:lang w:val="es-ES" w:eastAsia="es-ES"/>
        </w:rPr>
        <w:t xml:space="preserve"> o accionistas que la </w:t>
      </w:r>
      <w:r w:rsidR="00452DA0" w:rsidRPr="607FDB73">
        <w:rPr>
          <w:rFonts w:ascii="Verdana" w:eastAsia="Calibri" w:hAnsi="Verdana" w:cs="Arial"/>
          <w:lang w:val="es-ES" w:eastAsia="es-ES"/>
        </w:rPr>
        <w:t>integran</w:t>
      </w:r>
      <w:r w:rsidR="00DD1FDE" w:rsidRPr="607FDB73">
        <w:rPr>
          <w:rFonts w:ascii="Verdana" w:eastAsia="Calibri" w:hAnsi="Verdana" w:cs="Arial"/>
          <w:lang w:val="es-ES" w:eastAsia="es-ES"/>
        </w:rPr>
        <w:t xml:space="preserve">. En ese sentido, respecto al evento en su consulta, </w:t>
      </w:r>
      <w:r w:rsidR="009B52EC" w:rsidRPr="607FDB73">
        <w:rPr>
          <w:rFonts w:ascii="Verdana" w:eastAsia="Calibri" w:hAnsi="Verdana" w:cs="Arial"/>
          <w:lang w:val="es-ES" w:eastAsia="es-ES"/>
        </w:rPr>
        <w:t>es necesario distinguir entre</w:t>
      </w:r>
      <w:r w:rsidR="00DD1FDE" w:rsidRPr="607FDB73">
        <w:rPr>
          <w:rFonts w:ascii="Verdana" w:eastAsia="Calibri" w:hAnsi="Verdana" w:cs="Arial"/>
          <w:lang w:val="es-ES" w:eastAsia="es-ES"/>
        </w:rPr>
        <w:t xml:space="preserve"> la persona </w:t>
      </w:r>
      <w:r w:rsidR="005E42AD" w:rsidRPr="607FDB73">
        <w:rPr>
          <w:rFonts w:ascii="Verdana" w:eastAsia="Calibri" w:hAnsi="Verdana" w:cs="Arial"/>
          <w:lang w:val="es-ES" w:eastAsia="es-ES"/>
        </w:rPr>
        <w:t>jurídica</w:t>
      </w:r>
      <w:r w:rsidR="00DD1FDE" w:rsidRPr="607FDB73">
        <w:rPr>
          <w:rFonts w:ascii="Verdana" w:eastAsia="Calibri" w:hAnsi="Verdana" w:cs="Arial"/>
          <w:lang w:val="es-ES" w:eastAsia="es-ES"/>
        </w:rPr>
        <w:t xml:space="preserve"> </w:t>
      </w:r>
      <w:r w:rsidR="00F31A0E" w:rsidRPr="607FDB73">
        <w:rPr>
          <w:rFonts w:ascii="Verdana" w:eastAsia="Calibri" w:hAnsi="Verdana" w:cs="Arial"/>
          <w:lang w:val="es-ES" w:eastAsia="es-ES"/>
        </w:rPr>
        <w:t xml:space="preserve">y los socios que hacen parte de ella. Por ello, </w:t>
      </w:r>
      <w:r w:rsidR="007D5FD3" w:rsidRPr="607FDB73">
        <w:rPr>
          <w:rFonts w:ascii="Verdana" w:eastAsia="Calibri" w:hAnsi="Verdana" w:cs="Arial"/>
          <w:lang w:val="es-ES" w:eastAsia="es-ES"/>
        </w:rPr>
        <w:t xml:space="preserve">en el marco de un proceso de contratación deberá determinarse </w:t>
      </w:r>
      <w:r w:rsidR="00532F40" w:rsidRPr="607FDB73">
        <w:rPr>
          <w:rFonts w:ascii="Verdana" w:eastAsia="Calibri" w:hAnsi="Verdana" w:cs="Arial"/>
          <w:lang w:val="es-ES" w:eastAsia="es-ES"/>
        </w:rPr>
        <w:t xml:space="preserve">la calidad de la persona que funge como proponente, </w:t>
      </w:r>
      <w:r w:rsidR="002B60D5" w:rsidRPr="607FDB73">
        <w:rPr>
          <w:rFonts w:ascii="Verdana" w:eastAsia="Calibri" w:hAnsi="Verdana" w:cs="Arial"/>
          <w:lang w:val="es-ES" w:eastAsia="es-ES"/>
        </w:rPr>
        <w:t xml:space="preserve">pues si el oferente es persona </w:t>
      </w:r>
      <w:r w:rsidR="005E42AD" w:rsidRPr="607FDB73">
        <w:rPr>
          <w:rFonts w:ascii="Verdana" w:eastAsia="Calibri" w:hAnsi="Verdana" w:cs="Arial"/>
          <w:lang w:val="es-ES" w:eastAsia="es-ES"/>
        </w:rPr>
        <w:t>jurídica</w:t>
      </w:r>
      <w:r w:rsidR="002B60D5" w:rsidRPr="607FDB73">
        <w:rPr>
          <w:rFonts w:ascii="Verdana" w:eastAsia="Calibri" w:hAnsi="Verdana" w:cs="Arial"/>
          <w:lang w:val="es-ES" w:eastAsia="es-ES"/>
        </w:rPr>
        <w:t xml:space="preserve"> se deberá determinar si esta</w:t>
      </w:r>
      <w:r w:rsidR="004E7233" w:rsidRPr="607FDB73">
        <w:rPr>
          <w:rFonts w:ascii="Verdana" w:eastAsia="Calibri" w:hAnsi="Verdana" w:cs="Arial"/>
          <w:lang w:val="es-ES" w:eastAsia="es-ES"/>
        </w:rPr>
        <w:t xml:space="preserve">, como persona distinta </w:t>
      </w:r>
      <w:r w:rsidR="007B4ED7" w:rsidRPr="607FDB73">
        <w:rPr>
          <w:rFonts w:ascii="Verdana" w:eastAsia="Calibri" w:hAnsi="Verdana" w:cs="Arial"/>
          <w:lang w:val="es-ES" w:eastAsia="es-ES"/>
        </w:rPr>
        <w:t>de sus socios individualmente considerados,</w:t>
      </w:r>
      <w:r w:rsidR="002B60D5" w:rsidRPr="607FDB73">
        <w:rPr>
          <w:rFonts w:ascii="Verdana" w:eastAsia="Calibri" w:hAnsi="Verdana" w:cs="Arial"/>
          <w:lang w:val="es-ES" w:eastAsia="es-ES"/>
        </w:rPr>
        <w:t xml:space="preserve"> cumple con los requisitos </w:t>
      </w:r>
      <w:r w:rsidR="00ED3A36" w:rsidRPr="607FDB73">
        <w:rPr>
          <w:rFonts w:ascii="Verdana" w:eastAsia="Calibri" w:hAnsi="Verdana" w:cs="Arial"/>
          <w:lang w:val="es-ES" w:eastAsia="es-ES"/>
        </w:rPr>
        <w:t>exigidos</w:t>
      </w:r>
      <w:r w:rsidR="009B52EC" w:rsidRPr="607FDB73">
        <w:rPr>
          <w:rFonts w:ascii="Verdana" w:eastAsia="Calibri" w:hAnsi="Verdana" w:cs="Arial"/>
          <w:lang w:val="es-ES" w:eastAsia="es-ES"/>
        </w:rPr>
        <w:t xml:space="preserve"> no solo para participar en el proceso sino también para ser acreedor de los </w:t>
      </w:r>
      <w:r w:rsidR="00163691" w:rsidRPr="607FDB73">
        <w:rPr>
          <w:rFonts w:ascii="Verdana" w:eastAsia="Calibri" w:hAnsi="Verdana" w:cs="Arial"/>
          <w:lang w:val="es-ES" w:eastAsia="es-ES"/>
        </w:rPr>
        <w:t>criterios establecidos</w:t>
      </w:r>
      <w:r w:rsidR="004E7233" w:rsidRPr="607FDB73">
        <w:rPr>
          <w:rFonts w:ascii="Verdana" w:eastAsia="Calibri" w:hAnsi="Verdana" w:cs="Arial"/>
          <w:lang w:val="es-ES" w:eastAsia="es-ES"/>
        </w:rPr>
        <w:t>.</w:t>
      </w:r>
    </w:p>
    <w:p w14:paraId="30D2B02C" w14:textId="6B92B1E7" w:rsidR="00BE70A8" w:rsidRPr="00470CF3" w:rsidRDefault="00BE70A8" w:rsidP="00BE70A8">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t xml:space="preserve">En este punto, </w:t>
      </w:r>
      <w:r w:rsidR="007B4ED7">
        <w:rPr>
          <w:rFonts w:ascii="Verdana" w:eastAsia="Calibri" w:hAnsi="Verdana" w:cs="Arial"/>
          <w:lang w:val="es-ES_tradnl" w:eastAsia="es-ES_tradnl"/>
        </w:rPr>
        <w:t xml:space="preserve">dado que hace referencia a que </w:t>
      </w:r>
      <w:r w:rsidR="00F113BB">
        <w:rPr>
          <w:rFonts w:ascii="Verdana" w:eastAsia="Calibri" w:hAnsi="Verdana" w:cs="Arial"/>
          <w:lang w:val="es-ES_tradnl" w:eastAsia="es-ES_tradnl"/>
        </w:rPr>
        <w:t xml:space="preserve">una de las accionistas de empresa es mujer menor de edad, </w:t>
      </w:r>
      <w:r>
        <w:rPr>
          <w:rFonts w:ascii="Verdana" w:eastAsia="Calibri" w:hAnsi="Verdana" w:cs="Arial"/>
          <w:lang w:val="es-ES_tradnl" w:eastAsia="es-ES_tradnl"/>
        </w:rPr>
        <w:t xml:space="preserve">es importante referirse a la capacidad </w:t>
      </w:r>
      <w:r w:rsidR="005E42AD">
        <w:rPr>
          <w:rFonts w:ascii="Verdana" w:eastAsia="Calibri" w:hAnsi="Verdana" w:cs="Arial"/>
          <w:lang w:val="es-ES_tradnl" w:eastAsia="es-ES_tradnl"/>
        </w:rPr>
        <w:t>jurídica</w:t>
      </w:r>
      <w:r>
        <w:rPr>
          <w:rFonts w:ascii="Verdana" w:eastAsia="Calibri" w:hAnsi="Verdana" w:cs="Arial"/>
          <w:lang w:val="es-ES_tradnl" w:eastAsia="es-ES_tradnl"/>
        </w:rPr>
        <w:t xml:space="preserve">. </w:t>
      </w:r>
      <w:r w:rsidR="00F113BB">
        <w:rPr>
          <w:rFonts w:ascii="Verdana" w:eastAsia="Calibri" w:hAnsi="Verdana" w:cs="Arial"/>
          <w:lang w:val="es-ES_tradnl" w:eastAsia="es-ES_tradnl"/>
        </w:rPr>
        <w:t xml:space="preserve">La capacidad </w:t>
      </w:r>
      <w:r w:rsidR="005E42AD">
        <w:rPr>
          <w:rFonts w:ascii="Verdana" w:eastAsia="Calibri" w:hAnsi="Verdana" w:cs="Arial"/>
          <w:lang w:val="es-ES_tradnl" w:eastAsia="es-ES_tradnl"/>
        </w:rPr>
        <w:t>jurídica</w:t>
      </w:r>
      <w:r w:rsidR="00F113BB">
        <w:rPr>
          <w:rFonts w:ascii="Verdana" w:eastAsia="Calibri" w:hAnsi="Verdana" w:cs="Arial"/>
          <w:lang w:val="es-ES_tradnl" w:eastAsia="es-ES_tradnl"/>
        </w:rPr>
        <w:t xml:space="preserve"> </w:t>
      </w:r>
      <w:r>
        <w:rPr>
          <w:rFonts w:ascii="Verdana" w:eastAsia="Calibri" w:hAnsi="Verdana" w:cs="Arial"/>
          <w:lang w:val="es-ES_tradnl" w:eastAsia="es-ES_tradnl"/>
        </w:rPr>
        <w:t xml:space="preserve">es </w:t>
      </w:r>
      <w:r w:rsidRPr="00916710">
        <w:rPr>
          <w:rFonts w:ascii="Verdana" w:eastAsia="Calibri" w:hAnsi="Verdana" w:cs="Arial"/>
          <w:lang w:eastAsia="es-ES_tradnl"/>
        </w:rPr>
        <w:t>entendida como la aptitud de un sujeto para ser titular de derecho y obligaciones, de ejercer o exigir los primeros y contraer las segundas en forma personal y de comparecer en juicio.</w:t>
      </w:r>
      <w:r>
        <w:rPr>
          <w:rFonts w:ascii="Verdana" w:eastAsia="Calibri" w:hAnsi="Verdana" w:cs="Arial"/>
          <w:lang w:eastAsia="es-ES_tradnl"/>
        </w:rPr>
        <w:t xml:space="preserve"> Así, l</w:t>
      </w:r>
      <w:r w:rsidRPr="00916710">
        <w:rPr>
          <w:rFonts w:ascii="Verdana" w:eastAsia="Calibri" w:hAnsi="Verdana" w:cs="Arial"/>
          <w:lang w:eastAsia="es-ES_tradnl"/>
        </w:rPr>
        <w:t xml:space="preserve">a capacidad </w:t>
      </w:r>
      <w:r w:rsidRPr="00916710">
        <w:rPr>
          <w:rFonts w:ascii="Verdana" w:eastAsia="Calibri" w:hAnsi="Verdana" w:cs="Arial"/>
          <w:lang w:eastAsia="es-ES_tradnl"/>
        </w:rPr>
        <w:lastRenderedPageBreak/>
        <w:t>jurídica permite crear, modificar o extinguir relaciones jurídicas de forma voluntaria y autónoma.</w:t>
      </w:r>
    </w:p>
    <w:p w14:paraId="1DBD47C0" w14:textId="07C8059D" w:rsidR="00BE70A8" w:rsidRDefault="00B25E69" w:rsidP="003C2B47">
      <w:pPr>
        <w:spacing w:after="120" w:line="276" w:lineRule="auto"/>
        <w:ind w:firstLine="709"/>
        <w:jc w:val="both"/>
        <w:rPr>
          <w:rFonts w:ascii="Verdana" w:eastAsia="Calibri" w:hAnsi="Verdana" w:cs="Arial"/>
        </w:rPr>
      </w:pPr>
      <w:r>
        <w:rPr>
          <w:rFonts w:ascii="Verdana" w:eastAsia="Calibri" w:hAnsi="Verdana" w:cs="Arial"/>
        </w:rPr>
        <w:t xml:space="preserve">De acuerdo con el </w:t>
      </w:r>
      <w:r w:rsidR="003C2B47" w:rsidRPr="003C2B47">
        <w:rPr>
          <w:rFonts w:ascii="Verdana" w:eastAsia="Calibri" w:hAnsi="Verdana" w:cs="Arial"/>
        </w:rPr>
        <w:t>Manual para determinar y verificar los requisitos</w:t>
      </w:r>
      <w:r w:rsidR="003C2B47">
        <w:rPr>
          <w:rFonts w:ascii="Verdana" w:eastAsia="Calibri" w:hAnsi="Verdana" w:cs="Arial"/>
        </w:rPr>
        <w:t xml:space="preserve"> </w:t>
      </w:r>
      <w:r w:rsidR="003C2B47" w:rsidRPr="003C2B47">
        <w:rPr>
          <w:rFonts w:ascii="Verdana" w:eastAsia="Calibri" w:hAnsi="Verdana" w:cs="Arial"/>
        </w:rPr>
        <w:t>habilitantes en los Procesos de Contratación</w:t>
      </w:r>
      <w:r w:rsidR="003C2B47">
        <w:rPr>
          <w:rFonts w:ascii="Verdana" w:eastAsia="Calibri" w:hAnsi="Verdana" w:cs="Arial"/>
        </w:rPr>
        <w:t>”</w:t>
      </w:r>
      <w:r w:rsidR="00BE70A8" w:rsidRPr="00DD3839">
        <w:rPr>
          <w:rFonts w:ascii="Verdana" w:eastAsia="Calibri" w:hAnsi="Verdana" w:cs="Arial"/>
        </w:rPr>
        <w:t>, la capacidad jurídica es la facultad que tiene una persona natural o jurídica para celebrar contratos con una Entidad Estatal, es decir, i) la capacidad de obligarse a cumplir el objeto del contrato y ii) de no estar incursa en inhabilidades o incompatibilidades que impidan la celebración del contrato.</w:t>
      </w:r>
    </w:p>
    <w:p w14:paraId="01765A55" w14:textId="4CCFCE71" w:rsidR="00BE70A8" w:rsidRDefault="00BE70A8" w:rsidP="00BE70A8">
      <w:pPr>
        <w:spacing w:after="120" w:line="276" w:lineRule="auto"/>
        <w:ind w:firstLine="709"/>
        <w:jc w:val="both"/>
        <w:rPr>
          <w:rFonts w:ascii="Verdana" w:eastAsia="Calibri" w:hAnsi="Verdana" w:cs="Arial"/>
        </w:rPr>
      </w:pPr>
      <w:r>
        <w:rPr>
          <w:rFonts w:ascii="Verdana" w:eastAsia="Calibri" w:hAnsi="Verdana" w:cs="Arial"/>
        </w:rPr>
        <w:t xml:space="preserve">Tratándose de personas naturales la capacidad </w:t>
      </w:r>
      <w:r w:rsidR="005E42AD">
        <w:rPr>
          <w:rFonts w:ascii="Verdana" w:eastAsia="Calibri" w:hAnsi="Verdana" w:cs="Arial"/>
        </w:rPr>
        <w:t>jurídica</w:t>
      </w:r>
      <w:r>
        <w:rPr>
          <w:rFonts w:ascii="Verdana" w:eastAsia="Calibri" w:hAnsi="Verdana" w:cs="Arial"/>
        </w:rPr>
        <w:t xml:space="preserve"> para contratar la tienen los mayores de edad, </w:t>
      </w:r>
      <w:r w:rsidRPr="009E415C">
        <w:rPr>
          <w:rFonts w:ascii="Verdana" w:eastAsia="Calibri" w:hAnsi="Verdana" w:cs="Arial"/>
        </w:rPr>
        <w:t>a menos que por disposición expresa se encuentren limitados por decisión judicial, como la interdicción judicial, y que no estén incursas en inhabilidades, incompatibilidades o prohibiciones para contratar derivadas de la ley.</w:t>
      </w:r>
      <w:r>
        <w:rPr>
          <w:rFonts w:ascii="Verdana" w:eastAsia="Calibri" w:hAnsi="Verdana" w:cs="Arial"/>
        </w:rPr>
        <w:t xml:space="preserve"> En el caso de las personas jurídicas, su capacidad </w:t>
      </w:r>
      <w:r w:rsidR="005E42AD">
        <w:rPr>
          <w:rFonts w:ascii="Verdana" w:eastAsia="Calibri" w:hAnsi="Verdana" w:cs="Arial"/>
        </w:rPr>
        <w:t>jurídica</w:t>
      </w:r>
      <w:r>
        <w:rPr>
          <w:rFonts w:ascii="Verdana" w:eastAsia="Calibri" w:hAnsi="Verdana" w:cs="Arial"/>
        </w:rPr>
        <w:t xml:space="preserve"> </w:t>
      </w:r>
      <w:r w:rsidRPr="006A6102">
        <w:rPr>
          <w:rFonts w:ascii="Verdana" w:eastAsia="Calibri" w:hAnsi="Verdana" w:cs="Arial"/>
        </w:rPr>
        <w:t>está relacionada con: (i) la posibilidad de adelantar actividades en el marco de su objeto social; (ii) las facultades de su representante legal y la autorización del órgano social competente cuando esto es necesario de acuerdo con sus estatutos; y (iii) la ausencia de inhabilidades, incompatibilidades, conflicto de intereses o prohibiciones para contratar, derivadas de la ley.</w:t>
      </w:r>
    </w:p>
    <w:p w14:paraId="2710ACE0" w14:textId="3F4E5B35" w:rsidR="00D0578A" w:rsidRDefault="00BE70A8" w:rsidP="00047B09">
      <w:pPr>
        <w:spacing w:after="120" w:line="276" w:lineRule="auto"/>
        <w:ind w:firstLine="709"/>
        <w:jc w:val="both"/>
        <w:rPr>
          <w:rFonts w:ascii="Verdana" w:eastAsia="Calibri" w:hAnsi="Verdana" w:cs="Arial"/>
        </w:rPr>
      </w:pPr>
      <w:r>
        <w:rPr>
          <w:rFonts w:ascii="Verdana" w:eastAsia="Calibri" w:hAnsi="Verdana" w:cs="Arial"/>
        </w:rPr>
        <w:t>Así las cosas,</w:t>
      </w:r>
      <w:r w:rsidR="00894045">
        <w:rPr>
          <w:rFonts w:ascii="Verdana" w:eastAsia="Calibri" w:hAnsi="Verdana" w:cs="Arial"/>
        </w:rPr>
        <w:t xml:space="preserve"> si bien los menores de edad no tienen capacidad </w:t>
      </w:r>
      <w:r w:rsidR="005E42AD">
        <w:rPr>
          <w:rFonts w:ascii="Verdana" w:eastAsia="Calibri" w:hAnsi="Verdana" w:cs="Arial"/>
        </w:rPr>
        <w:t>jurídica</w:t>
      </w:r>
      <w:r w:rsidR="00894045">
        <w:rPr>
          <w:rFonts w:ascii="Verdana" w:eastAsia="Calibri" w:hAnsi="Verdana" w:cs="Arial"/>
        </w:rPr>
        <w:t xml:space="preserve"> para contratar con el Estado, lo cierto es que </w:t>
      </w:r>
      <w:r>
        <w:rPr>
          <w:rFonts w:ascii="Verdana" w:eastAsia="Calibri" w:hAnsi="Verdana" w:cs="Arial"/>
        </w:rPr>
        <w:t xml:space="preserve">el </w:t>
      </w:r>
      <w:r w:rsidR="00251417">
        <w:rPr>
          <w:rFonts w:ascii="Verdana" w:eastAsia="Calibri" w:hAnsi="Verdana" w:cs="Arial"/>
        </w:rPr>
        <w:t xml:space="preserve">primer </w:t>
      </w:r>
      <w:r>
        <w:rPr>
          <w:rFonts w:ascii="Verdana" w:eastAsia="Calibri" w:hAnsi="Verdana" w:cs="Arial"/>
        </w:rPr>
        <w:t>supuesto</w:t>
      </w:r>
      <w:r w:rsidR="00251417">
        <w:rPr>
          <w:rFonts w:ascii="Verdana" w:eastAsia="Calibri" w:hAnsi="Verdana" w:cs="Arial"/>
        </w:rPr>
        <w:t xml:space="preserve"> del artículo </w:t>
      </w:r>
      <w:r w:rsidR="00251417" w:rsidRPr="00470CF3">
        <w:rPr>
          <w:rFonts w:ascii="Verdana" w:eastAsia="Calibri" w:hAnsi="Verdana" w:cs="Arial"/>
          <w:lang w:eastAsia="es-ES_tradnl"/>
        </w:rPr>
        <w:t>2.2.1.2.4.2.14.</w:t>
      </w:r>
      <w:r w:rsidR="00251417">
        <w:rPr>
          <w:rFonts w:ascii="Verdana" w:eastAsia="Calibri" w:hAnsi="Verdana" w:cs="Arial"/>
          <w:lang w:eastAsia="es-ES_tradnl"/>
        </w:rPr>
        <w:t xml:space="preserve"> del Decreto 1082 de 2015</w:t>
      </w:r>
      <w:r>
        <w:rPr>
          <w:rFonts w:ascii="Verdana" w:eastAsia="Calibri" w:hAnsi="Verdana" w:cs="Arial"/>
        </w:rPr>
        <w:t xml:space="preserve"> contempla el concepto de emprendimientos y empresas de mujeres cuando se trate de personas jurídicas</w:t>
      </w:r>
      <w:r w:rsidR="00894045">
        <w:rPr>
          <w:rFonts w:ascii="Verdana" w:eastAsia="Calibri" w:hAnsi="Verdana" w:cs="Arial"/>
        </w:rPr>
        <w:t xml:space="preserve">. </w:t>
      </w:r>
      <w:r w:rsidR="00FA001F">
        <w:rPr>
          <w:rFonts w:ascii="Verdana" w:eastAsia="Calibri" w:hAnsi="Verdana" w:cs="Arial"/>
        </w:rPr>
        <w:t>E</w:t>
      </w:r>
      <w:r>
        <w:rPr>
          <w:rFonts w:ascii="Verdana" w:eastAsia="Calibri" w:hAnsi="Verdana" w:cs="Arial"/>
        </w:rPr>
        <w:t xml:space="preserve">n ese sentido, el análisis que se haga respecto a la capacidad </w:t>
      </w:r>
      <w:r w:rsidR="005E42AD">
        <w:rPr>
          <w:rFonts w:ascii="Verdana" w:eastAsia="Calibri" w:hAnsi="Verdana" w:cs="Arial"/>
        </w:rPr>
        <w:t>jurídica</w:t>
      </w:r>
      <w:r w:rsidR="00FA001F">
        <w:rPr>
          <w:rFonts w:ascii="Verdana" w:eastAsia="Calibri" w:hAnsi="Verdana" w:cs="Arial"/>
        </w:rPr>
        <w:t xml:space="preserve"> del </w:t>
      </w:r>
      <w:r w:rsidR="00D0578A">
        <w:rPr>
          <w:rFonts w:ascii="Verdana" w:eastAsia="Calibri" w:hAnsi="Verdana" w:cs="Arial"/>
        </w:rPr>
        <w:t>proponente debe</w:t>
      </w:r>
      <w:r>
        <w:rPr>
          <w:rFonts w:ascii="Verdana" w:eastAsia="Calibri" w:hAnsi="Verdana" w:cs="Arial"/>
        </w:rPr>
        <w:t xml:space="preserve"> ser frente a la persona </w:t>
      </w:r>
      <w:r w:rsidR="005E42AD">
        <w:rPr>
          <w:rFonts w:ascii="Verdana" w:eastAsia="Calibri" w:hAnsi="Verdana" w:cs="Arial"/>
        </w:rPr>
        <w:t>jurídica</w:t>
      </w:r>
      <w:r>
        <w:rPr>
          <w:rFonts w:ascii="Verdana" w:eastAsia="Calibri" w:hAnsi="Verdana" w:cs="Arial"/>
        </w:rPr>
        <w:t xml:space="preserve"> y no frente a sus socios, accionistas. </w:t>
      </w:r>
    </w:p>
    <w:p w14:paraId="2074BF01" w14:textId="22A51064" w:rsidR="00BE70A8" w:rsidRDefault="00F63405" w:rsidP="0076444E">
      <w:pPr>
        <w:spacing w:after="120" w:line="276" w:lineRule="auto"/>
        <w:ind w:firstLine="709"/>
        <w:jc w:val="both"/>
        <w:rPr>
          <w:rFonts w:ascii="Verdana" w:eastAsia="Calibri" w:hAnsi="Verdana" w:cs="Arial"/>
          <w:lang w:val="es-ES_tradnl" w:eastAsia="es-ES_tradnl"/>
        </w:rPr>
      </w:pPr>
      <w:r>
        <w:rPr>
          <w:rFonts w:ascii="Verdana" w:eastAsia="Calibri" w:hAnsi="Verdana" w:cs="Arial"/>
        </w:rPr>
        <w:t xml:space="preserve">Ahora bien, la capacidad </w:t>
      </w:r>
      <w:r w:rsidR="005E42AD">
        <w:rPr>
          <w:rFonts w:ascii="Verdana" w:eastAsia="Calibri" w:hAnsi="Verdana" w:cs="Arial"/>
        </w:rPr>
        <w:t>jurídica</w:t>
      </w:r>
      <w:r>
        <w:rPr>
          <w:rFonts w:ascii="Verdana" w:eastAsia="Calibri" w:hAnsi="Verdana" w:cs="Arial"/>
        </w:rPr>
        <w:t xml:space="preserve"> es diferente a la aplicación de los criterios diferenciales que en materia de contratación estatal consagra el ordenamiento jurídico. En sentido</w:t>
      </w:r>
      <w:r w:rsidR="00BE70A8">
        <w:rPr>
          <w:rFonts w:ascii="Verdana" w:eastAsia="Calibri" w:hAnsi="Verdana" w:cs="Arial"/>
        </w:rPr>
        <w:t xml:space="preserve">, independientemente de que la edad de los socios, accionistas o constituyentes, tratándose de </w:t>
      </w:r>
      <w:r w:rsidR="008937DD">
        <w:rPr>
          <w:rFonts w:ascii="Verdana" w:eastAsia="Calibri" w:hAnsi="Verdana" w:cs="Arial"/>
        </w:rPr>
        <w:t>un</w:t>
      </w:r>
      <w:r w:rsidR="00BE70A8">
        <w:rPr>
          <w:rFonts w:ascii="Verdana" w:eastAsia="Calibri" w:hAnsi="Verdana" w:cs="Arial"/>
        </w:rPr>
        <w:t xml:space="preserve"> oferente </w:t>
      </w:r>
      <w:r w:rsidR="008937DD">
        <w:rPr>
          <w:rFonts w:ascii="Verdana" w:eastAsia="Calibri" w:hAnsi="Verdana" w:cs="Arial"/>
        </w:rPr>
        <w:t xml:space="preserve">que </w:t>
      </w:r>
      <w:r w:rsidR="00BE70A8">
        <w:rPr>
          <w:rFonts w:ascii="Verdana" w:eastAsia="Calibri" w:hAnsi="Verdana" w:cs="Arial"/>
        </w:rPr>
        <w:t xml:space="preserve">sea una persona </w:t>
      </w:r>
      <w:r w:rsidR="005E42AD">
        <w:rPr>
          <w:rFonts w:ascii="Verdana" w:eastAsia="Calibri" w:hAnsi="Verdana" w:cs="Arial"/>
        </w:rPr>
        <w:t>jurídica</w:t>
      </w:r>
      <w:r w:rsidR="00BE70A8">
        <w:rPr>
          <w:rFonts w:ascii="Verdana" w:eastAsia="Calibri" w:hAnsi="Verdana" w:cs="Arial"/>
        </w:rPr>
        <w:t xml:space="preserve">, para determinar si puede o no ser beneficiario de los criterios diferenciales a favor de las empresas y emprendimientos de mujeres, debe determinarse </w:t>
      </w:r>
      <w:r w:rsidR="008463D3">
        <w:rPr>
          <w:rFonts w:ascii="Verdana" w:eastAsia="Calibri" w:hAnsi="Verdana" w:cs="Arial"/>
        </w:rPr>
        <w:t xml:space="preserve">que la persona </w:t>
      </w:r>
      <w:r w:rsidR="005E42AD">
        <w:rPr>
          <w:rFonts w:ascii="Verdana" w:eastAsia="Calibri" w:hAnsi="Verdana" w:cs="Arial"/>
        </w:rPr>
        <w:t>jurídica</w:t>
      </w:r>
      <w:r w:rsidR="008463D3">
        <w:rPr>
          <w:rFonts w:ascii="Verdana" w:eastAsia="Calibri" w:hAnsi="Verdana" w:cs="Arial"/>
        </w:rPr>
        <w:t xml:space="preserve"> cumpla con los requisitos </w:t>
      </w:r>
      <w:r w:rsidR="00543BB2">
        <w:rPr>
          <w:rFonts w:ascii="Verdana" w:eastAsia="Calibri" w:hAnsi="Verdana" w:cs="Arial"/>
        </w:rPr>
        <w:t xml:space="preserve">señalados en las normas desarrolladas en el presente concepto. Nótese que el numeral primero del artículo </w:t>
      </w:r>
      <w:r w:rsidR="00543BB2" w:rsidRPr="00470CF3">
        <w:rPr>
          <w:rFonts w:ascii="Verdana" w:eastAsia="Calibri" w:hAnsi="Verdana" w:cs="Arial"/>
          <w:lang w:eastAsia="es-ES_tradnl"/>
        </w:rPr>
        <w:t>2.2.1.2.4.2.14.</w:t>
      </w:r>
      <w:r w:rsidR="00543BB2">
        <w:rPr>
          <w:rFonts w:ascii="Verdana" w:eastAsia="Calibri" w:hAnsi="Verdana" w:cs="Arial"/>
          <w:lang w:eastAsia="es-ES_tradnl"/>
        </w:rPr>
        <w:t xml:space="preserve"> del Decreto 1082 de 2015 no hace ninguna distinción en la calidad de los socios, </w:t>
      </w:r>
      <w:r w:rsidR="00BD3AD3">
        <w:rPr>
          <w:rFonts w:ascii="Verdana" w:eastAsia="Calibri" w:hAnsi="Verdana" w:cs="Arial"/>
          <w:lang w:eastAsia="es-ES_tradnl"/>
        </w:rPr>
        <w:t xml:space="preserve">diferente a que </w:t>
      </w:r>
      <w:r w:rsidR="00FF15E3">
        <w:rPr>
          <w:rFonts w:ascii="Verdana" w:eastAsia="Calibri" w:hAnsi="Verdana" w:cs="Arial"/>
          <w:lang w:eastAsia="es-ES_tradnl"/>
        </w:rPr>
        <w:t xml:space="preserve">el porcentaje de participación de mujeres y </w:t>
      </w:r>
      <w:r w:rsidR="0076444E">
        <w:rPr>
          <w:rFonts w:ascii="Verdana" w:eastAsia="Calibri" w:hAnsi="Verdana" w:cs="Arial"/>
          <w:lang w:eastAsia="es-ES_tradnl"/>
        </w:rPr>
        <w:t>d</w:t>
      </w:r>
      <w:r w:rsidR="00A05973" w:rsidRPr="00A05973">
        <w:rPr>
          <w:rFonts w:ascii="Verdana" w:eastAsia="Calibri" w:hAnsi="Verdana" w:cs="Arial"/>
          <w:lang w:eastAsia="es-ES_tradnl"/>
        </w:rPr>
        <w:t>onde no distingue el legislador, no le es dado hacerlo al intérprete</w:t>
      </w:r>
      <w:r w:rsidR="0076444E">
        <w:rPr>
          <w:rFonts w:ascii="Verdana" w:eastAsia="Calibri" w:hAnsi="Verdana" w:cs="Arial"/>
          <w:lang w:eastAsia="es-ES_tradnl"/>
        </w:rPr>
        <w:t xml:space="preserve">. </w:t>
      </w:r>
    </w:p>
    <w:p w14:paraId="20CD94AE" w14:textId="2BB3C26E" w:rsidR="0002184C" w:rsidRDefault="00BE70A8" w:rsidP="00047B09">
      <w:pPr>
        <w:spacing w:after="120" w:line="276" w:lineRule="auto"/>
        <w:ind w:firstLine="709"/>
        <w:jc w:val="both"/>
        <w:rPr>
          <w:rFonts w:ascii="Verdana" w:eastAsia="Calibri" w:hAnsi="Verdana" w:cs="Arial"/>
          <w:lang w:val="es-ES_tradnl" w:eastAsia="es-ES_tradnl"/>
        </w:rPr>
      </w:pPr>
      <w:r>
        <w:rPr>
          <w:rFonts w:ascii="Verdana" w:eastAsia="Calibri" w:hAnsi="Verdana" w:cs="Arial"/>
          <w:lang w:val="es-ES_tradnl" w:eastAsia="es-ES_tradnl"/>
        </w:rPr>
        <w:lastRenderedPageBreak/>
        <w:t xml:space="preserve">A lo anterior se suma que, </w:t>
      </w:r>
      <w:r w:rsidR="009F03C9" w:rsidRPr="00470CF3">
        <w:rPr>
          <w:rFonts w:ascii="Verdana" w:eastAsia="Calibri" w:hAnsi="Verdana" w:cs="Arial"/>
          <w:lang w:val="es-ES_tradnl" w:eastAsia="es-ES_tradnl"/>
        </w:rPr>
        <w:t xml:space="preserve">una de las finalidades de </w:t>
      </w:r>
      <w:r w:rsidR="0000034C">
        <w:rPr>
          <w:rFonts w:ascii="Verdana" w:eastAsia="Calibri" w:hAnsi="Verdana" w:cs="Arial"/>
          <w:lang w:val="es-ES_tradnl" w:eastAsia="es-ES_tradnl"/>
        </w:rPr>
        <w:t>L</w:t>
      </w:r>
      <w:r w:rsidR="009F03C9" w:rsidRPr="00470CF3">
        <w:rPr>
          <w:rFonts w:ascii="Verdana" w:eastAsia="Calibri" w:hAnsi="Verdana" w:cs="Arial"/>
          <w:lang w:val="es-ES_tradnl" w:eastAsia="es-ES_tradnl"/>
        </w:rPr>
        <w:t xml:space="preserve">ey de </w:t>
      </w:r>
      <w:r w:rsidR="00AD264F">
        <w:rPr>
          <w:rFonts w:ascii="Verdana" w:eastAsia="Calibri" w:hAnsi="Verdana" w:cs="Arial"/>
          <w:lang w:val="es-ES_tradnl" w:eastAsia="es-ES_tradnl"/>
        </w:rPr>
        <w:t>E</w:t>
      </w:r>
      <w:r w:rsidR="009F03C9" w:rsidRPr="00470CF3">
        <w:rPr>
          <w:rFonts w:ascii="Verdana" w:eastAsia="Calibri" w:hAnsi="Verdana" w:cs="Arial"/>
          <w:lang w:val="es-ES_tradnl" w:eastAsia="es-ES_tradnl"/>
        </w:rPr>
        <w:t xml:space="preserve">mprendimiento se centra en propiciar el crecimiento, consolidación y sostenibilidad de los </w:t>
      </w:r>
      <w:r w:rsidR="00AD264F" w:rsidRPr="00470CF3">
        <w:rPr>
          <w:rFonts w:ascii="Verdana" w:eastAsia="Calibri" w:hAnsi="Verdana" w:cs="Arial"/>
          <w:lang w:val="es-ES_tradnl" w:eastAsia="es-ES_tradnl"/>
        </w:rPr>
        <w:t>emprendimientos y empresas de mujeres</w:t>
      </w:r>
      <w:r w:rsidR="009F03C9" w:rsidRPr="00470CF3">
        <w:rPr>
          <w:rFonts w:ascii="Verdana" w:eastAsia="Calibri" w:hAnsi="Verdana" w:cs="Arial"/>
          <w:lang w:val="es-ES_tradnl" w:eastAsia="es-ES_tradnl"/>
        </w:rPr>
        <w:t>, en aras en aumentar el bienestar social y generar equidad</w:t>
      </w:r>
      <w:r w:rsidR="0021259D">
        <w:rPr>
          <w:rFonts w:ascii="Verdana" w:eastAsia="Calibri" w:hAnsi="Verdana" w:cs="Arial"/>
          <w:lang w:val="es-ES_tradnl" w:eastAsia="es-ES_tradnl"/>
        </w:rPr>
        <w:t>. Por ello</w:t>
      </w:r>
      <w:r w:rsidR="00656ADB">
        <w:rPr>
          <w:rFonts w:ascii="Verdana" w:eastAsia="Calibri" w:hAnsi="Verdana" w:cs="Arial"/>
          <w:lang w:val="es-ES_tradnl" w:eastAsia="es-ES_tradnl"/>
        </w:rPr>
        <w:t>,</w:t>
      </w:r>
      <w:r w:rsidR="009F03C9" w:rsidRPr="00470CF3">
        <w:rPr>
          <w:rFonts w:ascii="Verdana" w:eastAsia="Calibri" w:hAnsi="Verdana" w:cs="Arial"/>
          <w:lang w:val="es-ES_tradnl" w:eastAsia="es-ES_tradnl"/>
        </w:rPr>
        <w:t xml:space="preserve"> es viable acreditar </w:t>
      </w:r>
      <w:r w:rsidR="009F03C9" w:rsidRPr="00470CF3">
        <w:rPr>
          <w:rFonts w:ascii="Verdana" w:eastAsia="Century Gothic" w:hAnsi="Verdana" w:cs="Century Gothic"/>
        </w:rPr>
        <w:t xml:space="preserve">la condición de </w:t>
      </w:r>
      <w:r w:rsidR="00656ADB" w:rsidRPr="00470CF3">
        <w:rPr>
          <w:rFonts w:ascii="Verdana" w:eastAsia="Century Gothic" w:hAnsi="Verdana" w:cs="Century Gothic"/>
        </w:rPr>
        <w:t>emprendimientos y empresas de mujeres</w:t>
      </w:r>
      <w:r w:rsidR="00656ADB">
        <w:rPr>
          <w:rFonts w:ascii="Verdana" w:eastAsia="Century Gothic" w:hAnsi="Verdana" w:cs="Century Gothic"/>
        </w:rPr>
        <w:t>,</w:t>
      </w:r>
      <w:r w:rsidR="00656ADB" w:rsidRPr="00470CF3">
        <w:rPr>
          <w:rFonts w:ascii="Verdana" w:eastAsia="Century Gothic" w:hAnsi="Verdana" w:cs="Century Gothic"/>
        </w:rPr>
        <w:t xml:space="preserve"> </w:t>
      </w:r>
      <w:r w:rsidR="009F03C9" w:rsidRPr="00470CF3">
        <w:rPr>
          <w:rFonts w:ascii="Verdana" w:eastAsia="Century Gothic" w:hAnsi="Verdana" w:cs="Century Gothic"/>
        </w:rPr>
        <w:t xml:space="preserve">conforme al numeral primero del artículo </w:t>
      </w:r>
      <w:r w:rsidR="009F03C9" w:rsidRPr="00470CF3">
        <w:rPr>
          <w:rFonts w:ascii="Verdana" w:eastAsia="Calibri" w:hAnsi="Verdana" w:cs="Arial"/>
          <w:lang w:val="es-ES" w:eastAsia="es-ES_tradnl"/>
        </w:rPr>
        <w:t>2.2.1.2.4.2.14 del Decreto 1082 de 2015, cuando una o algunas de las accionistas sean mujeres menores de edad</w:t>
      </w:r>
      <w:r w:rsidR="00656ADB">
        <w:rPr>
          <w:rFonts w:ascii="Verdana" w:eastAsia="Calibri" w:hAnsi="Verdana" w:cs="Arial"/>
          <w:lang w:val="es-ES" w:eastAsia="es-ES_tradnl"/>
        </w:rPr>
        <w:t>.</w:t>
      </w:r>
      <w:r w:rsidR="009F03C9" w:rsidRPr="00470CF3">
        <w:rPr>
          <w:rFonts w:ascii="Verdana" w:eastAsia="Calibri" w:hAnsi="Verdana" w:cs="Arial"/>
          <w:lang w:val="es-ES" w:eastAsia="es-ES_tradnl"/>
        </w:rPr>
        <w:t xml:space="preserve"> </w:t>
      </w:r>
      <w:r w:rsidR="00656ADB">
        <w:rPr>
          <w:rFonts w:ascii="Verdana" w:eastAsia="Calibri" w:hAnsi="Verdana" w:cs="Arial"/>
          <w:lang w:val="es-ES" w:eastAsia="es-ES_tradnl"/>
        </w:rPr>
        <w:t>L</w:t>
      </w:r>
      <w:r w:rsidR="009F03C9" w:rsidRPr="00470CF3">
        <w:rPr>
          <w:rFonts w:ascii="Verdana" w:eastAsia="Calibri" w:hAnsi="Verdana" w:cs="Arial"/>
          <w:lang w:val="es-ES" w:eastAsia="es-ES_tradnl"/>
        </w:rPr>
        <w:t>o anterior, siempre que se cumplan con los supuestos previstos en la mencionada</w:t>
      </w:r>
      <w:r w:rsidR="00291843">
        <w:rPr>
          <w:rFonts w:ascii="Verdana" w:eastAsia="Calibri" w:hAnsi="Verdana" w:cs="Arial"/>
          <w:lang w:val="es-ES" w:eastAsia="es-ES_tradnl"/>
        </w:rPr>
        <w:t xml:space="preserve"> norma</w:t>
      </w:r>
      <w:r w:rsidR="009F03C9" w:rsidRPr="00470CF3">
        <w:rPr>
          <w:rFonts w:ascii="Verdana" w:eastAsia="Calibri" w:hAnsi="Verdana" w:cs="Arial"/>
          <w:lang w:val="es-ES" w:eastAsia="es-ES_tradnl"/>
        </w:rPr>
        <w:t xml:space="preserve">: i) que </w:t>
      </w:r>
      <w:r w:rsidR="00F83967" w:rsidRPr="00470CF3">
        <w:rPr>
          <w:rFonts w:ascii="Verdana" w:eastAsia="Calibri" w:hAnsi="Verdana" w:cs="Arial"/>
          <w:lang w:val="es-ES" w:eastAsia="es-ES_tradnl"/>
        </w:rPr>
        <w:t>la participación</w:t>
      </w:r>
      <w:r w:rsidR="009F03C9" w:rsidRPr="00470CF3">
        <w:rPr>
          <w:rFonts w:ascii="Verdana" w:eastAsia="Calibri" w:hAnsi="Verdana" w:cs="Arial"/>
          <w:lang w:val="es-ES" w:eastAsia="es-ES_tradnl"/>
        </w:rPr>
        <w:t xml:space="preserve"> de más del </w:t>
      </w:r>
      <w:r w:rsidR="00656ADB">
        <w:rPr>
          <w:rFonts w:ascii="Verdana" w:eastAsia="Calibri" w:hAnsi="Verdana" w:cs="Arial"/>
          <w:lang w:val="es-ES" w:eastAsia="es-ES_tradnl"/>
        </w:rPr>
        <w:t>cincuenta por ciento (</w:t>
      </w:r>
      <w:r w:rsidR="009F03C9" w:rsidRPr="00470CF3">
        <w:rPr>
          <w:rFonts w:ascii="Verdana" w:eastAsia="Calibri" w:hAnsi="Verdana" w:cs="Arial"/>
          <w:lang w:val="es-ES" w:eastAsia="es-ES_tradnl"/>
        </w:rPr>
        <w:t>50%</w:t>
      </w:r>
      <w:r w:rsidR="005261BB">
        <w:rPr>
          <w:rFonts w:ascii="Verdana" w:eastAsia="Calibri" w:hAnsi="Verdana" w:cs="Arial"/>
          <w:lang w:val="es-ES" w:eastAsia="es-ES_tradnl"/>
        </w:rPr>
        <w:t>)</w:t>
      </w:r>
      <w:r w:rsidR="009F03C9" w:rsidRPr="00470CF3">
        <w:rPr>
          <w:rFonts w:ascii="Verdana" w:eastAsia="Calibri" w:hAnsi="Verdana" w:cs="Arial"/>
          <w:lang w:val="es-ES" w:eastAsia="es-ES_tradnl"/>
        </w:rPr>
        <w:t xml:space="preserve"> de las acciones, partes de interés o cuotas de participación pertenezcan a mujeres</w:t>
      </w:r>
      <w:r w:rsidR="005261BB" w:rsidRPr="005261BB">
        <w:rPr>
          <w:rFonts w:ascii="Verdana" w:eastAsia="Calibri" w:hAnsi="Verdana" w:cs="Arial"/>
          <w:lang w:val="es-ES" w:eastAsia="es-ES_tradnl"/>
        </w:rPr>
        <w:t xml:space="preserve"> </w:t>
      </w:r>
      <w:r w:rsidR="005261BB" w:rsidRPr="00470CF3">
        <w:rPr>
          <w:rFonts w:ascii="Verdana" w:eastAsia="Calibri" w:hAnsi="Verdana" w:cs="Arial"/>
          <w:lang w:val="es-ES" w:eastAsia="es-ES_tradnl"/>
        </w:rPr>
        <w:t>y</w:t>
      </w:r>
      <w:r w:rsidR="009F03C9" w:rsidRPr="00470CF3">
        <w:rPr>
          <w:rFonts w:ascii="Verdana" w:eastAsia="Calibri" w:hAnsi="Verdana" w:cs="Arial"/>
          <w:lang w:val="es-ES" w:eastAsia="es-ES_tradnl"/>
        </w:rPr>
        <w:t xml:space="preserve">; ii) que los derechos de propiedad hayan pertenecido a estas por lo menos el último año anterior a la fecha del cierre del proceso de selección. </w:t>
      </w:r>
      <w:r w:rsidR="009F03C9" w:rsidRPr="00470CF3">
        <w:rPr>
          <w:rFonts w:ascii="Verdana" w:eastAsia="Calibri" w:hAnsi="Verdana" w:cs="Arial"/>
          <w:lang w:val="es-ES_tradnl" w:eastAsia="es-ES_tradnl"/>
        </w:rPr>
        <w:t xml:space="preserve"> </w:t>
      </w:r>
    </w:p>
    <w:p w14:paraId="47909264" w14:textId="2E2068CE" w:rsidR="002707A2" w:rsidRPr="00047B09" w:rsidRDefault="002707A2" w:rsidP="0002184C">
      <w:pPr>
        <w:spacing w:after="0" w:line="276" w:lineRule="auto"/>
        <w:jc w:val="both"/>
        <w:rPr>
          <w:rStyle w:val="Hipervnculo"/>
          <w:rFonts w:ascii="Verdana" w:eastAsia="Calibri" w:hAnsi="Verdana" w:cs="Arial"/>
          <w:color w:val="auto"/>
          <w:u w:val="none"/>
        </w:rPr>
      </w:pPr>
    </w:p>
    <w:p w14:paraId="2CF8177E" w14:textId="77777777" w:rsidR="006F2BAE" w:rsidRPr="00470CF3" w:rsidRDefault="006F2BAE" w:rsidP="006F2BAE">
      <w:pPr>
        <w:pStyle w:val="Prrafodelista"/>
        <w:numPr>
          <w:ilvl w:val="0"/>
          <w:numId w:val="18"/>
        </w:numPr>
        <w:tabs>
          <w:tab w:val="left" w:pos="142"/>
          <w:tab w:val="left" w:pos="284"/>
        </w:tabs>
        <w:spacing w:after="0" w:line="276" w:lineRule="auto"/>
        <w:ind w:left="360"/>
        <w:jc w:val="both"/>
        <w:rPr>
          <w:rFonts w:ascii="Verdana" w:eastAsia="Century Gothic" w:hAnsi="Verdana" w:cs="Arial"/>
          <w:b/>
          <w:bCs/>
        </w:rPr>
      </w:pPr>
      <w:r w:rsidRPr="00470CF3">
        <w:rPr>
          <w:rFonts w:ascii="Verdana" w:eastAsia="Century Gothic" w:hAnsi="Verdana" w:cs="Arial"/>
          <w:b/>
          <w:bCs/>
        </w:rPr>
        <w:t>Referencias normativas, jurisprudenciales y otras fuentes:</w:t>
      </w:r>
    </w:p>
    <w:p w14:paraId="44A9F857" w14:textId="77777777" w:rsidR="006F2BAE" w:rsidRPr="00470CF3" w:rsidRDefault="006F2BAE" w:rsidP="006F2BAE">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6F2BAE" w:rsidRPr="00470CF3" w14:paraId="02960ECE" w14:textId="77777777" w:rsidTr="005667F9">
        <w:trPr>
          <w:trHeight w:val="870"/>
        </w:trPr>
        <w:tc>
          <w:tcPr>
            <w:tcW w:w="8647" w:type="dxa"/>
          </w:tcPr>
          <w:p w14:paraId="47A90AF4" w14:textId="77777777" w:rsidR="00C41605" w:rsidRDefault="00C41605" w:rsidP="0076444E">
            <w:pPr>
              <w:pStyle w:val="Prrafodelista"/>
              <w:widowControl w:val="0"/>
              <w:numPr>
                <w:ilvl w:val="0"/>
                <w:numId w:val="17"/>
              </w:numPr>
              <w:autoSpaceDE w:val="0"/>
              <w:autoSpaceDN w:val="0"/>
              <w:spacing w:line="276" w:lineRule="auto"/>
              <w:contextualSpacing w:val="0"/>
              <w:jc w:val="both"/>
              <w:rPr>
                <w:rFonts w:ascii="Verdana" w:hAnsi="Verdana" w:cs="Arial"/>
              </w:rPr>
            </w:pPr>
            <w:r w:rsidRPr="00470CF3">
              <w:rPr>
                <w:rFonts w:ascii="Verdana" w:hAnsi="Verdana" w:cs="Arial"/>
              </w:rPr>
              <w:t xml:space="preserve">Ley 2069 de 2020: Artículo 32.  </w:t>
            </w:r>
          </w:p>
          <w:p w14:paraId="06D6204E" w14:textId="77777777" w:rsidR="0076444E" w:rsidRPr="00470CF3" w:rsidRDefault="0076444E" w:rsidP="00047B09">
            <w:pPr>
              <w:pStyle w:val="Prrafodelista"/>
              <w:widowControl w:val="0"/>
              <w:autoSpaceDE w:val="0"/>
              <w:autoSpaceDN w:val="0"/>
              <w:spacing w:line="276" w:lineRule="auto"/>
              <w:ind w:left="578"/>
              <w:contextualSpacing w:val="0"/>
              <w:jc w:val="both"/>
              <w:rPr>
                <w:rFonts w:ascii="Verdana" w:hAnsi="Verdana" w:cs="Arial"/>
              </w:rPr>
            </w:pPr>
          </w:p>
          <w:p w14:paraId="3B161B51" w14:textId="77777777" w:rsidR="006F2BAE" w:rsidRPr="00047B09" w:rsidRDefault="00C41605" w:rsidP="0076444E">
            <w:pPr>
              <w:pStyle w:val="Prrafodelista"/>
              <w:widowControl w:val="0"/>
              <w:numPr>
                <w:ilvl w:val="0"/>
                <w:numId w:val="17"/>
              </w:numPr>
              <w:autoSpaceDE w:val="0"/>
              <w:autoSpaceDN w:val="0"/>
              <w:spacing w:line="276" w:lineRule="auto"/>
              <w:contextualSpacing w:val="0"/>
              <w:jc w:val="both"/>
              <w:rPr>
                <w:rFonts w:ascii="Verdana" w:hAnsi="Verdana" w:cs="Arial"/>
              </w:rPr>
            </w:pPr>
            <w:r w:rsidRPr="00470CF3">
              <w:rPr>
                <w:rFonts w:ascii="Verdana" w:eastAsia="Calibri" w:hAnsi="Verdana" w:cs="Arial"/>
                <w:lang w:eastAsia="es-ES_tradnl"/>
              </w:rPr>
              <w:t>Decreto 1082 de 2015. Artículo 2.2.1.2.4.2.14.</w:t>
            </w:r>
          </w:p>
          <w:p w14:paraId="31353475" w14:textId="77777777" w:rsidR="0076444E" w:rsidRPr="00F83967" w:rsidRDefault="0076444E" w:rsidP="00F83967">
            <w:pPr>
              <w:widowControl w:val="0"/>
              <w:autoSpaceDE w:val="0"/>
              <w:autoSpaceDN w:val="0"/>
              <w:spacing w:line="276" w:lineRule="auto"/>
              <w:jc w:val="both"/>
              <w:rPr>
                <w:rFonts w:ascii="Verdana" w:hAnsi="Verdana" w:cs="Arial"/>
              </w:rPr>
            </w:pPr>
          </w:p>
          <w:p w14:paraId="6D8FFF76" w14:textId="77777777" w:rsidR="00C41605" w:rsidRPr="00047B09" w:rsidRDefault="00C41605" w:rsidP="0076444E">
            <w:pPr>
              <w:pStyle w:val="Prrafodelista"/>
              <w:widowControl w:val="0"/>
              <w:numPr>
                <w:ilvl w:val="0"/>
                <w:numId w:val="17"/>
              </w:numPr>
              <w:autoSpaceDE w:val="0"/>
              <w:autoSpaceDN w:val="0"/>
              <w:spacing w:line="276" w:lineRule="auto"/>
              <w:contextualSpacing w:val="0"/>
              <w:jc w:val="both"/>
              <w:rPr>
                <w:rFonts w:ascii="Verdana" w:hAnsi="Verdana" w:cs="Arial"/>
              </w:rPr>
            </w:pPr>
            <w:r w:rsidRPr="00470CF3">
              <w:rPr>
                <w:rFonts w:ascii="Verdana" w:eastAsia="Calibri" w:hAnsi="Verdana" w:cs="Arial"/>
                <w:lang w:eastAsia="es-ES_tradnl"/>
              </w:rPr>
              <w:t xml:space="preserve">Guía </w:t>
            </w:r>
            <w:r w:rsidR="00005983" w:rsidRPr="00470CF3">
              <w:rPr>
                <w:rFonts w:ascii="Verdana" w:eastAsia="Calibri" w:hAnsi="Verdana" w:cs="Arial"/>
                <w:lang w:eastAsia="es-ES_tradnl"/>
              </w:rPr>
              <w:t xml:space="preserve">para incentivar la participación de Mujeres en el Sistema de Compras y Contratación Pública. Disponible para consulta en: </w:t>
            </w:r>
            <w:hyperlink r:id="rId13" w:history="1">
              <w:r w:rsidR="00005983" w:rsidRPr="00470CF3">
                <w:rPr>
                  <w:rStyle w:val="Hipervnculo"/>
                  <w:rFonts w:ascii="Verdana" w:eastAsia="Calibri" w:hAnsi="Verdana" w:cs="Arial"/>
                  <w:lang w:eastAsia="es-ES_tradnl"/>
                </w:rPr>
                <w:t>GUÍA PARA INCENTIVAR LA PARTICIPACIÓN DE MUJERES EN EL SISTEMA DE COMPRAS Y CONTRATACIÓN PÚBLICA</w:t>
              </w:r>
            </w:hyperlink>
          </w:p>
          <w:p w14:paraId="302E4F58" w14:textId="77777777" w:rsidR="0076444E" w:rsidRPr="00047B09" w:rsidRDefault="0076444E" w:rsidP="00047B09">
            <w:pPr>
              <w:pStyle w:val="Prrafodelista"/>
              <w:widowControl w:val="0"/>
              <w:autoSpaceDE w:val="0"/>
              <w:autoSpaceDN w:val="0"/>
              <w:spacing w:line="276" w:lineRule="auto"/>
              <w:ind w:left="578"/>
              <w:contextualSpacing w:val="0"/>
              <w:jc w:val="both"/>
              <w:rPr>
                <w:rFonts w:ascii="Verdana" w:hAnsi="Verdana" w:cs="Arial"/>
              </w:rPr>
            </w:pPr>
          </w:p>
          <w:p w14:paraId="5A22C2BF" w14:textId="2C671160" w:rsidR="0076444E" w:rsidRPr="00470CF3" w:rsidRDefault="0076444E" w:rsidP="00047B09">
            <w:pPr>
              <w:pStyle w:val="Prrafodelista"/>
              <w:widowControl w:val="0"/>
              <w:numPr>
                <w:ilvl w:val="0"/>
                <w:numId w:val="17"/>
              </w:numPr>
              <w:autoSpaceDE w:val="0"/>
              <w:autoSpaceDN w:val="0"/>
              <w:spacing w:line="276" w:lineRule="auto"/>
              <w:contextualSpacing w:val="0"/>
              <w:jc w:val="both"/>
              <w:rPr>
                <w:rFonts w:ascii="Verdana" w:hAnsi="Verdana" w:cs="Arial"/>
              </w:rPr>
            </w:pPr>
            <w:r w:rsidRPr="003C2B47">
              <w:rPr>
                <w:rFonts w:ascii="Verdana" w:eastAsia="Calibri" w:hAnsi="Verdana" w:cs="Arial"/>
              </w:rPr>
              <w:t>Manual para determinar y verificar los requisitos</w:t>
            </w:r>
            <w:r>
              <w:rPr>
                <w:rFonts w:ascii="Verdana" w:eastAsia="Calibri" w:hAnsi="Verdana" w:cs="Arial"/>
              </w:rPr>
              <w:t xml:space="preserve"> </w:t>
            </w:r>
            <w:r w:rsidRPr="003C2B47">
              <w:rPr>
                <w:rFonts w:ascii="Verdana" w:eastAsia="Calibri" w:hAnsi="Verdana" w:cs="Arial"/>
              </w:rPr>
              <w:t>habilitantes en los Procesos de Contratación</w:t>
            </w:r>
            <w:r>
              <w:rPr>
                <w:rFonts w:ascii="Verdana" w:eastAsia="Calibri" w:hAnsi="Verdana" w:cs="Arial"/>
              </w:rPr>
              <w:t xml:space="preserve">. </w:t>
            </w:r>
            <w:r w:rsidRPr="00470CF3">
              <w:rPr>
                <w:rFonts w:ascii="Verdana" w:eastAsia="Calibri" w:hAnsi="Verdana" w:cs="Arial"/>
                <w:lang w:eastAsia="es-ES_tradnl"/>
              </w:rPr>
              <w:t>Disponible para consulta en:</w:t>
            </w:r>
            <w:r>
              <w:rPr>
                <w:rFonts w:ascii="Verdana" w:eastAsia="Calibri" w:hAnsi="Verdana" w:cs="Arial"/>
                <w:lang w:eastAsia="es-ES_tradnl"/>
              </w:rPr>
              <w:t xml:space="preserve"> </w:t>
            </w:r>
            <w:hyperlink r:id="rId14" w:history="1">
              <w:r w:rsidR="00F83967" w:rsidRPr="00F83967">
                <w:rPr>
                  <w:rStyle w:val="Hipervnculo"/>
                  <w:rFonts w:ascii="Verdana" w:eastAsia="Calibri" w:hAnsi="Verdana" w:cs="Arial"/>
                  <w:lang w:eastAsia="es-ES_tradnl"/>
                </w:rPr>
                <w:t>MANUAL PARA DETERMINAR Y VERIFICAR LOS REQUISITOS HABILITANTES EN LOS PROCESOS DE CONTRATACIÓN</w:t>
              </w:r>
            </w:hyperlink>
          </w:p>
        </w:tc>
      </w:tr>
    </w:tbl>
    <w:p w14:paraId="51C29A26" w14:textId="77777777" w:rsidR="006F2BAE" w:rsidRPr="00470CF3" w:rsidRDefault="006F2BAE" w:rsidP="00047B09">
      <w:pPr>
        <w:spacing w:after="0" w:line="276" w:lineRule="auto"/>
        <w:jc w:val="both"/>
        <w:rPr>
          <w:rFonts w:ascii="Verdana" w:eastAsia="Calibri" w:hAnsi="Verdana" w:cs="Arial"/>
          <w:color w:val="000000"/>
          <w:lang w:eastAsia="es-ES" w:bidi="es-ES"/>
        </w:rPr>
      </w:pPr>
    </w:p>
    <w:p w14:paraId="31A08F2E" w14:textId="77777777" w:rsidR="006F2BAE" w:rsidRPr="00470CF3" w:rsidRDefault="006F2BAE" w:rsidP="006F2BAE">
      <w:pPr>
        <w:pStyle w:val="Prrafodelista"/>
        <w:numPr>
          <w:ilvl w:val="0"/>
          <w:numId w:val="18"/>
        </w:numPr>
        <w:tabs>
          <w:tab w:val="left" w:pos="142"/>
          <w:tab w:val="left" w:pos="284"/>
        </w:tabs>
        <w:spacing w:after="0" w:line="276" w:lineRule="auto"/>
        <w:ind w:left="0" w:firstLine="0"/>
        <w:contextualSpacing w:val="0"/>
        <w:jc w:val="both"/>
        <w:rPr>
          <w:rFonts w:ascii="Verdana" w:eastAsia="Century Gothic" w:hAnsi="Verdana" w:cs="Arial"/>
          <w:b/>
          <w:bCs/>
        </w:rPr>
      </w:pPr>
      <w:r w:rsidRPr="00470CF3">
        <w:rPr>
          <w:rFonts w:ascii="Verdana" w:eastAsia="Century Gothic" w:hAnsi="Verdana" w:cs="Arial"/>
          <w:b/>
          <w:bCs/>
        </w:rPr>
        <w:t>Doctrina de la Agencia Nacional de Contratación Pública:</w:t>
      </w:r>
    </w:p>
    <w:p w14:paraId="77A1AD5A" w14:textId="77777777" w:rsidR="006F2BAE" w:rsidRPr="00470CF3" w:rsidRDefault="006F2BAE" w:rsidP="006F2BAE">
      <w:pPr>
        <w:widowControl w:val="0"/>
        <w:autoSpaceDE w:val="0"/>
        <w:autoSpaceDN w:val="0"/>
        <w:spacing w:after="0" w:line="276" w:lineRule="auto"/>
        <w:jc w:val="both"/>
        <w:rPr>
          <w:rFonts w:ascii="Verdana" w:hAnsi="Verdana" w:cs="Arial"/>
        </w:rPr>
      </w:pPr>
    </w:p>
    <w:p w14:paraId="10844724" w14:textId="77777777" w:rsidR="006F2BAE" w:rsidRPr="00470CF3" w:rsidRDefault="00315873" w:rsidP="006F2BAE">
      <w:pPr>
        <w:widowControl w:val="0"/>
        <w:autoSpaceDE w:val="0"/>
        <w:autoSpaceDN w:val="0"/>
        <w:spacing w:after="0" w:line="276" w:lineRule="auto"/>
        <w:jc w:val="both"/>
        <w:rPr>
          <w:rFonts w:ascii="Verdana" w:eastAsia="Times New Roman" w:hAnsi="Verdana" w:cs="Arial"/>
          <w:shd w:val="clear" w:color="auto" w:fill="FFFFFF"/>
          <w:lang w:eastAsia="es-ES_tradnl"/>
        </w:rPr>
      </w:pPr>
      <w:r w:rsidRPr="00470CF3">
        <w:rPr>
          <w:rFonts w:ascii="Verdana" w:eastAsia="Times New Roman" w:hAnsi="Verdana" w:cs="Arial"/>
          <w:shd w:val="clear" w:color="auto" w:fill="FFFFFF"/>
          <w:lang w:eastAsia="es-ES_tradnl"/>
        </w:rPr>
        <w:t xml:space="preserve">La Subdirección de Gestión Contractual ha estudiado </w:t>
      </w:r>
      <w:r w:rsidRPr="00470CF3">
        <w:rPr>
          <w:rFonts w:ascii="Verdana" w:eastAsia="Calibri" w:hAnsi="Verdana" w:cs="Arial"/>
          <w:lang w:val="es-ES" w:eastAsia="es-ES"/>
        </w:rPr>
        <w:t xml:space="preserve">la </w:t>
      </w:r>
      <w:r w:rsidRPr="00470CF3">
        <w:rPr>
          <w:rFonts w:ascii="Verdana" w:eastAsia="Calibri" w:hAnsi="Verdana" w:cs="Arial"/>
          <w:lang w:val="es-ES" w:eastAsia="es-ES_tradnl"/>
        </w:rPr>
        <w:t xml:space="preserve">definición de emprendimientos y empresas de mujeres en los conceptos </w:t>
      </w:r>
      <w:r w:rsidRPr="00470CF3">
        <w:rPr>
          <w:rFonts w:ascii="Verdana" w:eastAsia="Times New Roman" w:hAnsi="Verdana" w:cs="Arial"/>
          <w:shd w:val="clear" w:color="auto" w:fill="FFFFFF"/>
          <w:lang w:eastAsia="es-ES_tradnl"/>
        </w:rPr>
        <w:t xml:space="preserve">C-029 de 21 de febrero de 2021, C-037 del 26 de febrero de 2021, C-141 del 8 de abril de 2021, C-114 del 13 de abril de 2021 y C-031 del 1 de marzo de 2022, C-213 del 21 de abril de 2022, C-217 del 21 de abril de 2022, C-281 del 12 de mayo de 2022, C-322 del 20 de mayo de 2022, C-323 del 17 de junio de 2022, C-326 del 18 de </w:t>
      </w:r>
      <w:r w:rsidRPr="00470CF3">
        <w:rPr>
          <w:rFonts w:ascii="Verdana" w:eastAsia="Times New Roman" w:hAnsi="Verdana" w:cs="Arial"/>
          <w:shd w:val="clear" w:color="auto" w:fill="FFFFFF"/>
          <w:lang w:eastAsia="es-ES_tradnl"/>
        </w:rPr>
        <w:lastRenderedPageBreak/>
        <w:t>mayo de 2022, C-398 del 15 de junio de 2022, C-399 del 21 de junio de 2022, C-421 del 6 de julio de 2022, C-429 del 18 de julio de 2022, C-438 del 11 de julio de 2022, C-454 del 13 de julio de 2022, C-476 del 21 de junio de 2022, C-479 del 26 de julio de 2022, C-504 del 8 de agosto de 2022, C-522 del 16 de agosto de 2022, C-642 del 11 de octubre de 2022, C-696 de 26 de octubre de 2022, C-781 de 25 de noviembre de 2022 y C-</w:t>
      </w:r>
      <w:r w:rsidR="00D609A5" w:rsidRPr="00470CF3">
        <w:rPr>
          <w:rFonts w:ascii="Verdana" w:eastAsia="Times New Roman" w:hAnsi="Verdana" w:cs="Arial"/>
          <w:shd w:val="clear" w:color="auto" w:fill="FFFFFF"/>
          <w:lang w:eastAsia="es-ES_tradnl"/>
        </w:rPr>
        <w:t xml:space="preserve">076 del 04 de marzo del 2025. </w:t>
      </w:r>
      <w:r w:rsidR="006F2BAE" w:rsidRPr="00470CF3">
        <w:rPr>
          <w:rStyle w:val="normaltextrun"/>
          <w:rFonts w:ascii="Verdana" w:hAnsi="Verdana" w:cs="Arial"/>
          <w:shd w:val="clear" w:color="auto" w:fill="FFFFFF"/>
          <w:lang w:val="es-ES"/>
        </w:rPr>
        <w:t>Es</w:t>
      </w:r>
      <w:r w:rsidR="006F2BAE" w:rsidRPr="00470CF3">
        <w:rPr>
          <w:rFonts w:ascii="Verdana" w:hAnsi="Verdana" w:cs="Arial"/>
        </w:rPr>
        <w:t>tos y otros conceptos se encuentran disponibles para consulta en el Sistema de relatoría de la Agencia, al cual se puede acceder a través del siguiente enlace:</w:t>
      </w:r>
      <w:r w:rsidR="006F2BAE" w:rsidRPr="00470CF3">
        <w:rPr>
          <w:rStyle w:val="normaltextrun"/>
          <w:rFonts w:ascii="Verdana" w:hAnsi="Verdana" w:cs="Arial"/>
          <w:shd w:val="clear" w:color="auto" w:fill="FFFFFF"/>
          <w:lang w:val="es-ES"/>
        </w:rPr>
        <w:t xml:space="preserve"> </w:t>
      </w:r>
      <w:hyperlink r:id="rId15" w:history="1">
        <w:r w:rsidR="006F2BAE" w:rsidRPr="00470CF3">
          <w:rPr>
            <w:rStyle w:val="Hipervnculo"/>
            <w:rFonts w:ascii="Verdana" w:hAnsi="Verdana" w:cs="Arial"/>
            <w:shd w:val="clear" w:color="auto" w:fill="FFFFFF"/>
            <w:lang w:val="es-ES"/>
          </w:rPr>
          <w:t>https://relatoria.colombiacompra.gov.co/busqueda/conceptos</w:t>
        </w:r>
      </w:hyperlink>
    </w:p>
    <w:p w14:paraId="3DA9E3DB" w14:textId="77777777" w:rsidR="006F2BAE" w:rsidRPr="00470CF3" w:rsidRDefault="006F2BAE" w:rsidP="006F2BAE">
      <w:pPr>
        <w:widowControl w:val="0"/>
        <w:autoSpaceDE w:val="0"/>
        <w:autoSpaceDN w:val="0"/>
        <w:spacing w:after="0" w:line="276" w:lineRule="auto"/>
        <w:jc w:val="both"/>
        <w:rPr>
          <w:rFonts w:ascii="Verdana" w:hAnsi="Verdana"/>
        </w:rPr>
      </w:pPr>
    </w:p>
    <w:p w14:paraId="39970FBE" w14:textId="77777777" w:rsidR="006F2BAE" w:rsidRPr="00470CF3" w:rsidRDefault="006F2BAE" w:rsidP="006F2BAE">
      <w:pPr>
        <w:widowControl w:val="0"/>
        <w:autoSpaceDE w:val="0"/>
        <w:autoSpaceDN w:val="0"/>
        <w:spacing w:after="0" w:line="276" w:lineRule="auto"/>
        <w:jc w:val="both"/>
        <w:rPr>
          <w:rFonts w:ascii="Verdana" w:hAnsi="Verdana"/>
        </w:rPr>
      </w:pPr>
      <w:r w:rsidRPr="00470CF3">
        <w:rPr>
          <w:rFonts w:ascii="Verdana" w:hAnsi="Verdana"/>
        </w:rPr>
        <w:t>Informamos que ya se encuentra disponible la </w:t>
      </w:r>
      <w:r w:rsidRPr="00470CF3">
        <w:rPr>
          <w:rFonts w:ascii="Verdana" w:hAnsi="Verdana"/>
          <w:b/>
          <w:bCs/>
        </w:rPr>
        <w:t>Cartilla para incentivar y fortalecer el acceso a las compras y contratación pública de los pueblos y comunidades étnicas en Colombia.</w:t>
      </w:r>
      <w:r w:rsidRPr="00470CF3">
        <w:rPr>
          <w:rFonts w:ascii="Verdana" w:hAnsi="Verdana"/>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6" w:tgtFrame="_blank" w:tooltip="Dirección URL original: https://www.colombiacompra.gov.co/manuales-guias-y-pliegos-tipo/manuales-y-guias/cartilla-para-incentivar-y-fortalecer-el-acceso-las. Haga clic o pulse si confía en este vínculo." w:history="1">
        <w:r w:rsidRPr="00470CF3">
          <w:rPr>
            <w:rStyle w:val="Hipervnculo"/>
            <w:rFonts w:ascii="Verdana" w:hAnsi="Verdana"/>
          </w:rPr>
          <w:t>Cartilla para incentivar y fortalecer el acceso a las compras y contratación pública de los pueblos y comunidades étnicas en Colombia | Colombia Compra Eficiente | Agencia Nacional de Contratación Pública</w:t>
        </w:r>
      </w:hyperlink>
    </w:p>
    <w:p w14:paraId="7343B4ED" w14:textId="77777777" w:rsidR="006F2BAE" w:rsidRPr="00470CF3" w:rsidRDefault="006F2BAE" w:rsidP="006F2BAE">
      <w:pPr>
        <w:widowControl w:val="0"/>
        <w:autoSpaceDE w:val="0"/>
        <w:autoSpaceDN w:val="0"/>
        <w:spacing w:after="0" w:line="276" w:lineRule="auto"/>
        <w:jc w:val="both"/>
        <w:rPr>
          <w:rFonts w:ascii="Verdana" w:hAnsi="Verdana"/>
        </w:rPr>
      </w:pPr>
    </w:p>
    <w:p w14:paraId="0780DE30" w14:textId="77777777" w:rsidR="006F2BAE" w:rsidRPr="00470CF3" w:rsidRDefault="006F2BAE" w:rsidP="006F2BAE">
      <w:pPr>
        <w:widowControl w:val="0"/>
        <w:autoSpaceDE w:val="0"/>
        <w:autoSpaceDN w:val="0"/>
        <w:spacing w:after="0" w:line="276" w:lineRule="auto"/>
        <w:jc w:val="both"/>
        <w:rPr>
          <w:rFonts w:ascii="Verdana" w:hAnsi="Verdana" w:cs="Arial"/>
        </w:rPr>
      </w:pPr>
      <w:r w:rsidRPr="00470CF3">
        <w:rPr>
          <w:rFonts w:ascii="Verdana" w:hAnsi="Verdana" w:cs="Arial"/>
        </w:rPr>
        <w:t>De otra parte, informamos que, con el objetivo de garantizar un conocimiento adecuado de las </w:t>
      </w:r>
      <w:r w:rsidRPr="00470CF3">
        <w:rPr>
          <w:rFonts w:ascii="Verdana" w:hAnsi="Verdana" w:cs="Arial"/>
          <w:b/>
          <w:bCs/>
        </w:rPr>
        <w:t>modificaciones y/o actualizaciones realizadas a los Documentos Tipo</w:t>
      </w:r>
      <w:r w:rsidRPr="00470CF3">
        <w:rPr>
          <w:rFonts w:ascii="Verdana" w:hAnsi="Verdana" w:cs="Arial"/>
        </w:rPr>
        <w:t>, hemos programado una serie de </w:t>
      </w:r>
      <w:r w:rsidRPr="00470CF3">
        <w:rPr>
          <w:rFonts w:ascii="Verdana" w:hAnsi="Verdana" w:cs="Arial"/>
          <w:b/>
          <w:bCs/>
        </w:rPr>
        <w:t>capacitaciones </w:t>
      </w:r>
      <w:r w:rsidRPr="00470CF3">
        <w:rPr>
          <w:rFonts w:ascii="Verdana" w:hAnsi="Verdana" w:cs="Arial"/>
        </w:rPr>
        <w:t>dirigidas a todos los actores involucrados en los procesos de selección. Para conocer la programación y realizar la inscripción a estas capacitaciones lo invitamos a dirigirse al siguiente enlace: </w:t>
      </w:r>
      <w:hyperlink r:id="rId17" w:tgtFrame="_blank" w:tooltip="Dirección URL original: https://www.colombiacompra.gov.co/ciudadanos/calendario. Haga clic o pulse si confía en este vínculo." w:history="1">
        <w:r w:rsidRPr="00470CF3">
          <w:rPr>
            <w:rStyle w:val="Hipervnculo"/>
            <w:rFonts w:ascii="Verdana" w:hAnsi="Verdana" w:cs="Arial"/>
          </w:rPr>
          <w:t>Calendario | Colombia Compra Eficiente | Agencia Nacional de Contratación Pública</w:t>
        </w:r>
      </w:hyperlink>
    </w:p>
    <w:p w14:paraId="75D8951A" w14:textId="77777777" w:rsidR="006F2BAE" w:rsidRPr="00470CF3" w:rsidRDefault="006F2BAE" w:rsidP="006F2BAE">
      <w:pPr>
        <w:widowControl w:val="0"/>
        <w:autoSpaceDE w:val="0"/>
        <w:autoSpaceDN w:val="0"/>
        <w:spacing w:after="0" w:line="276" w:lineRule="auto"/>
        <w:jc w:val="both"/>
        <w:rPr>
          <w:rFonts w:ascii="Verdana" w:hAnsi="Verdana"/>
        </w:rPr>
      </w:pPr>
    </w:p>
    <w:p w14:paraId="10DCF318" w14:textId="77777777" w:rsidR="006F2BAE" w:rsidRPr="00470CF3" w:rsidRDefault="006F2BAE" w:rsidP="006F2BAE">
      <w:pPr>
        <w:widowControl w:val="0"/>
        <w:autoSpaceDE w:val="0"/>
        <w:autoSpaceDN w:val="0"/>
        <w:spacing w:after="0" w:line="276" w:lineRule="auto"/>
        <w:jc w:val="both"/>
        <w:rPr>
          <w:rStyle w:val="normaltextrun"/>
          <w:rFonts w:ascii="Verdana" w:hAnsi="Verdana"/>
        </w:rPr>
      </w:pPr>
      <w:r w:rsidRPr="00470CF3">
        <w:rPr>
          <w:rFonts w:ascii="Verdana" w:hAnsi="Verdana" w:cs="Arial"/>
        </w:rPr>
        <w:t>También, comunicamos que ya publicamos </w:t>
      </w:r>
      <w:r w:rsidRPr="00470CF3">
        <w:rPr>
          <w:rFonts w:ascii="Verdana" w:hAnsi="Verdana" w:cs="Arial"/>
          <w:b/>
          <w:bCs/>
        </w:rPr>
        <w:t>la nueva Guía de Contratación Pública Sostenible y Socialmente Responsable</w:t>
      </w:r>
      <w:r w:rsidRPr="00470CF3">
        <w:rPr>
          <w:rFonts w:ascii="Verdana" w:hAnsi="Verdana" w:cs="Arial"/>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8" w:tgtFrame="_blank" w:tooltip="Dirección URL original: https://www.colombiacompra.gov.co/manuales-guias-y-pliegos-tipo/manuales-y-guias/guia-de-contratacion-publica-sostenible-y-socialmente. Haga clic o pulse si confía en este vínculo." w:history="1">
        <w:r w:rsidRPr="00470CF3">
          <w:rPr>
            <w:rStyle w:val="Hipervnculo"/>
            <w:rFonts w:ascii="Verdana" w:hAnsi="Verdana" w:cs="Arial"/>
          </w:rPr>
          <w:t>Guía de Contratación Pública Sostenible y Socialmente Responsable | Colombia Compra Eficiente | Agencia Nacional de Contratación Pública</w:t>
        </w:r>
      </w:hyperlink>
    </w:p>
    <w:p w14:paraId="0766A1E2" w14:textId="77777777" w:rsidR="006F2BAE" w:rsidRPr="00470CF3" w:rsidRDefault="006F2BAE" w:rsidP="006F2BAE">
      <w:pPr>
        <w:widowControl w:val="0"/>
        <w:autoSpaceDE w:val="0"/>
        <w:autoSpaceDN w:val="0"/>
        <w:spacing w:after="0" w:line="276" w:lineRule="auto"/>
        <w:jc w:val="both"/>
        <w:rPr>
          <w:rFonts w:ascii="Verdana" w:hAnsi="Verdana"/>
        </w:rPr>
      </w:pPr>
    </w:p>
    <w:p w14:paraId="075D1D7E" w14:textId="77777777" w:rsidR="006F2BAE" w:rsidRPr="00470CF3" w:rsidRDefault="006F2BAE" w:rsidP="00047B09">
      <w:pPr>
        <w:widowControl w:val="0"/>
        <w:autoSpaceDE w:val="0"/>
        <w:autoSpaceDN w:val="0"/>
        <w:spacing w:after="0" w:line="276" w:lineRule="auto"/>
        <w:jc w:val="both"/>
        <w:rPr>
          <w:rFonts w:ascii="Verdana" w:hAnsi="Verdana" w:cs="Arial"/>
          <w:color w:val="000000" w:themeColor="text1"/>
          <w:shd w:val="clear" w:color="auto" w:fill="FFFFFF"/>
        </w:rPr>
      </w:pPr>
      <w:r w:rsidRPr="00470CF3">
        <w:rPr>
          <w:rFonts w:ascii="Verdana" w:hAnsi="Verdana" w:cs="Arial"/>
        </w:rPr>
        <w:t xml:space="preserve">Por último, lo invitamos a seguirnos en las redes sociales en las cuales se difunde información institucional: </w:t>
      </w:r>
    </w:p>
    <w:p w14:paraId="1A411BB4" w14:textId="77777777" w:rsidR="006F2BAE" w:rsidRPr="00470CF3" w:rsidRDefault="006F2BAE" w:rsidP="00047B09">
      <w:pPr>
        <w:spacing w:after="0" w:line="276" w:lineRule="auto"/>
        <w:jc w:val="both"/>
        <w:rPr>
          <w:rFonts w:ascii="Verdana" w:hAnsi="Verdana" w:cs="Arial"/>
        </w:rPr>
      </w:pPr>
      <w:r w:rsidRPr="00470CF3">
        <w:rPr>
          <w:rFonts w:ascii="Verdana" w:hAnsi="Verdana" w:cs="Arial"/>
        </w:rPr>
        <w:t xml:space="preserve">Twitter: </w:t>
      </w:r>
      <w:r w:rsidRPr="00470CF3">
        <w:rPr>
          <w:rStyle w:val="Hipervnculo"/>
          <w:rFonts w:ascii="Verdana" w:hAnsi="Verdana" w:cs="Arial"/>
          <w:shd w:val="clear" w:color="auto" w:fill="FFFFFF"/>
          <w:lang w:val="es-ES"/>
        </w:rPr>
        <w:t>@colombiacompra</w:t>
      </w:r>
      <w:r w:rsidRPr="00470CF3">
        <w:rPr>
          <w:rFonts w:ascii="Verdana" w:eastAsia="Aptos" w:hAnsi="Verdana" w:cs="Arial"/>
          <w:color w:val="156082"/>
        </w:rPr>
        <w:t xml:space="preserve"> </w:t>
      </w:r>
    </w:p>
    <w:p w14:paraId="4ED09351" w14:textId="77777777" w:rsidR="006F2BAE" w:rsidRPr="00470CF3" w:rsidRDefault="006F2BAE" w:rsidP="00047B09">
      <w:pPr>
        <w:spacing w:after="0" w:line="276" w:lineRule="auto"/>
        <w:jc w:val="both"/>
        <w:rPr>
          <w:rFonts w:ascii="Verdana" w:hAnsi="Verdana" w:cs="Arial"/>
        </w:rPr>
      </w:pPr>
      <w:r w:rsidRPr="00470CF3">
        <w:rPr>
          <w:rFonts w:ascii="Verdana" w:hAnsi="Verdana" w:cs="Arial"/>
        </w:rPr>
        <w:t xml:space="preserve">Facebook: </w:t>
      </w:r>
      <w:r w:rsidRPr="00470CF3">
        <w:rPr>
          <w:rStyle w:val="Hipervnculo"/>
          <w:rFonts w:ascii="Verdana" w:hAnsi="Verdana" w:cs="Arial"/>
          <w:shd w:val="clear" w:color="auto" w:fill="FFFFFF"/>
          <w:lang w:val="es-ES"/>
        </w:rPr>
        <w:t>ColombiaCompraEficiente</w:t>
      </w:r>
    </w:p>
    <w:p w14:paraId="32B07CD8" w14:textId="77777777" w:rsidR="006F2BAE" w:rsidRPr="00470CF3" w:rsidRDefault="006F2BAE" w:rsidP="00047B09">
      <w:pPr>
        <w:spacing w:after="0" w:line="276" w:lineRule="auto"/>
        <w:jc w:val="both"/>
        <w:rPr>
          <w:rFonts w:ascii="Verdana" w:hAnsi="Verdana" w:cs="Arial"/>
        </w:rPr>
      </w:pPr>
      <w:r w:rsidRPr="00470CF3">
        <w:rPr>
          <w:rFonts w:ascii="Verdana" w:hAnsi="Verdana" w:cs="Arial"/>
        </w:rPr>
        <w:t xml:space="preserve">LinkedIn: </w:t>
      </w:r>
      <w:r w:rsidRPr="00470CF3">
        <w:rPr>
          <w:rStyle w:val="Hipervnculo"/>
          <w:rFonts w:ascii="Verdana" w:hAnsi="Verdana" w:cs="Arial"/>
          <w:shd w:val="clear" w:color="auto" w:fill="FFFFFF"/>
          <w:lang w:val="es-ES"/>
        </w:rPr>
        <w:t>Agencia Nacional de Contratación Pública - Colombia Compra Eficiente</w:t>
      </w:r>
      <w:r w:rsidRPr="00470CF3">
        <w:rPr>
          <w:rFonts w:ascii="Verdana" w:eastAsia="Aptos" w:hAnsi="Verdana" w:cs="Arial"/>
          <w:color w:val="156082"/>
        </w:rPr>
        <w:t xml:space="preserve"> </w:t>
      </w:r>
      <w:r w:rsidRPr="00470CF3">
        <w:rPr>
          <w:rFonts w:ascii="Verdana" w:hAnsi="Verdana" w:cs="Arial"/>
        </w:rPr>
        <w:t xml:space="preserve">Instagram: </w:t>
      </w:r>
      <w:r w:rsidRPr="00470CF3">
        <w:rPr>
          <w:rStyle w:val="Hipervnculo"/>
          <w:rFonts w:ascii="Verdana" w:hAnsi="Verdana" w:cs="Arial"/>
          <w:shd w:val="clear" w:color="auto" w:fill="FFFFFF"/>
          <w:lang w:val="es-ES"/>
        </w:rPr>
        <w:t>@colombiacompraeficiente_cce</w:t>
      </w:r>
    </w:p>
    <w:p w14:paraId="37B22BF5" w14:textId="77777777" w:rsidR="006F2BAE" w:rsidRPr="00470CF3" w:rsidRDefault="006F2BAE" w:rsidP="006F2BAE">
      <w:pPr>
        <w:widowControl w:val="0"/>
        <w:autoSpaceDE w:val="0"/>
        <w:autoSpaceDN w:val="0"/>
        <w:spacing w:after="0" w:line="276" w:lineRule="auto"/>
        <w:jc w:val="both"/>
        <w:rPr>
          <w:rFonts w:ascii="Verdana" w:hAnsi="Verdana" w:cs="Arial"/>
        </w:rPr>
      </w:pPr>
    </w:p>
    <w:p w14:paraId="494D2667" w14:textId="77777777" w:rsidR="006F2BAE" w:rsidRPr="00470CF3" w:rsidRDefault="006F2BAE" w:rsidP="006F2BAE">
      <w:pPr>
        <w:widowControl w:val="0"/>
        <w:autoSpaceDE w:val="0"/>
        <w:autoSpaceDN w:val="0"/>
        <w:spacing w:after="0" w:line="276" w:lineRule="auto"/>
        <w:jc w:val="both"/>
        <w:rPr>
          <w:rFonts w:ascii="Verdana" w:eastAsia="Aptos" w:hAnsi="Verdana" w:cs="Arial"/>
          <w:lang w:val="es-ES_tradnl"/>
        </w:rPr>
      </w:pPr>
      <w:r w:rsidRPr="00470CF3">
        <w:rPr>
          <w:rFonts w:ascii="Verdana" w:eastAsia="Aptos" w:hAnsi="Verdana" w:cs="Arial"/>
        </w:rPr>
        <w:t xml:space="preserve">Este concepto tiene el alcance previsto en el artículo 28 del Código de Procedimiento Administrativo y de lo Contencioso Administrativo </w:t>
      </w:r>
      <w:r w:rsidRPr="00470CF3">
        <w:rPr>
          <w:rFonts w:ascii="Verdana" w:eastAsia="Aptos" w:hAnsi="Verdana" w:cs="Arial"/>
          <w:lang w:val="es-ES_tradnl"/>
        </w:rPr>
        <w:t>y las expresiones aquí utilizadas con mayúscula inicial deben ser entendidas con el significado que les otorga el artículo 2.2.1.1.1.3.1. del Decreto 1082 de 2015.</w:t>
      </w:r>
    </w:p>
    <w:p w14:paraId="2FC71370" w14:textId="77777777" w:rsidR="006F2BAE" w:rsidRPr="00470CF3" w:rsidRDefault="006F2BAE" w:rsidP="006F2BAE">
      <w:pPr>
        <w:widowControl w:val="0"/>
        <w:autoSpaceDE w:val="0"/>
        <w:autoSpaceDN w:val="0"/>
        <w:spacing w:after="0" w:line="276" w:lineRule="auto"/>
        <w:jc w:val="both"/>
        <w:rPr>
          <w:rFonts w:ascii="Verdana" w:eastAsia="Aptos" w:hAnsi="Verdana" w:cs="Arial"/>
        </w:rPr>
      </w:pPr>
    </w:p>
    <w:p w14:paraId="03417740" w14:textId="77777777" w:rsidR="006F2BAE" w:rsidRPr="00470CF3" w:rsidRDefault="006F2BAE" w:rsidP="00047B09">
      <w:pPr>
        <w:spacing w:after="0" w:line="276" w:lineRule="auto"/>
        <w:rPr>
          <w:rFonts w:ascii="Verdana" w:hAnsi="Verdana" w:cs="Arial"/>
          <w:lang w:eastAsia="es-CO"/>
        </w:rPr>
      </w:pPr>
      <w:r w:rsidRPr="00470CF3">
        <w:rPr>
          <w:rFonts w:ascii="Verdana" w:eastAsia="Times New Roman" w:hAnsi="Verdana" w:cs="Arial"/>
          <w:lang w:eastAsia="es-CO"/>
        </w:rPr>
        <w:t>Atentamente,</w:t>
      </w:r>
      <w:r w:rsidRPr="00470CF3">
        <w:rPr>
          <w:rFonts w:ascii="Verdana" w:hAnsi="Verdana" w:cs="Arial"/>
          <w:lang w:eastAsia="es-CO"/>
        </w:rPr>
        <w:t xml:space="preserve"> </w:t>
      </w:r>
    </w:p>
    <w:p w14:paraId="01887146" w14:textId="5F6814A2" w:rsidR="006F2BAE" w:rsidRPr="00470CF3" w:rsidRDefault="003739E6" w:rsidP="006F2BAE">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36EC83B7" wp14:editId="2A85C1E6">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9"/>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F2BAE" w:rsidRPr="00470CF3" w14:paraId="7725E570" w14:textId="77777777" w:rsidTr="005667F9">
        <w:trPr>
          <w:trHeight w:val="315"/>
        </w:trPr>
        <w:tc>
          <w:tcPr>
            <w:tcW w:w="893" w:type="dxa"/>
            <w:vAlign w:val="center"/>
            <w:hideMark/>
          </w:tcPr>
          <w:bookmarkEnd w:id="0"/>
          <w:p w14:paraId="6A6E458C" w14:textId="77777777" w:rsidR="006F2BAE" w:rsidRPr="00470CF3" w:rsidRDefault="006F2BAE" w:rsidP="005667F9">
            <w:pPr>
              <w:contextualSpacing/>
              <w:rPr>
                <w:rFonts w:ascii="Verdana" w:hAnsi="Verdana" w:cs="Arial"/>
                <w:sz w:val="16"/>
                <w:szCs w:val="16"/>
                <w:lang w:val="es-ES" w:eastAsia="es-ES"/>
              </w:rPr>
            </w:pPr>
            <w:r w:rsidRPr="00470CF3">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36F08C3" w14:textId="77777777" w:rsidR="006F2BAE" w:rsidRPr="00470CF3" w:rsidRDefault="006F2BAE" w:rsidP="005667F9">
            <w:pPr>
              <w:contextualSpacing/>
              <w:rPr>
                <w:rFonts w:ascii="Verdana" w:eastAsia="Arial" w:hAnsi="Verdana" w:cs="Arial"/>
                <w:sz w:val="16"/>
                <w:szCs w:val="16"/>
              </w:rPr>
            </w:pPr>
            <w:r w:rsidRPr="00470CF3">
              <w:rPr>
                <w:rFonts w:ascii="Verdana" w:eastAsia="Arial" w:hAnsi="Verdana" w:cs="Arial"/>
                <w:sz w:val="16"/>
                <w:szCs w:val="16"/>
              </w:rPr>
              <w:t>Ana María Ortiz Ballesteros</w:t>
            </w:r>
          </w:p>
          <w:p w14:paraId="75AFDFB4" w14:textId="77777777" w:rsidR="006F2BAE" w:rsidRPr="00470CF3" w:rsidRDefault="006F2BAE" w:rsidP="005667F9">
            <w:pPr>
              <w:contextualSpacing/>
              <w:rPr>
                <w:rFonts w:ascii="Verdana" w:eastAsia="Arial" w:hAnsi="Verdana" w:cs="Arial"/>
                <w:sz w:val="16"/>
                <w:szCs w:val="16"/>
              </w:rPr>
            </w:pPr>
            <w:r w:rsidRPr="00470CF3">
              <w:rPr>
                <w:rStyle w:val="normaltextrun"/>
                <w:rFonts w:ascii="Verdana" w:eastAsia="Arial" w:hAnsi="Verdana" w:cs="Arial"/>
                <w:sz w:val="16"/>
                <w:szCs w:val="16"/>
              </w:rPr>
              <w:t>C</w:t>
            </w:r>
            <w:r w:rsidRPr="00470CF3">
              <w:rPr>
                <w:rStyle w:val="normaltextrun"/>
                <w:rFonts w:ascii="Verdana" w:hAnsi="Verdana" w:cs="Arial"/>
                <w:sz w:val="16"/>
                <w:szCs w:val="16"/>
              </w:rPr>
              <w:t>ontratista</w:t>
            </w:r>
            <w:r w:rsidRPr="00470CF3">
              <w:rPr>
                <w:rStyle w:val="normaltextrun"/>
                <w:rFonts w:ascii="Verdana" w:eastAsia="Arial" w:hAnsi="Verdana" w:cs="Arial"/>
                <w:sz w:val="16"/>
                <w:szCs w:val="16"/>
              </w:rPr>
              <w:t xml:space="preserve"> de la Subdirección de Gestión Contractual</w:t>
            </w:r>
          </w:p>
        </w:tc>
      </w:tr>
      <w:tr w:rsidR="006F2BAE" w:rsidRPr="00470CF3" w14:paraId="42B3C411" w14:textId="77777777" w:rsidTr="005667F9">
        <w:trPr>
          <w:trHeight w:val="330"/>
        </w:trPr>
        <w:tc>
          <w:tcPr>
            <w:tcW w:w="893" w:type="dxa"/>
            <w:vAlign w:val="center"/>
            <w:hideMark/>
          </w:tcPr>
          <w:p w14:paraId="03DFED02" w14:textId="77777777" w:rsidR="006F2BAE" w:rsidRPr="00470CF3" w:rsidRDefault="006F2BAE" w:rsidP="005667F9">
            <w:pPr>
              <w:contextualSpacing/>
              <w:rPr>
                <w:rFonts w:ascii="Verdana" w:hAnsi="Verdana" w:cs="Arial"/>
                <w:sz w:val="16"/>
                <w:szCs w:val="16"/>
                <w:lang w:val="es-ES" w:eastAsia="es-ES"/>
              </w:rPr>
            </w:pPr>
            <w:r w:rsidRPr="00470CF3">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09407D2" w14:textId="372D7C43" w:rsidR="006F2BAE" w:rsidRPr="00470CF3" w:rsidRDefault="006F2BAE" w:rsidP="005667F9">
            <w:pPr>
              <w:pStyle w:val="paragraph"/>
              <w:spacing w:after="0"/>
              <w:contextualSpacing/>
              <w:textAlignment w:val="baseline"/>
              <w:rPr>
                <w:rFonts w:ascii="Verdana" w:hAnsi="Verdana" w:cs="Arial"/>
                <w:sz w:val="16"/>
                <w:szCs w:val="16"/>
              </w:rPr>
            </w:pPr>
            <w:r w:rsidRPr="00470CF3">
              <w:rPr>
                <w:rFonts w:ascii="Verdana" w:hAnsi="Verdana" w:cs="Arial"/>
                <w:sz w:val="16"/>
                <w:szCs w:val="16"/>
              </w:rPr>
              <w:t xml:space="preserve">Diana Lucia Saavedra </w:t>
            </w:r>
            <w:r w:rsidR="00506169">
              <w:rPr>
                <w:rFonts w:ascii="Verdana" w:hAnsi="Verdana" w:cs="Arial"/>
                <w:sz w:val="16"/>
                <w:szCs w:val="16"/>
              </w:rPr>
              <w:t>Castañeda</w:t>
            </w:r>
          </w:p>
          <w:p w14:paraId="09FCCF92" w14:textId="77777777" w:rsidR="006F2BAE" w:rsidRPr="00470CF3" w:rsidRDefault="006F2BAE" w:rsidP="005667F9">
            <w:pPr>
              <w:pStyle w:val="paragraph"/>
              <w:contextualSpacing/>
              <w:rPr>
                <w:rFonts w:ascii="Verdana" w:eastAsia="Arial" w:hAnsi="Verdana" w:cs="Arial"/>
                <w:sz w:val="16"/>
                <w:szCs w:val="16"/>
              </w:rPr>
            </w:pPr>
            <w:r w:rsidRPr="00470CF3">
              <w:rPr>
                <w:rStyle w:val="normaltextrun"/>
                <w:rFonts w:ascii="Verdana" w:eastAsia="Arial" w:hAnsi="Verdana" w:cs="Arial"/>
                <w:sz w:val="16"/>
                <w:szCs w:val="16"/>
              </w:rPr>
              <w:t>C</w:t>
            </w:r>
            <w:r w:rsidRPr="00470CF3">
              <w:rPr>
                <w:rStyle w:val="normaltextrun"/>
                <w:rFonts w:ascii="Verdana" w:hAnsi="Verdana" w:cs="Arial"/>
                <w:sz w:val="16"/>
                <w:szCs w:val="16"/>
              </w:rPr>
              <w:t>ontratista</w:t>
            </w:r>
            <w:r w:rsidRPr="00470CF3">
              <w:rPr>
                <w:rStyle w:val="normaltextrun"/>
                <w:rFonts w:ascii="Verdana" w:eastAsia="Arial" w:hAnsi="Verdana" w:cs="Arial"/>
                <w:sz w:val="16"/>
                <w:szCs w:val="16"/>
              </w:rPr>
              <w:t xml:space="preserve"> de la Subdirección de Gestión Contractual</w:t>
            </w:r>
          </w:p>
        </w:tc>
      </w:tr>
      <w:tr w:rsidR="006F2BAE" w:rsidRPr="00470CF3" w14:paraId="4BF99A7D" w14:textId="77777777" w:rsidTr="005667F9">
        <w:trPr>
          <w:trHeight w:val="300"/>
        </w:trPr>
        <w:tc>
          <w:tcPr>
            <w:tcW w:w="893" w:type="dxa"/>
            <w:vAlign w:val="center"/>
          </w:tcPr>
          <w:p w14:paraId="0575AA94" w14:textId="77777777" w:rsidR="006F2BAE" w:rsidRPr="00470CF3" w:rsidRDefault="006F2BAE" w:rsidP="005667F9">
            <w:pPr>
              <w:contextualSpacing/>
              <w:rPr>
                <w:rFonts w:ascii="Verdana" w:hAnsi="Verdana" w:cs="Arial"/>
                <w:sz w:val="16"/>
                <w:szCs w:val="16"/>
                <w:lang w:val="es-ES" w:eastAsia="es-ES"/>
              </w:rPr>
            </w:pPr>
            <w:r w:rsidRPr="00470CF3">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E1DA08C" w14:textId="77777777" w:rsidR="006F2BAE" w:rsidRPr="00470CF3" w:rsidRDefault="006F2BAE" w:rsidP="005667F9">
            <w:pPr>
              <w:contextualSpacing/>
              <w:rPr>
                <w:rFonts w:ascii="Verdana" w:eastAsia="Calibri" w:hAnsi="Verdana" w:cs="Arial"/>
                <w:sz w:val="16"/>
                <w:szCs w:val="16"/>
                <w:lang w:val="pt-BR" w:eastAsia="es-ES"/>
              </w:rPr>
            </w:pPr>
            <w:r w:rsidRPr="00470CF3">
              <w:rPr>
                <w:rFonts w:ascii="Verdana" w:eastAsia="Calibri" w:hAnsi="Verdana" w:cs="Arial"/>
                <w:sz w:val="16"/>
                <w:szCs w:val="16"/>
                <w:lang w:val="pt-BR" w:eastAsia="es-ES"/>
              </w:rPr>
              <w:t>Carolina Quintero Gacharná</w:t>
            </w:r>
          </w:p>
          <w:p w14:paraId="21A4D7DA" w14:textId="77777777" w:rsidR="006F2BAE" w:rsidRPr="00470CF3" w:rsidRDefault="006F2BAE" w:rsidP="005667F9">
            <w:pPr>
              <w:contextualSpacing/>
              <w:rPr>
                <w:rFonts w:ascii="Verdana" w:eastAsia="Calibri" w:hAnsi="Verdana" w:cs="Arial"/>
                <w:sz w:val="16"/>
                <w:szCs w:val="16"/>
                <w:lang w:val="pt-BR" w:eastAsia="es-ES"/>
              </w:rPr>
            </w:pPr>
            <w:r w:rsidRPr="00470CF3">
              <w:rPr>
                <w:rFonts w:ascii="Verdana" w:eastAsia="Calibri" w:hAnsi="Verdana" w:cs="Arial"/>
                <w:sz w:val="16"/>
                <w:szCs w:val="16"/>
                <w:lang w:eastAsia="es-ES"/>
              </w:rPr>
              <w:t>Subdirectora</w:t>
            </w:r>
            <w:r w:rsidRPr="00470CF3">
              <w:rPr>
                <w:rFonts w:ascii="Verdana" w:eastAsia="Calibri" w:hAnsi="Verdana" w:cs="Arial"/>
                <w:sz w:val="16"/>
                <w:szCs w:val="16"/>
                <w:lang w:val="pt-BR" w:eastAsia="es-ES"/>
              </w:rPr>
              <w:t xml:space="preserve"> de Gestión Contractual ANCP – CCE</w:t>
            </w:r>
          </w:p>
        </w:tc>
      </w:tr>
    </w:tbl>
    <w:p w14:paraId="41A89483"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20"/>
      <w:footerReference w:type="default" r:id="rId21"/>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FB451" w14:textId="77777777" w:rsidR="00ED7384" w:rsidRDefault="00ED7384" w:rsidP="004A1847">
      <w:pPr>
        <w:spacing w:after="0" w:line="240" w:lineRule="auto"/>
      </w:pPr>
      <w:r>
        <w:separator/>
      </w:r>
    </w:p>
  </w:endnote>
  <w:endnote w:type="continuationSeparator" w:id="0">
    <w:p w14:paraId="40688F36" w14:textId="77777777" w:rsidR="00ED7384" w:rsidRDefault="00ED7384" w:rsidP="004A1847">
      <w:pPr>
        <w:spacing w:after="0" w:line="240" w:lineRule="auto"/>
      </w:pPr>
      <w:r>
        <w:continuationSeparator/>
      </w:r>
    </w:p>
  </w:endnote>
  <w:endnote w:type="continuationNotice" w:id="1">
    <w:p w14:paraId="7FA46B45" w14:textId="77777777" w:rsidR="00AE2E9F" w:rsidRDefault="00AE2E9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A9C60" w14:textId="77777777" w:rsidR="004A1847" w:rsidRDefault="004A1847">
    <w:pPr>
      <w:pStyle w:val="Piedepgina"/>
    </w:pPr>
  </w:p>
  <w:p w14:paraId="5F9DB4A3"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027C009"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FFEE58C"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00B90242" w14:textId="77777777"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DE489" w14:textId="77777777" w:rsidR="00ED7384" w:rsidRDefault="00ED7384" w:rsidP="004A1847">
      <w:pPr>
        <w:spacing w:after="0" w:line="240" w:lineRule="auto"/>
      </w:pPr>
      <w:r>
        <w:separator/>
      </w:r>
    </w:p>
  </w:footnote>
  <w:footnote w:type="continuationSeparator" w:id="0">
    <w:p w14:paraId="290C7367" w14:textId="77777777" w:rsidR="00ED7384" w:rsidRDefault="00ED7384" w:rsidP="004A1847">
      <w:pPr>
        <w:spacing w:after="0" w:line="240" w:lineRule="auto"/>
      </w:pPr>
      <w:r>
        <w:continuationSeparator/>
      </w:r>
    </w:p>
  </w:footnote>
  <w:footnote w:type="continuationNotice" w:id="1">
    <w:p w14:paraId="5CBE89BB" w14:textId="77777777" w:rsidR="00AE2E9F" w:rsidRDefault="00AE2E9F">
      <w:pPr>
        <w:spacing w:after="0" w:line="240" w:lineRule="auto"/>
      </w:pPr>
    </w:p>
  </w:footnote>
  <w:footnote w:id="2">
    <w:p w14:paraId="7B563D07" w14:textId="77777777" w:rsidR="0002184C" w:rsidRPr="00047B09" w:rsidRDefault="0002184C" w:rsidP="0002184C">
      <w:pPr>
        <w:pStyle w:val="Textonotapie"/>
        <w:ind w:firstLine="708"/>
        <w:contextualSpacing/>
        <w:jc w:val="both"/>
        <w:rPr>
          <w:rStyle w:val="Hipervnculo1"/>
          <w:rFonts w:ascii="Verdana" w:hAnsi="Verdana" w:cs="Arial"/>
          <w:color w:val="000000" w:themeColor="text1"/>
          <w:sz w:val="16"/>
          <w:szCs w:val="16"/>
        </w:rPr>
      </w:pPr>
      <w:r w:rsidRPr="00047B09">
        <w:rPr>
          <w:rStyle w:val="Refdenotaalpie"/>
          <w:rFonts w:ascii="Verdana" w:hAnsi="Verdana" w:cs="Arial"/>
          <w:color w:val="000000" w:themeColor="text1"/>
          <w:sz w:val="16"/>
          <w:szCs w:val="16"/>
        </w:rPr>
        <w:footnoteRef/>
      </w:r>
      <w:r w:rsidRPr="00047B09">
        <w:rPr>
          <w:rFonts w:ascii="Verdana" w:hAnsi="Verdana" w:cs="Arial"/>
          <w:color w:val="000000" w:themeColor="text1"/>
          <w:sz w:val="16"/>
          <w:szCs w:val="16"/>
        </w:rPr>
        <w:t xml:space="preserve"> Texto del Proyecto de Ley 122 de 2020 Cámara. Exposición de motivos. Consultado el 29 de diciembre de 2021 en la página web: </w:t>
      </w:r>
      <w:hyperlink r:id="rId1" w:history="1">
        <w:r w:rsidRPr="00047B09">
          <w:rPr>
            <w:rStyle w:val="Hipervnculo"/>
            <w:rFonts w:ascii="Verdana" w:hAnsi="Verdana" w:cs="Arial"/>
            <w:sz w:val="16"/>
            <w:szCs w:val="16"/>
          </w:rPr>
          <w:t>http://leyes.senado.gov.co/proyectos/index.php/textos-radicados-senado/p-ley-2020-2021/1957-proyecto-de-ley-161-de-2020</w:t>
        </w:r>
      </w:hyperlink>
      <w:r w:rsidRPr="00047B09">
        <w:rPr>
          <w:rStyle w:val="Hipervnculo1"/>
          <w:rFonts w:ascii="Verdana" w:hAnsi="Verdana" w:cs="Arial"/>
          <w:color w:val="000000" w:themeColor="text1"/>
          <w:sz w:val="16"/>
          <w:szCs w:val="16"/>
        </w:rPr>
        <w:t xml:space="preserve"> </w:t>
      </w:r>
    </w:p>
    <w:p w14:paraId="367034C6" w14:textId="77777777" w:rsidR="00F12A56" w:rsidRPr="00047B09" w:rsidRDefault="00F12A56" w:rsidP="0002184C">
      <w:pPr>
        <w:pStyle w:val="Textonotapie"/>
        <w:ind w:firstLine="708"/>
        <w:contextualSpacing/>
        <w:jc w:val="both"/>
        <w:rPr>
          <w:rFonts w:ascii="Verdana" w:hAnsi="Verdana" w:cs="Arial"/>
          <w:color w:val="000000" w:themeColor="text1"/>
          <w:sz w:val="16"/>
          <w:szCs w:val="16"/>
          <w:u w:val="single"/>
        </w:rPr>
      </w:pPr>
    </w:p>
  </w:footnote>
  <w:footnote w:id="3">
    <w:p w14:paraId="09A553E5" w14:textId="77777777" w:rsidR="0002184C" w:rsidRPr="00047B09" w:rsidRDefault="0002184C" w:rsidP="0002184C">
      <w:pPr>
        <w:pStyle w:val="Textonotapie"/>
        <w:ind w:firstLine="709"/>
        <w:contextualSpacing/>
        <w:jc w:val="both"/>
        <w:rPr>
          <w:rFonts w:ascii="Verdana" w:hAnsi="Verdana" w:cs="Arial"/>
          <w:color w:val="000000" w:themeColor="text1"/>
          <w:sz w:val="16"/>
          <w:szCs w:val="16"/>
          <w:lang w:val="es-ES"/>
        </w:rPr>
      </w:pPr>
      <w:r w:rsidRPr="00047B09">
        <w:rPr>
          <w:rStyle w:val="Refdenotaalpie"/>
          <w:rFonts w:ascii="Verdana" w:hAnsi="Verdana" w:cs="Arial"/>
          <w:color w:val="000000" w:themeColor="text1"/>
          <w:sz w:val="16"/>
          <w:szCs w:val="16"/>
        </w:rPr>
        <w:footnoteRef/>
      </w:r>
      <w:r w:rsidRPr="00047B09">
        <w:rPr>
          <w:rFonts w:ascii="Verdana" w:hAnsi="Verdana" w:cs="Arial"/>
          <w:color w:val="000000" w:themeColor="text1"/>
          <w:sz w:val="16"/>
          <w:szCs w:val="16"/>
        </w:rPr>
        <w:t xml:space="preserve"> </w:t>
      </w:r>
      <w:r w:rsidRPr="00047B09">
        <w:rPr>
          <w:rFonts w:ascii="Verdana" w:hAnsi="Verdana" w:cs="Arial"/>
          <w:color w:val="000000" w:themeColor="text1"/>
          <w:sz w:val="16"/>
          <w:szCs w:val="16"/>
          <w:lang w:val="es-ES"/>
        </w:rPr>
        <w:t>Artículos 2 al 29.</w:t>
      </w:r>
    </w:p>
    <w:p w14:paraId="26902201" w14:textId="77777777" w:rsidR="00F12A56" w:rsidRPr="00047B09" w:rsidRDefault="00F12A56" w:rsidP="0002184C">
      <w:pPr>
        <w:pStyle w:val="Textonotapie"/>
        <w:ind w:firstLine="709"/>
        <w:contextualSpacing/>
        <w:jc w:val="both"/>
        <w:rPr>
          <w:rFonts w:ascii="Verdana" w:hAnsi="Verdana" w:cs="Arial"/>
          <w:color w:val="000000" w:themeColor="text1"/>
          <w:sz w:val="16"/>
          <w:szCs w:val="16"/>
          <w:lang w:val="es-ES"/>
        </w:rPr>
      </w:pPr>
    </w:p>
  </w:footnote>
  <w:footnote w:id="4">
    <w:p w14:paraId="0275417B" w14:textId="77777777" w:rsidR="0002184C" w:rsidRPr="00047B09" w:rsidRDefault="0002184C" w:rsidP="0002184C">
      <w:pPr>
        <w:pStyle w:val="Textonotapie"/>
        <w:ind w:firstLine="709"/>
        <w:contextualSpacing/>
        <w:jc w:val="both"/>
        <w:rPr>
          <w:rFonts w:ascii="Verdana" w:hAnsi="Verdana" w:cs="Arial"/>
          <w:color w:val="000000" w:themeColor="text1"/>
          <w:sz w:val="16"/>
          <w:szCs w:val="16"/>
          <w:lang w:val="es-ES"/>
        </w:rPr>
      </w:pPr>
      <w:r w:rsidRPr="00047B09">
        <w:rPr>
          <w:rStyle w:val="Refdenotaalpie"/>
          <w:rFonts w:ascii="Verdana" w:hAnsi="Verdana" w:cs="Arial"/>
          <w:color w:val="000000" w:themeColor="text1"/>
          <w:sz w:val="16"/>
          <w:szCs w:val="16"/>
        </w:rPr>
        <w:footnoteRef/>
      </w:r>
      <w:r w:rsidRPr="00047B09">
        <w:rPr>
          <w:rFonts w:ascii="Verdana" w:hAnsi="Verdana" w:cs="Arial"/>
          <w:color w:val="000000" w:themeColor="text1"/>
          <w:sz w:val="16"/>
          <w:szCs w:val="16"/>
        </w:rPr>
        <w:t xml:space="preserve"> </w:t>
      </w:r>
      <w:r w:rsidRPr="00047B09">
        <w:rPr>
          <w:rFonts w:ascii="Verdana" w:hAnsi="Verdana" w:cs="Arial"/>
          <w:color w:val="000000" w:themeColor="text1"/>
          <w:sz w:val="16"/>
          <w:szCs w:val="16"/>
          <w:lang w:val="es-ES"/>
        </w:rPr>
        <w:t>Artículos 30 al 36.</w:t>
      </w:r>
    </w:p>
    <w:p w14:paraId="675DB93D" w14:textId="77777777" w:rsidR="00F12A56" w:rsidRPr="00047B09" w:rsidRDefault="00F12A56" w:rsidP="0002184C">
      <w:pPr>
        <w:pStyle w:val="Textonotapie"/>
        <w:ind w:firstLine="709"/>
        <w:contextualSpacing/>
        <w:jc w:val="both"/>
        <w:rPr>
          <w:rFonts w:ascii="Verdana" w:hAnsi="Verdana" w:cs="Arial"/>
          <w:color w:val="000000" w:themeColor="text1"/>
          <w:sz w:val="16"/>
          <w:szCs w:val="16"/>
          <w:lang w:val="es-ES"/>
        </w:rPr>
      </w:pPr>
    </w:p>
  </w:footnote>
  <w:footnote w:id="5">
    <w:p w14:paraId="119843CA" w14:textId="77777777" w:rsidR="0002184C" w:rsidRPr="00047B09" w:rsidRDefault="0002184C" w:rsidP="0002184C">
      <w:pPr>
        <w:pStyle w:val="Textonotapie"/>
        <w:ind w:firstLine="709"/>
        <w:contextualSpacing/>
        <w:jc w:val="both"/>
        <w:rPr>
          <w:rFonts w:ascii="Verdana" w:hAnsi="Verdana" w:cs="Arial"/>
          <w:color w:val="000000" w:themeColor="text1"/>
          <w:sz w:val="16"/>
          <w:szCs w:val="16"/>
          <w:lang w:val="es-ES"/>
        </w:rPr>
      </w:pPr>
      <w:r w:rsidRPr="00047B09">
        <w:rPr>
          <w:rStyle w:val="Refdenotaalpie"/>
          <w:rFonts w:ascii="Verdana" w:hAnsi="Verdana" w:cs="Arial"/>
          <w:color w:val="000000" w:themeColor="text1"/>
          <w:sz w:val="16"/>
          <w:szCs w:val="16"/>
        </w:rPr>
        <w:footnoteRef/>
      </w:r>
      <w:r w:rsidRPr="00047B09">
        <w:rPr>
          <w:rFonts w:ascii="Verdana" w:hAnsi="Verdana" w:cs="Arial"/>
          <w:color w:val="000000" w:themeColor="text1"/>
          <w:sz w:val="16"/>
          <w:szCs w:val="16"/>
        </w:rPr>
        <w:t xml:space="preserve"> </w:t>
      </w:r>
      <w:r w:rsidRPr="00047B09">
        <w:rPr>
          <w:rFonts w:ascii="Verdana" w:hAnsi="Verdana" w:cs="Arial"/>
          <w:color w:val="000000" w:themeColor="text1"/>
          <w:sz w:val="16"/>
          <w:szCs w:val="16"/>
          <w:lang w:val="es-ES"/>
        </w:rPr>
        <w:t>Artículos 37 al 45.</w:t>
      </w:r>
    </w:p>
    <w:p w14:paraId="196D52B5" w14:textId="77777777" w:rsidR="00903366" w:rsidRPr="00047B09" w:rsidRDefault="00903366" w:rsidP="0002184C">
      <w:pPr>
        <w:pStyle w:val="Textonotapie"/>
        <w:ind w:firstLine="709"/>
        <w:contextualSpacing/>
        <w:jc w:val="both"/>
        <w:rPr>
          <w:rFonts w:ascii="Verdana" w:hAnsi="Verdana" w:cs="Arial"/>
          <w:color w:val="000000" w:themeColor="text1"/>
          <w:sz w:val="16"/>
          <w:szCs w:val="16"/>
          <w:lang w:val="es-ES"/>
        </w:rPr>
      </w:pPr>
    </w:p>
  </w:footnote>
  <w:footnote w:id="6">
    <w:p w14:paraId="120AB7AF" w14:textId="77777777" w:rsidR="0002184C" w:rsidRPr="00047B09" w:rsidRDefault="0002184C" w:rsidP="0002184C">
      <w:pPr>
        <w:pStyle w:val="Textonotapie"/>
        <w:ind w:firstLine="709"/>
        <w:contextualSpacing/>
        <w:jc w:val="both"/>
        <w:rPr>
          <w:rFonts w:ascii="Verdana" w:hAnsi="Verdana" w:cs="Arial"/>
          <w:color w:val="000000" w:themeColor="text1"/>
          <w:sz w:val="16"/>
          <w:szCs w:val="16"/>
          <w:lang w:val="es-ES"/>
        </w:rPr>
      </w:pPr>
      <w:r w:rsidRPr="00047B09">
        <w:rPr>
          <w:rStyle w:val="Refdenotaalpie"/>
          <w:rFonts w:ascii="Verdana" w:hAnsi="Verdana" w:cs="Arial"/>
          <w:color w:val="000000" w:themeColor="text1"/>
          <w:sz w:val="16"/>
          <w:szCs w:val="16"/>
        </w:rPr>
        <w:footnoteRef/>
      </w:r>
      <w:r w:rsidRPr="00047B09">
        <w:rPr>
          <w:rFonts w:ascii="Verdana" w:hAnsi="Verdana" w:cs="Arial"/>
          <w:color w:val="000000" w:themeColor="text1"/>
          <w:sz w:val="16"/>
          <w:szCs w:val="16"/>
        </w:rPr>
        <w:t xml:space="preserve"> </w:t>
      </w:r>
      <w:r w:rsidRPr="00047B09">
        <w:rPr>
          <w:rFonts w:ascii="Verdana" w:hAnsi="Verdana" w:cs="Arial"/>
          <w:color w:val="000000" w:themeColor="text1"/>
          <w:sz w:val="16"/>
          <w:szCs w:val="16"/>
          <w:lang w:val="es-ES"/>
        </w:rPr>
        <w:t>Artículos 46 al 73.</w:t>
      </w:r>
    </w:p>
    <w:p w14:paraId="40356474" w14:textId="77777777" w:rsidR="00F12A56" w:rsidRPr="00047B09" w:rsidRDefault="00F12A56" w:rsidP="0002184C">
      <w:pPr>
        <w:pStyle w:val="Textonotapie"/>
        <w:ind w:firstLine="709"/>
        <w:contextualSpacing/>
        <w:jc w:val="both"/>
        <w:rPr>
          <w:rFonts w:ascii="Verdana" w:hAnsi="Verdana" w:cs="Arial"/>
          <w:color w:val="000000" w:themeColor="text1"/>
          <w:sz w:val="16"/>
          <w:szCs w:val="16"/>
          <w:lang w:val="es-ES"/>
        </w:rPr>
      </w:pPr>
    </w:p>
  </w:footnote>
  <w:footnote w:id="7">
    <w:p w14:paraId="5B5B929A" w14:textId="77777777" w:rsidR="0002184C" w:rsidRPr="00047B09" w:rsidRDefault="0002184C" w:rsidP="0002184C">
      <w:pPr>
        <w:pStyle w:val="Textonotapie"/>
        <w:ind w:firstLine="709"/>
        <w:contextualSpacing/>
        <w:jc w:val="both"/>
        <w:rPr>
          <w:rFonts w:ascii="Verdana" w:hAnsi="Verdana" w:cs="Arial"/>
          <w:color w:val="000000" w:themeColor="text1"/>
          <w:sz w:val="16"/>
          <w:szCs w:val="16"/>
          <w:lang w:val="es-ES"/>
        </w:rPr>
      </w:pPr>
      <w:r w:rsidRPr="00047B09">
        <w:rPr>
          <w:rStyle w:val="Refdenotaalpie"/>
          <w:rFonts w:ascii="Verdana" w:hAnsi="Verdana" w:cs="Arial"/>
          <w:color w:val="000000" w:themeColor="text1"/>
          <w:sz w:val="16"/>
          <w:szCs w:val="16"/>
        </w:rPr>
        <w:footnoteRef/>
      </w:r>
      <w:r w:rsidRPr="00047B09">
        <w:rPr>
          <w:rFonts w:ascii="Verdana" w:hAnsi="Verdana" w:cs="Arial"/>
          <w:color w:val="000000" w:themeColor="text1"/>
          <w:sz w:val="16"/>
          <w:szCs w:val="16"/>
        </w:rPr>
        <w:t xml:space="preserve"> </w:t>
      </w:r>
      <w:r w:rsidRPr="00047B09">
        <w:rPr>
          <w:rFonts w:ascii="Verdana" w:hAnsi="Verdana" w:cs="Arial"/>
          <w:color w:val="000000" w:themeColor="text1"/>
          <w:sz w:val="16"/>
          <w:szCs w:val="16"/>
          <w:lang w:val="es-ES"/>
        </w:rPr>
        <w:t>Artículos 74 al 83.</w:t>
      </w:r>
    </w:p>
    <w:p w14:paraId="6313FD54" w14:textId="77777777" w:rsidR="00F12A56" w:rsidRPr="00047B09" w:rsidRDefault="00F12A56" w:rsidP="0002184C">
      <w:pPr>
        <w:pStyle w:val="Textonotapie"/>
        <w:ind w:firstLine="709"/>
        <w:contextualSpacing/>
        <w:jc w:val="both"/>
        <w:rPr>
          <w:rFonts w:ascii="Verdana" w:hAnsi="Verdana" w:cs="Arial"/>
          <w:color w:val="000000" w:themeColor="text1"/>
          <w:sz w:val="16"/>
          <w:szCs w:val="16"/>
          <w:lang w:val="es-ES"/>
        </w:rPr>
      </w:pPr>
    </w:p>
  </w:footnote>
  <w:footnote w:id="8">
    <w:p w14:paraId="10EA6220" w14:textId="77777777" w:rsidR="0002184C" w:rsidRPr="00047B09" w:rsidRDefault="0002184C" w:rsidP="0002184C">
      <w:pPr>
        <w:pStyle w:val="Textonotapie"/>
        <w:ind w:firstLine="709"/>
        <w:contextualSpacing/>
        <w:jc w:val="both"/>
        <w:rPr>
          <w:rFonts w:ascii="Verdana" w:hAnsi="Verdana" w:cs="Arial"/>
          <w:color w:val="000000" w:themeColor="text1"/>
          <w:sz w:val="16"/>
          <w:szCs w:val="16"/>
        </w:rPr>
      </w:pPr>
      <w:r w:rsidRPr="00047B09">
        <w:rPr>
          <w:rStyle w:val="Refdenotaalpie"/>
          <w:rFonts w:ascii="Verdana" w:hAnsi="Verdana" w:cs="Arial"/>
          <w:color w:val="000000" w:themeColor="text1"/>
          <w:sz w:val="16"/>
          <w:szCs w:val="16"/>
        </w:rPr>
        <w:footnoteRef/>
      </w:r>
      <w:r w:rsidRPr="00047B09">
        <w:rPr>
          <w:rFonts w:ascii="Verdana" w:hAnsi="Verdana" w:cs="Arial"/>
          <w:color w:val="000000" w:themeColor="text1"/>
          <w:sz w:val="16"/>
          <w:szCs w:val="16"/>
        </w:rPr>
        <w:t xml:space="preserve"> Ley 2069 de 2020 “Artículo 32. Criterios Diferenciales para Emprendimientos y Empresas de mujeres en el Sistema De Compras Públicas. De acuerdo con el resultado del análisis del sector, las entidades estatales incluirán requisitos diferenciales y puntajes adicionales en los procesos de licitación pública, selección abreviada de menor cuantía y concurso de méritos,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  Parágrafo primero. La definición de emprendimientos y empresas de mujeres se reglamentará por el gobierno nacional”.</w:t>
      </w:r>
    </w:p>
  </w:footnote>
  <w:footnote w:id="9">
    <w:p w14:paraId="566262EB" w14:textId="4F2DD21C" w:rsidR="004F731F" w:rsidRPr="00047B09" w:rsidRDefault="004F731F" w:rsidP="00047B09">
      <w:pPr>
        <w:pStyle w:val="Textonotapie"/>
        <w:ind w:firstLine="708"/>
        <w:jc w:val="both"/>
        <w:rPr>
          <w:rFonts w:ascii="Verdana" w:hAnsi="Verdana"/>
          <w:sz w:val="16"/>
          <w:szCs w:val="16"/>
          <w:lang w:val="es-CO"/>
        </w:rPr>
      </w:pPr>
      <w:r w:rsidRPr="00047B09">
        <w:rPr>
          <w:rStyle w:val="Refdenotaalpie"/>
          <w:rFonts w:ascii="Verdana" w:hAnsi="Verdana"/>
          <w:sz w:val="16"/>
          <w:szCs w:val="16"/>
        </w:rPr>
        <w:footnoteRef/>
      </w:r>
      <w:r w:rsidRPr="00047B09">
        <w:rPr>
          <w:rFonts w:ascii="Verdana" w:hAnsi="Verdana"/>
          <w:sz w:val="16"/>
          <w:szCs w:val="16"/>
        </w:rPr>
        <w:t xml:space="preserve"> </w:t>
      </w:r>
      <w:bookmarkStart w:id="3" w:name="98"/>
      <w:r w:rsidR="00AA24AE" w:rsidRPr="00AA24AE">
        <w:rPr>
          <w:rFonts w:ascii="Verdana" w:hAnsi="Verdana"/>
          <w:sz w:val="16"/>
          <w:szCs w:val="16"/>
          <w:lang w:val="es-CO"/>
        </w:rPr>
        <w:t xml:space="preserve">Artículo </w:t>
      </w:r>
      <w:r w:rsidRPr="00047B09">
        <w:rPr>
          <w:rFonts w:ascii="Verdana" w:hAnsi="Verdana"/>
          <w:sz w:val="16"/>
          <w:szCs w:val="16"/>
          <w:lang w:val="es-CO"/>
        </w:rPr>
        <w:t xml:space="preserve">98. </w:t>
      </w:r>
      <w:r w:rsidR="00AA24AE" w:rsidRPr="00AA24AE">
        <w:rPr>
          <w:rFonts w:ascii="Verdana" w:hAnsi="Verdana"/>
          <w:sz w:val="16"/>
          <w:szCs w:val="16"/>
          <w:lang w:val="es-CO"/>
        </w:rPr>
        <w:t xml:space="preserve">Contrato </w:t>
      </w:r>
      <w:r w:rsidR="00AA24AE">
        <w:rPr>
          <w:rFonts w:ascii="Verdana" w:hAnsi="Verdana"/>
          <w:sz w:val="16"/>
          <w:szCs w:val="16"/>
          <w:lang w:val="es-CO"/>
        </w:rPr>
        <w:t>d</w:t>
      </w:r>
      <w:r w:rsidR="00AA24AE" w:rsidRPr="00AA24AE">
        <w:rPr>
          <w:rFonts w:ascii="Verdana" w:hAnsi="Verdana"/>
          <w:sz w:val="16"/>
          <w:szCs w:val="16"/>
          <w:lang w:val="es-CO"/>
        </w:rPr>
        <w:t xml:space="preserve">e Sociedad </w:t>
      </w:r>
      <w:r w:rsidRPr="00047B09">
        <w:rPr>
          <w:rFonts w:ascii="Verdana" w:hAnsi="Verdana"/>
          <w:sz w:val="16"/>
          <w:szCs w:val="16"/>
          <w:lang w:val="es-CO"/>
        </w:rPr>
        <w:t xml:space="preserve">- </w:t>
      </w:r>
      <w:r w:rsidR="00AA24AE" w:rsidRPr="00AA24AE">
        <w:rPr>
          <w:rFonts w:ascii="Verdana" w:hAnsi="Verdana"/>
          <w:sz w:val="16"/>
          <w:szCs w:val="16"/>
          <w:lang w:val="es-CO"/>
        </w:rPr>
        <w:t xml:space="preserve">Concepto </w:t>
      </w:r>
      <w:r w:rsidRPr="00047B09">
        <w:rPr>
          <w:rFonts w:ascii="Verdana" w:hAnsi="Verdana"/>
          <w:sz w:val="16"/>
          <w:szCs w:val="16"/>
          <w:lang w:val="es-CO"/>
        </w:rPr>
        <w:t xml:space="preserve">- </w:t>
      </w:r>
      <w:r w:rsidR="00AA24AE" w:rsidRPr="00AA24AE">
        <w:rPr>
          <w:rFonts w:ascii="Verdana" w:hAnsi="Verdana"/>
          <w:sz w:val="16"/>
          <w:szCs w:val="16"/>
          <w:lang w:val="es-CO"/>
        </w:rPr>
        <w:t>Persona Jurídica Distinta</w:t>
      </w:r>
      <w:r w:rsidRPr="00047B09">
        <w:rPr>
          <w:rFonts w:ascii="Verdana" w:hAnsi="Verdana"/>
          <w:sz w:val="16"/>
          <w:szCs w:val="16"/>
          <w:lang w:val="es-CO"/>
        </w:rPr>
        <w:t>.</w:t>
      </w:r>
      <w:bookmarkEnd w:id="3"/>
      <w:r w:rsidRPr="00047B09">
        <w:rPr>
          <w:rFonts w:ascii="Verdana" w:hAnsi="Verdana"/>
          <w:sz w:val="16"/>
          <w:szCs w:val="16"/>
          <w:lang w:val="es-CO"/>
        </w:rPr>
        <w:t> </w:t>
      </w:r>
      <w:r w:rsidR="00A224A4">
        <w:rPr>
          <w:rFonts w:ascii="Verdana" w:hAnsi="Verdana"/>
          <w:sz w:val="16"/>
          <w:szCs w:val="16"/>
          <w:lang w:val="es-CO"/>
        </w:rPr>
        <w:t>“</w:t>
      </w:r>
      <w:r w:rsidRPr="00047B09">
        <w:rPr>
          <w:rFonts w:ascii="Verdana" w:hAnsi="Verdana"/>
          <w:sz w:val="16"/>
          <w:szCs w:val="16"/>
          <w:lang w:val="es-CO"/>
        </w:rPr>
        <w:t>Por el contrato de sociedad dos o más personas se obligan a hacer un aporte en dinero, en trabajo o en otros bienes apreciables en dinero, con el fin de repartirse entre sí las utilidades obtenidas en la empresa o actividad social.</w:t>
      </w:r>
    </w:p>
    <w:p w14:paraId="1779B7F3" w14:textId="53191ACE" w:rsidR="004F731F" w:rsidRPr="00047B09" w:rsidRDefault="004F731F" w:rsidP="00047B09">
      <w:pPr>
        <w:pStyle w:val="Textonotapie"/>
        <w:ind w:firstLine="708"/>
        <w:jc w:val="both"/>
        <w:rPr>
          <w:rFonts w:ascii="Verdana" w:hAnsi="Verdana"/>
          <w:sz w:val="16"/>
          <w:szCs w:val="16"/>
          <w:lang w:val="es-CO"/>
        </w:rPr>
      </w:pPr>
      <w:r w:rsidRPr="00047B09">
        <w:rPr>
          <w:rFonts w:ascii="Verdana" w:hAnsi="Verdana"/>
          <w:sz w:val="16"/>
          <w:szCs w:val="16"/>
          <w:lang w:val="es-CO"/>
        </w:rPr>
        <w:t>La sociedad, una vez constituida legalmente, forma una persona jurídica distinta de los socios individualmente considerados</w:t>
      </w:r>
      <w:r w:rsidR="00A224A4">
        <w:rPr>
          <w:rFonts w:ascii="Verdana" w:hAnsi="Verdana"/>
          <w:sz w:val="16"/>
          <w:szCs w:val="16"/>
          <w:lang w:val="es-CO"/>
        </w:rPr>
        <w:t>”</w:t>
      </w:r>
      <w:r w:rsidRPr="00047B09">
        <w:rPr>
          <w:rFonts w:ascii="Verdana" w:hAnsi="Verdana"/>
          <w:sz w:val="16"/>
          <w:szCs w:val="16"/>
          <w:lang w:val="es-CO"/>
        </w:rPr>
        <w:t>.</w:t>
      </w:r>
    </w:p>
    <w:p w14:paraId="1D5153C0" w14:textId="3392B24E" w:rsidR="004F731F" w:rsidRDefault="004F731F">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31A9A" w14:textId="77777777"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9E04987" w14:textId="77777777" w:rsidR="00756841" w:rsidRDefault="00756841">
    <w:pPr>
      <w:pStyle w:val="Encabezado"/>
    </w:pPr>
  </w:p>
  <w:p w14:paraId="2C71BA1A" w14:textId="77777777" w:rsidR="00DC39FC" w:rsidRDefault="00DC39FC" w:rsidP="004A305D">
    <w:pPr>
      <w:spacing w:after="0"/>
      <w:rPr>
        <w:rFonts w:ascii="Verdana" w:hAnsi="Verdana"/>
        <w:b/>
        <w:bCs/>
      </w:rPr>
    </w:pPr>
  </w:p>
  <w:p w14:paraId="21FD4D3E" w14:textId="77777777" w:rsidR="004A305D" w:rsidRPr="00DC39FC" w:rsidRDefault="004A305D" w:rsidP="004A305D">
    <w:pPr>
      <w:spacing w:after="0"/>
      <w:rPr>
        <w:rFonts w:ascii="Verdana" w:hAnsi="Verdana"/>
        <w:b/>
        <w:bCs/>
      </w:rPr>
    </w:pPr>
    <w:r w:rsidRPr="00DC39FC">
      <w:rPr>
        <w:rFonts w:ascii="Verdana" w:hAnsi="Verdana"/>
        <w:b/>
        <w:bCs/>
      </w:rPr>
      <w:t>FORMATO PQRSD</w:t>
    </w:r>
  </w:p>
  <w:p w14:paraId="0D88F62E" w14:textId="77777777" w:rsidR="004A305D" w:rsidRPr="004A305D" w:rsidRDefault="004A305D" w:rsidP="00B01B1A">
    <w:pPr>
      <w:spacing w:after="0" w:line="120" w:lineRule="auto"/>
      <w:rPr>
        <w:rFonts w:ascii="Century Gothic" w:eastAsia="Geo" w:hAnsi="Century Gothic" w:cs="Geo"/>
        <w:sz w:val="16"/>
        <w:szCs w:val="16"/>
        <w:lang w:eastAsia="es-CO"/>
      </w:rPr>
    </w:pPr>
  </w:p>
  <w:p w14:paraId="5A58EE18" w14:textId="77777777"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3B3348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577866428" o:spid="_x0000_i1025" type="#_x0000_t75" style="width:11.25pt;height:11.25pt;visibility:visible;mso-wrap-style:square">
            <v:imagedata r:id="rId1" o:title=""/>
          </v:shape>
        </w:pict>
      </mc:Choice>
      <mc:Fallback>
        <w:drawing>
          <wp:inline distT="0" distB="0" distL="0" distR="0" wp14:anchorId="276B9764" wp14:editId="276B9765">
            <wp:extent cx="142875" cy="142875"/>
            <wp:effectExtent l="0" t="0" r="0" b="0"/>
            <wp:docPr id="577866428" name="Imagen 577866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578" w:hanging="360"/>
      </w:pPr>
      <w:rPr>
        <w:rFonts w:ascii="Symbol" w:hAnsi="Symbol" w:hint="default"/>
      </w:rPr>
    </w:lvl>
    <w:lvl w:ilvl="1" w:tplc="040A0003" w:tentative="1">
      <w:start w:val="1"/>
      <w:numFmt w:val="bullet"/>
      <w:lvlText w:val="o"/>
      <w:lvlJc w:val="left"/>
      <w:pPr>
        <w:ind w:left="1298" w:hanging="360"/>
      </w:pPr>
      <w:rPr>
        <w:rFonts w:ascii="Courier New" w:hAnsi="Courier New" w:cs="Courier New" w:hint="default"/>
      </w:rPr>
    </w:lvl>
    <w:lvl w:ilvl="2" w:tplc="040A0005" w:tentative="1">
      <w:start w:val="1"/>
      <w:numFmt w:val="bullet"/>
      <w:lvlText w:val=""/>
      <w:lvlJc w:val="left"/>
      <w:pPr>
        <w:ind w:left="2018" w:hanging="360"/>
      </w:pPr>
      <w:rPr>
        <w:rFonts w:ascii="Wingdings" w:hAnsi="Wingdings" w:hint="default"/>
      </w:rPr>
    </w:lvl>
    <w:lvl w:ilvl="3" w:tplc="040A0001" w:tentative="1">
      <w:start w:val="1"/>
      <w:numFmt w:val="bullet"/>
      <w:lvlText w:val=""/>
      <w:lvlJc w:val="left"/>
      <w:pPr>
        <w:ind w:left="2738" w:hanging="360"/>
      </w:pPr>
      <w:rPr>
        <w:rFonts w:ascii="Symbol" w:hAnsi="Symbol" w:hint="default"/>
      </w:rPr>
    </w:lvl>
    <w:lvl w:ilvl="4" w:tplc="040A0003" w:tentative="1">
      <w:start w:val="1"/>
      <w:numFmt w:val="bullet"/>
      <w:lvlText w:val="o"/>
      <w:lvlJc w:val="left"/>
      <w:pPr>
        <w:ind w:left="3458" w:hanging="360"/>
      </w:pPr>
      <w:rPr>
        <w:rFonts w:ascii="Courier New" w:hAnsi="Courier New" w:cs="Courier New" w:hint="default"/>
      </w:rPr>
    </w:lvl>
    <w:lvl w:ilvl="5" w:tplc="040A0005" w:tentative="1">
      <w:start w:val="1"/>
      <w:numFmt w:val="bullet"/>
      <w:lvlText w:val=""/>
      <w:lvlJc w:val="left"/>
      <w:pPr>
        <w:ind w:left="4178" w:hanging="360"/>
      </w:pPr>
      <w:rPr>
        <w:rFonts w:ascii="Wingdings" w:hAnsi="Wingdings" w:hint="default"/>
      </w:rPr>
    </w:lvl>
    <w:lvl w:ilvl="6" w:tplc="040A0001" w:tentative="1">
      <w:start w:val="1"/>
      <w:numFmt w:val="bullet"/>
      <w:lvlText w:val=""/>
      <w:lvlJc w:val="left"/>
      <w:pPr>
        <w:ind w:left="4898" w:hanging="360"/>
      </w:pPr>
      <w:rPr>
        <w:rFonts w:ascii="Symbol" w:hAnsi="Symbol" w:hint="default"/>
      </w:rPr>
    </w:lvl>
    <w:lvl w:ilvl="7" w:tplc="040A0003" w:tentative="1">
      <w:start w:val="1"/>
      <w:numFmt w:val="bullet"/>
      <w:lvlText w:val="o"/>
      <w:lvlJc w:val="left"/>
      <w:pPr>
        <w:ind w:left="5618" w:hanging="360"/>
      </w:pPr>
      <w:rPr>
        <w:rFonts w:ascii="Courier New" w:hAnsi="Courier New" w:cs="Courier New" w:hint="default"/>
      </w:rPr>
    </w:lvl>
    <w:lvl w:ilvl="8" w:tplc="040A0005" w:tentative="1">
      <w:start w:val="1"/>
      <w:numFmt w:val="bullet"/>
      <w:lvlText w:val=""/>
      <w:lvlJc w:val="left"/>
      <w:pPr>
        <w:ind w:left="6338" w:hanging="360"/>
      </w:pPr>
      <w:rPr>
        <w:rFonts w:ascii="Wingdings" w:hAnsi="Wingdings" w:hint="default"/>
      </w:rPr>
    </w:lvl>
  </w:abstractNum>
  <w:abstractNum w:abstractNumId="10" w15:restartNumberingAfterBreak="0">
    <w:nsid w:val="5EB34F84"/>
    <w:multiLevelType w:val="hybridMultilevel"/>
    <w:tmpl w:val="DBC80B18"/>
    <w:lvl w:ilvl="0" w:tplc="B6CE9E64">
      <w:start w:val="4"/>
      <w:numFmt w:val="decimal"/>
      <w:lvlText w:val="%1."/>
      <w:lvlJc w:val="left"/>
      <w:pPr>
        <w:ind w:left="2061" w:hanging="360"/>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9"/>
  </w:num>
  <w:num w:numId="18" w16cid:durableId="15403437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34C"/>
    <w:rsid w:val="00005983"/>
    <w:rsid w:val="00012AF6"/>
    <w:rsid w:val="00016F78"/>
    <w:rsid w:val="0002184C"/>
    <w:rsid w:val="00046945"/>
    <w:rsid w:val="00047B09"/>
    <w:rsid w:val="0005174A"/>
    <w:rsid w:val="00051DF4"/>
    <w:rsid w:val="00061B2A"/>
    <w:rsid w:val="000657E7"/>
    <w:rsid w:val="000743A4"/>
    <w:rsid w:val="00082362"/>
    <w:rsid w:val="0009256F"/>
    <w:rsid w:val="00092CE3"/>
    <w:rsid w:val="00094EE3"/>
    <w:rsid w:val="000A683E"/>
    <w:rsid w:val="000B0428"/>
    <w:rsid w:val="000B19B9"/>
    <w:rsid w:val="000B1CFE"/>
    <w:rsid w:val="000D0334"/>
    <w:rsid w:val="000F0DE9"/>
    <w:rsid w:val="000F372E"/>
    <w:rsid w:val="000F6486"/>
    <w:rsid w:val="00115334"/>
    <w:rsid w:val="00124414"/>
    <w:rsid w:val="00125105"/>
    <w:rsid w:val="00127233"/>
    <w:rsid w:val="001511A0"/>
    <w:rsid w:val="00163691"/>
    <w:rsid w:val="00180E53"/>
    <w:rsid w:val="0019451B"/>
    <w:rsid w:val="001A2BDD"/>
    <w:rsid w:val="001E4177"/>
    <w:rsid w:val="001F7DC6"/>
    <w:rsid w:val="0021259D"/>
    <w:rsid w:val="002316DE"/>
    <w:rsid w:val="002421BB"/>
    <w:rsid w:val="00251417"/>
    <w:rsid w:val="00256324"/>
    <w:rsid w:val="0025796E"/>
    <w:rsid w:val="002707A2"/>
    <w:rsid w:val="00275B0B"/>
    <w:rsid w:val="00291843"/>
    <w:rsid w:val="00293A58"/>
    <w:rsid w:val="002951A0"/>
    <w:rsid w:val="002962BC"/>
    <w:rsid w:val="00297186"/>
    <w:rsid w:val="002A093D"/>
    <w:rsid w:val="002A0DD0"/>
    <w:rsid w:val="002A2588"/>
    <w:rsid w:val="002A4003"/>
    <w:rsid w:val="002A49AC"/>
    <w:rsid w:val="002A64FD"/>
    <w:rsid w:val="002B0E29"/>
    <w:rsid w:val="002B60D5"/>
    <w:rsid w:val="002C7A84"/>
    <w:rsid w:val="002E0A8D"/>
    <w:rsid w:val="002E4FD9"/>
    <w:rsid w:val="00306871"/>
    <w:rsid w:val="00315873"/>
    <w:rsid w:val="00322A85"/>
    <w:rsid w:val="00324168"/>
    <w:rsid w:val="0034293A"/>
    <w:rsid w:val="003448F4"/>
    <w:rsid w:val="00352396"/>
    <w:rsid w:val="00363A6E"/>
    <w:rsid w:val="003739E6"/>
    <w:rsid w:val="00374F5E"/>
    <w:rsid w:val="0037582F"/>
    <w:rsid w:val="00377E3E"/>
    <w:rsid w:val="003807CB"/>
    <w:rsid w:val="00381EB4"/>
    <w:rsid w:val="00383FDF"/>
    <w:rsid w:val="0039634D"/>
    <w:rsid w:val="003A6D98"/>
    <w:rsid w:val="003A779E"/>
    <w:rsid w:val="003C275F"/>
    <w:rsid w:val="003C2B47"/>
    <w:rsid w:val="003D0F4D"/>
    <w:rsid w:val="003D5B0D"/>
    <w:rsid w:val="003E0499"/>
    <w:rsid w:val="003E6A43"/>
    <w:rsid w:val="003F3941"/>
    <w:rsid w:val="003F76D8"/>
    <w:rsid w:val="00406575"/>
    <w:rsid w:val="00414C74"/>
    <w:rsid w:val="004221D2"/>
    <w:rsid w:val="0042722E"/>
    <w:rsid w:val="004356C6"/>
    <w:rsid w:val="00444D84"/>
    <w:rsid w:val="0044528D"/>
    <w:rsid w:val="00445DD1"/>
    <w:rsid w:val="00452DA0"/>
    <w:rsid w:val="0045614A"/>
    <w:rsid w:val="00470CF3"/>
    <w:rsid w:val="004A1847"/>
    <w:rsid w:val="004A305D"/>
    <w:rsid w:val="004C6A07"/>
    <w:rsid w:val="004D36E8"/>
    <w:rsid w:val="004D7C7A"/>
    <w:rsid w:val="004E7233"/>
    <w:rsid w:val="004F21C4"/>
    <w:rsid w:val="004F3891"/>
    <w:rsid w:val="004F685F"/>
    <w:rsid w:val="004F731F"/>
    <w:rsid w:val="004F739C"/>
    <w:rsid w:val="00506169"/>
    <w:rsid w:val="00507ABA"/>
    <w:rsid w:val="005261BB"/>
    <w:rsid w:val="00527FFD"/>
    <w:rsid w:val="00532F40"/>
    <w:rsid w:val="00536746"/>
    <w:rsid w:val="005371D8"/>
    <w:rsid w:val="00543BB2"/>
    <w:rsid w:val="005566E8"/>
    <w:rsid w:val="00562760"/>
    <w:rsid w:val="00567123"/>
    <w:rsid w:val="00574867"/>
    <w:rsid w:val="005872B2"/>
    <w:rsid w:val="00591460"/>
    <w:rsid w:val="005A3553"/>
    <w:rsid w:val="005B3816"/>
    <w:rsid w:val="005C3777"/>
    <w:rsid w:val="005C5CDC"/>
    <w:rsid w:val="005D476C"/>
    <w:rsid w:val="005E025E"/>
    <w:rsid w:val="005E42AD"/>
    <w:rsid w:val="005E5B94"/>
    <w:rsid w:val="00614B6F"/>
    <w:rsid w:val="006219F8"/>
    <w:rsid w:val="0063130F"/>
    <w:rsid w:val="006515DD"/>
    <w:rsid w:val="00656ADB"/>
    <w:rsid w:val="00665D70"/>
    <w:rsid w:val="006703FA"/>
    <w:rsid w:val="00675E31"/>
    <w:rsid w:val="006900D9"/>
    <w:rsid w:val="006A0984"/>
    <w:rsid w:val="006A331A"/>
    <w:rsid w:val="006A6102"/>
    <w:rsid w:val="006C6427"/>
    <w:rsid w:val="006F2BAE"/>
    <w:rsid w:val="006F3AC4"/>
    <w:rsid w:val="006F7D2F"/>
    <w:rsid w:val="00703A74"/>
    <w:rsid w:val="0070624B"/>
    <w:rsid w:val="00706C16"/>
    <w:rsid w:val="007100B0"/>
    <w:rsid w:val="0073181F"/>
    <w:rsid w:val="00756841"/>
    <w:rsid w:val="00763ED3"/>
    <w:rsid w:val="0076444E"/>
    <w:rsid w:val="007649AB"/>
    <w:rsid w:val="00771D0C"/>
    <w:rsid w:val="00772557"/>
    <w:rsid w:val="007833AC"/>
    <w:rsid w:val="007B268C"/>
    <w:rsid w:val="007B3EDC"/>
    <w:rsid w:val="007B4ED7"/>
    <w:rsid w:val="007B7171"/>
    <w:rsid w:val="007C0C0F"/>
    <w:rsid w:val="007C2354"/>
    <w:rsid w:val="007C3DC2"/>
    <w:rsid w:val="007D5FD3"/>
    <w:rsid w:val="007E5497"/>
    <w:rsid w:val="008006F2"/>
    <w:rsid w:val="00806F5F"/>
    <w:rsid w:val="008160F6"/>
    <w:rsid w:val="00820278"/>
    <w:rsid w:val="008246FF"/>
    <w:rsid w:val="00841919"/>
    <w:rsid w:val="008463D3"/>
    <w:rsid w:val="00867F95"/>
    <w:rsid w:val="00882F3A"/>
    <w:rsid w:val="008843B6"/>
    <w:rsid w:val="00891928"/>
    <w:rsid w:val="00891F81"/>
    <w:rsid w:val="008937DD"/>
    <w:rsid w:val="00894045"/>
    <w:rsid w:val="00895595"/>
    <w:rsid w:val="008A446D"/>
    <w:rsid w:val="008B5495"/>
    <w:rsid w:val="008C0ED5"/>
    <w:rsid w:val="008D180B"/>
    <w:rsid w:val="008D4E19"/>
    <w:rsid w:val="008F0EA7"/>
    <w:rsid w:val="00903366"/>
    <w:rsid w:val="00916710"/>
    <w:rsid w:val="00923EEF"/>
    <w:rsid w:val="009419F9"/>
    <w:rsid w:val="009438D0"/>
    <w:rsid w:val="0095685E"/>
    <w:rsid w:val="00961B09"/>
    <w:rsid w:val="00965334"/>
    <w:rsid w:val="0097093E"/>
    <w:rsid w:val="00974362"/>
    <w:rsid w:val="009863B0"/>
    <w:rsid w:val="00986AC5"/>
    <w:rsid w:val="009A0DFA"/>
    <w:rsid w:val="009A2C41"/>
    <w:rsid w:val="009B2D26"/>
    <w:rsid w:val="009B4123"/>
    <w:rsid w:val="009B52EC"/>
    <w:rsid w:val="009B7AB2"/>
    <w:rsid w:val="009C71FA"/>
    <w:rsid w:val="009C72E7"/>
    <w:rsid w:val="009D3058"/>
    <w:rsid w:val="009D7C37"/>
    <w:rsid w:val="009E1C6B"/>
    <w:rsid w:val="009E415C"/>
    <w:rsid w:val="009E46F8"/>
    <w:rsid w:val="009F03C9"/>
    <w:rsid w:val="009F3A13"/>
    <w:rsid w:val="00A05973"/>
    <w:rsid w:val="00A122D3"/>
    <w:rsid w:val="00A17F13"/>
    <w:rsid w:val="00A20739"/>
    <w:rsid w:val="00A224A4"/>
    <w:rsid w:val="00A33303"/>
    <w:rsid w:val="00A33C78"/>
    <w:rsid w:val="00A45B42"/>
    <w:rsid w:val="00A5382C"/>
    <w:rsid w:val="00A55B38"/>
    <w:rsid w:val="00AA24AE"/>
    <w:rsid w:val="00AB0ADB"/>
    <w:rsid w:val="00AB0F44"/>
    <w:rsid w:val="00AC4814"/>
    <w:rsid w:val="00AD264F"/>
    <w:rsid w:val="00AE2E9F"/>
    <w:rsid w:val="00AF6474"/>
    <w:rsid w:val="00B01B1A"/>
    <w:rsid w:val="00B206C2"/>
    <w:rsid w:val="00B25E69"/>
    <w:rsid w:val="00B30478"/>
    <w:rsid w:val="00B4230A"/>
    <w:rsid w:val="00B46F2B"/>
    <w:rsid w:val="00B66319"/>
    <w:rsid w:val="00B72CD3"/>
    <w:rsid w:val="00B72FFF"/>
    <w:rsid w:val="00B74576"/>
    <w:rsid w:val="00B75394"/>
    <w:rsid w:val="00B85631"/>
    <w:rsid w:val="00B8768F"/>
    <w:rsid w:val="00B907FD"/>
    <w:rsid w:val="00B972F9"/>
    <w:rsid w:val="00BC3D36"/>
    <w:rsid w:val="00BD3290"/>
    <w:rsid w:val="00BD3AD3"/>
    <w:rsid w:val="00BD7F72"/>
    <w:rsid w:val="00BE6F9D"/>
    <w:rsid w:val="00BE70A8"/>
    <w:rsid w:val="00BF32D6"/>
    <w:rsid w:val="00C04FB3"/>
    <w:rsid w:val="00C1542B"/>
    <w:rsid w:val="00C2045F"/>
    <w:rsid w:val="00C330EB"/>
    <w:rsid w:val="00C41061"/>
    <w:rsid w:val="00C41605"/>
    <w:rsid w:val="00C50AFD"/>
    <w:rsid w:val="00C6357B"/>
    <w:rsid w:val="00C727F9"/>
    <w:rsid w:val="00C754BE"/>
    <w:rsid w:val="00C756DF"/>
    <w:rsid w:val="00C76B1C"/>
    <w:rsid w:val="00CB6357"/>
    <w:rsid w:val="00CC1B26"/>
    <w:rsid w:val="00CC3D58"/>
    <w:rsid w:val="00CF684B"/>
    <w:rsid w:val="00D0578A"/>
    <w:rsid w:val="00D0772E"/>
    <w:rsid w:val="00D2242B"/>
    <w:rsid w:val="00D3229F"/>
    <w:rsid w:val="00D423A2"/>
    <w:rsid w:val="00D46761"/>
    <w:rsid w:val="00D520D8"/>
    <w:rsid w:val="00D55F80"/>
    <w:rsid w:val="00D56572"/>
    <w:rsid w:val="00D609A5"/>
    <w:rsid w:val="00D63AC2"/>
    <w:rsid w:val="00D7383B"/>
    <w:rsid w:val="00D84198"/>
    <w:rsid w:val="00DA231B"/>
    <w:rsid w:val="00DC39FC"/>
    <w:rsid w:val="00DC4ABB"/>
    <w:rsid w:val="00DD1FDE"/>
    <w:rsid w:val="00DD3839"/>
    <w:rsid w:val="00DF4798"/>
    <w:rsid w:val="00DF5254"/>
    <w:rsid w:val="00E16408"/>
    <w:rsid w:val="00E20894"/>
    <w:rsid w:val="00E22D87"/>
    <w:rsid w:val="00E245AB"/>
    <w:rsid w:val="00E2764C"/>
    <w:rsid w:val="00E27F2E"/>
    <w:rsid w:val="00E50AFE"/>
    <w:rsid w:val="00E51B28"/>
    <w:rsid w:val="00E75C92"/>
    <w:rsid w:val="00E771DC"/>
    <w:rsid w:val="00E8772A"/>
    <w:rsid w:val="00E90F6B"/>
    <w:rsid w:val="00E92C27"/>
    <w:rsid w:val="00EA0E3D"/>
    <w:rsid w:val="00EB08B1"/>
    <w:rsid w:val="00EC38A7"/>
    <w:rsid w:val="00EC3C12"/>
    <w:rsid w:val="00ED3736"/>
    <w:rsid w:val="00ED3A36"/>
    <w:rsid w:val="00ED71DA"/>
    <w:rsid w:val="00ED7384"/>
    <w:rsid w:val="00EE1AA8"/>
    <w:rsid w:val="00EF2138"/>
    <w:rsid w:val="00F06DFC"/>
    <w:rsid w:val="00F113BB"/>
    <w:rsid w:val="00F12A56"/>
    <w:rsid w:val="00F153D4"/>
    <w:rsid w:val="00F16A9B"/>
    <w:rsid w:val="00F31A0E"/>
    <w:rsid w:val="00F31EDC"/>
    <w:rsid w:val="00F42843"/>
    <w:rsid w:val="00F462B3"/>
    <w:rsid w:val="00F5443C"/>
    <w:rsid w:val="00F5664F"/>
    <w:rsid w:val="00F57670"/>
    <w:rsid w:val="00F63405"/>
    <w:rsid w:val="00F666C4"/>
    <w:rsid w:val="00F76AFC"/>
    <w:rsid w:val="00F83967"/>
    <w:rsid w:val="00F839E3"/>
    <w:rsid w:val="00FA001F"/>
    <w:rsid w:val="00FA47C0"/>
    <w:rsid w:val="00FB5DD1"/>
    <w:rsid w:val="00FC2B5D"/>
    <w:rsid w:val="00FC7A99"/>
    <w:rsid w:val="00FF11DB"/>
    <w:rsid w:val="00FF1449"/>
    <w:rsid w:val="00FF15E3"/>
    <w:rsid w:val="607FDB73"/>
    <w:rsid w:val="77DDC22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E6F9D"/>
    <w:rPr>
      <w:rFonts w:ascii="Geomanist Light" w:hAnsi="Geomanist Light"/>
      <w:lang w:val="es-ES"/>
    </w:rPr>
  </w:style>
  <w:style w:type="paragraph" w:customStyle="1" w:styleId="Appelnotedebasde">
    <w:name w:val="Appel note de bas de..."/>
    <w:basedOn w:val="Normal"/>
    <w:link w:val="Refdenotaalpie"/>
    <w:rsid w:val="0002184C"/>
    <w:pPr>
      <w:spacing w:line="240" w:lineRule="exact"/>
    </w:pPr>
    <w:rPr>
      <w:vertAlign w:val="superscript"/>
    </w:rPr>
  </w:style>
  <w:style w:type="character" w:customStyle="1" w:styleId="Hipervnculo1">
    <w:name w:val="Hipervínculo1"/>
    <w:basedOn w:val="Fuentedeprrafopredeter"/>
    <w:uiPriority w:val="99"/>
    <w:unhideWhenUsed/>
    <w:rsid w:val="0002184C"/>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5117">
      <w:bodyDiv w:val="1"/>
      <w:marLeft w:val="0"/>
      <w:marRight w:val="0"/>
      <w:marTop w:val="0"/>
      <w:marBottom w:val="0"/>
      <w:divBdr>
        <w:top w:val="none" w:sz="0" w:space="0" w:color="auto"/>
        <w:left w:val="none" w:sz="0" w:space="0" w:color="auto"/>
        <w:bottom w:val="none" w:sz="0" w:space="0" w:color="auto"/>
        <w:right w:val="none" w:sz="0" w:space="0" w:color="auto"/>
      </w:divBdr>
    </w:div>
    <w:div w:id="7151369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38610494">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guia_para_incentivar_la_contratacion_de_mujeres.pdf" TargetMode="External"/><Relationship Id="rId18" Type="http://schemas.openxmlformats.org/officeDocument/2006/relationships/hyperlink" Target="https://nam02.safelinks.protection.outlook.com/?url=https%3A%2F%2Fwww.colombiacompra.gov.co%2Fmanuales-guias-y-pliegos-tipo%2Fmanuales-y-guias%2Fguia-de-contratacion-publica-sostenible-y-socialmente&amp;data=05%7C02%7Cana.ortizb%40colombiacompra.gov.co%7Ceb0fd05604104aa4d3bc08dd4c4ad35e%7C7b09041e245149d08cb179d5e3d8c1be%7C0%7C0%7C638750606446335712%7CUnknown%7CTWFpbGZsb3d8eyJFbXB0eU1hcGkiOnRydWUsIlYiOiIwLjAuMDAwMCIsIlAiOiJXaW4zMiIsIkFOIjoiTWFpbCIsIldUIjoyfQ%3D%3D%7C0%7C%7C%7C&amp;sdata=bpTAQiuYjVcUoeFgz%2FO%2BFaxhCu3HCNDiMz1gGhMVcVo%3D&amp;reserved=0"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mailto:johnathancotacio@gmail.com" TargetMode="External"/><Relationship Id="rId17" Type="http://schemas.openxmlformats.org/officeDocument/2006/relationships/hyperlink" Target="https://nam02.safelinks.protection.outlook.com/?url=https%3A%2F%2Fwww.colombiacompra.gov.co%2Fciudadanos%2Fcalendario&amp;data=05%7C02%7Cana.ortizb%40colombiacompra.gov.co%7Ceb0fd05604104aa4d3bc08dd4c4ad35e%7C7b09041e245149d08cb179d5e3d8c1be%7C0%7C0%7C638750606446306096%7CUnknown%7CTWFpbGZsb3d8eyJFbXB0eU1hcGkiOnRydWUsIlYiOiIwLjAuMDAwMCIsIlAiOiJXaW4zMiIsIkFOIjoiTWFpbCIsIldUIjoyfQ%3D%3D%7C0%7C%7C%7C&amp;sdata=xlRfJTYNHDqY9oLKq6fFhwacClq2TIfYtpBol2OtcIw%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cartilla-para-incentivar-y-fortalecer-el-acceso-las&amp;data=05%7C02%7Cana.ortizb%40colombiacompra.gov.co%7Ceb0fd05604104aa4d3bc08dd4c4ad35e%7C7b09041e245149d08cb179d5e3d8c1be%7C0%7C0%7C638750606446270835%7CUnknown%7CTWFpbGZsb3d8eyJFbXB0eU1hcGkiOnRydWUsIlYiOiIwLjAuMDAwMCIsIlAiOiJXaW4zMiIsIkFOIjoiTWFpbCIsIldUIjoyfQ%3D%3D%7C0%7C%7C%7C&amp;sdata=lgU%2FwGIvhOUWp620wiePskCKBiVcjoMQGZs60PE3Yo0%3D&amp;reserved=0"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5" Type="http://schemas.openxmlformats.org/officeDocument/2006/relationships/numbering" Target="numbering.xml"/><Relationship Id="rId15" Type="http://schemas.openxmlformats.org/officeDocument/2006/relationships/hyperlink" Target="https://relatoria.colombiacompra.gov.co/busqueda/conceptos"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lombiacompra.gov.co/sites/cce_public/files/cce_documents/cce-eicp-ma-04._manual_requisitos_habilitantes_v3_29-09-2023.pdf"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leyes.senado.gov.co/proyectos/index.php/textos-radicados-senado/p-ley-2020-2021/1957-proyecto-de-ley-161-de-20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1BEB01-AF64-4068-942B-8414190E5FBB}"/>
</file>

<file path=customXml/itemProps2.xml><?xml version="1.0" encoding="utf-8"?>
<ds:datastoreItem xmlns:ds="http://schemas.openxmlformats.org/officeDocument/2006/customXml" ds:itemID="{163618BE-28CB-4D69-955E-CDA788483BED}">
  <ds:schemaRefs>
    <ds:schemaRef ds:uri="http://schemas.microsoft.com/office/2006/documentManagement/types"/>
    <ds:schemaRef ds:uri="http://schemas.microsoft.com/office/2006/metadata/properties"/>
    <ds:schemaRef ds:uri="http://purl.org/dc/elements/1.1/"/>
    <ds:schemaRef ds:uri="8ae15d26-076e-464e-81a7-6f76a0fb3917"/>
    <ds:schemaRef ds:uri="http://purl.org/dc/dcmitype/"/>
    <ds:schemaRef ds:uri="b531b13d-89bf-4629-be1e-22fdf3dd34d4"/>
    <ds:schemaRef ds:uri="http://purl.org/dc/terms/"/>
    <ds:schemaRef ds:uri="http://www.w3.org/XML/1998/namespace"/>
    <ds:schemaRef ds:uri="http://schemas.microsoft.com/office/infopath/2007/PartnerControls"/>
    <ds:schemaRef ds:uri="http://schemas.openxmlformats.org/package/2006/metadata/core-properties"/>
  </ds:schemaRefs>
</ds:datastoreItem>
</file>

<file path=customXml/itemProps3.xml><?xml version="1.0" encoding="utf-8"?>
<ds:datastoreItem xmlns:ds="http://schemas.openxmlformats.org/officeDocument/2006/customXml" ds:itemID="{939761F3-668B-44CB-B180-9DDF3755ACE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5539</Words>
  <Characters>30465</Characters>
  <Application>Microsoft Office Word</Application>
  <DocSecurity>0</DocSecurity>
  <Lines>253</Lines>
  <Paragraphs>71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35933</CharactersWithSpaces>
  <SharedDoc>false</SharedDoc>
  <HLinks>
    <vt:vector size="48" baseType="variant">
      <vt:variant>
        <vt:i4>8323176</vt:i4>
      </vt:variant>
      <vt:variant>
        <vt:i4>18</vt:i4>
      </vt:variant>
      <vt:variant>
        <vt:i4>0</vt:i4>
      </vt:variant>
      <vt:variant>
        <vt:i4>5</vt:i4>
      </vt:variant>
      <vt:variant>
        <vt:lpwstr>https://nam02.safelinks.protection.outlook.com/?url=https%3A%2F%2Fwww.colombiacompra.gov.co%2Fmanuales-guias-y-pliegos-tipo%2Fmanuales-y-guias%2Fguia-de-contratacion-publica-sostenible-y-socialmente&amp;data=05%7C02%7Cana.ortizb%40colombiacompra.gov.co%7Ceb0fd05604104aa4d3bc08dd4c4ad35e%7C7b09041e245149d08cb179d5e3d8c1be%7C0%7C0%7C638750606446335712%7CUnknown%7CTWFpbGZsb3d8eyJFbXB0eU1hcGkiOnRydWUsIlYiOiIwLjAuMDAwMCIsIlAiOiJXaW4zMiIsIkFOIjoiTWFpbCIsIldUIjoyfQ%3D%3D%7C0%7C%7C%7C&amp;sdata=bpTAQiuYjVcUoeFgz%2FO%2BFaxhCu3HCNDiMz1gGhMVcVo%3D&amp;reserved=0</vt:lpwstr>
      </vt:variant>
      <vt:variant>
        <vt:lpwstr/>
      </vt:variant>
      <vt:variant>
        <vt:i4>3145854</vt:i4>
      </vt:variant>
      <vt:variant>
        <vt:i4>15</vt:i4>
      </vt:variant>
      <vt:variant>
        <vt:i4>0</vt:i4>
      </vt:variant>
      <vt:variant>
        <vt:i4>5</vt:i4>
      </vt:variant>
      <vt:variant>
        <vt:lpwstr>https://nam02.safelinks.protection.outlook.com/?url=https%3A%2F%2Fwww.colombiacompra.gov.co%2Fciudadanos%2Fcalendario&amp;data=05%7C02%7Cana.ortizb%40colombiacompra.gov.co%7Ceb0fd05604104aa4d3bc08dd4c4ad35e%7C7b09041e245149d08cb179d5e3d8c1be%7C0%7C0%7C638750606446306096%7CUnknown%7CTWFpbGZsb3d8eyJFbXB0eU1hcGkiOnRydWUsIlYiOiIwLjAuMDAwMCIsIlAiOiJXaW4zMiIsIkFOIjoiTWFpbCIsIldUIjoyfQ%3D%3D%7C0%7C%7C%7C&amp;sdata=xlRfJTYNHDqY9oLKq6fFhwacClq2TIfYtpBol2OtcIw%3D&amp;reserved=0</vt:lpwstr>
      </vt:variant>
      <vt:variant>
        <vt:lpwstr/>
      </vt:variant>
      <vt:variant>
        <vt:i4>3211378</vt:i4>
      </vt:variant>
      <vt:variant>
        <vt:i4>12</vt:i4>
      </vt:variant>
      <vt:variant>
        <vt:i4>0</vt:i4>
      </vt:variant>
      <vt:variant>
        <vt:i4>5</vt:i4>
      </vt:variant>
      <vt:variant>
        <vt:lpwstr>https://nam02.safelinks.protection.outlook.com/?url=https%3A%2F%2Fwww.colombiacompra.gov.co%2Fmanuales-guias-y-pliegos-tipo%2Fmanuales-y-guias%2Fcartilla-para-incentivar-y-fortalecer-el-acceso-las&amp;data=05%7C02%7Cana.ortizb%40colombiacompra.gov.co%7Ceb0fd05604104aa4d3bc08dd4c4ad35e%7C7b09041e245149d08cb179d5e3d8c1be%7C0%7C0%7C638750606446270835%7CUnknown%7CTWFpbGZsb3d8eyJFbXB0eU1hcGkiOnRydWUsIlYiOiIwLjAuMDAwMCIsIlAiOiJXaW4zMiIsIkFOIjoiTWFpbCIsIldUIjoyfQ%3D%3D%7C0%7C%7C%7C&amp;sdata=lgU%2FwGIvhOUWp620wiePskCKBiVcjoMQGZs60PE3Yo0%3D&amp;reserved=0</vt:lpwstr>
      </vt:variant>
      <vt:variant>
        <vt:lpwstr/>
      </vt:variant>
      <vt:variant>
        <vt:i4>7471218</vt:i4>
      </vt:variant>
      <vt:variant>
        <vt:i4>9</vt:i4>
      </vt:variant>
      <vt:variant>
        <vt:i4>0</vt:i4>
      </vt:variant>
      <vt:variant>
        <vt:i4>5</vt:i4>
      </vt:variant>
      <vt:variant>
        <vt:lpwstr>https://relatoria.colombiacompra.gov.co/busqueda/conceptos</vt:lpwstr>
      </vt:variant>
      <vt:variant>
        <vt:lpwstr/>
      </vt:variant>
      <vt:variant>
        <vt:i4>1507428</vt:i4>
      </vt:variant>
      <vt:variant>
        <vt:i4>6</vt:i4>
      </vt:variant>
      <vt:variant>
        <vt:i4>0</vt:i4>
      </vt:variant>
      <vt:variant>
        <vt:i4>5</vt:i4>
      </vt:variant>
      <vt:variant>
        <vt:lpwstr>https://www.colombiacompra.gov.co/sites/cce_public/files/cce_documents/cce-eicp-ma-04._manual_requisitos_habilitantes_v3_29-09-2023.pdf</vt:lpwstr>
      </vt:variant>
      <vt:variant>
        <vt:lpwstr/>
      </vt:variant>
      <vt:variant>
        <vt:i4>2818099</vt:i4>
      </vt:variant>
      <vt:variant>
        <vt:i4>3</vt:i4>
      </vt:variant>
      <vt:variant>
        <vt:i4>0</vt:i4>
      </vt:variant>
      <vt:variant>
        <vt:i4>5</vt:i4>
      </vt:variant>
      <vt:variant>
        <vt:lpwstr>https://www.colombiacompra.gov.co/sites/cce_public/files/cce_documents/guia_para_incentivar_la_contratacion_de_mujeres.pdf</vt:lpwstr>
      </vt:variant>
      <vt:variant>
        <vt:lpwstr/>
      </vt:variant>
      <vt:variant>
        <vt:i4>6619212</vt:i4>
      </vt:variant>
      <vt:variant>
        <vt:i4>0</vt:i4>
      </vt:variant>
      <vt:variant>
        <vt:i4>0</vt:i4>
      </vt:variant>
      <vt:variant>
        <vt:i4>5</vt:i4>
      </vt:variant>
      <vt:variant>
        <vt:lpwstr>mailto:johnathancotacio@gmail.com</vt:lpwstr>
      </vt:variant>
      <vt:variant>
        <vt:lpwstr/>
      </vt:variant>
      <vt:variant>
        <vt:i4>2752611</vt:i4>
      </vt:variant>
      <vt:variant>
        <vt:i4>0</vt:i4>
      </vt:variant>
      <vt:variant>
        <vt:i4>0</vt:i4>
      </vt:variant>
      <vt:variant>
        <vt:i4>5</vt:i4>
      </vt:variant>
      <vt:variant>
        <vt:lpwstr>http://leyes.senado.gov.co/proyectos/index.php/textos-radicados-senado/p-ley-2020-2021/1957-proyecto-de-ley-161-de-2020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7</cp:revision>
  <cp:lastPrinted>2023-01-10T21:18:00Z</cp:lastPrinted>
  <dcterms:created xsi:type="dcterms:W3CDTF">2025-03-20T14:16:00Z</dcterms:created>
  <dcterms:modified xsi:type="dcterms:W3CDTF">2025-03-20T19:37:00Z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