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8EDAA" w14:textId="77777777" w:rsidR="0022191E" w:rsidRDefault="0022191E" w:rsidP="00555198">
      <w:pPr>
        <w:spacing w:after="0" w:line="240" w:lineRule="auto"/>
        <w:jc w:val="both"/>
        <w:rPr>
          <w:rFonts w:ascii="Verdana" w:hAnsi="Verdana" w:cs="Arial"/>
          <w:b/>
          <w:bCs/>
          <w:color w:val="000000" w:themeColor="text1"/>
        </w:rPr>
      </w:pPr>
      <w:bookmarkStart w:id="0" w:name="_Hlk214366482"/>
      <w:bookmarkStart w:id="1" w:name="_Hlk143780582"/>
      <w:r w:rsidRPr="0022191E">
        <w:rPr>
          <w:rFonts w:ascii="Verdana" w:hAnsi="Verdana" w:cs="Arial"/>
          <w:b/>
          <w:bCs/>
          <w:color w:val="000000" w:themeColor="text1"/>
        </w:rPr>
        <w:t xml:space="preserve">LEY DE GARANTÍAS ELECTORALES – Propósito </w:t>
      </w:r>
    </w:p>
    <w:p w14:paraId="5D5774E6" w14:textId="77777777" w:rsidR="0022191E" w:rsidRDefault="0022191E" w:rsidP="00555198">
      <w:pPr>
        <w:spacing w:after="0" w:line="240" w:lineRule="auto"/>
        <w:jc w:val="both"/>
        <w:rPr>
          <w:rFonts w:ascii="Verdana" w:hAnsi="Verdana" w:cs="Arial"/>
          <w:b/>
          <w:bCs/>
          <w:color w:val="000000" w:themeColor="text1"/>
        </w:rPr>
      </w:pPr>
    </w:p>
    <w:p w14:paraId="67B1B496" w14:textId="42226D57" w:rsidR="0022191E" w:rsidRPr="0022191E" w:rsidRDefault="0022191E" w:rsidP="00555198">
      <w:pPr>
        <w:spacing w:after="0" w:line="240" w:lineRule="auto"/>
        <w:jc w:val="both"/>
        <w:rPr>
          <w:rFonts w:ascii="Verdana" w:hAnsi="Verdana" w:cs="Arial"/>
          <w:b/>
          <w:bCs/>
          <w:color w:val="000000" w:themeColor="text1"/>
          <w:sz w:val="20"/>
          <w:szCs w:val="20"/>
          <w:lang w:val="es-ES_tradnl"/>
        </w:rPr>
      </w:pPr>
      <w:r w:rsidRPr="0022191E">
        <w:rPr>
          <w:rFonts w:ascii="Verdana" w:eastAsia="Times New Roman" w:hAnsi="Verdana" w:cs="Arial"/>
          <w:bCs/>
          <w:sz w:val="20"/>
          <w:szCs w:val="20"/>
          <w:lang w:eastAsia="es-CO"/>
        </w:rPr>
        <w:t>[…] la Ley 996 de 2005, conocida como “Ley de Garantías Electorales” […]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14:paraId="74E9229F" w14:textId="77777777" w:rsidR="0022191E" w:rsidRPr="0022191E" w:rsidRDefault="0022191E" w:rsidP="00555198">
      <w:pPr>
        <w:spacing w:after="0" w:line="240" w:lineRule="auto"/>
        <w:jc w:val="both"/>
        <w:rPr>
          <w:rFonts w:ascii="Verdana" w:hAnsi="Verdana" w:cs="Arial"/>
          <w:b/>
          <w:bCs/>
          <w:color w:val="000000" w:themeColor="text1"/>
        </w:rPr>
      </w:pPr>
    </w:p>
    <w:p w14:paraId="4D509293" w14:textId="77777777" w:rsidR="0022191E" w:rsidRDefault="0022191E" w:rsidP="00555198">
      <w:pPr>
        <w:spacing w:after="0" w:line="240" w:lineRule="auto"/>
        <w:jc w:val="both"/>
        <w:rPr>
          <w:rFonts w:ascii="Verdana" w:hAnsi="Verdana" w:cs="Arial"/>
          <w:b/>
          <w:bCs/>
          <w:color w:val="000000" w:themeColor="text1"/>
        </w:rPr>
      </w:pPr>
      <w:r w:rsidRPr="0022191E">
        <w:rPr>
          <w:rFonts w:ascii="Verdana" w:hAnsi="Verdana" w:cs="Arial"/>
          <w:b/>
          <w:bCs/>
          <w:color w:val="000000" w:themeColor="text1"/>
        </w:rPr>
        <w:t>LEY DE GARANTÍAS ELECTORALES – Prohibiciones – Restricciones</w:t>
      </w:r>
    </w:p>
    <w:p w14:paraId="3B8767A5" w14:textId="77777777" w:rsidR="0022191E" w:rsidRDefault="0022191E" w:rsidP="00555198">
      <w:pPr>
        <w:spacing w:after="0" w:line="240" w:lineRule="auto"/>
        <w:jc w:val="both"/>
        <w:rPr>
          <w:rFonts w:ascii="Verdana" w:hAnsi="Verdana" w:cs="Arial"/>
          <w:b/>
          <w:bCs/>
          <w:color w:val="000000" w:themeColor="text1"/>
        </w:rPr>
      </w:pPr>
    </w:p>
    <w:p w14:paraId="28B36B48" w14:textId="77777777" w:rsidR="0022191E" w:rsidRDefault="0022191E" w:rsidP="0022191E">
      <w:pPr>
        <w:spacing w:after="0" w:line="240" w:lineRule="auto"/>
        <w:jc w:val="both"/>
        <w:rPr>
          <w:rFonts w:ascii="Verdana" w:hAnsi="Verdana" w:cs="Arial"/>
          <w:color w:val="000000" w:themeColor="text1"/>
          <w:sz w:val="20"/>
          <w:szCs w:val="20"/>
          <w:lang w:val="es-ES"/>
        </w:rPr>
      </w:pPr>
      <w:r w:rsidRPr="0022191E">
        <w:rPr>
          <w:rFonts w:ascii="Verdana" w:hAnsi="Verdana" w:cs="Arial"/>
          <w:color w:val="000000" w:themeColor="text1"/>
          <w:sz w:val="20"/>
          <w:szCs w:val="20"/>
          <w:lang w:val="es-ES"/>
        </w:rPr>
        <w:t xml:space="preserve">De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37D34E40" w14:textId="77777777" w:rsidR="0022191E" w:rsidRPr="0022191E" w:rsidRDefault="0022191E" w:rsidP="0022191E">
      <w:pPr>
        <w:spacing w:after="0" w:line="240" w:lineRule="auto"/>
        <w:jc w:val="both"/>
        <w:rPr>
          <w:rFonts w:ascii="Verdana" w:hAnsi="Verdana" w:cs="Arial"/>
          <w:color w:val="000000" w:themeColor="text1"/>
          <w:sz w:val="20"/>
          <w:szCs w:val="20"/>
          <w:lang w:val="es-ES"/>
        </w:rPr>
      </w:pPr>
    </w:p>
    <w:p w14:paraId="182C39C6" w14:textId="062768D9" w:rsidR="0022191E" w:rsidRDefault="0022191E" w:rsidP="0022191E">
      <w:pPr>
        <w:spacing w:after="0" w:line="240" w:lineRule="auto"/>
        <w:jc w:val="both"/>
        <w:rPr>
          <w:rFonts w:ascii="Verdana" w:hAnsi="Verdana" w:cs="Arial"/>
          <w:color w:val="000000" w:themeColor="text1"/>
          <w:sz w:val="20"/>
          <w:szCs w:val="20"/>
          <w:lang w:val="es-ES"/>
        </w:rPr>
      </w:pPr>
      <w:r w:rsidRPr="0022191E">
        <w:rPr>
          <w:rFonts w:ascii="Verdana" w:hAnsi="Verdana" w:cs="Arial"/>
          <w:color w:val="000000" w:themeColor="text1"/>
          <w:sz w:val="20"/>
          <w:szCs w:val="20"/>
          <w:lang w:val="es-ES"/>
        </w:rPr>
        <w:t>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095C5C6F" w14:textId="77777777" w:rsidR="0022191E" w:rsidRDefault="0022191E" w:rsidP="0022191E">
      <w:pPr>
        <w:spacing w:after="0" w:line="240" w:lineRule="auto"/>
        <w:jc w:val="both"/>
        <w:rPr>
          <w:rFonts w:ascii="Verdana" w:hAnsi="Verdana" w:cs="Arial"/>
          <w:color w:val="000000" w:themeColor="text1"/>
          <w:sz w:val="20"/>
          <w:szCs w:val="20"/>
          <w:lang w:val="es-ES"/>
        </w:rPr>
      </w:pPr>
    </w:p>
    <w:p w14:paraId="3895C974" w14:textId="397857C4" w:rsidR="0022191E" w:rsidRPr="0022191E" w:rsidRDefault="0022191E" w:rsidP="0022191E">
      <w:pPr>
        <w:spacing w:after="0" w:line="240" w:lineRule="auto"/>
        <w:jc w:val="both"/>
        <w:rPr>
          <w:rFonts w:ascii="Verdana" w:hAnsi="Verdana" w:cs="Arial"/>
          <w:color w:val="000000" w:themeColor="text1"/>
          <w:sz w:val="20"/>
          <w:szCs w:val="20"/>
          <w:lang w:val="es-ES"/>
        </w:rPr>
      </w:pPr>
      <w:r w:rsidRPr="0022191E">
        <w:rPr>
          <w:rFonts w:ascii="Verdana" w:hAnsi="Verdana" w:cs="Arial"/>
          <w:color w:val="000000" w:themeColor="text1"/>
          <w:sz w:val="20"/>
          <w:szCs w:val="20"/>
          <w:lang w:val="es-ES"/>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2BFA3963" w14:textId="77777777" w:rsidR="0022191E" w:rsidRDefault="0022191E" w:rsidP="0022191E">
      <w:pPr>
        <w:spacing w:after="0" w:line="240" w:lineRule="auto"/>
        <w:jc w:val="both"/>
        <w:rPr>
          <w:rFonts w:ascii="Verdana" w:hAnsi="Verdana" w:cs="Arial"/>
          <w:color w:val="000000" w:themeColor="text1"/>
          <w:sz w:val="20"/>
          <w:szCs w:val="20"/>
          <w:lang w:val="es-ES"/>
        </w:rPr>
      </w:pPr>
    </w:p>
    <w:p w14:paraId="7B777770" w14:textId="58CBDB02" w:rsidR="0022191E" w:rsidRPr="0022191E" w:rsidRDefault="0022191E" w:rsidP="0022191E">
      <w:pPr>
        <w:spacing w:after="0" w:line="240" w:lineRule="auto"/>
        <w:jc w:val="both"/>
        <w:rPr>
          <w:rFonts w:ascii="Verdana" w:hAnsi="Verdana" w:cs="Arial"/>
          <w:color w:val="000000" w:themeColor="text1"/>
          <w:sz w:val="20"/>
          <w:szCs w:val="20"/>
          <w:lang w:val="es-ES"/>
        </w:rPr>
      </w:pPr>
      <w:r w:rsidRPr="0022191E">
        <w:rPr>
          <w:rFonts w:ascii="Verdana" w:hAnsi="Verdana" w:cs="Arial"/>
          <w:color w:val="000000" w:themeColor="text1"/>
          <w:sz w:val="20"/>
          <w:szCs w:val="20"/>
          <w:lang w:val="es-ES"/>
        </w:rPr>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43AA2A62" w14:textId="77777777" w:rsidR="0022191E" w:rsidRPr="0022191E" w:rsidRDefault="0022191E" w:rsidP="00555198">
      <w:pPr>
        <w:spacing w:after="0" w:line="240" w:lineRule="auto"/>
        <w:jc w:val="both"/>
        <w:rPr>
          <w:rFonts w:ascii="Verdana" w:hAnsi="Verdana" w:cs="Arial"/>
          <w:b/>
          <w:bCs/>
          <w:color w:val="000000" w:themeColor="text1"/>
        </w:rPr>
      </w:pPr>
    </w:p>
    <w:p w14:paraId="2833C92A" w14:textId="77777777" w:rsidR="0022191E" w:rsidRDefault="0022191E" w:rsidP="00555198">
      <w:pPr>
        <w:spacing w:after="0" w:line="240" w:lineRule="auto"/>
        <w:jc w:val="both"/>
        <w:rPr>
          <w:rFonts w:ascii="Verdana" w:hAnsi="Verdana" w:cs="Arial"/>
          <w:b/>
          <w:bCs/>
          <w:color w:val="000000" w:themeColor="text1"/>
        </w:rPr>
      </w:pPr>
      <w:r w:rsidRPr="0022191E">
        <w:rPr>
          <w:rFonts w:ascii="Verdana" w:hAnsi="Verdana" w:cs="Arial"/>
          <w:b/>
          <w:bCs/>
          <w:color w:val="000000" w:themeColor="text1"/>
        </w:rPr>
        <w:t xml:space="preserve">LEY DE GARANTÍAS ELECTORALES – Artículo 33 – Ámbito material </w:t>
      </w:r>
    </w:p>
    <w:p w14:paraId="0433A059" w14:textId="77777777" w:rsidR="0022191E" w:rsidRDefault="0022191E" w:rsidP="00555198">
      <w:pPr>
        <w:spacing w:after="0" w:line="240" w:lineRule="auto"/>
        <w:jc w:val="both"/>
        <w:rPr>
          <w:rFonts w:ascii="Verdana" w:hAnsi="Verdana" w:cs="Arial"/>
          <w:b/>
          <w:bCs/>
          <w:color w:val="000000" w:themeColor="text1"/>
        </w:rPr>
      </w:pPr>
    </w:p>
    <w:p w14:paraId="185B15FF" w14:textId="6B3E89EF" w:rsidR="0022191E" w:rsidRDefault="0022191E" w:rsidP="00555198">
      <w:pPr>
        <w:spacing w:after="0" w:line="240" w:lineRule="auto"/>
        <w:jc w:val="both"/>
        <w:rPr>
          <w:rFonts w:ascii="Verdana" w:hAnsi="Verdana" w:cs="Arial"/>
          <w:bCs/>
          <w:sz w:val="20"/>
          <w:szCs w:val="20"/>
          <w:lang w:eastAsia="x-none"/>
        </w:rPr>
      </w:pPr>
      <w:r w:rsidRPr="0022191E">
        <w:rPr>
          <w:rFonts w:ascii="Verdana" w:hAnsi="Verdana" w:cs="Arial"/>
          <w:bCs/>
          <w:sz w:val="20"/>
          <w:szCs w:val="20"/>
          <w:lang w:eastAsia="x-none"/>
        </w:rPr>
        <w:t xml:space="preserve">El ámbito material de la prohibición contenida en el artículo 33 de la ley 996 de 2005 está delimitado por la expresión </w:t>
      </w:r>
      <w:r w:rsidRPr="0022191E">
        <w:rPr>
          <w:rFonts w:ascii="Verdana" w:eastAsia="Calibri" w:hAnsi="Verdana" w:cs="Arial"/>
          <w:bCs/>
          <w:i/>
          <w:iCs/>
          <w:sz w:val="20"/>
          <w:szCs w:val="20"/>
        </w:rPr>
        <w:t>“</w:t>
      </w:r>
      <w:r w:rsidRPr="0022191E">
        <w:rPr>
          <w:rFonts w:ascii="Verdana" w:hAnsi="Verdana" w:cs="Arial"/>
          <w:bCs/>
          <w:i/>
          <w:iCs/>
          <w:sz w:val="20"/>
          <w:szCs w:val="20"/>
          <w:lang w:eastAsia="x-none"/>
        </w:rPr>
        <w:t>queda prohibida la contratación directa</w:t>
      </w:r>
      <w:r w:rsidRPr="0022191E">
        <w:rPr>
          <w:rFonts w:ascii="Verdana" w:hAnsi="Verdana" w:cs="Arial"/>
          <w:sz w:val="20"/>
          <w:szCs w:val="20"/>
        </w:rPr>
        <w:t>”</w:t>
      </w:r>
      <w:r>
        <w:rPr>
          <w:rFonts w:ascii="Verdana" w:hAnsi="Verdana" w:cs="Arial"/>
          <w:bCs/>
          <w:sz w:val="20"/>
          <w:szCs w:val="20"/>
          <w:lang w:eastAsia="x-none"/>
        </w:rPr>
        <w:t xml:space="preserve"> […] </w:t>
      </w:r>
      <w:r w:rsidRPr="0022191E">
        <w:rPr>
          <w:rFonts w:ascii="Verdana" w:hAnsi="Verdana" w:cs="Arial"/>
          <w:bCs/>
          <w:sz w:val="20"/>
          <w:szCs w:val="20"/>
          <w:lang w:eastAsia="x-none"/>
        </w:rPr>
        <w:t>se refiere a “cualquier sistema que no implique convocatoria pública y posibilidad de pluralidad de oferentes”, por lo que excluye las demás modalidades de contratación previstas en la Ley 1150 de 2007, es decir, la licitación pública, la selección abreviada, el concurso de méritos y la mínima cuantía u otros previstos en normas especiales.</w:t>
      </w:r>
    </w:p>
    <w:p w14:paraId="452BB951" w14:textId="77777777" w:rsidR="0022191E" w:rsidRDefault="0022191E" w:rsidP="00555198">
      <w:pPr>
        <w:spacing w:after="0" w:line="240" w:lineRule="auto"/>
        <w:jc w:val="both"/>
        <w:rPr>
          <w:rFonts w:ascii="Verdana" w:hAnsi="Verdana" w:cs="Arial"/>
          <w:bCs/>
          <w:sz w:val="20"/>
          <w:szCs w:val="20"/>
          <w:lang w:eastAsia="x-none"/>
        </w:rPr>
      </w:pPr>
    </w:p>
    <w:p w14:paraId="46F2A8C1" w14:textId="5C329D30" w:rsidR="0022191E" w:rsidRDefault="0022191E" w:rsidP="00555198">
      <w:pPr>
        <w:spacing w:after="0" w:line="240" w:lineRule="auto"/>
        <w:jc w:val="both"/>
        <w:rPr>
          <w:rFonts w:ascii="Verdana" w:hAnsi="Verdana" w:cs="Arial"/>
          <w:bCs/>
          <w:sz w:val="20"/>
          <w:szCs w:val="20"/>
          <w:lang w:eastAsia="x-none"/>
        </w:rPr>
      </w:pPr>
      <w:r>
        <w:rPr>
          <w:rFonts w:ascii="Verdana" w:hAnsi="Verdana" w:cs="Arial"/>
          <w:bCs/>
          <w:sz w:val="20"/>
          <w:szCs w:val="20"/>
          <w:lang w:eastAsia="x-none"/>
        </w:rPr>
        <w:t xml:space="preserve">[…] </w:t>
      </w:r>
    </w:p>
    <w:p w14:paraId="53F787CE" w14:textId="77777777" w:rsidR="0022191E" w:rsidRDefault="0022191E" w:rsidP="00555198">
      <w:pPr>
        <w:spacing w:after="0" w:line="240" w:lineRule="auto"/>
        <w:jc w:val="both"/>
        <w:rPr>
          <w:rFonts w:ascii="Verdana" w:hAnsi="Verdana" w:cs="Arial"/>
          <w:bCs/>
          <w:sz w:val="20"/>
          <w:szCs w:val="20"/>
          <w:lang w:eastAsia="x-none"/>
        </w:rPr>
      </w:pPr>
    </w:p>
    <w:p w14:paraId="5ADB66D9" w14:textId="0897CF2A" w:rsidR="0022191E" w:rsidRDefault="0022191E" w:rsidP="00555198">
      <w:pPr>
        <w:spacing w:after="0" w:line="240" w:lineRule="auto"/>
        <w:jc w:val="both"/>
        <w:rPr>
          <w:rFonts w:ascii="Verdana" w:hAnsi="Verdana" w:cs="Arial"/>
          <w:bCs/>
          <w:sz w:val="20"/>
          <w:szCs w:val="20"/>
          <w:lang w:eastAsia="x-none"/>
        </w:rPr>
      </w:pPr>
      <w:r w:rsidRPr="0022191E">
        <w:rPr>
          <w:rFonts w:ascii="Verdana" w:hAnsi="Verdana" w:cs="Arial"/>
          <w:bCs/>
          <w:sz w:val="20"/>
          <w:szCs w:val="20"/>
          <w:lang w:eastAsia="x-none"/>
        </w:rPr>
        <w:t>En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p>
    <w:p w14:paraId="06632F80" w14:textId="77777777" w:rsidR="0022191E" w:rsidRDefault="0022191E" w:rsidP="00555198">
      <w:pPr>
        <w:spacing w:after="0" w:line="240" w:lineRule="auto"/>
        <w:jc w:val="both"/>
        <w:rPr>
          <w:rFonts w:ascii="Verdana" w:hAnsi="Verdana" w:cs="Arial"/>
          <w:bCs/>
          <w:sz w:val="20"/>
          <w:szCs w:val="20"/>
          <w:lang w:eastAsia="x-none"/>
        </w:rPr>
      </w:pPr>
    </w:p>
    <w:p w14:paraId="7E4D1D2C" w14:textId="19099C54" w:rsidR="0022191E" w:rsidRDefault="0022191E" w:rsidP="00555198">
      <w:pPr>
        <w:spacing w:after="0" w:line="240" w:lineRule="auto"/>
        <w:jc w:val="both"/>
        <w:rPr>
          <w:rFonts w:ascii="Verdana" w:hAnsi="Verdana" w:cs="Arial"/>
          <w:bCs/>
          <w:sz w:val="20"/>
          <w:szCs w:val="20"/>
          <w:lang w:eastAsia="x-none"/>
        </w:rPr>
      </w:pPr>
      <w:r>
        <w:rPr>
          <w:rFonts w:ascii="Verdana" w:hAnsi="Verdana" w:cs="Arial"/>
          <w:bCs/>
          <w:sz w:val="20"/>
          <w:szCs w:val="20"/>
          <w:lang w:eastAsia="x-none"/>
        </w:rPr>
        <w:t xml:space="preserve">[…] </w:t>
      </w:r>
    </w:p>
    <w:p w14:paraId="597F9C7A" w14:textId="77777777" w:rsidR="0022191E" w:rsidRDefault="0022191E" w:rsidP="00555198">
      <w:pPr>
        <w:spacing w:after="0" w:line="240" w:lineRule="auto"/>
        <w:jc w:val="both"/>
        <w:rPr>
          <w:rFonts w:ascii="Verdana" w:hAnsi="Verdana" w:cs="Arial"/>
          <w:bCs/>
          <w:sz w:val="20"/>
          <w:szCs w:val="20"/>
          <w:lang w:eastAsia="x-none"/>
        </w:rPr>
      </w:pPr>
    </w:p>
    <w:p w14:paraId="775823B2" w14:textId="26ED781F" w:rsidR="0022191E" w:rsidRPr="0022191E" w:rsidRDefault="0022191E" w:rsidP="00555198">
      <w:pPr>
        <w:spacing w:after="0" w:line="240" w:lineRule="auto"/>
        <w:jc w:val="both"/>
        <w:rPr>
          <w:rFonts w:ascii="Verdana" w:hAnsi="Verdana" w:cs="Arial"/>
          <w:bCs/>
          <w:sz w:val="20"/>
          <w:szCs w:val="20"/>
          <w:lang w:eastAsia="x-none"/>
        </w:rPr>
      </w:pPr>
      <w:r w:rsidRPr="0022191E">
        <w:rPr>
          <w:rFonts w:ascii="Verdana" w:hAnsi="Verdana" w:cs="Arial"/>
          <w:sz w:val="20"/>
          <w:szCs w:val="20"/>
          <w:lang w:eastAsia="x-none"/>
        </w:rPr>
        <w:t>Lo anterior supone que, en aquellos procedimientos que contemplen convocatorias o invitaciones para contratar que se limiten a aquellas personas que previamente se hayan inscrito en una lista de precalificados o de interesados, lo determinante para considerar que dicho sistema no constituye “contratación directa”, es que la convocatoria para inscribirse en forma previa se haga de manera pública, y que se permita la participación de una pluralidad de oferentes. Esta circunstancia no se extiende a la contratación directa aplicable en algunos regímenes especiales con listas de precalificados, ya que a efecto de que no se configure la contratación directa, la selección del futuro contratista debe darse en términos de competencia.</w:t>
      </w:r>
    </w:p>
    <w:p w14:paraId="4DB5C2D4" w14:textId="77777777" w:rsidR="0022191E" w:rsidRDefault="0022191E" w:rsidP="00555198">
      <w:pPr>
        <w:spacing w:after="0" w:line="240" w:lineRule="auto"/>
        <w:jc w:val="both"/>
        <w:rPr>
          <w:rFonts w:ascii="Verdana" w:hAnsi="Verdana" w:cs="Arial"/>
          <w:bCs/>
          <w:sz w:val="20"/>
          <w:szCs w:val="20"/>
          <w:lang w:eastAsia="x-none"/>
        </w:rPr>
      </w:pPr>
    </w:p>
    <w:p w14:paraId="01B4F6DC" w14:textId="77777777" w:rsidR="0022191E" w:rsidRDefault="0022191E" w:rsidP="00555198">
      <w:pPr>
        <w:spacing w:after="0" w:line="240" w:lineRule="auto"/>
        <w:jc w:val="both"/>
        <w:rPr>
          <w:rFonts w:ascii="Verdana" w:hAnsi="Verdana" w:cs="Arial"/>
          <w:b/>
          <w:bCs/>
          <w:color w:val="000000" w:themeColor="text1"/>
        </w:rPr>
      </w:pPr>
      <w:r w:rsidRPr="0022191E">
        <w:rPr>
          <w:rFonts w:ascii="Verdana" w:hAnsi="Verdana" w:cs="Arial"/>
          <w:b/>
          <w:bCs/>
          <w:color w:val="000000" w:themeColor="text1"/>
        </w:rPr>
        <w:t xml:space="preserve">LEY DE GARANTÍAS ELECTORALES – Destinatarios </w:t>
      </w:r>
    </w:p>
    <w:p w14:paraId="10DF6417" w14:textId="77777777" w:rsidR="0022191E" w:rsidRDefault="0022191E" w:rsidP="00555198">
      <w:pPr>
        <w:spacing w:after="0" w:line="240" w:lineRule="auto"/>
        <w:jc w:val="both"/>
        <w:rPr>
          <w:rFonts w:ascii="Verdana" w:hAnsi="Verdana" w:cs="Arial"/>
          <w:b/>
          <w:bCs/>
          <w:color w:val="000000" w:themeColor="text1"/>
        </w:rPr>
      </w:pPr>
    </w:p>
    <w:p w14:paraId="6E102387" w14:textId="77777777" w:rsidR="0022191E" w:rsidRPr="0022191E" w:rsidRDefault="0022191E" w:rsidP="0022191E">
      <w:pPr>
        <w:spacing w:after="0" w:line="240" w:lineRule="auto"/>
        <w:jc w:val="both"/>
        <w:rPr>
          <w:rFonts w:ascii="Verdana" w:hAnsi="Verdana" w:cs="Arial"/>
          <w:bCs/>
          <w:color w:val="000000" w:themeColor="text1"/>
          <w:sz w:val="20"/>
          <w:szCs w:val="20"/>
          <w:lang w:val="es-MX" w:eastAsia="x-none"/>
        </w:rPr>
      </w:pPr>
      <w:r w:rsidRPr="0022191E">
        <w:rPr>
          <w:rFonts w:ascii="Verdana" w:hAnsi="Verdana" w:cs="Arial"/>
          <w:color w:val="000000" w:themeColor="text1"/>
          <w:sz w:val="20"/>
          <w:szCs w:val="20"/>
          <w:lang w:val="es-MX"/>
        </w:rPr>
        <w:t>Ahora bien, en relación con los destinatarios de las restricciones, el artículo 33 de la Ley 996 de 2005 los señala expresamente, en el sentido de que son “</w:t>
      </w:r>
      <w:r w:rsidRPr="0022191E">
        <w:rPr>
          <w:rFonts w:ascii="Verdana" w:hAnsi="Verdana" w:cs="Arial"/>
          <w:i/>
          <w:color w:val="000000" w:themeColor="text1"/>
          <w:sz w:val="20"/>
          <w:szCs w:val="20"/>
          <w:lang w:val="es-MX"/>
        </w:rPr>
        <w:t>todos los entes del Estado</w:t>
      </w:r>
      <w:r w:rsidRPr="0022191E">
        <w:rPr>
          <w:rFonts w:ascii="Verdana" w:hAnsi="Verdana" w:cs="Arial"/>
          <w:color w:val="000000" w:themeColor="text1"/>
          <w:sz w:val="20"/>
          <w:szCs w:val="20"/>
          <w:lang w:val="es-MX"/>
        </w:rPr>
        <w:t xml:space="preserve">”,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p>
    <w:p w14:paraId="1C2C644A" w14:textId="77777777" w:rsidR="0022191E" w:rsidRPr="0022191E" w:rsidRDefault="0022191E" w:rsidP="00555198">
      <w:pPr>
        <w:spacing w:after="0" w:line="240" w:lineRule="auto"/>
        <w:jc w:val="both"/>
        <w:rPr>
          <w:rFonts w:ascii="Verdana" w:hAnsi="Verdana" w:cs="Arial"/>
          <w:b/>
          <w:bCs/>
          <w:color w:val="000000" w:themeColor="text1"/>
          <w:lang w:val="es-MX"/>
        </w:rPr>
      </w:pPr>
    </w:p>
    <w:p w14:paraId="5DDC5F18" w14:textId="77777777" w:rsidR="0022191E" w:rsidRPr="0022191E" w:rsidRDefault="0022191E" w:rsidP="00555198">
      <w:pPr>
        <w:spacing w:after="0" w:line="240" w:lineRule="auto"/>
        <w:jc w:val="both"/>
        <w:rPr>
          <w:rFonts w:ascii="Verdana" w:hAnsi="Verdana" w:cs="Arial"/>
          <w:b/>
          <w:bCs/>
          <w:color w:val="000000" w:themeColor="text1"/>
        </w:rPr>
      </w:pPr>
      <w:r w:rsidRPr="0022191E">
        <w:rPr>
          <w:rFonts w:ascii="Verdana" w:hAnsi="Verdana" w:cs="Arial"/>
          <w:b/>
          <w:bCs/>
          <w:color w:val="000000" w:themeColor="text1"/>
        </w:rPr>
        <w:t xml:space="preserve">LEY DE GARANTÍAS ELECTORALES – Excepciones </w:t>
      </w:r>
    </w:p>
    <w:p w14:paraId="28AF63EA" w14:textId="77777777" w:rsidR="0022191E" w:rsidRDefault="0022191E" w:rsidP="00555198">
      <w:pPr>
        <w:spacing w:after="0" w:line="240" w:lineRule="auto"/>
        <w:jc w:val="both"/>
        <w:rPr>
          <w:rFonts w:ascii="Verdana" w:hAnsi="Verdana" w:cs="Arial"/>
          <w:b/>
          <w:bCs/>
          <w:color w:val="000000" w:themeColor="text1"/>
        </w:rPr>
      </w:pPr>
    </w:p>
    <w:p w14:paraId="50AB9BD3" w14:textId="77777777" w:rsidR="0022191E" w:rsidRDefault="0022191E" w:rsidP="0022191E">
      <w:pPr>
        <w:spacing w:after="0" w:line="240" w:lineRule="auto"/>
        <w:jc w:val="both"/>
        <w:rPr>
          <w:rFonts w:ascii="Verdana" w:hAnsi="Verdana" w:cs="Arial"/>
          <w:bCs/>
          <w:sz w:val="20"/>
          <w:szCs w:val="20"/>
          <w:lang w:eastAsia="x-none"/>
        </w:rPr>
      </w:pPr>
      <w:r w:rsidRPr="0022191E">
        <w:rPr>
          <w:rFonts w:ascii="Verdana" w:eastAsia="Times New Roman" w:hAnsi="Verdana" w:cs="Arial"/>
          <w:bCs/>
          <w:sz w:val="20"/>
          <w:szCs w:val="20"/>
          <w:lang w:val="es-ES" w:eastAsia="es-CO" w:bidi="es-ES"/>
        </w:rPr>
        <w:t xml:space="preserve">Ahora bien, las entidades públicas, de acuerdo con el inciso final del artículo 33 de la Ley 996 de 2005 –Ley de Garantías Electorales–, y previo análisis de la naturaleza de las actividades que adelantan, podrán realizar procedimientos de selección directa en períodos previos a la contienda electoral por la Presidencia, cuando el contrato a celebrar se enmarquen dentro de algunas de las excepciones consagradas en dicha disposición, esto es: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En todo caso, </w:t>
      </w:r>
      <w:r w:rsidRPr="0022191E">
        <w:rPr>
          <w:rFonts w:ascii="Verdana" w:hAnsi="Verdana" w:cs="Arial"/>
          <w:bCs/>
          <w:sz w:val="20"/>
          <w:szCs w:val="20"/>
          <w:lang w:eastAsia="x-none"/>
        </w:rPr>
        <w:t xml:space="preserve">se aclara que, la planeación, los estudios técnicos, jurídicos y económicos, que debe preceder la celebración de cada contrato, y que determinan su viabilidad desde tales perspectivas, son asuntos que competen a las entidades estatales que adelantan los procesos de contratación respectivos, con el apoyo de sus funcionarios y órganos asesores.   </w:t>
      </w:r>
    </w:p>
    <w:p w14:paraId="2BBA8836" w14:textId="77777777" w:rsidR="0022191E" w:rsidRDefault="0022191E" w:rsidP="0022191E">
      <w:pPr>
        <w:spacing w:after="0" w:line="240" w:lineRule="auto"/>
        <w:jc w:val="both"/>
        <w:rPr>
          <w:rFonts w:ascii="Verdana" w:hAnsi="Verdana" w:cs="Arial"/>
          <w:bCs/>
          <w:sz w:val="20"/>
          <w:szCs w:val="20"/>
          <w:lang w:eastAsia="x-none"/>
        </w:rPr>
      </w:pPr>
    </w:p>
    <w:p w14:paraId="0FF27F79" w14:textId="37C53060" w:rsidR="0022191E" w:rsidRDefault="00994706" w:rsidP="0022191E">
      <w:pPr>
        <w:spacing w:after="0" w:line="240" w:lineRule="auto"/>
        <w:jc w:val="both"/>
        <w:rPr>
          <w:rFonts w:ascii="Verdana" w:hAnsi="Verdana" w:cs="Arial"/>
          <w:bCs/>
          <w:sz w:val="20"/>
          <w:szCs w:val="20"/>
          <w:lang w:eastAsia="x-none"/>
        </w:rPr>
      </w:pPr>
      <w:r>
        <w:rPr>
          <w:rFonts w:ascii="Verdana" w:hAnsi="Verdana" w:cs="Arial"/>
          <w:bCs/>
          <w:sz w:val="20"/>
          <w:szCs w:val="20"/>
          <w:lang w:eastAsia="x-none"/>
        </w:rPr>
        <w:t xml:space="preserve">[…] </w:t>
      </w:r>
    </w:p>
    <w:p w14:paraId="2E938A81" w14:textId="77777777" w:rsidR="00994706" w:rsidRDefault="00994706" w:rsidP="0022191E">
      <w:pPr>
        <w:spacing w:after="0" w:line="240" w:lineRule="auto"/>
        <w:jc w:val="both"/>
        <w:rPr>
          <w:rFonts w:ascii="Verdana" w:hAnsi="Verdana" w:cs="Arial"/>
          <w:bCs/>
          <w:sz w:val="20"/>
          <w:szCs w:val="20"/>
          <w:lang w:eastAsia="x-none"/>
        </w:rPr>
      </w:pPr>
    </w:p>
    <w:p w14:paraId="31577BB6" w14:textId="636D0E22" w:rsidR="00994706" w:rsidRPr="00994706" w:rsidRDefault="00994706" w:rsidP="0022191E">
      <w:pPr>
        <w:spacing w:after="0" w:line="240" w:lineRule="auto"/>
        <w:jc w:val="both"/>
        <w:rPr>
          <w:rFonts w:ascii="Verdana" w:hAnsi="Verdana" w:cs="Arial"/>
          <w:bCs/>
          <w:sz w:val="20"/>
          <w:szCs w:val="20"/>
          <w:lang w:val="es-ES_tradnl" w:eastAsia="x-none"/>
        </w:rPr>
      </w:pPr>
      <w:r w:rsidRPr="00994706">
        <w:rPr>
          <w:rFonts w:ascii="Verdana" w:hAnsi="Verdana" w:cs="Arial"/>
          <w:bCs/>
          <w:sz w:val="20"/>
          <w:szCs w:val="20"/>
          <w:lang w:val="es-ES_tradnl" w:eastAsia="x-none"/>
        </w:rPr>
        <w:t>Por tanto, las excepciones a la prohibición contenida en el inciso segundo de artículo 33 de la ley de garantías electorales tienen por finalidad garantizar la prestación ininterrumpida de algunos servicios públicos que, dada su importancia en el orden interno, se verían irrazonablemente afectados por la restricción explicada. Lo anterior implica que las excepciones al artículo 33 en comento deben interpretarse y aplicarse de manera restrictiva. En otras palabras, que no sería factible hacer interpretaciones extensivas para incluir otros supuestos de hecho similares a las circunstancias previstas en dicho artículo, pues el carácter taxativo implica que solo en los eventos consagrados expresamente en la norma permiten que ciertas entidades estatales se vean exceptuadas de la prohibición.</w:t>
      </w:r>
    </w:p>
    <w:p w14:paraId="72F58992" w14:textId="77777777" w:rsidR="0022191E" w:rsidRPr="0022191E" w:rsidRDefault="0022191E" w:rsidP="00555198">
      <w:pPr>
        <w:spacing w:after="0" w:line="240" w:lineRule="auto"/>
        <w:jc w:val="both"/>
        <w:rPr>
          <w:rFonts w:ascii="Verdana" w:hAnsi="Verdana" w:cs="Arial"/>
          <w:b/>
          <w:bCs/>
          <w:color w:val="000000" w:themeColor="text1"/>
        </w:rPr>
      </w:pPr>
    </w:p>
    <w:p w14:paraId="0752135E" w14:textId="77777777" w:rsidR="0022191E" w:rsidRDefault="0022191E" w:rsidP="00555198">
      <w:pPr>
        <w:spacing w:after="0" w:line="240" w:lineRule="auto"/>
        <w:jc w:val="both"/>
        <w:rPr>
          <w:rFonts w:ascii="Verdana" w:hAnsi="Verdana" w:cs="Arial"/>
          <w:b/>
          <w:bCs/>
          <w:color w:val="000000" w:themeColor="text1"/>
        </w:rPr>
      </w:pPr>
      <w:r w:rsidRPr="0022191E">
        <w:rPr>
          <w:rFonts w:ascii="Verdana" w:hAnsi="Verdana" w:cs="Arial"/>
          <w:b/>
          <w:bCs/>
          <w:color w:val="000000" w:themeColor="text1"/>
        </w:rPr>
        <w:t xml:space="preserve">LEY DE GARANTÍAS ELECTORALES – Parágrafo del artículo 38 - Alcance </w:t>
      </w:r>
    </w:p>
    <w:p w14:paraId="25DBF387" w14:textId="77777777" w:rsidR="00994706" w:rsidRDefault="00994706" w:rsidP="00555198">
      <w:pPr>
        <w:spacing w:after="0" w:line="240" w:lineRule="auto"/>
        <w:jc w:val="both"/>
        <w:rPr>
          <w:rFonts w:ascii="Verdana" w:hAnsi="Verdana" w:cs="Arial"/>
          <w:b/>
          <w:bCs/>
          <w:color w:val="000000" w:themeColor="text1"/>
        </w:rPr>
      </w:pPr>
    </w:p>
    <w:p w14:paraId="4594BDAF" w14:textId="50F5CB66" w:rsidR="00994706" w:rsidRDefault="00994706" w:rsidP="00555198">
      <w:pPr>
        <w:spacing w:after="0" w:line="240" w:lineRule="auto"/>
        <w:jc w:val="both"/>
        <w:rPr>
          <w:rFonts w:ascii="Verdana" w:hAnsi="Verdana" w:cs="Arial"/>
          <w:sz w:val="20"/>
          <w:szCs w:val="20"/>
        </w:rPr>
      </w:pPr>
      <w:r w:rsidRPr="00994706">
        <w:rPr>
          <w:rFonts w:ascii="Verdana" w:hAnsi="Verdana" w:cs="Arial"/>
          <w:sz w:val="20"/>
          <w:szCs w:val="20"/>
          <w:lang w:val="es-ES"/>
        </w:rPr>
        <w:t xml:space="preserve">[…] respecto del alcance del parágrafo </w:t>
      </w:r>
      <w:r w:rsidRPr="00994706">
        <w:rPr>
          <w:rFonts w:ascii="Verdana" w:hAnsi="Verdana" w:cs="Arial"/>
          <w:sz w:val="20"/>
          <w:szCs w:val="20"/>
        </w:rPr>
        <w:t xml:space="preserve">del artículo 38 de la Ley 996 de 2005, esta prohibición dispone en primera medida que: “[l]os Gobernadores, Alcaldes Municipales y/o Distritales, Secretarios, Gerentes y directores de Entidades Descentralizadas del orden Municipal, Departamental o Distrital, dentro de los cuatro (4) meses anteriores a las elecciones, no podrán celebrar </w:t>
      </w:r>
      <w:r w:rsidRPr="00994706">
        <w:rPr>
          <w:rFonts w:ascii="Verdana" w:hAnsi="Verdana" w:cs="Arial"/>
          <w:i/>
          <w:iCs/>
          <w:sz w:val="20"/>
          <w:szCs w:val="20"/>
        </w:rPr>
        <w:t>convenios interadministrativos</w:t>
      </w:r>
      <w:r w:rsidRPr="00994706">
        <w:rPr>
          <w:rFonts w:ascii="Verdana" w:hAnsi="Verdana" w:cs="Arial"/>
          <w:sz w:val="20"/>
          <w:szCs w:val="20"/>
        </w:rPr>
        <w:t xml:space="preserve"> </w:t>
      </w:r>
      <w:r w:rsidRPr="00994706">
        <w:rPr>
          <w:rFonts w:ascii="Verdana" w:hAnsi="Verdana" w:cs="Arial"/>
          <w:i/>
          <w:iCs/>
          <w:sz w:val="20"/>
          <w:szCs w:val="20"/>
        </w:rPr>
        <w:t>para la ejecución de recursos públicos</w:t>
      </w:r>
      <w:r w:rsidRPr="00994706">
        <w:rPr>
          <w:rFonts w:ascii="Verdana" w:hAnsi="Verdana" w:cs="Arial"/>
          <w:sz w:val="20"/>
          <w:szCs w:val="20"/>
        </w:rPr>
        <w:t>”.</w:t>
      </w:r>
    </w:p>
    <w:p w14:paraId="1E156274" w14:textId="77777777" w:rsidR="00994706" w:rsidRPr="00994706" w:rsidRDefault="00994706" w:rsidP="00555198">
      <w:pPr>
        <w:spacing w:after="0" w:line="240" w:lineRule="auto"/>
        <w:jc w:val="both"/>
        <w:rPr>
          <w:rFonts w:ascii="Verdana" w:hAnsi="Verdana" w:cs="Arial"/>
          <w:sz w:val="20"/>
          <w:szCs w:val="20"/>
        </w:rPr>
      </w:pPr>
    </w:p>
    <w:p w14:paraId="731D5484" w14:textId="2C0A3392" w:rsidR="00994706" w:rsidRDefault="00994706" w:rsidP="00555198">
      <w:pPr>
        <w:spacing w:after="0" w:line="240" w:lineRule="auto"/>
        <w:jc w:val="both"/>
        <w:rPr>
          <w:rFonts w:ascii="Verdana" w:hAnsi="Verdana" w:cs="Arial"/>
          <w:color w:val="000000" w:themeColor="text1"/>
          <w:sz w:val="20"/>
          <w:szCs w:val="20"/>
        </w:rPr>
      </w:pPr>
      <w:r w:rsidRPr="00994706">
        <w:rPr>
          <w:rFonts w:ascii="Verdana" w:hAnsi="Verdana" w:cs="Arial"/>
          <w:color w:val="000000" w:themeColor="text1"/>
          <w:sz w:val="20"/>
          <w:szCs w:val="20"/>
        </w:rPr>
        <w:t xml:space="preserve">Para tales efectos, debe precisarse que los contratos o convenios interadministrativos están determinados por un criterio orgánico, pues es necesario que los extremos de la relación contractual sean entidades públicas, independientemente de las normas que regulan la relación contractual. En este sentido, los convenios interadministrativos solo pueden ser celebrados entre entidades públicas, pues a éstas corresponde la realización de los fines y tareas que el legislador les ha </w:t>
      </w:r>
      <w:r>
        <w:rPr>
          <w:rFonts w:ascii="Verdana" w:hAnsi="Verdana" w:cs="Arial"/>
          <w:color w:val="000000" w:themeColor="text1"/>
          <w:sz w:val="20"/>
          <w:szCs w:val="20"/>
        </w:rPr>
        <w:t>asignado.</w:t>
      </w:r>
    </w:p>
    <w:p w14:paraId="44D80004" w14:textId="77777777" w:rsidR="00994706" w:rsidRDefault="00994706" w:rsidP="00555198">
      <w:pPr>
        <w:spacing w:after="0" w:line="240" w:lineRule="auto"/>
        <w:jc w:val="both"/>
        <w:rPr>
          <w:rFonts w:ascii="Verdana" w:hAnsi="Verdana" w:cs="Arial"/>
          <w:color w:val="000000" w:themeColor="text1"/>
          <w:sz w:val="20"/>
          <w:szCs w:val="20"/>
        </w:rPr>
      </w:pPr>
    </w:p>
    <w:p w14:paraId="752044D8" w14:textId="77777777" w:rsidR="00994706" w:rsidRPr="00994706" w:rsidRDefault="00994706" w:rsidP="00555198">
      <w:pPr>
        <w:spacing w:after="0" w:line="240" w:lineRule="auto"/>
        <w:jc w:val="both"/>
        <w:rPr>
          <w:rFonts w:ascii="Verdana" w:hAnsi="Verdana" w:cs="Arial"/>
          <w:color w:val="000000" w:themeColor="text1"/>
          <w:sz w:val="20"/>
          <w:szCs w:val="20"/>
        </w:rPr>
      </w:pPr>
    </w:p>
    <w:p w14:paraId="71140878" w14:textId="77777777" w:rsidR="0022191E" w:rsidRPr="0022191E" w:rsidRDefault="0022191E" w:rsidP="00555198">
      <w:pPr>
        <w:spacing w:after="0" w:line="240" w:lineRule="auto"/>
        <w:jc w:val="both"/>
        <w:rPr>
          <w:rFonts w:ascii="Verdana" w:hAnsi="Verdana" w:cs="Arial"/>
          <w:b/>
          <w:bCs/>
          <w:color w:val="000000" w:themeColor="text1"/>
        </w:rPr>
      </w:pPr>
    </w:p>
    <w:p w14:paraId="488EC630" w14:textId="77777777" w:rsidR="0022191E" w:rsidRDefault="0022191E" w:rsidP="00555198">
      <w:pPr>
        <w:spacing w:after="0" w:line="240" w:lineRule="auto"/>
        <w:jc w:val="both"/>
        <w:rPr>
          <w:rFonts w:ascii="Verdana" w:hAnsi="Verdana" w:cs="Arial"/>
          <w:b/>
          <w:bCs/>
          <w:color w:val="000000" w:themeColor="text1"/>
        </w:rPr>
      </w:pPr>
      <w:r w:rsidRPr="0022191E">
        <w:rPr>
          <w:rFonts w:ascii="Verdana" w:hAnsi="Verdana" w:cs="Arial"/>
          <w:b/>
          <w:bCs/>
          <w:color w:val="000000" w:themeColor="text1"/>
        </w:rPr>
        <w:t xml:space="preserve">LEY DE GARANTÍAS ELECTORALES – Convenios interadministrativos – Contratos interadministrativos </w:t>
      </w:r>
    </w:p>
    <w:p w14:paraId="0B0C83F2" w14:textId="77777777" w:rsidR="00395811" w:rsidRDefault="00395811" w:rsidP="00395811">
      <w:pPr>
        <w:spacing w:after="0" w:line="240" w:lineRule="auto"/>
        <w:jc w:val="both"/>
        <w:rPr>
          <w:rFonts w:ascii="Verdana" w:eastAsia="Times New Roman" w:hAnsi="Verdana" w:cs="Arial"/>
          <w:sz w:val="20"/>
          <w:szCs w:val="20"/>
          <w:lang w:val="es-MX" w:eastAsia="es-CO"/>
        </w:rPr>
      </w:pPr>
    </w:p>
    <w:p w14:paraId="18E64CBA" w14:textId="28CE3D25" w:rsidR="00395811" w:rsidRPr="00395811" w:rsidRDefault="00395811" w:rsidP="00395811">
      <w:pPr>
        <w:spacing w:after="0" w:line="240" w:lineRule="auto"/>
        <w:jc w:val="both"/>
        <w:rPr>
          <w:rFonts w:ascii="Verdana" w:eastAsia="Times New Roman" w:hAnsi="Verdana" w:cs="Arial"/>
          <w:sz w:val="20"/>
          <w:szCs w:val="20"/>
          <w:lang w:eastAsia="es-CO"/>
        </w:rPr>
      </w:pPr>
      <w:r w:rsidRPr="00395811">
        <w:rPr>
          <w:rFonts w:ascii="Verdana" w:eastAsia="Times New Roman" w:hAnsi="Verdana" w:cs="Arial"/>
          <w:sz w:val="20"/>
          <w:szCs w:val="20"/>
          <w:lang w:val="es-MX" w:eastAsia="es-CO"/>
        </w:rPr>
        <w:t>Respecto del alcance de esta prohibición la Circular Externa No. 006 de 2025 expedida por la ANCP -CCE, en los literales ii) y iv) del numeral 2</w:t>
      </w:r>
      <w:r w:rsidRPr="00395811">
        <w:rPr>
          <w:rFonts w:ascii="Verdana" w:eastAsia="Times New Roman" w:hAnsi="Verdana" w:cs="Arial"/>
          <w:sz w:val="20"/>
          <w:szCs w:val="20"/>
          <w:lang w:eastAsia="es-CO"/>
        </w:rPr>
        <w:t>,</w:t>
      </w:r>
      <w:r w:rsidRPr="00395811">
        <w:rPr>
          <w:rFonts w:ascii="Verdana" w:eastAsia="Times New Roman" w:hAnsi="Verdana" w:cs="Arial"/>
          <w:sz w:val="20"/>
          <w:szCs w:val="20"/>
          <w:lang w:val="es-MX" w:eastAsia="es-CO"/>
        </w:rPr>
        <w:t xml:space="preserve"> indica que el </w:t>
      </w:r>
      <w:r w:rsidRPr="00395811">
        <w:rPr>
          <w:rFonts w:ascii="Verdana" w:eastAsia="Times New Roman" w:hAnsi="Verdana" w:cs="Arial"/>
          <w:sz w:val="20"/>
          <w:szCs w:val="20"/>
          <w:lang w:eastAsia="es-CO"/>
        </w:rPr>
        <w:t xml:space="preserve">parágrafo del artículo 38 de la Ley 996 de 2005 cobija expresamente a los </w:t>
      </w:r>
      <w:r w:rsidRPr="00395811">
        <w:rPr>
          <w:rFonts w:ascii="Verdana" w:eastAsia="Times New Roman" w:hAnsi="Verdana" w:cs="Arial"/>
          <w:i/>
          <w:iCs/>
          <w:sz w:val="20"/>
          <w:szCs w:val="20"/>
          <w:lang w:eastAsia="es-CO"/>
        </w:rPr>
        <w:t>convenios interadministrativos</w:t>
      </w:r>
      <w:r w:rsidRPr="00395811">
        <w:rPr>
          <w:rFonts w:ascii="Verdana" w:eastAsia="Times New Roman" w:hAnsi="Verdana" w:cs="Arial"/>
          <w:sz w:val="20"/>
          <w:szCs w:val="20"/>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395811">
        <w:rPr>
          <w:rFonts w:ascii="Verdana" w:eastAsia="Times New Roman" w:hAnsi="Verdana" w:cs="Arial"/>
          <w:i/>
          <w:iCs/>
          <w:sz w:val="20"/>
          <w:szCs w:val="20"/>
          <w:lang w:eastAsia="es-CO"/>
        </w:rPr>
        <w:t>“aunque se configure alguno de los supuestos de excepción que señaló el inciso final del artículo 33”.</w:t>
      </w:r>
      <w:r w:rsidRPr="00395811">
        <w:rPr>
          <w:rFonts w:ascii="Verdana" w:eastAsia="Times New Roman" w:hAnsi="Verdana" w:cs="Arial"/>
          <w:sz w:val="20"/>
          <w:szCs w:val="20"/>
          <w:lang w:eastAsia="es-CO"/>
        </w:rPr>
        <w:t xml:space="preserve"> </w:t>
      </w:r>
    </w:p>
    <w:p w14:paraId="48CA0CE0" w14:textId="77777777" w:rsidR="00395811" w:rsidRPr="00395811" w:rsidRDefault="00395811" w:rsidP="00395811">
      <w:pPr>
        <w:spacing w:after="0" w:line="240" w:lineRule="auto"/>
        <w:jc w:val="both"/>
        <w:rPr>
          <w:rFonts w:ascii="Verdana" w:eastAsia="Times New Roman" w:hAnsi="Verdana" w:cs="Arial"/>
          <w:sz w:val="20"/>
          <w:szCs w:val="20"/>
          <w:lang w:eastAsia="es-CO"/>
        </w:rPr>
      </w:pPr>
    </w:p>
    <w:p w14:paraId="37BAEB6C" w14:textId="561A41C7" w:rsidR="00395811" w:rsidRDefault="00395811" w:rsidP="00395811">
      <w:pPr>
        <w:spacing w:after="0" w:line="240" w:lineRule="auto"/>
        <w:jc w:val="both"/>
        <w:rPr>
          <w:rFonts w:ascii="Verdana" w:eastAsia="Times New Roman" w:hAnsi="Verdana" w:cs="Arial"/>
          <w:sz w:val="20"/>
          <w:szCs w:val="20"/>
          <w:lang w:eastAsia="es-CO"/>
        </w:rPr>
      </w:pPr>
      <w:r w:rsidRPr="00395811">
        <w:rPr>
          <w:rFonts w:ascii="Verdana" w:eastAsia="Times New Roman" w:hAnsi="Verdana" w:cs="Arial"/>
          <w:sz w:val="20"/>
          <w:szCs w:val="20"/>
          <w:lang w:eastAsia="es-CO"/>
        </w:rPr>
        <w:t xml:space="preserve">Sin embargo, el ámbito de aplicación de la restricción prevista en el parágrafo del artículo 38 de la Ley 996 de 2005 comprende a los </w:t>
      </w:r>
      <w:r w:rsidRPr="00395811">
        <w:rPr>
          <w:rFonts w:ascii="Verdana" w:eastAsia="Times New Roman" w:hAnsi="Verdana" w:cs="Arial"/>
          <w:i/>
          <w:iCs/>
          <w:sz w:val="20"/>
          <w:szCs w:val="20"/>
          <w:lang w:eastAsia="es-CO"/>
        </w:rPr>
        <w:t>convenios interadministrativos</w:t>
      </w:r>
      <w:r w:rsidRPr="00395811">
        <w:rPr>
          <w:rFonts w:ascii="Verdana" w:eastAsia="Times New Roman" w:hAnsi="Verdana" w:cs="Arial"/>
          <w:sz w:val="20"/>
          <w:szCs w:val="20"/>
          <w:lang w:eastAsia="es-CO"/>
        </w:rPr>
        <w:t xml:space="preserve"> en los que exista </w:t>
      </w:r>
      <w:r w:rsidRPr="00395811">
        <w:rPr>
          <w:rFonts w:ascii="Verdana" w:eastAsia="Times New Roman" w:hAnsi="Verdana" w:cs="Arial"/>
          <w:i/>
          <w:iCs/>
          <w:sz w:val="20"/>
          <w:szCs w:val="20"/>
          <w:lang w:eastAsia="es-CO"/>
        </w:rPr>
        <w:t>ejecución de recursos públicos</w:t>
      </w:r>
      <w:r w:rsidRPr="00395811">
        <w:rPr>
          <w:rFonts w:ascii="Verdana" w:eastAsia="Times New Roman" w:hAnsi="Verdana" w:cs="Arial"/>
          <w:sz w:val="20"/>
          <w:szCs w:val="20"/>
          <w:lang w:eastAsia="es-CO"/>
        </w:rPr>
        <w:t>, sin importar de que estos sean en dinero o en especie, ya que la norma no distingue.</w:t>
      </w:r>
    </w:p>
    <w:p w14:paraId="657E567E" w14:textId="77777777" w:rsidR="00395811" w:rsidRDefault="00395811" w:rsidP="00395811">
      <w:pPr>
        <w:spacing w:after="0" w:line="240" w:lineRule="auto"/>
        <w:jc w:val="both"/>
        <w:rPr>
          <w:rFonts w:ascii="Verdana" w:eastAsia="Times New Roman" w:hAnsi="Verdana" w:cs="Arial"/>
          <w:sz w:val="20"/>
          <w:szCs w:val="20"/>
          <w:lang w:eastAsia="es-CO"/>
        </w:rPr>
      </w:pPr>
    </w:p>
    <w:p w14:paraId="4D22366E" w14:textId="2B014E08" w:rsidR="00395811" w:rsidRPr="00395811" w:rsidRDefault="00395811" w:rsidP="00395811">
      <w:pPr>
        <w:spacing w:after="0" w:line="240" w:lineRule="auto"/>
        <w:jc w:val="both"/>
        <w:rPr>
          <w:rFonts w:ascii="Verdana" w:hAnsi="Verdana" w:cs="Arial"/>
          <w:color w:val="000000" w:themeColor="text1"/>
          <w:sz w:val="20"/>
          <w:szCs w:val="20"/>
        </w:rPr>
      </w:pPr>
      <w:r w:rsidRPr="00395811">
        <w:rPr>
          <w:rFonts w:ascii="Verdana" w:hAnsi="Verdana" w:cs="Arial"/>
          <w:color w:val="000000" w:themeColor="text1"/>
          <w:sz w:val="20"/>
          <w:szCs w:val="20"/>
        </w:rPr>
        <w:t>[…]</w:t>
      </w:r>
    </w:p>
    <w:p w14:paraId="6D07C057" w14:textId="77777777" w:rsidR="00395811" w:rsidRPr="00395811" w:rsidRDefault="00395811" w:rsidP="00395811">
      <w:pPr>
        <w:spacing w:after="0" w:line="240" w:lineRule="auto"/>
        <w:jc w:val="both"/>
        <w:rPr>
          <w:rFonts w:ascii="Verdana" w:hAnsi="Verdana" w:cs="Arial"/>
          <w:color w:val="000000" w:themeColor="text1"/>
          <w:sz w:val="20"/>
          <w:szCs w:val="20"/>
        </w:rPr>
      </w:pPr>
    </w:p>
    <w:p w14:paraId="607D0D9B" w14:textId="491FB26F" w:rsidR="00395811" w:rsidRDefault="00395811" w:rsidP="00395811">
      <w:pPr>
        <w:spacing w:after="0" w:line="240" w:lineRule="auto"/>
        <w:jc w:val="both"/>
        <w:rPr>
          <w:rFonts w:ascii="Verdana" w:eastAsia="Times New Roman" w:hAnsi="Verdana" w:cs="Arial"/>
          <w:sz w:val="20"/>
          <w:szCs w:val="20"/>
          <w:lang w:eastAsia="es-CO"/>
        </w:rPr>
      </w:pPr>
      <w:r w:rsidRPr="00395811">
        <w:rPr>
          <w:rFonts w:ascii="Verdana" w:eastAsia="Times New Roman" w:hAnsi="Verdana" w:cs="Arial"/>
          <w:sz w:val="20"/>
          <w:szCs w:val="20"/>
          <w:lang w:eastAsia="es-CO"/>
        </w:rPr>
        <w:t xml:space="preserve">De esta manera, conforme a lo dispuesto en la Circular referida, si se suscriben </w:t>
      </w:r>
      <w:r w:rsidRPr="00395811">
        <w:rPr>
          <w:rFonts w:ascii="Verdana" w:eastAsia="Times New Roman" w:hAnsi="Verdana" w:cs="Arial"/>
          <w:i/>
          <w:iCs/>
          <w:sz w:val="20"/>
          <w:szCs w:val="20"/>
          <w:lang w:eastAsia="es-CO"/>
        </w:rPr>
        <w:t>convenios interadministrativos para la ejecución de recursos públicos</w:t>
      </w:r>
      <w:r w:rsidRPr="00395811">
        <w:rPr>
          <w:rFonts w:ascii="Verdana" w:eastAsia="Times New Roman" w:hAnsi="Verdana" w:cs="Arial"/>
          <w:sz w:val="20"/>
          <w:szCs w:val="20"/>
          <w:lang w:eastAsia="es-CO"/>
        </w:rPr>
        <w:t xml:space="preserve"> por los alcaldes, gobernadores, secretarios, gerentes y directores de las entidades del orden municipal, departamental o distrital, aplicará la prohibición del parágrafo del artículo 38 </w:t>
      </w:r>
      <w:r w:rsidRPr="00395811">
        <w:rPr>
          <w:rFonts w:ascii="Verdana" w:eastAsia="Times New Roman" w:hAnsi="Verdana" w:cs="Arial"/>
          <w:i/>
          <w:iCs/>
          <w:sz w:val="20"/>
          <w:szCs w:val="20"/>
          <w:lang w:eastAsia="es-CO"/>
        </w:rPr>
        <w:t>ibidem</w:t>
      </w:r>
      <w:r w:rsidRPr="00395811">
        <w:rPr>
          <w:rFonts w:ascii="Verdana" w:eastAsia="Times New Roman" w:hAnsi="Verdana" w:cs="Arial"/>
          <w:sz w:val="20"/>
          <w:szCs w:val="20"/>
          <w:lang w:eastAsia="es-CO"/>
        </w:rPr>
        <w:t>, independientemente de que se configure alguno de los supuestos de excepción que señaló el inciso final del artículo 33</w:t>
      </w:r>
      <w:r>
        <w:rPr>
          <w:rFonts w:ascii="Verdana" w:eastAsia="Times New Roman" w:hAnsi="Verdana" w:cs="Arial"/>
          <w:sz w:val="20"/>
          <w:szCs w:val="20"/>
          <w:lang w:eastAsia="es-CO"/>
        </w:rPr>
        <w:t>.</w:t>
      </w:r>
    </w:p>
    <w:p w14:paraId="730AF01A" w14:textId="77777777" w:rsidR="00395811" w:rsidRDefault="00395811" w:rsidP="00395811">
      <w:pPr>
        <w:spacing w:after="0" w:line="240" w:lineRule="auto"/>
        <w:jc w:val="both"/>
        <w:rPr>
          <w:rFonts w:ascii="Verdana" w:eastAsia="Times New Roman" w:hAnsi="Verdana" w:cs="Arial"/>
          <w:sz w:val="20"/>
          <w:szCs w:val="20"/>
          <w:lang w:eastAsia="es-CO"/>
        </w:rPr>
      </w:pPr>
    </w:p>
    <w:p w14:paraId="6C8A77A3" w14:textId="593E8E85" w:rsidR="0022191E" w:rsidRDefault="0022191E" w:rsidP="00555198">
      <w:pPr>
        <w:spacing w:after="0" w:line="240" w:lineRule="auto"/>
        <w:jc w:val="both"/>
        <w:rPr>
          <w:rFonts w:ascii="Verdana" w:hAnsi="Verdana" w:cs="Arial"/>
          <w:b/>
          <w:bCs/>
          <w:color w:val="000000" w:themeColor="text1"/>
        </w:rPr>
      </w:pPr>
      <w:r w:rsidRPr="0022191E">
        <w:rPr>
          <w:rFonts w:ascii="Verdana" w:hAnsi="Verdana" w:cs="Arial"/>
          <w:b/>
          <w:bCs/>
          <w:color w:val="000000" w:themeColor="text1"/>
        </w:rPr>
        <w:t xml:space="preserve">CONSEJO DE ESTADO </w:t>
      </w:r>
      <w:r w:rsidR="00395811">
        <w:rPr>
          <w:rFonts w:ascii="Verdana" w:hAnsi="Verdana" w:cs="Arial"/>
          <w:b/>
          <w:bCs/>
          <w:color w:val="000000" w:themeColor="text1"/>
        </w:rPr>
        <w:t xml:space="preserve">- </w:t>
      </w:r>
      <w:r w:rsidRPr="0022191E">
        <w:rPr>
          <w:rFonts w:ascii="Verdana" w:hAnsi="Verdana" w:cs="Arial"/>
          <w:b/>
          <w:bCs/>
          <w:color w:val="000000" w:themeColor="text1"/>
        </w:rPr>
        <w:t xml:space="preserve">Posición </w:t>
      </w:r>
    </w:p>
    <w:p w14:paraId="0A98886D" w14:textId="77777777" w:rsidR="00395811" w:rsidRDefault="00395811" w:rsidP="00555198">
      <w:pPr>
        <w:spacing w:after="0" w:line="240" w:lineRule="auto"/>
        <w:jc w:val="both"/>
        <w:rPr>
          <w:rFonts w:ascii="Verdana" w:hAnsi="Verdana" w:cs="Arial"/>
          <w:b/>
          <w:bCs/>
          <w:color w:val="000000" w:themeColor="text1"/>
        </w:rPr>
      </w:pPr>
    </w:p>
    <w:p w14:paraId="0D3B15FB" w14:textId="2AD64397" w:rsidR="00395811" w:rsidRPr="00395811" w:rsidRDefault="00395811" w:rsidP="00395811">
      <w:pPr>
        <w:spacing w:after="0" w:line="240" w:lineRule="auto"/>
        <w:jc w:val="both"/>
        <w:rPr>
          <w:rFonts w:ascii="Verdana" w:eastAsia="Times New Roman" w:hAnsi="Verdana" w:cs="Times New Roman"/>
          <w:sz w:val="20"/>
          <w:szCs w:val="20"/>
          <w:lang w:eastAsia="es-ES"/>
        </w:rPr>
      </w:pPr>
      <w:r w:rsidRPr="00395811">
        <w:rPr>
          <w:rFonts w:ascii="Verdana" w:eastAsia="Arial" w:hAnsi="Verdana" w:cs="Arial"/>
          <w:sz w:val="20"/>
          <w:szCs w:val="20"/>
          <w:lang w:eastAsia="es-ES" w:bidi="es-ES"/>
        </w:rPr>
        <w:t xml:space="preserve">[…] mediante sentencia del 17 de octubre de 2025, emitida por la Sección Tercera del Consejo de Estado, dentro del expediente </w:t>
      </w:r>
      <w:r w:rsidRPr="00395811">
        <w:rPr>
          <w:rFonts w:ascii="Verdana" w:eastAsia="Times New Roman" w:hAnsi="Verdana" w:cs="Times New Roman"/>
          <w:sz w:val="20"/>
          <w:szCs w:val="20"/>
          <w:lang w:eastAsia="es-ES"/>
        </w:rPr>
        <w:t xml:space="preserve">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 </w:t>
      </w:r>
    </w:p>
    <w:p w14:paraId="469460E5" w14:textId="77777777" w:rsidR="00395811" w:rsidRDefault="00395811" w:rsidP="00395811">
      <w:pPr>
        <w:spacing w:after="0" w:line="240" w:lineRule="auto"/>
        <w:jc w:val="both"/>
        <w:rPr>
          <w:rFonts w:ascii="Verdana" w:eastAsia="Times New Roman" w:hAnsi="Verdana" w:cs="Times New Roman"/>
          <w:sz w:val="20"/>
          <w:szCs w:val="20"/>
          <w:lang w:eastAsia="es-ES"/>
        </w:rPr>
      </w:pPr>
    </w:p>
    <w:p w14:paraId="2EC704EB" w14:textId="5A353739" w:rsidR="00395811" w:rsidRPr="00395811" w:rsidRDefault="00395811" w:rsidP="00395811">
      <w:pPr>
        <w:spacing w:after="0" w:line="240" w:lineRule="auto"/>
        <w:jc w:val="both"/>
        <w:rPr>
          <w:rFonts w:ascii="Verdana" w:eastAsia="Times New Roman" w:hAnsi="Verdana" w:cs="Times New Roman"/>
          <w:sz w:val="20"/>
          <w:szCs w:val="20"/>
          <w:lang w:eastAsia="es-ES"/>
        </w:rPr>
      </w:pPr>
      <w:r w:rsidRPr="00395811">
        <w:rPr>
          <w:rFonts w:ascii="Verdana" w:eastAsia="Times New Roman" w:hAnsi="Verdana" w:cs="Times New Roman"/>
          <w:sz w:val="20"/>
          <w:szCs w:val="20"/>
          <w:lang w:eastAsia="es-ES"/>
        </w:rPr>
        <w:t xml:space="preserve">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 Sobre el 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29E33A2A" w14:textId="77777777" w:rsidR="00395811" w:rsidRPr="0022191E" w:rsidRDefault="00395811" w:rsidP="00555198">
      <w:pPr>
        <w:spacing w:after="0" w:line="240" w:lineRule="auto"/>
        <w:jc w:val="both"/>
        <w:rPr>
          <w:rFonts w:ascii="Verdana" w:hAnsi="Verdana" w:cs="Arial"/>
          <w:b/>
          <w:bCs/>
          <w:color w:val="000000" w:themeColor="text1"/>
        </w:rPr>
      </w:pPr>
    </w:p>
    <w:p w14:paraId="11455FD5" w14:textId="77777777" w:rsidR="00395811" w:rsidRDefault="00395811" w:rsidP="00555198">
      <w:pPr>
        <w:spacing w:after="0" w:line="240" w:lineRule="auto"/>
        <w:jc w:val="both"/>
        <w:rPr>
          <w:rFonts w:ascii="Verdana" w:eastAsia="Calibri" w:hAnsi="Verdana" w:cs="Arial"/>
          <w:b/>
          <w:bCs/>
          <w:lang w:eastAsia="es-ES"/>
        </w:rPr>
      </w:pPr>
    </w:p>
    <w:p w14:paraId="65742822" w14:textId="306C3E55" w:rsidR="00555198" w:rsidRDefault="00555198" w:rsidP="00555198">
      <w:pPr>
        <w:spacing w:after="0" w:line="240" w:lineRule="auto"/>
        <w:jc w:val="both"/>
        <w:rPr>
          <w:rFonts w:ascii="Verdana" w:eastAsia="Calibri" w:hAnsi="Verdana" w:cs="Arial"/>
          <w:lang w:eastAsia="es-ES"/>
        </w:rPr>
      </w:pPr>
      <w:r w:rsidRPr="007E27D9">
        <w:rPr>
          <w:rFonts w:ascii="Verdana" w:eastAsia="Calibri" w:hAnsi="Verdana" w:cs="Arial"/>
          <w:lang w:eastAsia="es-ES"/>
        </w:rPr>
        <w:t xml:space="preserve">Bogotá D.C., </w:t>
      </w:r>
      <w:r w:rsidR="00D734D7">
        <w:rPr>
          <w:rFonts w:ascii="Verdana" w:eastAsia="Calibri" w:hAnsi="Verdana" w:cs="Arial"/>
          <w:lang w:eastAsia="es-ES"/>
        </w:rPr>
        <w:t>17 de marzo de 2026.</w:t>
      </w:r>
    </w:p>
    <w:p w14:paraId="0D1CC2F2" w14:textId="1B7F185D" w:rsidR="00EE2DE4" w:rsidRPr="007E27D9" w:rsidRDefault="00EE2DE4" w:rsidP="00EE2DE4">
      <w:pPr>
        <w:spacing w:after="0" w:line="240" w:lineRule="auto"/>
        <w:jc w:val="right"/>
        <w:rPr>
          <w:rFonts w:ascii="Verdana" w:eastAsia="Calibri" w:hAnsi="Verdana" w:cs="Arial"/>
          <w:lang w:eastAsia="es-ES"/>
        </w:rPr>
      </w:pPr>
      <w:r w:rsidRPr="00EE2DE4">
        <w:rPr>
          <w:rFonts w:ascii="Verdana" w:eastAsia="Calibri" w:hAnsi="Verdana" w:cs="Arial"/>
          <w:noProof/>
          <w:lang w:eastAsia="es-ES"/>
        </w:rPr>
        <w:drawing>
          <wp:inline distT="0" distB="0" distL="0" distR="0" wp14:anchorId="75D67422" wp14:editId="0A070A39">
            <wp:extent cx="1783080" cy="465128"/>
            <wp:effectExtent l="0" t="0" r="7620" b="0"/>
            <wp:docPr id="1596963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96361" name=""/>
                    <pic:cNvPicPr/>
                  </pic:nvPicPr>
                  <pic:blipFill>
                    <a:blip r:embed="rId11"/>
                    <a:stretch>
                      <a:fillRect/>
                    </a:stretch>
                  </pic:blipFill>
                  <pic:spPr>
                    <a:xfrm>
                      <a:off x="0" y="0"/>
                      <a:ext cx="1835550" cy="478815"/>
                    </a:xfrm>
                    <a:prstGeom prst="rect">
                      <a:avLst/>
                    </a:prstGeom>
                  </pic:spPr>
                </pic:pic>
              </a:graphicData>
            </a:graphic>
          </wp:inline>
        </w:drawing>
      </w:r>
    </w:p>
    <w:p w14:paraId="5E03C72B" w14:textId="77777777" w:rsidR="00555198" w:rsidRDefault="00555198" w:rsidP="00555198">
      <w:pPr>
        <w:spacing w:after="0" w:line="240" w:lineRule="auto"/>
        <w:jc w:val="both"/>
        <w:rPr>
          <w:rFonts w:ascii="Verdana" w:eastAsia="Calibri" w:hAnsi="Verdana" w:cs="Arial"/>
          <w:b/>
          <w:bCs/>
          <w:lang w:eastAsia="es-ES"/>
        </w:rPr>
      </w:pPr>
      <w:r>
        <w:rPr>
          <w:rFonts w:ascii="Verdana" w:eastAsia="Calibri" w:hAnsi="Verdana" w:cs="Arial"/>
          <w:b/>
          <w:bCs/>
          <w:lang w:eastAsia="es-ES"/>
        </w:rPr>
        <w:t>Señor</w:t>
      </w:r>
    </w:p>
    <w:p w14:paraId="51FC9B2E" w14:textId="77777777" w:rsidR="00555198" w:rsidRDefault="00555198" w:rsidP="00555198">
      <w:pPr>
        <w:spacing w:after="0" w:line="240" w:lineRule="auto"/>
        <w:jc w:val="both"/>
        <w:rPr>
          <w:rFonts w:ascii="Verdana" w:eastAsia="Calibri" w:hAnsi="Verdana" w:cs="Arial"/>
          <w:b/>
          <w:bCs/>
          <w:lang w:eastAsia="es-ES"/>
        </w:rPr>
      </w:pPr>
      <w:r w:rsidRPr="003F658D">
        <w:rPr>
          <w:rFonts w:ascii="Verdana" w:eastAsia="Calibri" w:hAnsi="Verdana" w:cs="Arial"/>
          <w:b/>
          <w:bCs/>
          <w:lang w:eastAsia="es-ES"/>
        </w:rPr>
        <w:t>Edgar Mart</w:t>
      </w:r>
      <w:r>
        <w:rPr>
          <w:rFonts w:ascii="Verdana" w:eastAsia="Calibri" w:hAnsi="Verdana" w:cs="Arial"/>
          <w:b/>
          <w:bCs/>
          <w:lang w:eastAsia="es-ES"/>
        </w:rPr>
        <w:t>í</w:t>
      </w:r>
      <w:r w:rsidRPr="003F658D">
        <w:rPr>
          <w:rFonts w:ascii="Verdana" w:eastAsia="Calibri" w:hAnsi="Verdana" w:cs="Arial"/>
          <w:b/>
          <w:bCs/>
          <w:lang w:eastAsia="es-ES"/>
        </w:rPr>
        <w:t xml:space="preserve">n Lara </w:t>
      </w:r>
    </w:p>
    <w:p w14:paraId="62DA1664" w14:textId="77777777" w:rsidR="00555198" w:rsidRDefault="00555198" w:rsidP="00555198">
      <w:pPr>
        <w:spacing w:after="0" w:line="240" w:lineRule="auto"/>
        <w:jc w:val="both"/>
        <w:rPr>
          <w:rFonts w:ascii="Verdana" w:eastAsia="Calibri" w:hAnsi="Verdana" w:cs="Arial"/>
          <w:b/>
          <w:bCs/>
          <w:lang w:eastAsia="es-ES"/>
        </w:rPr>
      </w:pPr>
      <w:r w:rsidRPr="003F658D">
        <w:rPr>
          <w:rFonts w:ascii="Verdana" w:eastAsia="Calibri" w:hAnsi="Verdana" w:cs="Arial"/>
          <w:b/>
          <w:bCs/>
          <w:lang w:eastAsia="es-ES"/>
        </w:rPr>
        <w:t>Secretar</w:t>
      </w:r>
      <w:r>
        <w:rPr>
          <w:rFonts w:ascii="Verdana" w:eastAsia="Calibri" w:hAnsi="Verdana" w:cs="Arial"/>
          <w:b/>
          <w:bCs/>
          <w:lang w:eastAsia="es-ES"/>
        </w:rPr>
        <w:t>í</w:t>
      </w:r>
      <w:r w:rsidRPr="003F658D">
        <w:rPr>
          <w:rFonts w:ascii="Verdana" w:eastAsia="Calibri" w:hAnsi="Verdana" w:cs="Arial"/>
          <w:b/>
          <w:bCs/>
          <w:lang w:eastAsia="es-ES"/>
        </w:rPr>
        <w:t xml:space="preserve">a </w:t>
      </w:r>
      <w:r>
        <w:rPr>
          <w:rFonts w:ascii="Verdana" w:eastAsia="Calibri" w:hAnsi="Verdana" w:cs="Arial"/>
          <w:b/>
          <w:bCs/>
          <w:lang w:eastAsia="es-ES"/>
        </w:rPr>
        <w:t>d</w:t>
      </w:r>
      <w:r w:rsidRPr="003F658D">
        <w:rPr>
          <w:rFonts w:ascii="Verdana" w:eastAsia="Calibri" w:hAnsi="Verdana" w:cs="Arial"/>
          <w:b/>
          <w:bCs/>
          <w:lang w:eastAsia="es-ES"/>
        </w:rPr>
        <w:t>e Educaci</w:t>
      </w:r>
      <w:r>
        <w:rPr>
          <w:rFonts w:ascii="Verdana" w:eastAsia="Calibri" w:hAnsi="Verdana" w:cs="Arial"/>
          <w:b/>
          <w:bCs/>
          <w:lang w:eastAsia="es-ES"/>
        </w:rPr>
        <w:t>ó</w:t>
      </w:r>
      <w:r w:rsidRPr="003F658D">
        <w:rPr>
          <w:rFonts w:ascii="Verdana" w:eastAsia="Calibri" w:hAnsi="Verdana" w:cs="Arial"/>
          <w:b/>
          <w:bCs/>
          <w:lang w:eastAsia="es-ES"/>
        </w:rPr>
        <w:t>n Facatativ</w:t>
      </w:r>
      <w:r>
        <w:rPr>
          <w:rFonts w:ascii="Verdana" w:eastAsia="Calibri" w:hAnsi="Verdana" w:cs="Arial"/>
          <w:b/>
          <w:bCs/>
          <w:lang w:eastAsia="es-ES"/>
        </w:rPr>
        <w:t>á</w:t>
      </w:r>
    </w:p>
    <w:p w14:paraId="6399DCA2" w14:textId="77777777" w:rsidR="00555198" w:rsidRPr="00954F55" w:rsidRDefault="00555198" w:rsidP="00555198">
      <w:pPr>
        <w:spacing w:after="0" w:line="240" w:lineRule="auto"/>
        <w:jc w:val="both"/>
        <w:rPr>
          <w:rFonts w:ascii="Verdana" w:hAnsi="Verdana"/>
          <w:b/>
          <w:bCs/>
        </w:rPr>
      </w:pPr>
      <w:hyperlink r:id="rId12" w:history="1">
        <w:r w:rsidRPr="00CB37FD">
          <w:rPr>
            <w:rStyle w:val="Hyperlink"/>
            <w:rFonts w:ascii="Verdana" w:hAnsi="Verdana"/>
            <w:b/>
            <w:bCs/>
          </w:rPr>
          <w:t>notificacionesSAC1@mineducacion.gov.co</w:t>
        </w:r>
      </w:hyperlink>
    </w:p>
    <w:p w14:paraId="20B218AE" w14:textId="77777777" w:rsidR="00555198" w:rsidRPr="003F658D" w:rsidRDefault="00555198" w:rsidP="00555198">
      <w:pPr>
        <w:spacing w:after="0" w:line="240" w:lineRule="auto"/>
        <w:jc w:val="both"/>
        <w:rPr>
          <w:rFonts w:ascii="Verdana" w:hAnsi="Verdana"/>
          <w:lang w:val="it-CH"/>
        </w:rPr>
      </w:pPr>
      <w:r>
        <w:rPr>
          <w:rFonts w:ascii="Verdana" w:hAnsi="Verdana"/>
          <w:lang w:val="it-CH"/>
        </w:rPr>
        <w:t xml:space="preserve">Ciudad </w:t>
      </w:r>
    </w:p>
    <w:p w14:paraId="6B699F47" w14:textId="77777777" w:rsidR="00555198" w:rsidRPr="003F658D" w:rsidRDefault="00555198" w:rsidP="00555198">
      <w:pPr>
        <w:spacing w:after="0" w:line="240" w:lineRule="auto"/>
        <w:jc w:val="both"/>
        <w:rPr>
          <w:rFonts w:ascii="Verdana" w:eastAsia="Calibri" w:hAnsi="Verdana" w:cs="Arial"/>
          <w:b/>
          <w:bCs/>
          <w:color w:val="000000"/>
          <w:lang w:val="it-CH" w:eastAsia="es-ES_tradnl"/>
        </w:rPr>
      </w:pP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555198" w:rsidRPr="005644FE" w14:paraId="2301EBCB" w14:textId="77777777" w:rsidTr="00495D4A">
        <w:trPr>
          <w:trHeight w:val="162"/>
        </w:trPr>
        <w:tc>
          <w:tcPr>
            <w:tcW w:w="3119" w:type="dxa"/>
          </w:tcPr>
          <w:p w14:paraId="4E105F5A" w14:textId="77777777" w:rsidR="00555198" w:rsidRPr="003F658D" w:rsidRDefault="00555198" w:rsidP="00495D4A">
            <w:pPr>
              <w:jc w:val="both"/>
              <w:rPr>
                <w:rFonts w:ascii="Verdana" w:eastAsia="Calibri" w:hAnsi="Verdana" w:cs="Arial"/>
                <w:b/>
                <w:bCs/>
                <w:color w:val="7030A0"/>
                <w:lang w:val="it-CH" w:eastAsia="es-ES_tradnl"/>
              </w:rPr>
            </w:pPr>
          </w:p>
        </w:tc>
        <w:tc>
          <w:tcPr>
            <w:tcW w:w="5670" w:type="dxa"/>
          </w:tcPr>
          <w:p w14:paraId="6526E393" w14:textId="77777777" w:rsidR="00555198" w:rsidRPr="005644FE" w:rsidRDefault="00555198" w:rsidP="00495D4A">
            <w:pPr>
              <w:jc w:val="both"/>
              <w:rPr>
                <w:rFonts w:ascii="Verdana" w:eastAsia="Calibri" w:hAnsi="Verdana" w:cs="Arial"/>
                <w:b/>
                <w:bCs/>
                <w:lang w:eastAsia="es-ES"/>
              </w:rPr>
            </w:pPr>
            <w:r w:rsidRPr="005644FE">
              <w:rPr>
                <w:rFonts w:ascii="Verdana" w:eastAsia="Calibri" w:hAnsi="Verdana" w:cs="Arial"/>
                <w:b/>
                <w:bCs/>
                <w:lang w:eastAsia="es-ES"/>
              </w:rPr>
              <w:t>Concepto C</w:t>
            </w:r>
            <w:r w:rsidRPr="00205473">
              <w:rPr>
                <w:rFonts w:ascii="Verdana" w:eastAsia="Calibri" w:hAnsi="Verdana" w:cs="Arial"/>
                <w:b/>
                <w:bCs/>
                <w:lang w:eastAsia="es-ES"/>
              </w:rPr>
              <w:t>-</w:t>
            </w:r>
            <w:r>
              <w:rPr>
                <w:rFonts w:ascii="Verdana" w:eastAsia="Calibri" w:hAnsi="Verdana" w:cs="Arial"/>
                <w:b/>
                <w:bCs/>
                <w:lang w:eastAsia="es-ES"/>
              </w:rPr>
              <w:t>171 de 2026</w:t>
            </w:r>
          </w:p>
          <w:p w14:paraId="1FF55D1D" w14:textId="77777777" w:rsidR="00555198" w:rsidRPr="005644FE" w:rsidRDefault="00555198" w:rsidP="00495D4A">
            <w:pPr>
              <w:jc w:val="both"/>
              <w:rPr>
                <w:rFonts w:ascii="Verdana" w:eastAsia="Calibri" w:hAnsi="Verdana" w:cs="Arial"/>
                <w:b/>
                <w:bCs/>
                <w:color w:val="7030A0"/>
                <w:lang w:eastAsia="es-ES"/>
              </w:rPr>
            </w:pPr>
          </w:p>
        </w:tc>
      </w:tr>
      <w:tr w:rsidR="00555198" w:rsidRPr="005644FE" w14:paraId="13B8FA4E" w14:textId="77777777" w:rsidTr="00495D4A">
        <w:trPr>
          <w:trHeight w:val="884"/>
        </w:trPr>
        <w:tc>
          <w:tcPr>
            <w:tcW w:w="3119" w:type="dxa"/>
          </w:tcPr>
          <w:p w14:paraId="1BBF7E73" w14:textId="77777777" w:rsidR="00555198" w:rsidRPr="005644FE" w:rsidRDefault="00555198" w:rsidP="00495D4A">
            <w:pPr>
              <w:jc w:val="both"/>
              <w:rPr>
                <w:rFonts w:ascii="Verdana" w:eastAsia="Calibri" w:hAnsi="Verdana" w:cs="Arial"/>
                <w:color w:val="000000"/>
                <w:lang w:eastAsia="es-ES_tradnl"/>
              </w:rPr>
            </w:pPr>
            <w:r w:rsidRPr="005644FE">
              <w:rPr>
                <w:rFonts w:ascii="Verdana" w:eastAsia="Calibri" w:hAnsi="Verdana" w:cs="Arial"/>
                <w:b/>
                <w:color w:val="000000"/>
                <w:lang w:eastAsia="es-ES_tradnl"/>
              </w:rPr>
              <w:t>Temas:</w:t>
            </w:r>
            <w:r w:rsidRPr="005644FE">
              <w:rPr>
                <w:rFonts w:ascii="Verdana" w:eastAsia="Calibri" w:hAnsi="Verdana" w:cs="Arial"/>
                <w:color w:val="000000"/>
                <w:lang w:eastAsia="es-ES_tradnl"/>
              </w:rPr>
              <w:t xml:space="preserve">                   </w:t>
            </w:r>
          </w:p>
        </w:tc>
        <w:tc>
          <w:tcPr>
            <w:tcW w:w="5670" w:type="dxa"/>
          </w:tcPr>
          <w:p w14:paraId="23DF1A9B" w14:textId="77777777" w:rsidR="00555198" w:rsidRDefault="00555198" w:rsidP="00D71B7F">
            <w:pPr>
              <w:jc w:val="both"/>
              <w:rPr>
                <w:rFonts w:ascii="Verdana" w:hAnsi="Verdana" w:cs="Arial"/>
                <w:color w:val="000000" w:themeColor="text1"/>
              </w:rPr>
            </w:pPr>
            <w:r>
              <w:rPr>
                <w:rFonts w:ascii="Verdana" w:hAnsi="Verdana" w:cs="Arial"/>
                <w:color w:val="000000" w:themeColor="text1"/>
              </w:rPr>
              <w:t>LEY DE GARANTÍAS ELECTORALES – Propósito /</w:t>
            </w:r>
            <w:r w:rsidR="00000BA9">
              <w:rPr>
                <w:rFonts w:ascii="Verdana" w:hAnsi="Verdana" w:cs="Arial"/>
                <w:color w:val="000000" w:themeColor="text1"/>
              </w:rPr>
              <w:t xml:space="preserve"> </w:t>
            </w:r>
            <w:r>
              <w:rPr>
                <w:rFonts w:ascii="Verdana" w:hAnsi="Verdana" w:cs="Arial"/>
                <w:color w:val="000000" w:themeColor="text1"/>
              </w:rPr>
              <w:t xml:space="preserve">LEY DE GARANTÍAS ELECTORALES – Prohibiciones – Restricciones / LEY DE GARANTÍAS ELECTORALES – Artículo 33 – Ámbito material / LEY DE GARANTÍAS ELECTORALES – Destinatarios / LEY DE GARANTÍAS ELECTORALES – Excepciones / </w:t>
            </w:r>
            <w:r w:rsidR="00CB37FD" w:rsidRPr="00F337DA">
              <w:rPr>
                <w:rFonts w:ascii="Verdana" w:hAnsi="Verdana" w:cs="Arial"/>
                <w:color w:val="000000" w:themeColor="text1"/>
              </w:rPr>
              <w:t>LEY DE GARANTÍAS ELECTORALES</w:t>
            </w:r>
            <w:r>
              <w:rPr>
                <w:rFonts w:ascii="Verdana" w:hAnsi="Verdana" w:cs="Arial"/>
                <w:color w:val="000000" w:themeColor="text1"/>
              </w:rPr>
              <w:t xml:space="preserve"> – Parágrafo del artículo 38 - Alcance / LEY DE GARANTÍAS ELECTORALES – Convenios interadministrativos – Contratos interadministrativos / CONSEJO DE ESTADO </w:t>
            </w:r>
            <w:r w:rsidR="00947E79">
              <w:rPr>
                <w:rFonts w:ascii="Verdana" w:hAnsi="Verdana" w:cs="Arial"/>
                <w:color w:val="000000" w:themeColor="text1"/>
              </w:rPr>
              <w:t>-</w:t>
            </w:r>
            <w:r w:rsidR="00CB37FD">
              <w:rPr>
                <w:rFonts w:ascii="Verdana" w:hAnsi="Verdana" w:cs="Arial"/>
                <w:color w:val="000000" w:themeColor="text1"/>
              </w:rPr>
              <w:t>P</w:t>
            </w:r>
            <w:r w:rsidRPr="00CB37FD">
              <w:rPr>
                <w:rFonts w:ascii="Verdana" w:hAnsi="Verdana" w:cs="Arial"/>
                <w:color w:val="000000" w:themeColor="text1"/>
              </w:rPr>
              <w:t xml:space="preserve">osición  </w:t>
            </w:r>
          </w:p>
          <w:p w14:paraId="1C62C1FE" w14:textId="4C86665E" w:rsidR="00FA4CFE" w:rsidRPr="00E65C5F" w:rsidRDefault="00FA4CFE" w:rsidP="00D71B7F">
            <w:pPr>
              <w:jc w:val="both"/>
              <w:rPr>
                <w:rFonts w:ascii="Verdana" w:hAnsi="Verdana" w:cs="Arial"/>
                <w:color w:val="000000" w:themeColor="text1"/>
              </w:rPr>
            </w:pPr>
          </w:p>
        </w:tc>
      </w:tr>
      <w:tr w:rsidR="00555198" w:rsidRPr="005644FE" w14:paraId="4B46747E" w14:textId="77777777" w:rsidTr="00495D4A">
        <w:tc>
          <w:tcPr>
            <w:tcW w:w="3119" w:type="dxa"/>
          </w:tcPr>
          <w:p w14:paraId="3A672B53" w14:textId="77777777" w:rsidR="00555198" w:rsidRPr="005644FE" w:rsidRDefault="00555198" w:rsidP="00495D4A">
            <w:pPr>
              <w:jc w:val="both"/>
              <w:rPr>
                <w:rFonts w:ascii="Verdana" w:eastAsia="Calibri" w:hAnsi="Verdana" w:cs="Arial"/>
                <w:b/>
                <w:lang w:eastAsia="es-ES_tradnl"/>
              </w:rPr>
            </w:pPr>
            <w:r w:rsidRPr="005644FE">
              <w:rPr>
                <w:rFonts w:ascii="Verdana" w:eastAsia="Calibri" w:hAnsi="Verdana" w:cs="Arial"/>
                <w:b/>
                <w:lang w:eastAsia="es-ES_tradnl"/>
              </w:rPr>
              <w:t>Radicación:</w:t>
            </w:r>
            <w:r w:rsidRPr="005644FE">
              <w:rPr>
                <w:rFonts w:ascii="Verdana" w:eastAsia="Calibri" w:hAnsi="Verdana" w:cs="Arial"/>
                <w:lang w:eastAsia="es-ES_tradnl"/>
              </w:rPr>
              <w:t xml:space="preserve">               </w:t>
            </w:r>
          </w:p>
        </w:tc>
        <w:tc>
          <w:tcPr>
            <w:tcW w:w="5670" w:type="dxa"/>
          </w:tcPr>
          <w:p w14:paraId="22F5D058" w14:textId="77777777" w:rsidR="00555198" w:rsidRPr="00F04657" w:rsidRDefault="00555198" w:rsidP="00495D4A">
            <w:pPr>
              <w:jc w:val="both"/>
              <w:rPr>
                <w:rFonts w:ascii="Verdana" w:eastAsia="Calibri" w:hAnsi="Verdana" w:cs="Arial"/>
                <w:lang w:eastAsia="es-ES_tradnl"/>
              </w:rPr>
            </w:pPr>
            <w:r w:rsidRPr="005644FE">
              <w:rPr>
                <w:rFonts w:ascii="Verdana" w:eastAsia="Calibri" w:hAnsi="Verdana" w:cs="Arial"/>
                <w:lang w:eastAsia="es-ES_tradnl"/>
              </w:rPr>
              <w:t>Respuesta a consulta con radicado</w:t>
            </w:r>
            <w:r>
              <w:rPr>
                <w:rFonts w:ascii="Verdana" w:eastAsia="Calibri" w:hAnsi="Verdana" w:cs="Arial"/>
                <w:lang w:eastAsia="es-ES_tradnl"/>
              </w:rPr>
              <w:t xml:space="preserve"> </w:t>
            </w:r>
            <w:r w:rsidRPr="003F658D">
              <w:rPr>
                <w:rFonts w:ascii="Verdana" w:eastAsia="Calibri" w:hAnsi="Verdana" w:cs="Arial"/>
                <w:lang w:eastAsia="es-ES_tradnl"/>
              </w:rPr>
              <w:t>1_2026_02_06_001534</w:t>
            </w:r>
          </w:p>
        </w:tc>
      </w:tr>
    </w:tbl>
    <w:p w14:paraId="68EFEC46" w14:textId="77777777" w:rsidR="00555198" w:rsidRPr="005644FE" w:rsidRDefault="00555198" w:rsidP="00D71B7F">
      <w:pPr>
        <w:spacing w:after="0" w:line="240" w:lineRule="auto"/>
        <w:jc w:val="both"/>
        <w:rPr>
          <w:rFonts w:ascii="Verdana" w:eastAsia="Calibri" w:hAnsi="Verdana" w:cs="Arial"/>
          <w:lang w:eastAsia="es-ES_tradnl"/>
        </w:rPr>
      </w:pPr>
    </w:p>
    <w:p w14:paraId="574825DA" w14:textId="77777777" w:rsidR="00555198" w:rsidRPr="005644FE" w:rsidRDefault="00555198" w:rsidP="00555198">
      <w:pPr>
        <w:spacing w:after="0" w:line="276" w:lineRule="auto"/>
        <w:jc w:val="both"/>
        <w:rPr>
          <w:rFonts w:ascii="Verdana" w:eastAsia="Calibri" w:hAnsi="Verdana" w:cs="Arial"/>
          <w:lang w:eastAsia="es-ES"/>
        </w:rPr>
      </w:pPr>
      <w:r>
        <w:rPr>
          <w:rFonts w:ascii="Verdana" w:eastAsia="Calibri" w:hAnsi="Verdana" w:cs="Arial"/>
          <w:lang w:eastAsia="es-ES"/>
        </w:rPr>
        <w:t xml:space="preserve">Estimado señor Martín: </w:t>
      </w:r>
    </w:p>
    <w:p w14:paraId="05E0EFAB" w14:textId="77777777" w:rsidR="00555198" w:rsidRPr="00E02524" w:rsidRDefault="00555198" w:rsidP="00D71B7F">
      <w:pPr>
        <w:spacing w:after="0" w:line="276" w:lineRule="auto"/>
        <w:jc w:val="both"/>
        <w:rPr>
          <w:rFonts w:ascii="Verdana" w:hAnsi="Verdana"/>
          <w:lang w:val="es-MX"/>
        </w:rPr>
      </w:pPr>
    </w:p>
    <w:p w14:paraId="215733F0" w14:textId="0DEE2A8A" w:rsidR="00555198" w:rsidRDefault="00555198" w:rsidP="00CB37FD">
      <w:pPr>
        <w:spacing w:after="0" w:line="276" w:lineRule="auto"/>
        <w:jc w:val="both"/>
        <w:rPr>
          <w:rFonts w:ascii="Verdana" w:eastAsia="Calibri" w:hAnsi="Verdana" w:cs="Arial"/>
          <w:lang w:eastAsia="es-ES"/>
        </w:rPr>
      </w:pPr>
      <w:r w:rsidRPr="00E02524">
        <w:rPr>
          <w:rFonts w:ascii="Verdana" w:hAnsi="Verdana"/>
        </w:rPr>
        <w:t xml:space="preserve">La Agencia Nacional de Contratación Pública – Colombia Compra Eficiente –, en ejercicio de las competencias otorgadas </w:t>
      </w:r>
      <w:r w:rsidRPr="005644FE">
        <w:rPr>
          <w:rFonts w:ascii="Verdana" w:eastAsia="Calibri" w:hAnsi="Verdana" w:cs="Arial"/>
          <w:lang w:eastAsia="es-ES"/>
        </w:rPr>
        <w:t>por los artículos 3, numeral 5º, y 11, numeral 8º, del Decreto Ley 4170 de 2011</w:t>
      </w:r>
      <w:r>
        <w:rPr>
          <w:rFonts w:ascii="Verdana" w:eastAsia="Calibri" w:hAnsi="Verdana" w:cs="Arial"/>
          <w:lang w:eastAsia="es-ES"/>
        </w:rPr>
        <w:t>,</w:t>
      </w:r>
      <w:r w:rsidRPr="00595C9B">
        <w:rPr>
          <w:rFonts w:ascii="Verdana" w:hAnsi="Verdana" w:cs="Arial"/>
        </w:rPr>
        <w:t xml:space="preserve"> </w:t>
      </w:r>
      <w:r w:rsidRPr="005644FE">
        <w:rPr>
          <w:rFonts w:ascii="Verdana" w:hAnsi="Verdana" w:cs="Arial"/>
        </w:rPr>
        <w:t>así como lo establecido en el artículo 4 de la Resolución 1707 de 2018 expedida por esta Entidad</w:t>
      </w:r>
      <w:r w:rsidRPr="00E02524">
        <w:rPr>
          <w:rFonts w:ascii="Verdana" w:hAnsi="Verdana"/>
        </w:rPr>
        <w:t xml:space="preserve"> y</w:t>
      </w:r>
      <w:r>
        <w:rPr>
          <w:rFonts w:ascii="Verdana" w:hAnsi="Verdana"/>
        </w:rPr>
        <w:t>,</w:t>
      </w:r>
      <w:r w:rsidRPr="00E02524">
        <w:rPr>
          <w:rFonts w:ascii="Verdana" w:hAnsi="Verdana"/>
        </w:rPr>
        <w:t xml:space="preserve"> de conformidad con las modalidades del derecho de petición contempladas en la Ley 1755 de 2015</w:t>
      </w:r>
      <w:r>
        <w:rPr>
          <w:rFonts w:ascii="Verdana" w:hAnsi="Verdana"/>
        </w:rPr>
        <w:t xml:space="preserve"> y en </w:t>
      </w:r>
      <w:r w:rsidRPr="00E02524">
        <w:rPr>
          <w:rFonts w:ascii="Verdana" w:hAnsi="Verdana"/>
        </w:rPr>
        <w:t xml:space="preserve">la resolución </w:t>
      </w:r>
      <w:r w:rsidRPr="00E02524">
        <w:rPr>
          <w:rFonts w:ascii="Verdana" w:eastAsia="Times New Roman" w:hAnsi="Verdana" w:cs="Segoe UI"/>
          <w:lang w:eastAsia="es-CO"/>
        </w:rPr>
        <w:t xml:space="preserve">N° 469 del 2025 </w:t>
      </w:r>
      <w:r w:rsidRPr="00E02524">
        <w:rPr>
          <w:rFonts w:ascii="Verdana" w:hAnsi="Verdana"/>
        </w:rPr>
        <w:t xml:space="preserve">expedida por esta Agencia, </w:t>
      </w:r>
      <w:r w:rsidRPr="005644FE">
        <w:rPr>
          <w:rFonts w:ascii="Verdana" w:eastAsia="Calibri" w:hAnsi="Verdana" w:cs="Arial"/>
          <w:lang w:eastAsia="es-ES"/>
        </w:rPr>
        <w:t xml:space="preserve">responde su solicitud de consulta de fecha </w:t>
      </w:r>
      <w:r>
        <w:rPr>
          <w:rFonts w:ascii="Verdana" w:eastAsia="Calibri" w:hAnsi="Verdana" w:cs="Arial"/>
          <w:lang w:eastAsia="es-ES"/>
        </w:rPr>
        <w:t xml:space="preserve">6 de febrero de 2026, </w:t>
      </w:r>
      <w:r w:rsidRPr="005644FE">
        <w:rPr>
          <w:rFonts w:ascii="Verdana" w:eastAsia="Calibri" w:hAnsi="Verdana" w:cs="Arial"/>
          <w:lang w:eastAsia="es-ES"/>
        </w:rPr>
        <w:t>en la cual manifiesta lo siguiente:</w:t>
      </w:r>
    </w:p>
    <w:p w14:paraId="04E2B7EB" w14:textId="77777777" w:rsidR="00CB37FD" w:rsidRDefault="00CB37FD" w:rsidP="00D71B7F">
      <w:pPr>
        <w:spacing w:after="0" w:line="276" w:lineRule="auto"/>
        <w:jc w:val="both"/>
        <w:rPr>
          <w:rFonts w:ascii="Verdana" w:hAnsi="Verdana"/>
        </w:rPr>
      </w:pPr>
    </w:p>
    <w:p w14:paraId="55506D25" w14:textId="77777777" w:rsidR="00D404E9" w:rsidRDefault="00D404E9" w:rsidP="00D71B7F">
      <w:pPr>
        <w:spacing w:after="0" w:line="276" w:lineRule="auto"/>
        <w:jc w:val="both"/>
        <w:rPr>
          <w:rFonts w:ascii="Verdana" w:hAnsi="Verdana"/>
        </w:rPr>
      </w:pPr>
    </w:p>
    <w:p w14:paraId="5CD2D146" w14:textId="77777777" w:rsidR="00D404E9" w:rsidRDefault="00D404E9" w:rsidP="00D71B7F">
      <w:pPr>
        <w:spacing w:after="0" w:line="276" w:lineRule="auto"/>
        <w:jc w:val="both"/>
        <w:rPr>
          <w:rFonts w:ascii="Verdana" w:hAnsi="Verdana"/>
        </w:rPr>
      </w:pPr>
    </w:p>
    <w:p w14:paraId="2970363C" w14:textId="77777777" w:rsidR="00555198" w:rsidRDefault="00555198" w:rsidP="00D71B7F">
      <w:pPr>
        <w:spacing w:after="0" w:line="276" w:lineRule="auto"/>
        <w:jc w:val="both"/>
        <w:rPr>
          <w:rFonts w:ascii="Verdana" w:hAnsi="Verdana"/>
        </w:rPr>
      </w:pPr>
      <w:r w:rsidRPr="00E02524">
        <w:rPr>
          <w:rFonts w:ascii="Verdana" w:hAnsi="Verdana"/>
        </w:rPr>
        <w:t xml:space="preserve">PETICIÓN REALIZADA </w:t>
      </w:r>
    </w:p>
    <w:p w14:paraId="50DD708A" w14:textId="77777777" w:rsidR="00555198" w:rsidRPr="008E5B36" w:rsidRDefault="00555198" w:rsidP="00D71B7F">
      <w:pPr>
        <w:spacing w:after="0" w:line="276" w:lineRule="auto"/>
        <w:jc w:val="both"/>
        <w:rPr>
          <w:rFonts w:ascii="Verdana" w:hAnsi="Verdana"/>
        </w:rPr>
      </w:pPr>
    </w:p>
    <w:p w14:paraId="5A3348AE" w14:textId="77777777" w:rsidR="00555198" w:rsidRDefault="00555198" w:rsidP="00D71B7F">
      <w:pPr>
        <w:spacing w:after="0" w:line="240" w:lineRule="auto"/>
        <w:ind w:left="709" w:right="709"/>
        <w:jc w:val="both"/>
        <w:rPr>
          <w:rFonts w:ascii="Verdana" w:hAnsi="Verdana"/>
          <w:sz w:val="20"/>
          <w:szCs w:val="20"/>
        </w:rPr>
      </w:pPr>
      <w:r>
        <w:rPr>
          <w:rFonts w:ascii="Verdana" w:hAnsi="Verdana"/>
          <w:sz w:val="20"/>
          <w:szCs w:val="20"/>
        </w:rPr>
        <w:t xml:space="preserve">“(…) </w:t>
      </w:r>
      <w:r w:rsidRPr="003F658D">
        <w:rPr>
          <w:rFonts w:ascii="Verdana" w:hAnsi="Verdana"/>
          <w:sz w:val="20"/>
          <w:szCs w:val="20"/>
        </w:rPr>
        <w:t>solicito sea extendido concepto jurídico por medio del cual se precise el alcance de las restricciones impuestas por la ley 996 de 2005 en su articulo</w:t>
      </w:r>
      <w:r>
        <w:rPr>
          <w:rFonts w:ascii="Verdana" w:hAnsi="Verdana"/>
          <w:sz w:val="20"/>
          <w:szCs w:val="20"/>
        </w:rPr>
        <w:t xml:space="preserve"> (sic)</w:t>
      </w:r>
      <w:r w:rsidRPr="003F658D">
        <w:rPr>
          <w:rFonts w:ascii="Verdana" w:hAnsi="Verdana"/>
          <w:sz w:val="20"/>
          <w:szCs w:val="20"/>
        </w:rPr>
        <w:t xml:space="preserve"> 33[1] y del parágrafo del articulo 38 en relación con los convenios y contratos interadministrativos, respecto de los convenios de apoyo interinstitucional referidos en el numeral 1º del articulo </w:t>
      </w:r>
      <w:r>
        <w:rPr>
          <w:rFonts w:ascii="Verdana" w:hAnsi="Verdana"/>
          <w:sz w:val="20"/>
          <w:szCs w:val="20"/>
        </w:rPr>
        <w:t xml:space="preserve">(sic) </w:t>
      </w:r>
      <w:r w:rsidRPr="003F658D">
        <w:rPr>
          <w:rFonts w:ascii="Verdana" w:hAnsi="Verdana"/>
          <w:sz w:val="20"/>
          <w:szCs w:val="20"/>
        </w:rPr>
        <w:t>7º del decreto 933 de 2003[2], por medio de los cuales se posibilite en las entidades estatales la realización de practicas</w:t>
      </w:r>
      <w:r>
        <w:rPr>
          <w:rFonts w:ascii="Verdana" w:hAnsi="Verdana"/>
          <w:sz w:val="20"/>
          <w:szCs w:val="20"/>
        </w:rPr>
        <w:t xml:space="preserve"> (sic)</w:t>
      </w:r>
      <w:r w:rsidRPr="003F658D">
        <w:rPr>
          <w:rFonts w:ascii="Verdana" w:hAnsi="Verdana"/>
          <w:sz w:val="20"/>
          <w:szCs w:val="20"/>
        </w:rPr>
        <w:t xml:space="preserve"> académicas y/o pasantías universitarias que sean requisito para la obtención del titulo</w:t>
      </w:r>
      <w:r>
        <w:rPr>
          <w:rFonts w:ascii="Verdana" w:hAnsi="Verdana"/>
          <w:sz w:val="20"/>
          <w:szCs w:val="20"/>
        </w:rPr>
        <w:t xml:space="preserve"> (sic)</w:t>
      </w:r>
      <w:r w:rsidRPr="003F658D">
        <w:rPr>
          <w:rFonts w:ascii="Verdana" w:hAnsi="Verdana"/>
          <w:sz w:val="20"/>
          <w:szCs w:val="20"/>
        </w:rPr>
        <w:t xml:space="preserve"> correspondiente, sin que las mismas constituyan contrato de aprendizaje</w:t>
      </w:r>
      <w:r>
        <w:rPr>
          <w:rFonts w:ascii="Verdana" w:hAnsi="Verdana"/>
          <w:sz w:val="20"/>
          <w:szCs w:val="20"/>
        </w:rPr>
        <w:t>.</w:t>
      </w:r>
    </w:p>
    <w:p w14:paraId="7C782049" w14:textId="77777777" w:rsidR="00555198" w:rsidRDefault="00555198" w:rsidP="00D71B7F">
      <w:pPr>
        <w:spacing w:after="0" w:line="240" w:lineRule="auto"/>
        <w:ind w:left="709" w:right="709"/>
        <w:jc w:val="both"/>
        <w:rPr>
          <w:rFonts w:ascii="Verdana" w:hAnsi="Verdana"/>
          <w:sz w:val="20"/>
          <w:szCs w:val="20"/>
        </w:rPr>
      </w:pPr>
    </w:p>
    <w:p w14:paraId="277B91FF" w14:textId="77777777" w:rsidR="00555198" w:rsidRDefault="00555198" w:rsidP="00D71B7F">
      <w:pPr>
        <w:spacing w:after="0" w:line="240" w:lineRule="auto"/>
        <w:ind w:left="709" w:right="709"/>
        <w:jc w:val="both"/>
        <w:rPr>
          <w:rFonts w:ascii="Verdana" w:hAnsi="Verdana"/>
          <w:sz w:val="20"/>
          <w:szCs w:val="20"/>
        </w:rPr>
      </w:pPr>
      <w:r w:rsidRPr="002E52B9">
        <w:rPr>
          <w:rFonts w:ascii="Verdana" w:hAnsi="Verdana"/>
          <w:sz w:val="20"/>
          <w:szCs w:val="20"/>
        </w:rPr>
        <w:t xml:space="preserve">Actualmente rige la prohibición general en todas las entidades del Estado para acudir a la modalidad de contratación directa en los términos del articulo </w:t>
      </w:r>
      <w:r>
        <w:rPr>
          <w:rFonts w:ascii="Verdana" w:hAnsi="Verdana"/>
          <w:sz w:val="20"/>
          <w:szCs w:val="20"/>
        </w:rPr>
        <w:t xml:space="preserve">(sic) </w:t>
      </w:r>
      <w:r w:rsidRPr="002E52B9">
        <w:rPr>
          <w:rFonts w:ascii="Verdana" w:hAnsi="Verdana"/>
          <w:sz w:val="20"/>
          <w:szCs w:val="20"/>
        </w:rPr>
        <w:t>33 de la ley 996 de 2005; sin embargo, mediante los pronunciamientos de octubre 4 y de noviembre 6 de 2025 del Consejo de Estado y de las circulares emitidas por Colombia Compra Eficiente y de manera conjunta por el DAPRE y el DAFP, se fijó una posibilidad para celebrar contratos interadministrativos al no estar cobijados por la prohibición contenida en la norma proferida por el legislativo, así como se validó la posibilidad de celebrar convenios interadministrativos que no involucren la ejecución de recursos públicos</w:t>
      </w:r>
      <w:r>
        <w:rPr>
          <w:rFonts w:ascii="Verdana" w:hAnsi="Verdana"/>
          <w:sz w:val="20"/>
          <w:szCs w:val="20"/>
        </w:rPr>
        <w:t>.</w:t>
      </w:r>
    </w:p>
    <w:p w14:paraId="4A9CB8AE" w14:textId="77777777" w:rsidR="00555198" w:rsidRDefault="00555198" w:rsidP="00D71B7F">
      <w:pPr>
        <w:spacing w:after="0" w:line="240" w:lineRule="auto"/>
        <w:ind w:left="709" w:right="709"/>
        <w:jc w:val="both"/>
        <w:rPr>
          <w:rFonts w:ascii="Verdana" w:hAnsi="Verdana"/>
          <w:sz w:val="20"/>
          <w:szCs w:val="20"/>
        </w:rPr>
      </w:pPr>
    </w:p>
    <w:p w14:paraId="7965CB44" w14:textId="77777777" w:rsidR="00555198" w:rsidRDefault="00555198" w:rsidP="00D71B7F">
      <w:pPr>
        <w:spacing w:after="0" w:line="240" w:lineRule="auto"/>
        <w:ind w:left="709" w:right="709"/>
        <w:jc w:val="both"/>
        <w:rPr>
          <w:rFonts w:ascii="Verdana" w:hAnsi="Verdana"/>
          <w:sz w:val="20"/>
          <w:szCs w:val="20"/>
        </w:rPr>
      </w:pPr>
      <w:r w:rsidRPr="002E52B9">
        <w:rPr>
          <w:rFonts w:ascii="Verdana" w:hAnsi="Verdana"/>
          <w:sz w:val="20"/>
          <w:szCs w:val="20"/>
        </w:rPr>
        <w:t>Así las cosas, en el caso de los Convenios que son necesarios para posibilitar la práctica</w:t>
      </w:r>
      <w:r>
        <w:rPr>
          <w:rFonts w:ascii="Verdana" w:hAnsi="Verdana"/>
          <w:sz w:val="20"/>
          <w:szCs w:val="20"/>
        </w:rPr>
        <w:t xml:space="preserve"> </w:t>
      </w:r>
      <w:r w:rsidRPr="002E52B9">
        <w:rPr>
          <w:rFonts w:ascii="Verdana" w:hAnsi="Verdana"/>
          <w:sz w:val="20"/>
          <w:szCs w:val="20"/>
        </w:rPr>
        <w:t>estudiantil universitaria o pasantía universitaria que no corresponden a contrato de</w:t>
      </w:r>
      <w:r>
        <w:rPr>
          <w:rFonts w:ascii="Verdana" w:hAnsi="Verdana"/>
          <w:sz w:val="20"/>
          <w:szCs w:val="20"/>
        </w:rPr>
        <w:t xml:space="preserve"> </w:t>
      </w:r>
      <w:r w:rsidRPr="002E52B9">
        <w:rPr>
          <w:rFonts w:ascii="Verdana" w:hAnsi="Verdana"/>
          <w:sz w:val="20"/>
          <w:szCs w:val="20"/>
        </w:rPr>
        <w:t>aprendizaje, se debería agotar un proceso de contratación directa entre la entidad estatal y la</w:t>
      </w:r>
      <w:r>
        <w:rPr>
          <w:rFonts w:ascii="Verdana" w:hAnsi="Verdana"/>
          <w:sz w:val="20"/>
          <w:szCs w:val="20"/>
        </w:rPr>
        <w:t xml:space="preserve"> </w:t>
      </w:r>
      <w:r w:rsidRPr="002E52B9">
        <w:rPr>
          <w:rFonts w:ascii="Verdana" w:hAnsi="Verdana"/>
          <w:sz w:val="20"/>
          <w:szCs w:val="20"/>
        </w:rPr>
        <w:t>institución de educación superior respectiva, que le permita a los estudiantes de últim</w:t>
      </w:r>
      <w:r>
        <w:rPr>
          <w:rFonts w:ascii="Verdana" w:hAnsi="Verdana"/>
          <w:sz w:val="20"/>
          <w:szCs w:val="20"/>
        </w:rPr>
        <w:t xml:space="preserve">o </w:t>
      </w:r>
      <w:r w:rsidRPr="002E52B9">
        <w:rPr>
          <w:rFonts w:ascii="Verdana" w:hAnsi="Verdana"/>
          <w:sz w:val="20"/>
          <w:szCs w:val="20"/>
        </w:rPr>
        <w:t xml:space="preserve">semestre optar por la obtención del titulo </w:t>
      </w:r>
      <w:r>
        <w:rPr>
          <w:rFonts w:ascii="Verdana" w:hAnsi="Verdana"/>
          <w:sz w:val="20"/>
          <w:szCs w:val="20"/>
        </w:rPr>
        <w:t xml:space="preserve">(sic) </w:t>
      </w:r>
      <w:r w:rsidRPr="002E52B9">
        <w:rPr>
          <w:rFonts w:ascii="Verdana" w:hAnsi="Verdana"/>
          <w:sz w:val="20"/>
          <w:szCs w:val="20"/>
        </w:rPr>
        <w:t>correspondiente, mediante el ejercicio de su práctic</w:t>
      </w:r>
      <w:r>
        <w:rPr>
          <w:rFonts w:ascii="Verdana" w:hAnsi="Verdana"/>
          <w:sz w:val="20"/>
          <w:szCs w:val="20"/>
        </w:rPr>
        <w:t>a.</w:t>
      </w:r>
    </w:p>
    <w:p w14:paraId="5133EAA9" w14:textId="77777777" w:rsidR="00555198" w:rsidRDefault="00555198" w:rsidP="00D71B7F">
      <w:pPr>
        <w:spacing w:after="0" w:line="240" w:lineRule="auto"/>
        <w:ind w:left="709" w:right="709"/>
        <w:jc w:val="both"/>
        <w:rPr>
          <w:rFonts w:ascii="Verdana" w:hAnsi="Verdana"/>
          <w:sz w:val="20"/>
          <w:szCs w:val="20"/>
        </w:rPr>
      </w:pPr>
    </w:p>
    <w:p w14:paraId="4FBE3215" w14:textId="77777777" w:rsidR="00555198" w:rsidRPr="00594153" w:rsidRDefault="00555198" w:rsidP="00D71B7F">
      <w:pPr>
        <w:spacing w:after="0" w:line="240" w:lineRule="auto"/>
        <w:ind w:left="709" w:right="709"/>
        <w:jc w:val="both"/>
        <w:rPr>
          <w:rFonts w:ascii="Verdana" w:hAnsi="Verdana"/>
          <w:sz w:val="20"/>
          <w:szCs w:val="20"/>
        </w:rPr>
      </w:pPr>
      <w:r w:rsidRPr="002E52B9">
        <w:rPr>
          <w:rFonts w:ascii="Verdana" w:hAnsi="Verdana"/>
          <w:sz w:val="20"/>
          <w:szCs w:val="20"/>
        </w:rPr>
        <w:t>Es por ello, que se consulta cual será la modalidad de contratación ideal en los términos del articulo</w:t>
      </w:r>
      <w:r>
        <w:rPr>
          <w:rFonts w:ascii="Verdana" w:hAnsi="Verdana"/>
          <w:sz w:val="20"/>
          <w:szCs w:val="20"/>
        </w:rPr>
        <w:t xml:space="preserve"> (sic)</w:t>
      </w:r>
      <w:r w:rsidRPr="002E52B9">
        <w:rPr>
          <w:rFonts w:ascii="Verdana" w:hAnsi="Verdana"/>
          <w:sz w:val="20"/>
          <w:szCs w:val="20"/>
        </w:rPr>
        <w:t xml:space="preserve"> 2 de la ley 1150 de 2007 en vigencia de la ley 996 de 2005, para celebrar un convenio interinstitucional entre una entidad estatal y una institución universitaria de educación superior tendiente a permitir la práctica académica y/o pasantía universitaria de los estudiantes universitarios (que no configure contrato de aprendizaje) teniendo en cuenta que dicho convenio no implica recurso financiero alguno a cargo de las partes, en el entendido que se trata de dar aplicación a lo previsto en el numeral 1º del articulo </w:t>
      </w:r>
      <w:r>
        <w:rPr>
          <w:rFonts w:ascii="Verdana" w:hAnsi="Verdana"/>
          <w:sz w:val="20"/>
          <w:szCs w:val="20"/>
        </w:rPr>
        <w:t xml:space="preserve">(sic) </w:t>
      </w:r>
      <w:r w:rsidRPr="002E52B9">
        <w:rPr>
          <w:rFonts w:ascii="Verdana" w:hAnsi="Verdana"/>
          <w:sz w:val="20"/>
          <w:szCs w:val="20"/>
        </w:rPr>
        <w:t xml:space="preserve">7º del decreto 933 de 2003 en concordancia con el articulo </w:t>
      </w:r>
      <w:r>
        <w:rPr>
          <w:rFonts w:ascii="Verdana" w:hAnsi="Verdana"/>
          <w:sz w:val="20"/>
          <w:szCs w:val="20"/>
        </w:rPr>
        <w:t xml:space="preserve">(sic) </w:t>
      </w:r>
      <w:r w:rsidRPr="002E52B9">
        <w:rPr>
          <w:rFonts w:ascii="Verdana" w:hAnsi="Verdana"/>
          <w:sz w:val="20"/>
          <w:szCs w:val="20"/>
        </w:rPr>
        <w:t>67 de la constitución política y con la Ley 115 de 1994, Ley 715 de 2001 y el Decreto 1075 de 2015</w:t>
      </w:r>
      <w:r>
        <w:rPr>
          <w:rFonts w:ascii="Verdana" w:hAnsi="Verdana"/>
          <w:sz w:val="20"/>
          <w:szCs w:val="20"/>
        </w:rPr>
        <w:t xml:space="preserve"> </w:t>
      </w:r>
      <w:r w:rsidRPr="00FC1BE4">
        <w:rPr>
          <w:rFonts w:ascii="Verdana" w:hAnsi="Verdana"/>
          <w:sz w:val="20"/>
          <w:szCs w:val="20"/>
        </w:rPr>
        <w:t>(…)”.</w:t>
      </w:r>
    </w:p>
    <w:p w14:paraId="4E941D8E" w14:textId="77777777" w:rsidR="00555198" w:rsidRPr="00D71B7F" w:rsidRDefault="00555198" w:rsidP="00D71B7F">
      <w:pPr>
        <w:spacing w:after="0" w:line="276" w:lineRule="auto"/>
        <w:ind w:left="567" w:right="758"/>
        <w:jc w:val="both"/>
        <w:rPr>
          <w:rFonts w:ascii="Verdana" w:hAnsi="Verdana"/>
        </w:rPr>
      </w:pPr>
    </w:p>
    <w:p w14:paraId="233EA6D5" w14:textId="63E016CF" w:rsidR="00555198" w:rsidRPr="00F64722" w:rsidRDefault="00555198" w:rsidP="00555198">
      <w:pPr>
        <w:spacing w:after="120" w:line="276" w:lineRule="auto"/>
        <w:ind w:firstLine="709"/>
        <w:jc w:val="both"/>
        <w:rPr>
          <w:rFonts w:ascii="Verdana" w:eastAsia="Calibri" w:hAnsi="Verdana" w:cs="Arial"/>
          <w:color w:val="000000"/>
          <w:szCs w:val="24"/>
          <w:lang w:eastAsia="es-ES_tradnl"/>
        </w:rPr>
      </w:pPr>
      <w:r w:rsidRPr="005644FE">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CB37FD">
        <w:rPr>
          <w:rFonts w:ascii="Verdana" w:eastAsia="Calibri" w:hAnsi="Verdana" w:cs="Arial"/>
          <w:color w:val="000000"/>
          <w:lang w:eastAsia="es-ES"/>
        </w:rPr>
        <w:t xml:space="preserve">la Agencia Nacional de Contratación Pública – </w:t>
      </w:r>
      <w:r w:rsidRPr="005644FE">
        <w:rPr>
          <w:rFonts w:ascii="Verdana" w:eastAsia="Calibri" w:hAnsi="Verdana" w:cs="Arial"/>
          <w:color w:val="000000"/>
          <w:lang w:eastAsia="es-ES"/>
        </w:rPr>
        <w:t xml:space="preserve">Colombia Compra Eficiente como una autoridad para solucionar problemas jurídicos particulares de todos los partícipes del sistema de compra pública. La competencia de esta entidad se fija con límites claros, con </w:t>
      </w:r>
      <w:r w:rsidRPr="00F64722">
        <w:rPr>
          <w:rFonts w:ascii="Verdana" w:eastAsia="Calibri" w:hAnsi="Verdana" w:cs="Arial"/>
          <w:color w:val="000000"/>
          <w:lang w:eastAsia="es-ES"/>
        </w:rPr>
        <w:t xml:space="preserve">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3592EF7A" w14:textId="77777777" w:rsidR="00555198" w:rsidRPr="009D221F" w:rsidRDefault="00555198" w:rsidP="00555198">
      <w:pPr>
        <w:spacing w:after="0" w:line="276" w:lineRule="auto"/>
        <w:ind w:firstLine="709"/>
        <w:jc w:val="both"/>
        <w:rPr>
          <w:rFonts w:ascii="Verdana" w:eastAsia="Calibri" w:hAnsi="Verdana" w:cs="Arial"/>
          <w:lang w:eastAsia="es-ES"/>
        </w:rPr>
      </w:pPr>
      <w:r w:rsidRPr="00F64722">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w:t>
      </w:r>
      <w:r w:rsidRPr="009D221F">
        <w:rPr>
          <w:rFonts w:ascii="Verdana" w:eastAsia="Calibri" w:hAnsi="Verdana" w:cs="Arial"/>
          <w:color w:val="000000"/>
          <w:lang w:eastAsia="es-ES"/>
        </w:rPr>
        <w:t>consultiva, esto es, haciendo abstracción del caso particular y concreto señalado en su petición, pero señalando algunas consideraciones sobre las normas generales relacionadas al problema jurídico de su consulta.</w:t>
      </w:r>
      <w:r w:rsidRPr="009D221F">
        <w:rPr>
          <w:rFonts w:ascii="Verdana" w:eastAsia="Calibri" w:hAnsi="Verdana" w:cs="Arial"/>
          <w:lang w:eastAsia="es-ES"/>
        </w:rPr>
        <w:t xml:space="preserve">  </w:t>
      </w:r>
    </w:p>
    <w:p w14:paraId="60F9FAB4" w14:textId="77777777" w:rsidR="00555198" w:rsidRPr="009D221F" w:rsidRDefault="00555198" w:rsidP="00555198">
      <w:pPr>
        <w:spacing w:after="0" w:line="276" w:lineRule="auto"/>
        <w:ind w:firstLine="709"/>
        <w:jc w:val="both"/>
        <w:rPr>
          <w:rFonts w:ascii="Verdana" w:eastAsia="Calibri" w:hAnsi="Verdana" w:cs="Arial"/>
          <w:lang w:eastAsia="es-ES"/>
        </w:rPr>
      </w:pPr>
    </w:p>
    <w:p w14:paraId="7113ADFE" w14:textId="77777777" w:rsidR="00555198" w:rsidRPr="009D221F" w:rsidRDefault="00555198" w:rsidP="00555198">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D221F">
        <w:rPr>
          <w:rFonts w:ascii="Verdana" w:eastAsia="Century Gothic" w:hAnsi="Verdana" w:cs="Century Gothic"/>
          <w:b/>
          <w:bCs/>
        </w:rPr>
        <w:t>Problema planteado:</w:t>
      </w:r>
    </w:p>
    <w:p w14:paraId="1B06EAFA" w14:textId="77777777" w:rsidR="00555198" w:rsidRPr="009D221F" w:rsidRDefault="00555198" w:rsidP="00555198">
      <w:pPr>
        <w:pStyle w:val="ListParagraph"/>
        <w:tabs>
          <w:tab w:val="left" w:pos="142"/>
          <w:tab w:val="left" w:pos="284"/>
        </w:tabs>
        <w:spacing w:after="0" w:line="240" w:lineRule="auto"/>
        <w:ind w:left="0"/>
        <w:contextualSpacing w:val="0"/>
        <w:jc w:val="both"/>
        <w:rPr>
          <w:rFonts w:ascii="Verdana" w:eastAsia="Century Gothic" w:hAnsi="Verdana" w:cs="Century Gothic"/>
          <w:b/>
          <w:bCs/>
        </w:rPr>
      </w:pPr>
    </w:p>
    <w:p w14:paraId="73713C7A" w14:textId="5100DF7F" w:rsidR="00555198" w:rsidRDefault="00555198" w:rsidP="00555198">
      <w:pPr>
        <w:spacing w:after="0" w:line="276" w:lineRule="auto"/>
        <w:jc w:val="both"/>
        <w:rPr>
          <w:rFonts w:ascii="Verdana" w:eastAsia="Century Gothic" w:hAnsi="Verdana" w:cs="Century Gothic"/>
        </w:rPr>
      </w:pPr>
      <w:r w:rsidRPr="009D221F">
        <w:rPr>
          <w:rFonts w:ascii="Verdana" w:eastAsia="Calibri" w:hAnsi="Verdana" w:cs="Arial"/>
          <w:color w:val="000000"/>
          <w:lang w:eastAsia="es-ES"/>
        </w:rPr>
        <w:t xml:space="preserve">De acuerdo con el contenido de su solicitud, esta Agencia resolverá el siguiente problema jurídico: </w:t>
      </w:r>
      <w:r w:rsidRPr="009D221F">
        <w:rPr>
          <w:rFonts w:ascii="Verdana" w:eastAsia="Century Gothic" w:hAnsi="Verdana" w:cs="Century Gothic"/>
        </w:rPr>
        <w:t xml:space="preserve">¿es jurídicamente viable celebrar convenios de apoyo interinstitucionales </w:t>
      </w:r>
      <w:r>
        <w:rPr>
          <w:rFonts w:ascii="Verdana" w:eastAsia="Century Gothic" w:hAnsi="Verdana" w:cs="Century Gothic"/>
        </w:rPr>
        <w:t xml:space="preserve">en los periodos preelectorales en los que rige la restricción </w:t>
      </w:r>
      <w:r w:rsidRPr="00324A04">
        <w:rPr>
          <w:rFonts w:ascii="Verdana" w:eastAsia="Century Gothic" w:hAnsi="Verdana" w:cs="Century Gothic"/>
        </w:rPr>
        <w:t xml:space="preserve">artículo 33 </w:t>
      </w:r>
      <w:r w:rsidR="00CB37FD">
        <w:rPr>
          <w:rFonts w:ascii="Verdana" w:eastAsia="Century Gothic" w:hAnsi="Verdana" w:cs="Century Gothic"/>
        </w:rPr>
        <w:t xml:space="preserve">y del parágrafo del artículo 38 </w:t>
      </w:r>
      <w:r w:rsidRPr="00324A04">
        <w:rPr>
          <w:rFonts w:ascii="Verdana" w:eastAsia="Century Gothic" w:hAnsi="Verdana" w:cs="Century Gothic"/>
        </w:rPr>
        <w:t xml:space="preserve">de la Ley </w:t>
      </w:r>
      <w:r>
        <w:rPr>
          <w:rFonts w:ascii="Verdana" w:eastAsia="Century Gothic" w:hAnsi="Verdana" w:cs="Century Gothic"/>
        </w:rPr>
        <w:t>996 de 2005</w:t>
      </w:r>
      <w:r w:rsidRPr="00324A04">
        <w:rPr>
          <w:rFonts w:ascii="Verdana" w:eastAsia="Times New Roman" w:hAnsi="Verdana" w:cs="Arial"/>
          <w:lang w:eastAsia="es-MX"/>
        </w:rPr>
        <w:t>?</w:t>
      </w:r>
    </w:p>
    <w:p w14:paraId="5A2A1558" w14:textId="77777777" w:rsidR="00555198" w:rsidRPr="009E1ACC" w:rsidRDefault="00555198" w:rsidP="00555198">
      <w:pPr>
        <w:spacing w:after="0" w:line="276" w:lineRule="auto"/>
        <w:jc w:val="both"/>
        <w:rPr>
          <w:rFonts w:ascii="Verdana" w:eastAsia="Century Gothic" w:hAnsi="Verdana" w:cs="Century Gothic"/>
        </w:rPr>
      </w:pPr>
    </w:p>
    <w:p w14:paraId="1B81C915" w14:textId="77777777" w:rsidR="00555198" w:rsidRPr="00B33011" w:rsidRDefault="00555198" w:rsidP="00555198">
      <w:pPr>
        <w:spacing w:after="120" w:line="276" w:lineRule="auto"/>
        <w:jc w:val="both"/>
        <w:rPr>
          <w:rFonts w:ascii="Verdana" w:eastAsia="Century Gothic" w:hAnsi="Verdana" w:cs="Century Gothic"/>
          <w:b/>
          <w:bCs/>
        </w:rPr>
      </w:pPr>
      <w:r w:rsidRPr="00B33011">
        <w:rPr>
          <w:rFonts w:ascii="Verdana" w:eastAsia="Century Gothic" w:hAnsi="Verdana" w:cs="Century Gothic"/>
          <w:b/>
          <w:bCs/>
        </w:rPr>
        <w:t>2. Respuesta:</w:t>
      </w:r>
    </w:p>
    <w:p w14:paraId="5D0BE49F" w14:textId="77777777" w:rsidR="00555198" w:rsidRPr="005644FE" w:rsidRDefault="00555198" w:rsidP="00555198">
      <w:pPr>
        <w:spacing w:after="0" w:line="240" w:lineRule="auto"/>
        <w:jc w:val="both"/>
        <w:rPr>
          <w:rFonts w:ascii="Verdana" w:eastAsia="Century Gothic" w:hAnsi="Verdana" w:cs="Century Gothic"/>
          <w:b/>
          <w:bCs/>
        </w:rPr>
      </w:pPr>
    </w:p>
    <w:tbl>
      <w:tblPr>
        <w:tblStyle w:val="TableGrid"/>
        <w:tblW w:w="0" w:type="auto"/>
        <w:tblLook w:val="04A0" w:firstRow="1" w:lastRow="0" w:firstColumn="1" w:lastColumn="0" w:noHBand="0" w:noVBand="1"/>
      </w:tblPr>
      <w:tblGrid>
        <w:gridCol w:w="8828"/>
      </w:tblGrid>
      <w:tr w:rsidR="00555198" w:rsidRPr="005644FE" w14:paraId="2285F666" w14:textId="77777777" w:rsidTr="00495D4A">
        <w:tc>
          <w:tcPr>
            <w:tcW w:w="8828" w:type="dxa"/>
          </w:tcPr>
          <w:p w14:paraId="46014CED" w14:textId="2A4D711A" w:rsidR="002119AF" w:rsidRDefault="00634589" w:rsidP="00AE7CD2">
            <w:pPr>
              <w:spacing w:after="120" w:line="276" w:lineRule="auto"/>
              <w:jc w:val="both"/>
              <w:rPr>
                <w:rFonts w:ascii="Verdana" w:hAnsi="Verdana" w:cs="Arial"/>
                <w:lang w:eastAsia="x-none"/>
              </w:rPr>
            </w:pPr>
            <w:r>
              <w:rPr>
                <w:rFonts w:ascii="Verdana" w:eastAsia="Calibri" w:hAnsi="Verdana" w:cs="Arial"/>
                <w:lang w:eastAsia="es-ES"/>
              </w:rPr>
              <w:t>En relación con su consulta, debe señalarse que la Ley de Garantías Electorales establece dos restricciones en materia de contratación estatal. Por un lado, l</w:t>
            </w:r>
            <w:r w:rsidR="00555198" w:rsidRPr="00E80F85">
              <w:rPr>
                <w:rFonts w:ascii="Verdana" w:eastAsia="Calibri" w:hAnsi="Verdana" w:cs="Arial"/>
                <w:lang w:eastAsia="es-ES"/>
              </w:rPr>
              <w:t xml:space="preserve">a </w:t>
            </w:r>
            <w:r>
              <w:rPr>
                <w:rFonts w:ascii="Verdana" w:eastAsia="Calibri" w:hAnsi="Verdana" w:cs="Arial"/>
                <w:lang w:eastAsia="es-ES"/>
              </w:rPr>
              <w:t>restricción</w:t>
            </w:r>
            <w:r w:rsidR="00555198" w:rsidRPr="00E80F85">
              <w:rPr>
                <w:rFonts w:ascii="Verdana" w:eastAsia="Calibri" w:hAnsi="Verdana" w:cs="Arial"/>
                <w:lang w:eastAsia="es-ES"/>
              </w:rPr>
              <w:t xml:space="preserve"> contenida en el artículo 33 de la Ley 996 de 2005 aplica para “la contratación directa” de todos los entes del Estado, </w:t>
            </w:r>
            <w:r w:rsidR="00555198" w:rsidRPr="00E80F85">
              <w:rPr>
                <w:rFonts w:ascii="Verdana" w:hAnsi="Verdana" w:cs="Arial"/>
                <w:color w:val="000000" w:themeColor="text1"/>
                <w:lang w:val="es-MX"/>
              </w:rPr>
              <w:t xml:space="preserve">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sidR="00555198" w:rsidRPr="00E80F85">
              <w:rPr>
                <w:rFonts w:ascii="Verdana" w:eastAsia="Calibri" w:hAnsi="Verdana" w:cs="Arial"/>
                <w:lang w:eastAsia="es-ES"/>
              </w:rPr>
              <w:t xml:space="preserve">Se trata de la prohibición de </w:t>
            </w:r>
            <w:r w:rsidR="00555198" w:rsidRPr="00E80F85">
              <w:rPr>
                <w:rFonts w:ascii="Verdana" w:hAnsi="Verdana" w:cs="Arial"/>
                <w:bCs/>
                <w:lang w:eastAsia="x-none"/>
              </w:rPr>
              <w:t>aquellos contratos en los que no exista un proceso abierto y competitivo.</w:t>
            </w:r>
            <w:r w:rsidR="00555198" w:rsidRPr="00E80F85">
              <w:rPr>
                <w:rFonts w:ascii="Verdana" w:hAnsi="Verdana" w:cs="Arial"/>
                <w:lang w:eastAsia="x-none"/>
              </w:rPr>
              <w:t xml:space="preserve"> Por lo tanto, no son materia de la prohibición las demás modalidades de selección previstas en la Ley 1150 de 2007, esto es, la licitación pública, el concurso de méritos, la selección abreviada y la contratación de mínima cuantía. </w:t>
            </w:r>
          </w:p>
          <w:p w14:paraId="2C4E983B" w14:textId="730349DF" w:rsidR="00555198" w:rsidRDefault="00555198" w:rsidP="00D71B7F">
            <w:pPr>
              <w:spacing w:after="120" w:line="276" w:lineRule="auto"/>
              <w:ind w:firstLine="709"/>
              <w:jc w:val="both"/>
              <w:rPr>
                <w:rFonts w:ascii="Verdana" w:eastAsia="Calibri" w:hAnsi="Verdana" w:cs="Arial"/>
                <w:lang w:eastAsia="es-ES"/>
              </w:rPr>
            </w:pPr>
            <w:r w:rsidRPr="00E80F85">
              <w:rPr>
                <w:rFonts w:ascii="Verdana" w:hAnsi="Verdana" w:cs="Arial"/>
                <w:lang w:eastAsia="x-none"/>
              </w:rPr>
              <w:t xml:space="preserve">Adicionalmente, </w:t>
            </w:r>
            <w:r w:rsidR="002119AF">
              <w:rPr>
                <w:rFonts w:ascii="Verdana" w:hAnsi="Verdana" w:cs="Arial"/>
                <w:lang w:eastAsia="x-none"/>
              </w:rPr>
              <w:t>debe tenerse en cuenta que</w:t>
            </w:r>
            <w:r w:rsidRPr="00E80F85">
              <w:rPr>
                <w:rFonts w:ascii="Verdana" w:hAnsi="Verdana" w:cs="Arial"/>
                <w:lang w:eastAsia="x-none"/>
              </w:rPr>
              <w:t xml:space="preserve"> la celebración de la contratación directa </w:t>
            </w:r>
            <w:r w:rsidRPr="00E80F85">
              <w:rPr>
                <w:rFonts w:ascii="Verdana" w:eastAsia="Calibri" w:hAnsi="Verdana" w:cs="Arial"/>
                <w:lang w:eastAsia="es-ES"/>
              </w:rPr>
              <w:t xml:space="preserve">no se encuentra condicionada por la ejecución de recursos en el marco de los respectivos contratos o el origen de estos, de manera que aplica las restricciones independientemente de que el contrato implique o no la ejecución de recursos o si los recursos destinados son de naturaleza pública o privada. </w:t>
            </w:r>
            <w:r w:rsidR="002119AF">
              <w:rPr>
                <w:rFonts w:ascii="Verdana" w:eastAsia="Calibri" w:hAnsi="Verdana" w:cs="Arial"/>
                <w:lang w:eastAsia="es-ES"/>
              </w:rPr>
              <w:t xml:space="preserve">En ese sentido, aun cuando el convenio no implique la ejecución de recursos públicos, estará proscrito si su modalidad de selección es la contratación directa. </w:t>
            </w:r>
          </w:p>
          <w:p w14:paraId="5E32DB8F" w14:textId="538CDA14" w:rsidR="00555198" w:rsidRDefault="002119AF" w:rsidP="00495D4A">
            <w:pPr>
              <w:spacing w:after="120" w:line="276" w:lineRule="auto"/>
              <w:ind w:firstLine="709"/>
              <w:jc w:val="both"/>
              <w:rPr>
                <w:rFonts w:ascii="Verdana" w:eastAsia="Calibri" w:hAnsi="Verdana" w:cs="Arial"/>
                <w:lang w:eastAsia="es-ES"/>
              </w:rPr>
            </w:pPr>
            <w:r>
              <w:rPr>
                <w:rFonts w:ascii="Verdana" w:eastAsia="Calibri" w:hAnsi="Verdana" w:cs="Arial"/>
                <w:lang w:eastAsia="es-ES"/>
              </w:rPr>
              <w:t>En todo caso</w:t>
            </w:r>
            <w:r w:rsidR="00555198">
              <w:rPr>
                <w:rFonts w:ascii="Verdana" w:eastAsia="Calibri" w:hAnsi="Verdana" w:cs="Arial"/>
                <w:lang w:eastAsia="es-ES"/>
              </w:rPr>
              <w:t>, l</w:t>
            </w:r>
            <w:r w:rsidR="00555198" w:rsidRPr="00E80F85">
              <w:rPr>
                <w:rFonts w:ascii="Verdana" w:eastAsia="Calibri" w:hAnsi="Verdana" w:cs="Arial"/>
                <w:lang w:eastAsia="es-ES"/>
              </w:rPr>
              <w:t xml:space="preserve">a entidad definirá si la contratación que pretende celebrar se enmarca en alguna de las excepciones definidas en el artículo 33 de la Ley 996 de 2005, </w:t>
            </w:r>
            <w:r>
              <w:rPr>
                <w:rFonts w:ascii="Verdana" w:eastAsia="Calibri" w:hAnsi="Verdana" w:cs="Arial"/>
                <w:lang w:eastAsia="es-ES"/>
              </w:rPr>
              <w:t>por ejemplo</w:t>
            </w:r>
            <w:r w:rsidR="00555198" w:rsidRPr="00E80F85">
              <w:rPr>
                <w:rFonts w:ascii="Verdana" w:eastAsia="Calibri" w:hAnsi="Verdana" w:cs="Arial"/>
                <w:lang w:eastAsia="es-ES"/>
              </w:rPr>
              <w:t>, que se pretenda cubrir emergencias educativas</w:t>
            </w:r>
            <w:r>
              <w:rPr>
                <w:rFonts w:ascii="Verdana" w:eastAsia="Calibri" w:hAnsi="Verdana" w:cs="Arial"/>
                <w:lang w:eastAsia="es-ES"/>
              </w:rPr>
              <w:t xml:space="preserve">. Sobre las excepciones a la restricción, vale la pena señalar que estas </w:t>
            </w:r>
            <w:r w:rsidR="00555198" w:rsidRPr="00E80F85">
              <w:rPr>
                <w:rFonts w:ascii="Verdana" w:eastAsia="Calibri" w:hAnsi="Verdana" w:cs="Arial"/>
                <w:lang w:eastAsia="es-ES"/>
              </w:rPr>
              <w:t xml:space="preserve">no permiten efectuar una interpretación extensiva para incluir otros supuestos. </w:t>
            </w:r>
          </w:p>
          <w:p w14:paraId="76EAB0D7" w14:textId="24DA6892" w:rsidR="00555198" w:rsidRDefault="00555198" w:rsidP="00495D4A">
            <w:pPr>
              <w:spacing w:after="120" w:line="276" w:lineRule="auto"/>
              <w:ind w:firstLine="709"/>
              <w:jc w:val="both"/>
              <w:rPr>
                <w:rFonts w:ascii="Verdana" w:eastAsia="Calibri" w:hAnsi="Verdana" w:cs="Arial"/>
                <w:lang w:eastAsia="es-ES"/>
              </w:rPr>
            </w:pPr>
            <w:r>
              <w:rPr>
                <w:rFonts w:ascii="Verdana" w:eastAsia="Calibri" w:hAnsi="Verdana" w:cs="Arial"/>
                <w:lang w:eastAsia="es-ES"/>
              </w:rPr>
              <w:t xml:space="preserve">De otro lado, </w:t>
            </w:r>
            <w:r w:rsidRPr="00E80F85">
              <w:rPr>
                <w:rFonts w:ascii="Verdana" w:eastAsia="Calibri" w:hAnsi="Verdana" w:cs="Arial"/>
                <w:lang w:eastAsia="es-ES"/>
              </w:rPr>
              <w:t xml:space="preserve">a restricción definida en </w:t>
            </w:r>
            <w:r w:rsidR="000C3624">
              <w:rPr>
                <w:rFonts w:ascii="Verdana" w:eastAsia="Calibri" w:hAnsi="Verdana" w:cs="Arial"/>
                <w:lang w:eastAsia="es-ES"/>
              </w:rPr>
              <w:t>parágrafo d</w:t>
            </w:r>
            <w:r w:rsidRPr="00E80F85">
              <w:rPr>
                <w:rFonts w:ascii="Verdana" w:eastAsia="Calibri" w:hAnsi="Verdana" w:cs="Arial"/>
                <w:lang w:eastAsia="es-ES"/>
              </w:rPr>
              <w:t xml:space="preserve">el artículo 38 de la Ley 996 de 2005 se refiere a la celebración de convenios interadministrativos para la ejecución de recursos públicos, independientemente de que se configuren los supuestos de excepción que señala en artículo 33 de la misma ley. </w:t>
            </w:r>
            <w:r w:rsidR="00AE7CD2">
              <w:rPr>
                <w:rFonts w:ascii="Verdana" w:eastAsia="Calibri" w:hAnsi="Verdana" w:cs="Arial"/>
                <w:lang w:eastAsia="es-ES"/>
              </w:rPr>
              <w:t>Sobre esta prohibición</w:t>
            </w:r>
            <w:r>
              <w:rPr>
                <w:rFonts w:ascii="Verdana" w:eastAsia="Calibri" w:hAnsi="Verdana" w:cs="Arial"/>
                <w:lang w:eastAsia="es-ES"/>
              </w:rPr>
              <w:t>, l</w:t>
            </w:r>
            <w:r w:rsidRPr="00E80F85">
              <w:rPr>
                <w:rFonts w:ascii="Verdana" w:eastAsia="Calibri" w:hAnsi="Verdana" w:cs="Arial"/>
                <w:lang w:eastAsia="es-ES"/>
              </w:rPr>
              <w:t>a posición definida</w:t>
            </w:r>
            <w:r w:rsidR="00AE7CD2">
              <w:rPr>
                <w:rFonts w:ascii="Verdana" w:eastAsia="Calibri" w:hAnsi="Verdana" w:cs="Arial"/>
                <w:lang w:eastAsia="es-ES"/>
              </w:rPr>
              <w:t>,</w:t>
            </w:r>
            <w:r w:rsidRPr="00E80F85">
              <w:rPr>
                <w:rFonts w:ascii="Verdana" w:eastAsia="Calibri" w:hAnsi="Verdana" w:cs="Arial"/>
                <w:lang w:eastAsia="es-ES"/>
              </w:rPr>
              <w:t xml:space="preserve"> en las decisiones adoptadas por la Sección Tercera del Consejo de Estado</w:t>
            </w:r>
            <w:r w:rsidR="00AE7CD2">
              <w:rPr>
                <w:rFonts w:ascii="Verdana" w:eastAsia="Calibri" w:hAnsi="Verdana" w:cs="Arial"/>
                <w:lang w:eastAsia="es-ES"/>
              </w:rPr>
              <w:t>,</w:t>
            </w:r>
            <w:r w:rsidRPr="00E80F85">
              <w:rPr>
                <w:rFonts w:ascii="Verdana" w:eastAsia="Calibri" w:hAnsi="Verdana" w:cs="Arial"/>
                <w:lang w:eastAsia="es-ES"/>
              </w:rPr>
              <w:t xml:space="preserve"> se enmarc</w:t>
            </w:r>
            <w:r w:rsidR="00AE7CD2">
              <w:rPr>
                <w:rFonts w:ascii="Verdana" w:eastAsia="Calibri" w:hAnsi="Verdana" w:cs="Arial"/>
                <w:lang w:eastAsia="es-ES"/>
              </w:rPr>
              <w:t>a</w:t>
            </w:r>
            <w:r w:rsidRPr="00E80F85">
              <w:rPr>
                <w:rFonts w:ascii="Verdana" w:eastAsia="Calibri" w:hAnsi="Verdana" w:cs="Arial"/>
                <w:lang w:eastAsia="es-ES"/>
              </w:rPr>
              <w:t xml:space="preserve"> en la imposibilidad de extender la aplicación de la restricción a los contratos interadministrativos que, en vigencia de la prohibición del parágrafo del artículo 38 de la Ley de Garantías Electorales se trata, esto es, en las elecciones distintas a las presidenciales. Específicamente, en la sentencia del 17 de octubre de 2025, el alto tribunal declaró la nulidad parcial del numeral 16.2 de la Circular Externa Única de 2022, por lo tanto, cuando dos entidades públicas celebran un contrato interadministrativo, independientemente del objeto, dicho contrato puede suscribirse durante el periodo preelectoral. </w:t>
            </w:r>
          </w:p>
          <w:p w14:paraId="0B537766" w14:textId="79AA0BC3" w:rsidR="00555198" w:rsidRDefault="00555198">
            <w:pPr>
              <w:spacing w:after="120" w:line="276" w:lineRule="auto"/>
              <w:ind w:firstLine="709"/>
              <w:jc w:val="both"/>
              <w:rPr>
                <w:rFonts w:ascii="Verdana" w:eastAsia="Calibri" w:hAnsi="Verdana" w:cs="Arial"/>
                <w:lang w:eastAsia="es-ES"/>
              </w:rPr>
            </w:pPr>
            <w:r w:rsidRPr="00E80F85">
              <w:rPr>
                <w:rFonts w:ascii="Verdana" w:eastAsia="Calibri" w:hAnsi="Verdana" w:cs="Arial"/>
                <w:lang w:eastAsia="es-ES"/>
              </w:rPr>
              <w:t>De acuerdo con lo anterior, la restricción del parágrafo del artículo 38 de la Ley 996 de 2005 aplica desde el 8 de noviembre de 2025 y para las elecciones presidenciales desde el 31 de enero de 2026, con ocasión de lo dispuesto en la Resolución 02580 del 5 de marzo de 2025</w:t>
            </w:r>
            <w:r w:rsidR="00AE7CD2">
              <w:rPr>
                <w:rFonts w:ascii="Verdana" w:eastAsia="Calibri" w:hAnsi="Verdana" w:cs="Arial"/>
                <w:lang w:eastAsia="es-ES"/>
              </w:rPr>
              <w:t>,</w:t>
            </w:r>
            <w:r w:rsidRPr="00E80F85">
              <w:rPr>
                <w:rFonts w:ascii="Verdana" w:eastAsia="Calibri" w:hAnsi="Verdana" w:cs="Arial"/>
                <w:lang w:eastAsia="es-ES"/>
              </w:rPr>
              <w:t xml:space="preserve"> expedida por la Registraduría Nacional del Estado Civil</w:t>
            </w:r>
            <w:r w:rsidR="00AE7CD2">
              <w:rPr>
                <w:rFonts w:ascii="Verdana" w:eastAsia="Calibri" w:hAnsi="Verdana" w:cs="Arial"/>
                <w:lang w:eastAsia="es-ES"/>
              </w:rPr>
              <w:t>,</w:t>
            </w:r>
            <w:r w:rsidRPr="00E80F85">
              <w:rPr>
                <w:rFonts w:ascii="Verdana" w:eastAsia="Calibri" w:hAnsi="Verdana" w:cs="Arial"/>
                <w:lang w:eastAsia="es-ES"/>
              </w:rPr>
              <w:t xml:space="preserve"> que dispuso que las elecciones de senado y cámara se celebrarán el 8 de marzo de 2026 y las presidenciales el 31 de mayo de 2026</w:t>
            </w:r>
            <w:r>
              <w:rPr>
                <w:rFonts w:ascii="Verdana" w:eastAsia="Calibri" w:hAnsi="Verdana" w:cs="Arial"/>
                <w:lang w:eastAsia="es-ES"/>
              </w:rPr>
              <w:t>.</w:t>
            </w:r>
          </w:p>
          <w:p w14:paraId="248F24DD" w14:textId="66C49302" w:rsidR="00555198" w:rsidRPr="00E80F85" w:rsidRDefault="00AE7CD2" w:rsidP="00495D4A">
            <w:pPr>
              <w:spacing w:after="120" w:line="276" w:lineRule="auto"/>
              <w:ind w:firstLine="709"/>
              <w:jc w:val="both"/>
              <w:rPr>
                <w:rFonts w:ascii="Verdana" w:eastAsia="Calibri" w:hAnsi="Verdana" w:cs="Arial"/>
                <w:lang w:eastAsia="es-ES"/>
              </w:rPr>
            </w:pPr>
            <w:r>
              <w:rPr>
                <w:rFonts w:ascii="Verdana" w:eastAsia="Calibri" w:hAnsi="Verdana" w:cs="Arial"/>
                <w:lang w:eastAsia="es-ES"/>
              </w:rPr>
              <w:t>Conforme a lo expuesto, a</w:t>
            </w:r>
            <w:r w:rsidRPr="00E80F85">
              <w:rPr>
                <w:rFonts w:ascii="Verdana" w:eastAsia="Calibri" w:hAnsi="Verdana" w:cs="Arial"/>
                <w:lang w:eastAsia="es-ES"/>
              </w:rPr>
              <w:t xml:space="preserve">ctualmente las restricciones del artículo 33 y del </w:t>
            </w:r>
            <w:r w:rsidR="000C3624">
              <w:rPr>
                <w:rFonts w:ascii="Verdana" w:eastAsia="Calibri" w:hAnsi="Verdana" w:cs="Arial"/>
                <w:lang w:eastAsia="es-ES"/>
              </w:rPr>
              <w:t xml:space="preserve">parágrafo del </w:t>
            </w:r>
            <w:r w:rsidRPr="00E80F85">
              <w:rPr>
                <w:rFonts w:ascii="Verdana" w:eastAsia="Calibri" w:hAnsi="Verdana" w:cs="Arial"/>
                <w:lang w:eastAsia="es-ES"/>
              </w:rPr>
              <w:t>artículo 38 de la Ley están en curso, de tal manera que los gobernadores, secretarios, gerentes y directores de las entidades del orden municipal, departamental o distrital no podrán no solo celebrar convenios interadministrativos para la ejecución de recursos sino también</w:t>
            </w:r>
            <w:r>
              <w:rPr>
                <w:rFonts w:ascii="Verdana" w:eastAsia="Calibri" w:hAnsi="Verdana" w:cs="Arial"/>
                <w:lang w:eastAsia="es-ES"/>
              </w:rPr>
              <w:t xml:space="preserve"> tiene prohibido celebrar</w:t>
            </w:r>
            <w:r w:rsidRPr="00E80F85">
              <w:rPr>
                <w:rFonts w:ascii="Verdana" w:eastAsia="Calibri" w:hAnsi="Verdana" w:cs="Arial"/>
                <w:lang w:eastAsia="es-ES"/>
              </w:rPr>
              <w:t xml:space="preserve"> cualquier contratación directa.</w:t>
            </w:r>
          </w:p>
        </w:tc>
      </w:tr>
    </w:tbl>
    <w:p w14:paraId="084A5ECE" w14:textId="77777777" w:rsidR="00555198" w:rsidRDefault="00555198" w:rsidP="00555198">
      <w:pPr>
        <w:tabs>
          <w:tab w:val="left" w:pos="142"/>
          <w:tab w:val="left" w:pos="284"/>
        </w:tabs>
        <w:spacing w:after="0" w:line="276" w:lineRule="auto"/>
        <w:jc w:val="both"/>
        <w:rPr>
          <w:rFonts w:ascii="Verdana" w:eastAsia="Century Gothic" w:hAnsi="Verdana" w:cs="Century Gothic"/>
          <w:b/>
          <w:bCs/>
        </w:rPr>
      </w:pPr>
    </w:p>
    <w:p w14:paraId="2823BDB5" w14:textId="77777777" w:rsidR="00555198" w:rsidRPr="005644FE" w:rsidRDefault="00555198" w:rsidP="00555198">
      <w:pPr>
        <w:tabs>
          <w:tab w:val="left" w:pos="142"/>
          <w:tab w:val="left" w:pos="284"/>
        </w:tabs>
        <w:spacing w:after="0" w:line="276" w:lineRule="auto"/>
        <w:jc w:val="both"/>
        <w:rPr>
          <w:rFonts w:ascii="Verdana" w:eastAsia="Century Gothic" w:hAnsi="Verdana" w:cs="Century Gothic"/>
          <w:b/>
          <w:bCs/>
        </w:rPr>
      </w:pPr>
      <w:r w:rsidRPr="005644FE">
        <w:rPr>
          <w:rFonts w:ascii="Verdana" w:eastAsia="Century Gothic" w:hAnsi="Verdana" w:cs="Century Gothic"/>
          <w:b/>
          <w:bCs/>
        </w:rPr>
        <w:t>3. Razones de la respuesta:</w:t>
      </w:r>
    </w:p>
    <w:p w14:paraId="7E319D6B" w14:textId="77777777" w:rsidR="00555198" w:rsidRPr="005644FE" w:rsidRDefault="00555198" w:rsidP="00D71B7F">
      <w:pPr>
        <w:pStyle w:val="ListParagraph"/>
        <w:tabs>
          <w:tab w:val="left" w:pos="142"/>
          <w:tab w:val="left" w:pos="284"/>
        </w:tabs>
        <w:spacing w:after="0" w:line="276" w:lineRule="auto"/>
        <w:ind w:left="0"/>
        <w:contextualSpacing w:val="0"/>
        <w:jc w:val="both"/>
        <w:rPr>
          <w:rFonts w:ascii="Verdana" w:eastAsia="Calibri" w:hAnsi="Verdana" w:cs="Arial"/>
        </w:rPr>
      </w:pPr>
    </w:p>
    <w:p w14:paraId="50711BD0" w14:textId="77777777" w:rsidR="00555198" w:rsidRDefault="00555198" w:rsidP="00555198">
      <w:pPr>
        <w:tabs>
          <w:tab w:val="left" w:pos="142"/>
          <w:tab w:val="left" w:pos="284"/>
          <w:tab w:val="left" w:pos="6975"/>
        </w:tabs>
        <w:spacing w:after="0" w:line="276" w:lineRule="auto"/>
        <w:jc w:val="both"/>
        <w:rPr>
          <w:rFonts w:ascii="Verdana" w:eastAsia="Calibri" w:hAnsi="Verdana" w:cs="Arial"/>
        </w:rPr>
      </w:pPr>
      <w:r w:rsidRPr="005644FE">
        <w:rPr>
          <w:rFonts w:ascii="Verdana" w:eastAsia="Calibri" w:hAnsi="Verdana" w:cs="Arial"/>
        </w:rPr>
        <w:t>Lo anterior se sustenta en las siguientes consideraciones:</w:t>
      </w:r>
      <w:r>
        <w:rPr>
          <w:rFonts w:ascii="Verdana" w:eastAsia="Calibri" w:hAnsi="Verdana" w:cs="Arial"/>
        </w:rPr>
        <w:tab/>
      </w:r>
    </w:p>
    <w:p w14:paraId="1E44E3D7" w14:textId="77777777" w:rsidR="00555198" w:rsidRDefault="00555198" w:rsidP="00D71B7F">
      <w:pPr>
        <w:tabs>
          <w:tab w:val="left" w:pos="142"/>
          <w:tab w:val="left" w:pos="284"/>
          <w:tab w:val="left" w:pos="6912"/>
        </w:tabs>
        <w:spacing w:after="0" w:line="276" w:lineRule="auto"/>
        <w:jc w:val="both"/>
        <w:rPr>
          <w:rFonts w:ascii="Verdana" w:eastAsia="Times New Roman" w:hAnsi="Verdana" w:cs="Arial"/>
          <w:bCs/>
          <w:lang w:eastAsia="es-CO"/>
        </w:rPr>
      </w:pPr>
    </w:p>
    <w:p w14:paraId="53E56A73" w14:textId="77777777" w:rsidR="00555198" w:rsidRPr="009D221F" w:rsidRDefault="00555198" w:rsidP="00555198">
      <w:pPr>
        <w:tabs>
          <w:tab w:val="left" w:pos="142"/>
          <w:tab w:val="left" w:pos="284"/>
          <w:tab w:val="left" w:pos="6912"/>
        </w:tabs>
        <w:spacing w:after="120" w:line="276" w:lineRule="auto"/>
        <w:jc w:val="both"/>
        <w:rPr>
          <w:rFonts w:ascii="Verdana" w:eastAsia="Times New Roman" w:hAnsi="Verdana" w:cs="Arial"/>
          <w:bCs/>
          <w:lang w:eastAsia="es-CO"/>
        </w:rPr>
      </w:pPr>
      <w:r w:rsidRPr="002D6B92">
        <w:rPr>
          <w:rFonts w:ascii="Verdana" w:eastAsia="Times New Roman" w:hAnsi="Verdana" w:cs="Arial"/>
          <w:bCs/>
          <w:lang w:eastAsia="es-CO"/>
        </w:rPr>
        <w:t>El ordenamiento jurídico colombiano contempla previsiones claras para evitar la obtención de beneficios personales en asuntos propios de la administración pública. Por ejemplo, el artículo 127 de la Constitución Política establece una prohibición contractual a los servidores públicos y en cuanto a aspectos políticos establece restricciones a ciertos empleados del Estado, incluso en época no electoral</w:t>
      </w:r>
      <w:r w:rsidRPr="00F10E52">
        <w:rPr>
          <w:rStyle w:val="FootnoteReference"/>
          <w:rFonts w:ascii="Verdana" w:eastAsia="Calibri" w:hAnsi="Verdana" w:cs="Arial"/>
          <w:bCs/>
        </w:rPr>
        <w:footnoteReference w:id="1"/>
      </w:r>
      <w:r w:rsidRPr="00F10E52">
        <w:rPr>
          <w:rFonts w:ascii="Verdana" w:eastAsia="Calibri" w:hAnsi="Verdana" w:cs="Arial"/>
          <w:bCs/>
        </w:rPr>
        <w:t xml:space="preserve">. </w:t>
      </w:r>
    </w:p>
    <w:p w14:paraId="3C76AB4A" w14:textId="58E2C077" w:rsidR="00A81256" w:rsidRDefault="00555198" w:rsidP="00A77420">
      <w:pPr>
        <w:tabs>
          <w:tab w:val="left" w:pos="426"/>
        </w:tabs>
        <w:spacing w:after="120" w:line="276" w:lineRule="auto"/>
        <w:ind w:firstLine="709"/>
        <w:jc w:val="both"/>
        <w:rPr>
          <w:rFonts w:ascii="Verdana" w:eastAsia="Calibri" w:hAnsi="Verdana" w:cs="Arial"/>
          <w:noProof/>
          <w:lang w:val="es-ES_tradnl"/>
        </w:rPr>
      </w:pPr>
      <w:r w:rsidRPr="00F10E52">
        <w:rPr>
          <w:rFonts w:ascii="Verdana" w:eastAsia="Times New Roman" w:hAnsi="Verdana" w:cs="Arial"/>
          <w:bCs/>
          <w:lang w:eastAsia="es-CO"/>
        </w:rPr>
        <w:t xml:space="preserve">En el mismo sentido, la Ley 996 de 2005, conocida como </w:t>
      </w:r>
      <w:r>
        <w:rPr>
          <w:rFonts w:ascii="Verdana" w:eastAsia="Times New Roman" w:hAnsi="Verdana" w:cs="Arial"/>
          <w:bCs/>
          <w:lang w:eastAsia="es-CO"/>
        </w:rPr>
        <w:t>“</w:t>
      </w:r>
      <w:r w:rsidRPr="00F10E52">
        <w:rPr>
          <w:rFonts w:ascii="Verdana" w:eastAsia="Times New Roman" w:hAnsi="Verdana" w:cs="Arial"/>
          <w:bCs/>
          <w:lang w:eastAsia="es-CO"/>
        </w:rPr>
        <w:t>Ley de Garantías Electorales</w:t>
      </w:r>
      <w:r>
        <w:rPr>
          <w:rFonts w:ascii="Verdana" w:eastAsia="Times New Roman" w:hAnsi="Verdana" w:cs="Arial"/>
          <w:bCs/>
          <w:lang w:eastAsia="es-CO"/>
        </w:rPr>
        <w:t>”</w:t>
      </w:r>
      <w:r w:rsidRPr="00F10E52">
        <w:rPr>
          <w:rFonts w:ascii="Verdana" w:eastAsia="Times New Roman" w:hAnsi="Verdana" w:cs="Arial"/>
          <w:bCs/>
          <w:lang w:eastAsia="es-CO"/>
        </w:rPr>
        <w:t>,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F10E52">
        <w:rPr>
          <w:rStyle w:val="FootnoteReference"/>
          <w:rFonts w:ascii="Verdana" w:eastAsia="Times New Roman" w:hAnsi="Verdana" w:cs="Arial"/>
          <w:bCs/>
          <w:lang w:eastAsia="es-CO"/>
        </w:rPr>
        <w:footnoteReference w:id="2"/>
      </w:r>
      <w:r w:rsidRPr="00F10E52">
        <w:rPr>
          <w:rFonts w:ascii="Verdana" w:eastAsia="Times New Roman" w:hAnsi="Verdana" w:cs="Arial"/>
          <w:bCs/>
          <w:lang w:eastAsia="es-CO"/>
        </w:rPr>
        <w:t>. En esta medida, introduce limitaciones para realizar nombramientos, postulaciones, contrataciones o cualquier otro tipo de actividad que implique destinación de recursos públicos bajo el devenir propio de las entidades estatales.</w:t>
      </w:r>
      <w:r w:rsidRPr="00F10E52">
        <w:rPr>
          <w:rFonts w:ascii="Verdana" w:eastAsia="Calibri" w:hAnsi="Verdana" w:cs="Arial"/>
          <w:noProof/>
          <w:lang w:val="es-ES_tradnl"/>
        </w:rPr>
        <w:t xml:space="preserve"> </w:t>
      </w:r>
    </w:p>
    <w:p w14:paraId="3FC36362" w14:textId="2F9618CA" w:rsidR="00555198" w:rsidRPr="00F10E52" w:rsidRDefault="00555198" w:rsidP="00A81256">
      <w:pPr>
        <w:tabs>
          <w:tab w:val="left" w:pos="426"/>
        </w:tabs>
        <w:spacing w:after="0" w:line="276" w:lineRule="auto"/>
        <w:ind w:firstLine="709"/>
        <w:jc w:val="both"/>
        <w:rPr>
          <w:rFonts w:ascii="Verdana" w:eastAsia="Times New Roman" w:hAnsi="Verdana" w:cs="Arial"/>
          <w:bCs/>
          <w:lang w:eastAsia="es-CO"/>
        </w:rPr>
      </w:pPr>
      <w:r w:rsidRPr="00F10E52">
        <w:rPr>
          <w:rFonts w:ascii="Verdana" w:eastAsia="Times New Roman" w:hAnsi="Verdana" w:cs="Arial"/>
          <w:bCs/>
          <w:lang w:eastAsia="es-CO"/>
        </w:rPr>
        <w:t>En armonía con lo anterior, la Corte Constitucional ha abordado la definición de la Ley de Garantías Electorales. De esta manera, explica que tiene como propósito:</w:t>
      </w:r>
    </w:p>
    <w:p w14:paraId="2C41CE3B" w14:textId="77777777" w:rsidR="00A81256" w:rsidRPr="00F10E52" w:rsidRDefault="00A81256" w:rsidP="00D71B7F">
      <w:pPr>
        <w:tabs>
          <w:tab w:val="left" w:pos="426"/>
        </w:tabs>
        <w:spacing w:after="0" w:line="276" w:lineRule="auto"/>
        <w:ind w:firstLine="709"/>
        <w:jc w:val="both"/>
        <w:rPr>
          <w:rFonts w:ascii="Verdana" w:eastAsia="Times New Roman" w:hAnsi="Verdana" w:cs="Arial"/>
          <w:bCs/>
          <w:lang w:eastAsia="es-CO"/>
        </w:rPr>
      </w:pPr>
    </w:p>
    <w:p w14:paraId="45C875CD" w14:textId="77777777" w:rsidR="00555198" w:rsidRPr="007777F3" w:rsidRDefault="00555198" w:rsidP="00555198">
      <w:pPr>
        <w:spacing w:after="0" w:line="240" w:lineRule="auto"/>
        <w:ind w:left="709" w:right="709"/>
        <w:jc w:val="both"/>
        <w:rPr>
          <w:rFonts w:ascii="Verdana" w:eastAsia="Times New Roman" w:hAnsi="Verdana" w:cs="Arial"/>
          <w:sz w:val="20"/>
          <w:szCs w:val="20"/>
          <w:lang w:val="es-ES" w:eastAsia="es-CO"/>
        </w:rPr>
      </w:pPr>
      <w:r>
        <w:rPr>
          <w:rFonts w:ascii="Verdana" w:eastAsia="Times New Roman" w:hAnsi="Verdana" w:cs="Arial"/>
          <w:sz w:val="20"/>
          <w:szCs w:val="20"/>
          <w:lang w:val="es-ES" w:eastAsia="es-CO"/>
        </w:rPr>
        <w:t>“(…)</w:t>
      </w:r>
      <w:r w:rsidRPr="006A51F6">
        <w:rPr>
          <w:rFonts w:ascii="Verdana" w:eastAsia="Times New Roman" w:hAnsi="Verdana" w:cs="Arial"/>
          <w:sz w:val="20"/>
          <w:szCs w:val="20"/>
          <w:lang w:val="es-ES" w:eastAsia="es-CO"/>
        </w:rPr>
        <w:t xml:space="preserve"> </w:t>
      </w:r>
      <w:r w:rsidRPr="009E6EDF">
        <w:rPr>
          <w:rFonts w:ascii="Verdana" w:eastAsia="Times New Roman" w:hAnsi="Verdana" w:cs="Arial"/>
          <w:bCs/>
          <w:sz w:val="20"/>
          <w:szCs w:val="20"/>
          <w:lang w:eastAsia="es-CO"/>
        </w:rPr>
        <w:t>La definición de reglas claras que permitan acceder a los canales de expresión democrática de manera efectiva e igualitaria. El objetivo de una ley de garantías es definir esas reglas.</w:t>
      </w:r>
    </w:p>
    <w:p w14:paraId="365C1316" w14:textId="77777777" w:rsidR="00555198" w:rsidRPr="009E6EDF" w:rsidRDefault="00555198" w:rsidP="00555198">
      <w:pPr>
        <w:spacing w:after="0" w:line="240" w:lineRule="auto"/>
        <w:ind w:left="709" w:right="709"/>
        <w:jc w:val="both"/>
        <w:rPr>
          <w:rFonts w:ascii="Verdana" w:eastAsia="Times New Roman" w:hAnsi="Verdana" w:cs="Arial"/>
          <w:bCs/>
          <w:sz w:val="20"/>
          <w:szCs w:val="20"/>
          <w:lang w:eastAsia="es-CO"/>
        </w:rPr>
      </w:pPr>
    </w:p>
    <w:p w14:paraId="05551620" w14:textId="77777777" w:rsidR="00555198" w:rsidRPr="00E80F85" w:rsidRDefault="00555198" w:rsidP="00555198">
      <w:pPr>
        <w:spacing w:after="0" w:line="240" w:lineRule="auto"/>
        <w:ind w:left="709" w:right="709"/>
        <w:jc w:val="both"/>
        <w:rPr>
          <w:rFonts w:ascii="Verdana" w:eastAsia="Times New Roman" w:hAnsi="Verdana" w:cs="Arial"/>
          <w:bCs/>
          <w:sz w:val="20"/>
          <w:szCs w:val="20"/>
          <w:lang w:eastAsia="es-CO"/>
        </w:rPr>
      </w:pPr>
      <w:r w:rsidRPr="009E6EDF">
        <w:rPr>
          <w:rFonts w:ascii="Verdana" w:eastAsia="Times New Roman" w:hAnsi="Verdana" w:cs="Arial"/>
          <w:bCs/>
          <w:sz w:val="20"/>
          <w:szCs w:val="20"/>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Pr>
          <w:rFonts w:ascii="Verdana" w:eastAsia="Times New Roman" w:hAnsi="Verdana" w:cs="Arial"/>
          <w:bCs/>
          <w:sz w:val="20"/>
          <w:szCs w:val="20"/>
          <w:lang w:eastAsia="es-CO"/>
        </w:rPr>
        <w:t xml:space="preserve"> (…)”</w:t>
      </w:r>
      <w:r w:rsidRPr="009E6EDF">
        <w:rPr>
          <w:rStyle w:val="FootnoteReference"/>
          <w:rFonts w:ascii="Verdana" w:hAnsi="Verdana" w:cs="Arial"/>
          <w:sz w:val="20"/>
          <w:szCs w:val="20"/>
        </w:rPr>
        <w:footnoteReference w:id="3"/>
      </w:r>
      <w:r>
        <w:rPr>
          <w:rFonts w:ascii="Verdana" w:eastAsia="Times New Roman" w:hAnsi="Verdana" w:cs="Arial"/>
          <w:bCs/>
          <w:sz w:val="20"/>
          <w:szCs w:val="20"/>
          <w:lang w:eastAsia="es-CO"/>
        </w:rPr>
        <w:t>.</w:t>
      </w:r>
      <w:r w:rsidRPr="006A51F6">
        <w:rPr>
          <w:rFonts w:ascii="Verdana" w:eastAsia="Times New Roman" w:hAnsi="Verdana" w:cs="Arial"/>
          <w:bCs/>
          <w:sz w:val="20"/>
          <w:szCs w:val="20"/>
          <w:lang w:eastAsia="es-CO"/>
        </w:rPr>
        <w:t xml:space="preserve"> </w:t>
      </w:r>
      <w:bookmarkStart w:id="2" w:name="_Hlk78818186"/>
    </w:p>
    <w:p w14:paraId="7321AEAB" w14:textId="77777777" w:rsidR="00555198" w:rsidRDefault="00555198" w:rsidP="00D71B7F">
      <w:pPr>
        <w:spacing w:after="0" w:line="276" w:lineRule="auto"/>
        <w:ind w:firstLine="709"/>
        <w:jc w:val="both"/>
        <w:rPr>
          <w:rFonts w:ascii="Verdana" w:eastAsia="Times New Roman" w:hAnsi="Verdana" w:cs="Arial"/>
          <w:bCs/>
          <w:lang w:eastAsia="es-CO"/>
        </w:rPr>
      </w:pPr>
    </w:p>
    <w:p w14:paraId="5B963C1D" w14:textId="77777777" w:rsidR="00AD71C7" w:rsidRDefault="00555198" w:rsidP="00D71B7F">
      <w:pPr>
        <w:spacing w:after="120" w:line="276" w:lineRule="auto"/>
        <w:ind w:firstLine="709"/>
        <w:jc w:val="both"/>
        <w:rPr>
          <w:rFonts w:ascii="Verdana" w:eastAsia="Times New Roman" w:hAnsi="Verdana" w:cs="Arial"/>
          <w:bCs/>
          <w:lang w:eastAsia="es-CO"/>
        </w:rPr>
      </w:pPr>
      <w:r w:rsidRPr="00F10E52">
        <w:rPr>
          <w:rFonts w:ascii="Verdana" w:eastAsia="Times New Roman" w:hAnsi="Verdana" w:cs="Arial"/>
          <w:bCs/>
          <w:lang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2"/>
      <w:r w:rsidRPr="00F10E52">
        <w:rPr>
          <w:rFonts w:ascii="Verdana" w:eastAsia="Times New Roman" w:hAnsi="Verdana" w:cs="Arial"/>
          <w:bCs/>
          <w:lang w:eastAsia="es-CO"/>
        </w:rPr>
        <w:t xml:space="preserve">Por ello, varias de las disposiciones de la Ley 996 de 2005, al contener normas prohibitivas, no admiten una interpretación amplia, sino que deben interpretarse restrictivamente. </w:t>
      </w:r>
    </w:p>
    <w:p w14:paraId="2C3E8904" w14:textId="392500A3" w:rsidR="00555198" w:rsidRPr="002D6B92" w:rsidRDefault="00555198" w:rsidP="00AD71C7">
      <w:pPr>
        <w:spacing w:after="0" w:line="276" w:lineRule="auto"/>
        <w:ind w:firstLine="709"/>
        <w:jc w:val="both"/>
        <w:rPr>
          <w:rFonts w:ascii="Verdana" w:eastAsia="Times New Roman" w:hAnsi="Verdana" w:cs="Arial"/>
          <w:bCs/>
          <w:lang w:eastAsia="es-CO"/>
        </w:rPr>
      </w:pPr>
      <w:r w:rsidRPr="00F10E52">
        <w:rPr>
          <w:rFonts w:ascii="Verdana" w:eastAsia="Times New Roman" w:hAnsi="Verdana" w:cs="Arial"/>
          <w:bCs/>
          <w:lang w:eastAsia="es-CO"/>
        </w:rPr>
        <w:t>En efecto, la Sala de Consulta y Servicio Civil del Consejo de Estado al analizar la referida ley, precisó lo siguiente:</w:t>
      </w:r>
    </w:p>
    <w:p w14:paraId="21DDDAC8" w14:textId="77777777" w:rsidR="00AD71C7" w:rsidRPr="002D6B92" w:rsidRDefault="00AD71C7" w:rsidP="00D71B7F">
      <w:pPr>
        <w:spacing w:after="0" w:line="276" w:lineRule="auto"/>
        <w:ind w:firstLine="709"/>
        <w:jc w:val="both"/>
        <w:rPr>
          <w:rFonts w:ascii="Verdana" w:eastAsia="Times New Roman" w:hAnsi="Verdana" w:cs="Arial"/>
          <w:bCs/>
          <w:lang w:eastAsia="es-CO"/>
        </w:rPr>
      </w:pPr>
    </w:p>
    <w:p w14:paraId="761B2B8D" w14:textId="77777777" w:rsidR="00555198" w:rsidRPr="009B20C5" w:rsidRDefault="00555198" w:rsidP="00555198">
      <w:pPr>
        <w:spacing w:after="0" w:line="240" w:lineRule="auto"/>
        <w:ind w:left="709" w:right="709"/>
        <w:jc w:val="both"/>
        <w:rPr>
          <w:rFonts w:ascii="Verdana" w:eastAsia="Times New Roman" w:hAnsi="Verdana" w:cs="Arial"/>
          <w:bCs/>
          <w:sz w:val="20"/>
          <w:szCs w:val="20"/>
          <w:lang w:eastAsia="es-CO"/>
        </w:rPr>
      </w:pPr>
      <w:r>
        <w:rPr>
          <w:rFonts w:ascii="Verdana" w:eastAsia="Times New Roman" w:hAnsi="Verdana" w:cs="Arial"/>
          <w:bCs/>
          <w:sz w:val="20"/>
          <w:szCs w:val="20"/>
          <w:lang w:eastAsia="es-CO"/>
        </w:rPr>
        <w:t>“</w:t>
      </w:r>
      <w:r w:rsidRPr="009B20C5">
        <w:rPr>
          <w:rFonts w:ascii="Verdana" w:eastAsia="Times New Roman" w:hAnsi="Verdana" w:cs="Arial"/>
          <w:bCs/>
          <w:sz w:val="20"/>
          <w:szCs w:val="20"/>
          <w:lang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0B62BCE8" w14:textId="77777777" w:rsidR="00555198" w:rsidRDefault="00555198" w:rsidP="00555198">
      <w:pPr>
        <w:spacing w:after="0" w:line="240" w:lineRule="auto"/>
        <w:ind w:left="709" w:right="709"/>
        <w:jc w:val="both"/>
        <w:rPr>
          <w:rFonts w:ascii="Verdana" w:eastAsia="Times New Roman" w:hAnsi="Verdana" w:cs="Arial"/>
          <w:bCs/>
          <w:sz w:val="20"/>
          <w:szCs w:val="20"/>
          <w:lang w:eastAsia="es-CO"/>
        </w:rPr>
      </w:pPr>
    </w:p>
    <w:p w14:paraId="65F5CD59" w14:textId="77777777" w:rsidR="00555198" w:rsidRPr="009B20C5" w:rsidRDefault="00555198" w:rsidP="00555198">
      <w:pPr>
        <w:spacing w:after="0" w:line="240" w:lineRule="auto"/>
        <w:ind w:left="709" w:right="709"/>
        <w:jc w:val="both"/>
        <w:rPr>
          <w:rFonts w:ascii="Verdana" w:eastAsia="Times New Roman" w:hAnsi="Verdana" w:cs="Arial"/>
          <w:bCs/>
          <w:sz w:val="20"/>
          <w:szCs w:val="20"/>
          <w:lang w:eastAsia="es-CO"/>
        </w:rPr>
      </w:pPr>
      <w:r w:rsidRPr="009B20C5">
        <w:rPr>
          <w:rFonts w:ascii="Verdana" w:eastAsia="Times New Roman" w:hAnsi="Verdana" w:cs="Arial"/>
          <w:bCs/>
          <w:sz w:val="20"/>
          <w:szCs w:val="20"/>
          <w:lang w:eastAsia="es-CO"/>
        </w:rPr>
        <w:t>La jurisprudencia de la Corte Constitucional</w:t>
      </w:r>
      <w:r w:rsidRPr="009B20C5">
        <w:rPr>
          <w:rStyle w:val="FootnoteReference"/>
          <w:rFonts w:ascii="Verdana" w:eastAsia="Times New Roman" w:hAnsi="Verdana" w:cs="Arial"/>
          <w:bCs/>
          <w:sz w:val="20"/>
          <w:szCs w:val="20"/>
          <w:lang w:eastAsia="es-CO"/>
        </w:rPr>
        <w:footnoteReference w:id="4"/>
      </w:r>
      <w:r w:rsidRPr="009B20C5">
        <w:rPr>
          <w:rFonts w:ascii="Verdana" w:eastAsia="Times New Roman" w:hAnsi="Verdana" w:cs="Arial"/>
          <w:bCs/>
          <w:sz w:val="20"/>
          <w:szCs w:val="20"/>
          <w:lang w:eastAsia="es-CO"/>
        </w:rPr>
        <w:t> y del Consejo de Estado</w:t>
      </w:r>
      <w:r w:rsidRPr="009B20C5">
        <w:rPr>
          <w:rStyle w:val="FootnoteReference"/>
          <w:rFonts w:ascii="Verdana" w:eastAsia="Times New Roman" w:hAnsi="Verdana" w:cs="Arial"/>
          <w:bCs/>
          <w:sz w:val="20"/>
          <w:szCs w:val="20"/>
          <w:lang w:eastAsia="es-CO"/>
        </w:rPr>
        <w:footnoteReference w:id="5"/>
      </w:r>
      <w:r w:rsidRPr="009B20C5">
        <w:rPr>
          <w:rFonts w:ascii="Verdana" w:eastAsia="Times New Roman" w:hAnsi="Verdana" w:cs="Arial"/>
          <w:bCs/>
          <w:sz w:val="20"/>
          <w:szCs w:val="20"/>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Pr>
          <w:rFonts w:ascii="Verdana" w:eastAsia="Times New Roman" w:hAnsi="Verdana" w:cs="Arial"/>
          <w:bCs/>
          <w:sz w:val="20"/>
          <w:szCs w:val="20"/>
          <w:lang w:eastAsia="es-CO"/>
        </w:rPr>
        <w:t>”</w:t>
      </w:r>
      <w:r w:rsidRPr="009B20C5">
        <w:rPr>
          <w:rStyle w:val="FootnoteReference"/>
          <w:rFonts w:ascii="Verdana" w:eastAsia="Times New Roman" w:hAnsi="Verdana" w:cs="Arial"/>
          <w:bCs/>
          <w:sz w:val="20"/>
          <w:szCs w:val="20"/>
          <w:lang w:eastAsia="es-CO"/>
        </w:rPr>
        <w:footnoteReference w:id="6"/>
      </w:r>
      <w:r w:rsidRPr="009B20C5">
        <w:rPr>
          <w:rFonts w:ascii="Verdana" w:eastAsia="Times New Roman" w:hAnsi="Verdana" w:cs="Arial"/>
          <w:bCs/>
          <w:sz w:val="20"/>
          <w:szCs w:val="20"/>
          <w:lang w:eastAsia="es-CO"/>
        </w:rPr>
        <w:t>.</w:t>
      </w:r>
    </w:p>
    <w:p w14:paraId="21D3AA99" w14:textId="77777777" w:rsidR="00555198" w:rsidRDefault="00555198" w:rsidP="00555198">
      <w:pPr>
        <w:spacing w:after="0" w:line="240" w:lineRule="auto"/>
        <w:jc w:val="both"/>
        <w:rPr>
          <w:rFonts w:ascii="Verdana" w:eastAsia="Times New Roman" w:hAnsi="Verdana" w:cs="Arial"/>
          <w:bCs/>
          <w:lang w:eastAsia="es-CO"/>
        </w:rPr>
      </w:pPr>
      <w:r w:rsidRPr="00F10E52">
        <w:rPr>
          <w:rFonts w:ascii="Verdana" w:eastAsia="Times New Roman" w:hAnsi="Verdana" w:cs="Arial"/>
          <w:bCs/>
          <w:lang w:eastAsia="es-CO"/>
        </w:rPr>
        <w:tab/>
      </w:r>
    </w:p>
    <w:p w14:paraId="50446C33" w14:textId="77777777" w:rsidR="00555198" w:rsidRDefault="00555198" w:rsidP="00555198">
      <w:pPr>
        <w:spacing w:after="120" w:line="276" w:lineRule="auto"/>
        <w:ind w:firstLine="709"/>
        <w:jc w:val="both"/>
        <w:rPr>
          <w:rFonts w:ascii="Verdana" w:eastAsia="Arial" w:hAnsi="Verdana" w:cs="Arial"/>
          <w:lang w:val="es-ES" w:eastAsia="es-ES" w:bidi="es-ES"/>
        </w:rPr>
      </w:pPr>
      <w:r w:rsidRPr="00F10E52">
        <w:rPr>
          <w:rFonts w:ascii="Verdana" w:eastAsia="Times New Roman" w:hAnsi="Verdana" w:cs="Arial"/>
          <w:bCs/>
          <w:lang w:eastAsia="es-CO"/>
        </w:rPr>
        <w:t>De</w:t>
      </w:r>
      <w:r w:rsidRPr="00F10E52">
        <w:rPr>
          <w:rFonts w:ascii="Verdana" w:eastAsia="Arial" w:hAnsi="Verdana" w:cs="Arial"/>
          <w:lang w:val="es-ES" w:eastAsia="es-ES" w:bidi="es-ES"/>
        </w:rPr>
        <w:t xml:space="preserve"> conformidad con lo anterior, </w:t>
      </w:r>
      <w:bookmarkStart w:id="3" w:name="_Hlk77236098"/>
      <w:r w:rsidRPr="00F10E52">
        <w:rPr>
          <w:rFonts w:ascii="Verdana" w:eastAsia="Arial" w:hAnsi="Verdana" w:cs="Arial"/>
          <w:lang w:val="es-ES" w:eastAsia="es-ES" w:bidi="es-ES"/>
        </w:rPr>
        <w:t xml:space="preserve">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6BF7B857" w14:textId="77777777" w:rsidR="00555198" w:rsidRPr="00F10E52" w:rsidRDefault="00555198" w:rsidP="00555198">
      <w:pPr>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3"/>
    </w:p>
    <w:p w14:paraId="1967DD51" w14:textId="77777777" w:rsidR="00555198" w:rsidRPr="00F10E52" w:rsidRDefault="00555198" w:rsidP="00555198">
      <w:pPr>
        <w:spacing w:after="120" w:line="276" w:lineRule="auto"/>
        <w:ind w:firstLine="709"/>
        <w:jc w:val="both"/>
        <w:rPr>
          <w:rFonts w:ascii="Verdana" w:eastAsia="Calibri" w:hAnsi="Verdana" w:cs="Arial"/>
        </w:rPr>
      </w:pPr>
      <w:r w:rsidRPr="00F10E52">
        <w:rPr>
          <w:rFonts w:ascii="Verdana" w:eastAsia="Calibri" w:hAnsi="Verdana" w:cs="Arial"/>
        </w:rPr>
        <w:t xml:space="preserve">Por un lado, el artículo 33 de la Ley 996 de 2005 prohíbe </w:t>
      </w:r>
      <w:r>
        <w:rPr>
          <w:rFonts w:ascii="Verdana" w:eastAsia="Calibri" w:hAnsi="Verdana" w:cs="Arial"/>
        </w:rPr>
        <w:t>“</w:t>
      </w:r>
      <w:r>
        <w:rPr>
          <w:rFonts w:ascii="Verdana" w:eastAsia="Calibri" w:hAnsi="Verdana" w:cs="Arial"/>
          <w:bCs/>
        </w:rPr>
        <w:t xml:space="preserve">(…) </w:t>
      </w:r>
      <w:r w:rsidRPr="00F10E52">
        <w:rPr>
          <w:rFonts w:ascii="Verdana" w:eastAsia="Calibri" w:hAnsi="Verdana" w:cs="Arial"/>
        </w:rPr>
        <w:t>la contratación directa por parte de todos los entes del Estado</w:t>
      </w:r>
      <w:r>
        <w:rPr>
          <w:rFonts w:ascii="Verdana" w:eastAsia="Calibri" w:hAnsi="Verdana" w:cs="Arial"/>
          <w:bCs/>
        </w:rPr>
        <w:t>”</w:t>
      </w:r>
      <w:r w:rsidRPr="00F10E52">
        <w:rPr>
          <w:rFonts w:ascii="Verdana" w:eastAsia="Calibri" w:hAnsi="Verdana" w:cs="Arial"/>
        </w:rPr>
        <w:t xml:space="preserve"> durante los cuatro (4) meses anteriores a las elecciones presidenciales, salvo </w:t>
      </w:r>
      <w:r>
        <w:rPr>
          <w:rFonts w:ascii="Verdana" w:eastAsia="Calibri" w:hAnsi="Verdana" w:cs="Arial"/>
          <w:bCs/>
        </w:rPr>
        <w:t>“(…)</w:t>
      </w:r>
      <w:r w:rsidRPr="00F10E52">
        <w:rPr>
          <w:rFonts w:ascii="Verdana" w:eastAsia="Calibri" w:hAnsi="Verdana" w:cs="Arial"/>
          <w:bCs/>
        </w:rPr>
        <w:t xml:space="preserve"> </w:t>
      </w:r>
      <w:r w:rsidRPr="00F10E52">
        <w:rPr>
          <w:rFonts w:ascii="Verdana" w:eastAsia="Calibri" w:hAnsi="Verdana" w:cs="Arial"/>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Verdana" w:eastAsia="Calibri" w:hAnsi="Verdana" w:cs="Arial"/>
          <w:bCs/>
        </w:rPr>
        <w:t>”</w:t>
      </w:r>
      <w:r w:rsidRPr="00F10E52">
        <w:rPr>
          <w:rFonts w:ascii="Verdana" w:eastAsia="Calibri" w:hAnsi="Verdana" w:cs="Arial"/>
          <w:bCs/>
          <w:vertAlign w:val="superscript"/>
        </w:rPr>
        <w:footnoteReference w:id="7"/>
      </w:r>
      <w:r w:rsidRPr="00F10E52">
        <w:rPr>
          <w:rFonts w:ascii="Verdana" w:eastAsia="Calibri" w:hAnsi="Verdana" w:cs="Arial"/>
        </w:rPr>
        <w:t>.</w:t>
      </w:r>
    </w:p>
    <w:p w14:paraId="40A21BB5" w14:textId="77777777" w:rsidR="00555198" w:rsidRDefault="00555198" w:rsidP="00555198">
      <w:pPr>
        <w:widowControl w:val="0"/>
        <w:autoSpaceDE w:val="0"/>
        <w:autoSpaceDN w:val="0"/>
        <w:spacing w:after="120" w:line="276" w:lineRule="auto"/>
        <w:ind w:firstLine="709"/>
        <w:jc w:val="both"/>
        <w:rPr>
          <w:rFonts w:ascii="Verdana" w:eastAsia="Arial" w:hAnsi="Verdana" w:cs="Arial"/>
          <w:lang w:val="es-ES" w:eastAsia="es-ES" w:bidi="es-ES"/>
        </w:rPr>
      </w:pPr>
      <w:r w:rsidRPr="00F10E52">
        <w:rPr>
          <w:rFonts w:ascii="Verdana" w:eastAsia="Calibri" w:hAnsi="Verdana" w:cs="Aria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Pr>
          <w:rFonts w:ascii="Verdana" w:eastAsia="Calibri" w:hAnsi="Verdana" w:cs="Arial"/>
          <w:bCs/>
        </w:rPr>
        <w:t>“(…)</w:t>
      </w:r>
      <w:r w:rsidRPr="00F10E52">
        <w:rPr>
          <w:rFonts w:ascii="Verdana" w:eastAsia="Calibri" w:hAnsi="Verdana" w:cs="Arial"/>
          <w:bCs/>
        </w:rPr>
        <w:t xml:space="preserve"> </w:t>
      </w:r>
      <w:r w:rsidRPr="00F10E52">
        <w:rPr>
          <w:rFonts w:ascii="Verdana" w:eastAsia="Calibri" w:hAnsi="Verdana" w:cs="Arial"/>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Fonts w:ascii="Verdana" w:eastAsia="Calibri" w:hAnsi="Verdana" w:cs="Arial"/>
          <w:bCs/>
        </w:rPr>
        <w:t>”</w:t>
      </w:r>
      <w:r w:rsidRPr="00F10E52">
        <w:rPr>
          <w:rFonts w:ascii="Verdana" w:eastAsia="Calibri" w:hAnsi="Verdana" w:cs="Arial"/>
          <w:bCs/>
          <w:vertAlign w:val="superscript"/>
        </w:rPr>
        <w:footnoteReference w:id="8"/>
      </w:r>
      <w:r w:rsidRPr="00F10E52">
        <w:rPr>
          <w:rFonts w:ascii="Verdana" w:eastAsia="Calibri" w:hAnsi="Verdana" w:cs="Arial"/>
        </w:rPr>
        <w:t>.</w:t>
      </w:r>
      <w:r w:rsidRPr="00F10E52">
        <w:rPr>
          <w:rFonts w:ascii="Verdana" w:eastAsia="Arial" w:hAnsi="Verdana" w:cs="Arial"/>
          <w:lang w:val="es-ES" w:eastAsia="es-ES" w:bidi="es-ES"/>
        </w:rPr>
        <w:t xml:space="preserve"> </w:t>
      </w:r>
    </w:p>
    <w:p w14:paraId="260DB9D5" w14:textId="02D090F3" w:rsidR="00555198" w:rsidRPr="006A51F6" w:rsidRDefault="00555198" w:rsidP="00A34D9F">
      <w:pPr>
        <w:widowControl w:val="0"/>
        <w:autoSpaceDE w:val="0"/>
        <w:autoSpaceDN w:val="0"/>
        <w:spacing w:after="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 que:</w:t>
      </w:r>
    </w:p>
    <w:p w14:paraId="165567D6" w14:textId="77777777" w:rsidR="00A34D9F" w:rsidRPr="006A51F6" w:rsidRDefault="00A34D9F" w:rsidP="00D71B7F">
      <w:pPr>
        <w:widowControl w:val="0"/>
        <w:autoSpaceDE w:val="0"/>
        <w:autoSpaceDN w:val="0"/>
        <w:spacing w:after="0" w:line="276" w:lineRule="auto"/>
        <w:ind w:firstLine="709"/>
        <w:jc w:val="both"/>
        <w:rPr>
          <w:rFonts w:ascii="Verdana" w:eastAsia="Arial" w:hAnsi="Verdana" w:cs="Arial"/>
          <w:lang w:val="es-ES" w:eastAsia="es-ES" w:bidi="es-ES"/>
        </w:rPr>
      </w:pPr>
    </w:p>
    <w:p w14:paraId="779EFA5D" w14:textId="77777777" w:rsidR="00555198" w:rsidRPr="009B20C5" w:rsidRDefault="00555198" w:rsidP="00555198">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Pr>
          <w:rFonts w:ascii="Verdana" w:eastAsia="Arial" w:hAnsi="Verdana" w:cs="Arial"/>
          <w:sz w:val="20"/>
          <w:szCs w:val="20"/>
          <w:lang w:val="es-ES" w:eastAsia="es-ES" w:bidi="es-ES"/>
        </w:rPr>
        <w:t>“</w:t>
      </w:r>
      <w:r w:rsidRPr="009B20C5">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6" w:name="_Hlk76109421"/>
      <w:r w:rsidRPr="009B20C5">
        <w:rPr>
          <w:rFonts w:ascii="Verdana" w:eastAsia="Arial" w:hAnsi="Verdana" w:cs="Arial"/>
          <w:sz w:val="20"/>
          <w:szCs w:val="20"/>
          <w:lang w:val="es-ES" w:eastAsia="es-ES" w:bidi="es-ES"/>
        </w:rPr>
        <w:t>se integran parcialmente</w:t>
      </w:r>
      <w:bookmarkEnd w:id="6"/>
      <w:r w:rsidRPr="009B20C5">
        <w:rPr>
          <w:rFonts w:ascii="Verdana" w:eastAsia="Arial" w:hAnsi="Verdana" w:cs="Arial"/>
          <w:sz w:val="20"/>
          <w:szCs w:val="20"/>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9B20C5">
        <w:rPr>
          <w:rFonts w:ascii="Verdana" w:eastAsia="Arial" w:hAnsi="Verdana" w:cs="Arial"/>
          <w:bCs/>
          <w:sz w:val="20"/>
          <w:szCs w:val="20"/>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Pr>
          <w:rFonts w:ascii="Verdana" w:eastAsia="Arial" w:hAnsi="Verdana" w:cs="Arial"/>
          <w:sz w:val="20"/>
          <w:szCs w:val="20"/>
          <w:lang w:val="es-ES" w:eastAsia="es-ES" w:bidi="es-ES"/>
        </w:rPr>
        <w:t>”</w:t>
      </w:r>
      <w:r w:rsidRPr="009B20C5">
        <w:rPr>
          <w:rFonts w:ascii="Verdana" w:eastAsia="Arial" w:hAnsi="Verdana" w:cs="Arial"/>
          <w:sz w:val="20"/>
          <w:szCs w:val="20"/>
          <w:vertAlign w:val="superscript"/>
          <w:lang w:val="es-ES" w:eastAsia="es-ES" w:bidi="es-ES"/>
        </w:rPr>
        <w:footnoteReference w:id="9"/>
      </w:r>
      <w:r>
        <w:rPr>
          <w:rFonts w:ascii="Verdana" w:eastAsia="Arial" w:hAnsi="Verdana" w:cs="Arial"/>
          <w:sz w:val="20"/>
          <w:szCs w:val="20"/>
          <w:lang w:val="es-ES" w:eastAsia="es-ES" w:bidi="es-ES"/>
        </w:rPr>
        <w:t>.</w:t>
      </w:r>
    </w:p>
    <w:p w14:paraId="28F7C7C2" w14:textId="77777777" w:rsidR="00555198" w:rsidRDefault="00555198" w:rsidP="00555198">
      <w:pPr>
        <w:spacing w:after="0" w:line="240" w:lineRule="auto"/>
        <w:ind w:firstLine="709"/>
        <w:jc w:val="both"/>
        <w:rPr>
          <w:rFonts w:ascii="Verdana" w:eastAsia="Arial" w:hAnsi="Verdana" w:cs="Arial"/>
          <w:lang w:val="es-ES" w:eastAsia="es-ES" w:bidi="es-ES"/>
        </w:rPr>
      </w:pPr>
    </w:p>
    <w:p w14:paraId="44B72EA0" w14:textId="77777777" w:rsidR="00555198" w:rsidRPr="00F10E52" w:rsidRDefault="00555198" w:rsidP="00555198">
      <w:pPr>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De conformidad con lo anterior</w:t>
      </w:r>
      <w:bookmarkStart w:id="7" w:name="_Hlk99438241"/>
      <w:r w:rsidRPr="00F10E52">
        <w:rPr>
          <w:rFonts w:ascii="Verdana" w:eastAsia="Arial" w:hAnsi="Verdana" w:cs="Arial"/>
          <w:lang w:val="es-ES" w:eastAsia="es-ES" w:bidi="es-ES"/>
        </w:rPr>
        <w:t xml:space="preserve">, </w:t>
      </w:r>
      <w:bookmarkStart w:id="8" w:name="_Hlk77236420"/>
      <w:bookmarkStart w:id="9" w:name="_Hlk78818435"/>
      <w:bookmarkStart w:id="10" w:name="_Hlk75780333"/>
      <w:r w:rsidRPr="00F10E52">
        <w:rPr>
          <w:rFonts w:ascii="Verdana" w:eastAsia="Arial" w:hAnsi="Verdana" w:cs="Arial"/>
          <w:lang w:val="es-ES" w:eastAsia="es-ES" w:bidi="es-ES"/>
        </w:rPr>
        <w:t xml:space="preserve">la Ley 996 de 2005 establece dos (2) tipos de restricciones en materia de contratación, las cuales coinciden parcialmente. </w:t>
      </w:r>
      <w:r w:rsidRPr="00F10E52">
        <w:rPr>
          <w:rFonts w:ascii="Verdana" w:eastAsia="Arial" w:hAnsi="Verdana" w:cs="Arial"/>
          <w:i/>
          <w:iCs/>
          <w:lang w:val="es-ES" w:eastAsia="es-ES" w:bidi="es-ES"/>
        </w:rPr>
        <w:t>En primer lugar</w:t>
      </w:r>
      <w:r w:rsidRPr="00F10E52">
        <w:rPr>
          <w:rFonts w:ascii="Verdana" w:eastAsia="Arial" w:hAnsi="Verdana"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F10E52">
        <w:rPr>
          <w:rFonts w:ascii="Verdana" w:eastAsia="Arial" w:hAnsi="Verdana" w:cs="Arial"/>
          <w:i/>
          <w:iCs/>
          <w:lang w:val="es-ES" w:eastAsia="es-ES" w:bidi="es-ES"/>
        </w:rPr>
        <w:t>En segundo lugar</w:t>
      </w:r>
      <w:r w:rsidRPr="00F10E52">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8"/>
    </w:p>
    <w:bookmarkEnd w:id="7"/>
    <w:bookmarkEnd w:id="9"/>
    <w:p w14:paraId="42847F19" w14:textId="77777777" w:rsidR="00555198" w:rsidRPr="00F10E52" w:rsidRDefault="00555198" w:rsidP="00555198">
      <w:pPr>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bookmarkEnd w:id="10"/>
    <w:p w14:paraId="700CCD27" w14:textId="77777777" w:rsidR="00555198" w:rsidRDefault="00555198" w:rsidP="00555198">
      <w:pPr>
        <w:spacing w:after="120" w:line="276" w:lineRule="auto"/>
        <w:ind w:firstLine="709"/>
        <w:jc w:val="both"/>
        <w:rPr>
          <w:rFonts w:ascii="Verdana" w:eastAsia="Times New Roman" w:hAnsi="Verdana" w:cs="Arial"/>
          <w:bCs/>
          <w:lang w:val="es-ES" w:eastAsia="es-CO"/>
        </w:rPr>
      </w:pPr>
      <w:r w:rsidRPr="00F10E52">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362740AA" w14:textId="77777777" w:rsidR="00555198" w:rsidRDefault="00555198" w:rsidP="00555198">
      <w:pPr>
        <w:spacing w:after="120" w:line="276" w:lineRule="auto"/>
        <w:ind w:firstLine="709"/>
        <w:jc w:val="both"/>
        <w:rPr>
          <w:rFonts w:ascii="Verdana" w:eastAsia="Arial" w:hAnsi="Verdana" w:cs="Arial"/>
          <w:lang w:val="es-ES" w:eastAsia="es-ES" w:bidi="es-ES"/>
        </w:rPr>
      </w:pPr>
      <w:r>
        <w:rPr>
          <w:rFonts w:ascii="Verdana" w:eastAsia="Times New Roman" w:hAnsi="Verdana" w:cs="Arial"/>
          <w:bCs/>
          <w:lang w:val="es-ES" w:eastAsia="es-CO"/>
        </w:rPr>
        <w:t xml:space="preserve">Teniendo en cuenta lo anterior, a continuación, se hará un análisis sobre la aplicación de la prohibición contenida en el artículo 33 y sus excepciones, relacionada con su ámbito de aplicación y sus destinatarios. </w:t>
      </w:r>
    </w:p>
    <w:p w14:paraId="1AE87807" w14:textId="657D4101" w:rsidR="00555198" w:rsidRDefault="00555198" w:rsidP="00A34D9F">
      <w:pPr>
        <w:spacing w:after="0" w:line="276" w:lineRule="auto"/>
        <w:ind w:firstLine="709"/>
        <w:jc w:val="both"/>
        <w:rPr>
          <w:rFonts w:ascii="Verdana" w:hAnsi="Verdana" w:cs="Arial"/>
          <w:lang w:eastAsia="es-CO"/>
        </w:rPr>
      </w:pPr>
      <w:r w:rsidRPr="00195E24">
        <w:rPr>
          <w:rFonts w:ascii="Verdana" w:hAnsi="Verdana" w:cs="Arial"/>
          <w:bCs/>
          <w:lang w:eastAsia="x-none"/>
        </w:rPr>
        <w:t xml:space="preserve">El ámbito material de la prohibición contenida </w:t>
      </w:r>
      <w:bookmarkStart w:id="11" w:name="_Hlk75628761"/>
      <w:r w:rsidRPr="00195E24">
        <w:rPr>
          <w:rFonts w:ascii="Verdana" w:hAnsi="Verdana" w:cs="Arial"/>
          <w:bCs/>
          <w:lang w:eastAsia="x-none"/>
        </w:rPr>
        <w:t xml:space="preserve">en el artículo 33 de la ley 996 de 2005 </w:t>
      </w:r>
      <w:bookmarkEnd w:id="11"/>
      <w:r w:rsidRPr="00195E24">
        <w:rPr>
          <w:rFonts w:ascii="Verdana" w:hAnsi="Verdana" w:cs="Arial"/>
          <w:bCs/>
          <w:lang w:eastAsia="x-none"/>
        </w:rPr>
        <w:t xml:space="preserve">está delimitado por la expresión </w:t>
      </w:r>
      <w:r w:rsidRPr="00195E24">
        <w:rPr>
          <w:rFonts w:ascii="Verdana" w:eastAsia="Calibri" w:hAnsi="Verdana" w:cs="Arial"/>
          <w:bCs/>
          <w:i/>
          <w:iCs/>
          <w:sz w:val="20"/>
          <w:szCs w:val="20"/>
        </w:rPr>
        <w:t>“</w:t>
      </w:r>
      <w:r w:rsidRPr="00195E24">
        <w:rPr>
          <w:rFonts w:ascii="Verdana" w:hAnsi="Verdana" w:cs="Arial"/>
          <w:bCs/>
          <w:i/>
          <w:iCs/>
          <w:lang w:eastAsia="x-none"/>
        </w:rPr>
        <w:t>queda prohibida la contratación directa</w:t>
      </w:r>
      <w:r w:rsidRPr="00195E24">
        <w:rPr>
          <w:rFonts w:ascii="Verdana" w:hAnsi="Verdana" w:cs="Arial"/>
          <w:sz w:val="20"/>
          <w:szCs w:val="20"/>
        </w:rPr>
        <w:t>”</w:t>
      </w:r>
      <w:r w:rsidRPr="00195E24">
        <w:rPr>
          <w:rFonts w:ascii="Verdana" w:hAnsi="Verdana" w:cs="Arial"/>
          <w:bCs/>
          <w:lang w:eastAsia="x-none"/>
        </w:rPr>
        <w:t>.</w:t>
      </w:r>
      <w:r w:rsidRPr="00195E24">
        <w:rPr>
          <w:rFonts w:ascii="Verdana" w:hAnsi="Verdana" w:cs="Arial"/>
          <w:lang w:eastAsia="es-CO"/>
        </w:rPr>
        <w:t xml:space="preserve"> A propósito de esta restricción de la Ley de Garantías Electorales, la Sala de Consulta y Servicio Civil del Consejo de Estado ha considerado que:</w:t>
      </w:r>
    </w:p>
    <w:p w14:paraId="1133A00E" w14:textId="77777777" w:rsidR="00A34D9F" w:rsidRPr="00435A6A" w:rsidRDefault="00A34D9F" w:rsidP="00D71B7F">
      <w:pPr>
        <w:spacing w:after="0" w:line="276" w:lineRule="auto"/>
        <w:ind w:firstLine="709"/>
        <w:jc w:val="both"/>
        <w:rPr>
          <w:rFonts w:ascii="Verdana" w:eastAsia="Arial" w:hAnsi="Verdana" w:cs="Arial"/>
          <w:lang w:val="es-ES" w:eastAsia="es-ES" w:bidi="es-ES"/>
        </w:rPr>
      </w:pPr>
    </w:p>
    <w:p w14:paraId="635155D8" w14:textId="048FE0A7" w:rsidR="00555198" w:rsidRPr="005800D0" w:rsidRDefault="00555198" w:rsidP="00555198">
      <w:pPr>
        <w:spacing w:after="0" w:line="240" w:lineRule="auto"/>
        <w:ind w:left="709" w:right="709"/>
        <w:jc w:val="both"/>
        <w:rPr>
          <w:rFonts w:ascii="Verdana" w:hAnsi="Verdana" w:cs="Arial"/>
          <w:sz w:val="20"/>
          <w:szCs w:val="20"/>
        </w:rPr>
      </w:pPr>
      <w:r w:rsidRPr="005800D0">
        <w:rPr>
          <w:rFonts w:ascii="Verdana" w:hAnsi="Verdana" w:cs="Arial"/>
          <w:sz w:val="20"/>
          <w:szCs w:val="20"/>
        </w:rPr>
        <w:t>“</w:t>
      </w:r>
      <w:r>
        <w:rPr>
          <w:rFonts w:ascii="Verdana" w:hAnsi="Verdana" w:cs="Arial"/>
          <w:sz w:val="20"/>
          <w:szCs w:val="20"/>
        </w:rPr>
        <w:t xml:space="preserve">(…) </w:t>
      </w:r>
      <w:r w:rsidRPr="005800D0">
        <w:rPr>
          <w:rFonts w:ascii="Verdana" w:hAnsi="Verdana" w:cs="Arial"/>
          <w:sz w:val="20"/>
          <w:szCs w:val="20"/>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5800D0">
        <w:rPr>
          <w:rFonts w:ascii="Verdana" w:hAnsi="Verdana" w:cs="Arial"/>
          <w:sz w:val="20"/>
          <w:szCs w:val="20"/>
          <w:vertAlign w:val="superscript"/>
          <w:lang w:eastAsia="es-CO"/>
        </w:rPr>
        <w:footnoteReference w:id="10"/>
      </w:r>
      <w:r w:rsidRPr="005800D0">
        <w:rPr>
          <w:rFonts w:ascii="Verdana" w:hAnsi="Verdana" w:cs="Arial"/>
          <w:sz w:val="20"/>
          <w:szCs w:val="20"/>
        </w:rPr>
        <w:t>.</w:t>
      </w:r>
    </w:p>
    <w:p w14:paraId="1EAA168D" w14:textId="77777777" w:rsidR="00A34D9F" w:rsidRPr="005800D0" w:rsidRDefault="00A34D9F">
      <w:pPr>
        <w:spacing w:after="0" w:line="240" w:lineRule="auto"/>
        <w:ind w:left="709" w:right="709"/>
        <w:jc w:val="both"/>
        <w:rPr>
          <w:rFonts w:ascii="Verdana" w:hAnsi="Verdana" w:cs="Arial"/>
          <w:sz w:val="20"/>
          <w:szCs w:val="20"/>
        </w:rPr>
      </w:pPr>
    </w:p>
    <w:p w14:paraId="42572D3D" w14:textId="77777777" w:rsidR="00555198" w:rsidRDefault="00555198" w:rsidP="00555198">
      <w:pPr>
        <w:spacing w:after="0" w:line="240" w:lineRule="auto"/>
        <w:ind w:left="709" w:right="709"/>
        <w:jc w:val="both"/>
        <w:rPr>
          <w:rFonts w:ascii="Verdana" w:hAnsi="Verdana" w:cs="Arial"/>
          <w:sz w:val="20"/>
          <w:szCs w:val="20"/>
        </w:rPr>
      </w:pPr>
      <w:r w:rsidRPr="005800D0">
        <w:rPr>
          <w:rFonts w:ascii="Verdana" w:hAnsi="Verdana" w:cs="Arial"/>
          <w:sz w:val="20"/>
          <w:szCs w:val="20"/>
        </w:rPr>
        <w:t xml:space="preserve">Esta Sala ha entendido que para los efectos de la ley de garantías, y dada su finalidad, el enunciado ´contratación directa´ es sinónimo </w:t>
      </w:r>
      <w:bookmarkStart w:id="12" w:name="_Hlk75741738"/>
      <w:r w:rsidRPr="005800D0">
        <w:rPr>
          <w:rFonts w:ascii="Verdana" w:hAnsi="Verdana" w:cs="Arial"/>
          <w:sz w:val="20"/>
          <w:szCs w:val="20"/>
        </w:rPr>
        <w:t xml:space="preserve">de cualquier sistema que no implique convocatoria pública y posibilidad de pluralidad de oferentes, </w:t>
      </w:r>
      <w:bookmarkEnd w:id="12"/>
      <w:r w:rsidRPr="005800D0">
        <w:rPr>
          <w:rFonts w:ascii="Verdana" w:hAnsi="Verdana" w:cs="Arial"/>
          <w:sz w:val="20"/>
          <w:szCs w:val="20"/>
        </w:rPr>
        <w:t>y que, además, no necesariamente hace referencia al procedimiento especial regulado por la ley de contratación estatal, sino a cualquier otro que prescinda de un proceso de licitación pública o concurso</w:t>
      </w:r>
      <w:r w:rsidRPr="005800D0">
        <w:rPr>
          <w:rFonts w:ascii="Verdana" w:hAnsi="Verdana" w:cs="Arial"/>
          <w:sz w:val="20"/>
          <w:szCs w:val="20"/>
          <w:vertAlign w:val="superscript"/>
        </w:rPr>
        <w:footnoteReference w:id="11"/>
      </w:r>
      <w:r w:rsidRPr="005800D0">
        <w:rPr>
          <w:rFonts w:ascii="Verdana" w:hAnsi="Verdana" w:cs="Arial"/>
          <w:sz w:val="20"/>
          <w:szCs w:val="20"/>
          <w:vertAlign w:val="superscript"/>
        </w:rPr>
        <w:t>.</w:t>
      </w:r>
      <w:r w:rsidRPr="005800D0">
        <w:rPr>
          <w:rFonts w:ascii="Verdana" w:hAnsi="Verdana" w:cs="Arial"/>
          <w:sz w:val="20"/>
          <w:szCs w:val="20"/>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Pr>
          <w:rFonts w:ascii="Verdana" w:hAnsi="Verdana" w:cs="Arial"/>
          <w:sz w:val="20"/>
          <w:szCs w:val="20"/>
        </w:rPr>
        <w:t>(…)”</w:t>
      </w:r>
      <w:r w:rsidRPr="005800D0">
        <w:rPr>
          <w:rFonts w:ascii="Verdana" w:hAnsi="Verdana" w:cs="Arial"/>
          <w:sz w:val="20"/>
          <w:szCs w:val="20"/>
          <w:vertAlign w:val="superscript"/>
          <w:lang w:eastAsia="es-CO"/>
        </w:rPr>
        <w:footnoteReference w:id="12"/>
      </w:r>
      <w:r w:rsidRPr="005800D0">
        <w:rPr>
          <w:rFonts w:ascii="Verdana" w:hAnsi="Verdana" w:cs="Arial"/>
          <w:sz w:val="20"/>
          <w:szCs w:val="20"/>
        </w:rPr>
        <w:t>.</w:t>
      </w:r>
    </w:p>
    <w:p w14:paraId="256F5AF9" w14:textId="77777777" w:rsidR="00555198" w:rsidRPr="005800D0" w:rsidRDefault="00555198" w:rsidP="00555198">
      <w:pPr>
        <w:spacing w:after="0" w:line="240" w:lineRule="auto"/>
        <w:ind w:left="709" w:right="709"/>
        <w:jc w:val="both"/>
        <w:rPr>
          <w:rFonts w:ascii="Verdana" w:hAnsi="Verdana" w:cs="Arial"/>
        </w:rPr>
      </w:pPr>
    </w:p>
    <w:p w14:paraId="3C01C5D1" w14:textId="77777777" w:rsidR="00555198" w:rsidRPr="00195E24" w:rsidRDefault="00555198" w:rsidP="00555198">
      <w:pPr>
        <w:spacing w:after="120" w:line="276" w:lineRule="auto"/>
        <w:ind w:firstLine="709"/>
        <w:jc w:val="both"/>
        <w:rPr>
          <w:rFonts w:ascii="Verdana" w:hAnsi="Verdana" w:cs="Arial"/>
          <w:bCs/>
          <w:lang w:eastAsia="x-none"/>
        </w:rPr>
      </w:pPr>
      <w:bookmarkStart w:id="14" w:name="_Hlk94521748"/>
      <w:r w:rsidRPr="00195E24">
        <w:rPr>
          <w:rFonts w:ascii="Verdana" w:hAnsi="Verdana" w:cs="Arial"/>
          <w:lang w:eastAsia="x-none"/>
        </w:rPr>
        <w:t xml:space="preserve">De acuerdo con el citado concepto, la prohibición del artículo 33 de la Ley de Garantías Electorales se refiere a </w:t>
      </w:r>
      <w:r w:rsidRPr="007E27D9">
        <w:rPr>
          <w:rFonts w:ascii="Verdana" w:hAnsi="Verdana" w:cs="Arial"/>
          <w:lang w:eastAsia="en-GB"/>
        </w:rPr>
        <w:t>“</w:t>
      </w:r>
      <w:r w:rsidRPr="00195E24">
        <w:rPr>
          <w:rFonts w:ascii="Verdana" w:hAnsi="Verdana" w:cs="Arial"/>
          <w:lang w:eastAsia="x-none"/>
        </w:rPr>
        <w:t>cualquier sistema que no implique convocatoria pública y posibilidad de pluralidad de oferentes</w:t>
      </w:r>
      <w:r>
        <w:rPr>
          <w:rFonts w:ascii="Verdana" w:hAnsi="Verdana" w:cs="Arial"/>
          <w:lang w:eastAsia="en-GB"/>
        </w:rPr>
        <w:t>”</w:t>
      </w:r>
      <w:r w:rsidRPr="00195E24">
        <w:rPr>
          <w:rFonts w:ascii="Verdana" w:hAnsi="Verdana" w:cs="Arial"/>
          <w:lang w:eastAsia="x-none"/>
        </w:rPr>
        <w:t xml:space="preserve">, por lo que excluye las demás modalidades de contratación previstas en la Ley 1150 de 2007, es decir, la licitación pública, la selección abreviada, el concurso de méritos </w:t>
      </w:r>
      <w:r w:rsidRPr="00195E24">
        <w:rPr>
          <w:rFonts w:ascii="Verdana" w:hAnsi="Verdana" w:cs="Arial"/>
          <w:lang w:val="es-ES_tradnl" w:eastAsia="x-none"/>
        </w:rPr>
        <w:t>y la mínima cuantía</w:t>
      </w:r>
      <w:r w:rsidRPr="00195E24" w:rsidDel="00A85D9F">
        <w:rPr>
          <w:rFonts w:ascii="Verdana" w:hAnsi="Verdana" w:cs="Arial"/>
          <w:lang w:eastAsia="x-none"/>
        </w:rPr>
        <w:t xml:space="preserve"> </w:t>
      </w:r>
      <w:r w:rsidRPr="00195E24">
        <w:rPr>
          <w:rFonts w:ascii="Verdana" w:hAnsi="Verdana" w:cs="Arial"/>
          <w:lang w:eastAsia="x-none"/>
        </w:rPr>
        <w:t>u otros previstos en normas especiales. Esta posición es congruente con la expedición de la Ley 1150 de 2007 que, entre otras reformas, introdujo la selección abreviada, rediseñó el concurso de méritos</w:t>
      </w:r>
      <w:r w:rsidRPr="00195E24">
        <w:rPr>
          <w:rFonts w:ascii="Verdana" w:hAnsi="Verdana" w:cs="Arial"/>
          <w:vertAlign w:val="superscript"/>
          <w:lang w:val="en-GB" w:eastAsia="x-none"/>
        </w:rPr>
        <w:footnoteReference w:id="13"/>
      </w:r>
      <w:r w:rsidRPr="00195E24">
        <w:rPr>
          <w:rFonts w:ascii="Verdana" w:hAnsi="Verdana" w:cs="Arial"/>
          <w:lang w:eastAsia="x-none"/>
        </w:rPr>
        <w:t xml:space="preserve"> y sistematizó las causales de contratación directa</w:t>
      </w:r>
      <w:r w:rsidRPr="00195E24">
        <w:rPr>
          <w:rFonts w:ascii="Verdana" w:hAnsi="Verdana" w:cs="Arial"/>
          <w:vertAlign w:val="superscript"/>
          <w:lang w:val="en-GB" w:eastAsia="x-none"/>
        </w:rPr>
        <w:footnoteReference w:id="14"/>
      </w:r>
      <w:r w:rsidRPr="00195E24">
        <w:rPr>
          <w:rFonts w:ascii="Verdana" w:hAnsi="Verdana" w:cs="Arial"/>
          <w:lang w:eastAsia="x-none"/>
        </w:rPr>
        <w:t>, además lo es con la posterior creación de la modalidad de mínima cuantía establecida actualmente en el numeral 5 del artículo 2 de la Ley 1150 de 2007, de acuerdo con las modificaciones realizadas por leyes posteriores.</w:t>
      </w:r>
    </w:p>
    <w:bookmarkEnd w:id="14"/>
    <w:p w14:paraId="2B0EC815" w14:textId="77777777" w:rsidR="00555198" w:rsidRPr="00195E24" w:rsidRDefault="00555198" w:rsidP="00555198">
      <w:pPr>
        <w:spacing w:after="120" w:line="276" w:lineRule="auto"/>
        <w:ind w:firstLine="709"/>
        <w:jc w:val="both"/>
        <w:rPr>
          <w:rFonts w:ascii="Verdana" w:hAnsi="Verdana" w:cs="Arial"/>
          <w:lang w:eastAsia="x-none"/>
        </w:rPr>
      </w:pPr>
      <w:r w:rsidRPr="00195E24">
        <w:rPr>
          <w:rFonts w:ascii="Verdana" w:hAnsi="Verdana" w:cs="Arial"/>
          <w:lang w:eastAsia="x-none"/>
        </w:rPr>
        <w:t xml:space="preserve">De esta forma, con fundamento en la evolución de la normativa sobre la contratación pública, se ha depurado la noción de </w:t>
      </w:r>
      <w:r w:rsidRPr="007E27D9">
        <w:rPr>
          <w:rFonts w:ascii="Verdana" w:hAnsi="Verdana" w:cs="Arial"/>
          <w:i/>
          <w:lang w:eastAsia="en-GB"/>
        </w:rPr>
        <w:t>“</w:t>
      </w:r>
      <w:r w:rsidRPr="00195E24">
        <w:rPr>
          <w:rFonts w:ascii="Verdana" w:hAnsi="Verdana" w:cs="Arial"/>
          <w:i/>
          <w:iCs/>
          <w:lang w:eastAsia="x-none"/>
        </w:rPr>
        <w:t>contratación directa</w:t>
      </w:r>
      <w:r w:rsidRPr="00195E24">
        <w:rPr>
          <w:rFonts w:ascii="Verdana" w:hAnsi="Verdana" w:cs="Arial"/>
          <w:lang w:eastAsia="en-GB"/>
        </w:rPr>
        <w:t>”</w:t>
      </w:r>
      <w:r w:rsidRPr="00195E24">
        <w:rPr>
          <w:rFonts w:ascii="Verdana" w:hAnsi="Verdana" w:cs="Arial"/>
          <w:lang w:eastAsia="x-none"/>
        </w:rPr>
        <w:t>, precisando el Consejo de Estado –en el concepto citado– que, “aun cuando no coincide única y exactamente con la regulación que de dicho sistema de selección hace el artículo 2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195E24">
        <w:rPr>
          <w:rFonts w:ascii="Verdana" w:hAnsi="Verdana" w:cs="Arial"/>
          <w:vertAlign w:val="superscript"/>
          <w:lang w:val="en-GB" w:eastAsia="x-none"/>
        </w:rPr>
        <w:footnoteReference w:id="15"/>
      </w:r>
      <w:r w:rsidRPr="00195E24">
        <w:rPr>
          <w:rFonts w:ascii="Verdana" w:hAnsi="Verdana" w:cs="Arial"/>
          <w:lang w:eastAsia="x-none"/>
        </w:rPr>
        <w:t>, han establecido sistemas de contratación que implican convocatoria pública y participación de varios oferentes</w:t>
      </w:r>
      <w:r w:rsidRPr="00195E24">
        <w:rPr>
          <w:rFonts w:ascii="Verdana" w:hAnsi="Verdana" w:cs="Arial"/>
          <w:lang w:eastAsia="en-GB"/>
        </w:rPr>
        <w:t>”</w:t>
      </w:r>
      <w:r w:rsidRPr="00195E24">
        <w:rPr>
          <w:rFonts w:ascii="Verdana" w:hAnsi="Verdana" w:cs="Arial"/>
          <w:lang w:eastAsia="x-none"/>
        </w:rPr>
        <w:t>.</w:t>
      </w:r>
    </w:p>
    <w:p w14:paraId="711E8958" w14:textId="77777777" w:rsidR="00555198" w:rsidRPr="00195E24" w:rsidRDefault="00555198" w:rsidP="00555198">
      <w:pPr>
        <w:spacing w:after="120" w:line="276" w:lineRule="auto"/>
        <w:ind w:firstLine="709"/>
        <w:jc w:val="both"/>
        <w:rPr>
          <w:rFonts w:ascii="Verdana" w:hAnsi="Verdana" w:cs="Arial"/>
          <w:bCs/>
          <w:lang w:eastAsia="es-CO"/>
        </w:rPr>
      </w:pPr>
      <w:r w:rsidRPr="00195E24">
        <w:rPr>
          <w:rFonts w:ascii="Verdana" w:hAnsi="Verdana" w:cs="Arial"/>
          <w:bCs/>
          <w:lang w:eastAsia="x-none"/>
        </w:rPr>
        <w:t>E</w:t>
      </w:r>
      <w:r w:rsidRPr="00195E24">
        <w:rPr>
          <w:rFonts w:ascii="Verdana" w:hAnsi="Verdana" w:cs="Arial"/>
          <w:lang w:eastAsia="x-none"/>
        </w:rPr>
        <w:t xml:space="preserve">n efecto, vale la pena mencionar que, </w:t>
      </w:r>
      <w:bookmarkStart w:id="15" w:name="_Hlk75636073"/>
      <w:r w:rsidRPr="00195E24">
        <w:rPr>
          <w:rFonts w:ascii="Verdana" w:hAnsi="Verdana" w:cs="Arial"/>
          <w:lang w:eastAsia="x-none"/>
        </w:rPr>
        <w:t xml:space="preserve">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w:t>
      </w:r>
      <w:r w:rsidRPr="00195E24">
        <w:rPr>
          <w:rFonts w:ascii="Verdana" w:hAnsi="Verdana" w:cs="Arial"/>
          <w:i/>
          <w:iCs/>
          <w:lang w:eastAsia="x-none"/>
        </w:rPr>
        <w:t>“contratación directa</w:t>
      </w:r>
      <w:r w:rsidRPr="00195E24">
        <w:rPr>
          <w:rFonts w:ascii="Verdana" w:hAnsi="Verdana" w:cs="Arial"/>
          <w:lang w:eastAsia="x-none"/>
        </w:rPr>
        <w:t>”, es que la convocatoria para inscribirse en forma previa se haga de manera pública, y que se permita la participación de una pluralidad de oferentes</w:t>
      </w:r>
      <w:bookmarkEnd w:id="15"/>
      <w:r w:rsidRPr="00195E24">
        <w:rPr>
          <w:rFonts w:ascii="Verdana" w:hAnsi="Verdana" w:cs="Arial"/>
          <w:vertAlign w:val="superscript"/>
          <w:lang w:eastAsia="x-none"/>
        </w:rPr>
        <w:footnoteReference w:id="16"/>
      </w:r>
      <w:r w:rsidRPr="00195E24">
        <w:rPr>
          <w:rFonts w:ascii="Verdana" w:hAnsi="Verdana" w:cs="Arial"/>
          <w:lang w:eastAsia="x-none"/>
        </w:rPr>
        <w:t xml:space="preserve">. </w:t>
      </w:r>
    </w:p>
    <w:p w14:paraId="3B87EC41" w14:textId="77777777" w:rsidR="00555198" w:rsidRPr="00CE0712" w:rsidRDefault="00555198" w:rsidP="00555198">
      <w:pPr>
        <w:spacing w:after="120" w:line="276" w:lineRule="auto"/>
        <w:ind w:firstLine="709"/>
        <w:jc w:val="both"/>
        <w:rPr>
          <w:rFonts w:ascii="Verdana" w:hAnsi="Verdana" w:cs="Arial"/>
          <w:bCs/>
          <w:lang w:eastAsia="es-CO"/>
        </w:rPr>
      </w:pPr>
      <w:r w:rsidRPr="00195E24">
        <w:rPr>
          <w:rFonts w:ascii="Verdana" w:hAnsi="Verdana" w:cs="Arial"/>
          <w:bCs/>
          <w:lang w:eastAsia="es-CO"/>
        </w:rPr>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w:t>
      </w:r>
      <w:r w:rsidRPr="00195E24">
        <w:rPr>
          <w:rFonts w:ascii="Verdana" w:hAnsi="Verdana" w:cs="Arial"/>
          <w:bCs/>
          <w:i/>
          <w:iCs/>
          <w:lang w:eastAsia="es-CO"/>
        </w:rPr>
        <w:t>“contratación directa”.</w:t>
      </w:r>
    </w:p>
    <w:p w14:paraId="687F5A0B" w14:textId="77777777" w:rsidR="00555198" w:rsidRDefault="00555198" w:rsidP="00555198">
      <w:pPr>
        <w:spacing w:after="120" w:line="276" w:lineRule="auto"/>
        <w:ind w:firstLine="709"/>
        <w:jc w:val="both"/>
        <w:rPr>
          <w:rFonts w:ascii="Verdana" w:hAnsi="Verdana" w:cs="Arial"/>
          <w:vertAlign w:val="superscript"/>
          <w:lang w:eastAsia="x-none"/>
        </w:rPr>
      </w:pPr>
      <w:bookmarkStart w:id="16" w:name="_Hlk78818796"/>
      <w:r w:rsidRPr="00195E24">
        <w:rPr>
          <w:rFonts w:ascii="Verdana" w:hAnsi="Verdana" w:cs="Arial"/>
          <w:bCs/>
          <w:lang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7E27D9">
        <w:rPr>
          <w:rFonts w:ascii="Verdana" w:hAnsi="Verdana" w:cs="Arial"/>
          <w:vertAlign w:val="superscript"/>
          <w:lang w:eastAsia="x-none"/>
        </w:rPr>
        <w:footnoteReference w:id="17"/>
      </w:r>
      <w:r w:rsidRPr="007E27D9">
        <w:rPr>
          <w:rFonts w:ascii="Verdana" w:hAnsi="Verdana" w:cs="Arial"/>
          <w:lang w:eastAsia="x-none"/>
        </w:rPr>
        <w:t>.</w:t>
      </w:r>
      <w:r w:rsidRPr="007E27D9">
        <w:rPr>
          <w:rFonts w:ascii="Verdana" w:hAnsi="Verdana" w:cs="Arial"/>
          <w:vertAlign w:val="superscript"/>
          <w:lang w:eastAsia="x-none"/>
        </w:rPr>
        <w:t xml:space="preserve"> </w:t>
      </w:r>
    </w:p>
    <w:p w14:paraId="78AE4F6E" w14:textId="77777777" w:rsidR="00555198" w:rsidRPr="007E27D9" w:rsidRDefault="00555198" w:rsidP="00555198">
      <w:pPr>
        <w:spacing w:after="120" w:line="276" w:lineRule="auto"/>
        <w:ind w:firstLine="709"/>
        <w:jc w:val="both"/>
        <w:rPr>
          <w:rFonts w:ascii="Verdana" w:hAnsi="Verdana" w:cs="Arial"/>
          <w:lang w:eastAsia="x-none"/>
        </w:rPr>
      </w:pPr>
      <w:r w:rsidRPr="00AD17FF">
        <w:rPr>
          <w:rFonts w:ascii="Verdana" w:hAnsi="Verdana" w:cs="Arial"/>
          <w:lang w:eastAsia="x-none"/>
        </w:rPr>
        <w:t>Lo anterior supone que, en aquellos procedimientos que contemplen convocatorias o invitaciones para contratar que se limiten a aquellas personas que previamente se hayan inscrito en una lista de precalificados o de interesados, lo determinante para considerar que dicho sistema no constituye “contratación directa”, es que la convocatoria para inscribirse en forma previa se haga de manera pública, y que se permita la participación de una pluralidad de oferentes3. Esta circunstancia no se extiende a la contratación directa aplicable en algunos regímenes especiales con listas de precalificados, ya que a efecto de que no se configure la contratación directa, la selección del futuro contratista debe darse en términos de competencia</w:t>
      </w:r>
      <w:r>
        <w:rPr>
          <w:rStyle w:val="FootnoteReference"/>
          <w:rFonts w:ascii="Verdana" w:hAnsi="Verdana" w:cs="Arial"/>
          <w:lang w:eastAsia="x-none"/>
        </w:rPr>
        <w:footnoteReference w:id="18"/>
      </w:r>
      <w:r w:rsidRPr="00AD17FF">
        <w:rPr>
          <w:rFonts w:ascii="Verdana" w:hAnsi="Verdana" w:cs="Arial"/>
          <w:lang w:eastAsia="x-none"/>
        </w:rPr>
        <w:t>.</w:t>
      </w:r>
    </w:p>
    <w:bookmarkEnd w:id="16"/>
    <w:p w14:paraId="522A1D54" w14:textId="77777777" w:rsidR="00555198" w:rsidRPr="007E27D9" w:rsidRDefault="00555198" w:rsidP="00555198">
      <w:pPr>
        <w:spacing w:after="120" w:line="276" w:lineRule="auto"/>
        <w:ind w:firstLine="709"/>
        <w:jc w:val="both"/>
        <w:rPr>
          <w:rFonts w:ascii="Verdana" w:hAnsi="Verdana" w:cs="Arial"/>
          <w:lang w:eastAsia="x-none"/>
        </w:rPr>
      </w:pPr>
      <w:r w:rsidRPr="00195E24">
        <w:rPr>
          <w:rFonts w:ascii="Verdana" w:hAnsi="Verdana" w:cs="Arial"/>
          <w:bCs/>
          <w:lang w:eastAsia="x-none"/>
        </w:rPr>
        <w:t>De lo anterior se desprende que la restricción aplica, sin perjuicio de las excepciones establecidas en la misma ley</w:t>
      </w:r>
      <w:r w:rsidRPr="00671D27">
        <w:rPr>
          <w:rFonts w:ascii="Verdana" w:hAnsi="Verdana" w:cs="Arial"/>
          <w:bCs/>
          <w:lang w:eastAsia="x-none"/>
        </w:rPr>
        <w:t>, para celebrar cualquier contrato de forma directa, esto es, sin que exista un proceso abierto y competitivo.</w:t>
      </w:r>
      <w:r w:rsidRPr="00671D27">
        <w:rPr>
          <w:rFonts w:ascii="Verdana" w:hAnsi="Verdana" w:cs="Arial"/>
          <w:lang w:eastAsia="x-none"/>
        </w:rPr>
        <w:t xml:space="preserve"> Por tanto, no son materia de la prohibición las demás modalidades de selección previstas en la Ley 1150 de 2007, es decir, la licitación pública, el concurso de méritos, la selección abreviada y la contratación de mínima cuantía, razón por la cual en el</w:t>
      </w:r>
      <w:r w:rsidRPr="00195E24">
        <w:rPr>
          <w:rFonts w:ascii="Verdana" w:hAnsi="Verdana" w:cs="Arial"/>
          <w:lang w:eastAsia="x-none"/>
        </w:rPr>
        <w:t xml:space="preserve"> período preelectoral de que trata la disposición las entidades públicas pueden seguir contratando bajo estos sistemas</w:t>
      </w:r>
      <w:r w:rsidRPr="007E27D9">
        <w:rPr>
          <w:rFonts w:ascii="Verdana" w:hAnsi="Verdana" w:cs="Arial"/>
          <w:lang w:eastAsia="x-none"/>
        </w:rPr>
        <w:t>.</w:t>
      </w:r>
    </w:p>
    <w:p w14:paraId="34B40EC9" w14:textId="77777777" w:rsidR="00555198" w:rsidRPr="00CE0712" w:rsidRDefault="00555198" w:rsidP="00555198">
      <w:pPr>
        <w:spacing w:after="120" w:line="276" w:lineRule="auto"/>
        <w:ind w:firstLine="709"/>
        <w:jc w:val="both"/>
        <w:rPr>
          <w:rFonts w:ascii="Verdana" w:hAnsi="Verdana" w:cs="Arial"/>
          <w:bCs/>
          <w:color w:val="000000" w:themeColor="text1"/>
          <w:lang w:val="es-MX" w:eastAsia="x-none"/>
        </w:rPr>
      </w:pPr>
      <w:r w:rsidRPr="73D21086">
        <w:rPr>
          <w:rFonts w:ascii="Verdana" w:hAnsi="Verdana" w:cs="Arial"/>
          <w:color w:val="000000" w:themeColor="text1"/>
          <w:lang w:val="es-MX"/>
        </w:rPr>
        <w:t>Ahora bien, en relación con los destinatarios de las restricciones, el artículo 33 de la Ley 996 de 2005 los señala expresamente, en el sentido de que son “</w:t>
      </w:r>
      <w:r w:rsidRPr="73D21086">
        <w:rPr>
          <w:rFonts w:ascii="Verdana" w:hAnsi="Verdana" w:cs="Arial"/>
          <w:i/>
          <w:color w:val="000000" w:themeColor="text1"/>
          <w:lang w:val="es-MX"/>
        </w:rPr>
        <w:t>todos los entes del Estado</w:t>
      </w:r>
      <w:r w:rsidRPr="73D21086">
        <w:rPr>
          <w:rFonts w:ascii="Verdana" w:hAnsi="Verdana" w:cs="Arial"/>
          <w:color w:val="000000" w:themeColor="text1"/>
          <w:lang w:val="es-MX"/>
        </w:rPr>
        <w:t xml:space="preserve">”,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p>
    <w:p w14:paraId="7AA804BD" w14:textId="77777777" w:rsidR="00555198" w:rsidRDefault="00555198" w:rsidP="00555198">
      <w:pPr>
        <w:spacing w:after="120" w:line="276" w:lineRule="auto"/>
        <w:ind w:firstLine="709"/>
        <w:jc w:val="both"/>
        <w:rPr>
          <w:rFonts w:ascii="Verdana" w:hAnsi="Verdana" w:cs="Arial"/>
          <w:color w:val="000000" w:themeColor="text1"/>
          <w:lang w:val="es-MX"/>
        </w:rPr>
      </w:pPr>
      <w:r w:rsidRPr="73D21086">
        <w:rPr>
          <w:rFonts w:ascii="Verdana" w:hAnsi="Verdana" w:cs="Arial"/>
          <w:color w:val="000000" w:themeColor="text1"/>
          <w:lang w:val="es-MX"/>
        </w:rPr>
        <w:t>La Sala de Consulta y Servicio Civil del Consejo de Estado, en Concepto 1727 del 20 de febrero de 2006, consideró que 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73D21086">
        <w:rPr>
          <w:rFonts w:ascii="Verdana" w:hAnsi="Verdana" w:cs="Arial"/>
          <w:color w:val="000000" w:themeColor="text1"/>
          <w:vertAlign w:val="superscript"/>
          <w:lang w:val="es-MX"/>
        </w:rPr>
        <w:footnoteReference w:id="19"/>
      </w:r>
      <w:r w:rsidRPr="73D21086">
        <w:rPr>
          <w:rFonts w:ascii="Verdana" w:hAnsi="Verdana" w:cs="Arial"/>
          <w:color w:val="000000" w:themeColor="text1"/>
          <w:lang w:val="es-MX"/>
        </w:rPr>
        <w:t xml:space="preserve">. </w:t>
      </w:r>
    </w:p>
    <w:p w14:paraId="1ACAD10E" w14:textId="00CF02AB" w:rsidR="00555198" w:rsidRPr="002D6B92" w:rsidRDefault="00555198" w:rsidP="00A34D9F">
      <w:pPr>
        <w:spacing w:after="0" w:line="276" w:lineRule="auto"/>
        <w:ind w:firstLine="709"/>
        <w:jc w:val="both"/>
        <w:rPr>
          <w:rFonts w:ascii="Verdana" w:hAnsi="Verdana" w:cs="Arial"/>
          <w:color w:val="000000" w:themeColor="text1"/>
          <w:lang w:val="es-MX"/>
        </w:rPr>
      </w:pPr>
      <w:r w:rsidRPr="73D21086">
        <w:rPr>
          <w:rFonts w:ascii="Verdana" w:hAnsi="Verdana" w:cs="Arial"/>
          <w:color w:val="000000" w:themeColor="text1"/>
          <w:lang w:val="es-MX"/>
        </w:rPr>
        <w:t>De igual forma, en Concepto con radicado 1738 del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CE0D82">
        <w:rPr>
          <w:rFonts w:ascii="Verdana" w:hAnsi="Verdana" w:cs="Arial"/>
          <w:color w:val="000000" w:themeColor="text1"/>
          <w:vertAlign w:val="superscript"/>
          <w:lang w:val="es-MX"/>
        </w:rPr>
        <w:footnoteReference w:id="20"/>
      </w:r>
      <w:r w:rsidRPr="73D21086">
        <w:rPr>
          <w:rFonts w:ascii="Verdana" w:hAnsi="Verdana" w:cs="Arial"/>
          <w:color w:val="000000" w:themeColor="text1"/>
          <w:lang w:val="es-MX"/>
        </w:rPr>
        <w:t>.</w:t>
      </w:r>
      <w:r w:rsidRPr="00CE0D82">
        <w:rPr>
          <w:rFonts w:ascii="Verdana" w:hAnsi="Verdana" w:cs="Arial"/>
          <w:color w:val="000000" w:themeColor="text1"/>
          <w:lang w:val="es-MX"/>
        </w:rPr>
        <w:t xml:space="preserve"> Además, la Sala de Consulta y Servicio Civil del Consejo de Estado realizó la siguiente distinción, retomando el pronunciamiento de la misma sala del 20 de febrero de 2006, citado anteriormente:</w:t>
      </w:r>
    </w:p>
    <w:p w14:paraId="20A60894" w14:textId="77777777" w:rsidR="00A34D9F" w:rsidRPr="002D6B92" w:rsidRDefault="00A34D9F" w:rsidP="00D71B7F">
      <w:pPr>
        <w:spacing w:after="0" w:line="276" w:lineRule="auto"/>
        <w:ind w:firstLine="709"/>
        <w:jc w:val="both"/>
        <w:rPr>
          <w:rFonts w:ascii="Verdana" w:hAnsi="Verdana" w:cs="Arial"/>
          <w:color w:val="000000" w:themeColor="text1"/>
          <w:lang w:val="es-MX"/>
        </w:rPr>
      </w:pPr>
    </w:p>
    <w:p w14:paraId="71C2CC71" w14:textId="77777777" w:rsidR="00555198" w:rsidRPr="005800D0" w:rsidRDefault="00555198" w:rsidP="00555198">
      <w:pPr>
        <w:spacing w:after="0" w:line="240" w:lineRule="auto"/>
        <w:ind w:left="709" w:right="709"/>
        <w:jc w:val="both"/>
        <w:rPr>
          <w:rFonts w:ascii="Verdana" w:hAnsi="Verdana" w:cs="Arial"/>
          <w:color w:val="000000" w:themeColor="text1"/>
          <w:sz w:val="20"/>
          <w:szCs w:val="20"/>
          <w:lang w:val="es-MX"/>
        </w:rPr>
      </w:pPr>
      <w:r w:rsidRPr="005800D0">
        <w:rPr>
          <w:rFonts w:ascii="Verdana" w:hAnsi="Verdana" w:cs="Arial"/>
          <w:color w:val="000000" w:themeColor="text1"/>
          <w:sz w:val="20"/>
          <w:szCs w:val="20"/>
          <w:lang w:val="es-MX"/>
        </w:rPr>
        <w:t>“</w:t>
      </w:r>
      <w:r>
        <w:rPr>
          <w:rFonts w:ascii="Verdana" w:hAnsi="Verdana" w:cs="Arial"/>
          <w:color w:val="000000" w:themeColor="text1"/>
          <w:sz w:val="20"/>
          <w:szCs w:val="20"/>
          <w:lang w:val="es-MX"/>
        </w:rPr>
        <w:t>(…)</w:t>
      </w:r>
      <w:r w:rsidRPr="005800D0">
        <w:rPr>
          <w:rFonts w:ascii="Verdana" w:hAnsi="Verdana" w:cs="Arial"/>
          <w:color w:val="000000" w:themeColor="text1"/>
          <w:sz w:val="20"/>
          <w:szCs w:val="20"/>
          <w:lang w:val="es-MX"/>
        </w:rPr>
        <w:t xml:space="preserve"> 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5929FA65" w14:textId="77777777" w:rsidR="00555198" w:rsidRDefault="00555198" w:rsidP="00555198">
      <w:pPr>
        <w:spacing w:after="0" w:line="240" w:lineRule="auto"/>
        <w:ind w:left="709" w:right="709"/>
        <w:jc w:val="both"/>
        <w:rPr>
          <w:rFonts w:ascii="Verdana" w:hAnsi="Verdana" w:cs="Arial"/>
          <w:color w:val="000000" w:themeColor="text1"/>
          <w:sz w:val="20"/>
          <w:szCs w:val="20"/>
          <w:lang w:val="es-MX"/>
        </w:rPr>
      </w:pPr>
    </w:p>
    <w:p w14:paraId="3A77CB89" w14:textId="77777777" w:rsidR="00555198" w:rsidRPr="00435A6A" w:rsidRDefault="00555198" w:rsidP="00555198">
      <w:pPr>
        <w:spacing w:after="0" w:line="240" w:lineRule="auto"/>
        <w:ind w:left="709" w:right="709"/>
        <w:jc w:val="both"/>
        <w:rPr>
          <w:rFonts w:ascii="Verdana" w:hAnsi="Verdana" w:cs="Arial"/>
          <w:color w:val="000000" w:themeColor="text1"/>
          <w:sz w:val="20"/>
          <w:szCs w:val="20"/>
          <w:lang w:val="es-MX" w:eastAsia="x-none"/>
        </w:rPr>
      </w:pPr>
      <w:r w:rsidRPr="005800D0">
        <w:rPr>
          <w:rFonts w:ascii="Verdana" w:hAnsi="Verdana" w:cs="Arial"/>
          <w:color w:val="000000" w:themeColor="text1"/>
          <w:sz w:val="20"/>
          <w:szCs w:val="20"/>
          <w:lang w:val="es-MX"/>
        </w:rPr>
        <w:t>Aplicando este razonamiento a los establecimientos de crédito, a las sociedades de servicios financieros y a las entidades aseguradoras, 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Pr>
          <w:rFonts w:ascii="Verdana" w:hAnsi="Verdana" w:cs="Arial"/>
          <w:color w:val="000000" w:themeColor="text1"/>
          <w:sz w:val="20"/>
          <w:szCs w:val="20"/>
          <w:lang w:val="es-MX"/>
        </w:rPr>
        <w:t>”</w:t>
      </w:r>
      <w:r w:rsidRPr="005800D0">
        <w:rPr>
          <w:rFonts w:ascii="Verdana" w:hAnsi="Verdana" w:cs="Arial"/>
          <w:color w:val="000000" w:themeColor="text1"/>
          <w:sz w:val="20"/>
          <w:szCs w:val="20"/>
          <w:vertAlign w:val="superscript"/>
          <w:lang w:val="es-MX"/>
        </w:rPr>
        <w:footnoteReference w:id="21"/>
      </w:r>
      <w:r w:rsidRPr="005800D0">
        <w:rPr>
          <w:rFonts w:ascii="Verdana" w:hAnsi="Verdana" w:cs="Arial"/>
          <w:color w:val="000000" w:themeColor="text1"/>
          <w:sz w:val="20"/>
          <w:szCs w:val="20"/>
          <w:lang w:val="es-MX" w:eastAsia="x-none"/>
        </w:rPr>
        <w:t>.</w:t>
      </w:r>
    </w:p>
    <w:p w14:paraId="20C80E41" w14:textId="77777777" w:rsidR="00555198" w:rsidRDefault="00555198" w:rsidP="00555198">
      <w:pPr>
        <w:spacing w:after="0" w:line="240" w:lineRule="auto"/>
        <w:ind w:firstLine="709"/>
        <w:jc w:val="both"/>
        <w:rPr>
          <w:rFonts w:ascii="Verdana" w:hAnsi="Verdana" w:cs="Arial"/>
          <w:color w:val="000000" w:themeColor="text1"/>
          <w:lang w:val="es-MX"/>
        </w:rPr>
      </w:pPr>
    </w:p>
    <w:p w14:paraId="35D79208" w14:textId="77777777" w:rsidR="00555198" w:rsidRDefault="00555198" w:rsidP="00555198">
      <w:pPr>
        <w:spacing w:after="120" w:line="276" w:lineRule="auto"/>
        <w:ind w:firstLine="709"/>
        <w:jc w:val="both"/>
        <w:rPr>
          <w:rFonts w:ascii="Verdana" w:hAnsi="Verdana" w:cs="Arial"/>
          <w:color w:val="000000" w:themeColor="text1"/>
          <w:lang w:eastAsia="es-CO"/>
        </w:rPr>
      </w:pPr>
      <w:r w:rsidRPr="00195E24">
        <w:rPr>
          <w:rFonts w:ascii="Verdana" w:hAnsi="Verdana" w:cs="Arial"/>
          <w:color w:val="000000" w:themeColor="text1"/>
          <w:lang w:val="es-MX"/>
        </w:rPr>
        <w:t>De acuerdo con estos pronunciamientos de la Sala de Consulta y Servicio Civil del Consejo de Estado, la prohibición de la contratación directa también aplica frente a las entidades exceptuadas del E</w:t>
      </w:r>
      <w:r>
        <w:rPr>
          <w:rFonts w:ascii="Verdana" w:hAnsi="Verdana" w:cs="Arial"/>
          <w:color w:val="000000" w:themeColor="text1"/>
          <w:lang w:val="es-MX"/>
        </w:rPr>
        <w:t xml:space="preserve">statuto </w:t>
      </w:r>
      <w:r w:rsidRPr="00195E24">
        <w:rPr>
          <w:rFonts w:ascii="Verdana" w:hAnsi="Verdana" w:cs="Arial"/>
          <w:color w:val="000000" w:themeColor="text1"/>
          <w:lang w:val="es-MX"/>
        </w:rPr>
        <w:t>G</w:t>
      </w:r>
      <w:r>
        <w:rPr>
          <w:rFonts w:ascii="Verdana" w:hAnsi="Verdana" w:cs="Arial"/>
          <w:color w:val="000000" w:themeColor="text1"/>
          <w:lang w:val="es-MX"/>
        </w:rPr>
        <w:t xml:space="preserve">eneral de </w:t>
      </w:r>
      <w:r w:rsidRPr="00195E24">
        <w:rPr>
          <w:rFonts w:ascii="Verdana" w:hAnsi="Verdana" w:cs="Arial"/>
          <w:color w:val="000000" w:themeColor="text1"/>
          <w:lang w:val="es-MX"/>
        </w:rPr>
        <w:t>C</w:t>
      </w:r>
      <w:r>
        <w:rPr>
          <w:rFonts w:ascii="Verdana" w:hAnsi="Verdana" w:cs="Arial"/>
          <w:color w:val="000000" w:themeColor="text1"/>
          <w:lang w:val="es-MX"/>
        </w:rPr>
        <w:t xml:space="preserve">ontratación de la </w:t>
      </w:r>
      <w:r w:rsidRPr="00195E24">
        <w:rPr>
          <w:rFonts w:ascii="Verdana" w:hAnsi="Verdana" w:cs="Arial"/>
          <w:color w:val="000000" w:themeColor="text1"/>
          <w:lang w:val="es-MX"/>
        </w:rPr>
        <w:t>A</w:t>
      </w:r>
      <w:r>
        <w:rPr>
          <w:rFonts w:ascii="Verdana" w:hAnsi="Verdana" w:cs="Arial"/>
          <w:color w:val="000000" w:themeColor="text1"/>
          <w:lang w:val="es-MX"/>
        </w:rPr>
        <w:t xml:space="preserve">dministración </w:t>
      </w:r>
      <w:r w:rsidRPr="00195E24">
        <w:rPr>
          <w:rFonts w:ascii="Verdana" w:hAnsi="Verdana" w:cs="Arial"/>
          <w:color w:val="000000" w:themeColor="text1"/>
          <w:lang w:val="es-MX"/>
        </w:rPr>
        <w:t>P</w:t>
      </w:r>
      <w:r>
        <w:rPr>
          <w:rFonts w:ascii="Verdana" w:hAnsi="Verdana" w:cs="Arial"/>
          <w:color w:val="000000" w:themeColor="text1"/>
          <w:lang w:val="es-MX"/>
        </w:rPr>
        <w:t>ública</w:t>
      </w:r>
      <w:r w:rsidRPr="00195E24">
        <w:rPr>
          <w:rFonts w:ascii="Verdana" w:hAnsi="Verdana" w:cs="Arial"/>
          <w:color w:val="000000" w:themeColor="text1"/>
          <w:lang w:val="es-MX"/>
        </w:rPr>
        <w:t xml:space="preserve"> y que se rigen en materia contractual por el derecho privado. Sin embargo, señaló que algunas de estas entidades, como sucede con las empresas de servicios públicos domiciliarios, los </w:t>
      </w:r>
      <w:r w:rsidRPr="73D21086">
        <w:rPr>
          <w:rFonts w:ascii="Verdana" w:hAnsi="Verdana" w:cs="Arial"/>
          <w:color w:val="000000" w:themeColor="text1"/>
          <w:lang w:val="es-MX"/>
        </w:rPr>
        <w:t>establecimientos de crédito, las sociedades de servicios financieros y las entidades aseguradoras</w:t>
      </w:r>
      <w:r w:rsidRPr="00195E24">
        <w:rPr>
          <w:rFonts w:ascii="Verdana" w:hAnsi="Verdana" w:cs="Arial"/>
          <w:color w:val="000000" w:themeColor="text1"/>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sidRPr="00195E24">
        <w:rPr>
          <w:rFonts w:ascii="Verdana" w:hAnsi="Verdana" w:cs="Arial"/>
          <w:color w:val="000000" w:themeColor="text1"/>
          <w:vertAlign w:val="superscript"/>
          <w:lang w:val="es-MX"/>
        </w:rPr>
        <w:footnoteReference w:id="22"/>
      </w:r>
      <w:r w:rsidRPr="00195E24">
        <w:rPr>
          <w:rFonts w:ascii="Verdana" w:hAnsi="Verdana" w:cs="Arial"/>
          <w:color w:val="000000" w:themeColor="text1"/>
          <w:lang w:val="es-MX"/>
        </w:rPr>
        <w:t>.</w:t>
      </w:r>
      <w:r w:rsidRPr="00195E24">
        <w:rPr>
          <w:rFonts w:ascii="Verdana" w:hAnsi="Verdana" w:cs="Arial"/>
          <w:color w:val="000000" w:themeColor="text1"/>
          <w:lang w:eastAsia="es-CO"/>
        </w:rPr>
        <w:t xml:space="preserve"> </w:t>
      </w:r>
    </w:p>
    <w:p w14:paraId="2A09FC26" w14:textId="77777777" w:rsidR="00555198" w:rsidRPr="00195E24" w:rsidRDefault="00555198" w:rsidP="00555198">
      <w:pPr>
        <w:spacing w:after="120" w:line="276" w:lineRule="auto"/>
        <w:ind w:firstLine="709"/>
        <w:jc w:val="both"/>
        <w:rPr>
          <w:rFonts w:ascii="Verdana" w:hAnsi="Verdana" w:cs="Arial"/>
          <w:color w:val="000000" w:themeColor="text1"/>
          <w:lang w:eastAsia="es-CO"/>
        </w:rPr>
      </w:pPr>
      <w:r w:rsidRPr="00CE0D82">
        <w:rPr>
          <w:rFonts w:ascii="Verdana" w:hAnsi="Verdana" w:cs="Arial"/>
          <w:color w:val="000000" w:themeColor="text1"/>
          <w:lang w:eastAsia="es-CO"/>
        </w:rPr>
        <w:t>Sin perjuicio de estos pronunciamientos de la Sala de Consulta y Servicio Civil</w:t>
      </w:r>
      <w:r w:rsidRPr="00CE0D82">
        <w:rPr>
          <w:rFonts w:ascii="Verdana" w:hAnsi="Verdana" w:cs="Arial"/>
          <w:color w:val="000000" w:themeColor="text1"/>
          <w:lang w:val="es-MX"/>
        </w:rPr>
        <w:t xml:space="preserve">, como la ha señalado esa misma Corporación, la restricción prevista en la Ley 996 de 2005 </w:t>
      </w:r>
      <w:r w:rsidRPr="00CE0D82">
        <w:rPr>
          <w:rFonts w:ascii="Verdana" w:hAnsi="Verdana" w:cs="Arial"/>
          <w:bCs/>
          <w:color w:val="000000" w:themeColor="text1"/>
          <w:lang w:val="es-MX" w:eastAsia="x-none"/>
        </w:rPr>
        <w:t xml:space="preserve">cobija a cualquier entidad pública independiente del régimen jurídico, que pueda mediante la contratación directa romper el equilibrio entre los candidatos en desarrollo de las elecciones presidenciales. </w:t>
      </w:r>
    </w:p>
    <w:p w14:paraId="5C1AFCF8" w14:textId="77777777" w:rsidR="00555198" w:rsidRPr="00CE0712" w:rsidRDefault="00555198" w:rsidP="00555198">
      <w:pPr>
        <w:spacing w:after="120" w:line="276" w:lineRule="auto"/>
        <w:ind w:firstLine="709"/>
        <w:jc w:val="both"/>
        <w:rPr>
          <w:rFonts w:ascii="Verdana" w:hAnsi="Verdana" w:cs="Arial"/>
          <w:bCs/>
          <w:color w:val="000000" w:themeColor="text1"/>
          <w:lang w:val="es-MX" w:eastAsia="x-none"/>
        </w:rPr>
      </w:pPr>
      <w:r w:rsidRPr="73D21086">
        <w:rPr>
          <w:rFonts w:ascii="Verdana" w:hAnsi="Verdana" w:cs="Arial"/>
          <w:color w:val="000000" w:themeColor="text1"/>
          <w:lang w:val="es-MX"/>
        </w:rPr>
        <w:t xml:space="preserve">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puede presentarse tanto en la contratación regulada por la Ley 80 de 1993 como en la regida por normas especiales. </w:t>
      </w:r>
    </w:p>
    <w:p w14:paraId="126794A8" w14:textId="77777777" w:rsidR="00555198" w:rsidRDefault="00555198" w:rsidP="00555198">
      <w:pPr>
        <w:spacing w:after="120" w:line="276" w:lineRule="auto"/>
        <w:ind w:firstLine="709"/>
        <w:jc w:val="both"/>
        <w:rPr>
          <w:rFonts w:ascii="Verdana" w:hAnsi="Verdana" w:cs="Arial"/>
          <w:bCs/>
          <w:lang w:eastAsia="x-none"/>
        </w:rPr>
      </w:pPr>
      <w:r w:rsidRPr="00E36918">
        <w:rPr>
          <w:rFonts w:ascii="Verdana" w:eastAsia="Times New Roman" w:hAnsi="Verdana" w:cs="Arial"/>
          <w:bCs/>
          <w:lang w:val="es-ES" w:eastAsia="es-CO" w:bidi="es-ES"/>
        </w:rPr>
        <w:t xml:space="preserve">Ahora bien, las entidades públicas, de acuerdo con el inciso final del artículo 33 de la Ley 996 de 2005 –Ley de Garantías Electorales–, y previo análisis de la naturaleza de las actividades que adelantan, podrán realizar procedimientos de selección directa en períodos previos a la contienda electoral por la Presidencia, cuando el contrato a celebrar se enmarquen dentro de algunas de las excepciones consagradas en dicha disposición, esto es: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En todo caso, </w:t>
      </w:r>
      <w:r w:rsidRPr="00E36918">
        <w:rPr>
          <w:rFonts w:ascii="Verdana" w:hAnsi="Verdana" w:cs="Arial"/>
          <w:bCs/>
          <w:lang w:eastAsia="x-none"/>
        </w:rPr>
        <w:t xml:space="preserve">se aclara que, la planeación, los estudios técnicos, jurídicos y económicos, que debe preceder la celebración de cada contrato, y que determinan su viabilidad desde tales perspectivas, son asuntos que competen a las entidades estatales que adelantan los procesos de contratación respectivos, con el apoyo de sus funcionarios y órganos asesores.   </w:t>
      </w:r>
    </w:p>
    <w:p w14:paraId="2ABEAD5A" w14:textId="77777777" w:rsidR="00555198" w:rsidRDefault="00555198" w:rsidP="00555198">
      <w:pPr>
        <w:spacing w:after="120" w:line="276" w:lineRule="auto"/>
        <w:ind w:firstLine="709"/>
        <w:jc w:val="both"/>
        <w:rPr>
          <w:rFonts w:ascii="Verdana" w:hAnsi="Verdana" w:cs="Arial"/>
          <w:bCs/>
          <w:lang w:val="es-MX" w:eastAsia="x-none"/>
        </w:rPr>
      </w:pPr>
      <w:r w:rsidRPr="00F8199A">
        <w:rPr>
          <w:rFonts w:ascii="Verdana" w:hAnsi="Verdana" w:cs="Arial"/>
          <w:bCs/>
          <w:lang w:val="es-MX" w:eastAsia="x-none"/>
        </w:rPr>
        <w:t xml:space="preserve">En esta labor es importante tener en cuenta, como lo anotó la Corte Constitucional, en Sentencia C-1153 de noviembre 11 de 2005 </w:t>
      </w:r>
      <w:bookmarkStart w:id="18" w:name="_Hlk74309042"/>
      <w:r w:rsidRPr="00F8199A">
        <w:rPr>
          <w:rFonts w:ascii="Verdana" w:hAnsi="Verdana" w:cs="Arial"/>
          <w:bCs/>
          <w:lang w:val="es-MX" w:eastAsia="x-none"/>
        </w:rPr>
        <w:t xml:space="preserve">que </w:t>
      </w:r>
      <w:r>
        <w:rPr>
          <w:rFonts w:ascii="Verdana" w:hAnsi="Verdana" w:cs="Arial"/>
          <w:bCs/>
          <w:lang w:val="es-MX" w:eastAsia="x-none"/>
        </w:rPr>
        <w:t>“</w:t>
      </w:r>
      <w:bookmarkEnd w:id="18"/>
      <w:r w:rsidRPr="00F8199A">
        <w:rPr>
          <w:rFonts w:ascii="Verdana" w:hAnsi="Verdana" w:cs="Arial"/>
          <w:bCs/>
          <w:lang w:val="es-MX" w:eastAsia="x-none"/>
        </w:rPr>
        <w:t xml:space="preserve">si bien la limitación garantiza la igualdad de condiciones, también es necesario que tal limitación que pretende la igualdad </w:t>
      </w:r>
      <w:bookmarkStart w:id="19" w:name="_Hlk75768308"/>
      <w:r w:rsidRPr="00F8199A">
        <w:rPr>
          <w:rFonts w:ascii="Verdana" w:hAnsi="Verdana" w:cs="Arial"/>
          <w:bCs/>
          <w:lang w:val="es-MX" w:eastAsia="x-none"/>
        </w:rPr>
        <w:t>no termine yendo en detrimento de intereses públicos, cuya garantía está en cabeza del ejecutivo, como son los inmersos en las excepciones para la prohibición de contratación</w:t>
      </w:r>
      <w:r>
        <w:rPr>
          <w:rFonts w:ascii="Verdana" w:hAnsi="Verdana" w:cs="Arial"/>
          <w:bCs/>
          <w:lang w:val="es-MX" w:eastAsia="x-none"/>
        </w:rPr>
        <w:t>”</w:t>
      </w:r>
      <w:r w:rsidRPr="00F8199A">
        <w:rPr>
          <w:rFonts w:ascii="Verdana" w:hAnsi="Verdana" w:cs="Arial"/>
          <w:vertAlign w:val="superscript"/>
          <w:lang w:val="es-MX"/>
        </w:rPr>
        <w:footnoteReference w:id="23"/>
      </w:r>
      <w:r w:rsidRPr="00F8199A">
        <w:rPr>
          <w:rFonts w:ascii="Verdana" w:hAnsi="Verdana" w:cs="Arial"/>
          <w:bCs/>
          <w:lang w:val="es-MX"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End w:id="19"/>
    </w:p>
    <w:p w14:paraId="700D11A3" w14:textId="77777777" w:rsidR="00555198" w:rsidRPr="0004207F" w:rsidRDefault="00555198" w:rsidP="00555198">
      <w:pPr>
        <w:spacing w:after="120" w:line="276" w:lineRule="auto"/>
        <w:ind w:firstLine="709"/>
        <w:jc w:val="both"/>
        <w:rPr>
          <w:rFonts w:ascii="Verdana" w:hAnsi="Verdana" w:cs="Arial"/>
          <w:bCs/>
          <w:lang w:val="es-MX" w:eastAsia="x-none"/>
        </w:rPr>
      </w:pPr>
      <w:r w:rsidRPr="0004207F">
        <w:rPr>
          <w:rFonts w:ascii="Verdana" w:hAnsi="Verdana" w:cs="Arial"/>
          <w:bCs/>
          <w:lang w:val="es-MX" w:eastAsia="x-none"/>
        </w:rPr>
        <w:t>Es importante reiterar que el segundo inciso del artículo 33 de la Ley de Garantías Electorales consagró las excepciones aplicables a la prohibición de contratación directa establecida en el mismo artículo. La Sala de Consulta y Servicio Civil del Consejo de Estado, en Concepto del 4 de febrero de 2010, explica que “</w:t>
      </w:r>
      <w:r>
        <w:rPr>
          <w:rFonts w:ascii="Verdana" w:hAnsi="Verdana" w:cs="Arial"/>
          <w:bCs/>
          <w:lang w:val="es-MX" w:eastAsia="x-none"/>
        </w:rPr>
        <w:t>(…)</w:t>
      </w:r>
      <w:r w:rsidRPr="0004207F">
        <w:rPr>
          <w:rFonts w:ascii="Verdana" w:hAnsi="Verdana" w:cs="Arial"/>
          <w:bCs/>
          <w:lang w:val="es-MX" w:eastAsia="x-none"/>
        </w:rPr>
        <w:t xml:space="preserve"> Las excepciones establecidas en los artículos 32 y 33 en comento, guardan relación, exclusivamente, con algunos servicios públicos que por su naturaleza no admiten postergaciones en la atención de sus necesidades de personal, bienes y servicios </w:t>
      </w:r>
      <w:r>
        <w:rPr>
          <w:rFonts w:ascii="Verdana" w:hAnsi="Verdana" w:cs="Arial"/>
          <w:bCs/>
          <w:lang w:val="es-MX" w:eastAsia="x-none"/>
        </w:rPr>
        <w:t>(…)</w:t>
      </w:r>
      <w:r w:rsidRPr="0004207F">
        <w:rPr>
          <w:rFonts w:ascii="Verdana" w:hAnsi="Verdana" w:cs="Arial"/>
          <w:bCs/>
          <w:lang w:val="es-MX" w:eastAsia="x-none"/>
        </w:rPr>
        <w:t>”</w:t>
      </w:r>
      <w:r w:rsidRPr="0004207F">
        <w:rPr>
          <w:rStyle w:val="FootnoteReference"/>
          <w:rFonts w:ascii="Verdana" w:hAnsi="Verdana" w:cs="Arial"/>
          <w:lang w:val="es-ES_tradnl" w:eastAsia="es-CO"/>
        </w:rPr>
        <w:footnoteReference w:id="24"/>
      </w:r>
      <w:r w:rsidRPr="0004207F">
        <w:rPr>
          <w:rFonts w:ascii="Verdana" w:hAnsi="Verdana" w:cs="Arial"/>
          <w:bCs/>
          <w:lang w:val="es-MX" w:eastAsia="x-none"/>
        </w:rPr>
        <w:t>.</w:t>
      </w:r>
    </w:p>
    <w:p w14:paraId="406A800B" w14:textId="77777777" w:rsidR="00555198" w:rsidRPr="0004207F" w:rsidRDefault="00555198" w:rsidP="00D71B7F">
      <w:pPr>
        <w:shd w:val="clear" w:color="auto" w:fill="FFFFFF" w:themeFill="background1"/>
        <w:spacing w:after="120" w:line="276" w:lineRule="auto"/>
        <w:ind w:firstLine="709"/>
        <w:jc w:val="both"/>
        <w:rPr>
          <w:rFonts w:ascii="Verdana" w:hAnsi="Verdana" w:cs="Arial"/>
          <w:lang w:val="es-ES" w:eastAsia="es-CO"/>
        </w:rPr>
      </w:pPr>
      <w:r w:rsidRPr="2E79A5E2">
        <w:rPr>
          <w:rFonts w:ascii="Verdana" w:hAnsi="Verdana" w:cs="Arial"/>
          <w:lang w:val="es-ES" w:eastAsia="es-CO"/>
        </w:rPr>
        <w:t>A su vez, la Corte Constitucional, al analizar la constitucionalidad de la Ley de Garantías Electorales, consideró que las prohibiciones consagradas en los artículos 32 y 33 de la ley mencionada no pueden ir en detrimento de intereses públicos. Por lo anterior, la Alta Corte consideró que las excepciones para la prohibición de contratación se encontraban justificadas, declarando su exequibilidad. Así, por ejemplo, la Corte Constitucional explicó que “</w:t>
      </w:r>
      <w:r>
        <w:rPr>
          <w:rFonts w:ascii="Verdana" w:hAnsi="Verdana" w:cs="Arial"/>
          <w:lang w:val="es-ES" w:eastAsia="es-CO"/>
        </w:rPr>
        <w:t>(…)</w:t>
      </w:r>
      <w:r w:rsidRPr="2E79A5E2">
        <w:rPr>
          <w:rFonts w:ascii="Verdana" w:hAnsi="Verdana" w:cs="Arial"/>
          <w:lang w:val="es-ES" w:eastAsia="es-CO"/>
        </w:rPr>
        <w:t xml:space="preserve"> las excepciones de limitación protegen diversos tipos de urgencias de defensa, salud, educación, infraestructura vial y de servicios públicos y ecológicas tienden a no limitar desproporcionadamente la acción del Estado en el cumplimiento de sus fines, en procura de la igualdad entre candidatos como garantía electoral”</w:t>
      </w:r>
      <w:r w:rsidRPr="2E79A5E2">
        <w:rPr>
          <w:rStyle w:val="FootnoteReference"/>
          <w:rFonts w:ascii="Verdana" w:hAnsi="Verdana" w:cs="Arial"/>
          <w:lang w:val="es-ES" w:eastAsia="es-CO"/>
        </w:rPr>
        <w:footnoteReference w:id="25"/>
      </w:r>
      <w:r w:rsidRPr="2E79A5E2">
        <w:rPr>
          <w:rFonts w:ascii="Verdana" w:hAnsi="Verdana" w:cs="Arial"/>
          <w:lang w:val="es-ES" w:eastAsia="es-CO"/>
        </w:rPr>
        <w:t xml:space="preserve">. </w:t>
      </w:r>
    </w:p>
    <w:p w14:paraId="50BEFA24" w14:textId="77777777" w:rsidR="00555198" w:rsidRPr="0004207F" w:rsidRDefault="00555198" w:rsidP="00D71B7F">
      <w:pPr>
        <w:shd w:val="clear" w:color="auto" w:fill="FFFFFF"/>
        <w:spacing w:after="120" w:line="276" w:lineRule="auto"/>
        <w:ind w:firstLine="709"/>
        <w:jc w:val="both"/>
        <w:rPr>
          <w:rFonts w:ascii="Verdana" w:hAnsi="Verdana" w:cs="Arial"/>
          <w:lang w:val="es-ES_tradnl" w:eastAsia="es-CO"/>
        </w:rPr>
      </w:pPr>
      <w:r w:rsidRPr="0004207F">
        <w:rPr>
          <w:rFonts w:ascii="Verdana" w:hAnsi="Verdana" w:cs="Arial"/>
          <w:bCs/>
          <w:lang w:val="es-ES_tradnl"/>
        </w:rPr>
        <w:t>Por tanto, las excepciones a la prohibición contenida en el inciso segundo de artículo 33 de la ley de garantías electorales tienen por finalidad garantizar la prestación ininterrumpida de algunos servicios públicos que, dada su importancia en el orden interno, se verían irrazonablemente afectados por la restricción explicada. Lo anterior implica que las excepciones al artículo 33 en comento deben interpretarse y aplicarse de manera restrictiva. En otras palabras, que no sería factible hacer interpretaciones extensivas para incluir otros supuestos de hecho similares a las circunstancias previstas en dicho artículo, pues el carácter taxativo implica que solo en los eventos consagrados expresamente en la norma permiten que ciertas entidades estatales se vean exceptuadas de la prohibición.</w:t>
      </w:r>
    </w:p>
    <w:p w14:paraId="498F103E" w14:textId="77777777" w:rsidR="00555198" w:rsidRPr="0004207F" w:rsidRDefault="00555198" w:rsidP="00D71B7F">
      <w:pPr>
        <w:spacing w:after="120" w:line="276" w:lineRule="auto"/>
        <w:ind w:firstLine="708"/>
        <w:jc w:val="both"/>
        <w:rPr>
          <w:rFonts w:ascii="Verdana" w:eastAsia="Calibri" w:hAnsi="Verdana" w:cs="Arial"/>
        </w:rPr>
      </w:pPr>
      <w:r w:rsidRPr="0004207F">
        <w:rPr>
          <w:rFonts w:ascii="Verdana" w:hAnsi="Verdana" w:cs="Arial"/>
          <w:bCs/>
          <w:lang w:val="es-MX" w:eastAsia="x-none"/>
        </w:rPr>
        <w:t>Entre las excepciones del artículo en comento se encuentran “</w:t>
      </w:r>
      <w:r>
        <w:rPr>
          <w:rFonts w:ascii="Verdana" w:hAnsi="Verdana" w:cs="Arial"/>
          <w:bCs/>
          <w:lang w:val="es-MX" w:eastAsia="x-none"/>
        </w:rPr>
        <w:t>(…)</w:t>
      </w:r>
      <w:r w:rsidRPr="0004207F">
        <w:rPr>
          <w:rFonts w:ascii="Verdana" w:hAnsi="Verdana" w:cs="Arial"/>
          <w:bCs/>
          <w:lang w:val="es-MX" w:eastAsia="x-none"/>
        </w:rPr>
        <w:t xml:space="preserve"> l</w:t>
      </w:r>
      <w:r w:rsidRPr="0004207F">
        <w:rPr>
          <w:rFonts w:ascii="Verdana" w:hAnsi="Verdana" w:cs="Arial"/>
          <w:bCs/>
          <w:lang w:eastAsia="x-none"/>
        </w:rPr>
        <w:t xml:space="preserve">os requeridos para cubrir las emergencias educativas, sanitarias y desastres </w:t>
      </w:r>
      <w:r>
        <w:rPr>
          <w:rFonts w:ascii="Verdana" w:hAnsi="Verdana" w:cs="Arial"/>
          <w:bCs/>
          <w:lang w:eastAsia="x-none"/>
        </w:rPr>
        <w:t>(…)</w:t>
      </w:r>
      <w:r w:rsidRPr="0004207F">
        <w:rPr>
          <w:rFonts w:ascii="Verdana" w:hAnsi="Verdana" w:cs="Arial"/>
          <w:bCs/>
          <w:lang w:val="es-MX" w:eastAsia="x-none"/>
        </w:rPr>
        <w:t>”</w:t>
      </w:r>
      <w:r w:rsidRPr="0004207F">
        <w:rPr>
          <w:rFonts w:ascii="Verdana" w:eastAsia="Calibri" w:hAnsi="Verdana" w:cs="Arial"/>
        </w:rPr>
        <w:t xml:space="preserve">. Sobre el alcance de estas excepciones, es necesario tener en cuenta que el </w:t>
      </w:r>
      <w:r w:rsidRPr="0004207F">
        <w:rPr>
          <w:rFonts w:ascii="Verdana" w:eastAsia="Calibri" w:hAnsi="Verdana" w:cs="Arial"/>
          <w:bCs/>
          <w:color w:val="000000" w:themeColor="text1"/>
        </w:rPr>
        <w:t xml:space="preserve">artículo 28 del Código Civil dispone que “Las palabras de la ley se entenderán en su sentido natural y obvio, según el uso general de las mismas palabras; pero cuando el legislador las haya definido expresamente para ciertas materias, se les dará en éstas su significado legal”; igualmente, el artículo 29 </w:t>
      </w:r>
      <w:r w:rsidRPr="0004207F">
        <w:rPr>
          <w:rFonts w:ascii="Verdana" w:eastAsia="Calibri" w:hAnsi="Verdana" w:cs="Arial"/>
          <w:bCs/>
          <w:i/>
          <w:iCs/>
          <w:color w:val="000000" w:themeColor="text1"/>
        </w:rPr>
        <w:t>ibidem</w:t>
      </w:r>
      <w:r w:rsidRPr="0004207F">
        <w:rPr>
          <w:rFonts w:ascii="Verdana" w:eastAsia="Calibri" w:hAnsi="Verdana" w:cs="Arial"/>
          <w:bCs/>
          <w:color w:val="000000" w:themeColor="text1"/>
        </w:rPr>
        <w:t xml:space="preserve"> prescribe lo siguiente: “Las palabras técnicas de toda ciencia o arte se tomarán en el sentido que les den los que profesan la misma ciencia o arte; a menos que aparezca claramente que se han formado en sentido diverso”</w:t>
      </w:r>
      <w:r w:rsidRPr="0004207F">
        <w:rPr>
          <w:rStyle w:val="FootnoteReference"/>
          <w:rFonts w:ascii="Verdana" w:eastAsia="Calibri" w:hAnsi="Verdana" w:cs="Arial"/>
          <w:bCs/>
          <w:color w:val="000000" w:themeColor="text1"/>
        </w:rPr>
        <w:footnoteReference w:id="26"/>
      </w:r>
      <w:r w:rsidRPr="0004207F">
        <w:rPr>
          <w:rFonts w:ascii="Verdana" w:eastAsia="Calibri" w:hAnsi="Verdana" w:cs="Arial"/>
          <w:bCs/>
          <w:color w:val="000000" w:themeColor="text1"/>
        </w:rPr>
        <w:t>.</w:t>
      </w:r>
    </w:p>
    <w:p w14:paraId="106EFA36" w14:textId="77777777" w:rsidR="00555198" w:rsidRPr="00AB6523" w:rsidRDefault="00555198" w:rsidP="00D71B7F">
      <w:pPr>
        <w:spacing w:after="120" w:line="276" w:lineRule="auto"/>
        <w:jc w:val="both"/>
        <w:rPr>
          <w:rFonts w:ascii="Verdana" w:eastAsia="Calibri" w:hAnsi="Verdana" w:cs="Arial"/>
          <w:bCs/>
          <w:color w:val="000000" w:themeColor="text1"/>
        </w:rPr>
      </w:pPr>
      <w:r w:rsidRPr="0004207F">
        <w:rPr>
          <w:rFonts w:ascii="Verdana" w:eastAsia="Calibri" w:hAnsi="Verdana" w:cs="Arial"/>
          <w:bCs/>
          <w:color w:val="000000" w:themeColor="text1"/>
        </w:rPr>
        <w:tab/>
        <w:t>Dentro de este marco</w:t>
      </w:r>
      <w:r>
        <w:rPr>
          <w:rFonts w:ascii="Verdana" w:eastAsia="Calibri" w:hAnsi="Verdana" w:cs="Arial"/>
          <w:bCs/>
          <w:color w:val="000000" w:themeColor="text1"/>
        </w:rPr>
        <w:t xml:space="preserve">, </w:t>
      </w:r>
      <w:r>
        <w:rPr>
          <w:rFonts w:ascii="Verdana" w:eastAsia="Calibri" w:hAnsi="Verdana" w:cs="Arial"/>
          <w:lang w:val="es-ES"/>
        </w:rPr>
        <w:t>e</w:t>
      </w:r>
      <w:r w:rsidRPr="3683B926">
        <w:rPr>
          <w:rFonts w:ascii="Verdana" w:eastAsia="Calibri" w:hAnsi="Verdana" w:cs="Arial"/>
          <w:lang w:val="es-ES"/>
        </w:rPr>
        <w:t>l artículo 42 de la Ley 80 de 1993 dispone que la urgencia manifiesta se declara, entre otras tres (3) circunstancias, con la finalidad de “</w:t>
      </w:r>
      <w:r>
        <w:rPr>
          <w:rFonts w:ascii="Verdana" w:eastAsia="Calibri" w:hAnsi="Verdana" w:cs="Arial"/>
          <w:lang w:val="es-ES"/>
        </w:rPr>
        <w:t xml:space="preserve">(…) </w:t>
      </w:r>
      <w:r w:rsidRPr="3683B926">
        <w:rPr>
          <w:rFonts w:ascii="Verdana" w:eastAsia="Calibri" w:hAnsi="Verdana" w:cs="Arial"/>
          <w:lang w:val="es-ES"/>
        </w:rPr>
        <w:t xml:space="preserve">conjurar situaciones excepcionales relacionadas con hechos de calamidad o constitutivos de fuerza mayor o desastre que demanden actuaciones inmediatas </w:t>
      </w:r>
      <w:r>
        <w:rPr>
          <w:rFonts w:ascii="Verdana" w:eastAsia="Calibri" w:hAnsi="Verdana" w:cs="Arial"/>
          <w:lang w:val="es-ES"/>
        </w:rPr>
        <w:t>(…)</w:t>
      </w:r>
      <w:r w:rsidRPr="3683B926">
        <w:rPr>
          <w:rFonts w:ascii="Verdana" w:eastAsia="Calibri" w:hAnsi="Verdana" w:cs="Arial"/>
          <w:lang w:val="es-ES"/>
        </w:rPr>
        <w:t>”.</w:t>
      </w:r>
      <w:r>
        <w:rPr>
          <w:rFonts w:ascii="Verdana" w:eastAsia="Calibri" w:hAnsi="Verdana" w:cs="Arial"/>
          <w:lang w:val="es-ES"/>
        </w:rPr>
        <w:t xml:space="preserve"> E</w:t>
      </w:r>
      <w:r w:rsidRPr="3683B926">
        <w:rPr>
          <w:rFonts w:ascii="Verdana" w:eastAsia="Calibri" w:hAnsi="Verdana" w:cs="Arial"/>
          <w:lang w:val="es-ES"/>
        </w:rPr>
        <w:t xml:space="preserve">n la medida en que la norma utiliza la conjunción “o”, en principio asimilaría la </w:t>
      </w:r>
      <w:r w:rsidRPr="3683B926">
        <w:rPr>
          <w:rFonts w:ascii="Verdana" w:eastAsia="Calibri" w:hAnsi="Verdana" w:cs="Arial"/>
          <w:i/>
          <w:lang w:val="es-ES"/>
        </w:rPr>
        <w:t>calamidad</w:t>
      </w:r>
      <w:r w:rsidRPr="3683B926">
        <w:rPr>
          <w:rFonts w:ascii="Verdana" w:eastAsia="Calibri" w:hAnsi="Verdana" w:cs="Arial"/>
          <w:lang w:val="es-ES"/>
        </w:rPr>
        <w:t xml:space="preserve"> y el </w:t>
      </w:r>
      <w:r w:rsidRPr="3683B926">
        <w:rPr>
          <w:rFonts w:ascii="Verdana" w:eastAsia="Calibri" w:hAnsi="Verdana" w:cs="Arial"/>
          <w:i/>
          <w:lang w:val="es-ES"/>
        </w:rPr>
        <w:t xml:space="preserve">desastre </w:t>
      </w:r>
      <w:r w:rsidRPr="3683B926">
        <w:rPr>
          <w:rFonts w:ascii="Verdana" w:eastAsia="Calibri" w:hAnsi="Verdana" w:cs="Arial"/>
          <w:lang w:val="es-ES"/>
        </w:rPr>
        <w:t xml:space="preserve">con la </w:t>
      </w:r>
      <w:r w:rsidRPr="3683B926">
        <w:rPr>
          <w:rFonts w:ascii="Verdana" w:eastAsia="Calibri" w:hAnsi="Verdana" w:cs="Arial"/>
          <w:i/>
          <w:lang w:val="es-ES"/>
        </w:rPr>
        <w:t>fuerza mayor</w:t>
      </w:r>
      <w:r w:rsidRPr="3683B926">
        <w:rPr>
          <w:rFonts w:ascii="Verdana" w:eastAsia="Calibri" w:hAnsi="Verdana" w:cs="Arial"/>
          <w:lang w:val="es-ES"/>
        </w:rPr>
        <w:t xml:space="preserve"> o el </w:t>
      </w:r>
      <w:r w:rsidRPr="3683B926">
        <w:rPr>
          <w:rFonts w:ascii="Verdana" w:eastAsia="Calibri" w:hAnsi="Verdana" w:cs="Arial"/>
          <w:i/>
          <w:lang w:val="es-ES"/>
        </w:rPr>
        <w:t>caso fortuito</w:t>
      </w:r>
      <w:r w:rsidRPr="3683B926">
        <w:rPr>
          <w:rFonts w:ascii="Verdana" w:eastAsia="Calibri" w:hAnsi="Verdana" w:cs="Arial"/>
          <w:lang w:val="es-ES"/>
        </w:rPr>
        <w:t xml:space="preserve">. </w:t>
      </w:r>
    </w:p>
    <w:p w14:paraId="0C819B5F" w14:textId="77777777" w:rsidR="00555198" w:rsidRPr="00D93A6C" w:rsidRDefault="00555198" w:rsidP="00555198">
      <w:pPr>
        <w:spacing w:after="0" w:line="276" w:lineRule="auto"/>
        <w:ind w:firstLine="708"/>
        <w:jc w:val="both"/>
        <w:rPr>
          <w:rFonts w:ascii="Verdana" w:eastAsia="Calibri" w:hAnsi="Verdana" w:cs="Arial"/>
          <w:lang w:val="es-ES_tradnl"/>
        </w:rPr>
      </w:pPr>
      <w:r w:rsidRPr="00D93A6C">
        <w:rPr>
          <w:rFonts w:ascii="Verdana" w:eastAsia="Calibri" w:hAnsi="Verdana" w:cs="Arial"/>
          <w:lang w:val="es-ES_tradnl"/>
        </w:rPr>
        <w:t>Al respecto, el artículo 64 del Código Civil define como tal “</w:t>
      </w:r>
      <w:r>
        <w:rPr>
          <w:rFonts w:ascii="Verdana" w:eastAsia="Calibri" w:hAnsi="Verdana" w:cs="Arial"/>
          <w:lang w:val="es-ES_tradnl"/>
        </w:rPr>
        <w:t>(…)</w:t>
      </w:r>
      <w:r w:rsidRPr="00D93A6C">
        <w:rPr>
          <w:rFonts w:ascii="Verdana" w:eastAsia="Calibri" w:hAnsi="Verdana" w:cs="Arial"/>
          <w:lang w:val="es-ES_tradnl"/>
        </w:rPr>
        <w:t xml:space="preserve"> el imprevisto o que no es posible resistir, como un naufragio, un terremoto, </w:t>
      </w:r>
      <w:bookmarkStart w:id="20" w:name="_Hlk35871146"/>
      <w:r w:rsidRPr="00D93A6C">
        <w:rPr>
          <w:rFonts w:ascii="Verdana" w:eastAsia="Calibri" w:hAnsi="Verdana" w:cs="Arial"/>
          <w:lang w:val="es-ES_tradnl"/>
        </w:rPr>
        <w:t>el apresamiento de enemigos, los actos de autoridad ejercidos por un funcionario público</w:t>
      </w:r>
      <w:bookmarkEnd w:id="20"/>
      <w:r w:rsidRPr="00D93A6C">
        <w:rPr>
          <w:rFonts w:ascii="Verdana" w:eastAsia="Calibri" w:hAnsi="Verdana" w:cs="Arial"/>
          <w:lang w:val="es-ES_tradnl"/>
        </w:rPr>
        <w:t>, etc.”</w:t>
      </w:r>
      <w:r w:rsidRPr="00D93A6C">
        <w:rPr>
          <w:rFonts w:ascii="Verdana" w:eastAsia="Calibri" w:hAnsi="Verdana" w:cs="Arial"/>
          <w:sz w:val="21"/>
          <w:szCs w:val="21"/>
          <w:vertAlign w:val="superscript"/>
          <w:lang w:val="es-ES_tradnl"/>
        </w:rPr>
        <w:footnoteReference w:id="27"/>
      </w:r>
      <w:r w:rsidRPr="00D93A6C">
        <w:rPr>
          <w:rFonts w:ascii="Verdana" w:eastAsia="Calibri" w:hAnsi="Verdana" w:cs="Arial"/>
          <w:sz w:val="21"/>
          <w:szCs w:val="21"/>
          <w:lang w:val="es-ES_tradnl"/>
        </w:rPr>
        <w:t>.</w:t>
      </w:r>
      <w:r w:rsidRPr="00D93A6C">
        <w:rPr>
          <w:rFonts w:ascii="Verdana" w:eastAsia="Calibri" w:hAnsi="Verdana" w:cs="Arial"/>
          <w:lang w:val="es-ES_tradnl"/>
        </w:rPr>
        <w:t xml:space="preserve"> Cuando provienen de fenómenos de la naturaleza estas características confluyen con los conceptos de desastre y calamidad, los cuales –conforme al Diccionario de la Real Academia Española– constituyen una “Desgracia grande, suceso infeliz y lamentable” o “Desgracia o infortunio que alcanza a muchas personas”, respectivamente. Conforme al significado natural de las palabras, parece que la diferencia es el mayor alcance de la segunda respecto al primero. No obstante, además de la ocurrencia de desastres y calamidades que –aunque irresistibles– se presentan con cierto grado de previsibilidad o que, incluso, se originan en la actuación humana intencional, estos dos conceptos también los definió </w:t>
      </w:r>
      <w:bookmarkStart w:id="21" w:name="_Hlk35879271"/>
      <w:r w:rsidRPr="00D93A6C">
        <w:rPr>
          <w:rFonts w:ascii="Verdana" w:eastAsia="Calibri" w:hAnsi="Verdana" w:cs="Arial"/>
          <w:lang w:val="es-ES_tradnl"/>
        </w:rPr>
        <w:t>el artículo 4, numerales 5 y 8, de la Ley 1523 de 2012</w:t>
      </w:r>
      <w:bookmarkEnd w:id="21"/>
      <w:r w:rsidRPr="00D93A6C">
        <w:rPr>
          <w:rFonts w:ascii="Verdana" w:eastAsia="Calibri" w:hAnsi="Verdana" w:cs="Arial"/>
          <w:lang w:val="es-ES_tradnl"/>
        </w:rPr>
        <w:t>:</w:t>
      </w:r>
    </w:p>
    <w:p w14:paraId="6332565D" w14:textId="77777777" w:rsidR="00555198" w:rsidRPr="00D93A6C" w:rsidRDefault="00555198" w:rsidP="00555198">
      <w:pPr>
        <w:spacing w:after="0" w:line="276" w:lineRule="auto"/>
        <w:ind w:firstLine="708"/>
        <w:jc w:val="both"/>
        <w:rPr>
          <w:rFonts w:ascii="Verdana" w:eastAsia="Calibri" w:hAnsi="Verdana" w:cs="Arial"/>
          <w:lang w:val="es-ES_tradnl"/>
        </w:rPr>
      </w:pPr>
    </w:p>
    <w:p w14:paraId="1D28193C" w14:textId="77777777" w:rsidR="00555198" w:rsidRPr="00DB5641" w:rsidRDefault="00555198" w:rsidP="00555198">
      <w:pPr>
        <w:spacing w:after="0" w:line="240" w:lineRule="auto"/>
        <w:ind w:left="709" w:right="709"/>
        <w:jc w:val="both"/>
        <w:rPr>
          <w:rFonts w:ascii="Verdana" w:eastAsia="Calibri" w:hAnsi="Verdana" w:cs="Arial"/>
          <w:sz w:val="20"/>
          <w:szCs w:val="20"/>
          <w:lang w:val="es-ES_tradnl"/>
        </w:rPr>
      </w:pPr>
      <w:r w:rsidRPr="00DB5641">
        <w:rPr>
          <w:rFonts w:ascii="Verdana" w:eastAsia="Calibri" w:hAnsi="Verdana" w:cs="Arial"/>
          <w:sz w:val="20"/>
          <w:szCs w:val="20"/>
          <w:lang w:val="es-ES_tradnl"/>
        </w:rPr>
        <w:t>“Art. 4. Para efectos de la presente ley se entenderá por:</w:t>
      </w:r>
    </w:p>
    <w:p w14:paraId="265CD868" w14:textId="77777777" w:rsidR="00555198" w:rsidRPr="00DB5641" w:rsidRDefault="00555198" w:rsidP="00D71B7F">
      <w:pPr>
        <w:spacing w:after="0" w:line="240" w:lineRule="auto"/>
        <w:ind w:left="709" w:right="709"/>
        <w:jc w:val="both"/>
        <w:rPr>
          <w:rFonts w:ascii="Verdana" w:eastAsia="Calibri" w:hAnsi="Verdana" w:cs="Arial"/>
          <w:sz w:val="20"/>
          <w:szCs w:val="20"/>
          <w:lang w:val="es-ES_tradnl"/>
        </w:rPr>
      </w:pPr>
      <w:r w:rsidRPr="00DB5641">
        <w:rPr>
          <w:rFonts w:ascii="Verdana" w:eastAsia="Calibri" w:hAnsi="Verdana" w:cs="Arial"/>
          <w:sz w:val="20"/>
          <w:szCs w:val="20"/>
          <w:lang w:val="es-ES_tradnl"/>
        </w:rPr>
        <w:t>[…]</w:t>
      </w:r>
    </w:p>
    <w:p w14:paraId="52E6DDCE" w14:textId="77777777" w:rsidR="00555198" w:rsidRPr="00DB5641" w:rsidRDefault="00555198" w:rsidP="00555198">
      <w:pPr>
        <w:spacing w:after="0" w:line="240" w:lineRule="auto"/>
        <w:ind w:left="709" w:right="709"/>
        <w:jc w:val="both"/>
        <w:rPr>
          <w:rFonts w:ascii="Verdana" w:eastAsia="Calibri" w:hAnsi="Verdana" w:cs="Arial"/>
          <w:sz w:val="20"/>
          <w:szCs w:val="20"/>
          <w:lang w:val="es-ES_tradnl"/>
        </w:rPr>
      </w:pPr>
      <w:r w:rsidRPr="00DB5641">
        <w:rPr>
          <w:rFonts w:ascii="Verdana" w:eastAsia="Calibri" w:hAnsi="Verdana" w:cs="Arial"/>
          <w:sz w:val="20"/>
          <w:szCs w:val="20"/>
          <w:lang w:val="es-ES_tradnl"/>
        </w:rPr>
        <w:t xml:space="preserve">5. Calamidad pública: Es </w:t>
      </w:r>
      <w:bookmarkStart w:id="22" w:name="_Hlk35879333"/>
      <w:r w:rsidRPr="00DB5641">
        <w:rPr>
          <w:rFonts w:ascii="Verdana" w:eastAsia="Calibri" w:hAnsi="Verdana" w:cs="Arial"/>
          <w:sz w:val="20"/>
          <w:szCs w:val="20"/>
          <w:lang w:val="es-ES_tradnl"/>
        </w:rPr>
        <w:t xml:space="preserve">el resultado que se desencadena de la manifestación de uno o varios eventos naturales </w:t>
      </w:r>
      <w:bookmarkStart w:id="23" w:name="_Hlk35870820"/>
      <w:r w:rsidRPr="00DB5641">
        <w:rPr>
          <w:rFonts w:ascii="Verdana" w:eastAsia="Calibri" w:hAnsi="Verdana" w:cs="Arial"/>
          <w:sz w:val="20"/>
          <w:szCs w:val="20"/>
          <w:lang w:val="es-ES_tradnl"/>
        </w:rPr>
        <w:t xml:space="preserve">o antropogénicos no intencionales </w:t>
      </w:r>
      <w:bookmarkEnd w:id="23"/>
      <w:r w:rsidRPr="00DB5641">
        <w:rPr>
          <w:rFonts w:ascii="Verdana" w:eastAsia="Calibri" w:hAnsi="Verdana" w:cs="Arial"/>
          <w:sz w:val="20"/>
          <w:szCs w:val="20"/>
          <w:lang w:val="es-ES_tradnl"/>
        </w:rPr>
        <w:t xml:space="preserve">que al encontrar condiciones propicias de vulnerabilidad en las personas, los bienes, la infraestructura, los medios de subsistencia, la prestación de servicios o los recursos ambientales, causa daños o pérdidas humanas, materiales, económicas o ambientales, generando una alteración intensa, grave y extendida en las condiciones normales de funcionamiento </w:t>
      </w:r>
      <w:bookmarkEnd w:id="22"/>
      <w:r w:rsidRPr="00DB5641">
        <w:rPr>
          <w:rFonts w:ascii="Verdana" w:eastAsia="Calibri" w:hAnsi="Verdana" w:cs="Arial"/>
          <w:sz w:val="20"/>
          <w:szCs w:val="20"/>
          <w:lang w:val="es-ES_tradnl"/>
        </w:rPr>
        <w:t>de la población, en el respectivo territorio, que exige al municipio, distrito o departamento ejecutar acciones de respuesta a la emergencia, rehabilitación y reconstrucción.</w:t>
      </w:r>
    </w:p>
    <w:p w14:paraId="7DD8015F" w14:textId="77777777" w:rsidR="00555198" w:rsidRPr="00DB5641" w:rsidRDefault="00555198" w:rsidP="00D71B7F">
      <w:pPr>
        <w:spacing w:after="0" w:line="240" w:lineRule="auto"/>
        <w:ind w:left="709" w:right="709"/>
        <w:jc w:val="both"/>
        <w:rPr>
          <w:rFonts w:ascii="Verdana" w:eastAsia="Calibri" w:hAnsi="Verdana" w:cs="Arial"/>
          <w:sz w:val="20"/>
          <w:szCs w:val="20"/>
          <w:lang w:val="es-ES_tradnl"/>
        </w:rPr>
      </w:pPr>
      <w:r w:rsidRPr="00DB5641">
        <w:rPr>
          <w:rFonts w:ascii="Verdana" w:eastAsia="Calibri" w:hAnsi="Verdana" w:cs="Arial"/>
          <w:sz w:val="20"/>
          <w:szCs w:val="20"/>
          <w:lang w:val="es-ES_tradnl"/>
        </w:rPr>
        <w:t xml:space="preserve">[…] </w:t>
      </w:r>
    </w:p>
    <w:p w14:paraId="05A3EF4C" w14:textId="76A8862D" w:rsidR="00555198" w:rsidRPr="00D93A6C" w:rsidRDefault="00555198" w:rsidP="00A77420">
      <w:pPr>
        <w:spacing w:after="0" w:line="240" w:lineRule="auto"/>
        <w:ind w:left="709" w:right="709"/>
        <w:jc w:val="both"/>
        <w:rPr>
          <w:rFonts w:ascii="Verdana" w:eastAsia="Calibri" w:hAnsi="Verdana" w:cs="Arial"/>
          <w:lang w:val="es-ES_tradnl"/>
        </w:rPr>
      </w:pPr>
      <w:r w:rsidRPr="00DB5641">
        <w:rPr>
          <w:rFonts w:ascii="Verdana" w:eastAsia="Calibri" w:hAnsi="Verdana" w:cs="Arial"/>
          <w:sz w:val="20"/>
          <w:szCs w:val="20"/>
          <w:lang w:val="es-ES_tradnl"/>
        </w:rPr>
        <w:t>8. Desastre: Es el resultado que se desencadena de la manifestación de uno o varios eventos naturales o antropogénicos no intencionales que al encontrar condiciones propicias de vulnerabilidad en las personas, los bienes, la infraestructura, los medios de subsistencia, la prestación de servicios o los recursos ambientales, causa daños o pérdidas humanas, materiales, económicas o ambientales, generando una alteración intensa, grave y extendida en las condiciones normales de funcionamiento de la sociedad, que exige del Estado y del sistema nacional ejecutar acciones de respuesta a la emergencia, rehabilitación y reconstrucción”.</w:t>
      </w:r>
    </w:p>
    <w:p w14:paraId="16610A0D" w14:textId="77777777" w:rsidR="00FA4CFE" w:rsidRDefault="00FA4CFE" w:rsidP="00FA4CFE">
      <w:pPr>
        <w:spacing w:after="0" w:line="240" w:lineRule="auto"/>
        <w:ind w:firstLine="709"/>
        <w:jc w:val="both"/>
        <w:rPr>
          <w:rFonts w:ascii="Verdana" w:eastAsia="Calibri" w:hAnsi="Verdana" w:cs="Arial"/>
          <w:lang w:val="es-ES"/>
        </w:rPr>
      </w:pPr>
    </w:p>
    <w:p w14:paraId="4C83BE3E" w14:textId="51707567" w:rsidR="00555198" w:rsidRDefault="00555198" w:rsidP="00D71B7F">
      <w:pPr>
        <w:spacing w:before="120" w:after="0" w:line="276" w:lineRule="auto"/>
        <w:ind w:firstLine="709"/>
        <w:jc w:val="both"/>
        <w:rPr>
          <w:rFonts w:ascii="Verdana" w:eastAsia="Calibri" w:hAnsi="Verdana" w:cs="Arial"/>
          <w:lang w:val="es-ES"/>
        </w:rPr>
      </w:pPr>
      <w:r w:rsidRPr="3683B926">
        <w:rPr>
          <w:rFonts w:ascii="Verdana" w:eastAsia="Calibri" w:hAnsi="Verdana" w:cs="Arial"/>
          <w:lang w:val="es-ES"/>
        </w:rPr>
        <w:t xml:space="preserve">Esta norma debe armonizarse con los artículos 56 y 57 </w:t>
      </w:r>
      <w:r w:rsidRPr="3683B926">
        <w:rPr>
          <w:rFonts w:ascii="Verdana" w:eastAsia="Calibri" w:hAnsi="Verdana" w:cs="Arial"/>
          <w:i/>
          <w:lang w:val="es-ES"/>
        </w:rPr>
        <w:t>ibidem</w:t>
      </w:r>
      <w:r w:rsidRPr="3683B926">
        <w:rPr>
          <w:rFonts w:ascii="Verdana" w:eastAsia="Calibri" w:hAnsi="Verdana" w:cs="Arial"/>
          <w:lang w:val="es-ES"/>
        </w:rPr>
        <w:t xml:space="preserve">, que asignan la competencia para declarar la ocurrencia de una situación de </w:t>
      </w:r>
      <w:r w:rsidRPr="3683B926">
        <w:rPr>
          <w:rFonts w:ascii="Verdana" w:eastAsia="Calibri" w:hAnsi="Verdana" w:cs="Arial"/>
          <w:i/>
          <w:lang w:val="es-ES"/>
        </w:rPr>
        <w:t>desastre</w:t>
      </w:r>
      <w:r w:rsidRPr="3683B926">
        <w:rPr>
          <w:rFonts w:ascii="Verdana" w:eastAsia="Calibri" w:hAnsi="Verdana" w:cs="Arial"/>
          <w:lang w:val="es-ES"/>
        </w:rPr>
        <w:t xml:space="preserve"> o una situación de </w:t>
      </w:r>
      <w:r w:rsidRPr="3683B926">
        <w:rPr>
          <w:rFonts w:ascii="Verdana" w:eastAsia="Calibri" w:hAnsi="Verdana" w:cs="Arial"/>
          <w:i/>
          <w:lang w:val="es-ES"/>
        </w:rPr>
        <w:t>calamidad pública</w:t>
      </w:r>
      <w:r w:rsidRPr="3683B926">
        <w:rPr>
          <w:rFonts w:ascii="Verdana" w:eastAsia="Calibri" w:hAnsi="Verdana" w:cs="Arial"/>
          <w:lang w:val="es-ES"/>
        </w:rPr>
        <w:t xml:space="preserve">. Particularmente, disponen que al Presidente de la República le corresponde declarar la situación de </w:t>
      </w:r>
      <w:r w:rsidRPr="3683B926">
        <w:rPr>
          <w:rFonts w:ascii="Verdana" w:eastAsia="Calibri" w:hAnsi="Verdana" w:cs="Arial"/>
          <w:i/>
          <w:lang w:val="es-ES"/>
        </w:rPr>
        <w:t>desastre</w:t>
      </w:r>
      <w:r w:rsidRPr="3683B926">
        <w:rPr>
          <w:rFonts w:ascii="Verdana" w:eastAsia="Calibri" w:hAnsi="Verdana" w:cs="Arial"/>
          <w:lang w:val="es-ES"/>
        </w:rPr>
        <w:t>, tanto en el orden nacional, departamental, como en el municipal y distrital</w:t>
      </w:r>
      <w:r w:rsidRPr="3683B926">
        <w:rPr>
          <w:rStyle w:val="FootnoteReference"/>
          <w:rFonts w:ascii="Verdana" w:eastAsia="Calibri" w:hAnsi="Verdana" w:cs="Arial"/>
          <w:lang w:val="es-ES"/>
        </w:rPr>
        <w:footnoteReference w:id="28"/>
      </w:r>
      <w:r w:rsidRPr="3683B926">
        <w:rPr>
          <w:rFonts w:ascii="Verdana" w:eastAsia="Calibri" w:hAnsi="Verdana" w:cs="Arial"/>
          <w:lang w:val="es-ES"/>
        </w:rPr>
        <w:t xml:space="preserve">, facultad que no pueden ejercer los gobernadores y alcaldes, porque la norma no les asignó esta competencia. No obstante, a los gobernadores y alcaldes sí les corresponde declarar la </w:t>
      </w:r>
      <w:r w:rsidRPr="3683B926">
        <w:rPr>
          <w:rFonts w:ascii="Verdana" w:eastAsia="Calibri" w:hAnsi="Verdana" w:cs="Arial"/>
          <w:i/>
          <w:lang w:val="es-ES"/>
        </w:rPr>
        <w:t>situación de calamidad pública</w:t>
      </w:r>
      <w:r w:rsidRPr="3683B926">
        <w:rPr>
          <w:rFonts w:ascii="Verdana" w:eastAsia="Calibri" w:hAnsi="Verdana" w:cs="Arial"/>
          <w:lang w:val="es-ES"/>
        </w:rPr>
        <w:t>, en los respectivos ámbitos, facultad que, en cambio, no puede ejercer el presidente de la república</w:t>
      </w:r>
      <w:r w:rsidRPr="3683B926">
        <w:rPr>
          <w:rStyle w:val="FootnoteReference"/>
          <w:rFonts w:ascii="Verdana" w:eastAsia="Calibri" w:hAnsi="Verdana" w:cs="Arial"/>
          <w:lang w:val="es-ES"/>
        </w:rPr>
        <w:footnoteReference w:id="29"/>
      </w:r>
      <w:r w:rsidRPr="3683B926">
        <w:rPr>
          <w:rFonts w:ascii="Verdana" w:eastAsia="Calibri" w:hAnsi="Verdana" w:cs="Arial"/>
          <w:lang w:val="es-ES"/>
        </w:rPr>
        <w:t xml:space="preserve">. </w:t>
      </w:r>
    </w:p>
    <w:p w14:paraId="531A5021" w14:textId="10D20013" w:rsidR="00555198" w:rsidRDefault="00555198" w:rsidP="00D71B7F">
      <w:pPr>
        <w:spacing w:before="120" w:after="0" w:line="276" w:lineRule="auto"/>
        <w:ind w:firstLine="709"/>
        <w:jc w:val="both"/>
        <w:rPr>
          <w:rFonts w:ascii="Verdana" w:eastAsia="Calibri" w:hAnsi="Verdana" w:cs="Arial"/>
          <w:lang w:val="es-ES"/>
        </w:rPr>
      </w:pPr>
      <w:r w:rsidRPr="00B91291">
        <w:rPr>
          <w:rFonts w:ascii="Verdana" w:hAnsi="Verdana" w:cs="Arial"/>
          <w:lang w:val="es-ES"/>
        </w:rPr>
        <w:t xml:space="preserve">Ahora bien, respecto del alcance del parágrafo </w:t>
      </w:r>
      <w:r w:rsidRPr="00B91291">
        <w:rPr>
          <w:rFonts w:ascii="Verdana" w:hAnsi="Verdana" w:cs="Arial"/>
        </w:rPr>
        <w:t xml:space="preserve">del artículo 38 de la Ley 996 de 2005, esta prohibición dispone en primera medida que: “[l]os Gobernadores, Alcaldes Municipales y/o Distritales, Secretarios, Gerentes y directores de Entidades Descentralizadas del orden Municipal, Departamental o Distrital, dentro de los cuatro (4) meses anteriores a las elecciones, no podrán celebrar </w:t>
      </w:r>
      <w:r w:rsidRPr="00B91291">
        <w:rPr>
          <w:rFonts w:ascii="Verdana" w:hAnsi="Verdana" w:cs="Arial"/>
          <w:i/>
          <w:iCs/>
        </w:rPr>
        <w:t>convenios interadministrativos</w:t>
      </w:r>
      <w:r w:rsidRPr="00B91291">
        <w:rPr>
          <w:rFonts w:ascii="Verdana" w:hAnsi="Verdana" w:cs="Arial"/>
        </w:rPr>
        <w:t xml:space="preserve"> </w:t>
      </w:r>
      <w:r w:rsidRPr="00B91291">
        <w:rPr>
          <w:rFonts w:ascii="Verdana" w:hAnsi="Verdana" w:cs="Arial"/>
          <w:i/>
          <w:iCs/>
        </w:rPr>
        <w:t>para la ejecución de recursos públicos</w:t>
      </w:r>
      <w:r w:rsidRPr="00B91291">
        <w:rPr>
          <w:rFonts w:ascii="Verdana" w:hAnsi="Verdana" w:cs="Arial"/>
        </w:rPr>
        <w:t>”.</w:t>
      </w:r>
      <w:r w:rsidRPr="00B91291">
        <w:rPr>
          <w:rFonts w:ascii="Verdana" w:eastAsia="Times New Roman" w:hAnsi="Verdana" w:cs="Arial"/>
          <w:lang w:val="es-MX" w:eastAsia="x-none"/>
        </w:rPr>
        <w:t xml:space="preserve"> </w:t>
      </w:r>
      <w:r>
        <w:rPr>
          <w:rFonts w:ascii="Verdana" w:eastAsia="Times New Roman" w:hAnsi="Verdana" w:cs="Arial"/>
          <w:lang w:val="es-MX" w:eastAsia="x-none"/>
        </w:rPr>
        <w:t>(</w:t>
      </w:r>
      <w:r w:rsidRPr="00B91291">
        <w:rPr>
          <w:rFonts w:ascii="Verdana" w:eastAsia="Times New Roman" w:hAnsi="Verdana" w:cs="Arial"/>
          <w:lang w:val="es-MX" w:eastAsia="x-none"/>
        </w:rPr>
        <w:t>Énfasis fuera del texto original</w:t>
      </w:r>
      <w:r>
        <w:rPr>
          <w:rFonts w:ascii="Verdana" w:eastAsia="Times New Roman" w:hAnsi="Verdana" w:cs="Arial"/>
          <w:lang w:val="es-MX" w:eastAsia="x-none"/>
        </w:rPr>
        <w:t>)</w:t>
      </w:r>
    </w:p>
    <w:p w14:paraId="7475038B" w14:textId="6A5491C4" w:rsidR="00555198" w:rsidRDefault="00555198" w:rsidP="00B8078E">
      <w:pPr>
        <w:spacing w:before="120" w:after="0" w:line="276" w:lineRule="auto"/>
        <w:ind w:firstLine="709"/>
        <w:jc w:val="both"/>
        <w:rPr>
          <w:rFonts w:ascii="Verdana" w:eastAsia="Calibri" w:hAnsi="Verdana" w:cs="Arial"/>
          <w:lang w:val="es-ES"/>
        </w:rPr>
      </w:pPr>
      <w:r w:rsidRPr="00B91291">
        <w:rPr>
          <w:rFonts w:ascii="Verdana" w:eastAsia="Times New Roman" w:hAnsi="Verdana" w:cs="Arial"/>
          <w:lang w:val="es-ES" w:eastAsia="es-ES"/>
        </w:rPr>
        <w:t xml:space="preserve">Para tales efectos, debe precisarse que </w:t>
      </w:r>
      <w:r w:rsidRPr="00B91291">
        <w:rPr>
          <w:rFonts w:ascii="Verdana" w:eastAsia="Times New Roman" w:hAnsi="Verdana" w:cs="Arial"/>
          <w:color w:val="000000" w:themeColor="text1"/>
          <w:lang w:val="es-ES" w:eastAsia="es-CO"/>
        </w:rPr>
        <w:t>los contratos o convenios interadministrativos están determinados</w:t>
      </w:r>
      <w:r w:rsidRPr="00667CD6">
        <w:rPr>
          <w:rFonts w:ascii="Verdana" w:eastAsia="Times New Roman" w:hAnsi="Verdana" w:cs="Arial"/>
          <w:color w:val="000000" w:themeColor="text1"/>
          <w:lang w:val="es-ES" w:eastAsia="es-CO"/>
        </w:rPr>
        <w:t xml:space="preserve"> por un criterio orgánico, pues es necesario que los extremos de la relación contractual sean entidades públicas, </w:t>
      </w:r>
      <w:r w:rsidRPr="00667CD6">
        <w:rPr>
          <w:rFonts w:ascii="Verdana" w:hAnsi="Verdana" w:cs="Arial"/>
          <w:lang w:eastAsia="es-ES"/>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r w:rsidRPr="00667CD6">
        <w:rPr>
          <w:rFonts w:ascii="Verdana" w:hAnsi="Verdana" w:cs="Arial"/>
          <w:vertAlign w:val="superscript"/>
          <w:lang w:eastAsia="es-ES"/>
        </w:rPr>
        <w:footnoteReference w:id="30"/>
      </w:r>
      <w:r w:rsidRPr="00667CD6">
        <w:rPr>
          <w:rFonts w:ascii="Verdana" w:hAnsi="Verdana" w:cs="Arial"/>
          <w:lang w:eastAsia="es-ES"/>
        </w:rPr>
        <w:t>.</w:t>
      </w:r>
    </w:p>
    <w:p w14:paraId="4815DD76" w14:textId="77777777" w:rsidR="00555198" w:rsidRPr="00AD17FF" w:rsidRDefault="00555198" w:rsidP="00B8078E">
      <w:pPr>
        <w:spacing w:before="120" w:after="0" w:line="276" w:lineRule="auto"/>
        <w:ind w:firstLine="709"/>
        <w:jc w:val="both"/>
        <w:rPr>
          <w:rFonts w:ascii="Verdana" w:eastAsia="Calibri" w:hAnsi="Verdana" w:cs="Arial"/>
          <w:lang w:val="es-ES"/>
        </w:rPr>
      </w:pPr>
      <w:r w:rsidRPr="00667CD6">
        <w:rPr>
          <w:rFonts w:ascii="Verdana" w:hAnsi="Verdana" w:cs="Arial"/>
          <w:color w:val="000000" w:themeColor="text1"/>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09DDDC5A" w14:textId="77777777" w:rsidR="00555198" w:rsidRPr="00667CD6" w:rsidRDefault="00555198" w:rsidP="00555198">
      <w:pPr>
        <w:spacing w:before="120" w:after="0" w:line="276" w:lineRule="auto"/>
        <w:ind w:firstLine="708"/>
        <w:jc w:val="both"/>
        <w:rPr>
          <w:rFonts w:ascii="Verdana" w:hAnsi="Verdana" w:cs="Arial"/>
          <w:lang w:val="es-ES_tradnl"/>
        </w:rPr>
      </w:pPr>
      <w:r w:rsidRPr="2035D652">
        <w:rPr>
          <w:rFonts w:ascii="Verdana" w:hAnsi="Verdana" w:cs="Arial"/>
          <w:lang w:val="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2035D652">
        <w:rPr>
          <w:rFonts w:ascii="Verdana" w:hAnsi="Verdana" w:cs="Arial"/>
          <w:vertAlign w:val="superscript"/>
          <w:lang w:val="es-ES"/>
        </w:rPr>
        <w:footnoteReference w:id="31"/>
      </w:r>
      <w:r w:rsidRPr="2035D652">
        <w:rPr>
          <w:rFonts w:ascii="Verdana" w:hAnsi="Verdana" w:cs="Arial"/>
          <w:lang w:val="es-ES"/>
        </w:rPr>
        <w:t>. Nótese que, en este caso, lo que cambia es la modalidad de selección y no la naturaleza de contrato interadministrativo.</w:t>
      </w:r>
    </w:p>
    <w:p w14:paraId="1F5B0C10" w14:textId="77777777" w:rsidR="00555198" w:rsidRPr="00667CD6" w:rsidRDefault="00555198" w:rsidP="00555198">
      <w:pPr>
        <w:spacing w:before="120" w:after="0" w:line="276" w:lineRule="auto"/>
        <w:ind w:firstLine="708"/>
        <w:jc w:val="both"/>
        <w:rPr>
          <w:rFonts w:ascii="Verdana" w:hAnsi="Verdana" w:cs="Arial"/>
          <w:lang w:val="es-ES_tradnl"/>
        </w:rPr>
      </w:pPr>
      <w:r w:rsidRPr="2035D652">
        <w:rPr>
          <w:rFonts w:ascii="Verdana" w:hAnsi="Verdana" w:cs="Arial"/>
          <w:lang w:val="es-ES"/>
        </w:rPr>
        <w:t>Además, es necesario tener en cuenta que para que un contrato o convenio interadministrativo exista debe cumplir con los siguientes elementos: acuerdo sobre el objeto y la contraprestación y que conste por escrito</w:t>
      </w:r>
      <w:r w:rsidRPr="2035D652">
        <w:rPr>
          <w:rFonts w:ascii="Verdana" w:hAnsi="Verdana" w:cs="Arial"/>
          <w:vertAlign w:val="superscript"/>
          <w:lang w:val="es-ES"/>
        </w:rPr>
        <w:footnoteReference w:id="32"/>
      </w:r>
      <w:r w:rsidRPr="2035D652">
        <w:rPr>
          <w:rFonts w:ascii="Verdana" w:hAnsi="Verdana" w:cs="Arial"/>
          <w:lang w:val="es-ES"/>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02EA9177" w14:textId="77777777" w:rsidR="00555198" w:rsidRPr="00B8078E" w:rsidRDefault="00555198" w:rsidP="00555198">
      <w:pPr>
        <w:spacing w:before="120" w:after="0" w:line="276" w:lineRule="auto"/>
        <w:ind w:firstLine="708"/>
        <w:jc w:val="both"/>
        <w:rPr>
          <w:rFonts w:ascii="Verdana" w:hAnsi="Verdana"/>
          <w:lang w:eastAsia="es-CO"/>
        </w:rPr>
      </w:pPr>
      <w:r w:rsidRPr="2035D652">
        <w:rPr>
          <w:rFonts w:ascii="Verdana" w:hAnsi="Verdana" w:cs="Arial"/>
          <w:lang w:val="es-ES"/>
        </w:rPr>
        <w:t>Sobre este aspecto, se resalta que la Corte Constitucional señaló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a la literalidad de las normas enunciadas, no cabe una interpretación diferente</w:t>
      </w:r>
      <w:r w:rsidRPr="2035D652">
        <w:rPr>
          <w:rFonts w:ascii="Verdana" w:hAnsi="Verdana" w:cs="Arial"/>
          <w:vertAlign w:val="superscript"/>
          <w:lang w:val="es-ES"/>
        </w:rPr>
        <w:footnoteReference w:id="33"/>
      </w:r>
      <w:r w:rsidRPr="2035D652">
        <w:rPr>
          <w:rFonts w:ascii="Verdana" w:hAnsi="Verdana" w:cs="Arial"/>
          <w:lang w:val="es-ES"/>
        </w:rPr>
        <w:t>, pues, de acuerdo con lo anotado, esta clase de acuerdos de voluntades se definen por un criterio orgánico, por lo que uno de sus elementos esenciales es que en los extremos de la relación jurídico negocial concurran personas de derecho público</w:t>
      </w:r>
      <w:r w:rsidRPr="00B8078E">
        <w:rPr>
          <w:rFonts w:ascii="Verdana" w:hAnsi="Verdana"/>
          <w:lang w:eastAsia="es-CO"/>
        </w:rPr>
        <w:t>.</w:t>
      </w:r>
    </w:p>
    <w:p w14:paraId="7BDB38ED" w14:textId="77777777" w:rsidR="00555198" w:rsidRDefault="00555198" w:rsidP="00555198">
      <w:pPr>
        <w:spacing w:before="120" w:after="0" w:line="276" w:lineRule="auto"/>
        <w:ind w:firstLine="708"/>
        <w:jc w:val="both"/>
        <w:rPr>
          <w:rFonts w:ascii="Verdana" w:eastAsia="Times New Roman" w:hAnsi="Verdana" w:cs="Arial"/>
          <w:lang w:val="es-MX" w:eastAsia="es-CO"/>
        </w:rPr>
      </w:pPr>
      <w:r w:rsidRPr="00667CD6">
        <w:rPr>
          <w:rFonts w:ascii="Verdana" w:eastAsia="Arial" w:hAnsi="Verdana" w:cs="Arial"/>
          <w:lang w:val="es-MX" w:eastAsia="es-ES" w:bidi="es-ES"/>
        </w:rPr>
        <w:t>De esta manera, se</w:t>
      </w:r>
      <w:r w:rsidRPr="00667CD6">
        <w:rPr>
          <w:rFonts w:ascii="Verdana" w:eastAsia="Times New Roman" w:hAnsi="Verdana" w:cs="Arial"/>
          <w:lang w:eastAsia="es-CO"/>
        </w:rPr>
        <w:t xml:space="preserve"> observa entonces que </w:t>
      </w:r>
      <w:r w:rsidRPr="00667CD6">
        <w:rPr>
          <w:rFonts w:ascii="Verdana" w:eastAsia="Times New Roman" w:hAnsi="Verdana" w:cs="Arial"/>
          <w:lang w:val="es-MX" w:eastAsia="es-CO"/>
        </w:rPr>
        <w:t xml:space="preserve">el parágrafo del artículo 38 de la Ley 996 de 2005 prohíbe a los Alcaldes, Gobernadores, Secretarios, Gerentes y Directores de las entidades del orden municipal, departamental o distrital celebrar </w:t>
      </w:r>
      <w:r w:rsidRPr="00667CD6">
        <w:rPr>
          <w:rFonts w:ascii="Verdana" w:eastAsia="Times New Roman" w:hAnsi="Verdana" w:cs="Arial"/>
          <w:i/>
          <w:iCs/>
          <w:lang w:val="es-MX" w:eastAsia="es-CO"/>
        </w:rPr>
        <w:t>convenios interadministrativos</w:t>
      </w:r>
      <w:r w:rsidRPr="00667CD6">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667CD6">
        <w:rPr>
          <w:rFonts w:ascii="Verdana" w:eastAsia="Times New Roman" w:hAnsi="Verdana" w:cs="Arial"/>
          <w:i/>
          <w:lang w:val="es-MX" w:eastAsia="es-CO"/>
        </w:rPr>
        <w:t>ibidem</w:t>
      </w:r>
      <w:r w:rsidRPr="00667CD6">
        <w:rPr>
          <w:rFonts w:ascii="Verdana" w:eastAsia="Times New Roman" w:hAnsi="Verdana" w:cs="Arial"/>
          <w:lang w:val="es-MX" w:eastAsia="es-CO"/>
        </w:rPr>
        <w:t xml:space="preserve">, </w:t>
      </w:r>
      <w:r>
        <w:rPr>
          <w:rFonts w:ascii="Verdana" w:eastAsia="Times New Roman" w:hAnsi="Verdana" w:cs="Arial"/>
          <w:lang w:val="es-MX" w:eastAsia="es-CO"/>
        </w:rPr>
        <w:t xml:space="preserve">es decir, </w:t>
      </w:r>
      <w:r w:rsidRPr="00E60AD8">
        <w:rPr>
          <w:rFonts w:ascii="Verdana" w:eastAsia="Times New Roman" w:hAnsi="Verdana" w:cs="Arial"/>
          <w:lang w:eastAsia="es-CO"/>
        </w:rPr>
        <w:t>alcaldías, gobernaciones, secretarías de despacho, así como entidades</w:t>
      </w:r>
      <w:r>
        <w:rPr>
          <w:rFonts w:ascii="Verdana" w:eastAsia="Times New Roman" w:hAnsi="Verdana" w:cs="Arial"/>
          <w:lang w:eastAsia="es-CO"/>
        </w:rPr>
        <w:t xml:space="preserve"> descentralizadas por servicios del orden municipal, departamental o distrital</w:t>
      </w:r>
      <w:r w:rsidRPr="00E60AD8">
        <w:rPr>
          <w:rFonts w:ascii="Verdana" w:eastAsia="Times New Roman" w:hAnsi="Verdana" w:cs="Arial"/>
          <w:lang w:eastAsia="es-CO"/>
        </w:rPr>
        <w:t xml:space="preserve"> </w:t>
      </w:r>
      <w:r w:rsidRPr="00667CD6">
        <w:rPr>
          <w:rFonts w:ascii="Verdana" w:eastAsia="Times New Roman" w:hAnsi="Verdana" w:cs="Arial"/>
          <w:lang w:val="es-MX" w:eastAsia="es-CO"/>
        </w:rPr>
        <w:t xml:space="preserve">no podrá celebrar tales </w:t>
      </w:r>
      <w:r w:rsidRPr="00667CD6">
        <w:rPr>
          <w:rFonts w:ascii="Verdana" w:eastAsia="Times New Roman" w:hAnsi="Verdana" w:cs="Arial"/>
          <w:i/>
          <w:iCs/>
          <w:lang w:val="es-MX" w:eastAsia="es-CO"/>
        </w:rPr>
        <w:t>convenios</w:t>
      </w:r>
      <w:r w:rsidRPr="00667CD6">
        <w:rPr>
          <w:rFonts w:ascii="Verdana" w:eastAsia="Times New Roman" w:hAnsi="Verdana" w:cs="Arial"/>
          <w:lang w:val="es-MX" w:eastAsia="es-CO"/>
        </w:rPr>
        <w:t xml:space="preserve"> durante la aplicación de la Ley de Garantías Electorales, toda vez que la citada disposición </w:t>
      </w:r>
      <w:r>
        <w:rPr>
          <w:rFonts w:ascii="Verdana" w:eastAsia="Times New Roman" w:hAnsi="Verdana" w:cs="Arial"/>
          <w:lang w:val="es-MX" w:eastAsia="es-CO"/>
        </w:rPr>
        <w:t xml:space="preserve">se refiere </w:t>
      </w:r>
      <w:r w:rsidRPr="00667CD6">
        <w:rPr>
          <w:rFonts w:ascii="Verdana" w:eastAsia="Times New Roman" w:hAnsi="Verdana" w:cs="Arial"/>
          <w:lang w:val="es-MX" w:eastAsia="es-CO"/>
        </w:rPr>
        <w:t xml:space="preserve">a dicha tipología contractual sin que el legislador hubiere contemplado un efecto extensivo a otra tipología. </w:t>
      </w:r>
    </w:p>
    <w:p w14:paraId="2423CCDE" w14:textId="77777777" w:rsidR="00555198" w:rsidRDefault="00555198" w:rsidP="00555198">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val="es-MX" w:eastAsia="es-CO"/>
        </w:rPr>
        <w:t>Respecto del alcance de esta prohibición la Circular Externa No. 006 de 2025 expedida por la ANCP -CCE, en los literales ii) y iv) del numeral 2</w:t>
      </w:r>
      <w:r w:rsidRPr="00667CD6">
        <w:rPr>
          <w:rFonts w:ascii="Verdana" w:eastAsia="Times New Roman" w:hAnsi="Verdana" w:cs="Arial"/>
          <w:lang w:eastAsia="es-CO"/>
        </w:rPr>
        <w:t>,</w:t>
      </w:r>
      <w:r w:rsidRPr="00667CD6">
        <w:rPr>
          <w:rFonts w:ascii="Verdana" w:eastAsia="Times New Roman" w:hAnsi="Verdana" w:cs="Arial"/>
          <w:lang w:val="es-MX" w:eastAsia="es-CO"/>
        </w:rPr>
        <w:t xml:space="preserve"> indica que el </w:t>
      </w:r>
      <w:r w:rsidRPr="00667CD6">
        <w:rPr>
          <w:rFonts w:ascii="Verdana" w:eastAsia="Times New Roman" w:hAnsi="Verdana" w:cs="Arial"/>
          <w:lang w:eastAsia="es-CO"/>
        </w:rPr>
        <w:t xml:space="preserve">parágrafo del artículo 38 de la Ley 996 de 2005 cobija expresamente a los </w:t>
      </w:r>
      <w:r w:rsidRPr="00667CD6">
        <w:rPr>
          <w:rFonts w:ascii="Verdana" w:eastAsia="Times New Roman" w:hAnsi="Verdana" w:cs="Arial"/>
          <w:i/>
          <w:iCs/>
          <w:lang w:eastAsia="es-CO"/>
        </w:rPr>
        <w:t>convenios interadministrativos</w:t>
      </w:r>
      <w:r w:rsidRPr="00667CD6">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667CD6">
        <w:rPr>
          <w:rFonts w:ascii="Verdana" w:eastAsia="Times New Roman" w:hAnsi="Verdana" w:cs="Arial"/>
          <w:i/>
          <w:iCs/>
          <w:lang w:eastAsia="es-CO"/>
        </w:rPr>
        <w:t>“aunque se configure alguno de los supuestos de excepción que señaló el inciso final del artículo 33”.</w:t>
      </w:r>
      <w:r w:rsidRPr="00667CD6">
        <w:rPr>
          <w:rFonts w:ascii="Verdana" w:eastAsia="Times New Roman" w:hAnsi="Verdana" w:cs="Arial"/>
          <w:lang w:eastAsia="es-CO"/>
        </w:rPr>
        <w:t xml:space="preserve"> </w:t>
      </w:r>
    </w:p>
    <w:p w14:paraId="0C77394B" w14:textId="77777777" w:rsidR="00555198" w:rsidRPr="00667CD6" w:rsidRDefault="00555198" w:rsidP="00555198">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Sin embargo, el ámbito de aplicación de la restricción prevista en el parágrafo del artículo 38 de la Ley 996 de 2005 </w:t>
      </w:r>
      <w:r>
        <w:rPr>
          <w:rFonts w:ascii="Verdana" w:eastAsia="Times New Roman" w:hAnsi="Verdana" w:cs="Arial"/>
          <w:lang w:eastAsia="es-CO"/>
        </w:rPr>
        <w:t>comprende</w:t>
      </w:r>
      <w:r w:rsidRPr="00667CD6">
        <w:rPr>
          <w:rFonts w:ascii="Verdana" w:eastAsia="Times New Roman" w:hAnsi="Verdana" w:cs="Arial"/>
          <w:lang w:eastAsia="es-CO"/>
        </w:rPr>
        <w:t xml:space="preserve"> a los </w:t>
      </w:r>
      <w:r w:rsidRPr="00667CD6">
        <w:rPr>
          <w:rFonts w:ascii="Verdana" w:eastAsia="Times New Roman" w:hAnsi="Verdana" w:cs="Arial"/>
          <w:i/>
          <w:iCs/>
          <w:lang w:eastAsia="es-CO"/>
        </w:rPr>
        <w:t>convenios interadministrativos</w:t>
      </w:r>
      <w:r w:rsidRPr="00667CD6">
        <w:rPr>
          <w:rFonts w:ascii="Verdana" w:eastAsia="Times New Roman" w:hAnsi="Verdana" w:cs="Arial"/>
          <w:lang w:eastAsia="es-CO"/>
        </w:rPr>
        <w:t xml:space="preserve"> en los que </w:t>
      </w:r>
      <w:r>
        <w:rPr>
          <w:rFonts w:ascii="Verdana" w:eastAsia="Times New Roman" w:hAnsi="Verdana" w:cs="Arial"/>
          <w:lang w:eastAsia="es-CO"/>
        </w:rPr>
        <w:t>exista</w:t>
      </w:r>
      <w:r w:rsidRPr="00667CD6">
        <w:rPr>
          <w:rFonts w:ascii="Verdana" w:eastAsia="Times New Roman" w:hAnsi="Verdana" w:cs="Arial"/>
          <w:lang w:eastAsia="es-CO"/>
        </w:rPr>
        <w:t xml:space="preserve"> </w:t>
      </w:r>
      <w:r w:rsidRPr="00667CD6">
        <w:rPr>
          <w:rFonts w:ascii="Verdana" w:eastAsia="Times New Roman" w:hAnsi="Verdana" w:cs="Arial"/>
          <w:i/>
          <w:iCs/>
          <w:lang w:eastAsia="es-CO"/>
        </w:rPr>
        <w:t>ejecución de recursos públicos</w:t>
      </w:r>
      <w:r>
        <w:rPr>
          <w:rFonts w:ascii="Verdana" w:eastAsia="Times New Roman" w:hAnsi="Verdana" w:cs="Arial"/>
          <w:lang w:eastAsia="es-CO"/>
        </w:rPr>
        <w:t>, sin importar de que estos sean en dinero o en especie, ya que la norma no distingue</w:t>
      </w:r>
      <w:r w:rsidRPr="00667CD6">
        <w:rPr>
          <w:rFonts w:ascii="Verdana" w:eastAsia="Times New Roman" w:hAnsi="Verdana" w:cs="Arial"/>
          <w:lang w:eastAsia="es-CO"/>
        </w:rPr>
        <w:t xml:space="preserve">. </w:t>
      </w:r>
      <w:r w:rsidRPr="00C016C8">
        <w:rPr>
          <w:rFonts w:ascii="Verdana" w:eastAsia="Times New Roman" w:hAnsi="Verdana" w:cs="Arial"/>
          <w:lang w:val="es-ES" w:eastAsia="es-CO"/>
        </w:rPr>
        <w:t>Lo anterior conforme a la directriz interpretativa del artículo 31 del Código Civil, según la cual “Lo favorable u odioso de una disposición no se tomará en cuenta para ampliar o restringir su interpretación. La extensión que deba darse a toda ley se determinará por su genuino sentido, y según las reglas de interpretación precedentes”</w:t>
      </w:r>
      <w:r>
        <w:rPr>
          <w:rStyle w:val="FootnoteReference"/>
          <w:rFonts w:ascii="Verdana" w:hAnsi="Verdana" w:cs="Arial"/>
          <w:lang w:val="es-ES"/>
        </w:rPr>
        <w:footnoteReference w:id="34"/>
      </w:r>
      <w:r>
        <w:rPr>
          <w:rFonts w:ascii="Verdana" w:eastAsia="Times New Roman" w:hAnsi="Verdana" w:cs="Arial"/>
          <w:lang w:val="es-ES" w:eastAsia="es-CO"/>
        </w:rPr>
        <w:t>.</w:t>
      </w:r>
      <w:r w:rsidRPr="00667CD6">
        <w:rPr>
          <w:rFonts w:ascii="Verdana" w:eastAsia="Times New Roman" w:hAnsi="Verdana" w:cs="Arial"/>
          <w:lang w:eastAsia="es-CO"/>
        </w:rPr>
        <w:t xml:space="preserve"> </w:t>
      </w:r>
      <w:r>
        <w:rPr>
          <w:rFonts w:ascii="Verdana" w:eastAsia="Times New Roman" w:hAnsi="Verdana" w:cs="Arial"/>
          <w:lang w:eastAsia="es-CO"/>
        </w:rPr>
        <w:t xml:space="preserve">Por ello, en el Concepto </w:t>
      </w:r>
      <w:r w:rsidRPr="00C016C8">
        <w:rPr>
          <w:rFonts w:ascii="Verdana" w:eastAsia="Times New Roman" w:hAnsi="Verdana" w:cs="Arial"/>
          <w:lang w:eastAsia="es-CO"/>
        </w:rPr>
        <w:t>2201913000006634</w:t>
      </w:r>
      <w:r>
        <w:rPr>
          <w:rFonts w:ascii="Verdana" w:eastAsia="Times New Roman" w:hAnsi="Verdana" w:cs="Arial"/>
          <w:lang w:eastAsia="es-CO"/>
        </w:rPr>
        <w:t xml:space="preserve"> del 6 de septiembre de 2019, la Agencia sostuvo que la ejecución de recursos no se agota en el “[…] </w:t>
      </w:r>
      <w:r w:rsidRPr="00C016C8">
        <w:rPr>
          <w:rFonts w:ascii="Verdana" w:eastAsia="Times New Roman" w:hAnsi="Verdana" w:cs="Arial"/>
          <w:lang w:eastAsia="es-CO"/>
        </w:rPr>
        <w:t>el dinero que integra el ciclo presupuestal de la entidad</w:t>
      </w:r>
      <w:r>
        <w:rPr>
          <w:rFonts w:ascii="Verdana" w:eastAsia="Times New Roman" w:hAnsi="Verdana" w:cs="Arial"/>
          <w:lang w:eastAsia="es-CO"/>
        </w:rPr>
        <w:t xml:space="preserve"> […]”, pues “[…] </w:t>
      </w:r>
      <w:r w:rsidRPr="00C016C8">
        <w:rPr>
          <w:rFonts w:ascii="Verdana" w:eastAsia="Times New Roman" w:hAnsi="Verdana" w:cs="Arial"/>
          <w:lang w:eastAsia="es-CO"/>
        </w:rPr>
        <w:t xml:space="preserve">también los bienes muebles, inmuebles y personal hacen parte del concepto de </w:t>
      </w:r>
      <w:r>
        <w:rPr>
          <w:rFonts w:ascii="Verdana" w:eastAsia="Times New Roman" w:hAnsi="Verdana" w:cs="Arial"/>
          <w:lang w:eastAsia="es-CO"/>
        </w:rPr>
        <w:t>‘</w:t>
      </w:r>
      <w:r w:rsidRPr="00C016C8">
        <w:rPr>
          <w:rFonts w:ascii="Verdana" w:eastAsia="Times New Roman" w:hAnsi="Verdana" w:cs="Arial"/>
          <w:lang w:eastAsia="es-CO"/>
        </w:rPr>
        <w:t>recursos públicos</w:t>
      </w:r>
      <w:r>
        <w:rPr>
          <w:rFonts w:ascii="Verdana" w:eastAsia="Times New Roman" w:hAnsi="Verdana" w:cs="Arial"/>
          <w:lang w:eastAsia="es-CO"/>
        </w:rPr>
        <w:t>’”.</w:t>
      </w:r>
    </w:p>
    <w:p w14:paraId="54DDA126" w14:textId="77777777" w:rsidR="00555198" w:rsidRPr="00667CD6" w:rsidRDefault="00555198" w:rsidP="00555198">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De esta manera, conforme a lo dispuesto en la Circular referida, si se suscriben </w:t>
      </w:r>
      <w:r w:rsidRPr="00667CD6">
        <w:rPr>
          <w:rFonts w:ascii="Verdana" w:eastAsia="Times New Roman" w:hAnsi="Verdana" w:cs="Arial"/>
          <w:i/>
          <w:iCs/>
          <w:lang w:eastAsia="es-CO"/>
        </w:rPr>
        <w:t>convenios interadministrativos para la ejecución de recursos públicos</w:t>
      </w:r>
      <w:r w:rsidRPr="00667CD6">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667CD6">
        <w:rPr>
          <w:rFonts w:ascii="Verdana" w:eastAsia="Times New Roman" w:hAnsi="Verdana" w:cs="Arial"/>
          <w:i/>
          <w:iCs/>
          <w:lang w:eastAsia="es-CO"/>
        </w:rPr>
        <w:t>ibidem</w:t>
      </w:r>
      <w:r w:rsidRPr="00667CD6">
        <w:rPr>
          <w:rFonts w:ascii="Verdana" w:eastAsia="Times New Roman" w:hAnsi="Verdana" w:cs="Arial"/>
          <w:lang w:eastAsia="es-CO"/>
        </w:rPr>
        <w:t>, independientemente de que se configure alguno de los supuestos de excepción que señaló el inciso final del artículo 33, es decir, que se trate de:</w:t>
      </w:r>
      <w:r w:rsidRPr="00667CD6">
        <w:rPr>
          <w:rFonts w:ascii="Verdana" w:hAnsi="Verdana" w:cs="Arial"/>
          <w:bCs/>
          <w:lang w:val="es-MX" w:eastAsia="x-none"/>
        </w:rPr>
        <w:t xml:space="preserve">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667CD6">
        <w:rPr>
          <w:rFonts w:ascii="Verdana" w:hAnsi="Verdana" w:cs="Arial"/>
          <w:bCs/>
          <w:lang w:val="es-MX" w:eastAsia="es-CO"/>
        </w:rPr>
        <w:t xml:space="preserve"> </w:t>
      </w:r>
      <w:r w:rsidRPr="00667CD6">
        <w:rPr>
          <w:rFonts w:ascii="Verdana" w:eastAsia="Times New Roman" w:hAnsi="Verdana" w:cs="Arial"/>
          <w:lang w:eastAsia="es-CO"/>
        </w:rPr>
        <w:t xml:space="preserve">  </w:t>
      </w:r>
    </w:p>
    <w:p w14:paraId="557C23C4" w14:textId="77777777" w:rsidR="00555198" w:rsidRPr="00667CD6" w:rsidRDefault="00555198" w:rsidP="00555198">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En este punto, vale la pena destacar que </w:t>
      </w:r>
      <w:r w:rsidRPr="00667CD6">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667CD6">
        <w:rPr>
          <w:rFonts w:ascii="Verdana" w:hAnsi="Verdana" w:cs="Arial"/>
        </w:rPr>
        <w:t xml:space="preserve">numeral 16.2 de la Circular Externa Única de 2022 expedida por la Agencia Nacional de Contratación Pública </w:t>
      </w:r>
      <w:r>
        <w:rPr>
          <w:rFonts w:ascii="Verdana" w:hAnsi="Verdana" w:cs="Arial"/>
        </w:rPr>
        <w:t xml:space="preserve">– </w:t>
      </w:r>
      <w:r w:rsidRPr="00667CD6">
        <w:rPr>
          <w:rFonts w:ascii="Verdana" w:hAnsi="Verdana" w:cs="Arial"/>
        </w:rPr>
        <w:t>Colombia Compra Eficiente, concretamente, respecto de los siguientes apartes normativos</w:t>
      </w:r>
      <w:r w:rsidRPr="00667CD6">
        <w:rPr>
          <w:rFonts w:ascii="Verdana" w:hAnsi="Verdana" w:cs="Arial"/>
          <w:vertAlign w:val="superscript"/>
        </w:rPr>
        <w:footnoteReference w:id="35"/>
      </w:r>
      <w:r w:rsidRPr="00667CD6">
        <w:rPr>
          <w:rFonts w:ascii="Verdana" w:hAnsi="Verdana" w:cs="Arial"/>
        </w:rPr>
        <w:t xml:space="preserve">: </w:t>
      </w:r>
    </w:p>
    <w:p w14:paraId="167504CD" w14:textId="77777777" w:rsidR="00555198" w:rsidRPr="00667CD6" w:rsidRDefault="00555198" w:rsidP="00555198">
      <w:pPr>
        <w:spacing w:after="0" w:line="276" w:lineRule="auto"/>
        <w:ind w:firstLine="709"/>
        <w:jc w:val="both"/>
        <w:rPr>
          <w:rFonts w:ascii="Verdana" w:hAnsi="Verdana" w:cs="Arial"/>
        </w:rPr>
      </w:pPr>
    </w:p>
    <w:p w14:paraId="2245E3D9" w14:textId="77777777" w:rsidR="00555198" w:rsidRDefault="00555198" w:rsidP="00555198">
      <w:pPr>
        <w:spacing w:after="0" w:line="240" w:lineRule="auto"/>
        <w:ind w:left="709" w:right="709"/>
        <w:jc w:val="both"/>
        <w:rPr>
          <w:rFonts w:ascii="Verdana" w:hAnsi="Verdana" w:cs="Arial"/>
          <w:sz w:val="20"/>
          <w:szCs w:val="20"/>
        </w:rPr>
      </w:pPr>
      <w:r>
        <w:rPr>
          <w:rFonts w:ascii="Verdana" w:hAnsi="Verdana" w:cs="Arial"/>
          <w:sz w:val="20"/>
          <w:szCs w:val="20"/>
          <w:lang w:val="es-MX"/>
        </w:rPr>
        <w:t>“</w:t>
      </w:r>
      <w:r w:rsidRPr="00667CD6">
        <w:rPr>
          <w:rFonts w:ascii="Verdana" w:hAnsi="Verdana" w:cs="Arial"/>
          <w:sz w:val="20"/>
          <w:szCs w:val="20"/>
          <w:lang w:val="es-MX"/>
        </w:rPr>
        <w:t>i)</w:t>
      </w:r>
      <w:r w:rsidRPr="00667CD6">
        <w:rPr>
          <w:rFonts w:ascii="Verdana" w:hAnsi="Verdana" w:cs="Arial"/>
          <w:sz w:val="20"/>
          <w:szCs w:val="20"/>
        </w:rPr>
        <w:t xml:space="preserve"> el inciso segundo 2 que dispone: </w:t>
      </w:r>
      <w:r>
        <w:rPr>
          <w:rFonts w:ascii="Verdana" w:hAnsi="Verdana" w:cs="Arial"/>
          <w:sz w:val="20"/>
          <w:szCs w:val="20"/>
        </w:rPr>
        <w:t>‘</w:t>
      </w:r>
      <w:r w:rsidRPr="00667CD6">
        <w:rPr>
          <w:rFonts w:ascii="Verdana" w:hAnsi="Verdana" w:cs="Arial"/>
          <w:sz w:val="20"/>
          <w:szCs w:val="20"/>
        </w:rPr>
        <w:t>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Pr>
          <w:rFonts w:ascii="Verdana" w:hAnsi="Verdana" w:cs="Arial"/>
          <w:sz w:val="20"/>
          <w:szCs w:val="20"/>
        </w:rPr>
        <w:t>’</w:t>
      </w:r>
      <w:r w:rsidRPr="00667CD6">
        <w:rPr>
          <w:rFonts w:ascii="Verdana" w:hAnsi="Verdana" w:cs="Arial"/>
          <w:sz w:val="20"/>
          <w:szCs w:val="20"/>
        </w:rPr>
        <w:t xml:space="preserve"> y, </w:t>
      </w:r>
    </w:p>
    <w:p w14:paraId="6E42B839" w14:textId="77777777" w:rsidR="00555198" w:rsidRPr="00667CD6" w:rsidRDefault="00555198" w:rsidP="00555198">
      <w:pPr>
        <w:spacing w:after="0" w:line="240" w:lineRule="auto"/>
        <w:ind w:left="709" w:right="709"/>
        <w:jc w:val="both"/>
        <w:rPr>
          <w:rFonts w:ascii="Verdana" w:hAnsi="Verdana" w:cs="Arial"/>
          <w:sz w:val="20"/>
          <w:szCs w:val="20"/>
        </w:rPr>
      </w:pPr>
    </w:p>
    <w:p w14:paraId="10A24BFC" w14:textId="77777777" w:rsidR="00555198" w:rsidRPr="00667CD6" w:rsidRDefault="00555198" w:rsidP="00555198">
      <w:pPr>
        <w:spacing w:after="0" w:line="240" w:lineRule="auto"/>
        <w:ind w:left="709" w:right="709"/>
        <w:jc w:val="both"/>
        <w:rPr>
          <w:rFonts w:ascii="Verdana" w:hAnsi="Verdana" w:cs="Arial"/>
          <w:sz w:val="20"/>
          <w:szCs w:val="20"/>
        </w:rPr>
      </w:pPr>
      <w:r w:rsidRPr="00667CD6">
        <w:rPr>
          <w:rFonts w:ascii="Verdana" w:hAnsi="Verdana" w:cs="Arial"/>
          <w:sz w:val="20"/>
          <w:szCs w:val="20"/>
        </w:rPr>
        <w:t xml:space="preserve">ii) la expresión y el siguiente párrafo contenidos en el inciso cuarto </w:t>
      </w:r>
      <w:r>
        <w:rPr>
          <w:rFonts w:ascii="Verdana" w:hAnsi="Verdana" w:cs="Arial"/>
          <w:sz w:val="20"/>
          <w:szCs w:val="20"/>
        </w:rPr>
        <w:t>‘</w:t>
      </w:r>
      <w:r w:rsidRPr="00667CD6">
        <w:rPr>
          <w:rFonts w:ascii="Verdana" w:hAnsi="Verdana" w:cs="Arial"/>
          <w:sz w:val="20"/>
          <w:szCs w:val="20"/>
        </w:rPr>
        <w:t>contratos</w:t>
      </w:r>
      <w:r>
        <w:rPr>
          <w:rFonts w:ascii="Verdana" w:hAnsi="Verdana" w:cs="Arial"/>
          <w:sz w:val="20"/>
          <w:szCs w:val="20"/>
        </w:rPr>
        <w:t>’</w:t>
      </w:r>
      <w:r w:rsidRPr="00667CD6">
        <w:rPr>
          <w:rFonts w:ascii="Verdana" w:hAnsi="Verdana" w:cs="Arial"/>
          <w:sz w:val="20"/>
          <w:szCs w:val="20"/>
        </w:rPr>
        <w:t xml:space="preserve"> y </w:t>
      </w:r>
      <w:r>
        <w:rPr>
          <w:rFonts w:ascii="Verdana" w:hAnsi="Verdana" w:cs="Arial"/>
          <w:sz w:val="20"/>
          <w:szCs w:val="20"/>
        </w:rPr>
        <w:t>‘</w:t>
      </w:r>
      <w:r w:rsidRPr="00667CD6">
        <w:rPr>
          <w:rFonts w:ascii="Verdana" w:hAnsi="Verdana" w:cs="Arial"/>
          <w:sz w:val="20"/>
          <w:szCs w:val="20"/>
        </w:rPr>
        <w:t>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r>
        <w:rPr>
          <w:rFonts w:ascii="Verdana" w:hAnsi="Verdana" w:cs="Arial"/>
          <w:sz w:val="20"/>
          <w:szCs w:val="20"/>
        </w:rPr>
        <w:t>’”</w:t>
      </w:r>
      <w:r w:rsidRPr="00667CD6">
        <w:rPr>
          <w:rFonts w:ascii="Verdana" w:hAnsi="Verdana" w:cs="Arial"/>
          <w:sz w:val="20"/>
          <w:szCs w:val="20"/>
        </w:rPr>
        <w:t xml:space="preserve">. </w:t>
      </w:r>
    </w:p>
    <w:p w14:paraId="3D49BDF7" w14:textId="77777777" w:rsidR="00555198" w:rsidRPr="00667CD6" w:rsidRDefault="00555198" w:rsidP="00555198">
      <w:pPr>
        <w:spacing w:after="0" w:line="276" w:lineRule="auto"/>
        <w:ind w:left="709" w:right="709"/>
        <w:jc w:val="both"/>
        <w:rPr>
          <w:rFonts w:ascii="Verdana" w:hAnsi="Verdana" w:cs="Arial"/>
        </w:rPr>
      </w:pPr>
    </w:p>
    <w:p w14:paraId="51098824" w14:textId="77777777" w:rsidR="00555198" w:rsidRPr="00667CD6" w:rsidRDefault="00555198" w:rsidP="00555198">
      <w:pPr>
        <w:spacing w:after="120" w:line="276" w:lineRule="auto"/>
        <w:ind w:firstLine="709"/>
        <w:jc w:val="both"/>
        <w:rPr>
          <w:rFonts w:ascii="Verdana" w:eastAsia="Arial" w:hAnsi="Verdana" w:cs="Arial"/>
          <w:i/>
          <w:iCs/>
          <w:lang w:eastAsia="es-ES" w:bidi="es-ES"/>
        </w:rPr>
      </w:pPr>
      <w:r w:rsidRPr="00667CD6">
        <w:rPr>
          <w:rFonts w:ascii="Verdana" w:eastAsia="Arial" w:hAnsi="Verdana" w:cs="Arial"/>
          <w:lang w:val="es-MX" w:eastAsia="es-ES" w:bidi="es-ES"/>
        </w:rPr>
        <w:t xml:space="preserve">De conformidad con los argumentos de dicha providencia, se parte de la distinción entre los conceptos </w:t>
      </w:r>
      <w:r w:rsidRPr="00667CD6">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667CD6">
        <w:rPr>
          <w:rFonts w:ascii="Verdana" w:hAnsi="Verdana"/>
          <w:sz w:val="24"/>
          <w:szCs w:val="24"/>
          <w:lang w:eastAsia="es-CO"/>
        </w:rPr>
        <w:t xml:space="preserve"> </w:t>
      </w:r>
      <w:r w:rsidRPr="00667CD6">
        <w:rPr>
          <w:rFonts w:ascii="Verdana" w:eastAsia="Arial" w:hAnsi="Verdana" w:cs="Arial"/>
          <w:lang w:eastAsia="es-ES" w:bidi="es-ES"/>
        </w:rPr>
        <w:t xml:space="preserve">En este sentido, en relación con el parágrafo del artículo 38 de la Ley 996 de 2005 concluyó que </w:t>
      </w:r>
      <w:r w:rsidRPr="00667CD6">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667CD6">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667CD6">
        <w:rPr>
          <w:rFonts w:ascii="Verdana" w:eastAsia="Arial" w:hAnsi="Verdana" w:cs="Arial"/>
          <w:i/>
          <w:iCs/>
          <w:lang w:eastAsia="es-ES" w:bidi="es-ES"/>
        </w:rPr>
        <w:t>“con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w:t>
      </w:r>
      <w:r>
        <w:rPr>
          <w:rFonts w:ascii="Verdana" w:eastAsia="Arial" w:hAnsi="Verdana" w:cs="Arial"/>
          <w:lang w:eastAsia="es-ES" w:bidi="es-ES"/>
        </w:rPr>
        <w:t>”</w:t>
      </w:r>
      <w:r w:rsidRPr="00667CD6">
        <w:rPr>
          <w:rFonts w:ascii="Verdana" w:eastAsia="Arial" w:hAnsi="Verdana" w:cs="Arial"/>
          <w:i/>
          <w:iCs/>
          <w:lang w:eastAsia="es-ES" w:bidi="es-ES"/>
        </w:rPr>
        <w:t xml:space="preserve">. </w:t>
      </w:r>
    </w:p>
    <w:p w14:paraId="75B8BDFE" w14:textId="77777777" w:rsidR="00555198" w:rsidRPr="00667CD6" w:rsidRDefault="00555198" w:rsidP="00555198">
      <w:pPr>
        <w:spacing w:after="120" w:line="276" w:lineRule="auto"/>
        <w:ind w:firstLine="709"/>
        <w:jc w:val="both"/>
        <w:rPr>
          <w:rFonts w:ascii="Verdana" w:eastAsia="Arial" w:hAnsi="Verdana" w:cs="Arial"/>
          <w:lang w:eastAsia="es-ES" w:bidi="es-ES"/>
        </w:rPr>
      </w:pPr>
      <w:r w:rsidRPr="00667CD6">
        <w:rPr>
          <w:rFonts w:ascii="Verdana" w:eastAsia="Arial" w:hAnsi="Verdana" w:cs="Arial"/>
          <w:lang w:eastAsia="es-ES" w:bidi="es-ES"/>
        </w:rPr>
        <w:t>De igual manera, mediante auto del 6 de noviembre de 2025, el Consejo de Estado, Subsección A de la Sección Tercera, decretó</w:t>
      </w:r>
      <w:r w:rsidRPr="00667CD6">
        <w:rPr>
          <w:rFonts w:ascii="Verdana" w:eastAsia="Arial" w:hAnsi="Verdana" w:cs="Arial"/>
          <w:b/>
          <w:bCs/>
          <w:lang w:eastAsia="es-ES" w:bidi="es-ES"/>
        </w:rPr>
        <w:t xml:space="preserve"> </w:t>
      </w:r>
      <w:r w:rsidRPr="00667CD6">
        <w:rPr>
          <w:rFonts w:ascii="Verdana" w:eastAsia="Arial" w:hAnsi="Verdana" w:cs="Arial"/>
          <w:lang w:eastAsia="es-ES" w:bidi="es-ES"/>
        </w:rPr>
        <w:t>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sidRPr="00667CD6">
        <w:rPr>
          <w:rFonts w:ascii="Verdana" w:eastAsia="Arial" w:hAnsi="Verdana" w:cs="Arial"/>
          <w:vertAlign w:val="superscript"/>
          <w:lang w:eastAsia="es-ES" w:bidi="es-ES"/>
        </w:rPr>
        <w:footnoteReference w:id="36"/>
      </w:r>
      <w:r w:rsidRPr="00667CD6">
        <w:rPr>
          <w:rFonts w:ascii="Verdana" w:eastAsia="Arial" w:hAnsi="Verdana" w:cs="Arial"/>
          <w:lang w:eastAsia="es-ES" w:bidi="es-ES"/>
        </w:rPr>
        <w:t xml:space="preserve">. Para tales efectos, el alto tribunal resaltó la interpretación restrictiva de las normas que contienen prohibiciones, como la del parágrafo del artículo 38 de la Ley 996 de 2005, por manera que se excluye la analogía legis o iuris y la interpretación extensiva y reiteró los argumentos sobre la diferencia entre contratos y convenios interadministrativos. </w:t>
      </w:r>
    </w:p>
    <w:p w14:paraId="4B5DAF36" w14:textId="77777777" w:rsidR="00555198" w:rsidRDefault="00555198" w:rsidP="00555198">
      <w:pPr>
        <w:spacing w:after="120" w:line="276" w:lineRule="auto"/>
        <w:ind w:firstLine="709"/>
        <w:jc w:val="both"/>
        <w:rPr>
          <w:rFonts w:ascii="Verdana" w:eastAsia="Times New Roman" w:hAnsi="Verdana" w:cs="Times New Roman"/>
          <w:lang w:eastAsia="es-ES"/>
        </w:rPr>
      </w:pPr>
      <w:r w:rsidRPr="31E4E861">
        <w:rPr>
          <w:rFonts w:ascii="Verdana" w:eastAsia="Arial" w:hAnsi="Verdana" w:cs="Arial"/>
          <w:lang w:eastAsia="es-ES" w:bidi="es-ES"/>
        </w:rPr>
        <w:t>Finalmente, mediante sentencia del 17 de octubre de 2025, emitida por la S</w:t>
      </w:r>
      <w:r>
        <w:rPr>
          <w:rFonts w:ascii="Verdana" w:eastAsia="Arial" w:hAnsi="Verdana" w:cs="Arial"/>
          <w:lang w:eastAsia="es-ES" w:bidi="es-ES"/>
        </w:rPr>
        <w:t xml:space="preserve">ección Tercera del </w:t>
      </w:r>
      <w:r w:rsidRPr="31E4E861">
        <w:rPr>
          <w:rFonts w:ascii="Verdana" w:eastAsia="Arial" w:hAnsi="Verdana" w:cs="Arial"/>
          <w:lang w:eastAsia="es-ES" w:bidi="es-ES"/>
        </w:rPr>
        <w:t xml:space="preserve">Consejo de Estado, dentro del expediente </w:t>
      </w:r>
      <w:r w:rsidRPr="31E4E861">
        <w:rPr>
          <w:rFonts w:ascii="Verdana" w:eastAsia="Times New Roman" w:hAnsi="Verdana" w:cs="Times New Roman"/>
          <w:lang w:eastAsia="es-ES"/>
        </w:rPr>
        <w:t>11001-03-26-000-2023-00139-00, se declaró la nulidad parcial del numeral 16.2 de la Circular Externa Única de 2022 expedida por la Agencia Nacional de Contratación Pública - Colombia Compra Eficiente que indicaba: “Esta restricción es aplicable tanto a los convenios como a los</w:t>
      </w:r>
      <w:r>
        <w:rPr>
          <w:rFonts w:ascii="Verdana" w:eastAsia="Times New Roman" w:hAnsi="Verdana" w:cs="Times New Roman"/>
          <w:lang w:eastAsia="es-ES"/>
        </w:rPr>
        <w:t xml:space="preserve"> contratos interadministrativos (…)</w:t>
      </w:r>
      <w:r w:rsidRPr="31E4E861">
        <w:rPr>
          <w:rFonts w:ascii="Verdana" w:eastAsia="Times New Roman" w:hAnsi="Verdana" w:cs="Times New Roman"/>
          <w:lang w:eastAsia="es-ES"/>
        </w:rPr>
        <w:t xml:space="preserve">”. </w:t>
      </w:r>
    </w:p>
    <w:p w14:paraId="641780DC" w14:textId="77777777" w:rsidR="00555198" w:rsidRDefault="00555198" w:rsidP="00555198">
      <w:pPr>
        <w:spacing w:after="120" w:line="276" w:lineRule="auto"/>
        <w:ind w:firstLine="709"/>
        <w:jc w:val="both"/>
        <w:rPr>
          <w:rFonts w:ascii="Verdana" w:eastAsia="Times New Roman" w:hAnsi="Verdana" w:cs="Times New Roman"/>
          <w:lang w:eastAsia="es-ES"/>
        </w:rPr>
      </w:pPr>
      <w:r w:rsidRPr="2035D652">
        <w:rPr>
          <w:rFonts w:ascii="Verdana" w:eastAsia="Times New Roman" w:hAnsi="Verdana" w:cs="Times New Roman"/>
          <w:lang w:eastAsia="es-ES"/>
        </w:rPr>
        <w:t>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w:t>
      </w:r>
      <w:r w:rsidRPr="2035D652">
        <w:rPr>
          <w:rStyle w:val="FootnoteReference"/>
          <w:rFonts w:ascii="Verdana" w:eastAsia="Times New Roman" w:hAnsi="Verdana" w:cs="Times New Roman"/>
          <w:lang w:eastAsia="es-ES"/>
        </w:rPr>
        <w:footnoteReference w:id="37"/>
      </w:r>
      <w:r w:rsidRPr="2035D652">
        <w:rPr>
          <w:rFonts w:ascii="Verdana" w:eastAsia="Times New Roman" w:hAnsi="Verdana" w:cs="Times New Roman"/>
          <w:lang w:eastAsia="es-ES"/>
        </w:rPr>
        <w:t xml:space="preserve">. Sobre el 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74B75461" w14:textId="77777777" w:rsidR="00555198" w:rsidRDefault="00555198" w:rsidP="00555198">
      <w:pPr>
        <w:spacing w:after="120" w:line="276" w:lineRule="auto"/>
        <w:ind w:firstLine="709"/>
        <w:jc w:val="both"/>
        <w:rPr>
          <w:rFonts w:ascii="Verdana" w:eastAsia="Times New Roman" w:hAnsi="Verdana" w:cs="Arial"/>
          <w:lang w:eastAsia="es-CO"/>
        </w:rPr>
      </w:pPr>
      <w:r w:rsidRPr="2035D652">
        <w:rPr>
          <w:rFonts w:ascii="Verdana" w:eastAsia="Times New Roman" w:hAnsi="Verdana" w:cs="Times New Roman"/>
          <w:lang w:eastAsia="es-ES"/>
        </w:rPr>
        <w:t xml:space="preserve">A juicio de la Sala, aunque el propósito de la Circular Externa era legítimo </w:t>
      </w:r>
      <w:r>
        <w:rPr>
          <w:rFonts w:ascii="Verdana" w:eastAsia="Times New Roman" w:hAnsi="Verdana" w:cs="Times New Roman"/>
          <w:lang w:eastAsia="es-ES"/>
        </w:rPr>
        <w:t>–</w:t>
      </w:r>
      <w:r w:rsidRPr="2035D652">
        <w:rPr>
          <w:rFonts w:ascii="Verdana" w:eastAsia="Times New Roman" w:hAnsi="Verdana" w:cs="Times New Roman"/>
          <w:lang w:eastAsia="es-ES"/>
        </w:rPr>
        <w:t>evitar el uso indebido de recursos en época electoral</w:t>
      </w:r>
      <w:r>
        <w:rPr>
          <w:rFonts w:ascii="Verdana" w:eastAsia="Times New Roman" w:hAnsi="Verdana" w:cs="Times New Roman"/>
          <w:lang w:eastAsia="es-ES"/>
        </w:rPr>
        <w:t>–</w:t>
      </w:r>
      <w:r w:rsidRPr="2035D652">
        <w:rPr>
          <w:rFonts w:ascii="Verdana" w:eastAsia="Times New Roman" w:hAnsi="Verdana" w:cs="Times New Roman"/>
          <w:lang w:eastAsia="es-ES"/>
        </w:rPr>
        <w:t>, el numeral 16.2. desconoció el alcance literal del artículo 38 de la Ley 996 de 2005 y los límites de la potestad reglamentaria, lo que configuró un vicio de contenido.</w:t>
      </w:r>
      <w:r>
        <w:rPr>
          <w:rFonts w:ascii="Verdana" w:eastAsia="Times New Roman" w:hAnsi="Verdana" w:cs="Times New Roman"/>
          <w:lang w:eastAsia="es-ES"/>
        </w:rPr>
        <w:t xml:space="preserve"> </w:t>
      </w:r>
      <w:r w:rsidRPr="00667CD6">
        <w:rPr>
          <w:rFonts w:ascii="Verdana" w:eastAsia="Times New Roman" w:hAnsi="Verdana" w:cs="Arial"/>
          <w:lang w:eastAsia="es-CO"/>
        </w:rPr>
        <w:t>Así las cosas, a la luz de lo expuesto por el Consejo de Estado</w:t>
      </w:r>
      <w:r>
        <w:rPr>
          <w:rFonts w:ascii="Verdana" w:eastAsia="Times New Roman" w:hAnsi="Verdana" w:cs="Arial"/>
          <w:lang w:eastAsia="es-CO"/>
        </w:rPr>
        <w:t xml:space="preserve">, </w:t>
      </w:r>
      <w:r w:rsidRPr="2035D652">
        <w:rPr>
          <w:rFonts w:ascii="Verdana" w:eastAsia="Times New Roman" w:hAnsi="Verdana" w:cs="Arial"/>
          <w:lang w:eastAsia="es-CO"/>
        </w:rPr>
        <w:t>en la sentencia expedida por la Sección Tercera de la Sala de lo Contencioso Administrativo del 17 de octubre de 2025</w:t>
      </w:r>
      <w:r>
        <w:rPr>
          <w:rFonts w:ascii="Verdana" w:eastAsia="Times New Roman" w:hAnsi="Verdana" w:cs="Arial"/>
          <w:lang w:eastAsia="es-CO"/>
        </w:rPr>
        <w:t>,</w:t>
      </w:r>
      <w:r w:rsidRPr="00667CD6">
        <w:rPr>
          <w:rFonts w:ascii="Verdana" w:eastAsia="Times New Roman" w:hAnsi="Verdana" w:cs="Arial"/>
          <w:lang w:eastAsia="es-CO"/>
        </w:rPr>
        <w:t xml:space="preserve"> en los autos del 4 de octubre de 2024 y 6 de noviembre de 2025, no resultaría aplicable la prohibición del parágrafo del artículo 38 de la Ley de Garantías Electorales a los </w:t>
      </w:r>
      <w:r w:rsidRPr="00667CD6">
        <w:rPr>
          <w:rFonts w:ascii="Verdana" w:eastAsia="Times New Roman" w:hAnsi="Verdana" w:cs="Arial"/>
          <w:i/>
          <w:iCs/>
          <w:lang w:eastAsia="es-CO"/>
        </w:rPr>
        <w:t>contratos interadministrativos</w:t>
      </w:r>
      <w:r>
        <w:rPr>
          <w:rFonts w:ascii="Verdana" w:eastAsia="Times New Roman" w:hAnsi="Verdana" w:cs="Arial"/>
          <w:lang w:eastAsia="es-CO"/>
        </w:rPr>
        <w:t>, esta prohibición solo aplicaría a los convenios interadministrativos que impliquen la ejecución de recursos públicos</w:t>
      </w:r>
      <w:r>
        <w:rPr>
          <w:rStyle w:val="FootnoteReference"/>
          <w:rFonts w:ascii="Verdana" w:eastAsia="Times New Roman" w:hAnsi="Verdana" w:cs="Arial"/>
          <w:lang w:eastAsia="es-CO"/>
        </w:rPr>
        <w:footnoteReference w:id="38"/>
      </w:r>
      <w:r>
        <w:rPr>
          <w:rFonts w:ascii="Verdana" w:eastAsia="Times New Roman" w:hAnsi="Verdana" w:cs="Arial"/>
          <w:lang w:eastAsia="es-CO"/>
        </w:rPr>
        <w:t>. C</w:t>
      </w:r>
      <w:r w:rsidRPr="00667CD6">
        <w:rPr>
          <w:rFonts w:ascii="Verdana" w:eastAsia="Times New Roman" w:hAnsi="Verdana" w:cs="Arial"/>
          <w:lang w:eastAsia="es-CO"/>
        </w:rPr>
        <w:t xml:space="preserve">onforme a lo señalado por el Consejo de Estado, cuando dos entidades públicas celebren un </w:t>
      </w:r>
      <w:r w:rsidRPr="00667CD6">
        <w:rPr>
          <w:rFonts w:ascii="Verdana" w:eastAsia="Times New Roman" w:hAnsi="Verdana" w:cs="Arial"/>
          <w:i/>
          <w:iCs/>
          <w:lang w:eastAsia="es-CO"/>
        </w:rPr>
        <w:t>contrato interadministrativo,</w:t>
      </w:r>
      <w:r w:rsidRPr="00667CD6">
        <w:rPr>
          <w:rFonts w:ascii="Verdana" w:eastAsia="Times New Roman" w:hAnsi="Verdana" w:cs="Arial"/>
          <w:lang w:eastAsia="es-CO"/>
        </w:rPr>
        <w:t xml:space="preserve"> independientemente del objeto, dicho contrato puede suscribirse durante el periodo preelectoral.</w:t>
      </w:r>
    </w:p>
    <w:p w14:paraId="382D12FC" w14:textId="77777777" w:rsidR="00555198" w:rsidRDefault="00555198" w:rsidP="00555198">
      <w:pPr>
        <w:spacing w:after="120" w:line="276" w:lineRule="auto"/>
        <w:ind w:firstLine="708"/>
        <w:jc w:val="both"/>
        <w:rPr>
          <w:rFonts w:ascii="Verdana" w:eastAsia="Times New Roman" w:hAnsi="Verdana" w:cs="Arial"/>
          <w:lang w:eastAsia="es-CO"/>
        </w:rPr>
      </w:pPr>
      <w:r>
        <w:rPr>
          <w:rFonts w:ascii="Verdana" w:eastAsia="Times New Roman" w:hAnsi="Verdana" w:cs="Arial"/>
          <w:lang w:eastAsia="es-CO"/>
        </w:rPr>
        <w:t>En este aspecto, se encuentra que la restricción para la celebración de convenios interadministrativos para la ejecución de recursos públicos no puede aludirse a contratantes o contratistas, sino de partes cooperantes o colaboradoras. Así mismo, aplica para cualquier tipo de elección, lo que implica que la restricción del parágrafo del artículo 38</w:t>
      </w:r>
      <w:r>
        <w:rPr>
          <w:rFonts w:ascii="Verdana" w:eastAsia="Times New Roman" w:hAnsi="Verdana" w:cs="Arial"/>
          <w:bCs/>
          <w:lang w:val="es-MX" w:eastAsia="x-none"/>
        </w:rPr>
        <w:t xml:space="preserve"> aplica desde el 8 de noviembre de 2025, teniendo en cuenta que la Resolución 02580 del 5 de marzo de 2025 de la Registraduría Nacional del Estado Civil dispuso que las elecciones de senado y cámara se celebrarán el 8 de marzo de 2026. Esta restricción se extiende a las elecciones presidenciales que se celebrarán el 31 de mayo de 2026, así como una posible segunda vuelta tres semanas después, es decir, el 21 de junio de 2026. </w:t>
      </w:r>
    </w:p>
    <w:p w14:paraId="50CD0360" w14:textId="48AFBEE1" w:rsidR="00555198" w:rsidRDefault="00555198" w:rsidP="00B8078E">
      <w:pPr>
        <w:spacing w:after="120" w:line="276" w:lineRule="auto"/>
        <w:ind w:firstLine="708"/>
        <w:jc w:val="both"/>
        <w:rPr>
          <w:rFonts w:ascii="Verdana" w:eastAsia="Calibri" w:hAnsi="Verdana" w:cs="Arial"/>
          <w:lang w:val="es-ES" w:eastAsia="es-ES"/>
        </w:rPr>
      </w:pPr>
      <w:r w:rsidRPr="00667CD6">
        <w:rPr>
          <w:rFonts w:ascii="Verdana" w:eastAsia="Times New Roman" w:hAnsi="Verdana" w:cs="Arial"/>
          <w:lang w:eastAsia="es-CO"/>
        </w:rPr>
        <w:t xml:space="preserve"> </w:t>
      </w:r>
      <w:r w:rsidRPr="605533EB">
        <w:rPr>
          <w:rFonts w:ascii="Verdana" w:eastAsia="Times New Roman" w:hAnsi="Verdana" w:cs="Arial"/>
          <w:lang w:eastAsia="es-CO"/>
        </w:rPr>
        <w:t xml:space="preserve">No </w:t>
      </w:r>
      <w:r>
        <w:rPr>
          <w:rFonts w:ascii="Verdana" w:eastAsia="Times New Roman" w:hAnsi="Verdana" w:cs="Arial"/>
          <w:lang w:eastAsia="es-CO"/>
        </w:rPr>
        <w:t>obstante</w:t>
      </w:r>
      <w:r w:rsidRPr="605533EB">
        <w:rPr>
          <w:rFonts w:ascii="Verdana" w:eastAsia="Times New Roman" w:hAnsi="Verdana" w:cs="Arial"/>
          <w:lang w:eastAsia="es-CO"/>
        </w:rPr>
        <w:t xml:space="preserve">, es importante mencionar que aún se encuentra por definir la demanda </w:t>
      </w:r>
      <w:r w:rsidRPr="605533EB">
        <w:rPr>
          <w:rFonts w:ascii="Verdana" w:eastAsia="Calibri" w:hAnsi="Verdana" w:cs="Arial"/>
          <w:lang w:val="es-ES" w:eastAsia="es-ES"/>
        </w:rPr>
        <w:t xml:space="preserve">de nulidad simple, identificada con el Radicado número 11001-03-26-000-2025-00016-00, en la cual se cuestiona </w:t>
      </w:r>
      <w:r w:rsidRPr="605533EB">
        <w:rPr>
          <w:rFonts w:ascii="Verdana" w:eastAsia="Calibri" w:hAnsi="Verdana" w:cs="Arial"/>
          <w:lang w:eastAsia="es-ES"/>
        </w:rPr>
        <w:t>parcialmente el numeral 16.2 de la Circular Externa Única CCE-EICP-MA-06, Versión 03 del 27 de diciembre de 2023.</w:t>
      </w:r>
      <w:r w:rsidRPr="605533EB">
        <w:rPr>
          <w:rFonts w:ascii="Verdana" w:eastAsia="Calibri" w:hAnsi="Verdana" w:cs="Arial"/>
          <w:lang w:val="es-ES" w:eastAsia="es-ES"/>
        </w:rPr>
        <w:t xml:space="preserve"> </w:t>
      </w:r>
    </w:p>
    <w:p w14:paraId="64075FB3" w14:textId="77777777" w:rsidR="00555198" w:rsidRDefault="00555198" w:rsidP="00555198">
      <w:pPr>
        <w:spacing w:after="0" w:line="276" w:lineRule="auto"/>
        <w:ind w:firstLine="708"/>
        <w:jc w:val="both"/>
        <w:rPr>
          <w:rFonts w:ascii="Verdana" w:eastAsia="Calibri" w:hAnsi="Verdana" w:cs="Arial"/>
          <w:lang w:val="es-ES" w:eastAsia="es-ES"/>
        </w:rPr>
      </w:pPr>
      <w:r>
        <w:rPr>
          <w:rFonts w:ascii="Verdana" w:eastAsia="Calibri" w:hAnsi="Verdana" w:cs="Arial"/>
          <w:lang w:val="es-ES" w:eastAsia="es-ES"/>
        </w:rPr>
        <w:t xml:space="preserve">De acuerdo con lo anterior se presentan las siguientes conclusiones: </w:t>
      </w:r>
    </w:p>
    <w:p w14:paraId="09EF5077" w14:textId="77777777" w:rsidR="00555198" w:rsidRDefault="00555198" w:rsidP="00555198">
      <w:pPr>
        <w:spacing w:after="0" w:line="240" w:lineRule="auto"/>
        <w:jc w:val="both"/>
        <w:rPr>
          <w:rFonts w:ascii="Verdana" w:eastAsia="Calibri" w:hAnsi="Verdana" w:cs="Arial"/>
          <w:lang w:val="es-ES" w:eastAsia="es-ES"/>
        </w:rPr>
      </w:pPr>
    </w:p>
    <w:p w14:paraId="3CEE9110" w14:textId="032FD67F" w:rsidR="00555198" w:rsidRPr="00E64C1B" w:rsidRDefault="00555198" w:rsidP="00B8078E">
      <w:pPr>
        <w:pStyle w:val="ListParagraph"/>
        <w:numPr>
          <w:ilvl w:val="0"/>
          <w:numId w:val="18"/>
        </w:numPr>
        <w:spacing w:after="0" w:line="276" w:lineRule="auto"/>
        <w:ind w:left="357" w:hanging="357"/>
        <w:jc w:val="both"/>
        <w:rPr>
          <w:rFonts w:ascii="Verdana" w:hAnsi="Verdana" w:cs="Arial"/>
          <w:bCs/>
          <w:color w:val="000000" w:themeColor="text1"/>
          <w:lang w:val="es-MX" w:eastAsia="x-none"/>
        </w:rPr>
      </w:pPr>
      <w:r w:rsidRPr="00954F55">
        <w:rPr>
          <w:rFonts w:ascii="Verdana" w:eastAsia="Calibri" w:hAnsi="Verdana" w:cs="Arial"/>
          <w:lang w:eastAsia="es-ES"/>
        </w:rPr>
        <w:t xml:space="preserve">Las restricciones contenidas en el artículo 33 de la Ley 996 de 2005 aplica para “la contratación directa” de todos los entes del Estado, </w:t>
      </w:r>
      <w:r w:rsidRPr="00954F55">
        <w:rPr>
          <w:rFonts w:ascii="Verdana" w:hAnsi="Verdana" w:cs="Arial"/>
          <w:color w:val="000000" w:themeColor="text1"/>
          <w:lang w:val="es-MX"/>
        </w:rPr>
        <w:t xml:space="preserve">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sidRPr="00954F55">
        <w:rPr>
          <w:rFonts w:ascii="Verdana" w:eastAsia="Calibri" w:hAnsi="Verdana" w:cs="Arial"/>
          <w:lang w:eastAsia="es-ES"/>
        </w:rPr>
        <w:t xml:space="preserve"> Se trata de la prohibición de </w:t>
      </w:r>
      <w:r w:rsidRPr="00954F55">
        <w:rPr>
          <w:rFonts w:ascii="Verdana" w:hAnsi="Verdana" w:cs="Arial"/>
          <w:bCs/>
          <w:lang w:eastAsia="x-none"/>
        </w:rPr>
        <w:t>aquellos contratos en los que no exista un proceso abierto y competitivo.</w:t>
      </w:r>
      <w:r w:rsidRPr="00954F55">
        <w:rPr>
          <w:rFonts w:ascii="Verdana" w:hAnsi="Verdana" w:cs="Arial"/>
          <w:lang w:eastAsia="x-none"/>
        </w:rPr>
        <w:t xml:space="preserve"> Por lo tanto, no son materia de la prohibición las demás modalidades de selección previstas en la Ley 1150 de 2007, esto es, la licitación pública, el concurso de méritos, la selección abreviada y la contratación de mínima cuantía</w:t>
      </w:r>
      <w:r w:rsidR="00911257">
        <w:rPr>
          <w:rFonts w:ascii="Verdana" w:hAnsi="Verdana" w:cs="Arial"/>
          <w:lang w:eastAsia="x-none"/>
        </w:rPr>
        <w:t xml:space="preserve"> o los procesos competitivos </w:t>
      </w:r>
      <w:r w:rsidR="00DD5A6D">
        <w:rPr>
          <w:rFonts w:ascii="Verdana" w:hAnsi="Verdana" w:cs="Arial"/>
          <w:lang w:eastAsia="x-none"/>
        </w:rPr>
        <w:t>establecidos</w:t>
      </w:r>
      <w:r w:rsidR="00911257">
        <w:rPr>
          <w:rFonts w:ascii="Verdana" w:hAnsi="Verdana" w:cs="Arial"/>
          <w:lang w:eastAsia="x-none"/>
        </w:rPr>
        <w:t xml:space="preserve"> en los manuales de contratación de las entidades con regímenes exceptuados</w:t>
      </w:r>
      <w:r w:rsidRPr="00954F55">
        <w:rPr>
          <w:rFonts w:ascii="Verdana" w:hAnsi="Verdana" w:cs="Arial"/>
          <w:lang w:eastAsia="x-none"/>
        </w:rPr>
        <w:t xml:space="preserve">. Adicionalmente, la celebración de la contratación directa </w:t>
      </w:r>
      <w:r w:rsidRPr="00954F55">
        <w:rPr>
          <w:rFonts w:ascii="Verdana" w:eastAsia="Calibri" w:hAnsi="Verdana" w:cs="Arial"/>
          <w:lang w:val="es-CO" w:eastAsia="es-ES"/>
        </w:rPr>
        <w:t>no se encuentra condicionada por la ejecución de recursos en el marco de los respectivos contratos o el origen de estos, de manera que aplica las restricciones independientemente de que el contrato implique o no la ejecución de recursos o si los recursos destinados son de naturaleza pública o privada</w:t>
      </w:r>
      <w:r w:rsidRPr="00954F55">
        <w:rPr>
          <w:rStyle w:val="FootnoteReference"/>
          <w:rFonts w:ascii="Verdana" w:eastAsia="Calibri" w:hAnsi="Verdana" w:cs="Arial"/>
          <w:lang w:val="es-CO" w:eastAsia="es-ES"/>
        </w:rPr>
        <w:footnoteReference w:id="39"/>
      </w:r>
      <w:r w:rsidRPr="00954F55">
        <w:rPr>
          <w:rFonts w:ascii="Verdana" w:eastAsia="Calibri" w:hAnsi="Verdana" w:cs="Arial"/>
          <w:lang w:val="es-CO" w:eastAsia="es-ES"/>
        </w:rPr>
        <w:t xml:space="preserve">. </w:t>
      </w:r>
    </w:p>
    <w:p w14:paraId="273FF69E" w14:textId="77777777" w:rsidR="00555198" w:rsidRPr="00E64C1B" w:rsidRDefault="00555198" w:rsidP="00DD5A6D">
      <w:pPr>
        <w:pStyle w:val="ListParagraph"/>
        <w:spacing w:after="0" w:line="240" w:lineRule="auto"/>
        <w:ind w:left="0"/>
        <w:jc w:val="both"/>
        <w:rPr>
          <w:rFonts w:ascii="Verdana" w:hAnsi="Verdana" w:cs="Arial"/>
          <w:bCs/>
          <w:color w:val="000000" w:themeColor="text1"/>
          <w:lang w:val="es-MX" w:eastAsia="x-none"/>
        </w:rPr>
      </w:pPr>
    </w:p>
    <w:p w14:paraId="5BE4E323" w14:textId="77777777" w:rsidR="00555198" w:rsidRDefault="00555198" w:rsidP="00DD5A6D">
      <w:pPr>
        <w:pStyle w:val="ListParagraph"/>
        <w:numPr>
          <w:ilvl w:val="0"/>
          <w:numId w:val="18"/>
        </w:numPr>
        <w:spacing w:after="0" w:line="276" w:lineRule="auto"/>
        <w:ind w:left="357" w:hanging="357"/>
        <w:jc w:val="both"/>
        <w:rPr>
          <w:rFonts w:ascii="Verdana" w:eastAsia="Calibri" w:hAnsi="Verdana" w:cs="Arial"/>
          <w:lang w:eastAsia="es-ES"/>
        </w:rPr>
      </w:pPr>
      <w:r w:rsidRPr="00E64C1B">
        <w:rPr>
          <w:rFonts w:ascii="Verdana" w:eastAsia="Calibri" w:hAnsi="Verdana" w:cs="Arial"/>
          <w:lang w:eastAsia="es-ES"/>
        </w:rPr>
        <w:t xml:space="preserve">La entidad definirá si la contratación que pretende celebrar se enmarca en alguna de las excepciones definidas en el artículo 33 de la Ley 996 de 2005, esto es, que se pretenda cubrir emergencias educativas, de tal manera que las excepciones contempladas no permiten efectuar una interpretación extensiva para incluir otros supuestos. </w:t>
      </w:r>
    </w:p>
    <w:p w14:paraId="76EAAA73" w14:textId="77777777" w:rsidR="00555198" w:rsidRPr="00E80F85" w:rsidRDefault="00555198" w:rsidP="00DD5A6D">
      <w:pPr>
        <w:pStyle w:val="ListParagraph"/>
        <w:spacing w:after="0" w:line="240" w:lineRule="auto"/>
        <w:ind w:left="0"/>
        <w:rPr>
          <w:rFonts w:ascii="Verdana" w:eastAsia="Calibri" w:hAnsi="Verdana" w:cs="Arial"/>
          <w:lang w:eastAsia="es-ES"/>
        </w:rPr>
      </w:pPr>
    </w:p>
    <w:p w14:paraId="0E6E53A2" w14:textId="46713385" w:rsidR="00EF24FF" w:rsidRDefault="00555198" w:rsidP="00DD5A6D">
      <w:pPr>
        <w:pStyle w:val="ListParagraph"/>
        <w:numPr>
          <w:ilvl w:val="0"/>
          <w:numId w:val="18"/>
        </w:numPr>
        <w:spacing w:after="0" w:line="276" w:lineRule="auto"/>
        <w:ind w:left="360"/>
        <w:jc w:val="both"/>
        <w:rPr>
          <w:rFonts w:ascii="Verdana" w:eastAsia="Calibri" w:hAnsi="Verdana" w:cs="Arial"/>
          <w:lang w:eastAsia="es-ES"/>
        </w:rPr>
      </w:pPr>
      <w:r w:rsidRPr="00E80F85">
        <w:rPr>
          <w:rFonts w:ascii="Verdana" w:eastAsia="Calibri" w:hAnsi="Verdana" w:cs="Arial"/>
          <w:lang w:eastAsia="es-ES"/>
        </w:rPr>
        <w:t xml:space="preserve">La restricción definida en el </w:t>
      </w:r>
      <w:r w:rsidR="00DD5A6D">
        <w:rPr>
          <w:rFonts w:ascii="Verdana" w:eastAsia="Calibri" w:hAnsi="Verdana" w:cs="Arial"/>
          <w:lang w:eastAsia="es-ES"/>
        </w:rPr>
        <w:t xml:space="preserve">parágrafo del </w:t>
      </w:r>
      <w:r w:rsidRPr="00E80F85">
        <w:rPr>
          <w:rFonts w:ascii="Verdana" w:eastAsia="Calibri" w:hAnsi="Verdana" w:cs="Arial"/>
          <w:lang w:eastAsia="es-ES"/>
        </w:rPr>
        <w:t xml:space="preserve">artículo 38 de la Ley 996 de 2005 se refiere a la celebración de convenios interadministrativos para la ejecución de recursos públicos, independientemente de que se configuren los supuestos de excepción que señala en artículo 33 de la misma ley. </w:t>
      </w:r>
    </w:p>
    <w:p w14:paraId="398B36FB" w14:textId="77777777" w:rsidR="00EF24FF" w:rsidRPr="00DD5A6D" w:rsidRDefault="00EF24FF" w:rsidP="00A77420">
      <w:pPr>
        <w:pStyle w:val="ListParagraph"/>
        <w:spacing w:after="0" w:line="240" w:lineRule="auto"/>
        <w:rPr>
          <w:rFonts w:ascii="Verdana" w:eastAsia="Calibri" w:hAnsi="Verdana" w:cs="Arial"/>
          <w:lang w:eastAsia="es-ES"/>
        </w:rPr>
      </w:pPr>
    </w:p>
    <w:p w14:paraId="46508CC3" w14:textId="1B34DFEC" w:rsidR="00EF24FF" w:rsidRDefault="00EF24FF" w:rsidP="00DD5A6D">
      <w:pPr>
        <w:pStyle w:val="ListParagraph"/>
        <w:numPr>
          <w:ilvl w:val="0"/>
          <w:numId w:val="18"/>
        </w:numPr>
        <w:spacing w:after="0" w:line="276" w:lineRule="auto"/>
        <w:ind w:left="357" w:hanging="357"/>
        <w:jc w:val="both"/>
        <w:rPr>
          <w:rFonts w:ascii="Verdana" w:eastAsia="Calibri" w:hAnsi="Verdana" w:cs="Arial"/>
          <w:lang w:eastAsia="es-ES"/>
        </w:rPr>
      </w:pPr>
      <w:r>
        <w:rPr>
          <w:rFonts w:ascii="Verdana" w:eastAsia="Calibri" w:hAnsi="Verdana" w:cs="Arial"/>
          <w:lang w:eastAsia="es-ES"/>
        </w:rPr>
        <w:t xml:space="preserve">La posición definida en las decisiones adoptadas por la Sección Tercera del Consejo de Estado se enmarcó en la imposibilidad de extender la aplicación de la restricción a los contratos interadministrativos que, en vigencia de la prohibición del parágrafo del artículo 38 de la Ley de Garantías Electorales se trata, esto es, en las elecciones distintas a las presidenciales. Específicamente, en la sentencia del 17 de octubre de 2025, el alto tribunal declaró la nulidad </w:t>
      </w:r>
      <w:r w:rsidRPr="00F35E92">
        <w:rPr>
          <w:rFonts w:ascii="Verdana" w:eastAsia="Calibri" w:hAnsi="Verdana" w:cs="Arial"/>
          <w:lang w:eastAsia="es-ES"/>
        </w:rPr>
        <w:t xml:space="preserve">parcial del numeral 16.2 de la Circular Externa Única de 2022, por lo tanto, cuando dos entidades públicas celebran un contrato interadministrativo, independientemente del objeto, dicho contrato puede suscribirse durante el periodo preelectoral. </w:t>
      </w:r>
    </w:p>
    <w:p w14:paraId="567F145C" w14:textId="77777777" w:rsidR="00EF24FF" w:rsidRPr="00DD5A6D" w:rsidRDefault="00EF24FF" w:rsidP="00A77420">
      <w:pPr>
        <w:spacing w:after="0" w:line="240" w:lineRule="auto"/>
        <w:jc w:val="both"/>
        <w:rPr>
          <w:rFonts w:ascii="Verdana" w:eastAsia="Calibri" w:hAnsi="Verdana" w:cs="Arial"/>
          <w:lang w:eastAsia="es-ES"/>
        </w:rPr>
      </w:pPr>
    </w:p>
    <w:p w14:paraId="2399FDD5" w14:textId="58822FF3" w:rsidR="00555198" w:rsidRDefault="00555198" w:rsidP="00DD5A6D">
      <w:pPr>
        <w:pStyle w:val="ListParagraph"/>
        <w:numPr>
          <w:ilvl w:val="0"/>
          <w:numId w:val="18"/>
        </w:numPr>
        <w:spacing w:after="0" w:line="276" w:lineRule="auto"/>
        <w:ind w:left="360"/>
        <w:jc w:val="both"/>
        <w:rPr>
          <w:rFonts w:ascii="Verdana" w:eastAsia="Calibri" w:hAnsi="Verdana" w:cs="Arial"/>
          <w:lang w:eastAsia="es-ES"/>
        </w:rPr>
      </w:pPr>
      <w:r w:rsidRPr="00E80F85">
        <w:rPr>
          <w:rFonts w:ascii="Verdana" w:eastAsia="Calibri" w:hAnsi="Verdana" w:cs="Arial"/>
          <w:lang w:eastAsia="es-ES"/>
        </w:rPr>
        <w:t>Actualmente</w:t>
      </w:r>
      <w:r w:rsidR="00EF24FF">
        <w:rPr>
          <w:rFonts w:ascii="Verdana" w:eastAsia="Calibri" w:hAnsi="Verdana" w:cs="Arial"/>
          <w:lang w:eastAsia="es-ES"/>
        </w:rPr>
        <w:t>,</w:t>
      </w:r>
      <w:r w:rsidRPr="00E80F85">
        <w:rPr>
          <w:rFonts w:ascii="Verdana" w:eastAsia="Calibri" w:hAnsi="Verdana" w:cs="Arial"/>
          <w:lang w:eastAsia="es-ES"/>
        </w:rPr>
        <w:t xml:space="preserve"> las restricciones del artículo 33 y del </w:t>
      </w:r>
      <w:r w:rsidR="00DD5A6D">
        <w:rPr>
          <w:rFonts w:ascii="Verdana" w:eastAsia="Calibri" w:hAnsi="Verdana" w:cs="Arial"/>
          <w:lang w:eastAsia="es-ES"/>
        </w:rPr>
        <w:t xml:space="preserve">parágrafo del </w:t>
      </w:r>
      <w:r w:rsidRPr="00E80F85">
        <w:rPr>
          <w:rFonts w:ascii="Verdana" w:eastAsia="Calibri" w:hAnsi="Verdana" w:cs="Arial"/>
          <w:lang w:eastAsia="es-ES"/>
        </w:rPr>
        <w:t>artículo 38 de la Ley están en curso, de tal manera que los gobernadores, secretarios, gerentes y directores de las entidades del orden municipal, departamental o distrital no podrán no solo celebrar convenios interadministrativos para la ejecución de recursos sino también cualquier contratación directa.</w:t>
      </w:r>
    </w:p>
    <w:p w14:paraId="566045DF" w14:textId="77777777" w:rsidR="00555198" w:rsidRPr="00DD5A6D" w:rsidRDefault="00555198" w:rsidP="00555198">
      <w:pPr>
        <w:spacing w:after="0" w:line="240" w:lineRule="auto"/>
        <w:jc w:val="both"/>
        <w:rPr>
          <w:rFonts w:ascii="Verdana" w:eastAsia="Calibri" w:hAnsi="Verdana" w:cs="Arial"/>
          <w:lang w:val="es-ES" w:eastAsia="es-ES"/>
        </w:rPr>
      </w:pPr>
    </w:p>
    <w:p w14:paraId="02FA520B" w14:textId="77777777" w:rsidR="00555198" w:rsidRPr="001450CA" w:rsidRDefault="00555198" w:rsidP="00DD5A6D">
      <w:pPr>
        <w:pStyle w:val="ListParagraph"/>
        <w:spacing w:after="0" w:line="240" w:lineRule="auto"/>
        <w:ind w:left="0"/>
        <w:rPr>
          <w:rFonts w:ascii="Verdana" w:eastAsia="Calibri" w:hAnsi="Verdana" w:cs="Arial"/>
          <w:lang w:eastAsia="es-ES"/>
        </w:rPr>
      </w:pPr>
    </w:p>
    <w:p w14:paraId="582A12FD" w14:textId="77777777" w:rsidR="00555198" w:rsidRPr="001450CA" w:rsidRDefault="00555198" w:rsidP="00DD5A6D">
      <w:pPr>
        <w:pStyle w:val="ListParagraph"/>
        <w:numPr>
          <w:ilvl w:val="0"/>
          <w:numId w:val="18"/>
        </w:numPr>
        <w:spacing w:after="0" w:line="276" w:lineRule="auto"/>
        <w:ind w:left="357" w:hanging="357"/>
        <w:jc w:val="both"/>
        <w:rPr>
          <w:rFonts w:ascii="Verdana" w:eastAsia="Calibri" w:hAnsi="Verdana" w:cs="Arial"/>
          <w:lang w:eastAsia="es-ES"/>
        </w:rPr>
      </w:pPr>
      <w:r w:rsidRPr="001450CA">
        <w:rPr>
          <w:rFonts w:ascii="Verdana" w:eastAsia="Calibri" w:hAnsi="Verdana" w:cs="Arial"/>
          <w:lang w:eastAsia="es-ES"/>
        </w:rPr>
        <w:t>De acuerdo con lo anterior, la restricción del parágrafo del artículo 38 de la Ley 996 de 2005 aplica desde el 8 de noviembre de 2025 y para las elecciones presidenciales desde el 31 de enero de 2026, con ocasión de lo dispuesto en la Resolución 02580 del 5 de marzo de 2025 expedida por la Registraduría Nacional del Estado Civil que dispuso que las elecciones de senado y cámara se celebrarán el 8 de marzo de 2026 y las presidenciales el 31 de mayo de 2026.</w:t>
      </w:r>
    </w:p>
    <w:p w14:paraId="5361AF5F" w14:textId="77777777" w:rsidR="00A44E58" w:rsidRDefault="00A44E58" w:rsidP="00A77420">
      <w:pPr>
        <w:spacing w:after="0" w:line="240" w:lineRule="auto"/>
        <w:ind w:firstLine="709"/>
        <w:jc w:val="both"/>
        <w:rPr>
          <w:rFonts w:ascii="Verdana" w:hAnsi="Verdana" w:cs="Arial"/>
          <w:bCs/>
          <w:color w:val="000000" w:themeColor="text1"/>
        </w:rPr>
      </w:pPr>
    </w:p>
    <w:p w14:paraId="61274715" w14:textId="50792A89" w:rsidR="00555198" w:rsidRDefault="00555198" w:rsidP="00555198">
      <w:pPr>
        <w:spacing w:after="120" w:line="276" w:lineRule="auto"/>
        <w:ind w:firstLine="709"/>
        <w:jc w:val="both"/>
        <w:rPr>
          <w:rFonts w:ascii="Verdana" w:eastAsia="Times New Roman" w:hAnsi="Verdana" w:cs="Arial"/>
          <w:lang w:eastAsia="es-CO"/>
        </w:rPr>
      </w:pPr>
      <w:r w:rsidRPr="001450CA">
        <w:rPr>
          <w:rFonts w:ascii="Verdana"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ADED2EF" w14:textId="6591B50A" w:rsidR="00555198" w:rsidRDefault="00555198" w:rsidP="00A44E58">
      <w:pPr>
        <w:spacing w:after="0" w:line="276" w:lineRule="auto"/>
        <w:ind w:firstLine="709"/>
        <w:jc w:val="both"/>
        <w:rPr>
          <w:rFonts w:ascii="Verdana" w:hAnsi="Verdana" w:cs="Arial"/>
          <w:color w:val="000000" w:themeColor="text1"/>
        </w:rPr>
      </w:pPr>
      <w:r w:rsidRPr="001450CA">
        <w:rPr>
          <w:rFonts w:ascii="Verdana"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21DB1F32" w14:textId="77777777" w:rsidR="00A44E58" w:rsidRPr="001450CA" w:rsidRDefault="00A44E58" w:rsidP="00DD5A6D">
      <w:pPr>
        <w:spacing w:after="0" w:line="276" w:lineRule="auto"/>
        <w:ind w:firstLine="709"/>
        <w:jc w:val="both"/>
        <w:rPr>
          <w:rFonts w:ascii="Verdana" w:eastAsia="Times New Roman" w:hAnsi="Verdana" w:cs="Arial"/>
          <w:lang w:eastAsia="es-CO"/>
        </w:rPr>
      </w:pPr>
    </w:p>
    <w:p w14:paraId="114F00A8" w14:textId="77777777" w:rsidR="00555198" w:rsidRDefault="00555198" w:rsidP="00555198">
      <w:pPr>
        <w:spacing w:after="0" w:line="276" w:lineRule="auto"/>
        <w:jc w:val="both"/>
        <w:rPr>
          <w:rFonts w:ascii="Verdana" w:eastAsia="Century Gothic" w:hAnsi="Verdana" w:cs="Century Gothic"/>
          <w:b/>
          <w:bCs/>
        </w:rPr>
      </w:pPr>
      <w:bookmarkStart w:id="25" w:name="_Hlk204854194"/>
      <w:r w:rsidRPr="00237877">
        <w:rPr>
          <w:rFonts w:ascii="Verdana" w:hAnsi="Verdana" w:cs="Arial"/>
          <w:b/>
          <w:color w:val="000000" w:themeColor="text1"/>
        </w:rPr>
        <w:t>4.</w:t>
      </w:r>
      <w:r>
        <w:rPr>
          <w:rFonts w:ascii="Verdana" w:hAnsi="Verdana" w:cs="Arial"/>
          <w:bCs/>
          <w:color w:val="000000" w:themeColor="text1"/>
        </w:rPr>
        <w:t xml:space="preserve"> </w:t>
      </w:r>
      <w:r w:rsidRPr="005644FE">
        <w:rPr>
          <w:rFonts w:ascii="Verdana" w:eastAsia="Century Gothic" w:hAnsi="Verdana" w:cs="Century Gothic"/>
          <w:b/>
          <w:bCs/>
        </w:rPr>
        <w:t>Referencias normativas</w:t>
      </w:r>
      <w:r>
        <w:rPr>
          <w:rFonts w:ascii="Verdana" w:eastAsia="Century Gothic" w:hAnsi="Verdana" w:cs="Century Gothic"/>
          <w:b/>
          <w:bCs/>
        </w:rPr>
        <w:t xml:space="preserve"> y jurisprudenciales</w:t>
      </w:r>
      <w:r w:rsidRPr="005644FE">
        <w:rPr>
          <w:rFonts w:ascii="Verdana" w:eastAsia="Century Gothic" w:hAnsi="Verdana" w:cs="Century Gothic"/>
          <w:b/>
          <w:bCs/>
        </w:rPr>
        <w:t>:</w:t>
      </w:r>
      <w:bookmarkEnd w:id="25"/>
    </w:p>
    <w:p w14:paraId="1ED8DABD" w14:textId="77777777" w:rsidR="00555198" w:rsidRPr="000B6E79" w:rsidRDefault="00555198" w:rsidP="00555198">
      <w:pPr>
        <w:spacing w:after="0" w:line="276" w:lineRule="auto"/>
        <w:jc w:val="both"/>
        <w:rPr>
          <w:rFonts w:ascii="Verdana" w:hAnsi="Verdana" w:cs="Arial"/>
          <w:bCs/>
          <w:color w:val="000000" w:themeColor="text1"/>
        </w:rPr>
      </w:pPr>
    </w:p>
    <w:tbl>
      <w:tblPr>
        <w:tblStyle w:val="TableGrid"/>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55198" w:rsidRPr="002D2C18" w14:paraId="63F37348" w14:textId="77777777" w:rsidTr="00495D4A">
        <w:trPr>
          <w:trHeight w:val="56"/>
          <w:jc w:val="center"/>
        </w:trPr>
        <w:tc>
          <w:tcPr>
            <w:tcW w:w="8647" w:type="dxa"/>
          </w:tcPr>
          <w:p w14:paraId="004C56DC" w14:textId="77777777" w:rsidR="00555198" w:rsidRDefault="00555198" w:rsidP="00495D4A">
            <w:pPr>
              <w:pStyle w:val="ListParagraph"/>
              <w:numPr>
                <w:ilvl w:val="0"/>
                <w:numId w:val="17"/>
              </w:numPr>
              <w:spacing w:after="120" w:line="276" w:lineRule="auto"/>
              <w:jc w:val="both"/>
              <w:rPr>
                <w:rFonts w:ascii="Verdana" w:hAnsi="Verdana" w:cs="Arial"/>
                <w:lang w:eastAsia="es-ES"/>
              </w:rPr>
            </w:pPr>
            <w:r>
              <w:rPr>
                <w:rFonts w:ascii="Verdana" w:hAnsi="Verdana" w:cs="Arial"/>
                <w:lang w:eastAsia="es-ES"/>
              </w:rPr>
              <w:t xml:space="preserve">Constitución Política. Artículo 127. </w:t>
            </w:r>
          </w:p>
          <w:p w14:paraId="140E0449" w14:textId="77777777" w:rsidR="00A44E58" w:rsidRDefault="00A44E58" w:rsidP="00A44E58">
            <w:pPr>
              <w:pStyle w:val="ListParagraph"/>
              <w:numPr>
                <w:ilvl w:val="0"/>
                <w:numId w:val="17"/>
              </w:numPr>
              <w:spacing w:after="120" w:line="276" w:lineRule="auto"/>
              <w:jc w:val="both"/>
              <w:rPr>
                <w:rFonts w:ascii="Verdana" w:hAnsi="Verdana" w:cs="Arial"/>
                <w:lang w:eastAsia="es-ES"/>
              </w:rPr>
            </w:pPr>
            <w:r>
              <w:rPr>
                <w:rFonts w:ascii="Verdana" w:hAnsi="Verdana" w:cs="Arial"/>
                <w:lang w:eastAsia="es-ES"/>
              </w:rPr>
              <w:t xml:space="preserve">Código Civil. Artículos 27, 28, 29, 64. </w:t>
            </w:r>
          </w:p>
          <w:p w14:paraId="0BACF35E" w14:textId="340A660A" w:rsidR="00555198" w:rsidRDefault="00555198" w:rsidP="00495D4A">
            <w:pPr>
              <w:pStyle w:val="ListParagraph"/>
              <w:numPr>
                <w:ilvl w:val="0"/>
                <w:numId w:val="17"/>
              </w:numPr>
              <w:spacing w:after="120" w:line="276" w:lineRule="auto"/>
              <w:jc w:val="both"/>
              <w:rPr>
                <w:rFonts w:ascii="Verdana" w:hAnsi="Verdana" w:cs="Arial"/>
                <w:lang w:eastAsia="es-ES"/>
              </w:rPr>
            </w:pPr>
            <w:r>
              <w:rPr>
                <w:rFonts w:ascii="Verdana" w:hAnsi="Verdana" w:cs="Arial"/>
                <w:lang w:eastAsia="es-ES"/>
              </w:rPr>
              <w:t>Ley 80 de 1993</w:t>
            </w:r>
            <w:r w:rsidR="00A44E58">
              <w:rPr>
                <w:rFonts w:ascii="Verdana" w:hAnsi="Verdana" w:cs="Arial"/>
                <w:lang w:eastAsia="es-ES"/>
              </w:rPr>
              <w:t>. A</w:t>
            </w:r>
            <w:r>
              <w:rPr>
                <w:rFonts w:ascii="Verdana" w:hAnsi="Verdana" w:cs="Arial"/>
                <w:lang w:eastAsia="es-ES"/>
              </w:rPr>
              <w:t>rtículos 41 y 42.</w:t>
            </w:r>
          </w:p>
          <w:p w14:paraId="3F893D2D" w14:textId="77777777" w:rsidR="00A44E58" w:rsidRDefault="00A44E58" w:rsidP="00A44E58">
            <w:pPr>
              <w:pStyle w:val="ListParagraph"/>
              <w:numPr>
                <w:ilvl w:val="0"/>
                <w:numId w:val="17"/>
              </w:numPr>
              <w:spacing w:after="120" w:line="276" w:lineRule="auto"/>
              <w:jc w:val="both"/>
              <w:rPr>
                <w:rFonts w:ascii="Verdana" w:hAnsi="Verdana" w:cs="Arial"/>
                <w:lang w:eastAsia="es-ES"/>
              </w:rPr>
            </w:pPr>
            <w:r>
              <w:rPr>
                <w:rFonts w:ascii="Verdana" w:hAnsi="Verdana" w:cs="Arial"/>
                <w:lang w:eastAsia="es-ES"/>
              </w:rPr>
              <w:t>Ley 996 de 2005. Artículos 33 y parágrafo del artículo 38.</w:t>
            </w:r>
          </w:p>
          <w:p w14:paraId="05010E88" w14:textId="4605D874" w:rsidR="00555198" w:rsidRDefault="00555198" w:rsidP="00495D4A">
            <w:pPr>
              <w:pStyle w:val="ListParagraph"/>
              <w:numPr>
                <w:ilvl w:val="0"/>
                <w:numId w:val="17"/>
              </w:numPr>
              <w:spacing w:after="120" w:line="276" w:lineRule="auto"/>
              <w:jc w:val="both"/>
              <w:rPr>
                <w:rFonts w:ascii="Verdana" w:hAnsi="Verdana" w:cs="Arial"/>
                <w:lang w:eastAsia="es-ES"/>
              </w:rPr>
            </w:pPr>
            <w:r>
              <w:rPr>
                <w:rFonts w:ascii="Verdana" w:hAnsi="Verdana" w:cs="Arial"/>
                <w:lang w:eastAsia="es-ES"/>
              </w:rPr>
              <w:t>Ley 1150 de 2007. Artículo 2</w:t>
            </w:r>
            <w:r w:rsidR="00A44E58">
              <w:rPr>
                <w:rFonts w:ascii="Verdana" w:hAnsi="Verdana" w:cs="Arial"/>
                <w:lang w:eastAsia="es-ES"/>
              </w:rPr>
              <w:t>,</w:t>
            </w:r>
            <w:r>
              <w:rPr>
                <w:rFonts w:ascii="Verdana" w:hAnsi="Verdana" w:cs="Arial"/>
                <w:lang w:eastAsia="es-ES"/>
              </w:rPr>
              <w:t xml:space="preserve"> numeral 4</w:t>
            </w:r>
            <w:r w:rsidR="00A44E58">
              <w:rPr>
                <w:rFonts w:ascii="Verdana" w:hAnsi="Verdana" w:cs="Arial"/>
                <w:lang w:eastAsia="es-ES"/>
              </w:rPr>
              <w:t>,</w:t>
            </w:r>
            <w:r>
              <w:rPr>
                <w:rFonts w:ascii="Verdana" w:hAnsi="Verdana" w:cs="Arial"/>
                <w:lang w:eastAsia="es-ES"/>
              </w:rPr>
              <w:t xml:space="preserve"> literal c. </w:t>
            </w:r>
          </w:p>
          <w:p w14:paraId="42BD66D4" w14:textId="77777777" w:rsidR="00555198" w:rsidRDefault="00555198" w:rsidP="00495D4A">
            <w:pPr>
              <w:pStyle w:val="ListParagraph"/>
              <w:numPr>
                <w:ilvl w:val="0"/>
                <w:numId w:val="17"/>
              </w:numPr>
              <w:spacing w:after="120" w:line="276" w:lineRule="auto"/>
              <w:jc w:val="both"/>
              <w:rPr>
                <w:rFonts w:ascii="Verdana" w:hAnsi="Verdana" w:cs="Arial"/>
                <w:lang w:eastAsia="es-ES"/>
              </w:rPr>
            </w:pPr>
            <w:r>
              <w:rPr>
                <w:rFonts w:ascii="Verdana" w:hAnsi="Verdana" w:cs="Arial"/>
                <w:lang w:eastAsia="es-ES"/>
              </w:rPr>
              <w:t>Ley 1523 de 2012. Artículos 4, 56 y 57.</w:t>
            </w:r>
          </w:p>
          <w:p w14:paraId="474429EF" w14:textId="77777777" w:rsidR="00A44E58" w:rsidRDefault="00A44E58" w:rsidP="00A44E58">
            <w:pPr>
              <w:pStyle w:val="ListParagraph"/>
              <w:numPr>
                <w:ilvl w:val="0"/>
                <w:numId w:val="17"/>
              </w:numPr>
              <w:spacing w:after="120" w:line="276" w:lineRule="auto"/>
              <w:jc w:val="both"/>
              <w:rPr>
                <w:rFonts w:ascii="Verdana" w:hAnsi="Verdana" w:cs="Arial"/>
                <w:lang w:eastAsia="es-ES"/>
              </w:rPr>
            </w:pPr>
            <w:r>
              <w:rPr>
                <w:rFonts w:ascii="Verdana" w:hAnsi="Verdana" w:cs="Arial"/>
                <w:lang w:eastAsia="es-ES"/>
              </w:rPr>
              <w:t xml:space="preserve">Consejo de Estado. Sala de lo Contencioso Administrativo. </w:t>
            </w:r>
            <w:r w:rsidRPr="00C076BE">
              <w:rPr>
                <w:rFonts w:ascii="Verdana" w:hAnsi="Verdana" w:cs="Arial"/>
                <w:lang w:eastAsia="es-ES"/>
              </w:rPr>
              <w:t>Sección Tercera. Sentencia de 20 de noviembre de 2001, expediente número 2001-0130-01(PI).</w:t>
            </w:r>
          </w:p>
          <w:p w14:paraId="5D14DA12" w14:textId="77777777" w:rsidR="00A44E58" w:rsidRDefault="00A44E58" w:rsidP="00A44E58">
            <w:pPr>
              <w:pStyle w:val="ListParagraph"/>
              <w:numPr>
                <w:ilvl w:val="0"/>
                <w:numId w:val="17"/>
              </w:numPr>
              <w:spacing w:after="120" w:line="276" w:lineRule="auto"/>
              <w:jc w:val="both"/>
              <w:rPr>
                <w:rFonts w:ascii="Verdana" w:hAnsi="Verdana" w:cs="Arial"/>
                <w:lang w:eastAsia="es-ES"/>
              </w:rPr>
            </w:pPr>
            <w:r>
              <w:rPr>
                <w:rFonts w:ascii="Verdana" w:hAnsi="Verdana" w:cs="Arial"/>
                <w:lang w:eastAsia="es-ES"/>
              </w:rPr>
              <w:t xml:space="preserve">Consejo de Estado. Sala de lo Contencioso Administrativo. </w:t>
            </w:r>
            <w:r w:rsidRPr="00C076BE">
              <w:rPr>
                <w:rFonts w:ascii="Verdana" w:hAnsi="Verdana" w:cs="Arial"/>
                <w:lang w:eastAsia="es-ES"/>
              </w:rPr>
              <w:t xml:space="preserve">Sección Tercera. Sentencia de 22 de enero de 2002, expediente número 2001-0148-01 </w:t>
            </w:r>
          </w:p>
          <w:p w14:paraId="771EABE1" w14:textId="77777777" w:rsidR="00555198" w:rsidRDefault="00555198" w:rsidP="00495D4A">
            <w:pPr>
              <w:pStyle w:val="ListParagraph"/>
              <w:numPr>
                <w:ilvl w:val="0"/>
                <w:numId w:val="17"/>
              </w:numPr>
              <w:spacing w:after="120" w:line="276" w:lineRule="auto"/>
              <w:jc w:val="both"/>
              <w:rPr>
                <w:rFonts w:ascii="Verdana" w:hAnsi="Verdana" w:cs="Arial"/>
                <w:lang w:eastAsia="es-ES"/>
              </w:rPr>
            </w:pPr>
            <w:r w:rsidRPr="00C076BE">
              <w:rPr>
                <w:rFonts w:ascii="Verdana" w:hAnsi="Verdana" w:cs="Arial"/>
                <w:lang w:eastAsia="es-ES"/>
              </w:rPr>
              <w:t xml:space="preserve">Consejo de Estado. Sala de lo Contencioso Administrativo. Sección Primera. Sentencia de 3 de marzo de 2005. Radicado: 25001-23-15-000-2004-00823-01 (PI). C.P: Camilo Arciniegas Andrade. </w:t>
            </w:r>
          </w:p>
          <w:p w14:paraId="3F54ABFF" w14:textId="77777777" w:rsidR="00A44E58" w:rsidRDefault="00A44E58" w:rsidP="00A44E58">
            <w:pPr>
              <w:pStyle w:val="ListParagraph"/>
              <w:numPr>
                <w:ilvl w:val="0"/>
                <w:numId w:val="17"/>
              </w:numPr>
              <w:spacing w:after="120" w:line="276" w:lineRule="auto"/>
              <w:jc w:val="both"/>
              <w:rPr>
                <w:rFonts w:ascii="Verdana" w:hAnsi="Verdana" w:cs="Arial"/>
                <w:lang w:eastAsia="es-ES"/>
              </w:rPr>
            </w:pPr>
            <w:r w:rsidRPr="00F2446F">
              <w:rPr>
                <w:rFonts w:ascii="Verdana" w:hAnsi="Verdana" w:cs="Arial"/>
                <w:lang w:eastAsia="es-ES"/>
              </w:rPr>
              <w:t>Consejo de Estado. Sala de Consulta y Servicio Civil. Concepto de 20 de febrero de 2006. Radicación Número: 11001-03-06-000-2006-00026-00 (1727). C.P: Enrique José Arboleda Perdomo.</w:t>
            </w:r>
          </w:p>
          <w:p w14:paraId="5CE65E7E" w14:textId="77777777" w:rsidR="00A44E58" w:rsidRDefault="00A44E58" w:rsidP="00A44E58">
            <w:pPr>
              <w:pStyle w:val="ListParagraph"/>
              <w:numPr>
                <w:ilvl w:val="0"/>
                <w:numId w:val="17"/>
              </w:numPr>
              <w:spacing w:after="120" w:line="276" w:lineRule="auto"/>
              <w:jc w:val="both"/>
              <w:rPr>
                <w:rFonts w:ascii="Verdana" w:hAnsi="Verdana" w:cs="Arial"/>
                <w:lang w:eastAsia="es-ES"/>
              </w:rPr>
            </w:pPr>
            <w:r w:rsidRPr="00F2446F">
              <w:rPr>
                <w:rFonts w:ascii="Verdana" w:hAnsi="Verdana" w:cs="Arial"/>
                <w:lang w:eastAsia="es-ES"/>
              </w:rPr>
              <w:t>Consejo de Estado. Sala de Consulta y Servicio Civil. Concepto de 6 de abril de 2006. Radicación Número: 11001-03-06-000-2006-00038-00 (1738). C.P: Enrique José Arboleda Perdomo</w:t>
            </w:r>
            <w:r>
              <w:rPr>
                <w:rFonts w:ascii="Verdana" w:hAnsi="Verdana" w:cs="Arial"/>
                <w:lang w:eastAsia="es-ES"/>
              </w:rPr>
              <w:t>.</w:t>
            </w:r>
          </w:p>
          <w:p w14:paraId="21E501C7" w14:textId="77777777" w:rsidR="00A44E58" w:rsidRDefault="00A44E58" w:rsidP="00A44E58">
            <w:pPr>
              <w:pStyle w:val="ListParagraph"/>
              <w:numPr>
                <w:ilvl w:val="0"/>
                <w:numId w:val="17"/>
              </w:numPr>
              <w:spacing w:after="120" w:line="276" w:lineRule="auto"/>
              <w:jc w:val="both"/>
              <w:rPr>
                <w:rFonts w:ascii="Verdana" w:hAnsi="Verdana" w:cs="Arial"/>
                <w:lang w:eastAsia="es-ES"/>
              </w:rPr>
            </w:pPr>
            <w:r w:rsidRPr="00F2446F">
              <w:rPr>
                <w:rFonts w:ascii="Verdana" w:hAnsi="Verdana" w:cs="Arial"/>
                <w:lang w:eastAsia="es-ES"/>
              </w:rPr>
              <w:t>Consejo de Estado. Sala de Consulta y Servicio Civil. Concepto del 18 de febrero 2010. Rad. 11001-03-06-000-2010-00006-00 (1985). C.P. Enrique José Arboleda Perdomo.</w:t>
            </w:r>
          </w:p>
          <w:p w14:paraId="32758130" w14:textId="77777777" w:rsidR="00555198" w:rsidRDefault="00555198" w:rsidP="00495D4A">
            <w:pPr>
              <w:pStyle w:val="ListParagraph"/>
              <w:numPr>
                <w:ilvl w:val="0"/>
                <w:numId w:val="17"/>
              </w:numPr>
              <w:spacing w:after="120" w:line="276" w:lineRule="auto"/>
              <w:jc w:val="both"/>
              <w:rPr>
                <w:rFonts w:ascii="Verdana" w:hAnsi="Verdana" w:cs="Arial"/>
                <w:lang w:eastAsia="es-ES"/>
              </w:rPr>
            </w:pPr>
            <w:r w:rsidRPr="00C076BE">
              <w:rPr>
                <w:rFonts w:ascii="Verdana" w:hAnsi="Verdana" w:cs="Arial"/>
                <w:lang w:eastAsia="es-ES"/>
              </w:rPr>
              <w:t xml:space="preserve">Consejo de Estado, Sala de Consulta y Servicio Civil. 24 de julio de 2013. Radicado: 11001-03-06-000-2013-00407-00 (2166). C.P. Álvaro Namén Vargas.  </w:t>
            </w:r>
          </w:p>
          <w:p w14:paraId="33DC8D6B" w14:textId="77777777" w:rsidR="00A44E58" w:rsidRPr="00C076BE" w:rsidRDefault="00A44E58" w:rsidP="00A44E58">
            <w:pPr>
              <w:pStyle w:val="ListParagraph"/>
              <w:numPr>
                <w:ilvl w:val="0"/>
                <w:numId w:val="17"/>
              </w:numPr>
              <w:spacing w:after="120" w:line="276" w:lineRule="auto"/>
              <w:jc w:val="both"/>
              <w:rPr>
                <w:rFonts w:ascii="Verdana" w:hAnsi="Verdana" w:cs="Arial"/>
                <w:lang w:eastAsia="es-ES"/>
              </w:rPr>
            </w:pPr>
            <w:r w:rsidRPr="00C076BE">
              <w:rPr>
                <w:rFonts w:ascii="Verdana" w:hAnsi="Verdana" w:cs="Arial"/>
                <w:lang w:eastAsia="es-ES"/>
              </w:rPr>
              <w:t>Consejo de Estado. Sala de Consulta y Servicio Civil. Concepto del 2 de septiembre de 2013. Radicación número: 11001-03-06-000-2013-00412-00 (2168). C.P: Álvaro Namén Vargas.</w:t>
            </w:r>
          </w:p>
          <w:p w14:paraId="60E9E474" w14:textId="77777777" w:rsidR="00555198" w:rsidRDefault="00555198" w:rsidP="00495D4A">
            <w:pPr>
              <w:pStyle w:val="ListParagraph"/>
              <w:numPr>
                <w:ilvl w:val="0"/>
                <w:numId w:val="17"/>
              </w:numPr>
              <w:spacing w:after="120" w:line="276" w:lineRule="auto"/>
              <w:jc w:val="both"/>
              <w:rPr>
                <w:rFonts w:ascii="Verdana" w:hAnsi="Verdana" w:cs="Arial"/>
                <w:lang w:eastAsia="es-ES"/>
              </w:rPr>
            </w:pPr>
            <w:r w:rsidRPr="00C076BE">
              <w:rPr>
                <w:rFonts w:ascii="Verdana" w:hAnsi="Verdana" w:cs="Arial"/>
                <w:lang w:eastAsia="es-ES"/>
              </w:rPr>
              <w:t>Consejo de Estado. Sala de Consulta y Servicio Civil. Concepto del 17 de febrero de 2015. Radicado: 11001-03-06-000-2015-00164-00 (2269). C.P. William Zambrano Cetina.</w:t>
            </w:r>
          </w:p>
          <w:p w14:paraId="55EA3F32" w14:textId="77777777" w:rsidR="00555198" w:rsidRDefault="00555198" w:rsidP="00495D4A">
            <w:pPr>
              <w:pStyle w:val="ListParagraph"/>
              <w:numPr>
                <w:ilvl w:val="0"/>
                <w:numId w:val="17"/>
              </w:numPr>
              <w:spacing w:after="120" w:line="276" w:lineRule="auto"/>
              <w:jc w:val="both"/>
              <w:rPr>
                <w:rFonts w:ascii="Verdana" w:hAnsi="Verdana" w:cs="Arial"/>
                <w:lang w:eastAsia="es-ES"/>
              </w:rPr>
            </w:pPr>
            <w:r w:rsidRPr="00C076BE">
              <w:rPr>
                <w:rFonts w:ascii="Verdana" w:hAnsi="Verdana" w:cs="Arial"/>
                <w:lang w:eastAsia="es-ES"/>
              </w:rPr>
              <w:t>Consejo de Estado. Sala de Consulta y Servicio Civil, Concepto de 8 de mayo de 2018. Radicación Número: 11001-03-06-000-2018-00095-00 (2382). C.P: Álvaro Namén Vargas.</w:t>
            </w:r>
          </w:p>
          <w:p w14:paraId="29D2B80F" w14:textId="77777777" w:rsidR="00A44E58" w:rsidRPr="00FB5770" w:rsidRDefault="00A44E58" w:rsidP="00A44E58">
            <w:pPr>
              <w:pStyle w:val="ListParagraph"/>
              <w:numPr>
                <w:ilvl w:val="0"/>
                <w:numId w:val="17"/>
              </w:numPr>
              <w:spacing w:after="120" w:line="276" w:lineRule="auto"/>
              <w:jc w:val="both"/>
              <w:rPr>
                <w:rFonts w:ascii="Verdana" w:hAnsi="Verdana" w:cs="Arial"/>
                <w:lang w:eastAsia="es-ES"/>
              </w:rPr>
            </w:pPr>
            <w:r w:rsidRPr="00FB5770">
              <w:rPr>
                <w:rFonts w:ascii="Verdana" w:hAnsi="Verdana"/>
                <w:lang w:val="es-CO"/>
              </w:rPr>
              <w:t>Consejo de Estado</w:t>
            </w:r>
            <w:r>
              <w:rPr>
                <w:rFonts w:ascii="Verdana" w:hAnsi="Verdana"/>
                <w:lang w:val="es-CO"/>
              </w:rPr>
              <w:t xml:space="preserve">. Sala de lo Contencioso Administrativo. </w:t>
            </w:r>
            <w:r w:rsidRPr="00FB5770">
              <w:rPr>
                <w:rFonts w:ascii="Verdana" w:hAnsi="Verdana"/>
                <w:lang w:val="es-CO"/>
              </w:rPr>
              <w:t>Sección Tercera</w:t>
            </w:r>
            <w:r>
              <w:rPr>
                <w:rFonts w:ascii="Verdana" w:hAnsi="Verdana"/>
                <w:lang w:val="es-CO"/>
              </w:rPr>
              <w:t>.</w:t>
            </w:r>
            <w:r w:rsidRPr="00FB5770">
              <w:rPr>
                <w:rFonts w:ascii="Verdana" w:hAnsi="Verdana"/>
                <w:lang w:val="es-CO"/>
              </w:rPr>
              <w:t xml:space="preserve"> Subsección B. Auto del 4 de octubre de 2024. Exp. 70.313.</w:t>
            </w:r>
            <w:r>
              <w:rPr>
                <w:rFonts w:ascii="Verdana" w:hAnsi="Verdana"/>
                <w:lang w:val="es-CO"/>
              </w:rPr>
              <w:t xml:space="preserve"> </w:t>
            </w:r>
            <w:r w:rsidRPr="00FB5770">
              <w:rPr>
                <w:rFonts w:ascii="Verdana" w:hAnsi="Verdana"/>
                <w:lang w:val="es-CO"/>
              </w:rPr>
              <w:t>C.P: Fredy Ibarra Martínez</w:t>
            </w:r>
            <w:r>
              <w:rPr>
                <w:rFonts w:ascii="Verdana" w:hAnsi="Verdana"/>
                <w:lang w:val="es-CO"/>
              </w:rPr>
              <w:t>.</w:t>
            </w:r>
          </w:p>
          <w:p w14:paraId="6B251F4D" w14:textId="77777777" w:rsidR="00555198" w:rsidRDefault="00555198" w:rsidP="00495D4A">
            <w:pPr>
              <w:pStyle w:val="ListParagraph"/>
              <w:numPr>
                <w:ilvl w:val="0"/>
                <w:numId w:val="17"/>
              </w:numPr>
              <w:spacing w:after="120" w:line="276" w:lineRule="auto"/>
              <w:jc w:val="both"/>
              <w:rPr>
                <w:rFonts w:ascii="Verdana" w:hAnsi="Verdana" w:cs="Arial"/>
                <w:lang w:eastAsia="es-ES"/>
              </w:rPr>
            </w:pPr>
            <w:r w:rsidRPr="00FB5770">
              <w:rPr>
                <w:rFonts w:ascii="Verdana" w:hAnsi="Verdana" w:cs="Arial"/>
                <w:lang w:eastAsia="es-ES"/>
              </w:rPr>
              <w:t>Consejo de Estado. Sala de lo Contencioso Administrativo. Sección Tercera. Sentencia del 21 de febrero de 2025. Exp. 68.280. CP: José Roberto Sáchica Méndez.</w:t>
            </w:r>
          </w:p>
          <w:p w14:paraId="3CC50AF8" w14:textId="7043C940" w:rsidR="00555198" w:rsidRPr="00A77420" w:rsidRDefault="00555198" w:rsidP="00A77420">
            <w:pPr>
              <w:pStyle w:val="ListParagraph"/>
              <w:numPr>
                <w:ilvl w:val="0"/>
                <w:numId w:val="17"/>
              </w:numPr>
              <w:spacing w:after="120" w:line="276" w:lineRule="auto"/>
              <w:jc w:val="both"/>
              <w:rPr>
                <w:rFonts w:ascii="Verdana" w:hAnsi="Verdana" w:cs="Arial"/>
                <w:lang w:eastAsia="es-ES"/>
              </w:rPr>
            </w:pPr>
            <w:r w:rsidRPr="00FB5770">
              <w:rPr>
                <w:rFonts w:ascii="Verdana" w:hAnsi="Verdana" w:cs="Arial"/>
                <w:lang w:eastAsia="es-ES"/>
              </w:rPr>
              <w:t>Consejo de Estado. Sala de lo Contencioso Administrativo. Sección Tercera. Subsección B. 17 de octubre de 2025. C.P. Fredy Ibarra Martínez</w:t>
            </w:r>
            <w:r w:rsidR="00A77420">
              <w:rPr>
                <w:rFonts w:ascii="Verdana" w:hAnsi="Verdana" w:cs="Arial"/>
                <w:lang w:eastAsia="es-ES"/>
              </w:rPr>
              <w:t>.</w:t>
            </w:r>
          </w:p>
          <w:p w14:paraId="6E42A388" w14:textId="77777777" w:rsidR="00555198" w:rsidRDefault="00555198" w:rsidP="00495D4A">
            <w:pPr>
              <w:pStyle w:val="ListParagraph"/>
              <w:numPr>
                <w:ilvl w:val="0"/>
                <w:numId w:val="17"/>
              </w:numPr>
              <w:spacing w:after="120" w:line="276" w:lineRule="auto"/>
              <w:jc w:val="both"/>
              <w:rPr>
                <w:rFonts w:ascii="Verdana" w:hAnsi="Verdana" w:cs="Arial"/>
                <w:lang w:eastAsia="es-ES"/>
              </w:rPr>
            </w:pPr>
            <w:r w:rsidRPr="00C076BE">
              <w:rPr>
                <w:rFonts w:ascii="Verdana" w:hAnsi="Verdana" w:cs="Arial"/>
                <w:lang w:eastAsia="es-ES"/>
              </w:rPr>
              <w:t>Corte Constitucional. Sentencia C-233 de 4 de abril de 2002. M.P: Álvaro Tafur Galvis</w:t>
            </w:r>
            <w:r>
              <w:rPr>
                <w:rFonts w:ascii="Verdana" w:hAnsi="Verdana" w:cs="Arial"/>
                <w:lang w:eastAsia="es-ES"/>
              </w:rPr>
              <w:t>.</w:t>
            </w:r>
          </w:p>
          <w:p w14:paraId="0D8897A3" w14:textId="756FEFBB" w:rsidR="00555198" w:rsidRDefault="00555198" w:rsidP="00495D4A">
            <w:pPr>
              <w:pStyle w:val="ListParagraph"/>
              <w:numPr>
                <w:ilvl w:val="0"/>
                <w:numId w:val="17"/>
              </w:numPr>
              <w:spacing w:after="120" w:line="276" w:lineRule="auto"/>
              <w:jc w:val="both"/>
              <w:rPr>
                <w:rFonts w:ascii="Verdana" w:hAnsi="Verdana" w:cs="Arial"/>
                <w:lang w:eastAsia="es-ES"/>
              </w:rPr>
            </w:pPr>
            <w:r w:rsidRPr="00C076BE">
              <w:rPr>
                <w:rFonts w:ascii="Verdana" w:hAnsi="Verdana" w:cs="Arial"/>
                <w:lang w:eastAsia="es-ES"/>
              </w:rPr>
              <w:t>Corte Constitucional. Sentencia C-551 de 9 de julio de 2003. M.P: Eduardo Montealegre Lynnet</w:t>
            </w:r>
            <w:r>
              <w:rPr>
                <w:rFonts w:ascii="Verdana" w:hAnsi="Verdana" w:cs="Arial"/>
                <w:lang w:eastAsia="es-ES"/>
              </w:rPr>
              <w:t>.</w:t>
            </w:r>
          </w:p>
          <w:p w14:paraId="624CC8CD" w14:textId="36C041A8" w:rsidR="00A44E58" w:rsidRDefault="00A44E58" w:rsidP="00495D4A">
            <w:pPr>
              <w:pStyle w:val="ListParagraph"/>
              <w:numPr>
                <w:ilvl w:val="0"/>
                <w:numId w:val="17"/>
              </w:numPr>
              <w:spacing w:after="120" w:line="276" w:lineRule="auto"/>
              <w:jc w:val="both"/>
              <w:rPr>
                <w:rFonts w:ascii="Verdana" w:hAnsi="Verdana" w:cs="Arial"/>
                <w:lang w:eastAsia="es-ES"/>
              </w:rPr>
            </w:pPr>
            <w:r w:rsidRPr="00C076BE">
              <w:rPr>
                <w:rFonts w:ascii="Verdana" w:hAnsi="Verdana" w:cs="Arial"/>
                <w:lang w:eastAsia="es-ES"/>
              </w:rPr>
              <w:t>Corte Constitucional. Sentencia C- 1153 de 2005, M.P: Marco Gerardo Monroy Cabra.</w:t>
            </w:r>
          </w:p>
          <w:p w14:paraId="4C2E0C2D" w14:textId="77777777" w:rsidR="00555198" w:rsidRDefault="00555198" w:rsidP="00495D4A">
            <w:pPr>
              <w:pStyle w:val="ListParagraph"/>
              <w:numPr>
                <w:ilvl w:val="0"/>
                <w:numId w:val="17"/>
              </w:numPr>
              <w:spacing w:after="120" w:line="276" w:lineRule="auto"/>
              <w:jc w:val="both"/>
              <w:rPr>
                <w:rFonts w:ascii="Verdana" w:hAnsi="Verdana" w:cs="Arial"/>
                <w:lang w:eastAsia="es-ES"/>
              </w:rPr>
            </w:pPr>
            <w:r w:rsidRPr="00C076BE">
              <w:rPr>
                <w:rFonts w:ascii="Verdana" w:hAnsi="Verdana" w:cs="Arial"/>
                <w:lang w:eastAsia="es-ES"/>
              </w:rPr>
              <w:t>Corte Constitucional. Sentencia C-353 de 20 de mayo de 2009. M.P: Jorge Iván Palacio Palacio</w:t>
            </w:r>
            <w:r>
              <w:rPr>
                <w:rFonts w:ascii="Verdana" w:hAnsi="Verdana" w:cs="Arial"/>
                <w:lang w:eastAsia="es-ES"/>
              </w:rPr>
              <w:t>.</w:t>
            </w:r>
          </w:p>
          <w:p w14:paraId="1D95EA86" w14:textId="77777777" w:rsidR="00555198" w:rsidRDefault="00555198" w:rsidP="00495D4A">
            <w:pPr>
              <w:pStyle w:val="ListParagraph"/>
              <w:numPr>
                <w:ilvl w:val="0"/>
                <w:numId w:val="17"/>
              </w:numPr>
              <w:spacing w:after="120" w:line="276" w:lineRule="auto"/>
              <w:jc w:val="both"/>
              <w:rPr>
                <w:rFonts w:ascii="Verdana" w:hAnsi="Verdana" w:cs="Arial"/>
                <w:lang w:eastAsia="es-ES"/>
              </w:rPr>
            </w:pPr>
            <w:r w:rsidRPr="00F2446F">
              <w:rPr>
                <w:rFonts w:ascii="Verdana" w:hAnsi="Verdana" w:cs="Arial"/>
                <w:lang w:eastAsia="es-ES"/>
              </w:rPr>
              <w:t>Corte Constitucional. Sentencia C-541 de 30 de junio de 2010. M.P: Gabriel Eduardo Mendoza Martel</w:t>
            </w:r>
            <w:r>
              <w:rPr>
                <w:rFonts w:ascii="Verdana" w:hAnsi="Verdana" w:cs="Arial"/>
                <w:lang w:eastAsia="es-ES"/>
              </w:rPr>
              <w:t>o</w:t>
            </w:r>
            <w:r w:rsidRPr="00F2446F">
              <w:rPr>
                <w:rFonts w:ascii="Verdana" w:hAnsi="Verdana" w:cs="Arial"/>
                <w:lang w:eastAsia="es-ES"/>
              </w:rPr>
              <w:t>.</w:t>
            </w:r>
          </w:p>
          <w:p w14:paraId="1B52D7CC" w14:textId="77777777" w:rsidR="00555198" w:rsidRPr="00F2446F" w:rsidRDefault="00555198" w:rsidP="00495D4A">
            <w:pPr>
              <w:pStyle w:val="ListParagraph"/>
              <w:numPr>
                <w:ilvl w:val="0"/>
                <w:numId w:val="17"/>
              </w:numPr>
              <w:spacing w:after="120" w:line="276" w:lineRule="auto"/>
              <w:jc w:val="both"/>
              <w:rPr>
                <w:rFonts w:ascii="Verdana" w:hAnsi="Verdana" w:cs="Arial"/>
                <w:lang w:eastAsia="es-ES"/>
              </w:rPr>
            </w:pPr>
            <w:r w:rsidRPr="00F2446F">
              <w:rPr>
                <w:rFonts w:ascii="Verdana" w:hAnsi="Verdana" w:cs="Arial"/>
              </w:rPr>
              <w:t xml:space="preserve">Corte Suprema </w:t>
            </w:r>
            <w:r>
              <w:rPr>
                <w:rFonts w:ascii="Verdana" w:hAnsi="Verdana" w:cs="Arial"/>
              </w:rPr>
              <w:t>d</w:t>
            </w:r>
            <w:r w:rsidRPr="00F2446F">
              <w:rPr>
                <w:rFonts w:ascii="Verdana" w:hAnsi="Verdana" w:cs="Arial"/>
              </w:rPr>
              <w:t>e Justicia. Sala de Casación Civil. Sentencia 20 de noviembre de 1989. MP. Alberto Ospina Botero</w:t>
            </w:r>
            <w:r>
              <w:rPr>
                <w:rFonts w:ascii="Verdana" w:hAnsi="Verdana" w:cs="Arial"/>
              </w:rPr>
              <w:t>.</w:t>
            </w:r>
            <w:r w:rsidRPr="00F2446F">
              <w:rPr>
                <w:rFonts w:ascii="Verdana" w:hAnsi="Verdana"/>
              </w:rPr>
              <w:t xml:space="preserve"> </w:t>
            </w:r>
          </w:p>
          <w:p w14:paraId="542D5AAA" w14:textId="77777777" w:rsidR="00555198" w:rsidRPr="00F2446F" w:rsidRDefault="00555198" w:rsidP="00495D4A">
            <w:pPr>
              <w:pStyle w:val="ListParagraph"/>
              <w:numPr>
                <w:ilvl w:val="0"/>
                <w:numId w:val="17"/>
              </w:numPr>
              <w:spacing w:after="120" w:line="276" w:lineRule="auto"/>
              <w:jc w:val="both"/>
              <w:rPr>
                <w:rFonts w:ascii="Verdana" w:hAnsi="Verdana" w:cs="Arial"/>
                <w:lang w:eastAsia="es-ES"/>
              </w:rPr>
            </w:pPr>
            <w:r w:rsidRPr="00F2446F">
              <w:rPr>
                <w:rFonts w:ascii="Verdana" w:hAnsi="Verdana"/>
              </w:rPr>
              <w:t xml:space="preserve">Agencia Nacional de Contratación Pública. Circular Externa 006 del 25 de septiembre de 2025. Disponible en </w:t>
            </w:r>
            <w:hyperlink r:id="rId13" w:history="1">
              <w:r w:rsidRPr="00F2446F">
                <w:rPr>
                  <w:rStyle w:val="Hyperlink"/>
                  <w:rFonts w:ascii="Verdana" w:hAnsi="Verdana"/>
                  <w:lang w:val="es-CO"/>
                </w:rPr>
                <w:t>006-de-2025-Circular-Externa-L996-ajustado-comentarios-BM-BID-Rev-ARSC-V3.d-1.pdf</w:t>
              </w:r>
            </w:hyperlink>
          </w:p>
          <w:p w14:paraId="6AFC1661" w14:textId="77777777" w:rsidR="00555198" w:rsidRPr="00C30D6B" w:rsidRDefault="00555198" w:rsidP="00495D4A">
            <w:pPr>
              <w:pStyle w:val="ListParagraph"/>
              <w:numPr>
                <w:ilvl w:val="0"/>
                <w:numId w:val="17"/>
              </w:numPr>
              <w:spacing w:after="120" w:line="276" w:lineRule="auto"/>
              <w:jc w:val="both"/>
              <w:rPr>
                <w:rFonts w:ascii="Verdana" w:hAnsi="Verdana" w:cs="Arial"/>
                <w:lang w:eastAsia="es-ES"/>
              </w:rPr>
            </w:pPr>
            <w:r w:rsidRPr="00FB5770">
              <w:rPr>
                <w:rFonts w:ascii="Verdana" w:hAnsi="Verdana" w:cs="Arial"/>
                <w:lang w:eastAsia="es-ES"/>
              </w:rPr>
              <w:t>CLARO SOLAR, Luis. Explicaciones de derecho civil chileno y comparado. Volumen I. Tomo I. Santiago: Editorial Jurídica de Chile, 2013</w:t>
            </w:r>
          </w:p>
        </w:tc>
      </w:tr>
    </w:tbl>
    <w:p w14:paraId="5F3EB60B" w14:textId="77777777" w:rsidR="00555198" w:rsidRDefault="00555198" w:rsidP="00555198">
      <w:pPr>
        <w:tabs>
          <w:tab w:val="left" w:pos="142"/>
          <w:tab w:val="left" w:pos="284"/>
          <w:tab w:val="left" w:pos="3828"/>
        </w:tabs>
        <w:spacing w:after="0" w:line="276" w:lineRule="auto"/>
        <w:jc w:val="both"/>
        <w:rPr>
          <w:rFonts w:ascii="Verdana" w:eastAsia="Century Gothic" w:hAnsi="Verdana" w:cs="Century Gothic"/>
          <w:b/>
          <w:bCs/>
        </w:rPr>
      </w:pPr>
    </w:p>
    <w:p w14:paraId="25A9020B" w14:textId="77777777" w:rsidR="00FA4CFE" w:rsidRDefault="00FA4CFE" w:rsidP="00555198">
      <w:pPr>
        <w:tabs>
          <w:tab w:val="left" w:pos="142"/>
          <w:tab w:val="left" w:pos="284"/>
          <w:tab w:val="left" w:pos="3828"/>
        </w:tabs>
        <w:spacing w:after="0" w:line="276" w:lineRule="auto"/>
        <w:jc w:val="both"/>
        <w:rPr>
          <w:rFonts w:ascii="Verdana" w:eastAsia="Century Gothic" w:hAnsi="Verdana" w:cs="Century Gothic"/>
          <w:b/>
          <w:bCs/>
        </w:rPr>
      </w:pPr>
    </w:p>
    <w:p w14:paraId="03DAAB2D" w14:textId="77777777" w:rsidR="00555198" w:rsidRPr="0091091D" w:rsidRDefault="00555198" w:rsidP="00555198">
      <w:pPr>
        <w:tabs>
          <w:tab w:val="left" w:pos="142"/>
          <w:tab w:val="left" w:pos="284"/>
          <w:tab w:val="left" w:pos="3828"/>
        </w:tabs>
        <w:spacing w:after="0" w:line="276" w:lineRule="auto"/>
        <w:jc w:val="both"/>
        <w:rPr>
          <w:rFonts w:ascii="Verdana" w:eastAsia="Century Gothic" w:hAnsi="Verdana" w:cs="Century Gothic"/>
          <w:b/>
          <w:bCs/>
        </w:rPr>
      </w:pPr>
      <w:r w:rsidRPr="0091091D">
        <w:rPr>
          <w:rFonts w:ascii="Verdana" w:eastAsia="Century Gothic" w:hAnsi="Verdana" w:cs="Century Gothic"/>
          <w:b/>
          <w:bCs/>
        </w:rPr>
        <w:t>5. Doctrina de la Agencia Nacional de Contratación Pública:</w:t>
      </w:r>
    </w:p>
    <w:p w14:paraId="76E59564" w14:textId="77777777" w:rsidR="00555198" w:rsidRDefault="00555198" w:rsidP="007E3487">
      <w:pPr>
        <w:widowControl w:val="0"/>
        <w:autoSpaceDE w:val="0"/>
        <w:autoSpaceDN w:val="0"/>
        <w:spacing w:after="0" w:line="276" w:lineRule="auto"/>
        <w:jc w:val="both"/>
        <w:rPr>
          <w:rStyle w:val="normaltextrun"/>
          <w:rFonts w:ascii="Verdana" w:hAnsi="Verdana" w:cs="Arial"/>
          <w:shd w:val="clear" w:color="auto" w:fill="FFFFFF"/>
          <w:lang w:val="es-ES"/>
        </w:rPr>
      </w:pPr>
    </w:p>
    <w:p w14:paraId="60A1186F" w14:textId="77777777" w:rsidR="00555198" w:rsidRPr="00A54323" w:rsidRDefault="00555198" w:rsidP="00555198">
      <w:pPr>
        <w:widowControl w:val="0"/>
        <w:autoSpaceDE w:val="0"/>
        <w:autoSpaceDN w:val="0"/>
        <w:spacing w:after="0" w:line="276" w:lineRule="auto"/>
        <w:jc w:val="both"/>
        <w:rPr>
          <w:rFonts w:ascii="Verdana" w:hAnsi="Verdana" w:cs="Arial"/>
          <w:shd w:val="clear" w:color="auto" w:fill="FFFFFF"/>
          <w:lang w:val="es-ES"/>
        </w:rPr>
      </w:pPr>
      <w:r w:rsidRPr="000F79CF">
        <w:rPr>
          <w:rFonts w:ascii="Verdana" w:eastAsia="Calibri" w:hAnsi="Verdana" w:cs="Arial"/>
        </w:rPr>
        <w:t xml:space="preserve">La Agencia Nacional de Contratación Pública – Colombia Compra Eficiente se ha referido </w:t>
      </w:r>
      <w:r w:rsidRPr="000F79CF">
        <w:rPr>
          <w:rFonts w:ascii="Verdana" w:hAnsi="Verdana" w:cs="Arial"/>
          <w:shd w:val="clear" w:color="auto" w:fill="FFFFFF"/>
        </w:rPr>
        <w:t xml:space="preserve">sobre la Ley de Garantías Electorales en los conceptos con radicado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C-523 del 10 de octubre de 2021, C-606 del 28 de octubre de 2021, C-614 del 2 de noviembre de 2021, C-636 del 16 de noviembre de 2021, C-681 del 7 de diciembre de 2021, C-686 del 21 de diciembre de 2021, C-697 del 3 de enero de 2022, C-180 del 21 de marzo de 2025, C-317 del 25 de abril de 2025, C-510 del 4 de junio de 2025, C -635 del 27 de junio de 2025, C–750 de 17 de julio 2025, C-868 del 12 de agosto de 2025, </w:t>
      </w:r>
      <w:r>
        <w:rPr>
          <w:rFonts w:ascii="Verdana" w:hAnsi="Verdana" w:cs="Arial"/>
          <w:shd w:val="clear" w:color="auto" w:fill="FFFFFF"/>
        </w:rPr>
        <w:t xml:space="preserve">C-1491 del 20 de noviembre de 2025, C- 1492 del </w:t>
      </w:r>
      <w:r>
        <w:rPr>
          <w:rFonts w:ascii="Verdana" w:hAnsi="Verdana"/>
        </w:rPr>
        <w:t>21 de noviembre del 2025, C-</w:t>
      </w:r>
      <w:r w:rsidRPr="001450CA">
        <w:rPr>
          <w:rFonts w:ascii="Verdana" w:hAnsi="Verdana"/>
        </w:rPr>
        <w:t>1629, C-1646 del 17 de diciembre de 2025, C-1662 del 22 de diciembre de 2025</w:t>
      </w:r>
      <w:r w:rsidRPr="001450CA">
        <w:rPr>
          <w:rStyle w:val="normaltextrun"/>
          <w:rFonts w:ascii="Verdana" w:hAnsi="Verdana" w:cs="Arial"/>
          <w:shd w:val="clear" w:color="auto" w:fill="FFFFFF"/>
          <w:lang w:val="es-ES"/>
        </w:rPr>
        <w:t>, C-160 del 24 de febrero de 2026 entre otros.</w:t>
      </w:r>
      <w:r w:rsidRPr="001450CA">
        <w:rPr>
          <w:rFonts w:ascii="Verdana" w:hAnsi="Verdana" w:cs="Arial"/>
          <w:shd w:val="clear" w:color="auto" w:fill="FFFFFF"/>
          <w:lang w:val="es-ES"/>
        </w:rPr>
        <w:t xml:space="preserve"> </w:t>
      </w:r>
      <w:r w:rsidRPr="001450CA">
        <w:rPr>
          <w:rFonts w:ascii="Verdana" w:hAnsi="Verdana" w:cs="Arial"/>
        </w:rPr>
        <w:t xml:space="preserve">Estos y otros </w:t>
      </w:r>
      <w:r w:rsidRPr="001450CA">
        <w:rPr>
          <w:rFonts w:ascii="Verdana" w:hAnsi="Verdana"/>
        </w:rPr>
        <w:t>conceptos se encuentran disponibles para consulta en el Sistema de relatoría de la Agencia, al cual se puede acceder a través del siguiente</w:t>
      </w:r>
      <w:r w:rsidRPr="00104DE4">
        <w:rPr>
          <w:rFonts w:ascii="Verdana" w:hAnsi="Verdana"/>
        </w:rPr>
        <w:t xml:space="preserve"> enlace:</w:t>
      </w:r>
      <w:r w:rsidRPr="00104DE4">
        <w:rPr>
          <w:rFonts w:ascii="Verdana" w:hAnsi="Verdana" w:cs="Arial"/>
          <w:shd w:val="clear" w:color="auto" w:fill="FFFFFF"/>
        </w:rPr>
        <w:t xml:space="preserve"> </w:t>
      </w:r>
      <w:hyperlink r:id="rId14" w:history="1">
        <w:r w:rsidRPr="00A44E58">
          <w:rPr>
            <w:rFonts w:ascii="Verdana" w:hAnsi="Verdana" w:cs="Arial"/>
            <w:color w:val="0563C1" w:themeColor="hyperlink"/>
            <w:u w:val="single"/>
            <w:shd w:val="clear" w:color="auto" w:fill="FFFFFF"/>
          </w:rPr>
          <w:t>https://relatoria.colombiacompra.gov.co/busqueda/conceptos</w:t>
        </w:r>
      </w:hyperlink>
      <w:r w:rsidRPr="00A44E58">
        <w:rPr>
          <w:rFonts w:ascii="Verdana" w:hAnsi="Verdana" w:cs="Arial"/>
          <w:shd w:val="clear" w:color="auto" w:fill="FFFFFF"/>
        </w:rPr>
        <w:t>.</w:t>
      </w:r>
      <w:r w:rsidRPr="00A44E58">
        <w:rPr>
          <w:rFonts w:ascii="Verdana" w:hAnsi="Verdana" w:cs="Arial"/>
          <w:color w:val="FF0000"/>
          <w:shd w:val="clear" w:color="auto" w:fill="FFFFFF"/>
        </w:rPr>
        <w:t xml:space="preserve"> </w:t>
      </w:r>
      <w:r w:rsidRPr="00A44E58">
        <w:rPr>
          <w:rFonts w:ascii="Verdana" w:hAnsi="Verdana" w:cs="Arial"/>
          <w:color w:val="000000" w:themeColor="text1"/>
          <w:shd w:val="clear" w:color="auto" w:fill="FFFFFF"/>
        </w:rPr>
        <w:t>  </w:t>
      </w:r>
    </w:p>
    <w:p w14:paraId="13B7293A" w14:textId="77777777" w:rsidR="007E3487" w:rsidRDefault="007E3487" w:rsidP="007E3487">
      <w:pPr>
        <w:spacing w:after="0" w:line="276" w:lineRule="auto"/>
        <w:jc w:val="both"/>
        <w:rPr>
          <w:rFonts w:ascii="Verdana" w:hAnsi="Verdana"/>
        </w:rPr>
      </w:pPr>
    </w:p>
    <w:p w14:paraId="5FAD8CF5" w14:textId="77777777" w:rsidR="00D404E9" w:rsidRDefault="00D404E9" w:rsidP="007E3487">
      <w:pPr>
        <w:spacing w:after="0" w:line="276" w:lineRule="auto"/>
        <w:jc w:val="both"/>
        <w:rPr>
          <w:rFonts w:ascii="Verdana" w:hAnsi="Verdana"/>
        </w:rPr>
      </w:pPr>
    </w:p>
    <w:p w14:paraId="17EB5A95" w14:textId="202DAF9F" w:rsidR="007E3487" w:rsidRPr="009A385A" w:rsidRDefault="007E3487" w:rsidP="007E3487">
      <w:pPr>
        <w:spacing w:after="0" w:line="276" w:lineRule="auto"/>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5" w:tgtFrame="_new" w:history="1">
        <w:r w:rsidRPr="00A44E58">
          <w:rPr>
            <w:rStyle w:val="Hyperlink"/>
            <w:rFonts w:ascii="Verdana" w:hAnsi="Verdana"/>
          </w:rPr>
          <w:t>https://formacionvirtual.colombiacompra.gov.co/mod/page/view.php?id=3718</w:t>
        </w:r>
      </w:hyperlink>
    </w:p>
    <w:p w14:paraId="1F3344F3" w14:textId="77777777" w:rsidR="00555198" w:rsidRDefault="00555198" w:rsidP="007E3487">
      <w:pPr>
        <w:widowControl w:val="0"/>
        <w:autoSpaceDE w:val="0"/>
        <w:autoSpaceDN w:val="0"/>
        <w:spacing w:after="0" w:line="276" w:lineRule="auto"/>
        <w:jc w:val="both"/>
        <w:rPr>
          <w:rFonts w:ascii="Verdana" w:hAnsi="Verdana"/>
          <w:lang w:val="es-ES"/>
        </w:rPr>
      </w:pPr>
    </w:p>
    <w:p w14:paraId="6AB72C96" w14:textId="77777777" w:rsidR="00FA4CFE" w:rsidRDefault="00FA4CFE" w:rsidP="007E3487">
      <w:pPr>
        <w:spacing w:after="0" w:line="276" w:lineRule="auto"/>
        <w:jc w:val="both"/>
        <w:rPr>
          <w:rFonts w:ascii="Verdana" w:hAnsi="Verdana"/>
        </w:rPr>
      </w:pPr>
    </w:p>
    <w:p w14:paraId="5D7E2B5C" w14:textId="542E9454" w:rsidR="00555198" w:rsidRDefault="00555198" w:rsidP="007E3487">
      <w:pPr>
        <w:spacing w:after="0" w:line="276" w:lineRule="auto"/>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da</w:t>
      </w:r>
      <w:r>
        <w:rPr>
          <w:rFonts w:ascii="Verdana" w:hAnsi="Verdana"/>
        </w:rPr>
        <w:t>do</w:t>
      </w:r>
      <w:r w:rsidRPr="00635F16">
        <w:rPr>
          <w:rFonts w:ascii="Verdana" w:hAnsi="Verdana"/>
        </w:rPr>
        <w:t xml:space="preserve">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w:t>
      </w:r>
      <w:r w:rsidRPr="00A44E58">
        <w:rPr>
          <w:rFonts w:ascii="Verdana" w:hAnsi="Verdana"/>
        </w:rPr>
        <w:t xml:space="preserve">Consulta y descarga los documentos aquí: </w:t>
      </w:r>
      <w:hyperlink r:id="rId16" w:tgtFrame="_new" w:history="1">
        <w:r w:rsidRPr="00A44E58">
          <w:rPr>
            <w:rStyle w:val="Hyperlink"/>
            <w:rFonts w:ascii="Verdana" w:hAnsi="Verdana"/>
          </w:rPr>
          <w:t>https://www.colombiacompra.gov.co/normativa-y-relatoria/documentos-tipo</w:t>
        </w:r>
      </w:hyperlink>
    </w:p>
    <w:p w14:paraId="6A7C59A3" w14:textId="77777777" w:rsidR="00A44E58" w:rsidRDefault="00A44E58" w:rsidP="00A44E58">
      <w:pPr>
        <w:spacing w:after="0" w:line="276" w:lineRule="auto"/>
        <w:jc w:val="both"/>
        <w:rPr>
          <w:rFonts w:ascii="Verdana" w:hAnsi="Verdana"/>
        </w:rPr>
      </w:pPr>
    </w:p>
    <w:p w14:paraId="1040B1B0" w14:textId="77777777" w:rsidR="00D404E9" w:rsidRDefault="00D404E9" w:rsidP="007E3487">
      <w:pPr>
        <w:spacing w:after="0" w:line="276" w:lineRule="auto"/>
        <w:jc w:val="both"/>
        <w:rPr>
          <w:rFonts w:ascii="Verdana" w:hAnsi="Verdana"/>
        </w:rPr>
      </w:pPr>
    </w:p>
    <w:p w14:paraId="4C523DD7" w14:textId="2263D202" w:rsidR="00555198" w:rsidRDefault="00555198" w:rsidP="007E3487">
      <w:pPr>
        <w:spacing w:after="0" w:line="276" w:lineRule="auto"/>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A44E58">
        <w:rPr>
          <w:rFonts w:ascii="Verdana" w:hAnsi="Verdana"/>
        </w:rPr>
        <w:t>Además se incluyeron lineamientos que orientan la implementación de los criterios ambientales y sociales incluidos en los documentos tipo: Consulta la guía aquí:</w:t>
      </w:r>
      <w:r w:rsidRPr="00A44E58">
        <w:rPr>
          <w:rFonts w:ascii="Verdana" w:hAnsi="Verdana"/>
        </w:rPr>
        <w:br/>
      </w:r>
      <w:hyperlink r:id="rId17" w:tgtFrame="_new" w:history="1">
        <w:r w:rsidRPr="00A44E58">
          <w:rPr>
            <w:rStyle w:val="Hyperlink"/>
            <w:rFonts w:ascii="Verdana" w:hAnsi="Verdana"/>
          </w:rPr>
          <w:t>https://www.colombiacompra.gov.co/archivos/manual/guia-para-la-comprension-e-implementacion-de-los-documentos-tipo-de-obra-publica-de-infraestructura-de-transporte-bajo-las-diferentes-modalidades-de-contratacion-vigentes</w:t>
        </w:r>
      </w:hyperlink>
    </w:p>
    <w:p w14:paraId="51A8692E" w14:textId="77777777" w:rsidR="00A44E58" w:rsidRDefault="00A44E58" w:rsidP="00A44E58">
      <w:pPr>
        <w:widowControl w:val="0"/>
        <w:autoSpaceDE w:val="0"/>
        <w:autoSpaceDN w:val="0"/>
        <w:spacing w:after="0" w:line="276" w:lineRule="auto"/>
        <w:jc w:val="both"/>
        <w:rPr>
          <w:rFonts w:ascii="Verdana" w:hAnsi="Verdana"/>
        </w:rPr>
      </w:pPr>
    </w:p>
    <w:p w14:paraId="12FEAD27" w14:textId="77777777" w:rsidR="00FA4CFE" w:rsidRDefault="00FA4CFE" w:rsidP="007E3487">
      <w:pPr>
        <w:widowControl w:val="0"/>
        <w:autoSpaceDE w:val="0"/>
        <w:autoSpaceDN w:val="0"/>
        <w:spacing w:after="0" w:line="276" w:lineRule="auto"/>
        <w:jc w:val="both"/>
        <w:rPr>
          <w:rFonts w:ascii="Verdana" w:hAnsi="Verdana"/>
        </w:rPr>
      </w:pPr>
    </w:p>
    <w:p w14:paraId="0A1B3DA5" w14:textId="3F87A3EC" w:rsidR="00555198" w:rsidRDefault="00555198" w:rsidP="007E3487">
      <w:pPr>
        <w:widowControl w:val="0"/>
        <w:autoSpaceDE w:val="0"/>
        <w:autoSpaceDN w:val="0"/>
        <w:spacing w:after="0" w:line="276" w:lineRule="auto"/>
        <w:jc w:val="both"/>
        <w:rPr>
          <w:rFonts w:ascii="Verdana" w:hAnsi="Verdana"/>
        </w:rPr>
      </w:pPr>
      <w:r w:rsidRPr="001A68FB">
        <w:rPr>
          <w:rFonts w:ascii="Verdana" w:hAnsi="Verdana"/>
        </w:rPr>
        <w:t>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w:t>
      </w:r>
      <w:r w:rsidRPr="00116940">
        <w:rPr>
          <w:rFonts w:ascii="Verdana" w:hAnsi="Verdana"/>
        </w:rPr>
        <w:t xml:space="preserve"> </w:t>
      </w:r>
    </w:p>
    <w:p w14:paraId="77A8130B" w14:textId="77777777" w:rsidR="00E709BD" w:rsidRPr="0043234D" w:rsidRDefault="00E709BD" w:rsidP="007E3487">
      <w:pPr>
        <w:widowControl w:val="0"/>
        <w:autoSpaceDE w:val="0"/>
        <w:autoSpaceDN w:val="0"/>
        <w:spacing w:after="0" w:line="276" w:lineRule="auto"/>
        <w:jc w:val="both"/>
        <w:rPr>
          <w:rFonts w:ascii="Verdana" w:hAnsi="Verdana" w:cs="Arial"/>
          <w:highlight w:val="yellow"/>
          <w:shd w:val="clear" w:color="auto" w:fill="FFFFFF"/>
          <w:lang w:val="es-MX"/>
        </w:rPr>
      </w:pPr>
    </w:p>
    <w:p w14:paraId="5218A2EE" w14:textId="77777777" w:rsidR="00555198" w:rsidRPr="00116940" w:rsidRDefault="00555198" w:rsidP="007E3487">
      <w:pPr>
        <w:pStyle w:val="ListParagraph"/>
        <w:numPr>
          <w:ilvl w:val="0"/>
          <w:numId w:val="15"/>
        </w:numPr>
        <w:spacing w:after="0" w:line="276" w:lineRule="auto"/>
        <w:contextualSpacing w:val="0"/>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yperlink"/>
          <w:rFonts w:ascii="Verdana" w:hAnsi="Verdana"/>
        </w:rPr>
        <w:t>01800 0520808</w:t>
      </w:r>
    </w:p>
    <w:p w14:paraId="162F62F3" w14:textId="77777777" w:rsidR="00555198" w:rsidRPr="00116940" w:rsidRDefault="00555198" w:rsidP="007E3487">
      <w:pPr>
        <w:pStyle w:val="ListParagraph"/>
        <w:numPr>
          <w:ilvl w:val="0"/>
          <w:numId w:val="15"/>
        </w:numPr>
        <w:spacing w:after="0" w:line="276" w:lineRule="auto"/>
        <w:contextualSpacing w:val="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yperlink"/>
          <w:rFonts w:ascii="Verdana" w:hAnsi="Verdana"/>
        </w:rPr>
        <w:t>+57 601 7456788</w:t>
      </w:r>
    </w:p>
    <w:p w14:paraId="32F3B9A1" w14:textId="77777777" w:rsidR="00555198" w:rsidRPr="00116940" w:rsidRDefault="00555198" w:rsidP="007E3487">
      <w:pPr>
        <w:pStyle w:val="ListParagraph"/>
        <w:numPr>
          <w:ilvl w:val="0"/>
          <w:numId w:val="15"/>
        </w:numPr>
        <w:spacing w:after="0" w:line="276" w:lineRule="auto"/>
        <w:contextualSpacing w:val="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8">
        <w:r w:rsidRPr="00116940">
          <w:rPr>
            <w:rStyle w:val="Hyperlink"/>
            <w:rFonts w:ascii="Verdana" w:eastAsia="Verdana" w:hAnsi="Verdana" w:cs="Verdana"/>
            <w:lang w:val="es-MX"/>
          </w:rPr>
          <w:t>ventanilladeradicacion@colombiacompra.gov.co</w:t>
        </w:r>
      </w:hyperlink>
    </w:p>
    <w:p w14:paraId="4B25158D" w14:textId="77777777" w:rsidR="00555198" w:rsidRPr="00116940" w:rsidRDefault="00555198" w:rsidP="007E3487">
      <w:pPr>
        <w:pStyle w:val="ListParagraph"/>
        <w:numPr>
          <w:ilvl w:val="0"/>
          <w:numId w:val="15"/>
        </w:numPr>
        <w:spacing w:after="0" w:line="276" w:lineRule="auto"/>
        <w:contextualSpacing w:val="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9">
        <w:r w:rsidRPr="00116940">
          <w:rPr>
            <w:rStyle w:val="Hyperlink"/>
            <w:rFonts w:ascii="Verdana" w:eastAsia="Verdana" w:hAnsi="Verdana" w:cs="Verdana"/>
            <w:lang w:val="es-MX"/>
          </w:rPr>
          <w:t>https://www.colombiacompra.gov.co/pqrsd/informacion-importante-antes-de-formular-una-pqrsd</w:t>
        </w:r>
      </w:hyperlink>
    </w:p>
    <w:p w14:paraId="68B8A7AC" w14:textId="77777777" w:rsidR="00555198" w:rsidRPr="00116940" w:rsidRDefault="00555198" w:rsidP="00555198">
      <w:pPr>
        <w:spacing w:after="0" w:line="276" w:lineRule="auto"/>
        <w:ind w:left="720"/>
        <w:jc w:val="both"/>
        <w:rPr>
          <w:rFonts w:ascii="Verdana" w:hAnsi="Verdana"/>
        </w:rPr>
      </w:pPr>
    </w:p>
    <w:p w14:paraId="545BFE51" w14:textId="77777777" w:rsidR="00D404E9" w:rsidRDefault="00D404E9" w:rsidP="007E3487">
      <w:pPr>
        <w:spacing w:after="0" w:line="276" w:lineRule="auto"/>
        <w:jc w:val="both"/>
        <w:rPr>
          <w:rFonts w:ascii="Verdana" w:hAnsi="Verdana"/>
        </w:rPr>
      </w:pPr>
    </w:p>
    <w:p w14:paraId="0F056F71" w14:textId="77777777" w:rsidR="00555198" w:rsidRDefault="00555198" w:rsidP="007E3487">
      <w:pPr>
        <w:spacing w:after="0" w:line="276" w:lineRule="auto"/>
        <w:jc w:val="both"/>
        <w:rPr>
          <w:rFonts w:ascii="Verdana" w:hAnsi="Verdana"/>
        </w:rPr>
      </w:pPr>
      <w:r w:rsidRPr="00116940">
        <w:rPr>
          <w:rFonts w:ascii="Verdana" w:hAnsi="Verdana"/>
        </w:rPr>
        <w:t>Evalúa el servicio que ofrece la Agencia por el canal de atención de PQRSD en el siguiente enlace:</w:t>
      </w:r>
      <w:r>
        <w:rPr>
          <w:rFonts w:ascii="Verdana" w:hAnsi="Verdana"/>
        </w:rPr>
        <w:t xml:space="preserve"> </w:t>
      </w:r>
      <w:hyperlink r:id="rId20" w:history="1">
        <w:r w:rsidRPr="00A44E58">
          <w:rPr>
            <w:rStyle w:val="Hyperlink"/>
            <w:rFonts w:ascii="Verdana" w:eastAsia="Verdana" w:hAnsi="Verdana" w:cs="Verdana"/>
            <w:lang w:val="es-MX"/>
          </w:rPr>
          <w:t>https://forms.office.com/r/pPHyWVs2SZ</w:t>
        </w:r>
      </w:hyperlink>
      <w:r w:rsidRPr="00A44E58">
        <w:rPr>
          <w:rStyle w:val="Hyperlink"/>
          <w:rFonts w:ascii="Verdana" w:eastAsia="Verdana" w:hAnsi="Verdana" w:cs="Verdana"/>
          <w:lang w:val="es-MX"/>
        </w:rPr>
        <w:t>.</w:t>
      </w:r>
      <w:r>
        <w:rPr>
          <w:rFonts w:ascii="Verdana" w:hAnsi="Verdana"/>
        </w:rPr>
        <w:t xml:space="preserve"> </w:t>
      </w:r>
      <w:r w:rsidRPr="00116940">
        <w:rPr>
          <w:rFonts w:ascii="Verdana" w:hAnsi="Verdana"/>
        </w:rPr>
        <w:t>¡Ayúdanos a mejorar porque el compromiso es de todos!</w:t>
      </w:r>
    </w:p>
    <w:p w14:paraId="4B26965A" w14:textId="77777777" w:rsidR="00DE13AD" w:rsidRDefault="00DE13AD" w:rsidP="007E3487">
      <w:pPr>
        <w:spacing w:after="0" w:line="276" w:lineRule="auto"/>
        <w:jc w:val="both"/>
        <w:rPr>
          <w:rFonts w:ascii="Verdana" w:hAnsi="Verdana"/>
        </w:rPr>
      </w:pPr>
    </w:p>
    <w:p w14:paraId="5E91027D" w14:textId="77777777" w:rsidR="00555198" w:rsidRPr="00116940" w:rsidRDefault="00555198" w:rsidP="007E3487">
      <w:pPr>
        <w:spacing w:after="0" w:line="276"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1AE0BE8E" w14:textId="77777777" w:rsidR="00DE13AD" w:rsidRDefault="00DE13AD" w:rsidP="00555198">
      <w:pPr>
        <w:spacing w:after="0" w:line="276" w:lineRule="auto"/>
        <w:jc w:val="both"/>
        <w:rPr>
          <w:rFonts w:ascii="Verdana" w:hAnsi="Verdana"/>
        </w:rPr>
      </w:pPr>
    </w:p>
    <w:p w14:paraId="7C195757" w14:textId="77777777" w:rsidR="00555198" w:rsidRPr="00116940" w:rsidRDefault="00555198" w:rsidP="00555198">
      <w:pPr>
        <w:spacing w:after="0" w:line="276" w:lineRule="auto"/>
        <w:jc w:val="both"/>
        <w:rPr>
          <w:rFonts w:ascii="Verdana" w:hAnsi="Verdana"/>
        </w:rPr>
      </w:pPr>
      <w:r w:rsidRPr="00116940">
        <w:rPr>
          <w:rFonts w:ascii="Verdana" w:hAnsi="Verdana"/>
        </w:rPr>
        <w:t xml:space="preserve">Twitter: </w:t>
      </w:r>
      <w:r w:rsidRPr="00116940">
        <w:rPr>
          <w:rStyle w:val="Hyperlink"/>
          <w:rFonts w:ascii="Verdana" w:hAnsi="Verdana"/>
        </w:rPr>
        <w:t>@colombiacompra</w:t>
      </w:r>
      <w:r w:rsidRPr="00116940">
        <w:rPr>
          <w:rFonts w:ascii="Verdana" w:hAnsi="Verdana"/>
        </w:rPr>
        <w:t xml:space="preserve"> </w:t>
      </w:r>
    </w:p>
    <w:p w14:paraId="73388DF4" w14:textId="77777777" w:rsidR="00555198" w:rsidRPr="00116940" w:rsidRDefault="00555198" w:rsidP="00555198">
      <w:pPr>
        <w:spacing w:after="0" w:line="276" w:lineRule="auto"/>
        <w:jc w:val="both"/>
        <w:rPr>
          <w:rFonts w:ascii="Verdana" w:hAnsi="Verdana"/>
        </w:rPr>
      </w:pPr>
      <w:r w:rsidRPr="00116940">
        <w:rPr>
          <w:rFonts w:ascii="Verdana" w:hAnsi="Verdana"/>
        </w:rPr>
        <w:t xml:space="preserve">Facebook: </w:t>
      </w:r>
      <w:r w:rsidRPr="00116940">
        <w:rPr>
          <w:rStyle w:val="Hyperlink"/>
          <w:rFonts w:ascii="Verdana" w:hAnsi="Verdana"/>
        </w:rPr>
        <w:t>ColombiaCompraEficiente</w:t>
      </w:r>
    </w:p>
    <w:p w14:paraId="5BAAB277" w14:textId="77777777" w:rsidR="00555198" w:rsidRPr="00116940" w:rsidRDefault="00555198" w:rsidP="00555198">
      <w:pPr>
        <w:spacing w:after="0" w:line="276" w:lineRule="auto"/>
        <w:jc w:val="both"/>
        <w:rPr>
          <w:rFonts w:ascii="Verdana" w:hAnsi="Verdana"/>
        </w:rPr>
      </w:pPr>
      <w:r w:rsidRPr="00116940">
        <w:rPr>
          <w:rFonts w:ascii="Verdana" w:hAnsi="Verdana"/>
        </w:rPr>
        <w:t xml:space="preserve">LinkedIn: </w:t>
      </w:r>
      <w:r w:rsidRPr="00116940">
        <w:rPr>
          <w:rStyle w:val="Hyperlink"/>
          <w:rFonts w:ascii="Verdana" w:hAnsi="Verdana"/>
        </w:rPr>
        <w:t>Agencia Nacional de Contratación Pública - Colombia Compra Eficiente</w:t>
      </w:r>
      <w:r w:rsidRPr="00116940">
        <w:rPr>
          <w:rFonts w:ascii="Verdana" w:hAnsi="Verdana"/>
        </w:rPr>
        <w:t xml:space="preserve"> Instagram: </w:t>
      </w:r>
      <w:r w:rsidRPr="00116940">
        <w:rPr>
          <w:rStyle w:val="Hyperlink"/>
          <w:rFonts w:ascii="Verdana" w:hAnsi="Verdana"/>
        </w:rPr>
        <w:t>@colombiacompraeficiente_cce</w:t>
      </w:r>
    </w:p>
    <w:p w14:paraId="3E8D5D91" w14:textId="77777777" w:rsidR="00555198" w:rsidRDefault="00555198" w:rsidP="00555198">
      <w:pPr>
        <w:spacing w:after="0" w:line="276" w:lineRule="auto"/>
        <w:jc w:val="both"/>
        <w:rPr>
          <w:rFonts w:ascii="Verdana" w:hAnsi="Verdana"/>
          <w:lang w:val="es-MX"/>
        </w:rPr>
      </w:pPr>
    </w:p>
    <w:p w14:paraId="504B5173" w14:textId="77777777" w:rsidR="00555198" w:rsidRPr="00330029" w:rsidRDefault="00555198" w:rsidP="00555198">
      <w:pPr>
        <w:spacing w:after="0" w:line="276" w:lineRule="auto"/>
        <w:jc w:val="both"/>
        <w:rPr>
          <w:rFonts w:ascii="Verdana" w:hAnsi="Verdana"/>
          <w:lang w:val="es-MX"/>
        </w:rPr>
      </w:pPr>
      <w:r w:rsidRPr="00E02524">
        <w:rPr>
          <w:rFonts w:ascii="Verdana" w:hAnsi="Verdana"/>
          <w:lang w:val="es-MX"/>
        </w:rPr>
        <w:t>Cordialmente,</w:t>
      </w:r>
    </w:p>
    <w:p w14:paraId="74809772" w14:textId="1F52AEA5" w:rsidR="00555198" w:rsidRDefault="00555198" w:rsidP="00555198">
      <w:pPr>
        <w:spacing w:after="0" w:line="256" w:lineRule="auto"/>
        <w:jc w:val="center"/>
        <w:rPr>
          <w:rFonts w:ascii="Verdana" w:eastAsia="Calibri" w:hAnsi="Verdana" w:cs="Times New Roman"/>
        </w:rPr>
      </w:pPr>
    </w:p>
    <w:p w14:paraId="043ED51F" w14:textId="5686415F" w:rsidR="00555198" w:rsidRDefault="00EE2DE4" w:rsidP="00555198">
      <w:pPr>
        <w:spacing w:after="0" w:line="256" w:lineRule="auto"/>
        <w:jc w:val="center"/>
        <w:rPr>
          <w:rFonts w:ascii="Verdana" w:eastAsia="Calibri" w:hAnsi="Verdana" w:cs="Times New Roman"/>
        </w:rPr>
      </w:pPr>
      <w:r w:rsidRPr="0065791A">
        <w:rPr>
          <w:rFonts w:ascii="Century Gothic" w:hAnsi="Century Gothic"/>
          <w:noProof/>
        </w:rPr>
        <w:drawing>
          <wp:inline distT="0" distB="0" distL="0" distR="0" wp14:anchorId="7786C661" wp14:editId="53CAEE0C">
            <wp:extent cx="3007252" cy="1416879"/>
            <wp:effectExtent l="0" t="0" r="3175"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21"/>
                    <a:stretch>
                      <a:fillRect/>
                    </a:stretch>
                  </pic:blipFill>
                  <pic:spPr>
                    <a:xfrm>
                      <a:off x="0" y="0"/>
                      <a:ext cx="3010831" cy="1418565"/>
                    </a:xfrm>
                    <a:prstGeom prst="rect">
                      <a:avLst/>
                    </a:prstGeom>
                  </pic:spPr>
                </pic:pic>
              </a:graphicData>
            </a:graphic>
          </wp:inline>
        </w:drawing>
      </w:r>
    </w:p>
    <w:p w14:paraId="7982BE88" w14:textId="77777777" w:rsidR="00555198" w:rsidRDefault="00555198" w:rsidP="00555198">
      <w:pPr>
        <w:spacing w:after="0" w:line="256" w:lineRule="auto"/>
        <w:jc w:val="center"/>
        <w:rPr>
          <w:rFonts w:ascii="Verdana" w:eastAsia="Calibri" w:hAnsi="Verdana" w:cs="Times New Roman"/>
        </w:rPr>
      </w:pPr>
    </w:p>
    <w:tbl>
      <w:tblPr>
        <w:tblStyle w:val="TableGrid"/>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555198" w:rsidRPr="005644FE" w14:paraId="3FABA865" w14:textId="77777777" w:rsidTr="00495D4A">
        <w:trPr>
          <w:trHeight w:val="288"/>
        </w:trPr>
        <w:tc>
          <w:tcPr>
            <w:tcW w:w="893" w:type="dxa"/>
            <w:vAlign w:val="center"/>
            <w:hideMark/>
          </w:tcPr>
          <w:p w14:paraId="27D4510F" w14:textId="77777777" w:rsidR="00555198" w:rsidRPr="005644FE" w:rsidRDefault="00555198" w:rsidP="00495D4A">
            <w:pPr>
              <w:contextualSpacing/>
              <w:rPr>
                <w:rFonts w:ascii="Verdana" w:hAnsi="Verdana" w:cs="Arial"/>
                <w:sz w:val="16"/>
                <w:szCs w:val="16"/>
                <w:lang w:eastAsia="es-ES"/>
              </w:rPr>
            </w:pPr>
            <w:r w:rsidRPr="005644FE">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1736646C" w14:textId="77777777" w:rsidR="00555198" w:rsidRPr="005644FE" w:rsidRDefault="00555198" w:rsidP="00495D4A">
            <w:pPr>
              <w:contextualSpacing/>
              <w:rPr>
                <w:rStyle w:val="normaltextrun"/>
                <w:rFonts w:ascii="Verdana" w:hAnsi="Verdana"/>
                <w:sz w:val="16"/>
                <w:szCs w:val="16"/>
              </w:rPr>
            </w:pPr>
            <w:r w:rsidRPr="005644FE">
              <w:rPr>
                <w:rStyle w:val="normaltextrun"/>
                <w:rFonts w:ascii="Verdana" w:hAnsi="Verdana"/>
                <w:sz w:val="16"/>
                <w:szCs w:val="16"/>
              </w:rPr>
              <w:t xml:space="preserve">Esperanza Contreras P </w:t>
            </w:r>
          </w:p>
          <w:p w14:paraId="1CB75103" w14:textId="77777777" w:rsidR="00555198" w:rsidRPr="005644FE" w:rsidRDefault="00555198" w:rsidP="00495D4A">
            <w:pPr>
              <w:contextualSpacing/>
              <w:rPr>
                <w:rFonts w:ascii="Verdana" w:eastAsia="Arial" w:hAnsi="Verdana" w:cs="Arial"/>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555198" w:rsidRPr="005644FE" w14:paraId="2910FFA9" w14:textId="77777777" w:rsidTr="00495D4A">
        <w:trPr>
          <w:trHeight w:val="330"/>
        </w:trPr>
        <w:tc>
          <w:tcPr>
            <w:tcW w:w="893" w:type="dxa"/>
            <w:vAlign w:val="center"/>
            <w:hideMark/>
          </w:tcPr>
          <w:p w14:paraId="37680F65" w14:textId="77777777" w:rsidR="00555198" w:rsidRPr="005644FE" w:rsidRDefault="00555198" w:rsidP="00495D4A">
            <w:pPr>
              <w:contextualSpacing/>
              <w:rPr>
                <w:rFonts w:ascii="Verdana" w:hAnsi="Verdana" w:cs="Arial"/>
                <w:sz w:val="16"/>
                <w:szCs w:val="16"/>
                <w:lang w:eastAsia="es-ES"/>
              </w:rPr>
            </w:pPr>
            <w:r w:rsidRPr="005644FE">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2E237454" w14:textId="77777777" w:rsidR="00555198" w:rsidRPr="0043234D" w:rsidRDefault="00555198" w:rsidP="00495D4A">
            <w:pPr>
              <w:pStyle w:val="paragraph"/>
              <w:spacing w:before="0" w:beforeAutospacing="0" w:after="0" w:afterAutospacing="0"/>
              <w:contextualSpacing/>
              <w:textAlignment w:val="baseline"/>
              <w:rPr>
                <w:rStyle w:val="normaltextrun"/>
                <w:rFonts w:ascii="Verdana" w:hAnsi="Verdana"/>
                <w:sz w:val="16"/>
                <w:szCs w:val="16"/>
              </w:rPr>
            </w:pPr>
            <w:r w:rsidRPr="0043234D">
              <w:rPr>
                <w:rStyle w:val="normaltextrun"/>
                <w:rFonts w:ascii="Verdana" w:hAnsi="Verdana"/>
                <w:sz w:val="16"/>
                <w:szCs w:val="16"/>
              </w:rPr>
              <w:t xml:space="preserve">Diana Lucía Saavedra </w:t>
            </w:r>
            <w:r>
              <w:rPr>
                <w:rStyle w:val="normaltextrun"/>
                <w:rFonts w:ascii="Verdana" w:hAnsi="Verdana"/>
                <w:sz w:val="16"/>
                <w:szCs w:val="16"/>
              </w:rPr>
              <w:t>Castañeda</w:t>
            </w:r>
          </w:p>
          <w:p w14:paraId="21327DCE" w14:textId="77777777" w:rsidR="00555198" w:rsidRPr="005644FE" w:rsidRDefault="00555198" w:rsidP="00495D4A">
            <w:pPr>
              <w:pStyle w:val="paragraph"/>
              <w:spacing w:before="0" w:beforeAutospacing="0" w:after="0" w:afterAutospacing="0"/>
              <w:contextualSpacing/>
              <w:textAlignment w:val="baseline"/>
              <w:rPr>
                <w:rFonts w:ascii="Verdana" w:hAnsi="Verdana" w:cs="Segoe UI"/>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555198" w:rsidRPr="005644FE" w14:paraId="0EBF766A" w14:textId="77777777" w:rsidTr="00495D4A">
        <w:trPr>
          <w:trHeight w:val="300"/>
        </w:trPr>
        <w:tc>
          <w:tcPr>
            <w:tcW w:w="893" w:type="dxa"/>
            <w:vAlign w:val="center"/>
          </w:tcPr>
          <w:p w14:paraId="0C2CB63D" w14:textId="77777777" w:rsidR="00555198" w:rsidRPr="005644FE" w:rsidRDefault="00555198" w:rsidP="00495D4A">
            <w:pPr>
              <w:contextualSpacing/>
              <w:rPr>
                <w:rFonts w:ascii="Verdana" w:hAnsi="Verdana" w:cs="Arial"/>
                <w:sz w:val="16"/>
                <w:szCs w:val="16"/>
                <w:lang w:eastAsia="es-ES"/>
              </w:rPr>
            </w:pPr>
            <w:r w:rsidRPr="005644FE">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2A57EC59" w14:textId="77777777" w:rsidR="00555198" w:rsidRPr="005644FE" w:rsidRDefault="00555198" w:rsidP="00495D4A">
            <w:pPr>
              <w:contextualSpacing/>
              <w:rPr>
                <w:rFonts w:ascii="Verdana" w:eastAsia="Calibri" w:hAnsi="Verdana" w:cs="Arial"/>
                <w:sz w:val="16"/>
                <w:szCs w:val="16"/>
                <w:lang w:eastAsia="es-ES"/>
              </w:rPr>
            </w:pPr>
            <w:r w:rsidRPr="005644FE">
              <w:rPr>
                <w:rFonts w:ascii="Verdana" w:eastAsia="Calibri" w:hAnsi="Verdana" w:cs="Arial"/>
                <w:sz w:val="16"/>
                <w:szCs w:val="16"/>
                <w:lang w:eastAsia="es-ES"/>
              </w:rPr>
              <w:t>Carolina Quintero Gacharná</w:t>
            </w:r>
          </w:p>
          <w:p w14:paraId="0A12CFED" w14:textId="77777777" w:rsidR="00555198" w:rsidRPr="005644FE" w:rsidRDefault="00555198" w:rsidP="00495D4A">
            <w:pPr>
              <w:contextualSpacing/>
              <w:rPr>
                <w:rFonts w:ascii="Verdana" w:eastAsia="Calibri" w:hAnsi="Verdana" w:cs="Arial"/>
                <w:sz w:val="16"/>
                <w:szCs w:val="16"/>
                <w:lang w:eastAsia="es-ES"/>
              </w:rPr>
            </w:pPr>
            <w:r w:rsidRPr="005644FE">
              <w:rPr>
                <w:rFonts w:ascii="Verdana" w:eastAsia="Calibri" w:hAnsi="Verdana" w:cs="Arial"/>
                <w:sz w:val="16"/>
                <w:szCs w:val="16"/>
                <w:lang w:eastAsia="es-ES"/>
              </w:rPr>
              <w:t>Subdirectora de Gestión Contractual ANCP – CCE</w:t>
            </w:r>
          </w:p>
        </w:tc>
      </w:tr>
    </w:tbl>
    <w:p w14:paraId="622E86A4" w14:textId="77777777" w:rsidR="00555198" w:rsidRDefault="00555198" w:rsidP="00555198"/>
    <w:bookmarkEnd w:id="0"/>
    <w:bookmarkEnd w:id="1"/>
    <w:p w14:paraId="0F293BF4" w14:textId="56C05E83" w:rsidR="00127233" w:rsidRPr="00CA6169" w:rsidRDefault="00127233" w:rsidP="00CA6169"/>
    <w:sectPr w:rsidR="00127233" w:rsidRPr="00CA6169"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126FD" w14:textId="77777777" w:rsidR="009C7911" w:rsidRDefault="009C7911" w:rsidP="004A1847">
      <w:pPr>
        <w:spacing w:after="0" w:line="240" w:lineRule="auto"/>
      </w:pPr>
      <w:r>
        <w:separator/>
      </w:r>
    </w:p>
  </w:endnote>
  <w:endnote w:type="continuationSeparator" w:id="0">
    <w:p w14:paraId="48D98EEA" w14:textId="77777777" w:rsidR="009C7911" w:rsidRDefault="009C791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Footer"/>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CC7A9" w14:textId="77777777" w:rsidR="009C7911" w:rsidRDefault="009C7911" w:rsidP="004A1847">
      <w:pPr>
        <w:spacing w:after="0" w:line="240" w:lineRule="auto"/>
      </w:pPr>
      <w:r>
        <w:separator/>
      </w:r>
    </w:p>
  </w:footnote>
  <w:footnote w:type="continuationSeparator" w:id="0">
    <w:p w14:paraId="2031F044" w14:textId="77777777" w:rsidR="009C7911" w:rsidRDefault="009C7911" w:rsidP="004A1847">
      <w:pPr>
        <w:spacing w:after="0" w:line="240" w:lineRule="auto"/>
      </w:pPr>
      <w:r>
        <w:continuationSeparator/>
      </w:r>
    </w:p>
  </w:footnote>
  <w:footnote w:id="1">
    <w:p w14:paraId="576F63E1" w14:textId="77777777" w:rsidR="00555198" w:rsidRPr="00D71B7F" w:rsidRDefault="00555198" w:rsidP="00555198">
      <w:pPr>
        <w:pStyle w:val="FootnoteText"/>
        <w:ind w:firstLine="709"/>
        <w:jc w:val="both"/>
        <w:rPr>
          <w:rFonts w:ascii="Verdana" w:hAnsi="Verdana" w:cs="Arial"/>
          <w:sz w:val="16"/>
          <w:szCs w:val="16"/>
        </w:rPr>
      </w:pPr>
      <w:r w:rsidRPr="00D71B7F">
        <w:rPr>
          <w:rStyle w:val="FootnoteReference"/>
          <w:rFonts w:ascii="Verdana" w:hAnsi="Verdana" w:cs="Arial"/>
          <w:sz w:val="16"/>
          <w:szCs w:val="16"/>
        </w:rPr>
        <w:footnoteRef/>
      </w:r>
      <w:r w:rsidRPr="00D71B7F">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67578FC5" w14:textId="77777777" w:rsidR="00555198" w:rsidRPr="00D71B7F" w:rsidRDefault="00555198" w:rsidP="00555198">
      <w:pPr>
        <w:pStyle w:val="FootnoteText"/>
        <w:ind w:firstLine="709"/>
        <w:jc w:val="both"/>
        <w:rPr>
          <w:rFonts w:ascii="Verdana" w:hAnsi="Verdana" w:cs="Arial"/>
          <w:sz w:val="16"/>
          <w:szCs w:val="16"/>
        </w:rPr>
      </w:pPr>
      <w:r w:rsidRPr="00D71B7F">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25335B06" w14:textId="77777777" w:rsidR="00555198" w:rsidRPr="00D71B7F" w:rsidRDefault="00555198" w:rsidP="00555198">
      <w:pPr>
        <w:pStyle w:val="FootnoteText"/>
        <w:ind w:firstLine="709"/>
        <w:jc w:val="both"/>
        <w:rPr>
          <w:rFonts w:ascii="Verdana" w:hAnsi="Verdana" w:cs="Arial"/>
          <w:sz w:val="16"/>
          <w:szCs w:val="16"/>
        </w:rPr>
      </w:pPr>
    </w:p>
  </w:footnote>
  <w:footnote w:id="2">
    <w:p w14:paraId="3E37C295" w14:textId="77777777" w:rsidR="00555198" w:rsidRPr="00D71B7F" w:rsidRDefault="00555198" w:rsidP="00555198">
      <w:pPr>
        <w:pStyle w:val="FootnoteText"/>
        <w:ind w:firstLine="709"/>
        <w:jc w:val="both"/>
        <w:rPr>
          <w:rFonts w:ascii="Verdana" w:hAnsi="Verdana" w:cs="Arial"/>
          <w:sz w:val="16"/>
          <w:szCs w:val="16"/>
        </w:rPr>
      </w:pPr>
      <w:r w:rsidRPr="00D71B7F">
        <w:rPr>
          <w:rStyle w:val="FootnoteReference"/>
          <w:rFonts w:ascii="Verdana" w:hAnsi="Verdana" w:cs="Arial"/>
          <w:sz w:val="16"/>
          <w:szCs w:val="16"/>
        </w:rPr>
        <w:footnoteRef/>
      </w:r>
      <w:r w:rsidRPr="00D71B7F">
        <w:rPr>
          <w:rFonts w:ascii="Verdana" w:hAnsi="Verdana" w:cs="Arial"/>
          <w:sz w:val="16"/>
          <w:szCs w:val="16"/>
        </w:rPr>
        <w:t xml:space="preserve"> Gaceta del Congreso de la República No. 71 del 2005.</w:t>
      </w:r>
    </w:p>
    <w:p w14:paraId="7C3099F4" w14:textId="77777777" w:rsidR="00555198" w:rsidRPr="00D71B7F" w:rsidRDefault="00555198" w:rsidP="00555198">
      <w:pPr>
        <w:pStyle w:val="FootnoteText"/>
        <w:ind w:firstLine="709"/>
        <w:jc w:val="both"/>
        <w:rPr>
          <w:rFonts w:ascii="Verdana" w:hAnsi="Verdana" w:cs="Arial"/>
          <w:sz w:val="16"/>
          <w:szCs w:val="16"/>
        </w:rPr>
      </w:pPr>
    </w:p>
  </w:footnote>
  <w:footnote w:id="3">
    <w:p w14:paraId="6F8F1EF2" w14:textId="77777777" w:rsidR="00555198" w:rsidRPr="00D71B7F" w:rsidRDefault="00555198" w:rsidP="00555198">
      <w:pPr>
        <w:pStyle w:val="FootnoteText"/>
        <w:tabs>
          <w:tab w:val="left" w:pos="8145"/>
        </w:tabs>
        <w:ind w:firstLine="709"/>
        <w:jc w:val="both"/>
        <w:rPr>
          <w:rFonts w:ascii="Verdana" w:hAnsi="Verdana" w:cs="Arial"/>
          <w:sz w:val="16"/>
          <w:szCs w:val="16"/>
          <w:lang w:val="pt-PT"/>
        </w:rPr>
      </w:pPr>
      <w:r w:rsidRPr="00D71B7F">
        <w:rPr>
          <w:rStyle w:val="FootnoteReference"/>
          <w:rFonts w:ascii="Verdana" w:hAnsi="Verdana" w:cs="Arial"/>
          <w:sz w:val="16"/>
          <w:szCs w:val="16"/>
        </w:rPr>
        <w:footnoteRef/>
      </w:r>
      <w:r w:rsidRPr="00D71B7F">
        <w:rPr>
          <w:rFonts w:ascii="Verdana" w:hAnsi="Verdana" w:cs="Arial"/>
          <w:sz w:val="16"/>
          <w:szCs w:val="16"/>
          <w:lang w:val="pt-PT"/>
        </w:rPr>
        <w:t xml:space="preserve"> Corte Constitucional. Sentencia C- 1153 de 2005, M.P: Marco Gerardo Monroy Cabra.</w:t>
      </w:r>
      <w:r w:rsidRPr="00D71B7F">
        <w:rPr>
          <w:rFonts w:ascii="Verdana" w:hAnsi="Verdana" w:cs="Arial"/>
          <w:sz w:val="16"/>
          <w:szCs w:val="16"/>
          <w:lang w:val="pt-PT"/>
        </w:rPr>
        <w:tab/>
      </w:r>
    </w:p>
    <w:p w14:paraId="60A32D1D" w14:textId="77777777" w:rsidR="00555198" w:rsidRPr="00D71B7F" w:rsidRDefault="00555198" w:rsidP="00555198">
      <w:pPr>
        <w:pStyle w:val="FootnoteText"/>
        <w:tabs>
          <w:tab w:val="left" w:pos="8145"/>
        </w:tabs>
        <w:ind w:firstLine="709"/>
        <w:jc w:val="both"/>
        <w:rPr>
          <w:rFonts w:ascii="Verdana" w:hAnsi="Verdana" w:cs="Arial"/>
          <w:sz w:val="16"/>
          <w:szCs w:val="16"/>
          <w:lang w:val="pt-PT"/>
        </w:rPr>
      </w:pPr>
    </w:p>
  </w:footnote>
  <w:footnote w:id="4">
    <w:p w14:paraId="6F068D78" w14:textId="77777777" w:rsidR="00555198" w:rsidRPr="00D71B7F" w:rsidRDefault="00555198" w:rsidP="00555198">
      <w:pPr>
        <w:pStyle w:val="FootnoteText"/>
        <w:ind w:firstLine="709"/>
        <w:jc w:val="both"/>
        <w:rPr>
          <w:rFonts w:ascii="Verdana" w:hAnsi="Verdana" w:cs="Arial"/>
          <w:sz w:val="16"/>
          <w:szCs w:val="16"/>
          <w:lang w:val="pt-PT"/>
        </w:rPr>
      </w:pPr>
      <w:r w:rsidRPr="00D71B7F">
        <w:rPr>
          <w:rStyle w:val="FootnoteReference"/>
          <w:rFonts w:ascii="Verdana" w:hAnsi="Verdana" w:cs="Arial"/>
          <w:sz w:val="16"/>
          <w:szCs w:val="16"/>
        </w:rPr>
        <w:footnoteRef/>
      </w:r>
      <w:r w:rsidRPr="00D71B7F">
        <w:rPr>
          <w:rFonts w:ascii="Verdana" w:hAnsi="Verdana" w:cs="Arial"/>
          <w:sz w:val="16"/>
          <w:szCs w:val="16"/>
          <w:lang w:val="pt-PT"/>
        </w:rPr>
        <w:t xml:space="preserve"> </w:t>
      </w:r>
      <w:r w:rsidRPr="00D71B7F">
        <w:rPr>
          <w:rFonts w:ascii="Verdana" w:hAnsi="Verdana" w:cs="Arial"/>
          <w:sz w:val="16"/>
          <w:szCs w:val="16"/>
          <w:lang w:val="es-CO"/>
        </w:rPr>
        <w:t>Corte Constitucional. Sentencias: C-233 de 4 de abril de 2002. M.P: Álvaro Tafur Galvis; C-551 de 9 de julio de 2003. M.P: Eduardo Montealegre Lynnet; C-353 de 20 de mayo de 2009. M.P: Jorge Iván Palacio Palacio; C-541 de 30 de junio de 2010. M.P: Gabriel Eduardo Mendoza Martelo; entre otras.</w:t>
      </w:r>
    </w:p>
    <w:p w14:paraId="696E2FEC" w14:textId="77777777" w:rsidR="00555198" w:rsidRPr="00D71B7F" w:rsidRDefault="00555198" w:rsidP="00555198">
      <w:pPr>
        <w:pStyle w:val="FootnoteText"/>
        <w:ind w:firstLine="709"/>
        <w:jc w:val="both"/>
        <w:rPr>
          <w:rFonts w:ascii="Verdana" w:hAnsi="Verdana" w:cs="Arial"/>
          <w:sz w:val="16"/>
          <w:szCs w:val="16"/>
          <w:lang w:val="pt-PT"/>
        </w:rPr>
      </w:pPr>
    </w:p>
  </w:footnote>
  <w:footnote w:id="5">
    <w:p w14:paraId="43317056" w14:textId="77777777" w:rsidR="00555198" w:rsidRPr="00D71B7F" w:rsidRDefault="00555198" w:rsidP="00555198">
      <w:pPr>
        <w:pStyle w:val="FootnoteText"/>
        <w:ind w:firstLine="709"/>
        <w:jc w:val="both"/>
        <w:rPr>
          <w:rFonts w:ascii="Verdana" w:hAnsi="Verdana" w:cs="Arial"/>
          <w:sz w:val="16"/>
          <w:szCs w:val="16"/>
          <w:lang w:val="es-CO"/>
        </w:rPr>
      </w:pPr>
      <w:r w:rsidRPr="00D71B7F">
        <w:rPr>
          <w:rStyle w:val="FootnoteReference"/>
          <w:rFonts w:ascii="Verdana" w:hAnsi="Verdana" w:cs="Arial"/>
          <w:sz w:val="16"/>
          <w:szCs w:val="16"/>
        </w:rPr>
        <w:footnoteRef/>
      </w:r>
      <w:r w:rsidRPr="00D71B7F">
        <w:rPr>
          <w:rFonts w:ascii="Verdana" w:hAnsi="Verdana" w:cs="Arial"/>
          <w:sz w:val="16"/>
          <w:szCs w:val="16"/>
          <w:lang w:val="es-CO"/>
        </w:rPr>
        <w:t xml:space="preserve"> Consejo de Estado. Sala de lo Contencioso Administrativo. Sección Primera. Sentencia de 3 de marzo de 2005. Radicado: </w:t>
      </w:r>
      <w:r w:rsidRPr="00D71B7F">
        <w:rPr>
          <w:rFonts w:ascii="Verdana" w:hAnsi="Verdana" w:cs="Arial"/>
          <w:sz w:val="16"/>
          <w:szCs w:val="16"/>
          <w:lang w:val="es-ES"/>
        </w:rPr>
        <w:t xml:space="preserve">25001-23-15-000-2004-00823-01 (PI). </w:t>
      </w:r>
      <w:r w:rsidRPr="00D71B7F">
        <w:rPr>
          <w:rFonts w:ascii="Verdana" w:hAnsi="Verdana" w:cs="Arial"/>
          <w:sz w:val="16"/>
          <w:szCs w:val="16"/>
          <w:lang w:val="es-CO"/>
        </w:rPr>
        <w:t>C.P: Camilo Arciniegas Andrade. Ver también, de la Sección Tercera. Sentencia de 22 de enero de 2002, expediente número 2001-0148-01 y, Sección Tercera. Sentencia de 20 de noviembre de 2001, expediente número 2001-0130-01(PI), entre otras.</w:t>
      </w:r>
    </w:p>
    <w:p w14:paraId="5AAF79E5" w14:textId="77777777" w:rsidR="00555198" w:rsidRPr="00D71B7F" w:rsidRDefault="00555198" w:rsidP="00555198">
      <w:pPr>
        <w:pStyle w:val="FootnoteText"/>
        <w:ind w:firstLine="709"/>
        <w:jc w:val="both"/>
        <w:rPr>
          <w:rFonts w:ascii="Verdana" w:hAnsi="Verdana" w:cs="Arial"/>
          <w:sz w:val="16"/>
          <w:szCs w:val="16"/>
          <w:lang w:val="es-CO"/>
        </w:rPr>
      </w:pPr>
    </w:p>
  </w:footnote>
  <w:footnote w:id="6">
    <w:p w14:paraId="18E41A30" w14:textId="77777777" w:rsidR="00555198" w:rsidRPr="00D71B7F" w:rsidRDefault="00555198" w:rsidP="00555198">
      <w:pPr>
        <w:pStyle w:val="FootnoteText"/>
        <w:ind w:firstLine="709"/>
        <w:jc w:val="both"/>
        <w:rPr>
          <w:rFonts w:ascii="Verdana" w:hAnsi="Verdana" w:cs="Arial"/>
          <w:sz w:val="16"/>
          <w:szCs w:val="16"/>
        </w:rPr>
      </w:pPr>
      <w:r w:rsidRPr="00D71B7F">
        <w:rPr>
          <w:rStyle w:val="FootnoteReference"/>
          <w:rFonts w:ascii="Verdana" w:hAnsi="Verdana" w:cs="Arial"/>
          <w:sz w:val="16"/>
          <w:szCs w:val="16"/>
        </w:rPr>
        <w:footnoteRef/>
      </w:r>
      <w:r w:rsidRPr="00D71B7F">
        <w:rPr>
          <w:rFonts w:ascii="Verdana" w:hAnsi="Verdana" w:cs="Arial"/>
          <w:sz w:val="16"/>
          <w:szCs w:val="16"/>
        </w:rPr>
        <w:t xml:space="preserve"> Consejo de Estado, Sala de Consulta y Servicio Civil. 24 de julio de 2013. Radicado: </w:t>
      </w:r>
      <w:r w:rsidRPr="00D71B7F">
        <w:rPr>
          <w:rFonts w:ascii="Verdana" w:hAnsi="Verdana" w:cs="Arial"/>
          <w:sz w:val="16"/>
          <w:szCs w:val="16"/>
          <w:lang w:val="es-CO"/>
        </w:rPr>
        <w:t xml:space="preserve">11001-03-06-000-2013-00407-00 </w:t>
      </w:r>
      <w:r w:rsidRPr="00D71B7F">
        <w:rPr>
          <w:rFonts w:ascii="Verdana" w:hAnsi="Verdana" w:cs="Arial"/>
          <w:sz w:val="16"/>
          <w:szCs w:val="16"/>
        </w:rPr>
        <w:t xml:space="preserve">(2166). C.P. Álvaro Namén Vargas.  </w:t>
      </w:r>
    </w:p>
    <w:p w14:paraId="01CD6EAB" w14:textId="77777777" w:rsidR="00555198" w:rsidRPr="00D71B7F" w:rsidRDefault="00555198" w:rsidP="00555198">
      <w:pPr>
        <w:pStyle w:val="FootnoteText"/>
        <w:ind w:firstLine="709"/>
        <w:jc w:val="both"/>
        <w:rPr>
          <w:rFonts w:ascii="Verdana" w:hAnsi="Verdana" w:cs="Arial"/>
          <w:sz w:val="16"/>
          <w:szCs w:val="16"/>
        </w:rPr>
      </w:pPr>
    </w:p>
  </w:footnote>
  <w:footnote w:id="7">
    <w:p w14:paraId="411B57AF" w14:textId="77777777" w:rsidR="00555198" w:rsidRPr="00D71B7F" w:rsidRDefault="00555198" w:rsidP="00555198">
      <w:pPr>
        <w:spacing w:after="0" w:line="240" w:lineRule="auto"/>
        <w:ind w:firstLine="709"/>
        <w:jc w:val="both"/>
        <w:rPr>
          <w:rFonts w:ascii="Verdana" w:eastAsia="Times New Roman" w:hAnsi="Verdana" w:cs="Arial"/>
          <w:sz w:val="16"/>
          <w:szCs w:val="16"/>
        </w:rPr>
      </w:pPr>
      <w:r w:rsidRPr="00D71B7F">
        <w:rPr>
          <w:rStyle w:val="FootnoteReference"/>
          <w:rFonts w:ascii="Verdana" w:hAnsi="Verdana" w:cs="Arial"/>
          <w:sz w:val="16"/>
          <w:szCs w:val="16"/>
        </w:rPr>
        <w:footnoteRef/>
      </w:r>
      <w:r w:rsidRPr="00D71B7F">
        <w:rPr>
          <w:rFonts w:ascii="Verdana" w:hAnsi="Verdana" w:cs="Arial"/>
          <w:sz w:val="16"/>
          <w:szCs w:val="16"/>
        </w:rPr>
        <w:t xml:space="preserve"> </w:t>
      </w:r>
      <w:bookmarkStart w:id="4" w:name="33"/>
      <w:r w:rsidRPr="00D71B7F">
        <w:rPr>
          <w:rFonts w:ascii="Verdana" w:eastAsia="Calibri" w:hAnsi="Verdana" w:cs="Arial"/>
          <w:color w:val="000000"/>
          <w:sz w:val="16"/>
          <w:szCs w:val="16"/>
        </w:rPr>
        <w:t>“</w:t>
      </w:r>
      <w:r w:rsidRPr="00D71B7F">
        <w:rPr>
          <w:rFonts w:ascii="Verdana" w:eastAsia="Times New Roman" w:hAnsi="Verdana" w:cs="Arial"/>
          <w:sz w:val="16"/>
          <w:szCs w:val="16"/>
        </w:rPr>
        <w:t>Artículo 33. Restricciones a la contratación pública.</w:t>
      </w:r>
      <w:bookmarkEnd w:id="4"/>
      <w:r w:rsidRPr="00D71B7F">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50FFABF1" w14:textId="77777777" w:rsidR="00555198" w:rsidRPr="00D71B7F" w:rsidRDefault="00555198" w:rsidP="00555198">
      <w:pPr>
        <w:spacing w:after="0" w:line="240" w:lineRule="auto"/>
        <w:ind w:firstLine="709"/>
        <w:jc w:val="both"/>
        <w:rPr>
          <w:rFonts w:ascii="Verdana" w:eastAsia="Times New Roman" w:hAnsi="Verdana" w:cs="Arial"/>
          <w:sz w:val="16"/>
          <w:szCs w:val="16"/>
        </w:rPr>
      </w:pPr>
      <w:r w:rsidRPr="00D71B7F">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7B742572" w14:textId="77777777" w:rsidR="00555198" w:rsidRPr="00D71B7F" w:rsidRDefault="00555198" w:rsidP="00555198">
      <w:pPr>
        <w:spacing w:after="0" w:line="240" w:lineRule="auto"/>
        <w:ind w:firstLine="709"/>
        <w:jc w:val="both"/>
        <w:rPr>
          <w:rFonts w:ascii="Verdana" w:eastAsia="Times New Roman" w:hAnsi="Verdana" w:cs="Arial"/>
          <w:sz w:val="16"/>
          <w:szCs w:val="16"/>
        </w:rPr>
      </w:pPr>
    </w:p>
  </w:footnote>
  <w:footnote w:id="8">
    <w:p w14:paraId="31CD9202" w14:textId="77777777" w:rsidR="00555198" w:rsidRPr="00D71B7F" w:rsidRDefault="00555198" w:rsidP="00555198">
      <w:pPr>
        <w:pStyle w:val="NormalWeb"/>
        <w:spacing w:before="0" w:beforeAutospacing="0" w:after="0" w:afterAutospacing="0"/>
        <w:ind w:firstLine="709"/>
        <w:jc w:val="both"/>
        <w:rPr>
          <w:rFonts w:ascii="Verdana" w:hAnsi="Verdana" w:cs="Arial"/>
          <w:sz w:val="16"/>
          <w:szCs w:val="16"/>
          <w:lang w:val="es-MX"/>
        </w:rPr>
      </w:pPr>
      <w:r w:rsidRPr="00D71B7F">
        <w:rPr>
          <w:rStyle w:val="FootnoteReference"/>
          <w:rFonts w:ascii="Verdana" w:eastAsiaTheme="majorEastAsia" w:hAnsi="Verdana" w:cs="Arial"/>
          <w:sz w:val="16"/>
          <w:szCs w:val="16"/>
        </w:rPr>
        <w:footnoteRef/>
      </w:r>
      <w:r w:rsidRPr="00D71B7F">
        <w:rPr>
          <w:rFonts w:ascii="Verdana" w:hAnsi="Verdana" w:cs="Arial"/>
          <w:sz w:val="16"/>
          <w:szCs w:val="16"/>
        </w:rPr>
        <w:t xml:space="preserve"> </w:t>
      </w:r>
      <w:bookmarkStart w:id="5" w:name="38"/>
      <w:r w:rsidRPr="00D71B7F">
        <w:rPr>
          <w:rFonts w:ascii="Verdana" w:eastAsia="Calibri" w:hAnsi="Verdana" w:cs="Arial"/>
          <w:color w:val="000000"/>
          <w:sz w:val="16"/>
          <w:szCs w:val="16"/>
        </w:rPr>
        <w:t>“</w:t>
      </w:r>
      <w:r w:rsidRPr="00D71B7F">
        <w:rPr>
          <w:rFonts w:ascii="Verdana" w:hAnsi="Verdana" w:cs="Arial"/>
          <w:sz w:val="16"/>
          <w:szCs w:val="16"/>
          <w:lang w:val="es-MX"/>
        </w:rPr>
        <w:t>Artículo 38. Prohibiciones para los servidores públicos. A los empleados del Estado les está prohibido:</w:t>
      </w:r>
      <w:bookmarkEnd w:id="5"/>
    </w:p>
    <w:p w14:paraId="3667197D" w14:textId="77777777" w:rsidR="00555198" w:rsidRPr="00D71B7F" w:rsidRDefault="00555198" w:rsidP="00555198">
      <w:pPr>
        <w:pStyle w:val="NormalWeb"/>
        <w:spacing w:before="0" w:beforeAutospacing="0" w:after="0" w:afterAutospacing="0"/>
        <w:ind w:firstLine="709"/>
        <w:jc w:val="both"/>
        <w:rPr>
          <w:rFonts w:ascii="Verdana" w:hAnsi="Verdana" w:cs="Arial"/>
          <w:sz w:val="16"/>
          <w:szCs w:val="16"/>
          <w:lang w:val="es-MX"/>
        </w:rPr>
      </w:pPr>
      <w:r w:rsidRPr="00D71B7F">
        <w:rPr>
          <w:rFonts w:ascii="Verdana" w:hAnsi="Verdana" w:cs="Arial"/>
          <w:sz w:val="16"/>
          <w:szCs w:val="16"/>
          <w:lang w:val="es-MX"/>
        </w:rPr>
        <w:t>(…)</w:t>
      </w:r>
    </w:p>
    <w:p w14:paraId="2C49A42E" w14:textId="77777777" w:rsidR="00555198" w:rsidRPr="00D71B7F" w:rsidRDefault="00555198" w:rsidP="00555198">
      <w:pPr>
        <w:pStyle w:val="NormalWeb"/>
        <w:spacing w:before="0" w:beforeAutospacing="0" w:after="0" w:afterAutospacing="0"/>
        <w:ind w:firstLine="709"/>
        <w:jc w:val="both"/>
        <w:rPr>
          <w:rFonts w:ascii="Verdana" w:eastAsia="Calibri" w:hAnsi="Verdana" w:cs="Arial"/>
          <w:color w:val="000000"/>
          <w:sz w:val="16"/>
          <w:szCs w:val="16"/>
        </w:rPr>
      </w:pPr>
      <w:r w:rsidRPr="00D71B7F">
        <w:rPr>
          <w:rStyle w:val="baj"/>
          <w:rFonts w:ascii="Verdana" w:hAnsi="Verdana" w:cs="Arial"/>
          <w:sz w:val="16"/>
          <w:szCs w:val="16"/>
          <w:lang w:val="es-MX"/>
        </w:rPr>
        <w:t>Parágrafo.</w:t>
      </w:r>
      <w:r w:rsidRPr="00D71B7F">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D71B7F">
        <w:rPr>
          <w:rFonts w:ascii="Verdana" w:eastAsia="Calibri" w:hAnsi="Verdana" w:cs="Arial"/>
          <w:color w:val="000000"/>
          <w:sz w:val="16"/>
          <w:szCs w:val="16"/>
        </w:rPr>
        <w:t>”.</w:t>
      </w:r>
    </w:p>
    <w:p w14:paraId="202C5566" w14:textId="77777777" w:rsidR="00555198" w:rsidRPr="00D71B7F" w:rsidRDefault="00555198" w:rsidP="00555198">
      <w:pPr>
        <w:pStyle w:val="NormalWeb"/>
        <w:spacing w:before="0" w:beforeAutospacing="0" w:after="0" w:afterAutospacing="0"/>
        <w:ind w:firstLine="709"/>
        <w:jc w:val="both"/>
        <w:rPr>
          <w:rFonts w:ascii="Verdana" w:hAnsi="Verdana" w:cs="Arial"/>
          <w:sz w:val="16"/>
          <w:szCs w:val="16"/>
          <w:lang w:val="es-MX"/>
        </w:rPr>
      </w:pPr>
    </w:p>
  </w:footnote>
  <w:footnote w:id="9">
    <w:p w14:paraId="5FD4F7FA" w14:textId="77777777" w:rsidR="00555198" w:rsidRPr="00D71B7F" w:rsidRDefault="00555198" w:rsidP="00555198">
      <w:pPr>
        <w:tabs>
          <w:tab w:val="left" w:pos="2127"/>
        </w:tabs>
        <w:spacing w:after="0" w:line="240" w:lineRule="auto"/>
        <w:ind w:left="100" w:right="244" w:firstLine="709"/>
        <w:jc w:val="both"/>
        <w:rPr>
          <w:rFonts w:ascii="Verdana" w:hAnsi="Verdana" w:cs="Arial"/>
          <w:sz w:val="16"/>
          <w:szCs w:val="16"/>
        </w:rPr>
      </w:pPr>
      <w:r w:rsidRPr="00D71B7F">
        <w:rPr>
          <w:rStyle w:val="FootnoteReference"/>
          <w:rFonts w:ascii="Verdana" w:hAnsi="Verdana" w:cs="Arial"/>
          <w:sz w:val="16"/>
          <w:szCs w:val="16"/>
        </w:rPr>
        <w:footnoteRef/>
      </w:r>
      <w:r w:rsidRPr="00D71B7F">
        <w:rPr>
          <w:rFonts w:ascii="Verdana" w:hAnsi="Verdana" w:cs="Arial"/>
          <w:sz w:val="16"/>
          <w:szCs w:val="16"/>
        </w:rPr>
        <w:t xml:space="preserve"> Consejo de Estado. Sala de Consulta y Servicio Civil. Concepto del 17 de febrero de 2015. Radicado: 11001-03-06-000-2015-00164-00 (2269). C.P. William Zambrano Cetina.</w:t>
      </w:r>
    </w:p>
    <w:p w14:paraId="083A2E6E" w14:textId="77777777" w:rsidR="00555198" w:rsidRPr="00D71B7F" w:rsidRDefault="00555198" w:rsidP="00555198">
      <w:pPr>
        <w:spacing w:after="0" w:line="240" w:lineRule="auto"/>
        <w:ind w:left="100" w:right="244" w:firstLine="709"/>
        <w:jc w:val="both"/>
        <w:rPr>
          <w:rFonts w:ascii="Verdana" w:hAnsi="Verdana" w:cs="Arial"/>
          <w:sz w:val="16"/>
          <w:szCs w:val="16"/>
          <w:lang w:val="es-ES"/>
        </w:rPr>
      </w:pPr>
    </w:p>
  </w:footnote>
  <w:footnote w:id="10">
    <w:p w14:paraId="3B13E80F" w14:textId="77777777" w:rsidR="00555198" w:rsidRPr="00D71B7F" w:rsidRDefault="00555198" w:rsidP="00555198">
      <w:pPr>
        <w:pStyle w:val="FootnoteText"/>
        <w:ind w:firstLine="709"/>
        <w:jc w:val="both"/>
        <w:rPr>
          <w:rFonts w:ascii="Verdana" w:hAnsi="Verdana" w:cs="Arial"/>
          <w:sz w:val="16"/>
          <w:szCs w:val="16"/>
        </w:rPr>
      </w:pPr>
      <w:r w:rsidRPr="00D71B7F">
        <w:rPr>
          <w:rStyle w:val="FootnoteReference"/>
          <w:rFonts w:ascii="Verdana" w:hAnsi="Verdana" w:cs="Arial"/>
          <w:sz w:val="16"/>
          <w:szCs w:val="16"/>
        </w:rPr>
        <w:footnoteRef/>
      </w:r>
      <w:r w:rsidRPr="00D71B7F">
        <w:rPr>
          <w:rFonts w:ascii="Verdana" w:hAnsi="Verdana" w:cs="Arial"/>
          <w:sz w:val="16"/>
          <w:szCs w:val="16"/>
        </w:rPr>
        <w:t xml:space="preserve"> “</w:t>
      </w:r>
      <w:r w:rsidRPr="00D71B7F">
        <w:rPr>
          <w:rFonts w:ascii="Verdana" w:hAnsi="Verdana" w:cs="Arial"/>
          <w:sz w:val="16"/>
          <w:szCs w:val="16"/>
          <w:lang w:val="es-ES"/>
        </w:rPr>
        <w:t xml:space="preserve">[25] </w:t>
      </w:r>
      <w:r w:rsidRPr="00D71B7F">
        <w:rPr>
          <w:rFonts w:ascii="Verdana" w:hAnsi="Verdana" w:cs="Arial"/>
          <w:sz w:val="16"/>
          <w:szCs w:val="16"/>
        </w:rPr>
        <w:t>Cfr. Consejo de Estado. Sección Tercera. Sentencia de 3 de diciembre de 2007. Radicados: 24.715, 25.206, 25.409, 24.524, 27.834, 25.410, 26.105, 28.244, 31.447 -acumulados-“.</w:t>
      </w:r>
    </w:p>
    <w:p w14:paraId="05BA66D6" w14:textId="77777777" w:rsidR="00555198" w:rsidRPr="00D71B7F" w:rsidRDefault="00555198" w:rsidP="00555198">
      <w:pPr>
        <w:pStyle w:val="FootnoteText"/>
        <w:ind w:firstLine="709"/>
        <w:jc w:val="both"/>
        <w:rPr>
          <w:rFonts w:ascii="Verdana" w:hAnsi="Verdana" w:cs="Arial"/>
          <w:sz w:val="16"/>
          <w:szCs w:val="16"/>
        </w:rPr>
      </w:pPr>
    </w:p>
  </w:footnote>
  <w:footnote w:id="11">
    <w:p w14:paraId="5B07DBFC" w14:textId="77777777" w:rsidR="00555198" w:rsidRPr="00D71B7F" w:rsidRDefault="00555198" w:rsidP="00555198">
      <w:pPr>
        <w:pStyle w:val="FootnoteText"/>
        <w:ind w:firstLine="709"/>
        <w:jc w:val="both"/>
        <w:rPr>
          <w:rFonts w:ascii="Verdana" w:hAnsi="Verdana" w:cs="Arial"/>
          <w:sz w:val="16"/>
          <w:szCs w:val="16"/>
        </w:rPr>
      </w:pPr>
      <w:r w:rsidRPr="00D71B7F">
        <w:rPr>
          <w:rStyle w:val="FootnoteReference"/>
          <w:rFonts w:ascii="Verdana" w:hAnsi="Verdana" w:cs="Arial"/>
          <w:sz w:val="16"/>
          <w:szCs w:val="16"/>
        </w:rPr>
        <w:footnoteRef/>
      </w:r>
      <w:r w:rsidRPr="00D71B7F">
        <w:rPr>
          <w:rFonts w:ascii="Verdana" w:hAnsi="Verdana" w:cs="Arial"/>
          <w:sz w:val="16"/>
          <w:szCs w:val="16"/>
        </w:rPr>
        <w:t xml:space="preserve"> </w:t>
      </w:r>
      <w:bookmarkStart w:id="13" w:name="_Hlk74294506"/>
      <w:r w:rsidRPr="00D71B7F">
        <w:rPr>
          <w:rFonts w:ascii="Verdana" w:hAnsi="Verdana" w:cs="Arial"/>
          <w:sz w:val="16"/>
          <w:szCs w:val="16"/>
        </w:rPr>
        <w:t>“</w:t>
      </w:r>
      <w:r w:rsidRPr="00D71B7F">
        <w:rPr>
          <w:rFonts w:ascii="Verdana" w:hAnsi="Verdana" w:cs="Arial"/>
          <w:sz w:val="16"/>
          <w:szCs w:val="16"/>
          <w:lang w:val="es-ES"/>
        </w:rPr>
        <w:t xml:space="preserve">[26] </w:t>
      </w:r>
      <w:bookmarkEnd w:id="13"/>
      <w:r w:rsidRPr="00D71B7F">
        <w:rPr>
          <w:rFonts w:ascii="Verdana" w:hAnsi="Verdana" w:cs="Arial"/>
          <w:sz w:val="16"/>
          <w:szCs w:val="16"/>
        </w:rPr>
        <w:t>Al respecto ver el concepto 1712 de 2 de febrero de 2006. Consejo de Estado Sala de Consulta y Servicio Civil”.</w:t>
      </w:r>
    </w:p>
    <w:p w14:paraId="578F2DE2" w14:textId="77777777" w:rsidR="00555198" w:rsidRPr="00D71B7F" w:rsidRDefault="00555198" w:rsidP="00555198">
      <w:pPr>
        <w:pStyle w:val="FootnoteText"/>
        <w:ind w:firstLine="709"/>
        <w:jc w:val="both"/>
        <w:rPr>
          <w:rFonts w:ascii="Verdana" w:hAnsi="Verdana" w:cs="Arial"/>
          <w:sz w:val="16"/>
          <w:szCs w:val="16"/>
        </w:rPr>
      </w:pPr>
    </w:p>
  </w:footnote>
  <w:footnote w:id="12">
    <w:p w14:paraId="2AE0210D" w14:textId="77777777" w:rsidR="00555198" w:rsidRPr="00D71B7F" w:rsidRDefault="00555198" w:rsidP="00555198">
      <w:pPr>
        <w:pStyle w:val="FootnoteText"/>
        <w:ind w:firstLine="709"/>
        <w:jc w:val="both"/>
        <w:rPr>
          <w:rFonts w:ascii="Verdana" w:hAnsi="Verdana" w:cs="Arial"/>
          <w:sz w:val="16"/>
          <w:szCs w:val="16"/>
        </w:rPr>
      </w:pPr>
      <w:r w:rsidRPr="00D71B7F">
        <w:rPr>
          <w:rStyle w:val="FootnoteReference"/>
          <w:rFonts w:ascii="Verdana" w:hAnsi="Verdana" w:cs="Arial"/>
          <w:sz w:val="16"/>
          <w:szCs w:val="16"/>
        </w:rPr>
        <w:footnoteRef/>
      </w:r>
      <w:r w:rsidRPr="00D71B7F">
        <w:rPr>
          <w:rFonts w:ascii="Verdana" w:hAnsi="Verdana" w:cs="Arial"/>
          <w:sz w:val="16"/>
          <w:szCs w:val="16"/>
        </w:rPr>
        <w:t xml:space="preserve"> Consejo de Estado. Sala de Consulta y Servicio Civil. Concepto del 2 de septiembre de 2013. Radicación número: 11001-03-06-000-2013-00412-00 (2168). C.P: Álvaro Namén Vargas.</w:t>
      </w:r>
    </w:p>
    <w:p w14:paraId="7360C36A" w14:textId="77777777" w:rsidR="00555198" w:rsidRPr="00D71B7F" w:rsidRDefault="00555198" w:rsidP="00555198">
      <w:pPr>
        <w:pStyle w:val="FootnoteText"/>
        <w:ind w:firstLine="709"/>
        <w:jc w:val="both"/>
        <w:rPr>
          <w:rFonts w:ascii="Verdana" w:hAnsi="Verdana" w:cs="Arial"/>
          <w:sz w:val="16"/>
          <w:szCs w:val="16"/>
        </w:rPr>
      </w:pPr>
    </w:p>
  </w:footnote>
  <w:footnote w:id="13">
    <w:p w14:paraId="6235B596" w14:textId="77777777" w:rsidR="00555198" w:rsidRPr="00D71B7F" w:rsidRDefault="00555198" w:rsidP="00555198">
      <w:pPr>
        <w:pStyle w:val="FootnoteText"/>
        <w:ind w:firstLine="709"/>
        <w:rPr>
          <w:rFonts w:ascii="Verdana" w:hAnsi="Verdana" w:cs="Arial"/>
          <w:sz w:val="16"/>
          <w:szCs w:val="16"/>
          <w:lang w:val="es-ES"/>
        </w:rPr>
      </w:pPr>
      <w:r w:rsidRPr="00D71B7F">
        <w:rPr>
          <w:rStyle w:val="FootnoteReference"/>
          <w:rFonts w:ascii="Verdana" w:hAnsi="Verdana" w:cs="Arial"/>
          <w:sz w:val="16"/>
          <w:szCs w:val="16"/>
        </w:rPr>
        <w:footnoteRef/>
      </w:r>
      <w:r w:rsidRPr="00D71B7F">
        <w:rPr>
          <w:rFonts w:ascii="Verdana" w:hAnsi="Verdana" w:cs="Arial"/>
          <w:sz w:val="16"/>
          <w:szCs w:val="16"/>
        </w:rPr>
        <w:t xml:space="preserve"> </w:t>
      </w:r>
      <w:r w:rsidRPr="00D71B7F">
        <w:rPr>
          <w:rFonts w:ascii="Verdana" w:hAnsi="Verdana" w:cs="Arial"/>
          <w:sz w:val="16"/>
          <w:szCs w:val="16"/>
          <w:lang w:val="es-ES"/>
        </w:rPr>
        <w:t xml:space="preserve">Artículo 2. </w:t>
      </w:r>
    </w:p>
    <w:p w14:paraId="418433E7" w14:textId="77777777" w:rsidR="00555198" w:rsidRPr="00D71B7F" w:rsidRDefault="00555198" w:rsidP="00555198">
      <w:pPr>
        <w:pStyle w:val="FootnoteText"/>
        <w:ind w:firstLine="709"/>
        <w:rPr>
          <w:rFonts w:ascii="Verdana" w:hAnsi="Verdana" w:cs="Arial"/>
          <w:sz w:val="16"/>
          <w:szCs w:val="16"/>
          <w:lang w:val="es-ES"/>
        </w:rPr>
      </w:pPr>
    </w:p>
  </w:footnote>
  <w:footnote w:id="14">
    <w:p w14:paraId="07C7FACA" w14:textId="77777777" w:rsidR="00555198" w:rsidRPr="00D71B7F" w:rsidRDefault="00555198" w:rsidP="00555198">
      <w:pPr>
        <w:pStyle w:val="FootnoteText"/>
        <w:ind w:firstLine="709"/>
        <w:rPr>
          <w:rFonts w:ascii="Verdana" w:hAnsi="Verdana" w:cs="Arial"/>
          <w:sz w:val="16"/>
          <w:szCs w:val="16"/>
          <w:lang w:val="es-ES"/>
        </w:rPr>
      </w:pPr>
      <w:r w:rsidRPr="00D71B7F">
        <w:rPr>
          <w:rStyle w:val="FootnoteReference"/>
          <w:rFonts w:ascii="Verdana" w:hAnsi="Verdana" w:cs="Arial"/>
          <w:sz w:val="16"/>
          <w:szCs w:val="16"/>
        </w:rPr>
        <w:footnoteRef/>
      </w:r>
      <w:r w:rsidRPr="00D71B7F">
        <w:rPr>
          <w:rFonts w:ascii="Verdana" w:hAnsi="Verdana" w:cs="Arial"/>
          <w:sz w:val="16"/>
          <w:szCs w:val="16"/>
        </w:rPr>
        <w:t xml:space="preserve"> </w:t>
      </w:r>
      <w:r w:rsidRPr="00D71B7F">
        <w:rPr>
          <w:rFonts w:ascii="Verdana" w:hAnsi="Verdana" w:cs="Arial"/>
          <w:i/>
          <w:sz w:val="16"/>
          <w:szCs w:val="16"/>
          <w:lang w:val="es-ES"/>
        </w:rPr>
        <w:t>Ídem</w:t>
      </w:r>
      <w:r w:rsidRPr="00D71B7F">
        <w:rPr>
          <w:rFonts w:ascii="Verdana" w:hAnsi="Verdana" w:cs="Arial"/>
          <w:sz w:val="16"/>
          <w:szCs w:val="16"/>
          <w:lang w:val="es-ES"/>
        </w:rPr>
        <w:t>.</w:t>
      </w:r>
    </w:p>
    <w:p w14:paraId="1DECD101" w14:textId="77777777" w:rsidR="00555198" w:rsidRPr="00D71B7F" w:rsidRDefault="00555198" w:rsidP="00555198">
      <w:pPr>
        <w:pStyle w:val="FootnoteText"/>
        <w:ind w:firstLine="709"/>
        <w:rPr>
          <w:rFonts w:ascii="Verdana" w:hAnsi="Verdana" w:cs="Arial"/>
          <w:sz w:val="16"/>
          <w:szCs w:val="16"/>
          <w:lang w:val="es-ES"/>
        </w:rPr>
      </w:pPr>
    </w:p>
  </w:footnote>
  <w:footnote w:id="15">
    <w:p w14:paraId="211AE0FE" w14:textId="77777777" w:rsidR="00555198" w:rsidRPr="00D71B7F" w:rsidRDefault="00555198" w:rsidP="00555198">
      <w:pPr>
        <w:pStyle w:val="FootnoteText"/>
        <w:ind w:firstLine="709"/>
        <w:rPr>
          <w:rFonts w:ascii="Verdana" w:hAnsi="Verdana" w:cs="Arial"/>
          <w:sz w:val="16"/>
          <w:szCs w:val="16"/>
          <w:lang w:val="es-ES"/>
        </w:rPr>
      </w:pPr>
      <w:r w:rsidRPr="00D71B7F">
        <w:rPr>
          <w:rStyle w:val="FootnoteReference"/>
          <w:rFonts w:ascii="Verdana" w:hAnsi="Verdana" w:cs="Arial"/>
          <w:sz w:val="16"/>
          <w:szCs w:val="16"/>
        </w:rPr>
        <w:footnoteRef/>
      </w:r>
      <w:r w:rsidRPr="00D71B7F">
        <w:rPr>
          <w:rStyle w:val="FootnoteReference"/>
          <w:rFonts w:ascii="Verdana" w:hAnsi="Verdana" w:cs="Arial"/>
          <w:sz w:val="16"/>
          <w:szCs w:val="16"/>
        </w:rPr>
        <w:t xml:space="preserve"> </w:t>
      </w:r>
      <w:r w:rsidRPr="00D71B7F">
        <w:rPr>
          <w:rFonts w:ascii="Verdana" w:hAnsi="Verdana" w:cs="Arial"/>
          <w:sz w:val="16"/>
          <w:szCs w:val="16"/>
          <w:lang w:val="es-ES"/>
        </w:rPr>
        <w:t xml:space="preserve">[…] A este respecto, cabe recordar que el artículo 860 del Código de Comercio regula la licitación en el derecho privado. </w:t>
      </w:r>
    </w:p>
    <w:p w14:paraId="1F362AA5" w14:textId="77777777" w:rsidR="00555198" w:rsidRPr="00D71B7F" w:rsidRDefault="00555198" w:rsidP="00555198">
      <w:pPr>
        <w:pStyle w:val="FootnoteText"/>
        <w:ind w:firstLine="709"/>
        <w:rPr>
          <w:rFonts w:ascii="Verdana" w:hAnsi="Verdana" w:cs="Arial"/>
          <w:sz w:val="16"/>
          <w:szCs w:val="16"/>
          <w:lang w:val="es-ES"/>
        </w:rPr>
      </w:pPr>
    </w:p>
  </w:footnote>
  <w:footnote w:id="16">
    <w:p w14:paraId="7C0EC285" w14:textId="77777777" w:rsidR="00555198" w:rsidRPr="00D71B7F" w:rsidRDefault="00555198" w:rsidP="00555198">
      <w:pPr>
        <w:shd w:val="clear" w:color="auto" w:fill="FFFFFF"/>
        <w:spacing w:after="0" w:line="240" w:lineRule="auto"/>
        <w:ind w:firstLine="709"/>
        <w:jc w:val="both"/>
        <w:rPr>
          <w:rFonts w:ascii="Verdana" w:hAnsi="Verdana" w:cs="Arial"/>
          <w:sz w:val="16"/>
          <w:szCs w:val="16"/>
          <w:lang w:val="es-ES"/>
        </w:rPr>
      </w:pPr>
      <w:r w:rsidRPr="00D71B7F">
        <w:rPr>
          <w:rStyle w:val="FootnoteReference"/>
          <w:rFonts w:ascii="Verdana" w:hAnsi="Verdana" w:cs="Arial"/>
          <w:sz w:val="16"/>
          <w:szCs w:val="16"/>
        </w:rPr>
        <w:footnoteRef/>
      </w:r>
      <w:r w:rsidRPr="00D71B7F">
        <w:rPr>
          <w:rStyle w:val="FootnoteReference"/>
          <w:rFonts w:ascii="Verdana" w:hAnsi="Verdana" w:cs="Arial"/>
          <w:sz w:val="16"/>
          <w:szCs w:val="16"/>
        </w:rPr>
        <w:t xml:space="preserve"> </w:t>
      </w:r>
      <w:r w:rsidRPr="00D71B7F">
        <w:rPr>
          <w:rFonts w:ascii="Verdana" w:hAnsi="Verdana" w:cs="Arial"/>
          <w:sz w:val="16"/>
          <w:szCs w:val="16"/>
          <w:lang w:val="es-ES"/>
        </w:rPr>
        <w:t>Consejo de Estado. Sala de Consulta y Servicio Civil, Concepto de 8 de mayo de 2018. Radicación Número: 11001-03-06-000-2018-00095-00 (2382). C.P: Álvaro Namén Vargas.</w:t>
      </w:r>
    </w:p>
    <w:p w14:paraId="5D496C90" w14:textId="77777777" w:rsidR="00555198" w:rsidRPr="00D71B7F" w:rsidRDefault="00555198" w:rsidP="00555198">
      <w:pPr>
        <w:shd w:val="clear" w:color="auto" w:fill="FFFFFF"/>
        <w:spacing w:after="0" w:line="240" w:lineRule="auto"/>
        <w:ind w:firstLine="709"/>
        <w:jc w:val="both"/>
        <w:rPr>
          <w:rFonts w:ascii="Verdana" w:hAnsi="Verdana" w:cs="Arial"/>
          <w:sz w:val="16"/>
          <w:szCs w:val="16"/>
          <w:lang w:val="es-ES"/>
        </w:rPr>
      </w:pPr>
    </w:p>
  </w:footnote>
  <w:footnote w:id="17">
    <w:p w14:paraId="64D6C114" w14:textId="77777777" w:rsidR="00555198" w:rsidRPr="00D71B7F" w:rsidRDefault="00555198" w:rsidP="00555198">
      <w:pPr>
        <w:pStyle w:val="FootnoteText"/>
        <w:ind w:firstLine="709"/>
        <w:jc w:val="both"/>
        <w:rPr>
          <w:rFonts w:ascii="Verdana" w:hAnsi="Verdana" w:cs="Arial"/>
          <w:sz w:val="16"/>
          <w:szCs w:val="16"/>
        </w:rPr>
      </w:pPr>
      <w:r w:rsidRPr="00D71B7F">
        <w:rPr>
          <w:rStyle w:val="FootnoteReference"/>
          <w:rFonts w:ascii="Verdana" w:hAnsi="Verdana" w:cs="Arial"/>
          <w:sz w:val="16"/>
          <w:szCs w:val="16"/>
        </w:rPr>
        <w:footnoteRef/>
      </w:r>
      <w:r w:rsidRPr="00D71B7F">
        <w:rPr>
          <w:rFonts w:ascii="Verdana" w:hAnsi="Verdana" w:cs="Arial"/>
          <w:sz w:val="16"/>
          <w:szCs w:val="16"/>
        </w:rPr>
        <w:t xml:space="preserve"> Consejo de Estado. Sala de Consulta y Servicio Civil. Concepto del 08 de mayo de 2018. Exp. 2.382. C.P. Álvaro Namén Vargas.</w:t>
      </w:r>
    </w:p>
    <w:p w14:paraId="1DBA0445" w14:textId="77777777" w:rsidR="00555198" w:rsidRPr="00D71B7F" w:rsidRDefault="00555198" w:rsidP="00555198">
      <w:pPr>
        <w:pStyle w:val="FootnoteText"/>
        <w:ind w:firstLine="709"/>
        <w:jc w:val="both"/>
        <w:rPr>
          <w:rFonts w:ascii="Verdana" w:hAnsi="Verdana" w:cs="Arial"/>
          <w:sz w:val="16"/>
          <w:szCs w:val="16"/>
        </w:rPr>
      </w:pPr>
    </w:p>
  </w:footnote>
  <w:footnote w:id="18">
    <w:p w14:paraId="0442830B" w14:textId="77777777" w:rsidR="00555198" w:rsidRPr="00D71B7F" w:rsidRDefault="00555198" w:rsidP="00D71B7F">
      <w:pPr>
        <w:pStyle w:val="FootnoteText"/>
        <w:ind w:firstLine="709"/>
        <w:jc w:val="both"/>
        <w:rPr>
          <w:rFonts w:ascii="Verdana" w:hAnsi="Verdana"/>
          <w:sz w:val="16"/>
          <w:szCs w:val="16"/>
          <w:lang w:val="es-ES"/>
        </w:rPr>
      </w:pPr>
      <w:r w:rsidRPr="00D71B7F">
        <w:rPr>
          <w:rStyle w:val="FootnoteReference"/>
          <w:rFonts w:ascii="Verdana" w:hAnsi="Verdana"/>
          <w:sz w:val="16"/>
          <w:szCs w:val="16"/>
        </w:rPr>
        <w:footnoteRef/>
      </w:r>
      <w:r w:rsidRPr="00D71B7F">
        <w:rPr>
          <w:rFonts w:ascii="Verdana" w:hAnsi="Verdana"/>
          <w:sz w:val="16"/>
          <w:szCs w:val="16"/>
        </w:rPr>
        <w:t xml:space="preserve"> </w:t>
      </w:r>
      <w:r w:rsidRPr="00D71B7F">
        <w:rPr>
          <w:rFonts w:ascii="Verdana" w:hAnsi="Verdana"/>
          <w:sz w:val="16"/>
          <w:szCs w:val="16"/>
          <w:lang w:val="es-ES"/>
        </w:rPr>
        <w:t xml:space="preserve">Agencia Nacional de Contratación Pública. Circular Externa 006 del 25 de septiembre de 2025. Disponible en </w:t>
      </w:r>
      <w:hyperlink r:id="rId1" w:history="1">
        <w:r w:rsidRPr="00D71B7F">
          <w:rPr>
            <w:rStyle w:val="Hyperlink"/>
            <w:rFonts w:ascii="Verdana" w:hAnsi="Verdana"/>
            <w:sz w:val="16"/>
            <w:szCs w:val="16"/>
            <w:lang w:val="es-CO"/>
          </w:rPr>
          <w:t>006-de-2025-Circular-Externa-L996-ajustado-comentarios-BM-BID-Rev-ARSC-V3.d-1.pdf</w:t>
        </w:r>
      </w:hyperlink>
    </w:p>
    <w:p w14:paraId="06A9E46A" w14:textId="77777777" w:rsidR="00555198" w:rsidRPr="00D71B7F" w:rsidRDefault="00555198" w:rsidP="00555198">
      <w:pPr>
        <w:pStyle w:val="FootnoteText"/>
        <w:rPr>
          <w:rFonts w:ascii="Verdana" w:hAnsi="Verdana"/>
          <w:sz w:val="16"/>
          <w:szCs w:val="16"/>
          <w:lang w:val="es-ES"/>
        </w:rPr>
      </w:pPr>
    </w:p>
  </w:footnote>
  <w:footnote w:id="19">
    <w:p w14:paraId="3EAC5873" w14:textId="77777777" w:rsidR="00555198" w:rsidRPr="00D71B7F" w:rsidRDefault="00555198" w:rsidP="00555198">
      <w:pPr>
        <w:spacing w:after="0" w:line="240" w:lineRule="auto"/>
        <w:ind w:firstLine="709"/>
        <w:jc w:val="both"/>
        <w:rPr>
          <w:rFonts w:ascii="Verdana" w:hAnsi="Verdana" w:cs="Arial"/>
          <w:color w:val="000000" w:themeColor="text1"/>
          <w:sz w:val="16"/>
          <w:szCs w:val="16"/>
        </w:rPr>
      </w:pPr>
      <w:r w:rsidRPr="00D71B7F">
        <w:rPr>
          <w:rStyle w:val="FootnoteReference"/>
          <w:rFonts w:ascii="Verdana" w:hAnsi="Verdana" w:cs="Arial"/>
          <w:color w:val="000000" w:themeColor="text1"/>
          <w:sz w:val="16"/>
          <w:szCs w:val="16"/>
        </w:rPr>
        <w:footnoteRef/>
      </w:r>
      <w:r w:rsidRPr="00D71B7F">
        <w:rPr>
          <w:rFonts w:ascii="Verdana" w:hAnsi="Verdana" w:cs="Arial"/>
          <w:color w:val="000000" w:themeColor="text1"/>
          <w:sz w:val="16"/>
          <w:szCs w:val="16"/>
        </w:rPr>
        <w:t xml:space="preserve"> Consejo de Estado. Sala de Consulta y Servicio Civil. Concepto de 20 de febrero de 2006. Radicación Número: 11001-03-06-000-2006-00026-00 (1727). C.P: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74CA187A" w14:textId="77777777" w:rsidR="00555198" w:rsidRPr="00D71B7F" w:rsidRDefault="00555198" w:rsidP="00555198">
      <w:pPr>
        <w:spacing w:after="0" w:line="240" w:lineRule="auto"/>
        <w:ind w:firstLine="709"/>
        <w:jc w:val="both"/>
        <w:rPr>
          <w:rFonts w:ascii="Verdana" w:hAnsi="Verdana" w:cs="Arial"/>
          <w:color w:val="000000" w:themeColor="text1"/>
          <w:sz w:val="16"/>
          <w:szCs w:val="16"/>
        </w:rPr>
      </w:pPr>
    </w:p>
  </w:footnote>
  <w:footnote w:id="20">
    <w:p w14:paraId="081A0552" w14:textId="77777777" w:rsidR="00555198" w:rsidRPr="00D71B7F" w:rsidRDefault="00555198" w:rsidP="00555198">
      <w:pPr>
        <w:pStyle w:val="FootnoteText"/>
        <w:ind w:firstLine="709"/>
        <w:jc w:val="both"/>
        <w:rPr>
          <w:rFonts w:ascii="Verdana" w:eastAsia="Times New Roman" w:hAnsi="Verdana" w:cs="Arial"/>
          <w:color w:val="000000" w:themeColor="text1"/>
          <w:sz w:val="16"/>
          <w:szCs w:val="16"/>
          <w:lang w:eastAsia="x-none"/>
        </w:rPr>
      </w:pPr>
      <w:r w:rsidRPr="00D71B7F">
        <w:rPr>
          <w:rStyle w:val="FootnoteReference"/>
          <w:rFonts w:ascii="Verdana" w:hAnsi="Verdana" w:cs="Arial"/>
          <w:color w:val="000000" w:themeColor="text1"/>
          <w:sz w:val="16"/>
          <w:szCs w:val="16"/>
        </w:rPr>
        <w:footnoteRef/>
      </w:r>
      <w:r w:rsidRPr="00D71B7F">
        <w:rPr>
          <w:rFonts w:ascii="Verdana" w:hAnsi="Verdana" w:cs="Arial"/>
          <w:color w:val="000000" w:themeColor="text1"/>
          <w:sz w:val="16"/>
          <w:szCs w:val="16"/>
        </w:rPr>
        <w:t xml:space="preserve"> Consejo de Estado. Sala de Consulta y Servicio Civil. Concepto de 6 de abril de 2006. Radicación Número: 11001-03-06-000-2006-00038-00 (1738). C.P: Enrique José Arboleda Perdomo:</w:t>
      </w:r>
      <w:r w:rsidRPr="00D71B7F">
        <w:rPr>
          <w:rFonts w:ascii="Verdana" w:eastAsia="Times New Roman" w:hAnsi="Verdana" w:cs="Arial"/>
          <w:color w:val="000000" w:themeColor="text1"/>
          <w:sz w:val="16"/>
          <w:szCs w:val="16"/>
          <w:lang w:eastAsia="x-none"/>
        </w:rPr>
        <w:t xml:space="preserve"> </w:t>
      </w:r>
      <w:bookmarkStart w:id="17" w:name="_Hlk97890572"/>
      <w:r w:rsidRPr="00D71B7F">
        <w:rPr>
          <w:rFonts w:ascii="Verdana" w:eastAsia="Times New Roman" w:hAnsi="Verdana" w:cs="Arial"/>
          <w:color w:val="000000" w:themeColor="text1"/>
          <w:sz w:val="16"/>
          <w:szCs w:val="16"/>
          <w:lang w:eastAsia="x-none"/>
        </w:rPr>
        <w:t>“</w:t>
      </w:r>
      <w:r w:rsidRPr="00D71B7F">
        <w:rPr>
          <w:rFonts w:ascii="Verdana" w:hAnsi="Verdana" w:cs="Arial"/>
          <w:color w:val="000000" w:themeColor="text1"/>
          <w:sz w:val="16"/>
          <w:szCs w:val="16"/>
        </w:rPr>
        <w:t xml:space="preserve">Si bien en el tema del concepto del que se extractaron </w:t>
      </w:r>
      <w:bookmarkEnd w:id="17"/>
      <w:r w:rsidRPr="00D71B7F">
        <w:rPr>
          <w:rFonts w:ascii="Verdana" w:hAnsi="Verdana" w:cs="Arial"/>
          <w:color w:val="000000" w:themeColor="text1"/>
          <w:sz w:val="16"/>
          <w:szCs w:val="16"/>
        </w:rPr>
        <w:t>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D71B7F">
        <w:rPr>
          <w:rFonts w:ascii="Verdana" w:eastAsia="Times New Roman" w:hAnsi="Verdana" w:cs="Arial"/>
          <w:color w:val="000000" w:themeColor="text1"/>
          <w:sz w:val="16"/>
          <w:szCs w:val="16"/>
          <w:lang w:eastAsia="x-none"/>
        </w:rPr>
        <w:t>”.</w:t>
      </w:r>
    </w:p>
    <w:p w14:paraId="694ADE26" w14:textId="77777777" w:rsidR="00555198" w:rsidRPr="00D71B7F" w:rsidRDefault="00555198" w:rsidP="00555198">
      <w:pPr>
        <w:pStyle w:val="FootnoteText"/>
        <w:ind w:firstLine="709"/>
        <w:jc w:val="both"/>
        <w:rPr>
          <w:rFonts w:ascii="Verdana" w:hAnsi="Verdana" w:cs="Arial"/>
          <w:color w:val="000000" w:themeColor="text1"/>
          <w:sz w:val="16"/>
          <w:szCs w:val="16"/>
        </w:rPr>
      </w:pPr>
    </w:p>
  </w:footnote>
  <w:footnote w:id="21">
    <w:p w14:paraId="78393CF4" w14:textId="77777777" w:rsidR="00555198" w:rsidRPr="00D71B7F" w:rsidRDefault="00555198" w:rsidP="00555198">
      <w:pPr>
        <w:spacing w:after="0" w:line="240" w:lineRule="auto"/>
        <w:ind w:firstLine="709"/>
        <w:jc w:val="both"/>
        <w:rPr>
          <w:rFonts w:ascii="Verdana" w:hAnsi="Verdana" w:cs="Arial"/>
          <w:color w:val="000000" w:themeColor="text1"/>
          <w:sz w:val="16"/>
          <w:szCs w:val="16"/>
        </w:rPr>
      </w:pPr>
      <w:r w:rsidRPr="00D71B7F">
        <w:rPr>
          <w:rStyle w:val="FootnoteReference"/>
          <w:rFonts w:ascii="Verdana" w:hAnsi="Verdana" w:cs="Arial"/>
          <w:color w:val="000000" w:themeColor="text1"/>
          <w:sz w:val="16"/>
          <w:szCs w:val="16"/>
        </w:rPr>
        <w:footnoteRef/>
      </w:r>
      <w:r w:rsidRPr="00D71B7F">
        <w:rPr>
          <w:rFonts w:ascii="Verdana" w:hAnsi="Verdana" w:cs="Arial"/>
          <w:color w:val="000000" w:themeColor="text1"/>
          <w:sz w:val="16"/>
          <w:szCs w:val="16"/>
        </w:rPr>
        <w:t xml:space="preserve"> Consejo de Estado. Sala de Consulta y Servicio Civil. Concepto de 6 de abril de 2006. Radicación Número: 11001-03-06-000-2006-00038-00(1738). C.P: Enrique José Arboleda Perdomo. </w:t>
      </w:r>
    </w:p>
    <w:p w14:paraId="46E46516" w14:textId="77777777" w:rsidR="00555198" w:rsidRPr="00D71B7F" w:rsidRDefault="00555198" w:rsidP="00555198">
      <w:pPr>
        <w:spacing w:after="0" w:line="240" w:lineRule="auto"/>
        <w:ind w:firstLine="709"/>
        <w:jc w:val="both"/>
        <w:rPr>
          <w:rFonts w:ascii="Verdana" w:hAnsi="Verdana" w:cs="Arial"/>
          <w:color w:val="000000" w:themeColor="text1"/>
          <w:sz w:val="16"/>
          <w:szCs w:val="16"/>
        </w:rPr>
      </w:pPr>
    </w:p>
  </w:footnote>
  <w:footnote w:id="22">
    <w:p w14:paraId="4306CDFD" w14:textId="77777777" w:rsidR="00555198" w:rsidRPr="00D71B7F" w:rsidRDefault="00555198" w:rsidP="00555198">
      <w:pPr>
        <w:pStyle w:val="FootnoteText"/>
        <w:ind w:firstLine="709"/>
        <w:rPr>
          <w:rFonts w:ascii="Verdana" w:hAnsi="Verdana" w:cs="Arial"/>
          <w:color w:val="000000" w:themeColor="text1"/>
          <w:sz w:val="16"/>
          <w:szCs w:val="16"/>
        </w:rPr>
      </w:pPr>
      <w:r w:rsidRPr="00D71B7F">
        <w:rPr>
          <w:rStyle w:val="FootnoteReference"/>
          <w:rFonts w:ascii="Verdana" w:hAnsi="Verdana" w:cs="Arial"/>
          <w:color w:val="000000" w:themeColor="text1"/>
          <w:sz w:val="16"/>
          <w:szCs w:val="16"/>
        </w:rPr>
        <w:footnoteRef/>
      </w:r>
      <w:r w:rsidRPr="00D71B7F">
        <w:rPr>
          <w:rFonts w:ascii="Verdana" w:hAnsi="Verdana" w:cs="Arial"/>
          <w:color w:val="000000" w:themeColor="text1"/>
          <w:sz w:val="16"/>
          <w:szCs w:val="16"/>
        </w:rPr>
        <w:t xml:space="preserve"> Consejo de Estado. Sala de Consulta y Servicio Civil, ídem.</w:t>
      </w:r>
    </w:p>
    <w:p w14:paraId="77194A4F" w14:textId="77777777" w:rsidR="00555198" w:rsidRPr="00D71B7F" w:rsidRDefault="00555198" w:rsidP="00555198">
      <w:pPr>
        <w:pStyle w:val="FootnoteText"/>
        <w:ind w:firstLine="709"/>
        <w:rPr>
          <w:rFonts w:ascii="Verdana" w:hAnsi="Verdana" w:cs="Arial"/>
          <w:color w:val="000000" w:themeColor="text1"/>
          <w:sz w:val="16"/>
          <w:szCs w:val="16"/>
        </w:rPr>
      </w:pPr>
    </w:p>
  </w:footnote>
  <w:footnote w:id="23">
    <w:p w14:paraId="2044AC04" w14:textId="77777777" w:rsidR="00555198" w:rsidRPr="00D71B7F" w:rsidRDefault="00555198" w:rsidP="00555198">
      <w:pPr>
        <w:pStyle w:val="FootnoteText"/>
        <w:ind w:firstLine="709"/>
        <w:jc w:val="both"/>
        <w:rPr>
          <w:rFonts w:ascii="Verdana" w:hAnsi="Verdana" w:cs="Arial"/>
          <w:sz w:val="16"/>
          <w:szCs w:val="16"/>
        </w:rPr>
      </w:pPr>
      <w:r w:rsidRPr="00D71B7F">
        <w:rPr>
          <w:rStyle w:val="FootnoteReference"/>
          <w:rFonts w:ascii="Verdana" w:hAnsi="Verdana" w:cs="Arial"/>
          <w:sz w:val="16"/>
          <w:szCs w:val="16"/>
        </w:rPr>
        <w:footnoteRef/>
      </w:r>
      <w:r w:rsidRPr="00D71B7F">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p w14:paraId="0587DDEA" w14:textId="77777777" w:rsidR="00555198" w:rsidRPr="00D71B7F" w:rsidRDefault="00555198" w:rsidP="00555198">
      <w:pPr>
        <w:pStyle w:val="FootnoteText"/>
        <w:ind w:firstLine="709"/>
        <w:jc w:val="both"/>
        <w:rPr>
          <w:rFonts w:ascii="Verdana" w:hAnsi="Verdana" w:cs="Arial"/>
          <w:sz w:val="16"/>
          <w:szCs w:val="16"/>
        </w:rPr>
      </w:pPr>
    </w:p>
  </w:footnote>
  <w:footnote w:id="24">
    <w:p w14:paraId="4858FFEC" w14:textId="77777777" w:rsidR="00555198" w:rsidRPr="00D71B7F" w:rsidRDefault="00555198" w:rsidP="00555198">
      <w:pPr>
        <w:pStyle w:val="FootnoteText"/>
        <w:ind w:firstLine="708"/>
        <w:jc w:val="both"/>
        <w:rPr>
          <w:rFonts w:ascii="Verdana" w:hAnsi="Verdana" w:cs="Arial"/>
          <w:sz w:val="16"/>
          <w:szCs w:val="16"/>
        </w:rPr>
      </w:pPr>
      <w:r w:rsidRPr="00D71B7F">
        <w:rPr>
          <w:rStyle w:val="FootnoteReference"/>
          <w:rFonts w:ascii="Verdana" w:hAnsi="Verdana" w:cs="Arial"/>
          <w:sz w:val="16"/>
          <w:szCs w:val="16"/>
        </w:rPr>
        <w:footnoteRef/>
      </w:r>
      <w:r w:rsidRPr="00D71B7F">
        <w:rPr>
          <w:rFonts w:ascii="Verdana" w:hAnsi="Verdana" w:cs="Arial"/>
          <w:sz w:val="16"/>
          <w:szCs w:val="16"/>
        </w:rPr>
        <w:t xml:space="preserve"> Consejo de Estado. Sala de Consulta y Servicio Civil. Concepto del 18 de febrero 2010. Rad. 11001-03-06-000-2010-00006-00 (1985). C.P. Enrique José Arboleda Perdomo.</w:t>
      </w:r>
    </w:p>
    <w:p w14:paraId="195ED721" w14:textId="77777777" w:rsidR="00555198" w:rsidRPr="00D71B7F" w:rsidRDefault="00555198" w:rsidP="00555198">
      <w:pPr>
        <w:pStyle w:val="FootnoteText"/>
        <w:ind w:firstLine="708"/>
        <w:jc w:val="both"/>
        <w:rPr>
          <w:rFonts w:ascii="Verdana" w:hAnsi="Verdana" w:cs="Arial"/>
          <w:sz w:val="16"/>
          <w:szCs w:val="16"/>
        </w:rPr>
      </w:pPr>
    </w:p>
  </w:footnote>
  <w:footnote w:id="25">
    <w:p w14:paraId="666FD105" w14:textId="77777777" w:rsidR="00555198" w:rsidRPr="00D71B7F" w:rsidRDefault="00555198" w:rsidP="00555198">
      <w:pPr>
        <w:pStyle w:val="FootnoteText"/>
        <w:ind w:firstLine="708"/>
        <w:jc w:val="both"/>
        <w:rPr>
          <w:rFonts w:ascii="Verdana" w:hAnsi="Verdana" w:cs="Arial"/>
          <w:sz w:val="16"/>
          <w:szCs w:val="16"/>
        </w:rPr>
      </w:pPr>
      <w:r w:rsidRPr="00D71B7F">
        <w:rPr>
          <w:rStyle w:val="FootnoteReference"/>
          <w:rFonts w:ascii="Verdana" w:hAnsi="Verdana" w:cs="Arial"/>
          <w:sz w:val="16"/>
          <w:szCs w:val="16"/>
        </w:rPr>
        <w:footnoteRef/>
      </w:r>
      <w:r w:rsidRPr="00D71B7F">
        <w:rPr>
          <w:rFonts w:ascii="Verdana" w:hAnsi="Verdana" w:cs="Arial"/>
          <w:sz w:val="16"/>
          <w:szCs w:val="16"/>
        </w:rPr>
        <w:t xml:space="preserve"> Corte Constitucional. Sentencia C-1153 de 2005 M.P. Marco Gerardo Monroy Cabra. </w:t>
      </w:r>
    </w:p>
    <w:p w14:paraId="6AB2AA52" w14:textId="77777777" w:rsidR="00555198" w:rsidRPr="00D71B7F" w:rsidRDefault="00555198" w:rsidP="00555198">
      <w:pPr>
        <w:pStyle w:val="FootnoteText"/>
        <w:ind w:firstLine="708"/>
        <w:jc w:val="both"/>
        <w:rPr>
          <w:rFonts w:ascii="Verdana" w:hAnsi="Verdana" w:cs="Arial"/>
          <w:sz w:val="16"/>
          <w:szCs w:val="16"/>
        </w:rPr>
      </w:pPr>
    </w:p>
  </w:footnote>
  <w:footnote w:id="26">
    <w:p w14:paraId="633CEF24" w14:textId="77777777" w:rsidR="00555198" w:rsidRPr="00D71B7F" w:rsidRDefault="00555198" w:rsidP="00555198">
      <w:pPr>
        <w:pStyle w:val="FootnoteText"/>
        <w:ind w:firstLine="708"/>
        <w:jc w:val="both"/>
        <w:rPr>
          <w:rFonts w:ascii="Verdana" w:hAnsi="Verdana"/>
          <w:sz w:val="16"/>
          <w:szCs w:val="16"/>
          <w:lang w:val="es-CO"/>
        </w:rPr>
      </w:pPr>
      <w:r w:rsidRPr="00D71B7F">
        <w:rPr>
          <w:rStyle w:val="FootnoteReference"/>
          <w:rFonts w:ascii="Verdana" w:hAnsi="Verdana"/>
          <w:sz w:val="16"/>
          <w:szCs w:val="16"/>
        </w:rPr>
        <w:footnoteRef/>
      </w:r>
      <w:r w:rsidRPr="00D71B7F">
        <w:rPr>
          <w:rFonts w:ascii="Verdana" w:hAnsi="Verdana"/>
          <w:sz w:val="16"/>
          <w:szCs w:val="16"/>
        </w:rPr>
        <w:t xml:space="preserve"> Sobre el alcance de las normas equivalentes en el Código Civil chileno, CLARO SOLAR explica lo siguiente: “Las palabras de que el legislador se sirve pueden tener dos significaciones: el sentido vulgar y el sentido técnico. Según el artículo 20, ‘</w:t>
      </w:r>
      <w:r w:rsidRPr="00D71B7F">
        <w:rPr>
          <w:rFonts w:ascii="Verdana" w:hAnsi="Verdana"/>
          <w:i/>
          <w:sz w:val="16"/>
          <w:szCs w:val="16"/>
        </w:rPr>
        <w:t>las palabras de la ley se entenderán en su sentido natural y obvio, según el uso general de las mismas palabras</w:t>
      </w:r>
      <w:r w:rsidRPr="00D71B7F">
        <w:rPr>
          <w:rFonts w:ascii="Verdana" w:hAnsi="Verdana"/>
          <w:sz w:val="16"/>
          <w:szCs w:val="16"/>
        </w:rPr>
        <w:t>’, es decir, el uso de la gente educada. El Diccionario de la Lengua publicado por la Real Academia Española goza a este respecto de gran autoridad. ‘</w:t>
      </w:r>
      <w:r w:rsidRPr="00D71B7F">
        <w:rPr>
          <w:rFonts w:ascii="Verdana" w:hAnsi="Verdana"/>
          <w:i/>
          <w:sz w:val="16"/>
          <w:szCs w:val="16"/>
        </w:rPr>
        <w:t>Pero cuando el legislador</w:t>
      </w:r>
      <w:r w:rsidRPr="00D71B7F">
        <w:rPr>
          <w:rFonts w:ascii="Verdana" w:hAnsi="Verdana"/>
          <w:sz w:val="16"/>
          <w:szCs w:val="16"/>
        </w:rPr>
        <w:t xml:space="preserve">, agrega el artículo 20, </w:t>
      </w:r>
      <w:r w:rsidRPr="00D71B7F">
        <w:rPr>
          <w:rFonts w:ascii="Verdana" w:hAnsi="Verdana"/>
          <w:i/>
          <w:sz w:val="16"/>
          <w:szCs w:val="16"/>
        </w:rPr>
        <w:t>las haya definido expresamente para ciertas materias se les dará en éstas su significado legal</w:t>
      </w:r>
      <w:r w:rsidRPr="00D71B7F">
        <w:rPr>
          <w:rFonts w:ascii="Verdana" w:hAnsi="Verdana"/>
          <w:sz w:val="16"/>
          <w:szCs w:val="16"/>
        </w:rPr>
        <w:t>’. Por la inversa, según el artículo 21, ‘las palabras técnicas de toda ciencia o arte se tomarán en el sentido que les den los que profesan la misma ciencia o arte; a menos que aparezca claramente que se han tomado en sentido diverso’. Es de suponer que el legislador conozca bastante el idioma en que legisla y sea suficientemente instruido en la ciencia o arte para dar a las palabras de la lengua y a las palabras especiales de la ciencia o arte a que se refiere, el significado que les es propio; en el caso contrario, es necesario que ello</w:t>
      </w:r>
      <w:r w:rsidRPr="006C7BAC">
        <w:rPr>
          <w:rFonts w:ascii="Verdana" w:hAnsi="Verdana"/>
          <w:sz w:val="16"/>
          <w:szCs w:val="16"/>
        </w:rPr>
        <w:t xml:space="preserve"> </w:t>
      </w:r>
      <w:r w:rsidRPr="00D71B7F">
        <w:rPr>
          <w:rFonts w:ascii="Verdana" w:hAnsi="Verdana"/>
          <w:sz w:val="16"/>
          <w:szCs w:val="16"/>
        </w:rPr>
        <w:t>aparezca de manifiesto y con toda claridad” (CLARO SOLAR, Luis. Explicaciones de derecho civil chileno y comparado. Volumen I. Tomo I. Santiago: Editorial Jurídica de Chile, 2013. p. 117. Énfasis dentro del texto).</w:t>
      </w:r>
    </w:p>
  </w:footnote>
  <w:footnote w:id="27">
    <w:p w14:paraId="27951D2A" w14:textId="77777777" w:rsidR="00A44E58" w:rsidRDefault="00A44E58" w:rsidP="00A44E58">
      <w:pPr>
        <w:spacing w:after="0" w:line="240" w:lineRule="auto"/>
        <w:ind w:firstLine="708"/>
        <w:jc w:val="both"/>
        <w:rPr>
          <w:rFonts w:ascii="Verdana" w:hAnsi="Verdana" w:cs="Arial"/>
          <w:sz w:val="16"/>
          <w:szCs w:val="16"/>
        </w:rPr>
      </w:pPr>
    </w:p>
    <w:p w14:paraId="33AF32BD" w14:textId="44D7D863" w:rsidR="00555198" w:rsidRPr="00D71B7F" w:rsidRDefault="00555198" w:rsidP="00555198">
      <w:pPr>
        <w:spacing w:after="0" w:line="240" w:lineRule="auto"/>
        <w:ind w:firstLine="708"/>
        <w:jc w:val="both"/>
        <w:rPr>
          <w:rFonts w:ascii="Verdana" w:eastAsia="Calibri" w:hAnsi="Verdana" w:cs="Arial"/>
          <w:sz w:val="16"/>
          <w:szCs w:val="16"/>
          <w:lang w:val="es-ES_tradnl"/>
        </w:rPr>
      </w:pPr>
      <w:r w:rsidRPr="00D71B7F">
        <w:rPr>
          <w:rStyle w:val="FootnoteReference"/>
          <w:rFonts w:ascii="Verdana" w:hAnsi="Verdana" w:cs="Arial"/>
          <w:sz w:val="16"/>
          <w:szCs w:val="16"/>
        </w:rPr>
        <w:footnoteRef/>
      </w:r>
      <w:r w:rsidRPr="00D71B7F">
        <w:rPr>
          <w:rFonts w:ascii="Verdana" w:hAnsi="Verdana" w:cs="Arial"/>
          <w:sz w:val="16"/>
          <w:szCs w:val="16"/>
        </w:rPr>
        <w:t xml:space="preserve"> </w:t>
      </w:r>
      <w:r w:rsidRPr="00D71B7F">
        <w:rPr>
          <w:rFonts w:ascii="Verdana" w:hAnsi="Verdana" w:cs="Arial"/>
          <w:sz w:val="16"/>
          <w:szCs w:val="16"/>
          <w:lang w:val="es-ES_tradnl"/>
        </w:rPr>
        <w:t>La jurisprudencia delimita su sentido y alcance de la siguiente manera –</w:t>
      </w:r>
      <w:r w:rsidRPr="00D71B7F">
        <w:rPr>
          <w:rFonts w:ascii="Verdana" w:hAnsi="Verdana" w:cs="Arial"/>
          <w:sz w:val="16"/>
          <w:szCs w:val="16"/>
          <w:lang w:val="es-ES"/>
        </w:rPr>
        <w:t>CORTE SUPREMA DE JUSTICIA. Sala de Casación Civil. Sentencia 20 de noviembre de 1989. MP. Alberto Ospina Botero. Publicada en la Gaceta Judicial. Tomo CXCVI. N° 2435. p. 93</w:t>
      </w:r>
      <w:r w:rsidRPr="00D71B7F">
        <w:rPr>
          <w:rFonts w:ascii="Verdana" w:hAnsi="Verdana" w:cs="Arial"/>
          <w:sz w:val="16"/>
          <w:szCs w:val="16"/>
          <w:lang w:val="es-ES_tradnl"/>
        </w:rPr>
        <w:t>–:</w:t>
      </w:r>
    </w:p>
    <w:p w14:paraId="633A3D65" w14:textId="77777777" w:rsidR="00555198" w:rsidRPr="00D71B7F" w:rsidRDefault="00555198" w:rsidP="00555198">
      <w:pPr>
        <w:spacing w:after="0" w:line="240" w:lineRule="auto"/>
        <w:ind w:right="49" w:firstLine="708"/>
        <w:jc w:val="both"/>
        <w:rPr>
          <w:rFonts w:ascii="Verdana" w:eastAsia="Calibri" w:hAnsi="Verdana" w:cs="Arial"/>
          <w:sz w:val="16"/>
          <w:szCs w:val="16"/>
          <w:lang w:val="es-ES_tradnl"/>
        </w:rPr>
      </w:pPr>
      <w:r w:rsidRPr="00D71B7F">
        <w:rPr>
          <w:rFonts w:ascii="Verdana" w:eastAsia="Calibri" w:hAnsi="Verdana" w:cs="Arial"/>
          <w:sz w:val="16"/>
          <w:szCs w:val="16"/>
          <w:lang w:val="es-ES_tradnl"/>
        </w:rPr>
        <w:t>“6. […] la fuerza mayor o caso fortuito se configura por la concurrencia de dos factores:</w:t>
      </w:r>
    </w:p>
    <w:p w14:paraId="4C52497F" w14:textId="77777777" w:rsidR="00555198" w:rsidRPr="00D71B7F" w:rsidRDefault="00555198" w:rsidP="00555198">
      <w:pPr>
        <w:spacing w:after="0" w:line="240" w:lineRule="auto"/>
        <w:ind w:right="49" w:firstLine="708"/>
        <w:jc w:val="both"/>
        <w:rPr>
          <w:rFonts w:ascii="Verdana" w:eastAsia="Calibri" w:hAnsi="Verdana" w:cs="Arial"/>
          <w:sz w:val="16"/>
          <w:szCs w:val="16"/>
          <w:lang w:val="es-ES_tradnl"/>
        </w:rPr>
      </w:pPr>
      <w:r w:rsidRPr="00D71B7F">
        <w:rPr>
          <w:rFonts w:ascii="Verdana" w:eastAsia="Calibri" w:hAnsi="Verdana" w:cs="Arial"/>
          <w:sz w:val="16"/>
          <w:szCs w:val="16"/>
          <w:lang w:val="es-ES_tradnl"/>
        </w:rPr>
        <w:t>a) Que el hecho sea imprevisible, esto es, que dentro de las circunstancias normales de la vida, no sea posible contemplar por anticipado su ocurrencia. Por el contrario, si el hecho razonablemente hubiera podido preverse, por ser un acontecimiento normal o de ocurrencia frecuente, tal hecho no estructura el elemento imprevisible, y</w:t>
      </w:r>
    </w:p>
    <w:p w14:paraId="0BDA6601" w14:textId="77777777" w:rsidR="00555198" w:rsidRPr="00D71B7F" w:rsidRDefault="00555198" w:rsidP="00555198">
      <w:pPr>
        <w:spacing w:after="0" w:line="240" w:lineRule="auto"/>
        <w:ind w:right="49" w:firstLine="708"/>
        <w:jc w:val="both"/>
        <w:rPr>
          <w:rFonts w:ascii="Verdana" w:eastAsia="Calibri" w:hAnsi="Verdana" w:cs="Arial"/>
          <w:sz w:val="16"/>
          <w:szCs w:val="16"/>
          <w:lang w:val="es-ES_tradnl"/>
        </w:rPr>
      </w:pPr>
      <w:r w:rsidRPr="00D71B7F">
        <w:rPr>
          <w:rFonts w:ascii="Verdana" w:eastAsia="Calibri" w:hAnsi="Verdana" w:cs="Arial"/>
          <w:sz w:val="16"/>
          <w:szCs w:val="16"/>
          <w:lang w:val="es-ES_tradnl"/>
        </w:rPr>
        <w:t>b) Que el hecho sea irresistible, o sea, que el agente no pueda evitar su acaecimiento ni superar sus consecuencias.</w:t>
      </w:r>
    </w:p>
    <w:p w14:paraId="5487F82C" w14:textId="77777777" w:rsidR="00555198" w:rsidRPr="00D71B7F" w:rsidRDefault="00555198" w:rsidP="00555198">
      <w:pPr>
        <w:spacing w:after="0" w:line="240" w:lineRule="auto"/>
        <w:ind w:right="49" w:firstLine="708"/>
        <w:jc w:val="both"/>
        <w:rPr>
          <w:rFonts w:ascii="Verdana" w:eastAsia="Calibri" w:hAnsi="Verdana" w:cs="Arial"/>
          <w:sz w:val="16"/>
          <w:szCs w:val="16"/>
          <w:lang w:val="es-ES_tradnl"/>
        </w:rPr>
      </w:pPr>
      <w:r w:rsidRPr="00D71B7F">
        <w:rPr>
          <w:rFonts w:ascii="Verdana" w:eastAsia="Calibri" w:hAnsi="Verdana" w:cs="Arial"/>
          <w:sz w:val="16"/>
          <w:szCs w:val="16"/>
          <w:lang w:val="es-ES_tradnl"/>
        </w:rPr>
        <w:t>En este preciso punto es indispensable anotar la diferencia existente entre la imposibilidad para resistir o superar el hecho y la dificultad para enfrentarlo. Porque un hecho no constituye caso fortuito o fuerza mayor, por la sola circunstancia de que se haga más difícil o más onerosa de lo previsto inicialmente.</w:t>
      </w:r>
    </w:p>
    <w:p w14:paraId="7F489895" w14:textId="77777777" w:rsidR="00555198" w:rsidRPr="00D71B7F" w:rsidRDefault="00555198" w:rsidP="00555198">
      <w:pPr>
        <w:spacing w:after="0" w:line="240" w:lineRule="auto"/>
        <w:ind w:right="49" w:firstLine="708"/>
        <w:jc w:val="both"/>
        <w:rPr>
          <w:rFonts w:ascii="Verdana" w:eastAsia="Calibri" w:hAnsi="Verdana" w:cs="Arial"/>
          <w:sz w:val="16"/>
          <w:szCs w:val="16"/>
          <w:lang w:val="es-ES_tradnl"/>
        </w:rPr>
      </w:pPr>
      <w:r w:rsidRPr="00D71B7F">
        <w:rPr>
          <w:rFonts w:ascii="Verdana" w:eastAsia="Calibri" w:hAnsi="Verdana" w:cs="Arial"/>
          <w:sz w:val="16"/>
          <w:szCs w:val="16"/>
          <w:lang w:val="es-ES_tradnl"/>
        </w:rPr>
        <w:t>7. Según el verdadero sentido o inteligencia […] los elementos integrantes del caso fortuito o fuerza mayor, antes reseñados, deben ser concurrentes, lo cual se traduce en que si el hecho o suceso ciertamente es imprevisible pero se le puede resistir, no se da tal fenómeno, como tampoco se configura cuando a pesar de ser irresistible pudo preverse […]</w:t>
      </w:r>
    </w:p>
    <w:p w14:paraId="1F127BD9" w14:textId="1E8CADE0" w:rsidR="00555198" w:rsidRDefault="00555198" w:rsidP="00A44E58">
      <w:pPr>
        <w:pStyle w:val="FootnoteText"/>
        <w:ind w:right="49" w:firstLine="708"/>
        <w:jc w:val="both"/>
        <w:rPr>
          <w:rFonts w:ascii="Verdana" w:eastAsia="Calibri" w:hAnsi="Verdana" w:cs="Arial"/>
          <w:sz w:val="16"/>
          <w:szCs w:val="16"/>
          <w:lang w:val="es-ES_tradnl"/>
        </w:rPr>
      </w:pPr>
      <w:r w:rsidRPr="00D71B7F">
        <w:rPr>
          <w:rFonts w:ascii="Verdana" w:eastAsia="Calibri" w:hAnsi="Verdana" w:cs="Arial"/>
          <w:sz w:val="16"/>
          <w:szCs w:val="16"/>
          <w:lang w:val="es-ES_tradnl"/>
        </w:rPr>
        <w:t>8. Si, sólo puede calificarse como caso fortuito o fuerza mayor el hecho que concurrentemente contemple los caracteres de imprevisible e irresistible, no resulta propio elaborar un listado de los acontecimientos que constituyen tal fenómeno, ni de los que no lo constituyen. Por tal virtud, ha sostenido la doctrina nacional y foránea que un acontecimiento determinado no puede calificarse fatalmente, por sí mismo y por fuerza de su naturaleza específica como constitutivo de fuerza mayor o caso fortuito, puesto que es indispensable, en cada caso o acontecimiento, analizar y ponderar todas las circunstancias que rodearon el hecho”.</w:t>
      </w:r>
    </w:p>
    <w:p w14:paraId="15F72725" w14:textId="77777777" w:rsidR="00555198" w:rsidRPr="00D71B7F" w:rsidRDefault="00555198" w:rsidP="00555198">
      <w:pPr>
        <w:pStyle w:val="FootnoteText"/>
        <w:ind w:right="49" w:firstLine="708"/>
        <w:jc w:val="both"/>
        <w:rPr>
          <w:rFonts w:ascii="Verdana" w:hAnsi="Verdana" w:cs="Arial"/>
          <w:sz w:val="16"/>
          <w:szCs w:val="16"/>
          <w:lang w:val="es-CO"/>
        </w:rPr>
      </w:pPr>
    </w:p>
  </w:footnote>
  <w:footnote w:id="28">
    <w:p w14:paraId="23260714" w14:textId="77777777" w:rsidR="00555198" w:rsidRPr="00D71B7F" w:rsidRDefault="00555198" w:rsidP="00555198">
      <w:pPr>
        <w:pStyle w:val="FootnoteText"/>
        <w:ind w:firstLine="708"/>
        <w:jc w:val="both"/>
        <w:rPr>
          <w:rFonts w:ascii="Verdana" w:hAnsi="Verdana" w:cs="Arial"/>
          <w:sz w:val="16"/>
          <w:szCs w:val="16"/>
          <w:lang w:val="es-ES"/>
        </w:rPr>
      </w:pPr>
      <w:r w:rsidRPr="00D71B7F">
        <w:rPr>
          <w:rStyle w:val="FootnoteReference"/>
          <w:rFonts w:ascii="Verdana" w:hAnsi="Verdana" w:cs="Arial"/>
          <w:sz w:val="16"/>
          <w:szCs w:val="16"/>
        </w:rPr>
        <w:footnoteRef/>
      </w:r>
      <w:r w:rsidRPr="00D71B7F">
        <w:rPr>
          <w:rFonts w:ascii="Verdana" w:hAnsi="Verdana" w:cs="Arial"/>
          <w:sz w:val="16"/>
          <w:szCs w:val="16"/>
        </w:rPr>
        <w:t xml:space="preserve"> “</w:t>
      </w:r>
      <w:r w:rsidRPr="00D71B7F">
        <w:rPr>
          <w:rFonts w:ascii="Verdana" w:hAnsi="Verdana" w:cs="Arial"/>
          <w:sz w:val="16"/>
          <w:szCs w:val="16"/>
          <w:lang w:val="es-ES"/>
        </w:rPr>
        <w:t>Artículo 56. Declaratoria de situación de desastre. Previa recomendación del Consejo Nacional, el Presidente de la República declarará mediante decreto la existencia de una situación de desastre y, en el mismo acto, la clasificará según su magnitud y efectos como de carácter nacional, regional, departamental, distrital o municipal, y pondrá en vigor las normas pertinentes propias del régimen especial para situaciones de desastre.</w:t>
      </w:r>
    </w:p>
    <w:p w14:paraId="04EA5C8A" w14:textId="77777777" w:rsidR="00555198" w:rsidRPr="00D71B7F" w:rsidRDefault="00555198" w:rsidP="00555198">
      <w:pPr>
        <w:pStyle w:val="FootnoteText"/>
        <w:ind w:firstLine="708"/>
        <w:jc w:val="both"/>
        <w:rPr>
          <w:rFonts w:ascii="Verdana" w:hAnsi="Verdana" w:cs="Arial"/>
          <w:sz w:val="16"/>
          <w:szCs w:val="16"/>
          <w:lang w:val="es-ES"/>
        </w:rPr>
      </w:pPr>
      <w:r w:rsidRPr="00D71B7F">
        <w:rPr>
          <w:rFonts w:ascii="Verdana" w:hAnsi="Verdana" w:cs="Arial"/>
          <w:sz w:val="16"/>
          <w:szCs w:val="16"/>
          <w:lang w:val="es-ES"/>
        </w:rPr>
        <w:t>1. Nacional. Existirá una situación de desastre nacional:</w:t>
      </w:r>
    </w:p>
    <w:p w14:paraId="2DECDE8B" w14:textId="77777777" w:rsidR="00555198" w:rsidRPr="00D71B7F" w:rsidRDefault="00555198" w:rsidP="00555198">
      <w:pPr>
        <w:pStyle w:val="FootnoteText"/>
        <w:ind w:firstLine="708"/>
        <w:jc w:val="both"/>
        <w:rPr>
          <w:rFonts w:ascii="Verdana" w:hAnsi="Verdana" w:cs="Arial"/>
          <w:sz w:val="16"/>
          <w:szCs w:val="16"/>
          <w:lang w:val="es-ES"/>
        </w:rPr>
      </w:pPr>
      <w:r w:rsidRPr="00D71B7F">
        <w:rPr>
          <w:rFonts w:ascii="Verdana" w:hAnsi="Verdana" w:cs="Arial"/>
          <w:sz w:val="16"/>
          <w:szCs w:val="16"/>
          <w:lang w:val="es-ES"/>
        </w:rPr>
        <w:t>a). Cuando la materialización del riesgo afecte de manera desfavorable y grave los bienes jurídicos protegidos de las personas, de la colectividad nacional y de las instituciones de la Administración Pública Nacional, en todo el territorio nacional o en parte considerable del mismo.</w:t>
      </w:r>
    </w:p>
    <w:p w14:paraId="73224E1D" w14:textId="77777777" w:rsidR="00555198" w:rsidRPr="00D71B7F" w:rsidRDefault="00555198" w:rsidP="00555198">
      <w:pPr>
        <w:pStyle w:val="FootnoteText"/>
        <w:ind w:firstLine="708"/>
        <w:jc w:val="both"/>
        <w:rPr>
          <w:rFonts w:ascii="Verdana" w:hAnsi="Verdana" w:cs="Arial"/>
          <w:sz w:val="16"/>
          <w:szCs w:val="16"/>
          <w:lang w:val="es-ES"/>
        </w:rPr>
      </w:pPr>
      <w:r w:rsidRPr="00D71B7F">
        <w:rPr>
          <w:rFonts w:ascii="Verdana" w:hAnsi="Verdana" w:cs="Arial"/>
          <w:sz w:val="16"/>
          <w:szCs w:val="16"/>
          <w:lang w:val="es-ES"/>
        </w:rPr>
        <w:t>b). Cuando se hayan producido efectos adversos en uno (1) o más departamentos y su impacto rebase la capacidad técnica y los recursos de las administraciones departamentales y municipales involucradas.</w:t>
      </w:r>
    </w:p>
    <w:p w14:paraId="061BA3A7" w14:textId="77777777" w:rsidR="00555198" w:rsidRPr="00D71B7F" w:rsidRDefault="00555198" w:rsidP="00555198">
      <w:pPr>
        <w:pStyle w:val="FootnoteText"/>
        <w:ind w:firstLine="708"/>
        <w:jc w:val="both"/>
        <w:rPr>
          <w:rFonts w:ascii="Verdana" w:hAnsi="Verdana" w:cs="Arial"/>
          <w:sz w:val="16"/>
          <w:szCs w:val="16"/>
          <w:lang w:val="es-ES"/>
        </w:rPr>
      </w:pPr>
      <w:r w:rsidRPr="00D71B7F">
        <w:rPr>
          <w:rFonts w:ascii="Verdana" w:hAnsi="Verdana" w:cs="Arial"/>
          <w:sz w:val="16"/>
          <w:szCs w:val="16"/>
          <w:lang w:val="es-ES"/>
        </w:rPr>
        <w:t>c). Cuando la emergencia tenga la capacidad de impactar de manera desfavorable y grave la economía nacional, las redes de servicios nacionales en su totalidad o en parte significativa de las mismas, el distrito capital y otros centros urbanos de importancia regional en la red de ciudades.</w:t>
      </w:r>
    </w:p>
    <w:p w14:paraId="6D61ED8B" w14:textId="77777777" w:rsidR="00555198" w:rsidRPr="00D71B7F" w:rsidRDefault="00555198" w:rsidP="00555198">
      <w:pPr>
        <w:pStyle w:val="FootnoteText"/>
        <w:ind w:firstLine="708"/>
        <w:jc w:val="both"/>
        <w:rPr>
          <w:rFonts w:ascii="Verdana" w:hAnsi="Verdana" w:cs="Arial"/>
          <w:sz w:val="16"/>
          <w:szCs w:val="16"/>
          <w:lang w:val="es-ES"/>
        </w:rPr>
      </w:pPr>
      <w:r w:rsidRPr="00D71B7F">
        <w:rPr>
          <w:rFonts w:ascii="Verdana" w:hAnsi="Verdana" w:cs="Arial"/>
          <w:sz w:val="16"/>
          <w:szCs w:val="16"/>
          <w:lang w:val="es-ES"/>
        </w:rPr>
        <w:t>2. Departamental. Existirá una situación de desastre departamental cuando la materialización del riesgo afecte de manera desfavorable y grave los bienes jurídicos protegidos de los habitantes de un (1) departamento y de la administración pública departamental. El desastre de orden departamental puede presentarse en todo el departamento o en parte sustancial de su territorio rebasando la capacidad técnica y de recursos de los municipios afectados.</w:t>
      </w:r>
    </w:p>
    <w:p w14:paraId="60E2F052" w14:textId="77777777" w:rsidR="00555198" w:rsidRPr="00D71B7F" w:rsidRDefault="00555198" w:rsidP="00555198">
      <w:pPr>
        <w:pStyle w:val="FootnoteText"/>
        <w:ind w:firstLine="708"/>
        <w:jc w:val="both"/>
        <w:rPr>
          <w:rFonts w:ascii="Verdana" w:hAnsi="Verdana" w:cs="Arial"/>
          <w:sz w:val="16"/>
          <w:szCs w:val="16"/>
          <w:lang w:val="es-ES"/>
        </w:rPr>
      </w:pPr>
      <w:r w:rsidRPr="00D71B7F">
        <w:rPr>
          <w:rFonts w:ascii="Verdana" w:hAnsi="Verdana" w:cs="Arial"/>
          <w:sz w:val="16"/>
          <w:szCs w:val="16"/>
          <w:lang w:val="es-ES"/>
        </w:rPr>
        <w:t>3. Distrital o Municipal. Existirá una situación de desastre municipal o distrital cuando la materialización del riesgo afecte de manera desfavorable y grave los bienes jurídicos protegidos de los habitantes del municipio o distrito impactado y de la administración pública distrital. El desastre de orden distrital o municipal puede presentarse en todo el distrito o municipio o en parte sustancial del territorio de su jurisdicción, rebasando su capacidad técnica y de recursos […]”.</w:t>
      </w:r>
    </w:p>
    <w:p w14:paraId="7D2A5952" w14:textId="77777777" w:rsidR="00555198" w:rsidRPr="00D71B7F" w:rsidRDefault="00555198" w:rsidP="00555198">
      <w:pPr>
        <w:pStyle w:val="FootnoteText"/>
        <w:ind w:firstLine="708"/>
        <w:jc w:val="both"/>
        <w:rPr>
          <w:rFonts w:ascii="Verdana" w:hAnsi="Verdana" w:cs="Arial"/>
          <w:sz w:val="16"/>
          <w:szCs w:val="16"/>
          <w:lang w:val="es-ES"/>
        </w:rPr>
      </w:pPr>
    </w:p>
  </w:footnote>
  <w:footnote w:id="29">
    <w:p w14:paraId="5CB18F54" w14:textId="77777777" w:rsidR="00555198" w:rsidRPr="00D71B7F" w:rsidRDefault="00555198" w:rsidP="00555198">
      <w:pPr>
        <w:pStyle w:val="FootnoteText"/>
        <w:ind w:firstLine="708"/>
        <w:jc w:val="both"/>
        <w:rPr>
          <w:rFonts w:ascii="Verdana" w:hAnsi="Verdana" w:cs="Arial"/>
          <w:sz w:val="16"/>
          <w:szCs w:val="16"/>
          <w:lang w:val="es-ES"/>
        </w:rPr>
      </w:pPr>
      <w:r w:rsidRPr="00D71B7F">
        <w:rPr>
          <w:rStyle w:val="FootnoteReference"/>
          <w:rFonts w:ascii="Verdana" w:hAnsi="Verdana" w:cs="Arial"/>
          <w:sz w:val="16"/>
          <w:szCs w:val="16"/>
        </w:rPr>
        <w:footnoteRef/>
      </w:r>
      <w:r w:rsidRPr="00D71B7F">
        <w:rPr>
          <w:rFonts w:ascii="Verdana" w:hAnsi="Verdana" w:cs="Arial"/>
          <w:sz w:val="16"/>
          <w:szCs w:val="16"/>
        </w:rPr>
        <w:t xml:space="preserve"> “</w:t>
      </w:r>
      <w:r w:rsidRPr="00D71B7F">
        <w:rPr>
          <w:rFonts w:ascii="Verdana" w:hAnsi="Verdana" w:cs="Arial"/>
          <w:sz w:val="16"/>
          <w:szCs w:val="16"/>
          <w:lang w:val="es-ES"/>
        </w:rPr>
        <w:t xml:space="preserve">Artículo 57. Declaratoria de situación de calamidad pública. </w:t>
      </w:r>
      <w:bookmarkStart w:id="24" w:name="_Hlk132729568"/>
      <w:r w:rsidRPr="00D71B7F">
        <w:rPr>
          <w:rFonts w:ascii="Verdana" w:hAnsi="Verdana" w:cs="Arial"/>
          <w:sz w:val="16"/>
          <w:szCs w:val="16"/>
          <w:lang w:val="es-ES"/>
        </w:rPr>
        <w:t>Los gobernadores y alcaldes, previo concepto favorable del Consejo Departamental, Distrital o Municipal de Gestión del Riesgo, podrán declararla situación de calamidad pública en su respectiva jurisdicción. Las declaratorias de situación de calamidad pública se producirán y aplicarán, en lo pertinente, de conformidad con las reglas de la declaratoria de la situación de desastre</w:t>
      </w:r>
      <w:bookmarkEnd w:id="24"/>
      <w:r w:rsidRPr="00D71B7F">
        <w:rPr>
          <w:rFonts w:ascii="Verdana" w:hAnsi="Verdana" w:cs="Arial"/>
          <w:sz w:val="16"/>
          <w:szCs w:val="16"/>
          <w:lang w:val="es-ES"/>
        </w:rPr>
        <w:t>”.</w:t>
      </w:r>
    </w:p>
    <w:p w14:paraId="22D48320" w14:textId="77777777" w:rsidR="00555198" w:rsidRPr="00D71B7F" w:rsidRDefault="00555198" w:rsidP="00555198">
      <w:pPr>
        <w:pStyle w:val="FootnoteText"/>
        <w:ind w:firstLine="708"/>
        <w:jc w:val="both"/>
        <w:rPr>
          <w:rFonts w:ascii="Verdana" w:hAnsi="Verdana" w:cs="Arial"/>
          <w:sz w:val="16"/>
          <w:szCs w:val="16"/>
          <w:lang w:val="es-CO"/>
        </w:rPr>
      </w:pPr>
    </w:p>
  </w:footnote>
  <w:footnote w:id="30">
    <w:p w14:paraId="4DB734E5" w14:textId="77777777" w:rsidR="00555198" w:rsidRPr="009D0D83" w:rsidRDefault="00555198" w:rsidP="00555198">
      <w:pPr>
        <w:pStyle w:val="FootnoteText"/>
        <w:ind w:firstLine="709"/>
        <w:contextualSpacing/>
        <w:jc w:val="both"/>
        <w:rPr>
          <w:rFonts w:ascii="Verdana" w:hAnsi="Verdana" w:cs="Arial"/>
          <w:sz w:val="16"/>
          <w:szCs w:val="16"/>
        </w:rPr>
      </w:pPr>
      <w:r w:rsidRPr="00B8078E">
        <w:rPr>
          <w:rStyle w:val="FootnoteReference"/>
          <w:rFonts w:ascii="Verdana" w:hAnsi="Verdana"/>
          <w:sz w:val="16"/>
          <w:szCs w:val="16"/>
        </w:rPr>
        <w:footnoteRef/>
      </w:r>
      <w:r w:rsidRPr="00B8078E">
        <w:rPr>
          <w:rFonts w:ascii="Verdana" w:hAnsi="Verdana"/>
          <w:sz w:val="16"/>
          <w:szCs w:val="16"/>
        </w:rPr>
        <w:t xml:space="preserve"> </w:t>
      </w:r>
      <w:r w:rsidRPr="00B8078E">
        <w:rPr>
          <w:rFonts w:ascii="Verdana" w:hAnsi="Verdana" w:cs="Arial"/>
          <w:sz w:val="16"/>
          <w:szCs w:val="16"/>
        </w:rPr>
        <w:t>Consejo de Estado. Sala de lo Contencioso Administrativo. Sección Tercera. Sentencia del 21 de febrero de 2025. Exp. 68.280. CP: José Roberto Sáchica Méndez.</w:t>
      </w:r>
    </w:p>
  </w:footnote>
  <w:footnote w:id="31">
    <w:p w14:paraId="77A6397A" w14:textId="77777777" w:rsidR="00A44E58" w:rsidRDefault="00A44E58" w:rsidP="00A44E58">
      <w:pPr>
        <w:pStyle w:val="FootnoteText"/>
        <w:ind w:firstLine="709"/>
        <w:contextualSpacing/>
        <w:jc w:val="both"/>
        <w:rPr>
          <w:rFonts w:ascii="Verdana" w:hAnsi="Verdana"/>
          <w:sz w:val="16"/>
          <w:szCs w:val="16"/>
          <w:vertAlign w:val="superscript"/>
        </w:rPr>
      </w:pPr>
    </w:p>
    <w:p w14:paraId="08751FF8" w14:textId="45A575D5" w:rsidR="00555198" w:rsidRPr="00B8078E" w:rsidRDefault="00555198" w:rsidP="00555198">
      <w:pPr>
        <w:pStyle w:val="FootnoteText"/>
        <w:ind w:firstLine="709"/>
        <w:contextualSpacing/>
        <w:jc w:val="both"/>
        <w:rPr>
          <w:rFonts w:ascii="Verdana" w:hAnsi="Verdana" w:cs="Arial"/>
          <w:sz w:val="16"/>
          <w:szCs w:val="16"/>
        </w:rPr>
      </w:pPr>
      <w:r w:rsidRPr="00B8078E">
        <w:rPr>
          <w:rFonts w:ascii="Verdana" w:hAnsi="Verdana"/>
          <w:sz w:val="16"/>
          <w:szCs w:val="16"/>
          <w:vertAlign w:val="superscript"/>
        </w:rPr>
        <w:footnoteRef/>
      </w:r>
      <w:r w:rsidRPr="00B8078E">
        <w:rPr>
          <w:rFonts w:ascii="Verdana" w:hAnsi="Verdana"/>
          <w:sz w:val="16"/>
          <w:szCs w:val="16"/>
          <w:vertAlign w:val="superscript"/>
        </w:rPr>
        <w:t xml:space="preserve"> </w:t>
      </w:r>
      <w:r w:rsidRPr="00B8078E">
        <w:rPr>
          <w:rFonts w:ascii="Verdana" w:hAnsi="Verdana" w:cs="Arial"/>
          <w:sz w:val="16"/>
          <w:szCs w:val="16"/>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10581A5B" w14:textId="77777777" w:rsidR="00555198" w:rsidRPr="00B8078E" w:rsidRDefault="00555198" w:rsidP="00555198">
      <w:pPr>
        <w:pStyle w:val="FootnoteText"/>
        <w:ind w:firstLine="709"/>
        <w:contextualSpacing/>
        <w:jc w:val="both"/>
        <w:rPr>
          <w:rFonts w:ascii="Verdana" w:hAnsi="Verdana" w:cs="Arial"/>
          <w:sz w:val="16"/>
          <w:szCs w:val="16"/>
        </w:rPr>
      </w:pPr>
    </w:p>
  </w:footnote>
  <w:footnote w:id="32">
    <w:p w14:paraId="1EF7BD73" w14:textId="77777777" w:rsidR="00555198" w:rsidRPr="00B8078E" w:rsidRDefault="00555198" w:rsidP="00555198">
      <w:pPr>
        <w:pStyle w:val="FootnoteText"/>
        <w:ind w:firstLine="709"/>
        <w:contextualSpacing/>
        <w:jc w:val="both"/>
        <w:rPr>
          <w:rFonts w:ascii="Verdana" w:hAnsi="Verdana" w:cs="Arial"/>
          <w:sz w:val="16"/>
          <w:szCs w:val="16"/>
        </w:rPr>
      </w:pPr>
      <w:r w:rsidRPr="00B8078E">
        <w:rPr>
          <w:rFonts w:ascii="Verdana" w:hAnsi="Verdana"/>
          <w:sz w:val="16"/>
          <w:szCs w:val="16"/>
          <w:vertAlign w:val="superscript"/>
        </w:rPr>
        <w:footnoteRef/>
      </w:r>
      <w:r w:rsidRPr="00B8078E">
        <w:rPr>
          <w:rFonts w:ascii="Verdana" w:hAnsi="Verdana" w:cs="Arial"/>
          <w:sz w:val="16"/>
          <w:szCs w:val="16"/>
          <w:vertAlign w:val="superscript"/>
        </w:rPr>
        <w:t xml:space="preserve"> </w:t>
      </w:r>
      <w:r w:rsidRPr="00B8078E">
        <w:rPr>
          <w:rFonts w:ascii="Verdana" w:hAnsi="Verdana" w:cs="Arial"/>
          <w:sz w:val="16"/>
          <w:szCs w:val="16"/>
        </w:rPr>
        <w:t>Ley 80 de 1993: “Artículo 41. Del perfeccionamiento del contrato. Los contratos del Estado se perfeccionan cuando se logre acuerdo sobre el objeto y la contraprestación y éste se eleve a escrito.</w:t>
      </w:r>
    </w:p>
    <w:p w14:paraId="212B9495" w14:textId="77777777" w:rsidR="00555198" w:rsidRPr="00B8078E" w:rsidRDefault="00555198" w:rsidP="00555198">
      <w:pPr>
        <w:pStyle w:val="FootnoteText"/>
        <w:ind w:firstLine="709"/>
        <w:contextualSpacing/>
        <w:jc w:val="both"/>
        <w:rPr>
          <w:rFonts w:ascii="Verdana" w:hAnsi="Verdana" w:cs="Arial"/>
          <w:sz w:val="16"/>
          <w:szCs w:val="16"/>
        </w:rPr>
      </w:pPr>
    </w:p>
  </w:footnote>
  <w:footnote w:id="33">
    <w:p w14:paraId="1FEFEDA0" w14:textId="3EF7FA00" w:rsidR="00555198" w:rsidRDefault="00555198" w:rsidP="00A44E58">
      <w:pPr>
        <w:pStyle w:val="FootnoteText"/>
        <w:ind w:firstLine="709"/>
        <w:contextualSpacing/>
        <w:jc w:val="both"/>
        <w:rPr>
          <w:rFonts w:ascii="Verdana" w:hAnsi="Verdana" w:cs="Arial"/>
          <w:sz w:val="16"/>
          <w:szCs w:val="16"/>
        </w:rPr>
      </w:pPr>
      <w:r w:rsidRPr="00B8078E">
        <w:rPr>
          <w:rFonts w:ascii="Verdana" w:hAnsi="Verdana"/>
          <w:sz w:val="16"/>
          <w:szCs w:val="16"/>
          <w:vertAlign w:val="superscript"/>
        </w:rPr>
        <w:footnoteRef/>
      </w:r>
      <w:r w:rsidRPr="00B8078E">
        <w:rPr>
          <w:rFonts w:ascii="Verdana" w:hAnsi="Verdana" w:cs="Arial"/>
          <w:sz w:val="16"/>
          <w:szCs w:val="16"/>
          <w:vertAlign w:val="superscript"/>
        </w:rPr>
        <w:t xml:space="preserve"> </w:t>
      </w:r>
      <w:r w:rsidRPr="00B8078E">
        <w:rPr>
          <w:rFonts w:ascii="Verdana" w:hAnsi="Verdana" w:cs="Arial"/>
          <w:sz w:val="16"/>
          <w:szCs w:val="16"/>
        </w:rPr>
        <w:t>Código Civil: “Artículo 27. Cuando el sentido de la ley sea claro, no se desatenderá su tenor a pretexto de consultar su espíritu”.</w:t>
      </w:r>
    </w:p>
    <w:p w14:paraId="4A3EB56E" w14:textId="77777777" w:rsidR="00555198" w:rsidRPr="00852048" w:rsidRDefault="00555198" w:rsidP="00555198">
      <w:pPr>
        <w:pStyle w:val="FootnoteText"/>
        <w:ind w:firstLine="709"/>
        <w:contextualSpacing/>
        <w:jc w:val="both"/>
        <w:rPr>
          <w:rFonts w:ascii="Verdana" w:hAnsi="Verdana" w:cs="Arial"/>
          <w:sz w:val="16"/>
          <w:szCs w:val="16"/>
        </w:rPr>
      </w:pPr>
    </w:p>
  </w:footnote>
  <w:footnote w:id="34">
    <w:p w14:paraId="527BD044" w14:textId="77777777" w:rsidR="00555198" w:rsidRPr="00B8078E" w:rsidRDefault="00555198" w:rsidP="00555198">
      <w:pPr>
        <w:pStyle w:val="FootnoteText"/>
        <w:ind w:firstLine="708"/>
        <w:jc w:val="both"/>
        <w:rPr>
          <w:rFonts w:ascii="Verdana" w:hAnsi="Verdana"/>
          <w:sz w:val="16"/>
          <w:szCs w:val="16"/>
          <w:lang w:val="es-ES"/>
        </w:rPr>
      </w:pPr>
      <w:r w:rsidRPr="00B8078E">
        <w:rPr>
          <w:rStyle w:val="FootnoteReference"/>
          <w:rFonts w:ascii="Verdana" w:hAnsi="Verdana"/>
          <w:sz w:val="16"/>
          <w:szCs w:val="16"/>
        </w:rPr>
        <w:footnoteRef/>
      </w:r>
      <w:r w:rsidRPr="00B8078E">
        <w:rPr>
          <w:rFonts w:ascii="Verdana" w:hAnsi="Verdana"/>
          <w:sz w:val="16"/>
          <w:szCs w:val="16"/>
        </w:rPr>
        <w:t xml:space="preserve"> </w:t>
      </w:r>
      <w:r w:rsidRPr="00B8078E">
        <w:rPr>
          <w:rFonts w:ascii="Verdana" w:hAnsi="Verdana"/>
          <w:sz w:val="16"/>
          <w:szCs w:val="16"/>
          <w:lang w:val="es-ES"/>
        </w:rPr>
        <w:t xml:space="preserve">La doctrina chilena ilustra su aplicación en los siguientes términos: “La ley se ha de entender general e indistintamente. Cuando la ley no hace excepción alguna, pudiendo haberla hecho, no podemos separarnos de su disposición general por medio de una distinción que ella no ha formulado. </w:t>
      </w:r>
      <w:r w:rsidRPr="00B8078E">
        <w:rPr>
          <w:rFonts w:ascii="Verdana" w:hAnsi="Verdana"/>
          <w:i/>
          <w:sz w:val="16"/>
          <w:szCs w:val="16"/>
          <w:lang w:val="es-ES"/>
        </w:rPr>
        <w:t>Ubi lex non distinguit nec nos distinguere debemus</w:t>
      </w:r>
      <w:r w:rsidRPr="00B8078E">
        <w:rPr>
          <w:rFonts w:ascii="Verdana" w:hAnsi="Verdana"/>
          <w:sz w:val="16"/>
          <w:szCs w:val="16"/>
          <w:lang w:val="es-ES"/>
        </w:rPr>
        <w:t>, ‘donde la ley no distingue no puede el hombre distinguir’. ‘La extensión que deba dársele a la ley se determinará por su genuino sentido y según las reglas de interpretación precedentes’, dice el artículo 23.</w:t>
      </w:r>
    </w:p>
    <w:p w14:paraId="72F1A2EE" w14:textId="77777777" w:rsidR="00555198" w:rsidRPr="00B8078E" w:rsidRDefault="00555198" w:rsidP="00555198">
      <w:pPr>
        <w:pStyle w:val="FootnoteText"/>
        <w:ind w:firstLine="708"/>
        <w:jc w:val="both"/>
        <w:rPr>
          <w:rFonts w:ascii="Verdana" w:hAnsi="Verdana"/>
          <w:sz w:val="16"/>
          <w:szCs w:val="16"/>
        </w:rPr>
      </w:pPr>
      <w:r w:rsidRPr="00B8078E">
        <w:rPr>
          <w:rFonts w:ascii="Verdana" w:hAnsi="Verdana"/>
          <w:sz w:val="16"/>
          <w:szCs w:val="16"/>
          <w:lang w:val="es-ES"/>
        </w:rPr>
        <w:t xml:space="preserve">En el derecho antiguo y en el derecho canónico se distinguían las leyes en favorables y odiosas, para ampliar o restringir su interpretación. </w:t>
      </w:r>
      <w:r w:rsidRPr="00B8078E">
        <w:rPr>
          <w:rFonts w:ascii="Verdana" w:hAnsi="Verdana"/>
          <w:i/>
          <w:sz w:val="16"/>
          <w:szCs w:val="16"/>
          <w:lang w:val="es-ES"/>
        </w:rPr>
        <w:t>Odia restringí et favores convenit ampliari</w:t>
      </w:r>
      <w:r w:rsidRPr="00B8078E">
        <w:rPr>
          <w:rFonts w:ascii="Verdana" w:hAnsi="Verdana"/>
          <w:sz w:val="16"/>
          <w:szCs w:val="16"/>
          <w:lang w:val="es-ES"/>
        </w:rPr>
        <w:t xml:space="preserve">. Según esto se tomaban las palabras en su más amplia y extensa significación en materia favorable y se procuraba limitar en lo posible, en caso de duda, en materia odiosa. Estas reglas de aplicación de las leyes eran contrarias a los principios de una correcta interpretación, que no tiene otro objeto que reconstruir el pensamiento del legislador y llegar por este medio al conocimiento completo de la ley. Por este motivo el Código no las admite […]” (Cfr. </w:t>
      </w:r>
      <w:r w:rsidRPr="00B8078E">
        <w:rPr>
          <w:rFonts w:ascii="Verdana" w:hAnsi="Verdana"/>
          <w:sz w:val="16"/>
          <w:szCs w:val="16"/>
        </w:rPr>
        <w:t>CLARO SOLAR, Luis. Explicaciones de derecho civil chileno y comparado. Volumen I. Tomo I. Santiago: Editorial Jurídica de Chile, 2013. p. 119. Énfasis dentro del texto).</w:t>
      </w:r>
    </w:p>
    <w:p w14:paraId="3B0489AF" w14:textId="77777777" w:rsidR="00555198" w:rsidRPr="00B8078E" w:rsidRDefault="00555198" w:rsidP="00555198">
      <w:pPr>
        <w:pStyle w:val="FootnoteText"/>
        <w:ind w:firstLine="708"/>
        <w:jc w:val="both"/>
        <w:rPr>
          <w:rFonts w:ascii="Verdana" w:hAnsi="Verdana"/>
          <w:sz w:val="16"/>
          <w:szCs w:val="16"/>
          <w:lang w:val="es-CO"/>
        </w:rPr>
      </w:pPr>
    </w:p>
  </w:footnote>
  <w:footnote w:id="35">
    <w:p w14:paraId="3822D6EA" w14:textId="77777777" w:rsidR="00555198" w:rsidRPr="00B8078E" w:rsidRDefault="00555198" w:rsidP="00555198">
      <w:pPr>
        <w:spacing w:after="0" w:line="240" w:lineRule="auto"/>
        <w:ind w:firstLine="709"/>
        <w:jc w:val="both"/>
        <w:rPr>
          <w:rFonts w:ascii="Verdana" w:hAnsi="Verdana" w:cs="Arial"/>
          <w:sz w:val="16"/>
          <w:szCs w:val="16"/>
          <w:lang w:eastAsia="es-ES"/>
        </w:rPr>
      </w:pPr>
      <w:r w:rsidRPr="00B8078E">
        <w:rPr>
          <w:rStyle w:val="FootnoteReference"/>
          <w:rFonts w:ascii="Verdana" w:hAnsi="Verdana"/>
          <w:sz w:val="16"/>
          <w:szCs w:val="16"/>
        </w:rPr>
        <w:footnoteRef/>
      </w:r>
      <w:r w:rsidRPr="00B8078E">
        <w:rPr>
          <w:rFonts w:ascii="Verdana" w:hAnsi="Verdana"/>
          <w:sz w:val="16"/>
          <w:szCs w:val="16"/>
        </w:rPr>
        <w:t xml:space="preserve"> Consejo de Estado. Sala de lo Contencioso Administrativo. Sección Tercera. Subsección B. Auto del 4 de octubre de 2024. Exp. 70.313. C.P: Fredy Ibarra Martínez.</w:t>
      </w:r>
    </w:p>
    <w:p w14:paraId="2B9BAEC5" w14:textId="77777777" w:rsidR="00555198" w:rsidRPr="00B8078E" w:rsidRDefault="00555198" w:rsidP="00555198">
      <w:pPr>
        <w:pStyle w:val="FootnoteText"/>
        <w:ind w:firstLine="709"/>
        <w:contextualSpacing/>
        <w:jc w:val="both"/>
        <w:rPr>
          <w:rFonts w:ascii="Verdana" w:hAnsi="Verdana"/>
          <w:sz w:val="16"/>
          <w:szCs w:val="16"/>
          <w:lang w:val="es-CO"/>
        </w:rPr>
      </w:pPr>
    </w:p>
  </w:footnote>
  <w:footnote w:id="36">
    <w:p w14:paraId="0E8C744A" w14:textId="77777777" w:rsidR="00555198" w:rsidRPr="00B8078E" w:rsidRDefault="00555198" w:rsidP="00555198">
      <w:pPr>
        <w:pStyle w:val="FootnoteText"/>
        <w:ind w:firstLine="709"/>
        <w:contextualSpacing/>
        <w:jc w:val="both"/>
        <w:rPr>
          <w:rFonts w:ascii="Verdana" w:hAnsi="Verdana"/>
          <w:sz w:val="16"/>
          <w:szCs w:val="16"/>
          <w:lang w:val="es-CO"/>
        </w:rPr>
      </w:pPr>
      <w:r w:rsidRPr="00B8078E">
        <w:rPr>
          <w:rStyle w:val="FootnoteReference"/>
          <w:rFonts w:ascii="Verdana" w:hAnsi="Verdana"/>
          <w:sz w:val="16"/>
          <w:szCs w:val="16"/>
        </w:rPr>
        <w:footnoteRef/>
      </w:r>
      <w:r w:rsidRPr="00B8078E">
        <w:rPr>
          <w:rFonts w:ascii="Verdana" w:hAnsi="Verdana"/>
          <w:sz w:val="16"/>
          <w:szCs w:val="16"/>
        </w:rPr>
        <w:t xml:space="preserve"> La parte resolutiva del auto dispone lo siguiente; “</w:t>
      </w:r>
      <w:r w:rsidRPr="00B8078E">
        <w:rPr>
          <w:rFonts w:ascii="Verdana" w:hAnsi="Verdana"/>
          <w:b/>
          <w:sz w:val="16"/>
          <w:szCs w:val="16"/>
          <w:lang w:val="es-CO"/>
        </w:rPr>
        <w:t xml:space="preserve">PRIMERO: DECRETAR </w:t>
      </w:r>
      <w:r w:rsidRPr="00B8078E">
        <w:rPr>
          <w:rFonts w:ascii="Verdana" w:hAnsi="Verdana"/>
          <w:sz w:val="16"/>
          <w:szCs w:val="16"/>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B8078E">
        <w:rPr>
          <w:rFonts w:ascii="Verdana" w:hAnsi="Verdana"/>
          <w:i/>
          <w:sz w:val="16"/>
          <w:szCs w:val="16"/>
          <w:lang w:val="es-CO"/>
        </w:rPr>
        <w:t>“[e]sta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B8078E">
        <w:rPr>
          <w:rFonts w:ascii="Verdana" w:hAnsi="Verdana"/>
          <w:sz w:val="16"/>
          <w:szCs w:val="16"/>
          <w:lang w:val="es-CO"/>
        </w:rPr>
        <w:t xml:space="preserve">, por las razones expuestas en precedencia. </w:t>
      </w:r>
    </w:p>
    <w:p w14:paraId="3D56019E" w14:textId="77777777" w:rsidR="00555198" w:rsidRDefault="00555198" w:rsidP="00555198">
      <w:pPr>
        <w:pStyle w:val="FootnoteText"/>
        <w:ind w:firstLine="709"/>
        <w:contextualSpacing/>
        <w:jc w:val="both"/>
        <w:rPr>
          <w:rFonts w:ascii="Verdana" w:hAnsi="Verdana"/>
          <w:sz w:val="16"/>
          <w:szCs w:val="16"/>
          <w:lang w:val="es-CO"/>
        </w:rPr>
      </w:pPr>
      <w:r w:rsidRPr="00B8078E">
        <w:rPr>
          <w:rFonts w:ascii="Verdana" w:hAnsi="Verdana"/>
          <w:b/>
          <w:sz w:val="16"/>
          <w:szCs w:val="16"/>
          <w:lang w:val="es-CO"/>
        </w:rPr>
        <w:t xml:space="preserve">SEGUNDO: DECRETAR </w:t>
      </w:r>
      <w:r w:rsidRPr="00B8078E">
        <w:rPr>
          <w:rFonts w:ascii="Verdana" w:hAnsi="Verdana"/>
          <w:sz w:val="16"/>
          <w:szCs w:val="16"/>
          <w:lang w:val="es-CO"/>
        </w:rPr>
        <w:t>la suspensión provisional de la expresión “</w:t>
      </w:r>
      <w:r w:rsidRPr="00B8078E">
        <w:rPr>
          <w:rFonts w:ascii="Verdana" w:hAnsi="Verdana"/>
          <w:i/>
          <w:sz w:val="16"/>
          <w:szCs w:val="16"/>
          <w:lang w:val="es-CO"/>
        </w:rPr>
        <w:t>contratos</w:t>
      </w:r>
      <w:r w:rsidRPr="00B8078E">
        <w:rPr>
          <w:rFonts w:ascii="Verdana" w:hAnsi="Verdana"/>
          <w:sz w:val="16"/>
          <w:szCs w:val="16"/>
          <w:lang w:val="es-CO"/>
        </w:rPr>
        <w:t xml:space="preserve">” y del párrafo </w:t>
      </w:r>
      <w:r w:rsidRPr="00B8078E">
        <w:rPr>
          <w:rFonts w:ascii="Verdana" w:hAnsi="Verdana"/>
          <w:i/>
          <w:sz w:val="16"/>
          <w:szCs w:val="16"/>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B8078E">
        <w:rPr>
          <w:rFonts w:ascii="Verdana" w:hAnsi="Verdana"/>
          <w:sz w:val="16"/>
          <w:szCs w:val="16"/>
          <w:lang w:val="es-CO"/>
        </w:rPr>
        <w:t>”,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Exp. 72.424. C.P: Fernando Alexei Pardo Flórez.</w:t>
      </w:r>
      <w:r w:rsidRPr="009D0D83">
        <w:rPr>
          <w:rFonts w:ascii="Verdana" w:hAnsi="Verdana"/>
          <w:sz w:val="16"/>
          <w:szCs w:val="16"/>
          <w:lang w:val="es-CO"/>
        </w:rPr>
        <w:t xml:space="preserve"> </w:t>
      </w:r>
    </w:p>
    <w:p w14:paraId="2788CFDC" w14:textId="77777777" w:rsidR="00555198" w:rsidRPr="009D0D83" w:rsidRDefault="00555198" w:rsidP="00555198">
      <w:pPr>
        <w:pStyle w:val="FootnoteText"/>
        <w:ind w:firstLine="709"/>
        <w:contextualSpacing/>
        <w:jc w:val="both"/>
        <w:rPr>
          <w:rFonts w:ascii="Verdana" w:hAnsi="Verdana"/>
          <w:sz w:val="16"/>
          <w:szCs w:val="16"/>
          <w:lang w:val="es-CO"/>
        </w:rPr>
      </w:pPr>
    </w:p>
  </w:footnote>
  <w:footnote w:id="37">
    <w:p w14:paraId="469AED02" w14:textId="62C31839" w:rsidR="00555198" w:rsidRDefault="00555198" w:rsidP="00A44E58">
      <w:pPr>
        <w:spacing w:after="0" w:line="240" w:lineRule="auto"/>
        <w:ind w:firstLine="709"/>
        <w:contextualSpacing/>
        <w:jc w:val="both"/>
        <w:rPr>
          <w:rFonts w:ascii="Verdana" w:eastAsia="Times New Roman" w:hAnsi="Verdana" w:cs="Times New Roman"/>
          <w:sz w:val="16"/>
          <w:szCs w:val="16"/>
          <w:lang w:eastAsia="es-ES"/>
        </w:rPr>
      </w:pPr>
      <w:r w:rsidRPr="00B8078E">
        <w:rPr>
          <w:rStyle w:val="FootnoteReference"/>
          <w:rFonts w:ascii="Verdana" w:hAnsi="Verdana"/>
          <w:sz w:val="16"/>
          <w:szCs w:val="16"/>
        </w:rPr>
        <w:footnoteRef/>
      </w:r>
      <w:r w:rsidRPr="00B8078E">
        <w:rPr>
          <w:rFonts w:ascii="Verdana" w:hAnsi="Verdana"/>
          <w:sz w:val="16"/>
          <w:szCs w:val="16"/>
        </w:rPr>
        <w:t xml:space="preserve"> </w:t>
      </w:r>
      <w:r w:rsidRPr="00B8078E">
        <w:rPr>
          <w:rFonts w:ascii="Verdana" w:eastAsia="Times New Roman" w:hAnsi="Verdana" w:cs="Times New Roman"/>
          <w:sz w:val="16"/>
          <w:szCs w:val="16"/>
          <w:lang w:eastAsia="es-ES"/>
        </w:rPr>
        <w:t xml:space="preserve">Consejo de Estado. Sala de lo Contencioso Administrativo. Sección Tercera. Subsección B. 17 de octubre de 2025. C.P. Fredy Ibarra Martínez. </w:t>
      </w:r>
      <w:r w:rsidRPr="00B8078E">
        <w:rPr>
          <w:rFonts w:ascii="Verdana" w:hAnsi="Verdana"/>
          <w:sz w:val="16"/>
          <w:szCs w:val="16"/>
        </w:rPr>
        <w:t xml:space="preserve">La parte de la providencia señala: </w:t>
      </w:r>
      <w:r w:rsidRPr="00B8078E">
        <w:rPr>
          <w:rFonts w:ascii="Verdana" w:eastAsia="Times New Roman" w:hAnsi="Verdana" w:cs="Times New Roman"/>
          <w:sz w:val="16"/>
          <w:szCs w:val="16"/>
          <w:lang w:eastAsia="es-ES"/>
        </w:rPr>
        <w:t>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718525AF" w14:textId="77777777" w:rsidR="00555198" w:rsidRPr="00852048" w:rsidRDefault="00555198" w:rsidP="00555198">
      <w:pPr>
        <w:spacing w:after="0" w:line="240" w:lineRule="auto"/>
        <w:ind w:firstLine="709"/>
        <w:contextualSpacing/>
        <w:jc w:val="both"/>
        <w:rPr>
          <w:rFonts w:ascii="Verdana" w:eastAsia="Times New Roman" w:hAnsi="Verdana" w:cs="Times New Roman"/>
          <w:sz w:val="16"/>
          <w:szCs w:val="16"/>
          <w:lang w:eastAsia="es-ES"/>
        </w:rPr>
      </w:pPr>
    </w:p>
  </w:footnote>
  <w:footnote w:id="38">
    <w:p w14:paraId="40834782" w14:textId="1C03A8C2" w:rsidR="00555198" w:rsidRDefault="00555198" w:rsidP="00A44E58">
      <w:pPr>
        <w:pStyle w:val="FootnoteText"/>
        <w:ind w:firstLine="709"/>
        <w:jc w:val="both"/>
        <w:rPr>
          <w:rFonts w:ascii="Verdana" w:hAnsi="Verdana"/>
          <w:sz w:val="16"/>
          <w:szCs w:val="16"/>
        </w:rPr>
      </w:pPr>
      <w:r w:rsidRPr="00B8078E">
        <w:rPr>
          <w:rStyle w:val="FootnoteReference"/>
          <w:rFonts w:ascii="Verdana" w:hAnsi="Verdana"/>
          <w:sz w:val="16"/>
          <w:szCs w:val="16"/>
        </w:rPr>
        <w:footnoteRef/>
      </w:r>
      <w:r w:rsidRPr="00B8078E">
        <w:rPr>
          <w:rFonts w:ascii="Verdana" w:hAnsi="Verdana"/>
          <w:sz w:val="16"/>
          <w:szCs w:val="16"/>
        </w:rPr>
        <w:t xml:space="preserve"> No 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p w14:paraId="536DC975" w14:textId="77777777" w:rsidR="00555198" w:rsidRPr="00B8078E" w:rsidRDefault="00555198" w:rsidP="00555198">
      <w:pPr>
        <w:pStyle w:val="FootnoteText"/>
        <w:ind w:firstLine="709"/>
        <w:jc w:val="both"/>
        <w:rPr>
          <w:rFonts w:ascii="Verdana" w:hAnsi="Verdana"/>
          <w:sz w:val="16"/>
          <w:szCs w:val="16"/>
          <w:lang w:val="es-CO"/>
        </w:rPr>
      </w:pPr>
    </w:p>
  </w:footnote>
  <w:footnote w:id="39">
    <w:p w14:paraId="075B21A5" w14:textId="77777777" w:rsidR="00555198" w:rsidRPr="00DD5A6D" w:rsidRDefault="00555198" w:rsidP="00555198">
      <w:pPr>
        <w:pStyle w:val="FootnoteText"/>
        <w:ind w:firstLine="709"/>
        <w:rPr>
          <w:rFonts w:ascii="Verdana" w:hAnsi="Verdana"/>
          <w:sz w:val="16"/>
          <w:szCs w:val="16"/>
          <w:lang w:val="es-ES"/>
        </w:rPr>
      </w:pPr>
      <w:r w:rsidRPr="00DD5A6D">
        <w:rPr>
          <w:rStyle w:val="FootnoteReference"/>
          <w:rFonts w:ascii="Verdana" w:hAnsi="Verdana"/>
          <w:sz w:val="16"/>
          <w:szCs w:val="16"/>
        </w:rPr>
        <w:footnoteRef/>
      </w:r>
      <w:r w:rsidRPr="00DD5A6D">
        <w:rPr>
          <w:rFonts w:ascii="Verdana" w:hAnsi="Verdana"/>
          <w:sz w:val="16"/>
          <w:szCs w:val="16"/>
        </w:rPr>
        <w:t xml:space="preserve"> </w:t>
      </w:r>
      <w:r w:rsidRPr="00DD5A6D">
        <w:rPr>
          <w:rFonts w:ascii="Verdana" w:hAnsi="Verdana"/>
          <w:sz w:val="16"/>
          <w:szCs w:val="16"/>
          <w:lang w:val="es-ES"/>
        </w:rPr>
        <w:t xml:space="preserve">Agencia Nacional de Contratación Pública – Colombia Compra Eficiente. Circular Externa No. 006 del 25 de septiembre de 2025. Disponible en </w:t>
      </w:r>
      <w:hyperlink r:id="rId2" w:history="1">
        <w:r w:rsidRPr="00DD5A6D">
          <w:rPr>
            <w:rStyle w:val="Hyperlink"/>
            <w:rFonts w:ascii="Verdana" w:hAnsi="Verdana"/>
            <w:sz w:val="16"/>
            <w:szCs w:val="16"/>
            <w:lang w:val="es-CO"/>
          </w:rPr>
          <w:t>006-de-2025-Circular-Externa-L996-ajustado-comentarios-BM-BID-Rev-ARSC-V3.d-1.pdf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Header"/>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92EC0BC6"/>
    <w:lvl w:ilvl="0">
      <w:start w:val="1"/>
      <w:numFmt w:val="decimal"/>
      <w:lvlText w:val="%1."/>
      <w:lvlJc w:val="left"/>
      <w:pPr>
        <w:ind w:left="6601" w:hanging="360"/>
      </w:pPr>
      <w:rPr>
        <w:b/>
        <w:color w:val="000000" w:themeColor="text1"/>
        <w:lang w:val="es-C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FBC25EC"/>
    <w:multiLevelType w:val="hybridMultilevel"/>
    <w:tmpl w:val="116E12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E30246E"/>
    <w:multiLevelType w:val="hybridMultilevel"/>
    <w:tmpl w:val="5718B7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341274352">
    <w:abstractNumId w:val="0"/>
  </w:num>
  <w:num w:numId="17" w16cid:durableId="1358431546">
    <w:abstractNumId w:val="3"/>
  </w:num>
  <w:num w:numId="18" w16cid:durableId="1290621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BA9"/>
    <w:rsid w:val="00016F78"/>
    <w:rsid w:val="00046945"/>
    <w:rsid w:val="00061B2A"/>
    <w:rsid w:val="00082362"/>
    <w:rsid w:val="000A683E"/>
    <w:rsid w:val="000B19B9"/>
    <w:rsid w:val="000C3624"/>
    <w:rsid w:val="000D0334"/>
    <w:rsid w:val="000D5DA7"/>
    <w:rsid w:val="000F6486"/>
    <w:rsid w:val="00116940"/>
    <w:rsid w:val="00125105"/>
    <w:rsid w:val="00127233"/>
    <w:rsid w:val="0015699B"/>
    <w:rsid w:val="001A33BF"/>
    <w:rsid w:val="001E4177"/>
    <w:rsid w:val="001F0B24"/>
    <w:rsid w:val="001F7DC6"/>
    <w:rsid w:val="002119AF"/>
    <w:rsid w:val="0022191E"/>
    <w:rsid w:val="0022400B"/>
    <w:rsid w:val="002421BB"/>
    <w:rsid w:val="0025796E"/>
    <w:rsid w:val="002707A2"/>
    <w:rsid w:val="002951A0"/>
    <w:rsid w:val="002962BC"/>
    <w:rsid w:val="002A093D"/>
    <w:rsid w:val="002A0DD0"/>
    <w:rsid w:val="002A49AC"/>
    <w:rsid w:val="002A64FD"/>
    <w:rsid w:val="002B4DAF"/>
    <w:rsid w:val="002C7A84"/>
    <w:rsid w:val="002E2BF8"/>
    <w:rsid w:val="002E4FD9"/>
    <w:rsid w:val="0030657A"/>
    <w:rsid w:val="00322A85"/>
    <w:rsid w:val="00324168"/>
    <w:rsid w:val="00330834"/>
    <w:rsid w:val="003448F4"/>
    <w:rsid w:val="00374F5E"/>
    <w:rsid w:val="00377E3E"/>
    <w:rsid w:val="00395811"/>
    <w:rsid w:val="003A779E"/>
    <w:rsid w:val="003D0F4D"/>
    <w:rsid w:val="003D5B0D"/>
    <w:rsid w:val="003E0499"/>
    <w:rsid w:val="003E4F80"/>
    <w:rsid w:val="003E6439"/>
    <w:rsid w:val="003F3941"/>
    <w:rsid w:val="00406575"/>
    <w:rsid w:val="00414C74"/>
    <w:rsid w:val="0042722E"/>
    <w:rsid w:val="0044528D"/>
    <w:rsid w:val="00466E39"/>
    <w:rsid w:val="00477B12"/>
    <w:rsid w:val="00495D4A"/>
    <w:rsid w:val="004A1847"/>
    <w:rsid w:val="004A305D"/>
    <w:rsid w:val="004F21C4"/>
    <w:rsid w:val="004F685F"/>
    <w:rsid w:val="00555198"/>
    <w:rsid w:val="00556405"/>
    <w:rsid w:val="005566E8"/>
    <w:rsid w:val="00574867"/>
    <w:rsid w:val="00591460"/>
    <w:rsid w:val="005A65E0"/>
    <w:rsid w:val="005C3777"/>
    <w:rsid w:val="005C5CDC"/>
    <w:rsid w:val="005D476C"/>
    <w:rsid w:val="006061FE"/>
    <w:rsid w:val="006200BF"/>
    <w:rsid w:val="006219F8"/>
    <w:rsid w:val="006302F7"/>
    <w:rsid w:val="00634589"/>
    <w:rsid w:val="00646B9F"/>
    <w:rsid w:val="00665D70"/>
    <w:rsid w:val="006900D9"/>
    <w:rsid w:val="00697FDA"/>
    <w:rsid w:val="00701697"/>
    <w:rsid w:val="00706C16"/>
    <w:rsid w:val="007175A3"/>
    <w:rsid w:val="007340C3"/>
    <w:rsid w:val="0075235A"/>
    <w:rsid w:val="00756841"/>
    <w:rsid w:val="007649AB"/>
    <w:rsid w:val="00771D0C"/>
    <w:rsid w:val="00777FE7"/>
    <w:rsid w:val="007833AC"/>
    <w:rsid w:val="007960FC"/>
    <w:rsid w:val="007B268C"/>
    <w:rsid w:val="007B7171"/>
    <w:rsid w:val="007C0C0F"/>
    <w:rsid w:val="007C3DC2"/>
    <w:rsid w:val="007E3487"/>
    <w:rsid w:val="007E5497"/>
    <w:rsid w:val="007F34DF"/>
    <w:rsid w:val="00806F5F"/>
    <w:rsid w:val="00820278"/>
    <w:rsid w:val="008258C9"/>
    <w:rsid w:val="00844AE9"/>
    <w:rsid w:val="00852048"/>
    <w:rsid w:val="00867F95"/>
    <w:rsid w:val="008843B6"/>
    <w:rsid w:val="00891928"/>
    <w:rsid w:val="008A446D"/>
    <w:rsid w:val="008B25F1"/>
    <w:rsid w:val="008D180B"/>
    <w:rsid w:val="008F0EA7"/>
    <w:rsid w:val="0090662B"/>
    <w:rsid w:val="00911257"/>
    <w:rsid w:val="00923EEF"/>
    <w:rsid w:val="009419F9"/>
    <w:rsid w:val="00944874"/>
    <w:rsid w:val="00947E79"/>
    <w:rsid w:val="0095685E"/>
    <w:rsid w:val="00961B09"/>
    <w:rsid w:val="00965334"/>
    <w:rsid w:val="0097093E"/>
    <w:rsid w:val="00994706"/>
    <w:rsid w:val="009A0DFA"/>
    <w:rsid w:val="009A1C6F"/>
    <w:rsid w:val="009B2D26"/>
    <w:rsid w:val="009C71FA"/>
    <w:rsid w:val="009C72E7"/>
    <w:rsid w:val="009C761A"/>
    <w:rsid w:val="009C7911"/>
    <w:rsid w:val="009C7F7E"/>
    <w:rsid w:val="009D3058"/>
    <w:rsid w:val="009F3A13"/>
    <w:rsid w:val="00A05D7B"/>
    <w:rsid w:val="00A122D3"/>
    <w:rsid w:val="00A14468"/>
    <w:rsid w:val="00A17F13"/>
    <w:rsid w:val="00A20739"/>
    <w:rsid w:val="00A23AF9"/>
    <w:rsid w:val="00A33C78"/>
    <w:rsid w:val="00A34D9F"/>
    <w:rsid w:val="00A44E58"/>
    <w:rsid w:val="00A77420"/>
    <w:rsid w:val="00A81256"/>
    <w:rsid w:val="00AB0ADB"/>
    <w:rsid w:val="00AD71C7"/>
    <w:rsid w:val="00AE7CD2"/>
    <w:rsid w:val="00B00C0E"/>
    <w:rsid w:val="00B01B1A"/>
    <w:rsid w:val="00B0381D"/>
    <w:rsid w:val="00B44A47"/>
    <w:rsid w:val="00B72CD3"/>
    <w:rsid w:val="00B72FFF"/>
    <w:rsid w:val="00B73881"/>
    <w:rsid w:val="00B8078E"/>
    <w:rsid w:val="00BC3D36"/>
    <w:rsid w:val="00BD49CB"/>
    <w:rsid w:val="00BD54A6"/>
    <w:rsid w:val="00BD7F72"/>
    <w:rsid w:val="00BF7425"/>
    <w:rsid w:val="00C04FB3"/>
    <w:rsid w:val="00C05B33"/>
    <w:rsid w:val="00C11D8B"/>
    <w:rsid w:val="00C15139"/>
    <w:rsid w:val="00C330EB"/>
    <w:rsid w:val="00C50D69"/>
    <w:rsid w:val="00C5365C"/>
    <w:rsid w:val="00C754BE"/>
    <w:rsid w:val="00C76B1C"/>
    <w:rsid w:val="00C925AC"/>
    <w:rsid w:val="00CA6169"/>
    <w:rsid w:val="00CB37FD"/>
    <w:rsid w:val="00CB6357"/>
    <w:rsid w:val="00CC1B26"/>
    <w:rsid w:val="00D361FD"/>
    <w:rsid w:val="00D404E9"/>
    <w:rsid w:val="00D423A2"/>
    <w:rsid w:val="00D44E26"/>
    <w:rsid w:val="00D520D8"/>
    <w:rsid w:val="00D63AC2"/>
    <w:rsid w:val="00D71B7F"/>
    <w:rsid w:val="00D734D7"/>
    <w:rsid w:val="00D7383B"/>
    <w:rsid w:val="00D7788A"/>
    <w:rsid w:val="00DA231B"/>
    <w:rsid w:val="00DB3DCD"/>
    <w:rsid w:val="00DC39FC"/>
    <w:rsid w:val="00DD5A6D"/>
    <w:rsid w:val="00DE13AD"/>
    <w:rsid w:val="00DF5254"/>
    <w:rsid w:val="00E02524"/>
    <w:rsid w:val="00E16408"/>
    <w:rsid w:val="00E20894"/>
    <w:rsid w:val="00E245AB"/>
    <w:rsid w:val="00E2764C"/>
    <w:rsid w:val="00E27F2E"/>
    <w:rsid w:val="00E50AFE"/>
    <w:rsid w:val="00E709BD"/>
    <w:rsid w:val="00E75C92"/>
    <w:rsid w:val="00E771DC"/>
    <w:rsid w:val="00E8772A"/>
    <w:rsid w:val="00E90F6B"/>
    <w:rsid w:val="00E92C27"/>
    <w:rsid w:val="00EA0E3D"/>
    <w:rsid w:val="00EC38A7"/>
    <w:rsid w:val="00EE1AA8"/>
    <w:rsid w:val="00EE2DE4"/>
    <w:rsid w:val="00EF24FF"/>
    <w:rsid w:val="00F23FEA"/>
    <w:rsid w:val="00F31EDC"/>
    <w:rsid w:val="00F462B3"/>
    <w:rsid w:val="00F5664F"/>
    <w:rsid w:val="00F666C4"/>
    <w:rsid w:val="00F76AFC"/>
    <w:rsid w:val="00FA47C0"/>
    <w:rsid w:val="00FA4CFE"/>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6F73609C"/>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9D66BB75-DF10-4EB4-87B9-F7D7DE71C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1"/>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link w:val="NormalWebCh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1"/>
    <w:qFormat/>
    <w:locked/>
    <w:rsid w:val="00555198"/>
    <w:rPr>
      <w:rFonts w:ascii="Geomanist Light" w:hAnsi="Geomanist Light"/>
      <w:lang w:val="es-ES"/>
    </w:rPr>
  </w:style>
  <w:style w:type="paragraph" w:customStyle="1" w:styleId="Appelnotedebasde">
    <w:name w:val="Appel note de bas de..."/>
    <w:basedOn w:val="Normal"/>
    <w:link w:val="FootnoteReference"/>
    <w:uiPriority w:val="99"/>
    <w:rsid w:val="00555198"/>
    <w:pPr>
      <w:spacing w:line="240" w:lineRule="exact"/>
    </w:pPr>
    <w:rPr>
      <w:vertAlign w:val="superscript"/>
    </w:rPr>
  </w:style>
  <w:style w:type="character" w:customStyle="1" w:styleId="NormalWebChar">
    <w:name w:val="Normal (Web) Char"/>
    <w:link w:val="NormalWeb"/>
    <w:uiPriority w:val="99"/>
    <w:locked/>
    <w:rsid w:val="00555198"/>
    <w:rPr>
      <w:rFonts w:ascii="Times New Roman" w:eastAsia="Times New Roman" w:hAnsi="Times New Roman" w:cs="Times New Roman"/>
      <w:sz w:val="24"/>
      <w:szCs w:val="24"/>
      <w:lang w:eastAsia="es-CO"/>
    </w:rPr>
  </w:style>
  <w:style w:type="character" w:customStyle="1" w:styleId="baj">
    <w:name w:val="b_aj"/>
    <w:basedOn w:val="DefaultParagraphFont"/>
    <w:rsid w:val="00555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ombiacompra.gov.co/wp-content/uploads/2025/09/006-de-2025-Circular-Externa-L996-ajustado-comentarios-BM-BID-Rev-ARSC-V3.d-1.pdf" TargetMode="External"/><Relationship Id="rId18" Type="http://schemas.openxmlformats.org/officeDocument/2006/relationships/hyperlink" Target="mailto:ventanilladeradicacion@colombiacompra.gov.co"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mailto:notificacionesSAC1@mineducacion.gov.co" TargetMode="External"/><Relationship Id="rId17"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olombiacompra.gov.co/normativa-y-relatoria/documentos-tipo" TargetMode="External"/><Relationship Id="rId20" Type="http://schemas.openxmlformats.org/officeDocument/2006/relationships/hyperlink" Target="https://forms.office.com/r/pPHyWVs2S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formacionvirtual.colombiacompra.gov.co/mod/page/view.php?id=3718"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olombiacompra.gov.co/pqrsd/informacion-importante-antes-de-formular-una-pqrs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colombiacompra.gov.co/wp-content/uploads/2025/09/006-de-2025-Circular-Externa-L996-ajustado-comentarios-BM-BID-Rev-ARSC-V3.d-1.pdf" TargetMode="External"/><Relationship Id="rId1" Type="http://schemas.openxmlformats.org/officeDocument/2006/relationships/hyperlink" Target="https://colombiacompra.gov.co/wp-content/uploads/2025/09/006-de-2025-Circular-Externa-L996-ajustado-comentarios-BM-BID-Rev-ARSC-V3.d-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DF6BA767-E179-432B-AA07-CAAB11BD0DD1}">
  <ds:schemaRefs>
    <ds:schemaRef ds:uri="http://schemas.openxmlformats.org/officeDocument/2006/bibliography"/>
  </ds:schemaRefs>
</ds:datastoreItem>
</file>

<file path=customXml/itemProps3.xml><?xml version="1.0" encoding="utf-8"?>
<ds:datastoreItem xmlns:ds="http://schemas.openxmlformats.org/officeDocument/2006/customXml" ds:itemID="{6E9A1387-492D-4B27-BA92-154CCC607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1</Pages>
  <Words>11863</Words>
  <Characters>67621</Characters>
  <Application>Microsoft Office Word</Application>
  <DocSecurity>4</DocSecurity>
  <Lines>563</Lines>
  <Paragraphs>158</Paragraphs>
  <ScaleCrop>false</ScaleCrop>
  <Company/>
  <LinksUpToDate>false</LinksUpToDate>
  <CharactersWithSpaces>79326</CharactersWithSpaces>
  <SharedDoc>false</SharedDoc>
  <HLinks>
    <vt:vector size="66" baseType="variant">
      <vt:variant>
        <vt:i4>4456513</vt:i4>
      </vt:variant>
      <vt:variant>
        <vt:i4>24</vt:i4>
      </vt:variant>
      <vt:variant>
        <vt:i4>0</vt:i4>
      </vt:variant>
      <vt:variant>
        <vt:i4>5</vt:i4>
      </vt:variant>
      <vt:variant>
        <vt:lpwstr>https://forms.office.com/r/pPHyWVs2SZ</vt:lpwstr>
      </vt:variant>
      <vt:variant>
        <vt:lpwstr/>
      </vt:variant>
      <vt:variant>
        <vt:i4>3407926</vt:i4>
      </vt:variant>
      <vt:variant>
        <vt:i4>21</vt:i4>
      </vt:variant>
      <vt:variant>
        <vt:i4>0</vt:i4>
      </vt:variant>
      <vt:variant>
        <vt:i4>5</vt:i4>
      </vt:variant>
      <vt:variant>
        <vt:lpwstr>https://www.colombiacompra.gov.co/pqrsd/informacion-importante-antes-de-formular-una-pqrsd</vt:lpwstr>
      </vt:variant>
      <vt:variant>
        <vt:lpwstr/>
      </vt:variant>
      <vt:variant>
        <vt:i4>4980779</vt:i4>
      </vt:variant>
      <vt:variant>
        <vt:i4>18</vt:i4>
      </vt:variant>
      <vt:variant>
        <vt:i4>0</vt:i4>
      </vt:variant>
      <vt:variant>
        <vt:i4>5</vt:i4>
      </vt:variant>
      <vt:variant>
        <vt:lpwstr>mailto:ventanilladeradicacion@colombiacompra.gov.co</vt:lpwstr>
      </vt:variant>
      <vt:variant>
        <vt:lpwstr/>
      </vt:variant>
      <vt:variant>
        <vt:i4>5505101</vt:i4>
      </vt:variant>
      <vt:variant>
        <vt:i4>15</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12</vt:i4>
      </vt:variant>
      <vt:variant>
        <vt:i4>0</vt:i4>
      </vt:variant>
      <vt:variant>
        <vt:i4>5</vt:i4>
      </vt:variant>
      <vt:variant>
        <vt:lpwstr>https://www.colombiacompra.gov.co/normativa-y-relatoria/documentos-tipo</vt:lpwstr>
      </vt:variant>
      <vt:variant>
        <vt:lpwstr/>
      </vt:variant>
      <vt:variant>
        <vt:i4>65544</vt:i4>
      </vt:variant>
      <vt:variant>
        <vt:i4>9</vt:i4>
      </vt:variant>
      <vt:variant>
        <vt:i4>0</vt:i4>
      </vt:variant>
      <vt:variant>
        <vt:i4>5</vt:i4>
      </vt:variant>
      <vt:variant>
        <vt:lpwstr>https://formacionvirtual.colombiacompra.gov.co/mod/page/view.php?id=3718</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3407907</vt:i4>
      </vt:variant>
      <vt:variant>
        <vt:i4>3</vt:i4>
      </vt:variant>
      <vt:variant>
        <vt:i4>0</vt:i4>
      </vt:variant>
      <vt:variant>
        <vt:i4>5</vt:i4>
      </vt:variant>
      <vt:variant>
        <vt:lpwstr>https://colombiacompra.gov.co/wp-content/uploads/2025/09/006-de-2025-Circular-Externa-L996-ajustado-comentarios-BM-BID-Rev-ARSC-V3.d-1.pdf</vt:lpwstr>
      </vt:variant>
      <vt:variant>
        <vt:lpwstr/>
      </vt:variant>
      <vt:variant>
        <vt:i4>2686983</vt:i4>
      </vt:variant>
      <vt:variant>
        <vt:i4>0</vt:i4>
      </vt:variant>
      <vt:variant>
        <vt:i4>0</vt:i4>
      </vt:variant>
      <vt:variant>
        <vt:i4>5</vt:i4>
      </vt:variant>
      <vt:variant>
        <vt:lpwstr>mailto:notificacionesSAC1@mineducacion.gov.co</vt:lpwstr>
      </vt:variant>
      <vt:variant>
        <vt:lpwstr/>
      </vt:variant>
      <vt:variant>
        <vt:i4>3407907</vt:i4>
      </vt:variant>
      <vt:variant>
        <vt:i4>3</vt:i4>
      </vt:variant>
      <vt:variant>
        <vt:i4>0</vt:i4>
      </vt:variant>
      <vt:variant>
        <vt:i4>5</vt:i4>
      </vt:variant>
      <vt:variant>
        <vt:lpwstr>https://colombiacompra.gov.co/wp-content/uploads/2025/09/006-de-2025-Circular-Externa-L996-ajustado-comentarios-BM-BID-Rev-ARSC-V3.d-1.pdf</vt:lpwstr>
      </vt:variant>
      <vt:variant>
        <vt:lpwstr/>
      </vt:variant>
      <vt:variant>
        <vt:i4>3407907</vt:i4>
      </vt:variant>
      <vt:variant>
        <vt:i4>0</vt:i4>
      </vt:variant>
      <vt:variant>
        <vt:i4>0</vt:i4>
      </vt:variant>
      <vt:variant>
        <vt:i4>5</vt:i4>
      </vt:variant>
      <vt:variant>
        <vt:lpwstr>https://colombiacompra.gov.co/wp-content/uploads/2025/09/006-de-2025-Circular-Externa-L996-ajustado-comentarios-BM-BID-Rev-ARSC-V3.d-1.pdf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12</cp:revision>
  <cp:lastPrinted>2023-01-11T00:18:00Z</cp:lastPrinted>
  <dcterms:created xsi:type="dcterms:W3CDTF">2026-03-17T14:12:00Z</dcterms:created>
  <dcterms:modified xsi:type="dcterms:W3CDTF">2026-06-11T13:18:00Z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