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78679" w14:textId="77777777" w:rsidR="00FC6F93" w:rsidRPr="00FE083C" w:rsidRDefault="00FC6F93" w:rsidP="00FC6F93">
      <w:pPr>
        <w:spacing w:line="276" w:lineRule="auto"/>
        <w:jc w:val="right"/>
        <w:rPr>
          <w:rFonts w:ascii="Arial" w:eastAsia="Times New Roman" w:hAnsi="Arial" w:cs="Arial"/>
          <w:b/>
          <w:bCs/>
          <w:color w:val="000000" w:themeColor="text1"/>
          <w:sz w:val="16"/>
          <w:szCs w:val="16"/>
          <w:lang w:eastAsia="es-ES"/>
        </w:rPr>
      </w:pPr>
      <w:r w:rsidRPr="00FE083C">
        <w:rPr>
          <w:rFonts w:ascii="Arial" w:eastAsia="Times New Roman" w:hAnsi="Arial" w:cs="Arial"/>
          <w:b/>
          <w:bCs/>
          <w:color w:val="000000" w:themeColor="text1"/>
          <w:sz w:val="16"/>
          <w:szCs w:val="16"/>
          <w:lang w:eastAsia="es-ES"/>
        </w:rPr>
        <w:t>CCE-DES-FM-17</w:t>
      </w:r>
    </w:p>
    <w:p w14:paraId="28BEA407" w14:textId="77777777" w:rsidR="00FC6F93" w:rsidRPr="00C55BB9" w:rsidRDefault="00FC6F93" w:rsidP="00FC6F93">
      <w:pPr>
        <w:spacing w:line="276" w:lineRule="auto"/>
        <w:jc w:val="right"/>
        <w:rPr>
          <w:rFonts w:ascii="Arial" w:eastAsia="Calibri" w:hAnsi="Arial" w:cs="Arial"/>
          <w:b/>
          <w:color w:val="000000" w:themeColor="text1"/>
          <w:sz w:val="16"/>
          <w:szCs w:val="16"/>
        </w:rPr>
      </w:pPr>
    </w:p>
    <w:p w14:paraId="34A772BE" w14:textId="65EA4EA0" w:rsidR="00FC6F93" w:rsidRPr="006525EB" w:rsidRDefault="00FC6F93" w:rsidP="006525EB">
      <w:pPr>
        <w:jc w:val="both"/>
        <w:rPr>
          <w:rFonts w:ascii="Arial" w:eastAsia="Calibri" w:hAnsi="Arial" w:cs="Arial"/>
          <w:b/>
          <w:color w:val="000000" w:themeColor="text1"/>
          <w:sz w:val="22"/>
        </w:rPr>
      </w:pPr>
      <w:r w:rsidRPr="006525EB">
        <w:rPr>
          <w:rFonts w:ascii="Arial" w:eastAsia="Calibri" w:hAnsi="Arial" w:cs="Arial"/>
          <w:b/>
          <w:color w:val="000000" w:themeColor="text1"/>
          <w:sz w:val="22"/>
        </w:rPr>
        <w:t xml:space="preserve">CONTRATO ESTATAL – Requisitos de perfeccionamiento </w:t>
      </w:r>
      <w:r w:rsidR="00051B8B" w:rsidRPr="006525EB">
        <w:rPr>
          <w:rFonts w:ascii="Arial" w:eastAsia="Calibri" w:hAnsi="Arial" w:cs="Arial"/>
          <w:b/>
          <w:color w:val="000000" w:themeColor="text1"/>
          <w:sz w:val="22"/>
        </w:rPr>
        <w:t>–</w:t>
      </w:r>
      <w:r w:rsidR="00051B8B">
        <w:rPr>
          <w:rFonts w:ascii="Arial" w:eastAsia="Calibri" w:hAnsi="Arial" w:cs="Arial"/>
          <w:b/>
          <w:color w:val="000000" w:themeColor="text1"/>
          <w:sz w:val="22"/>
        </w:rPr>
        <w:t xml:space="preserve"> Requisitos</w:t>
      </w:r>
      <w:r w:rsidR="00E048CC">
        <w:rPr>
          <w:rFonts w:ascii="Arial" w:eastAsia="Calibri" w:hAnsi="Arial" w:cs="Arial"/>
          <w:b/>
          <w:color w:val="000000" w:themeColor="text1"/>
          <w:sz w:val="22"/>
        </w:rPr>
        <w:t xml:space="preserve"> de</w:t>
      </w:r>
      <w:r w:rsidRPr="006525EB">
        <w:rPr>
          <w:rFonts w:ascii="Arial" w:eastAsia="Calibri" w:hAnsi="Arial" w:cs="Arial"/>
          <w:b/>
          <w:color w:val="000000" w:themeColor="text1"/>
          <w:sz w:val="22"/>
        </w:rPr>
        <w:t xml:space="preserve"> ejecución – Diferencia</w:t>
      </w:r>
      <w:r w:rsidR="00E048CC">
        <w:rPr>
          <w:rFonts w:ascii="Arial" w:eastAsia="Calibri" w:hAnsi="Arial" w:cs="Arial"/>
          <w:b/>
          <w:color w:val="000000" w:themeColor="text1"/>
          <w:sz w:val="22"/>
        </w:rPr>
        <w:t>s</w:t>
      </w:r>
    </w:p>
    <w:p w14:paraId="16E9A078" w14:textId="77777777" w:rsidR="00FC6F93" w:rsidRPr="00FE083C" w:rsidRDefault="00FC6F93" w:rsidP="006525EB">
      <w:pPr>
        <w:jc w:val="both"/>
        <w:rPr>
          <w:rFonts w:ascii="Arial" w:hAnsi="Arial" w:cs="Arial"/>
          <w:color w:val="000000" w:themeColor="text1"/>
          <w:sz w:val="20"/>
          <w:szCs w:val="20"/>
        </w:rPr>
      </w:pPr>
    </w:p>
    <w:p w14:paraId="5B6D3AD5" w14:textId="52B91205" w:rsidR="00FC6F93" w:rsidRPr="00FE083C" w:rsidRDefault="00FC6F93" w:rsidP="006525EB">
      <w:pPr>
        <w:spacing w:after="120"/>
        <w:jc w:val="both"/>
        <w:rPr>
          <w:rFonts w:ascii="Arial" w:eastAsia="Calibri" w:hAnsi="Arial" w:cs="Arial"/>
          <w:color w:val="000000" w:themeColor="text1"/>
          <w:sz w:val="20"/>
          <w:szCs w:val="20"/>
        </w:rPr>
      </w:pPr>
      <w:r w:rsidRPr="00FE083C">
        <w:rPr>
          <w:rFonts w:ascii="Arial" w:eastAsia="Calibri" w:hAnsi="Arial" w:cs="Arial"/>
          <w:color w:val="000000" w:themeColor="text1"/>
          <w:sz w:val="20"/>
          <w:szCs w:val="20"/>
        </w:rPr>
        <w:t>El Consejo de Estado aclaró la diferencia entre el perfeccionamiento y la ejecución del contrato, de la siguiente manera:</w:t>
      </w:r>
    </w:p>
    <w:p w14:paraId="0876D712" w14:textId="77777777" w:rsidR="00FC6F93" w:rsidRPr="00FE083C" w:rsidRDefault="00FC6F93" w:rsidP="006525EB">
      <w:pPr>
        <w:pStyle w:val="Prrafodelista"/>
        <w:ind w:left="0"/>
        <w:jc w:val="both"/>
        <w:rPr>
          <w:rFonts w:ascii="Arial" w:eastAsia="Calibri" w:hAnsi="Arial" w:cs="Arial"/>
          <w:color w:val="000000" w:themeColor="text1"/>
          <w:sz w:val="20"/>
          <w:szCs w:val="20"/>
        </w:rPr>
      </w:pPr>
      <w:r w:rsidRPr="00FE083C">
        <w:rPr>
          <w:rFonts w:ascii="Arial" w:eastAsia="Calibri" w:hAnsi="Arial" w:cs="Arial"/>
          <w:color w:val="000000" w:themeColor="text1"/>
          <w:sz w:val="20"/>
          <w:szCs w:val="20"/>
        </w:rPr>
        <w:t xml:space="preserve">La Sala concluyó y ahora se reitera que i) la existencia del contrato no difiere del perfeccionamiento; es decir, cumplidos los elementos esenciales que dan lugar al contrato no queda sino aceptar la relación jurídico contractual; </w:t>
      </w:r>
      <w:proofErr w:type="spellStart"/>
      <w:r w:rsidRPr="00FE083C">
        <w:rPr>
          <w:rFonts w:ascii="Arial" w:eastAsia="Calibri" w:hAnsi="Arial" w:cs="Arial"/>
          <w:color w:val="000000" w:themeColor="text1"/>
          <w:sz w:val="20"/>
          <w:szCs w:val="20"/>
        </w:rPr>
        <w:t>ii</w:t>
      </w:r>
      <w:proofErr w:type="spellEnd"/>
      <w:r w:rsidRPr="00FE083C">
        <w:rPr>
          <w:rFonts w:ascii="Arial" w:eastAsia="Calibri" w:hAnsi="Arial" w:cs="Arial"/>
          <w:color w:val="000000" w:themeColor="text1"/>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FE083C">
        <w:rPr>
          <w:rFonts w:ascii="Arial" w:eastAsia="Calibri" w:hAnsi="Arial" w:cs="Arial"/>
          <w:color w:val="000000" w:themeColor="text1"/>
          <w:sz w:val="20"/>
          <w:szCs w:val="20"/>
        </w:rPr>
        <w:t>iii</w:t>
      </w:r>
      <w:proofErr w:type="spellEnd"/>
      <w:r w:rsidRPr="00FE083C">
        <w:rPr>
          <w:rFonts w:ascii="Arial" w:eastAsia="Calibri" w:hAnsi="Arial" w:cs="Arial"/>
          <w:color w:val="000000" w:themeColor="text1"/>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FE083C">
        <w:rPr>
          <w:rFonts w:ascii="Arial" w:eastAsia="Calibri" w:hAnsi="Arial" w:cs="Arial"/>
          <w:color w:val="000000" w:themeColor="text1"/>
          <w:sz w:val="20"/>
          <w:szCs w:val="20"/>
        </w:rPr>
        <w:t>iv</w:t>
      </w:r>
      <w:proofErr w:type="spellEnd"/>
      <w:r w:rsidRPr="00FE083C">
        <w:rPr>
          <w:rFonts w:ascii="Arial" w:eastAsia="Calibri" w:hAnsi="Arial" w:cs="Arial"/>
          <w:color w:val="000000" w:themeColor="text1"/>
          <w:sz w:val="20"/>
          <w:szCs w:val="20"/>
        </w:rPr>
        <w:t>) el requisito relativo al registro presupuestal no es una condición de existencia del contrato estatal, es un requisito de ejecución.</w:t>
      </w:r>
    </w:p>
    <w:p w14:paraId="52259146" w14:textId="77777777" w:rsidR="00FC6F93" w:rsidRPr="00FE083C" w:rsidRDefault="00FC6F93" w:rsidP="006525EB">
      <w:pPr>
        <w:pStyle w:val="Prrafodelista"/>
        <w:ind w:left="0"/>
        <w:jc w:val="both"/>
        <w:rPr>
          <w:rFonts w:ascii="Arial" w:eastAsia="Calibri" w:hAnsi="Arial" w:cs="Arial"/>
          <w:color w:val="000000" w:themeColor="text1"/>
          <w:sz w:val="20"/>
          <w:szCs w:val="20"/>
          <w:highlight w:val="yellow"/>
        </w:rPr>
      </w:pPr>
    </w:p>
    <w:p w14:paraId="06430C11" w14:textId="77777777" w:rsidR="00FC6F93" w:rsidRPr="006525EB" w:rsidRDefault="00FC6F93" w:rsidP="006525EB">
      <w:pPr>
        <w:pStyle w:val="Prrafodelista"/>
        <w:ind w:left="0"/>
        <w:jc w:val="both"/>
        <w:rPr>
          <w:rFonts w:ascii="Arial" w:eastAsia="Calibri" w:hAnsi="Arial" w:cs="Arial"/>
          <w:b/>
          <w:color w:val="000000" w:themeColor="text1"/>
          <w:sz w:val="22"/>
        </w:rPr>
      </w:pPr>
      <w:r w:rsidRPr="006525EB">
        <w:rPr>
          <w:rFonts w:ascii="Arial" w:eastAsia="Calibri" w:hAnsi="Arial" w:cs="Arial"/>
          <w:b/>
          <w:color w:val="000000" w:themeColor="text1"/>
          <w:sz w:val="22"/>
        </w:rPr>
        <w:t>PUBLICIDAD – Obligación – SECOP</w:t>
      </w:r>
    </w:p>
    <w:p w14:paraId="55328F4A" w14:textId="77777777" w:rsidR="00FC6F93" w:rsidRPr="00FE083C" w:rsidRDefault="00FC6F93" w:rsidP="006525EB">
      <w:pPr>
        <w:pStyle w:val="Prrafodelista"/>
        <w:ind w:left="0"/>
        <w:jc w:val="both"/>
        <w:rPr>
          <w:rFonts w:ascii="Arial" w:eastAsia="Calibri" w:hAnsi="Arial" w:cs="Arial"/>
          <w:color w:val="000000" w:themeColor="text1"/>
          <w:sz w:val="20"/>
          <w:szCs w:val="20"/>
        </w:rPr>
      </w:pPr>
    </w:p>
    <w:p w14:paraId="0FAFDCAF" w14:textId="77777777" w:rsidR="00FC6F93" w:rsidRPr="00FE083C" w:rsidRDefault="00FC6F93" w:rsidP="006525EB">
      <w:pPr>
        <w:jc w:val="both"/>
        <w:rPr>
          <w:rFonts w:ascii="Arial" w:eastAsia="Calibri" w:hAnsi="Arial" w:cs="Arial"/>
          <w:color w:val="000000" w:themeColor="text1"/>
          <w:sz w:val="20"/>
          <w:szCs w:val="20"/>
        </w:rPr>
      </w:pPr>
      <w:r w:rsidRPr="00FE083C">
        <w:rPr>
          <w:rFonts w:ascii="Arial" w:eastAsia="Calibri" w:hAnsi="Arial" w:cs="Arial"/>
          <w:color w:val="000000" w:themeColor="text1"/>
          <w:sz w:val="20"/>
          <w:szCs w:val="20"/>
        </w:rPr>
        <w:t>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p>
    <w:p w14:paraId="68B1CE09" w14:textId="77777777" w:rsidR="00FC6F93" w:rsidRPr="00FE083C" w:rsidRDefault="00FC6F93" w:rsidP="006525EB">
      <w:pPr>
        <w:jc w:val="both"/>
        <w:rPr>
          <w:rFonts w:ascii="Arial" w:eastAsia="Calibri" w:hAnsi="Arial" w:cs="Arial"/>
          <w:b/>
          <w:color w:val="000000" w:themeColor="text1"/>
          <w:sz w:val="20"/>
          <w:szCs w:val="20"/>
          <w:highlight w:val="yellow"/>
        </w:rPr>
      </w:pPr>
    </w:p>
    <w:p w14:paraId="083A0C69" w14:textId="77777777" w:rsidR="00FC6F93" w:rsidRPr="006525EB" w:rsidRDefault="00FC6F93" w:rsidP="006525EB">
      <w:pPr>
        <w:jc w:val="both"/>
        <w:rPr>
          <w:rFonts w:ascii="Arial" w:hAnsi="Arial" w:cs="Arial"/>
          <w:b/>
          <w:color w:val="000000" w:themeColor="text1"/>
          <w:sz w:val="22"/>
        </w:rPr>
      </w:pPr>
      <w:r w:rsidRPr="006525EB">
        <w:rPr>
          <w:rFonts w:ascii="Arial" w:eastAsia="Calibri" w:hAnsi="Arial" w:cs="Arial"/>
          <w:b/>
          <w:color w:val="000000" w:themeColor="text1"/>
          <w:sz w:val="22"/>
        </w:rPr>
        <w:t>SECOP II – Funcionamiento</w:t>
      </w:r>
    </w:p>
    <w:p w14:paraId="35FAC328" w14:textId="77777777" w:rsidR="00FC6F93" w:rsidRPr="00FE083C" w:rsidRDefault="00FC6F93" w:rsidP="006525EB">
      <w:pPr>
        <w:jc w:val="both"/>
        <w:rPr>
          <w:rFonts w:ascii="Arial" w:hAnsi="Arial" w:cs="Arial"/>
          <w:color w:val="000000" w:themeColor="text1"/>
          <w:sz w:val="20"/>
          <w:szCs w:val="20"/>
        </w:rPr>
      </w:pPr>
    </w:p>
    <w:p w14:paraId="701D930B" w14:textId="77777777" w:rsidR="00FC6F93" w:rsidRPr="00FE083C" w:rsidRDefault="00FC6F93" w:rsidP="006525EB">
      <w:pPr>
        <w:jc w:val="both"/>
        <w:rPr>
          <w:rFonts w:ascii="Arial" w:eastAsia="Calibri" w:hAnsi="Arial" w:cs="Arial"/>
          <w:color w:val="000000" w:themeColor="text1"/>
          <w:sz w:val="20"/>
          <w:szCs w:val="20"/>
        </w:rPr>
      </w:pPr>
      <w:r w:rsidRPr="00FE083C">
        <w:rPr>
          <w:rFonts w:ascii="Arial" w:eastAsia="Calibri" w:hAnsi="Arial" w:cs="Arial"/>
          <w:color w:val="000000" w:themeColor="text1"/>
          <w:sz w:val="20"/>
          <w:szCs w:val="20"/>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99F1212" w14:textId="77777777" w:rsidR="00FC6F93" w:rsidRPr="00FE083C" w:rsidRDefault="00FC6F93" w:rsidP="006525EB">
      <w:pPr>
        <w:jc w:val="both"/>
        <w:rPr>
          <w:rFonts w:ascii="Arial" w:eastAsia="Calibri" w:hAnsi="Arial" w:cs="Arial"/>
          <w:color w:val="000000" w:themeColor="text1"/>
          <w:sz w:val="20"/>
          <w:szCs w:val="20"/>
          <w:highlight w:val="yellow"/>
        </w:rPr>
      </w:pPr>
    </w:p>
    <w:p w14:paraId="268506CB" w14:textId="77777777" w:rsidR="00FC6F93" w:rsidRPr="006525EB" w:rsidRDefault="00FC6F93" w:rsidP="006525EB">
      <w:pPr>
        <w:jc w:val="both"/>
        <w:rPr>
          <w:rFonts w:ascii="Arial" w:hAnsi="Arial" w:cs="Arial"/>
          <w:b/>
          <w:color w:val="000000" w:themeColor="text1"/>
          <w:sz w:val="22"/>
          <w:lang w:val="es-ES"/>
        </w:rPr>
      </w:pPr>
      <w:r w:rsidRPr="006525EB">
        <w:rPr>
          <w:rFonts w:ascii="Arial" w:eastAsia="Calibri" w:hAnsi="Arial" w:cs="Arial"/>
          <w:b/>
          <w:color w:val="000000" w:themeColor="text1"/>
          <w:sz w:val="22"/>
          <w:lang w:val="es-ES"/>
        </w:rPr>
        <w:t>SECOP II – SECOP I – Diferencia</w:t>
      </w:r>
    </w:p>
    <w:p w14:paraId="586273CF" w14:textId="77777777" w:rsidR="00FC6F93" w:rsidRPr="006525EB" w:rsidRDefault="00FC6F93" w:rsidP="006525EB">
      <w:pPr>
        <w:jc w:val="both"/>
        <w:rPr>
          <w:rFonts w:ascii="Arial" w:hAnsi="Arial" w:cs="Arial"/>
          <w:color w:val="000000" w:themeColor="text1"/>
          <w:sz w:val="22"/>
          <w:lang w:val="es-ES"/>
        </w:rPr>
      </w:pPr>
    </w:p>
    <w:p w14:paraId="5401B2C6" w14:textId="77777777" w:rsidR="00FC6F93" w:rsidRPr="00FE083C" w:rsidRDefault="00FC6F93" w:rsidP="006525EB">
      <w:pPr>
        <w:jc w:val="both"/>
        <w:rPr>
          <w:color w:val="000000" w:themeColor="text1"/>
          <w:sz w:val="20"/>
          <w:szCs w:val="20"/>
        </w:rPr>
      </w:pPr>
      <w:r w:rsidRPr="00FE083C">
        <w:rPr>
          <w:rFonts w:ascii="Arial" w:eastAsia="Calibri" w:hAnsi="Arial" w:cs="Arial"/>
          <w:color w:val="000000" w:themeColor="text1"/>
          <w:sz w:val="20"/>
          <w:szCs w:val="20"/>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60344951" w14:textId="77777777" w:rsidR="00FC6F93" w:rsidRPr="00FE083C" w:rsidRDefault="00FC6F93" w:rsidP="006525EB">
      <w:pPr>
        <w:jc w:val="both"/>
        <w:rPr>
          <w:color w:val="000000" w:themeColor="text1"/>
          <w:sz w:val="20"/>
          <w:szCs w:val="20"/>
        </w:rPr>
      </w:pPr>
    </w:p>
    <w:p w14:paraId="7C89E796" w14:textId="77777777" w:rsidR="00FC6F93" w:rsidRPr="006525EB" w:rsidRDefault="00FC6F93" w:rsidP="006525EB">
      <w:pPr>
        <w:jc w:val="both"/>
        <w:rPr>
          <w:rFonts w:ascii="Arial" w:hAnsi="Arial" w:cs="Arial"/>
          <w:b/>
          <w:color w:val="000000" w:themeColor="text1"/>
          <w:sz w:val="22"/>
          <w:lang w:val="es-ES"/>
        </w:rPr>
      </w:pPr>
      <w:r w:rsidRPr="006525EB">
        <w:rPr>
          <w:rFonts w:ascii="Arial" w:eastAsia="Calibri" w:hAnsi="Arial" w:cs="Arial"/>
          <w:b/>
          <w:color w:val="000000" w:themeColor="text1"/>
          <w:sz w:val="22"/>
          <w:lang w:val="es-ES"/>
        </w:rPr>
        <w:t>SECOP II – Contrato electrónico</w:t>
      </w:r>
    </w:p>
    <w:p w14:paraId="5186725B" w14:textId="77777777" w:rsidR="00FC6F93" w:rsidRPr="006525EB" w:rsidRDefault="00FC6F93" w:rsidP="006525EB">
      <w:pPr>
        <w:jc w:val="both"/>
        <w:rPr>
          <w:rFonts w:ascii="Arial" w:hAnsi="Arial" w:cs="Arial"/>
          <w:color w:val="000000" w:themeColor="text1"/>
          <w:sz w:val="20"/>
          <w:szCs w:val="20"/>
          <w:highlight w:val="yellow"/>
        </w:rPr>
      </w:pPr>
    </w:p>
    <w:p w14:paraId="2DDDF97B" w14:textId="42C49357" w:rsidR="00FC6F93" w:rsidRPr="00FE083C" w:rsidRDefault="00FC6F93" w:rsidP="006525EB">
      <w:pPr>
        <w:jc w:val="both"/>
        <w:rPr>
          <w:rFonts w:ascii="Arial" w:hAnsi="Arial" w:cs="Arial"/>
          <w:color w:val="000000" w:themeColor="text1"/>
          <w:sz w:val="22"/>
        </w:rPr>
      </w:pPr>
      <w:r w:rsidRPr="00FE083C">
        <w:rPr>
          <w:rFonts w:ascii="Arial" w:eastAsia="Calibri" w:hAnsi="Arial" w:cs="Arial"/>
          <w:color w:val="000000" w:themeColor="text1"/>
          <w:sz w:val="20"/>
          <w:szCs w:val="20"/>
        </w:rPr>
        <w:lastRenderedPageBreak/>
        <w:t>La Guía para hacer la gestión contractual en el SECOP II de Colombia Compra Eficiente señala el contenido de cada sección del contrato electrónico y cómo debe ser diligenciado, y para resolver su consulta se enfatiza en la sección «v) documentos del contrato»,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r w:rsidR="006525EB">
        <w:rPr>
          <w:rFonts w:ascii="Arial" w:eastAsia="Calibri" w:hAnsi="Arial" w:cs="Arial"/>
          <w:color w:val="000000" w:themeColor="text1"/>
          <w:sz w:val="20"/>
          <w:szCs w:val="20"/>
        </w:rPr>
        <w:t>.</w:t>
      </w:r>
    </w:p>
    <w:p w14:paraId="44573A58" w14:textId="77777777" w:rsidR="00FC6F93" w:rsidRPr="00FE083C" w:rsidRDefault="00FC6F93" w:rsidP="00FC6F93">
      <w:pPr>
        <w:rPr>
          <w:rFonts w:ascii="Arial" w:hAnsi="Arial" w:cs="Arial"/>
          <w:color w:val="000000" w:themeColor="text1"/>
          <w:sz w:val="20"/>
          <w:szCs w:val="20"/>
        </w:rPr>
      </w:pPr>
    </w:p>
    <w:p w14:paraId="3E9A09AB" w14:textId="77777777" w:rsidR="00FE083C" w:rsidRPr="00FE083C" w:rsidRDefault="00FE083C" w:rsidP="00FE083C">
      <w:pPr>
        <w:pStyle w:val="Default"/>
        <w:rPr>
          <w:color w:val="000000" w:themeColor="text1"/>
          <w:sz w:val="20"/>
          <w:szCs w:val="20"/>
        </w:rPr>
      </w:pPr>
    </w:p>
    <w:p w14:paraId="3671B9B7" w14:textId="00B04BAF" w:rsidR="00FE083C" w:rsidRPr="00FE083C" w:rsidRDefault="00FE083C" w:rsidP="00FE083C">
      <w:pPr>
        <w:pStyle w:val="Default"/>
        <w:rPr>
          <w:color w:val="000000" w:themeColor="text1"/>
          <w:sz w:val="22"/>
          <w:szCs w:val="22"/>
        </w:rPr>
      </w:pPr>
      <w:r w:rsidRPr="00FE083C">
        <w:rPr>
          <w:color w:val="000000" w:themeColor="text1"/>
          <w:sz w:val="22"/>
          <w:szCs w:val="22"/>
        </w:rPr>
        <w:t xml:space="preserve">Bogotá D.C., </w:t>
      </w:r>
      <w:r w:rsidRPr="00FE083C">
        <w:rPr>
          <w:b/>
          <w:bCs/>
          <w:color w:val="000000" w:themeColor="text1"/>
          <w:sz w:val="22"/>
          <w:szCs w:val="22"/>
        </w:rPr>
        <w:t xml:space="preserve">06/04/2020 Hora 2:43:55s </w:t>
      </w:r>
    </w:p>
    <w:p w14:paraId="19F2075F" w14:textId="77777777" w:rsidR="007F4C6E" w:rsidRPr="00C55BB9" w:rsidRDefault="00FE083C" w:rsidP="00FE083C">
      <w:pPr>
        <w:tabs>
          <w:tab w:val="left" w:pos="3374"/>
        </w:tabs>
        <w:jc w:val="right"/>
        <w:rPr>
          <w:rFonts w:ascii="Arial" w:hAnsi="Arial" w:cs="Arial"/>
          <w:b/>
          <w:bCs/>
          <w:color w:val="000000" w:themeColor="text1"/>
          <w:sz w:val="22"/>
        </w:rPr>
      </w:pPr>
      <w:proofErr w:type="spellStart"/>
      <w:r w:rsidRPr="00C55BB9">
        <w:rPr>
          <w:rFonts w:ascii="Arial" w:hAnsi="Arial" w:cs="Arial"/>
          <w:b/>
          <w:bCs/>
          <w:color w:val="000000" w:themeColor="text1"/>
          <w:sz w:val="22"/>
        </w:rPr>
        <w:t>N°</w:t>
      </w:r>
      <w:proofErr w:type="spellEnd"/>
      <w:r w:rsidRPr="00C55BB9">
        <w:rPr>
          <w:rFonts w:ascii="Arial" w:hAnsi="Arial" w:cs="Arial"/>
          <w:b/>
          <w:bCs/>
          <w:color w:val="000000" w:themeColor="text1"/>
          <w:sz w:val="22"/>
        </w:rPr>
        <w:t xml:space="preserve"> Radicado: 2202013000002449</w:t>
      </w:r>
    </w:p>
    <w:p w14:paraId="42C070BB" w14:textId="14E92C83" w:rsidR="00FC6F93" w:rsidRPr="00FE083C" w:rsidRDefault="00FC6F93" w:rsidP="00FE083C">
      <w:pPr>
        <w:tabs>
          <w:tab w:val="left" w:pos="3374"/>
        </w:tabs>
        <w:jc w:val="right"/>
        <w:rPr>
          <w:rFonts w:ascii="Arial" w:eastAsia="Calibri" w:hAnsi="Arial" w:cs="Arial"/>
          <w:color w:val="000000" w:themeColor="text1"/>
          <w:sz w:val="22"/>
        </w:rPr>
      </w:pPr>
      <w:r w:rsidRPr="00FE083C">
        <w:rPr>
          <w:rFonts w:ascii="Arial" w:eastAsia="Calibri" w:hAnsi="Arial" w:cs="Arial"/>
          <w:color w:val="000000" w:themeColor="text1"/>
          <w:sz w:val="22"/>
        </w:rPr>
        <w:tab/>
      </w:r>
    </w:p>
    <w:p w14:paraId="6BB19B02" w14:textId="77777777" w:rsidR="00FC6F93" w:rsidRPr="00FE083C" w:rsidRDefault="00FC6F93" w:rsidP="00FC6F93">
      <w:pPr>
        <w:rPr>
          <w:rFonts w:ascii="Arial" w:eastAsia="Calibri" w:hAnsi="Arial" w:cs="Arial"/>
          <w:color w:val="000000" w:themeColor="text1"/>
          <w:sz w:val="22"/>
        </w:rPr>
      </w:pPr>
      <w:r w:rsidRPr="00FE083C">
        <w:rPr>
          <w:rFonts w:ascii="Arial" w:eastAsia="Calibri" w:hAnsi="Arial" w:cs="Arial"/>
          <w:color w:val="000000" w:themeColor="text1"/>
          <w:sz w:val="22"/>
        </w:rPr>
        <w:t>Señor</w:t>
      </w:r>
    </w:p>
    <w:p w14:paraId="17949D35" w14:textId="77777777" w:rsidR="00FC6F93" w:rsidRPr="00FE083C" w:rsidRDefault="00FC6F93" w:rsidP="00FC6F93">
      <w:pPr>
        <w:rPr>
          <w:rFonts w:ascii="Arial" w:eastAsia="Calibri" w:hAnsi="Arial" w:cs="Arial"/>
          <w:b/>
          <w:color w:val="000000" w:themeColor="text1"/>
          <w:sz w:val="22"/>
        </w:rPr>
      </w:pPr>
      <w:r w:rsidRPr="00FE083C">
        <w:rPr>
          <w:rFonts w:ascii="Arial" w:eastAsia="Calibri" w:hAnsi="Arial" w:cs="Arial"/>
          <w:b/>
          <w:color w:val="000000" w:themeColor="text1"/>
          <w:sz w:val="22"/>
        </w:rPr>
        <w:t>Andrés Francisco Zapata</w:t>
      </w:r>
    </w:p>
    <w:p w14:paraId="3B5FA8EF" w14:textId="0ADB4E18" w:rsidR="00FC6F93" w:rsidRDefault="00FC6F93" w:rsidP="00FC6F93">
      <w:pPr>
        <w:rPr>
          <w:rFonts w:ascii="Arial" w:eastAsia="Calibri" w:hAnsi="Arial" w:cs="Arial"/>
          <w:color w:val="000000" w:themeColor="text1"/>
          <w:sz w:val="22"/>
        </w:rPr>
      </w:pPr>
      <w:r w:rsidRPr="00FE083C">
        <w:rPr>
          <w:rFonts w:ascii="Arial" w:eastAsia="Calibri" w:hAnsi="Arial" w:cs="Arial"/>
          <w:color w:val="000000" w:themeColor="text1"/>
          <w:sz w:val="22"/>
        </w:rPr>
        <w:t>Ciudad</w:t>
      </w:r>
    </w:p>
    <w:p w14:paraId="5491D853" w14:textId="77777777" w:rsidR="007F4C6E" w:rsidRPr="00FE083C" w:rsidRDefault="007F4C6E" w:rsidP="00FC6F93">
      <w:pPr>
        <w:rPr>
          <w:rFonts w:ascii="Arial" w:eastAsia="Calibri" w:hAnsi="Arial" w:cs="Arial"/>
          <w:color w:val="000000" w:themeColor="text1"/>
          <w:sz w:val="22"/>
        </w:rPr>
      </w:pPr>
    </w:p>
    <w:p w14:paraId="5FE0B8E1" w14:textId="26665193" w:rsidR="00FC6F93" w:rsidRDefault="00FC6F93" w:rsidP="00FC6F93">
      <w:pPr>
        <w:jc w:val="center"/>
        <w:rPr>
          <w:rFonts w:ascii="Arial" w:eastAsia="Calibri" w:hAnsi="Arial" w:cs="Arial"/>
          <w:b/>
          <w:color w:val="000000" w:themeColor="text1"/>
          <w:sz w:val="22"/>
        </w:rPr>
      </w:pPr>
      <w:r w:rsidRPr="00FE083C">
        <w:rPr>
          <w:rFonts w:ascii="Arial" w:eastAsia="Calibri" w:hAnsi="Arial" w:cs="Arial"/>
          <w:b/>
          <w:color w:val="000000" w:themeColor="text1"/>
          <w:sz w:val="22"/>
        </w:rPr>
        <w:t>Concepto C ─ 172 de 2020</w:t>
      </w:r>
    </w:p>
    <w:p w14:paraId="3E543DE8" w14:textId="40D7CE63" w:rsidR="007F4C6E" w:rsidRDefault="007F4C6E" w:rsidP="00FC6F93">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083C" w:rsidRPr="00FE083C" w14:paraId="3649E59F" w14:textId="77777777" w:rsidTr="00A12492">
        <w:tc>
          <w:tcPr>
            <w:tcW w:w="2689" w:type="dxa"/>
            <w:hideMark/>
          </w:tcPr>
          <w:p w14:paraId="60D2AB46" w14:textId="77777777" w:rsidR="00FC6F93" w:rsidRPr="00FE083C" w:rsidRDefault="00FC6F93" w:rsidP="00A12492">
            <w:pPr>
              <w:rPr>
                <w:rFonts w:ascii="Arial" w:eastAsia="Calibri" w:hAnsi="Arial" w:cs="Arial"/>
                <w:color w:val="000000" w:themeColor="text1"/>
                <w:sz w:val="22"/>
              </w:rPr>
            </w:pPr>
            <w:r w:rsidRPr="00FE083C">
              <w:rPr>
                <w:rFonts w:ascii="Arial" w:eastAsia="Calibri" w:hAnsi="Arial" w:cs="Arial"/>
                <w:b/>
                <w:color w:val="000000" w:themeColor="text1"/>
                <w:sz w:val="22"/>
              </w:rPr>
              <w:t>Temas:</w:t>
            </w:r>
            <w:r w:rsidRPr="00FE083C">
              <w:rPr>
                <w:rFonts w:ascii="Arial" w:eastAsia="Calibri" w:hAnsi="Arial" w:cs="Arial"/>
                <w:color w:val="000000" w:themeColor="text1"/>
                <w:sz w:val="22"/>
              </w:rPr>
              <w:t xml:space="preserve">           </w:t>
            </w:r>
          </w:p>
          <w:p w14:paraId="0D0189C1" w14:textId="77777777" w:rsidR="00FC6F93" w:rsidRPr="00FE083C" w:rsidRDefault="00FC6F93" w:rsidP="00A12492">
            <w:pPr>
              <w:rPr>
                <w:rFonts w:ascii="Arial" w:eastAsia="Calibri" w:hAnsi="Arial" w:cs="Arial"/>
                <w:color w:val="000000" w:themeColor="text1"/>
                <w:sz w:val="22"/>
              </w:rPr>
            </w:pPr>
            <w:r w:rsidRPr="00FE083C">
              <w:rPr>
                <w:rFonts w:ascii="Arial" w:eastAsia="Calibri" w:hAnsi="Arial" w:cs="Arial"/>
                <w:color w:val="000000" w:themeColor="text1"/>
                <w:sz w:val="22"/>
              </w:rPr>
              <w:t xml:space="preserve">                           </w:t>
            </w:r>
          </w:p>
        </w:tc>
        <w:tc>
          <w:tcPr>
            <w:tcW w:w="6237" w:type="dxa"/>
            <w:hideMark/>
          </w:tcPr>
          <w:p w14:paraId="0F0E651E" w14:textId="77777777" w:rsidR="00FC6F93" w:rsidRPr="00FE083C" w:rsidRDefault="00FC6F93" w:rsidP="00A12492">
            <w:pPr>
              <w:jc w:val="both"/>
              <w:rPr>
                <w:rFonts w:ascii="Arial" w:eastAsia="Calibri" w:hAnsi="Arial" w:cs="Arial"/>
                <w:color w:val="000000" w:themeColor="text1"/>
                <w:sz w:val="22"/>
              </w:rPr>
            </w:pPr>
            <w:r w:rsidRPr="00FE083C">
              <w:rPr>
                <w:rFonts w:ascii="Arial" w:eastAsia="Calibri" w:hAnsi="Arial" w:cs="Arial"/>
                <w:color w:val="000000" w:themeColor="text1"/>
                <w:sz w:val="22"/>
              </w:rPr>
              <w:t>CONTRATO ESTATAL – Requisitos de perfeccionamiento y ejecución – Diferencia / PUBLICIDAD – Obligación – SECOP / SECOP II – Funcionamiento – SECOP I – Diferencia – Contrato electrónico</w:t>
            </w:r>
          </w:p>
        </w:tc>
      </w:tr>
      <w:tr w:rsidR="00FC6F93" w:rsidRPr="00FE083C" w14:paraId="6A53128E" w14:textId="77777777" w:rsidTr="00A12492">
        <w:tc>
          <w:tcPr>
            <w:tcW w:w="2689" w:type="dxa"/>
          </w:tcPr>
          <w:p w14:paraId="4BFAE7AB" w14:textId="77777777" w:rsidR="00FC6F93" w:rsidRPr="00FE083C" w:rsidRDefault="00FC6F93" w:rsidP="00A12492">
            <w:pPr>
              <w:rPr>
                <w:rFonts w:ascii="Arial" w:eastAsia="Calibri" w:hAnsi="Arial" w:cs="Arial"/>
                <w:b/>
                <w:color w:val="000000" w:themeColor="text1"/>
                <w:sz w:val="22"/>
              </w:rPr>
            </w:pPr>
            <w:r w:rsidRPr="00FE083C">
              <w:rPr>
                <w:rFonts w:ascii="Arial" w:eastAsia="Calibri" w:hAnsi="Arial" w:cs="Arial"/>
                <w:b/>
                <w:color w:val="000000" w:themeColor="text1"/>
                <w:sz w:val="22"/>
              </w:rPr>
              <w:t>Radicación:</w:t>
            </w:r>
            <w:r w:rsidRPr="00FE083C">
              <w:rPr>
                <w:rFonts w:ascii="Arial" w:eastAsia="Calibri" w:hAnsi="Arial" w:cs="Arial"/>
                <w:color w:val="000000" w:themeColor="text1"/>
                <w:sz w:val="22"/>
              </w:rPr>
              <w:t xml:space="preserve">                              </w:t>
            </w:r>
          </w:p>
        </w:tc>
        <w:tc>
          <w:tcPr>
            <w:tcW w:w="6237" w:type="dxa"/>
          </w:tcPr>
          <w:p w14:paraId="73965BF7" w14:textId="77777777" w:rsidR="00FC6F93" w:rsidRPr="00FE083C" w:rsidRDefault="00FC6F93" w:rsidP="00A12492">
            <w:pPr>
              <w:jc w:val="both"/>
              <w:rPr>
                <w:rFonts w:ascii="Arial" w:eastAsia="Calibri" w:hAnsi="Arial" w:cs="Arial"/>
                <w:color w:val="000000" w:themeColor="text1"/>
                <w:sz w:val="22"/>
              </w:rPr>
            </w:pPr>
            <w:r w:rsidRPr="00FE083C">
              <w:rPr>
                <w:rFonts w:ascii="Arial" w:eastAsia="Calibri" w:hAnsi="Arial" w:cs="Arial"/>
                <w:color w:val="000000" w:themeColor="text1"/>
                <w:sz w:val="22"/>
              </w:rPr>
              <w:t>Respuesta a consulta # 4202012000001359</w:t>
            </w:r>
          </w:p>
        </w:tc>
      </w:tr>
    </w:tbl>
    <w:p w14:paraId="0FFBCD4C" w14:textId="77777777" w:rsidR="00FC6F93" w:rsidRPr="00FE083C" w:rsidRDefault="00FC6F93" w:rsidP="00FC6F93">
      <w:pPr>
        <w:jc w:val="both"/>
        <w:rPr>
          <w:rFonts w:ascii="Arial" w:eastAsia="Calibri" w:hAnsi="Arial" w:cs="Arial"/>
          <w:color w:val="000000" w:themeColor="text1"/>
          <w:sz w:val="22"/>
        </w:rPr>
      </w:pPr>
    </w:p>
    <w:p w14:paraId="7A867FFE" w14:textId="77777777" w:rsidR="007F4C6E" w:rsidRPr="00FE083C" w:rsidRDefault="007F4C6E" w:rsidP="00FC6F93">
      <w:pPr>
        <w:rPr>
          <w:rFonts w:ascii="Arial" w:eastAsia="Calibri" w:hAnsi="Arial" w:cs="Arial"/>
          <w:color w:val="000000" w:themeColor="text1"/>
          <w:sz w:val="22"/>
        </w:rPr>
      </w:pPr>
    </w:p>
    <w:p w14:paraId="6BA39509" w14:textId="77777777" w:rsidR="00FC6F93" w:rsidRPr="00FE083C" w:rsidRDefault="00FC6F93" w:rsidP="00FC6F93">
      <w:pPr>
        <w:rPr>
          <w:rFonts w:ascii="Arial" w:eastAsia="Calibri" w:hAnsi="Arial" w:cs="Arial"/>
          <w:color w:val="000000" w:themeColor="text1"/>
          <w:sz w:val="22"/>
        </w:rPr>
      </w:pPr>
      <w:r w:rsidRPr="00FE083C">
        <w:rPr>
          <w:rFonts w:ascii="Arial" w:eastAsia="Calibri" w:hAnsi="Arial" w:cs="Arial"/>
          <w:color w:val="000000" w:themeColor="text1"/>
          <w:sz w:val="22"/>
        </w:rPr>
        <w:t>Estimado señor Zapata,</w:t>
      </w:r>
    </w:p>
    <w:p w14:paraId="7D995860" w14:textId="77777777" w:rsidR="00FC6F93" w:rsidRPr="00FE083C" w:rsidRDefault="00FC6F93" w:rsidP="00FC6F93">
      <w:pPr>
        <w:rPr>
          <w:rFonts w:ascii="Arial" w:eastAsia="Calibri" w:hAnsi="Arial" w:cs="Arial"/>
          <w:color w:val="000000" w:themeColor="text1"/>
          <w:sz w:val="22"/>
        </w:rPr>
      </w:pPr>
    </w:p>
    <w:p w14:paraId="7EE06078" w14:textId="77777777" w:rsidR="00FC6F93" w:rsidRPr="00FE083C" w:rsidRDefault="00FC6F93" w:rsidP="00FC6F93">
      <w:pPr>
        <w:spacing w:line="276" w:lineRule="auto"/>
        <w:ind w:right="4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La Agencia Nacional de Contratación Pública - Colombia Compra Eficiente responde su consulta del 24 de febrero de 2020, en ejercicio de la competencia otorgada por el numeral 8 del artículo 11 y el numeral 5 del artículo 3 del Decreto Ley 4170 de 2011. </w:t>
      </w:r>
    </w:p>
    <w:p w14:paraId="002B7622" w14:textId="77777777" w:rsidR="007F4C6E" w:rsidRPr="00FE083C" w:rsidRDefault="007F4C6E" w:rsidP="00FC6F93">
      <w:pPr>
        <w:spacing w:line="276" w:lineRule="auto"/>
        <w:jc w:val="both"/>
        <w:rPr>
          <w:rFonts w:ascii="Arial" w:eastAsia="Calibri" w:hAnsi="Arial" w:cs="Arial"/>
          <w:color w:val="000000" w:themeColor="text1"/>
          <w:sz w:val="22"/>
        </w:rPr>
      </w:pPr>
    </w:p>
    <w:p w14:paraId="72F67BA6" w14:textId="77777777" w:rsidR="00FC6F93" w:rsidRPr="00FE083C" w:rsidRDefault="00FC6F93" w:rsidP="00FC6F93">
      <w:pPr>
        <w:tabs>
          <w:tab w:val="left" w:pos="284"/>
        </w:tabs>
        <w:spacing w:line="276" w:lineRule="auto"/>
        <w:jc w:val="both"/>
        <w:rPr>
          <w:rFonts w:ascii="Arial" w:eastAsia="Calibri" w:hAnsi="Arial" w:cs="Arial"/>
          <w:b/>
          <w:color w:val="000000" w:themeColor="text1"/>
          <w:sz w:val="22"/>
        </w:rPr>
      </w:pPr>
      <w:r w:rsidRPr="00FE083C">
        <w:rPr>
          <w:rFonts w:ascii="Arial" w:eastAsia="Calibri" w:hAnsi="Arial" w:cs="Arial"/>
          <w:b/>
          <w:color w:val="000000" w:themeColor="text1"/>
          <w:sz w:val="22"/>
        </w:rPr>
        <w:t xml:space="preserve">1. Problema planteado </w:t>
      </w:r>
    </w:p>
    <w:p w14:paraId="74F27B59" w14:textId="77777777" w:rsidR="00FC6F93" w:rsidRPr="00FE083C" w:rsidRDefault="00FC6F93" w:rsidP="00FC6F93">
      <w:pPr>
        <w:tabs>
          <w:tab w:val="left" w:pos="426"/>
        </w:tabs>
        <w:spacing w:line="276" w:lineRule="auto"/>
        <w:jc w:val="both"/>
        <w:rPr>
          <w:rFonts w:ascii="Arial" w:eastAsia="Calibri" w:hAnsi="Arial" w:cs="Arial"/>
          <w:b/>
          <w:color w:val="000000" w:themeColor="text1"/>
          <w:sz w:val="22"/>
        </w:rPr>
      </w:pPr>
    </w:p>
    <w:p w14:paraId="15730E3B" w14:textId="77777777" w:rsidR="00FC6F93" w:rsidRPr="00FE083C" w:rsidRDefault="00FC6F93" w:rsidP="00FC6F93">
      <w:pPr>
        <w:tabs>
          <w:tab w:val="left" w:pos="426"/>
        </w:tabs>
        <w:spacing w:line="276" w:lineRule="auto"/>
        <w:jc w:val="both"/>
        <w:rPr>
          <w:rFonts w:ascii="Arial" w:eastAsia="Calibri" w:hAnsi="Arial" w:cs="Arial"/>
          <w:color w:val="000000" w:themeColor="text1"/>
          <w:sz w:val="22"/>
        </w:rPr>
      </w:pPr>
      <w:r w:rsidRPr="00FE083C">
        <w:rPr>
          <w:rFonts w:ascii="Arial" w:eastAsia="Calibri" w:hAnsi="Arial" w:cs="Arial"/>
          <w:color w:val="000000" w:themeColor="text1"/>
          <w:sz w:val="22"/>
        </w:rPr>
        <w:t>Usted realiza la siguiente pregunta: ¿una entidad debe cargar un documento escrito con el clausulado del contrato en SECOP II, a pesar de que la configuración del contrato contiene la información, así como el pliego de condiciones y sus anexos?</w:t>
      </w:r>
    </w:p>
    <w:p w14:paraId="6E8AAD22" w14:textId="77777777" w:rsidR="00FC6F93" w:rsidRPr="00FE083C" w:rsidRDefault="00FC6F93" w:rsidP="00FC6F93">
      <w:pPr>
        <w:tabs>
          <w:tab w:val="left" w:pos="426"/>
        </w:tabs>
        <w:spacing w:line="276" w:lineRule="auto"/>
        <w:jc w:val="both"/>
        <w:rPr>
          <w:rFonts w:ascii="Arial" w:eastAsia="Calibri" w:hAnsi="Arial" w:cs="Arial"/>
          <w:color w:val="000000" w:themeColor="text1"/>
          <w:sz w:val="22"/>
        </w:rPr>
      </w:pPr>
    </w:p>
    <w:p w14:paraId="5920D7DA" w14:textId="77777777" w:rsidR="00FC6F93" w:rsidRPr="00FE083C" w:rsidRDefault="00FC6F93" w:rsidP="00FC6F93">
      <w:pPr>
        <w:tabs>
          <w:tab w:val="left" w:pos="426"/>
        </w:tabs>
        <w:spacing w:line="276" w:lineRule="auto"/>
        <w:jc w:val="both"/>
        <w:rPr>
          <w:rFonts w:ascii="Arial" w:eastAsia="Calibri" w:hAnsi="Arial" w:cs="Arial"/>
          <w:b/>
          <w:color w:val="000000" w:themeColor="text1"/>
          <w:sz w:val="22"/>
        </w:rPr>
      </w:pPr>
      <w:r w:rsidRPr="00FE083C">
        <w:rPr>
          <w:rFonts w:ascii="Arial" w:eastAsia="Calibri" w:hAnsi="Arial" w:cs="Arial"/>
          <w:b/>
          <w:color w:val="000000" w:themeColor="text1"/>
          <w:sz w:val="22"/>
        </w:rPr>
        <w:t>2. Consideraciones</w:t>
      </w:r>
    </w:p>
    <w:p w14:paraId="5C05B29D" w14:textId="77777777" w:rsidR="00FC6F93" w:rsidRPr="00FE083C" w:rsidRDefault="00FC6F93" w:rsidP="00FC6F93">
      <w:pPr>
        <w:tabs>
          <w:tab w:val="left" w:pos="426"/>
        </w:tabs>
        <w:spacing w:line="276" w:lineRule="auto"/>
        <w:jc w:val="both"/>
        <w:rPr>
          <w:rFonts w:ascii="Arial" w:eastAsia="Calibri" w:hAnsi="Arial" w:cs="Arial"/>
          <w:b/>
          <w:color w:val="000000" w:themeColor="text1"/>
          <w:sz w:val="22"/>
        </w:rPr>
      </w:pPr>
    </w:p>
    <w:p w14:paraId="61A22ADE" w14:textId="77777777" w:rsidR="00FC6F93" w:rsidRPr="00FE083C" w:rsidRDefault="00FC6F93" w:rsidP="00FC6F93">
      <w:pPr>
        <w:tabs>
          <w:tab w:val="left" w:pos="426"/>
        </w:tabs>
        <w:spacing w:line="276" w:lineRule="auto"/>
        <w:jc w:val="both"/>
        <w:rPr>
          <w:rFonts w:ascii="Arial" w:eastAsia="Calibri" w:hAnsi="Arial" w:cs="Arial"/>
          <w:b/>
          <w:color w:val="000000" w:themeColor="text1"/>
          <w:sz w:val="22"/>
        </w:rPr>
      </w:pPr>
      <w:r w:rsidRPr="00FE083C">
        <w:rPr>
          <w:rFonts w:ascii="Arial" w:eastAsia="Calibri" w:hAnsi="Arial" w:cs="Arial"/>
          <w:b/>
          <w:color w:val="000000" w:themeColor="text1"/>
          <w:sz w:val="22"/>
        </w:rPr>
        <w:t>2.1. Requisitos de perfeccionamiento y ejecución del contrato</w:t>
      </w:r>
    </w:p>
    <w:p w14:paraId="25536DD4" w14:textId="77777777" w:rsidR="00FC6F93" w:rsidRPr="00FE083C" w:rsidRDefault="00FC6F93" w:rsidP="00FC6F93">
      <w:pPr>
        <w:tabs>
          <w:tab w:val="left" w:pos="426"/>
        </w:tabs>
        <w:spacing w:line="276" w:lineRule="auto"/>
        <w:jc w:val="both"/>
        <w:rPr>
          <w:rFonts w:ascii="Arial" w:eastAsia="Calibri" w:hAnsi="Arial" w:cs="Arial"/>
          <w:b/>
          <w:color w:val="000000" w:themeColor="text1"/>
          <w:sz w:val="22"/>
        </w:rPr>
      </w:pPr>
    </w:p>
    <w:p w14:paraId="0CA91611" w14:textId="77777777" w:rsidR="00FC6F93" w:rsidRPr="00FE083C" w:rsidRDefault="00FC6F93" w:rsidP="00FC6F93">
      <w:pPr>
        <w:spacing w:after="120" w:line="276" w:lineRule="auto"/>
        <w:jc w:val="both"/>
        <w:rPr>
          <w:rFonts w:ascii="Arial" w:eastAsia="Calibri" w:hAnsi="Arial" w:cs="Arial"/>
          <w:color w:val="000000" w:themeColor="text1"/>
          <w:sz w:val="22"/>
        </w:rPr>
      </w:pPr>
      <w:r w:rsidRPr="00FE083C">
        <w:rPr>
          <w:rFonts w:ascii="Arial" w:hAnsi="Arial" w:cs="Arial"/>
          <w:color w:val="000000" w:themeColor="text1"/>
          <w:sz w:val="22"/>
        </w:rPr>
        <w:t xml:space="preserve">La Agencia Nacional de Contratación Pública - Colombia Compra Eficiente, </w:t>
      </w:r>
      <w:r w:rsidRPr="00FE083C">
        <w:rPr>
          <w:rFonts w:ascii="Arial" w:eastAsia="Calibri" w:hAnsi="Arial" w:cs="Arial"/>
          <w:color w:val="000000" w:themeColor="text1"/>
          <w:sz w:val="22"/>
        </w:rPr>
        <w:t xml:space="preserve">en el concepto con radicado No. 4201913000006907 del 23 de octubre de 2019, reiterado y desarrollado </w:t>
      </w:r>
      <w:r w:rsidRPr="00FE083C">
        <w:rPr>
          <w:rFonts w:ascii="Arial" w:eastAsia="Calibri" w:hAnsi="Arial" w:cs="Arial"/>
          <w:color w:val="000000" w:themeColor="text1"/>
          <w:sz w:val="22"/>
        </w:rPr>
        <w:lastRenderedPageBreak/>
        <w:t xml:space="preserve">en el concepto C – 110 de 2020, estudió los requisitos para perfeccionar y ejecutar el contrato. La tesis desarrollada se expone a continuación: </w:t>
      </w:r>
    </w:p>
    <w:p w14:paraId="4DC0388E" w14:textId="77777777" w:rsidR="00FC6F93" w:rsidRPr="00FE083C" w:rsidRDefault="00FC6F93" w:rsidP="00FC6F93">
      <w:pPr>
        <w:spacing w:after="120" w:line="276" w:lineRule="auto"/>
        <w:ind w:firstLine="708"/>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La Ley 80 de 1993, respecto del principio de economía, que brinda directrices relacionadas con las diferentes etapas de un procedimiento de compra pública, refleja dos aspectos que ocurren en la actividad contractual: i) la apertura del procedimiento y la suscripción del contrato y </w:t>
      </w:r>
      <w:proofErr w:type="spellStart"/>
      <w:r w:rsidRPr="00FE083C">
        <w:rPr>
          <w:rFonts w:ascii="Arial" w:eastAsia="Calibri" w:hAnsi="Arial" w:cs="Arial"/>
          <w:color w:val="000000" w:themeColor="text1"/>
          <w:sz w:val="22"/>
        </w:rPr>
        <w:t>ii</w:t>
      </w:r>
      <w:proofErr w:type="spellEnd"/>
      <w:r w:rsidRPr="00FE083C">
        <w:rPr>
          <w:rFonts w:ascii="Arial" w:eastAsia="Calibri" w:hAnsi="Arial" w:cs="Arial"/>
          <w:color w:val="000000" w:themeColor="text1"/>
          <w:sz w:val="22"/>
        </w:rPr>
        <w:t>) la ejecución del contrato</w:t>
      </w:r>
      <w:r w:rsidRPr="00FE083C">
        <w:rPr>
          <w:rStyle w:val="Refdenotaalpie"/>
          <w:rFonts w:ascii="Arial" w:eastAsia="Calibri" w:hAnsi="Arial" w:cs="Arial"/>
          <w:color w:val="000000" w:themeColor="text1"/>
          <w:sz w:val="22"/>
        </w:rPr>
        <w:footnoteReference w:id="1"/>
      </w:r>
      <w:r w:rsidRPr="00FE083C">
        <w:rPr>
          <w:rFonts w:ascii="Arial" w:eastAsia="Calibri" w:hAnsi="Arial" w:cs="Arial"/>
          <w:color w:val="000000" w:themeColor="text1"/>
          <w:sz w:val="22"/>
        </w:rPr>
        <w:t>. Por tanto, para cada etapa del procedimiento, la ley prevé requisitos que deben cumplir la entidad y los oferentes o contratistas, según corresponda, con el fin de que mediante la contratación se satisfaga la necesidad que le dio origen.</w:t>
      </w:r>
    </w:p>
    <w:p w14:paraId="62468A22" w14:textId="77777777" w:rsidR="00FC6F93" w:rsidRPr="00FE083C" w:rsidRDefault="00FC6F93" w:rsidP="00FC6F93">
      <w:pPr>
        <w:spacing w:line="276" w:lineRule="auto"/>
        <w:ind w:firstLine="708"/>
        <w:jc w:val="both"/>
        <w:rPr>
          <w:rFonts w:ascii="Arial" w:eastAsia="Calibri" w:hAnsi="Arial" w:cs="Arial"/>
          <w:color w:val="000000" w:themeColor="text1"/>
          <w:sz w:val="22"/>
        </w:rPr>
      </w:pPr>
      <w:r w:rsidRPr="00FE083C">
        <w:rPr>
          <w:rFonts w:ascii="Arial" w:eastAsia="Calibri" w:hAnsi="Arial" w:cs="Arial"/>
          <w:color w:val="000000" w:themeColor="text1"/>
          <w:sz w:val="22"/>
        </w:rPr>
        <w:t>Para resolver su consulta, hay que analizar el artículo 41 de la Ley 80 de 1993 sobre los requisitos de perfeccionamiento y ejecución del contrato</w:t>
      </w:r>
      <w:r w:rsidRPr="00FE083C">
        <w:rPr>
          <w:rStyle w:val="Refdenotaalpie"/>
          <w:rFonts w:ascii="Arial" w:eastAsia="Calibri" w:hAnsi="Arial" w:cs="Arial"/>
          <w:color w:val="000000" w:themeColor="text1"/>
          <w:sz w:val="22"/>
        </w:rPr>
        <w:footnoteReference w:id="2"/>
      </w:r>
      <w:r w:rsidRPr="00FE083C">
        <w:rPr>
          <w:rFonts w:ascii="Arial" w:eastAsia="Calibri" w:hAnsi="Arial" w:cs="Arial"/>
          <w:color w:val="000000" w:themeColor="text1"/>
          <w:sz w:val="22"/>
        </w:rPr>
        <w:t xml:space="preserve">. El inciso 1 enuncia los requisitos de perfeccionamiento, es decir, i) que exista acuerdo sobre el objeto, el precio, y </w:t>
      </w:r>
      <w:proofErr w:type="spellStart"/>
      <w:r w:rsidRPr="00FE083C">
        <w:rPr>
          <w:rFonts w:ascii="Arial" w:eastAsia="Calibri" w:hAnsi="Arial" w:cs="Arial"/>
          <w:color w:val="000000" w:themeColor="text1"/>
          <w:sz w:val="22"/>
        </w:rPr>
        <w:t>ii</w:t>
      </w:r>
      <w:proofErr w:type="spellEnd"/>
      <w:r w:rsidRPr="00FE083C">
        <w:rPr>
          <w:rFonts w:ascii="Arial" w:eastAsia="Calibri" w:hAnsi="Arial" w:cs="Arial"/>
          <w:color w:val="000000" w:themeColor="text1"/>
          <w:sz w:val="22"/>
        </w:rPr>
        <w:t>) que conste por escrito. El Consejo de Estado se pronunció sobre la solemnidad del contrato estatal y la imposibilidad de modificarla por voluntad de sus destinatarios:</w:t>
      </w:r>
    </w:p>
    <w:p w14:paraId="472E1F6E" w14:textId="77777777" w:rsidR="00FC6F93" w:rsidRPr="00FE083C" w:rsidRDefault="00FC6F93" w:rsidP="00FC6F93">
      <w:pPr>
        <w:spacing w:line="276" w:lineRule="auto"/>
        <w:ind w:firstLine="708"/>
        <w:jc w:val="both"/>
        <w:rPr>
          <w:rFonts w:ascii="Arial" w:eastAsia="Calibri" w:hAnsi="Arial" w:cs="Arial"/>
          <w:color w:val="000000" w:themeColor="text1"/>
          <w:sz w:val="22"/>
        </w:rPr>
      </w:pPr>
    </w:p>
    <w:p w14:paraId="4F789A13" w14:textId="77777777" w:rsidR="00FC6F93" w:rsidRPr="00FE083C" w:rsidRDefault="00FC6F93" w:rsidP="00FC6F93">
      <w:pPr>
        <w:ind w:left="709" w:right="709"/>
        <w:jc w:val="both"/>
        <w:rPr>
          <w:rFonts w:ascii="Arial" w:eastAsia="Calibri" w:hAnsi="Arial" w:cs="Arial"/>
          <w:color w:val="000000" w:themeColor="text1"/>
          <w:sz w:val="21"/>
          <w:szCs w:val="21"/>
        </w:rPr>
      </w:pPr>
      <w:r w:rsidRPr="00FE083C">
        <w:rPr>
          <w:rFonts w:ascii="Arial" w:eastAsia="Calibri" w:hAnsi="Arial" w:cs="Arial"/>
          <w:color w:val="000000" w:themeColor="text1"/>
          <w:sz w:val="21"/>
          <w:szCs w:val="21"/>
        </w:rPr>
        <w:t>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sidRPr="00FE083C">
        <w:rPr>
          <w:rStyle w:val="Refdenotaalpie"/>
          <w:rFonts w:ascii="Arial" w:eastAsia="Calibri" w:hAnsi="Arial" w:cs="Arial"/>
          <w:color w:val="000000" w:themeColor="text1"/>
          <w:sz w:val="21"/>
          <w:szCs w:val="21"/>
        </w:rPr>
        <w:footnoteReference w:id="3"/>
      </w:r>
      <w:r w:rsidRPr="00FE083C">
        <w:rPr>
          <w:rFonts w:ascii="Arial" w:eastAsia="Calibri" w:hAnsi="Arial" w:cs="Arial"/>
          <w:color w:val="000000" w:themeColor="text1"/>
          <w:sz w:val="21"/>
          <w:szCs w:val="21"/>
        </w:rPr>
        <w:t>.</w:t>
      </w:r>
    </w:p>
    <w:p w14:paraId="60BB9FF2" w14:textId="77777777" w:rsidR="00FC6F93" w:rsidRPr="00FE083C" w:rsidRDefault="00FC6F93" w:rsidP="00FC6F93">
      <w:pPr>
        <w:spacing w:line="276" w:lineRule="auto"/>
        <w:jc w:val="both"/>
        <w:rPr>
          <w:rFonts w:ascii="Arial" w:eastAsia="Calibri" w:hAnsi="Arial" w:cs="Arial"/>
          <w:color w:val="000000" w:themeColor="text1"/>
          <w:sz w:val="22"/>
        </w:rPr>
      </w:pPr>
    </w:p>
    <w:p w14:paraId="18F3E6FA" w14:textId="77777777" w:rsidR="00FC6F93" w:rsidRPr="00FE083C" w:rsidRDefault="00FC6F93" w:rsidP="00FC6F93">
      <w:pPr>
        <w:spacing w:after="120" w:line="276" w:lineRule="auto"/>
        <w:ind w:firstLine="70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De esta manera, la existencia y perfeccionamiento del contrato se producen cuando se cumplen los elementos esenciales y de solemnidad, sin que las partes puedan suprimir los requisitos legales para esto, ya que la autonomía de la voluntad no prevalece sobre las normas de orden público. Sin embargo, para establecer la diferencia con los requisitos para la ejecución del contrato, a </w:t>
      </w:r>
      <w:proofErr w:type="gramStart"/>
      <w:r w:rsidRPr="00FE083C">
        <w:rPr>
          <w:rFonts w:ascii="Arial" w:eastAsia="Calibri" w:hAnsi="Arial" w:cs="Arial"/>
          <w:color w:val="000000" w:themeColor="text1"/>
          <w:sz w:val="22"/>
        </w:rPr>
        <w:t>continuación</w:t>
      </w:r>
      <w:proofErr w:type="gramEnd"/>
      <w:r w:rsidRPr="00FE083C">
        <w:rPr>
          <w:rFonts w:ascii="Arial" w:eastAsia="Calibri" w:hAnsi="Arial" w:cs="Arial"/>
          <w:color w:val="000000" w:themeColor="text1"/>
          <w:sz w:val="22"/>
        </w:rPr>
        <w:t xml:space="preserve"> se expondrán las reglas y la jurisprudencia sobre el tema.</w:t>
      </w:r>
    </w:p>
    <w:p w14:paraId="5FF0B30D" w14:textId="77777777" w:rsidR="00FC6F93" w:rsidRPr="00FE083C" w:rsidRDefault="00FC6F93" w:rsidP="00FC6F93">
      <w:pPr>
        <w:spacing w:before="120" w:after="120" w:line="276" w:lineRule="auto"/>
        <w:ind w:firstLine="70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El inciso 2 del artículo 41 de la Ley 80 de 1993 enuncia los requisitos de ejecución, y específicamente «la aprobación de la garantía». Estos requisitos los deben cumplir las partes antes de iniciar la ejecución del contrato: i) la aprobación de las garantías, </w:t>
      </w:r>
      <w:proofErr w:type="spellStart"/>
      <w:r w:rsidRPr="00FE083C">
        <w:rPr>
          <w:rFonts w:ascii="Arial" w:eastAsia="Calibri" w:hAnsi="Arial" w:cs="Arial"/>
          <w:color w:val="000000" w:themeColor="text1"/>
          <w:sz w:val="22"/>
        </w:rPr>
        <w:t>ii</w:t>
      </w:r>
      <w:proofErr w:type="spellEnd"/>
      <w:r w:rsidRPr="00FE083C">
        <w:rPr>
          <w:rFonts w:ascii="Arial" w:eastAsia="Calibri" w:hAnsi="Arial" w:cs="Arial"/>
          <w:color w:val="000000" w:themeColor="text1"/>
          <w:sz w:val="22"/>
        </w:rPr>
        <w:t xml:space="preserve">) que el contratista esté al día en el pago de los aportes al Sistema de Seguridad Social Integral y </w:t>
      </w:r>
      <w:proofErr w:type="spellStart"/>
      <w:r w:rsidRPr="00FE083C">
        <w:rPr>
          <w:rFonts w:ascii="Arial" w:eastAsia="Calibri" w:hAnsi="Arial" w:cs="Arial"/>
          <w:color w:val="000000" w:themeColor="text1"/>
          <w:sz w:val="22"/>
        </w:rPr>
        <w:t>iii</w:t>
      </w:r>
      <w:proofErr w:type="spellEnd"/>
      <w:r w:rsidRPr="00FE083C">
        <w:rPr>
          <w:rFonts w:ascii="Arial" w:eastAsia="Calibri" w:hAnsi="Arial" w:cs="Arial"/>
          <w:color w:val="000000" w:themeColor="text1"/>
          <w:sz w:val="22"/>
        </w:rPr>
        <w:t>) la existencia de disponibilidad presupuestal [registro presupuestal],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 de la siguiente manera:</w:t>
      </w:r>
    </w:p>
    <w:p w14:paraId="3011D656" w14:textId="77777777" w:rsidR="00FC6F93" w:rsidRPr="00FE083C" w:rsidRDefault="00FC6F93" w:rsidP="00FC6F93">
      <w:pPr>
        <w:ind w:left="709" w:right="709"/>
        <w:jc w:val="both"/>
        <w:rPr>
          <w:rFonts w:ascii="Arial" w:eastAsia="Calibri" w:hAnsi="Arial" w:cs="Arial"/>
          <w:color w:val="000000" w:themeColor="text1"/>
          <w:sz w:val="21"/>
          <w:szCs w:val="21"/>
        </w:rPr>
      </w:pPr>
      <w:r w:rsidRPr="00FE083C">
        <w:rPr>
          <w:rFonts w:ascii="Arial" w:eastAsia="Calibri" w:hAnsi="Arial" w:cs="Arial"/>
          <w:color w:val="000000" w:themeColor="text1"/>
          <w:sz w:val="21"/>
          <w:szCs w:val="21"/>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FE083C">
        <w:rPr>
          <w:rFonts w:ascii="Arial" w:eastAsia="Calibri" w:hAnsi="Arial" w:cs="Arial"/>
          <w:color w:val="000000" w:themeColor="text1"/>
          <w:sz w:val="21"/>
          <w:szCs w:val="21"/>
        </w:rPr>
        <w:t>ii</w:t>
      </w:r>
      <w:proofErr w:type="spellEnd"/>
      <w:r w:rsidRPr="00FE083C">
        <w:rPr>
          <w:rFonts w:ascii="Arial" w:eastAsia="Calibri" w:hAnsi="Arial" w:cs="Arial"/>
          <w:color w:val="000000" w:themeColor="text1"/>
          <w:sz w:val="21"/>
          <w:szCs w:val="21"/>
        </w:rPr>
        <w:t xml:space="preserve">) por virtud de lo dispuesto en la Ley 80 de 1993 el contrato estatal existe, esto es, “se perfecciona” cuando “se logra acuerdo sobre el objeto y la contraprestación y éste se eleve a escrito”; </w:t>
      </w:r>
      <w:proofErr w:type="spellStart"/>
      <w:r w:rsidRPr="00FE083C">
        <w:rPr>
          <w:rFonts w:ascii="Arial" w:eastAsia="Calibri" w:hAnsi="Arial" w:cs="Arial"/>
          <w:color w:val="000000" w:themeColor="text1"/>
          <w:sz w:val="21"/>
          <w:szCs w:val="21"/>
        </w:rPr>
        <w:t>iii</w:t>
      </w:r>
      <w:proofErr w:type="spellEnd"/>
      <w:r w:rsidRPr="00FE083C">
        <w:rPr>
          <w:rFonts w:ascii="Arial" w:eastAsia="Calibri" w:hAnsi="Arial" w:cs="Arial"/>
          <w:color w:val="000000" w:themeColor="text1"/>
          <w:sz w:val="21"/>
          <w:szCs w:val="21"/>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w:t>
      </w:r>
      <w:r w:rsidRPr="00FE083C">
        <w:rPr>
          <w:rFonts w:ascii="Arial" w:eastAsia="Calibri" w:hAnsi="Arial" w:cs="Arial"/>
          <w:color w:val="000000" w:themeColor="text1"/>
          <w:sz w:val="21"/>
          <w:szCs w:val="21"/>
        </w:rPr>
        <w:lastRenderedPageBreak/>
        <w:t xml:space="preserve">111 de 1996 y </w:t>
      </w:r>
      <w:proofErr w:type="spellStart"/>
      <w:r w:rsidRPr="00FE083C">
        <w:rPr>
          <w:rFonts w:ascii="Arial" w:eastAsia="Calibri" w:hAnsi="Arial" w:cs="Arial"/>
          <w:color w:val="000000" w:themeColor="text1"/>
          <w:sz w:val="21"/>
          <w:szCs w:val="21"/>
        </w:rPr>
        <w:t>iv</w:t>
      </w:r>
      <w:proofErr w:type="spellEnd"/>
      <w:r w:rsidRPr="00FE083C">
        <w:rPr>
          <w:rFonts w:ascii="Arial" w:eastAsia="Calibri" w:hAnsi="Arial" w:cs="Arial"/>
          <w:color w:val="000000" w:themeColor="text1"/>
          <w:sz w:val="21"/>
          <w:szCs w:val="21"/>
        </w:rPr>
        <w:t>) el requisito relativo al registro presupuestal no es una condición de existencia del contrato estatal, es un requisito de ejecución</w:t>
      </w:r>
      <w:r w:rsidRPr="00FE083C">
        <w:rPr>
          <w:rStyle w:val="Refdenotaalpie"/>
          <w:rFonts w:ascii="Arial" w:eastAsia="Calibri" w:hAnsi="Arial" w:cs="Arial"/>
          <w:color w:val="000000" w:themeColor="text1"/>
          <w:sz w:val="22"/>
        </w:rPr>
        <w:footnoteReference w:id="4"/>
      </w:r>
      <w:r w:rsidRPr="00FE083C">
        <w:rPr>
          <w:rFonts w:ascii="Arial" w:eastAsia="Calibri" w:hAnsi="Arial" w:cs="Arial"/>
          <w:color w:val="000000" w:themeColor="text1"/>
          <w:sz w:val="21"/>
          <w:szCs w:val="21"/>
        </w:rPr>
        <w:t>.</w:t>
      </w:r>
    </w:p>
    <w:p w14:paraId="37586833" w14:textId="77777777" w:rsidR="00FC6F93" w:rsidRPr="00FE083C" w:rsidRDefault="00FC6F93" w:rsidP="00FC6F93">
      <w:pPr>
        <w:spacing w:line="276" w:lineRule="auto"/>
        <w:jc w:val="both"/>
        <w:rPr>
          <w:rFonts w:ascii="Arial" w:eastAsia="Calibri" w:hAnsi="Arial" w:cs="Arial"/>
          <w:b/>
          <w:bCs/>
          <w:color w:val="000000" w:themeColor="text1"/>
          <w:sz w:val="22"/>
        </w:rPr>
      </w:pPr>
    </w:p>
    <w:p w14:paraId="55A246E4" w14:textId="77777777" w:rsidR="00FC6F93" w:rsidRPr="00FE083C" w:rsidRDefault="00FC6F93" w:rsidP="00FC6F93">
      <w:pPr>
        <w:spacing w:after="120" w:line="276" w:lineRule="auto"/>
        <w:ind w:firstLine="70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Se observa que la jurisprudencia asimila los conceptos de existencia y perfeccionamiento del contrato, pero no ocurre lo mismo con la ejecución, </w:t>
      </w:r>
      <w:proofErr w:type="gramStart"/>
      <w:r w:rsidRPr="00FE083C">
        <w:rPr>
          <w:rFonts w:ascii="Arial" w:eastAsia="Calibri" w:hAnsi="Arial" w:cs="Arial"/>
          <w:color w:val="000000" w:themeColor="text1"/>
          <w:sz w:val="22"/>
        </w:rPr>
        <w:t>puesto que</w:t>
      </w:r>
      <w:proofErr w:type="gramEnd"/>
      <w:r w:rsidRPr="00FE083C">
        <w:rPr>
          <w:rFonts w:ascii="Arial" w:eastAsia="Calibri" w:hAnsi="Arial" w:cs="Arial"/>
          <w:color w:val="000000" w:themeColor="text1"/>
          <w:sz w:val="22"/>
        </w:rPr>
        <w:t xml:space="preserve"> a pesar de estar regulados en la misma norma, se hace una clara diferenciación y se enlistan los requisitos para cada etapa del procedimiento, señalando que tanto la disponibilidad presupuestal, como estar al día con el Sistema de Seguridad Social Integral, como la aprobación de las garantías son propias de la ejecución del contrato.</w:t>
      </w:r>
    </w:p>
    <w:p w14:paraId="4D8674EA" w14:textId="77777777" w:rsidR="00FC6F93" w:rsidRPr="00FE083C" w:rsidRDefault="00FC6F93" w:rsidP="00FC6F93">
      <w:pPr>
        <w:spacing w:line="276" w:lineRule="auto"/>
        <w:ind w:firstLine="70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De esta manera, con la regulación del contrato estatal citada y, particularmente, teniendo en cuenta los requisitos de su perfeccionamiento y ejecución, a </w:t>
      </w:r>
      <w:proofErr w:type="gramStart"/>
      <w:r w:rsidRPr="00FE083C">
        <w:rPr>
          <w:rFonts w:ascii="Arial" w:eastAsia="Calibri" w:hAnsi="Arial" w:cs="Arial"/>
          <w:color w:val="000000" w:themeColor="text1"/>
          <w:sz w:val="22"/>
        </w:rPr>
        <w:t>continuación</w:t>
      </w:r>
      <w:proofErr w:type="gramEnd"/>
      <w:r w:rsidRPr="00FE083C">
        <w:rPr>
          <w:rFonts w:ascii="Arial" w:eastAsia="Calibri" w:hAnsi="Arial" w:cs="Arial"/>
          <w:color w:val="000000" w:themeColor="text1"/>
          <w:sz w:val="22"/>
        </w:rPr>
        <w:t xml:space="preserve"> se explicará su cumplimiento a través de la plataforma SECOP II, mediante el contrato electrónico –lo cual es el objeto de su consulta–, con el fin de establecer el deber de la entidad de publicar sus procedimientos según las funcionalidades establecidas para esto. </w:t>
      </w:r>
    </w:p>
    <w:p w14:paraId="3A4017EA" w14:textId="77777777" w:rsidR="00FC6F93" w:rsidRPr="00FE083C" w:rsidRDefault="00FC6F93" w:rsidP="00FC6F93">
      <w:pPr>
        <w:spacing w:line="276" w:lineRule="auto"/>
        <w:ind w:firstLine="709"/>
        <w:jc w:val="both"/>
        <w:rPr>
          <w:rFonts w:ascii="Arial" w:eastAsia="Calibri" w:hAnsi="Arial" w:cs="Arial"/>
          <w:color w:val="000000" w:themeColor="text1"/>
          <w:sz w:val="22"/>
        </w:rPr>
      </w:pPr>
    </w:p>
    <w:p w14:paraId="47E23CDB" w14:textId="77777777" w:rsidR="00FC6F93" w:rsidRPr="00FE083C" w:rsidRDefault="00FC6F93" w:rsidP="00FC6F93">
      <w:pPr>
        <w:spacing w:line="276" w:lineRule="auto"/>
        <w:jc w:val="both"/>
        <w:rPr>
          <w:rFonts w:ascii="Arial" w:eastAsia="Calibri" w:hAnsi="Arial" w:cs="Arial"/>
          <w:b/>
          <w:color w:val="000000" w:themeColor="text1"/>
          <w:sz w:val="22"/>
        </w:rPr>
      </w:pPr>
      <w:r w:rsidRPr="00FE083C">
        <w:rPr>
          <w:rFonts w:ascii="Arial" w:eastAsia="Calibri" w:hAnsi="Arial" w:cs="Arial"/>
          <w:b/>
          <w:bCs/>
          <w:color w:val="000000" w:themeColor="text1"/>
          <w:sz w:val="22"/>
        </w:rPr>
        <w:t xml:space="preserve">2.2. </w:t>
      </w:r>
      <w:r w:rsidRPr="00FE083C">
        <w:rPr>
          <w:rFonts w:ascii="Arial" w:eastAsia="Calibri" w:hAnsi="Arial" w:cs="Arial"/>
          <w:b/>
          <w:color w:val="000000" w:themeColor="text1"/>
          <w:sz w:val="22"/>
        </w:rPr>
        <w:t>Procedimientos contractuales y su publicidad: deber de las entidades estatales</w:t>
      </w:r>
    </w:p>
    <w:p w14:paraId="4D457706" w14:textId="77777777" w:rsidR="00FC6F93" w:rsidRPr="00FE083C" w:rsidRDefault="00FC6F93" w:rsidP="00FC6F93">
      <w:pPr>
        <w:pStyle w:val="Prrafodelista"/>
        <w:spacing w:line="276" w:lineRule="auto"/>
        <w:ind w:left="360"/>
        <w:jc w:val="both"/>
        <w:rPr>
          <w:rFonts w:ascii="Arial" w:eastAsia="Calibri" w:hAnsi="Arial" w:cs="Arial"/>
          <w:b/>
          <w:color w:val="000000" w:themeColor="text1"/>
          <w:sz w:val="22"/>
        </w:rPr>
      </w:pPr>
    </w:p>
    <w:p w14:paraId="7CF3F65F" w14:textId="77777777" w:rsidR="00FC6F93" w:rsidRPr="00FE083C" w:rsidRDefault="00FC6F93" w:rsidP="00FC6F93">
      <w:pPr>
        <w:spacing w:line="276" w:lineRule="auto"/>
        <w:jc w:val="both"/>
        <w:rPr>
          <w:rFonts w:ascii="Arial" w:eastAsia="Calibri" w:hAnsi="Arial" w:cs="Arial"/>
          <w:b/>
          <w:color w:val="000000" w:themeColor="text1"/>
          <w:sz w:val="22"/>
        </w:rPr>
      </w:pPr>
      <w:r w:rsidRPr="00FE083C">
        <w:rPr>
          <w:rFonts w:ascii="Arial" w:eastAsia="Calibri" w:hAnsi="Arial" w:cs="Arial"/>
          <w:b/>
          <w:color w:val="000000" w:themeColor="text1"/>
          <w:sz w:val="22"/>
        </w:rPr>
        <w:t>a) Marco normativo</w:t>
      </w:r>
    </w:p>
    <w:p w14:paraId="363F8882" w14:textId="77777777" w:rsidR="00FC6F93" w:rsidRPr="00FE083C" w:rsidRDefault="00FC6F93" w:rsidP="00FC6F93">
      <w:pPr>
        <w:spacing w:line="276" w:lineRule="auto"/>
        <w:jc w:val="both"/>
        <w:rPr>
          <w:rFonts w:ascii="Arial" w:eastAsia="Calibri" w:hAnsi="Arial" w:cs="Arial"/>
          <w:b/>
          <w:color w:val="000000" w:themeColor="text1"/>
          <w:sz w:val="22"/>
        </w:rPr>
      </w:pPr>
    </w:p>
    <w:p w14:paraId="3E64AF94" w14:textId="77777777" w:rsidR="00FC6F93" w:rsidRPr="00FE083C" w:rsidRDefault="00FC6F93" w:rsidP="00FC6F93">
      <w:pPr>
        <w:spacing w:line="276" w:lineRule="auto"/>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La tesis desarrollada se expone a continuación: </w:t>
      </w:r>
    </w:p>
    <w:p w14:paraId="37B09E21" w14:textId="77777777" w:rsidR="00FC6F93" w:rsidRPr="00FE083C" w:rsidRDefault="00FC6F93" w:rsidP="00FC6F93">
      <w:pPr>
        <w:spacing w:before="120" w:after="120" w:line="276" w:lineRule="auto"/>
        <w:ind w:firstLine="708"/>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El procedimiento de contratación de las entidades es reglado, es decir, no es discrecional y se deben consultar las normas que lo rigen para determinar la forma que la ley prevé para adelantarlo. Por consiguiente, las principales normas son: la Ley 80 de </w:t>
      </w:r>
      <w:proofErr w:type="gramStart"/>
      <w:r w:rsidRPr="00FE083C">
        <w:rPr>
          <w:rFonts w:ascii="Arial" w:eastAsia="Calibri" w:hAnsi="Arial" w:cs="Arial"/>
          <w:color w:val="000000" w:themeColor="text1"/>
          <w:sz w:val="22"/>
        </w:rPr>
        <w:t>1993  ̶</w:t>
      </w:r>
      <w:proofErr w:type="gramEnd"/>
      <w:r w:rsidRPr="00FE083C">
        <w:rPr>
          <w:rFonts w:ascii="Arial" w:eastAsia="Calibri" w:hAnsi="Arial" w:cs="Arial"/>
          <w:color w:val="000000" w:themeColor="text1"/>
          <w:sz w:val="22"/>
        </w:rPr>
        <w:t xml:space="preserve"> Estatuto General de Contratación de la Administración Pública ̶ , la Ley 1150 de 2007, que regula las modalidades de selección para la escogencia del contratista, y el Decreto 1082 de 2015, que es reglamentario y concreta cada modalidad de selección, señalando las reglas o pasos a seguir para celebrar el contrato estatal</w:t>
      </w:r>
      <w:r w:rsidRPr="00FE083C">
        <w:rPr>
          <w:rStyle w:val="Refdenotaalpie"/>
          <w:rFonts w:ascii="Arial" w:eastAsia="Calibri" w:hAnsi="Arial" w:cs="Arial"/>
          <w:color w:val="000000" w:themeColor="text1"/>
          <w:sz w:val="22"/>
        </w:rPr>
        <w:footnoteReference w:id="5"/>
      </w:r>
      <w:r w:rsidRPr="00FE083C">
        <w:rPr>
          <w:rFonts w:ascii="Arial" w:eastAsia="Calibri" w:hAnsi="Arial" w:cs="Arial"/>
          <w:color w:val="000000" w:themeColor="text1"/>
          <w:sz w:val="22"/>
        </w:rPr>
        <w:t xml:space="preserve">. Por consiguiente, para que </w:t>
      </w:r>
      <w:r w:rsidRPr="00FE083C">
        <w:rPr>
          <w:rFonts w:ascii="Arial" w:eastAsia="Calibri" w:hAnsi="Arial" w:cs="Arial"/>
          <w:color w:val="000000" w:themeColor="text1"/>
          <w:sz w:val="22"/>
        </w:rPr>
        <w:lastRenderedPageBreak/>
        <w:t>los documentos de la actividad contractual se conozcan la entidad debe publicarlos, sin importar la modalidad de selección utilizada. El parágrafo 2 del artículo 2 de la Ley 1150 de 2007</w:t>
      </w:r>
      <w:r w:rsidRPr="00FE083C">
        <w:rPr>
          <w:rStyle w:val="Refdenotaalpie"/>
          <w:rFonts w:ascii="Arial" w:eastAsia="Calibri" w:hAnsi="Arial" w:cs="Arial"/>
          <w:color w:val="000000" w:themeColor="text1"/>
          <w:sz w:val="22"/>
        </w:rPr>
        <w:footnoteReference w:id="6"/>
      </w:r>
      <w:r w:rsidRPr="00FE083C">
        <w:rPr>
          <w:rFonts w:ascii="Arial" w:eastAsia="Calibri" w:hAnsi="Arial" w:cs="Arial"/>
          <w:color w:val="000000" w:themeColor="text1"/>
          <w:sz w:val="22"/>
        </w:rPr>
        <w:t xml:space="preserve"> y el artículo 2.2.1.1.1.3.1. del Decreto 1082 de 2015 definen cuáles son esos documentos: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DAF17E8" w14:textId="77777777" w:rsidR="00FC6F93" w:rsidRPr="00FE083C" w:rsidRDefault="00FC6F93" w:rsidP="00FC6F93">
      <w:pPr>
        <w:spacing w:before="120" w:after="120" w:line="276" w:lineRule="auto"/>
        <w:ind w:firstLine="708"/>
        <w:jc w:val="both"/>
        <w:rPr>
          <w:rFonts w:ascii="Arial" w:eastAsia="Calibri" w:hAnsi="Arial" w:cs="Arial"/>
          <w:color w:val="000000" w:themeColor="text1"/>
          <w:sz w:val="22"/>
        </w:rPr>
      </w:pPr>
      <w:r w:rsidRPr="00FE083C">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FE083C">
        <w:rPr>
          <w:rStyle w:val="Refdenotaalpie"/>
          <w:rFonts w:ascii="Arial" w:eastAsia="Calibri" w:hAnsi="Arial" w:cs="Arial"/>
          <w:color w:val="000000" w:themeColor="text1"/>
          <w:sz w:val="22"/>
        </w:rPr>
        <w:footnoteReference w:id="7"/>
      </w:r>
      <w:r w:rsidRPr="00FE083C">
        <w:rPr>
          <w:rFonts w:ascii="Arial" w:eastAsia="Calibri" w:hAnsi="Arial" w:cs="Arial"/>
          <w:color w:val="000000" w:themeColor="text1"/>
          <w:sz w:val="22"/>
        </w:rPr>
        <w:t>, lo cual permite controlar las actuaciones y decisiones de la Administración y el cumplimiento de los demás principios de la contratación pública. Así lo confirma el Consejo de Estado, analizando el principio de publicidad:</w:t>
      </w:r>
    </w:p>
    <w:p w14:paraId="1134D070" w14:textId="77777777" w:rsidR="00FC6F93" w:rsidRPr="00FE083C" w:rsidRDefault="00FC6F93" w:rsidP="00FC6F93">
      <w:pPr>
        <w:jc w:val="both"/>
        <w:rPr>
          <w:rFonts w:ascii="Arial" w:eastAsia="Calibri" w:hAnsi="Arial" w:cs="Arial"/>
          <w:color w:val="000000" w:themeColor="text1"/>
          <w:sz w:val="22"/>
        </w:rPr>
      </w:pPr>
    </w:p>
    <w:p w14:paraId="322D1229" w14:textId="77777777" w:rsidR="00FC6F93" w:rsidRPr="00FE083C" w:rsidRDefault="00FC6F93" w:rsidP="00FC6F93">
      <w:pPr>
        <w:ind w:left="708" w:right="680"/>
        <w:jc w:val="both"/>
        <w:rPr>
          <w:rFonts w:ascii="Arial" w:eastAsia="Calibri" w:hAnsi="Arial" w:cs="Arial"/>
          <w:color w:val="000000" w:themeColor="text1"/>
          <w:sz w:val="22"/>
        </w:rPr>
      </w:pPr>
      <w:r w:rsidRPr="00FE083C">
        <w:rPr>
          <w:rFonts w:ascii="Arial" w:eastAsia="Calibri" w:hAnsi="Arial" w:cs="Arial"/>
          <w:color w:val="000000" w:themeColor="text1"/>
          <w:sz w:val="22"/>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FE083C">
        <w:rPr>
          <w:rFonts w:ascii="Arial" w:hAnsi="Arial" w:cs="Arial"/>
          <w:color w:val="000000" w:themeColor="text1"/>
          <w:sz w:val="22"/>
        </w:rPr>
        <w:t xml:space="preserve"> </w:t>
      </w:r>
      <w:r w:rsidRPr="00FE083C">
        <w:rPr>
          <w:rFonts w:ascii="Arial" w:eastAsia="Calibri" w:hAnsi="Arial" w:cs="Arial"/>
          <w:color w:val="000000" w:themeColor="text1"/>
          <w:sz w:val="22"/>
        </w:rPr>
        <w:t>hacerlas saber a quiénes va dirigida, de manera que puedan ser obligatorias, controvertibles y controlables.</w:t>
      </w:r>
    </w:p>
    <w:p w14:paraId="061E6E96" w14:textId="77777777" w:rsidR="00FC6F93" w:rsidRPr="00FE083C" w:rsidRDefault="00FC6F93" w:rsidP="00FC6F93">
      <w:pPr>
        <w:ind w:left="708" w:right="680"/>
        <w:jc w:val="both"/>
        <w:rPr>
          <w:rFonts w:ascii="Arial" w:eastAsia="Calibri" w:hAnsi="Arial" w:cs="Arial"/>
          <w:color w:val="000000" w:themeColor="text1"/>
          <w:sz w:val="22"/>
        </w:rPr>
      </w:pPr>
    </w:p>
    <w:p w14:paraId="5885331A" w14:textId="77777777" w:rsidR="00FC6F93" w:rsidRPr="00FE083C" w:rsidRDefault="00FC6F93" w:rsidP="00FC6F93">
      <w:pPr>
        <w:ind w:left="708" w:right="680"/>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En efecto, los posibles oferentes y la comunidad en general deben tener conocimiento o la oportunidad de conocer tanto la convocatoria y reglas del </w:t>
      </w:r>
      <w:r w:rsidRPr="00FE083C">
        <w:rPr>
          <w:rFonts w:ascii="Arial" w:eastAsia="Calibri" w:hAnsi="Arial" w:cs="Arial"/>
          <w:color w:val="000000" w:themeColor="text1"/>
          <w:sz w:val="22"/>
        </w:rPr>
        <w:lastRenderedPageBreak/>
        <w:t xml:space="preserve">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FE083C">
        <w:rPr>
          <w:rFonts w:ascii="Arial" w:eastAsia="Calibri" w:hAnsi="Arial" w:cs="Arial"/>
          <w:color w:val="000000" w:themeColor="text1"/>
          <w:sz w:val="22"/>
        </w:rPr>
        <w:t>ibídem</w:t>
      </w:r>
      <w:proofErr w:type="spellEnd"/>
      <w:r w:rsidRPr="00FE083C">
        <w:rPr>
          <w:rFonts w:ascii="Arial" w:eastAsia="Calibri" w:hAnsi="Arial" w:cs="Arial"/>
          <w:color w:val="000000" w:themeColor="text1"/>
          <w:sz w:val="22"/>
        </w:rPr>
        <w:t xml:space="preserve"> en armonía con el artículo 273 de la Constitución Política).</w:t>
      </w:r>
    </w:p>
    <w:p w14:paraId="090658A5" w14:textId="77777777" w:rsidR="00FC6F93" w:rsidRPr="00FE083C" w:rsidRDefault="00FC6F93" w:rsidP="00FC6F93">
      <w:pPr>
        <w:ind w:left="708" w:right="680"/>
        <w:jc w:val="both"/>
        <w:rPr>
          <w:rFonts w:ascii="Arial" w:eastAsia="Calibri" w:hAnsi="Arial" w:cs="Arial"/>
          <w:color w:val="000000" w:themeColor="text1"/>
          <w:sz w:val="22"/>
        </w:rPr>
      </w:pPr>
    </w:p>
    <w:p w14:paraId="53837081" w14:textId="77777777" w:rsidR="00FC6F93" w:rsidRPr="00FE083C" w:rsidRDefault="00FC6F93" w:rsidP="00FC6F93">
      <w:pPr>
        <w:ind w:left="708" w:right="680"/>
        <w:jc w:val="both"/>
        <w:rPr>
          <w:rFonts w:ascii="Arial" w:eastAsia="Calibri" w:hAnsi="Arial" w:cs="Arial"/>
          <w:color w:val="000000" w:themeColor="text1"/>
          <w:sz w:val="22"/>
        </w:rPr>
      </w:pPr>
      <w:r w:rsidRPr="00FE083C">
        <w:rPr>
          <w:rFonts w:ascii="Arial" w:eastAsia="Calibri" w:hAnsi="Arial" w:cs="Arial"/>
          <w:color w:val="000000" w:themeColor="text1"/>
          <w:sz w:val="22"/>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E083C">
        <w:rPr>
          <w:rStyle w:val="Refdenotaalpie"/>
          <w:rFonts w:ascii="Arial" w:eastAsia="Calibri" w:hAnsi="Arial" w:cs="Arial"/>
          <w:color w:val="000000" w:themeColor="text1"/>
          <w:sz w:val="22"/>
        </w:rPr>
        <w:footnoteReference w:id="8"/>
      </w:r>
      <w:r w:rsidRPr="00FE083C">
        <w:rPr>
          <w:rFonts w:ascii="Arial" w:eastAsia="Calibri" w:hAnsi="Arial" w:cs="Arial"/>
          <w:color w:val="000000" w:themeColor="text1"/>
          <w:sz w:val="22"/>
        </w:rPr>
        <w:t>.</w:t>
      </w:r>
    </w:p>
    <w:p w14:paraId="747FF866" w14:textId="77777777" w:rsidR="00FC6F93" w:rsidRPr="00FE083C" w:rsidRDefault="00FC6F93" w:rsidP="00FC6F93">
      <w:pPr>
        <w:ind w:left="708" w:right="680"/>
        <w:jc w:val="both"/>
        <w:rPr>
          <w:rFonts w:ascii="Arial" w:eastAsia="Calibri" w:hAnsi="Arial" w:cs="Arial"/>
          <w:color w:val="000000" w:themeColor="text1"/>
          <w:sz w:val="22"/>
        </w:rPr>
      </w:pPr>
    </w:p>
    <w:p w14:paraId="6C6964B4" w14:textId="77777777" w:rsidR="00FC6F93" w:rsidRPr="00FE083C" w:rsidRDefault="00FC6F93" w:rsidP="00FC6F93">
      <w:pPr>
        <w:spacing w:line="276" w:lineRule="auto"/>
        <w:ind w:firstLine="709"/>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w:t>
      </w:r>
      <w:bookmarkStart w:id="0" w:name="_Hlk22626097"/>
      <w:r w:rsidRPr="00FE083C">
        <w:rPr>
          <w:rFonts w:ascii="Arial" w:eastAsia="Calibri" w:hAnsi="Arial" w:cs="Arial"/>
          <w:color w:val="000000" w:themeColor="text1"/>
          <w:sz w:val="22"/>
        </w:rPr>
        <w:t>mediante la Circular Externa No 1 de 21 de junio de 2013, recopilada en la Circular Externa Única</w:t>
      </w:r>
      <w:r w:rsidRPr="00FE083C">
        <w:rPr>
          <w:rFonts w:eastAsia="Calibri"/>
          <w:color w:val="000000" w:themeColor="text1"/>
          <w:vertAlign w:val="superscript"/>
        </w:rPr>
        <w:footnoteReference w:id="9"/>
      </w:r>
      <w:r w:rsidRPr="00FE083C">
        <w:rPr>
          <w:rFonts w:ascii="Arial" w:eastAsia="Calibri" w:hAnsi="Arial" w:cs="Arial"/>
          <w:color w:val="000000" w:themeColor="text1"/>
          <w:sz w:val="22"/>
        </w:rPr>
        <w:t>,</w:t>
      </w:r>
      <w:bookmarkEnd w:id="0"/>
      <w:r w:rsidRPr="00FE083C">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22492CC7" w14:textId="77777777" w:rsidR="00FC6F93" w:rsidRPr="00FE083C" w:rsidRDefault="00FC6F93" w:rsidP="00FC6F93">
      <w:pPr>
        <w:spacing w:line="276" w:lineRule="auto"/>
        <w:jc w:val="both"/>
        <w:rPr>
          <w:rFonts w:ascii="Arial" w:eastAsia="Calibri" w:hAnsi="Arial" w:cs="Arial"/>
          <w:color w:val="000000" w:themeColor="text1"/>
          <w:sz w:val="22"/>
        </w:rPr>
      </w:pPr>
    </w:p>
    <w:p w14:paraId="6C478A9C" w14:textId="77777777" w:rsidR="00FC6F93" w:rsidRPr="00FE083C" w:rsidRDefault="00FC6F93" w:rsidP="00FC6F93">
      <w:pPr>
        <w:spacing w:line="276" w:lineRule="auto"/>
        <w:jc w:val="both"/>
        <w:rPr>
          <w:rFonts w:ascii="Arial" w:eastAsia="Calibri" w:hAnsi="Arial" w:cs="Arial"/>
          <w:b/>
          <w:color w:val="000000" w:themeColor="text1"/>
          <w:sz w:val="22"/>
        </w:rPr>
      </w:pPr>
      <w:r w:rsidRPr="00FE083C">
        <w:rPr>
          <w:rFonts w:ascii="Arial" w:eastAsia="Calibri" w:hAnsi="Arial" w:cs="Arial"/>
          <w:b/>
          <w:color w:val="000000" w:themeColor="text1"/>
          <w:sz w:val="22"/>
        </w:rPr>
        <w:t xml:space="preserve">2.3 El Sistema Electrónico de Contratación Pública – SECOP: transformación hacia la tecnología y los medios electrónicos </w:t>
      </w:r>
    </w:p>
    <w:p w14:paraId="0F9D64FB" w14:textId="77777777" w:rsidR="00FC6F93" w:rsidRPr="00FE083C" w:rsidRDefault="00FC6F93" w:rsidP="00FC6F93">
      <w:pPr>
        <w:spacing w:line="276" w:lineRule="auto"/>
        <w:jc w:val="both"/>
        <w:rPr>
          <w:rFonts w:ascii="Arial" w:eastAsia="Calibri" w:hAnsi="Arial" w:cs="Arial"/>
          <w:color w:val="000000" w:themeColor="text1"/>
          <w:sz w:val="22"/>
        </w:rPr>
      </w:pPr>
    </w:p>
    <w:p w14:paraId="2437B0A6" w14:textId="77777777" w:rsidR="00FC6F93" w:rsidRPr="00FE083C" w:rsidRDefault="00FC6F93" w:rsidP="00FC6F93">
      <w:pPr>
        <w:spacing w:after="120" w:line="276" w:lineRule="auto"/>
        <w:jc w:val="both"/>
        <w:rPr>
          <w:rFonts w:ascii="Arial" w:eastAsia="Calibri" w:hAnsi="Arial" w:cs="Arial"/>
          <w:color w:val="000000" w:themeColor="text1"/>
          <w:sz w:val="22"/>
        </w:rPr>
      </w:pPr>
      <w:r w:rsidRPr="00FE083C">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FE083C">
        <w:rPr>
          <w:rStyle w:val="Refdenotaalpie"/>
          <w:rFonts w:ascii="Arial" w:eastAsia="Calibri" w:hAnsi="Arial" w:cs="Arial"/>
          <w:color w:val="000000" w:themeColor="text1"/>
          <w:sz w:val="22"/>
        </w:rPr>
        <w:footnoteReference w:id="10"/>
      </w:r>
      <w:r w:rsidRPr="00FE083C">
        <w:rPr>
          <w:rFonts w:ascii="Arial" w:eastAsia="Calibri" w:hAnsi="Arial" w:cs="Arial"/>
          <w:color w:val="000000" w:themeColor="text1"/>
          <w:sz w:val="22"/>
        </w:rPr>
        <w:t xml:space="preserve">. Este sistema debe contar con la información </w:t>
      </w:r>
      <w:r w:rsidRPr="00FE083C">
        <w:rPr>
          <w:rFonts w:ascii="Arial" w:eastAsia="Calibri" w:hAnsi="Arial" w:cs="Arial"/>
          <w:color w:val="000000" w:themeColor="text1"/>
          <w:sz w:val="22"/>
        </w:rPr>
        <w:lastRenderedPageBreak/>
        <w:t>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0780A461" w14:textId="77777777" w:rsidR="00FC6F93" w:rsidRPr="00FE083C" w:rsidRDefault="00FC6F93" w:rsidP="00FC6F93">
      <w:pPr>
        <w:spacing w:line="276" w:lineRule="auto"/>
        <w:ind w:firstLine="708"/>
        <w:jc w:val="both"/>
        <w:rPr>
          <w:rFonts w:ascii="Arial" w:eastAsia="Calibri" w:hAnsi="Arial" w:cs="Arial"/>
          <w:color w:val="000000" w:themeColor="text1"/>
          <w:sz w:val="22"/>
        </w:rPr>
      </w:pPr>
      <w:r w:rsidRPr="00FE083C">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FE083C">
        <w:rPr>
          <w:rFonts w:ascii="Arial" w:eastAsia="Calibri" w:hAnsi="Arial" w:cs="Arial"/>
          <w:color w:val="000000" w:themeColor="text1"/>
          <w:sz w:val="22"/>
        </w:rPr>
        <w:t>autoridades públicas</w:t>
      </w:r>
      <w:proofErr w:type="gramEnd"/>
      <w:r w:rsidRPr="00FE083C">
        <w:rPr>
          <w:rFonts w:ascii="Arial" w:eastAsia="Calibri" w:hAnsi="Arial" w:cs="Arial"/>
          <w:color w:val="000000" w:themeColor="text1"/>
          <w:sz w:val="22"/>
        </w:rPr>
        <w:t xml:space="preserve"> en el ejercicio de las funciones administrativas que la ley les otorga. No obstante,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 </w:t>
      </w:r>
    </w:p>
    <w:p w14:paraId="6D2EC912" w14:textId="77777777" w:rsidR="00FC6F93" w:rsidRPr="00FE083C" w:rsidRDefault="00FC6F93" w:rsidP="00FC6F93">
      <w:pPr>
        <w:spacing w:line="276" w:lineRule="auto"/>
        <w:ind w:firstLine="708"/>
        <w:jc w:val="both"/>
        <w:rPr>
          <w:rFonts w:ascii="Arial" w:eastAsia="Calibri" w:hAnsi="Arial" w:cs="Arial"/>
          <w:color w:val="000000" w:themeColor="text1"/>
          <w:sz w:val="22"/>
        </w:rPr>
      </w:pPr>
    </w:p>
    <w:p w14:paraId="36E49B58" w14:textId="77777777" w:rsidR="00FC6F93" w:rsidRPr="00FE083C" w:rsidRDefault="00FC6F93" w:rsidP="00FC6F93">
      <w:pPr>
        <w:spacing w:line="276" w:lineRule="auto"/>
        <w:jc w:val="both"/>
        <w:rPr>
          <w:rFonts w:ascii="Arial" w:eastAsia="Calibri" w:hAnsi="Arial" w:cs="Arial"/>
          <w:b/>
          <w:color w:val="000000" w:themeColor="text1"/>
          <w:sz w:val="22"/>
          <w:lang w:val="es-ES"/>
        </w:rPr>
      </w:pPr>
      <w:r w:rsidRPr="00FE083C">
        <w:rPr>
          <w:rFonts w:ascii="Arial" w:eastAsia="Calibri" w:hAnsi="Arial" w:cs="Arial"/>
          <w:b/>
          <w:color w:val="000000" w:themeColor="text1"/>
          <w:sz w:val="22"/>
          <w:lang w:val="es-ES"/>
        </w:rPr>
        <w:t>a) El SECOP II, su despliegue y utilización como plataforma electrónica transaccional</w:t>
      </w:r>
    </w:p>
    <w:p w14:paraId="7B2856B5" w14:textId="77777777" w:rsidR="00FC6F93" w:rsidRPr="00FE083C" w:rsidRDefault="00FC6F93" w:rsidP="00FC6F93">
      <w:pPr>
        <w:spacing w:line="276" w:lineRule="auto"/>
        <w:jc w:val="both"/>
        <w:rPr>
          <w:rFonts w:ascii="Arial" w:eastAsia="Calibri" w:hAnsi="Arial" w:cs="Arial"/>
          <w:b/>
          <w:color w:val="000000" w:themeColor="text1"/>
          <w:sz w:val="22"/>
          <w:lang w:val="es-ES"/>
        </w:rPr>
      </w:pPr>
    </w:p>
    <w:p w14:paraId="5593527E" w14:textId="77777777" w:rsidR="00FC6F93" w:rsidRPr="00FE083C" w:rsidRDefault="00FC6F93" w:rsidP="00FC6F93">
      <w:pPr>
        <w:spacing w:after="120" w:line="276" w:lineRule="auto"/>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La Agencia Nacional de Contratación Pública – Colombia Compra Eficiente tiene como función la administración del SECOP</w:t>
      </w:r>
      <w:r w:rsidRPr="00FE083C">
        <w:rPr>
          <w:rStyle w:val="Refdenotaalpie"/>
          <w:rFonts w:ascii="Arial" w:eastAsia="Calibri" w:hAnsi="Arial" w:cs="Arial"/>
          <w:color w:val="000000" w:themeColor="text1"/>
          <w:sz w:val="22"/>
          <w:lang w:val="es-ES"/>
        </w:rPr>
        <w:footnoteReference w:id="11"/>
      </w:r>
      <w:r w:rsidRPr="00FE083C">
        <w:rPr>
          <w:rFonts w:ascii="Arial" w:eastAsia="Calibri" w:hAnsi="Arial" w:cs="Arial"/>
          <w:color w:val="000000" w:themeColor="text1"/>
          <w:sz w:val="22"/>
          <w:lang w:val="es-ES"/>
        </w:rPr>
        <w:t xml:space="preserve">, por lo cual se desarrolló la primera versión  ̶ SECOP </w:t>
      </w:r>
      <w:r w:rsidRPr="00FE083C">
        <w:rPr>
          <w:rFonts w:ascii="Arial" w:eastAsia="Calibri" w:hAnsi="Arial" w:cs="Arial"/>
          <w:color w:val="000000" w:themeColor="text1"/>
          <w:sz w:val="22"/>
          <w:lang w:val="es-ES"/>
        </w:rPr>
        <w:lastRenderedPageBreak/>
        <w:t>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FD0859E" w14:textId="77777777" w:rsidR="00FC6F93" w:rsidRPr="00FE083C" w:rsidRDefault="00FC6F93" w:rsidP="00FC6F93">
      <w:pPr>
        <w:spacing w:before="120" w:after="120"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DA2A9B5" w14:textId="77777777" w:rsidR="00FC6F93" w:rsidRPr="00FE083C" w:rsidRDefault="00FC6F93" w:rsidP="00FC6F93">
      <w:pPr>
        <w:spacing w:before="120" w:after="120"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w:t>
      </w:r>
    </w:p>
    <w:p w14:paraId="74555E24" w14:textId="77777777" w:rsidR="00FC6F93" w:rsidRPr="00FE083C" w:rsidRDefault="00FC6F93" w:rsidP="00FC6F93">
      <w:pPr>
        <w:spacing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0A097FAC" w14:textId="77777777" w:rsidR="00FC6F93" w:rsidRPr="00FE083C" w:rsidRDefault="00FC6F93" w:rsidP="00FC6F93">
      <w:pPr>
        <w:spacing w:line="276" w:lineRule="auto"/>
        <w:ind w:firstLine="708"/>
        <w:jc w:val="both"/>
        <w:rPr>
          <w:rFonts w:ascii="Arial" w:eastAsia="Calibri" w:hAnsi="Arial" w:cs="Arial"/>
          <w:color w:val="000000" w:themeColor="text1"/>
          <w:sz w:val="22"/>
          <w:lang w:val="es-ES"/>
        </w:rPr>
      </w:pPr>
    </w:p>
    <w:p w14:paraId="29738EE0"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r w:rsidRPr="00FE083C">
        <w:rPr>
          <w:rFonts w:ascii="Arial" w:eastAsia="Calibri" w:hAnsi="Arial" w:cs="Arial"/>
          <w:b/>
          <w:bCs/>
          <w:color w:val="000000" w:themeColor="text1"/>
          <w:sz w:val="22"/>
          <w:lang w:val="es-ES"/>
        </w:rPr>
        <w:t>i) Pliego de condiciones electrónico</w:t>
      </w:r>
    </w:p>
    <w:p w14:paraId="513CF35A"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
    <w:p w14:paraId="2A50A494" w14:textId="77777777" w:rsidR="00FC6F93" w:rsidRPr="00FE083C" w:rsidRDefault="00FC6F93" w:rsidP="00FC6F93">
      <w:pPr>
        <w:spacing w:after="120" w:line="276" w:lineRule="auto"/>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 xml:space="preserve">En primer lugar, es posible referirse al pliego de condiciones que, en el SECOP II, es electrónico y está compuesto por: i) formulario y </w:t>
      </w:r>
      <w:proofErr w:type="spellStart"/>
      <w:r w:rsidRPr="00FE083C">
        <w:rPr>
          <w:rFonts w:ascii="Arial" w:eastAsia="Calibri" w:hAnsi="Arial" w:cs="Arial"/>
          <w:color w:val="000000" w:themeColor="text1"/>
          <w:sz w:val="22"/>
          <w:lang w:val="es-ES"/>
        </w:rPr>
        <w:t>ii</w:t>
      </w:r>
      <w:proofErr w:type="spellEnd"/>
      <w:r w:rsidRPr="00FE083C">
        <w:rPr>
          <w:rFonts w:ascii="Arial" w:eastAsia="Calibri" w:hAnsi="Arial" w:cs="Arial"/>
          <w:color w:val="000000" w:themeColor="text1"/>
          <w:sz w:val="22"/>
          <w:lang w:val="es-ES"/>
        </w:rPr>
        <w:t xml:space="preserve">) documentos anexos que cargue la entidad. Después de elegir la modalidad de selección, el SECOP II crea el expediente electrónico del procedimiento y habilita la creación del pliego borrador electrónico. Este pliego electrónico es un formulario con seis secciones: i) información general, </w:t>
      </w:r>
      <w:proofErr w:type="spellStart"/>
      <w:r w:rsidRPr="00FE083C">
        <w:rPr>
          <w:rFonts w:ascii="Arial" w:eastAsia="Calibri" w:hAnsi="Arial" w:cs="Arial"/>
          <w:color w:val="000000" w:themeColor="text1"/>
          <w:sz w:val="22"/>
          <w:lang w:val="es-ES"/>
        </w:rPr>
        <w:t>ii</w:t>
      </w:r>
      <w:proofErr w:type="spellEnd"/>
      <w:r w:rsidRPr="00FE083C">
        <w:rPr>
          <w:rFonts w:ascii="Arial" w:eastAsia="Calibri" w:hAnsi="Arial" w:cs="Arial"/>
          <w:color w:val="000000" w:themeColor="text1"/>
          <w:sz w:val="22"/>
          <w:lang w:val="es-ES"/>
        </w:rPr>
        <w:t xml:space="preserve">) configuración, </w:t>
      </w:r>
      <w:proofErr w:type="spellStart"/>
      <w:r w:rsidRPr="00FE083C">
        <w:rPr>
          <w:rFonts w:ascii="Arial" w:eastAsia="Calibri" w:hAnsi="Arial" w:cs="Arial"/>
          <w:color w:val="000000" w:themeColor="text1"/>
          <w:sz w:val="22"/>
          <w:lang w:val="es-ES"/>
        </w:rPr>
        <w:t>iii</w:t>
      </w:r>
      <w:proofErr w:type="spellEnd"/>
      <w:r w:rsidRPr="00FE083C">
        <w:rPr>
          <w:rFonts w:ascii="Arial" w:eastAsia="Calibri" w:hAnsi="Arial" w:cs="Arial"/>
          <w:color w:val="000000" w:themeColor="text1"/>
          <w:sz w:val="22"/>
          <w:lang w:val="es-ES"/>
        </w:rPr>
        <w:t xml:space="preserve">) cuestionario, </w:t>
      </w:r>
      <w:proofErr w:type="spellStart"/>
      <w:r w:rsidRPr="00FE083C">
        <w:rPr>
          <w:rFonts w:ascii="Arial" w:eastAsia="Calibri" w:hAnsi="Arial" w:cs="Arial"/>
          <w:color w:val="000000" w:themeColor="text1"/>
          <w:sz w:val="22"/>
          <w:lang w:val="es-ES"/>
        </w:rPr>
        <w:t>iv</w:t>
      </w:r>
      <w:proofErr w:type="spellEnd"/>
      <w:r w:rsidRPr="00FE083C">
        <w:rPr>
          <w:rFonts w:ascii="Arial" w:eastAsia="Calibri" w:hAnsi="Arial" w:cs="Arial"/>
          <w:color w:val="000000" w:themeColor="text1"/>
          <w:sz w:val="22"/>
          <w:lang w:val="es-ES"/>
        </w:rPr>
        <w:t>) evaluación, v) documentos del proceso y vi) documentos de la oferta.</w:t>
      </w:r>
    </w:p>
    <w:p w14:paraId="72C69648" w14:textId="77777777" w:rsidR="00FC6F93" w:rsidRPr="00FE083C" w:rsidRDefault="00FC6F93" w:rsidP="00FC6F93">
      <w:pPr>
        <w:spacing w:before="120" w:after="120" w:line="276" w:lineRule="auto"/>
        <w:ind w:firstLine="709"/>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lastRenderedPageBreak/>
        <w:t>Los formularios de los pliegos electrónicos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4780442A" w14:textId="77777777" w:rsidR="00FC6F93" w:rsidRPr="00FE083C" w:rsidRDefault="00FC6F93" w:rsidP="00FC6F93">
      <w:pPr>
        <w:spacing w:line="276" w:lineRule="auto"/>
        <w:ind w:firstLine="709"/>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la publicación de un pliego de condiciones físico es bloqueante de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1EC3CA6A"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
    <w:p w14:paraId="5838FF1A"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roofErr w:type="spellStart"/>
      <w:r w:rsidRPr="00FE083C">
        <w:rPr>
          <w:rFonts w:ascii="Arial" w:eastAsia="Calibri" w:hAnsi="Arial" w:cs="Arial"/>
          <w:b/>
          <w:bCs/>
          <w:color w:val="000000" w:themeColor="text1"/>
          <w:sz w:val="22"/>
          <w:lang w:val="es-ES"/>
        </w:rPr>
        <w:t>ii</w:t>
      </w:r>
      <w:proofErr w:type="spellEnd"/>
      <w:r w:rsidRPr="00FE083C">
        <w:rPr>
          <w:rFonts w:ascii="Arial" w:eastAsia="Calibri" w:hAnsi="Arial" w:cs="Arial"/>
          <w:b/>
          <w:bCs/>
          <w:color w:val="000000" w:themeColor="text1"/>
          <w:sz w:val="22"/>
          <w:lang w:val="es-ES"/>
        </w:rPr>
        <w:t>) Acta de cierre</w:t>
      </w:r>
    </w:p>
    <w:p w14:paraId="1D9F63EF"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
    <w:p w14:paraId="06C9995A" w14:textId="77777777" w:rsidR="00FC6F93" w:rsidRPr="00FE083C" w:rsidRDefault="00FC6F93" w:rsidP="00FC6F93">
      <w:pPr>
        <w:spacing w:after="120" w:line="276" w:lineRule="auto"/>
        <w:jc w:val="both"/>
        <w:rPr>
          <w:color w:val="000000" w:themeColor="text1"/>
        </w:rPr>
      </w:pPr>
      <w:r w:rsidRPr="00FE083C">
        <w:rPr>
          <w:rFonts w:ascii="Arial" w:eastAsia="Calibri" w:hAnsi="Arial" w:cs="Arial"/>
          <w:color w:val="000000" w:themeColor="text1"/>
          <w:sz w:val="22"/>
          <w:lang w:val="es-ES"/>
        </w:rPr>
        <w:t>La etapa de apertura y evaluación de ofertas del expediente electrónico conformado en el SECOP II, se habilita cuando se cumple la fecha de cierre dispuesta en el cronograma que se configura en la plataforma. Una vez ocurrida esta fecha, el SECOP II permite abrir las ofertas, ingresando a la sección «lista de ofertas» del área de trabajo del Proceso, donde aparece el botón «Apertura de ofertas». La plataforma muestra un panel con las ofertas presentadas, y es necesario hacer clic en «Iniciar» y luego en «Abrir sobres» para que la plataforma desencripte las ofertas.</w:t>
      </w:r>
      <w:r w:rsidRPr="00FE083C">
        <w:rPr>
          <w:color w:val="000000" w:themeColor="text1"/>
        </w:rPr>
        <w:t xml:space="preserve"> </w:t>
      </w:r>
    </w:p>
    <w:p w14:paraId="7F0CB6C8" w14:textId="77777777" w:rsidR="00FC6F93" w:rsidRPr="00FE083C" w:rsidRDefault="00FC6F93" w:rsidP="00FC6F93">
      <w:pPr>
        <w:spacing w:before="120" w:after="120"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Luego de abrir los sobres, la entidad debe publicar el acta de cierre que genera automáticamente la plataforma, haciendo clic en «Publicar lista de oferentes», y se abre una venta emergente con la lista de proveedores que presentaron oferta en el procedimiento y la fecha y hora de llegada de cada oferta; y, al dar clic en el botón «Actualizar/Publicar lista de oferentes», queda publicada el acta de cierre. De esta actuación no queda evidencia en el expediente electrónico, si se realiza con un acta de cierre escrita, ya que la plataforma no la tiene en cuenta por no corresponder con su funcionamiento. Como se estableció para el pliego de condiciones electrónico, existen secciones en el SECOP II para cargue de documentos escritos, lo cual no reemplaza la función dentro de la plataforma, sin la cual no existe la actuación que se haya realizado por escrito mediante el cargue de documentos.</w:t>
      </w:r>
    </w:p>
    <w:p w14:paraId="25CD137D" w14:textId="77777777" w:rsidR="00FC6F93" w:rsidRPr="00FE083C" w:rsidRDefault="00FC6F93" w:rsidP="00FC6F93">
      <w:pPr>
        <w:spacing w:before="120"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Al no utilizar el botón «Actualizar/Publicar lista de oferentes», esto no bloquea la continuidad del procedimiento en línea, pero no existirá trazabilidad en la plataforma de que se haya publicado el acta de cierre como lo exige la ley.</w:t>
      </w:r>
    </w:p>
    <w:p w14:paraId="47716D90" w14:textId="77777777" w:rsidR="00FC6F93" w:rsidRPr="00FE083C" w:rsidRDefault="00FC6F93" w:rsidP="00FC6F93">
      <w:pPr>
        <w:spacing w:line="276" w:lineRule="auto"/>
        <w:ind w:firstLine="708"/>
        <w:jc w:val="both"/>
        <w:rPr>
          <w:rFonts w:ascii="Arial" w:eastAsia="Calibri" w:hAnsi="Arial" w:cs="Arial"/>
          <w:color w:val="000000" w:themeColor="text1"/>
          <w:sz w:val="22"/>
          <w:lang w:val="es-ES"/>
        </w:rPr>
      </w:pPr>
    </w:p>
    <w:p w14:paraId="65850E45"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roofErr w:type="spellStart"/>
      <w:r w:rsidRPr="00FE083C">
        <w:rPr>
          <w:rFonts w:ascii="Arial" w:eastAsia="Calibri" w:hAnsi="Arial" w:cs="Arial"/>
          <w:b/>
          <w:bCs/>
          <w:color w:val="000000" w:themeColor="text1"/>
          <w:sz w:val="22"/>
          <w:lang w:val="es-ES"/>
        </w:rPr>
        <w:t>iii</w:t>
      </w:r>
      <w:proofErr w:type="spellEnd"/>
      <w:r w:rsidRPr="00FE083C">
        <w:rPr>
          <w:rFonts w:ascii="Arial" w:eastAsia="Calibri" w:hAnsi="Arial" w:cs="Arial"/>
          <w:b/>
          <w:bCs/>
          <w:color w:val="000000" w:themeColor="text1"/>
          <w:sz w:val="22"/>
          <w:lang w:val="es-ES"/>
        </w:rPr>
        <w:t>) Aprobación de las garantías</w:t>
      </w:r>
    </w:p>
    <w:p w14:paraId="3C81488E" w14:textId="77777777" w:rsidR="00FC6F93" w:rsidRPr="00FE083C" w:rsidRDefault="00FC6F93" w:rsidP="00FC6F93">
      <w:pPr>
        <w:spacing w:line="276" w:lineRule="auto"/>
        <w:jc w:val="both"/>
        <w:rPr>
          <w:rFonts w:ascii="Arial" w:eastAsia="Calibri" w:hAnsi="Arial" w:cs="Arial"/>
          <w:color w:val="000000" w:themeColor="text1"/>
          <w:sz w:val="22"/>
          <w:lang w:val="es-ES"/>
        </w:rPr>
      </w:pPr>
    </w:p>
    <w:p w14:paraId="46C9411C" w14:textId="77777777" w:rsidR="00FC6F93" w:rsidRPr="00FE083C" w:rsidRDefault="00FC6F93" w:rsidP="00FC6F93">
      <w:pPr>
        <w:spacing w:line="276" w:lineRule="auto"/>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 xml:space="preserve">De acuerdo con </w:t>
      </w:r>
      <w:r w:rsidRPr="00FE083C">
        <w:rPr>
          <w:rFonts w:ascii="Arial" w:eastAsia="Calibri" w:hAnsi="Arial" w:cs="Arial"/>
          <w:color w:val="000000" w:themeColor="text1"/>
          <w:sz w:val="22"/>
        </w:rPr>
        <w:t>la Guía para hacer la gestión contractual en el SECOP II que expidió la Agencia</w:t>
      </w:r>
      <w:r w:rsidRPr="00FE083C">
        <w:rPr>
          <w:rStyle w:val="Refdenotaalpie"/>
          <w:rFonts w:ascii="Arial" w:eastAsia="Calibri" w:hAnsi="Arial" w:cs="Arial"/>
          <w:color w:val="000000" w:themeColor="text1"/>
          <w:sz w:val="22"/>
        </w:rPr>
        <w:footnoteReference w:id="12"/>
      </w:r>
      <w:r w:rsidRPr="00FE083C">
        <w:rPr>
          <w:rFonts w:ascii="Arial" w:eastAsia="Calibri" w:hAnsi="Arial" w:cs="Arial"/>
          <w:color w:val="000000" w:themeColor="text1"/>
          <w:sz w:val="22"/>
          <w:lang w:val="es-ES"/>
        </w:rPr>
        <w:t>, después de aprobar y publicar el contrato, el proveedor debe enviar el enlace del expediente del procedimiento contractual a la aseguradora, gestionar las garantías y enviarlas a través de la plataforma. El usuario encargado en la entidad puede aprobar o rechazar las garantías y publicarlas, ingresando a la opción «Contratos» y en el detalle se encuentra la sección de «Condiciones», y luego la de «Garantías del proveedor».</w:t>
      </w:r>
    </w:p>
    <w:p w14:paraId="31D39AA0" w14:textId="77777777" w:rsidR="00FC6F93" w:rsidRPr="00FE083C" w:rsidRDefault="00FC6F93" w:rsidP="00FC6F93">
      <w:pPr>
        <w:spacing w:before="120" w:line="276" w:lineRule="auto"/>
        <w:ind w:firstLine="709"/>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La plataforma muestra las garantías en un listado y, al hacer clic en el botón «Detalle» de alguna de las garantías, el SECOP II abre una ventana emergente con los datos de la garantía y las opciones «aprobar» y «rechazar». Una vez seleccionada alguna de las opciones, el usuario encargado en la entidad da clic en «confirmar», ya que sin esto la garantía queda en estado «pendiente», lo cual no es bloqueante, y la entidad puede continuar gestionando el contrato en el expediente electrónico. No obstante, al no aprobar las garantías de acuerdo con el procedimiento establecido en el SECOP II, descrito anteriormente, no existirá trazabilidad en la plataforma del cumplimiento de este requisito de ejecución del contrato como lo exige la ley.</w:t>
      </w:r>
    </w:p>
    <w:p w14:paraId="685FF84C"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
    <w:p w14:paraId="44C572BF" w14:textId="77777777" w:rsidR="00FC6F93" w:rsidRPr="00FE083C" w:rsidRDefault="00FC6F93" w:rsidP="00FC6F93">
      <w:pPr>
        <w:spacing w:line="276" w:lineRule="auto"/>
        <w:jc w:val="both"/>
        <w:rPr>
          <w:rFonts w:ascii="Arial" w:eastAsia="Calibri" w:hAnsi="Arial" w:cs="Arial"/>
          <w:b/>
          <w:bCs/>
          <w:color w:val="000000" w:themeColor="text1"/>
          <w:sz w:val="22"/>
          <w:lang w:val="es-ES"/>
        </w:rPr>
      </w:pPr>
      <w:proofErr w:type="spellStart"/>
      <w:r w:rsidRPr="00FE083C">
        <w:rPr>
          <w:rFonts w:ascii="Arial" w:eastAsia="Calibri" w:hAnsi="Arial" w:cs="Arial"/>
          <w:b/>
          <w:bCs/>
          <w:color w:val="000000" w:themeColor="text1"/>
          <w:sz w:val="22"/>
          <w:lang w:val="es-ES"/>
        </w:rPr>
        <w:t>iv</w:t>
      </w:r>
      <w:proofErr w:type="spellEnd"/>
      <w:r w:rsidRPr="00FE083C">
        <w:rPr>
          <w:rFonts w:ascii="Arial" w:eastAsia="Calibri" w:hAnsi="Arial" w:cs="Arial"/>
          <w:b/>
          <w:bCs/>
          <w:color w:val="000000" w:themeColor="text1"/>
          <w:sz w:val="22"/>
          <w:lang w:val="es-ES"/>
        </w:rPr>
        <w:t>) Contrato electrónico</w:t>
      </w:r>
    </w:p>
    <w:p w14:paraId="65CFDBE1" w14:textId="77777777" w:rsidR="00FC6F93" w:rsidRPr="00FE083C" w:rsidRDefault="00FC6F93" w:rsidP="00FC6F93">
      <w:pPr>
        <w:spacing w:line="276" w:lineRule="auto"/>
        <w:jc w:val="both"/>
        <w:rPr>
          <w:rFonts w:ascii="Arial" w:eastAsia="Calibri" w:hAnsi="Arial" w:cs="Arial"/>
          <w:color w:val="000000" w:themeColor="text1"/>
          <w:sz w:val="22"/>
          <w:lang w:val="es-ES"/>
        </w:rPr>
      </w:pPr>
    </w:p>
    <w:p w14:paraId="7233466A" w14:textId="77777777" w:rsidR="00FC6F93" w:rsidRPr="00FE083C" w:rsidRDefault="00FC6F93" w:rsidP="00FC6F93">
      <w:pPr>
        <w:spacing w:after="120" w:line="276" w:lineRule="auto"/>
        <w:jc w:val="both"/>
        <w:rPr>
          <w:rFonts w:ascii="Arial" w:eastAsia="Calibri" w:hAnsi="Arial" w:cs="Arial"/>
          <w:color w:val="000000" w:themeColor="text1"/>
          <w:sz w:val="22"/>
          <w:lang w:val="es-ES"/>
        </w:rPr>
      </w:pPr>
      <w:r w:rsidRPr="00FE083C">
        <w:rPr>
          <w:rFonts w:ascii="Arial" w:eastAsia="Calibri" w:hAnsi="Arial" w:cs="Arial"/>
          <w:color w:val="000000" w:themeColor="text1"/>
          <w:sz w:val="22"/>
          <w:lang w:val="es-ES"/>
        </w:rPr>
        <w:t xml:space="preserve">Después de que se adjudica el procedimiento en la plataforma y se carga el informe de selección, se da clic en «publicar» para que el SECOP II automáticamente cambie el estado del procedimiento a «adjudicado», con lo cual se genera el contrato electrónico en estado «en edición». La entidad debe buscar en la sección «contratos», el contrato electrónico para su configuración, dando clic en «editar», con lo cual se visualizan nueve secciones: i) información general, </w:t>
      </w:r>
      <w:proofErr w:type="spellStart"/>
      <w:r w:rsidRPr="00FE083C">
        <w:rPr>
          <w:rFonts w:ascii="Arial" w:eastAsia="Calibri" w:hAnsi="Arial" w:cs="Arial"/>
          <w:color w:val="000000" w:themeColor="text1"/>
          <w:sz w:val="22"/>
          <w:lang w:val="es-ES"/>
        </w:rPr>
        <w:t>ii</w:t>
      </w:r>
      <w:proofErr w:type="spellEnd"/>
      <w:r w:rsidRPr="00FE083C">
        <w:rPr>
          <w:rFonts w:ascii="Arial" w:eastAsia="Calibri" w:hAnsi="Arial" w:cs="Arial"/>
          <w:color w:val="000000" w:themeColor="text1"/>
          <w:sz w:val="22"/>
          <w:lang w:val="es-ES"/>
        </w:rPr>
        <w:t xml:space="preserve">) condiciones, </w:t>
      </w:r>
      <w:proofErr w:type="spellStart"/>
      <w:r w:rsidRPr="00FE083C">
        <w:rPr>
          <w:rFonts w:ascii="Arial" w:eastAsia="Calibri" w:hAnsi="Arial" w:cs="Arial"/>
          <w:color w:val="000000" w:themeColor="text1"/>
          <w:sz w:val="22"/>
          <w:lang w:val="es-ES"/>
        </w:rPr>
        <w:t>iii</w:t>
      </w:r>
      <w:proofErr w:type="spellEnd"/>
      <w:r w:rsidRPr="00FE083C">
        <w:rPr>
          <w:rFonts w:ascii="Arial" w:eastAsia="Calibri" w:hAnsi="Arial" w:cs="Arial"/>
          <w:color w:val="000000" w:themeColor="text1"/>
          <w:sz w:val="22"/>
          <w:lang w:val="es-ES"/>
        </w:rPr>
        <w:t xml:space="preserve">) bienes y servicios, </w:t>
      </w:r>
      <w:proofErr w:type="spellStart"/>
      <w:r w:rsidRPr="00FE083C">
        <w:rPr>
          <w:rFonts w:ascii="Arial" w:eastAsia="Calibri" w:hAnsi="Arial" w:cs="Arial"/>
          <w:color w:val="000000" w:themeColor="text1"/>
          <w:sz w:val="22"/>
          <w:lang w:val="es-ES"/>
        </w:rPr>
        <w:t>iv</w:t>
      </w:r>
      <w:proofErr w:type="spellEnd"/>
      <w:r w:rsidRPr="00FE083C">
        <w:rPr>
          <w:rFonts w:ascii="Arial" w:eastAsia="Calibri" w:hAnsi="Arial" w:cs="Arial"/>
          <w:color w:val="000000" w:themeColor="text1"/>
          <w:sz w:val="22"/>
          <w:lang w:val="es-ES"/>
        </w:rPr>
        <w:t xml:space="preserve">) documentos del proveedor, v) documentos del contrato, vi) información presupuestal, </w:t>
      </w:r>
      <w:proofErr w:type="spellStart"/>
      <w:r w:rsidRPr="00FE083C">
        <w:rPr>
          <w:rFonts w:ascii="Arial" w:eastAsia="Calibri" w:hAnsi="Arial" w:cs="Arial"/>
          <w:color w:val="000000" w:themeColor="text1"/>
          <w:sz w:val="22"/>
          <w:lang w:val="es-ES"/>
        </w:rPr>
        <w:t>vii</w:t>
      </w:r>
      <w:proofErr w:type="spellEnd"/>
      <w:r w:rsidRPr="00FE083C">
        <w:rPr>
          <w:rFonts w:ascii="Arial" w:eastAsia="Calibri" w:hAnsi="Arial" w:cs="Arial"/>
          <w:color w:val="000000" w:themeColor="text1"/>
          <w:sz w:val="22"/>
          <w:lang w:val="es-ES"/>
        </w:rPr>
        <w:t xml:space="preserve">) ejecución del contrato, </w:t>
      </w:r>
      <w:proofErr w:type="spellStart"/>
      <w:r w:rsidRPr="00FE083C">
        <w:rPr>
          <w:rFonts w:ascii="Arial" w:eastAsia="Calibri" w:hAnsi="Arial" w:cs="Arial"/>
          <w:color w:val="000000" w:themeColor="text1"/>
          <w:sz w:val="22"/>
          <w:lang w:val="es-ES"/>
        </w:rPr>
        <w:t>viii</w:t>
      </w:r>
      <w:proofErr w:type="spellEnd"/>
      <w:r w:rsidRPr="00FE083C">
        <w:rPr>
          <w:rFonts w:ascii="Arial" w:eastAsia="Calibri" w:hAnsi="Arial" w:cs="Arial"/>
          <w:color w:val="000000" w:themeColor="text1"/>
          <w:sz w:val="22"/>
          <w:lang w:val="es-ES"/>
        </w:rPr>
        <w:t xml:space="preserve">) modificaciones del contrato y </w:t>
      </w:r>
      <w:proofErr w:type="spellStart"/>
      <w:r w:rsidRPr="00FE083C">
        <w:rPr>
          <w:rFonts w:ascii="Arial" w:eastAsia="Calibri" w:hAnsi="Arial" w:cs="Arial"/>
          <w:color w:val="000000" w:themeColor="text1"/>
          <w:sz w:val="22"/>
          <w:lang w:val="es-ES"/>
        </w:rPr>
        <w:t>ix</w:t>
      </w:r>
      <w:proofErr w:type="spellEnd"/>
      <w:r w:rsidRPr="00FE083C">
        <w:rPr>
          <w:rFonts w:ascii="Arial" w:eastAsia="Calibri" w:hAnsi="Arial" w:cs="Arial"/>
          <w:color w:val="000000" w:themeColor="text1"/>
          <w:sz w:val="22"/>
          <w:lang w:val="es-ES"/>
        </w:rPr>
        <w:t xml:space="preserve">) incumplimientos. </w:t>
      </w:r>
    </w:p>
    <w:p w14:paraId="34213E21" w14:textId="77777777" w:rsidR="00FC6F93" w:rsidRPr="00FE083C" w:rsidRDefault="00FC6F93" w:rsidP="00FC6F93">
      <w:pPr>
        <w:spacing w:line="276" w:lineRule="auto"/>
        <w:ind w:firstLine="708"/>
        <w:jc w:val="both"/>
        <w:rPr>
          <w:rFonts w:ascii="Arial" w:eastAsia="Calibri" w:hAnsi="Arial" w:cs="Arial"/>
          <w:color w:val="000000" w:themeColor="text1"/>
          <w:sz w:val="22"/>
          <w:lang w:val="es-ES"/>
        </w:rPr>
      </w:pPr>
      <w:r w:rsidRPr="00FE083C">
        <w:rPr>
          <w:rFonts w:ascii="Arial" w:eastAsia="Calibri" w:hAnsi="Arial" w:cs="Arial"/>
          <w:color w:val="000000" w:themeColor="text1"/>
          <w:sz w:val="22"/>
        </w:rPr>
        <w:t xml:space="preserve">La Guía para hacer la gestión contractual en el SECOP II de Colombia Compra Eficiente señala el contenido de cada sección del contrato electrónico y cómo debe ser diligenciado, y para resolver su consulta se enfatiza en la sección </w:t>
      </w:r>
      <w:r w:rsidRPr="00FE083C">
        <w:rPr>
          <w:rFonts w:ascii="Arial" w:eastAsia="Calibri" w:hAnsi="Arial" w:cs="Arial"/>
          <w:color w:val="000000" w:themeColor="text1"/>
          <w:sz w:val="22"/>
          <w:lang w:val="es-ES"/>
        </w:rPr>
        <w:t xml:space="preserve">«v) documentos del contrato»,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en el </w:t>
      </w:r>
      <w:r w:rsidRPr="00FE083C">
        <w:rPr>
          <w:rFonts w:ascii="Arial" w:eastAsia="Calibri" w:hAnsi="Arial" w:cs="Arial"/>
          <w:color w:val="000000" w:themeColor="text1"/>
          <w:sz w:val="22"/>
          <w:lang w:val="es-ES"/>
        </w:rPr>
        <w:lastRenderedPageBreak/>
        <w:t>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7A5947EF" w14:textId="77777777" w:rsidR="00FC6F93" w:rsidRPr="00FE083C" w:rsidRDefault="00FC6F93" w:rsidP="00FC6F93">
      <w:pPr>
        <w:spacing w:line="276" w:lineRule="auto"/>
        <w:ind w:firstLine="709"/>
        <w:jc w:val="both"/>
        <w:rPr>
          <w:rFonts w:ascii="Arial" w:eastAsia="Calibri" w:hAnsi="Arial" w:cs="Arial"/>
          <w:b/>
          <w:color w:val="000000" w:themeColor="text1"/>
          <w:sz w:val="22"/>
          <w:lang w:val="es-ES"/>
        </w:rPr>
      </w:pPr>
    </w:p>
    <w:p w14:paraId="4E2994C2" w14:textId="77777777" w:rsidR="00FC6F93" w:rsidRPr="00FE083C" w:rsidRDefault="00FC6F93" w:rsidP="00FC6F93">
      <w:pPr>
        <w:pStyle w:val="Prrafodelista"/>
        <w:tabs>
          <w:tab w:val="left" w:pos="284"/>
        </w:tabs>
        <w:spacing w:line="276" w:lineRule="auto"/>
        <w:ind w:left="0"/>
        <w:jc w:val="both"/>
        <w:rPr>
          <w:rFonts w:ascii="Arial" w:eastAsia="Calibri" w:hAnsi="Arial" w:cs="Arial"/>
          <w:color w:val="000000" w:themeColor="text1"/>
          <w:sz w:val="22"/>
        </w:rPr>
      </w:pPr>
      <w:r w:rsidRPr="00FE083C">
        <w:rPr>
          <w:rFonts w:ascii="Arial" w:eastAsia="Calibri" w:hAnsi="Arial" w:cs="Arial"/>
          <w:b/>
          <w:color w:val="000000" w:themeColor="text1"/>
          <w:sz w:val="22"/>
        </w:rPr>
        <w:t>3. Respuesta</w:t>
      </w:r>
    </w:p>
    <w:p w14:paraId="2C3CB6E9" w14:textId="77777777" w:rsidR="00FC6F93" w:rsidRPr="00FE083C" w:rsidRDefault="00FC6F93" w:rsidP="00FC6F93">
      <w:pPr>
        <w:spacing w:line="276" w:lineRule="auto"/>
        <w:ind w:left="709" w:right="709"/>
        <w:jc w:val="both"/>
        <w:rPr>
          <w:rFonts w:ascii="Arial" w:eastAsia="Calibri" w:hAnsi="Arial" w:cs="Arial"/>
          <w:iCs/>
          <w:color w:val="000000" w:themeColor="text1"/>
          <w:sz w:val="22"/>
        </w:rPr>
      </w:pPr>
    </w:p>
    <w:p w14:paraId="3041D9B8" w14:textId="77777777" w:rsidR="00FC6F93" w:rsidRPr="00FE083C" w:rsidRDefault="00FC6F93" w:rsidP="00FC6F93">
      <w:pPr>
        <w:spacing w:line="276" w:lineRule="auto"/>
        <w:ind w:left="708" w:right="709"/>
        <w:jc w:val="both"/>
        <w:rPr>
          <w:rFonts w:ascii="Arial" w:eastAsia="Calibri" w:hAnsi="Arial" w:cs="Arial"/>
          <w:color w:val="000000" w:themeColor="text1"/>
          <w:sz w:val="22"/>
        </w:rPr>
      </w:pPr>
      <w:r w:rsidRPr="00FE083C">
        <w:rPr>
          <w:rFonts w:ascii="Arial" w:eastAsia="Calibri" w:hAnsi="Arial" w:cs="Arial"/>
          <w:color w:val="000000" w:themeColor="text1"/>
          <w:sz w:val="22"/>
        </w:rPr>
        <w:t>¿una entidad debe cargar un documento escrito con el clausulado del contrato en SECOP II, a pesar de que la configuración del contrato contiene la información, así como el pliego de condiciones y sus anexos?</w:t>
      </w:r>
    </w:p>
    <w:p w14:paraId="694A2FD9" w14:textId="77777777" w:rsidR="00FC6F93" w:rsidRPr="00FE083C" w:rsidRDefault="00FC6F93" w:rsidP="00FC6F93">
      <w:pPr>
        <w:spacing w:line="276" w:lineRule="auto"/>
        <w:jc w:val="both"/>
        <w:rPr>
          <w:rFonts w:ascii="Arial" w:eastAsia="Calibri" w:hAnsi="Arial" w:cs="Arial"/>
          <w:color w:val="000000" w:themeColor="text1"/>
          <w:sz w:val="22"/>
        </w:rPr>
      </w:pPr>
    </w:p>
    <w:p w14:paraId="5E1A8706" w14:textId="77777777" w:rsidR="00FC6F93" w:rsidRPr="00FE083C" w:rsidRDefault="00FC6F93" w:rsidP="00FC6F93">
      <w:pPr>
        <w:spacing w:line="276" w:lineRule="auto"/>
        <w:jc w:val="both"/>
        <w:rPr>
          <w:rFonts w:ascii="Arial" w:eastAsia="Calibri" w:hAnsi="Arial" w:cs="Arial"/>
          <w:color w:val="000000" w:themeColor="text1"/>
          <w:sz w:val="22"/>
        </w:rPr>
      </w:pPr>
      <w:r w:rsidRPr="00FE083C">
        <w:rPr>
          <w:rFonts w:ascii="Arial" w:eastAsia="Calibri" w:hAnsi="Arial" w:cs="Arial"/>
          <w:color w:val="000000" w:themeColor="text1"/>
          <w:sz w:val="22"/>
        </w:rPr>
        <w:t>En el SECOP II, la entidad debe configurar el contrato de forma electrónica, como lo prevén las guías de uso de la plataforma, específicamente la Guía para hacer la gestión contractual en el SECOP II publicada por esta Agencia, por lo cual no se requiere realizar la actuación del cargue de documentos escritos, porque esto no es transaccional, lo cual significa que todas las actuaciones y documentos del procedimiento contractual deben ocurrir en línea, utilizando las funcionalidades dispuestas para ello. Sin embargo, en la sección «</w:t>
      </w:r>
      <w:r w:rsidRPr="00FE083C">
        <w:rPr>
          <w:rFonts w:ascii="Arial" w:eastAsia="Calibri" w:hAnsi="Arial" w:cs="Arial"/>
          <w:color w:val="000000" w:themeColor="text1"/>
          <w:sz w:val="22"/>
          <w:lang w:val="es-ES"/>
        </w:rPr>
        <w:t>v) documentos del contrato» del contrato electrónico, la entidad puede cargar el clausulado del contrato, en caso de requerirlo, sin que este documento sea obligatorio dentro de la plataforma.</w:t>
      </w:r>
    </w:p>
    <w:p w14:paraId="3ABAE04D" w14:textId="77777777" w:rsidR="00FC6F93" w:rsidRPr="00FE083C" w:rsidRDefault="00FC6F93" w:rsidP="00FC6F93">
      <w:pPr>
        <w:spacing w:line="276" w:lineRule="auto"/>
        <w:jc w:val="both"/>
        <w:rPr>
          <w:rFonts w:ascii="Arial" w:eastAsia="Calibri" w:hAnsi="Arial" w:cs="Arial"/>
          <w:color w:val="000000" w:themeColor="text1"/>
          <w:sz w:val="22"/>
        </w:rPr>
      </w:pPr>
    </w:p>
    <w:p w14:paraId="2E3BABC3" w14:textId="77777777" w:rsidR="00FC6F93" w:rsidRPr="00FE083C" w:rsidRDefault="00FC6F93" w:rsidP="00FC6F93">
      <w:pPr>
        <w:spacing w:line="276" w:lineRule="auto"/>
        <w:jc w:val="both"/>
        <w:rPr>
          <w:rFonts w:ascii="Arial" w:eastAsia="Calibri" w:hAnsi="Arial" w:cs="Arial"/>
          <w:color w:val="000000" w:themeColor="text1"/>
          <w:sz w:val="22"/>
        </w:rPr>
      </w:pPr>
    </w:p>
    <w:p w14:paraId="42391DC0" w14:textId="77777777" w:rsidR="00FC6F93" w:rsidRPr="00FE083C" w:rsidRDefault="00FC6F93" w:rsidP="00FC6F93">
      <w:pPr>
        <w:spacing w:line="276" w:lineRule="auto"/>
        <w:jc w:val="both"/>
        <w:rPr>
          <w:rFonts w:ascii="Arial" w:eastAsia="Calibri" w:hAnsi="Arial" w:cs="Arial"/>
          <w:color w:val="000000" w:themeColor="text1"/>
          <w:sz w:val="22"/>
        </w:rPr>
      </w:pPr>
      <w:r w:rsidRPr="00FE083C">
        <w:rPr>
          <w:rFonts w:ascii="Arial" w:eastAsia="Calibri" w:hAnsi="Arial" w:cs="Arial"/>
          <w:color w:val="000000" w:themeColor="text1"/>
          <w:sz w:val="22"/>
        </w:rPr>
        <w:t>Este concepto tiene el alcance previsto en el artículo 28 del Código de Procedimiento Administrativo y de lo Contencioso Administrativo.</w:t>
      </w:r>
    </w:p>
    <w:p w14:paraId="24371449" w14:textId="77777777" w:rsidR="00FC6F93" w:rsidRPr="00FE083C" w:rsidRDefault="00FC6F93" w:rsidP="00FC6F93">
      <w:pPr>
        <w:spacing w:line="276" w:lineRule="auto"/>
        <w:jc w:val="both"/>
        <w:rPr>
          <w:rFonts w:ascii="Arial" w:eastAsia="Calibri" w:hAnsi="Arial" w:cs="Arial"/>
          <w:color w:val="000000" w:themeColor="text1"/>
          <w:sz w:val="22"/>
        </w:rPr>
      </w:pPr>
    </w:p>
    <w:p w14:paraId="7011FD92" w14:textId="0F2D2CCF" w:rsidR="00FC6F93" w:rsidRPr="00FE083C" w:rsidRDefault="00FC6F93" w:rsidP="00FC6F93">
      <w:pPr>
        <w:jc w:val="both"/>
        <w:rPr>
          <w:rFonts w:ascii="Arial" w:eastAsia="Calibri" w:hAnsi="Arial" w:cs="Arial"/>
          <w:color w:val="000000" w:themeColor="text1"/>
          <w:sz w:val="22"/>
        </w:rPr>
      </w:pPr>
      <w:r w:rsidRPr="00FE083C">
        <w:rPr>
          <w:noProof/>
          <w:color w:val="000000" w:themeColor="text1"/>
          <w:lang w:val="en-US"/>
        </w:rPr>
        <mc:AlternateContent>
          <mc:Choice Requires="wps">
            <w:drawing>
              <wp:anchor distT="0" distB="0" distL="114300" distR="114300" simplePos="0" relativeHeight="251659264" behindDoc="0" locked="0" layoutInCell="1" allowOverlap="1" wp14:anchorId="4FA29E8A" wp14:editId="2CA8E8F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284C21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7D39CE0F" w14:textId="77777777" w:rsidR="00FC6F93" w:rsidRPr="00FE083C" w:rsidRDefault="00FC6F93" w:rsidP="00FC6F93">
      <w:pPr>
        <w:rPr>
          <w:rFonts w:ascii="Arial" w:eastAsia="Times New Roman" w:hAnsi="Arial" w:cs="Arial"/>
          <w:color w:val="000000" w:themeColor="text1"/>
          <w:sz w:val="22"/>
          <w:lang w:eastAsia="es-CO"/>
        </w:rPr>
      </w:pPr>
      <w:bookmarkStart w:id="1" w:name="_Hlk34742031"/>
      <w:r w:rsidRPr="00FE083C">
        <w:rPr>
          <w:rFonts w:ascii="Arial" w:eastAsia="Times New Roman" w:hAnsi="Arial" w:cs="Arial"/>
          <w:color w:val="000000" w:themeColor="text1"/>
          <w:sz w:val="22"/>
          <w:lang w:eastAsia="es-CO"/>
        </w:rPr>
        <w:t>Atentamente,</w:t>
      </w:r>
    </w:p>
    <w:p w14:paraId="2DA317C0" w14:textId="2ECE6303" w:rsidR="00FC6F93" w:rsidRPr="00FE083C" w:rsidRDefault="00D1583A" w:rsidP="00FC6F93">
      <w:pPr>
        <w:jc w:val="center"/>
        <w:rPr>
          <w:rFonts w:ascii="Arial" w:eastAsia="Times New Roman" w:hAnsi="Arial" w:cs="Arial"/>
          <w:color w:val="000000" w:themeColor="text1"/>
          <w:sz w:val="22"/>
          <w:lang w:eastAsia="es-CO"/>
        </w:rPr>
      </w:pPr>
      <w:r>
        <w:rPr>
          <w:noProof/>
          <w:lang w:val="en-US"/>
        </w:rPr>
        <w:drawing>
          <wp:inline distT="0" distB="0" distL="0" distR="0" wp14:anchorId="3EB928E1" wp14:editId="606221D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4D2F5CB" w14:textId="77777777" w:rsidR="00FC6F93" w:rsidRPr="00FE083C" w:rsidRDefault="00FC6F93" w:rsidP="00FC6F9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E083C" w:rsidRPr="00FE083C" w14:paraId="718FCD5B" w14:textId="77777777" w:rsidTr="00A12492">
        <w:trPr>
          <w:trHeight w:val="315"/>
        </w:trPr>
        <w:tc>
          <w:tcPr>
            <w:tcW w:w="488" w:type="dxa"/>
            <w:vAlign w:val="center"/>
            <w:hideMark/>
          </w:tcPr>
          <w:p w14:paraId="0C2C4CCF"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A8B4F6F"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Ximena Ríos López</w:t>
            </w:r>
          </w:p>
          <w:p w14:paraId="6D730B92"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Gestor T1-11</w:t>
            </w:r>
          </w:p>
        </w:tc>
      </w:tr>
      <w:tr w:rsidR="00FE083C" w:rsidRPr="00FE083C" w14:paraId="1C020C6D" w14:textId="77777777" w:rsidTr="00A12492">
        <w:trPr>
          <w:trHeight w:val="330"/>
        </w:trPr>
        <w:tc>
          <w:tcPr>
            <w:tcW w:w="488" w:type="dxa"/>
            <w:vAlign w:val="center"/>
            <w:hideMark/>
          </w:tcPr>
          <w:p w14:paraId="34C61CDD"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4E070E"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Cristian Andrés Díaz Díez</w:t>
            </w:r>
          </w:p>
          <w:p w14:paraId="5F716379"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Contratista Subdirección de Gestión Contractual</w:t>
            </w:r>
          </w:p>
        </w:tc>
      </w:tr>
      <w:tr w:rsidR="00FE083C" w:rsidRPr="00FE083C" w14:paraId="00FB5372" w14:textId="77777777" w:rsidTr="00A12492">
        <w:trPr>
          <w:trHeight w:val="300"/>
        </w:trPr>
        <w:tc>
          <w:tcPr>
            <w:tcW w:w="488" w:type="dxa"/>
            <w:vAlign w:val="center"/>
            <w:hideMark/>
          </w:tcPr>
          <w:p w14:paraId="15A3618E"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E241A7"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Fabián Gonzalo Marín Cortés</w:t>
            </w:r>
          </w:p>
          <w:p w14:paraId="7DFD7EED"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Subdirector de Gestión Contractual</w:t>
            </w:r>
          </w:p>
        </w:tc>
      </w:tr>
      <w:tr w:rsidR="00FC6F93" w:rsidRPr="00FE083C" w14:paraId="073D8533" w14:textId="77777777" w:rsidTr="00A12492">
        <w:trPr>
          <w:trHeight w:val="300"/>
        </w:trPr>
        <w:tc>
          <w:tcPr>
            <w:tcW w:w="488" w:type="dxa"/>
            <w:vAlign w:val="center"/>
            <w:hideMark/>
          </w:tcPr>
          <w:p w14:paraId="44BCEDF1"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0112DE" w14:textId="77777777" w:rsidR="00FC6F93" w:rsidRPr="00FE083C" w:rsidRDefault="00FC6F93" w:rsidP="00A12492">
            <w:pPr>
              <w:rPr>
                <w:rFonts w:ascii="Arial" w:eastAsia="Times New Roman" w:hAnsi="Arial" w:cs="Arial"/>
                <w:color w:val="000000" w:themeColor="text1"/>
                <w:sz w:val="16"/>
                <w:szCs w:val="16"/>
                <w:lang w:eastAsia="es-ES"/>
              </w:rPr>
            </w:pPr>
            <w:r w:rsidRPr="00FE083C">
              <w:rPr>
                <w:rFonts w:ascii="Arial" w:eastAsia="Times New Roman" w:hAnsi="Arial" w:cs="Arial"/>
                <w:color w:val="000000" w:themeColor="text1"/>
                <w:sz w:val="16"/>
                <w:szCs w:val="16"/>
                <w:lang w:eastAsia="es-ES"/>
              </w:rPr>
              <w:t>0</w:t>
            </w:r>
          </w:p>
        </w:tc>
      </w:tr>
      <w:bookmarkEnd w:id="1"/>
    </w:tbl>
    <w:p w14:paraId="5E2BB1FE" w14:textId="77777777" w:rsidR="00FC6F93" w:rsidRPr="00FE083C" w:rsidRDefault="00FC6F93" w:rsidP="00FC6F93">
      <w:pPr>
        <w:jc w:val="both"/>
        <w:rPr>
          <w:rFonts w:ascii="Arial" w:eastAsia="Calibri" w:hAnsi="Arial" w:cs="Arial"/>
          <w:color w:val="000000" w:themeColor="text1"/>
          <w:sz w:val="22"/>
        </w:rPr>
      </w:pPr>
    </w:p>
    <w:p w14:paraId="4D584D84" w14:textId="77777777" w:rsidR="00FC6F93" w:rsidRPr="00FE083C" w:rsidRDefault="00FC6F93" w:rsidP="00FC6F93">
      <w:pPr>
        <w:rPr>
          <w:color w:val="000000" w:themeColor="text1"/>
        </w:rPr>
      </w:pPr>
    </w:p>
    <w:p w14:paraId="7EBF297E" w14:textId="77777777" w:rsidR="007B0854" w:rsidRPr="00FE083C" w:rsidRDefault="007B0854" w:rsidP="00FC6F93">
      <w:pPr>
        <w:rPr>
          <w:color w:val="000000" w:themeColor="text1"/>
        </w:rPr>
      </w:pPr>
    </w:p>
    <w:sectPr w:rsidR="007B0854" w:rsidRPr="00FE083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11B5A" w14:textId="77777777" w:rsidR="00641A8C" w:rsidRDefault="00641A8C">
      <w:r>
        <w:separator/>
      </w:r>
    </w:p>
  </w:endnote>
  <w:endnote w:type="continuationSeparator" w:id="0">
    <w:p w14:paraId="2182D7D6" w14:textId="77777777" w:rsidR="00641A8C" w:rsidRDefault="0064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01BB26E7"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51B8B">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51B8B">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4EFA5" w14:textId="77777777" w:rsidR="00641A8C" w:rsidRDefault="00641A8C">
      <w:r>
        <w:separator/>
      </w:r>
    </w:p>
  </w:footnote>
  <w:footnote w:type="continuationSeparator" w:id="0">
    <w:p w14:paraId="0FC38124" w14:textId="77777777" w:rsidR="00641A8C" w:rsidRDefault="00641A8C">
      <w:r>
        <w:continuationSeparator/>
      </w:r>
    </w:p>
  </w:footnote>
  <w:footnote w:id="1">
    <w:p w14:paraId="22A66BE1"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Ley 80 de 1993:  «Artículo 25. Del principio de economía. En virtud de este principio:</w:t>
      </w:r>
    </w:p>
    <w:p w14:paraId="65856842"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9FD9DCB"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219B4B37" w14:textId="77777777" w:rsidR="00FC6F93" w:rsidRPr="00FE083C" w:rsidRDefault="00FC6F93" w:rsidP="00FC6F93">
      <w:pPr>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»6. Las entidades estatales abrirán licitaciones e iniciarán procesos de suscripción de contratos, cuando existan las respectivas partidas o disponibilidades presupuestales.</w:t>
      </w:r>
    </w:p>
    <w:p w14:paraId="5DA147FB"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0F536192"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0CD2DB69" w14:textId="77777777" w:rsidR="00FC6F93" w:rsidRPr="00FE083C" w:rsidRDefault="00FC6F93" w:rsidP="00FC6F93">
      <w:pPr>
        <w:pStyle w:val="Textonotapie"/>
        <w:ind w:firstLine="708"/>
        <w:jc w:val="both"/>
        <w:rPr>
          <w:rFonts w:ascii="Arial" w:hAnsi="Arial" w:cs="Arial"/>
          <w:color w:val="000000" w:themeColor="text1"/>
          <w:sz w:val="19"/>
          <w:szCs w:val="19"/>
          <w:lang w:val="es-ES"/>
        </w:rPr>
      </w:pPr>
    </w:p>
  </w:footnote>
  <w:footnote w:id="2">
    <w:p w14:paraId="1037F58F"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4DD41B15"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D1FCDF1"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»Los contratos estatales son intuito personae &lt;sic&gt; y, en consecuencia, una vez celebrados no podrán cederse sin previa autorización escrita de la entidad contratante.</w:t>
      </w:r>
    </w:p>
    <w:p w14:paraId="282C842C"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4ED75BDB"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36EBD287" w14:textId="77777777" w:rsidR="00FC6F93" w:rsidRPr="00FE083C" w:rsidRDefault="00FC6F93" w:rsidP="00FC6F93">
      <w:pPr>
        <w:pStyle w:val="Textonotapie"/>
        <w:ind w:firstLine="708"/>
        <w:jc w:val="both"/>
        <w:rPr>
          <w:rFonts w:ascii="Arial" w:hAnsi="Arial" w:cs="Arial"/>
          <w:color w:val="000000" w:themeColor="text1"/>
          <w:sz w:val="19"/>
          <w:szCs w:val="19"/>
          <w:lang w:val="es-ES"/>
        </w:rPr>
      </w:pPr>
    </w:p>
  </w:footnote>
  <w:footnote w:id="3">
    <w:p w14:paraId="0FF84316"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Consejo de Estado. Sección tercera. Sentencia del 18 de mayo de 2017. Exp. 48.396. C.P. Jaime Orlando Santofimio Gamboa.</w:t>
      </w:r>
    </w:p>
    <w:p w14:paraId="423265C1" w14:textId="77777777" w:rsidR="00FC6F93" w:rsidRPr="00FE083C" w:rsidRDefault="00FC6F93" w:rsidP="00FC6F93">
      <w:pPr>
        <w:pStyle w:val="Textonotapie"/>
        <w:ind w:firstLine="708"/>
        <w:jc w:val="both"/>
        <w:rPr>
          <w:rFonts w:ascii="Arial" w:hAnsi="Arial" w:cs="Arial"/>
          <w:color w:val="000000" w:themeColor="text1"/>
          <w:sz w:val="19"/>
          <w:szCs w:val="19"/>
          <w:lang w:val="es-ES"/>
        </w:rPr>
      </w:pPr>
      <w:r w:rsidRPr="00FE083C">
        <w:rPr>
          <w:rFonts w:ascii="Arial" w:hAnsi="Arial" w:cs="Arial"/>
          <w:color w:val="000000" w:themeColor="text1"/>
          <w:sz w:val="19"/>
          <w:szCs w:val="19"/>
        </w:rPr>
        <w:t xml:space="preserve"> </w:t>
      </w:r>
    </w:p>
  </w:footnote>
  <w:footnote w:id="4">
    <w:p w14:paraId="227670E3" w14:textId="77777777" w:rsidR="00FC6F93" w:rsidRPr="00FE083C" w:rsidRDefault="00FC6F93" w:rsidP="00FC6F93">
      <w:pPr>
        <w:pStyle w:val="Textonotapie"/>
        <w:ind w:firstLine="708"/>
        <w:jc w:val="both"/>
        <w:rPr>
          <w:rFonts w:ascii="Arial" w:hAnsi="Arial" w:cs="Arial"/>
          <w:color w:val="000000" w:themeColor="text1"/>
          <w:sz w:val="19"/>
          <w:szCs w:val="19"/>
          <w:lang w:val="es-ES"/>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Consejo de Estado. Sección tercera. Sentencia del 10 de mayo de 2018. Exp. 41.186. C.P. Stella Conto Díaz del Castillo.</w:t>
      </w:r>
    </w:p>
  </w:footnote>
  <w:footnote w:id="5">
    <w:p w14:paraId="34D56ACA"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7A6E954E"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7F62CDF0"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C837317"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29E2F96C" w14:textId="77777777" w:rsidR="00FC6F93" w:rsidRPr="00FE083C" w:rsidRDefault="00FC6F93" w:rsidP="00FC6F93">
      <w:pPr>
        <w:pStyle w:val="Textonotapie"/>
        <w:jc w:val="both"/>
        <w:rPr>
          <w:rFonts w:ascii="Arial" w:hAnsi="Arial" w:cs="Arial"/>
          <w:color w:val="000000" w:themeColor="text1"/>
          <w:sz w:val="19"/>
          <w:szCs w:val="19"/>
          <w:lang w:val="es-ES"/>
        </w:rPr>
      </w:pPr>
    </w:p>
  </w:footnote>
  <w:footnote w:id="6">
    <w:p w14:paraId="03876354"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Ley 1150 de 2007: «Artículo 2. </w:t>
      </w:r>
    </w:p>
    <w:p w14:paraId="7BFA3EBD"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4A45E5D3"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»Parágrafo 2. El procedimiento aplicable para la ejecución de cada una de las causales a que se refiere el numeral 2o del presente artículo, deberá observar los principios de transparencia, economía, responsabilidad y las siguientes reglas:</w:t>
      </w:r>
    </w:p>
    <w:p w14:paraId="768EB195"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 xml:space="preserve">»1. Se dará publicidad a todos los procedimientos y actos. </w:t>
      </w:r>
    </w:p>
    <w:p w14:paraId="5B3F8A7A"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2FB05325" w14:textId="77777777" w:rsidR="00FC6F93" w:rsidRPr="00FE083C" w:rsidRDefault="00FC6F93" w:rsidP="00FC6F93">
      <w:pPr>
        <w:pStyle w:val="Textonotapie"/>
        <w:jc w:val="both"/>
        <w:rPr>
          <w:rFonts w:ascii="Arial" w:hAnsi="Arial" w:cs="Arial"/>
          <w:color w:val="000000" w:themeColor="text1"/>
          <w:sz w:val="19"/>
          <w:szCs w:val="19"/>
          <w:lang w:val="es-ES"/>
        </w:rPr>
      </w:pPr>
    </w:p>
  </w:footnote>
  <w:footnote w:id="7">
    <w:p w14:paraId="1A7290B4"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8261033"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74840F5" w14:textId="77777777" w:rsidR="00FC6F93" w:rsidRPr="00FE083C" w:rsidRDefault="00FC6F93" w:rsidP="00FC6F93">
      <w:pPr>
        <w:pStyle w:val="Textonotapie"/>
        <w:jc w:val="both"/>
        <w:rPr>
          <w:rFonts w:ascii="Arial" w:hAnsi="Arial" w:cs="Arial"/>
          <w:color w:val="000000" w:themeColor="text1"/>
          <w:sz w:val="19"/>
          <w:szCs w:val="19"/>
          <w:lang w:val="es-ES"/>
        </w:rPr>
      </w:pPr>
    </w:p>
  </w:footnote>
  <w:footnote w:id="8">
    <w:p w14:paraId="19F0B4F9"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Consejo de Estado. Sección Tercera. Sentencia del 14 de diciembre de 2007. Exp. 24.715. C.P. Ruth Stella Correa Palacio.</w:t>
      </w:r>
    </w:p>
    <w:p w14:paraId="425B7040" w14:textId="77777777" w:rsidR="00FC6F93" w:rsidRPr="00FE083C" w:rsidRDefault="00FC6F93" w:rsidP="00FC6F93">
      <w:pPr>
        <w:pStyle w:val="Textonotapie"/>
        <w:ind w:firstLine="708"/>
        <w:jc w:val="both"/>
        <w:rPr>
          <w:rFonts w:ascii="Arial" w:hAnsi="Arial" w:cs="Arial"/>
          <w:color w:val="000000" w:themeColor="text1"/>
          <w:sz w:val="19"/>
          <w:szCs w:val="19"/>
          <w:lang w:val="es-ES"/>
        </w:rPr>
      </w:pPr>
      <w:r w:rsidRPr="00FE083C">
        <w:rPr>
          <w:rFonts w:ascii="Arial" w:hAnsi="Arial" w:cs="Arial"/>
          <w:color w:val="000000" w:themeColor="text1"/>
          <w:sz w:val="19"/>
          <w:szCs w:val="19"/>
        </w:rPr>
        <w:t xml:space="preserve"> </w:t>
      </w:r>
    </w:p>
  </w:footnote>
  <w:footnote w:id="9">
    <w:p w14:paraId="48EE1F24"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22D8463" w14:textId="77777777" w:rsidR="00FC6F93" w:rsidRPr="00FE083C" w:rsidRDefault="00FC6F93" w:rsidP="00FC6F93">
      <w:pPr>
        <w:pStyle w:val="Textonotapie"/>
        <w:ind w:firstLine="708"/>
        <w:jc w:val="both"/>
        <w:rPr>
          <w:rFonts w:ascii="Arial" w:hAnsi="Arial" w:cs="Arial"/>
          <w:color w:val="000000" w:themeColor="text1"/>
          <w:sz w:val="19"/>
          <w:szCs w:val="19"/>
          <w:lang w:val="es-CO"/>
        </w:rPr>
      </w:pPr>
    </w:p>
  </w:footnote>
  <w:footnote w:id="10">
    <w:p w14:paraId="573CC1C6"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0E2B3DA"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»Lo anterior, sin perjuicio de las publicaciones previstas en el numeral 3 del artículo 30 de la Ley 80 de 1993.</w:t>
      </w:r>
    </w:p>
    <w:p w14:paraId="241A93C1"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2AA3199F"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4E1ABFAE"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»b) Servirá de punto único de ingreso de información y de generación de reportes para las entidades estatales y la ciudadanía;</w:t>
      </w:r>
    </w:p>
    <w:p w14:paraId="733844A8"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50AEE80D"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10920D9"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363E14C7" w14:textId="77777777" w:rsidR="00FC6F93" w:rsidRPr="00FE083C" w:rsidRDefault="00FC6F93" w:rsidP="00FC6F93">
      <w:pPr>
        <w:pStyle w:val="Textonotapie"/>
        <w:jc w:val="both"/>
        <w:rPr>
          <w:rFonts w:ascii="Arial" w:hAnsi="Arial" w:cs="Arial"/>
          <w:color w:val="000000" w:themeColor="text1"/>
          <w:sz w:val="19"/>
          <w:szCs w:val="19"/>
        </w:rPr>
      </w:pPr>
    </w:p>
  </w:footnote>
  <w:footnote w:id="11">
    <w:p w14:paraId="06AFD802"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22FE83AB" w14:textId="77777777" w:rsidR="00FC6F93" w:rsidRPr="00FE083C" w:rsidRDefault="00FC6F93" w:rsidP="00FC6F93">
      <w:pPr>
        <w:pStyle w:val="Textonotapie"/>
        <w:jc w:val="both"/>
        <w:rPr>
          <w:rFonts w:ascii="Arial" w:hAnsi="Arial" w:cs="Arial"/>
          <w:color w:val="000000" w:themeColor="text1"/>
          <w:sz w:val="19"/>
          <w:szCs w:val="19"/>
        </w:rPr>
      </w:pPr>
      <w:r w:rsidRPr="00FE083C">
        <w:rPr>
          <w:rFonts w:ascii="Arial" w:hAnsi="Arial" w:cs="Arial"/>
          <w:color w:val="000000" w:themeColor="text1"/>
          <w:sz w:val="19"/>
          <w:szCs w:val="19"/>
        </w:rPr>
        <w:t>»[...]</w:t>
      </w:r>
    </w:p>
    <w:p w14:paraId="190E00C7" w14:textId="77777777" w:rsidR="00FC6F93" w:rsidRPr="00FE083C" w:rsidRDefault="00FC6F93" w:rsidP="00FC6F93">
      <w:pPr>
        <w:pStyle w:val="Textonotapie"/>
        <w:jc w:val="both"/>
        <w:rPr>
          <w:rFonts w:ascii="Arial" w:hAnsi="Arial" w:cs="Arial"/>
          <w:color w:val="000000" w:themeColor="text1"/>
          <w:sz w:val="19"/>
          <w:szCs w:val="19"/>
        </w:rPr>
      </w:pPr>
      <w:r w:rsidRPr="00FE083C">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49409AF9" w14:textId="77777777" w:rsidR="00FC6F93" w:rsidRPr="00FE083C" w:rsidRDefault="00FC6F93" w:rsidP="00FC6F93">
      <w:pPr>
        <w:pStyle w:val="Textonotapie"/>
        <w:ind w:firstLine="708"/>
        <w:jc w:val="both"/>
        <w:rPr>
          <w:rFonts w:ascii="Arial" w:hAnsi="Arial" w:cs="Arial"/>
          <w:color w:val="000000" w:themeColor="text1"/>
          <w:sz w:val="19"/>
          <w:szCs w:val="19"/>
        </w:rPr>
      </w:pPr>
      <w:r w:rsidRPr="00FE083C">
        <w:rPr>
          <w:rFonts w:ascii="Arial" w:hAnsi="Arial" w:cs="Arial"/>
          <w:color w:val="000000" w:themeColor="text1"/>
          <w:sz w:val="19"/>
          <w:szCs w:val="19"/>
        </w:rPr>
        <w:t>»[...]».</w:t>
      </w:r>
    </w:p>
  </w:footnote>
  <w:footnote w:id="12">
    <w:p w14:paraId="4E8623A3" w14:textId="77777777" w:rsidR="00FC6F93" w:rsidRPr="00FE083C" w:rsidRDefault="00FC6F93" w:rsidP="00FC6F93">
      <w:pPr>
        <w:pStyle w:val="Textonotapie"/>
        <w:ind w:firstLine="708"/>
        <w:rPr>
          <w:rFonts w:ascii="Arial" w:hAnsi="Arial" w:cs="Arial"/>
          <w:color w:val="000000" w:themeColor="text1"/>
          <w:sz w:val="19"/>
          <w:szCs w:val="19"/>
        </w:rPr>
      </w:pPr>
      <w:r w:rsidRPr="00FE083C">
        <w:rPr>
          <w:rStyle w:val="Refdenotaalpie"/>
          <w:rFonts w:ascii="Arial" w:hAnsi="Arial" w:cs="Arial"/>
          <w:color w:val="000000" w:themeColor="text1"/>
          <w:sz w:val="19"/>
          <w:szCs w:val="19"/>
        </w:rPr>
        <w:footnoteRef/>
      </w:r>
      <w:r w:rsidRPr="00FE083C">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00574" w14:textId="54F8749F" w:rsidR="005A79FE" w:rsidRDefault="005A79FE">
    <w:pPr>
      <w:pStyle w:val="Encabezado"/>
    </w:pPr>
  </w:p>
  <w:p w14:paraId="3D323BDB" w14:textId="5A9ED725" w:rsidR="005A79FE" w:rsidRDefault="00C55BB9">
    <w:pPr>
      <w:pStyle w:val="Encabezado"/>
    </w:pPr>
    <w:r>
      <w:rPr>
        <w:noProof/>
        <w:lang w:val="en-US"/>
      </w:rPr>
      <w:drawing>
        <wp:anchor distT="0" distB="0" distL="114300" distR="114300" simplePos="0" relativeHeight="251673600" behindDoc="1" locked="0" layoutInCell="1" allowOverlap="1" wp14:anchorId="1A706351" wp14:editId="697E8700">
          <wp:simplePos x="0" y="0"/>
          <wp:positionH relativeFrom="column">
            <wp:posOffset>4326661</wp:posOffset>
          </wp:positionH>
          <wp:positionV relativeFrom="paragraph">
            <wp:posOffset>109754</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51B8B"/>
    <w:rsid w:val="000942EB"/>
    <w:rsid w:val="000A5CD4"/>
    <w:rsid w:val="000A7342"/>
    <w:rsid w:val="000B103F"/>
    <w:rsid w:val="000B4500"/>
    <w:rsid w:val="000F14E8"/>
    <w:rsid w:val="00103915"/>
    <w:rsid w:val="00122B23"/>
    <w:rsid w:val="00137FFA"/>
    <w:rsid w:val="00141EA9"/>
    <w:rsid w:val="001607FC"/>
    <w:rsid w:val="002036CF"/>
    <w:rsid w:val="00234B84"/>
    <w:rsid w:val="0025517B"/>
    <w:rsid w:val="003033BA"/>
    <w:rsid w:val="0034680A"/>
    <w:rsid w:val="00386456"/>
    <w:rsid w:val="003A581E"/>
    <w:rsid w:val="003B0C81"/>
    <w:rsid w:val="003B6CFA"/>
    <w:rsid w:val="00435E87"/>
    <w:rsid w:val="004422D6"/>
    <w:rsid w:val="004A34D2"/>
    <w:rsid w:val="004B1264"/>
    <w:rsid w:val="004D2447"/>
    <w:rsid w:val="0051074C"/>
    <w:rsid w:val="00513AF2"/>
    <w:rsid w:val="00516BAB"/>
    <w:rsid w:val="00521531"/>
    <w:rsid w:val="0054413A"/>
    <w:rsid w:val="005564CA"/>
    <w:rsid w:val="005A79FE"/>
    <w:rsid w:val="0060226E"/>
    <w:rsid w:val="00641A8C"/>
    <w:rsid w:val="006525EB"/>
    <w:rsid w:val="00655371"/>
    <w:rsid w:val="00697665"/>
    <w:rsid w:val="006A7FD0"/>
    <w:rsid w:val="006D75AA"/>
    <w:rsid w:val="006D7687"/>
    <w:rsid w:val="006E0572"/>
    <w:rsid w:val="00705631"/>
    <w:rsid w:val="00742DD2"/>
    <w:rsid w:val="00746A51"/>
    <w:rsid w:val="0075647A"/>
    <w:rsid w:val="007634AD"/>
    <w:rsid w:val="0078122E"/>
    <w:rsid w:val="007A4435"/>
    <w:rsid w:val="007B0854"/>
    <w:rsid w:val="007F4C6E"/>
    <w:rsid w:val="007F72CB"/>
    <w:rsid w:val="0082008B"/>
    <w:rsid w:val="0083119B"/>
    <w:rsid w:val="00836EAB"/>
    <w:rsid w:val="0085092D"/>
    <w:rsid w:val="008655DD"/>
    <w:rsid w:val="008B37BE"/>
    <w:rsid w:val="008B425C"/>
    <w:rsid w:val="008C1080"/>
    <w:rsid w:val="008E1C15"/>
    <w:rsid w:val="009047C5"/>
    <w:rsid w:val="0095385A"/>
    <w:rsid w:val="0096310A"/>
    <w:rsid w:val="00993064"/>
    <w:rsid w:val="009D4AB9"/>
    <w:rsid w:val="00A24560"/>
    <w:rsid w:val="00A34538"/>
    <w:rsid w:val="00A85AB5"/>
    <w:rsid w:val="00AA442B"/>
    <w:rsid w:val="00B031CA"/>
    <w:rsid w:val="00B22E22"/>
    <w:rsid w:val="00B525CB"/>
    <w:rsid w:val="00B63CB2"/>
    <w:rsid w:val="00B84931"/>
    <w:rsid w:val="00BD4600"/>
    <w:rsid w:val="00BD5574"/>
    <w:rsid w:val="00BD78FE"/>
    <w:rsid w:val="00BF0CD7"/>
    <w:rsid w:val="00C55BB9"/>
    <w:rsid w:val="00C56DAF"/>
    <w:rsid w:val="00C651D5"/>
    <w:rsid w:val="00CA287E"/>
    <w:rsid w:val="00CC00CD"/>
    <w:rsid w:val="00D03BB6"/>
    <w:rsid w:val="00D12D32"/>
    <w:rsid w:val="00D1583A"/>
    <w:rsid w:val="00D16E39"/>
    <w:rsid w:val="00D72E9D"/>
    <w:rsid w:val="00D82CE5"/>
    <w:rsid w:val="00DA0AF3"/>
    <w:rsid w:val="00DA5AB1"/>
    <w:rsid w:val="00DC62E5"/>
    <w:rsid w:val="00DD735D"/>
    <w:rsid w:val="00DE3119"/>
    <w:rsid w:val="00DF236B"/>
    <w:rsid w:val="00E048CC"/>
    <w:rsid w:val="00E13AB8"/>
    <w:rsid w:val="00E305BA"/>
    <w:rsid w:val="00E33B62"/>
    <w:rsid w:val="00EE0D90"/>
    <w:rsid w:val="00EE74A7"/>
    <w:rsid w:val="00F13F44"/>
    <w:rsid w:val="00F177DC"/>
    <w:rsid w:val="00F31EF1"/>
    <w:rsid w:val="00F84899"/>
    <w:rsid w:val="00F859F0"/>
    <w:rsid w:val="00FC6F93"/>
    <w:rsid w:val="00FC7547"/>
    <w:rsid w:val="00FE083C"/>
    <w:rsid w:val="00FE141E"/>
    <w:rsid w:val="00FE7A7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Mencinsinresolver1">
    <w:name w:val="Mención sin resolver1"/>
    <w:basedOn w:val="Fuentedeprrafopredeter"/>
    <w:uiPriority w:val="99"/>
    <w:semiHidden/>
    <w:unhideWhenUsed/>
    <w:rsid w:val="00435E87"/>
    <w:rPr>
      <w:color w:val="605E5C"/>
      <w:shd w:val="clear" w:color="auto" w:fill="E1DFDD"/>
    </w:rPr>
  </w:style>
  <w:style w:type="paragraph" w:customStyle="1" w:styleId="Default">
    <w:name w:val="Default"/>
    <w:rsid w:val="00FE083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54A03-0938-4713-A3DE-CE3A6C6B8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5BA0506-446A-4669-A445-EC2CB698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4138</Words>
  <Characters>22759</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2020-08-19T14:36:00Z</dcterms:created>
  <dcterms:modified xsi:type="dcterms:W3CDTF">2020-08-19T14:36:00Z</dcterms:modified>
</cp:coreProperties>
</file>