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8DDB05" w14:textId="77777777" w:rsidR="004B2131" w:rsidRPr="0071580B" w:rsidRDefault="004B2131" w:rsidP="0071580B">
      <w:pPr>
        <w:snapToGrid w:val="0"/>
        <w:contextualSpacing/>
        <w:jc w:val="both"/>
        <w:rPr>
          <w:rFonts w:ascii="Verdana" w:eastAsia="Times New Roman" w:hAnsi="Verdana" w:cs="Arial"/>
          <w:b/>
          <w:bCs/>
          <w:lang w:eastAsia="es-ES_tradnl"/>
        </w:rPr>
      </w:pPr>
      <w:r w:rsidRPr="0071580B">
        <w:rPr>
          <w:rFonts w:ascii="Verdana" w:eastAsia="Times New Roman" w:hAnsi="Verdana" w:cs="Arial"/>
          <w:b/>
          <w:bCs/>
          <w:lang w:eastAsia="es-ES_tradnl"/>
        </w:rPr>
        <w:t>PLANEACIÓN – Estudios previos</w:t>
      </w:r>
    </w:p>
    <w:p w14:paraId="17198563" w14:textId="77777777" w:rsidR="0071580B" w:rsidRPr="0071580B" w:rsidRDefault="0071580B" w:rsidP="0071580B">
      <w:pPr>
        <w:snapToGrid w:val="0"/>
        <w:spacing w:after="0" w:line="240" w:lineRule="auto"/>
        <w:contextualSpacing/>
        <w:jc w:val="both"/>
        <w:rPr>
          <w:rFonts w:ascii="Verdana" w:eastAsia="Times New Roman" w:hAnsi="Verdana" w:cs="Arial"/>
          <w:sz w:val="20"/>
          <w:szCs w:val="20"/>
          <w:lang w:eastAsia="es-ES_tradnl"/>
        </w:rPr>
      </w:pPr>
    </w:p>
    <w:p w14:paraId="72773301" w14:textId="61ECA0AD" w:rsidR="004B2131" w:rsidRDefault="004B2131" w:rsidP="0071580B">
      <w:pPr>
        <w:snapToGrid w:val="0"/>
        <w:contextualSpacing/>
        <w:jc w:val="both"/>
        <w:rPr>
          <w:rFonts w:ascii="Verdana" w:eastAsia="Calibri" w:hAnsi="Verdana" w:cs="Arial"/>
          <w:bCs/>
          <w:sz w:val="20"/>
          <w:szCs w:val="20"/>
          <w:lang w:val="es-ES" w:eastAsia="es-MX"/>
        </w:rPr>
      </w:pPr>
      <w:r w:rsidRPr="0071580B">
        <w:rPr>
          <w:rFonts w:ascii="Verdana" w:eastAsia="Calibri" w:hAnsi="Verdana" w:cs="Arial"/>
          <w:bCs/>
          <w:sz w:val="20"/>
          <w:szCs w:val="20"/>
          <w:lang w:val="es-ES"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5CBDF699" w14:textId="77777777" w:rsidR="0071580B" w:rsidRPr="0071580B" w:rsidRDefault="0071580B" w:rsidP="0071580B">
      <w:pPr>
        <w:snapToGrid w:val="0"/>
        <w:spacing w:after="0" w:line="240" w:lineRule="auto"/>
        <w:contextualSpacing/>
        <w:jc w:val="both"/>
        <w:rPr>
          <w:rFonts w:ascii="Verdana" w:eastAsia="Times New Roman" w:hAnsi="Verdana" w:cs="Arial"/>
          <w:sz w:val="20"/>
          <w:szCs w:val="20"/>
          <w:lang w:eastAsia="es-ES_tradnl"/>
        </w:rPr>
      </w:pPr>
    </w:p>
    <w:p w14:paraId="44228CC5" w14:textId="77777777" w:rsidR="004B2131" w:rsidRPr="0071580B" w:rsidRDefault="004B2131" w:rsidP="0071580B">
      <w:pPr>
        <w:snapToGrid w:val="0"/>
        <w:contextualSpacing/>
        <w:jc w:val="both"/>
        <w:rPr>
          <w:rFonts w:ascii="Verdana" w:eastAsia="Times New Roman" w:hAnsi="Verdana" w:cs="Arial"/>
          <w:b/>
          <w:bCs/>
          <w:lang w:eastAsia="es-ES_tradnl"/>
        </w:rPr>
      </w:pPr>
      <w:r w:rsidRPr="0071580B">
        <w:rPr>
          <w:rFonts w:ascii="Verdana" w:eastAsia="Times New Roman" w:hAnsi="Verdana" w:cs="Arial"/>
          <w:b/>
          <w:bCs/>
          <w:lang w:eastAsia="es-ES_tradnl"/>
        </w:rPr>
        <w:t>ESTUDIOS PREVIOS – Análisis del sector – Planeación en los procesos de contratación pública</w:t>
      </w:r>
    </w:p>
    <w:p w14:paraId="5FB27A2E" w14:textId="77777777" w:rsidR="0071580B" w:rsidRPr="0071580B" w:rsidRDefault="0071580B" w:rsidP="0071580B">
      <w:pPr>
        <w:snapToGrid w:val="0"/>
        <w:spacing w:after="0" w:line="240" w:lineRule="auto"/>
        <w:contextualSpacing/>
        <w:jc w:val="both"/>
        <w:rPr>
          <w:rFonts w:ascii="Verdana" w:eastAsia="Times New Roman" w:hAnsi="Verdana" w:cs="Arial"/>
          <w:sz w:val="20"/>
          <w:szCs w:val="20"/>
          <w:lang w:eastAsia="es-ES_tradnl"/>
        </w:rPr>
      </w:pPr>
    </w:p>
    <w:p w14:paraId="7C4B3C37" w14:textId="77777777" w:rsidR="004B2131" w:rsidRPr="0071580B" w:rsidRDefault="004B2131" w:rsidP="0071580B">
      <w:pPr>
        <w:snapToGrid w:val="0"/>
        <w:spacing w:after="0" w:line="240" w:lineRule="auto"/>
        <w:contextualSpacing/>
        <w:jc w:val="both"/>
        <w:rPr>
          <w:rFonts w:ascii="Verdana" w:eastAsia="Times New Roman" w:hAnsi="Verdana" w:cs="Arial"/>
          <w:sz w:val="20"/>
          <w:szCs w:val="20"/>
          <w:lang w:val="es-ES" w:eastAsia="es-MX"/>
        </w:rPr>
      </w:pPr>
      <w:r w:rsidRPr="0071580B">
        <w:rPr>
          <w:rFonts w:ascii="Verdana" w:eastAsia="Times New Roman" w:hAnsi="Verdana" w:cs="Arial"/>
          <w:sz w:val="20"/>
          <w:szCs w:val="20"/>
          <w:lang w:val="es-ES" w:eastAsia="es-MX"/>
        </w:rPr>
        <w:t xml:space="preserve">El artículo 25 de la Ley 80 de 1995 y el artículo 2.2.1.1.2.1.1 del Decreto 1082 de 2015 disponen el contenido mínimo de los estudios y documentos previos que debe realizar la entidad en la etapa de planeación. Estos buscan que determine su necesidad, las modalidades existentes y la justificación de la elección que realice para el proceso, las calidades y especificaciones, los costos, la disponibilidad de recursos, la disponibilidad en el mercado, los procedimientos y requisitos por satisfacer, entre otros. Por otra parte, de acuerdo con los numerales 2 y 4 del artículo 2.2.1.1.2.1.1 del Decreto 1082 de 2015, uno de los aspectos principales que deben abarcar los estudios previos es la determinación del objeto a contratar con sus especificaciones y el valor estimado del contrato con su respectiva justificación. </w:t>
      </w:r>
      <w:r w:rsidRPr="0071580B">
        <w:rPr>
          <w:rFonts w:ascii="Verdana" w:eastAsia="Calibri" w:hAnsi="Verdana" w:cs="Arial"/>
          <w:bCs/>
          <w:sz w:val="20"/>
          <w:szCs w:val="20"/>
          <w:lang w:val="es-ES" w:eastAsia="es-MX"/>
        </w:rPr>
        <w:t>Para lo anterior será relevante la información recolectada en el marco del estudio del mercado y el análisis del sector económico.</w:t>
      </w:r>
    </w:p>
    <w:p w14:paraId="26288A38" w14:textId="77777777" w:rsidR="004B2131" w:rsidRPr="0071580B" w:rsidRDefault="004B2131" w:rsidP="0071580B">
      <w:pPr>
        <w:snapToGrid w:val="0"/>
        <w:spacing w:after="0" w:line="240" w:lineRule="auto"/>
        <w:contextualSpacing/>
        <w:jc w:val="both"/>
        <w:rPr>
          <w:rFonts w:ascii="Verdana" w:eastAsia="Times New Roman" w:hAnsi="Verdana" w:cs="Arial"/>
          <w:sz w:val="20"/>
          <w:szCs w:val="20"/>
          <w:lang w:eastAsia="es-ES_tradnl"/>
        </w:rPr>
      </w:pPr>
    </w:p>
    <w:p w14:paraId="6D196481" w14:textId="02319AAF" w:rsidR="0071580B" w:rsidRPr="0071580B" w:rsidRDefault="004B2131" w:rsidP="0071580B">
      <w:pPr>
        <w:snapToGrid w:val="0"/>
        <w:contextualSpacing/>
        <w:jc w:val="both"/>
        <w:rPr>
          <w:rFonts w:ascii="Verdana" w:eastAsia="Calibri" w:hAnsi="Verdana" w:cs="Arial"/>
          <w:b/>
          <w:bCs/>
          <w:lang w:val="es-ES" w:eastAsia="es-ES"/>
        </w:rPr>
      </w:pPr>
      <w:r w:rsidRPr="0071580B">
        <w:rPr>
          <w:rFonts w:ascii="Verdana" w:eastAsia="Calibri" w:hAnsi="Verdana" w:cs="Arial"/>
          <w:b/>
          <w:bCs/>
          <w:lang w:val="es-ES" w:eastAsia="es-ES"/>
        </w:rPr>
        <w:t>CONTRATO DE OBRA – Obra pública – Definición – Artículo 32 de la Ley 80 de 1993</w:t>
      </w:r>
    </w:p>
    <w:p w14:paraId="7C864D15" w14:textId="77777777" w:rsidR="0071580B" w:rsidRPr="0071580B" w:rsidRDefault="0071580B" w:rsidP="0071580B">
      <w:pPr>
        <w:snapToGrid w:val="0"/>
        <w:contextualSpacing/>
        <w:jc w:val="both"/>
        <w:rPr>
          <w:rFonts w:ascii="Verdana" w:eastAsia="Calibri" w:hAnsi="Verdana" w:cs="Arial"/>
          <w:sz w:val="20"/>
          <w:szCs w:val="20"/>
          <w:lang w:val="es-ES" w:eastAsia="es-ES"/>
        </w:rPr>
      </w:pPr>
    </w:p>
    <w:p w14:paraId="647280B3" w14:textId="77777777" w:rsidR="004B2131" w:rsidRPr="0071580B" w:rsidRDefault="004B2131" w:rsidP="0071580B">
      <w:pPr>
        <w:snapToGrid w:val="0"/>
        <w:spacing w:after="0" w:line="240" w:lineRule="auto"/>
        <w:contextualSpacing/>
        <w:jc w:val="both"/>
        <w:rPr>
          <w:rFonts w:ascii="Verdana" w:eastAsia="Calibri" w:hAnsi="Verdana" w:cs="Arial"/>
          <w:color w:val="000000"/>
          <w:sz w:val="20"/>
          <w:szCs w:val="20"/>
          <w:lang w:val="es-ES" w:eastAsia="es-ES" w:bidi="es-ES"/>
        </w:rPr>
      </w:pPr>
      <w:r w:rsidRPr="0071580B">
        <w:rPr>
          <w:rFonts w:ascii="Verdana" w:eastAsia="Calibri" w:hAnsi="Verdana" w:cs="Arial"/>
          <w:sz w:val="20"/>
          <w:szCs w:val="20"/>
          <w:lang w:val="es-ES"/>
        </w:rPr>
        <w:t>Por otra parte, la</w:t>
      </w:r>
      <w:r w:rsidRPr="0071580B">
        <w:rPr>
          <w:rFonts w:ascii="Verdana" w:eastAsia="Calibri" w:hAnsi="Verdana" w:cs="Arial"/>
          <w:color w:val="000000"/>
          <w:sz w:val="20"/>
          <w:szCs w:val="20"/>
          <w:lang w:val="es-ES" w:eastAsia="es-ES" w:bidi="es-ES"/>
        </w:rPr>
        <w:t xml:space="preserve"> obra pública es una tipología de los contratos estatales, entendidos como los actos jurídicos generadores de obligaciones que son celebrados por alguna de las entidades estatales enlistadas en el artículo 2 de la Ley 80 de 1993.  Lo anterior resulta relevante, en la medida en que este tipo contractual se diferencia de la definición y regulación prevista en el derecho privado para el contrato de confección de obra material.   </w:t>
      </w:r>
    </w:p>
    <w:p w14:paraId="36A26E3B" w14:textId="77777777" w:rsidR="0071580B" w:rsidRDefault="0071580B" w:rsidP="0071580B">
      <w:pPr>
        <w:widowControl w:val="0"/>
        <w:autoSpaceDE w:val="0"/>
        <w:autoSpaceDN w:val="0"/>
        <w:snapToGrid w:val="0"/>
        <w:spacing w:after="0" w:line="240" w:lineRule="auto"/>
        <w:contextualSpacing/>
        <w:jc w:val="both"/>
        <w:rPr>
          <w:rFonts w:ascii="Verdana" w:eastAsia="Calibri" w:hAnsi="Verdana" w:cs="Arial"/>
          <w:color w:val="000000"/>
          <w:sz w:val="20"/>
          <w:szCs w:val="20"/>
          <w:lang w:val="es-ES" w:eastAsia="es-ES" w:bidi="es-ES"/>
        </w:rPr>
      </w:pPr>
    </w:p>
    <w:p w14:paraId="17C02F1E" w14:textId="445DBBD0" w:rsidR="004B2131" w:rsidRPr="0071580B" w:rsidRDefault="004B2131" w:rsidP="0071580B">
      <w:pPr>
        <w:widowControl w:val="0"/>
        <w:autoSpaceDE w:val="0"/>
        <w:autoSpaceDN w:val="0"/>
        <w:snapToGrid w:val="0"/>
        <w:spacing w:after="0" w:line="240" w:lineRule="auto"/>
        <w:contextualSpacing/>
        <w:jc w:val="both"/>
        <w:rPr>
          <w:rFonts w:ascii="Verdana" w:eastAsia="Calibri" w:hAnsi="Verdana" w:cs="Arial"/>
          <w:color w:val="000000"/>
          <w:sz w:val="20"/>
          <w:szCs w:val="20"/>
          <w:lang w:val="es-ES" w:eastAsia="es-ES" w:bidi="es-ES"/>
        </w:rPr>
      </w:pPr>
      <w:r w:rsidRPr="0071580B">
        <w:rPr>
          <w:rFonts w:ascii="Verdana" w:eastAsia="Calibri" w:hAnsi="Verdana" w:cs="Arial"/>
          <w:color w:val="000000"/>
          <w:sz w:val="20"/>
          <w:szCs w:val="20"/>
          <w:lang w:val="es-ES" w:eastAsia="es-ES" w:bidi="es-ES"/>
        </w:rPr>
        <w:t xml:space="preserve">En </w:t>
      </w:r>
      <w:r w:rsidRPr="0071580B">
        <w:rPr>
          <w:rFonts w:ascii="Verdana" w:eastAsia="Calibri" w:hAnsi="Verdana" w:cs="Arial"/>
          <w:i/>
          <w:iCs/>
          <w:color w:val="000000"/>
          <w:sz w:val="20"/>
          <w:szCs w:val="20"/>
          <w:lang w:val="es-ES" w:eastAsia="es-ES" w:bidi="es-ES"/>
        </w:rPr>
        <w:t>sentido amplio</w:t>
      </w:r>
      <w:r w:rsidRPr="0071580B">
        <w:rPr>
          <w:rFonts w:ascii="Verdana" w:eastAsia="Calibri" w:hAnsi="Verdana" w:cs="Arial"/>
          <w:color w:val="000000"/>
          <w:sz w:val="20"/>
          <w:szCs w:val="20"/>
          <w:lang w:val="es-ES" w:eastAsia="es-ES" w:bidi="es-ES"/>
        </w:rPr>
        <w:t xml:space="preserve">, dado que la “obra” es un bien que crea la actividad humana, el hecho de que sea “pública” significa que es todo trabajo material en cuya creación o realización interviene el Estado. No obstante, el numeral 1 del artículo 32 de la Ley 80 de 1993 opta por un </w:t>
      </w:r>
      <w:r w:rsidRPr="0071580B">
        <w:rPr>
          <w:rFonts w:ascii="Verdana" w:eastAsia="Calibri" w:hAnsi="Verdana" w:cs="Arial"/>
          <w:i/>
          <w:iCs/>
          <w:color w:val="000000"/>
          <w:sz w:val="20"/>
          <w:szCs w:val="20"/>
          <w:lang w:val="es-ES" w:eastAsia="es-ES" w:bidi="es-ES"/>
        </w:rPr>
        <w:t>sentido restringido</w:t>
      </w:r>
      <w:r w:rsidRPr="0071580B">
        <w:rPr>
          <w:rFonts w:ascii="Verdana" w:eastAsia="Calibri" w:hAnsi="Verdana" w:cs="Arial"/>
          <w:color w:val="000000"/>
          <w:sz w:val="20"/>
          <w:szCs w:val="20"/>
          <w:lang w:val="es-ES" w:eastAsia="es-ES" w:bidi="es-ES"/>
        </w:rPr>
        <w:t xml:space="preserve">,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w:t>
      </w:r>
    </w:p>
    <w:p w14:paraId="6F4C7D5E" w14:textId="77777777" w:rsidR="004B2131" w:rsidRPr="0071580B" w:rsidRDefault="004B2131" w:rsidP="0071580B">
      <w:pPr>
        <w:snapToGrid w:val="0"/>
        <w:spacing w:after="0" w:line="240" w:lineRule="auto"/>
        <w:contextualSpacing/>
        <w:jc w:val="both"/>
        <w:rPr>
          <w:rFonts w:ascii="Verdana" w:eastAsia="Calibri" w:hAnsi="Verdana" w:cs="Arial"/>
          <w:sz w:val="20"/>
          <w:szCs w:val="20"/>
          <w:lang w:val="es-ES" w:eastAsia="es-ES"/>
        </w:rPr>
      </w:pPr>
    </w:p>
    <w:p w14:paraId="2015D9F2" w14:textId="35E6F205" w:rsidR="004B2131" w:rsidRPr="0071580B" w:rsidRDefault="004B2131" w:rsidP="0071580B">
      <w:pPr>
        <w:snapToGrid w:val="0"/>
        <w:spacing w:after="0" w:line="240" w:lineRule="auto"/>
        <w:contextualSpacing/>
        <w:jc w:val="both"/>
        <w:rPr>
          <w:rFonts w:ascii="Verdana" w:eastAsia="Calibri" w:hAnsi="Verdana" w:cs="Arial"/>
          <w:b/>
          <w:bCs/>
          <w:lang w:val="es-ES" w:eastAsia="es-ES"/>
        </w:rPr>
      </w:pPr>
      <w:r w:rsidRPr="0071580B">
        <w:rPr>
          <w:rFonts w:ascii="Verdana" w:eastAsia="Calibri" w:hAnsi="Verdana" w:cs="Arial"/>
          <w:b/>
          <w:bCs/>
          <w:lang w:val="es-ES" w:eastAsia="es-ES"/>
        </w:rPr>
        <w:lastRenderedPageBreak/>
        <w:t>CONTRATO DE OBRA –</w:t>
      </w:r>
      <w:r w:rsidRPr="0071580B">
        <w:rPr>
          <w:rFonts w:ascii="Verdana" w:eastAsia="Calibri" w:hAnsi="Verdana" w:cs="Arial"/>
          <w:b/>
          <w:bCs/>
          <w:lang w:val="es-ES" w:eastAsia="es-ES"/>
        </w:rPr>
        <w:t xml:space="preserve"> </w:t>
      </w:r>
      <w:r w:rsidRPr="0071580B">
        <w:rPr>
          <w:rFonts w:ascii="Verdana" w:eastAsia="Calibri" w:hAnsi="Verdana" w:cs="Arial"/>
          <w:b/>
          <w:bCs/>
          <w:lang w:val="es-ES" w:eastAsia="es-ES"/>
        </w:rPr>
        <w:t>Modificaciones – Obras adicionales – Mayores cantidades de obra</w:t>
      </w:r>
    </w:p>
    <w:p w14:paraId="5CF59CB2" w14:textId="77777777" w:rsidR="0071580B" w:rsidRDefault="0071580B" w:rsidP="0071580B">
      <w:pPr>
        <w:snapToGrid w:val="0"/>
        <w:contextualSpacing/>
        <w:jc w:val="both"/>
        <w:rPr>
          <w:rFonts w:ascii="Verdana" w:hAnsi="Verdana" w:cs="Arial"/>
          <w:bCs/>
          <w:color w:val="000000" w:themeColor="text1"/>
          <w:sz w:val="20"/>
          <w:szCs w:val="20"/>
          <w:lang w:val="es-ES"/>
        </w:rPr>
      </w:pPr>
    </w:p>
    <w:p w14:paraId="598289FE" w14:textId="6EC783E6" w:rsidR="004B2131" w:rsidRDefault="004B2131" w:rsidP="0071580B">
      <w:pPr>
        <w:snapToGrid w:val="0"/>
        <w:contextualSpacing/>
        <w:jc w:val="both"/>
        <w:rPr>
          <w:rFonts w:ascii="Verdana" w:hAnsi="Verdana"/>
          <w:sz w:val="20"/>
          <w:szCs w:val="20"/>
          <w:lang w:val="es-ES"/>
        </w:rPr>
      </w:pPr>
      <w:r w:rsidRPr="0071580B">
        <w:rPr>
          <w:rFonts w:ascii="Verdana" w:hAnsi="Verdana" w:cs="Arial"/>
          <w:bCs/>
          <w:color w:val="000000" w:themeColor="text1"/>
          <w:sz w:val="20"/>
          <w:szCs w:val="20"/>
          <w:lang w:val="es-ES"/>
        </w:rPr>
        <w:t>Como parte del deber de planeación, previo al inicio de un proceso de selección para la contratación de una obra pública, la entidad estatal debe contar con “los estudios y diseños que permitan establecer la viabilidad del proyecto y su impacto social, económico y ambiental”, en los términos del numeral 12 del artículo 25 de la Ley 80 de 1993, modificado por el artículo 87 de la Ley 1474 de 2011</w:t>
      </w:r>
      <w:r w:rsidRPr="0071580B">
        <w:rPr>
          <w:rFonts w:ascii="Verdana" w:hAnsi="Verdana"/>
          <w:sz w:val="20"/>
          <w:szCs w:val="20"/>
          <w:lang w:val="es-ES"/>
        </w:rPr>
        <w:t>. De hecho, el numeral 3 del artículo 26 de la Ley 80 de 1993 prescribe que las entidades y los servidores públicos responderán cuando hubieren iniciado procedimientos de selección sin haber elaborado los diseños correspondientes.</w:t>
      </w:r>
    </w:p>
    <w:p w14:paraId="387692AB" w14:textId="77777777" w:rsidR="0071580B" w:rsidRPr="0071580B" w:rsidRDefault="0071580B" w:rsidP="0071580B">
      <w:pPr>
        <w:snapToGrid w:val="0"/>
        <w:spacing w:after="0" w:line="240" w:lineRule="auto"/>
        <w:contextualSpacing/>
        <w:jc w:val="both"/>
        <w:rPr>
          <w:rFonts w:ascii="Verdana" w:hAnsi="Verdana"/>
          <w:bCs/>
          <w:color w:val="000000" w:themeColor="text1"/>
          <w:sz w:val="20"/>
          <w:szCs w:val="20"/>
          <w:lang w:val="es-ES"/>
        </w:rPr>
      </w:pPr>
    </w:p>
    <w:p w14:paraId="4BE08C28" w14:textId="77777777" w:rsidR="004B2131" w:rsidRPr="0071580B" w:rsidRDefault="004B2131" w:rsidP="0071580B">
      <w:pPr>
        <w:snapToGrid w:val="0"/>
        <w:contextualSpacing/>
        <w:jc w:val="both"/>
        <w:rPr>
          <w:rFonts w:ascii="Verdana" w:hAnsi="Verdana" w:cs="Arial"/>
          <w:b/>
          <w:bCs/>
          <w:lang w:val="es-ES" w:eastAsia="es-ES" w:bidi="es-ES"/>
        </w:rPr>
      </w:pPr>
      <w:r w:rsidRPr="0071580B">
        <w:rPr>
          <w:rFonts w:ascii="Verdana" w:hAnsi="Verdana" w:cs="Arial"/>
          <w:b/>
          <w:bCs/>
          <w:lang w:val="es-ES" w:eastAsia="es-ES" w:bidi="es-ES"/>
        </w:rPr>
        <w:t>MODIFICACION DE LOS CONTRATOS ESTATALES – Aspectos generales – Límites</w:t>
      </w:r>
    </w:p>
    <w:p w14:paraId="0B0BA79A" w14:textId="77777777" w:rsidR="0071580B" w:rsidRPr="0071580B" w:rsidRDefault="0071580B" w:rsidP="0071580B">
      <w:pPr>
        <w:snapToGrid w:val="0"/>
        <w:spacing w:after="0" w:line="240" w:lineRule="auto"/>
        <w:contextualSpacing/>
        <w:jc w:val="both"/>
        <w:rPr>
          <w:rFonts w:ascii="Verdana" w:hAnsi="Verdana" w:cs="Arial"/>
          <w:sz w:val="20"/>
          <w:szCs w:val="20"/>
          <w:lang w:val="es-ES" w:eastAsia="es-ES" w:bidi="es-ES"/>
        </w:rPr>
      </w:pPr>
    </w:p>
    <w:p w14:paraId="0454F6B8" w14:textId="77777777" w:rsidR="004B2131" w:rsidRPr="0071580B" w:rsidRDefault="004B2131" w:rsidP="0071580B">
      <w:pPr>
        <w:snapToGrid w:val="0"/>
        <w:spacing w:after="0" w:line="240" w:lineRule="auto"/>
        <w:contextualSpacing/>
        <w:jc w:val="both"/>
        <w:rPr>
          <w:rFonts w:ascii="Verdana" w:eastAsia="Arial" w:hAnsi="Verdana" w:cs="Arial"/>
          <w:sz w:val="20"/>
          <w:szCs w:val="20"/>
          <w:lang w:val="es-ES" w:eastAsia="es-ES" w:bidi="es-ES"/>
        </w:rPr>
      </w:pPr>
      <w:r w:rsidRPr="0071580B">
        <w:rPr>
          <w:rFonts w:ascii="Verdana" w:eastAsia="Arial" w:hAnsi="Verdana" w:cs="Arial"/>
          <w:color w:val="000000"/>
          <w:sz w:val="20"/>
          <w:szCs w:val="20"/>
          <w:lang w:val="es-ES" w:eastAsia="es-ES" w:bidi="es-ES"/>
        </w:rPr>
        <w:t xml:space="preserve">El Consejo de Estado ha precisado que la regla general de los contratos estatales es la </w:t>
      </w:r>
      <w:r w:rsidRPr="0071580B">
        <w:rPr>
          <w:rFonts w:ascii="Verdana" w:eastAsia="Arial" w:hAnsi="Verdana" w:cs="Arial"/>
          <w:i/>
          <w:iCs/>
          <w:color w:val="000000"/>
          <w:sz w:val="20"/>
          <w:szCs w:val="20"/>
          <w:lang w:val="es-ES" w:eastAsia="es-ES" w:bidi="es-ES"/>
        </w:rPr>
        <w:t>no modificación</w:t>
      </w:r>
      <w:r w:rsidRPr="0071580B">
        <w:rPr>
          <w:rFonts w:ascii="Verdana" w:eastAsia="Arial" w:hAnsi="Verdana" w:cs="Arial"/>
          <w:color w:val="000000"/>
          <w:sz w:val="20"/>
          <w:szCs w:val="20"/>
          <w:lang w:val="es-ES" w:eastAsia="es-ES" w:bidi="es-ES"/>
        </w:rPr>
        <w:t xml:space="preserve"> del contrato, y la vía </w:t>
      </w:r>
      <w:r w:rsidRPr="0071580B">
        <w:rPr>
          <w:rFonts w:ascii="Verdana" w:eastAsia="Arial" w:hAnsi="Verdana" w:cs="Arial"/>
          <w:i/>
          <w:iCs/>
          <w:color w:val="000000"/>
          <w:sz w:val="20"/>
          <w:szCs w:val="20"/>
          <w:lang w:val="es-ES" w:eastAsia="es-ES" w:bidi="es-ES"/>
        </w:rPr>
        <w:t>excepcional</w:t>
      </w:r>
      <w:r w:rsidRPr="0071580B">
        <w:rPr>
          <w:rFonts w:ascii="Verdana" w:eastAsia="Arial" w:hAnsi="Verdana" w:cs="Arial"/>
          <w:color w:val="000000"/>
          <w:sz w:val="20"/>
          <w:szCs w:val="20"/>
          <w:lang w:val="es-ES" w:eastAsia="es-ES" w:bidi="es-ES"/>
        </w:rPr>
        <w:t xml:space="preserve"> su modificación, sometida a límites </w:t>
      </w:r>
      <w:r w:rsidRPr="0071580B">
        <w:rPr>
          <w:rFonts w:ascii="Verdana" w:eastAsia="Arial" w:hAnsi="Verdana" w:cs="Arial"/>
          <w:sz w:val="20"/>
          <w:szCs w:val="20"/>
          <w:lang w:val="es-ES" w:eastAsia="es-ES" w:bidi="es-ES"/>
        </w:rPr>
        <w:t xml:space="preserve">y requisitos de orden temporal, formal, material y axiológico para que sea procedente. Estos han sido establecidos </w:t>
      </w:r>
      <w:r w:rsidRPr="0071580B">
        <w:rPr>
          <w:rFonts w:ascii="Verdana" w:eastAsia="Arial" w:hAnsi="Verdana" w:cs="Arial"/>
          <w:color w:val="000000"/>
          <w:sz w:val="20"/>
          <w:szCs w:val="20"/>
          <w:lang w:val="es-ES" w:eastAsia="es-ES" w:bidi="es-ES"/>
        </w:rPr>
        <w:t xml:space="preserve">principalmente por esa Corporación y se explican en detalle en el presente concepto. </w:t>
      </w:r>
      <w:r w:rsidRPr="0071580B">
        <w:rPr>
          <w:rFonts w:ascii="Verdana" w:eastAsia="Arial" w:hAnsi="Verdana" w:cs="Arial"/>
          <w:sz w:val="20"/>
          <w:szCs w:val="20"/>
          <w:lang w:val="es-ES" w:eastAsia="es-ES" w:bidi="es-ES"/>
        </w:rPr>
        <w:t xml:space="preserve"> Estos límites deben ser respetados por la entidad contratante para preservar principios de origen legal, como el de planeación, selección objetiva, libre concurrencia, transparencia, igualdad, entre otros.</w:t>
      </w:r>
    </w:p>
    <w:p w14:paraId="39261088" w14:textId="77777777" w:rsidR="004B2131" w:rsidRPr="0071580B" w:rsidRDefault="004B2131" w:rsidP="0071580B">
      <w:pPr>
        <w:snapToGrid w:val="0"/>
        <w:spacing w:after="0" w:line="240" w:lineRule="auto"/>
        <w:contextualSpacing/>
        <w:jc w:val="both"/>
        <w:rPr>
          <w:rFonts w:ascii="Verdana" w:hAnsi="Verdana" w:cs="Arial"/>
          <w:sz w:val="20"/>
          <w:szCs w:val="20"/>
          <w:lang w:val="es-ES" w:eastAsia="es-ES" w:bidi="es-ES"/>
        </w:rPr>
      </w:pPr>
    </w:p>
    <w:p w14:paraId="0EEF6A4A" w14:textId="77777777" w:rsidR="004B2131" w:rsidRPr="0071580B" w:rsidRDefault="004B2131" w:rsidP="0071580B">
      <w:pPr>
        <w:snapToGrid w:val="0"/>
        <w:spacing w:after="0" w:line="240" w:lineRule="auto"/>
        <w:contextualSpacing/>
        <w:jc w:val="both"/>
        <w:rPr>
          <w:rFonts w:ascii="Verdana" w:hAnsi="Verdana" w:cs="Arial"/>
          <w:b/>
          <w:bCs/>
          <w:lang w:val="es-ES" w:eastAsia="es-ES" w:bidi="es-ES"/>
        </w:rPr>
      </w:pPr>
      <w:r w:rsidRPr="0071580B">
        <w:rPr>
          <w:rFonts w:ascii="Verdana" w:hAnsi="Verdana" w:cs="Arial"/>
          <w:b/>
          <w:bCs/>
          <w:lang w:val="es-ES" w:eastAsia="es-ES" w:bidi="es-ES"/>
        </w:rPr>
        <w:t xml:space="preserve">MODIFICACION DE LOS CONTRATOS ESTATALES – Carácter Excepcional </w:t>
      </w:r>
    </w:p>
    <w:p w14:paraId="2792D9D6" w14:textId="77777777" w:rsidR="0071580B" w:rsidRDefault="0071580B" w:rsidP="0071580B">
      <w:pPr>
        <w:widowControl w:val="0"/>
        <w:autoSpaceDE w:val="0"/>
        <w:autoSpaceDN w:val="0"/>
        <w:snapToGrid w:val="0"/>
        <w:contextualSpacing/>
        <w:jc w:val="both"/>
        <w:rPr>
          <w:rFonts w:ascii="Verdana" w:eastAsia="Arial" w:hAnsi="Verdana" w:cs="Arial"/>
          <w:color w:val="000000"/>
          <w:sz w:val="20"/>
          <w:szCs w:val="20"/>
          <w:lang w:val="es-ES" w:eastAsia="es-ES" w:bidi="es-ES"/>
        </w:rPr>
      </w:pPr>
    </w:p>
    <w:p w14:paraId="33FC6773" w14:textId="59297C4F" w:rsidR="009040BD" w:rsidRPr="0071580B" w:rsidRDefault="009040BD" w:rsidP="0071580B">
      <w:pPr>
        <w:widowControl w:val="0"/>
        <w:autoSpaceDE w:val="0"/>
        <w:autoSpaceDN w:val="0"/>
        <w:snapToGrid w:val="0"/>
        <w:spacing w:after="0" w:line="240" w:lineRule="auto"/>
        <w:contextualSpacing/>
        <w:jc w:val="both"/>
        <w:rPr>
          <w:rFonts w:ascii="Verdana" w:eastAsia="Arial" w:hAnsi="Verdana" w:cs="Arial"/>
          <w:color w:val="000000"/>
          <w:sz w:val="20"/>
          <w:szCs w:val="20"/>
          <w:lang w:val="es-ES" w:eastAsia="es-ES" w:bidi="es-ES"/>
        </w:rPr>
      </w:pPr>
      <w:r w:rsidRPr="0071580B">
        <w:rPr>
          <w:rFonts w:ascii="Verdana" w:eastAsia="Arial" w:hAnsi="Verdana" w:cs="Arial"/>
          <w:color w:val="000000"/>
          <w:sz w:val="20"/>
          <w:szCs w:val="20"/>
          <w:lang w:val="es-ES" w:eastAsia="es-ES" w:bidi="es-ES"/>
        </w:rPr>
        <w:t xml:space="preserve">Según el marco jurídico y los parámetros fijados por el Consejo de Estado y la Corte Constitucional, los cuales comparte esta Agencia, es viable jurídicamente modificar los contratos estatales, pero esta medida tienen </w:t>
      </w:r>
      <w:r w:rsidRPr="0071580B">
        <w:rPr>
          <w:rFonts w:ascii="Verdana" w:eastAsia="Arial" w:hAnsi="Verdana" w:cs="Arial"/>
          <w:i/>
          <w:iCs/>
          <w:color w:val="000000"/>
          <w:sz w:val="20"/>
          <w:szCs w:val="20"/>
          <w:lang w:val="es-ES" w:eastAsia="es-ES" w:bidi="es-ES"/>
        </w:rPr>
        <w:t>carácter excepcional</w:t>
      </w:r>
      <w:r w:rsidRPr="0071580B">
        <w:rPr>
          <w:rFonts w:ascii="Verdana" w:eastAsia="Arial" w:hAnsi="Verdana" w:cs="Arial"/>
          <w:color w:val="000000"/>
          <w:sz w:val="20"/>
          <w:szCs w:val="20"/>
          <w:lang w:val="es-ES" w:eastAsia="es-ES" w:bidi="es-ES"/>
        </w:rPr>
        <w:t xml:space="preserve"> y solo procede cuando: se pretenda garantizar el interés público, la entidad haya verificado y cualquiera pueda constatar que la causa de la modificación es real y cierta, y la modificación cumpla con las limitaciones y condiciones que establezca la ley. En otras palabras, la modificación contractual encuentra sustento no solo en circunstancias fácticas propias de la ejecución del contrato, sino además debe cumplir con los principios y fines de la contratación estatal, así como con las condiciones y restricciones legales. En esta medida, las modificaciones se refieren a alteraciones, variaciones, cambios o correcciones en las condiciones y cláusulas del contrato. Estas deben ser suscritas por las partes, sujetándose a lo previsto en la ley, esto es, que se encuentren debidamente justificadas, que no sean el resultado de una indebida planeación y que consten por escrito, de tal manera que de las mismas se predique su existencia, validez y eficacia. </w:t>
      </w:r>
    </w:p>
    <w:p w14:paraId="0E7830FF" w14:textId="77777777" w:rsidR="009040BD" w:rsidRPr="0071580B" w:rsidRDefault="009040BD" w:rsidP="0071580B">
      <w:pPr>
        <w:snapToGrid w:val="0"/>
        <w:spacing w:after="0" w:line="240" w:lineRule="auto"/>
        <w:contextualSpacing/>
        <w:jc w:val="both"/>
        <w:rPr>
          <w:rFonts w:ascii="Verdana" w:hAnsi="Verdana" w:cs="Arial"/>
          <w:sz w:val="20"/>
          <w:szCs w:val="20"/>
          <w:lang w:val="es-ES" w:eastAsia="es-ES" w:bidi="es-ES"/>
        </w:rPr>
      </w:pPr>
    </w:p>
    <w:p w14:paraId="1AC4E014" w14:textId="625917B5" w:rsidR="004B2131" w:rsidRPr="0071580B" w:rsidRDefault="004B2131" w:rsidP="0071580B">
      <w:pPr>
        <w:snapToGrid w:val="0"/>
        <w:spacing w:after="0" w:line="240" w:lineRule="auto"/>
        <w:contextualSpacing/>
        <w:jc w:val="both"/>
        <w:rPr>
          <w:rFonts w:ascii="Verdana" w:hAnsi="Verdana"/>
          <w:b/>
          <w:bCs/>
          <w:lang w:val="es-MX"/>
        </w:rPr>
      </w:pPr>
      <w:r w:rsidRPr="0071580B">
        <w:rPr>
          <w:rFonts w:ascii="Verdana" w:hAnsi="Verdana"/>
          <w:b/>
          <w:bCs/>
          <w:lang w:val="es-MX"/>
        </w:rPr>
        <w:t xml:space="preserve">ADICIÓN – Concepto – Distintos supuestos – Prohibición – Adición en más del 50% </w:t>
      </w:r>
    </w:p>
    <w:p w14:paraId="70DB9EAB" w14:textId="77777777" w:rsidR="0071580B" w:rsidRDefault="0071580B" w:rsidP="0071580B">
      <w:pPr>
        <w:snapToGrid w:val="0"/>
        <w:spacing w:after="0" w:line="240" w:lineRule="auto"/>
        <w:contextualSpacing/>
        <w:jc w:val="both"/>
        <w:rPr>
          <w:rFonts w:ascii="Verdana" w:eastAsia="Calibri" w:hAnsi="Verdana" w:cs="Arial"/>
          <w:color w:val="000000"/>
          <w:sz w:val="20"/>
          <w:szCs w:val="20"/>
          <w:lang w:val="es-ES" w:eastAsia="es-ES_tradnl"/>
        </w:rPr>
      </w:pPr>
    </w:p>
    <w:p w14:paraId="034319C6" w14:textId="249B320B" w:rsidR="00A630E6" w:rsidRPr="0071580B" w:rsidRDefault="00A630E6" w:rsidP="0071580B">
      <w:pPr>
        <w:snapToGrid w:val="0"/>
        <w:spacing w:after="0" w:line="240" w:lineRule="auto"/>
        <w:contextualSpacing/>
        <w:jc w:val="both"/>
        <w:rPr>
          <w:rFonts w:ascii="Verdana" w:eastAsia="Calibri" w:hAnsi="Verdana" w:cs="Arial"/>
          <w:color w:val="000000"/>
          <w:sz w:val="20"/>
          <w:szCs w:val="20"/>
          <w:lang w:val="es-ES" w:eastAsia="es-ES_tradnl"/>
        </w:rPr>
      </w:pPr>
      <w:r w:rsidRPr="0071580B">
        <w:rPr>
          <w:rFonts w:ascii="Verdana" w:eastAsia="Calibri" w:hAnsi="Verdana" w:cs="Arial"/>
          <w:color w:val="000000"/>
          <w:sz w:val="20"/>
          <w:szCs w:val="20"/>
          <w:lang w:val="es-ES" w:eastAsia="es-ES_tradnl"/>
        </w:rPr>
        <w:t xml:space="preserve">La ejecución de los contratos estatales está sujeta a los cambios propios del paso del tiempo. Así, durante la etapa de planeación, las entidades públicas estiman y determinan </w:t>
      </w:r>
      <w:r w:rsidRPr="0071580B">
        <w:rPr>
          <w:rFonts w:ascii="Verdana" w:eastAsia="Calibri" w:hAnsi="Verdana" w:cs="Arial"/>
          <w:color w:val="000000"/>
          <w:sz w:val="20"/>
          <w:szCs w:val="20"/>
          <w:lang w:val="es-ES" w:eastAsia="es-ES_tradnl"/>
        </w:rPr>
        <w:lastRenderedPageBreak/>
        <w:t xml:space="preserve">las prestaciones que demanda la satisfacción del interés colectivo. No obstante, durante la ejecución del contrato, las partes pueden identificar alguna de las siguientes situaciones: i) la necesidad de mayores cantidades de bienes o actividades inicialmente previstos, a lo que se le conoce como “mayores cantidades de obra”, “obras adicionales” o adición de “ítems contractuales”; y </w:t>
      </w:r>
      <w:proofErr w:type="spellStart"/>
      <w:r w:rsidRPr="0071580B">
        <w:rPr>
          <w:rFonts w:ascii="Verdana" w:eastAsia="Calibri" w:hAnsi="Verdana" w:cs="Arial"/>
          <w:color w:val="000000"/>
          <w:sz w:val="20"/>
          <w:szCs w:val="20"/>
          <w:lang w:val="es-ES" w:eastAsia="es-ES_tradnl"/>
        </w:rPr>
        <w:t>ii</w:t>
      </w:r>
      <w:proofErr w:type="spellEnd"/>
      <w:r w:rsidRPr="0071580B">
        <w:rPr>
          <w:rFonts w:ascii="Verdana" w:eastAsia="Calibri" w:hAnsi="Verdana" w:cs="Arial"/>
          <w:color w:val="000000"/>
          <w:sz w:val="20"/>
          <w:szCs w:val="20"/>
          <w:lang w:val="es-ES"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6690229A" w14:textId="77777777" w:rsidR="0071580B" w:rsidRDefault="0071580B" w:rsidP="0071580B">
      <w:pPr>
        <w:snapToGrid w:val="0"/>
        <w:spacing w:after="0" w:line="240" w:lineRule="auto"/>
        <w:contextualSpacing/>
        <w:jc w:val="both"/>
        <w:rPr>
          <w:rFonts w:ascii="Verdana" w:eastAsia="Calibri" w:hAnsi="Verdana" w:cs="Arial"/>
          <w:color w:val="000000"/>
          <w:sz w:val="20"/>
          <w:szCs w:val="20"/>
          <w:lang w:val="es-ES" w:eastAsia="es-ES_tradnl"/>
        </w:rPr>
      </w:pPr>
    </w:p>
    <w:p w14:paraId="40407CDF" w14:textId="6704DDB2" w:rsidR="00A630E6" w:rsidRPr="0071580B" w:rsidRDefault="00A630E6" w:rsidP="0071580B">
      <w:pPr>
        <w:snapToGrid w:val="0"/>
        <w:spacing w:after="0" w:line="240" w:lineRule="auto"/>
        <w:contextualSpacing/>
        <w:jc w:val="both"/>
        <w:rPr>
          <w:rFonts w:ascii="Verdana" w:eastAsia="Calibri" w:hAnsi="Verdana" w:cs="Arial"/>
          <w:color w:val="000000"/>
          <w:sz w:val="20"/>
          <w:szCs w:val="20"/>
          <w:lang w:val="es-ES" w:eastAsia="es-ES_tradnl"/>
        </w:rPr>
      </w:pPr>
      <w:r w:rsidRPr="0071580B">
        <w:rPr>
          <w:rFonts w:ascii="Verdana" w:eastAsia="Calibri" w:hAnsi="Verdana" w:cs="Arial"/>
          <w:color w:val="000000"/>
          <w:sz w:val="20"/>
          <w:szCs w:val="20"/>
          <w:lang w:val="es-ES" w:eastAsia="es-ES_tradnl"/>
        </w:rPr>
        <w:t>Lo importante es que, frente a cualquier incremento del valor inicial del contrato,</w:t>
      </w:r>
      <w:r w:rsidRPr="0071580B">
        <w:rPr>
          <w:rFonts w:ascii="Verdana" w:eastAsia="Calibri" w:hAnsi="Verdana" w:cs="Arial"/>
          <w:i/>
          <w:iCs/>
          <w:color w:val="000000"/>
          <w:sz w:val="20"/>
          <w:szCs w:val="20"/>
          <w:lang w:val="es-ES" w:eastAsia="es-ES_tradnl"/>
        </w:rPr>
        <w:t xml:space="preserve"> </w:t>
      </w:r>
      <w:r w:rsidRPr="0071580B">
        <w:rPr>
          <w:rFonts w:ascii="Verdana" w:eastAsia="Calibri" w:hAnsi="Verdana" w:cs="Arial"/>
          <w:color w:val="000000"/>
          <w:sz w:val="20"/>
          <w:szCs w:val="20"/>
          <w:lang w:val="es-ES" w:eastAsia="es-ES_tradnl"/>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EGCAP.</w:t>
      </w:r>
    </w:p>
    <w:p w14:paraId="69A89403" w14:textId="77777777" w:rsidR="00A630E6" w:rsidRPr="003A3B5E" w:rsidRDefault="00A630E6" w:rsidP="004B2131">
      <w:pPr>
        <w:jc w:val="both"/>
        <w:rPr>
          <w:rFonts w:ascii="Verdana" w:eastAsia="Times New Roman" w:hAnsi="Verdana" w:cs="Arial"/>
          <w:lang w:eastAsia="es-ES_tradnl"/>
        </w:rPr>
      </w:pPr>
    </w:p>
    <w:p w14:paraId="6AAA1A6E" w14:textId="77777777" w:rsidR="004B2131" w:rsidRDefault="004B2131" w:rsidP="001D0810">
      <w:pPr>
        <w:spacing w:after="0"/>
        <w:rPr>
          <w:rFonts w:ascii="Verdana" w:hAnsi="Verdana"/>
          <w:lang w:val="es-ES"/>
        </w:rPr>
      </w:pPr>
    </w:p>
    <w:p w14:paraId="459FD197" w14:textId="77777777" w:rsidR="0071580B" w:rsidRDefault="0071580B" w:rsidP="001D0810">
      <w:pPr>
        <w:spacing w:after="0"/>
        <w:rPr>
          <w:rFonts w:ascii="Verdana" w:hAnsi="Verdana"/>
          <w:lang w:val="es-ES"/>
        </w:rPr>
      </w:pPr>
    </w:p>
    <w:p w14:paraId="52732363" w14:textId="77777777" w:rsidR="0071580B" w:rsidRDefault="0071580B" w:rsidP="001D0810">
      <w:pPr>
        <w:spacing w:after="0"/>
        <w:rPr>
          <w:rFonts w:ascii="Verdana" w:hAnsi="Verdana"/>
          <w:lang w:val="es-ES"/>
        </w:rPr>
      </w:pPr>
    </w:p>
    <w:p w14:paraId="6AB6BB67" w14:textId="77777777" w:rsidR="0071580B" w:rsidRDefault="0071580B" w:rsidP="001D0810">
      <w:pPr>
        <w:spacing w:after="0"/>
        <w:rPr>
          <w:rFonts w:ascii="Verdana" w:hAnsi="Verdana"/>
          <w:lang w:val="es-ES"/>
        </w:rPr>
      </w:pPr>
    </w:p>
    <w:p w14:paraId="6016B27D" w14:textId="77777777" w:rsidR="0071580B" w:rsidRDefault="0071580B" w:rsidP="001D0810">
      <w:pPr>
        <w:spacing w:after="0"/>
        <w:rPr>
          <w:rFonts w:ascii="Verdana" w:hAnsi="Verdana"/>
          <w:lang w:val="es-ES"/>
        </w:rPr>
      </w:pPr>
    </w:p>
    <w:p w14:paraId="2961AF79" w14:textId="77777777" w:rsidR="0071580B" w:rsidRDefault="0071580B" w:rsidP="001D0810">
      <w:pPr>
        <w:spacing w:after="0"/>
        <w:rPr>
          <w:rFonts w:ascii="Verdana" w:hAnsi="Verdana"/>
          <w:lang w:val="es-ES"/>
        </w:rPr>
      </w:pPr>
    </w:p>
    <w:p w14:paraId="37DF6476" w14:textId="77777777" w:rsidR="0071580B" w:rsidRDefault="0071580B" w:rsidP="001D0810">
      <w:pPr>
        <w:spacing w:after="0"/>
        <w:rPr>
          <w:rFonts w:ascii="Verdana" w:hAnsi="Verdana"/>
          <w:lang w:val="es-ES"/>
        </w:rPr>
      </w:pPr>
    </w:p>
    <w:p w14:paraId="616D02AB" w14:textId="77777777" w:rsidR="0071580B" w:rsidRDefault="0071580B" w:rsidP="001D0810">
      <w:pPr>
        <w:spacing w:after="0"/>
        <w:rPr>
          <w:rFonts w:ascii="Verdana" w:hAnsi="Verdana"/>
          <w:lang w:val="es-ES"/>
        </w:rPr>
      </w:pPr>
    </w:p>
    <w:p w14:paraId="2A84B8BD" w14:textId="77777777" w:rsidR="0071580B" w:rsidRDefault="0071580B" w:rsidP="001D0810">
      <w:pPr>
        <w:spacing w:after="0"/>
        <w:rPr>
          <w:rFonts w:ascii="Verdana" w:hAnsi="Verdana"/>
          <w:lang w:val="es-ES"/>
        </w:rPr>
      </w:pPr>
    </w:p>
    <w:p w14:paraId="3C10EF84" w14:textId="77777777" w:rsidR="0071580B" w:rsidRDefault="0071580B" w:rsidP="001D0810">
      <w:pPr>
        <w:spacing w:after="0"/>
        <w:rPr>
          <w:rFonts w:ascii="Verdana" w:hAnsi="Verdana"/>
          <w:lang w:val="es-ES"/>
        </w:rPr>
      </w:pPr>
    </w:p>
    <w:p w14:paraId="495C9966" w14:textId="77777777" w:rsidR="0071580B" w:rsidRDefault="0071580B" w:rsidP="001D0810">
      <w:pPr>
        <w:spacing w:after="0"/>
        <w:rPr>
          <w:rFonts w:ascii="Verdana" w:hAnsi="Verdana"/>
          <w:lang w:val="es-ES"/>
        </w:rPr>
      </w:pPr>
    </w:p>
    <w:p w14:paraId="40FF8823" w14:textId="77777777" w:rsidR="0071580B" w:rsidRDefault="0071580B" w:rsidP="001D0810">
      <w:pPr>
        <w:spacing w:after="0"/>
        <w:rPr>
          <w:rFonts w:ascii="Verdana" w:hAnsi="Verdana"/>
          <w:lang w:val="es-ES"/>
        </w:rPr>
      </w:pPr>
    </w:p>
    <w:p w14:paraId="47F8689A" w14:textId="77777777" w:rsidR="0071580B" w:rsidRDefault="0071580B" w:rsidP="001D0810">
      <w:pPr>
        <w:spacing w:after="0"/>
        <w:rPr>
          <w:rFonts w:ascii="Verdana" w:hAnsi="Verdana"/>
          <w:lang w:val="es-ES"/>
        </w:rPr>
      </w:pPr>
    </w:p>
    <w:p w14:paraId="4B3A9190" w14:textId="77777777" w:rsidR="0071580B" w:rsidRDefault="0071580B" w:rsidP="001D0810">
      <w:pPr>
        <w:spacing w:after="0"/>
        <w:rPr>
          <w:rFonts w:ascii="Verdana" w:hAnsi="Verdana"/>
          <w:lang w:val="es-ES"/>
        </w:rPr>
      </w:pPr>
    </w:p>
    <w:p w14:paraId="0F4220BB" w14:textId="77777777" w:rsidR="0071580B" w:rsidRDefault="0071580B" w:rsidP="001D0810">
      <w:pPr>
        <w:spacing w:after="0"/>
        <w:rPr>
          <w:rFonts w:ascii="Verdana" w:hAnsi="Verdana"/>
          <w:lang w:val="es-ES"/>
        </w:rPr>
      </w:pPr>
    </w:p>
    <w:p w14:paraId="34051EFF" w14:textId="77777777" w:rsidR="0071580B" w:rsidRDefault="0071580B" w:rsidP="001D0810">
      <w:pPr>
        <w:spacing w:after="0"/>
        <w:rPr>
          <w:rFonts w:ascii="Verdana" w:hAnsi="Verdana"/>
          <w:lang w:val="es-ES"/>
        </w:rPr>
      </w:pPr>
    </w:p>
    <w:p w14:paraId="0DCFAAB1" w14:textId="77777777" w:rsidR="0071580B" w:rsidRDefault="0071580B" w:rsidP="001D0810">
      <w:pPr>
        <w:spacing w:after="0"/>
        <w:rPr>
          <w:rFonts w:ascii="Verdana" w:hAnsi="Verdana"/>
          <w:lang w:val="es-ES"/>
        </w:rPr>
      </w:pPr>
    </w:p>
    <w:p w14:paraId="49FE8C80" w14:textId="77777777" w:rsidR="0071580B" w:rsidRDefault="0071580B" w:rsidP="001D0810">
      <w:pPr>
        <w:spacing w:after="0"/>
        <w:rPr>
          <w:rFonts w:ascii="Verdana" w:hAnsi="Verdana"/>
          <w:lang w:val="es-ES"/>
        </w:rPr>
      </w:pPr>
    </w:p>
    <w:p w14:paraId="2EF148A0" w14:textId="77777777" w:rsidR="0071580B" w:rsidRDefault="0071580B" w:rsidP="001D0810">
      <w:pPr>
        <w:spacing w:after="0"/>
        <w:rPr>
          <w:rFonts w:ascii="Verdana" w:hAnsi="Verdana"/>
          <w:lang w:val="es-ES"/>
        </w:rPr>
      </w:pPr>
    </w:p>
    <w:p w14:paraId="6A582F8E" w14:textId="16549438" w:rsidR="001D0810" w:rsidRPr="00E009FE" w:rsidRDefault="001D0810" w:rsidP="001D0810">
      <w:pPr>
        <w:spacing w:after="0"/>
        <w:rPr>
          <w:rFonts w:ascii="Verdana" w:hAnsi="Verdana"/>
          <w:lang w:val="es-ES"/>
        </w:rPr>
      </w:pPr>
      <w:r w:rsidRPr="00E009FE">
        <w:rPr>
          <w:rFonts w:ascii="Verdana" w:hAnsi="Verdana"/>
          <w:lang w:val="es-ES"/>
        </w:rPr>
        <w:lastRenderedPageBreak/>
        <w:t xml:space="preserve">Bogotá D.C., </w:t>
      </w:r>
      <w:r w:rsidR="004B2131">
        <w:rPr>
          <w:rFonts w:ascii="Verdana" w:hAnsi="Verdana"/>
          <w:lang w:val="es-ES"/>
        </w:rPr>
        <w:t>30 de Diciembre de 2025</w:t>
      </w:r>
      <w:r w:rsidRPr="00E009FE">
        <w:rPr>
          <w:rFonts w:ascii="Verdana" w:hAnsi="Verdana"/>
          <w:lang w:val="es-ES"/>
        </w:rPr>
        <w:tab/>
      </w:r>
    </w:p>
    <w:p w14:paraId="54255BC3" w14:textId="1E1B1D80" w:rsidR="001D0810" w:rsidRPr="00E009FE" w:rsidRDefault="0071580B" w:rsidP="001D0810">
      <w:pPr>
        <w:spacing w:after="0"/>
        <w:rPr>
          <w:rFonts w:ascii="Verdana" w:hAnsi="Verdana"/>
          <w:lang w:val="es-ES"/>
        </w:rPr>
      </w:pPr>
      <w:r>
        <w:rPr>
          <w:rFonts w:ascii="Verdana" w:hAnsi="Verdana"/>
          <w:noProof/>
          <w:lang w:val="es-ES"/>
        </w:rPr>
        <w:drawing>
          <wp:anchor distT="0" distB="0" distL="114300" distR="114300" simplePos="0" relativeHeight="251660288" behindDoc="0" locked="0" layoutInCell="1" allowOverlap="1" wp14:anchorId="13D95C9E" wp14:editId="114773AC">
            <wp:simplePos x="0" y="0"/>
            <wp:positionH relativeFrom="column">
              <wp:posOffset>2850003</wp:posOffset>
            </wp:positionH>
            <wp:positionV relativeFrom="page">
              <wp:posOffset>1828165</wp:posOffset>
            </wp:positionV>
            <wp:extent cx="2418080" cy="715010"/>
            <wp:effectExtent l="0" t="0" r="0" b="0"/>
            <wp:wrapSquare wrapText="bothSides"/>
            <wp:docPr id="1177448019" name="Picture 1"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448019" name="Picture 1" descr="A close-up of a white card&#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418080" cy="715010"/>
                    </a:xfrm>
                    <a:prstGeom prst="rect">
                      <a:avLst/>
                    </a:prstGeom>
                  </pic:spPr>
                </pic:pic>
              </a:graphicData>
            </a:graphic>
            <wp14:sizeRelH relativeFrom="page">
              <wp14:pctWidth>0</wp14:pctWidth>
            </wp14:sizeRelH>
            <wp14:sizeRelV relativeFrom="page">
              <wp14:pctHeight>0</wp14:pctHeight>
            </wp14:sizeRelV>
          </wp:anchor>
        </w:drawing>
      </w:r>
    </w:p>
    <w:p w14:paraId="383E2760" w14:textId="77777777" w:rsidR="001D0810" w:rsidRPr="00E009FE" w:rsidRDefault="001D0810" w:rsidP="001D0810">
      <w:pPr>
        <w:spacing w:after="0" w:line="240" w:lineRule="auto"/>
        <w:rPr>
          <w:rFonts w:ascii="Verdana" w:eastAsia="Calibri" w:hAnsi="Verdana" w:cs="Arial"/>
          <w:color w:val="000000" w:themeColor="text1"/>
          <w:lang w:val="es-ES" w:eastAsia="es-ES"/>
        </w:rPr>
      </w:pPr>
      <w:bookmarkStart w:id="0" w:name="_Hlk143780582"/>
      <w:r w:rsidRPr="00E009FE">
        <w:rPr>
          <w:rFonts w:ascii="Verdana" w:eastAsia="Calibri" w:hAnsi="Verdana" w:cs="Arial"/>
          <w:color w:val="000000" w:themeColor="text1"/>
          <w:lang w:val="es-ES" w:eastAsia="es-ES"/>
        </w:rPr>
        <w:t>Señor</w:t>
      </w:r>
    </w:p>
    <w:p w14:paraId="4379580E" w14:textId="2F54AEDC" w:rsidR="001D0810" w:rsidRPr="00E009FE" w:rsidRDefault="001D0810" w:rsidP="001D0810">
      <w:pPr>
        <w:spacing w:after="0" w:line="240" w:lineRule="auto"/>
        <w:rPr>
          <w:rFonts w:ascii="Verdana" w:hAnsi="Verdana"/>
          <w:b/>
          <w:bCs/>
          <w:lang w:val="es-ES"/>
        </w:rPr>
      </w:pPr>
      <w:r w:rsidRPr="00E009FE">
        <w:rPr>
          <w:rFonts w:ascii="Verdana" w:hAnsi="Verdana"/>
          <w:b/>
          <w:bCs/>
          <w:lang w:val="es-ES"/>
        </w:rPr>
        <w:t>Royer Alexander Olaya Torres</w:t>
      </w:r>
    </w:p>
    <w:p w14:paraId="2133E42F" w14:textId="706998E3" w:rsidR="001D0810" w:rsidRPr="00E009FE" w:rsidRDefault="001D0810" w:rsidP="001D0810">
      <w:pPr>
        <w:spacing w:after="0" w:line="240" w:lineRule="auto"/>
        <w:rPr>
          <w:rFonts w:ascii="Verdana" w:hAnsi="Verdana"/>
          <w:lang w:val="es-ES"/>
        </w:rPr>
      </w:pPr>
      <w:hyperlink r:id="rId11" w:history="1">
        <w:r w:rsidRPr="00E009FE">
          <w:rPr>
            <w:rStyle w:val="Hyperlink"/>
            <w:rFonts w:ascii="Verdana" w:hAnsi="Verdana"/>
            <w:lang w:val="es-ES"/>
          </w:rPr>
          <w:t>royerolayatorres52@gmail.com</w:t>
        </w:r>
      </w:hyperlink>
    </w:p>
    <w:p w14:paraId="5EC5A368" w14:textId="77777777" w:rsidR="001D0810" w:rsidRPr="00E009FE" w:rsidRDefault="001D0810" w:rsidP="001D0810">
      <w:pPr>
        <w:spacing w:after="0" w:line="240" w:lineRule="auto"/>
        <w:rPr>
          <w:rFonts w:ascii="Verdana" w:eastAsia="Calibri" w:hAnsi="Verdana" w:cs="Arial"/>
          <w:color w:val="000000" w:themeColor="text1"/>
          <w:lang w:val="es-ES" w:eastAsia="es-ES"/>
        </w:rPr>
      </w:pPr>
      <w:r w:rsidRPr="00E009FE">
        <w:rPr>
          <w:rFonts w:ascii="Verdana" w:hAnsi="Verdana"/>
          <w:lang w:val="es-ES"/>
        </w:rPr>
        <w:t>Bogotá D.C.</w:t>
      </w:r>
    </w:p>
    <w:p w14:paraId="5F1ABFCB" w14:textId="77777777" w:rsidR="001D0810" w:rsidRPr="00E009FE" w:rsidRDefault="001D0810" w:rsidP="001D0810">
      <w:pPr>
        <w:spacing w:after="0" w:line="240" w:lineRule="auto"/>
        <w:rPr>
          <w:rFonts w:ascii="Verdana" w:eastAsia="Calibri" w:hAnsi="Verdana" w:cs="Arial"/>
          <w:b/>
          <w:bCs/>
          <w:color w:val="000000" w:themeColor="text1"/>
          <w:lang w:val="es-ES" w:eastAsia="es-ES"/>
        </w:rPr>
      </w:pPr>
    </w:p>
    <w:tbl>
      <w:tblPr>
        <w:tblStyle w:val="TableGrid"/>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1D0810" w:rsidRPr="00E009FE" w14:paraId="20AECAC5" w14:textId="77777777" w:rsidTr="00C71E99">
        <w:trPr>
          <w:trHeight w:val="300"/>
        </w:trPr>
        <w:tc>
          <w:tcPr>
            <w:tcW w:w="2410" w:type="dxa"/>
          </w:tcPr>
          <w:p w14:paraId="203CC7FB" w14:textId="77777777" w:rsidR="001D0810" w:rsidRPr="00E009FE" w:rsidRDefault="001D0810" w:rsidP="00C71E99">
            <w:pPr>
              <w:ind w:left="-142"/>
              <w:jc w:val="both"/>
              <w:rPr>
                <w:rFonts w:ascii="Verdana" w:eastAsia="Calibri" w:hAnsi="Verdana" w:cs="Arial"/>
                <w:b/>
                <w:bCs/>
                <w:color w:val="000000" w:themeColor="text1"/>
                <w:lang w:val="es-ES" w:eastAsia="es-ES_tradnl"/>
              </w:rPr>
            </w:pPr>
          </w:p>
        </w:tc>
        <w:tc>
          <w:tcPr>
            <w:tcW w:w="6100" w:type="dxa"/>
          </w:tcPr>
          <w:p w14:paraId="56D0BDFA" w14:textId="77777777" w:rsidR="001D0810" w:rsidRPr="00E009FE" w:rsidRDefault="001D0810" w:rsidP="00C71E99">
            <w:pPr>
              <w:ind w:left="3"/>
              <w:jc w:val="both"/>
              <w:rPr>
                <w:rFonts w:ascii="Verdana" w:eastAsia="Calibri" w:hAnsi="Verdana" w:cs="Arial"/>
                <w:b/>
                <w:bCs/>
                <w:color w:val="000000" w:themeColor="text1"/>
                <w:lang w:val="es-ES" w:eastAsia="es-ES"/>
              </w:rPr>
            </w:pPr>
          </w:p>
          <w:p w14:paraId="2114F8D6" w14:textId="77777777" w:rsidR="001D0810" w:rsidRPr="00E009FE" w:rsidRDefault="001D0810" w:rsidP="00C71E99">
            <w:pPr>
              <w:ind w:left="3"/>
              <w:jc w:val="both"/>
              <w:rPr>
                <w:rFonts w:ascii="Verdana" w:eastAsia="Calibri" w:hAnsi="Verdana" w:cs="Arial"/>
                <w:b/>
                <w:bCs/>
                <w:color w:val="000000" w:themeColor="text1"/>
                <w:lang w:val="es-ES" w:eastAsia="es-ES"/>
              </w:rPr>
            </w:pPr>
            <w:r w:rsidRPr="00E009FE">
              <w:rPr>
                <w:rFonts w:ascii="Verdana" w:eastAsia="Calibri" w:hAnsi="Verdana" w:cs="Arial"/>
                <w:b/>
                <w:bCs/>
                <w:color w:val="000000" w:themeColor="text1"/>
                <w:lang w:val="es-ES" w:eastAsia="es-ES"/>
              </w:rPr>
              <w:t>Concepto C-1733 de 2025</w:t>
            </w:r>
          </w:p>
          <w:p w14:paraId="3C9AFB7D" w14:textId="77777777" w:rsidR="001D0810" w:rsidRPr="00E009FE" w:rsidRDefault="001D0810" w:rsidP="00C71E99">
            <w:pPr>
              <w:ind w:left="3"/>
              <w:jc w:val="both"/>
              <w:rPr>
                <w:rFonts w:ascii="Verdana" w:eastAsia="Calibri" w:hAnsi="Verdana" w:cs="Arial"/>
                <w:b/>
                <w:bCs/>
                <w:color w:val="000000" w:themeColor="text1"/>
                <w:lang w:val="es-ES" w:eastAsia="es-ES"/>
              </w:rPr>
            </w:pPr>
          </w:p>
        </w:tc>
      </w:tr>
      <w:tr w:rsidR="001D0810" w:rsidRPr="00E009FE" w14:paraId="08A1780E" w14:textId="77777777" w:rsidTr="00C71E99">
        <w:trPr>
          <w:trHeight w:val="300"/>
        </w:trPr>
        <w:tc>
          <w:tcPr>
            <w:tcW w:w="2410" w:type="dxa"/>
          </w:tcPr>
          <w:p w14:paraId="6CA5B1AB" w14:textId="77777777" w:rsidR="001D0810" w:rsidRPr="00E009FE" w:rsidRDefault="001D0810" w:rsidP="00C71E99">
            <w:pPr>
              <w:ind w:left="424" w:firstLine="142"/>
              <w:jc w:val="both"/>
              <w:rPr>
                <w:rFonts w:ascii="Verdana" w:eastAsia="Calibri" w:hAnsi="Verdana" w:cs="Arial"/>
                <w:color w:val="000000" w:themeColor="text1"/>
                <w:lang w:val="es-ES" w:eastAsia="es-ES_tradnl"/>
              </w:rPr>
            </w:pPr>
            <w:r w:rsidRPr="00E009FE">
              <w:rPr>
                <w:rFonts w:ascii="Verdana" w:eastAsia="Calibri" w:hAnsi="Verdana" w:cs="Arial"/>
                <w:b/>
                <w:color w:val="000000" w:themeColor="text1"/>
                <w:lang w:val="es-ES" w:eastAsia="es-ES_tradnl"/>
              </w:rPr>
              <w:t>Temas:</w:t>
            </w:r>
            <w:r w:rsidRPr="00E009FE">
              <w:rPr>
                <w:rFonts w:ascii="Verdana" w:eastAsia="Calibri" w:hAnsi="Verdana" w:cs="Arial"/>
                <w:color w:val="000000" w:themeColor="text1"/>
                <w:lang w:val="es-ES" w:eastAsia="es-ES_tradnl"/>
              </w:rPr>
              <w:t xml:space="preserve">                  </w:t>
            </w:r>
          </w:p>
        </w:tc>
        <w:tc>
          <w:tcPr>
            <w:tcW w:w="6100" w:type="dxa"/>
          </w:tcPr>
          <w:p w14:paraId="2B9DDF9D" w14:textId="77777777" w:rsidR="001D0810" w:rsidRPr="003A3B5E" w:rsidRDefault="001D0810" w:rsidP="00C71E99">
            <w:pPr>
              <w:jc w:val="both"/>
              <w:rPr>
                <w:rFonts w:ascii="Verdana" w:eastAsia="Times New Roman" w:hAnsi="Verdana" w:cs="Arial"/>
                <w:lang w:eastAsia="es-ES_tradnl"/>
              </w:rPr>
            </w:pPr>
            <w:r w:rsidRPr="003A3B5E">
              <w:rPr>
                <w:rFonts w:ascii="Verdana" w:eastAsia="Times New Roman" w:hAnsi="Verdana" w:cs="Arial"/>
                <w:lang w:eastAsia="es-ES_tradnl"/>
              </w:rPr>
              <w:t xml:space="preserve">PLANEACIÓN – Estudios previos / ESTUDIOS PREVIOS – Análisis del sector – Planeación en los procesos de contratación pública / </w:t>
            </w:r>
            <w:r w:rsidRPr="003A3B5E">
              <w:rPr>
                <w:rFonts w:ascii="Verdana" w:eastAsia="Calibri" w:hAnsi="Verdana" w:cs="Arial"/>
                <w:lang w:val="es-ES" w:eastAsia="es-ES"/>
              </w:rPr>
              <w:t xml:space="preserve">CONTRATO DE OBRA – Obra pública – Definición – Artículo 32 de la Ley 80 de 1993 / CONTRATO DE OBRA – Precio global – Modificaciones – Obras adicionales – Mayores cantidades de obra/ </w:t>
            </w:r>
            <w:r w:rsidRPr="003A3B5E">
              <w:rPr>
                <w:rFonts w:ascii="Verdana" w:hAnsi="Verdana" w:cs="Arial"/>
                <w:lang w:val="es-ES" w:eastAsia="es-ES" w:bidi="es-ES"/>
              </w:rPr>
              <w:t>MODIFICACION DE LOS CONTRATOS ESTATALES – Aspectos generales – Límites / MODIFICACION DE LOS CONTRATOS ESTATALES – Carácter Excepcional /</w:t>
            </w:r>
            <w:r w:rsidRPr="003A3B5E">
              <w:rPr>
                <w:rFonts w:ascii="Verdana" w:hAnsi="Verdana"/>
                <w:lang w:val="es-MX"/>
              </w:rPr>
              <w:t xml:space="preserve"> ADICIÓN – Concepto – Distintos supuestos – Prohibición – Adición en más del 50% </w:t>
            </w:r>
          </w:p>
          <w:p w14:paraId="6298527D" w14:textId="77777777" w:rsidR="001D0810" w:rsidRPr="00E009FE" w:rsidRDefault="001D0810" w:rsidP="00C71E99">
            <w:pPr>
              <w:spacing w:line="276" w:lineRule="auto"/>
              <w:jc w:val="both"/>
              <w:rPr>
                <w:rFonts w:ascii="Verdana" w:eastAsia="Calibri" w:hAnsi="Verdana" w:cs="Arial"/>
                <w:color w:val="000000" w:themeColor="text1"/>
                <w:lang w:val="es-ES" w:eastAsia="es-ES"/>
              </w:rPr>
            </w:pPr>
          </w:p>
        </w:tc>
      </w:tr>
      <w:tr w:rsidR="001D0810" w:rsidRPr="00E009FE" w14:paraId="5929CAF7" w14:textId="77777777" w:rsidTr="00C71E99">
        <w:tc>
          <w:tcPr>
            <w:tcW w:w="2410" w:type="dxa"/>
          </w:tcPr>
          <w:p w14:paraId="3587611E" w14:textId="77777777" w:rsidR="001D0810" w:rsidRPr="00E009FE" w:rsidRDefault="001D0810" w:rsidP="00C71E99">
            <w:pPr>
              <w:ind w:left="561"/>
              <w:jc w:val="both"/>
              <w:rPr>
                <w:rFonts w:ascii="Verdana" w:eastAsia="Calibri" w:hAnsi="Verdana" w:cs="Arial"/>
                <w:b/>
                <w:color w:val="000000" w:themeColor="text1"/>
                <w:lang w:val="es-ES" w:eastAsia="es-ES_tradnl"/>
              </w:rPr>
            </w:pPr>
            <w:r w:rsidRPr="00E009FE">
              <w:rPr>
                <w:rFonts w:ascii="Verdana" w:eastAsia="Calibri" w:hAnsi="Verdana" w:cs="Arial"/>
                <w:b/>
                <w:color w:val="000000" w:themeColor="text1"/>
                <w:lang w:val="es-ES" w:eastAsia="es-ES_tradnl"/>
              </w:rPr>
              <w:t>Radicación:</w:t>
            </w:r>
            <w:r w:rsidRPr="00E009FE">
              <w:rPr>
                <w:rFonts w:ascii="Verdana" w:eastAsia="Calibri" w:hAnsi="Verdana" w:cs="Arial"/>
                <w:color w:val="000000" w:themeColor="text1"/>
                <w:lang w:val="es-ES" w:eastAsia="es-ES_tradnl"/>
              </w:rPr>
              <w:t xml:space="preserve">              </w:t>
            </w:r>
          </w:p>
        </w:tc>
        <w:tc>
          <w:tcPr>
            <w:tcW w:w="6100" w:type="dxa"/>
          </w:tcPr>
          <w:p w14:paraId="25A57FEF" w14:textId="77777777" w:rsidR="001D0810" w:rsidRPr="00E009FE" w:rsidRDefault="001D0810" w:rsidP="00C71E99">
            <w:pPr>
              <w:ind w:left="3"/>
              <w:jc w:val="both"/>
              <w:rPr>
                <w:rFonts w:ascii="Verdana" w:hAnsi="Verdana"/>
                <w:color w:val="000000"/>
                <w:lang w:val="es-ES"/>
              </w:rPr>
            </w:pPr>
            <w:r w:rsidRPr="00E009FE">
              <w:rPr>
                <w:rFonts w:ascii="Verdana" w:eastAsia="Calibri" w:hAnsi="Verdana" w:cs="Arial"/>
                <w:color w:val="000000" w:themeColor="text1"/>
                <w:lang w:val="es-ES" w:eastAsia="es-ES"/>
              </w:rPr>
              <w:t>Respuesta a consulta con radicado No. 1_2025_11_24_013209</w:t>
            </w:r>
          </w:p>
        </w:tc>
      </w:tr>
    </w:tbl>
    <w:p w14:paraId="335C4916" w14:textId="77777777" w:rsidR="001D0810" w:rsidRPr="00E009FE" w:rsidRDefault="001D0810" w:rsidP="001D0810">
      <w:pPr>
        <w:spacing w:after="0" w:line="276" w:lineRule="auto"/>
        <w:jc w:val="both"/>
        <w:rPr>
          <w:rFonts w:ascii="Verdana" w:eastAsia="Calibri" w:hAnsi="Verdana" w:cs="Arial"/>
          <w:color w:val="000000" w:themeColor="text1"/>
          <w:lang w:val="es-ES" w:eastAsia="es-ES"/>
        </w:rPr>
      </w:pPr>
    </w:p>
    <w:p w14:paraId="766CA549" w14:textId="77777777" w:rsidR="001D0810" w:rsidRPr="00E009FE" w:rsidRDefault="001D0810" w:rsidP="001D0810">
      <w:pPr>
        <w:spacing w:after="0" w:line="276" w:lineRule="auto"/>
        <w:jc w:val="both"/>
        <w:rPr>
          <w:rFonts w:ascii="Verdana" w:eastAsia="Calibri" w:hAnsi="Verdana" w:cs="Arial"/>
          <w:color w:val="000000" w:themeColor="text1"/>
          <w:lang w:val="es-ES" w:eastAsia="es-ES"/>
        </w:rPr>
      </w:pPr>
    </w:p>
    <w:p w14:paraId="410DC89F" w14:textId="77777777" w:rsidR="001D0810" w:rsidRPr="00E009FE" w:rsidRDefault="001D0810" w:rsidP="001D0810">
      <w:pPr>
        <w:spacing w:after="0" w:line="276" w:lineRule="auto"/>
        <w:jc w:val="both"/>
        <w:rPr>
          <w:rFonts w:ascii="Verdana" w:eastAsia="Calibri" w:hAnsi="Verdana" w:cs="Arial"/>
          <w:color w:val="000000" w:themeColor="text1"/>
          <w:lang w:val="es-ES" w:eastAsia="es-ES"/>
        </w:rPr>
      </w:pPr>
      <w:r w:rsidRPr="00E009FE">
        <w:rPr>
          <w:rFonts w:ascii="Verdana" w:eastAsia="Calibri" w:hAnsi="Verdana" w:cs="Arial"/>
          <w:color w:val="000000" w:themeColor="text1"/>
          <w:lang w:val="es-ES" w:eastAsia="es-ES"/>
        </w:rPr>
        <w:t xml:space="preserve">Estimado señor Olaya: </w:t>
      </w:r>
    </w:p>
    <w:p w14:paraId="48D65334" w14:textId="77777777" w:rsidR="001D0810" w:rsidRPr="00E009FE" w:rsidRDefault="001D0810" w:rsidP="001D0810">
      <w:pPr>
        <w:tabs>
          <w:tab w:val="left" w:pos="3768"/>
        </w:tabs>
        <w:spacing w:after="0" w:line="276" w:lineRule="auto"/>
        <w:jc w:val="both"/>
        <w:rPr>
          <w:rFonts w:ascii="Verdana" w:eastAsia="Calibri" w:hAnsi="Verdana" w:cs="Arial"/>
          <w:color w:val="000000" w:themeColor="text1"/>
          <w:lang w:val="es-ES" w:eastAsia="es-ES"/>
        </w:rPr>
      </w:pPr>
      <w:r w:rsidRPr="00E009FE">
        <w:rPr>
          <w:rFonts w:ascii="Verdana" w:eastAsia="Calibri" w:hAnsi="Verdana" w:cs="Arial"/>
          <w:color w:val="000000" w:themeColor="text1"/>
          <w:lang w:val="es-ES" w:eastAsia="es-ES"/>
        </w:rPr>
        <w:tab/>
      </w:r>
    </w:p>
    <w:p w14:paraId="6142CAC1" w14:textId="69F586A9" w:rsidR="001D0810" w:rsidRPr="00E009FE" w:rsidRDefault="001D0810" w:rsidP="001D0810">
      <w:pPr>
        <w:spacing w:after="0" w:line="276" w:lineRule="auto"/>
        <w:jc w:val="both"/>
        <w:rPr>
          <w:rFonts w:ascii="Verdana" w:eastAsia="Calibri" w:hAnsi="Verdana" w:cs="Arial"/>
          <w:color w:val="000000" w:themeColor="text1"/>
          <w:lang w:val="es-ES" w:eastAsia="es-ES"/>
        </w:rPr>
      </w:pPr>
      <w:r w:rsidRPr="00E009FE">
        <w:rPr>
          <w:rFonts w:ascii="Verdana" w:eastAsia="Calibri" w:hAnsi="Verdana" w:cs="Arial"/>
          <w:color w:val="000000" w:themeColor="text1"/>
          <w:lang w:val="es-ES" w:eastAsia="es-ES"/>
        </w:rPr>
        <w:t>En ejercicio de la competencia otorgada por los artículos 3, numeral 5º, y 11, numeral 8º, del Decreto Ley 4170 de 2011,</w:t>
      </w:r>
      <w:r w:rsidRPr="00E009FE">
        <w:rPr>
          <w:rFonts w:ascii="Verdana" w:eastAsia="Arial MT" w:hAnsi="Verdana" w:cs="Arial MT"/>
          <w:color w:val="000000" w:themeColor="text1"/>
          <w:lang w:val="es-ES" w:eastAsia="es-ES"/>
        </w:rPr>
        <w:t xml:space="preserve"> </w:t>
      </w:r>
      <w:r w:rsidRPr="00E009FE">
        <w:rPr>
          <w:rFonts w:ascii="Verdana" w:hAnsi="Verdana" w:cs="Arial"/>
          <w:color w:val="000000" w:themeColor="text1"/>
          <w:lang w:val="es-ES"/>
        </w:rPr>
        <w:t xml:space="preserve">así como lo establecido en el artículo 4 de la Resolución 1707 de 2018 expedida por esta Entidad, </w:t>
      </w:r>
      <w:r w:rsidRPr="00E009FE">
        <w:rPr>
          <w:rFonts w:ascii="Verdana" w:eastAsia="Calibri" w:hAnsi="Verdana" w:cs="Arial"/>
          <w:color w:val="000000" w:themeColor="text1"/>
          <w:lang w:val="es-ES" w:eastAsia="es-ES"/>
        </w:rPr>
        <w:t xml:space="preserve">la Agencia Nacional de Contratación Pública – Colombia Compra Eficiente– responde su solicitud de consulta de fecha 24 de noviembre de 2025, en la cual manifiesta lo siguiente: </w:t>
      </w:r>
    </w:p>
    <w:p w14:paraId="5A693849" w14:textId="77777777" w:rsidR="001D0810" w:rsidRPr="00E009FE" w:rsidRDefault="001D0810" w:rsidP="001D0810">
      <w:pPr>
        <w:tabs>
          <w:tab w:val="left" w:pos="142"/>
          <w:tab w:val="left" w:pos="284"/>
        </w:tabs>
        <w:spacing w:after="0" w:line="276" w:lineRule="auto"/>
        <w:contextualSpacing/>
        <w:jc w:val="both"/>
        <w:rPr>
          <w:rFonts w:ascii="Verdana" w:eastAsia="Century Gothic" w:hAnsi="Verdana" w:cs="Century Gothic"/>
          <w:b/>
          <w:color w:val="000000" w:themeColor="text1"/>
          <w:sz w:val="20"/>
          <w:szCs w:val="20"/>
          <w:lang w:val="es-ES"/>
        </w:rPr>
      </w:pPr>
    </w:p>
    <w:p w14:paraId="11A1311F"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t xml:space="preserve">“[…] Se emita un concepto en el que se dé respuesta a las siguientes preguntas. 1. Respecto del principio de planeación: </w:t>
      </w:r>
    </w:p>
    <w:p w14:paraId="6FE63B9D"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t xml:space="preserve">1.1. ¿Qué es el principio de planeación dentro de la contratación estatal y </w:t>
      </w:r>
      <w:proofErr w:type="spellStart"/>
      <w:r w:rsidRPr="00E009FE">
        <w:rPr>
          <w:rFonts w:ascii="Verdana" w:eastAsia="Century Gothic" w:hAnsi="Verdana" w:cs="Century Gothic"/>
          <w:iCs/>
          <w:color w:val="000000" w:themeColor="text1"/>
          <w:sz w:val="20"/>
          <w:szCs w:val="20"/>
          <w:lang w:val="es-ES"/>
        </w:rPr>
        <w:t>por que</w:t>
      </w:r>
      <w:proofErr w:type="spellEnd"/>
      <w:r w:rsidRPr="00E009FE">
        <w:rPr>
          <w:rFonts w:ascii="Verdana" w:eastAsia="Century Gothic" w:hAnsi="Verdana" w:cs="Century Gothic"/>
          <w:iCs/>
          <w:color w:val="000000" w:themeColor="text1"/>
          <w:sz w:val="20"/>
          <w:szCs w:val="20"/>
          <w:lang w:val="es-ES"/>
        </w:rPr>
        <w:t xml:space="preserve">́ constituye un requisito esencial antes de iniciar un proceso de contratación de obra pública? </w:t>
      </w:r>
    </w:p>
    <w:p w14:paraId="6E89EF91"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lastRenderedPageBreak/>
        <w:t>1.2. ¿</w:t>
      </w:r>
      <w:proofErr w:type="spellStart"/>
      <w:r w:rsidRPr="00E009FE">
        <w:rPr>
          <w:rFonts w:ascii="Verdana" w:eastAsia="Century Gothic" w:hAnsi="Verdana" w:cs="Century Gothic"/>
          <w:iCs/>
          <w:color w:val="000000" w:themeColor="text1"/>
          <w:sz w:val="20"/>
          <w:szCs w:val="20"/>
          <w:lang w:val="es-ES"/>
        </w:rPr>
        <w:t>Cómo</w:t>
      </w:r>
      <w:proofErr w:type="spellEnd"/>
      <w:r w:rsidRPr="00E009FE">
        <w:rPr>
          <w:rFonts w:ascii="Verdana" w:eastAsia="Century Gothic" w:hAnsi="Verdana" w:cs="Century Gothic"/>
          <w:iCs/>
          <w:color w:val="000000" w:themeColor="text1"/>
          <w:sz w:val="20"/>
          <w:szCs w:val="20"/>
          <w:lang w:val="es-ES"/>
        </w:rPr>
        <w:t xml:space="preserve"> opera el principio de planeación en los procesos de contratación de obra e </w:t>
      </w:r>
      <w:proofErr w:type="spellStart"/>
      <w:r w:rsidRPr="00E009FE">
        <w:rPr>
          <w:rFonts w:ascii="Verdana" w:eastAsia="Century Gothic" w:hAnsi="Verdana" w:cs="Century Gothic"/>
          <w:iCs/>
          <w:color w:val="000000" w:themeColor="text1"/>
          <w:sz w:val="20"/>
          <w:szCs w:val="20"/>
          <w:lang w:val="es-ES"/>
        </w:rPr>
        <w:t>interventoría</w:t>
      </w:r>
      <w:proofErr w:type="spellEnd"/>
      <w:r w:rsidRPr="00E009FE">
        <w:rPr>
          <w:rFonts w:ascii="Verdana" w:eastAsia="Century Gothic" w:hAnsi="Verdana" w:cs="Century Gothic"/>
          <w:iCs/>
          <w:color w:val="000000" w:themeColor="text1"/>
          <w:sz w:val="20"/>
          <w:szCs w:val="20"/>
          <w:lang w:val="es-ES"/>
        </w:rPr>
        <w:t xml:space="preserve"> y qué estudios previos exige la normativa para garantizar su cumplimiento? </w:t>
      </w:r>
    </w:p>
    <w:p w14:paraId="3CB87F7E"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t xml:space="preserve">1.3. ¿Qué documentos y </w:t>
      </w:r>
      <w:proofErr w:type="spellStart"/>
      <w:r w:rsidRPr="00E009FE">
        <w:rPr>
          <w:rFonts w:ascii="Verdana" w:eastAsia="Century Gothic" w:hAnsi="Verdana" w:cs="Century Gothic"/>
          <w:iCs/>
          <w:color w:val="000000" w:themeColor="text1"/>
          <w:sz w:val="20"/>
          <w:szCs w:val="20"/>
          <w:lang w:val="es-ES"/>
        </w:rPr>
        <w:t>análisis</w:t>
      </w:r>
      <w:proofErr w:type="spellEnd"/>
      <w:r w:rsidRPr="00E009FE">
        <w:rPr>
          <w:rFonts w:ascii="Verdana" w:eastAsia="Century Gothic" w:hAnsi="Verdana" w:cs="Century Gothic"/>
          <w:iCs/>
          <w:color w:val="000000" w:themeColor="text1"/>
          <w:sz w:val="20"/>
          <w:szCs w:val="20"/>
          <w:lang w:val="es-ES"/>
        </w:rPr>
        <w:t xml:space="preserve"> deben integrar la planeación contractual en materia de obras e </w:t>
      </w:r>
      <w:proofErr w:type="spellStart"/>
      <w:r w:rsidRPr="00E009FE">
        <w:rPr>
          <w:rFonts w:ascii="Verdana" w:eastAsia="Century Gothic" w:hAnsi="Verdana" w:cs="Century Gothic"/>
          <w:iCs/>
          <w:color w:val="000000" w:themeColor="text1"/>
          <w:sz w:val="20"/>
          <w:szCs w:val="20"/>
          <w:lang w:val="es-ES"/>
        </w:rPr>
        <w:t>interventoría</w:t>
      </w:r>
      <w:proofErr w:type="spellEnd"/>
      <w:r w:rsidRPr="00E009FE">
        <w:rPr>
          <w:rFonts w:ascii="Verdana" w:eastAsia="Century Gothic" w:hAnsi="Verdana" w:cs="Century Gothic"/>
          <w:iCs/>
          <w:color w:val="000000" w:themeColor="text1"/>
          <w:sz w:val="20"/>
          <w:szCs w:val="20"/>
          <w:lang w:val="es-ES"/>
        </w:rPr>
        <w:t xml:space="preserve"> (estudios previos, </w:t>
      </w:r>
      <w:proofErr w:type="spellStart"/>
      <w:r w:rsidRPr="00E009FE">
        <w:rPr>
          <w:rFonts w:ascii="Verdana" w:eastAsia="Century Gothic" w:hAnsi="Verdana" w:cs="Century Gothic"/>
          <w:iCs/>
          <w:color w:val="000000" w:themeColor="text1"/>
          <w:sz w:val="20"/>
          <w:szCs w:val="20"/>
          <w:lang w:val="es-ES"/>
        </w:rPr>
        <w:t>diseños</w:t>
      </w:r>
      <w:proofErr w:type="spellEnd"/>
      <w:r w:rsidRPr="00E009FE">
        <w:rPr>
          <w:rFonts w:ascii="Verdana" w:eastAsia="Century Gothic" w:hAnsi="Verdana" w:cs="Century Gothic"/>
          <w:iCs/>
          <w:color w:val="000000" w:themeColor="text1"/>
          <w:sz w:val="20"/>
          <w:szCs w:val="20"/>
          <w:lang w:val="es-ES"/>
        </w:rPr>
        <w:t xml:space="preserve">, </w:t>
      </w:r>
      <w:proofErr w:type="spellStart"/>
      <w:r w:rsidRPr="00E009FE">
        <w:rPr>
          <w:rFonts w:ascii="Verdana" w:eastAsia="Century Gothic" w:hAnsi="Verdana" w:cs="Century Gothic"/>
          <w:iCs/>
          <w:color w:val="000000" w:themeColor="text1"/>
          <w:sz w:val="20"/>
          <w:szCs w:val="20"/>
          <w:lang w:val="es-ES"/>
        </w:rPr>
        <w:t>análisis</w:t>
      </w:r>
      <w:proofErr w:type="spellEnd"/>
      <w:r w:rsidRPr="00E009FE">
        <w:rPr>
          <w:rFonts w:ascii="Verdana" w:eastAsia="Century Gothic" w:hAnsi="Verdana" w:cs="Century Gothic"/>
          <w:iCs/>
          <w:color w:val="000000" w:themeColor="text1"/>
          <w:sz w:val="20"/>
          <w:szCs w:val="20"/>
          <w:lang w:val="es-ES"/>
        </w:rPr>
        <w:t xml:space="preserve"> de riesgos, cronograma, presupuesto, etc.) para considerarse completa y conforme a la ley? </w:t>
      </w:r>
    </w:p>
    <w:p w14:paraId="0CFFDB52"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t xml:space="preserve">2. Respecto del funcionamiento del principio de planeación en obras e </w:t>
      </w:r>
      <w:proofErr w:type="spellStart"/>
      <w:r w:rsidRPr="00E009FE">
        <w:rPr>
          <w:rFonts w:ascii="Verdana" w:eastAsia="Century Gothic" w:hAnsi="Verdana" w:cs="Century Gothic"/>
          <w:iCs/>
          <w:color w:val="000000" w:themeColor="text1"/>
          <w:sz w:val="20"/>
          <w:szCs w:val="20"/>
          <w:lang w:val="es-ES"/>
        </w:rPr>
        <w:t>interventorías</w:t>
      </w:r>
      <w:proofErr w:type="spellEnd"/>
      <w:r w:rsidRPr="00E009FE">
        <w:rPr>
          <w:rFonts w:ascii="Verdana" w:eastAsia="Century Gothic" w:hAnsi="Verdana" w:cs="Century Gothic"/>
          <w:iCs/>
          <w:color w:val="000000" w:themeColor="text1"/>
          <w:sz w:val="20"/>
          <w:szCs w:val="20"/>
          <w:lang w:val="es-ES"/>
        </w:rPr>
        <w:t xml:space="preserve">: </w:t>
      </w:r>
    </w:p>
    <w:p w14:paraId="4E8D8466"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t>2.1. ¿</w:t>
      </w:r>
      <w:proofErr w:type="spellStart"/>
      <w:r w:rsidRPr="00E009FE">
        <w:rPr>
          <w:rFonts w:ascii="Verdana" w:eastAsia="Century Gothic" w:hAnsi="Verdana" w:cs="Century Gothic"/>
          <w:iCs/>
          <w:color w:val="000000" w:themeColor="text1"/>
          <w:sz w:val="20"/>
          <w:szCs w:val="20"/>
          <w:lang w:val="es-ES"/>
        </w:rPr>
        <w:t>Cómo</w:t>
      </w:r>
      <w:proofErr w:type="spellEnd"/>
      <w:r w:rsidRPr="00E009FE">
        <w:rPr>
          <w:rFonts w:ascii="Verdana" w:eastAsia="Century Gothic" w:hAnsi="Verdana" w:cs="Century Gothic"/>
          <w:iCs/>
          <w:color w:val="000000" w:themeColor="text1"/>
          <w:sz w:val="20"/>
          <w:szCs w:val="20"/>
          <w:lang w:val="es-ES"/>
        </w:rPr>
        <w:t xml:space="preserve"> deben coordinarse los roles de la entidad contratante, el contratista de obra y la </w:t>
      </w:r>
      <w:proofErr w:type="spellStart"/>
      <w:r w:rsidRPr="00E009FE">
        <w:rPr>
          <w:rFonts w:ascii="Verdana" w:eastAsia="Century Gothic" w:hAnsi="Verdana" w:cs="Century Gothic"/>
          <w:iCs/>
          <w:color w:val="000000" w:themeColor="text1"/>
          <w:sz w:val="20"/>
          <w:szCs w:val="20"/>
          <w:lang w:val="es-ES"/>
        </w:rPr>
        <w:t>interventoría</w:t>
      </w:r>
      <w:proofErr w:type="spellEnd"/>
      <w:r w:rsidRPr="00E009FE">
        <w:rPr>
          <w:rFonts w:ascii="Verdana" w:eastAsia="Century Gothic" w:hAnsi="Verdana" w:cs="Century Gothic"/>
          <w:iCs/>
          <w:color w:val="000000" w:themeColor="text1"/>
          <w:sz w:val="20"/>
          <w:szCs w:val="20"/>
          <w:lang w:val="es-ES"/>
        </w:rPr>
        <w:t xml:space="preserve"> para asegurar la correcta aplicación del principio de planeación durante la </w:t>
      </w:r>
      <w:proofErr w:type="spellStart"/>
      <w:r w:rsidRPr="00E009FE">
        <w:rPr>
          <w:rFonts w:ascii="Verdana" w:eastAsia="Century Gothic" w:hAnsi="Verdana" w:cs="Century Gothic"/>
          <w:iCs/>
          <w:color w:val="000000" w:themeColor="text1"/>
          <w:sz w:val="20"/>
          <w:szCs w:val="20"/>
          <w:lang w:val="es-ES"/>
        </w:rPr>
        <w:t>ejecución</w:t>
      </w:r>
      <w:proofErr w:type="spellEnd"/>
      <w:r w:rsidRPr="00E009FE">
        <w:rPr>
          <w:rFonts w:ascii="Verdana" w:eastAsia="Century Gothic" w:hAnsi="Verdana" w:cs="Century Gothic"/>
          <w:iCs/>
          <w:color w:val="000000" w:themeColor="text1"/>
          <w:sz w:val="20"/>
          <w:szCs w:val="20"/>
          <w:lang w:val="es-ES"/>
        </w:rPr>
        <w:t xml:space="preserve"> del contrato? </w:t>
      </w:r>
    </w:p>
    <w:p w14:paraId="261D0BF5"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t xml:space="preserve">2.2. ¿Qué elementos </w:t>
      </w:r>
      <w:proofErr w:type="spellStart"/>
      <w:r w:rsidRPr="00E009FE">
        <w:rPr>
          <w:rFonts w:ascii="Verdana" w:eastAsia="Century Gothic" w:hAnsi="Verdana" w:cs="Century Gothic"/>
          <w:iCs/>
          <w:color w:val="000000" w:themeColor="text1"/>
          <w:sz w:val="20"/>
          <w:szCs w:val="20"/>
          <w:lang w:val="es-ES"/>
        </w:rPr>
        <w:t>técnicos</w:t>
      </w:r>
      <w:proofErr w:type="spellEnd"/>
      <w:r w:rsidRPr="00E009FE">
        <w:rPr>
          <w:rFonts w:ascii="Verdana" w:eastAsia="Century Gothic" w:hAnsi="Verdana" w:cs="Century Gothic"/>
          <w:iCs/>
          <w:color w:val="000000" w:themeColor="text1"/>
          <w:sz w:val="20"/>
          <w:szCs w:val="20"/>
          <w:lang w:val="es-ES"/>
        </w:rPr>
        <w:t xml:space="preserve">, financieros y administrativos permiten evaluar si un proyecto de obra se </w:t>
      </w:r>
      <w:proofErr w:type="spellStart"/>
      <w:r w:rsidRPr="00E009FE">
        <w:rPr>
          <w:rFonts w:ascii="Verdana" w:eastAsia="Century Gothic" w:hAnsi="Verdana" w:cs="Century Gothic"/>
          <w:iCs/>
          <w:color w:val="000000" w:themeColor="text1"/>
          <w:sz w:val="20"/>
          <w:szCs w:val="20"/>
          <w:lang w:val="es-ES"/>
        </w:rPr>
        <w:t>planeo</w:t>
      </w:r>
      <w:proofErr w:type="spellEnd"/>
      <w:r w:rsidRPr="00E009FE">
        <w:rPr>
          <w:rFonts w:ascii="Verdana" w:eastAsia="Century Gothic" w:hAnsi="Verdana" w:cs="Century Gothic"/>
          <w:iCs/>
          <w:color w:val="000000" w:themeColor="text1"/>
          <w:sz w:val="20"/>
          <w:szCs w:val="20"/>
          <w:lang w:val="es-ES"/>
        </w:rPr>
        <w:t xml:space="preserve">́ adecuadamente antes de su </w:t>
      </w:r>
      <w:proofErr w:type="spellStart"/>
      <w:r w:rsidRPr="00E009FE">
        <w:rPr>
          <w:rFonts w:ascii="Verdana" w:eastAsia="Century Gothic" w:hAnsi="Verdana" w:cs="Century Gothic"/>
          <w:iCs/>
          <w:color w:val="000000" w:themeColor="text1"/>
          <w:sz w:val="20"/>
          <w:szCs w:val="20"/>
          <w:lang w:val="es-ES"/>
        </w:rPr>
        <w:t>adjudicación</w:t>
      </w:r>
      <w:proofErr w:type="spellEnd"/>
      <w:r w:rsidRPr="00E009FE">
        <w:rPr>
          <w:rFonts w:ascii="Verdana" w:eastAsia="Century Gothic" w:hAnsi="Verdana" w:cs="Century Gothic"/>
          <w:iCs/>
          <w:color w:val="000000" w:themeColor="text1"/>
          <w:sz w:val="20"/>
          <w:szCs w:val="20"/>
          <w:lang w:val="es-ES"/>
        </w:rPr>
        <w:t xml:space="preserve">? </w:t>
      </w:r>
    </w:p>
    <w:p w14:paraId="436073BF"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t xml:space="preserve">2.3. ¿En </w:t>
      </w:r>
      <w:proofErr w:type="spellStart"/>
      <w:r w:rsidRPr="00E009FE">
        <w:rPr>
          <w:rFonts w:ascii="Verdana" w:eastAsia="Century Gothic" w:hAnsi="Verdana" w:cs="Century Gothic"/>
          <w:iCs/>
          <w:color w:val="000000" w:themeColor="text1"/>
          <w:sz w:val="20"/>
          <w:szCs w:val="20"/>
          <w:lang w:val="es-ES"/>
        </w:rPr>
        <w:t>que</w:t>
      </w:r>
      <w:proofErr w:type="spellEnd"/>
      <w:r w:rsidRPr="00E009FE">
        <w:rPr>
          <w:rFonts w:ascii="Verdana" w:eastAsia="Century Gothic" w:hAnsi="Verdana" w:cs="Century Gothic"/>
          <w:iCs/>
          <w:color w:val="000000" w:themeColor="text1"/>
          <w:sz w:val="20"/>
          <w:szCs w:val="20"/>
          <w:lang w:val="es-ES"/>
        </w:rPr>
        <w:t xml:space="preserve">́ medida la falta de planeación previa puede generar sobrecostos, retrasos, modificaciones técnicas o incumplimientos en la </w:t>
      </w:r>
      <w:proofErr w:type="spellStart"/>
      <w:r w:rsidRPr="00E009FE">
        <w:rPr>
          <w:rFonts w:ascii="Verdana" w:eastAsia="Century Gothic" w:hAnsi="Verdana" w:cs="Century Gothic"/>
          <w:iCs/>
          <w:color w:val="000000" w:themeColor="text1"/>
          <w:sz w:val="20"/>
          <w:szCs w:val="20"/>
          <w:lang w:val="es-ES"/>
        </w:rPr>
        <w:t>ejecución</w:t>
      </w:r>
      <w:proofErr w:type="spellEnd"/>
      <w:r w:rsidRPr="00E009FE">
        <w:rPr>
          <w:rFonts w:ascii="Verdana" w:eastAsia="Century Gothic" w:hAnsi="Verdana" w:cs="Century Gothic"/>
          <w:iCs/>
          <w:color w:val="000000" w:themeColor="text1"/>
          <w:sz w:val="20"/>
          <w:szCs w:val="20"/>
          <w:lang w:val="es-ES"/>
        </w:rPr>
        <w:t xml:space="preserve"> de contratos de obra pública? </w:t>
      </w:r>
    </w:p>
    <w:p w14:paraId="664533A3"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t xml:space="preserve">3. Respecto de las adiciones y las </w:t>
      </w:r>
      <w:proofErr w:type="spellStart"/>
      <w:r w:rsidRPr="00E009FE">
        <w:rPr>
          <w:rFonts w:ascii="Verdana" w:eastAsia="Century Gothic" w:hAnsi="Verdana" w:cs="Century Gothic"/>
          <w:iCs/>
          <w:color w:val="000000" w:themeColor="text1"/>
          <w:sz w:val="20"/>
          <w:szCs w:val="20"/>
          <w:lang w:val="es-ES"/>
        </w:rPr>
        <w:t>prórrogas</w:t>
      </w:r>
      <w:proofErr w:type="spellEnd"/>
      <w:r w:rsidRPr="00E009FE">
        <w:rPr>
          <w:rFonts w:ascii="Verdana" w:eastAsia="Century Gothic" w:hAnsi="Verdana" w:cs="Century Gothic"/>
          <w:iCs/>
          <w:color w:val="000000" w:themeColor="text1"/>
          <w:sz w:val="20"/>
          <w:szCs w:val="20"/>
          <w:lang w:val="es-ES"/>
        </w:rPr>
        <w:t xml:space="preserve">: </w:t>
      </w:r>
    </w:p>
    <w:p w14:paraId="07DAD879"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t xml:space="preserve">3.1. ¿Qué son las adiciones en los contratos de obra pública y en qué casos </w:t>
      </w:r>
      <w:proofErr w:type="spellStart"/>
      <w:r w:rsidRPr="00E009FE">
        <w:rPr>
          <w:rFonts w:ascii="Verdana" w:eastAsia="Century Gothic" w:hAnsi="Verdana" w:cs="Century Gothic"/>
          <w:iCs/>
          <w:color w:val="000000" w:themeColor="text1"/>
          <w:sz w:val="20"/>
          <w:szCs w:val="20"/>
          <w:lang w:val="es-ES"/>
        </w:rPr>
        <w:t>están</w:t>
      </w:r>
      <w:proofErr w:type="spellEnd"/>
      <w:r w:rsidRPr="00E009FE">
        <w:rPr>
          <w:rFonts w:ascii="Verdana" w:eastAsia="Century Gothic" w:hAnsi="Verdana" w:cs="Century Gothic"/>
          <w:iCs/>
          <w:color w:val="000000" w:themeColor="text1"/>
          <w:sz w:val="20"/>
          <w:szCs w:val="20"/>
          <w:lang w:val="es-ES"/>
        </w:rPr>
        <w:t xml:space="preserve"> permitidas por la normatividad de contratación estatal? </w:t>
      </w:r>
    </w:p>
    <w:p w14:paraId="71AF4EC7"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t xml:space="preserve">3.2. ¿Qué son las </w:t>
      </w:r>
      <w:proofErr w:type="spellStart"/>
      <w:r w:rsidRPr="00E009FE">
        <w:rPr>
          <w:rFonts w:ascii="Verdana" w:eastAsia="Century Gothic" w:hAnsi="Verdana" w:cs="Century Gothic"/>
          <w:iCs/>
          <w:color w:val="000000" w:themeColor="text1"/>
          <w:sz w:val="20"/>
          <w:szCs w:val="20"/>
          <w:lang w:val="es-ES"/>
        </w:rPr>
        <w:t>prórrogas</w:t>
      </w:r>
      <w:proofErr w:type="spellEnd"/>
      <w:r w:rsidRPr="00E009FE">
        <w:rPr>
          <w:rFonts w:ascii="Verdana" w:eastAsia="Century Gothic" w:hAnsi="Verdana" w:cs="Century Gothic"/>
          <w:iCs/>
          <w:color w:val="000000" w:themeColor="text1"/>
          <w:sz w:val="20"/>
          <w:szCs w:val="20"/>
          <w:lang w:val="es-ES"/>
        </w:rPr>
        <w:t xml:space="preserve"> contractuales y </w:t>
      </w:r>
      <w:proofErr w:type="spellStart"/>
      <w:r w:rsidRPr="00E009FE">
        <w:rPr>
          <w:rFonts w:ascii="Verdana" w:eastAsia="Century Gothic" w:hAnsi="Verdana" w:cs="Century Gothic"/>
          <w:iCs/>
          <w:color w:val="000000" w:themeColor="text1"/>
          <w:sz w:val="20"/>
          <w:szCs w:val="20"/>
          <w:lang w:val="es-ES"/>
        </w:rPr>
        <w:t>cuáles</w:t>
      </w:r>
      <w:proofErr w:type="spellEnd"/>
      <w:r w:rsidRPr="00E009FE">
        <w:rPr>
          <w:rFonts w:ascii="Verdana" w:eastAsia="Century Gothic" w:hAnsi="Verdana" w:cs="Century Gothic"/>
          <w:iCs/>
          <w:color w:val="000000" w:themeColor="text1"/>
          <w:sz w:val="20"/>
          <w:szCs w:val="20"/>
          <w:lang w:val="es-ES"/>
        </w:rPr>
        <w:t xml:space="preserve"> son las circunstancias que justifican legal y </w:t>
      </w:r>
      <w:proofErr w:type="spellStart"/>
      <w:r w:rsidRPr="00E009FE">
        <w:rPr>
          <w:rFonts w:ascii="Verdana" w:eastAsia="Century Gothic" w:hAnsi="Verdana" w:cs="Century Gothic"/>
          <w:iCs/>
          <w:color w:val="000000" w:themeColor="text1"/>
          <w:sz w:val="20"/>
          <w:szCs w:val="20"/>
          <w:lang w:val="es-ES"/>
        </w:rPr>
        <w:t>técnicamente</w:t>
      </w:r>
      <w:proofErr w:type="spellEnd"/>
      <w:r w:rsidRPr="00E009FE">
        <w:rPr>
          <w:rFonts w:ascii="Verdana" w:eastAsia="Century Gothic" w:hAnsi="Verdana" w:cs="Century Gothic"/>
          <w:iCs/>
          <w:color w:val="000000" w:themeColor="text1"/>
          <w:sz w:val="20"/>
          <w:szCs w:val="20"/>
          <w:lang w:val="es-ES"/>
        </w:rPr>
        <w:t xml:space="preserve"> su aplicación? </w:t>
      </w:r>
    </w:p>
    <w:p w14:paraId="6D6E2AAA"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t xml:space="preserve">3.3. ¿Existe </w:t>
      </w:r>
      <w:proofErr w:type="spellStart"/>
      <w:r w:rsidRPr="00E009FE">
        <w:rPr>
          <w:rFonts w:ascii="Verdana" w:eastAsia="Century Gothic" w:hAnsi="Verdana" w:cs="Century Gothic"/>
          <w:iCs/>
          <w:color w:val="000000" w:themeColor="text1"/>
          <w:sz w:val="20"/>
          <w:szCs w:val="20"/>
          <w:lang w:val="es-ES"/>
        </w:rPr>
        <w:t>relación</w:t>
      </w:r>
      <w:proofErr w:type="spellEnd"/>
      <w:r w:rsidRPr="00E009FE">
        <w:rPr>
          <w:rFonts w:ascii="Verdana" w:eastAsia="Century Gothic" w:hAnsi="Verdana" w:cs="Century Gothic"/>
          <w:iCs/>
          <w:color w:val="000000" w:themeColor="text1"/>
          <w:sz w:val="20"/>
          <w:szCs w:val="20"/>
          <w:lang w:val="es-ES"/>
        </w:rPr>
        <w:t xml:space="preserve"> entre la necesidad de realizar adiciones o </w:t>
      </w:r>
      <w:proofErr w:type="spellStart"/>
      <w:r w:rsidRPr="00E009FE">
        <w:rPr>
          <w:rFonts w:ascii="Verdana" w:eastAsia="Century Gothic" w:hAnsi="Verdana" w:cs="Century Gothic"/>
          <w:iCs/>
          <w:color w:val="000000" w:themeColor="text1"/>
          <w:sz w:val="20"/>
          <w:szCs w:val="20"/>
          <w:lang w:val="es-ES"/>
        </w:rPr>
        <w:t>prórrogas</w:t>
      </w:r>
      <w:proofErr w:type="spellEnd"/>
      <w:r w:rsidRPr="00E009FE">
        <w:rPr>
          <w:rFonts w:ascii="Verdana" w:eastAsia="Century Gothic" w:hAnsi="Verdana" w:cs="Century Gothic"/>
          <w:iCs/>
          <w:color w:val="000000" w:themeColor="text1"/>
          <w:sz w:val="20"/>
          <w:szCs w:val="20"/>
          <w:lang w:val="es-ES"/>
        </w:rPr>
        <w:t xml:space="preserve"> y una falla en el principio de planeación por parte de la entidad contratante? </w:t>
      </w:r>
    </w:p>
    <w:p w14:paraId="3667BE0F"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t>3.4. ¿</w:t>
      </w:r>
      <w:proofErr w:type="spellStart"/>
      <w:r w:rsidRPr="00E009FE">
        <w:rPr>
          <w:rFonts w:ascii="Verdana" w:eastAsia="Century Gothic" w:hAnsi="Verdana" w:cs="Century Gothic"/>
          <w:iCs/>
          <w:color w:val="000000" w:themeColor="text1"/>
          <w:sz w:val="20"/>
          <w:szCs w:val="20"/>
          <w:lang w:val="es-ES"/>
        </w:rPr>
        <w:t>Cuándo</w:t>
      </w:r>
      <w:proofErr w:type="spellEnd"/>
      <w:r w:rsidRPr="00E009FE">
        <w:rPr>
          <w:rFonts w:ascii="Verdana" w:eastAsia="Century Gothic" w:hAnsi="Verdana" w:cs="Century Gothic"/>
          <w:iCs/>
          <w:color w:val="000000" w:themeColor="text1"/>
          <w:sz w:val="20"/>
          <w:szCs w:val="20"/>
          <w:lang w:val="es-ES"/>
        </w:rPr>
        <w:t xml:space="preserve"> puede afirmarse que una </w:t>
      </w:r>
      <w:proofErr w:type="spellStart"/>
      <w:r w:rsidRPr="00E009FE">
        <w:rPr>
          <w:rFonts w:ascii="Verdana" w:eastAsia="Century Gothic" w:hAnsi="Verdana" w:cs="Century Gothic"/>
          <w:iCs/>
          <w:color w:val="000000" w:themeColor="text1"/>
          <w:sz w:val="20"/>
          <w:szCs w:val="20"/>
          <w:lang w:val="es-ES"/>
        </w:rPr>
        <w:t>adición</w:t>
      </w:r>
      <w:proofErr w:type="spellEnd"/>
      <w:r w:rsidRPr="00E009FE">
        <w:rPr>
          <w:rFonts w:ascii="Verdana" w:eastAsia="Century Gothic" w:hAnsi="Verdana" w:cs="Century Gothic"/>
          <w:iCs/>
          <w:color w:val="000000" w:themeColor="text1"/>
          <w:sz w:val="20"/>
          <w:szCs w:val="20"/>
          <w:lang w:val="es-ES"/>
        </w:rPr>
        <w:t xml:space="preserve"> o una </w:t>
      </w:r>
      <w:proofErr w:type="spellStart"/>
      <w:r w:rsidRPr="00E009FE">
        <w:rPr>
          <w:rFonts w:ascii="Verdana" w:eastAsia="Century Gothic" w:hAnsi="Verdana" w:cs="Century Gothic"/>
          <w:iCs/>
          <w:color w:val="000000" w:themeColor="text1"/>
          <w:sz w:val="20"/>
          <w:szCs w:val="20"/>
          <w:lang w:val="es-ES"/>
        </w:rPr>
        <w:t>prórroga</w:t>
      </w:r>
      <w:proofErr w:type="spellEnd"/>
      <w:r w:rsidRPr="00E009FE">
        <w:rPr>
          <w:rFonts w:ascii="Verdana" w:eastAsia="Century Gothic" w:hAnsi="Verdana" w:cs="Century Gothic"/>
          <w:iCs/>
          <w:color w:val="000000" w:themeColor="text1"/>
          <w:sz w:val="20"/>
          <w:szCs w:val="20"/>
          <w:lang w:val="es-ES"/>
        </w:rPr>
        <w:t xml:space="preserve"> constituye una </w:t>
      </w:r>
      <w:proofErr w:type="spellStart"/>
      <w:r w:rsidRPr="00E009FE">
        <w:rPr>
          <w:rFonts w:ascii="Verdana" w:eastAsia="Century Gothic" w:hAnsi="Verdana" w:cs="Century Gothic"/>
          <w:iCs/>
          <w:color w:val="000000" w:themeColor="text1"/>
          <w:sz w:val="20"/>
          <w:szCs w:val="20"/>
          <w:lang w:val="es-ES"/>
        </w:rPr>
        <w:t>vulneración</w:t>
      </w:r>
      <w:proofErr w:type="spellEnd"/>
      <w:r w:rsidRPr="00E009FE">
        <w:rPr>
          <w:rFonts w:ascii="Verdana" w:eastAsia="Century Gothic" w:hAnsi="Verdana" w:cs="Century Gothic"/>
          <w:iCs/>
          <w:color w:val="000000" w:themeColor="text1"/>
          <w:sz w:val="20"/>
          <w:szCs w:val="20"/>
          <w:lang w:val="es-ES"/>
        </w:rPr>
        <w:t xml:space="preserve"> del principio de planeación, y qué criterios deben evaluarse para determinarlo? </w:t>
      </w:r>
    </w:p>
    <w:p w14:paraId="44F31A7E"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t xml:space="preserve">3.5. ¿Qué diferencia existe entre modificaciones contractuales justificadas por circunstancias sobrevinientes (caso fortuito, fuerza mayor, condiciones imprevistas) y aquellas que evidencian una planeación deficiente? </w:t>
      </w:r>
    </w:p>
    <w:p w14:paraId="3D4C33D5"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t xml:space="preserve">4. Respecto de la </w:t>
      </w:r>
      <w:proofErr w:type="spellStart"/>
      <w:r w:rsidRPr="00E009FE">
        <w:rPr>
          <w:rFonts w:ascii="Verdana" w:eastAsia="Century Gothic" w:hAnsi="Verdana" w:cs="Century Gothic"/>
          <w:iCs/>
          <w:color w:val="000000" w:themeColor="text1"/>
          <w:sz w:val="20"/>
          <w:szCs w:val="20"/>
          <w:lang w:val="es-ES"/>
        </w:rPr>
        <w:t>relación</w:t>
      </w:r>
      <w:proofErr w:type="spellEnd"/>
      <w:r w:rsidRPr="00E009FE">
        <w:rPr>
          <w:rFonts w:ascii="Verdana" w:eastAsia="Century Gothic" w:hAnsi="Verdana" w:cs="Century Gothic"/>
          <w:iCs/>
          <w:color w:val="000000" w:themeColor="text1"/>
          <w:sz w:val="20"/>
          <w:szCs w:val="20"/>
          <w:lang w:val="es-ES"/>
        </w:rPr>
        <w:t xml:space="preserve"> entre el principio de planeación y las modificaciones contractuales: </w:t>
      </w:r>
    </w:p>
    <w:p w14:paraId="2F6D46F9"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t xml:space="preserve">4.1. ¿Puede considerarse que las adiciones al valor del contrato y las </w:t>
      </w:r>
      <w:proofErr w:type="spellStart"/>
      <w:r w:rsidRPr="00E009FE">
        <w:rPr>
          <w:rFonts w:ascii="Verdana" w:eastAsia="Century Gothic" w:hAnsi="Verdana" w:cs="Century Gothic"/>
          <w:iCs/>
          <w:color w:val="000000" w:themeColor="text1"/>
          <w:sz w:val="20"/>
          <w:szCs w:val="20"/>
          <w:lang w:val="es-ES"/>
        </w:rPr>
        <w:t>prórrogas</w:t>
      </w:r>
      <w:proofErr w:type="spellEnd"/>
      <w:r w:rsidRPr="00E009FE">
        <w:rPr>
          <w:rFonts w:ascii="Verdana" w:eastAsia="Century Gothic" w:hAnsi="Verdana" w:cs="Century Gothic"/>
          <w:iCs/>
          <w:color w:val="000000" w:themeColor="text1"/>
          <w:sz w:val="20"/>
          <w:szCs w:val="20"/>
          <w:lang w:val="es-ES"/>
        </w:rPr>
        <w:t xml:space="preserve"> del plazo afectan directamente el cumplimiento del principio de planeación en los contratos de obra, o pueden existir casos en los que estas resulten técnicas y </w:t>
      </w:r>
      <w:proofErr w:type="spellStart"/>
      <w:r w:rsidRPr="00E009FE">
        <w:rPr>
          <w:rFonts w:ascii="Verdana" w:eastAsia="Century Gothic" w:hAnsi="Verdana" w:cs="Century Gothic"/>
          <w:iCs/>
          <w:color w:val="000000" w:themeColor="text1"/>
          <w:sz w:val="20"/>
          <w:szCs w:val="20"/>
          <w:lang w:val="es-ES"/>
        </w:rPr>
        <w:t>jurídicamente</w:t>
      </w:r>
      <w:proofErr w:type="spellEnd"/>
      <w:r w:rsidRPr="00E009FE">
        <w:rPr>
          <w:rFonts w:ascii="Verdana" w:eastAsia="Century Gothic" w:hAnsi="Verdana" w:cs="Century Gothic"/>
          <w:iCs/>
          <w:color w:val="000000" w:themeColor="text1"/>
          <w:sz w:val="20"/>
          <w:szCs w:val="20"/>
          <w:lang w:val="es-ES"/>
        </w:rPr>
        <w:t xml:space="preserve"> </w:t>
      </w:r>
      <w:proofErr w:type="spellStart"/>
      <w:r w:rsidRPr="00E009FE">
        <w:rPr>
          <w:rFonts w:ascii="Verdana" w:eastAsia="Century Gothic" w:hAnsi="Verdana" w:cs="Century Gothic"/>
          <w:iCs/>
          <w:color w:val="000000" w:themeColor="text1"/>
          <w:sz w:val="20"/>
          <w:szCs w:val="20"/>
          <w:lang w:val="es-ES"/>
        </w:rPr>
        <w:t>válidas</w:t>
      </w:r>
      <w:proofErr w:type="spellEnd"/>
      <w:r w:rsidRPr="00E009FE">
        <w:rPr>
          <w:rFonts w:ascii="Verdana" w:eastAsia="Century Gothic" w:hAnsi="Verdana" w:cs="Century Gothic"/>
          <w:iCs/>
          <w:color w:val="000000" w:themeColor="text1"/>
          <w:sz w:val="20"/>
          <w:szCs w:val="20"/>
          <w:lang w:val="es-ES"/>
        </w:rPr>
        <w:t xml:space="preserve"> sin que exista </w:t>
      </w:r>
      <w:proofErr w:type="spellStart"/>
      <w:r w:rsidRPr="00E009FE">
        <w:rPr>
          <w:rFonts w:ascii="Verdana" w:eastAsia="Century Gothic" w:hAnsi="Verdana" w:cs="Century Gothic"/>
          <w:iCs/>
          <w:color w:val="000000" w:themeColor="text1"/>
          <w:sz w:val="20"/>
          <w:szCs w:val="20"/>
          <w:lang w:val="es-ES"/>
        </w:rPr>
        <w:t>vulneración</w:t>
      </w:r>
      <w:proofErr w:type="spellEnd"/>
      <w:r w:rsidRPr="00E009FE">
        <w:rPr>
          <w:rFonts w:ascii="Verdana" w:eastAsia="Century Gothic" w:hAnsi="Verdana" w:cs="Century Gothic"/>
          <w:iCs/>
          <w:color w:val="000000" w:themeColor="text1"/>
          <w:sz w:val="20"/>
          <w:szCs w:val="20"/>
          <w:lang w:val="es-ES"/>
        </w:rPr>
        <w:t xml:space="preserve">? </w:t>
      </w:r>
    </w:p>
    <w:p w14:paraId="0E489B12"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t xml:space="preserve">4.2. ¿Qué criterios debe utilizar una entidad pública para determinar si las adiciones y </w:t>
      </w:r>
      <w:proofErr w:type="spellStart"/>
      <w:r w:rsidRPr="00E009FE">
        <w:rPr>
          <w:rFonts w:ascii="Verdana" w:eastAsia="Century Gothic" w:hAnsi="Verdana" w:cs="Century Gothic"/>
          <w:iCs/>
          <w:color w:val="000000" w:themeColor="text1"/>
          <w:sz w:val="20"/>
          <w:szCs w:val="20"/>
          <w:lang w:val="es-ES"/>
        </w:rPr>
        <w:t>prórrogas</w:t>
      </w:r>
      <w:proofErr w:type="spellEnd"/>
      <w:r w:rsidRPr="00E009FE">
        <w:rPr>
          <w:rFonts w:ascii="Verdana" w:eastAsia="Century Gothic" w:hAnsi="Verdana" w:cs="Century Gothic"/>
          <w:iCs/>
          <w:color w:val="000000" w:themeColor="text1"/>
          <w:sz w:val="20"/>
          <w:szCs w:val="20"/>
          <w:lang w:val="es-ES"/>
        </w:rPr>
        <w:t xml:space="preserve"> obedecen a causas imprevistas o, por el contrario, derivan de una insuficiente planeación contractual? </w:t>
      </w:r>
    </w:p>
    <w:p w14:paraId="1271C880"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lastRenderedPageBreak/>
        <w:t xml:space="preserve">4.3. ¿Qué medidas preventivas puede adoptar la entidad contratante para evitar la necesidad de adiciones y </w:t>
      </w:r>
      <w:proofErr w:type="spellStart"/>
      <w:r w:rsidRPr="00E009FE">
        <w:rPr>
          <w:rFonts w:ascii="Verdana" w:eastAsia="Century Gothic" w:hAnsi="Verdana" w:cs="Century Gothic"/>
          <w:iCs/>
          <w:color w:val="000000" w:themeColor="text1"/>
          <w:sz w:val="20"/>
          <w:szCs w:val="20"/>
          <w:lang w:val="es-ES"/>
        </w:rPr>
        <w:t>prórrogas</w:t>
      </w:r>
      <w:proofErr w:type="spellEnd"/>
      <w:r w:rsidRPr="00E009FE">
        <w:rPr>
          <w:rFonts w:ascii="Verdana" w:eastAsia="Century Gothic" w:hAnsi="Verdana" w:cs="Century Gothic"/>
          <w:iCs/>
          <w:color w:val="000000" w:themeColor="text1"/>
          <w:sz w:val="20"/>
          <w:szCs w:val="20"/>
          <w:lang w:val="es-ES"/>
        </w:rPr>
        <w:t xml:space="preserve"> que comprometan el principio de planeación? </w:t>
      </w:r>
    </w:p>
    <w:p w14:paraId="32258A80" w14:textId="77777777" w:rsidR="001D0810" w:rsidRPr="00E009FE" w:rsidRDefault="001D0810" w:rsidP="001D0810">
      <w:pPr>
        <w:spacing w:after="0"/>
        <w:ind w:left="709" w:right="709"/>
        <w:jc w:val="both"/>
        <w:rPr>
          <w:rFonts w:ascii="Verdana" w:eastAsia="Century Gothic" w:hAnsi="Verdana" w:cs="Century Gothic"/>
          <w:iCs/>
          <w:color w:val="000000" w:themeColor="text1"/>
          <w:sz w:val="20"/>
          <w:szCs w:val="20"/>
          <w:lang w:val="es-ES"/>
        </w:rPr>
      </w:pPr>
      <w:r w:rsidRPr="00E009FE">
        <w:rPr>
          <w:rFonts w:ascii="Verdana" w:eastAsia="Century Gothic" w:hAnsi="Verdana" w:cs="Century Gothic"/>
          <w:iCs/>
          <w:color w:val="000000" w:themeColor="text1"/>
          <w:sz w:val="20"/>
          <w:szCs w:val="20"/>
          <w:lang w:val="es-ES"/>
        </w:rPr>
        <w:t xml:space="preserve">4.4. ¿Qué consecuencias disciplinarias, fiscales o contractuales pueden surgir cuando se demuestra que una </w:t>
      </w:r>
      <w:proofErr w:type="spellStart"/>
      <w:r w:rsidRPr="00E009FE">
        <w:rPr>
          <w:rFonts w:ascii="Verdana" w:eastAsia="Century Gothic" w:hAnsi="Verdana" w:cs="Century Gothic"/>
          <w:iCs/>
          <w:color w:val="000000" w:themeColor="text1"/>
          <w:sz w:val="20"/>
          <w:szCs w:val="20"/>
          <w:lang w:val="es-ES"/>
        </w:rPr>
        <w:t>adición</w:t>
      </w:r>
      <w:proofErr w:type="spellEnd"/>
      <w:r w:rsidRPr="00E009FE">
        <w:rPr>
          <w:rFonts w:ascii="Verdana" w:eastAsia="Century Gothic" w:hAnsi="Verdana" w:cs="Century Gothic"/>
          <w:iCs/>
          <w:color w:val="000000" w:themeColor="text1"/>
          <w:sz w:val="20"/>
          <w:szCs w:val="20"/>
          <w:lang w:val="es-ES"/>
        </w:rPr>
        <w:t xml:space="preserve"> o </w:t>
      </w:r>
      <w:proofErr w:type="spellStart"/>
      <w:r w:rsidRPr="00E009FE">
        <w:rPr>
          <w:rFonts w:ascii="Verdana" w:eastAsia="Century Gothic" w:hAnsi="Verdana" w:cs="Century Gothic"/>
          <w:iCs/>
          <w:color w:val="000000" w:themeColor="text1"/>
          <w:sz w:val="20"/>
          <w:szCs w:val="20"/>
          <w:lang w:val="es-ES"/>
        </w:rPr>
        <w:t>prórroga</w:t>
      </w:r>
      <w:proofErr w:type="spellEnd"/>
      <w:r w:rsidRPr="00E009FE">
        <w:rPr>
          <w:rFonts w:ascii="Verdana" w:eastAsia="Century Gothic" w:hAnsi="Verdana" w:cs="Century Gothic"/>
          <w:iCs/>
          <w:color w:val="000000" w:themeColor="text1"/>
          <w:sz w:val="20"/>
          <w:szCs w:val="20"/>
          <w:lang w:val="es-ES"/>
        </w:rPr>
        <w:t xml:space="preserve"> deriva de una planeación inadecuada del proceso contractual?”.</w:t>
      </w:r>
    </w:p>
    <w:p w14:paraId="653F2C96" w14:textId="77777777" w:rsidR="001D0810" w:rsidRPr="00E009FE" w:rsidRDefault="001D0810" w:rsidP="001D0810">
      <w:pPr>
        <w:spacing w:after="0" w:line="276" w:lineRule="auto"/>
        <w:ind w:right="709"/>
        <w:jc w:val="both"/>
        <w:rPr>
          <w:rFonts w:ascii="Verdana" w:eastAsia="Calibri" w:hAnsi="Verdana" w:cs="Arial"/>
          <w:lang w:val="es-ES"/>
        </w:rPr>
      </w:pPr>
    </w:p>
    <w:p w14:paraId="439E5966" w14:textId="77777777" w:rsidR="001D0810" w:rsidRPr="00E009FE" w:rsidRDefault="001D0810" w:rsidP="001D0810">
      <w:pPr>
        <w:spacing w:after="120" w:line="276" w:lineRule="auto"/>
        <w:ind w:firstLine="708"/>
        <w:jc w:val="both"/>
        <w:rPr>
          <w:rFonts w:ascii="Verdana" w:eastAsia="Calibri" w:hAnsi="Verdana" w:cs="Arial"/>
          <w:color w:val="000000" w:themeColor="text1"/>
          <w:lang w:val="es-ES" w:eastAsia="es-ES"/>
        </w:rPr>
      </w:pPr>
      <w:r w:rsidRPr="00E009FE">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009FE">
        <w:rPr>
          <w:lang w:val="es-ES"/>
        </w:rPr>
        <w:tab/>
      </w:r>
    </w:p>
    <w:p w14:paraId="2CD86EE7" w14:textId="77777777" w:rsidR="001D0810" w:rsidRPr="00E009FE" w:rsidRDefault="001D0810" w:rsidP="001D0810">
      <w:pPr>
        <w:spacing w:after="0" w:line="276" w:lineRule="auto"/>
        <w:ind w:firstLine="709"/>
        <w:jc w:val="both"/>
        <w:rPr>
          <w:rFonts w:ascii="Verdana" w:eastAsia="Calibri" w:hAnsi="Verdana" w:cs="Arial"/>
          <w:color w:val="000000" w:themeColor="text1"/>
          <w:lang w:val="es-ES" w:eastAsia="es-ES"/>
        </w:rPr>
      </w:pPr>
      <w:r w:rsidRPr="00E009FE">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6236D63" w14:textId="77777777" w:rsidR="001D0810" w:rsidRPr="00E009FE" w:rsidRDefault="001D0810" w:rsidP="001D0810">
      <w:pPr>
        <w:spacing w:after="0" w:line="276" w:lineRule="auto"/>
        <w:ind w:firstLine="709"/>
        <w:jc w:val="both"/>
        <w:rPr>
          <w:rFonts w:ascii="Verdana" w:eastAsia="Calibri" w:hAnsi="Verdana" w:cs="Arial"/>
          <w:color w:val="000000" w:themeColor="text1"/>
          <w:lang w:val="es-ES" w:eastAsia="es-ES"/>
        </w:rPr>
      </w:pPr>
    </w:p>
    <w:p w14:paraId="18281DCC" w14:textId="77777777" w:rsidR="001D0810" w:rsidRPr="00E009FE" w:rsidRDefault="001D0810" w:rsidP="001D0810">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E009FE">
        <w:rPr>
          <w:rFonts w:ascii="Verdana" w:eastAsia="Century Gothic" w:hAnsi="Verdana" w:cs="Century Gothic"/>
          <w:b/>
          <w:color w:val="000000" w:themeColor="text1"/>
        </w:rPr>
        <w:t>Problema planteado:</w:t>
      </w:r>
    </w:p>
    <w:p w14:paraId="560BE2BD" w14:textId="77777777" w:rsidR="001D0810" w:rsidRPr="00E009FE" w:rsidRDefault="001D0810" w:rsidP="001D0810">
      <w:pPr>
        <w:tabs>
          <w:tab w:val="left" w:pos="426"/>
        </w:tabs>
        <w:spacing w:after="0" w:line="276" w:lineRule="auto"/>
        <w:jc w:val="both"/>
        <w:rPr>
          <w:rFonts w:ascii="Verdana" w:eastAsia="Century Gothic" w:hAnsi="Verdana" w:cs="Century Gothic"/>
          <w:color w:val="000000" w:themeColor="text1"/>
          <w:lang w:val="es-ES"/>
        </w:rPr>
      </w:pPr>
    </w:p>
    <w:p w14:paraId="21065F61" w14:textId="77777777" w:rsidR="001D0810" w:rsidRPr="00E009FE" w:rsidRDefault="001D0810" w:rsidP="001D0810">
      <w:pPr>
        <w:spacing w:after="0" w:line="276" w:lineRule="auto"/>
        <w:jc w:val="both"/>
        <w:rPr>
          <w:rFonts w:ascii="Verdana" w:eastAsia="Century Gothic" w:hAnsi="Verdana" w:cs="Century Gothic"/>
          <w:color w:val="000000" w:themeColor="text1"/>
          <w:lang w:val="es-ES"/>
        </w:rPr>
      </w:pPr>
      <w:r w:rsidRPr="00E009FE">
        <w:rPr>
          <w:rFonts w:ascii="Verdana" w:eastAsia="Century Gothic" w:hAnsi="Verdana" w:cs="Century Gothic"/>
          <w:color w:val="000000" w:themeColor="text1"/>
          <w:lang w:val="es-ES"/>
        </w:rPr>
        <w:t xml:space="preserve">De acuerdo con el contenido de su solicitud, esta Agencia resolverá los siguientes problemas jurídicos: i) ¿En qué consiste el principio de planeación; </w:t>
      </w:r>
      <w:proofErr w:type="spellStart"/>
      <w:r w:rsidRPr="00E009FE">
        <w:rPr>
          <w:rFonts w:ascii="Verdana" w:eastAsia="Century Gothic" w:hAnsi="Verdana" w:cs="Century Gothic"/>
          <w:color w:val="000000" w:themeColor="text1"/>
          <w:lang w:val="es-ES"/>
        </w:rPr>
        <w:t>ii</w:t>
      </w:r>
      <w:proofErr w:type="spellEnd"/>
      <w:r w:rsidRPr="00E009FE">
        <w:rPr>
          <w:rFonts w:ascii="Verdana" w:eastAsia="Century Gothic" w:hAnsi="Verdana" w:cs="Century Gothic"/>
          <w:color w:val="000000" w:themeColor="text1"/>
          <w:lang w:val="es-ES"/>
        </w:rPr>
        <w:t xml:space="preserve">) ¿Qué alcance tiene el principio de planeación en los procesos de contratación de obra pública?; </w:t>
      </w:r>
      <w:proofErr w:type="spellStart"/>
      <w:r w:rsidRPr="00E009FE">
        <w:rPr>
          <w:rFonts w:ascii="Verdana" w:eastAsia="Century Gothic" w:hAnsi="Verdana" w:cs="Century Gothic"/>
          <w:color w:val="000000" w:themeColor="text1"/>
          <w:lang w:val="es-ES"/>
        </w:rPr>
        <w:t>iii</w:t>
      </w:r>
      <w:proofErr w:type="spellEnd"/>
      <w:r w:rsidRPr="00E009FE">
        <w:rPr>
          <w:rFonts w:ascii="Verdana" w:eastAsia="Century Gothic" w:hAnsi="Verdana" w:cs="Century Gothic"/>
          <w:color w:val="000000" w:themeColor="text1"/>
          <w:lang w:val="es-ES"/>
        </w:rPr>
        <w:t xml:space="preserve">) ¿Cuál es el marco jurídico aplicable a las modificaciones de los contratos estatales?; </w:t>
      </w:r>
      <w:proofErr w:type="spellStart"/>
      <w:r w:rsidRPr="00E009FE">
        <w:rPr>
          <w:rFonts w:ascii="Verdana" w:eastAsia="Century Gothic" w:hAnsi="Verdana" w:cs="Century Gothic"/>
          <w:color w:val="000000" w:themeColor="text1"/>
          <w:lang w:val="es-ES"/>
        </w:rPr>
        <w:t>iv</w:t>
      </w:r>
      <w:proofErr w:type="spellEnd"/>
      <w:r w:rsidRPr="00E009FE">
        <w:rPr>
          <w:rFonts w:ascii="Verdana" w:eastAsia="Century Gothic" w:hAnsi="Verdana" w:cs="Century Gothic"/>
          <w:color w:val="000000" w:themeColor="text1"/>
          <w:lang w:val="es-ES"/>
        </w:rPr>
        <w:t>) ¿Cuál es el marco jurídico aplicable a las adiciones que se realicen a los contratos estatales?; y v) ¿Cuál es la relación entre el principio de planeación y las modificaciones contractuales en los contratos de obra?</w:t>
      </w:r>
    </w:p>
    <w:p w14:paraId="0C85C33D" w14:textId="77777777" w:rsidR="001D0810" w:rsidRPr="00E009FE" w:rsidRDefault="001D0810" w:rsidP="001D0810">
      <w:pPr>
        <w:spacing w:after="0" w:line="276" w:lineRule="auto"/>
        <w:jc w:val="both"/>
        <w:rPr>
          <w:rFonts w:ascii="Verdana" w:eastAsia="Calibri" w:hAnsi="Verdana" w:cs="Arial"/>
          <w:color w:val="000000" w:themeColor="text1"/>
          <w:lang w:val="es-ES"/>
        </w:rPr>
      </w:pPr>
    </w:p>
    <w:p w14:paraId="029FBB14" w14:textId="77777777" w:rsidR="001D0810" w:rsidRPr="00E009FE" w:rsidRDefault="001D0810" w:rsidP="001D0810">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E009FE">
        <w:rPr>
          <w:rFonts w:ascii="Verdana" w:eastAsia="Century Gothic" w:hAnsi="Verdana" w:cs="Century Gothic"/>
          <w:b/>
          <w:color w:val="000000" w:themeColor="text1"/>
        </w:rPr>
        <w:t>Respuesta:</w:t>
      </w:r>
    </w:p>
    <w:p w14:paraId="44D89F6B" w14:textId="77777777" w:rsidR="001D0810" w:rsidRPr="00E009FE" w:rsidRDefault="001D0810" w:rsidP="001D0810">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D0810" w:rsidRPr="00E009FE" w14:paraId="193058F5" w14:textId="77777777" w:rsidTr="00C71E99">
        <w:tc>
          <w:tcPr>
            <w:tcW w:w="8828" w:type="dxa"/>
          </w:tcPr>
          <w:p w14:paraId="4568ABB5" w14:textId="77777777" w:rsidR="001D0810" w:rsidRPr="00E009FE" w:rsidRDefault="001D0810" w:rsidP="00C71E99">
            <w:pPr>
              <w:pStyle w:val="ListParagraph"/>
              <w:numPr>
                <w:ilvl w:val="0"/>
                <w:numId w:val="35"/>
              </w:numPr>
              <w:snapToGrid w:val="0"/>
              <w:spacing w:before="120" w:after="120" w:line="276" w:lineRule="auto"/>
              <w:ind w:left="0" w:firstLine="310"/>
              <w:contextualSpacing w:val="0"/>
              <w:jc w:val="both"/>
              <w:rPr>
                <w:rFonts w:ascii="Verdana" w:eastAsia="Century Gothic" w:hAnsi="Verdana" w:cs="Century Gothic"/>
                <w:color w:val="000000" w:themeColor="text1"/>
              </w:rPr>
            </w:pPr>
            <w:r w:rsidRPr="00E009FE">
              <w:rPr>
                <w:rFonts w:ascii="Verdana" w:eastAsia="Century Gothic" w:hAnsi="Verdana" w:cs="Century Gothic"/>
                <w:color w:val="000000" w:themeColor="text1"/>
              </w:rPr>
              <w:t>¿En qué consiste el principio de planeación? (corresponde a las preguntas 1.1 a 1.3; 2.1 a 2.2; y 4.3)</w:t>
            </w:r>
          </w:p>
          <w:p w14:paraId="5B901572" w14:textId="77777777" w:rsidR="001D0810" w:rsidRPr="00E009FE" w:rsidRDefault="001D0810" w:rsidP="00C71E99">
            <w:pPr>
              <w:snapToGrid w:val="0"/>
              <w:spacing w:before="120" w:after="120" w:line="276" w:lineRule="auto"/>
              <w:jc w:val="both"/>
              <w:rPr>
                <w:rFonts w:ascii="Verdana" w:eastAsia="Calibri" w:hAnsi="Verdana" w:cs="Arial"/>
                <w:bCs/>
                <w:lang w:val="es-ES" w:eastAsia="es-MX"/>
              </w:rPr>
            </w:pPr>
            <w:r w:rsidRPr="00E009FE">
              <w:rPr>
                <w:rFonts w:ascii="Verdana" w:eastAsia="Calibri" w:hAnsi="Verdana" w:cs="Arial"/>
                <w:bCs/>
                <w:lang w:val="es-ES"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w:t>
            </w:r>
          </w:p>
          <w:p w14:paraId="41939653" w14:textId="77777777" w:rsidR="001D0810" w:rsidRPr="00E009FE" w:rsidRDefault="001D0810" w:rsidP="00C71E99">
            <w:pPr>
              <w:snapToGrid w:val="0"/>
              <w:spacing w:before="120" w:after="120" w:line="276" w:lineRule="auto"/>
              <w:ind w:firstLine="709"/>
              <w:jc w:val="both"/>
              <w:rPr>
                <w:rFonts w:ascii="Verdana" w:eastAsia="Times New Roman" w:hAnsi="Verdana" w:cs="Arial"/>
                <w:lang w:val="es-ES" w:eastAsia="es-MX"/>
              </w:rPr>
            </w:pPr>
            <w:r w:rsidRPr="00E009FE">
              <w:rPr>
                <w:rFonts w:ascii="Verdana" w:eastAsia="Times New Roman" w:hAnsi="Verdana" w:cs="Arial"/>
                <w:lang w:val="es-ES" w:eastAsia="es-MX"/>
              </w:rPr>
              <w:t xml:space="preserve">El artículo 25 de la Ley 80 de 1995 y el artículo 2.2.1.1.2.1.1 del Decreto 1082 de 2015 disponen el contenido mínimo de los estudios y documentos previos que debe realizar la entidad en la etapa de planeación. Estos buscan que determine su necesidad, las modalidades existentes y la justificación de la elección que realice para el proceso, las calidades y especificaciones, los costos, la disponibilidad de recursos, la disponibilidad en el mercado, los procedimientos y requisitos por satisfacer, entre otros. Por otra parte, de acuerdo con los numerales 2 y 4 del artículo 2.2.1.1.2.1.1 del Decreto 1082 de 2015, uno de los aspectos principales que deben abarcar los estudios previos es la determinación del objeto a contratar con sus especificaciones y el valor estimado del contrato con su respectiva justificación. </w:t>
            </w:r>
            <w:r w:rsidRPr="00E009FE">
              <w:rPr>
                <w:rFonts w:ascii="Verdana" w:eastAsia="Calibri" w:hAnsi="Verdana" w:cs="Arial"/>
                <w:bCs/>
                <w:lang w:val="es-ES" w:eastAsia="es-MX"/>
              </w:rPr>
              <w:t>Para lo anterior será relevante la información recolectada en el marco del estudio del mercado y el análisis del sector económico.</w:t>
            </w:r>
          </w:p>
          <w:p w14:paraId="55FAB4CF" w14:textId="77777777" w:rsidR="001D0810" w:rsidRPr="00E009FE" w:rsidRDefault="001D0810" w:rsidP="00C71E99">
            <w:pPr>
              <w:snapToGrid w:val="0"/>
              <w:spacing w:before="120" w:after="120" w:line="276" w:lineRule="auto"/>
              <w:ind w:firstLine="709"/>
              <w:jc w:val="both"/>
              <w:rPr>
                <w:rFonts w:ascii="Verdana" w:eastAsia="Times New Roman" w:hAnsi="Verdana" w:cs="Arial"/>
                <w:lang w:val="es-ES" w:eastAsia="es-MX"/>
              </w:rPr>
            </w:pPr>
            <w:r w:rsidRPr="00E009FE">
              <w:rPr>
                <w:rFonts w:ascii="Verdana" w:eastAsia="Times New Roman" w:hAnsi="Verdana" w:cs="Arial"/>
                <w:lang w:val="es-ES" w:eastAsia="es-MX"/>
              </w:rPr>
              <w:t xml:space="preserve">La consideración de todos estos aspectos </w:t>
            </w:r>
            <w:r w:rsidRPr="00E009FE">
              <w:rPr>
                <w:rFonts w:ascii="Verdana" w:eastAsia="Calibri" w:hAnsi="Verdana" w:cs="Arial"/>
                <w:lang w:val="es-ES" w:eastAsia="es-MX"/>
              </w:rPr>
              <w:t xml:space="preserve">permite que los contratos resultantes de la planeación cuenten con el sustento técnico, económico y jurídico que incidirá </w:t>
            </w:r>
            <w:r w:rsidRPr="00E009FE">
              <w:rPr>
                <w:rFonts w:ascii="Verdana" w:eastAsia="Times New Roman" w:hAnsi="Verdana" w:cs="Arial"/>
                <w:lang w:val="es-ES" w:eastAsia="es-MX"/>
              </w:rPr>
              <w:t xml:space="preserve">en una adecuada ejecución. Los estudios y documentos previos son el soporte para elaborar el proyecto de pliegos, los pliegos de condiciones, y el contrato. Entonces, el proceso contractual deberá estar precedido de los estudios técnicos, financieros y jurídicos que se requieran para determinar su viabilidad económica y técnica. Esto permitirá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w:t>
            </w:r>
          </w:p>
          <w:p w14:paraId="0DF74E0E" w14:textId="77777777" w:rsidR="001D0810" w:rsidRPr="00E009FE" w:rsidRDefault="001D0810" w:rsidP="00C71E99">
            <w:pPr>
              <w:pStyle w:val="ListParagraph"/>
              <w:numPr>
                <w:ilvl w:val="0"/>
                <w:numId w:val="35"/>
              </w:numPr>
              <w:snapToGrid w:val="0"/>
              <w:spacing w:before="120" w:after="120" w:line="276" w:lineRule="auto"/>
              <w:ind w:left="0" w:firstLine="310"/>
              <w:contextualSpacing w:val="0"/>
              <w:jc w:val="both"/>
              <w:rPr>
                <w:rFonts w:ascii="Verdana" w:eastAsia="Century Gothic" w:hAnsi="Verdana" w:cs="Century Gothic"/>
                <w:color w:val="000000" w:themeColor="text1"/>
              </w:rPr>
            </w:pPr>
            <w:r w:rsidRPr="00E009FE">
              <w:rPr>
                <w:rFonts w:ascii="Verdana" w:eastAsia="Century Gothic" w:hAnsi="Verdana" w:cs="Century Gothic"/>
                <w:color w:val="000000" w:themeColor="text1"/>
              </w:rPr>
              <w:t>¿Qué alcance tiene el principio de planeación los procesos de contratación de obra pública? (preguntas 2.1 y 2.2)</w:t>
            </w:r>
          </w:p>
          <w:p w14:paraId="637A354B" w14:textId="77777777" w:rsidR="001D0810" w:rsidRPr="00E009FE" w:rsidRDefault="001D0810" w:rsidP="00C71E99">
            <w:pPr>
              <w:snapToGrid w:val="0"/>
              <w:spacing w:before="120" w:after="120" w:line="276" w:lineRule="auto"/>
              <w:jc w:val="both"/>
              <w:rPr>
                <w:rFonts w:ascii="Verdana" w:hAnsi="Verdana"/>
                <w:bCs/>
                <w:color w:val="000000" w:themeColor="text1"/>
                <w:lang w:val="es-ES"/>
              </w:rPr>
            </w:pPr>
            <w:r w:rsidRPr="00E009FE">
              <w:rPr>
                <w:rFonts w:ascii="Verdana" w:eastAsia="Calibri" w:hAnsi="Verdana" w:cs="Arial"/>
                <w:lang w:val="es-ES"/>
              </w:rPr>
              <w:lastRenderedPageBreak/>
              <w:t>En el marco de los contratos de obra, el deber de planeación implica que de manera previa a asumir los compromisos contractuales la entidad realice estudios y análisis serios y completos que le permitan determinar:</w:t>
            </w:r>
            <w:r w:rsidRPr="00E009FE">
              <w:rPr>
                <w:rFonts w:ascii="Verdana" w:eastAsia="Calibri" w:hAnsi="Verdana" w:cs="Arial"/>
                <w:b/>
                <w:bCs/>
                <w:lang w:val="es-ES"/>
              </w:rPr>
              <w:t xml:space="preserve"> </w:t>
            </w:r>
            <w:r w:rsidRPr="00E009FE">
              <w:rPr>
                <w:rFonts w:ascii="Verdana" w:eastAsia="Calibri" w:hAnsi="Verdana" w:cs="Arial"/>
                <w:lang w:val="es-ES"/>
              </w:rPr>
              <w:t xml:space="preserve"> (i) necesidad de la celebración del respectivo contrato; (</w:t>
            </w:r>
            <w:proofErr w:type="spellStart"/>
            <w:r w:rsidRPr="00E009FE">
              <w:rPr>
                <w:rFonts w:ascii="Verdana" w:eastAsia="Calibri" w:hAnsi="Verdana" w:cs="Arial"/>
                <w:lang w:val="es-ES"/>
              </w:rPr>
              <w:t>ii</w:t>
            </w:r>
            <w:proofErr w:type="spellEnd"/>
            <w:r w:rsidRPr="00E009FE">
              <w:rPr>
                <w:rFonts w:ascii="Verdana" w:eastAsia="Calibri" w:hAnsi="Verdana" w:cs="Arial"/>
                <w:lang w:val="es-ES"/>
              </w:rPr>
              <w:t>) las opciones o modalidades existentes y las razones que las justifiquen; (</w:t>
            </w:r>
            <w:proofErr w:type="spellStart"/>
            <w:r w:rsidRPr="00E009FE">
              <w:rPr>
                <w:rFonts w:ascii="Verdana" w:eastAsia="Calibri" w:hAnsi="Verdana" w:cs="Arial"/>
                <w:lang w:val="es-ES"/>
              </w:rPr>
              <w:t>iii</w:t>
            </w:r>
            <w:proofErr w:type="spellEnd"/>
            <w:r w:rsidRPr="00E009FE">
              <w:rPr>
                <w:rFonts w:ascii="Verdana" w:eastAsia="Calibri" w:hAnsi="Verdana" w:cs="Arial"/>
                <w:lang w:val="es-ES"/>
              </w:rPr>
              <w:t>) las calidades, especificaciones, cantidades y demás características que puedan o deban reunir los bienes, las obras, los servicios, cuya contratación, adquisición o disposición se haya determinado necesaria, lo cual deberá incluir los diseños, planos y análisis técnicos; (</w:t>
            </w:r>
            <w:proofErr w:type="spellStart"/>
            <w:r w:rsidRPr="00E009FE">
              <w:rPr>
                <w:rFonts w:ascii="Verdana" w:eastAsia="Calibri" w:hAnsi="Verdana" w:cs="Arial"/>
                <w:lang w:val="es-ES"/>
              </w:rPr>
              <w:t>iv</w:t>
            </w:r>
            <w:proofErr w:type="spellEnd"/>
            <w:r w:rsidRPr="00E009FE">
              <w:rPr>
                <w:rFonts w:ascii="Verdana" w:eastAsia="Calibri" w:hAnsi="Verdana" w:cs="Arial"/>
                <w:lang w:val="es-ES"/>
              </w:rPr>
              <w:t>) los costos, valores y alternativas que podría demandar la celebración y ejecución, consultando las especificaciones, cantidades de los bienes, obras y servicios, así como la modalidad u opciones escogidas; (v) la disponibilidad de recursos presupuestales o la capacidad financiera de la entidad para asumir las obligaciones de pago que se deriven de la celebración; (vi) la existencia y la disponibilidad en el mercado de proveedores o constructores profesionales que estén en condiciones de atender los requerimientos y satisfacer las necesidades de la entidad contratante; (</w:t>
            </w:r>
            <w:proofErr w:type="spellStart"/>
            <w:r w:rsidRPr="00E009FE">
              <w:rPr>
                <w:rFonts w:ascii="Verdana" w:eastAsia="Calibri" w:hAnsi="Verdana" w:cs="Arial"/>
                <w:lang w:val="es-ES"/>
              </w:rPr>
              <w:t>vii</w:t>
            </w:r>
            <w:proofErr w:type="spellEnd"/>
            <w:r w:rsidRPr="00E009FE">
              <w:rPr>
                <w:rFonts w:ascii="Verdana" w:eastAsia="Calibri" w:hAnsi="Verdana" w:cs="Arial"/>
                <w:lang w:val="es-ES"/>
              </w:rPr>
              <w:t>) los procedimientos, trámites y requisitos que deban reunirse u obtenerse para llevar a cabo la selección del respectivo contratista y la consiguiente celebración del contrato</w:t>
            </w:r>
          </w:p>
          <w:p w14:paraId="625B5FA7" w14:textId="77777777" w:rsidR="001D0810" w:rsidRPr="00E009FE" w:rsidRDefault="001D0810" w:rsidP="00C71E99">
            <w:pPr>
              <w:snapToGrid w:val="0"/>
              <w:spacing w:before="120" w:after="120" w:line="276" w:lineRule="auto"/>
              <w:ind w:firstLine="735"/>
              <w:jc w:val="both"/>
              <w:rPr>
                <w:rFonts w:ascii="Verdana" w:hAnsi="Verdana"/>
                <w:bCs/>
                <w:color w:val="000000" w:themeColor="text1"/>
                <w:lang w:val="es-ES"/>
              </w:rPr>
            </w:pPr>
            <w:r w:rsidRPr="00E009FE">
              <w:rPr>
                <w:rFonts w:ascii="Verdana" w:hAnsi="Verdana" w:cs="Arial"/>
                <w:bCs/>
                <w:color w:val="000000" w:themeColor="text1"/>
                <w:lang w:val="es-ES"/>
              </w:rPr>
              <w:t>Como parte del deber de planeación, previo al inicio de un proceso de selección para la contratación de una obra pública, la entidad estatal debe contar con “los estudios y diseños que permitan establecer la viabilidad del proyecto y su impacto social, económico y ambiental”, en los términos del numeral 12 del artículo 25 de la Ley 80 de 1993, modificado por el artículo 87 de la Ley 1474 de 2011</w:t>
            </w:r>
            <w:r w:rsidRPr="00E009FE">
              <w:rPr>
                <w:rStyle w:val="FootnoteReference"/>
                <w:rFonts w:ascii="Verdana" w:hAnsi="Verdana" w:cs="Arial"/>
                <w:bCs/>
                <w:color w:val="000000" w:themeColor="text1"/>
                <w:lang w:val="es-ES"/>
              </w:rPr>
              <w:footnoteReference w:id="2"/>
            </w:r>
            <w:r w:rsidRPr="00E009FE">
              <w:rPr>
                <w:rFonts w:ascii="Verdana" w:hAnsi="Verdana"/>
                <w:lang w:val="es-ES"/>
              </w:rPr>
              <w:t>. De hecho, el numeral 3 del artículo 26 de la Ley 80 de 1993 prescribe que las entidades y los servidores públicos responderán cuando hubieren iniciado procedimientos de selección sin haber elaborado los diseños correspondientes.</w:t>
            </w:r>
          </w:p>
          <w:p w14:paraId="6671689A" w14:textId="77777777" w:rsidR="001D0810" w:rsidRPr="00E009FE" w:rsidRDefault="001D0810" w:rsidP="00C71E99">
            <w:pPr>
              <w:snapToGrid w:val="0"/>
              <w:spacing w:before="120" w:after="120" w:line="276" w:lineRule="auto"/>
              <w:ind w:firstLine="708"/>
              <w:jc w:val="both"/>
              <w:rPr>
                <w:rFonts w:ascii="Verdana" w:hAnsi="Verdana" w:cs="Arial"/>
                <w:lang w:val="es-ES"/>
              </w:rPr>
            </w:pPr>
            <w:r w:rsidRPr="00E009FE">
              <w:rPr>
                <w:rFonts w:ascii="Verdana" w:hAnsi="Verdana"/>
                <w:lang w:val="es-ES"/>
              </w:rPr>
              <w:lastRenderedPageBreak/>
              <w:t xml:space="preserve">Igualmente, para los procesos de licitación pública, el numeral primero del artículo 30 </w:t>
            </w:r>
            <w:r w:rsidRPr="00E009FE">
              <w:rPr>
                <w:rFonts w:ascii="Verdana" w:hAnsi="Verdana"/>
                <w:i/>
                <w:iCs/>
                <w:lang w:val="es-ES"/>
              </w:rPr>
              <w:t>ibidem</w:t>
            </w:r>
            <w:r w:rsidRPr="00E009FE">
              <w:rPr>
                <w:rFonts w:ascii="Verdana" w:hAnsi="Verdana"/>
                <w:lang w:val="es-ES"/>
              </w:rPr>
              <w:t xml:space="preserve"> señala que “De conformidad con lo previsto en el numeral 12 del artículo 25 de esta ley, la resolución de apertura debe estar precedida de un estudio realizado por la entidad respectiva en el cual se analice la conveniencia y oportunidad del contrato y su adecuación a los planes de inversión, de adquisición o compras, presupuesto y ley de apropiaciones, según el caso. </w:t>
            </w:r>
            <w:r w:rsidRPr="00E009FE">
              <w:rPr>
                <w:rFonts w:ascii="Verdana" w:hAnsi="Verdana"/>
                <w:i/>
                <w:iCs/>
                <w:lang w:val="es-ES"/>
              </w:rPr>
              <w:t>Cuando sea necesario, el estudio deberá estar acompañado, además, de los diseños, planos y evaluaciones de prefactibilidad o factibilidad</w:t>
            </w:r>
            <w:r w:rsidRPr="00E009FE">
              <w:rPr>
                <w:rFonts w:ascii="Verdana" w:hAnsi="Verdana"/>
                <w:lang w:val="es-ES"/>
              </w:rPr>
              <w:t>” (Énfasis fuera de texto).</w:t>
            </w:r>
          </w:p>
          <w:p w14:paraId="27C6BB1B" w14:textId="77777777" w:rsidR="001D0810" w:rsidRPr="00E009FE" w:rsidRDefault="001D0810" w:rsidP="00C71E99">
            <w:pPr>
              <w:snapToGrid w:val="0"/>
              <w:spacing w:before="120" w:after="120" w:line="276" w:lineRule="auto"/>
              <w:ind w:firstLine="708"/>
              <w:jc w:val="both"/>
              <w:rPr>
                <w:rFonts w:ascii="Verdana" w:hAnsi="Verdana"/>
                <w:i/>
                <w:iCs/>
                <w:lang w:val="es-ES"/>
              </w:rPr>
            </w:pPr>
            <w:r w:rsidRPr="00E009FE">
              <w:rPr>
                <w:rFonts w:ascii="Verdana" w:hAnsi="Verdana"/>
                <w:lang w:val="es-ES"/>
              </w:rPr>
              <w:t xml:space="preserve">No obstante, </w:t>
            </w:r>
            <w:r w:rsidRPr="00E009FE">
              <w:rPr>
                <w:rFonts w:ascii="Verdana" w:hAnsi="Verdana"/>
                <w:bCs/>
                <w:color w:val="000000" w:themeColor="text1"/>
                <w:lang w:val="es-ES"/>
              </w:rPr>
              <w:t xml:space="preserve">el numeral 12 del artículo 25 de la Ley 80 de 1993 </w:t>
            </w:r>
            <w:r w:rsidRPr="00E009FE">
              <w:rPr>
                <w:rFonts w:ascii="Verdana" w:hAnsi="Verdana"/>
                <w:lang w:val="es-ES"/>
              </w:rPr>
              <w:t>no impide que en un mismo proceso de contratación se adelante de forma conjunta el proceso de construcción de la obra y la elaboración de los estudios y diseños que expliquen con mayor detalle a las obras y estructuras que se requieran, ya que sólo se requiere que existan unos estudios de viabilidad. Lo anterior se reitera con lo previsto en el artículo 2.2.1.1.2.1.1 del Decreto 1082 de 2015, el cual señala que, dentro de los estudios previos, cuando el objeto de contratación incluye el diseño y construcción, se requieren los documentos técnicos del proyecto. En consecuencia,</w:t>
            </w:r>
            <w:r w:rsidRPr="00E009FE">
              <w:rPr>
                <w:rFonts w:ascii="Verdana" w:hAnsi="Verdana"/>
                <w:i/>
                <w:iCs/>
                <w:lang w:val="es-ES"/>
              </w:rPr>
              <w:t xml:space="preserve"> </w:t>
            </w:r>
            <w:r w:rsidRPr="00E009FE">
              <w:rPr>
                <w:rFonts w:ascii="Verdana" w:hAnsi="Verdana"/>
                <w:lang w:val="es-ES"/>
              </w:rPr>
              <w:t>para adelantar el proceso de contratación para la construcción de una obra pública, se requerirá contar con los estudios de prefactibilidad y estudios de factibilidad, porque a través de estos se verifica la viabilidad del</w:t>
            </w:r>
            <w:r w:rsidRPr="00E009FE">
              <w:rPr>
                <w:rFonts w:ascii="Verdana" w:hAnsi="Verdana"/>
                <w:spacing w:val="-9"/>
                <w:lang w:val="es-ES"/>
              </w:rPr>
              <w:t xml:space="preserve"> </w:t>
            </w:r>
            <w:r w:rsidRPr="00E009FE">
              <w:rPr>
                <w:rFonts w:ascii="Verdana" w:hAnsi="Verdana"/>
                <w:lang w:val="es-ES"/>
              </w:rPr>
              <w:t xml:space="preserve">proyecto. </w:t>
            </w:r>
            <w:r w:rsidRPr="00E009FE">
              <w:rPr>
                <w:rFonts w:ascii="Verdana" w:hAnsi="Verdana" w:cs="Arial"/>
                <w:bCs/>
                <w:color w:val="000000" w:themeColor="text1"/>
                <w:lang w:val="es-ES"/>
              </w:rPr>
              <w:t>En el evento en que la entidad estatal ya cuente con estudios y diseños para la obra pública, siempre en cumplimiento del principio de planeación y con el fin de corroborar la “viabilidad</w:t>
            </w:r>
            <w:r w:rsidRPr="00E009FE">
              <w:rPr>
                <w:rFonts w:ascii="Verdana" w:hAnsi="Verdana" w:cs="Arial"/>
                <w:lang w:val="es-ES"/>
              </w:rPr>
              <w:t>” del proyecto, puede modificarlos o ajustarlos.</w:t>
            </w:r>
          </w:p>
          <w:p w14:paraId="0E04C883" w14:textId="77777777" w:rsidR="001D0810" w:rsidRPr="00E009FE" w:rsidRDefault="001D0810" w:rsidP="00C71E99">
            <w:pPr>
              <w:pStyle w:val="ListParagraph"/>
              <w:numPr>
                <w:ilvl w:val="0"/>
                <w:numId w:val="35"/>
              </w:numPr>
              <w:snapToGrid w:val="0"/>
              <w:spacing w:before="120" w:after="120" w:line="276" w:lineRule="auto"/>
              <w:ind w:left="0" w:firstLine="310"/>
              <w:contextualSpacing w:val="0"/>
              <w:jc w:val="both"/>
              <w:rPr>
                <w:rFonts w:ascii="Verdana" w:eastAsia="Century Gothic" w:hAnsi="Verdana" w:cs="Century Gothic"/>
                <w:color w:val="000000" w:themeColor="text1"/>
              </w:rPr>
            </w:pPr>
            <w:r w:rsidRPr="00E009FE">
              <w:rPr>
                <w:rFonts w:ascii="Verdana" w:eastAsia="Century Gothic" w:hAnsi="Verdana" w:cs="Century Gothic"/>
                <w:color w:val="000000" w:themeColor="text1"/>
              </w:rPr>
              <w:t>¿Cuál es el marco jurídico aplicable a las modificaciones de los contratos estatales? (preguntas 3.1, 3.2, 3.4, 4.1 y 4.2)</w:t>
            </w:r>
          </w:p>
          <w:p w14:paraId="688D0AED" w14:textId="77777777" w:rsidR="001D0810" w:rsidRPr="00E009FE" w:rsidRDefault="001D0810" w:rsidP="00C71E99">
            <w:pPr>
              <w:snapToGrid w:val="0"/>
              <w:spacing w:before="120" w:after="120" w:line="276" w:lineRule="auto"/>
              <w:jc w:val="both"/>
              <w:rPr>
                <w:rFonts w:ascii="Verdana" w:eastAsia="Arial" w:hAnsi="Verdana" w:cs="Arial"/>
                <w:lang w:val="es-ES" w:eastAsia="es-ES" w:bidi="es-ES"/>
              </w:rPr>
            </w:pPr>
            <w:r w:rsidRPr="00E009FE">
              <w:rPr>
                <w:rFonts w:ascii="Verdana" w:eastAsia="Arial" w:hAnsi="Verdana" w:cs="Arial"/>
                <w:color w:val="000000"/>
                <w:lang w:val="es-ES" w:eastAsia="es-ES" w:bidi="es-ES"/>
              </w:rPr>
              <w:t xml:space="preserve">El Consejo de Estado ha precisado que la regla general de los contratos estatales es la </w:t>
            </w:r>
            <w:r w:rsidRPr="00E009FE">
              <w:rPr>
                <w:rFonts w:ascii="Verdana" w:eastAsia="Arial" w:hAnsi="Verdana" w:cs="Arial"/>
                <w:i/>
                <w:iCs/>
                <w:color w:val="000000"/>
                <w:lang w:val="es-ES" w:eastAsia="es-ES" w:bidi="es-ES"/>
              </w:rPr>
              <w:t>no modificación</w:t>
            </w:r>
            <w:r w:rsidRPr="00E009FE">
              <w:rPr>
                <w:rFonts w:ascii="Verdana" w:eastAsia="Arial" w:hAnsi="Verdana" w:cs="Arial"/>
                <w:color w:val="000000"/>
                <w:lang w:val="es-ES" w:eastAsia="es-ES" w:bidi="es-ES"/>
              </w:rPr>
              <w:t xml:space="preserve"> del contrato, y la vía </w:t>
            </w:r>
            <w:r w:rsidRPr="00E009FE">
              <w:rPr>
                <w:rFonts w:ascii="Verdana" w:eastAsia="Arial" w:hAnsi="Verdana" w:cs="Arial"/>
                <w:i/>
                <w:iCs/>
                <w:color w:val="000000"/>
                <w:lang w:val="es-ES" w:eastAsia="es-ES" w:bidi="es-ES"/>
              </w:rPr>
              <w:t>excepcional</w:t>
            </w:r>
            <w:r w:rsidRPr="00E009FE">
              <w:rPr>
                <w:rFonts w:ascii="Verdana" w:eastAsia="Arial" w:hAnsi="Verdana" w:cs="Arial"/>
                <w:color w:val="000000"/>
                <w:lang w:val="es-ES" w:eastAsia="es-ES" w:bidi="es-ES"/>
              </w:rPr>
              <w:t xml:space="preserve"> su modificación, sometida a límites </w:t>
            </w:r>
            <w:r w:rsidRPr="00E009FE">
              <w:rPr>
                <w:rFonts w:ascii="Verdana" w:eastAsia="Arial" w:hAnsi="Verdana" w:cs="Arial"/>
                <w:lang w:val="es-ES" w:eastAsia="es-ES" w:bidi="es-ES"/>
              </w:rPr>
              <w:t xml:space="preserve">y requisitos de orden temporal, formal, material y axiológico para que sea procedente. Estos han sido establecidos </w:t>
            </w:r>
            <w:r w:rsidRPr="00E009FE">
              <w:rPr>
                <w:rFonts w:ascii="Verdana" w:eastAsia="Arial" w:hAnsi="Verdana" w:cs="Arial"/>
                <w:color w:val="000000"/>
                <w:lang w:val="es-ES" w:eastAsia="es-ES" w:bidi="es-ES"/>
              </w:rPr>
              <w:t xml:space="preserve">principalmente por esa Corporación y se explican en detalle en el presente concepto. </w:t>
            </w:r>
            <w:r w:rsidRPr="00E009FE">
              <w:rPr>
                <w:rFonts w:ascii="Verdana" w:eastAsia="Arial" w:hAnsi="Verdana" w:cs="Arial"/>
                <w:lang w:val="es-ES" w:eastAsia="es-ES" w:bidi="es-ES"/>
              </w:rPr>
              <w:t xml:space="preserve"> Estos límites deben ser respetados por la entidad contratante para preservar principios de origen legal, como el de planeación, selección objetiva, libre concurrencia, transparencia, igualdad, entre otros.</w:t>
            </w:r>
          </w:p>
          <w:p w14:paraId="05E90EED" w14:textId="77777777" w:rsidR="001D0810" w:rsidRPr="00E009FE" w:rsidRDefault="001D0810" w:rsidP="00C71E99">
            <w:pPr>
              <w:snapToGrid w:val="0"/>
              <w:spacing w:before="120" w:after="120" w:line="276" w:lineRule="auto"/>
              <w:ind w:firstLine="735"/>
              <w:jc w:val="both"/>
              <w:rPr>
                <w:rFonts w:ascii="Verdana" w:eastAsia="Arial" w:hAnsi="Verdana" w:cs="Arial"/>
                <w:lang w:val="es-ES" w:eastAsia="es-ES" w:bidi="es-ES"/>
              </w:rPr>
            </w:pPr>
            <w:r w:rsidRPr="00E009FE">
              <w:rPr>
                <w:rFonts w:ascii="Verdana" w:eastAsia="Arial" w:hAnsi="Verdana" w:cs="Arial"/>
                <w:lang w:val="es-ES" w:eastAsia="es-ES" w:bidi="es-ES"/>
              </w:rPr>
              <w:lastRenderedPageBreak/>
              <w:t xml:space="preserve">En efecto, las modificaciones deben respetar los </w:t>
            </w:r>
            <w:r w:rsidRPr="00E009FE">
              <w:rPr>
                <w:rFonts w:ascii="Verdana" w:eastAsia="Arial" w:hAnsi="Verdana" w:cs="Arial"/>
                <w:i/>
                <w:lang w:val="es-ES" w:eastAsia="es-ES" w:bidi="es-ES"/>
              </w:rPr>
              <w:t>límites axiológicos</w:t>
            </w:r>
            <w:r w:rsidRPr="00E009FE">
              <w:rPr>
                <w:rFonts w:ascii="Verdana" w:eastAsia="Arial" w:hAnsi="Verdana" w:cs="Arial"/>
                <w:lang w:val="es-ES" w:eastAsia="es-ES" w:bidi="es-ES"/>
              </w:rPr>
              <w:t xml:space="preserve">, los cuales se fundan en la necesidad de preservar los principios de igualdad, transparencia, libertad de concurrencia, selección objetiva y planeación. </w:t>
            </w:r>
            <w:r w:rsidRPr="00E009FE">
              <w:rPr>
                <w:rFonts w:ascii="Verdana" w:eastAsia="Calibri" w:hAnsi="Verdana" w:cs="Arial"/>
                <w:lang w:val="es-ES"/>
              </w:rPr>
              <w:t xml:space="preserve">Este límite es entonces relevante con respecto a su consulta, pues una modificación del contrato estatal no debe ir en contravía del principio de planeación o ser el resultado de un incumplimiento de este deber por parte de la entidad estatal. En este sentido, las modificaciones no son instrumentos para subsanar errores o falencias </w:t>
            </w:r>
            <w:r>
              <w:rPr>
                <w:rFonts w:ascii="Verdana" w:eastAsia="Calibri" w:hAnsi="Verdana" w:cs="Arial"/>
                <w:lang w:val="es-ES"/>
              </w:rPr>
              <w:t xml:space="preserve">de la </w:t>
            </w:r>
            <w:r w:rsidRPr="00E009FE">
              <w:rPr>
                <w:rFonts w:ascii="Verdana" w:eastAsia="Calibri" w:hAnsi="Verdana" w:cs="Arial"/>
                <w:lang w:val="es-ES"/>
              </w:rPr>
              <w:t xml:space="preserve">entidad con ocasión a una planeación deficiente. </w:t>
            </w:r>
          </w:p>
          <w:p w14:paraId="58EE51FE" w14:textId="77777777" w:rsidR="001D0810" w:rsidRPr="000B1FA2" w:rsidRDefault="001D0810" w:rsidP="00C71E99">
            <w:pPr>
              <w:widowControl w:val="0"/>
              <w:autoSpaceDE w:val="0"/>
              <w:autoSpaceDN w:val="0"/>
              <w:snapToGrid w:val="0"/>
              <w:spacing w:before="120" w:after="120" w:line="276" w:lineRule="auto"/>
              <w:ind w:firstLine="709"/>
              <w:jc w:val="both"/>
              <w:rPr>
                <w:rFonts w:ascii="Verdana" w:eastAsia="Arial" w:hAnsi="Verdana" w:cs="Arial"/>
                <w:color w:val="000000"/>
                <w:lang w:val="es-ES" w:eastAsia="es-ES" w:bidi="es-ES"/>
              </w:rPr>
            </w:pPr>
            <w:r>
              <w:rPr>
                <w:rFonts w:ascii="Verdana" w:eastAsia="Arial" w:hAnsi="Verdana" w:cs="Arial"/>
                <w:color w:val="000000"/>
                <w:lang w:val="es-ES" w:eastAsia="es-ES" w:bidi="es-ES"/>
              </w:rPr>
              <w:t>S</w:t>
            </w:r>
            <w:r w:rsidRPr="00E009FE">
              <w:rPr>
                <w:rFonts w:ascii="Verdana" w:eastAsia="Arial" w:hAnsi="Verdana" w:cs="Arial"/>
                <w:color w:val="000000"/>
                <w:lang w:val="es-ES" w:eastAsia="es-ES" w:bidi="es-ES"/>
              </w:rPr>
              <w:t xml:space="preserve">egún el marco jurídico y los parámetros fijados por el Consejo de Estado y la Corte Constitucional, los cuales comparte esta Agencia, es viable jurídicamente modificar los contratos estatales, pero esta medida tienen </w:t>
            </w:r>
            <w:r w:rsidRPr="00E009FE">
              <w:rPr>
                <w:rFonts w:ascii="Verdana" w:eastAsia="Arial" w:hAnsi="Verdana" w:cs="Arial"/>
                <w:i/>
                <w:iCs/>
                <w:color w:val="000000"/>
                <w:lang w:val="es-ES" w:eastAsia="es-ES" w:bidi="es-ES"/>
              </w:rPr>
              <w:t>carácter excepcional</w:t>
            </w:r>
            <w:r w:rsidRPr="00E009FE">
              <w:rPr>
                <w:rFonts w:ascii="Verdana" w:eastAsia="Arial" w:hAnsi="Verdana" w:cs="Arial"/>
                <w:color w:val="000000"/>
                <w:lang w:val="es-ES" w:eastAsia="es-ES" w:bidi="es-ES"/>
              </w:rPr>
              <w:t xml:space="preserve"> y solo procede cuando: se pretenda garantizar el interés público, la entidad haya verificado y cualquiera pueda constatar que la causa de la modificación es real y cierta, y la modificación cumpla con las limitaciones y condiciones que establezca la ley. En otras palabras, la modificación contractual encuentra sustento no solo en circunstancias fácticas propias de la ejecución del contrato, sino además debe cumplir con los principios y fines de la contratación estatal, así como con las condiciones y restricciones legales. En esta medida, las modificaciones se refieren a alteraciones, variaciones, cambios o correcciones en las condiciones y cláusulas del contrato. Estas deben ser suscritas por las partes, sujetándose a lo previsto en la ley, esto es, que </w:t>
            </w:r>
            <w:r w:rsidRPr="000B1FA2">
              <w:rPr>
                <w:rFonts w:ascii="Verdana" w:eastAsia="Arial" w:hAnsi="Verdana" w:cs="Arial"/>
                <w:color w:val="000000"/>
                <w:lang w:val="es-ES" w:eastAsia="es-ES" w:bidi="es-ES"/>
              </w:rPr>
              <w:t>se encuentren debidamente justificadas, que no sean el resultado de una indebida planeación</w:t>
            </w:r>
            <w:r w:rsidRPr="00E009FE">
              <w:rPr>
                <w:rFonts w:ascii="Verdana" w:eastAsia="Arial" w:hAnsi="Verdana" w:cs="Arial"/>
                <w:color w:val="000000"/>
                <w:lang w:val="es-ES" w:eastAsia="es-ES" w:bidi="es-ES"/>
              </w:rPr>
              <w:t xml:space="preserve"> y que consten por escrito, de tal manera que de las mismas se predique su existencia, validez y eficacia. </w:t>
            </w:r>
          </w:p>
          <w:p w14:paraId="49CC6A72" w14:textId="77777777" w:rsidR="001D0810" w:rsidRPr="00E009FE" w:rsidRDefault="001D0810" w:rsidP="00C71E99">
            <w:pPr>
              <w:pStyle w:val="ListParagraph"/>
              <w:numPr>
                <w:ilvl w:val="0"/>
                <w:numId w:val="35"/>
              </w:numPr>
              <w:snapToGrid w:val="0"/>
              <w:spacing w:before="120" w:after="120" w:line="276" w:lineRule="auto"/>
              <w:ind w:left="0" w:firstLine="310"/>
              <w:contextualSpacing w:val="0"/>
              <w:jc w:val="both"/>
              <w:rPr>
                <w:rFonts w:ascii="Verdana" w:eastAsia="Century Gothic" w:hAnsi="Verdana" w:cs="Century Gothic"/>
                <w:color w:val="000000" w:themeColor="text1"/>
              </w:rPr>
            </w:pPr>
            <w:r w:rsidRPr="00E009FE">
              <w:rPr>
                <w:rFonts w:ascii="Verdana" w:eastAsia="Century Gothic" w:hAnsi="Verdana" w:cs="Century Gothic"/>
                <w:color w:val="000000" w:themeColor="text1"/>
              </w:rPr>
              <w:t>¿Cuál es el marco jurídico aplicable a las adiciones que se realicen a los contratos estatales? (preguntas 3.1, 3.2, 3.4, 4.1 y 4.2)</w:t>
            </w:r>
          </w:p>
          <w:p w14:paraId="421C63D7" w14:textId="77777777" w:rsidR="001D0810" w:rsidRPr="00E009FE" w:rsidRDefault="001D0810" w:rsidP="00C71E99">
            <w:pPr>
              <w:snapToGrid w:val="0"/>
              <w:spacing w:before="120" w:after="120" w:line="276" w:lineRule="auto"/>
              <w:jc w:val="both"/>
              <w:rPr>
                <w:rFonts w:ascii="Verdana" w:eastAsia="Calibri" w:hAnsi="Verdana" w:cs="Arial"/>
                <w:color w:val="000000"/>
                <w:lang w:val="es-ES" w:eastAsia="es-ES_tradnl"/>
              </w:rPr>
            </w:pPr>
            <w:r>
              <w:rPr>
                <w:rFonts w:ascii="Verdana" w:eastAsia="Calibri" w:hAnsi="Verdana" w:cs="Arial"/>
                <w:color w:val="000000"/>
                <w:lang w:val="es-ES" w:eastAsia="es-ES_tradnl"/>
              </w:rPr>
              <w:t>D</w:t>
            </w:r>
            <w:r w:rsidRPr="00E009FE">
              <w:rPr>
                <w:rFonts w:ascii="Verdana" w:eastAsia="Calibri" w:hAnsi="Verdana" w:cs="Arial"/>
                <w:color w:val="000000"/>
                <w:lang w:val="es-ES" w:eastAsia="es-ES_tradnl"/>
              </w:rPr>
              <w:t xml:space="preserve">urante la etapa de planeación, las entidades estiman y determinan las prestaciones que demanda la satisfacción del interés colectivo. No obstante, durante la ejecución del contrato, las partes </w:t>
            </w:r>
            <w:r>
              <w:rPr>
                <w:rFonts w:ascii="Verdana" w:eastAsia="Calibri" w:hAnsi="Verdana" w:cs="Arial"/>
                <w:color w:val="000000"/>
                <w:lang w:val="es-ES" w:eastAsia="es-ES_tradnl"/>
              </w:rPr>
              <w:t xml:space="preserve">pueden identificar </w:t>
            </w:r>
            <w:r w:rsidRPr="00E009FE">
              <w:rPr>
                <w:rFonts w:ascii="Verdana" w:eastAsia="Calibri" w:hAnsi="Verdana" w:cs="Arial"/>
                <w:color w:val="000000"/>
                <w:lang w:val="es-ES" w:eastAsia="es-ES_tradnl"/>
              </w:rPr>
              <w:t xml:space="preserve">alguna de las siguientes situaciones: i) la necesidad de mayores cantidades de bienes o actividades inicialmente previstos, a lo que se le conoce como “mayores cantidades de obra”, “obras adicionales” o adición de “ítems contractuales”; y </w:t>
            </w:r>
            <w:proofErr w:type="spellStart"/>
            <w:r w:rsidRPr="00E009FE">
              <w:rPr>
                <w:rFonts w:ascii="Verdana" w:eastAsia="Calibri" w:hAnsi="Verdana" w:cs="Arial"/>
                <w:color w:val="000000"/>
                <w:lang w:val="es-ES" w:eastAsia="es-ES_tradnl"/>
              </w:rPr>
              <w:t>ii</w:t>
            </w:r>
            <w:proofErr w:type="spellEnd"/>
            <w:r w:rsidRPr="00E009FE">
              <w:rPr>
                <w:rFonts w:ascii="Verdana" w:eastAsia="Calibri" w:hAnsi="Verdana" w:cs="Arial"/>
                <w:color w:val="000000"/>
                <w:lang w:val="es-ES" w:eastAsia="es-ES_tradnl"/>
              </w:rPr>
              <w:t xml:space="preserve">) la necesidad de ampliar las prestaciones contractuales, mediante la ejecución de nuevos ítems o actividades, no incluidos en el contrato inicial, para lo que en la práctica las entidades ejecutan “obras extra” o “amplían el </w:t>
            </w:r>
            <w:r w:rsidRPr="00E009FE">
              <w:rPr>
                <w:rFonts w:ascii="Verdana" w:eastAsia="Calibri" w:hAnsi="Verdana" w:cs="Arial"/>
                <w:color w:val="000000"/>
                <w:lang w:val="es-ES" w:eastAsia="es-ES_tradnl"/>
              </w:rPr>
              <w:lastRenderedPageBreak/>
              <w:t>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w:t>
            </w:r>
            <w:r>
              <w:rPr>
                <w:rFonts w:ascii="Verdana" w:eastAsia="Calibri" w:hAnsi="Verdana" w:cs="Arial"/>
                <w:color w:val="000000"/>
                <w:lang w:val="es-ES" w:eastAsia="es-ES_tradnl"/>
              </w:rPr>
              <w:t>.</w:t>
            </w:r>
            <w:r w:rsidRPr="00E009FE">
              <w:rPr>
                <w:rFonts w:ascii="Verdana" w:eastAsia="Calibri" w:hAnsi="Verdana" w:cs="Arial"/>
                <w:color w:val="000000"/>
                <w:lang w:val="es-ES" w:eastAsia="es-ES_tradnl"/>
              </w:rPr>
              <w:t xml:space="preserve"> </w:t>
            </w:r>
          </w:p>
          <w:p w14:paraId="562F136F" w14:textId="77777777" w:rsidR="001D0810" w:rsidRPr="00E009FE" w:rsidRDefault="001D0810" w:rsidP="00C71E99">
            <w:pPr>
              <w:snapToGrid w:val="0"/>
              <w:spacing w:before="120" w:after="120" w:line="276" w:lineRule="auto"/>
              <w:ind w:firstLine="708"/>
              <w:jc w:val="both"/>
              <w:rPr>
                <w:rFonts w:ascii="Verdana" w:eastAsia="Calibri" w:hAnsi="Verdana" w:cs="Arial"/>
                <w:color w:val="000000"/>
                <w:lang w:val="es-ES" w:eastAsia="es-ES_tradnl"/>
              </w:rPr>
            </w:pPr>
            <w:r w:rsidRPr="00E009FE">
              <w:rPr>
                <w:rFonts w:ascii="Verdana" w:eastAsia="Calibri" w:hAnsi="Verdana" w:cs="Arial"/>
                <w:color w:val="000000"/>
                <w:lang w:val="es-ES" w:eastAsia="es-ES_tradnl"/>
              </w:rPr>
              <w:t>Lo importante es que, frente a cualquier incremento del valor inicial del contrato</w:t>
            </w:r>
            <w:r w:rsidRPr="00E009FE">
              <w:rPr>
                <w:rFonts w:ascii="Verdana" w:eastAsia="Calibri" w:hAnsi="Verdana" w:cs="Arial"/>
                <w:i/>
                <w:iCs/>
                <w:color w:val="000000"/>
                <w:lang w:val="es-ES" w:eastAsia="es-ES_tradnl"/>
              </w:rPr>
              <w:t xml:space="preserve"> </w:t>
            </w:r>
            <w:r w:rsidRPr="00E009FE">
              <w:rPr>
                <w:rFonts w:ascii="Verdana" w:eastAsia="Calibri" w:hAnsi="Verdana" w:cs="Arial"/>
                <w:color w:val="000000"/>
                <w:lang w:val="es-ES" w:eastAsia="es-ES_tradnl"/>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w:t>
            </w:r>
          </w:p>
          <w:p w14:paraId="67096B7A" w14:textId="77777777" w:rsidR="001D0810" w:rsidRPr="00E009FE" w:rsidRDefault="001D0810" w:rsidP="00C71E99">
            <w:pPr>
              <w:snapToGrid w:val="0"/>
              <w:spacing w:before="120" w:after="120" w:line="276" w:lineRule="auto"/>
              <w:ind w:firstLine="708"/>
              <w:jc w:val="both"/>
              <w:rPr>
                <w:rFonts w:ascii="Verdana" w:eastAsia="Calibri" w:hAnsi="Verdana" w:cs="Arial"/>
                <w:color w:val="000000"/>
                <w:lang w:val="es-ES" w:eastAsia="es-ES_tradnl"/>
              </w:rPr>
            </w:pPr>
            <w:r w:rsidRPr="00E009FE">
              <w:rPr>
                <w:rFonts w:ascii="Verdana" w:eastAsia="Calibri" w:hAnsi="Verdana" w:cs="Arial"/>
                <w:color w:val="000000"/>
                <w:lang w:val="es-ES" w:eastAsia="es-ES_tradnl"/>
              </w:rPr>
              <w:t>Sin perjuicio de lo anterior, el artículo 85 de la Ley 1474 de 2011 contempla un supuesto en el que es posible adicionar contratos en más del cincuenta por ciento (50%): cuando se trate de contratos de interventoría que</w:t>
            </w:r>
            <w:r>
              <w:rPr>
                <w:rFonts w:ascii="Verdana" w:eastAsia="Calibri" w:hAnsi="Verdana" w:cs="Arial"/>
                <w:color w:val="000000"/>
                <w:lang w:val="es-ES" w:eastAsia="es-ES_tradnl"/>
              </w:rPr>
              <w:t xml:space="preserve"> </w:t>
            </w:r>
            <w:r w:rsidRPr="00E009FE">
              <w:rPr>
                <w:rFonts w:ascii="Verdana" w:eastAsia="Calibri" w:hAnsi="Verdana" w:cs="Arial"/>
                <w:color w:val="000000"/>
                <w:lang w:val="es-ES" w:eastAsia="es-ES_tradnl"/>
              </w:rPr>
              <w:t xml:space="preserve">deberán someterse al plazo en que haya sido prorrogado el contrato objeto de vigilancia. Esta disposición, cumple con el objetivo de fortalecer la figura de la interventoría, como una herramienta integral, para proteger los intereses públicos y no causar un daño antijurídico al abandonar la vigilancia del contrato principal por limitaciones presupuestales. </w:t>
            </w:r>
          </w:p>
          <w:p w14:paraId="6F6D2592" w14:textId="77777777" w:rsidR="001D0810" w:rsidRPr="00E009FE" w:rsidRDefault="001D0810" w:rsidP="00C71E99">
            <w:pPr>
              <w:snapToGrid w:val="0"/>
              <w:spacing w:before="120" w:after="120" w:line="276" w:lineRule="auto"/>
              <w:ind w:firstLine="708"/>
              <w:jc w:val="both"/>
              <w:rPr>
                <w:rFonts w:ascii="Verdana" w:eastAsia="Calibri" w:hAnsi="Verdana" w:cs="Arial"/>
                <w:color w:val="000000"/>
                <w:lang w:val="es-ES" w:eastAsia="es-ES_tradnl"/>
              </w:rPr>
            </w:pPr>
            <w:r w:rsidRPr="00E009FE">
              <w:rPr>
                <w:rFonts w:ascii="Verdana" w:eastAsia="Calibri" w:hAnsi="Verdana" w:cs="Arial"/>
                <w:color w:val="000000"/>
                <w:lang w:val="es-ES" w:eastAsia="es-ES_tradnl"/>
              </w:rPr>
              <w:t xml:space="preserve">Es importante reiterar que, conforme con lo señalado por la jurisprudencia, tales adiciones solo son válidas cuando la necesidad de modificar el contrato se presenta de manera sobreviniente al inicio de su ejecución. Esto comoquiera que, si la planeación realizada por la entidad estatal desde un principio indicaba que el valor del contrato requerido para satisfacer la necesidad superaría el monto de la cuantía que determina la modalidad, lo correcto es adjudicar el contrato mediante aquella que resultara realmente aplicable de acuerdo con el objeto y el valor del contrato. </w:t>
            </w:r>
          </w:p>
          <w:p w14:paraId="494754B7" w14:textId="77777777" w:rsidR="001D0810" w:rsidRPr="00E009FE" w:rsidRDefault="001D0810" w:rsidP="00C71E99">
            <w:pPr>
              <w:snapToGrid w:val="0"/>
              <w:spacing w:before="120" w:after="120" w:line="276" w:lineRule="auto"/>
              <w:ind w:firstLine="708"/>
              <w:jc w:val="both"/>
              <w:rPr>
                <w:rFonts w:ascii="Verdana" w:eastAsia="Calibri" w:hAnsi="Verdana" w:cs="Arial"/>
                <w:color w:val="000000"/>
                <w:lang w:val="es-ES" w:eastAsia="es-ES_tradnl"/>
              </w:rPr>
            </w:pPr>
            <w:r w:rsidRPr="00E009FE">
              <w:rPr>
                <w:rFonts w:ascii="Verdana" w:hAnsi="Verdana"/>
                <w:lang w:val="es-ES"/>
              </w:rPr>
              <w:t xml:space="preserve">Conforme con lo anterior, las entidades estatales que pretendan modificar sus contratos deberán respetar los límites cuantitativos señalados en el parágrafo del artículo 40 de la Ley 80 de 1993, así como aquellos de orden temporal, formal, material y axiológico que han sido determinados principalmente por la jurisprudencia del Consejo de Estado. Estos límites constituyen en su conjunto un marco jurídico para que las modificaciones de </w:t>
            </w:r>
            <w:r w:rsidRPr="00E009FE">
              <w:rPr>
                <w:rFonts w:ascii="Verdana" w:hAnsi="Verdana"/>
                <w:lang w:val="es-ES"/>
              </w:rPr>
              <w:lastRenderedPageBreak/>
              <w:t>los contratos estatales preserven principios de origen legal como el de planeación.</w:t>
            </w:r>
          </w:p>
          <w:p w14:paraId="5089C1ED" w14:textId="77777777" w:rsidR="001D0810" w:rsidRPr="00E009FE" w:rsidRDefault="001D0810" w:rsidP="00C71E99">
            <w:pPr>
              <w:pStyle w:val="ListParagraph"/>
              <w:numPr>
                <w:ilvl w:val="0"/>
                <w:numId w:val="35"/>
              </w:numPr>
              <w:snapToGrid w:val="0"/>
              <w:spacing w:before="120" w:after="120" w:line="276" w:lineRule="auto"/>
              <w:ind w:left="0" w:firstLine="310"/>
              <w:contextualSpacing w:val="0"/>
              <w:jc w:val="both"/>
              <w:rPr>
                <w:rFonts w:ascii="Verdana" w:eastAsia="Century Gothic" w:hAnsi="Verdana" w:cs="Century Gothic"/>
                <w:color w:val="000000" w:themeColor="text1"/>
              </w:rPr>
            </w:pPr>
            <w:r w:rsidRPr="00E009FE">
              <w:rPr>
                <w:rFonts w:ascii="Verdana" w:eastAsia="Century Gothic" w:hAnsi="Verdana" w:cs="Century Gothic"/>
                <w:color w:val="000000" w:themeColor="text1"/>
              </w:rPr>
              <w:t>¿Cuál es la relación entre el principio de planeación y las modificaciones contractuales</w:t>
            </w:r>
            <w:r>
              <w:rPr>
                <w:rFonts w:ascii="Verdana" w:eastAsia="Century Gothic" w:hAnsi="Verdana" w:cs="Century Gothic"/>
                <w:color w:val="000000" w:themeColor="text1"/>
              </w:rPr>
              <w:t xml:space="preserve"> en los contratos de obra pública</w:t>
            </w:r>
            <w:r w:rsidRPr="00E009FE">
              <w:rPr>
                <w:rFonts w:ascii="Verdana" w:eastAsia="Century Gothic" w:hAnsi="Verdana" w:cs="Century Gothic"/>
                <w:color w:val="000000" w:themeColor="text1"/>
              </w:rPr>
              <w:t>? (preguntas 2.3, 3.3, 3.5, 4.1 y 4.4)</w:t>
            </w:r>
          </w:p>
          <w:p w14:paraId="4FE18BF2" w14:textId="77777777" w:rsidR="001D0810" w:rsidRPr="00E009FE" w:rsidRDefault="001D0810" w:rsidP="00C71E99">
            <w:pPr>
              <w:snapToGrid w:val="0"/>
              <w:spacing w:before="120" w:after="120" w:line="276" w:lineRule="auto"/>
              <w:jc w:val="both"/>
              <w:rPr>
                <w:rFonts w:ascii="Verdana" w:eastAsia="Calibri" w:hAnsi="Verdana" w:cs="Arial"/>
                <w:lang w:val="es-ES"/>
              </w:rPr>
            </w:pPr>
            <w:r>
              <w:rPr>
                <w:rFonts w:ascii="Verdana" w:eastAsia="Calibri" w:hAnsi="Verdana" w:cs="Arial"/>
                <w:lang w:val="es-ES"/>
              </w:rPr>
              <w:t>L</w:t>
            </w:r>
            <w:r w:rsidRPr="00E009FE">
              <w:rPr>
                <w:rFonts w:ascii="Verdana" w:eastAsia="Calibri" w:hAnsi="Verdana" w:cs="Arial"/>
                <w:lang w:val="es-ES"/>
              </w:rPr>
              <w:t xml:space="preserve">a falta de planeación por parte de la entidad incide tanto en la etapa de formación del contrato, </w:t>
            </w:r>
            <w:r>
              <w:rPr>
                <w:rFonts w:ascii="Verdana" w:eastAsia="Calibri" w:hAnsi="Verdana" w:cs="Arial"/>
                <w:lang w:val="es-ES"/>
              </w:rPr>
              <w:t xml:space="preserve">como </w:t>
            </w:r>
            <w:r w:rsidRPr="00E009FE">
              <w:rPr>
                <w:rFonts w:ascii="Verdana" w:eastAsia="Calibri" w:hAnsi="Verdana" w:cs="Arial"/>
                <w:lang w:val="es-ES"/>
              </w:rPr>
              <w:t xml:space="preserve">en la etapa de ejecución, momento en el cual las omisiones que se deriven de la falta de estudios y diseños definitivos pueden generar serias consecuencias y llevar a modificar aspectos como las cantidades de obra y las condiciones técnicas inicialmente pactadas. Esto impacta también </w:t>
            </w:r>
            <w:r>
              <w:rPr>
                <w:rFonts w:ascii="Verdana" w:eastAsia="Calibri" w:hAnsi="Verdana" w:cs="Arial"/>
                <w:lang w:val="es-ES"/>
              </w:rPr>
              <w:t>el</w:t>
            </w:r>
            <w:r w:rsidRPr="00E009FE">
              <w:rPr>
                <w:rFonts w:ascii="Verdana" w:eastAsia="Calibri" w:hAnsi="Verdana" w:cs="Arial"/>
                <w:lang w:val="es-ES"/>
              </w:rPr>
              <w:t xml:space="preserve"> incremento de los costos del proyecto e incluso puede ocasionar la paralización de las obras o la imposibilidad de ejecutarlas.</w:t>
            </w:r>
            <w:r w:rsidRPr="00E009FE">
              <w:rPr>
                <w:rFonts w:ascii="Verdana" w:eastAsia="Times New Roman" w:hAnsi="Verdana" w:cs="Arial"/>
                <w:lang w:val="es-ES" w:eastAsia="es-MX"/>
              </w:rPr>
              <w:t xml:space="preserve"> Tal es la importancia de los estudios y documentos previos que su deficiencia o ausencia</w:t>
            </w:r>
            <w:r>
              <w:rPr>
                <w:rFonts w:ascii="Verdana" w:eastAsia="Times New Roman" w:hAnsi="Verdana" w:cs="Arial"/>
                <w:lang w:val="es-ES" w:eastAsia="es-MX"/>
              </w:rPr>
              <w:t xml:space="preserve"> puede ocasionar la responsabilidad contractual de la entidad, la </w:t>
            </w:r>
            <w:r w:rsidRPr="00E009FE">
              <w:rPr>
                <w:rFonts w:ascii="Verdana" w:eastAsia="Times New Roman" w:hAnsi="Verdana" w:cs="Arial"/>
                <w:lang w:val="es-ES" w:eastAsia="es-MX"/>
              </w:rPr>
              <w:t>revocatoria de actos administrativos de apertura, declaratorias de desierta,</w:t>
            </w:r>
            <w:r>
              <w:rPr>
                <w:rFonts w:ascii="Verdana" w:eastAsia="Times New Roman" w:hAnsi="Verdana" w:cs="Arial"/>
                <w:lang w:val="es-ES" w:eastAsia="es-MX"/>
              </w:rPr>
              <w:t xml:space="preserve"> la</w:t>
            </w:r>
            <w:r w:rsidRPr="00E009FE">
              <w:rPr>
                <w:rFonts w:ascii="Verdana" w:eastAsia="Times New Roman" w:hAnsi="Verdana" w:cs="Arial"/>
                <w:lang w:val="es-ES" w:eastAsia="es-MX"/>
              </w:rPr>
              <w:t xml:space="preserve"> comisión de faltas disciplinarias, mayores costos o mayor permanencia de la obra y, en general, el fracaso en la ejecución </w:t>
            </w:r>
            <w:r>
              <w:rPr>
                <w:rFonts w:ascii="Verdana" w:eastAsia="Times New Roman" w:hAnsi="Verdana" w:cs="Arial"/>
                <w:lang w:val="es-ES" w:eastAsia="es-MX"/>
              </w:rPr>
              <w:t>del contrato</w:t>
            </w:r>
          </w:p>
          <w:p w14:paraId="1AC29D81" w14:textId="77777777" w:rsidR="001D0810" w:rsidRPr="00E009FE" w:rsidRDefault="001D0810" w:rsidP="00C71E99">
            <w:pPr>
              <w:snapToGrid w:val="0"/>
              <w:spacing w:before="120" w:after="120" w:line="276" w:lineRule="auto"/>
              <w:ind w:firstLine="708"/>
              <w:jc w:val="both"/>
              <w:rPr>
                <w:rFonts w:ascii="Verdana" w:eastAsia="Calibri" w:hAnsi="Verdana" w:cs="Arial"/>
                <w:lang w:val="es-ES"/>
              </w:rPr>
            </w:pPr>
            <w:r w:rsidRPr="00E009FE">
              <w:rPr>
                <w:rFonts w:ascii="Verdana" w:eastAsia="Calibri" w:hAnsi="Verdana" w:cs="Arial"/>
                <w:lang w:val="es-ES"/>
              </w:rPr>
              <w:t>En consecuencia, la recurrencia o necesidad de adiciones o pr</w:t>
            </w:r>
            <w:r>
              <w:rPr>
                <w:rFonts w:ascii="Verdana" w:eastAsia="Calibri" w:hAnsi="Verdana" w:cs="Arial"/>
                <w:lang w:val="es-ES"/>
              </w:rPr>
              <w:t>ó</w:t>
            </w:r>
            <w:r w:rsidRPr="00E009FE">
              <w:rPr>
                <w:rFonts w:ascii="Verdana" w:eastAsia="Calibri" w:hAnsi="Verdana" w:cs="Arial"/>
                <w:lang w:val="es-ES"/>
              </w:rPr>
              <w:t xml:space="preserve">rrogas durante la ejecución de contratos de obra pública puede ser un </w:t>
            </w:r>
            <w:r w:rsidRPr="00DC2E42">
              <w:rPr>
                <w:rFonts w:ascii="Verdana" w:eastAsia="Calibri" w:hAnsi="Verdana" w:cs="Arial"/>
                <w:i/>
                <w:iCs/>
                <w:lang w:val="es-ES"/>
              </w:rPr>
              <w:t>indicio</w:t>
            </w:r>
            <w:r w:rsidRPr="00E009FE">
              <w:rPr>
                <w:rFonts w:ascii="Verdana" w:eastAsia="Calibri" w:hAnsi="Verdana" w:cs="Arial"/>
                <w:lang w:val="es-ES"/>
              </w:rPr>
              <w:t xml:space="preserve"> de fallas en la planeación que obedezcan, por ejemplo, a deficiencias en los estudios y diseños, en el presupuesto o en la gestión de riesgos, entre otros aspectos que eran previsibles al momento de estructurar las condiciones del contrato. </w:t>
            </w:r>
          </w:p>
          <w:p w14:paraId="3721287E" w14:textId="77777777" w:rsidR="001D0810" w:rsidRPr="00E009FE" w:rsidRDefault="001D0810" w:rsidP="00C71E99">
            <w:pPr>
              <w:snapToGrid w:val="0"/>
              <w:spacing w:before="120" w:after="120" w:line="276" w:lineRule="auto"/>
              <w:ind w:firstLine="708"/>
              <w:jc w:val="both"/>
              <w:rPr>
                <w:rFonts w:ascii="Verdana" w:eastAsia="Calibri" w:hAnsi="Verdana" w:cs="Arial"/>
                <w:lang w:val="es-ES"/>
              </w:rPr>
            </w:pPr>
            <w:r>
              <w:rPr>
                <w:rFonts w:ascii="Verdana" w:eastAsia="Calibri" w:hAnsi="Verdana" w:cs="Arial"/>
                <w:lang w:val="es-ES"/>
              </w:rPr>
              <w:t>Como ejemplo de lo anterior, e</w:t>
            </w:r>
            <w:r w:rsidRPr="00E009FE">
              <w:rPr>
                <w:rFonts w:ascii="Verdana" w:eastAsia="Calibri" w:hAnsi="Verdana" w:cs="Arial"/>
                <w:lang w:val="es-ES"/>
              </w:rPr>
              <w:t xml:space="preserve">l Consejo de Estado ha evidenciado casos en los que la omisión </w:t>
            </w:r>
            <w:r>
              <w:rPr>
                <w:rFonts w:ascii="Verdana" w:eastAsia="Calibri" w:hAnsi="Verdana" w:cs="Arial"/>
                <w:lang w:val="es-ES"/>
              </w:rPr>
              <w:t>de</w:t>
            </w:r>
            <w:r w:rsidRPr="00E009FE">
              <w:rPr>
                <w:rFonts w:ascii="Verdana" w:eastAsia="Calibri" w:hAnsi="Verdana" w:cs="Arial"/>
                <w:lang w:val="es-ES"/>
              </w:rPr>
              <w:t xml:space="preserve"> realizar o entregar oportuna y completamente los estudios, diseños y planos completos de la obra constituye una inobservancia del deber de planeación que genera inconvenientes en la ejecución </w:t>
            </w:r>
            <w:r>
              <w:rPr>
                <w:rFonts w:ascii="Verdana" w:eastAsia="Calibri" w:hAnsi="Verdana" w:cs="Arial"/>
                <w:lang w:val="es-ES"/>
              </w:rPr>
              <w:t xml:space="preserve">que </w:t>
            </w:r>
            <w:r w:rsidRPr="00E009FE">
              <w:rPr>
                <w:rFonts w:ascii="Verdana" w:eastAsia="Calibri" w:hAnsi="Verdana" w:cs="Arial"/>
                <w:lang w:val="es-ES"/>
              </w:rPr>
              <w:t xml:space="preserve">pudieron ser previstos mediante su adecuada elaboración. En </w:t>
            </w:r>
            <w:r>
              <w:rPr>
                <w:rFonts w:ascii="Verdana" w:eastAsia="Calibri" w:hAnsi="Verdana" w:cs="Arial"/>
                <w:lang w:val="es-ES"/>
              </w:rPr>
              <w:t>unos</w:t>
            </w:r>
            <w:r w:rsidRPr="00E009FE">
              <w:rPr>
                <w:rFonts w:ascii="Verdana" w:eastAsia="Calibri" w:hAnsi="Verdana" w:cs="Arial"/>
                <w:lang w:val="es-ES"/>
              </w:rPr>
              <w:t xml:space="preserve"> supuestos</w:t>
            </w:r>
            <w:r>
              <w:rPr>
                <w:rFonts w:ascii="Verdana" w:eastAsia="Calibri" w:hAnsi="Verdana" w:cs="Arial"/>
                <w:lang w:val="es-ES"/>
              </w:rPr>
              <w:t>,</w:t>
            </w:r>
            <w:r w:rsidRPr="00E009FE">
              <w:rPr>
                <w:rFonts w:ascii="Verdana" w:eastAsia="Calibri" w:hAnsi="Verdana" w:cs="Arial"/>
                <w:lang w:val="es-ES"/>
              </w:rPr>
              <w:t xml:space="preserve"> el inicio tardío de las obras evidencia faltas en la planeación por la ausencia de estudios previos completo</w:t>
            </w:r>
            <w:r>
              <w:rPr>
                <w:rFonts w:ascii="Verdana" w:eastAsia="Calibri" w:hAnsi="Verdana" w:cs="Arial"/>
                <w:lang w:val="es-ES"/>
              </w:rPr>
              <w:t>s</w:t>
            </w:r>
            <w:r w:rsidRPr="00E009FE">
              <w:rPr>
                <w:rFonts w:ascii="Verdana" w:eastAsia="Calibri" w:hAnsi="Verdana" w:cs="Arial"/>
                <w:lang w:val="es-ES"/>
              </w:rPr>
              <w:t xml:space="preserve"> sobre</w:t>
            </w:r>
            <w:r>
              <w:rPr>
                <w:rFonts w:ascii="Verdana" w:eastAsia="Calibri" w:hAnsi="Verdana" w:cs="Arial"/>
                <w:lang w:val="es-ES"/>
              </w:rPr>
              <w:t xml:space="preserve"> </w:t>
            </w:r>
            <w:r w:rsidRPr="00E009FE">
              <w:rPr>
                <w:rFonts w:ascii="Verdana" w:eastAsia="Calibri" w:hAnsi="Verdana" w:cs="Arial"/>
                <w:lang w:val="es-ES"/>
              </w:rPr>
              <w:t>la</w:t>
            </w:r>
            <w:r>
              <w:rPr>
                <w:rFonts w:ascii="Verdana" w:eastAsia="Calibri" w:hAnsi="Verdana" w:cs="Arial"/>
                <w:lang w:val="es-ES"/>
              </w:rPr>
              <w:t xml:space="preserve"> u</w:t>
            </w:r>
            <w:r w:rsidRPr="00E009FE">
              <w:rPr>
                <w:rFonts w:ascii="Verdana" w:eastAsia="Calibri" w:hAnsi="Verdana" w:cs="Arial"/>
                <w:lang w:val="es-ES"/>
              </w:rPr>
              <w:t>bicación del objeto contractual</w:t>
            </w:r>
            <w:r>
              <w:rPr>
                <w:rFonts w:ascii="Verdana" w:eastAsia="Calibri" w:hAnsi="Verdana" w:cs="Arial"/>
                <w:lang w:val="es-ES"/>
              </w:rPr>
              <w:t>; en otros,</w:t>
            </w:r>
            <w:r w:rsidRPr="00E009FE">
              <w:rPr>
                <w:rFonts w:ascii="Verdana" w:eastAsia="Calibri" w:hAnsi="Verdana" w:cs="Arial"/>
                <w:lang w:val="es-ES"/>
              </w:rPr>
              <w:t xml:space="preserve"> la omisión de entregar l</w:t>
            </w:r>
            <w:r>
              <w:rPr>
                <w:rFonts w:ascii="Verdana" w:eastAsia="Calibri" w:hAnsi="Verdana" w:cs="Arial"/>
                <w:lang w:val="es-ES"/>
              </w:rPr>
              <w:t>a</w:t>
            </w:r>
            <w:r w:rsidRPr="00E009FE">
              <w:rPr>
                <w:rFonts w:ascii="Verdana" w:eastAsia="Calibri" w:hAnsi="Verdana" w:cs="Arial"/>
                <w:lang w:val="es-ES"/>
              </w:rPr>
              <w:t xml:space="preserve"> zona </w:t>
            </w:r>
            <w:r w:rsidRPr="00E009FE">
              <w:rPr>
                <w:rFonts w:ascii="Verdana" w:hAnsi="Verdana"/>
                <w:lang w:val="es-ES"/>
              </w:rPr>
              <w:t>la obra libre de gravámenes ocasiona retrasos al cronograma que se imputan a la entidad como resultado de un incumplimiento del deber de planeación.</w:t>
            </w:r>
          </w:p>
          <w:p w14:paraId="0E1B4052" w14:textId="77777777" w:rsidR="001D0810" w:rsidRPr="00E009FE" w:rsidRDefault="001D0810" w:rsidP="00C71E99">
            <w:pPr>
              <w:snapToGrid w:val="0"/>
              <w:spacing w:before="120" w:after="120" w:line="276" w:lineRule="auto"/>
              <w:ind w:firstLine="708"/>
              <w:jc w:val="both"/>
              <w:rPr>
                <w:rFonts w:ascii="Verdana" w:eastAsia="Calibri" w:hAnsi="Verdana" w:cs="Arial"/>
                <w:lang w:val="es-ES"/>
              </w:rPr>
            </w:pPr>
            <w:r w:rsidRPr="00E009FE">
              <w:rPr>
                <w:rFonts w:ascii="Verdana" w:eastAsia="Calibri" w:hAnsi="Verdana" w:cs="Arial"/>
                <w:lang w:val="es-ES"/>
              </w:rPr>
              <w:t xml:space="preserve">De esta manera, la contratación de una obra pública sin contar previamente con un estudio serio, completo y detallado contraría el principio </w:t>
            </w:r>
            <w:r w:rsidRPr="00E009FE">
              <w:rPr>
                <w:rFonts w:ascii="Verdana" w:eastAsia="Calibri" w:hAnsi="Verdana" w:cs="Arial"/>
                <w:lang w:val="es-ES"/>
              </w:rPr>
              <w:lastRenderedPageBreak/>
              <w:t xml:space="preserve">de planeación con sujeción al cual las entidades que forman parte de la Administración deben adelantar su actividad contractual. Sin embargo, En cualquier caso, no es posible determinar un listado exhaustivo de criterios que de manera automática permitan identificar la existencia de un nexo causal entre una indebida o deficiente planeación y determinada modificación contractual. De manera similar, tampoco es posible pronunciarse sobre la procedencia de potenciales reclamaciones que se deriven de lo anterior de manera automática. La determinación de dicha relación y los pronunciamientos sobre la responsabilidad </w:t>
            </w:r>
            <w:r>
              <w:rPr>
                <w:rFonts w:ascii="Verdana" w:eastAsia="Calibri" w:hAnsi="Verdana" w:cs="Arial"/>
                <w:lang w:val="es-ES"/>
              </w:rPr>
              <w:t xml:space="preserve">derivada </w:t>
            </w:r>
            <w:r w:rsidRPr="00E009FE">
              <w:rPr>
                <w:rFonts w:ascii="Verdana" w:eastAsia="Calibri" w:hAnsi="Verdana" w:cs="Arial"/>
                <w:lang w:val="es-ES"/>
              </w:rPr>
              <w:t>de la misma depende del análisis concreto del contenido del respectivo acuerdo, de sus antecedentes y de las condiciones particulares que se presenten frente a la conducta de las partes, labor que en todo caso compete al juez del contrato y no a esta Agencia</w:t>
            </w:r>
            <w:r>
              <w:rPr>
                <w:rFonts w:ascii="Verdana" w:eastAsia="Calibri" w:hAnsi="Verdana" w:cs="Arial"/>
                <w:lang w:val="es-ES"/>
              </w:rPr>
              <w:t>.</w:t>
            </w:r>
          </w:p>
          <w:p w14:paraId="467F3566" w14:textId="77777777" w:rsidR="001D0810" w:rsidRPr="00EC0DB7" w:rsidRDefault="001D0810" w:rsidP="00C71E99">
            <w:pPr>
              <w:snapToGrid w:val="0"/>
              <w:spacing w:before="120" w:after="120" w:line="276" w:lineRule="auto"/>
              <w:ind w:firstLine="708"/>
              <w:jc w:val="both"/>
              <w:rPr>
                <w:rFonts w:ascii="Verdana" w:hAnsi="Verdana"/>
                <w:lang w:val="es-ES"/>
              </w:rPr>
            </w:pPr>
            <w:r w:rsidRPr="00E009FE">
              <w:rPr>
                <w:rFonts w:ascii="Verdana" w:eastAsia="Calibri" w:hAnsi="Verdana" w:cs="Arial"/>
                <w:bCs/>
                <w:color w:val="000000" w:themeColor="text1"/>
                <w:lang w:val="es-ES"/>
              </w:rPr>
              <w:t>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tbl>
    <w:p w14:paraId="6ED16CBE" w14:textId="77777777" w:rsidR="001D0810" w:rsidRPr="00E009FE" w:rsidRDefault="001D0810" w:rsidP="001D0810">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345A8A3" w14:textId="77777777" w:rsidR="001D0810" w:rsidRPr="00E009FE" w:rsidRDefault="001D0810" w:rsidP="001D0810">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E009FE">
        <w:rPr>
          <w:rFonts w:ascii="Verdana" w:eastAsia="Century Gothic" w:hAnsi="Verdana" w:cs="Century Gothic"/>
          <w:b/>
          <w:color w:val="000000" w:themeColor="text1"/>
        </w:rPr>
        <w:t>Razones de la respuesta:</w:t>
      </w:r>
    </w:p>
    <w:p w14:paraId="5263598B" w14:textId="77777777" w:rsidR="001D0810" w:rsidRPr="00E009FE" w:rsidRDefault="001D0810" w:rsidP="001D0810">
      <w:pPr>
        <w:spacing w:after="0" w:line="276" w:lineRule="auto"/>
        <w:jc w:val="both"/>
        <w:rPr>
          <w:rFonts w:ascii="Verdana" w:eastAsia="Calibri" w:hAnsi="Verdana" w:cs="Arial"/>
          <w:color w:val="000000" w:themeColor="text1"/>
          <w:lang w:val="es-ES"/>
        </w:rPr>
      </w:pPr>
    </w:p>
    <w:p w14:paraId="486F0BBA" w14:textId="77777777" w:rsidR="001D0810" w:rsidRPr="00E009FE" w:rsidRDefault="001D0810" w:rsidP="001D0810">
      <w:pPr>
        <w:spacing w:after="0" w:line="276" w:lineRule="auto"/>
        <w:jc w:val="both"/>
        <w:rPr>
          <w:rFonts w:ascii="Verdana" w:eastAsia="Calibri" w:hAnsi="Verdana" w:cs="Arial"/>
          <w:lang w:val="es-ES"/>
        </w:rPr>
      </w:pPr>
      <w:bookmarkStart w:id="1" w:name="_Hlk102983874"/>
      <w:bookmarkStart w:id="2" w:name="_Hlk102388095"/>
      <w:r w:rsidRPr="00E009FE">
        <w:rPr>
          <w:rFonts w:ascii="Verdana" w:eastAsia="Calibri" w:hAnsi="Verdana" w:cs="Arial"/>
          <w:lang w:val="es-ES"/>
        </w:rPr>
        <w:t>Lo anterior se sustenta en las siguientes consideraciones:</w:t>
      </w:r>
    </w:p>
    <w:p w14:paraId="6721BD6D" w14:textId="77777777" w:rsidR="001D0810" w:rsidRPr="00E009FE" w:rsidRDefault="001D0810" w:rsidP="001D0810">
      <w:pPr>
        <w:spacing w:after="0" w:line="276" w:lineRule="auto"/>
        <w:jc w:val="both"/>
        <w:rPr>
          <w:rFonts w:ascii="Verdana" w:eastAsia="Calibri" w:hAnsi="Verdana" w:cs="Arial"/>
          <w:lang w:val="es-ES"/>
        </w:rPr>
      </w:pPr>
    </w:p>
    <w:p w14:paraId="146CFD28" w14:textId="77777777" w:rsidR="001D0810" w:rsidRDefault="001D0810" w:rsidP="001D0810">
      <w:pPr>
        <w:snapToGrid w:val="0"/>
        <w:spacing w:before="120" w:after="120" w:line="276" w:lineRule="auto"/>
        <w:jc w:val="both"/>
        <w:rPr>
          <w:rFonts w:ascii="Verdana" w:eastAsia="Calibri" w:hAnsi="Verdana" w:cs="Arial"/>
          <w:bCs/>
          <w:lang w:val="es-ES" w:eastAsia="es-MX"/>
        </w:rPr>
      </w:pPr>
      <w:r w:rsidRPr="00547545">
        <w:rPr>
          <w:rFonts w:ascii="Verdana" w:eastAsia="Calibri" w:hAnsi="Verdana" w:cs="Arial"/>
          <w:b/>
          <w:bCs/>
          <w:lang w:val="es-ES"/>
        </w:rPr>
        <w:t>i)</w:t>
      </w:r>
      <w:bookmarkStart w:id="3" w:name="_Hlk54011258"/>
      <w:r w:rsidRPr="00E009FE">
        <w:rPr>
          <w:rFonts w:ascii="Verdana" w:eastAsia="Calibri" w:hAnsi="Verdana" w:cs="Arial"/>
          <w:bCs/>
          <w:lang w:val="es-ES" w:eastAsia="es-MX"/>
        </w:rPr>
        <w:t xml:space="preserve"> 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w:t>
      </w:r>
      <w:r w:rsidRPr="00E009FE">
        <w:rPr>
          <w:rFonts w:ascii="Verdana" w:eastAsia="Calibri" w:hAnsi="Verdana" w:cs="Arial"/>
          <w:bCs/>
          <w:lang w:val="es-ES" w:eastAsia="es-MX"/>
        </w:rPr>
        <w:lastRenderedPageBreak/>
        <w:t>los intereses y fines públicos inmersos en la contratación de las Entidades Estatales</w:t>
      </w:r>
      <w:bookmarkEnd w:id="3"/>
      <w:r w:rsidRPr="00E009FE">
        <w:rPr>
          <w:rFonts w:ascii="Verdana" w:eastAsia="Calibri" w:hAnsi="Verdana" w:cs="Arial"/>
          <w:bCs/>
          <w:lang w:val="es-ES" w:eastAsia="es-MX"/>
        </w:rPr>
        <w:t>.</w:t>
      </w:r>
    </w:p>
    <w:p w14:paraId="343892FE" w14:textId="77777777" w:rsidR="001D0810" w:rsidRPr="00547545" w:rsidRDefault="001D0810" w:rsidP="001D0810">
      <w:pPr>
        <w:snapToGrid w:val="0"/>
        <w:spacing w:before="120" w:after="120" w:line="276" w:lineRule="auto"/>
        <w:ind w:firstLine="709"/>
        <w:jc w:val="both"/>
        <w:rPr>
          <w:rFonts w:ascii="Verdana" w:eastAsia="Calibri" w:hAnsi="Verdana" w:cs="Arial"/>
          <w:bCs/>
          <w:lang w:val="es-ES" w:eastAsia="es-MX"/>
        </w:rPr>
      </w:pPr>
      <w:r w:rsidRPr="00E009FE">
        <w:rPr>
          <w:rFonts w:ascii="Verdana" w:eastAsia="Calibri" w:hAnsi="Verdana" w:cs="Arial"/>
          <w:bCs/>
          <w:lang w:val="es-ES" w:eastAsia="es-ES_tradnl"/>
        </w:rPr>
        <w:t>El Estatuto General de Contratación de la Administración Pública –</w:t>
      </w:r>
      <w:r>
        <w:rPr>
          <w:rFonts w:ascii="Verdana" w:eastAsia="Calibri" w:hAnsi="Verdana" w:cs="Arial"/>
          <w:bCs/>
          <w:lang w:val="es-ES" w:eastAsia="es-ES_tradnl"/>
        </w:rPr>
        <w:t xml:space="preserve">en adelante </w:t>
      </w:r>
      <w:r w:rsidRPr="00E009FE">
        <w:rPr>
          <w:rFonts w:ascii="Verdana" w:eastAsia="Calibri" w:hAnsi="Verdana" w:cs="Arial"/>
          <w:bCs/>
          <w:lang w:val="es-ES" w:eastAsia="es-ES_tradnl"/>
        </w:rPr>
        <w:t xml:space="preserve">EGCAP– contiene disposiciones que exigen a las Entidades Estatales el deber de realizar </w:t>
      </w:r>
      <w:r>
        <w:rPr>
          <w:rFonts w:ascii="Verdana" w:eastAsia="Calibri" w:hAnsi="Verdana" w:cs="Arial"/>
          <w:bCs/>
          <w:lang w:val="es-ES" w:eastAsia="es-ES_tradnl"/>
        </w:rPr>
        <w:t xml:space="preserve">una </w:t>
      </w:r>
      <w:r w:rsidRPr="00E009FE">
        <w:rPr>
          <w:rFonts w:ascii="Verdana" w:eastAsia="Calibri" w:hAnsi="Verdana" w:cs="Arial"/>
          <w:bCs/>
          <w:lang w:val="es-ES" w:eastAsia="es-ES_tradnl"/>
        </w:rPr>
        <w:t xml:space="preserve">planeación </w:t>
      </w:r>
      <w:r>
        <w:rPr>
          <w:rFonts w:ascii="Verdana" w:eastAsia="Calibri" w:hAnsi="Verdana" w:cs="Arial"/>
          <w:bCs/>
          <w:lang w:val="es-ES" w:eastAsia="es-ES_tradnl"/>
        </w:rPr>
        <w:t xml:space="preserve">adecuada </w:t>
      </w:r>
      <w:r w:rsidRPr="00E009FE">
        <w:rPr>
          <w:rFonts w:ascii="Verdana" w:eastAsia="Calibri" w:hAnsi="Verdana" w:cs="Arial"/>
          <w:bCs/>
          <w:lang w:val="es-ES" w:eastAsia="es-ES_tradnl"/>
        </w:rPr>
        <w:t xml:space="preserve">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796BDB3C" w14:textId="77777777" w:rsidR="001D0810" w:rsidRPr="00E009FE" w:rsidRDefault="001D0810" w:rsidP="001D0810">
      <w:pPr>
        <w:spacing w:after="0" w:line="276" w:lineRule="auto"/>
        <w:ind w:firstLine="709"/>
        <w:jc w:val="both"/>
        <w:rPr>
          <w:rFonts w:ascii="Verdana" w:eastAsia="Calibri" w:hAnsi="Verdana" w:cs="Arial"/>
          <w:bCs/>
          <w:lang w:val="es-ES" w:eastAsia="es-ES_tradnl"/>
        </w:rPr>
      </w:pPr>
    </w:p>
    <w:p w14:paraId="39C67925" w14:textId="77777777" w:rsidR="001D0810" w:rsidRPr="00E009FE" w:rsidRDefault="001D0810" w:rsidP="001D0810">
      <w:pPr>
        <w:spacing w:after="0" w:line="240" w:lineRule="auto"/>
        <w:ind w:left="709" w:right="709"/>
        <w:contextualSpacing/>
        <w:jc w:val="both"/>
        <w:rPr>
          <w:rFonts w:ascii="Verdana" w:eastAsia="Calibri" w:hAnsi="Verdana" w:cs="Arial"/>
          <w:sz w:val="20"/>
          <w:szCs w:val="20"/>
          <w:lang w:val="es-ES" w:eastAsia="es-ES_tradnl"/>
        </w:rPr>
      </w:pPr>
      <w:r w:rsidRPr="00E009FE">
        <w:rPr>
          <w:rFonts w:ascii="Verdana" w:eastAsia="Calibri" w:hAnsi="Verdana" w:cs="Arial"/>
          <w:sz w:val="20"/>
          <w:szCs w:val="20"/>
          <w:lang w:val="es-ES" w:eastAsia="es-ES_tradnl"/>
        </w:rPr>
        <w:t>“7o. La conveniencia o inconveniencia del objeto a contratar y las autorizaciones y aprobaciones para ello, se analizarán o impartirán con antelación al inicio del proceso de selección del contratista o al de la firma del contrato, según el caso.</w:t>
      </w:r>
    </w:p>
    <w:p w14:paraId="0E224D19" w14:textId="77777777" w:rsidR="001D0810" w:rsidRPr="00E009FE" w:rsidRDefault="001D0810" w:rsidP="001D0810">
      <w:pPr>
        <w:spacing w:after="0" w:line="240" w:lineRule="auto"/>
        <w:ind w:left="709" w:right="709"/>
        <w:contextualSpacing/>
        <w:jc w:val="both"/>
        <w:rPr>
          <w:rFonts w:ascii="Verdana" w:eastAsia="Calibri" w:hAnsi="Verdana" w:cs="Arial"/>
          <w:sz w:val="20"/>
          <w:szCs w:val="20"/>
          <w:lang w:val="es-ES" w:eastAsia="es-ES_tradnl"/>
        </w:rPr>
      </w:pPr>
    </w:p>
    <w:p w14:paraId="54F46497" w14:textId="77777777" w:rsidR="001D0810" w:rsidRPr="00E009FE" w:rsidRDefault="001D0810" w:rsidP="001D0810">
      <w:pPr>
        <w:spacing w:after="0" w:line="240" w:lineRule="auto"/>
        <w:ind w:left="709" w:right="709"/>
        <w:contextualSpacing/>
        <w:jc w:val="both"/>
        <w:rPr>
          <w:rFonts w:ascii="Verdana" w:eastAsia="Calibri" w:hAnsi="Verdana" w:cs="Arial"/>
          <w:sz w:val="20"/>
          <w:szCs w:val="20"/>
          <w:lang w:val="es-ES" w:eastAsia="es-ES_tradnl"/>
        </w:rPr>
      </w:pPr>
      <w:r w:rsidRPr="00E009FE">
        <w:rPr>
          <w:rFonts w:ascii="Verdana" w:eastAsia="Calibri" w:hAnsi="Verdana" w:cs="Arial"/>
          <w:sz w:val="20"/>
          <w:szCs w:val="20"/>
          <w:lang w:val="es-ES" w:eastAsia="es-ES_tradnl"/>
        </w:rPr>
        <w:t>[…]</w:t>
      </w:r>
    </w:p>
    <w:p w14:paraId="3EC3CAA6" w14:textId="77777777" w:rsidR="001D0810" w:rsidRPr="00E009FE" w:rsidRDefault="001D0810" w:rsidP="001D0810">
      <w:pPr>
        <w:spacing w:after="0" w:line="240" w:lineRule="auto"/>
        <w:ind w:left="709" w:right="709"/>
        <w:contextualSpacing/>
        <w:jc w:val="both"/>
        <w:rPr>
          <w:rFonts w:ascii="Verdana" w:eastAsia="Calibri" w:hAnsi="Verdana" w:cs="Arial"/>
          <w:sz w:val="20"/>
          <w:szCs w:val="20"/>
          <w:lang w:val="es-ES" w:eastAsia="es-ES_tradnl"/>
        </w:rPr>
      </w:pPr>
    </w:p>
    <w:p w14:paraId="78421B51" w14:textId="77777777" w:rsidR="001D0810" w:rsidRPr="00E009FE" w:rsidRDefault="001D0810" w:rsidP="001D0810">
      <w:pPr>
        <w:spacing w:after="0" w:line="240" w:lineRule="auto"/>
        <w:ind w:left="709" w:right="709"/>
        <w:contextualSpacing/>
        <w:jc w:val="both"/>
        <w:rPr>
          <w:rFonts w:ascii="Verdana" w:eastAsia="Calibri" w:hAnsi="Verdana" w:cs="Arial"/>
          <w:sz w:val="20"/>
          <w:szCs w:val="20"/>
          <w:lang w:val="es-ES" w:eastAsia="es-ES_tradnl"/>
        </w:rPr>
      </w:pPr>
      <w:r w:rsidRPr="00E009FE">
        <w:rPr>
          <w:rFonts w:ascii="Verdana" w:eastAsia="Calibri" w:hAnsi="Verdana" w:cs="Arial"/>
          <w:sz w:val="20"/>
          <w:szCs w:val="20"/>
          <w:lang w:val="es-ES" w:eastAsia="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1B1EEA8A" w14:textId="77777777" w:rsidR="001D0810" w:rsidRPr="00E009FE" w:rsidRDefault="001D0810" w:rsidP="001D0810">
      <w:pPr>
        <w:spacing w:after="0" w:line="240" w:lineRule="auto"/>
        <w:ind w:left="709" w:right="709"/>
        <w:contextualSpacing/>
        <w:jc w:val="both"/>
        <w:rPr>
          <w:rFonts w:ascii="Verdana" w:eastAsia="Calibri" w:hAnsi="Verdana" w:cs="Arial"/>
          <w:sz w:val="20"/>
          <w:szCs w:val="20"/>
          <w:lang w:val="es-ES" w:eastAsia="es-ES_tradnl"/>
        </w:rPr>
      </w:pPr>
    </w:p>
    <w:p w14:paraId="0C186A35" w14:textId="77777777" w:rsidR="001D0810" w:rsidRPr="00E009FE" w:rsidRDefault="001D0810" w:rsidP="001D0810">
      <w:pPr>
        <w:spacing w:after="0" w:line="240" w:lineRule="auto"/>
        <w:ind w:left="709" w:right="709"/>
        <w:contextualSpacing/>
        <w:jc w:val="both"/>
        <w:rPr>
          <w:rFonts w:ascii="Verdana" w:eastAsia="Calibri" w:hAnsi="Verdana" w:cs="Arial"/>
          <w:sz w:val="20"/>
          <w:szCs w:val="20"/>
          <w:lang w:val="es-ES" w:eastAsia="es-ES_tradnl"/>
        </w:rPr>
      </w:pPr>
      <w:r w:rsidRPr="00E009FE">
        <w:rPr>
          <w:rFonts w:ascii="Verdana" w:eastAsia="Calibri" w:hAnsi="Verdana" w:cs="Arial"/>
          <w:sz w:val="20"/>
          <w:szCs w:val="20"/>
          <w:lang w:val="es-ES" w:eastAsia="es-ES_tradnl"/>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1FAF1DF7" w14:textId="77777777" w:rsidR="001D0810" w:rsidRPr="00E009FE" w:rsidRDefault="001D0810" w:rsidP="001D0810">
      <w:pPr>
        <w:spacing w:after="0" w:line="240" w:lineRule="auto"/>
        <w:ind w:left="709" w:right="709"/>
        <w:contextualSpacing/>
        <w:jc w:val="both"/>
        <w:rPr>
          <w:rFonts w:ascii="Verdana" w:eastAsia="Calibri" w:hAnsi="Verdana" w:cs="Arial"/>
          <w:sz w:val="20"/>
          <w:szCs w:val="20"/>
          <w:lang w:val="es-ES" w:eastAsia="es-ES_tradnl"/>
        </w:rPr>
      </w:pPr>
    </w:p>
    <w:p w14:paraId="1C1D54BD"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r w:rsidRPr="00E009FE">
        <w:rPr>
          <w:rFonts w:ascii="Verdana" w:eastAsia="Times New Roman" w:hAnsi="Verdana" w:cs="Arial"/>
          <w:sz w:val="20"/>
          <w:szCs w:val="20"/>
          <w:lang w:val="es-ES" w:eastAsia="es-MX"/>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2C489F7E"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p>
    <w:p w14:paraId="791B6D87"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r w:rsidRPr="00E009FE">
        <w:rPr>
          <w:rFonts w:ascii="Verdana" w:eastAsia="Times New Roman" w:hAnsi="Verdana" w:cs="Arial"/>
          <w:sz w:val="20"/>
          <w:szCs w:val="20"/>
          <w:lang w:val="es-ES" w:eastAsia="es-MX"/>
        </w:rPr>
        <w:t xml:space="preserve">14. Las entidades incluirán en sus presupuestos anuales una apropiación global destinada a cubrir los costos imprevistos ocasionados por los retardos en los pagos, así como los que se originen en la revisión de los </w:t>
      </w:r>
      <w:r w:rsidRPr="00E009FE">
        <w:rPr>
          <w:rFonts w:ascii="Verdana" w:eastAsia="Times New Roman" w:hAnsi="Verdana" w:cs="Arial"/>
          <w:sz w:val="20"/>
          <w:szCs w:val="20"/>
          <w:lang w:val="es-ES" w:eastAsia="es-MX"/>
        </w:rPr>
        <w:lastRenderedPageBreak/>
        <w:t>precios pactados por razón de los cambios o alteraciones en las condiciones iniciales de los contratos por ellas celebrados […]”.</w:t>
      </w:r>
    </w:p>
    <w:p w14:paraId="2C45BC32" w14:textId="77777777" w:rsidR="001D0810" w:rsidRPr="00E009FE" w:rsidRDefault="001D0810" w:rsidP="001D0810">
      <w:pPr>
        <w:spacing w:after="0" w:line="276" w:lineRule="auto"/>
        <w:jc w:val="both"/>
        <w:rPr>
          <w:rFonts w:ascii="Verdana" w:eastAsia="Times New Roman" w:hAnsi="Verdana" w:cs="Arial"/>
          <w:lang w:val="es-ES" w:eastAsia="es-MX"/>
        </w:rPr>
      </w:pPr>
    </w:p>
    <w:p w14:paraId="0A51903A" w14:textId="77777777" w:rsidR="001D0810" w:rsidRPr="00E009FE" w:rsidRDefault="001D0810" w:rsidP="001D0810">
      <w:pPr>
        <w:spacing w:after="120" w:line="276" w:lineRule="auto"/>
        <w:ind w:firstLine="709"/>
        <w:jc w:val="both"/>
        <w:rPr>
          <w:rFonts w:ascii="Verdana" w:eastAsia="Times New Roman" w:hAnsi="Verdana" w:cs="Arial"/>
          <w:lang w:val="es-ES" w:eastAsia="es-MX"/>
        </w:rPr>
      </w:pPr>
      <w:r w:rsidRPr="00E009FE">
        <w:rPr>
          <w:rFonts w:ascii="Verdana" w:eastAsia="Times New Roman" w:hAnsi="Verdana" w:cs="Arial"/>
          <w:lang w:val="es-ES" w:eastAsia="es-MX"/>
        </w:rPr>
        <w:t>Lo anterior</w:t>
      </w:r>
      <w:r>
        <w:rPr>
          <w:rFonts w:ascii="Verdana" w:eastAsia="Times New Roman" w:hAnsi="Verdana" w:cs="Arial"/>
          <w:lang w:val="es-ES" w:eastAsia="es-MX"/>
        </w:rPr>
        <w:t xml:space="preserve"> </w:t>
      </w:r>
      <w:r w:rsidRPr="00E009FE">
        <w:rPr>
          <w:rFonts w:ascii="Verdana" w:eastAsia="Times New Roman" w:hAnsi="Verdana" w:cs="Arial"/>
          <w:lang w:val="es-ES" w:eastAsia="es-MX"/>
        </w:rPr>
        <w:t>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E009FE">
        <w:rPr>
          <w:rFonts w:ascii="Geomanist Light" w:hAnsi="Geomanist Light"/>
          <w:vertAlign w:val="superscript"/>
          <w:lang w:val="es-ES" w:eastAsia="es-MX"/>
        </w:rPr>
        <w:footnoteReference w:id="3"/>
      </w:r>
      <w:r w:rsidRPr="00E009FE">
        <w:rPr>
          <w:rFonts w:ascii="Verdana" w:eastAsia="Times New Roman" w:hAnsi="Verdana" w:cs="Arial"/>
          <w:lang w:val="es-ES" w:eastAsia="es-MX"/>
        </w:rPr>
        <w:t xml:space="preserve">. </w:t>
      </w:r>
    </w:p>
    <w:p w14:paraId="7616AE2D" w14:textId="77777777" w:rsidR="001D0810" w:rsidRPr="00E009FE" w:rsidRDefault="001D0810" w:rsidP="001D0810">
      <w:pPr>
        <w:spacing w:after="0" w:line="276" w:lineRule="auto"/>
        <w:ind w:firstLine="708"/>
        <w:contextualSpacing/>
        <w:jc w:val="both"/>
        <w:rPr>
          <w:rFonts w:ascii="Verdana" w:eastAsia="Times New Roman" w:hAnsi="Verdana" w:cs="Arial"/>
          <w:lang w:val="es-ES" w:eastAsia="es-MX"/>
        </w:rPr>
      </w:pPr>
      <w:r w:rsidRPr="00E009FE">
        <w:rPr>
          <w:rFonts w:ascii="Verdana" w:eastAsia="Times New Roman" w:hAnsi="Verdana" w:cs="Arial"/>
          <w:lang w:val="es-ES" w:eastAsia="es-MX"/>
        </w:rPr>
        <w:t>En congruencia con el artículo 25 de la Ley 80 de 1993, el artículo 2.2.1.1.2.1.1</w:t>
      </w:r>
      <w:r>
        <w:rPr>
          <w:rFonts w:ascii="Verdana" w:eastAsia="Times New Roman" w:hAnsi="Verdana" w:cs="Arial"/>
          <w:lang w:val="es-ES" w:eastAsia="es-MX"/>
        </w:rPr>
        <w:t xml:space="preserve"> del </w:t>
      </w:r>
      <w:r w:rsidRPr="00E009FE">
        <w:rPr>
          <w:rFonts w:ascii="Verdana" w:eastAsia="Times New Roman" w:hAnsi="Verdana" w:cs="Arial"/>
          <w:lang w:val="es-ES" w:eastAsia="es-MX"/>
        </w:rPr>
        <w:t>Decreto 1082 de 2015</w:t>
      </w:r>
      <w:r>
        <w:rPr>
          <w:rFonts w:ascii="Verdana" w:eastAsia="Times New Roman" w:hAnsi="Verdana" w:cs="Arial"/>
          <w:lang w:val="es-ES" w:eastAsia="es-MX"/>
        </w:rPr>
        <w:t xml:space="preserve"> </w:t>
      </w:r>
      <w:r w:rsidRPr="00E009FE">
        <w:rPr>
          <w:rFonts w:ascii="Verdana" w:eastAsia="Times New Roman" w:hAnsi="Verdana" w:cs="Arial"/>
          <w:lang w:val="es-ES" w:eastAsia="es-MX"/>
        </w:rPr>
        <w:t>dispone el contenido mínimo de los estudios y documentos previos:</w:t>
      </w:r>
    </w:p>
    <w:p w14:paraId="5F24DB86" w14:textId="77777777" w:rsidR="001D0810" w:rsidRPr="00E009FE" w:rsidRDefault="001D0810" w:rsidP="001D0810">
      <w:pPr>
        <w:spacing w:after="0" w:line="276" w:lineRule="auto"/>
        <w:rPr>
          <w:rFonts w:ascii="Verdana" w:eastAsia="Times New Roman" w:hAnsi="Verdana" w:cs="Arial"/>
          <w:lang w:val="es-ES" w:eastAsia="es-CO"/>
        </w:rPr>
      </w:pPr>
    </w:p>
    <w:p w14:paraId="2406822B"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r w:rsidRPr="00E009FE">
        <w:rPr>
          <w:rFonts w:ascii="Verdana" w:eastAsia="Times New Roman" w:hAnsi="Verdana" w:cs="Arial"/>
          <w:sz w:val="20"/>
          <w:szCs w:val="20"/>
          <w:lang w:val="es-ES" w:eastAsia="es-MX"/>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28BC60F9"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p>
    <w:p w14:paraId="5DE0F085"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r w:rsidRPr="00E009FE">
        <w:rPr>
          <w:rFonts w:ascii="Verdana" w:eastAsia="Times New Roman" w:hAnsi="Verdana" w:cs="Arial"/>
          <w:sz w:val="20"/>
          <w:szCs w:val="20"/>
          <w:lang w:val="es-ES" w:eastAsia="es-MX"/>
        </w:rPr>
        <w:t xml:space="preserve">1. La descripción de la necesidad que la Entidad Estatal pretende satisfacer con el Proceso de Contratación. </w:t>
      </w:r>
      <w:r w:rsidRPr="00E009FE">
        <w:rPr>
          <w:rFonts w:ascii="Arial" w:eastAsia="Times New Roman" w:hAnsi="Arial" w:cs="Arial"/>
          <w:sz w:val="20"/>
          <w:szCs w:val="20"/>
          <w:lang w:val="es-ES" w:eastAsia="es-MX"/>
        </w:rPr>
        <w:t>​</w:t>
      </w:r>
    </w:p>
    <w:p w14:paraId="197803C6"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p>
    <w:p w14:paraId="2C357429"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r w:rsidRPr="00E009FE">
        <w:rPr>
          <w:rFonts w:ascii="Verdana" w:eastAsia="Times New Roman" w:hAnsi="Verdana" w:cs="Arial"/>
          <w:sz w:val="20"/>
          <w:szCs w:val="20"/>
          <w:lang w:val="es-ES"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14:paraId="19B60956"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p>
    <w:p w14:paraId="7790E3CF"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r w:rsidRPr="00E009FE">
        <w:rPr>
          <w:rFonts w:ascii="Verdana" w:eastAsia="Times New Roman" w:hAnsi="Verdana" w:cs="Arial"/>
          <w:sz w:val="20"/>
          <w:szCs w:val="20"/>
          <w:lang w:val="es-ES" w:eastAsia="es-MX"/>
        </w:rPr>
        <w:t xml:space="preserve">3. La modalidad de selección del contratista y su justificación, incluyendo los fundamentos jurídicos. </w:t>
      </w:r>
    </w:p>
    <w:p w14:paraId="0C80658D"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p>
    <w:p w14:paraId="34C494AF"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r w:rsidRPr="00E009FE">
        <w:rPr>
          <w:rFonts w:ascii="Verdana" w:eastAsia="Times New Roman" w:hAnsi="Verdana" w:cs="Arial"/>
          <w:sz w:val="20"/>
          <w:szCs w:val="20"/>
          <w:lang w:val="es-ES" w:eastAsia="es-MX"/>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w:t>
      </w:r>
      <w:r w:rsidRPr="00E009FE">
        <w:rPr>
          <w:rFonts w:ascii="Verdana" w:eastAsia="Times New Roman" w:hAnsi="Verdana" w:cs="Arial"/>
          <w:sz w:val="20"/>
          <w:szCs w:val="20"/>
          <w:lang w:val="es-ES" w:eastAsia="es-MX"/>
        </w:rPr>
        <w:lastRenderedPageBreak/>
        <w:t xml:space="preserve">concesión, la Entidad Estatal no debe publicar el modelo financiero utilizado en su estructuración. </w:t>
      </w:r>
    </w:p>
    <w:p w14:paraId="7488DBD5"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p>
    <w:p w14:paraId="4166678D"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r w:rsidRPr="00E009FE">
        <w:rPr>
          <w:rFonts w:ascii="Verdana" w:eastAsia="Times New Roman" w:hAnsi="Verdana" w:cs="Arial"/>
          <w:sz w:val="20"/>
          <w:szCs w:val="20"/>
          <w:lang w:val="es-ES" w:eastAsia="es-MX"/>
        </w:rPr>
        <w:t xml:space="preserve">5. Los criterios para seleccionar la oferta más favorable. </w:t>
      </w:r>
    </w:p>
    <w:p w14:paraId="109F58BA"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p>
    <w:p w14:paraId="4C1B9C81"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r w:rsidRPr="00E009FE">
        <w:rPr>
          <w:rFonts w:ascii="Verdana" w:eastAsia="Times New Roman" w:hAnsi="Verdana" w:cs="Arial"/>
          <w:sz w:val="20"/>
          <w:szCs w:val="20"/>
          <w:lang w:val="es-ES" w:eastAsia="es-MX"/>
        </w:rPr>
        <w:t xml:space="preserve">6. El análisis de Riesgo y la forma de mitigarlo. </w:t>
      </w:r>
    </w:p>
    <w:p w14:paraId="5A4FDEE6"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p>
    <w:p w14:paraId="4526F5D2"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r w:rsidRPr="00E009FE">
        <w:rPr>
          <w:rFonts w:ascii="Verdana" w:eastAsia="Times New Roman" w:hAnsi="Verdana" w:cs="Arial"/>
          <w:sz w:val="20"/>
          <w:szCs w:val="20"/>
          <w:lang w:val="es-ES" w:eastAsia="es-MX"/>
        </w:rPr>
        <w:t xml:space="preserve">7. Las garantías que la Entidad Estatal contempla exigir en el proceso de contratación. </w:t>
      </w:r>
    </w:p>
    <w:p w14:paraId="02B15215"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p>
    <w:p w14:paraId="67A6AC78"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r w:rsidRPr="00E009FE">
        <w:rPr>
          <w:rFonts w:ascii="Verdana" w:eastAsia="Times New Roman" w:hAnsi="Verdana" w:cs="Arial"/>
          <w:sz w:val="20"/>
          <w:szCs w:val="20"/>
          <w:lang w:val="es-ES" w:eastAsia="es-MX"/>
        </w:rPr>
        <w:t xml:space="preserve">8. La indicación de si el proceso de contratación está cobijado por un acuerdo comercial. </w:t>
      </w:r>
    </w:p>
    <w:p w14:paraId="00336452"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p>
    <w:p w14:paraId="4E9C5769" w14:textId="77777777" w:rsidR="001D0810" w:rsidRPr="00E009FE" w:rsidRDefault="001D0810" w:rsidP="001D0810">
      <w:pPr>
        <w:spacing w:after="0" w:line="240" w:lineRule="auto"/>
        <w:ind w:left="709" w:right="709"/>
        <w:contextualSpacing/>
        <w:jc w:val="both"/>
        <w:rPr>
          <w:rFonts w:ascii="Verdana" w:eastAsia="Times New Roman" w:hAnsi="Verdana" w:cs="Arial"/>
          <w:sz w:val="20"/>
          <w:szCs w:val="20"/>
          <w:lang w:val="es-ES" w:eastAsia="es-MX"/>
        </w:rPr>
      </w:pPr>
      <w:r w:rsidRPr="00E009FE">
        <w:rPr>
          <w:rFonts w:ascii="Verdana" w:eastAsia="Times New Roman" w:hAnsi="Verdana" w:cs="Arial"/>
          <w:sz w:val="20"/>
          <w:szCs w:val="20"/>
          <w:lang w:val="es-ES" w:eastAsia="es-MX"/>
        </w:rPr>
        <w:t>El presente artículo no es aplicable a la contratación por mínima cuantía”.</w:t>
      </w:r>
    </w:p>
    <w:p w14:paraId="5ED224C5" w14:textId="77777777" w:rsidR="001D0810" w:rsidRPr="00E009FE" w:rsidRDefault="001D0810" w:rsidP="001D0810">
      <w:pPr>
        <w:widowControl w:val="0"/>
        <w:tabs>
          <w:tab w:val="left" w:pos="1305"/>
        </w:tabs>
        <w:autoSpaceDE w:val="0"/>
        <w:autoSpaceDN w:val="0"/>
        <w:spacing w:after="0" w:line="276" w:lineRule="auto"/>
        <w:ind w:left="828" w:right="822"/>
        <w:rPr>
          <w:rFonts w:ascii="Verdana" w:eastAsia="Calibri" w:hAnsi="Verdana" w:cs="Arial"/>
          <w:lang w:val="es-ES" w:eastAsia="es-ES_tradnl"/>
        </w:rPr>
      </w:pPr>
    </w:p>
    <w:p w14:paraId="3ED988AF" w14:textId="77777777" w:rsidR="001D0810" w:rsidRDefault="001D0810" w:rsidP="001D0810">
      <w:pPr>
        <w:snapToGrid w:val="0"/>
        <w:spacing w:before="120" w:after="120" w:line="276" w:lineRule="auto"/>
        <w:ind w:firstLine="709"/>
        <w:jc w:val="both"/>
        <w:rPr>
          <w:rFonts w:ascii="Verdana" w:eastAsia="Times New Roman" w:hAnsi="Verdana" w:cs="Arial"/>
          <w:lang w:val="es-ES" w:eastAsia="es-MX"/>
        </w:rPr>
      </w:pPr>
      <w:bookmarkStart w:id="4" w:name="_Hlk54011351"/>
      <w:r w:rsidRPr="00E009FE">
        <w:rPr>
          <w:rFonts w:ascii="Verdana" w:eastAsia="Times New Roman" w:hAnsi="Verdana" w:cs="Arial"/>
          <w:lang w:val="es-ES" w:eastAsia="es-MX"/>
        </w:rPr>
        <w:t xml:space="preserve">De esta manera, antes de iniciar un procedimiento de selección, la Entidad Estatal podrá determinar con los estudios previos: i) la verdadera necesidad de la celebración del contrato; </w:t>
      </w:r>
      <w:proofErr w:type="spellStart"/>
      <w:r w:rsidRPr="00E009FE">
        <w:rPr>
          <w:rFonts w:ascii="Verdana" w:eastAsia="Times New Roman" w:hAnsi="Verdana" w:cs="Arial"/>
          <w:lang w:val="es-ES" w:eastAsia="es-MX"/>
        </w:rPr>
        <w:t>ii</w:t>
      </w:r>
      <w:proofErr w:type="spellEnd"/>
      <w:r w:rsidRPr="00E009FE">
        <w:rPr>
          <w:rFonts w:ascii="Verdana" w:eastAsia="Times New Roman" w:hAnsi="Verdana" w:cs="Arial"/>
          <w:lang w:val="es-ES" w:eastAsia="es-MX"/>
        </w:rPr>
        <w:t xml:space="preserve">) las modalidades existentes para satisfacer esa necesidad y las razones que justifiquen la modalidad o tipo contractual que se escoja; </w:t>
      </w:r>
      <w:proofErr w:type="spellStart"/>
      <w:r w:rsidRPr="00E009FE">
        <w:rPr>
          <w:rFonts w:ascii="Verdana" w:eastAsia="Times New Roman" w:hAnsi="Verdana" w:cs="Arial"/>
          <w:lang w:val="es-ES" w:eastAsia="es-MX"/>
        </w:rPr>
        <w:t>iii</w:t>
      </w:r>
      <w:proofErr w:type="spellEnd"/>
      <w:r w:rsidRPr="00E009FE">
        <w:rPr>
          <w:rFonts w:ascii="Verdana" w:eastAsia="Times New Roman" w:hAnsi="Verdana" w:cs="Arial"/>
          <w:lang w:val="es-ES" w:eastAsia="es-MX"/>
        </w:rPr>
        <w:t xml:space="preserve">) las calidades, especificaciones, cantidades y demás características que puedan o deban reunir los bienes, las obras o los servicios cuya contratación se haya determinado necesaria, </w:t>
      </w:r>
      <w:proofErr w:type="spellStart"/>
      <w:r w:rsidRPr="00E009FE">
        <w:rPr>
          <w:rFonts w:ascii="Verdana" w:eastAsia="Times New Roman" w:hAnsi="Verdana" w:cs="Arial"/>
          <w:lang w:val="es-ES" w:eastAsia="es-MX"/>
        </w:rPr>
        <w:t>iv</w:t>
      </w:r>
      <w:proofErr w:type="spellEnd"/>
      <w:r w:rsidRPr="00E009FE">
        <w:rPr>
          <w:rFonts w:ascii="Verdana" w:eastAsia="Times New Roman" w:hAnsi="Verdana" w:cs="Arial"/>
          <w:lang w:val="es-ES" w:eastAsia="es-MX"/>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E009FE">
        <w:rPr>
          <w:rFonts w:ascii="Verdana" w:eastAsia="Times New Roman" w:hAnsi="Verdana" w:cs="Arial"/>
          <w:lang w:val="es-ES" w:eastAsia="es-MX"/>
        </w:rPr>
        <w:t>vii</w:t>
      </w:r>
      <w:proofErr w:type="spellEnd"/>
      <w:r w:rsidRPr="00E009FE">
        <w:rPr>
          <w:rFonts w:ascii="Verdana" w:eastAsia="Times New Roman" w:hAnsi="Verdana" w:cs="Arial"/>
          <w:lang w:val="es-ES" w:eastAsia="es-MX"/>
        </w:rPr>
        <w:t xml:space="preserve">) los procedimientos, trámites y requisitos que deban satisfacerse, reunirse u obtenerse para llevar a cabo la selección del respectivo contratista y la celebración del contrato que se pretenda celebrar. La consideración de todos estos aspectos </w:t>
      </w:r>
      <w:bookmarkEnd w:id="4"/>
      <w:r w:rsidRPr="00E009FE">
        <w:rPr>
          <w:rFonts w:ascii="Verdana" w:eastAsia="Calibri" w:hAnsi="Verdana" w:cs="Arial"/>
          <w:lang w:val="es-ES" w:eastAsia="es-MX"/>
        </w:rPr>
        <w:t xml:space="preserve">permite que los contratos resultantes de la planeación cuenten con el sustento técnico, económico y jurídico que incidirá </w:t>
      </w:r>
      <w:r w:rsidRPr="00E009FE">
        <w:rPr>
          <w:rFonts w:ascii="Verdana" w:eastAsia="Times New Roman" w:hAnsi="Verdana" w:cs="Arial"/>
          <w:lang w:val="es-ES" w:eastAsia="es-MX"/>
        </w:rPr>
        <w:t>en una adecuada ejecución.</w:t>
      </w:r>
    </w:p>
    <w:p w14:paraId="3A5D89BA" w14:textId="77777777" w:rsidR="001D0810" w:rsidRDefault="001D0810" w:rsidP="001D0810">
      <w:pPr>
        <w:snapToGrid w:val="0"/>
        <w:spacing w:before="120" w:after="120" w:line="276" w:lineRule="auto"/>
        <w:ind w:firstLine="709"/>
        <w:jc w:val="both"/>
        <w:rPr>
          <w:rFonts w:ascii="Verdana" w:eastAsia="Times New Roman" w:hAnsi="Verdana" w:cs="Arial"/>
          <w:lang w:val="es-ES" w:eastAsia="es-MX"/>
        </w:rPr>
      </w:pPr>
      <w:r w:rsidRPr="00E009FE">
        <w:rPr>
          <w:rFonts w:ascii="Verdana" w:eastAsia="Times New Roman" w:hAnsi="Verdana" w:cs="Arial"/>
          <w:lang w:val="es-ES" w:eastAsia="es-MX"/>
        </w:rPr>
        <w:t xml:space="preserve">Más allá del cumplimiento de la normativa, “los estudios y documentos previos son el soporte para elaborar el proyecto de pliegos, los pliegos de </w:t>
      </w:r>
      <w:r w:rsidRPr="00E009FE">
        <w:rPr>
          <w:rFonts w:ascii="Verdana" w:eastAsia="Times New Roman" w:hAnsi="Verdana" w:cs="Arial"/>
          <w:lang w:val="es-ES" w:eastAsia="es-MX"/>
        </w:rPr>
        <w:lastRenderedPageBreak/>
        <w:t>condiciones, y el contrato”</w:t>
      </w:r>
      <w:r w:rsidRPr="00E009FE">
        <w:rPr>
          <w:rFonts w:ascii="Geomanist Light" w:hAnsi="Geomanist Light"/>
          <w:vertAlign w:val="superscript"/>
          <w:lang w:val="es-ES" w:eastAsia="es-MX"/>
        </w:rPr>
        <w:footnoteReference w:id="4"/>
      </w:r>
      <w:r w:rsidRPr="00E009FE">
        <w:rPr>
          <w:rFonts w:ascii="Verdana" w:eastAsia="Times New Roman" w:hAnsi="Verdana" w:cs="Arial"/>
          <w:lang w:val="es-ES" w:eastAsia="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 En ese sentido, </w:t>
      </w:r>
      <w:bookmarkStart w:id="6" w:name="_Hlk54011438"/>
      <w:r w:rsidRPr="00E009FE">
        <w:rPr>
          <w:rFonts w:ascii="Verdana" w:eastAsia="Times New Roman" w:hAnsi="Verdana" w:cs="Arial"/>
          <w:lang w:val="es-ES" w:eastAsia="es-MX"/>
        </w:rPr>
        <w:t>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6"/>
      <w:r w:rsidRPr="00E009FE">
        <w:rPr>
          <w:rFonts w:ascii="Geomanist Light" w:hAnsi="Geomanist Light"/>
          <w:vertAlign w:val="superscript"/>
          <w:lang w:val="es-ES" w:eastAsia="es-MX"/>
        </w:rPr>
        <w:footnoteReference w:id="5"/>
      </w:r>
      <w:r w:rsidRPr="00E009FE">
        <w:rPr>
          <w:rFonts w:ascii="Verdana" w:eastAsia="Times New Roman" w:hAnsi="Verdana" w:cs="Arial"/>
          <w:lang w:val="es-ES" w:eastAsia="es-MX"/>
        </w:rPr>
        <w:t>.</w:t>
      </w:r>
    </w:p>
    <w:p w14:paraId="31796A7B" w14:textId="77777777" w:rsidR="001D0810" w:rsidRDefault="001D0810" w:rsidP="001D0810">
      <w:pPr>
        <w:snapToGrid w:val="0"/>
        <w:spacing w:before="120" w:after="120" w:line="276" w:lineRule="auto"/>
        <w:ind w:firstLine="709"/>
        <w:jc w:val="both"/>
        <w:rPr>
          <w:rFonts w:ascii="Verdana" w:eastAsia="Times New Roman" w:hAnsi="Verdana" w:cs="Arial"/>
          <w:lang w:val="es-ES" w:eastAsia="es-MX"/>
        </w:rPr>
      </w:pPr>
      <w:r w:rsidRPr="00E009FE">
        <w:rPr>
          <w:rFonts w:ascii="Verdana" w:eastAsia="Times New Roman" w:hAnsi="Verdana" w:cs="Arial"/>
          <w:szCs w:val="24"/>
          <w:lang w:val="es-ES" w:eastAsia="es-ES_tradnl"/>
        </w:rPr>
        <w:t xml:space="preserve">Ahora bien, el numeral 12 del artículo 25 de la Ley 80 de 1993, antes citado, establece el deber de las entidades de realizar estudios previos en dos (2) momentos específicos: i) previo a la apertura de un proceso de selección y </w:t>
      </w:r>
      <w:proofErr w:type="spellStart"/>
      <w:r w:rsidRPr="00E009FE">
        <w:rPr>
          <w:rFonts w:ascii="Verdana" w:eastAsia="Times New Roman" w:hAnsi="Verdana" w:cs="Arial"/>
          <w:szCs w:val="24"/>
          <w:lang w:val="es-ES" w:eastAsia="es-ES_tradnl"/>
        </w:rPr>
        <w:t>ii</w:t>
      </w:r>
      <w:proofErr w:type="spellEnd"/>
      <w:r w:rsidRPr="00E009FE">
        <w:rPr>
          <w:rFonts w:ascii="Verdana" w:eastAsia="Times New Roman" w:hAnsi="Verdana" w:cs="Arial"/>
          <w:szCs w:val="24"/>
          <w:lang w:val="es-ES" w:eastAsia="es-ES_tradnl"/>
        </w:rPr>
        <w:t xml:space="preserve">) previo a la firma del contrato en el caso en que la modalidad de selección sea contratación directa. </w:t>
      </w:r>
    </w:p>
    <w:p w14:paraId="19F6B638" w14:textId="77777777" w:rsidR="001D0810" w:rsidRDefault="001D0810" w:rsidP="001D0810">
      <w:pPr>
        <w:snapToGrid w:val="0"/>
        <w:spacing w:before="120" w:after="120" w:line="276" w:lineRule="auto"/>
        <w:ind w:firstLine="709"/>
        <w:jc w:val="both"/>
        <w:rPr>
          <w:rFonts w:ascii="Verdana" w:eastAsia="Times New Roman" w:hAnsi="Verdana" w:cs="Arial"/>
          <w:lang w:val="es-ES" w:eastAsia="es-MX"/>
        </w:rPr>
      </w:pPr>
      <w:r w:rsidRPr="00E009FE">
        <w:rPr>
          <w:rFonts w:ascii="Verdana" w:eastAsia="Times New Roman" w:hAnsi="Verdana" w:cs="Arial"/>
          <w:lang w:val="es-ES" w:eastAsia="es-MX"/>
        </w:rPr>
        <w:t xml:space="preserve">Por otra parte, conforme se desprende de los numerales 2 y 4 del artículo 2.2.1.1.2.1.1 del Decreto 1082 de 2015, uno de los aspectos principales que deben abarcar los estudios previos es la determinación del objeto a contratar con sus especificaciones y el valor estimado del contrato aparejado de su respectiva justificación. </w:t>
      </w:r>
      <w:r w:rsidRPr="00E009FE">
        <w:rPr>
          <w:rFonts w:ascii="Verdana" w:eastAsia="Calibri" w:hAnsi="Verdana" w:cs="Arial"/>
          <w:bCs/>
          <w:lang w:val="es-ES" w:eastAsia="es-MX"/>
        </w:rPr>
        <w:t xml:space="preserve">Para estos efectos resulta relevante </w:t>
      </w:r>
      <w:bookmarkStart w:id="7" w:name="_Hlk139465916"/>
      <w:r w:rsidRPr="00E009FE">
        <w:rPr>
          <w:rFonts w:ascii="Verdana" w:eastAsia="Calibri" w:hAnsi="Verdana" w:cs="Arial"/>
          <w:bCs/>
          <w:lang w:val="es-ES" w:eastAsia="es-MX"/>
        </w:rPr>
        <w:t xml:space="preserve">la información recolectada en el marco del </w:t>
      </w:r>
      <w:r w:rsidRPr="00E009FE">
        <w:rPr>
          <w:rFonts w:ascii="Verdana" w:eastAsia="Calibri" w:hAnsi="Verdana" w:cs="Arial"/>
          <w:bCs/>
          <w:i/>
          <w:iCs/>
          <w:lang w:val="es-ES" w:eastAsia="es-MX"/>
        </w:rPr>
        <w:t>estudio del mercado</w:t>
      </w:r>
      <w:r w:rsidRPr="00E009FE">
        <w:rPr>
          <w:rFonts w:ascii="Verdana" w:eastAsia="Calibri" w:hAnsi="Verdana" w:cs="Arial"/>
          <w:bCs/>
          <w:lang w:val="es-ES" w:eastAsia="es-MX"/>
        </w:rPr>
        <w:t xml:space="preserve">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w:t>
      </w:r>
    </w:p>
    <w:p w14:paraId="28B94B67" w14:textId="77777777" w:rsidR="001D0810" w:rsidRDefault="001D0810" w:rsidP="001D0810">
      <w:pPr>
        <w:snapToGrid w:val="0"/>
        <w:spacing w:before="120" w:after="120" w:line="276" w:lineRule="auto"/>
        <w:ind w:firstLine="709"/>
        <w:jc w:val="both"/>
        <w:rPr>
          <w:rFonts w:ascii="Verdana" w:eastAsia="Times New Roman" w:hAnsi="Verdana" w:cs="Arial"/>
          <w:lang w:val="es-ES" w:eastAsia="es-MX"/>
        </w:rPr>
      </w:pPr>
      <w:r w:rsidRPr="00E009FE">
        <w:rPr>
          <w:rFonts w:ascii="Verdana" w:eastAsia="Calibri" w:hAnsi="Verdana" w:cs="Arial"/>
          <w:bCs/>
          <w:lang w:val="es-ES" w:eastAsia="es-MX"/>
        </w:rPr>
        <w:t xml:space="preserve">En este sentido, el análisis del sector de las perspectivas legal, comercial, financiera, organizacional, técnica, y de análisis de Riesgo, al que se refiere el artículo </w:t>
      </w:r>
      <w:bookmarkStart w:id="8" w:name="_Hlk36117416"/>
      <w:r w:rsidRPr="00E009FE">
        <w:rPr>
          <w:rFonts w:ascii="Verdana" w:eastAsia="Calibri" w:hAnsi="Verdana" w:cs="Arial"/>
          <w:bCs/>
          <w:lang w:val="es-ES" w:eastAsia="es-MX"/>
        </w:rPr>
        <w:t>2.2.1.1.1.6.1 del Decreto 1082 de 2015</w:t>
      </w:r>
      <w:bookmarkEnd w:id="8"/>
      <w:r w:rsidRPr="00E009FE">
        <w:rPr>
          <w:rFonts w:ascii="Verdana" w:eastAsia="Calibri" w:hAnsi="Verdana" w:cs="Arial"/>
          <w:bCs/>
          <w:lang w:val="es-ES" w:eastAsia="es-MX"/>
        </w:rPr>
        <w:t>, constituye un insumo importante para determinar factores que p</w:t>
      </w:r>
      <w:r>
        <w:rPr>
          <w:rFonts w:ascii="Verdana" w:eastAsia="Calibri" w:hAnsi="Verdana" w:cs="Arial"/>
          <w:bCs/>
          <w:lang w:val="es-ES" w:eastAsia="es-MX"/>
        </w:rPr>
        <w:t>ueden</w:t>
      </w:r>
      <w:r w:rsidRPr="00E009FE">
        <w:rPr>
          <w:rFonts w:ascii="Verdana" w:eastAsia="Calibri" w:hAnsi="Verdana" w:cs="Arial"/>
          <w:bCs/>
          <w:lang w:val="es-ES" w:eastAsia="es-MX"/>
        </w:rPr>
        <w:t xml:space="preserve"> determinar el valor del contrato </w:t>
      </w:r>
      <w:r w:rsidRPr="00E009FE">
        <w:rPr>
          <w:rFonts w:ascii="Verdana" w:eastAsia="Calibri" w:hAnsi="Verdana" w:cs="Arial"/>
          <w:bCs/>
          <w:lang w:val="es-ES" w:eastAsia="es-MX"/>
        </w:rPr>
        <w:lastRenderedPageBreak/>
        <w:t>y orientar a la entidad en torno al monto de la disponibilidad presupuestal que requiere para realizar la contratación</w:t>
      </w:r>
      <w:bookmarkEnd w:id="7"/>
      <w:r w:rsidRPr="00E009FE">
        <w:rPr>
          <w:rFonts w:ascii="Geomanist Light" w:eastAsia="Calibri" w:hAnsi="Geomanist Light"/>
          <w:bCs/>
          <w:vertAlign w:val="superscript"/>
          <w:lang w:val="es-ES" w:eastAsia="es-MX"/>
        </w:rPr>
        <w:footnoteReference w:id="6"/>
      </w:r>
      <w:r w:rsidRPr="00E009FE">
        <w:rPr>
          <w:rFonts w:ascii="Verdana" w:eastAsia="Calibri" w:hAnsi="Verdana" w:cs="Arial"/>
          <w:bCs/>
          <w:lang w:val="es-ES" w:eastAsia="es-MX"/>
        </w:rPr>
        <w:t xml:space="preserve">. </w:t>
      </w:r>
    </w:p>
    <w:p w14:paraId="678E65B7" w14:textId="77777777" w:rsidR="001D0810" w:rsidRPr="00547545" w:rsidRDefault="001D0810" w:rsidP="001D0810">
      <w:pPr>
        <w:snapToGrid w:val="0"/>
        <w:spacing w:before="120" w:after="120" w:line="276" w:lineRule="auto"/>
        <w:ind w:firstLine="709"/>
        <w:jc w:val="both"/>
        <w:rPr>
          <w:rFonts w:ascii="Verdana" w:eastAsia="Times New Roman" w:hAnsi="Verdana" w:cs="Arial"/>
          <w:lang w:val="es-ES" w:eastAsia="es-MX"/>
        </w:rPr>
      </w:pPr>
      <w:r w:rsidRPr="00E009FE">
        <w:rPr>
          <w:rFonts w:ascii="Verdana" w:eastAsia="Calibri" w:hAnsi="Verdana" w:cs="Arial"/>
          <w:lang w:val="es-ES" w:eastAsia="es-MX"/>
        </w:rPr>
        <w:t xml:space="preserve">De acuerdo con la norma citada, </w:t>
      </w:r>
      <w:bookmarkStart w:id="9" w:name="_Hlk36140682"/>
      <w:r w:rsidRPr="00E009FE">
        <w:rPr>
          <w:rFonts w:ascii="Verdana" w:eastAsia="Calibri" w:hAnsi="Verdana" w:cs="Arial"/>
          <w:lang w:val="es-ES" w:eastAsia="es-MX"/>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5CE0F944" w14:textId="77777777" w:rsidR="001D0810" w:rsidRDefault="001D0810" w:rsidP="001D0810">
      <w:pPr>
        <w:spacing w:after="120" w:line="276" w:lineRule="auto"/>
        <w:ind w:firstLine="708"/>
        <w:jc w:val="both"/>
        <w:rPr>
          <w:rFonts w:ascii="Verdana" w:eastAsia="Calibri" w:hAnsi="Verdana" w:cs="Arial"/>
          <w:bCs/>
          <w:lang w:val="es-ES" w:eastAsia="es-MX"/>
        </w:rPr>
      </w:pPr>
      <w:r w:rsidRPr="00E009FE">
        <w:rPr>
          <w:rFonts w:ascii="Verdana" w:eastAsia="Calibri" w:hAnsi="Verdana" w:cs="Arial"/>
          <w:bCs/>
          <w:lang w:val="es-ES" w:eastAsia="es-MX"/>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3DC79319" w14:textId="77777777" w:rsidR="001D0810" w:rsidRPr="00E009FE" w:rsidRDefault="001D0810" w:rsidP="001D0810">
      <w:pPr>
        <w:spacing w:after="120" w:line="276" w:lineRule="auto"/>
        <w:ind w:firstLine="708"/>
        <w:jc w:val="both"/>
        <w:rPr>
          <w:rFonts w:ascii="Verdana" w:eastAsia="Calibri" w:hAnsi="Verdana" w:cs="Arial"/>
          <w:bCs/>
          <w:lang w:val="es-ES" w:eastAsia="es-MX"/>
        </w:rPr>
      </w:pPr>
      <w:r w:rsidRPr="00E009FE">
        <w:rPr>
          <w:rFonts w:ascii="Verdana" w:eastAsia="Calibri" w:hAnsi="Verdana" w:cs="Arial"/>
          <w:lang w:val="es-ES" w:eastAsia="es-MX"/>
        </w:rPr>
        <w:t>Dicho análisis facilita tanto el conocimiento del sector, desde una perspectiva multidisciplinaria, como de los proveedores disponibles en el mercado para satisfacer la necesidad de la entidad contratante. Igualmente, el análisis del sector implica un estudio de la oferta, lo que permitirá identificar qué proveedores existen en el mercado y cómo intervienen en la cadena de producción, comercialización y distribución de los bienes, obras o servicios.</w:t>
      </w:r>
      <w:r>
        <w:rPr>
          <w:rFonts w:ascii="Verdana" w:eastAsia="Calibri" w:hAnsi="Verdana" w:cs="Arial"/>
          <w:lang w:val="es-ES" w:eastAsia="es-MX"/>
        </w:rPr>
        <w:t xml:space="preserve"> Además</w:t>
      </w:r>
      <w:r w:rsidRPr="00E009FE">
        <w:rPr>
          <w:rFonts w:ascii="Verdana" w:eastAsia="Calibri" w:hAnsi="Verdana" w:cs="Arial"/>
          <w:lang w:val="es-ES" w:eastAsia="es-MX"/>
        </w:rPr>
        <w:t xml:space="preserve">, podrá estudiar la demanda para determinar cómo las Entidades </w:t>
      </w:r>
      <w:r w:rsidRPr="00E009FE">
        <w:rPr>
          <w:rFonts w:ascii="Verdana" w:eastAsia="Calibri" w:hAnsi="Verdana" w:cs="Arial"/>
          <w:lang w:val="es-ES" w:eastAsia="es-MX"/>
        </w:rPr>
        <w:lastRenderedPageBreak/>
        <w:t xml:space="preserve">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2C63076A" w14:textId="77777777" w:rsidR="001D0810" w:rsidRPr="00E009FE" w:rsidRDefault="001D0810" w:rsidP="001D0810">
      <w:pPr>
        <w:spacing w:after="120" w:line="276" w:lineRule="auto"/>
        <w:ind w:firstLine="708"/>
        <w:jc w:val="both"/>
        <w:rPr>
          <w:rFonts w:ascii="Verdana" w:eastAsia="Calibri" w:hAnsi="Verdana" w:cs="Arial"/>
          <w:bCs/>
          <w:lang w:val="es-ES" w:eastAsia="es-MX"/>
        </w:rPr>
      </w:pPr>
      <w:r w:rsidRPr="00E009FE">
        <w:rPr>
          <w:rFonts w:ascii="Verdana" w:eastAsia="Calibri" w:hAnsi="Verdana" w:cs="Arial"/>
          <w:bCs/>
          <w:lang w:val="es-ES" w:eastAsia="es-MX"/>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w:t>
      </w:r>
      <w:r w:rsidRPr="00E009FE">
        <w:rPr>
          <w:rFonts w:ascii="Verdana" w:eastAsia="Times New Roman" w:hAnsi="Verdana" w:cs="Arial"/>
          <w:lang w:val="es-ES" w:eastAsia="es-CO"/>
        </w:rPr>
        <w:t xml:space="preserve">son autónomas para estructurarlo, para lo cual deberán cumplir lo dispuesto en el artículo </w:t>
      </w:r>
      <w:r w:rsidRPr="00E009FE">
        <w:rPr>
          <w:rFonts w:ascii="Verdana" w:eastAsia="Calibri" w:hAnsi="Verdana" w:cs="Arial"/>
          <w:bCs/>
          <w:lang w:val="es-ES" w:eastAsia="es-MX"/>
        </w:rPr>
        <w:t xml:space="preserve">2.2.1.1.1.6.1 del Decreto 1082 de 2015 y realizar un análisis integral de planeación que </w:t>
      </w:r>
      <w:r w:rsidRPr="00E009FE">
        <w:rPr>
          <w:rFonts w:ascii="Verdana" w:eastAsia="Times New Roman" w:hAnsi="Verdana" w:cs="Arial"/>
          <w:lang w:val="es-ES" w:eastAsia="es-MX"/>
        </w:rPr>
        <w:t xml:space="preserve">sirva de sustento a la decisión de </w:t>
      </w:r>
      <w:r w:rsidRPr="00E009FE">
        <w:rPr>
          <w:rFonts w:ascii="Verdana" w:eastAsia="Times New Roman" w:hAnsi="Verdana" w:cs="Arial"/>
          <w:bCs/>
          <w:lang w:val="es-ES" w:eastAsia="es-MX"/>
        </w:rPr>
        <w:t>realizar un Proceso de Contratación.</w:t>
      </w:r>
    </w:p>
    <w:p w14:paraId="6E204579" w14:textId="77777777" w:rsidR="001D0810" w:rsidRPr="00E009FE" w:rsidRDefault="001D0810" w:rsidP="001D0810">
      <w:pPr>
        <w:spacing w:after="120" w:line="276" w:lineRule="auto"/>
        <w:ind w:firstLine="708"/>
        <w:jc w:val="both"/>
        <w:rPr>
          <w:rFonts w:ascii="Verdana" w:eastAsia="Calibri" w:hAnsi="Verdana" w:cs="Arial"/>
          <w:bCs/>
          <w:szCs w:val="24"/>
          <w:lang w:val="es-ES" w:eastAsia="es-ES_tradnl"/>
        </w:rPr>
      </w:pPr>
      <w:bookmarkStart w:id="10" w:name="_Hlk139466113"/>
      <w:bookmarkEnd w:id="9"/>
      <w:r w:rsidRPr="00E009FE">
        <w:rPr>
          <w:rFonts w:ascii="Verdana" w:eastAsia="Calibri" w:hAnsi="Verdana" w:cs="Arial"/>
          <w:bCs/>
          <w:lang w:val="es-ES" w:eastAsia="es-MX"/>
        </w:rPr>
        <w:t>La Agencia Nacional de Contratación Pública – Colombia Compra Eficiente dispone de una “Guía para la Elaboración de Estudios del Sector”</w:t>
      </w:r>
      <w:r w:rsidRPr="00E009FE">
        <w:rPr>
          <w:rFonts w:ascii="Verdana" w:eastAsia="Times New Roman" w:hAnsi="Verdana" w:cs="Arial"/>
          <w:vertAlign w:val="superscript"/>
          <w:lang w:val="es-ES" w:eastAsia="es-CO"/>
        </w:rPr>
        <w:t xml:space="preserve"> </w:t>
      </w:r>
      <w:r w:rsidRPr="00E009FE">
        <w:rPr>
          <w:rFonts w:ascii="Geomanist Light" w:eastAsia="Times New Roman" w:hAnsi="Geomanist Light"/>
          <w:vertAlign w:val="superscript"/>
          <w:lang w:val="es-ES" w:eastAsia="es-CO"/>
        </w:rPr>
        <w:footnoteReference w:id="7"/>
      </w:r>
      <w:r w:rsidRPr="00E009FE">
        <w:rPr>
          <w:rFonts w:ascii="Verdana" w:eastAsia="Calibri" w:hAnsi="Verdana" w:cs="Arial"/>
          <w:bCs/>
          <w:lang w:val="es-ES" w:eastAsia="es-MX"/>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w:t>
      </w:r>
      <w:bookmarkEnd w:id="10"/>
      <w:r w:rsidRPr="00E009FE">
        <w:rPr>
          <w:rFonts w:ascii="Verdana" w:eastAsia="Calibri" w:hAnsi="Verdana" w:cs="Arial"/>
          <w:bCs/>
          <w:lang w:val="es-ES" w:eastAsia="es-MX"/>
        </w:rPr>
        <w:t xml:space="preserve"> </w:t>
      </w:r>
      <w:r w:rsidRPr="00E009FE">
        <w:rPr>
          <w:rFonts w:ascii="Verdana" w:eastAsia="Calibri" w:hAnsi="Verdana" w:cs="Arial"/>
          <w:bCs/>
          <w:szCs w:val="24"/>
          <w:lang w:val="es-ES" w:eastAsia="es-ES_tradnl"/>
        </w:rPr>
        <w:t xml:space="preserve">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w:t>
      </w:r>
    </w:p>
    <w:p w14:paraId="6716163C" w14:textId="77777777" w:rsidR="001D0810" w:rsidRPr="00E009FE" w:rsidRDefault="001D0810" w:rsidP="001D0810">
      <w:pPr>
        <w:spacing w:after="120" w:line="276" w:lineRule="auto"/>
        <w:ind w:firstLine="708"/>
        <w:jc w:val="both"/>
        <w:rPr>
          <w:rFonts w:ascii="Verdana" w:eastAsia="Calibri" w:hAnsi="Verdana" w:cs="Arial"/>
          <w:lang w:val="es-ES" w:eastAsia="es-MX"/>
        </w:rPr>
      </w:pPr>
      <w:r w:rsidRPr="00E009FE">
        <w:rPr>
          <w:rFonts w:ascii="Verdana" w:eastAsia="Calibri" w:hAnsi="Verdana" w:cs="Arial"/>
          <w:lang w:val="es-ES" w:eastAsia="es-MX"/>
        </w:rPr>
        <w:t xml:space="preserve">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w:t>
      </w:r>
      <w:r w:rsidRPr="00E009FE">
        <w:rPr>
          <w:rFonts w:ascii="Verdana" w:eastAsia="Calibri" w:hAnsi="Verdana" w:cs="Arial"/>
          <w:lang w:val="es-ES" w:eastAsia="es-MX"/>
        </w:rPr>
        <w:lastRenderedPageBreak/>
        <w:t xml:space="preserve">transporte, etc.  </w:t>
      </w:r>
      <w:r w:rsidRPr="00E009FE">
        <w:rPr>
          <w:rFonts w:ascii="Verdana" w:eastAsia="Calibri" w:hAnsi="Verdana" w:cs="Arial"/>
          <w:bCs/>
          <w:szCs w:val="24"/>
          <w:lang w:val="es-ES" w:eastAsia="es-ES_tradnl"/>
        </w:rPr>
        <w:t xml:space="preserve">Así mismo, </w:t>
      </w:r>
      <w:bookmarkStart w:id="11" w:name="_Hlk139466181"/>
      <w:r w:rsidRPr="00E009FE">
        <w:rPr>
          <w:rFonts w:ascii="Verdana" w:eastAsia="Calibri" w:hAnsi="Verdana" w:cs="Arial"/>
          <w:bCs/>
          <w:szCs w:val="24"/>
          <w:lang w:val="es-ES" w:eastAsia="es-ES_tradnl"/>
        </w:rPr>
        <w:t>la Guía indica que</w:t>
      </w:r>
      <w:r>
        <w:rPr>
          <w:rFonts w:ascii="Verdana" w:eastAsia="Calibri" w:hAnsi="Verdana" w:cs="Arial"/>
          <w:bCs/>
          <w:szCs w:val="24"/>
          <w:lang w:val="es-ES" w:eastAsia="es-ES_tradnl"/>
        </w:rPr>
        <w:t>,</w:t>
      </w:r>
      <w:r w:rsidRPr="00E009FE">
        <w:rPr>
          <w:rFonts w:ascii="Verdana" w:eastAsia="Calibri" w:hAnsi="Verdana" w:cs="Arial"/>
          <w:bCs/>
          <w:szCs w:val="24"/>
          <w:lang w:val="es-ES" w:eastAsia="es-ES_tradnl"/>
        </w:rPr>
        <w:t xml:space="preserve"> como parte de la estructura del estudio del sector</w:t>
      </w:r>
      <w:r>
        <w:rPr>
          <w:rFonts w:ascii="Verdana" w:eastAsia="Calibri" w:hAnsi="Verdana" w:cs="Arial"/>
          <w:bCs/>
          <w:szCs w:val="24"/>
          <w:lang w:val="es-ES" w:eastAsia="es-ES_tradnl"/>
        </w:rPr>
        <w:t>,</w:t>
      </w:r>
      <w:r w:rsidRPr="00E009FE">
        <w:rPr>
          <w:rFonts w:ascii="Verdana" w:eastAsia="Calibri" w:hAnsi="Verdana" w:cs="Arial"/>
          <w:bCs/>
          <w:szCs w:val="24"/>
          <w:lang w:val="es-ES" w:eastAsia="es-ES_tradnl"/>
        </w:rPr>
        <w:t xml:space="preserve"> se debe realizar un análisis del comportamiento del gasto histórico, el estudio de la oferta y el estudio del mercado. </w:t>
      </w:r>
      <w:bookmarkStart w:id="12" w:name="_Hlk78204338"/>
      <w:bookmarkEnd w:id="11"/>
      <w:r w:rsidRPr="00E009FE">
        <w:rPr>
          <w:rFonts w:ascii="Verdana" w:eastAsia="Calibri" w:hAnsi="Verdana" w:cs="Arial"/>
          <w:lang w:val="es-ES" w:eastAsia="es-ES_tradnl"/>
        </w:rPr>
        <w:t>D</w:t>
      </w:r>
      <w:r w:rsidRPr="00E009FE">
        <w:rPr>
          <w:rFonts w:ascii="Verdana" w:hAnsi="Verdana"/>
          <w:lang w:val="es-ES" w:eastAsia="es-ES_tradnl"/>
        </w:rPr>
        <w:t>e forma puntual, indica que “la Entidad Estatal debe identificar los proveedores en el mercado del bien o servicio, así como sus principales características como tamaño empresarial, ubicación, esquemas de producción y comportamiento financiero”.</w:t>
      </w:r>
      <w:bookmarkEnd w:id="12"/>
      <w:r w:rsidRPr="00E009FE">
        <w:rPr>
          <w:rFonts w:ascii="Verdana" w:hAnsi="Verdana"/>
          <w:lang w:val="es-ES" w:eastAsia="es-ES_tradnl"/>
        </w:rPr>
        <w:t xml:space="preserve"> </w:t>
      </w:r>
    </w:p>
    <w:p w14:paraId="555FEF8F" w14:textId="77777777" w:rsidR="001D0810" w:rsidRPr="00E009FE" w:rsidRDefault="001D0810" w:rsidP="001D0810">
      <w:pPr>
        <w:spacing w:after="120" w:line="276" w:lineRule="auto"/>
        <w:ind w:firstLine="708"/>
        <w:jc w:val="both"/>
        <w:rPr>
          <w:rFonts w:ascii="Verdana" w:eastAsia="Calibri" w:hAnsi="Verdana" w:cs="Arial"/>
          <w:szCs w:val="24"/>
          <w:lang w:val="es-ES" w:eastAsia="es-ES_tradnl"/>
        </w:rPr>
      </w:pPr>
      <w:r w:rsidRPr="00E009FE">
        <w:rPr>
          <w:rFonts w:ascii="Verdana" w:eastAsia="Calibri" w:hAnsi="Verdana" w:cs="Arial"/>
          <w:szCs w:val="24"/>
          <w:lang w:val="es-ES" w:eastAsia="es-ES_tradnl"/>
        </w:rPr>
        <w:t>En ese orden de ideas,</w:t>
      </w:r>
      <w:r w:rsidRPr="00E009FE">
        <w:rPr>
          <w:rFonts w:ascii="Verdana" w:eastAsia="Calibri" w:hAnsi="Verdana" w:cs="Arial"/>
          <w:bCs/>
          <w:szCs w:val="24"/>
          <w:lang w:val="es-ES" w:eastAsia="es-ES_tradnl"/>
        </w:rPr>
        <w:t xml:space="preserve"> el análisis del sector </w:t>
      </w:r>
      <w:r w:rsidRPr="00E009FE">
        <w:rPr>
          <w:rFonts w:ascii="Verdana" w:eastAsia="Times New Roman" w:hAnsi="Verdana" w:cs="Arial"/>
          <w:bCs/>
          <w:szCs w:val="24"/>
          <w:lang w:val="es-ES" w:eastAsia="es-ES_tradnl"/>
        </w:rPr>
        <w:t xml:space="preserve">parte de un estudio desde una perspectiva multidisciplinaria, que implica los aspectos generales del mercado, el análisis de la demanda y de la oferta, así como el estudio del mercado que le permite a la entidad entender el mercado del bien, obra o servicio que pretenden adquirir, así como identificar los factores que inciden en el valor del contrato, tales como el análisis de precios, las cargas tributarias, la tasa de cambio, las garantías, los gastos de transporte, etc. Este análisis se </w:t>
      </w:r>
      <w:r w:rsidRPr="00E009FE">
        <w:rPr>
          <w:rFonts w:ascii="Verdana" w:eastAsia="Times New Roman" w:hAnsi="Verdana" w:cs="Arial"/>
          <w:szCs w:val="24"/>
          <w:lang w:val="es-ES" w:eastAsia="es-ES_tradnl"/>
        </w:rPr>
        <w:t xml:space="preserve">debe consignar en los Documentos del Proceso, bien sea en los estudios previos o en la información soporte de estos. </w:t>
      </w:r>
    </w:p>
    <w:p w14:paraId="5C763323" w14:textId="77777777" w:rsidR="001D0810" w:rsidRPr="00E009FE" w:rsidRDefault="001D0810" w:rsidP="001D0810">
      <w:pPr>
        <w:spacing w:after="0" w:line="276" w:lineRule="auto"/>
        <w:ind w:firstLine="709"/>
        <w:jc w:val="both"/>
        <w:rPr>
          <w:rFonts w:ascii="Verdana" w:eastAsia="Calibri" w:hAnsi="Verdana" w:cs="Arial"/>
          <w:szCs w:val="24"/>
          <w:lang w:val="es-ES" w:eastAsia="es-ES_tradnl"/>
        </w:rPr>
      </w:pPr>
      <w:r>
        <w:rPr>
          <w:rFonts w:ascii="Verdana" w:eastAsia="Times New Roman" w:hAnsi="Verdana" w:cs="Arial"/>
          <w:szCs w:val="24"/>
          <w:lang w:val="es-ES" w:eastAsia="es-ES_tradnl"/>
        </w:rPr>
        <w:t>L</w:t>
      </w:r>
      <w:r w:rsidRPr="00E009FE">
        <w:rPr>
          <w:rFonts w:ascii="Verdana" w:eastAsia="Times New Roman" w:hAnsi="Verdana" w:cs="Arial"/>
          <w:szCs w:val="24"/>
          <w:lang w:val="es-ES" w:eastAsia="es-ES_tradnl"/>
        </w:rPr>
        <w:t xml:space="preserve">as entidades estales son autónomas para establecer en su Manual de Contratación la </w:t>
      </w:r>
      <w:r w:rsidRPr="00E009FE">
        <w:rPr>
          <w:rFonts w:ascii="Verdana" w:eastAsia="Calibri" w:hAnsi="Verdana" w:cs="Arial"/>
          <w:szCs w:val="24"/>
          <w:lang w:val="es-ES" w:eastAsia="es-ES_tradnl"/>
        </w:rPr>
        <w:t xml:space="preserve">metodología para elaborar el Estudio del Sector y en especial la forma como desarrollar los estudios de mercado, siempre y cuando acaten la Ley 1150 de 2007 y el Decreto 1082 de 2015 frente a esta materia, estableciendo siempre </w:t>
      </w:r>
      <w:r w:rsidRPr="00E009FE">
        <w:rPr>
          <w:rFonts w:ascii="Verdana" w:eastAsia="Times New Roman" w:hAnsi="Verdana" w:cs="Arial"/>
          <w:szCs w:val="24"/>
          <w:lang w:val="es-ES" w:eastAsia="es-ES_tradnl"/>
        </w:rPr>
        <w:t xml:space="preserve">argumentos financieros que permitirán escoger el mejor precio de conformidad con los criterios establecidos por la misma. </w:t>
      </w:r>
    </w:p>
    <w:p w14:paraId="3D94BF06" w14:textId="77777777" w:rsidR="001D0810" w:rsidRPr="00E009FE" w:rsidRDefault="001D0810" w:rsidP="001D0810">
      <w:pPr>
        <w:spacing w:after="0" w:line="276" w:lineRule="auto"/>
        <w:jc w:val="both"/>
        <w:rPr>
          <w:rFonts w:ascii="Verdana" w:eastAsia="Calibri" w:hAnsi="Verdana" w:cs="Arial"/>
          <w:lang w:val="es-ES"/>
        </w:rPr>
      </w:pPr>
    </w:p>
    <w:p w14:paraId="0E7125F2" w14:textId="77777777" w:rsidR="001D0810" w:rsidRPr="00E009FE" w:rsidRDefault="001D0810" w:rsidP="001D0810">
      <w:pPr>
        <w:spacing w:after="0" w:line="276" w:lineRule="auto"/>
        <w:jc w:val="both"/>
        <w:rPr>
          <w:rFonts w:ascii="Verdana" w:eastAsia="Calibri" w:hAnsi="Verdana" w:cs="Arial"/>
          <w:color w:val="000000"/>
          <w:lang w:val="es-ES" w:eastAsia="es-ES" w:bidi="es-ES"/>
        </w:rPr>
      </w:pPr>
      <w:proofErr w:type="spellStart"/>
      <w:r w:rsidRPr="00FF53BE">
        <w:rPr>
          <w:rFonts w:ascii="Verdana" w:eastAsia="Calibri" w:hAnsi="Verdana" w:cs="Arial"/>
          <w:b/>
          <w:bCs/>
          <w:lang w:val="es-ES"/>
        </w:rPr>
        <w:t>ii</w:t>
      </w:r>
      <w:proofErr w:type="spellEnd"/>
      <w:r w:rsidRPr="00FF53BE">
        <w:rPr>
          <w:rFonts w:ascii="Verdana" w:eastAsia="Calibri" w:hAnsi="Verdana" w:cs="Arial"/>
          <w:b/>
          <w:bCs/>
          <w:lang w:val="es-ES"/>
        </w:rPr>
        <w:t>)</w:t>
      </w:r>
      <w:r w:rsidRPr="00E009FE">
        <w:rPr>
          <w:rFonts w:ascii="Verdana" w:eastAsia="Calibri" w:hAnsi="Verdana" w:cs="Arial"/>
          <w:lang w:val="es-ES"/>
        </w:rPr>
        <w:t xml:space="preserve"> Por otra parte, la</w:t>
      </w:r>
      <w:r w:rsidRPr="00E009FE">
        <w:rPr>
          <w:rFonts w:ascii="Verdana" w:eastAsia="Calibri" w:hAnsi="Verdana" w:cs="Arial"/>
          <w:color w:val="000000"/>
          <w:lang w:val="es-ES" w:eastAsia="es-ES" w:bidi="es-ES"/>
        </w:rPr>
        <w:t xml:space="preserve"> obra pública es una tipología de los contratos estatales, entendidos como los actos jurídicos generadores de obligaciones que son celebrados por alguna de las entidades estatales enlistadas en el artículo 2 de la Ley 80 de 1993.  Lo anterior resulta relevante, en la medida en que este tipo contractual se diferencia de la definición y regulación prevista en el derecho privado para el contrato de confección de obra material.   </w:t>
      </w:r>
    </w:p>
    <w:p w14:paraId="25C96372" w14:textId="77777777" w:rsidR="001D0810" w:rsidRPr="00E009FE" w:rsidRDefault="001D0810" w:rsidP="001D0810">
      <w:pPr>
        <w:widowControl w:val="0"/>
        <w:autoSpaceDE w:val="0"/>
        <w:autoSpaceDN w:val="0"/>
        <w:spacing w:before="120" w:after="120" w:line="276" w:lineRule="auto"/>
        <w:ind w:firstLine="709"/>
        <w:jc w:val="both"/>
        <w:rPr>
          <w:rFonts w:ascii="Verdana" w:eastAsia="Calibri" w:hAnsi="Verdana" w:cs="Arial"/>
          <w:color w:val="000000"/>
          <w:lang w:val="es-ES" w:eastAsia="es-ES" w:bidi="es-ES"/>
        </w:rPr>
      </w:pPr>
      <w:bookmarkStart w:id="13" w:name="_Hlk35420344"/>
      <w:r w:rsidRPr="00E009FE">
        <w:rPr>
          <w:rFonts w:ascii="Verdana" w:eastAsia="Calibri" w:hAnsi="Verdana" w:cs="Arial"/>
          <w:color w:val="000000"/>
          <w:lang w:val="es-ES" w:eastAsia="es-ES" w:bidi="es-ES"/>
        </w:rPr>
        <w:t xml:space="preserve">En </w:t>
      </w:r>
      <w:r w:rsidRPr="00E009FE">
        <w:rPr>
          <w:rFonts w:ascii="Verdana" w:eastAsia="Calibri" w:hAnsi="Verdana" w:cs="Arial"/>
          <w:i/>
          <w:iCs/>
          <w:color w:val="000000"/>
          <w:lang w:val="es-ES" w:eastAsia="es-ES" w:bidi="es-ES"/>
        </w:rPr>
        <w:t>sentido amplio</w:t>
      </w:r>
      <w:r w:rsidRPr="00E009FE">
        <w:rPr>
          <w:rFonts w:ascii="Verdana" w:eastAsia="Calibri" w:hAnsi="Verdana" w:cs="Arial"/>
          <w:color w:val="000000"/>
          <w:lang w:val="es-ES" w:eastAsia="es-ES" w:bidi="es-ES"/>
        </w:rPr>
        <w:t xml:space="preserve">, dado que la “obra” es un bien que crea la actividad humana, el hecho de que sea “pública” significa que es todo trabajo material en cuya creación o realización interviene el Estado. No obstante, </w:t>
      </w:r>
      <w:bookmarkStart w:id="14" w:name="_Hlk81428563"/>
      <w:r w:rsidRPr="00E009FE">
        <w:rPr>
          <w:rFonts w:ascii="Verdana" w:eastAsia="Calibri" w:hAnsi="Verdana" w:cs="Arial"/>
          <w:color w:val="000000"/>
          <w:lang w:val="es-ES" w:eastAsia="es-ES" w:bidi="es-ES"/>
        </w:rPr>
        <w:t xml:space="preserve">el numeral 1 del artículo 32 de la Ley 80 de 1993 opta por un </w:t>
      </w:r>
      <w:r w:rsidRPr="00E009FE">
        <w:rPr>
          <w:rFonts w:ascii="Verdana" w:eastAsia="Calibri" w:hAnsi="Verdana" w:cs="Arial"/>
          <w:i/>
          <w:iCs/>
          <w:color w:val="000000"/>
          <w:lang w:val="es-ES" w:eastAsia="es-ES" w:bidi="es-ES"/>
        </w:rPr>
        <w:t>sentido restringido</w:t>
      </w:r>
      <w:r w:rsidRPr="00E009FE">
        <w:rPr>
          <w:rFonts w:ascii="Verdana" w:eastAsia="Calibri" w:hAnsi="Verdana" w:cs="Arial"/>
          <w:color w:val="000000"/>
          <w:lang w:val="es-ES" w:eastAsia="es-ES" w:bidi="es-ES"/>
        </w:rPr>
        <w:t xml:space="preserve">, al disponer que “Son contratos de obra los que celebren las entidades estatales para la </w:t>
      </w:r>
      <w:bookmarkStart w:id="15" w:name="_Hlk171668266"/>
      <w:r w:rsidRPr="00E009FE">
        <w:rPr>
          <w:rFonts w:ascii="Verdana" w:eastAsia="Calibri" w:hAnsi="Verdana" w:cs="Arial"/>
          <w:color w:val="000000"/>
          <w:lang w:val="es-ES" w:eastAsia="es-ES" w:bidi="es-ES"/>
        </w:rPr>
        <w:t>construcción, mantenimiento, instalación</w:t>
      </w:r>
      <w:bookmarkEnd w:id="15"/>
      <w:r w:rsidRPr="00E009FE">
        <w:rPr>
          <w:rFonts w:ascii="Verdana" w:eastAsia="Calibri" w:hAnsi="Verdana" w:cs="Arial"/>
          <w:color w:val="000000"/>
          <w:lang w:val="es-ES" w:eastAsia="es-ES" w:bidi="es-ES"/>
        </w:rPr>
        <w:t xml:space="preserve"> y, en general, para la realización de cualquier otro trabajo material sobre bienes inmuebles, </w:t>
      </w:r>
      <w:bookmarkStart w:id="16" w:name="_Hlk171667437"/>
      <w:r w:rsidRPr="00E009FE">
        <w:rPr>
          <w:rFonts w:ascii="Verdana" w:eastAsia="Calibri" w:hAnsi="Verdana" w:cs="Arial"/>
          <w:color w:val="000000"/>
          <w:lang w:val="es-ES" w:eastAsia="es-ES" w:bidi="es-ES"/>
        </w:rPr>
        <w:t xml:space="preserve">cualquiera que sea la </w:t>
      </w:r>
      <w:r w:rsidRPr="00E009FE">
        <w:rPr>
          <w:rFonts w:ascii="Verdana" w:eastAsia="Calibri" w:hAnsi="Verdana" w:cs="Arial"/>
          <w:color w:val="000000"/>
          <w:lang w:val="es-ES" w:eastAsia="es-ES" w:bidi="es-ES"/>
        </w:rPr>
        <w:lastRenderedPageBreak/>
        <w:t>modalidad de ejecución y pago</w:t>
      </w:r>
      <w:bookmarkEnd w:id="16"/>
      <w:r w:rsidRPr="00E009FE">
        <w:rPr>
          <w:rFonts w:ascii="Verdana" w:eastAsia="Calibri" w:hAnsi="Verdana" w:cs="Arial"/>
          <w:color w:val="000000"/>
          <w:lang w:val="es-ES" w:eastAsia="es-ES" w:bidi="es-ES"/>
        </w:rPr>
        <w:t>”, de manera que este tipo de contrato no aplica a los trabajos materiales realizados sobre bienes muebles</w:t>
      </w:r>
      <w:r w:rsidRPr="00E009FE">
        <w:rPr>
          <w:rStyle w:val="FootnoteReference"/>
          <w:rFonts w:ascii="Verdana" w:eastAsia="Calibri" w:hAnsi="Verdana" w:cs="Arial"/>
          <w:color w:val="000000"/>
          <w:lang w:val="es-ES" w:eastAsia="es-ES" w:bidi="es-ES"/>
        </w:rPr>
        <w:footnoteReference w:id="8"/>
      </w:r>
      <w:r w:rsidRPr="00E009FE">
        <w:rPr>
          <w:rFonts w:ascii="Verdana" w:eastAsia="Calibri" w:hAnsi="Verdana" w:cs="Arial"/>
          <w:color w:val="000000"/>
          <w:lang w:val="es-ES" w:eastAsia="es-ES" w:bidi="es-ES"/>
        </w:rPr>
        <w:t xml:space="preserve">. </w:t>
      </w:r>
    </w:p>
    <w:p w14:paraId="39F8DE89" w14:textId="77777777" w:rsidR="001D0810" w:rsidRPr="00E009FE" w:rsidRDefault="001D0810" w:rsidP="001D0810">
      <w:pPr>
        <w:spacing w:after="0" w:line="276" w:lineRule="auto"/>
        <w:ind w:firstLine="708"/>
        <w:jc w:val="both"/>
        <w:rPr>
          <w:rFonts w:ascii="Verdana" w:eastAsia="Calibri" w:hAnsi="Verdana" w:cs="Arial"/>
          <w:color w:val="000000"/>
          <w:lang w:val="es-ES" w:eastAsia="es-ES" w:bidi="es-ES"/>
        </w:rPr>
      </w:pPr>
      <w:r w:rsidRPr="00E009FE">
        <w:rPr>
          <w:rFonts w:ascii="Verdana" w:eastAsia="Calibri" w:hAnsi="Verdana" w:cs="Arial"/>
          <w:color w:val="000000"/>
          <w:lang w:val="es-ES" w:eastAsia="es-ES" w:bidi="es-ES"/>
        </w:rPr>
        <w:t>Por lo anterior, el legislador adoptó como criterio para la tipificación del contrato de obra pública que se trate de actividades realizadas sobre bienes inmuebles, admitiendo la ejecución de todo trabajo que tenga por objeto crear, construir, conservar o modificar este tipo de bienes, lo cual incluye trabajos de construcción, instalación, conservación, mantenimiento, reparación y demolición de esos mismos</w:t>
      </w:r>
      <w:bookmarkEnd w:id="13"/>
      <w:bookmarkEnd w:id="14"/>
      <w:r w:rsidRPr="00E009FE">
        <w:rPr>
          <w:rFonts w:ascii="Verdana" w:eastAsia="Calibri" w:hAnsi="Verdana" w:cs="Arial"/>
          <w:color w:val="000000"/>
          <w:vertAlign w:val="superscript"/>
          <w:lang w:val="es-ES" w:eastAsia="es-ES" w:bidi="es-ES"/>
        </w:rPr>
        <w:footnoteReference w:id="9"/>
      </w:r>
      <w:r w:rsidRPr="00E009FE">
        <w:rPr>
          <w:rFonts w:ascii="Verdana" w:eastAsia="Calibri" w:hAnsi="Verdana" w:cs="Arial"/>
          <w:color w:val="000000"/>
          <w:lang w:val="es-ES" w:eastAsia="es-ES" w:bidi="es-ES"/>
        </w:rPr>
        <w:t>.</w:t>
      </w:r>
    </w:p>
    <w:p w14:paraId="1B7E0A9C" w14:textId="77777777" w:rsidR="001D0810" w:rsidRPr="00E009FE" w:rsidRDefault="001D0810" w:rsidP="001D0810">
      <w:pPr>
        <w:spacing w:before="120" w:after="0" w:line="276" w:lineRule="auto"/>
        <w:ind w:firstLine="708"/>
        <w:jc w:val="both"/>
        <w:rPr>
          <w:rFonts w:ascii="Verdana" w:hAnsi="Verdana"/>
          <w:lang w:val="es-ES"/>
        </w:rPr>
      </w:pPr>
      <w:r w:rsidRPr="00E009FE">
        <w:rPr>
          <w:rFonts w:ascii="Verdana" w:hAnsi="Verdana" w:cs="Arial"/>
          <w:bCs/>
          <w:color w:val="000000" w:themeColor="text1"/>
          <w:lang w:val="es-ES"/>
        </w:rPr>
        <w:t>Como parte del deber de planeación, previo al inicio de un proceso de selección para la contratación de una obra pública, la entidad estatal debe contar con “los estudios y diseños que permitan establecer la viabilidad del proyecto y su impacto social, económico y ambiental”, en los términos del numeral 12 del artículo 25 de la Ley 80 de 1993, modificado por el artículo 87 de la Ley 1474 de 2011</w:t>
      </w:r>
      <w:r w:rsidRPr="00E009FE">
        <w:rPr>
          <w:rStyle w:val="FootnoteReference"/>
          <w:rFonts w:ascii="Verdana" w:hAnsi="Verdana" w:cs="Arial"/>
          <w:bCs/>
          <w:color w:val="000000" w:themeColor="text1"/>
          <w:lang w:val="es-ES"/>
        </w:rPr>
        <w:footnoteReference w:id="10"/>
      </w:r>
      <w:r w:rsidRPr="00E009FE">
        <w:rPr>
          <w:rFonts w:ascii="Verdana" w:hAnsi="Verdana"/>
          <w:lang w:val="es-ES"/>
        </w:rPr>
        <w:t>. De hecho, el numeral 3 del artículo 26 del EGCAP prescribe que las entidades y los servidores públicos responderán cuando hubieren iniciado procedimientos de selección sin haber elaborado los diseños correspondientes</w:t>
      </w:r>
      <w:r w:rsidRPr="00E009FE">
        <w:rPr>
          <w:rStyle w:val="FootnoteReference"/>
          <w:rFonts w:ascii="Verdana" w:hAnsi="Verdana"/>
          <w:lang w:val="es-ES"/>
        </w:rPr>
        <w:footnoteReference w:id="11"/>
      </w:r>
      <w:r w:rsidRPr="00E009FE">
        <w:rPr>
          <w:rFonts w:ascii="Verdana" w:hAnsi="Verdana"/>
          <w:lang w:val="es-ES"/>
        </w:rPr>
        <w:t xml:space="preserve">. </w:t>
      </w:r>
    </w:p>
    <w:p w14:paraId="4D69B82C" w14:textId="77777777" w:rsidR="001D0810" w:rsidRPr="00E009FE" w:rsidRDefault="001D0810" w:rsidP="001D0810">
      <w:pPr>
        <w:spacing w:before="120" w:after="120" w:line="276" w:lineRule="auto"/>
        <w:ind w:firstLine="708"/>
        <w:jc w:val="both"/>
        <w:rPr>
          <w:rFonts w:ascii="Verdana" w:hAnsi="Verdana" w:cs="Arial"/>
          <w:sz w:val="21"/>
          <w:szCs w:val="21"/>
          <w:lang w:val="es-ES"/>
        </w:rPr>
      </w:pPr>
      <w:r w:rsidRPr="00E009FE">
        <w:rPr>
          <w:rFonts w:ascii="Verdana" w:hAnsi="Verdana"/>
          <w:lang w:val="es-ES"/>
        </w:rPr>
        <w:t xml:space="preserve">Igualmente, para los procesos de licitación pública, el numeral primero del artículo 30 </w:t>
      </w:r>
      <w:r w:rsidRPr="00E009FE">
        <w:rPr>
          <w:rFonts w:ascii="Verdana" w:hAnsi="Verdana"/>
          <w:i/>
          <w:iCs/>
          <w:lang w:val="es-ES"/>
        </w:rPr>
        <w:t>ibidem</w:t>
      </w:r>
      <w:r w:rsidRPr="00E009FE">
        <w:rPr>
          <w:rFonts w:ascii="Verdana" w:hAnsi="Verdana"/>
          <w:lang w:val="es-ES"/>
        </w:rPr>
        <w:t xml:space="preserve"> prescribe que </w:t>
      </w:r>
      <w:r w:rsidRPr="00E009FE">
        <w:rPr>
          <w:lang w:val="es-ES"/>
        </w:rPr>
        <w:t>“</w:t>
      </w:r>
      <w:r w:rsidRPr="00E009FE">
        <w:rPr>
          <w:rFonts w:ascii="Verdana" w:hAnsi="Verdana"/>
          <w:lang w:val="es-ES"/>
        </w:rPr>
        <w:t xml:space="preserve">De conformidad con lo previsto en el numeral 12 del artículo 25 de esta ley, la resolución de apertura debe estar precedida de un estudio realizado por la entidad respectiva en el cual se analice la conveniencia y oportunidad del contrato y su adecuación a los planes de </w:t>
      </w:r>
      <w:r w:rsidRPr="00E009FE">
        <w:rPr>
          <w:rFonts w:ascii="Verdana" w:hAnsi="Verdana"/>
          <w:lang w:val="es-ES"/>
        </w:rPr>
        <w:lastRenderedPageBreak/>
        <w:t xml:space="preserve">inversión, de adquisición o compras, presupuesto y ley de apropiaciones, según el caso. </w:t>
      </w:r>
      <w:r w:rsidRPr="00E009FE">
        <w:rPr>
          <w:rFonts w:ascii="Verdana" w:hAnsi="Verdana"/>
          <w:i/>
          <w:iCs/>
          <w:lang w:val="es-ES"/>
        </w:rPr>
        <w:t>Cuando sea necesario, el estudio deberá estar acompañado, además, de los diseños, planos y evaluaciones de prefactibilidad o factibilidad</w:t>
      </w:r>
      <w:r w:rsidRPr="00E009FE">
        <w:rPr>
          <w:lang w:val="es-ES"/>
        </w:rPr>
        <w:t>”</w:t>
      </w:r>
      <w:r w:rsidRPr="00E009FE">
        <w:rPr>
          <w:rFonts w:ascii="Verdana" w:hAnsi="Verdana"/>
          <w:lang w:val="es-ES"/>
        </w:rPr>
        <w:t xml:space="preserve"> (Énfasis fuera de texto).</w:t>
      </w:r>
    </w:p>
    <w:p w14:paraId="6BCB3DFB" w14:textId="77777777" w:rsidR="001D0810" w:rsidRPr="00E009FE" w:rsidRDefault="001D0810" w:rsidP="001D0810">
      <w:pPr>
        <w:pStyle w:val="BodyText"/>
        <w:spacing w:after="120" w:line="276" w:lineRule="auto"/>
        <w:ind w:firstLine="708"/>
        <w:jc w:val="both"/>
      </w:pPr>
      <w:r w:rsidRPr="00E009FE">
        <w:t xml:space="preserve">No obstante, </w:t>
      </w:r>
      <w:r w:rsidRPr="00E009FE">
        <w:rPr>
          <w:bCs/>
          <w:color w:val="000000" w:themeColor="text1"/>
        </w:rPr>
        <w:t xml:space="preserve">el numeral 12 del artículo 25 de la Ley 80 de 1993 </w:t>
      </w:r>
      <w:r w:rsidRPr="00E009FE">
        <w:t xml:space="preserve">no impide que en un mismo proceso de contratación se adelante de forma conjunta el proceso de construcción de la obra y la elaboración de los estudios y diseños que expliquen con mayor detalle a las obras y estructuras que se requieran, de tal forma que un constructor pueda materializar el proyecto, ya que sólo se requiere que existan unos estudios de viabilidad. Lo anterior se reitera con lo previsto en el artículo 2.2.1.1.2.1.1 del Decreto 1082 de 2015, el cual señala que, dentro de los estudios previos, cuando el objeto de contratación incluye el diseño y construcción, </w:t>
      </w:r>
      <w:r w:rsidRPr="00E009FE">
        <w:rPr>
          <w:i/>
          <w:iCs/>
        </w:rPr>
        <w:t>se requieren los documentos técnicos del proyecto</w:t>
      </w:r>
      <w:r w:rsidRPr="00E009FE">
        <w:rPr>
          <w:rStyle w:val="FootnoteReference"/>
        </w:rPr>
        <w:footnoteReference w:id="12"/>
      </w:r>
      <w:r w:rsidRPr="00E009FE">
        <w:t xml:space="preserve">. </w:t>
      </w:r>
    </w:p>
    <w:p w14:paraId="6F15C9C1" w14:textId="77777777" w:rsidR="001D0810" w:rsidRPr="00E009FE" w:rsidRDefault="001D0810" w:rsidP="001D0810">
      <w:pPr>
        <w:pStyle w:val="BodyText"/>
        <w:spacing w:after="120" w:line="276" w:lineRule="auto"/>
        <w:ind w:firstLine="708"/>
        <w:jc w:val="both"/>
      </w:pPr>
      <w:r w:rsidRPr="00E009FE">
        <w:t>En este sentido, la norma prevé de forma expresa la posibilidad que en un mismo proceso de contratación se adelante la elaboración de los diseños y la construcción de una obra. En otras palabras, debe quedar claro que la obligación contractual a cargo del contratista de obra de realizar los estudios y diseños para la obra pública constituye una forma en la que se satisface plenamente el deber legal de contar, de manera p</w:t>
      </w:r>
      <w:r w:rsidRPr="00E009FE">
        <w:rPr>
          <w:bCs/>
          <w:color w:val="000000" w:themeColor="text1"/>
        </w:rPr>
        <w:t>revia a la apertura de un procedimiento de licitación para la contratación de una obra pública, con los estudios y diseños que permitan establecer la viabilidad del proyecto y su impacto social, económico y ambiental</w:t>
      </w:r>
      <w:r w:rsidRPr="00E009FE">
        <w:rPr>
          <w:rStyle w:val="FootnoteReference"/>
          <w:bCs/>
          <w:color w:val="000000" w:themeColor="text1"/>
        </w:rPr>
        <w:footnoteReference w:id="13"/>
      </w:r>
      <w:r w:rsidRPr="00E009FE">
        <w:rPr>
          <w:bCs/>
          <w:color w:val="000000" w:themeColor="text1"/>
        </w:rPr>
        <w:t>.</w:t>
      </w:r>
    </w:p>
    <w:p w14:paraId="31E9EFD1" w14:textId="77777777" w:rsidR="001D0810" w:rsidRPr="00E009FE" w:rsidRDefault="001D0810" w:rsidP="001D0810">
      <w:pPr>
        <w:pStyle w:val="BodyText"/>
        <w:spacing w:before="120" w:line="276" w:lineRule="auto"/>
        <w:ind w:firstLine="709"/>
        <w:jc w:val="both"/>
      </w:pPr>
      <w:r w:rsidRPr="00E009FE">
        <w:t xml:space="preserve">Es importante subrayar que en nuestro ordenamiento jurídico existen distintas fases para la elaboración y contratación de los estudios de viabilidad de un proyecto de construcción. En efecto, el artículo 12 de la Ley 1862 de 2013 define y clasifica los diversos estudios de ingeniería que se adelantan para la </w:t>
      </w:r>
      <w:r w:rsidRPr="00E009FE">
        <w:lastRenderedPageBreak/>
        <w:t xml:space="preserve">ejecución de los proyectos de infraestructura de transporte en: i) fase I- prefactibilidad, </w:t>
      </w:r>
      <w:proofErr w:type="spellStart"/>
      <w:r w:rsidRPr="00E009FE">
        <w:t>ii</w:t>
      </w:r>
      <w:proofErr w:type="spellEnd"/>
      <w:r w:rsidRPr="00E009FE">
        <w:t xml:space="preserve">) fase II- factibilidad y </w:t>
      </w:r>
      <w:proofErr w:type="spellStart"/>
      <w:r w:rsidRPr="00E009FE">
        <w:t>iii</w:t>
      </w:r>
      <w:proofErr w:type="spellEnd"/>
      <w:r w:rsidRPr="00E009FE">
        <w:t>) fase III- estudios y diseños</w:t>
      </w:r>
      <w:r w:rsidRPr="00E009FE">
        <w:rPr>
          <w:spacing w:val="-1"/>
        </w:rPr>
        <w:t xml:space="preserve"> </w:t>
      </w:r>
      <w:r w:rsidRPr="00E009FE">
        <w:t>definitivos.</w:t>
      </w:r>
    </w:p>
    <w:p w14:paraId="76A204C2" w14:textId="77777777" w:rsidR="001D0810" w:rsidRPr="00E009FE" w:rsidRDefault="001D0810" w:rsidP="001D0810">
      <w:pPr>
        <w:pStyle w:val="BodyText"/>
        <w:spacing w:before="120" w:after="120" w:line="276" w:lineRule="auto"/>
        <w:ind w:firstLine="709"/>
        <w:jc w:val="both"/>
      </w:pPr>
      <w:r w:rsidRPr="00E009FE">
        <w:t>El estudio de “Fase 1. Prefactibilidad” es el que se realiza el prediseño aproximado del proyecto, presentando alternativas y realizar la evaluación económica preliminar recurriendo a costos obtenidos en proyectos con condiciones similares, utilizando modelos de simulación debidamente aprobados por las entidades solicitantes. En el estudio de “Fase 2. Factibilidad” se debe diseñar el proyecto y efectuar la evaluación económica final, y, además, tiene por finalidad establecer si el proyecto es factible para su ejecución, considerando todos los aspectos relacionados con el mismo. Finalmente, en el estudio de “Fase 3. Estudios y diseños definitivos” se deben elaborar los diseños detallados tanto geométricos como de todas las estructuras y obras que se requieran, de tal forma que un constructor pueda materializar el proyecto</w:t>
      </w:r>
      <w:r w:rsidRPr="00E009FE">
        <w:rPr>
          <w:rStyle w:val="FootnoteReference"/>
        </w:rPr>
        <w:footnoteReference w:id="14"/>
      </w:r>
      <w:r w:rsidRPr="00E009FE">
        <w:t>. De acuerdo con las definiciones de los estudios de ingeniería es posible concluir que, para adelantar el proceso de contratación, cuyo objeto consiste en la construcción de una obra pública, se requerirá contar con los estudios de prefactibilidad y estudios de factibilidad, porque a través de estos se verifica la viabilidad del</w:t>
      </w:r>
      <w:r w:rsidRPr="00E009FE">
        <w:rPr>
          <w:spacing w:val="-9"/>
        </w:rPr>
        <w:t xml:space="preserve"> </w:t>
      </w:r>
      <w:r w:rsidRPr="00E009FE">
        <w:t>proyecto.</w:t>
      </w:r>
    </w:p>
    <w:p w14:paraId="409D6C87" w14:textId="77777777" w:rsidR="001D0810" w:rsidRPr="00E009FE" w:rsidRDefault="001D0810" w:rsidP="001D0810">
      <w:pPr>
        <w:spacing w:after="0" w:line="276" w:lineRule="auto"/>
        <w:ind w:firstLine="708"/>
        <w:jc w:val="both"/>
        <w:rPr>
          <w:rFonts w:ascii="Verdana" w:hAnsi="Verdana" w:cs="Arial"/>
          <w:lang w:val="es-ES"/>
        </w:rPr>
      </w:pPr>
      <w:r w:rsidRPr="00E009FE">
        <w:rPr>
          <w:rFonts w:ascii="Verdana" w:hAnsi="Verdana" w:cs="Arial"/>
          <w:bCs/>
          <w:color w:val="000000" w:themeColor="text1"/>
          <w:lang w:val="es-ES"/>
        </w:rPr>
        <w:lastRenderedPageBreak/>
        <w:t>En el evento en que la entidad estatal ya cuente con estudios y diseños para la obra pública, siempre en cumplimiento del principio de planeación y con el fin de corroborar la “viabilidad</w:t>
      </w:r>
      <w:r w:rsidRPr="00E009FE">
        <w:rPr>
          <w:rFonts w:ascii="Verdana" w:hAnsi="Verdana" w:cs="Arial"/>
          <w:lang w:val="es-ES"/>
        </w:rPr>
        <w:t xml:space="preserve">” del proyecto, puede modificarlos o ajustarlos. Precisamente, en relación con este supuesto, la Sala de Consulta y Servicio Civil del Consejo de Estado considera que: </w:t>
      </w:r>
    </w:p>
    <w:p w14:paraId="7259602A" w14:textId="77777777" w:rsidR="001D0810" w:rsidRPr="00E009FE" w:rsidRDefault="001D0810" w:rsidP="001D0810">
      <w:pPr>
        <w:spacing w:after="0" w:line="276" w:lineRule="auto"/>
        <w:ind w:firstLine="708"/>
        <w:jc w:val="both"/>
        <w:rPr>
          <w:rFonts w:ascii="Verdana" w:hAnsi="Verdana" w:cs="Arial"/>
          <w:lang w:val="es-ES"/>
        </w:rPr>
      </w:pPr>
    </w:p>
    <w:p w14:paraId="69CB2564" w14:textId="77777777" w:rsidR="001D0810" w:rsidRPr="00FF53BE" w:rsidRDefault="001D0810" w:rsidP="001D0810">
      <w:pPr>
        <w:spacing w:line="240" w:lineRule="auto"/>
        <w:ind w:left="709" w:right="709"/>
        <w:jc w:val="both"/>
        <w:rPr>
          <w:rFonts w:ascii="Verdana" w:hAnsi="Verdana" w:cs="Arial"/>
          <w:sz w:val="20"/>
          <w:szCs w:val="20"/>
          <w:lang w:val="es-ES"/>
        </w:rPr>
      </w:pPr>
      <w:r w:rsidRPr="00FF53BE">
        <w:rPr>
          <w:rFonts w:ascii="Verdana" w:hAnsi="Verdana" w:cs="Arial"/>
          <w:sz w:val="20"/>
          <w:szCs w:val="20"/>
          <w:lang w:val="es-ES"/>
        </w:rPr>
        <w:t xml:space="preserve">“La contratación, entendida como un instrumento para alcanzar los fines estatales y satisfacer el interés público, </w:t>
      </w:r>
      <w:r w:rsidRPr="00FF53BE">
        <w:rPr>
          <w:rFonts w:ascii="Verdana" w:hAnsi="Verdana" w:cs="Arial"/>
          <w:i/>
          <w:sz w:val="20"/>
          <w:szCs w:val="20"/>
          <w:lang w:val="es-ES"/>
        </w:rPr>
        <w:t>hace que la administración se encuentre facultada para modificar los diseños y estudios previstos inicialmente para la ejecución de una obra pública, cuando éstos adolezcan de errores o sean insuficientes o inadecuados</w:t>
      </w:r>
      <w:r w:rsidRPr="00FF53BE">
        <w:rPr>
          <w:rFonts w:ascii="Verdana" w:hAnsi="Verdana" w:cs="Arial"/>
          <w:b/>
          <w:bCs/>
          <w:sz w:val="20"/>
          <w:szCs w:val="20"/>
          <w:lang w:val="es-ES"/>
        </w:rPr>
        <w:t>,</w:t>
      </w:r>
      <w:r w:rsidRPr="00FF53BE">
        <w:rPr>
          <w:rFonts w:ascii="Verdana" w:hAnsi="Verdana" w:cs="Arial"/>
          <w:sz w:val="20"/>
          <w:szCs w:val="20"/>
          <w:lang w:val="es-ES"/>
        </w:rPr>
        <w:t xml:space="preserve"> independientemente de la responsabilidad que ello pueda</w:t>
      </w:r>
      <w:r w:rsidRPr="00FF53BE">
        <w:rPr>
          <w:rFonts w:ascii="Verdana" w:hAnsi="Verdana" w:cs="Arial"/>
          <w:spacing w:val="-5"/>
          <w:sz w:val="20"/>
          <w:szCs w:val="20"/>
          <w:lang w:val="es-ES"/>
        </w:rPr>
        <w:t xml:space="preserve"> </w:t>
      </w:r>
      <w:r w:rsidRPr="00FF53BE">
        <w:rPr>
          <w:rFonts w:ascii="Verdana" w:hAnsi="Verdana" w:cs="Arial"/>
          <w:sz w:val="20"/>
          <w:szCs w:val="20"/>
          <w:lang w:val="es-ES"/>
        </w:rPr>
        <w:t xml:space="preserve">generar. </w:t>
      </w:r>
    </w:p>
    <w:p w14:paraId="31664A2A" w14:textId="77777777" w:rsidR="001D0810" w:rsidRPr="00FF53BE" w:rsidRDefault="001D0810" w:rsidP="001D0810">
      <w:pPr>
        <w:spacing w:before="121" w:line="240" w:lineRule="auto"/>
        <w:ind w:left="709" w:right="709"/>
        <w:jc w:val="both"/>
        <w:rPr>
          <w:rFonts w:ascii="Verdana" w:hAnsi="Verdana" w:cs="Arial"/>
          <w:sz w:val="20"/>
          <w:szCs w:val="20"/>
          <w:lang w:val="es-ES"/>
        </w:rPr>
      </w:pPr>
      <w:r w:rsidRPr="00FF53BE">
        <w:rPr>
          <w:rFonts w:ascii="Verdana" w:hAnsi="Verdana" w:cs="Arial"/>
          <w:sz w:val="20"/>
          <w:szCs w:val="20"/>
          <w:lang w:val="es-ES"/>
        </w:rPr>
        <w:t>Por consiguiente, si para alcanzar el objeto contractual se hace necesario corregir errores de diseño o buscar soluciones técnicas alternativas frente a eventos no previstos</w:t>
      </w:r>
      <w:r w:rsidRPr="00FF53BE">
        <w:rPr>
          <w:rFonts w:ascii="Verdana" w:hAnsi="Verdana" w:cs="Arial"/>
          <w:b/>
          <w:sz w:val="20"/>
          <w:szCs w:val="20"/>
          <w:lang w:val="es-ES"/>
        </w:rPr>
        <w:t xml:space="preserve">, </w:t>
      </w:r>
      <w:r w:rsidRPr="00FF53BE">
        <w:rPr>
          <w:rFonts w:ascii="Verdana" w:hAnsi="Verdana" w:cs="Arial"/>
          <w:i/>
          <w:sz w:val="20"/>
          <w:szCs w:val="20"/>
          <w:lang w:val="es-ES"/>
        </w:rPr>
        <w:t xml:space="preserve">la administración está en la posibilidad, y en el deber jurídico, de adecuar los diseños y estudios, así ello implique la ejecución de una mayor cantidad de obra y el desarrollo de obras adicionales al objeto </w:t>
      </w:r>
      <w:r w:rsidRPr="00FF53BE">
        <w:rPr>
          <w:rFonts w:ascii="Verdana" w:hAnsi="Verdana" w:cs="Arial"/>
          <w:sz w:val="20"/>
          <w:szCs w:val="20"/>
          <w:lang w:val="es-ES"/>
        </w:rPr>
        <w:t>contractual, máxime si, como en el caso que nos ocupa, actuar de una manera distinta puede comprometer la estabilidad misma de los trabajos.</w:t>
      </w:r>
    </w:p>
    <w:p w14:paraId="3C38091F" w14:textId="77777777" w:rsidR="001D0810" w:rsidRPr="00FF53BE" w:rsidRDefault="001D0810" w:rsidP="001D0810">
      <w:pPr>
        <w:spacing w:before="120" w:after="0" w:line="240" w:lineRule="auto"/>
        <w:ind w:left="709" w:right="709"/>
        <w:jc w:val="both"/>
        <w:rPr>
          <w:rFonts w:ascii="Verdana" w:hAnsi="Verdana" w:cs="Arial"/>
          <w:sz w:val="20"/>
          <w:szCs w:val="20"/>
          <w:lang w:val="es-ES"/>
        </w:rPr>
      </w:pPr>
      <w:r w:rsidRPr="00FF53BE">
        <w:rPr>
          <w:rFonts w:ascii="Verdana" w:hAnsi="Verdana" w:cs="Arial"/>
          <w:i/>
          <w:sz w:val="20"/>
          <w:szCs w:val="20"/>
          <w:lang w:val="es-ES"/>
        </w:rPr>
        <w:t xml:space="preserve">De lo anterior resulta claro que es un deber de la administración ordenar las modificaciones necesarias para responder por la buena ejecución </w:t>
      </w:r>
      <w:r w:rsidRPr="00FF53BE">
        <w:rPr>
          <w:rFonts w:ascii="Verdana" w:hAnsi="Verdana" w:cs="Arial"/>
          <w:sz w:val="20"/>
          <w:szCs w:val="20"/>
          <w:lang w:val="es-ES"/>
        </w:rPr>
        <w:t>de los trabajos y el logro del fin perseguido con la contratación; es un imperativo de su gestión, al cual no puede sustraerse so pena de incurrir en responsabilidad por omisión, pues iría en contra de lo previsto en el artículo 3º de la Ley 80 de 1993”</w:t>
      </w:r>
      <w:r w:rsidRPr="00FF53BE">
        <w:rPr>
          <w:rStyle w:val="FootnoteReference"/>
          <w:rFonts w:ascii="Verdana" w:hAnsi="Verdana" w:cs="Arial"/>
          <w:sz w:val="20"/>
          <w:szCs w:val="20"/>
          <w:lang w:val="es-ES"/>
        </w:rPr>
        <w:footnoteReference w:id="15"/>
      </w:r>
      <w:r w:rsidRPr="00FF53BE">
        <w:rPr>
          <w:rFonts w:ascii="Verdana" w:hAnsi="Verdana" w:cs="Arial"/>
          <w:sz w:val="20"/>
          <w:szCs w:val="20"/>
          <w:lang w:val="es-ES"/>
        </w:rPr>
        <w:t>. (Énfasis fuera del texto)</w:t>
      </w:r>
    </w:p>
    <w:p w14:paraId="4CC2B843" w14:textId="77777777" w:rsidR="001D0810" w:rsidRPr="00E009FE" w:rsidRDefault="001D0810" w:rsidP="001D0810">
      <w:pPr>
        <w:pStyle w:val="BodyText"/>
      </w:pPr>
    </w:p>
    <w:p w14:paraId="6523BF8C" w14:textId="77777777" w:rsidR="001D0810" w:rsidRPr="00E009FE" w:rsidRDefault="001D0810" w:rsidP="001D0810">
      <w:pPr>
        <w:pStyle w:val="BodyText"/>
        <w:spacing w:line="276" w:lineRule="auto"/>
        <w:ind w:firstLine="709"/>
        <w:jc w:val="both"/>
      </w:pPr>
      <w:r w:rsidRPr="00E009FE">
        <w:t>Dicho lo anterior, es un deber jurídico de la entidad estatal adecuar los diseños y estudios, con el fin de procurar que la ejecución de la obra cumpla con las finalidades previstas. En este sentido, el alcance del objeto del contrato de obra pública permitiría que una de las obligaciones del contratista sea ajustar, revisar y/o modificar los estudios con que cuenta la entidad pública contratante. De hecho, esta situación se prevé en los documentos tipo para la licitación de obra pública de infraestructura de transporte</w:t>
      </w:r>
      <w:r w:rsidRPr="00E009FE">
        <w:rPr>
          <w:rStyle w:val="FootnoteReference"/>
        </w:rPr>
        <w:footnoteReference w:id="16"/>
      </w:r>
      <w:r w:rsidRPr="00E009FE">
        <w:t xml:space="preserve">. En el mismo sentido, la doctrina </w:t>
      </w:r>
      <w:r w:rsidRPr="00E009FE">
        <w:lastRenderedPageBreak/>
        <w:t>considera lo siguiente:</w:t>
      </w:r>
    </w:p>
    <w:p w14:paraId="27785C91" w14:textId="77777777" w:rsidR="001D0810" w:rsidRPr="00E009FE" w:rsidRDefault="001D0810" w:rsidP="001D0810">
      <w:pPr>
        <w:pStyle w:val="BodyText"/>
        <w:spacing w:line="276" w:lineRule="auto"/>
        <w:ind w:firstLine="709"/>
        <w:jc w:val="both"/>
      </w:pPr>
    </w:p>
    <w:p w14:paraId="4F83E012" w14:textId="77777777" w:rsidR="001D0810" w:rsidRPr="00FF53BE" w:rsidRDefault="001D0810" w:rsidP="001D0810">
      <w:pPr>
        <w:spacing w:after="0" w:line="240" w:lineRule="auto"/>
        <w:ind w:left="709" w:right="709"/>
        <w:jc w:val="both"/>
        <w:rPr>
          <w:rFonts w:ascii="Verdana" w:hAnsi="Verdana" w:cs="Arial"/>
          <w:sz w:val="20"/>
          <w:szCs w:val="20"/>
        </w:rPr>
      </w:pPr>
      <w:r w:rsidRPr="2DA6E0E6">
        <w:rPr>
          <w:rFonts w:ascii="Verdana" w:hAnsi="Verdana" w:cs="Arial"/>
          <w:sz w:val="20"/>
          <w:szCs w:val="20"/>
        </w:rPr>
        <w:t xml:space="preserve">“A menos de que el contrato se ordene, el constructor no está obligado a revisar ni a completar los diseños constitutivos del proyecto, porque el diseño y la construcción son actividades especializadas. </w:t>
      </w:r>
      <w:r w:rsidRPr="2DA6E0E6">
        <w:rPr>
          <w:rFonts w:ascii="Verdana" w:hAnsi="Verdana" w:cs="Arial"/>
          <w:i/>
          <w:sz w:val="20"/>
          <w:szCs w:val="20"/>
        </w:rPr>
        <w:t xml:space="preserve">Pero en ocasiones el constructor es llamado a verificar y al complementar los diseños, e incluso adoptarlos como suyos. Entonces el dueño le traslada verdaderas obligaciones profesionales tocantes con la concepción misma del proyecto cuya ejecución le ha confiado </w:t>
      </w:r>
      <w:r w:rsidRPr="2DA6E0E6">
        <w:rPr>
          <w:rFonts w:ascii="Verdana" w:hAnsi="Verdana" w:cs="Arial"/>
          <w:sz w:val="20"/>
          <w:szCs w:val="20"/>
        </w:rPr>
        <w:t>[…]”</w:t>
      </w:r>
      <w:r w:rsidRPr="2DA6E0E6">
        <w:rPr>
          <w:rStyle w:val="FootnoteReference"/>
          <w:rFonts w:ascii="Verdana" w:hAnsi="Verdana" w:cs="Arial"/>
          <w:sz w:val="20"/>
          <w:szCs w:val="20"/>
        </w:rPr>
        <w:footnoteReference w:id="17"/>
      </w:r>
      <w:r w:rsidRPr="2DA6E0E6">
        <w:rPr>
          <w:rFonts w:ascii="Verdana" w:hAnsi="Verdana" w:cs="Arial"/>
          <w:sz w:val="20"/>
          <w:szCs w:val="20"/>
        </w:rPr>
        <w:t>. (Énfasis fuera de</w:t>
      </w:r>
      <w:r w:rsidRPr="2DA6E0E6">
        <w:rPr>
          <w:rFonts w:ascii="Verdana" w:hAnsi="Verdana" w:cs="Arial"/>
          <w:spacing w:val="-10"/>
          <w:sz w:val="20"/>
          <w:szCs w:val="20"/>
        </w:rPr>
        <w:t xml:space="preserve"> </w:t>
      </w:r>
      <w:r w:rsidRPr="2DA6E0E6">
        <w:rPr>
          <w:rFonts w:ascii="Verdana" w:hAnsi="Verdana" w:cs="Arial"/>
          <w:sz w:val="20"/>
          <w:szCs w:val="20"/>
        </w:rPr>
        <w:t>texto)</w:t>
      </w:r>
    </w:p>
    <w:p w14:paraId="1137F1A0" w14:textId="77777777" w:rsidR="001D0810" w:rsidRPr="00E009FE" w:rsidRDefault="001D0810" w:rsidP="001D0810">
      <w:pPr>
        <w:tabs>
          <w:tab w:val="left" w:pos="426"/>
        </w:tabs>
        <w:spacing w:after="0" w:line="276" w:lineRule="auto"/>
        <w:jc w:val="both"/>
        <w:rPr>
          <w:rFonts w:ascii="Verdana" w:hAnsi="Verdana" w:cs="Arial"/>
          <w:b/>
          <w:bCs/>
          <w:lang w:val="es-ES"/>
        </w:rPr>
      </w:pPr>
    </w:p>
    <w:p w14:paraId="2A3D4DDC" w14:textId="77777777" w:rsidR="001D0810" w:rsidRPr="00E009FE" w:rsidRDefault="001D0810" w:rsidP="001D0810">
      <w:pPr>
        <w:spacing w:after="120" w:line="276" w:lineRule="auto"/>
        <w:ind w:firstLine="707"/>
        <w:jc w:val="both"/>
        <w:rPr>
          <w:rFonts w:ascii="Verdana" w:hAnsi="Verdana"/>
          <w:lang w:val="es-ES"/>
        </w:rPr>
      </w:pPr>
      <w:r w:rsidRPr="00E009FE">
        <w:rPr>
          <w:rFonts w:ascii="Verdana" w:hAnsi="Verdana" w:cs="Arial"/>
          <w:bCs/>
          <w:color w:val="000000" w:themeColor="text1"/>
          <w:lang w:val="es-ES"/>
        </w:rPr>
        <w:t>Otra de las opciones jurídicas previstas en nuestro ordenamiento jurídico para la elaboración de los estudios y diseños se encuentra en la tipología contractual denominada “llave en mano”. En efecto, según la Guía de obra pública, en esta tipología contractual “</w:t>
      </w:r>
      <w:bookmarkStart w:id="17" w:name="_Hlk69292474"/>
      <w:r w:rsidRPr="00E009FE">
        <w:rPr>
          <w:rFonts w:ascii="Verdana" w:hAnsi="Verdana" w:cs="Arial"/>
          <w:bCs/>
          <w:color w:val="000000" w:themeColor="text1"/>
          <w:lang w:val="es-ES"/>
        </w:rPr>
        <w:t>el contratista se compromete a realizar todas las labores relacionadas con la obra incluyendo los diseños, estudios de factibilidad, construcción, contratación del personal, instalaciones y suministros y la contraprestación a cargo del contratista es la obra terminada y en funcionamiento</w:t>
      </w:r>
      <w:bookmarkEnd w:id="17"/>
      <w:r w:rsidRPr="00E009FE">
        <w:rPr>
          <w:rFonts w:ascii="Verdana" w:eastAsia="Calibri" w:hAnsi="Verdana" w:cs="Arial"/>
          <w:color w:val="000000" w:themeColor="text1"/>
          <w:lang w:val="es-ES"/>
        </w:rPr>
        <w:t>”</w:t>
      </w:r>
      <w:r w:rsidRPr="00E009FE">
        <w:rPr>
          <w:rStyle w:val="FootnoteReference"/>
          <w:rFonts w:ascii="Verdana" w:eastAsia="Calibri" w:hAnsi="Verdana" w:cs="Arial"/>
          <w:color w:val="000000" w:themeColor="text1"/>
          <w:lang w:val="es-ES"/>
        </w:rPr>
        <w:footnoteReference w:id="18"/>
      </w:r>
      <w:r w:rsidRPr="00E009FE">
        <w:rPr>
          <w:rFonts w:ascii="Verdana" w:eastAsia="Calibri" w:hAnsi="Verdana" w:cs="Arial"/>
          <w:color w:val="000000" w:themeColor="text1"/>
          <w:lang w:val="es-ES"/>
        </w:rPr>
        <w:t>.</w:t>
      </w:r>
      <w:r w:rsidRPr="00E009FE">
        <w:rPr>
          <w:rFonts w:ascii="Verdana" w:hAnsi="Verdana"/>
          <w:lang w:val="es-ES"/>
        </w:rPr>
        <w:t xml:space="preserve"> </w:t>
      </w:r>
      <w:r w:rsidRPr="00E009FE">
        <w:rPr>
          <w:rFonts w:ascii="Verdana" w:hAnsi="Verdana" w:cs="Arial"/>
          <w:lang w:val="es-ES"/>
        </w:rPr>
        <w:t>De este modo, resulta claro que el contrato “llave en mano” es un sistema de contratación para construcción de obras, en el que el contratista se compromete a ejecutar la totalidad de prestaciones, incluyendo estudios previos, diseños, suministro de equipos, ejecución de la obra en condiciones tales que, al finalizar la labor, permita a la entidad contratante la puesta en marcha de obra en el momento en que se efectúe su</w:t>
      </w:r>
      <w:r w:rsidRPr="00E009FE">
        <w:rPr>
          <w:rFonts w:ascii="Verdana" w:hAnsi="Verdana" w:cs="Arial"/>
          <w:spacing w:val="-16"/>
          <w:lang w:val="es-ES"/>
        </w:rPr>
        <w:t xml:space="preserve"> </w:t>
      </w:r>
      <w:r w:rsidRPr="00E009FE">
        <w:rPr>
          <w:rFonts w:ascii="Verdana" w:hAnsi="Verdana" w:cs="Arial"/>
          <w:lang w:val="es-ES"/>
        </w:rPr>
        <w:t>entrega.</w:t>
      </w:r>
    </w:p>
    <w:p w14:paraId="0CE0B662" w14:textId="77777777" w:rsidR="001D0810" w:rsidRPr="00E009FE" w:rsidRDefault="001D0810" w:rsidP="001D0810">
      <w:pPr>
        <w:pStyle w:val="BodyText"/>
        <w:spacing w:before="120" w:line="276" w:lineRule="auto"/>
        <w:ind w:firstLine="709"/>
        <w:jc w:val="both"/>
      </w:pPr>
      <w:r w:rsidRPr="00E009FE">
        <w:t xml:space="preserve">Conforme al alcance normativo del objeto del contrato de obra, en dicha tipología contractual es posible establecer cláusulas para realización de los diseños. De lo anterior se desprende que la entidad pública contratante, en </w:t>
      </w:r>
      <w:r w:rsidRPr="00E009FE">
        <w:lastRenderedPageBreak/>
        <w:t>ejercicio de su discrecionalidad, también puede contratar los diseños mediante un contrato de consultoría que sea resultado de un concurso de méritos, pues dicha actividad se enmarca en el alcance del artículo 32.2 de la Ley 80 de 1993. De esta manera, “[…] si la necesidad […] es ‘diseñar y construir’, la misma se satisface contratando ambas cosas. Si por el contrario es solo ‘diseñar’, se entiende contratado únicamente el diseño. Por lo dicho, los ‘diseños’ que se requieren previamente son los proporcionales a la necesidad a satisfacer”</w:t>
      </w:r>
      <w:r w:rsidRPr="00E009FE">
        <w:rPr>
          <w:rStyle w:val="FootnoteReference"/>
        </w:rPr>
        <w:footnoteReference w:id="19"/>
      </w:r>
      <w:r w:rsidRPr="00E009FE">
        <w:t xml:space="preserve">. </w:t>
      </w:r>
    </w:p>
    <w:p w14:paraId="23C18FB1" w14:textId="77777777" w:rsidR="001D0810" w:rsidRPr="00E009FE" w:rsidRDefault="001D0810" w:rsidP="001D0810">
      <w:pPr>
        <w:spacing w:after="0" w:line="276" w:lineRule="auto"/>
        <w:jc w:val="both"/>
        <w:rPr>
          <w:rFonts w:ascii="Verdana" w:eastAsia="Calibri" w:hAnsi="Verdana" w:cs="Arial"/>
          <w:bCs/>
          <w:color w:val="000000" w:themeColor="text1"/>
          <w:lang w:val="es-ES"/>
        </w:rPr>
      </w:pPr>
    </w:p>
    <w:p w14:paraId="53B234B8" w14:textId="77777777" w:rsidR="001D0810" w:rsidRPr="00E009FE" w:rsidRDefault="001D0810" w:rsidP="001D0810">
      <w:pPr>
        <w:tabs>
          <w:tab w:val="left" w:pos="284"/>
        </w:tabs>
        <w:spacing w:line="276" w:lineRule="auto"/>
        <w:jc w:val="both"/>
        <w:rPr>
          <w:rFonts w:ascii="Verdana" w:eastAsia="Calibri" w:hAnsi="Verdana" w:cs="Arial"/>
          <w:color w:val="000000"/>
          <w:lang w:val="es-ES"/>
        </w:rPr>
      </w:pPr>
      <w:proofErr w:type="spellStart"/>
      <w:r w:rsidRPr="0093325F">
        <w:rPr>
          <w:rFonts w:ascii="Verdana" w:eastAsia="Calibri" w:hAnsi="Verdana" w:cs="Arial"/>
          <w:b/>
          <w:color w:val="000000" w:themeColor="text1"/>
          <w:lang w:val="es-ES"/>
        </w:rPr>
        <w:t>iii</w:t>
      </w:r>
      <w:proofErr w:type="spellEnd"/>
      <w:r w:rsidRPr="0093325F">
        <w:rPr>
          <w:rFonts w:ascii="Verdana" w:eastAsia="Calibri" w:hAnsi="Verdana" w:cs="Arial"/>
          <w:b/>
          <w:color w:val="000000" w:themeColor="text1"/>
          <w:lang w:val="es-ES"/>
        </w:rPr>
        <w:t>)</w:t>
      </w:r>
      <w:r w:rsidRPr="00E009FE">
        <w:rPr>
          <w:rFonts w:ascii="Verdana" w:eastAsia="Calibri" w:hAnsi="Verdana" w:cs="Arial"/>
          <w:bCs/>
          <w:color w:val="000000" w:themeColor="text1"/>
          <w:lang w:val="es-ES"/>
        </w:rPr>
        <w:t xml:space="preserve"> Sobre el tercer problema jurídico planteado, es importante aclarar que </w:t>
      </w:r>
      <w:r w:rsidRPr="00E009FE">
        <w:rPr>
          <w:rFonts w:ascii="Verdana" w:eastAsia="Calibri" w:hAnsi="Verdana" w:cs="Arial"/>
          <w:color w:val="000000"/>
          <w:lang w:val="es-ES"/>
        </w:rPr>
        <w:t xml:space="preserve">el </w:t>
      </w:r>
      <w:r w:rsidRPr="00E009FE">
        <w:rPr>
          <w:rFonts w:ascii="Verdana" w:eastAsia="Calibri" w:hAnsi="Verdana" w:cs="Arial"/>
          <w:color w:val="000000" w:themeColor="text1"/>
          <w:lang w:val="es-ES"/>
        </w:rPr>
        <w:t xml:space="preserve">EGCAP </w:t>
      </w:r>
      <w:r w:rsidRPr="00E009FE">
        <w:rPr>
          <w:rFonts w:ascii="Verdana" w:eastAsia="Calibri" w:hAnsi="Verdana" w:cs="Arial"/>
          <w:color w:val="000000"/>
          <w:lang w:val="es-ES"/>
        </w:rPr>
        <w:t>no establece una regulación expresa sobre la posibilidad de modificar los contratos celebrados por las Entidades Estatales, salvo la potestad exorbitante de modificación unilateral y la regulación que fija los porcentajes límite para adicionar los valores inicialmente pactados, como es el caso del artículo 40 de la Ley 80 de 1993</w:t>
      </w:r>
      <w:r w:rsidRPr="00E009FE">
        <w:rPr>
          <w:rFonts w:ascii="Verdana" w:eastAsia="Calibri" w:hAnsi="Verdana" w:cs="Arial"/>
          <w:color w:val="000000"/>
          <w:vertAlign w:val="superscript"/>
          <w:lang w:val="es-ES"/>
        </w:rPr>
        <w:footnoteReference w:id="20"/>
      </w:r>
      <w:r w:rsidRPr="00E009FE">
        <w:rPr>
          <w:rFonts w:ascii="Verdana" w:eastAsia="Calibri" w:hAnsi="Verdana" w:cs="Arial"/>
          <w:color w:val="000000"/>
          <w:lang w:val="es-ES"/>
        </w:rPr>
        <w:t xml:space="preserve">. </w:t>
      </w:r>
    </w:p>
    <w:p w14:paraId="769D5241" w14:textId="77777777" w:rsidR="001D0810" w:rsidRDefault="001D0810" w:rsidP="001D0810">
      <w:pPr>
        <w:tabs>
          <w:tab w:val="left" w:pos="284"/>
        </w:tabs>
        <w:spacing w:line="276" w:lineRule="auto"/>
        <w:ind w:firstLine="284"/>
        <w:jc w:val="both"/>
        <w:rPr>
          <w:rFonts w:ascii="Verdana" w:eastAsia="Calibri" w:hAnsi="Verdana" w:cs="Arial"/>
          <w:color w:val="000000"/>
          <w:lang w:val="es-ES"/>
        </w:rPr>
      </w:pPr>
      <w:r w:rsidRPr="00E009FE">
        <w:rPr>
          <w:rFonts w:ascii="Verdana" w:eastAsia="Calibri" w:hAnsi="Verdana" w:cs="Arial"/>
          <w:color w:val="000000"/>
          <w:lang w:val="es-ES"/>
        </w:rPr>
        <w:tab/>
        <w:t>En principio, los contratos deben ejecutarse en las condiciones pactadas inicialmente, pues estas fueron estipuladas luego de que la entidad estatal surtiera todos los procedimientos previstos para la selección de su contratista y definiera los aspectos, técnicos, legales y financieros propios de cada caso, con observancia de los principios de planeación, transparencia, economía y responsabilidad, así como los demás principios de la función administrativa aplicables al proceso de gestión contractual.</w:t>
      </w:r>
    </w:p>
    <w:p w14:paraId="0C697889" w14:textId="77777777" w:rsidR="001D0810" w:rsidRPr="00E009FE" w:rsidRDefault="001D0810" w:rsidP="001D0810">
      <w:pPr>
        <w:tabs>
          <w:tab w:val="left" w:pos="284"/>
        </w:tabs>
        <w:spacing w:line="276" w:lineRule="auto"/>
        <w:ind w:firstLine="709"/>
        <w:jc w:val="both"/>
        <w:rPr>
          <w:rFonts w:ascii="Verdana" w:eastAsia="Calibri" w:hAnsi="Verdana" w:cs="Arial"/>
          <w:color w:val="000000"/>
          <w:lang w:val="es-ES"/>
        </w:rPr>
      </w:pPr>
      <w:r w:rsidRPr="00E009FE">
        <w:rPr>
          <w:rFonts w:ascii="Verdana" w:eastAsia="Calibri" w:hAnsi="Verdana" w:cs="Arial"/>
          <w:color w:val="000000"/>
          <w:lang w:val="es-ES"/>
        </w:rPr>
        <w:t>No obstante, no existe restricción expresa para modificar los contratos estatales y es posible que determinados supuestos las entidades evidencien la necesidad de cambiar las estipulaciones establecidas en un comienzo. En este contexto, la jurisprudencia ha fijado pautas generales conforme a las cuales la Administración Pública debe evaluar si es procedente modificar los contratos que ha celebrado según las particularidades de cada caso. Al respecto, la Corte Constitucional, mediante sentencia C–300 de 2012</w:t>
      </w:r>
      <w:r w:rsidRPr="00E009FE">
        <w:rPr>
          <w:rFonts w:ascii="Verdana" w:eastAsia="Calibri" w:hAnsi="Verdana" w:cs="Arial"/>
          <w:color w:val="000000"/>
          <w:vertAlign w:val="superscript"/>
          <w:lang w:val="es-ES"/>
        </w:rPr>
        <w:footnoteReference w:id="21"/>
      </w:r>
      <w:r w:rsidRPr="00E009FE">
        <w:rPr>
          <w:rFonts w:ascii="Verdana" w:eastAsia="Calibri" w:hAnsi="Verdana" w:cs="Arial"/>
          <w:color w:val="000000"/>
          <w:lang w:val="es-ES"/>
        </w:rPr>
        <w:t>, se refirió a la posibilidad de modificar los contratos estatales así:</w:t>
      </w:r>
    </w:p>
    <w:p w14:paraId="4541C90E" w14:textId="77777777" w:rsidR="001D0810" w:rsidRPr="00E009FE" w:rsidRDefault="001D0810" w:rsidP="001D0810">
      <w:pPr>
        <w:tabs>
          <w:tab w:val="left" w:pos="284"/>
        </w:tabs>
        <w:snapToGrid w:val="0"/>
        <w:spacing w:after="0" w:line="240" w:lineRule="auto"/>
        <w:ind w:left="709" w:right="709"/>
        <w:jc w:val="both"/>
        <w:rPr>
          <w:rFonts w:ascii="Verdana" w:eastAsia="Calibri" w:hAnsi="Verdana" w:cs="Arial"/>
          <w:bCs/>
          <w:color w:val="000000"/>
          <w:sz w:val="20"/>
          <w:szCs w:val="20"/>
          <w:lang w:val="es-ES"/>
        </w:rPr>
      </w:pPr>
      <w:r w:rsidRPr="00E009FE">
        <w:rPr>
          <w:rFonts w:ascii="Verdana" w:eastAsia="Calibri" w:hAnsi="Verdana" w:cs="Arial"/>
          <w:color w:val="000000"/>
          <w:sz w:val="20"/>
          <w:szCs w:val="20"/>
          <w:lang w:val="es-ES"/>
        </w:rPr>
        <w:t>“</w:t>
      </w:r>
      <w:r w:rsidRPr="00E009FE">
        <w:rPr>
          <w:rFonts w:ascii="Verdana" w:eastAsia="Calibri" w:hAnsi="Verdana" w:cs="Arial"/>
          <w:bCs/>
          <w:color w:val="000000"/>
          <w:sz w:val="20"/>
          <w:szCs w:val="20"/>
          <w:lang w:val="es-ES"/>
        </w:rPr>
        <w:t xml:space="preserve">Por regla general, </w:t>
      </w:r>
      <w:r w:rsidRPr="00E009FE">
        <w:rPr>
          <w:rFonts w:ascii="Verdana" w:eastAsia="Calibri" w:hAnsi="Verdana" w:cs="Arial"/>
          <w:b/>
          <w:bCs/>
          <w:color w:val="000000"/>
          <w:sz w:val="20"/>
          <w:szCs w:val="20"/>
          <w:lang w:val="es-ES"/>
        </w:rPr>
        <w:t xml:space="preserve">los contratos estatales pueden ser modificados cuando sea necesario para lograr su finalidad y en aras de la </w:t>
      </w:r>
      <w:r w:rsidRPr="00E009FE">
        <w:rPr>
          <w:rFonts w:ascii="Verdana" w:eastAsia="Calibri" w:hAnsi="Verdana" w:cs="Arial"/>
          <w:b/>
          <w:bCs/>
          <w:color w:val="000000"/>
          <w:sz w:val="20"/>
          <w:szCs w:val="20"/>
          <w:lang w:val="es-ES"/>
        </w:rPr>
        <w:lastRenderedPageBreak/>
        <w:t>realización de los fines del Estado</w:t>
      </w:r>
      <w:r w:rsidRPr="00E009FE">
        <w:rPr>
          <w:rFonts w:ascii="Verdana" w:eastAsia="Calibri" w:hAnsi="Verdana" w:cs="Arial"/>
          <w:bCs/>
          <w:color w:val="000000"/>
          <w:sz w:val="20"/>
          <w:szCs w:val="20"/>
          <w:lang w:val="es-ES"/>
        </w:rPr>
        <w:t>, a los cuales sirve el contrato.</w:t>
      </w:r>
      <w:r w:rsidRPr="00E009FE">
        <w:rPr>
          <w:rFonts w:ascii="Verdana" w:eastAsia="Calibri" w:hAnsi="Verdana" w:cs="Arial"/>
          <w:bCs/>
          <w:color w:val="000000"/>
          <w:sz w:val="20"/>
          <w:szCs w:val="20"/>
          <w:vertAlign w:val="superscript"/>
          <w:lang w:val="es-ES"/>
        </w:rPr>
        <w:footnoteReference w:id="22"/>
      </w:r>
      <w:r w:rsidRPr="00E009FE">
        <w:rPr>
          <w:rFonts w:ascii="Verdana" w:eastAsia="Calibri" w:hAnsi="Verdana" w:cs="Arial"/>
          <w:bCs/>
          <w:color w:val="000000"/>
          <w:sz w:val="20"/>
          <w:szCs w:val="20"/>
          <w:lang w:val="es-ES"/>
        </w:rPr>
        <w:t xml:space="preserve"> Así lo prevén por ejemplo los artículos 14 y 16 de la ley 80, los cuales facultan a la entidades contratantes a modificar los contratos de común acuerdo o de forma unilateral, para “(…) evitar la paralización o la afectación grave de los servicios públicos a su cargo y asegurar la inmediata, continua y adecuada prestación”, entre otros. En el mismo sentido, en la </w:t>
      </w:r>
      <w:r w:rsidRPr="00E009FE">
        <w:rPr>
          <w:rFonts w:ascii="Verdana" w:eastAsia="Calibri" w:hAnsi="Verdana" w:cs="Arial"/>
          <w:b/>
          <w:bCs/>
          <w:color w:val="000000"/>
          <w:sz w:val="20"/>
          <w:szCs w:val="20"/>
          <w:lang w:val="es-ES"/>
        </w:rPr>
        <w:t>sentencia C-949 de 2001</w:t>
      </w:r>
      <w:r w:rsidRPr="00E009FE">
        <w:rPr>
          <w:rFonts w:ascii="Verdana" w:eastAsia="Calibri" w:hAnsi="Verdana" w:cs="Arial"/>
          <w:bCs/>
          <w:color w:val="000000"/>
          <w:sz w:val="20"/>
          <w:szCs w:val="20"/>
          <w:vertAlign w:val="superscript"/>
          <w:lang w:val="es-ES"/>
        </w:rPr>
        <w:footnoteReference w:id="23"/>
      </w:r>
      <w:r w:rsidRPr="00E009FE">
        <w:rPr>
          <w:rFonts w:ascii="Verdana" w:eastAsia="Calibri" w:hAnsi="Verdana" w:cs="Arial"/>
          <w:bCs/>
          <w:color w:val="000000"/>
          <w:sz w:val="20"/>
          <w:szCs w:val="20"/>
          <w:lang w:val="es-ES"/>
        </w:rPr>
        <w:t>, la Corte Constitucional señaló que las prórrogas de los contratos –como especie de modificación- pueden ser un instrumento útil para lograr los fines propios de la contratación estatal</w:t>
      </w:r>
      <w:r w:rsidRPr="00E009FE">
        <w:rPr>
          <w:rFonts w:ascii="Verdana" w:eastAsia="Calibri" w:hAnsi="Verdana" w:cs="Arial"/>
          <w:bCs/>
          <w:color w:val="000000"/>
          <w:sz w:val="20"/>
          <w:szCs w:val="20"/>
          <w:vertAlign w:val="superscript"/>
          <w:lang w:val="es-ES"/>
        </w:rPr>
        <w:footnoteReference w:id="24"/>
      </w:r>
      <w:r w:rsidRPr="00E009FE">
        <w:rPr>
          <w:rFonts w:ascii="Verdana" w:eastAsia="Calibri" w:hAnsi="Verdana" w:cs="Arial"/>
          <w:bCs/>
          <w:color w:val="000000"/>
          <w:sz w:val="20"/>
          <w:szCs w:val="20"/>
          <w:lang w:val="es-ES"/>
        </w:rPr>
        <w:t xml:space="preserve">. </w:t>
      </w:r>
    </w:p>
    <w:p w14:paraId="07CAFB27" w14:textId="77777777" w:rsidR="001D0810" w:rsidRPr="00E009FE" w:rsidRDefault="001D0810" w:rsidP="001D0810">
      <w:pPr>
        <w:tabs>
          <w:tab w:val="left" w:pos="284"/>
        </w:tabs>
        <w:snapToGrid w:val="0"/>
        <w:spacing w:after="0" w:line="240" w:lineRule="auto"/>
        <w:ind w:left="709" w:right="709"/>
        <w:jc w:val="both"/>
        <w:rPr>
          <w:rFonts w:ascii="Verdana" w:eastAsia="Calibri" w:hAnsi="Verdana" w:cs="Arial"/>
          <w:bCs/>
          <w:color w:val="000000"/>
          <w:sz w:val="20"/>
          <w:szCs w:val="20"/>
          <w:lang w:val="es-ES"/>
        </w:rPr>
      </w:pPr>
    </w:p>
    <w:p w14:paraId="1111AB36" w14:textId="77777777" w:rsidR="001D0810" w:rsidRPr="00E009FE" w:rsidRDefault="001D0810" w:rsidP="001D0810">
      <w:pPr>
        <w:tabs>
          <w:tab w:val="left" w:pos="284"/>
        </w:tabs>
        <w:snapToGrid w:val="0"/>
        <w:spacing w:after="0" w:line="240" w:lineRule="auto"/>
        <w:ind w:left="709" w:right="709"/>
        <w:jc w:val="both"/>
        <w:rPr>
          <w:rFonts w:ascii="Verdana" w:eastAsia="Calibri" w:hAnsi="Verdana" w:cs="Arial"/>
          <w:bCs/>
          <w:color w:val="000000"/>
          <w:sz w:val="20"/>
          <w:szCs w:val="20"/>
          <w:lang w:val="es-ES"/>
        </w:rPr>
      </w:pPr>
      <w:r w:rsidRPr="00E009FE">
        <w:rPr>
          <w:rFonts w:ascii="Verdana" w:eastAsia="Calibri" w:hAnsi="Verdana" w:cs="Arial"/>
          <w:bCs/>
          <w:color w:val="000000"/>
          <w:sz w:val="20"/>
          <w:szCs w:val="20"/>
          <w:lang w:val="es-ES"/>
        </w:rPr>
        <w:t>(…)</w:t>
      </w:r>
    </w:p>
    <w:p w14:paraId="6DE1F840" w14:textId="77777777" w:rsidR="001D0810" w:rsidRPr="00E009FE" w:rsidRDefault="001D0810" w:rsidP="001D0810">
      <w:pPr>
        <w:tabs>
          <w:tab w:val="left" w:pos="284"/>
        </w:tabs>
        <w:spacing w:after="0" w:line="240" w:lineRule="auto"/>
        <w:ind w:left="709" w:right="709"/>
        <w:jc w:val="both"/>
        <w:rPr>
          <w:rFonts w:ascii="Verdana" w:eastAsia="Calibri" w:hAnsi="Verdana" w:cs="Arial"/>
          <w:bCs/>
          <w:color w:val="000000"/>
          <w:sz w:val="20"/>
          <w:szCs w:val="20"/>
          <w:lang w:val="es-ES"/>
        </w:rPr>
      </w:pPr>
    </w:p>
    <w:p w14:paraId="10FDB3F4" w14:textId="77777777" w:rsidR="001D0810" w:rsidRPr="00E009FE" w:rsidRDefault="001D0810" w:rsidP="001D0810">
      <w:pPr>
        <w:tabs>
          <w:tab w:val="left" w:pos="284"/>
        </w:tabs>
        <w:spacing w:after="0" w:line="240" w:lineRule="auto"/>
        <w:ind w:left="709" w:right="709"/>
        <w:jc w:val="both"/>
        <w:rPr>
          <w:rFonts w:ascii="Verdana" w:eastAsia="Calibri" w:hAnsi="Verdana" w:cs="Arial"/>
          <w:bCs/>
          <w:color w:val="000000"/>
          <w:sz w:val="20"/>
          <w:szCs w:val="20"/>
          <w:lang w:val="es-ES"/>
        </w:rPr>
      </w:pPr>
      <w:r w:rsidRPr="00E009FE">
        <w:rPr>
          <w:rFonts w:ascii="Verdana" w:eastAsia="Calibri" w:hAnsi="Verdana" w:cs="Arial"/>
          <w:bCs/>
          <w:color w:val="000000"/>
          <w:sz w:val="20"/>
          <w:szCs w:val="20"/>
          <w:lang w:val="es-ES"/>
        </w:rPr>
        <w:t xml:space="preserve">La modificación de los contratos estatales es especialmente importante en aquellos por naturaleza </w:t>
      </w:r>
      <w:r w:rsidRPr="00E009FE">
        <w:rPr>
          <w:rFonts w:ascii="Verdana" w:eastAsia="Calibri" w:hAnsi="Verdana" w:cs="Arial"/>
          <w:b/>
          <w:color w:val="000000"/>
          <w:sz w:val="20"/>
          <w:szCs w:val="20"/>
          <w:lang w:val="es-ES"/>
        </w:rPr>
        <w:t>incompletos</w:t>
      </w:r>
      <w:r w:rsidRPr="00E009FE">
        <w:rPr>
          <w:rFonts w:ascii="Verdana" w:eastAsia="Calibri" w:hAnsi="Verdana" w:cs="Arial"/>
          <w:bCs/>
          <w:color w:val="000000"/>
          <w:sz w:val="20"/>
          <w:szCs w:val="20"/>
          <w:lang w:val="es-ES"/>
        </w:rPr>
        <w:t xml:space="preserve">, es decir, </w:t>
      </w:r>
      <w:r w:rsidRPr="00E009FE">
        <w:rPr>
          <w:rFonts w:ascii="Verdana" w:eastAsia="Calibri" w:hAnsi="Verdana" w:cs="Arial"/>
          <w:b/>
          <w:color w:val="000000"/>
          <w:sz w:val="20"/>
          <w:szCs w:val="20"/>
          <w:lang w:val="es-ES"/>
        </w:rPr>
        <w:t xml:space="preserve">(i) </w:t>
      </w:r>
      <w:r w:rsidRPr="00E009FE">
        <w:rPr>
          <w:rFonts w:ascii="Verdana" w:eastAsia="Calibri" w:hAnsi="Verdana" w:cs="Arial"/>
          <w:bCs/>
          <w:color w:val="000000"/>
          <w:sz w:val="20"/>
          <w:szCs w:val="20"/>
          <w:lang w:val="es-ES"/>
        </w:rPr>
        <w:t xml:space="preserve">los afectados por asimetrías de información que impiden la previsión de todas las contingencias que pueden afectar su ejecución, y </w:t>
      </w:r>
      <w:r w:rsidRPr="00E009FE">
        <w:rPr>
          <w:rFonts w:ascii="Verdana" w:eastAsia="Calibri" w:hAnsi="Verdana" w:cs="Arial"/>
          <w:b/>
          <w:color w:val="000000"/>
          <w:sz w:val="20"/>
          <w:szCs w:val="20"/>
          <w:lang w:val="es-ES"/>
        </w:rPr>
        <w:t>(</w:t>
      </w:r>
      <w:proofErr w:type="spellStart"/>
      <w:r w:rsidRPr="00E009FE">
        <w:rPr>
          <w:rFonts w:ascii="Verdana" w:eastAsia="Calibri" w:hAnsi="Verdana" w:cs="Arial"/>
          <w:b/>
          <w:color w:val="000000"/>
          <w:sz w:val="20"/>
          <w:szCs w:val="20"/>
          <w:lang w:val="es-ES"/>
        </w:rPr>
        <w:t>ii</w:t>
      </w:r>
      <w:proofErr w:type="spellEnd"/>
      <w:r w:rsidRPr="00E009FE">
        <w:rPr>
          <w:rFonts w:ascii="Verdana" w:eastAsia="Calibri" w:hAnsi="Verdana" w:cs="Arial"/>
          <w:b/>
          <w:color w:val="000000"/>
          <w:sz w:val="20"/>
          <w:szCs w:val="20"/>
          <w:lang w:val="es-ES"/>
        </w:rPr>
        <w:t xml:space="preserve">) </w:t>
      </w:r>
      <w:r w:rsidRPr="00E009FE">
        <w:rPr>
          <w:rFonts w:ascii="Verdana" w:eastAsia="Calibri" w:hAnsi="Verdana" w:cs="Arial"/>
          <w:bCs/>
          <w:color w:val="000000"/>
          <w:sz w:val="20"/>
          <w:szCs w:val="20"/>
          <w:lang w:val="es-ES"/>
        </w:rPr>
        <w:t xml:space="preserve">en el marco de los cuales, por esa misma razón, es difícil prever </w:t>
      </w:r>
      <w:r w:rsidRPr="00E009FE">
        <w:rPr>
          <w:rFonts w:ascii="Verdana" w:eastAsia="Calibri" w:hAnsi="Verdana" w:cs="Arial"/>
          <w:bCs/>
          <w:i/>
          <w:iCs/>
          <w:color w:val="000000"/>
          <w:sz w:val="20"/>
          <w:szCs w:val="20"/>
          <w:lang w:val="es-ES"/>
        </w:rPr>
        <w:t xml:space="preserve">ex ante </w:t>
      </w:r>
      <w:r w:rsidRPr="00E009FE">
        <w:rPr>
          <w:rFonts w:ascii="Verdana" w:eastAsia="Calibri" w:hAnsi="Verdana" w:cs="Arial"/>
          <w:bCs/>
          <w:color w:val="000000"/>
          <w:sz w:val="20"/>
          <w:szCs w:val="20"/>
          <w:lang w:val="es-ES"/>
        </w:rPr>
        <w:t>los remedios necesarios para afrontar tales contingencias, como ocurre por lo general con los contratos de largo plazo.</w:t>
      </w:r>
      <w:r w:rsidRPr="00E009FE">
        <w:rPr>
          <w:rFonts w:ascii="Verdana" w:eastAsia="Calibri" w:hAnsi="Verdana" w:cs="Arial"/>
          <w:bCs/>
          <w:color w:val="000000"/>
          <w:sz w:val="20"/>
          <w:szCs w:val="20"/>
          <w:vertAlign w:val="superscript"/>
          <w:lang w:val="es-ES"/>
        </w:rPr>
        <w:footnoteReference w:id="25"/>
      </w:r>
      <w:r w:rsidRPr="00E009FE">
        <w:rPr>
          <w:rFonts w:ascii="Verdana" w:eastAsia="Calibri" w:hAnsi="Verdana" w:cs="Arial"/>
          <w:bCs/>
          <w:color w:val="000000"/>
          <w:sz w:val="20"/>
          <w:szCs w:val="20"/>
          <w:lang w:val="es-ES"/>
        </w:rPr>
        <w:t xml:space="preserve">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las que tampoco era posible, en dicho momento, prever un remedio adecuado y específico. En este tipo de contratos es preciso entonces el diseño de reglas que permitan la adaptación y la resolución pacífica de las controversias para evitar el fracaso” (énfasis dentro del texto).</w:t>
      </w:r>
    </w:p>
    <w:p w14:paraId="6FED3F20" w14:textId="77777777" w:rsidR="001D0810" w:rsidRPr="00E009FE" w:rsidRDefault="001D0810" w:rsidP="001D0810">
      <w:pPr>
        <w:tabs>
          <w:tab w:val="left" w:pos="284"/>
        </w:tabs>
        <w:spacing w:after="0" w:line="240" w:lineRule="auto"/>
        <w:ind w:left="1049" w:right="709"/>
        <w:jc w:val="both"/>
        <w:rPr>
          <w:rFonts w:ascii="Verdana" w:eastAsia="Arial MT" w:hAnsi="Verdana" w:cs="Arial"/>
          <w:color w:val="000000"/>
          <w:lang w:val="es-ES"/>
        </w:rPr>
      </w:pPr>
    </w:p>
    <w:p w14:paraId="7B9BA442" w14:textId="77777777" w:rsidR="001D0810" w:rsidRPr="00E009FE" w:rsidRDefault="001D0810" w:rsidP="001D0810">
      <w:pPr>
        <w:widowControl w:val="0"/>
        <w:autoSpaceDE w:val="0"/>
        <w:autoSpaceDN w:val="0"/>
        <w:spacing w:after="0" w:line="276" w:lineRule="auto"/>
        <w:ind w:right="-2" w:firstLine="709"/>
        <w:jc w:val="both"/>
        <w:rPr>
          <w:rFonts w:ascii="Verdana" w:eastAsia="Calibri" w:hAnsi="Verdana" w:cs="Arial"/>
          <w:color w:val="000000"/>
          <w:lang w:val="es-ES"/>
        </w:rPr>
      </w:pPr>
      <w:r w:rsidRPr="00E009FE">
        <w:rPr>
          <w:rFonts w:ascii="Verdana" w:eastAsia="Calibri" w:hAnsi="Verdana" w:cs="Arial"/>
          <w:color w:val="000000"/>
          <w:lang w:val="es-ES"/>
        </w:rPr>
        <w:lastRenderedPageBreak/>
        <w:t>A su turno, el Consejo de Estado</w:t>
      </w:r>
      <w:r w:rsidRPr="00E009FE">
        <w:rPr>
          <w:rFonts w:ascii="Verdana" w:eastAsia="Calibri" w:hAnsi="Verdana" w:cs="Arial"/>
          <w:color w:val="000000"/>
          <w:vertAlign w:val="superscript"/>
          <w:lang w:val="es-ES"/>
        </w:rPr>
        <w:footnoteReference w:id="26"/>
      </w:r>
      <w:r w:rsidRPr="00E009FE">
        <w:rPr>
          <w:rFonts w:ascii="Verdana" w:eastAsia="Calibri" w:hAnsi="Verdana" w:cs="Arial"/>
          <w:color w:val="000000"/>
          <w:lang w:val="es-ES"/>
        </w:rPr>
        <w:t xml:space="preserve"> ha resaltado que la necesidad de modificar los contratos estatales persigue el cumplimiento de ciertos fines. De esta manera, aunque los contratos se puedan modificar por acuerdo de la voluntad de las partes, este no puede ser el único fundamento. Señala entonces que las modificaciones deben obedecer a </w:t>
      </w:r>
      <w:r w:rsidRPr="00E009FE">
        <w:rPr>
          <w:rFonts w:ascii="Verdana" w:eastAsia="Calibri" w:hAnsi="Verdana" w:cs="Arial"/>
          <w:i/>
          <w:iCs/>
          <w:color w:val="000000"/>
          <w:lang w:val="es-ES"/>
        </w:rPr>
        <w:t>causas reales y ciertas</w:t>
      </w:r>
      <w:r w:rsidRPr="00E009FE">
        <w:rPr>
          <w:rFonts w:ascii="Verdana" w:eastAsia="Calibri" w:hAnsi="Verdana" w:cs="Arial"/>
          <w:color w:val="000000"/>
          <w:lang w:val="es-ES"/>
        </w:rPr>
        <w:t xml:space="preserve"> derivadas de la ley:</w:t>
      </w:r>
    </w:p>
    <w:p w14:paraId="1CF97F13" w14:textId="77777777" w:rsidR="001D0810" w:rsidRPr="00E009FE" w:rsidRDefault="001D0810" w:rsidP="001D0810">
      <w:pPr>
        <w:widowControl w:val="0"/>
        <w:autoSpaceDE w:val="0"/>
        <w:autoSpaceDN w:val="0"/>
        <w:spacing w:after="0" w:line="240" w:lineRule="auto"/>
        <w:ind w:firstLine="709"/>
        <w:jc w:val="both"/>
        <w:rPr>
          <w:rFonts w:ascii="Verdana" w:eastAsia="Calibri" w:hAnsi="Verdana" w:cs="Arial"/>
          <w:color w:val="000000"/>
          <w:lang w:val="es-ES"/>
        </w:rPr>
      </w:pPr>
    </w:p>
    <w:p w14:paraId="2A8CC290"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r w:rsidRPr="00E009FE">
        <w:rPr>
          <w:rFonts w:ascii="Verdana" w:eastAsia="Calibri" w:hAnsi="Verdana" w:cs="Arial"/>
          <w:color w:val="000000"/>
          <w:sz w:val="20"/>
          <w:szCs w:val="20"/>
          <w:lang w:val="es-ES"/>
        </w:rPr>
        <w:t>“(…) la posibilidad de modificar los contratos estatales es una especial forma de hacer prevalecer la finalidad del contrato sobre los restantes elementos del mismo.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7510CCCD"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p>
    <w:p w14:paraId="208DC10C"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r w:rsidRPr="00E009FE">
        <w:rPr>
          <w:rFonts w:ascii="Verdana" w:eastAsia="Calibri" w:hAnsi="Verdana" w:cs="Arial"/>
          <w:color w:val="000000"/>
          <w:sz w:val="20"/>
          <w:szCs w:val="20"/>
          <w:lang w:val="es-ES"/>
        </w:rPr>
        <w:t>(…)</w:t>
      </w:r>
    </w:p>
    <w:p w14:paraId="7933A47A"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p>
    <w:p w14:paraId="4D39C239"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r w:rsidRPr="00E009FE">
        <w:rPr>
          <w:rFonts w:ascii="Verdana" w:eastAsia="Calibri" w:hAnsi="Verdana" w:cs="Arial"/>
          <w:color w:val="000000"/>
          <w:sz w:val="20"/>
          <w:szCs w:val="20"/>
          <w:lang w:val="es-ES"/>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 Nótese que, sin embargo, en ellas van inmersas las ideas de una causa cierta y unos fines públicos que hay que salvaguardar.</w:t>
      </w:r>
    </w:p>
    <w:p w14:paraId="3BDCDFBF"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p>
    <w:p w14:paraId="23807077"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r w:rsidRPr="00E009FE">
        <w:rPr>
          <w:rFonts w:ascii="Verdana" w:eastAsia="Calibri" w:hAnsi="Verdana" w:cs="Arial"/>
          <w:color w:val="000000"/>
          <w:sz w:val="20"/>
          <w:szCs w:val="20"/>
          <w:lang w:val="es-ES"/>
        </w:rPr>
        <w:t xml:space="preserve">Puede adicionarse una razón a las expuestas para justificar que </w:t>
      </w:r>
      <w:r w:rsidRPr="00E009FE">
        <w:rPr>
          <w:rFonts w:ascii="Verdana" w:eastAsia="Calibri" w:hAnsi="Verdana" w:cs="Arial"/>
          <w:i/>
          <w:iCs/>
          <w:color w:val="000000"/>
          <w:sz w:val="20"/>
          <w:szCs w:val="20"/>
          <w:u w:val="single"/>
          <w:lang w:val="es-ES"/>
        </w:rPr>
        <w:t>la simple voluntad de las partes no es causa de modificación de los contratos estatales, la cual consiste en el respeto por el principio de igualdad de los oferentes</w:t>
      </w:r>
      <w:r w:rsidRPr="00E009FE">
        <w:rPr>
          <w:rFonts w:ascii="Verdana" w:eastAsia="Calibri" w:hAnsi="Verdana" w:cs="Arial"/>
          <w:color w:val="000000"/>
          <w:sz w:val="20"/>
          <w:szCs w:val="20"/>
          <w:lang w:val="es-ES"/>
        </w:rPr>
        <w:t xml:space="preserve">. Si se acepta que los contratos pueden modificarse por el simple común acuerdo, fácilmente se podría licitar determinado objeto con el fin de adjudicárselo a cierta persona, a sabiendas de que se cambiarán las obligaciones, una vez celebrado. </w:t>
      </w:r>
    </w:p>
    <w:p w14:paraId="1167430D"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p>
    <w:p w14:paraId="4183F794"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r w:rsidRPr="00E009FE">
        <w:rPr>
          <w:rFonts w:ascii="Verdana" w:eastAsia="Calibri" w:hAnsi="Verdana" w:cs="Arial"/>
          <w:color w:val="000000"/>
          <w:sz w:val="20"/>
          <w:szCs w:val="20"/>
          <w:lang w:val="es-ES"/>
        </w:rPr>
        <w:t xml:space="preserve">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w:t>
      </w:r>
      <w:r w:rsidRPr="00E009FE">
        <w:rPr>
          <w:rFonts w:ascii="Verdana" w:eastAsia="Calibri" w:hAnsi="Verdana" w:cs="Arial"/>
          <w:color w:val="000000"/>
          <w:sz w:val="20"/>
          <w:szCs w:val="20"/>
          <w:lang w:val="es-ES"/>
        </w:rPr>
        <w:lastRenderedPageBreak/>
        <w:t xml:space="preserve">advirtiendo, y esta es la segunda idea, que </w:t>
      </w:r>
      <w:r w:rsidRPr="00E009FE">
        <w:rPr>
          <w:rFonts w:ascii="Verdana" w:eastAsia="Calibri" w:hAnsi="Verdana" w:cs="Arial"/>
          <w:i/>
          <w:iCs/>
          <w:color w:val="000000"/>
          <w:sz w:val="20"/>
          <w:szCs w:val="20"/>
          <w:u w:val="single"/>
          <w:lang w:val="es-ES"/>
        </w:rPr>
        <w:t>toda modificación debe tener una causa real y cierta, contemplada en la ley, diferente de la mera voluntad de los contratantes</w:t>
      </w:r>
      <w:r w:rsidRPr="00E009FE">
        <w:rPr>
          <w:rFonts w:ascii="Verdana" w:eastAsia="Calibri" w:hAnsi="Verdana" w:cs="Arial"/>
          <w:color w:val="000000"/>
          <w:sz w:val="20"/>
          <w:szCs w:val="20"/>
          <w:lang w:val="es-ES"/>
        </w:rPr>
        <w:t>”.</w:t>
      </w:r>
    </w:p>
    <w:p w14:paraId="7EBDC8E5" w14:textId="77777777" w:rsidR="001D0810" w:rsidRPr="00E009FE" w:rsidRDefault="001D0810" w:rsidP="001D0810">
      <w:pPr>
        <w:tabs>
          <w:tab w:val="left" w:pos="284"/>
        </w:tabs>
        <w:spacing w:after="0" w:line="276" w:lineRule="auto"/>
        <w:ind w:left="709" w:right="709"/>
        <w:jc w:val="both"/>
        <w:rPr>
          <w:rFonts w:ascii="Verdana" w:eastAsia="Calibri" w:hAnsi="Verdana" w:cs="Arial"/>
          <w:color w:val="000000"/>
          <w:lang w:val="es-ES"/>
        </w:rPr>
      </w:pPr>
    </w:p>
    <w:p w14:paraId="51D0FB1E" w14:textId="77777777" w:rsidR="001D0810" w:rsidRPr="00E009FE" w:rsidRDefault="001D0810" w:rsidP="001D0810">
      <w:pPr>
        <w:widowControl w:val="0"/>
        <w:autoSpaceDE w:val="0"/>
        <w:autoSpaceDN w:val="0"/>
        <w:spacing w:line="276" w:lineRule="auto"/>
        <w:ind w:firstLine="709"/>
        <w:jc w:val="both"/>
        <w:rPr>
          <w:rFonts w:ascii="Verdana" w:eastAsia="Arial" w:hAnsi="Verdana" w:cs="Arial"/>
          <w:color w:val="000000"/>
          <w:lang w:val="es-ES" w:eastAsia="es-ES" w:bidi="es-ES"/>
        </w:rPr>
      </w:pPr>
      <w:r w:rsidRPr="00E009FE">
        <w:rPr>
          <w:rFonts w:ascii="Verdana" w:eastAsia="Arial" w:hAnsi="Verdana" w:cs="Arial"/>
          <w:color w:val="000000"/>
          <w:lang w:val="es-ES" w:eastAsia="es-ES" w:bidi="es-ES"/>
        </w:rPr>
        <w:t xml:space="preserve">En el mismo sentido, en el Concepto 2263 del 17 de marzo del 2016, la Sala de Consulta y Servicio Civil del Consejo de Estado precisó que la regla general es la </w:t>
      </w:r>
      <w:r w:rsidRPr="00E009FE">
        <w:rPr>
          <w:rFonts w:ascii="Verdana" w:eastAsia="Arial" w:hAnsi="Verdana" w:cs="Arial"/>
          <w:i/>
          <w:iCs/>
          <w:color w:val="000000"/>
          <w:lang w:val="es-ES" w:eastAsia="es-ES" w:bidi="es-ES"/>
        </w:rPr>
        <w:t>no modificación</w:t>
      </w:r>
      <w:r w:rsidRPr="00E009FE">
        <w:rPr>
          <w:rFonts w:ascii="Verdana" w:eastAsia="Arial" w:hAnsi="Verdana" w:cs="Arial"/>
          <w:color w:val="000000"/>
          <w:lang w:val="es-ES" w:eastAsia="es-ES" w:bidi="es-ES"/>
        </w:rPr>
        <w:t xml:space="preserve"> del contrato, y la vía excepcional su modificación, sometida a los siguientes límites legales:</w:t>
      </w:r>
    </w:p>
    <w:p w14:paraId="593E868A"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r w:rsidRPr="00E009FE">
        <w:rPr>
          <w:rFonts w:ascii="Verdana" w:eastAsia="Calibri" w:hAnsi="Verdana" w:cs="Arial"/>
          <w:color w:val="000000"/>
          <w:sz w:val="20"/>
          <w:szCs w:val="20"/>
          <w:lang w:val="es-ES"/>
        </w:rPr>
        <w:t xml:space="preserve">“1. La necesidad de preservar los principios de igualdad, transparencia y libertad de concurrencia, durante la fase de ejecución del contrato. </w:t>
      </w:r>
    </w:p>
    <w:p w14:paraId="4EBC3167"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p>
    <w:p w14:paraId="24C00B05"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r w:rsidRPr="00E009FE">
        <w:rPr>
          <w:rFonts w:ascii="Verdana" w:eastAsia="Calibri" w:hAnsi="Verdana" w:cs="Arial"/>
          <w:color w:val="000000"/>
          <w:sz w:val="20"/>
          <w:szCs w:val="20"/>
          <w:lang w:val="es-ES"/>
        </w:rPr>
        <w:t>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7673870B"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p>
    <w:p w14:paraId="4910B518"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r w:rsidRPr="00E009FE">
        <w:rPr>
          <w:rFonts w:ascii="Verdana" w:eastAsia="Calibri" w:hAnsi="Verdana" w:cs="Arial"/>
          <w:color w:val="000000"/>
          <w:sz w:val="20"/>
          <w:szCs w:val="20"/>
          <w:lang w:val="es-ES"/>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21003C8D"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p>
    <w:p w14:paraId="211FB71B"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r w:rsidRPr="00E009FE">
        <w:rPr>
          <w:rFonts w:ascii="Verdana" w:eastAsia="Calibri" w:hAnsi="Verdana" w:cs="Arial"/>
          <w:color w:val="000000"/>
          <w:sz w:val="20"/>
          <w:szCs w:val="20"/>
          <w:lang w:val="es-ES"/>
        </w:rPr>
        <w:t xml:space="preserve">2.Límites de orden temporal, entre los que están comprendidos: i) la vigencia del contrato, pues no podría modificarse un contrato cuyo plazo ha culminado y </w:t>
      </w:r>
      <w:proofErr w:type="spellStart"/>
      <w:r w:rsidRPr="00E009FE">
        <w:rPr>
          <w:rFonts w:ascii="Verdana" w:eastAsia="Calibri" w:hAnsi="Verdana" w:cs="Arial"/>
          <w:color w:val="000000"/>
          <w:sz w:val="20"/>
          <w:szCs w:val="20"/>
          <w:lang w:val="es-ES"/>
        </w:rPr>
        <w:t>ii</w:t>
      </w:r>
      <w:proofErr w:type="spellEnd"/>
      <w:r w:rsidRPr="00E009FE">
        <w:rPr>
          <w:rFonts w:ascii="Verdana" w:eastAsia="Calibri" w:hAnsi="Verdana" w:cs="Arial"/>
          <w:color w:val="000000"/>
          <w:sz w:val="20"/>
          <w:szCs w:val="20"/>
          <w:lang w:val="es-ES"/>
        </w:rPr>
        <w:t>) la prohibición de consagrar prórrogas automáticas, sucesivas o indefinidas, en tanto resultan contrarias al derecho esencial de la libertad de competencia.</w:t>
      </w:r>
    </w:p>
    <w:p w14:paraId="58C03E08"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p>
    <w:p w14:paraId="62188DB9"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r w:rsidRPr="00E009FE">
        <w:rPr>
          <w:rFonts w:ascii="Verdana" w:eastAsia="Calibri" w:hAnsi="Verdana" w:cs="Arial"/>
          <w:color w:val="000000"/>
          <w:sz w:val="20"/>
          <w:szCs w:val="20"/>
          <w:lang w:val="es-ES"/>
        </w:rPr>
        <w:t>3. Límites de orden formal, que comprenden: i) La solemnidad del contrato de modificación, derivada del carácter solemne del contrato estatal, que exige que la modificación de los contratos conste por escrito</w:t>
      </w:r>
      <w:r w:rsidRPr="00E009FE">
        <w:rPr>
          <w:rFonts w:ascii="Verdana" w:eastAsia="Calibri" w:hAnsi="Verdana" w:cs="Arial"/>
          <w:color w:val="000000"/>
          <w:sz w:val="20"/>
          <w:szCs w:val="20"/>
          <w:vertAlign w:val="superscript"/>
          <w:lang w:val="es-ES"/>
        </w:rPr>
        <w:footnoteReference w:id="27"/>
      </w:r>
      <w:r w:rsidRPr="00E009FE">
        <w:rPr>
          <w:rFonts w:ascii="Verdana" w:eastAsia="Calibri" w:hAnsi="Verdana" w:cs="Arial"/>
          <w:color w:val="000000"/>
          <w:sz w:val="20"/>
          <w:szCs w:val="20"/>
          <w:lang w:val="es-ES"/>
        </w:rPr>
        <w:t xml:space="preserve">; </w:t>
      </w:r>
      <w:proofErr w:type="spellStart"/>
      <w:r w:rsidRPr="00E009FE">
        <w:rPr>
          <w:rFonts w:ascii="Verdana" w:eastAsia="Calibri" w:hAnsi="Verdana" w:cs="Arial"/>
          <w:color w:val="000000"/>
          <w:sz w:val="20"/>
          <w:szCs w:val="20"/>
          <w:lang w:val="es-ES"/>
        </w:rPr>
        <w:t>ii</w:t>
      </w:r>
      <w:proofErr w:type="spellEnd"/>
      <w:r w:rsidRPr="00E009FE">
        <w:rPr>
          <w:rFonts w:ascii="Verdana" w:eastAsia="Calibri" w:hAnsi="Verdana" w:cs="Arial"/>
          <w:color w:val="000000"/>
          <w:sz w:val="20"/>
          <w:szCs w:val="20"/>
          <w:lang w:val="es-ES"/>
        </w:rPr>
        <w:t xml:space="preserve">) la </w:t>
      </w:r>
      <w:r w:rsidRPr="00E009FE">
        <w:rPr>
          <w:rFonts w:ascii="Verdana" w:eastAsia="Calibri" w:hAnsi="Verdana" w:cs="Arial"/>
          <w:color w:val="000000"/>
          <w:sz w:val="20"/>
          <w:szCs w:val="20"/>
          <w:lang w:val="es-ES"/>
        </w:rPr>
        <w:lastRenderedPageBreak/>
        <w:t>motivación y justificación de la modificación, la cual constituye un elemento esencial que permite determinar la juridicidad y la necesidad de una modificación determinada; así como su racionalidad y la proporcionalidad de su contenido.</w:t>
      </w:r>
    </w:p>
    <w:p w14:paraId="6301E3B9"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p>
    <w:p w14:paraId="5A8A112A"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sz w:val="20"/>
          <w:szCs w:val="20"/>
          <w:lang w:val="es-ES"/>
        </w:rPr>
      </w:pPr>
      <w:r w:rsidRPr="00E009FE">
        <w:rPr>
          <w:rFonts w:ascii="Verdana" w:eastAsia="Calibri" w:hAnsi="Verdana" w:cs="Arial"/>
          <w:color w:val="000000"/>
          <w:sz w:val="20"/>
          <w:szCs w:val="20"/>
          <w:lang w:val="es-ES"/>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7DC153BE" w14:textId="77777777" w:rsidR="001D0810" w:rsidRPr="00E009FE" w:rsidRDefault="001D0810" w:rsidP="001D0810">
      <w:pPr>
        <w:tabs>
          <w:tab w:val="left" w:pos="284"/>
        </w:tabs>
        <w:spacing w:after="0" w:line="240" w:lineRule="auto"/>
        <w:ind w:left="709" w:right="709"/>
        <w:jc w:val="both"/>
        <w:rPr>
          <w:rFonts w:ascii="Verdana" w:eastAsia="Calibri" w:hAnsi="Verdana" w:cs="Arial"/>
          <w:color w:val="000000"/>
          <w:lang w:val="es-ES"/>
        </w:rPr>
      </w:pPr>
    </w:p>
    <w:p w14:paraId="7CB697E8" w14:textId="77777777" w:rsidR="001D0810" w:rsidRPr="00E009FE" w:rsidRDefault="001D0810" w:rsidP="001D0810">
      <w:pPr>
        <w:widowControl w:val="0"/>
        <w:autoSpaceDE w:val="0"/>
        <w:autoSpaceDN w:val="0"/>
        <w:ind w:right="102" w:firstLine="709"/>
        <w:jc w:val="both"/>
        <w:rPr>
          <w:rFonts w:ascii="Verdana" w:eastAsia="Arial" w:hAnsi="Verdana" w:cs="Arial"/>
          <w:color w:val="000000"/>
          <w:lang w:val="es-ES" w:eastAsia="es-ES" w:bidi="es-ES"/>
        </w:rPr>
      </w:pPr>
      <w:r w:rsidRPr="00E009FE">
        <w:rPr>
          <w:rFonts w:ascii="Verdana" w:eastAsia="Arial" w:hAnsi="Verdana" w:cs="Arial"/>
          <w:color w:val="000000"/>
          <w:lang w:val="es-ES" w:eastAsia="es-ES" w:bidi="es-ES"/>
        </w:rPr>
        <w:t>Sobre el alcance de dicha prohibición, la Sala de Consulta y Servicio Civil expresó lo siguiente</w:t>
      </w:r>
      <w:r w:rsidRPr="00E009FE">
        <w:rPr>
          <w:rFonts w:ascii="Verdana" w:eastAsia="Arial" w:hAnsi="Verdana" w:cs="Arial"/>
          <w:color w:val="000000"/>
          <w:vertAlign w:val="superscript"/>
          <w:lang w:val="es-ES" w:eastAsia="es-ES" w:bidi="es-ES"/>
        </w:rPr>
        <w:footnoteReference w:id="28"/>
      </w:r>
      <w:r w:rsidRPr="00E009FE">
        <w:rPr>
          <w:rFonts w:ascii="Verdana" w:eastAsia="Arial" w:hAnsi="Verdana" w:cs="Arial"/>
          <w:color w:val="000000"/>
          <w:lang w:val="es-ES" w:eastAsia="es-ES" w:bidi="es-ES"/>
        </w:rPr>
        <w:t>:</w:t>
      </w:r>
    </w:p>
    <w:p w14:paraId="03EE911A" w14:textId="77777777" w:rsidR="001D0810" w:rsidRPr="00E009FE" w:rsidRDefault="001D0810" w:rsidP="001D0810">
      <w:pPr>
        <w:widowControl w:val="0"/>
        <w:autoSpaceDE w:val="0"/>
        <w:autoSpaceDN w:val="0"/>
        <w:spacing w:after="0" w:line="240" w:lineRule="auto"/>
        <w:ind w:left="709" w:right="709"/>
        <w:jc w:val="both"/>
        <w:rPr>
          <w:rFonts w:ascii="Verdana" w:eastAsia="Arial" w:hAnsi="Verdana" w:cs="Arial"/>
          <w:bCs/>
          <w:iCs/>
          <w:color w:val="000000"/>
          <w:sz w:val="20"/>
          <w:szCs w:val="20"/>
          <w:lang w:val="es-ES" w:eastAsia="es-ES" w:bidi="es-ES"/>
        </w:rPr>
      </w:pPr>
      <w:r w:rsidRPr="00E009FE">
        <w:rPr>
          <w:rFonts w:ascii="Verdana" w:eastAsia="Arial" w:hAnsi="Verdana" w:cs="Arial"/>
          <w:bCs/>
          <w:iCs/>
          <w:color w:val="000000"/>
          <w:sz w:val="20"/>
          <w:szCs w:val="20"/>
          <w:lang w:val="es-ES" w:eastAsia="es-ES" w:bidi="es-ES"/>
        </w:rPr>
        <w:t>“Así,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7241429F" w14:textId="77777777" w:rsidR="001D0810" w:rsidRPr="00E009FE" w:rsidRDefault="001D0810" w:rsidP="001D0810">
      <w:pPr>
        <w:widowControl w:val="0"/>
        <w:autoSpaceDE w:val="0"/>
        <w:autoSpaceDN w:val="0"/>
        <w:spacing w:after="0" w:line="240" w:lineRule="auto"/>
        <w:ind w:left="709" w:right="709"/>
        <w:jc w:val="both"/>
        <w:rPr>
          <w:rFonts w:ascii="Verdana" w:eastAsia="Arial" w:hAnsi="Verdana" w:cs="Arial"/>
          <w:bCs/>
          <w:iCs/>
          <w:color w:val="000000"/>
          <w:sz w:val="20"/>
          <w:szCs w:val="20"/>
          <w:lang w:val="es-ES" w:eastAsia="es-ES" w:bidi="es-ES"/>
        </w:rPr>
      </w:pPr>
    </w:p>
    <w:p w14:paraId="4CA5C619" w14:textId="77777777" w:rsidR="001D0810" w:rsidRPr="00E009FE" w:rsidRDefault="001D0810" w:rsidP="001D0810">
      <w:pPr>
        <w:widowControl w:val="0"/>
        <w:autoSpaceDE w:val="0"/>
        <w:autoSpaceDN w:val="0"/>
        <w:spacing w:after="0" w:line="240" w:lineRule="auto"/>
        <w:ind w:left="709" w:right="709"/>
        <w:jc w:val="both"/>
        <w:rPr>
          <w:rFonts w:ascii="Verdana" w:eastAsia="Arial" w:hAnsi="Verdana" w:cs="Arial"/>
          <w:bCs/>
          <w:iCs/>
          <w:color w:val="000000"/>
          <w:sz w:val="20"/>
          <w:szCs w:val="20"/>
          <w:lang w:val="es-ES" w:eastAsia="es-ES" w:bidi="es-ES"/>
        </w:rPr>
      </w:pPr>
      <w:r w:rsidRPr="00E009FE">
        <w:rPr>
          <w:rFonts w:ascii="Verdana" w:eastAsia="Arial" w:hAnsi="Verdana" w:cs="Arial"/>
          <w:bCs/>
          <w:iCs/>
          <w:color w:val="000000"/>
          <w:sz w:val="20"/>
          <w:szCs w:val="20"/>
          <w:lang w:val="es-ES" w:eastAsia="es-ES" w:bidi="es-ES"/>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0EAD7C22" w14:textId="77777777" w:rsidR="001D0810" w:rsidRPr="00E009FE" w:rsidRDefault="001D0810" w:rsidP="001D0810">
      <w:pPr>
        <w:widowControl w:val="0"/>
        <w:autoSpaceDE w:val="0"/>
        <w:autoSpaceDN w:val="0"/>
        <w:spacing w:after="0" w:line="240" w:lineRule="auto"/>
        <w:ind w:left="709" w:right="709"/>
        <w:jc w:val="both"/>
        <w:rPr>
          <w:rFonts w:ascii="Verdana" w:eastAsia="Arial" w:hAnsi="Verdana" w:cs="Arial"/>
          <w:bCs/>
          <w:iCs/>
          <w:color w:val="000000"/>
          <w:sz w:val="20"/>
          <w:szCs w:val="20"/>
          <w:lang w:val="es-ES" w:eastAsia="es-ES" w:bidi="es-ES"/>
        </w:rPr>
      </w:pPr>
    </w:p>
    <w:p w14:paraId="307FF008" w14:textId="77777777" w:rsidR="001D0810" w:rsidRPr="00E009FE" w:rsidRDefault="001D0810" w:rsidP="001D0810">
      <w:pPr>
        <w:widowControl w:val="0"/>
        <w:autoSpaceDE w:val="0"/>
        <w:autoSpaceDN w:val="0"/>
        <w:spacing w:after="0" w:line="240" w:lineRule="auto"/>
        <w:ind w:left="709" w:right="709"/>
        <w:jc w:val="both"/>
        <w:rPr>
          <w:rFonts w:ascii="Verdana" w:eastAsia="Arial" w:hAnsi="Verdana" w:cs="Arial"/>
          <w:bCs/>
          <w:iCs/>
          <w:color w:val="000000"/>
          <w:sz w:val="20"/>
          <w:szCs w:val="20"/>
          <w:lang w:val="es-ES" w:eastAsia="es-ES" w:bidi="es-ES"/>
        </w:rPr>
      </w:pPr>
      <w:r w:rsidRPr="00E009FE">
        <w:rPr>
          <w:rFonts w:ascii="Verdana" w:eastAsia="Arial" w:hAnsi="Verdana" w:cs="Arial"/>
          <w:bCs/>
          <w:iCs/>
          <w:color w:val="000000"/>
          <w:sz w:val="20"/>
          <w:szCs w:val="20"/>
          <w:lang w:val="es-ES" w:eastAsia="es-ES" w:bidi="es-ES"/>
        </w:rPr>
        <w:t>(…)</w:t>
      </w:r>
    </w:p>
    <w:p w14:paraId="372827EB" w14:textId="77777777" w:rsidR="001D0810" w:rsidRPr="00E009FE" w:rsidRDefault="001D0810" w:rsidP="001D0810">
      <w:pPr>
        <w:widowControl w:val="0"/>
        <w:autoSpaceDE w:val="0"/>
        <w:autoSpaceDN w:val="0"/>
        <w:spacing w:after="0" w:line="240" w:lineRule="auto"/>
        <w:ind w:left="709" w:right="709"/>
        <w:jc w:val="both"/>
        <w:rPr>
          <w:rFonts w:ascii="Verdana" w:eastAsia="Arial" w:hAnsi="Verdana" w:cs="Arial"/>
          <w:bCs/>
          <w:iCs/>
          <w:color w:val="000000"/>
          <w:sz w:val="20"/>
          <w:szCs w:val="20"/>
          <w:lang w:val="es-ES" w:eastAsia="es-ES" w:bidi="es-ES"/>
        </w:rPr>
      </w:pPr>
    </w:p>
    <w:p w14:paraId="1A902104" w14:textId="77777777" w:rsidR="001D0810" w:rsidRPr="00E009FE" w:rsidRDefault="001D0810" w:rsidP="001D0810">
      <w:pPr>
        <w:widowControl w:val="0"/>
        <w:autoSpaceDE w:val="0"/>
        <w:autoSpaceDN w:val="0"/>
        <w:spacing w:after="0" w:line="240" w:lineRule="auto"/>
        <w:ind w:left="709" w:right="709"/>
        <w:jc w:val="both"/>
        <w:rPr>
          <w:rFonts w:ascii="Verdana" w:eastAsia="Arial" w:hAnsi="Verdana" w:cs="Arial"/>
          <w:bCs/>
          <w:iCs/>
          <w:color w:val="000000"/>
          <w:sz w:val="20"/>
          <w:szCs w:val="20"/>
          <w:lang w:val="es-ES" w:eastAsia="es-ES" w:bidi="es-ES"/>
        </w:rPr>
      </w:pPr>
      <w:r w:rsidRPr="00E009FE">
        <w:rPr>
          <w:rFonts w:ascii="Verdana" w:eastAsia="Arial" w:hAnsi="Verdana" w:cs="Arial"/>
          <w:bCs/>
          <w:iCs/>
          <w:color w:val="000000"/>
          <w:sz w:val="20"/>
          <w:szCs w:val="20"/>
          <w:lang w:val="es-ES" w:eastAsia="es-ES" w:bidi="es-ES"/>
        </w:rPr>
        <w:t xml:space="preserve">-Las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w:t>
      </w:r>
      <w:r w:rsidRPr="00E009FE">
        <w:rPr>
          <w:rFonts w:ascii="Verdana" w:eastAsia="Arial" w:hAnsi="Verdana" w:cs="Arial"/>
          <w:bCs/>
          <w:iCs/>
          <w:color w:val="000000"/>
          <w:sz w:val="20"/>
          <w:szCs w:val="20"/>
          <w:lang w:val="es-ES" w:eastAsia="es-ES" w:bidi="es-ES"/>
        </w:rPr>
        <w:lastRenderedPageBreak/>
        <w:t xml:space="preserve">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264F443C" w14:textId="77777777" w:rsidR="001D0810" w:rsidRPr="00E009FE" w:rsidRDefault="001D0810" w:rsidP="001D0810">
      <w:pPr>
        <w:widowControl w:val="0"/>
        <w:autoSpaceDE w:val="0"/>
        <w:autoSpaceDN w:val="0"/>
        <w:spacing w:after="0" w:line="240" w:lineRule="auto"/>
        <w:ind w:left="709" w:right="709"/>
        <w:jc w:val="both"/>
        <w:rPr>
          <w:rFonts w:ascii="Verdana" w:eastAsia="Arial" w:hAnsi="Verdana" w:cs="Arial"/>
          <w:bCs/>
          <w:iCs/>
          <w:color w:val="000000"/>
          <w:sz w:val="20"/>
          <w:szCs w:val="20"/>
          <w:lang w:val="es-ES" w:eastAsia="es-ES" w:bidi="es-ES"/>
        </w:rPr>
      </w:pPr>
    </w:p>
    <w:p w14:paraId="49F98AF6" w14:textId="77777777" w:rsidR="001D0810" w:rsidRPr="00E009FE" w:rsidRDefault="001D0810" w:rsidP="001D0810">
      <w:pPr>
        <w:widowControl w:val="0"/>
        <w:autoSpaceDE w:val="0"/>
        <w:autoSpaceDN w:val="0"/>
        <w:spacing w:after="0" w:line="240" w:lineRule="auto"/>
        <w:ind w:left="709" w:right="709"/>
        <w:jc w:val="both"/>
        <w:rPr>
          <w:rFonts w:ascii="Verdana" w:eastAsia="Arial" w:hAnsi="Verdana" w:cs="Arial"/>
          <w:bCs/>
          <w:iCs/>
          <w:color w:val="000000"/>
          <w:sz w:val="20"/>
          <w:szCs w:val="20"/>
          <w:lang w:val="es-ES" w:eastAsia="es-ES" w:bidi="es-ES"/>
        </w:rPr>
      </w:pPr>
      <w:r w:rsidRPr="00E009FE">
        <w:rPr>
          <w:rFonts w:ascii="Verdana" w:eastAsia="Arial" w:hAnsi="Verdana" w:cs="Arial"/>
          <w:bCs/>
          <w:iCs/>
          <w:color w:val="000000"/>
          <w:sz w:val="20"/>
          <w:szCs w:val="20"/>
          <w:lang w:val="es-ES" w:eastAsia="es-ES" w:bidi="es-ES"/>
        </w:rPr>
        <w:t xml:space="preserve">(…) </w:t>
      </w:r>
    </w:p>
    <w:p w14:paraId="0554DF0E" w14:textId="77777777" w:rsidR="001D0810" w:rsidRPr="00E009FE" w:rsidRDefault="001D0810" w:rsidP="001D0810">
      <w:pPr>
        <w:widowControl w:val="0"/>
        <w:autoSpaceDE w:val="0"/>
        <w:autoSpaceDN w:val="0"/>
        <w:spacing w:after="0" w:line="240" w:lineRule="auto"/>
        <w:ind w:left="709" w:right="709"/>
        <w:jc w:val="both"/>
        <w:rPr>
          <w:rFonts w:ascii="Verdana" w:eastAsia="Arial" w:hAnsi="Verdana" w:cs="Arial"/>
          <w:bCs/>
          <w:iCs/>
          <w:color w:val="000000"/>
          <w:sz w:val="20"/>
          <w:szCs w:val="20"/>
          <w:lang w:val="es-ES" w:eastAsia="es-ES" w:bidi="es-ES"/>
        </w:rPr>
      </w:pPr>
    </w:p>
    <w:p w14:paraId="23FDCDD7" w14:textId="77777777" w:rsidR="001D0810" w:rsidRPr="00E009FE" w:rsidRDefault="001D0810" w:rsidP="001D0810">
      <w:pPr>
        <w:widowControl w:val="0"/>
        <w:autoSpaceDE w:val="0"/>
        <w:autoSpaceDN w:val="0"/>
        <w:spacing w:after="0" w:line="240" w:lineRule="auto"/>
        <w:ind w:left="709" w:right="709"/>
        <w:jc w:val="both"/>
        <w:rPr>
          <w:rFonts w:ascii="Verdana" w:eastAsia="Arial" w:hAnsi="Verdana" w:cs="Arial"/>
          <w:bCs/>
          <w:iCs/>
          <w:color w:val="000000"/>
          <w:sz w:val="20"/>
          <w:szCs w:val="20"/>
          <w:lang w:val="es-ES" w:eastAsia="es-ES" w:bidi="es-ES"/>
        </w:rPr>
      </w:pPr>
      <w:r w:rsidRPr="00E009FE">
        <w:rPr>
          <w:rFonts w:ascii="Verdana" w:eastAsia="Arial" w:hAnsi="Verdana" w:cs="Arial"/>
          <w:bCs/>
          <w:iCs/>
          <w:color w:val="000000"/>
          <w:sz w:val="20"/>
          <w:szCs w:val="20"/>
          <w:lang w:val="es-ES" w:eastAsia="es-ES" w:bidi="es-ES"/>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p>
    <w:p w14:paraId="5ACE7BF5" w14:textId="77777777" w:rsidR="001D0810" w:rsidRPr="00E009FE" w:rsidRDefault="001D0810" w:rsidP="001D0810">
      <w:pPr>
        <w:widowControl w:val="0"/>
        <w:autoSpaceDE w:val="0"/>
        <w:autoSpaceDN w:val="0"/>
        <w:spacing w:after="0" w:line="240" w:lineRule="auto"/>
        <w:ind w:left="709" w:right="709"/>
        <w:jc w:val="both"/>
        <w:rPr>
          <w:rFonts w:ascii="Verdana" w:eastAsia="Arial" w:hAnsi="Verdana" w:cs="Arial"/>
          <w:bCs/>
          <w:iCs/>
          <w:color w:val="000000"/>
          <w:sz w:val="20"/>
          <w:szCs w:val="20"/>
          <w:lang w:val="es-ES" w:eastAsia="es-ES" w:bidi="es-ES"/>
        </w:rPr>
      </w:pPr>
    </w:p>
    <w:p w14:paraId="3E765174" w14:textId="77777777" w:rsidR="001D0810" w:rsidRPr="00E009FE" w:rsidRDefault="001D0810" w:rsidP="001D0810">
      <w:pPr>
        <w:widowControl w:val="0"/>
        <w:autoSpaceDE w:val="0"/>
        <w:autoSpaceDN w:val="0"/>
        <w:spacing w:after="0" w:line="240" w:lineRule="auto"/>
        <w:ind w:left="709" w:right="709"/>
        <w:jc w:val="both"/>
        <w:rPr>
          <w:rFonts w:ascii="Verdana" w:eastAsia="Arial" w:hAnsi="Verdana" w:cs="Arial"/>
          <w:bCs/>
          <w:iCs/>
          <w:color w:val="000000"/>
          <w:sz w:val="20"/>
          <w:szCs w:val="20"/>
          <w:lang w:val="es-ES" w:eastAsia="es-ES" w:bidi="es-ES"/>
        </w:rPr>
      </w:pPr>
      <w:r w:rsidRPr="00E009FE">
        <w:rPr>
          <w:rFonts w:ascii="Verdana" w:eastAsia="Arial" w:hAnsi="Verdana" w:cs="Arial"/>
          <w:bCs/>
          <w:iCs/>
          <w:color w:val="000000"/>
          <w:sz w:val="20"/>
          <w:szCs w:val="20"/>
          <w:lang w:val="es-ES" w:eastAsia="es-ES" w:bidi="es-ES"/>
        </w:rPr>
        <w:t xml:space="preserve">-El cumplimiento del límite cuantitativo consagrado en la ley para los contratos adicionales. </w:t>
      </w:r>
    </w:p>
    <w:p w14:paraId="5C1F94BF" w14:textId="77777777" w:rsidR="001D0810" w:rsidRPr="00E009FE" w:rsidRDefault="001D0810" w:rsidP="001D0810">
      <w:pPr>
        <w:widowControl w:val="0"/>
        <w:autoSpaceDE w:val="0"/>
        <w:autoSpaceDN w:val="0"/>
        <w:spacing w:after="0" w:line="240" w:lineRule="auto"/>
        <w:ind w:left="709" w:right="709"/>
        <w:jc w:val="both"/>
        <w:rPr>
          <w:rFonts w:ascii="Verdana" w:eastAsia="Arial" w:hAnsi="Verdana" w:cs="Arial"/>
          <w:bCs/>
          <w:iCs/>
          <w:color w:val="000000"/>
          <w:sz w:val="20"/>
          <w:szCs w:val="20"/>
          <w:lang w:val="es-ES" w:eastAsia="es-ES" w:bidi="es-ES"/>
        </w:rPr>
      </w:pPr>
    </w:p>
    <w:p w14:paraId="429A59C6" w14:textId="77777777" w:rsidR="001D0810" w:rsidRPr="00E009FE" w:rsidRDefault="001D0810" w:rsidP="001D0810">
      <w:pPr>
        <w:widowControl w:val="0"/>
        <w:autoSpaceDE w:val="0"/>
        <w:autoSpaceDN w:val="0"/>
        <w:spacing w:after="0" w:line="240" w:lineRule="auto"/>
        <w:ind w:left="709" w:right="709"/>
        <w:jc w:val="both"/>
        <w:rPr>
          <w:rFonts w:ascii="Verdana" w:eastAsia="Arial" w:hAnsi="Verdana" w:cs="Arial"/>
          <w:bCs/>
          <w:iCs/>
          <w:color w:val="000000"/>
          <w:sz w:val="20"/>
          <w:szCs w:val="20"/>
          <w:lang w:val="es-ES" w:eastAsia="es-ES" w:bidi="es-ES"/>
        </w:rPr>
      </w:pPr>
      <w:r w:rsidRPr="00E009FE">
        <w:rPr>
          <w:rFonts w:ascii="Verdana" w:eastAsia="Arial" w:hAnsi="Verdana" w:cs="Arial"/>
          <w:bCs/>
          <w:iCs/>
          <w:color w:val="000000"/>
          <w:sz w:val="20"/>
          <w:szCs w:val="20"/>
          <w:lang w:val="es-ES" w:eastAsia="es-ES" w:bidi="es-ES"/>
        </w:rPr>
        <w:t>(…)</w:t>
      </w:r>
    </w:p>
    <w:p w14:paraId="3672DA78" w14:textId="77777777" w:rsidR="001D0810" w:rsidRPr="00E009FE" w:rsidRDefault="001D0810" w:rsidP="001D0810">
      <w:pPr>
        <w:widowControl w:val="0"/>
        <w:autoSpaceDE w:val="0"/>
        <w:autoSpaceDN w:val="0"/>
        <w:spacing w:after="0" w:line="240" w:lineRule="auto"/>
        <w:ind w:left="709" w:right="709"/>
        <w:jc w:val="both"/>
        <w:rPr>
          <w:rFonts w:ascii="Verdana" w:eastAsia="Arial" w:hAnsi="Verdana" w:cs="Arial"/>
          <w:bCs/>
          <w:iCs/>
          <w:color w:val="000000"/>
          <w:sz w:val="20"/>
          <w:szCs w:val="20"/>
          <w:lang w:val="es-ES" w:eastAsia="es-ES" w:bidi="es-ES"/>
        </w:rPr>
      </w:pPr>
    </w:p>
    <w:p w14:paraId="6F3409C1" w14:textId="77777777" w:rsidR="001D0810" w:rsidRPr="00E009FE" w:rsidRDefault="001D0810" w:rsidP="001D0810">
      <w:pPr>
        <w:widowControl w:val="0"/>
        <w:autoSpaceDE w:val="0"/>
        <w:autoSpaceDN w:val="0"/>
        <w:spacing w:after="0" w:line="240" w:lineRule="auto"/>
        <w:ind w:left="709" w:right="709"/>
        <w:jc w:val="both"/>
        <w:rPr>
          <w:rFonts w:ascii="Verdana" w:eastAsia="Arial" w:hAnsi="Verdana" w:cs="Arial"/>
          <w:bCs/>
          <w:iCs/>
          <w:color w:val="000000"/>
          <w:sz w:val="20"/>
          <w:szCs w:val="20"/>
          <w:lang w:val="es-ES" w:eastAsia="es-ES" w:bidi="es-ES"/>
        </w:rPr>
      </w:pPr>
      <w:r w:rsidRPr="00E009FE">
        <w:rPr>
          <w:rFonts w:ascii="Verdana" w:eastAsia="Arial" w:hAnsi="Verdana" w:cs="Arial"/>
          <w:bCs/>
          <w:iCs/>
          <w:color w:val="000000"/>
          <w:sz w:val="20"/>
          <w:szCs w:val="20"/>
          <w:lang w:val="es-ES" w:eastAsia="es-ES" w:bidi="es-ES"/>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p>
    <w:p w14:paraId="3A671AFD" w14:textId="77777777" w:rsidR="001D0810" w:rsidRPr="00E009FE" w:rsidRDefault="001D0810" w:rsidP="001D0810">
      <w:pPr>
        <w:widowControl w:val="0"/>
        <w:autoSpaceDE w:val="0"/>
        <w:autoSpaceDN w:val="0"/>
        <w:spacing w:after="0" w:line="276" w:lineRule="auto"/>
        <w:ind w:right="49" w:firstLine="708"/>
        <w:jc w:val="both"/>
        <w:rPr>
          <w:rFonts w:ascii="Verdana" w:eastAsia="Arial" w:hAnsi="Verdana" w:cs="Arial"/>
          <w:lang w:val="es-ES" w:eastAsia="es-ES" w:bidi="es-ES"/>
        </w:rPr>
      </w:pPr>
    </w:p>
    <w:p w14:paraId="208328B7" w14:textId="77777777" w:rsidR="001D0810" w:rsidRPr="00E009FE" w:rsidRDefault="001D0810" w:rsidP="001D0810">
      <w:pPr>
        <w:widowControl w:val="0"/>
        <w:autoSpaceDE w:val="0"/>
        <w:autoSpaceDN w:val="0"/>
        <w:spacing w:line="276" w:lineRule="auto"/>
        <w:ind w:right="51" w:firstLine="709"/>
        <w:jc w:val="both"/>
        <w:rPr>
          <w:rFonts w:ascii="Verdana" w:eastAsia="Arial" w:hAnsi="Verdana" w:cs="Arial"/>
          <w:lang w:val="es-ES" w:eastAsia="es-ES" w:bidi="es-ES"/>
        </w:rPr>
      </w:pPr>
      <w:r w:rsidRPr="00E009FE">
        <w:rPr>
          <w:rFonts w:ascii="Verdana" w:eastAsia="Arial" w:hAnsi="Verdana" w:cs="Arial"/>
          <w:lang w:val="es-ES" w:eastAsia="es-ES" w:bidi="es-ES"/>
        </w:rPr>
        <w:t>En efecto, aunque no existe un desarrollo legal o reglamentario sobre las reglas aplicables a la modificación del contrato estatal, los aportes de la jurisprudencia y de la doctrina han permitido estructurar los límites y requisitos de orden temporal, formal, material y axiológico para que sea procedente. Estos límites deben ser respetados por la entidad contratante para preservar los principios de origen legal, como el de planeación, selección objetiva, libre concurrencia, transparencia, igualdad, entre otros</w:t>
      </w:r>
      <w:r w:rsidRPr="00E009FE">
        <w:rPr>
          <w:rFonts w:ascii="Verdana" w:eastAsia="Arial" w:hAnsi="Verdana" w:cs="Arial"/>
          <w:vertAlign w:val="superscript"/>
          <w:lang w:val="es-ES" w:eastAsia="es-ES" w:bidi="es-ES"/>
        </w:rPr>
        <w:footnoteReference w:id="29"/>
      </w:r>
      <w:r w:rsidRPr="00E009FE">
        <w:rPr>
          <w:rFonts w:ascii="Verdana" w:eastAsia="Arial" w:hAnsi="Verdana" w:cs="Arial"/>
          <w:lang w:val="es-ES" w:eastAsia="es-ES" w:bidi="es-ES"/>
        </w:rPr>
        <w:t xml:space="preserve">. </w:t>
      </w:r>
    </w:p>
    <w:p w14:paraId="62BDAEEC" w14:textId="77777777" w:rsidR="001D0810" w:rsidRPr="00E009FE" w:rsidRDefault="001D0810" w:rsidP="001D0810">
      <w:pPr>
        <w:widowControl w:val="0"/>
        <w:autoSpaceDE w:val="0"/>
        <w:autoSpaceDN w:val="0"/>
        <w:spacing w:line="276" w:lineRule="auto"/>
        <w:ind w:firstLine="709"/>
        <w:jc w:val="both"/>
        <w:rPr>
          <w:rFonts w:ascii="Verdana" w:eastAsia="Calibri" w:hAnsi="Verdana" w:cs="Arial"/>
          <w:lang w:val="es-ES"/>
        </w:rPr>
      </w:pPr>
      <w:r w:rsidRPr="00E009FE">
        <w:rPr>
          <w:rFonts w:ascii="Verdana" w:hAnsi="Verdana"/>
          <w:lang w:val="es-ES"/>
        </w:rPr>
        <w:t xml:space="preserve">Dentro de los límites de </w:t>
      </w:r>
      <w:r w:rsidRPr="00E009FE">
        <w:rPr>
          <w:rFonts w:ascii="Verdana" w:hAnsi="Verdana"/>
          <w:i/>
          <w:lang w:val="es-ES"/>
        </w:rPr>
        <w:t xml:space="preserve">orden temporal </w:t>
      </w:r>
      <w:r w:rsidRPr="00E009FE">
        <w:rPr>
          <w:rFonts w:ascii="Verdana" w:hAnsi="Verdana"/>
          <w:lang w:val="es-ES"/>
        </w:rPr>
        <w:t xml:space="preserve">están comprendidos: </w:t>
      </w:r>
      <w:r w:rsidRPr="00E009FE">
        <w:rPr>
          <w:rFonts w:ascii="Verdana" w:eastAsia="Arial" w:hAnsi="Verdana" w:cs="Arial"/>
          <w:lang w:val="es-ES" w:eastAsia="es-ES" w:bidi="es-ES"/>
        </w:rPr>
        <w:t xml:space="preserve">i) la vigencia del contrato, pues no podría modificarse un contrato cuyo plazo ha culminado y; </w:t>
      </w:r>
      <w:proofErr w:type="spellStart"/>
      <w:r w:rsidRPr="00E009FE">
        <w:rPr>
          <w:rFonts w:ascii="Verdana" w:eastAsia="Arial" w:hAnsi="Verdana" w:cs="Arial"/>
          <w:lang w:val="es-ES" w:eastAsia="es-ES" w:bidi="es-ES"/>
        </w:rPr>
        <w:lastRenderedPageBreak/>
        <w:t>ii</w:t>
      </w:r>
      <w:proofErr w:type="spellEnd"/>
      <w:r w:rsidRPr="00E009FE">
        <w:rPr>
          <w:rFonts w:ascii="Verdana" w:eastAsia="Arial" w:hAnsi="Verdana" w:cs="Arial"/>
          <w:lang w:val="es-ES" w:eastAsia="es-ES" w:bidi="es-ES"/>
        </w:rPr>
        <w:t>) la prohibición de consagrar prórrogas automáticas, sucesivas o indefinidas, en tanto resultan contrarias al derecho esencial de la libertad de competencia.</w:t>
      </w:r>
      <w:r w:rsidRPr="00E009FE">
        <w:rPr>
          <w:rFonts w:ascii="Verdana" w:eastAsia="Calibri" w:hAnsi="Verdana" w:cs="Arial"/>
          <w:lang w:val="es-ES"/>
        </w:rPr>
        <w:t xml:space="preserve"> </w:t>
      </w:r>
    </w:p>
    <w:p w14:paraId="21EC87A7" w14:textId="77777777" w:rsidR="001D0810" w:rsidRPr="00E009FE" w:rsidRDefault="001D0810" w:rsidP="001D0810">
      <w:pPr>
        <w:widowControl w:val="0"/>
        <w:autoSpaceDE w:val="0"/>
        <w:autoSpaceDN w:val="0"/>
        <w:spacing w:line="276" w:lineRule="auto"/>
        <w:ind w:firstLine="709"/>
        <w:jc w:val="both"/>
        <w:rPr>
          <w:rFonts w:ascii="Verdana" w:eastAsia="Calibri" w:hAnsi="Verdana" w:cs="Arial"/>
          <w:lang w:val="es-ES"/>
        </w:rPr>
      </w:pPr>
      <w:r w:rsidRPr="00E009FE">
        <w:rPr>
          <w:rFonts w:ascii="Verdana" w:eastAsia="Calibri" w:hAnsi="Verdana" w:cs="Arial"/>
          <w:lang w:val="es-ES"/>
        </w:rPr>
        <w:t xml:space="preserve">En torno a los límites de </w:t>
      </w:r>
      <w:r w:rsidRPr="00E009FE">
        <w:rPr>
          <w:rFonts w:ascii="Verdana" w:eastAsia="Calibri" w:hAnsi="Verdana" w:cs="Arial"/>
          <w:i/>
          <w:lang w:val="es-ES"/>
        </w:rPr>
        <w:t>orden formal</w:t>
      </w:r>
      <w:r w:rsidRPr="00E009FE">
        <w:rPr>
          <w:rFonts w:ascii="Verdana" w:eastAsia="Calibri" w:hAnsi="Verdana" w:cs="Arial"/>
          <w:lang w:val="es-ES"/>
        </w:rPr>
        <w:t xml:space="preserve">, debe señalarse que, por un lado, es necesario que la </w:t>
      </w:r>
      <w:r w:rsidRPr="00E009FE">
        <w:rPr>
          <w:rFonts w:ascii="Verdana" w:eastAsia="Arial" w:hAnsi="Verdana" w:cs="Arial"/>
          <w:lang w:val="es-ES" w:eastAsia="es-ES" w:bidi="es-ES"/>
        </w:rPr>
        <w:t>modificación de los contratos conste por escrito, dado el carácter solemne del contrato estatal y que sea suscrito por el jefe o representante legal o su delegado, de conformidad con los artículos 11</w:t>
      </w:r>
      <w:r w:rsidRPr="00E009FE">
        <w:rPr>
          <w:rFonts w:ascii="Verdana" w:eastAsia="Arial" w:hAnsi="Verdana" w:cs="Arial"/>
          <w:vertAlign w:val="superscript"/>
          <w:lang w:val="es-ES" w:eastAsia="es-ES" w:bidi="es-ES"/>
        </w:rPr>
        <w:footnoteReference w:id="30"/>
      </w:r>
      <w:r w:rsidRPr="00E009FE">
        <w:rPr>
          <w:rFonts w:ascii="Verdana" w:eastAsia="Arial" w:hAnsi="Verdana" w:cs="Arial"/>
          <w:lang w:val="es-ES" w:eastAsia="es-ES" w:bidi="es-ES"/>
        </w:rPr>
        <w:t xml:space="preserve"> y 12 de la Ley 80 de 1993</w:t>
      </w:r>
      <w:r w:rsidRPr="00E009FE">
        <w:rPr>
          <w:rFonts w:ascii="Verdana" w:eastAsia="Arial" w:hAnsi="Verdana" w:cs="Arial"/>
          <w:vertAlign w:val="superscript"/>
          <w:lang w:val="es-ES" w:eastAsia="es-ES" w:bidi="es-ES"/>
        </w:rPr>
        <w:footnoteReference w:id="31"/>
      </w:r>
      <w:r w:rsidRPr="00E009FE">
        <w:rPr>
          <w:rFonts w:ascii="Verdana" w:eastAsia="Arial" w:hAnsi="Verdana" w:cs="Arial"/>
          <w:lang w:val="es-ES" w:eastAsia="es-ES" w:bidi="es-ES"/>
        </w:rPr>
        <w:t xml:space="preserve">, así como el deber de la existencia de las disponibilidades presupuestales para el cumplimiento de las obligaciones. Por otro lado, </w:t>
      </w:r>
      <w:r w:rsidRPr="00E009FE">
        <w:rPr>
          <w:rFonts w:ascii="Verdana" w:eastAsia="Calibri" w:hAnsi="Verdana" w:cs="Arial"/>
          <w:lang w:val="es-ES"/>
        </w:rPr>
        <w:t>la entidad debe motivar y justificar la modificación. Al respecto el Consejo de Estado ha señalado:</w:t>
      </w:r>
    </w:p>
    <w:p w14:paraId="0A1CC513" w14:textId="77777777" w:rsidR="001D0810" w:rsidRPr="00E009FE" w:rsidRDefault="001D0810" w:rsidP="001D0810">
      <w:pPr>
        <w:spacing w:after="0" w:line="240" w:lineRule="auto"/>
        <w:ind w:left="709" w:right="709"/>
        <w:jc w:val="both"/>
        <w:rPr>
          <w:rFonts w:ascii="Verdana" w:hAnsi="Verdana"/>
          <w:sz w:val="20"/>
          <w:szCs w:val="20"/>
          <w:lang w:val="es-ES"/>
        </w:rPr>
      </w:pPr>
      <w:r w:rsidRPr="00E009FE">
        <w:rPr>
          <w:rFonts w:ascii="Verdana" w:hAnsi="Verdana"/>
          <w:sz w:val="20"/>
          <w:szCs w:val="20"/>
          <w:lang w:val="es-ES"/>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afectar lo inicialmente pactado. Como regla general, las mismas razones del deber de planeación para el contrato inicial se imponen como requisito previo del contrato modificatorio. </w:t>
      </w:r>
    </w:p>
    <w:p w14:paraId="0CC10E3F" w14:textId="77777777" w:rsidR="001D0810" w:rsidRPr="00E009FE" w:rsidRDefault="001D0810" w:rsidP="001D0810">
      <w:pPr>
        <w:spacing w:after="0" w:line="240" w:lineRule="auto"/>
        <w:ind w:left="709" w:right="709"/>
        <w:jc w:val="both"/>
        <w:rPr>
          <w:rFonts w:ascii="Verdana" w:hAnsi="Verdana"/>
          <w:sz w:val="20"/>
          <w:szCs w:val="20"/>
          <w:lang w:val="es-ES"/>
        </w:rPr>
      </w:pPr>
      <w:r w:rsidRPr="00E009FE">
        <w:rPr>
          <w:rFonts w:ascii="Verdana" w:hAnsi="Verdana"/>
          <w:sz w:val="20"/>
          <w:szCs w:val="20"/>
          <w:lang w:val="es-ES"/>
        </w:rPr>
        <w:t xml:space="preserve">La motivación del contrato modificatorio resulta un elemento esencial que permita determinar su juridicidad, la justificación de su necesidad, su </w:t>
      </w:r>
      <w:r w:rsidRPr="00E009FE">
        <w:rPr>
          <w:rFonts w:ascii="Verdana" w:hAnsi="Verdana"/>
          <w:sz w:val="20"/>
          <w:szCs w:val="20"/>
          <w:lang w:val="es-ES"/>
        </w:rPr>
        <w:lastRenderedPageBreak/>
        <w:t>racionalidad y la proporcionalidad de su contenido, en especial cuando se alteran los aspectos técnicos y financieros iniciales. Se trata de un requisito indispensable para el control de legalidad del contrato o del acto de modificación.</w:t>
      </w:r>
    </w:p>
    <w:p w14:paraId="654C3E08" w14:textId="77777777" w:rsidR="001D0810" w:rsidRPr="00E009FE" w:rsidRDefault="001D0810" w:rsidP="001D0810">
      <w:pPr>
        <w:spacing w:after="0" w:line="240" w:lineRule="auto"/>
        <w:ind w:left="709" w:right="709"/>
        <w:jc w:val="both"/>
        <w:rPr>
          <w:rFonts w:ascii="Verdana" w:hAnsi="Verdana"/>
          <w:sz w:val="20"/>
          <w:szCs w:val="20"/>
          <w:lang w:val="es-ES"/>
        </w:rPr>
      </w:pPr>
    </w:p>
    <w:p w14:paraId="38F4AD1F" w14:textId="77777777" w:rsidR="001D0810" w:rsidRPr="00E009FE" w:rsidRDefault="001D0810" w:rsidP="001D0810">
      <w:pPr>
        <w:spacing w:after="0" w:line="240" w:lineRule="auto"/>
        <w:ind w:left="709" w:right="709"/>
        <w:jc w:val="both"/>
        <w:rPr>
          <w:rFonts w:ascii="Verdana" w:hAnsi="Verdana"/>
          <w:sz w:val="20"/>
          <w:szCs w:val="20"/>
          <w:lang w:val="es-ES"/>
        </w:rPr>
      </w:pPr>
      <w:r w:rsidRPr="00E009FE">
        <w:rPr>
          <w:rFonts w:ascii="Verdana" w:hAnsi="Verdana"/>
          <w:sz w:val="20"/>
          <w:szCs w:val="20"/>
          <w:lang w:val="es-ES"/>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Pr="00E009FE">
        <w:rPr>
          <w:rFonts w:ascii="Verdana" w:hAnsi="Verdana"/>
          <w:sz w:val="20"/>
          <w:szCs w:val="20"/>
          <w:vertAlign w:val="superscript"/>
          <w:lang w:val="es-ES"/>
        </w:rPr>
        <w:footnoteReference w:id="32"/>
      </w:r>
      <w:r w:rsidRPr="00E009FE">
        <w:rPr>
          <w:rFonts w:ascii="Verdana" w:hAnsi="Verdana"/>
          <w:sz w:val="20"/>
          <w:szCs w:val="20"/>
          <w:lang w:val="es-ES"/>
        </w:rPr>
        <w:t>.</w:t>
      </w:r>
    </w:p>
    <w:p w14:paraId="1DA24D8A" w14:textId="77777777" w:rsidR="001D0810" w:rsidRPr="00E009FE" w:rsidRDefault="001D0810" w:rsidP="001D0810">
      <w:pPr>
        <w:widowControl w:val="0"/>
        <w:autoSpaceDE w:val="0"/>
        <w:autoSpaceDN w:val="0"/>
        <w:spacing w:after="0" w:line="240" w:lineRule="auto"/>
        <w:jc w:val="both"/>
        <w:rPr>
          <w:rFonts w:ascii="Verdana" w:eastAsia="Calibri" w:hAnsi="Verdana" w:cs="Arial"/>
          <w:lang w:val="es-ES"/>
        </w:rPr>
      </w:pPr>
    </w:p>
    <w:p w14:paraId="76856159" w14:textId="77777777" w:rsidR="001D0810" w:rsidRPr="00E009FE" w:rsidRDefault="001D0810" w:rsidP="001D0810">
      <w:pPr>
        <w:widowControl w:val="0"/>
        <w:autoSpaceDE w:val="0"/>
        <w:autoSpaceDN w:val="0"/>
        <w:spacing w:line="276" w:lineRule="auto"/>
        <w:ind w:firstLine="709"/>
        <w:jc w:val="both"/>
        <w:rPr>
          <w:rFonts w:ascii="Verdana" w:eastAsia="Arial" w:hAnsi="Verdana" w:cs="Arial"/>
          <w:color w:val="000000"/>
          <w:lang w:val="es-ES" w:eastAsia="es-ES" w:bidi="es-ES"/>
        </w:rPr>
      </w:pPr>
      <w:r w:rsidRPr="00E009FE">
        <w:rPr>
          <w:rFonts w:ascii="Verdana" w:eastAsia="Calibri" w:hAnsi="Verdana" w:cs="Arial"/>
          <w:lang w:val="es-ES"/>
        </w:rPr>
        <w:t xml:space="preserve">Los </w:t>
      </w:r>
      <w:r w:rsidRPr="00E009FE">
        <w:rPr>
          <w:rFonts w:ascii="Verdana" w:eastAsia="Calibri" w:hAnsi="Verdana" w:cs="Arial"/>
          <w:i/>
          <w:lang w:val="es-ES"/>
        </w:rPr>
        <w:t>límites materiales</w:t>
      </w:r>
      <w:r w:rsidRPr="00E009FE">
        <w:rPr>
          <w:rFonts w:ascii="Verdana" w:eastAsia="Calibri" w:hAnsi="Verdana" w:cs="Arial"/>
          <w:lang w:val="es-ES"/>
        </w:rPr>
        <w:t xml:space="preserve"> </w:t>
      </w:r>
      <w:r w:rsidRPr="00E009FE">
        <w:rPr>
          <w:rFonts w:ascii="Verdana" w:eastAsia="Arial" w:hAnsi="Verdana" w:cs="Arial"/>
          <w:lang w:val="es-ES" w:eastAsia="es-ES" w:bidi="es-ES"/>
        </w:rPr>
        <w:t xml:space="preserve">corresponden a la prohibición de modificar las condiciones sustanciales del contrato, que se presentará en los casos en que se incluyan elementos que </w:t>
      </w:r>
      <w:r w:rsidRPr="00E009FE">
        <w:rPr>
          <w:rFonts w:ascii="Verdana" w:eastAsia="Arial" w:hAnsi="Verdana" w:cs="Arial"/>
          <w:iCs/>
          <w:lang w:val="es-ES" w:eastAsia="es-ES" w:bidi="es-ES"/>
        </w:rPr>
        <w:t>“habiendo figurado en el procedimiento inicial, hubiera permitido la participación de otros interesados aparte de los inicialmente admitidos, o seleccionar una oferta distinta de la inicialmente seleccionada”</w:t>
      </w:r>
      <w:r w:rsidRPr="00E009FE">
        <w:rPr>
          <w:rFonts w:ascii="Verdana" w:eastAsia="Arial" w:hAnsi="Verdana" w:cs="Arial"/>
          <w:iCs/>
          <w:vertAlign w:val="superscript"/>
          <w:lang w:val="es-ES" w:eastAsia="es-ES" w:bidi="es-ES"/>
        </w:rPr>
        <w:footnoteReference w:id="33"/>
      </w:r>
      <w:r w:rsidRPr="00E009FE">
        <w:rPr>
          <w:rFonts w:ascii="Verdana" w:eastAsia="Arial" w:hAnsi="Verdana" w:cs="Arial"/>
          <w:iCs/>
          <w:lang w:val="es-ES" w:eastAsia="es-ES" w:bidi="es-ES"/>
        </w:rPr>
        <w:t>. En este caso no es procedente una modificación que altere de tal forma el contrato que devenga en un negocio jurídico distinto.</w:t>
      </w:r>
      <w:r w:rsidRPr="00E009FE">
        <w:rPr>
          <w:rFonts w:ascii="Verdana" w:eastAsia="Arial" w:hAnsi="Verdana" w:cs="Arial"/>
          <w:i/>
          <w:lang w:val="es-ES" w:eastAsia="es-ES" w:bidi="es-ES"/>
        </w:rPr>
        <w:t xml:space="preserve"> </w:t>
      </w:r>
      <w:r w:rsidRPr="00E009FE">
        <w:rPr>
          <w:rFonts w:ascii="Verdana" w:eastAsia="Arial" w:hAnsi="Verdana" w:cs="Arial"/>
          <w:color w:val="000000"/>
          <w:lang w:val="es-ES" w:eastAsia="es-ES" w:bidi="es-ES"/>
        </w:rPr>
        <w:t>En estos casos, lo indicado no sería modificar el contrato sino celebrar uno nuevo. Sobre este último punto, la doctrina</w:t>
      </w:r>
      <w:r w:rsidRPr="00E009FE">
        <w:rPr>
          <w:rFonts w:ascii="Verdana" w:eastAsia="Arial" w:hAnsi="Verdana" w:cs="Arial"/>
          <w:color w:val="000000"/>
          <w:vertAlign w:val="superscript"/>
          <w:lang w:val="es-ES" w:eastAsia="es-ES" w:bidi="es-ES"/>
        </w:rPr>
        <w:footnoteReference w:id="34"/>
      </w:r>
      <w:r w:rsidRPr="00E009FE">
        <w:rPr>
          <w:rFonts w:ascii="Verdana" w:eastAsia="Arial" w:hAnsi="Verdana" w:cs="Arial"/>
          <w:color w:val="000000"/>
          <w:lang w:val="es-ES" w:eastAsia="es-ES" w:bidi="es-ES"/>
        </w:rPr>
        <w:t xml:space="preserve"> ha precisado que cuando “</w:t>
      </w:r>
      <w:r w:rsidRPr="00E009FE">
        <w:rPr>
          <w:rFonts w:ascii="Verdana" w:eastAsia="Arial" w:hAnsi="Verdana" w:cs="Arial"/>
          <w:i/>
          <w:iCs/>
          <w:color w:val="000000"/>
          <w:lang w:val="es-ES" w:eastAsia="es-ES"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E009FE">
        <w:rPr>
          <w:rFonts w:ascii="Verdana" w:eastAsia="Arial" w:hAnsi="Verdana" w:cs="Arial"/>
          <w:i/>
          <w:iCs/>
          <w:color w:val="000000"/>
          <w:vertAlign w:val="superscript"/>
          <w:lang w:val="es-ES" w:eastAsia="es-ES" w:bidi="es-ES"/>
        </w:rPr>
        <w:footnoteReference w:id="35"/>
      </w:r>
      <w:r w:rsidRPr="00E009FE">
        <w:rPr>
          <w:rFonts w:ascii="Verdana" w:eastAsia="Arial" w:hAnsi="Verdana" w:cs="Arial"/>
          <w:color w:val="000000"/>
          <w:lang w:val="es-ES" w:eastAsia="es-ES" w:bidi="es-ES"/>
        </w:rPr>
        <w:t xml:space="preserve">. </w:t>
      </w:r>
    </w:p>
    <w:p w14:paraId="75F498B4" w14:textId="77777777" w:rsidR="001D0810" w:rsidRPr="00E009FE" w:rsidRDefault="001D0810" w:rsidP="001D0810">
      <w:pPr>
        <w:widowControl w:val="0"/>
        <w:autoSpaceDE w:val="0"/>
        <w:autoSpaceDN w:val="0"/>
        <w:spacing w:line="276" w:lineRule="auto"/>
        <w:ind w:firstLine="709"/>
        <w:jc w:val="both"/>
        <w:rPr>
          <w:rFonts w:ascii="Verdana" w:eastAsia="Arial" w:hAnsi="Verdana" w:cs="Arial"/>
          <w:color w:val="000000"/>
          <w:lang w:val="es-ES" w:eastAsia="es-ES" w:bidi="es-ES"/>
        </w:rPr>
      </w:pPr>
      <w:r w:rsidRPr="00E009FE">
        <w:rPr>
          <w:rFonts w:ascii="Verdana" w:eastAsia="Arial" w:hAnsi="Verdana" w:cs="Arial"/>
          <w:color w:val="000000"/>
          <w:lang w:val="es-ES" w:eastAsia="es-ES" w:bidi="es-ES"/>
        </w:rPr>
        <w:t xml:space="preserve">Para determinar los aspectos que no alteran </w:t>
      </w:r>
      <w:r w:rsidRPr="00E009FE">
        <w:rPr>
          <w:rFonts w:ascii="Verdana" w:eastAsia="Arial" w:hAnsi="Verdana" w:cs="Arial"/>
          <w:i/>
          <w:iCs/>
          <w:color w:val="000000"/>
          <w:lang w:val="es-ES" w:eastAsia="es-ES" w:bidi="es-ES"/>
        </w:rPr>
        <w:t>la esencia</w:t>
      </w:r>
      <w:r w:rsidRPr="00E009FE">
        <w:rPr>
          <w:rFonts w:ascii="Verdana" w:eastAsia="Arial" w:hAnsi="Verdana" w:cs="Arial"/>
          <w:color w:val="000000"/>
          <w:lang w:val="es-ES" w:eastAsia="es-ES" w:bidi="es-ES"/>
        </w:rPr>
        <w:t xml:space="preserve"> del contrato estatal y cuya modificación no lo convierte en otro contrato, resulta útil remitirse a lo previsto en el artículo 1501 del Código Civil que establece que los contratos tienen elementos de su esencia, de su naturaleza y accidentales. En todo caso, corresponderá a cada entidad estatal analizar si la modificación es procedente desde la perspectiva jurídica, administrativa, técnica y financiera, así como </w:t>
      </w:r>
      <w:r w:rsidRPr="00E009FE">
        <w:rPr>
          <w:rFonts w:ascii="Verdana" w:eastAsia="Arial" w:hAnsi="Verdana" w:cs="Arial"/>
          <w:color w:val="000000"/>
          <w:lang w:val="es-ES" w:eastAsia="es-ES" w:bidi="es-ES"/>
        </w:rPr>
        <w:lastRenderedPageBreak/>
        <w:t xml:space="preserve">constatar que cuente con la documentación que la sustente por parte de los funcionarios que participan dentro del proceso de contratación, como los supervisores y/o interventores, y comités internos de contratación.  </w:t>
      </w:r>
    </w:p>
    <w:p w14:paraId="43931785" w14:textId="77777777" w:rsidR="001D0810" w:rsidRPr="00E009FE" w:rsidRDefault="001D0810" w:rsidP="001D0810">
      <w:pPr>
        <w:widowControl w:val="0"/>
        <w:autoSpaceDE w:val="0"/>
        <w:autoSpaceDN w:val="0"/>
        <w:spacing w:line="276" w:lineRule="auto"/>
        <w:ind w:firstLine="709"/>
        <w:jc w:val="both"/>
        <w:rPr>
          <w:rFonts w:ascii="Verdana" w:eastAsia="Arial" w:hAnsi="Verdana" w:cs="Arial"/>
          <w:i/>
          <w:lang w:val="es-ES" w:eastAsia="es-ES" w:bidi="es-ES"/>
        </w:rPr>
      </w:pPr>
      <w:r w:rsidRPr="00E009FE">
        <w:rPr>
          <w:rFonts w:ascii="Verdana" w:eastAsia="Arial" w:hAnsi="Verdana" w:cs="Arial"/>
          <w:lang w:val="es-ES" w:eastAsia="es-ES" w:bidi="es-ES"/>
        </w:rPr>
        <w:t xml:space="preserve">Finalmente, se encuentran los </w:t>
      </w:r>
      <w:r w:rsidRPr="00E009FE">
        <w:rPr>
          <w:rFonts w:ascii="Verdana" w:eastAsia="Arial" w:hAnsi="Verdana" w:cs="Arial"/>
          <w:i/>
          <w:lang w:val="es-ES" w:eastAsia="es-ES" w:bidi="es-ES"/>
        </w:rPr>
        <w:t>límites axiológicos</w:t>
      </w:r>
      <w:r w:rsidRPr="00E009FE">
        <w:rPr>
          <w:rFonts w:ascii="Verdana" w:eastAsia="Arial" w:hAnsi="Verdana" w:cs="Arial"/>
          <w:lang w:val="es-ES" w:eastAsia="es-ES" w:bidi="es-ES"/>
        </w:rPr>
        <w:t xml:space="preserve">, los cuales se fundan en la necesidad de preservar los principios de igualdad, transparencia, libertad de concurrencia, selección objetiva y planeación. </w:t>
      </w:r>
      <w:r w:rsidRPr="00E009FE">
        <w:rPr>
          <w:rFonts w:ascii="Verdana" w:eastAsia="Calibri" w:hAnsi="Verdana" w:cs="Arial"/>
          <w:lang w:val="es-ES" w:eastAsia="es-ES"/>
        </w:rPr>
        <w:t xml:space="preserve">Lo anterior, con la finalidad de realizar la escogencia diligente de la mejor oferta, para beneficiar los intereses y fines públicos inmersos en la contratación de las entidades estatales. </w:t>
      </w:r>
      <w:r w:rsidRPr="00E009FE">
        <w:rPr>
          <w:rFonts w:ascii="Verdana" w:eastAsia="Calibri" w:hAnsi="Verdana" w:cs="Arial"/>
          <w:lang w:val="es-ES"/>
        </w:rPr>
        <w:t xml:space="preserve">Este límite es relevante con respecto a su consulta, pues una modificación del contrato estatal no debe ir en contravía del principio de planeación o ser el resultado de un incumplimiento de este deber por parte de la entidad estatal. En este sentido, las modificaciones no son instrumentos para subsanar errores o falencias </w:t>
      </w:r>
      <w:r>
        <w:rPr>
          <w:rFonts w:ascii="Verdana" w:eastAsia="Calibri" w:hAnsi="Verdana" w:cs="Arial"/>
          <w:lang w:val="es-ES"/>
        </w:rPr>
        <w:t xml:space="preserve">de </w:t>
      </w:r>
      <w:r w:rsidRPr="00E009FE">
        <w:rPr>
          <w:rFonts w:ascii="Verdana" w:eastAsia="Calibri" w:hAnsi="Verdana" w:cs="Arial"/>
          <w:lang w:val="es-ES"/>
        </w:rPr>
        <w:t xml:space="preserve">la entidad con ocasión a una planeación deficiente. </w:t>
      </w:r>
    </w:p>
    <w:p w14:paraId="7CFA12F8" w14:textId="77777777" w:rsidR="001D0810" w:rsidRPr="00E009FE" w:rsidRDefault="001D0810" w:rsidP="001D0810">
      <w:pPr>
        <w:widowControl w:val="0"/>
        <w:autoSpaceDE w:val="0"/>
        <w:autoSpaceDN w:val="0"/>
        <w:spacing w:line="276" w:lineRule="auto"/>
        <w:ind w:firstLine="709"/>
        <w:jc w:val="both"/>
        <w:rPr>
          <w:rFonts w:ascii="Verdana" w:eastAsia="Calibri" w:hAnsi="Verdana" w:cs="Arial"/>
          <w:lang w:val="es-ES" w:eastAsia="es-ES_tradnl"/>
        </w:rPr>
      </w:pPr>
      <w:r w:rsidRPr="00E009FE">
        <w:rPr>
          <w:rFonts w:ascii="Verdana" w:eastAsia="Arial" w:hAnsi="Verdana" w:cs="Arial"/>
          <w:lang w:val="es-ES" w:eastAsia="es-ES" w:bidi="es-ES"/>
        </w:rPr>
        <w:t>Por otra parte, este límite encuentra sustento en el hecho de que, para celebrar contratos estatales las entidades públicas eligen, dentro de un “régimen de concurrencia y de igualdad, las mejores condiciones de costo, calidad e idoneidad de la prestación requerida”. Esto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r w:rsidRPr="00E009FE">
        <w:rPr>
          <w:rFonts w:ascii="Verdana" w:eastAsia="Calibri" w:hAnsi="Verdana" w:cs="Arial"/>
          <w:lang w:val="es-ES" w:eastAsia="es-ES_tradnl"/>
        </w:rPr>
        <w:t xml:space="preserve"> </w:t>
      </w:r>
    </w:p>
    <w:p w14:paraId="20B6A324" w14:textId="77777777" w:rsidR="001D0810" w:rsidRDefault="001D0810" w:rsidP="001D0810">
      <w:pPr>
        <w:widowControl w:val="0"/>
        <w:autoSpaceDE w:val="0"/>
        <w:autoSpaceDN w:val="0"/>
        <w:spacing w:after="0" w:line="276" w:lineRule="auto"/>
        <w:ind w:firstLine="709"/>
        <w:jc w:val="both"/>
        <w:rPr>
          <w:rFonts w:ascii="Verdana" w:eastAsia="Arial" w:hAnsi="Verdana" w:cs="Arial"/>
          <w:color w:val="000000"/>
          <w:lang w:val="es-ES" w:eastAsia="es-ES" w:bidi="es-ES"/>
        </w:rPr>
      </w:pPr>
      <w:r>
        <w:rPr>
          <w:rFonts w:ascii="Verdana" w:eastAsia="Arial" w:hAnsi="Verdana" w:cs="Arial"/>
          <w:color w:val="000000"/>
          <w:lang w:val="es-ES" w:eastAsia="es-ES" w:bidi="es-ES"/>
        </w:rPr>
        <w:t>S</w:t>
      </w:r>
      <w:r w:rsidRPr="00E009FE">
        <w:rPr>
          <w:rFonts w:ascii="Verdana" w:eastAsia="Arial" w:hAnsi="Verdana" w:cs="Arial"/>
          <w:color w:val="000000"/>
          <w:lang w:val="es-ES" w:eastAsia="es-ES" w:bidi="es-ES"/>
        </w:rPr>
        <w:t xml:space="preserve">egún el marco jurídico y los parámetros fijados por el Consejo de Estado y la Corte Constitucional, los cuales comparte esta Agencia, es viable jurídicamente modificar los contratos estatales, pero esta medida tienen </w:t>
      </w:r>
      <w:r w:rsidRPr="00E009FE">
        <w:rPr>
          <w:rFonts w:ascii="Verdana" w:eastAsia="Arial" w:hAnsi="Verdana" w:cs="Arial"/>
          <w:i/>
          <w:iCs/>
          <w:color w:val="000000"/>
          <w:lang w:val="es-ES" w:eastAsia="es-ES" w:bidi="es-ES"/>
        </w:rPr>
        <w:t>carácter excepcional</w:t>
      </w:r>
      <w:r w:rsidRPr="00E009FE">
        <w:rPr>
          <w:rFonts w:ascii="Verdana" w:eastAsia="Arial" w:hAnsi="Verdana" w:cs="Arial"/>
          <w:color w:val="000000"/>
          <w:lang w:val="es-ES" w:eastAsia="es-ES" w:bidi="es-ES"/>
        </w:rPr>
        <w:t xml:space="preserve"> y solo procede cuando: se pretenda garantizar el interés público, la entidad haya verificado y cualquiera pueda constatar que la causa de la modificación es real y cierta, y la modificación cumpla con las limitaciones y condiciones que establezca la ley. En otras palabras, la modificación contractual encuentra sustento no solo en circunstancias fácticas propias de la ejecución del contrato, sino además debe cumplir con los principios y fines de la contratación estatal, así como con las condiciones y restricciones legales. En esta medida, las modificaciones se refieren a alteraciones, variaciones, cambios o correcciones en las condiciones y cláusulas del contrato. Estas deben ser suscritas por las partes, sujetándose a lo previsto en la ley, esto es, </w:t>
      </w:r>
      <w:r w:rsidRPr="002C1B6F">
        <w:rPr>
          <w:rFonts w:ascii="Verdana" w:eastAsia="Arial" w:hAnsi="Verdana" w:cs="Arial"/>
          <w:color w:val="000000"/>
          <w:lang w:val="es-ES" w:eastAsia="es-ES" w:bidi="es-ES"/>
        </w:rPr>
        <w:t xml:space="preserve">que se encuentren debidamente justificadas, que no sean el resultado de una indebida planeación </w:t>
      </w:r>
      <w:r w:rsidRPr="00E009FE">
        <w:rPr>
          <w:rFonts w:ascii="Verdana" w:eastAsia="Arial" w:hAnsi="Verdana" w:cs="Arial"/>
          <w:color w:val="000000"/>
          <w:lang w:val="es-ES" w:eastAsia="es-ES" w:bidi="es-ES"/>
        </w:rPr>
        <w:lastRenderedPageBreak/>
        <w:t xml:space="preserve">y que consten por escrito, de tal manera que de las mismas se predique su existencia, validez y eficacia. </w:t>
      </w:r>
    </w:p>
    <w:p w14:paraId="199D570D" w14:textId="77777777" w:rsidR="001D0810" w:rsidRPr="00E009FE" w:rsidRDefault="001D0810" w:rsidP="001D0810">
      <w:pPr>
        <w:widowControl w:val="0"/>
        <w:autoSpaceDE w:val="0"/>
        <w:autoSpaceDN w:val="0"/>
        <w:spacing w:after="0" w:line="276" w:lineRule="auto"/>
        <w:ind w:firstLine="709"/>
        <w:jc w:val="both"/>
        <w:rPr>
          <w:rFonts w:ascii="Verdana" w:eastAsia="Arial" w:hAnsi="Verdana" w:cs="Arial"/>
          <w:color w:val="000000"/>
          <w:lang w:val="es-ES" w:eastAsia="es-ES" w:bidi="es-ES"/>
        </w:rPr>
      </w:pPr>
    </w:p>
    <w:p w14:paraId="44213F53" w14:textId="77777777" w:rsidR="001D0810" w:rsidRPr="00E009FE" w:rsidRDefault="001D0810" w:rsidP="001D0810">
      <w:pPr>
        <w:widowControl w:val="0"/>
        <w:autoSpaceDE w:val="0"/>
        <w:autoSpaceDN w:val="0"/>
        <w:spacing w:line="276" w:lineRule="auto"/>
        <w:jc w:val="both"/>
        <w:rPr>
          <w:rFonts w:ascii="Verdana" w:eastAsia="Arial" w:hAnsi="Verdana" w:cs="Arial"/>
          <w:color w:val="000000"/>
          <w:lang w:val="es-ES" w:eastAsia="es-ES" w:bidi="es-ES"/>
        </w:rPr>
      </w:pPr>
      <w:proofErr w:type="spellStart"/>
      <w:r w:rsidRPr="006B55E0">
        <w:rPr>
          <w:rFonts w:ascii="Verdana" w:eastAsia="Arial" w:hAnsi="Verdana" w:cs="Arial"/>
          <w:b/>
          <w:bCs/>
          <w:color w:val="000000"/>
          <w:lang w:val="es-ES" w:eastAsia="es-ES" w:bidi="es-ES"/>
        </w:rPr>
        <w:t>iv</w:t>
      </w:r>
      <w:proofErr w:type="spellEnd"/>
      <w:r w:rsidRPr="006B55E0">
        <w:rPr>
          <w:rFonts w:ascii="Verdana" w:eastAsia="Arial" w:hAnsi="Verdana" w:cs="Arial"/>
          <w:b/>
          <w:bCs/>
          <w:color w:val="000000"/>
          <w:lang w:val="es-ES" w:eastAsia="es-ES" w:bidi="es-ES"/>
        </w:rPr>
        <w:t>)</w:t>
      </w:r>
      <w:r>
        <w:rPr>
          <w:rFonts w:ascii="Verdana" w:eastAsia="Arial" w:hAnsi="Verdana" w:cs="Arial"/>
          <w:color w:val="000000"/>
          <w:lang w:val="es-ES" w:eastAsia="es-ES" w:bidi="es-ES"/>
        </w:rPr>
        <w:t xml:space="preserve"> </w:t>
      </w:r>
      <w:r w:rsidRPr="00E009FE">
        <w:rPr>
          <w:rFonts w:ascii="Verdana" w:eastAsia="Arial" w:hAnsi="Verdana" w:cs="Arial"/>
          <w:color w:val="000000"/>
          <w:lang w:val="es-ES" w:eastAsia="es-ES" w:bidi="es-ES"/>
        </w:rPr>
        <w:t xml:space="preserve">Por otra parte, los contratos estatales pueden ser objeto de situaciones que impliquen la necesidad de adicionar o modificar las condiciones inicialmente pactadas, conforme lo prescribe el artículo 40 de la Ley 80 de 1993, pudiendo incluirse las modalidades, condiciones y, en general las cláusulas o estipulaciones que las partes consideren necesarias para el cabal cumplimiento del objeto contractual. En este contexto, las adiciones constituyen una manifestación de la modificación de los contratos estatales. </w:t>
      </w:r>
    </w:p>
    <w:p w14:paraId="4A87366F" w14:textId="77777777" w:rsidR="001D0810" w:rsidRPr="00E009FE" w:rsidRDefault="001D0810" w:rsidP="001D0810">
      <w:pPr>
        <w:spacing w:after="120" w:line="276" w:lineRule="auto"/>
        <w:ind w:firstLine="708"/>
        <w:jc w:val="both"/>
        <w:rPr>
          <w:rFonts w:ascii="Verdana" w:eastAsia="Calibri" w:hAnsi="Verdana" w:cs="Arial"/>
          <w:color w:val="000000"/>
          <w:szCs w:val="24"/>
          <w:lang w:val="es-ES" w:eastAsia="es-ES_tradnl"/>
        </w:rPr>
      </w:pPr>
      <w:r w:rsidRPr="00E009FE">
        <w:rPr>
          <w:rFonts w:ascii="Verdana" w:eastAsia="Calibri" w:hAnsi="Verdana" w:cs="Arial"/>
          <w:color w:val="000000"/>
          <w:szCs w:val="24"/>
          <w:lang w:val="es-ES" w:eastAsia="es-ES_tradnl"/>
        </w:rPr>
        <w:t xml:space="preserve">La ejecución de los contratos estatales está sujeta a los cambios propios del paso del tiempo. Así, durante la etapa de planeación, las entidades públicas estiman y determinan las prestaciones que demanda la satisfacción del interés colectivo. No obstante, durante la ejecución del contrato, las partes </w:t>
      </w:r>
      <w:r>
        <w:rPr>
          <w:rFonts w:ascii="Verdana" w:eastAsia="Calibri" w:hAnsi="Verdana" w:cs="Arial"/>
          <w:color w:val="000000"/>
          <w:szCs w:val="24"/>
          <w:lang w:val="es-ES" w:eastAsia="es-ES_tradnl"/>
        </w:rPr>
        <w:t xml:space="preserve">pueden </w:t>
      </w:r>
      <w:r w:rsidRPr="00E009FE">
        <w:rPr>
          <w:rFonts w:ascii="Verdana" w:eastAsia="Calibri" w:hAnsi="Verdana" w:cs="Arial"/>
          <w:color w:val="000000"/>
          <w:szCs w:val="24"/>
          <w:lang w:val="es-ES" w:eastAsia="es-ES_tradnl"/>
        </w:rPr>
        <w:t>identific</w:t>
      </w:r>
      <w:r>
        <w:rPr>
          <w:rFonts w:ascii="Verdana" w:eastAsia="Calibri" w:hAnsi="Verdana" w:cs="Arial"/>
          <w:color w:val="000000"/>
          <w:szCs w:val="24"/>
          <w:lang w:val="es-ES" w:eastAsia="es-ES_tradnl"/>
        </w:rPr>
        <w:t>ar</w:t>
      </w:r>
      <w:r w:rsidRPr="00E009FE">
        <w:rPr>
          <w:rFonts w:ascii="Verdana" w:eastAsia="Calibri" w:hAnsi="Verdana" w:cs="Arial"/>
          <w:color w:val="000000"/>
          <w:szCs w:val="24"/>
          <w:lang w:val="es-ES" w:eastAsia="es-ES_tradnl"/>
        </w:rPr>
        <w:t xml:space="preserve"> alguna de las siguientes situaciones: i) la necesidad de mayores cantidades de bienes o actividades inicialmente previstos, a lo que se le conoce como “mayores cantidades de obra”, “obras adicionales” o adición de “ítems contractuales”; y </w:t>
      </w:r>
      <w:proofErr w:type="spellStart"/>
      <w:r w:rsidRPr="00E009FE">
        <w:rPr>
          <w:rFonts w:ascii="Verdana" w:eastAsia="Calibri" w:hAnsi="Verdana" w:cs="Arial"/>
          <w:color w:val="000000"/>
          <w:szCs w:val="24"/>
          <w:lang w:val="es-ES" w:eastAsia="es-ES_tradnl"/>
        </w:rPr>
        <w:t>ii</w:t>
      </w:r>
      <w:proofErr w:type="spellEnd"/>
      <w:r w:rsidRPr="00E009FE">
        <w:rPr>
          <w:rFonts w:ascii="Verdana" w:eastAsia="Calibri" w:hAnsi="Verdana" w:cs="Arial"/>
          <w:color w:val="000000"/>
          <w:szCs w:val="24"/>
          <w:lang w:val="es-ES"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40400DA7" w14:textId="77777777" w:rsidR="001D0810" w:rsidRPr="00E009FE" w:rsidRDefault="001D0810" w:rsidP="001D0810">
      <w:pPr>
        <w:spacing w:after="120" w:line="276" w:lineRule="auto"/>
        <w:ind w:firstLine="709"/>
        <w:jc w:val="both"/>
        <w:rPr>
          <w:rFonts w:ascii="Verdana" w:eastAsia="Calibri" w:hAnsi="Verdana" w:cs="Arial"/>
          <w:color w:val="000000"/>
          <w:szCs w:val="24"/>
          <w:lang w:val="es-ES" w:eastAsia="es-ES_tradnl"/>
        </w:rPr>
      </w:pPr>
      <w:r w:rsidRPr="00E009FE">
        <w:rPr>
          <w:rFonts w:ascii="Verdana" w:eastAsia="Calibri" w:hAnsi="Verdana" w:cs="Arial"/>
          <w:color w:val="000000"/>
          <w:szCs w:val="24"/>
          <w:lang w:val="es-ES" w:eastAsia="es-ES_tradnl"/>
        </w:rPr>
        <w:t>Lo importante es que, frente a cualquier incremento del valor inicial del contrato</w:t>
      </w:r>
      <w:r>
        <w:rPr>
          <w:rFonts w:ascii="Verdana" w:eastAsia="Calibri" w:hAnsi="Verdana" w:cs="Arial"/>
          <w:color w:val="000000"/>
          <w:szCs w:val="24"/>
          <w:lang w:val="es-ES" w:eastAsia="es-ES_tradnl"/>
        </w:rPr>
        <w:t>,</w:t>
      </w:r>
      <w:r w:rsidRPr="00E009FE">
        <w:rPr>
          <w:rFonts w:ascii="Verdana" w:eastAsia="Calibri" w:hAnsi="Verdana" w:cs="Arial"/>
          <w:i/>
          <w:iCs/>
          <w:color w:val="000000"/>
          <w:szCs w:val="24"/>
          <w:lang w:val="es-ES" w:eastAsia="es-ES_tradnl"/>
        </w:rPr>
        <w:t xml:space="preserve"> </w:t>
      </w:r>
      <w:r w:rsidRPr="00E009FE">
        <w:rPr>
          <w:rFonts w:ascii="Verdana" w:eastAsia="Calibri" w:hAnsi="Verdana" w:cs="Arial"/>
          <w:color w:val="000000"/>
          <w:szCs w:val="24"/>
          <w:lang w:val="es-ES" w:eastAsia="es-ES_tradnl"/>
        </w:rPr>
        <w:t xml:space="preserve">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w:t>
      </w:r>
      <w:r w:rsidRPr="00E009FE">
        <w:rPr>
          <w:rFonts w:ascii="Verdana" w:eastAsia="Calibri" w:hAnsi="Verdana" w:cs="Arial"/>
          <w:color w:val="000000"/>
          <w:szCs w:val="24"/>
          <w:lang w:val="es-ES" w:eastAsia="es-ES_tradnl"/>
        </w:rPr>
        <w:lastRenderedPageBreak/>
        <w:t>que aplica a los contratos estatales, cuyos destinatarios son entidades sujetas al EGCAP</w:t>
      </w:r>
      <w:r w:rsidRPr="00E009FE">
        <w:rPr>
          <w:rFonts w:ascii="Verdana" w:eastAsia="Calibri" w:hAnsi="Verdana" w:cs="Arial"/>
          <w:color w:val="000000"/>
          <w:szCs w:val="24"/>
          <w:vertAlign w:val="superscript"/>
          <w:lang w:val="es-ES" w:eastAsia="es-ES_tradnl"/>
        </w:rPr>
        <w:footnoteReference w:id="36"/>
      </w:r>
      <w:r w:rsidRPr="00E009FE">
        <w:rPr>
          <w:rFonts w:ascii="Verdana" w:eastAsia="Calibri" w:hAnsi="Verdana" w:cs="Arial"/>
          <w:color w:val="000000"/>
          <w:szCs w:val="24"/>
          <w:lang w:val="es-ES" w:eastAsia="es-ES_tradnl"/>
        </w:rPr>
        <w:t>.</w:t>
      </w:r>
    </w:p>
    <w:p w14:paraId="74588486" w14:textId="77777777" w:rsidR="001D0810" w:rsidRPr="00E009FE" w:rsidRDefault="001D0810" w:rsidP="001D0810">
      <w:pPr>
        <w:spacing w:after="120" w:line="276" w:lineRule="auto"/>
        <w:ind w:firstLine="709"/>
        <w:jc w:val="both"/>
        <w:rPr>
          <w:rFonts w:ascii="Verdana" w:eastAsia="Calibri" w:hAnsi="Verdana" w:cs="Arial"/>
          <w:color w:val="000000"/>
          <w:szCs w:val="24"/>
          <w:lang w:val="es-ES" w:eastAsia="es-ES_tradnl"/>
        </w:rPr>
      </w:pPr>
      <w:r w:rsidRPr="00E009FE">
        <w:rPr>
          <w:rFonts w:ascii="Verdana" w:eastAsia="Calibri" w:hAnsi="Verdana" w:cs="Arial"/>
          <w:color w:val="000000"/>
          <w:szCs w:val="24"/>
          <w:lang w:val="es-ES"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dos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02E1061D" w14:textId="77777777" w:rsidR="001D0810" w:rsidRPr="00E009FE" w:rsidRDefault="001D0810" w:rsidP="001D0810">
      <w:pPr>
        <w:spacing w:after="120" w:line="276" w:lineRule="auto"/>
        <w:ind w:firstLine="708"/>
        <w:jc w:val="both"/>
        <w:rPr>
          <w:rFonts w:ascii="Verdana" w:eastAsia="Calibri" w:hAnsi="Verdana" w:cs="Arial"/>
          <w:color w:val="000000"/>
          <w:szCs w:val="24"/>
          <w:lang w:val="es-ES" w:eastAsia="es-ES_tradnl"/>
        </w:rPr>
      </w:pPr>
      <w:r w:rsidRPr="00E009FE">
        <w:rPr>
          <w:rFonts w:ascii="Verdana" w:eastAsia="Calibri" w:hAnsi="Verdana" w:cs="Arial"/>
          <w:color w:val="000000"/>
          <w:szCs w:val="24"/>
          <w:lang w:val="es-ES" w:eastAsia="es-ES_tradnl"/>
        </w:rPr>
        <w:t xml:space="preserve">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 y valga la redundancia, el valor inicial es el contemplado en el contrato originario y cualquier alteración a ese valor constituirá, técnicamente, una adición, independientemente de cuál sea su causa. </w:t>
      </w:r>
    </w:p>
    <w:p w14:paraId="0DB43CB6" w14:textId="77777777" w:rsidR="001D0810" w:rsidRPr="00E009FE" w:rsidRDefault="001D0810" w:rsidP="001D0810">
      <w:pPr>
        <w:spacing w:after="120" w:line="276" w:lineRule="auto"/>
        <w:ind w:firstLine="708"/>
        <w:jc w:val="both"/>
        <w:rPr>
          <w:rFonts w:ascii="Verdana" w:eastAsia="Calibri" w:hAnsi="Verdana" w:cs="Arial"/>
          <w:color w:val="000000"/>
          <w:szCs w:val="24"/>
          <w:lang w:val="es-ES" w:eastAsia="es-ES_tradnl"/>
        </w:rPr>
      </w:pPr>
      <w:r w:rsidRPr="00E009FE">
        <w:rPr>
          <w:rFonts w:ascii="Verdana" w:eastAsia="Calibri" w:hAnsi="Verdana" w:cs="Arial"/>
          <w:color w:val="000000"/>
          <w:szCs w:val="24"/>
          <w:lang w:val="es-ES" w:eastAsia="es-ES_tradnl"/>
        </w:rPr>
        <w:t xml:space="preserve">Sin perjuicio de lo anterior, el artículo 85 de la Ley 1474 de 2011 contempla un supuesto en el que es posible adicionar contratos en más del cincuenta por ciento (50%): cuando se trate de contratos de interventoría que, por su naturaleza de seguimiento técnico, deberán someterse al plazo en que </w:t>
      </w:r>
      <w:r w:rsidRPr="00E009FE">
        <w:rPr>
          <w:rFonts w:ascii="Verdana" w:eastAsia="Calibri" w:hAnsi="Verdana" w:cs="Arial"/>
          <w:color w:val="000000"/>
          <w:szCs w:val="24"/>
          <w:lang w:val="es-ES" w:eastAsia="es-ES_tradnl"/>
        </w:rPr>
        <w:lastRenderedPageBreak/>
        <w:t xml:space="preserve">haya sido prorrogado el contrato objeto de vigilancia. Esta disposición, cumple con el objetivo de fortalecer la figura de la interventoría, como una herramienta integral, para proteger los intereses públicos y no causar un daño antijurídico al abandonar la vigilancia del contrato principal, por limitaciones presupuestales. </w:t>
      </w:r>
    </w:p>
    <w:p w14:paraId="5689D21B" w14:textId="77777777" w:rsidR="001D0810" w:rsidRPr="00E009FE" w:rsidRDefault="001D0810" w:rsidP="001D0810">
      <w:pPr>
        <w:spacing w:after="120" w:line="276" w:lineRule="auto"/>
        <w:ind w:firstLine="708"/>
        <w:jc w:val="both"/>
        <w:rPr>
          <w:rFonts w:ascii="Verdana" w:eastAsia="Calibri" w:hAnsi="Verdana" w:cs="Arial"/>
          <w:color w:val="000000"/>
          <w:szCs w:val="24"/>
          <w:lang w:val="es-ES" w:eastAsia="es-ES_tradnl"/>
        </w:rPr>
      </w:pPr>
      <w:r w:rsidRPr="00E009FE">
        <w:rPr>
          <w:rFonts w:ascii="Verdana" w:eastAsia="Calibri" w:hAnsi="Verdana" w:cs="Arial"/>
          <w:color w:val="000000"/>
          <w:szCs w:val="24"/>
          <w:lang w:val="es-ES" w:eastAsia="es-ES_tradnl"/>
        </w:rPr>
        <w:t xml:space="preserve">Es importante reiterar que, conforme con lo señalado por la jurisprudencia, tales adiciones solo son válidas cuando la necesidad de modificar el contrato se presenta de manera sobreviniente al inicio de su ejecución. Esto comoquiera que, si la planeación realizada por la entidad estatal desde un principio indicaba que el valor del contrato requerido para satisfacer la necesidad superaría el monto de la cuantía que determina la modalidad, lo correcto es adjudicar el contrato mediante aquella que resultara realmente aplicable de acuerdo con el objeto y el valor del contrato. </w:t>
      </w:r>
    </w:p>
    <w:p w14:paraId="004E4B4D" w14:textId="77777777" w:rsidR="001D0810" w:rsidRDefault="001D0810" w:rsidP="001D0810">
      <w:pPr>
        <w:spacing w:after="0" w:line="276" w:lineRule="auto"/>
        <w:ind w:firstLine="708"/>
        <w:jc w:val="both"/>
        <w:rPr>
          <w:rFonts w:ascii="Verdana" w:hAnsi="Verdana"/>
          <w:lang w:val="es-ES"/>
        </w:rPr>
      </w:pPr>
      <w:r w:rsidRPr="00E009FE">
        <w:rPr>
          <w:rFonts w:ascii="Verdana" w:hAnsi="Verdana"/>
          <w:lang w:val="es-ES"/>
        </w:rPr>
        <w:t>Conforme con lo anterior, las entidades estatales que pretendan modificar sus contratos deberán respetar los límites cuantitativos señalados en el parágrafo del artículo 40 de la Ley 80 de 1993, así como aquellos de orden temporal, formal, material y axiológico que han sido determinados principalmente por la jurisprudencia del Consejo de Estado. Estos límites constituyen en su conjunto un marco jurídico para que las modificaciones de los contratos estatales preserven principios de origen legal como el de planeación, selección objetiva, libertad de concurrencia, transparencia, igualdad, entre otros.</w:t>
      </w:r>
    </w:p>
    <w:p w14:paraId="56AB7541" w14:textId="77777777" w:rsidR="001D0810" w:rsidRPr="000710FD" w:rsidRDefault="001D0810" w:rsidP="001D0810">
      <w:pPr>
        <w:spacing w:after="0" w:line="276" w:lineRule="auto"/>
        <w:ind w:firstLine="708"/>
        <w:jc w:val="both"/>
        <w:rPr>
          <w:rFonts w:ascii="Verdana" w:eastAsia="Calibri" w:hAnsi="Verdana" w:cs="Arial"/>
          <w:color w:val="000000"/>
          <w:szCs w:val="24"/>
          <w:lang w:val="es-ES" w:eastAsia="es-ES_tradnl"/>
        </w:rPr>
      </w:pPr>
    </w:p>
    <w:p w14:paraId="0ABE25DF" w14:textId="77777777" w:rsidR="001D0810" w:rsidRPr="00E009FE" w:rsidRDefault="001D0810" w:rsidP="001D0810">
      <w:pPr>
        <w:spacing w:after="120" w:line="276" w:lineRule="auto"/>
        <w:jc w:val="both"/>
        <w:rPr>
          <w:rFonts w:ascii="Verdana" w:eastAsia="Calibri" w:hAnsi="Verdana" w:cs="Arial"/>
          <w:b/>
          <w:bCs/>
          <w:lang w:val="es-ES"/>
        </w:rPr>
      </w:pPr>
      <w:r w:rsidRPr="00E009FE">
        <w:rPr>
          <w:rFonts w:ascii="Verdana" w:eastAsia="Calibri" w:hAnsi="Verdana" w:cs="Arial"/>
          <w:b/>
          <w:bCs/>
          <w:lang w:val="es-ES"/>
        </w:rPr>
        <w:t xml:space="preserve">v) </w:t>
      </w:r>
      <w:r w:rsidRPr="00E009FE">
        <w:rPr>
          <w:rFonts w:ascii="Verdana" w:eastAsia="Calibri" w:hAnsi="Verdana" w:cs="Arial"/>
          <w:lang w:val="es-ES"/>
        </w:rPr>
        <w:t>Según lo expuesto, las entidades pueden modificar de manera válida los contratos estatales de manera excepcional, y siempre que respeten los límites cuantitativos señalados en la ley y los principios temporales, formales, materiales y axiológicos dispuestos por la jurisprudencia. En este sentido, las modificaciones de estos contratos no dependen exclusivamente de la voluntad de las partes y tampoco podrán ser un recurso para subsanar o enmendar errores derivados de una planeación deficiente por parte de la entidad estatal. Lo anterior es importante porque las fallas en el deber de planeación pueden traducirse en modificaciones contractuales durante la ejecución del contrato que de otra manera no ocurrirían.</w:t>
      </w:r>
      <w:r w:rsidRPr="00E009FE">
        <w:rPr>
          <w:rFonts w:ascii="Verdana" w:eastAsia="Calibri" w:hAnsi="Verdana" w:cs="Arial"/>
          <w:b/>
          <w:bCs/>
          <w:lang w:val="es-ES"/>
        </w:rPr>
        <w:t xml:space="preserve"> </w:t>
      </w:r>
    </w:p>
    <w:p w14:paraId="3BBF830D" w14:textId="77777777" w:rsidR="001D0810" w:rsidRDefault="001D0810" w:rsidP="001D0810">
      <w:pPr>
        <w:spacing w:after="0" w:line="276" w:lineRule="auto"/>
        <w:ind w:firstLine="708"/>
        <w:jc w:val="both"/>
        <w:rPr>
          <w:rFonts w:ascii="Verdana" w:eastAsia="Calibri" w:hAnsi="Verdana" w:cs="Arial"/>
          <w:lang w:val="es-ES"/>
        </w:rPr>
      </w:pPr>
      <w:r w:rsidRPr="00E009FE">
        <w:rPr>
          <w:rFonts w:ascii="Verdana" w:eastAsia="Calibri" w:hAnsi="Verdana" w:cs="Arial"/>
          <w:lang w:val="es-ES"/>
        </w:rPr>
        <w:t>En el marco de los contratos de obra, el deber de planeación implica que</w:t>
      </w:r>
      <w:r>
        <w:rPr>
          <w:rFonts w:ascii="Verdana" w:eastAsia="Calibri" w:hAnsi="Verdana" w:cs="Arial"/>
          <w:lang w:val="es-ES"/>
        </w:rPr>
        <w:t>,</w:t>
      </w:r>
      <w:r w:rsidRPr="00E009FE">
        <w:rPr>
          <w:rFonts w:ascii="Verdana" w:eastAsia="Calibri" w:hAnsi="Verdana" w:cs="Arial"/>
          <w:lang w:val="es-ES"/>
        </w:rPr>
        <w:t xml:space="preserve"> de manera previa a asumir los compromisos contractuales</w:t>
      </w:r>
      <w:r>
        <w:rPr>
          <w:rFonts w:ascii="Verdana" w:eastAsia="Calibri" w:hAnsi="Verdana" w:cs="Arial"/>
          <w:lang w:val="es-ES"/>
        </w:rPr>
        <w:t>.</w:t>
      </w:r>
      <w:r w:rsidRPr="00E009FE">
        <w:rPr>
          <w:rFonts w:ascii="Verdana" w:eastAsia="Calibri" w:hAnsi="Verdana" w:cs="Arial"/>
          <w:lang w:val="es-ES"/>
        </w:rPr>
        <w:t xml:space="preserve"> la entidad realice estudios y análisis serios y completos que le permitan determinar:</w:t>
      </w:r>
      <w:r w:rsidRPr="00E009FE">
        <w:rPr>
          <w:rFonts w:ascii="Verdana" w:eastAsia="Calibri" w:hAnsi="Verdana" w:cs="Arial"/>
          <w:b/>
          <w:bCs/>
          <w:lang w:val="es-ES"/>
        </w:rPr>
        <w:t xml:space="preserve"> </w:t>
      </w:r>
      <w:r w:rsidRPr="00E009FE">
        <w:rPr>
          <w:rFonts w:ascii="Verdana" w:eastAsia="Calibri" w:hAnsi="Verdana" w:cs="Arial"/>
          <w:lang w:val="es-ES"/>
        </w:rPr>
        <w:t xml:space="preserve"> (i) necesidad </w:t>
      </w:r>
      <w:r w:rsidRPr="00E009FE">
        <w:rPr>
          <w:rFonts w:ascii="Verdana" w:eastAsia="Calibri" w:hAnsi="Verdana" w:cs="Arial"/>
          <w:lang w:val="es-ES"/>
        </w:rPr>
        <w:lastRenderedPageBreak/>
        <w:t>de la celebración del respectivo contrato; (</w:t>
      </w:r>
      <w:proofErr w:type="spellStart"/>
      <w:r w:rsidRPr="00E009FE">
        <w:rPr>
          <w:rFonts w:ascii="Verdana" w:eastAsia="Calibri" w:hAnsi="Verdana" w:cs="Arial"/>
          <w:lang w:val="es-ES"/>
        </w:rPr>
        <w:t>ii</w:t>
      </w:r>
      <w:proofErr w:type="spellEnd"/>
      <w:r w:rsidRPr="00E009FE">
        <w:rPr>
          <w:rFonts w:ascii="Verdana" w:eastAsia="Calibri" w:hAnsi="Verdana" w:cs="Arial"/>
          <w:lang w:val="es-ES"/>
        </w:rPr>
        <w:t>) las opciones o modalidades existentes y las razones que las justifiquen; (</w:t>
      </w:r>
      <w:proofErr w:type="spellStart"/>
      <w:r w:rsidRPr="00E009FE">
        <w:rPr>
          <w:rFonts w:ascii="Verdana" w:eastAsia="Calibri" w:hAnsi="Verdana" w:cs="Arial"/>
          <w:lang w:val="es-ES"/>
        </w:rPr>
        <w:t>iii</w:t>
      </w:r>
      <w:proofErr w:type="spellEnd"/>
      <w:r w:rsidRPr="00E009FE">
        <w:rPr>
          <w:rFonts w:ascii="Verdana" w:eastAsia="Calibri" w:hAnsi="Verdana" w:cs="Arial"/>
          <w:lang w:val="es-ES"/>
        </w:rPr>
        <w:t>) las calidades, especificaciones, cantidades y demás características que puedan o deban reunir los bienes, las obras, los servicios, cuya contratación, adquisición o disposición se haya determinado necesaria, lo cual deberá incluir los diseños, planos y análisis técnicos; (</w:t>
      </w:r>
      <w:proofErr w:type="spellStart"/>
      <w:r w:rsidRPr="00E009FE">
        <w:rPr>
          <w:rFonts w:ascii="Verdana" w:eastAsia="Calibri" w:hAnsi="Verdana" w:cs="Arial"/>
          <w:lang w:val="es-ES"/>
        </w:rPr>
        <w:t>iv</w:t>
      </w:r>
      <w:proofErr w:type="spellEnd"/>
      <w:r w:rsidRPr="00E009FE">
        <w:rPr>
          <w:rFonts w:ascii="Verdana" w:eastAsia="Calibri" w:hAnsi="Verdana" w:cs="Arial"/>
          <w:lang w:val="es-ES"/>
        </w:rPr>
        <w:t>) los costos, valores y alternativas que podría demandar la celebración y ejecución, consultando las especificaciones, cantidades de los bienes, obras y servicios, así como la modalidad u opciones escogidas; (v) la disponibilidad de recursos presupuestales o la capacidad financiera de la entidad para asumir las obligaciones de pago que se deriven de la celebración; (vi) la existencia y la disponibilidad en el mercado de proveedores o constructores profesionales que estén en condiciones de atender los requerimientos y satisfacer las necesidades de la entidad contratante; (</w:t>
      </w:r>
      <w:proofErr w:type="spellStart"/>
      <w:r w:rsidRPr="00E009FE">
        <w:rPr>
          <w:rFonts w:ascii="Verdana" w:eastAsia="Calibri" w:hAnsi="Verdana" w:cs="Arial"/>
          <w:lang w:val="es-ES"/>
        </w:rPr>
        <w:t>vii</w:t>
      </w:r>
      <w:proofErr w:type="spellEnd"/>
      <w:r w:rsidRPr="00E009FE">
        <w:rPr>
          <w:rFonts w:ascii="Verdana" w:eastAsia="Calibri" w:hAnsi="Verdana" w:cs="Arial"/>
          <w:lang w:val="es-ES"/>
        </w:rPr>
        <w:t>) los procedimientos, trámites y requisitos que deban reunirse u obtenerse para llevar a cabo la selección del respectivo contratista y la consiguiente celebración del contrato</w:t>
      </w:r>
      <w:r w:rsidRPr="00E009FE">
        <w:rPr>
          <w:rStyle w:val="FootnoteReference"/>
          <w:rFonts w:ascii="Verdana" w:eastAsia="Calibri" w:hAnsi="Verdana" w:cs="Arial"/>
          <w:lang w:val="es-ES"/>
        </w:rPr>
        <w:footnoteReference w:id="37"/>
      </w:r>
      <w:r w:rsidRPr="00E009FE">
        <w:rPr>
          <w:rFonts w:ascii="Verdana" w:eastAsia="Calibri" w:hAnsi="Verdana" w:cs="Arial"/>
          <w:lang w:val="es-ES"/>
        </w:rPr>
        <w:t xml:space="preserve">. </w:t>
      </w:r>
    </w:p>
    <w:p w14:paraId="3D13558D" w14:textId="77777777" w:rsidR="001D0810" w:rsidRPr="00E009FE" w:rsidRDefault="001D0810" w:rsidP="001D0810">
      <w:pPr>
        <w:spacing w:before="120" w:after="0" w:line="276" w:lineRule="auto"/>
        <w:ind w:firstLine="708"/>
        <w:jc w:val="both"/>
        <w:rPr>
          <w:rFonts w:ascii="Verdana" w:eastAsia="Calibri" w:hAnsi="Verdana" w:cs="Arial"/>
          <w:lang w:val="es-ES"/>
        </w:rPr>
      </w:pPr>
      <w:r w:rsidRPr="00E009FE">
        <w:rPr>
          <w:rFonts w:ascii="Verdana" w:eastAsia="Calibri" w:hAnsi="Verdana" w:cs="Arial"/>
          <w:lang w:val="es-ES"/>
        </w:rPr>
        <w:t>Por lo anterior, la jurisprudencia del Consejo de Estado analizó en su momento el Decreto-ley 222 de 1983 y resaltó que el contenido de los pliegos de condiciones, de manera expresa impuso a las entidades públicas el deber de acatar el principio de planeación, “concretamente, en los contratos de obra pública, al ordenar la elaboración previa de los planos, proyectos, presupuestos y demás aspectos necesarios para la identificación del contrato a celebrar”</w:t>
      </w:r>
      <w:r w:rsidRPr="00E009FE">
        <w:rPr>
          <w:rStyle w:val="FootnoteReference"/>
          <w:rFonts w:ascii="Verdana" w:eastAsia="Calibri" w:hAnsi="Verdana" w:cs="Arial"/>
          <w:lang w:val="es-ES"/>
        </w:rPr>
        <w:footnoteReference w:id="38"/>
      </w:r>
    </w:p>
    <w:p w14:paraId="29C5D52C" w14:textId="77777777" w:rsidR="001D0810" w:rsidRPr="00E009FE" w:rsidRDefault="001D0810" w:rsidP="001D0810">
      <w:pPr>
        <w:spacing w:before="120" w:after="0" w:line="276" w:lineRule="auto"/>
        <w:ind w:firstLine="708"/>
        <w:jc w:val="both"/>
        <w:rPr>
          <w:rFonts w:ascii="Verdana" w:eastAsia="Calibri" w:hAnsi="Verdana" w:cs="Arial"/>
          <w:lang w:val="es-ES"/>
        </w:rPr>
      </w:pPr>
      <w:r w:rsidRPr="00E009FE">
        <w:rPr>
          <w:rFonts w:ascii="Verdana" w:eastAsia="Calibri" w:hAnsi="Verdana" w:cs="Arial"/>
          <w:lang w:val="es-ES"/>
        </w:rPr>
        <w:t xml:space="preserve">De la ejecución de este principio emergen entonces “los deberes, la diligencia, el cuidado, la eficiencia y la responsabilidad con los cuales ha de conducir sus actuaciones todo administrador público a quien se le confía el manejo de dineros y recursos”, con miras al cumplimiento de los fines estatales y la satisfacción del interés general. En consecuencia, la falta de planeación por parte de la entidad incide tanto en la etapa de formación del contrato, </w:t>
      </w:r>
      <w:r>
        <w:rPr>
          <w:rFonts w:ascii="Verdana" w:eastAsia="Calibri" w:hAnsi="Verdana" w:cs="Arial"/>
          <w:lang w:val="es-ES"/>
        </w:rPr>
        <w:t xml:space="preserve">como </w:t>
      </w:r>
      <w:r w:rsidRPr="00E009FE">
        <w:rPr>
          <w:rFonts w:ascii="Verdana" w:eastAsia="Calibri" w:hAnsi="Verdana" w:cs="Arial"/>
          <w:lang w:val="es-ES"/>
        </w:rPr>
        <w:t xml:space="preserve"> en la etapa de ejecución, momento en el cual las omisiones que se deriven de la falta de estudios y diseños definitivos pueden generar serias consecuencias y llevar a modificar aspectos como las cantidades de obra y las condiciones técnicas inicialmente pactadas. Esto impacta también </w:t>
      </w:r>
      <w:r>
        <w:rPr>
          <w:rFonts w:ascii="Verdana" w:eastAsia="Calibri" w:hAnsi="Verdana" w:cs="Arial"/>
          <w:lang w:val="es-ES"/>
        </w:rPr>
        <w:t>el</w:t>
      </w:r>
      <w:r w:rsidRPr="00E009FE">
        <w:rPr>
          <w:rFonts w:ascii="Verdana" w:eastAsia="Calibri" w:hAnsi="Verdana" w:cs="Arial"/>
          <w:lang w:val="es-ES"/>
        </w:rPr>
        <w:t xml:space="preserve"> incremento de los costos </w:t>
      </w:r>
      <w:r w:rsidRPr="00E009FE">
        <w:rPr>
          <w:rFonts w:ascii="Verdana" w:eastAsia="Calibri" w:hAnsi="Verdana" w:cs="Arial"/>
          <w:lang w:val="es-ES"/>
        </w:rPr>
        <w:lastRenderedPageBreak/>
        <w:t>del proyecto e incluso puede ocasionar la paralización de las obras o la imposibilidad de ejecutarlas</w:t>
      </w:r>
      <w:r w:rsidRPr="00E009FE">
        <w:rPr>
          <w:rStyle w:val="FootnoteReference"/>
          <w:rFonts w:ascii="Verdana" w:eastAsia="Calibri" w:hAnsi="Verdana" w:cs="Arial"/>
          <w:lang w:val="es-ES"/>
        </w:rPr>
        <w:footnoteReference w:id="39"/>
      </w:r>
      <w:r w:rsidRPr="00E009FE">
        <w:rPr>
          <w:rFonts w:ascii="Verdana" w:eastAsia="Calibri" w:hAnsi="Verdana" w:cs="Arial"/>
          <w:lang w:val="es-ES"/>
        </w:rPr>
        <w:t>.</w:t>
      </w:r>
    </w:p>
    <w:p w14:paraId="258FAF62" w14:textId="77777777" w:rsidR="001D0810" w:rsidRPr="00E009FE" w:rsidRDefault="001D0810" w:rsidP="001D0810">
      <w:pPr>
        <w:spacing w:before="120" w:after="0" w:line="276" w:lineRule="auto"/>
        <w:ind w:firstLine="708"/>
        <w:jc w:val="both"/>
        <w:rPr>
          <w:rFonts w:ascii="Verdana" w:eastAsia="Calibri" w:hAnsi="Verdana" w:cs="Arial"/>
          <w:lang w:val="es-ES"/>
        </w:rPr>
      </w:pPr>
      <w:r w:rsidRPr="00E009FE">
        <w:rPr>
          <w:rFonts w:ascii="Verdana" w:eastAsia="Calibri" w:hAnsi="Verdana" w:cs="Arial"/>
          <w:lang w:val="es-ES"/>
        </w:rPr>
        <w:t>En consecuencia, la recurrencia o necesidad de adiciones o pr</w:t>
      </w:r>
      <w:r>
        <w:rPr>
          <w:rFonts w:ascii="Verdana" w:eastAsia="Calibri" w:hAnsi="Verdana" w:cs="Arial"/>
          <w:lang w:val="es-ES"/>
        </w:rPr>
        <w:t>ó</w:t>
      </w:r>
      <w:r w:rsidRPr="00E009FE">
        <w:rPr>
          <w:rFonts w:ascii="Verdana" w:eastAsia="Calibri" w:hAnsi="Verdana" w:cs="Arial"/>
          <w:lang w:val="es-ES"/>
        </w:rPr>
        <w:t xml:space="preserve">rrogas durante la ejecución de contratos de obra pública puede ser un </w:t>
      </w:r>
      <w:r w:rsidRPr="000710FD">
        <w:rPr>
          <w:rFonts w:ascii="Verdana" w:eastAsia="Calibri" w:hAnsi="Verdana" w:cs="Arial"/>
          <w:i/>
          <w:iCs/>
          <w:lang w:val="es-ES"/>
        </w:rPr>
        <w:t>indicio</w:t>
      </w:r>
      <w:r w:rsidRPr="00E009FE">
        <w:rPr>
          <w:rFonts w:ascii="Verdana" w:eastAsia="Calibri" w:hAnsi="Verdana" w:cs="Arial"/>
          <w:lang w:val="es-ES"/>
        </w:rPr>
        <w:t xml:space="preserve"> de fallas en la planeación que obedezcan, por ejemplo, a deficiencias en los estudios y diseños, en el presupuesto o en la gestión de riesgos, entre otros aspectos que eran previsibles al momento de estructurar las condiciones del contrato. En cualquier caso, esta relación debe ser </w:t>
      </w:r>
      <w:r>
        <w:rPr>
          <w:rFonts w:ascii="Verdana" w:eastAsia="Calibri" w:hAnsi="Verdana" w:cs="Arial"/>
          <w:lang w:val="es-ES"/>
        </w:rPr>
        <w:t>determinada</w:t>
      </w:r>
      <w:r w:rsidRPr="00E009FE">
        <w:rPr>
          <w:rFonts w:ascii="Verdana" w:eastAsia="Calibri" w:hAnsi="Verdana" w:cs="Arial"/>
          <w:lang w:val="es-ES"/>
        </w:rPr>
        <w:t xml:space="preserve"> y analizada por el juez del contrato, según las particularidades de cada caso concreto. </w:t>
      </w:r>
    </w:p>
    <w:p w14:paraId="14481780" w14:textId="77777777" w:rsidR="001D0810" w:rsidRDefault="001D0810" w:rsidP="001D0810">
      <w:pPr>
        <w:spacing w:before="120" w:after="0" w:line="276" w:lineRule="auto"/>
        <w:ind w:firstLine="708"/>
        <w:jc w:val="both"/>
        <w:rPr>
          <w:rFonts w:ascii="Verdana" w:eastAsia="Calibri" w:hAnsi="Verdana" w:cs="Arial"/>
          <w:lang w:val="es-ES"/>
        </w:rPr>
      </w:pPr>
      <w:r w:rsidRPr="00E009FE">
        <w:rPr>
          <w:rFonts w:ascii="Verdana" w:eastAsia="Calibri" w:hAnsi="Verdana" w:cs="Arial"/>
          <w:lang w:val="es-ES"/>
        </w:rPr>
        <w:t xml:space="preserve">Sobre lo anterior, el Consejo de Estado ha evidenciado casos en </w:t>
      </w:r>
      <w:r>
        <w:rPr>
          <w:rFonts w:ascii="Verdana" w:eastAsia="Calibri" w:hAnsi="Verdana" w:cs="Arial"/>
          <w:lang w:val="es-ES"/>
        </w:rPr>
        <w:t>los que</w:t>
      </w:r>
      <w:r w:rsidRPr="00E009FE">
        <w:rPr>
          <w:rFonts w:ascii="Verdana" w:eastAsia="Calibri" w:hAnsi="Verdana" w:cs="Arial"/>
          <w:lang w:val="es-ES"/>
        </w:rPr>
        <w:t xml:space="preserve"> </w:t>
      </w:r>
      <w:r>
        <w:rPr>
          <w:rFonts w:ascii="Verdana" w:eastAsia="Calibri" w:hAnsi="Verdana" w:cs="Arial"/>
          <w:lang w:val="es-ES"/>
        </w:rPr>
        <w:t xml:space="preserve">ciertas </w:t>
      </w:r>
      <w:r w:rsidRPr="00E009FE">
        <w:rPr>
          <w:rFonts w:ascii="Verdana" w:eastAsia="Calibri" w:hAnsi="Verdana" w:cs="Arial"/>
          <w:lang w:val="es-ES"/>
        </w:rPr>
        <w:t xml:space="preserve">modificaciones durante la ejecución del contrato son el resultado de una planeación deficiente por parte de la entidad estatal. En sentencia del 31 de agosto de 2011, la Sección Tercera enfatizó que la falta de realización de los estudios, planos y proyectos por parte de la </w:t>
      </w:r>
      <w:r>
        <w:rPr>
          <w:rFonts w:ascii="Verdana" w:eastAsia="Calibri" w:hAnsi="Verdana" w:cs="Arial"/>
          <w:lang w:val="es-ES"/>
        </w:rPr>
        <w:t>A</w:t>
      </w:r>
      <w:r w:rsidRPr="00E009FE">
        <w:rPr>
          <w:rFonts w:ascii="Verdana" w:eastAsia="Calibri" w:hAnsi="Verdana" w:cs="Arial"/>
          <w:lang w:val="es-ES"/>
        </w:rPr>
        <w:t>dministración repercute no sólo en la formación del contrato, sino también en su ejecución, ocasionando graves problemas y obstáculos que pueden impedir el desarrollo de las obras o paralizarlas</w:t>
      </w:r>
      <w:r>
        <w:rPr>
          <w:rFonts w:ascii="Verdana" w:eastAsia="Calibri" w:hAnsi="Verdana" w:cs="Arial"/>
          <w:lang w:val="es-ES"/>
        </w:rPr>
        <w:t>,</w:t>
      </w:r>
      <w:r w:rsidRPr="00E009FE">
        <w:rPr>
          <w:rFonts w:ascii="Verdana" w:eastAsia="Calibri" w:hAnsi="Verdana" w:cs="Arial"/>
          <w:lang w:val="es-ES"/>
        </w:rPr>
        <w:t xml:space="preserve"> así como elevando su valor por las mayores cantidades y modificando las especificaciones técnicas inicialmente convenidas. Por lo anterior concluyó que</w:t>
      </w:r>
      <w:r>
        <w:rPr>
          <w:rFonts w:ascii="Verdana" w:eastAsia="Calibri" w:hAnsi="Verdana" w:cs="Arial"/>
          <w:lang w:val="es-ES"/>
        </w:rPr>
        <w:t>:</w:t>
      </w:r>
      <w:r w:rsidRPr="00E009FE">
        <w:rPr>
          <w:rFonts w:ascii="Verdana" w:eastAsia="Calibri" w:hAnsi="Verdana" w:cs="Arial"/>
          <w:lang w:val="es-ES"/>
        </w:rPr>
        <w:t xml:space="preserve">  </w:t>
      </w:r>
    </w:p>
    <w:p w14:paraId="2CBA3542" w14:textId="77777777" w:rsidR="001D0810" w:rsidRPr="00E009FE" w:rsidRDefault="001D0810" w:rsidP="001D0810">
      <w:pPr>
        <w:spacing w:after="0" w:line="276" w:lineRule="auto"/>
        <w:ind w:firstLine="708"/>
        <w:jc w:val="both"/>
        <w:rPr>
          <w:rFonts w:ascii="Verdana" w:eastAsia="Calibri" w:hAnsi="Verdana" w:cs="Arial"/>
          <w:lang w:val="es-ES"/>
        </w:rPr>
      </w:pPr>
    </w:p>
    <w:p w14:paraId="7E9A01CF" w14:textId="77777777" w:rsidR="001D0810" w:rsidRDefault="001D0810" w:rsidP="001D0810">
      <w:pPr>
        <w:spacing w:after="0" w:line="240" w:lineRule="auto"/>
        <w:ind w:left="709" w:right="709"/>
        <w:jc w:val="both"/>
        <w:rPr>
          <w:rFonts w:ascii="Verdana" w:eastAsia="Calibri" w:hAnsi="Verdana" w:cs="Arial"/>
          <w:sz w:val="20"/>
          <w:szCs w:val="20"/>
          <w:lang w:val="es-ES"/>
        </w:rPr>
      </w:pPr>
      <w:r w:rsidRPr="00F81008">
        <w:rPr>
          <w:rFonts w:ascii="Verdana" w:eastAsia="Calibri" w:hAnsi="Verdana" w:cs="Arial"/>
          <w:sz w:val="20"/>
          <w:szCs w:val="20"/>
          <w:lang w:val="es-ES"/>
        </w:rPr>
        <w:t>“la inobservancia de esta obligación a cargo de las entidades del Estado infringe el deber de planeación cuyo cumplimiento les resulta imperativo en el desarrollo de la actividad contractual, además de los principios de buena fe y equivalencia de las prestaciones y por tanto, las hace caer en responsabilidad contractual por esa omisión, siempre y cuando se demuestren los daños y perjuicios derivados de dicho incumplimiento. Desde esta perspectiva, resulta reprochable […]</w:t>
      </w:r>
      <w:r w:rsidRPr="00F81008">
        <w:rPr>
          <w:rStyle w:val="FootnoteReference"/>
          <w:rFonts w:ascii="Verdana" w:eastAsia="Calibri" w:hAnsi="Verdana" w:cs="Arial"/>
          <w:sz w:val="20"/>
          <w:szCs w:val="20"/>
          <w:lang w:val="es-ES"/>
        </w:rPr>
        <w:footnoteReference w:id="40"/>
      </w:r>
      <w:r w:rsidRPr="00F81008">
        <w:rPr>
          <w:rFonts w:ascii="Verdana" w:eastAsia="Calibri" w:hAnsi="Verdana" w:cs="Arial"/>
          <w:sz w:val="20"/>
          <w:szCs w:val="20"/>
          <w:lang w:val="es-ES"/>
        </w:rPr>
        <w:t>”</w:t>
      </w:r>
      <w:r>
        <w:rPr>
          <w:rFonts w:ascii="Verdana" w:eastAsia="Calibri" w:hAnsi="Verdana" w:cs="Arial"/>
          <w:sz w:val="20"/>
          <w:szCs w:val="20"/>
          <w:lang w:val="es-ES"/>
        </w:rPr>
        <w:t>.</w:t>
      </w:r>
    </w:p>
    <w:p w14:paraId="7544646C" w14:textId="77777777" w:rsidR="001D0810" w:rsidRPr="00F81008" w:rsidRDefault="001D0810" w:rsidP="001D0810">
      <w:pPr>
        <w:spacing w:after="0" w:line="240" w:lineRule="auto"/>
        <w:ind w:left="709" w:right="709"/>
        <w:jc w:val="both"/>
        <w:rPr>
          <w:rFonts w:ascii="Verdana" w:eastAsia="Calibri" w:hAnsi="Verdana" w:cs="Arial"/>
          <w:sz w:val="20"/>
          <w:szCs w:val="20"/>
          <w:lang w:val="es-ES"/>
        </w:rPr>
      </w:pPr>
    </w:p>
    <w:p w14:paraId="5BCD77BF" w14:textId="77777777" w:rsidR="001D0810" w:rsidRPr="00E009FE" w:rsidRDefault="001D0810" w:rsidP="001D0810">
      <w:pPr>
        <w:spacing w:after="0" w:line="276" w:lineRule="auto"/>
        <w:ind w:firstLine="708"/>
        <w:jc w:val="both"/>
        <w:rPr>
          <w:rFonts w:ascii="Verdana" w:eastAsia="Calibri" w:hAnsi="Verdana" w:cs="Arial"/>
          <w:lang w:val="es-ES"/>
        </w:rPr>
      </w:pPr>
      <w:r w:rsidRPr="00E009FE">
        <w:rPr>
          <w:rFonts w:ascii="Verdana" w:eastAsia="Calibri" w:hAnsi="Verdana" w:cs="Arial"/>
          <w:lang w:val="es-ES"/>
        </w:rPr>
        <w:t xml:space="preserve">Sin embargo, la responsabilidad derivada de infringir el deber de planeación no es objetiva y compete al juez del contrato analizar las condiciones del caso para determinar si la entidad efectivamente ha fallado a sus deberes o si existen otras circunstancias que hayan determinado las modificaciones contractuales y que impidan declarar la responsabilidad contractual por la omisión. Por ejemplo, en el caso referido, el Consejo de Estado encontró que la </w:t>
      </w:r>
      <w:r w:rsidRPr="00E009FE">
        <w:rPr>
          <w:rFonts w:ascii="Verdana" w:eastAsia="Calibri" w:hAnsi="Verdana" w:cs="Arial"/>
          <w:lang w:val="es-ES"/>
        </w:rPr>
        <w:lastRenderedPageBreak/>
        <w:t>entidad incurrió en una falta de planeación, de modo que los inconvenientes que se presentaron en la ejecución de la obra podían prevenirse con unos adecuados estudios previos. Sin embargo, también evidenció que el contratista y la entidad celebraro</w:t>
      </w:r>
      <w:r>
        <w:rPr>
          <w:rFonts w:ascii="Verdana" w:eastAsia="Calibri" w:hAnsi="Verdana" w:cs="Arial"/>
          <w:lang w:val="es-ES"/>
        </w:rPr>
        <w:t>n</w:t>
      </w:r>
      <w:r w:rsidRPr="00E009FE">
        <w:rPr>
          <w:rFonts w:ascii="Verdana" w:eastAsia="Calibri" w:hAnsi="Verdana" w:cs="Arial"/>
          <w:lang w:val="es-ES"/>
        </w:rPr>
        <w:t xml:space="preserve"> de mutuo acuerdo modificaciones durante la ejecución</w:t>
      </w:r>
      <w:r>
        <w:rPr>
          <w:rFonts w:ascii="Verdana" w:eastAsia="Calibri" w:hAnsi="Verdana" w:cs="Arial"/>
          <w:lang w:val="es-ES"/>
        </w:rPr>
        <w:t xml:space="preserve">, </w:t>
      </w:r>
      <w:r w:rsidRPr="00E009FE">
        <w:rPr>
          <w:rFonts w:ascii="Verdana" w:eastAsia="Calibri" w:hAnsi="Verdana" w:cs="Arial"/>
          <w:lang w:val="es-ES"/>
        </w:rPr>
        <w:t>dirigidas a realizar los arreglos y tomar las medidas para conjurar, superar y subsanar la situación, sin que al realizar las respectivas suspensiones, prórroga o modificaciones el contratista hubiese reclamado los conceptos demandados como causantes de sobrecostos y de un desequilibrio económico del contrato.</w:t>
      </w:r>
    </w:p>
    <w:p w14:paraId="7477C59B" w14:textId="77777777" w:rsidR="001D0810" w:rsidRPr="00E009FE" w:rsidRDefault="001D0810" w:rsidP="001D0810">
      <w:pPr>
        <w:spacing w:before="120" w:after="0" w:line="276" w:lineRule="auto"/>
        <w:ind w:firstLine="708"/>
        <w:jc w:val="both"/>
        <w:rPr>
          <w:rFonts w:ascii="Verdana" w:eastAsia="Calibri" w:hAnsi="Verdana" w:cs="Arial"/>
          <w:lang w:val="es-ES"/>
        </w:rPr>
      </w:pPr>
      <w:r w:rsidRPr="00E009FE">
        <w:rPr>
          <w:rFonts w:ascii="Verdana" w:hAnsi="Verdana"/>
          <w:lang w:val="es-ES"/>
        </w:rPr>
        <w:t xml:space="preserve"> En este sentido, el Consejo de Estado ha resaltado que, en </w:t>
      </w:r>
      <w:r w:rsidRPr="00E009FE">
        <w:rPr>
          <w:rFonts w:ascii="Verdana" w:eastAsia="Calibri" w:hAnsi="Verdana" w:cs="Arial"/>
          <w:lang w:val="es-ES"/>
        </w:rPr>
        <w:t>virtud de la buena fe en materia negocial,</w:t>
      </w:r>
      <w:r w:rsidRPr="00E009FE">
        <w:rPr>
          <w:rFonts w:ascii="Verdana" w:hAnsi="Verdana"/>
          <w:lang w:val="es-ES"/>
        </w:rPr>
        <w:t xml:space="preserve"> los contratistas no pueden hacer reclamaciones después de finalizado el contrato que se encuentren sustentadas en una planeación deficiente de la entidad si han guardado silencio </w:t>
      </w:r>
      <w:r w:rsidRPr="00E009FE">
        <w:rPr>
          <w:rFonts w:ascii="Verdana" w:eastAsia="Calibri" w:hAnsi="Verdana" w:cs="Arial"/>
          <w:lang w:val="es-ES"/>
        </w:rPr>
        <w:t>al momento de celebrar contratos modificatorios o adicionales cuyo propósito es precisamente ajustar el acuerdo a la realidad fáctica, financiera y jurídica al momento de su realización</w:t>
      </w:r>
      <w:r w:rsidRPr="00E009FE">
        <w:rPr>
          <w:rStyle w:val="FootnoteReference"/>
          <w:rFonts w:ascii="Verdana" w:eastAsia="Calibri" w:hAnsi="Verdana" w:cs="Arial"/>
          <w:lang w:val="es-ES"/>
        </w:rPr>
        <w:footnoteReference w:id="41"/>
      </w:r>
      <w:r w:rsidRPr="00E009FE">
        <w:rPr>
          <w:rFonts w:ascii="Verdana" w:eastAsia="Calibri" w:hAnsi="Verdana" w:cs="Arial"/>
          <w:lang w:val="es-ES"/>
        </w:rPr>
        <w:t>.</w:t>
      </w:r>
    </w:p>
    <w:p w14:paraId="31E4C8BD" w14:textId="77777777" w:rsidR="001D0810" w:rsidRPr="00E009FE" w:rsidRDefault="001D0810" w:rsidP="001D0810">
      <w:pPr>
        <w:spacing w:before="120" w:after="0" w:line="276" w:lineRule="auto"/>
        <w:ind w:firstLine="708"/>
        <w:jc w:val="both"/>
        <w:rPr>
          <w:rFonts w:ascii="Verdana" w:hAnsi="Verdana"/>
          <w:lang w:val="es-ES"/>
        </w:rPr>
      </w:pPr>
      <w:r w:rsidRPr="00E009FE">
        <w:rPr>
          <w:rFonts w:ascii="Verdana" w:eastAsia="Calibri" w:hAnsi="Verdana" w:cs="Arial"/>
          <w:lang w:val="es-ES"/>
        </w:rPr>
        <w:t>Otro ejemplo sobre la relación entre el deber de planeación y posibles modificaciones durante la ejecución de contratos de obra pública es la iniciación tardía de las obras como indicio de deficiencias en los estudios previos. En sentencia del 13 de noviembre de 2013</w:t>
      </w:r>
      <w:r w:rsidRPr="00E009FE">
        <w:rPr>
          <w:rStyle w:val="FootnoteReference"/>
          <w:rFonts w:ascii="Verdana" w:eastAsia="Calibri" w:hAnsi="Verdana" w:cs="Arial"/>
          <w:lang w:val="es-ES"/>
        </w:rPr>
        <w:footnoteReference w:id="42"/>
      </w:r>
      <w:r w:rsidRPr="00E009FE">
        <w:rPr>
          <w:rFonts w:ascii="Verdana" w:eastAsia="Calibri" w:hAnsi="Verdana" w:cs="Arial"/>
          <w:lang w:val="es-ES"/>
        </w:rPr>
        <w:t xml:space="preserve">, la Corporación llamó la atención por el inicio de las obras </w:t>
      </w:r>
      <w:r w:rsidRPr="00E009FE">
        <w:rPr>
          <w:rFonts w:ascii="Verdana" w:hAnsi="Verdana"/>
          <w:lang w:val="es-ES"/>
        </w:rPr>
        <w:t xml:space="preserve">aproximadamente diez meses después de la suscripción del contrato, circunstancia que consideró “sin duda alguna evidencia una falta de planeación en la etapa previa a la formación del contrato”. En este caso, resaltó la “ausencia de un estudio serio y completo” acerca de la ubicación del objeto contractual, lo cual retrasó el inicio de las obras y produjo la paralización del proyecto por la aparición de dificultades que la entidad debió prever al momento de evaluar la conveniencia y oportunidad del contrato que pretendía celebrar. </w:t>
      </w:r>
      <w:r w:rsidRPr="00E009FE">
        <w:rPr>
          <w:rFonts w:ascii="Verdana" w:hAnsi="Verdana"/>
          <w:lang w:val="es-ES"/>
        </w:rPr>
        <w:lastRenderedPageBreak/>
        <w:t>Sin embargo, en este caso, el demandante no logró demostrar el desequilibrio económico que según él se presentó en el desarrollo del contrato.</w:t>
      </w:r>
    </w:p>
    <w:p w14:paraId="30F5D733" w14:textId="77777777" w:rsidR="001D0810" w:rsidRPr="00E009FE" w:rsidRDefault="001D0810" w:rsidP="001D0810">
      <w:pPr>
        <w:spacing w:before="120" w:after="0" w:line="276" w:lineRule="auto"/>
        <w:ind w:firstLine="708"/>
        <w:jc w:val="both"/>
        <w:rPr>
          <w:rFonts w:ascii="Verdana" w:hAnsi="Verdana"/>
          <w:lang w:val="es-ES"/>
        </w:rPr>
      </w:pPr>
      <w:r w:rsidRPr="00E009FE">
        <w:rPr>
          <w:rFonts w:ascii="Verdana" w:hAnsi="Verdana"/>
          <w:lang w:val="es-ES"/>
        </w:rPr>
        <w:t>De manera similar, en Sentencia del 8 de noviembre del 2021</w:t>
      </w:r>
      <w:r w:rsidRPr="00E009FE">
        <w:rPr>
          <w:rStyle w:val="FootnoteReference"/>
          <w:rFonts w:ascii="Verdana" w:hAnsi="Verdana"/>
          <w:lang w:val="es-ES"/>
        </w:rPr>
        <w:footnoteReference w:id="43"/>
      </w:r>
      <w:r w:rsidRPr="00E009FE">
        <w:rPr>
          <w:rFonts w:ascii="Verdana" w:hAnsi="Verdana"/>
          <w:lang w:val="es-ES"/>
        </w:rPr>
        <w:t xml:space="preserve">, el Consejo de Estado analizó un contrato cuyo objeto consistió en la adecuación de vías correspondientes a accesos a barrios y pavimentos locales a través de la construcción de obras de espacio público, lo cual no estaba antecedido de una etapa previa de gestión predial a cargo del consorcio contratista. En consecuencia, concluyó que correspondía a la entidad entregar al contratista la zona en la que se adelantaría la obra, libre de gravámenes y sin afectación al derecho de propiedad que </w:t>
      </w:r>
      <w:r>
        <w:rPr>
          <w:rFonts w:ascii="Verdana" w:hAnsi="Verdana"/>
          <w:lang w:val="es-ES"/>
        </w:rPr>
        <w:t xml:space="preserve">pudieran </w:t>
      </w:r>
      <w:r w:rsidRPr="00E009FE">
        <w:rPr>
          <w:rFonts w:ascii="Verdana" w:hAnsi="Verdana"/>
          <w:lang w:val="es-ES"/>
        </w:rPr>
        <w:t>alegar terceros. Por lo anterior, las alteraciones presentadas en el cronograma por causa de ese aspecto eran atribuibles a la entidad como resultado de un incumplimiento del deber de planeación. En este caso, la Corporación evidenció que los inconvenientes presentados en la ejecución a raíz de la afectación predial de algunas zonas a intervenir llevó a la prolongación de la obra y, en consecuencia, era atribuible a la entidad estatal contratante.</w:t>
      </w:r>
    </w:p>
    <w:p w14:paraId="624D7F84" w14:textId="77777777" w:rsidR="001D0810" w:rsidRPr="00E009FE" w:rsidRDefault="001D0810" w:rsidP="001D0810">
      <w:pPr>
        <w:spacing w:before="120" w:after="0" w:line="276" w:lineRule="auto"/>
        <w:ind w:firstLine="708"/>
        <w:jc w:val="both"/>
        <w:rPr>
          <w:rFonts w:ascii="Verdana" w:eastAsia="Calibri" w:hAnsi="Verdana" w:cs="Arial"/>
          <w:lang w:val="es-ES"/>
        </w:rPr>
      </w:pPr>
      <w:r w:rsidRPr="00E009FE">
        <w:rPr>
          <w:rFonts w:ascii="Verdana" w:eastAsia="Calibri" w:hAnsi="Verdana" w:cs="Arial"/>
          <w:lang w:val="es-ES"/>
        </w:rPr>
        <w:t>De esta manera, la contratación de una obra pública sin contar previamente con un estudio serio, completo y detallado contraría el principio de planeación con sujeción al cual las entidades que forman parte de la Administración deben adelantar su actividad contractual</w:t>
      </w:r>
      <w:r w:rsidRPr="00E009FE">
        <w:rPr>
          <w:rStyle w:val="FootnoteReference"/>
          <w:rFonts w:ascii="Verdana" w:eastAsia="Calibri" w:hAnsi="Verdana" w:cs="Arial"/>
          <w:lang w:val="es-ES"/>
        </w:rPr>
        <w:footnoteReference w:id="44"/>
      </w:r>
      <w:r w:rsidRPr="00E009FE">
        <w:rPr>
          <w:rFonts w:ascii="Verdana" w:eastAsia="Calibri" w:hAnsi="Verdana" w:cs="Arial"/>
          <w:lang w:val="es-ES"/>
        </w:rPr>
        <w:t xml:space="preserve">.  Sin embargo, no compete a esta Agencia determinar un criterio universal para determinar la relación </w:t>
      </w:r>
      <w:r>
        <w:rPr>
          <w:rFonts w:ascii="Verdana" w:eastAsia="Calibri" w:hAnsi="Verdana" w:cs="Arial"/>
          <w:lang w:val="es-ES"/>
        </w:rPr>
        <w:t>entre</w:t>
      </w:r>
      <w:r w:rsidRPr="00E009FE">
        <w:rPr>
          <w:rFonts w:ascii="Verdana" w:eastAsia="Calibri" w:hAnsi="Verdana" w:cs="Arial"/>
          <w:lang w:val="es-ES"/>
        </w:rPr>
        <w:t xml:space="preserve"> una deficiente planeación </w:t>
      </w:r>
      <w:r>
        <w:rPr>
          <w:rFonts w:ascii="Verdana" w:eastAsia="Calibri" w:hAnsi="Verdana" w:cs="Arial"/>
          <w:lang w:val="es-ES"/>
        </w:rPr>
        <w:t>y</w:t>
      </w:r>
      <w:r w:rsidRPr="00E009FE">
        <w:rPr>
          <w:rFonts w:ascii="Verdana" w:eastAsia="Calibri" w:hAnsi="Verdana" w:cs="Arial"/>
          <w:lang w:val="es-ES"/>
        </w:rPr>
        <w:t xml:space="preserve"> determinada modificación durante la ejecución de un contrato estatal particular. </w:t>
      </w:r>
      <w:r>
        <w:rPr>
          <w:rFonts w:ascii="Verdana" w:eastAsia="Calibri" w:hAnsi="Verdana" w:cs="Arial"/>
          <w:lang w:val="es-ES"/>
        </w:rPr>
        <w:t>C</w:t>
      </w:r>
      <w:r w:rsidRPr="00E009FE">
        <w:rPr>
          <w:rFonts w:ascii="Verdana" w:eastAsia="Calibri" w:hAnsi="Verdana" w:cs="Arial"/>
          <w:lang w:val="es-ES"/>
        </w:rPr>
        <w:t>orresponde al juez del contrato determinar los casos en que existen vulneraciones a</w:t>
      </w:r>
      <w:r>
        <w:rPr>
          <w:rFonts w:ascii="Verdana" w:eastAsia="Calibri" w:hAnsi="Verdana" w:cs="Arial"/>
          <w:lang w:val="es-ES"/>
        </w:rPr>
        <w:t>l</w:t>
      </w:r>
      <w:r w:rsidRPr="00E009FE">
        <w:rPr>
          <w:rFonts w:ascii="Verdana" w:eastAsia="Calibri" w:hAnsi="Verdana" w:cs="Arial"/>
          <w:lang w:val="es-ES"/>
        </w:rPr>
        <w:t xml:space="preserve"> deber en comento y</w:t>
      </w:r>
      <w:r>
        <w:rPr>
          <w:rFonts w:ascii="Verdana" w:eastAsia="Calibri" w:hAnsi="Verdana" w:cs="Arial"/>
          <w:lang w:val="es-ES"/>
        </w:rPr>
        <w:t xml:space="preserve"> aquellos en</w:t>
      </w:r>
      <w:r w:rsidRPr="00E009FE">
        <w:rPr>
          <w:rFonts w:ascii="Verdana" w:eastAsia="Calibri" w:hAnsi="Verdana" w:cs="Arial"/>
          <w:lang w:val="es-ES"/>
        </w:rPr>
        <w:t xml:space="preserve"> los que hay lugar a la responsabilidad contractual de la entidad. </w:t>
      </w:r>
    </w:p>
    <w:p w14:paraId="5221C970" w14:textId="77777777" w:rsidR="001D0810" w:rsidRDefault="001D0810" w:rsidP="001D0810">
      <w:pPr>
        <w:spacing w:before="120" w:after="0" w:line="276" w:lineRule="auto"/>
        <w:ind w:firstLine="708"/>
        <w:jc w:val="both"/>
        <w:rPr>
          <w:rFonts w:ascii="Verdana" w:eastAsia="Calibri" w:hAnsi="Verdana" w:cs="Arial"/>
          <w:color w:val="000000"/>
          <w:lang w:val="es-ES" w:eastAsia="es-ES" w:bidi="es-ES"/>
        </w:rPr>
      </w:pPr>
      <w:r w:rsidRPr="00E009FE">
        <w:rPr>
          <w:rFonts w:ascii="Verdana" w:eastAsia="Calibri" w:hAnsi="Verdana" w:cs="Arial"/>
          <w:lang w:val="es-ES"/>
        </w:rPr>
        <w:t xml:space="preserve">Además de lo expuesto, es importante resaltar que el Consejo de Estado ha sostenido que el principio de planeación en materia de contratación pública es “bifronte”, pues se traduce en una carga </w:t>
      </w:r>
      <w:r w:rsidRPr="00E009FE">
        <w:rPr>
          <w:rFonts w:ascii="Verdana" w:eastAsia="Calibri" w:hAnsi="Verdana" w:cs="Arial"/>
          <w:color w:val="000000"/>
          <w:lang w:val="es-ES" w:eastAsia="es-ES" w:bidi="es-ES"/>
        </w:rPr>
        <w:t xml:space="preserve">tanto para la entidad estatal como para el contratista, respecto de los aspectos que compete definir a cada parte, de la siguiente manera: </w:t>
      </w:r>
    </w:p>
    <w:p w14:paraId="7539A966" w14:textId="77777777" w:rsidR="001D0810" w:rsidRPr="00E009FE" w:rsidRDefault="001D0810" w:rsidP="001D0810">
      <w:pPr>
        <w:spacing w:after="0" w:line="276" w:lineRule="auto"/>
        <w:ind w:firstLine="708"/>
        <w:jc w:val="both"/>
        <w:rPr>
          <w:rFonts w:ascii="Verdana" w:eastAsia="Calibri" w:hAnsi="Verdana" w:cs="Arial"/>
          <w:color w:val="000000"/>
          <w:lang w:val="es-ES" w:eastAsia="es-ES" w:bidi="es-ES"/>
        </w:rPr>
      </w:pPr>
    </w:p>
    <w:p w14:paraId="4024947B" w14:textId="77777777" w:rsidR="001D0810" w:rsidRDefault="001D0810" w:rsidP="001D0810">
      <w:pPr>
        <w:spacing w:after="0" w:line="240" w:lineRule="auto"/>
        <w:ind w:left="709" w:right="709"/>
        <w:jc w:val="both"/>
        <w:rPr>
          <w:rFonts w:ascii="Verdana" w:eastAsia="Calibri" w:hAnsi="Verdana" w:cs="Arial"/>
          <w:color w:val="000000"/>
          <w:sz w:val="20"/>
          <w:szCs w:val="20"/>
          <w:lang w:val="es-ES" w:eastAsia="es-ES" w:bidi="es-ES"/>
        </w:rPr>
      </w:pPr>
      <w:r w:rsidRPr="00E009FE">
        <w:rPr>
          <w:rFonts w:ascii="Verdana" w:eastAsia="Calibri" w:hAnsi="Verdana" w:cs="Arial"/>
          <w:color w:val="000000"/>
          <w:sz w:val="21"/>
          <w:szCs w:val="21"/>
          <w:lang w:val="es-ES" w:eastAsia="es-ES" w:bidi="es-ES"/>
        </w:rPr>
        <w:lastRenderedPageBreak/>
        <w:t>“</w:t>
      </w:r>
      <w:r w:rsidRPr="00064880">
        <w:rPr>
          <w:rFonts w:ascii="Verdana" w:eastAsia="Calibri" w:hAnsi="Verdana" w:cs="Arial"/>
          <w:color w:val="000000"/>
          <w:sz w:val="20"/>
          <w:szCs w:val="20"/>
          <w:lang w:val="es-ES" w:eastAsia="es-ES" w:bidi="es-ES"/>
        </w:rPr>
        <w:t>La exigencia de obrar de acuerdo con el principio de planeación se predica en la formación del contrato y, de la misma forma, en la negociación de sus modificaciones y adiciones. Dentro del marco de la colaboración que compete al contratista, se encuentra igualmente sometido a respetar el principio de planeación, es decir, el contratista tiene la carga de analizar la suficiencia y consistencia de los estudios previos y de los precios presupuestados, en orden a definir su participación en la licitación y el contenido de su oferta; se entiende que es una carga, en el sentido de que el contratista no podrá desconocer los términos y condiciones que aceptó y mucho menos aquellos que negoció con la entidad pública. Es común que el contratista sea el encargado de elaborar los análisis de precios en forma consistente con los costos, en el caso de proponer las adiciones y modificaciones al contrato, de manera que, en ese evento, como conocedor de la contratación en curso, se le exige definir con suficiencia los requerimientos de plazo y valor, por ello, respecto del contratista, se predica también la carga de planear adecuadamente las modificaciones, en orden a establecer los requerimientos sobre los cuales se construyen las obligaciones contractuales”</w:t>
      </w:r>
      <w:r w:rsidRPr="00064880">
        <w:rPr>
          <w:rStyle w:val="FootnoteReference"/>
          <w:rFonts w:ascii="Verdana" w:eastAsia="Calibri" w:hAnsi="Verdana" w:cs="Arial"/>
          <w:color w:val="000000"/>
          <w:sz w:val="20"/>
          <w:szCs w:val="20"/>
          <w:lang w:val="es-ES" w:eastAsia="es-ES" w:bidi="es-ES"/>
        </w:rPr>
        <w:footnoteReference w:id="45"/>
      </w:r>
      <w:r w:rsidRPr="00064880">
        <w:rPr>
          <w:rFonts w:ascii="Verdana" w:eastAsia="Calibri" w:hAnsi="Verdana" w:cs="Arial"/>
          <w:color w:val="000000"/>
          <w:sz w:val="20"/>
          <w:szCs w:val="20"/>
          <w:lang w:val="es-ES" w:eastAsia="es-ES" w:bidi="es-ES"/>
        </w:rPr>
        <w:t>.</w:t>
      </w:r>
    </w:p>
    <w:p w14:paraId="56611836" w14:textId="77777777" w:rsidR="001D0810" w:rsidRPr="00E009FE" w:rsidRDefault="001D0810" w:rsidP="001D0810">
      <w:pPr>
        <w:spacing w:after="0" w:line="240" w:lineRule="auto"/>
        <w:ind w:left="709" w:right="709"/>
        <w:jc w:val="both"/>
        <w:rPr>
          <w:rFonts w:ascii="Verdana" w:eastAsia="Calibri" w:hAnsi="Verdana" w:cs="Arial"/>
          <w:color w:val="000000"/>
          <w:sz w:val="21"/>
          <w:szCs w:val="21"/>
          <w:lang w:val="es-ES" w:eastAsia="es-ES" w:bidi="es-ES"/>
        </w:rPr>
      </w:pPr>
    </w:p>
    <w:p w14:paraId="65EAAE2D" w14:textId="77777777" w:rsidR="001D0810" w:rsidRDefault="001D0810" w:rsidP="001D0810">
      <w:pPr>
        <w:spacing w:after="0" w:line="276" w:lineRule="auto"/>
        <w:ind w:firstLine="708"/>
        <w:jc w:val="both"/>
        <w:rPr>
          <w:rFonts w:ascii="Verdana" w:eastAsia="Calibri" w:hAnsi="Verdana" w:cs="Arial"/>
          <w:lang w:val="es-ES"/>
        </w:rPr>
      </w:pPr>
      <w:r w:rsidRPr="00E009FE">
        <w:rPr>
          <w:rFonts w:ascii="Verdana" w:eastAsia="Calibri" w:hAnsi="Verdana" w:cs="Arial"/>
          <w:lang w:val="es-ES"/>
        </w:rPr>
        <w:t>En concordancia, existe una relación entre el principio de planeación y la posibilidad de reclamar el restablecimiento de la ecuación económica del contrato, al respecto el Consejo de Estado dispuso que:</w:t>
      </w:r>
    </w:p>
    <w:p w14:paraId="7728D706" w14:textId="77777777" w:rsidR="001D0810" w:rsidRPr="00E009FE" w:rsidRDefault="001D0810" w:rsidP="001D0810">
      <w:pPr>
        <w:spacing w:after="0" w:line="276" w:lineRule="auto"/>
        <w:ind w:firstLine="708"/>
        <w:jc w:val="both"/>
        <w:rPr>
          <w:rFonts w:ascii="Verdana" w:eastAsia="Calibri" w:hAnsi="Verdana" w:cs="Arial"/>
          <w:lang w:val="es-ES"/>
        </w:rPr>
      </w:pPr>
    </w:p>
    <w:p w14:paraId="74CE09D9" w14:textId="77777777" w:rsidR="001D0810" w:rsidRDefault="001D0810" w:rsidP="001D0810">
      <w:pPr>
        <w:spacing w:after="0" w:line="240" w:lineRule="auto"/>
        <w:ind w:left="709" w:right="709"/>
        <w:jc w:val="both"/>
        <w:rPr>
          <w:rFonts w:ascii="Verdana" w:eastAsia="Calibri" w:hAnsi="Verdana" w:cs="Arial"/>
          <w:sz w:val="20"/>
          <w:szCs w:val="20"/>
          <w:lang w:val="es-ES"/>
        </w:rPr>
      </w:pPr>
      <w:r w:rsidRPr="00064880">
        <w:rPr>
          <w:rFonts w:ascii="Verdana" w:eastAsia="Calibri" w:hAnsi="Verdana" w:cs="Arial"/>
          <w:sz w:val="20"/>
          <w:szCs w:val="20"/>
          <w:lang w:val="es-ES"/>
        </w:rPr>
        <w:t>“También resulta pertinente traer a colación para decidir el presente asunto, los razonamientos realizados por la Sección Tercera en el sentido de que los inconvenientes derivados de la inobservancia del principio de planeación por parte del contratista, a quien también le resultan exigibles severas cargas de diligencia, rigor y seriedad a la hora de estructurar las ofertas que presenta ante las entidades estatales, que conducen a deficiencias en la configuración económica de la propuesta que le privan de obtener las utilidades que esperaba alcanzar como resultado de la ejecución del contrato, no pueden escudarse tras el ficticio ropaje de desbalances sobrevenidos en la ecuación financiera del negocio, pues en tal tipo de eventos las circunstancias en cuestión debieron haber sido previstas y planificadas por el contratista como experto y conocedor de las artes o actividades en el marco de las cuales ofrece sus servicios a la entidad estatal”</w:t>
      </w:r>
      <w:r w:rsidRPr="00064880">
        <w:rPr>
          <w:rStyle w:val="FootnoteReference"/>
          <w:rFonts w:ascii="Verdana" w:eastAsia="Calibri" w:hAnsi="Verdana" w:cs="Arial"/>
          <w:sz w:val="20"/>
          <w:szCs w:val="20"/>
          <w:lang w:val="es-ES"/>
        </w:rPr>
        <w:footnoteReference w:id="46"/>
      </w:r>
      <w:r>
        <w:rPr>
          <w:rFonts w:ascii="Verdana" w:eastAsia="Calibri" w:hAnsi="Verdana" w:cs="Arial"/>
          <w:sz w:val="20"/>
          <w:szCs w:val="20"/>
          <w:lang w:val="es-ES"/>
        </w:rPr>
        <w:t>.</w:t>
      </w:r>
    </w:p>
    <w:p w14:paraId="1F5CAFA9" w14:textId="77777777" w:rsidR="001D0810" w:rsidRPr="00064880" w:rsidRDefault="001D0810" w:rsidP="001D0810">
      <w:pPr>
        <w:spacing w:after="0" w:line="240" w:lineRule="auto"/>
        <w:ind w:left="709" w:right="709"/>
        <w:jc w:val="both"/>
        <w:rPr>
          <w:rFonts w:ascii="Verdana" w:eastAsia="Calibri" w:hAnsi="Verdana" w:cs="Arial"/>
          <w:sz w:val="20"/>
          <w:szCs w:val="20"/>
          <w:lang w:val="es-ES"/>
        </w:rPr>
      </w:pPr>
    </w:p>
    <w:p w14:paraId="41CBBA8A" w14:textId="77777777" w:rsidR="001D0810" w:rsidRPr="00E009FE" w:rsidRDefault="001D0810" w:rsidP="001D0810">
      <w:pPr>
        <w:spacing w:after="0" w:line="276" w:lineRule="auto"/>
        <w:ind w:firstLine="708"/>
        <w:jc w:val="both"/>
        <w:rPr>
          <w:rFonts w:ascii="Verdana" w:eastAsia="Calibri" w:hAnsi="Verdana" w:cs="Arial"/>
          <w:lang w:val="es-ES"/>
        </w:rPr>
      </w:pPr>
      <w:r w:rsidRPr="00E009FE">
        <w:rPr>
          <w:rFonts w:ascii="Verdana" w:eastAsia="Calibri" w:hAnsi="Verdana" w:cs="Arial"/>
          <w:lang w:val="es-ES"/>
        </w:rPr>
        <w:t xml:space="preserve">Lo anterior se encuentra alineado con lo preceptuado por la Corte Constitucional, corporación que ha resaltado que, como resultado del principio </w:t>
      </w:r>
      <w:r w:rsidRPr="00E009FE">
        <w:rPr>
          <w:rFonts w:ascii="Verdana" w:eastAsia="Calibri" w:hAnsi="Verdana" w:cs="Arial"/>
          <w:lang w:val="es-ES"/>
        </w:rPr>
        <w:lastRenderedPageBreak/>
        <w:t xml:space="preserve">de planeación, “la modificación debe ser excepcional y debe (a) justificarse en razones autorizadas por la ley y debidamente probadas y fundamentadas, y (b) no corresponder a objetos nuevos”. En este sentido, la Corte ha </w:t>
      </w:r>
      <w:r>
        <w:rPr>
          <w:rFonts w:ascii="Verdana" w:eastAsia="Calibri" w:hAnsi="Verdana" w:cs="Arial"/>
          <w:lang w:val="es-ES"/>
        </w:rPr>
        <w:t xml:space="preserve">señalado que </w:t>
      </w:r>
      <w:r w:rsidRPr="00E009FE">
        <w:rPr>
          <w:rFonts w:ascii="Verdana" w:eastAsia="Calibri" w:hAnsi="Verdana" w:cs="Arial"/>
          <w:lang w:val="es-ES"/>
        </w:rPr>
        <w:t>la</w:t>
      </w:r>
      <w:r>
        <w:rPr>
          <w:rFonts w:ascii="Verdana" w:eastAsia="Calibri" w:hAnsi="Verdana" w:cs="Arial"/>
          <w:lang w:val="es-ES"/>
        </w:rPr>
        <w:t>s</w:t>
      </w:r>
      <w:r w:rsidRPr="00E009FE">
        <w:rPr>
          <w:rFonts w:ascii="Verdana" w:eastAsia="Calibri" w:hAnsi="Verdana" w:cs="Arial"/>
          <w:lang w:val="es-ES"/>
        </w:rPr>
        <w:t xml:space="preserve"> modificaciones del contrato en relación con la restauración del equilibrio económico deben obedecer “solamente a circunstancias no previsibles, extraordinarias y no imputables al contratista. Así lo exige el artículo 27 de la ley 80, según el cual el restablecimiento del equilibrio solamente es posible cuando la ruptura proviene de causas no imputables a quien resulta afectado”</w:t>
      </w:r>
      <w:r w:rsidRPr="00E009FE">
        <w:rPr>
          <w:rStyle w:val="FootnoteReference"/>
          <w:rFonts w:ascii="Verdana" w:eastAsia="Calibri" w:hAnsi="Verdana" w:cs="Arial"/>
          <w:lang w:val="es-ES"/>
        </w:rPr>
        <w:footnoteReference w:id="47"/>
      </w:r>
      <w:r w:rsidRPr="00E009FE">
        <w:rPr>
          <w:rFonts w:ascii="Verdana" w:eastAsia="Calibri" w:hAnsi="Verdana" w:cs="Arial"/>
          <w:lang w:val="es-ES"/>
        </w:rPr>
        <w:t>.</w:t>
      </w:r>
    </w:p>
    <w:p w14:paraId="3FC0194C" w14:textId="77777777" w:rsidR="001D0810" w:rsidRPr="00E009FE" w:rsidRDefault="001D0810" w:rsidP="001D0810">
      <w:pPr>
        <w:spacing w:before="120" w:after="0" w:line="276" w:lineRule="auto"/>
        <w:ind w:firstLine="708"/>
        <w:jc w:val="both"/>
        <w:rPr>
          <w:rFonts w:ascii="Verdana" w:eastAsia="Calibri" w:hAnsi="Verdana" w:cs="Arial"/>
          <w:lang w:val="es-ES"/>
        </w:rPr>
      </w:pPr>
      <w:r w:rsidRPr="00E009FE">
        <w:rPr>
          <w:rFonts w:ascii="Verdana" w:eastAsia="Calibri" w:hAnsi="Verdana" w:cs="Arial"/>
          <w:lang w:val="es-ES"/>
        </w:rPr>
        <w:t xml:space="preserve">En efecto, el principio de planeación también impone cargas en cabeza de quienes participan en los procesos de contratación estatal, pues los contratistas deben analizar la suficiencia de los estudio y diseños, así como la consistencia de los precios. El cumplimiento de esta carga incide en la valoración de potenciales reclamaciones por los mayores costos en los que pueda incurrir y que se deriven de supuestas fallas de planeación en cabeza de la entidad estatal. </w:t>
      </w:r>
    </w:p>
    <w:p w14:paraId="4797584B" w14:textId="77777777" w:rsidR="001D0810" w:rsidRDefault="001D0810" w:rsidP="001D0810">
      <w:pPr>
        <w:spacing w:before="120" w:after="0" w:line="276" w:lineRule="auto"/>
        <w:ind w:firstLine="708"/>
        <w:jc w:val="both"/>
        <w:rPr>
          <w:rFonts w:ascii="Verdana" w:eastAsia="Calibri" w:hAnsi="Verdana" w:cs="Arial"/>
          <w:lang w:val="es-ES"/>
        </w:rPr>
      </w:pPr>
      <w:r w:rsidRPr="00E009FE">
        <w:rPr>
          <w:rFonts w:ascii="Verdana" w:eastAsia="Calibri" w:hAnsi="Verdana" w:cs="Arial"/>
          <w:lang w:val="es-ES"/>
        </w:rPr>
        <w:t xml:space="preserve">En cualquier caso, no es posible determinar un listado exhaustivo de criterios que de manera automática permitan identificar la existencia de un nexo causal entre una indebida o deficiente planeación y determinada modificación contractual. De manera similar, tampoco es posible pronunciarse sobre la procedencia de potenciales reclamaciones que se deriven de lo anterior de manera automática. La determinación de dicha relación y los pronunciamientos sobre la responsabilidad </w:t>
      </w:r>
      <w:r>
        <w:rPr>
          <w:rFonts w:ascii="Verdana" w:eastAsia="Calibri" w:hAnsi="Verdana" w:cs="Arial"/>
          <w:lang w:val="es-ES"/>
        </w:rPr>
        <w:t xml:space="preserve">derivada </w:t>
      </w:r>
      <w:r w:rsidRPr="00E009FE">
        <w:rPr>
          <w:rFonts w:ascii="Verdana" w:eastAsia="Calibri" w:hAnsi="Verdana" w:cs="Arial"/>
          <w:lang w:val="es-ES"/>
        </w:rPr>
        <w:t>de la misma depende</w:t>
      </w:r>
      <w:r>
        <w:rPr>
          <w:rFonts w:ascii="Verdana" w:eastAsia="Calibri" w:hAnsi="Verdana" w:cs="Arial"/>
          <w:lang w:val="es-ES"/>
        </w:rPr>
        <w:t>n</w:t>
      </w:r>
      <w:r w:rsidRPr="00E009FE">
        <w:rPr>
          <w:rFonts w:ascii="Verdana" w:eastAsia="Calibri" w:hAnsi="Verdana" w:cs="Arial"/>
          <w:lang w:val="es-ES"/>
        </w:rPr>
        <w:t xml:space="preserve"> del análisis concreto del contenido del respectivo acuerdo, de sus antecedentes y de las condiciones particulares que se presenten frente a la conducta de las partes, labor que en todo caso compete al juez del contrato y no a esta Agencia</w:t>
      </w:r>
      <w:r>
        <w:rPr>
          <w:rFonts w:ascii="Verdana" w:eastAsia="Calibri" w:hAnsi="Verdana" w:cs="Arial"/>
          <w:lang w:val="es-ES"/>
        </w:rPr>
        <w:t>.</w:t>
      </w:r>
    </w:p>
    <w:p w14:paraId="14230D5D" w14:textId="77777777" w:rsidR="001D0810" w:rsidRDefault="001D0810" w:rsidP="001D0810">
      <w:pPr>
        <w:spacing w:before="120" w:after="0" w:line="276" w:lineRule="auto"/>
        <w:ind w:firstLine="708"/>
        <w:jc w:val="both"/>
        <w:rPr>
          <w:rFonts w:ascii="Verdana" w:eastAsia="Calibri" w:hAnsi="Verdana" w:cs="Arial"/>
          <w:lang w:val="es-ES"/>
        </w:rPr>
      </w:pPr>
      <w:r w:rsidRPr="00E009FE">
        <w:rPr>
          <w:rFonts w:ascii="Verdana" w:eastAsia="Calibri" w:hAnsi="Verdana" w:cs="Arial"/>
          <w:bCs/>
          <w:color w:val="000000" w:themeColor="text1"/>
          <w:lang w:val="es-ES"/>
        </w:rPr>
        <w:t xml:space="preserve">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w:t>
      </w:r>
      <w:r>
        <w:rPr>
          <w:rFonts w:ascii="Verdana" w:eastAsia="Calibri" w:hAnsi="Verdana" w:cs="Arial"/>
          <w:bCs/>
          <w:color w:val="000000" w:themeColor="text1"/>
          <w:lang w:val="es-ES"/>
        </w:rPr>
        <w:t xml:space="preserve">en </w:t>
      </w:r>
      <w:r w:rsidRPr="00E009FE">
        <w:rPr>
          <w:rFonts w:ascii="Verdana" w:eastAsia="Calibri" w:hAnsi="Verdana" w:cs="Arial"/>
          <w:bCs/>
          <w:color w:val="000000" w:themeColor="text1"/>
          <w:lang w:val="es-ES"/>
        </w:rPr>
        <w:t xml:space="preserve">adoptar la decisión </w:t>
      </w:r>
      <w:r w:rsidRPr="00E009FE">
        <w:rPr>
          <w:rFonts w:ascii="Verdana" w:eastAsia="Calibri" w:hAnsi="Verdana" w:cs="Arial"/>
          <w:bCs/>
          <w:color w:val="000000" w:themeColor="text1"/>
          <w:lang w:val="es-ES"/>
        </w:rPr>
        <w:lastRenderedPageBreak/>
        <w:t>correspondiente y, en caso de conflicto, a las autoridades judiciales, fiscales y disciplinarias.</w:t>
      </w:r>
    </w:p>
    <w:p w14:paraId="1FC473A4" w14:textId="77777777" w:rsidR="001D0810" w:rsidRPr="00064880" w:rsidRDefault="001D0810" w:rsidP="001D0810">
      <w:pPr>
        <w:spacing w:before="120" w:after="0" w:line="276" w:lineRule="auto"/>
        <w:ind w:firstLine="708"/>
        <w:jc w:val="both"/>
        <w:rPr>
          <w:rFonts w:ascii="Verdana" w:eastAsia="Calibri" w:hAnsi="Verdana" w:cs="Arial"/>
          <w:lang w:val="es-ES"/>
        </w:rPr>
      </w:pPr>
      <w:r w:rsidRPr="00E009FE">
        <w:rPr>
          <w:rFonts w:ascii="Verdana" w:eastAsia="Calibri" w:hAnsi="Verdana" w:cs="Arial"/>
          <w:bCs/>
          <w:color w:val="000000" w:themeColor="text1"/>
          <w:lang w:val="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4E951FA9" w14:textId="77777777" w:rsidR="001D0810" w:rsidRPr="00E009FE" w:rsidRDefault="001D0810" w:rsidP="001D0810">
      <w:pPr>
        <w:spacing w:after="0" w:line="276" w:lineRule="auto"/>
        <w:jc w:val="both"/>
        <w:rPr>
          <w:rFonts w:ascii="Verdana" w:eastAsia="Calibri" w:hAnsi="Verdana" w:cs="Arial"/>
          <w:lang w:val="es-ES"/>
        </w:rPr>
      </w:pPr>
    </w:p>
    <w:bookmarkEnd w:id="1"/>
    <w:bookmarkEnd w:id="2"/>
    <w:p w14:paraId="49EC825E" w14:textId="77777777" w:rsidR="001D0810" w:rsidRPr="00E009FE" w:rsidRDefault="001D0810" w:rsidP="001D0810">
      <w:pPr>
        <w:tabs>
          <w:tab w:val="left" w:pos="142"/>
          <w:tab w:val="left" w:pos="284"/>
        </w:tabs>
        <w:spacing w:after="0" w:line="276" w:lineRule="auto"/>
        <w:jc w:val="both"/>
        <w:rPr>
          <w:rFonts w:ascii="Verdana" w:eastAsia="Century Gothic" w:hAnsi="Verdana" w:cs="Century Gothic"/>
          <w:b/>
          <w:color w:val="000000" w:themeColor="text1"/>
          <w:lang w:val="es-ES"/>
        </w:rPr>
      </w:pPr>
      <w:r w:rsidRPr="00E009FE">
        <w:rPr>
          <w:rFonts w:ascii="Verdana" w:eastAsia="Century Gothic" w:hAnsi="Verdana" w:cs="Century Gothic"/>
          <w:b/>
          <w:color w:val="000000" w:themeColor="text1"/>
          <w:lang w:val="es-ES"/>
        </w:rPr>
        <w:t>4.Referencias normativas, jurisprudenciales y otras fuentes:</w:t>
      </w:r>
    </w:p>
    <w:p w14:paraId="1152202D" w14:textId="77777777" w:rsidR="001D0810" w:rsidRPr="00E009FE" w:rsidRDefault="001D0810" w:rsidP="001D0810">
      <w:pPr>
        <w:widowControl w:val="0"/>
        <w:autoSpaceDE w:val="0"/>
        <w:autoSpaceDN w:val="0"/>
        <w:spacing w:after="0" w:line="276" w:lineRule="auto"/>
        <w:jc w:val="both"/>
        <w:rPr>
          <w:rFonts w:ascii="Verdana" w:hAnsi="Verdana" w:cs="Arial"/>
          <w:color w:val="000000" w:themeColor="text1"/>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D0810" w:rsidRPr="00E009FE" w14:paraId="6751B3BF" w14:textId="77777777" w:rsidTr="00C71E99">
        <w:trPr>
          <w:trHeight w:val="870"/>
        </w:trPr>
        <w:tc>
          <w:tcPr>
            <w:tcW w:w="8647" w:type="dxa"/>
          </w:tcPr>
          <w:p w14:paraId="16A91187" w14:textId="77777777" w:rsidR="001D0810" w:rsidRDefault="001D0810" w:rsidP="00C71E99">
            <w:pPr>
              <w:pStyle w:val="ListParagraph"/>
              <w:widowControl w:val="0"/>
              <w:numPr>
                <w:ilvl w:val="0"/>
                <w:numId w:val="16"/>
              </w:numPr>
              <w:autoSpaceDE w:val="0"/>
              <w:autoSpaceDN w:val="0"/>
              <w:spacing w:after="120" w:line="276" w:lineRule="auto"/>
              <w:contextualSpacing w:val="0"/>
              <w:jc w:val="both"/>
              <w:rPr>
                <w:rFonts w:ascii="Verdana" w:hAnsi="Verdana" w:cs="Arial"/>
              </w:rPr>
            </w:pPr>
            <w:r w:rsidRPr="00E009FE">
              <w:rPr>
                <w:rFonts w:ascii="Verdana" w:hAnsi="Verdana" w:cs="Arial"/>
              </w:rPr>
              <w:t xml:space="preserve">Ley 80 de 1993, artículos 2, </w:t>
            </w:r>
            <w:r>
              <w:rPr>
                <w:rFonts w:ascii="Verdana" w:hAnsi="Verdana" w:cs="Arial"/>
              </w:rPr>
              <w:t xml:space="preserve">11, 12, </w:t>
            </w:r>
            <w:r w:rsidRPr="00E009FE">
              <w:rPr>
                <w:rFonts w:ascii="Verdana" w:hAnsi="Verdana" w:cs="Arial"/>
              </w:rPr>
              <w:t>25, 26, 30</w:t>
            </w:r>
            <w:r>
              <w:rPr>
                <w:rFonts w:ascii="Verdana" w:hAnsi="Verdana" w:cs="Arial"/>
              </w:rPr>
              <w:t>,</w:t>
            </w:r>
            <w:r w:rsidRPr="00E009FE">
              <w:rPr>
                <w:rFonts w:ascii="Verdana" w:hAnsi="Verdana" w:cs="Arial"/>
              </w:rPr>
              <w:t xml:space="preserve"> 32</w:t>
            </w:r>
            <w:r>
              <w:rPr>
                <w:rFonts w:ascii="Verdana" w:hAnsi="Verdana" w:cs="Arial"/>
              </w:rPr>
              <w:t>, 40</w:t>
            </w:r>
            <w:r w:rsidRPr="00E009FE">
              <w:rPr>
                <w:rFonts w:ascii="Verdana" w:hAnsi="Verdana" w:cs="Arial"/>
              </w:rPr>
              <w:t>.</w:t>
            </w:r>
          </w:p>
          <w:p w14:paraId="6F121DD7" w14:textId="77777777" w:rsidR="001D0810" w:rsidRPr="00E009FE" w:rsidRDefault="001D0810" w:rsidP="00C71E99">
            <w:pPr>
              <w:pStyle w:val="ListParagraph"/>
              <w:widowControl w:val="0"/>
              <w:numPr>
                <w:ilvl w:val="0"/>
                <w:numId w:val="16"/>
              </w:numPr>
              <w:autoSpaceDE w:val="0"/>
              <w:autoSpaceDN w:val="0"/>
              <w:spacing w:after="120" w:line="276" w:lineRule="auto"/>
              <w:contextualSpacing w:val="0"/>
              <w:jc w:val="both"/>
              <w:rPr>
                <w:rFonts w:ascii="Verdana" w:hAnsi="Verdana" w:cs="Arial"/>
              </w:rPr>
            </w:pPr>
            <w:r w:rsidRPr="00E009FE">
              <w:rPr>
                <w:rFonts w:ascii="Verdana" w:eastAsia="Calibri" w:hAnsi="Verdana" w:cs="Arial"/>
                <w:color w:val="000000"/>
                <w:szCs w:val="24"/>
                <w:lang w:eastAsia="es-ES_tradnl"/>
              </w:rPr>
              <w:t>Ley 1474 de 2011</w:t>
            </w:r>
            <w:r>
              <w:rPr>
                <w:rFonts w:ascii="Verdana" w:eastAsia="Calibri" w:hAnsi="Verdana" w:cs="Arial"/>
                <w:color w:val="000000"/>
                <w:szCs w:val="24"/>
                <w:lang w:eastAsia="es-ES_tradnl"/>
              </w:rPr>
              <w:t xml:space="preserve">, </w:t>
            </w:r>
            <w:r w:rsidRPr="00E009FE">
              <w:rPr>
                <w:rFonts w:ascii="Verdana" w:eastAsia="Calibri" w:hAnsi="Verdana" w:cs="Arial"/>
                <w:color w:val="000000"/>
                <w:szCs w:val="24"/>
                <w:lang w:eastAsia="es-ES_tradnl"/>
              </w:rPr>
              <w:t>artículo 85</w:t>
            </w:r>
            <w:r>
              <w:rPr>
                <w:rFonts w:ascii="Verdana" w:eastAsia="Calibri" w:hAnsi="Verdana" w:cs="Arial"/>
                <w:color w:val="000000"/>
                <w:szCs w:val="24"/>
                <w:lang w:eastAsia="es-ES_tradnl"/>
              </w:rPr>
              <w:t>.</w:t>
            </w:r>
          </w:p>
          <w:p w14:paraId="250FAAFB" w14:textId="77777777" w:rsidR="001D0810" w:rsidRPr="00E009FE" w:rsidRDefault="001D0810" w:rsidP="00C71E99">
            <w:pPr>
              <w:pStyle w:val="ListParagraph"/>
              <w:widowControl w:val="0"/>
              <w:numPr>
                <w:ilvl w:val="0"/>
                <w:numId w:val="16"/>
              </w:numPr>
              <w:autoSpaceDE w:val="0"/>
              <w:autoSpaceDN w:val="0"/>
              <w:spacing w:after="120" w:line="276" w:lineRule="auto"/>
              <w:contextualSpacing w:val="0"/>
              <w:jc w:val="both"/>
              <w:rPr>
                <w:rFonts w:ascii="Verdana" w:hAnsi="Verdana" w:cs="Arial"/>
              </w:rPr>
            </w:pPr>
            <w:r w:rsidRPr="00E009FE">
              <w:rPr>
                <w:rFonts w:ascii="Verdana" w:hAnsi="Verdana" w:cs="Arial"/>
              </w:rPr>
              <w:t>Ley 1862 de 2013, artículo 12.</w:t>
            </w:r>
          </w:p>
          <w:p w14:paraId="651F2BFC" w14:textId="77777777" w:rsidR="001D0810" w:rsidRPr="003A3B5E" w:rsidRDefault="001D0810" w:rsidP="00C71E99">
            <w:pPr>
              <w:pStyle w:val="ListParagraph"/>
              <w:widowControl w:val="0"/>
              <w:numPr>
                <w:ilvl w:val="0"/>
                <w:numId w:val="16"/>
              </w:numPr>
              <w:autoSpaceDE w:val="0"/>
              <w:autoSpaceDN w:val="0"/>
              <w:spacing w:after="120" w:line="276" w:lineRule="auto"/>
              <w:contextualSpacing w:val="0"/>
              <w:jc w:val="both"/>
              <w:rPr>
                <w:rFonts w:ascii="Verdana" w:hAnsi="Verdana" w:cs="Arial"/>
              </w:rPr>
            </w:pPr>
            <w:r w:rsidRPr="00E009FE">
              <w:rPr>
                <w:rFonts w:ascii="Verdana" w:hAnsi="Verdana" w:cs="Arial"/>
              </w:rPr>
              <w:t xml:space="preserve">Decreto </w:t>
            </w:r>
            <w:r w:rsidRPr="003A3B5E">
              <w:rPr>
                <w:rFonts w:ascii="Verdana" w:hAnsi="Verdana" w:cs="Arial"/>
              </w:rPr>
              <w:t xml:space="preserve">1082 de 2015, artículo </w:t>
            </w:r>
            <w:r w:rsidRPr="003A3B5E">
              <w:rPr>
                <w:rFonts w:ascii="Verdana" w:eastAsia="Calibri" w:hAnsi="Verdana" w:cs="Arial"/>
                <w:bCs/>
                <w:lang w:eastAsia="es-MX"/>
              </w:rPr>
              <w:t xml:space="preserve">2.2.1.1.1.6.1, </w:t>
            </w:r>
            <w:r w:rsidRPr="003A3B5E">
              <w:rPr>
                <w:rFonts w:ascii="Verdana" w:hAnsi="Verdana" w:cs="Arial"/>
              </w:rPr>
              <w:t>2.2.1.1.2.1.1.</w:t>
            </w:r>
          </w:p>
          <w:p w14:paraId="77E7435A" w14:textId="77777777" w:rsidR="001D0810" w:rsidRPr="003A3B5E" w:rsidRDefault="001D0810" w:rsidP="00C71E99">
            <w:pPr>
              <w:pStyle w:val="ListParagraph"/>
              <w:numPr>
                <w:ilvl w:val="0"/>
                <w:numId w:val="16"/>
              </w:numPr>
              <w:spacing w:before="120" w:after="120" w:line="276" w:lineRule="auto"/>
              <w:contextualSpacing w:val="0"/>
              <w:jc w:val="both"/>
              <w:rPr>
                <w:rFonts w:ascii="Verdana" w:hAnsi="Verdana" w:cs="Arial"/>
              </w:rPr>
            </w:pPr>
            <w:r w:rsidRPr="003A3B5E">
              <w:rPr>
                <w:rFonts w:ascii="Verdana" w:hAnsi="Verdana" w:cs="Arial"/>
              </w:rPr>
              <w:t>Código Civil, artículos 2053, 2060 y 2061.</w:t>
            </w:r>
          </w:p>
          <w:p w14:paraId="7E0FC79B" w14:textId="77777777" w:rsidR="001D0810" w:rsidRPr="003A3B5E" w:rsidRDefault="001D0810" w:rsidP="00C71E99">
            <w:pPr>
              <w:pStyle w:val="ListParagraph"/>
              <w:numPr>
                <w:ilvl w:val="0"/>
                <w:numId w:val="16"/>
              </w:numPr>
              <w:spacing w:before="120" w:after="120" w:line="276" w:lineRule="auto"/>
              <w:contextualSpacing w:val="0"/>
              <w:jc w:val="both"/>
              <w:rPr>
                <w:rFonts w:ascii="Verdana" w:hAnsi="Verdana" w:cs="Arial"/>
              </w:rPr>
            </w:pPr>
            <w:r w:rsidRPr="003A3B5E">
              <w:rPr>
                <w:rFonts w:ascii="Verdana" w:eastAsia="Calibri" w:hAnsi="Verdana" w:cs="Arial"/>
              </w:rPr>
              <w:t xml:space="preserve">Consejo de Estado. Sección Tercera. Sentencia del julio 23 de 1992. </w:t>
            </w:r>
            <w:proofErr w:type="spellStart"/>
            <w:r w:rsidRPr="003A3B5E">
              <w:rPr>
                <w:rFonts w:ascii="Verdana" w:eastAsia="Calibri" w:hAnsi="Verdana" w:cs="Arial"/>
              </w:rPr>
              <w:t>Exp</w:t>
            </w:r>
            <w:proofErr w:type="spellEnd"/>
            <w:r w:rsidRPr="003A3B5E">
              <w:rPr>
                <w:rFonts w:ascii="Verdana" w:eastAsia="Calibri" w:hAnsi="Verdana" w:cs="Arial"/>
              </w:rPr>
              <w:t>. 6032. C.P Daniel Suárez Hernández.</w:t>
            </w:r>
          </w:p>
          <w:p w14:paraId="3E698583" w14:textId="77777777" w:rsidR="001D0810" w:rsidRPr="003A3B5E" w:rsidRDefault="001D0810" w:rsidP="00C71E99">
            <w:pPr>
              <w:pStyle w:val="ListParagraph"/>
              <w:numPr>
                <w:ilvl w:val="0"/>
                <w:numId w:val="16"/>
              </w:numPr>
              <w:spacing w:before="120" w:after="120" w:line="276" w:lineRule="auto"/>
              <w:contextualSpacing w:val="0"/>
              <w:jc w:val="both"/>
              <w:rPr>
                <w:rFonts w:ascii="Verdana" w:hAnsi="Verdana" w:cs="Arial"/>
              </w:rPr>
            </w:pPr>
            <w:r w:rsidRPr="003A3B5E">
              <w:rPr>
                <w:rFonts w:ascii="Verdana" w:hAnsi="Verdana"/>
              </w:rPr>
              <w:t>C</w:t>
            </w:r>
            <w:proofErr w:type="spellStart"/>
            <w:r w:rsidRPr="003A3B5E">
              <w:rPr>
                <w:rFonts w:ascii="Verdana" w:hAnsi="Verdana"/>
                <w:lang w:val="es-CO"/>
              </w:rPr>
              <w:t>onsejo</w:t>
            </w:r>
            <w:proofErr w:type="spellEnd"/>
            <w:r w:rsidRPr="003A3B5E">
              <w:rPr>
                <w:rFonts w:ascii="Verdana" w:hAnsi="Verdana"/>
                <w:lang w:val="es-CO"/>
              </w:rPr>
              <w:t xml:space="preserve"> de Estado. Sección Tercera. Sentencia de 29 de agosto de 2007. Rad: 25000- 23-26-000-1994-09845-01(14854). Consejero Ponente: Mauricio Fajardo Gómez.</w:t>
            </w:r>
          </w:p>
          <w:p w14:paraId="7133C455" w14:textId="77777777" w:rsidR="001D0810" w:rsidRPr="003A3B5E" w:rsidRDefault="001D0810" w:rsidP="00C71E99">
            <w:pPr>
              <w:pStyle w:val="ListParagraph"/>
              <w:numPr>
                <w:ilvl w:val="0"/>
                <w:numId w:val="16"/>
              </w:numPr>
              <w:spacing w:before="120" w:after="120" w:line="276" w:lineRule="auto"/>
              <w:contextualSpacing w:val="0"/>
              <w:jc w:val="both"/>
              <w:rPr>
                <w:rFonts w:ascii="Verdana" w:hAnsi="Verdana" w:cs="Arial"/>
              </w:rPr>
            </w:pPr>
            <w:r w:rsidRPr="003A3B5E">
              <w:rPr>
                <w:rFonts w:ascii="Verdana" w:hAnsi="Verdana"/>
                <w:lang w:val="es-CO"/>
              </w:rPr>
              <w:t xml:space="preserve">Consejo de Estado. </w:t>
            </w:r>
            <w:proofErr w:type="spellStart"/>
            <w:r w:rsidRPr="003A3B5E">
              <w:rPr>
                <w:rFonts w:ascii="Verdana" w:hAnsi="Verdana"/>
                <w:lang w:val="es-CO"/>
              </w:rPr>
              <w:t>Seccion</w:t>
            </w:r>
            <w:proofErr w:type="spellEnd"/>
            <w:r w:rsidRPr="003A3B5E">
              <w:rPr>
                <w:rFonts w:ascii="Verdana" w:hAnsi="Verdana"/>
                <w:lang w:val="es-CO"/>
              </w:rPr>
              <w:t xml:space="preserve"> Tercera. Sentencia del  treinta y uno (31) de agosto de dos mil once (2011). Rad: 25000-23-26-000-1997-04390-01(18080) Consejera ponente: Ruth Stella Correa Palacio.</w:t>
            </w:r>
          </w:p>
          <w:p w14:paraId="69FFF799" w14:textId="77777777" w:rsidR="001D0810" w:rsidRPr="003A3B5E" w:rsidRDefault="001D0810" w:rsidP="00C71E99">
            <w:pPr>
              <w:pStyle w:val="ListParagraph"/>
              <w:numPr>
                <w:ilvl w:val="0"/>
                <w:numId w:val="16"/>
              </w:numPr>
              <w:spacing w:before="120" w:after="120" w:line="276" w:lineRule="auto"/>
              <w:contextualSpacing w:val="0"/>
              <w:jc w:val="both"/>
              <w:rPr>
                <w:rFonts w:ascii="Verdana" w:hAnsi="Verdana" w:cs="Arial"/>
              </w:rPr>
            </w:pPr>
            <w:r w:rsidRPr="003A3B5E">
              <w:rPr>
                <w:rFonts w:ascii="Verdana" w:hAnsi="Verdana" w:cs="Arial"/>
              </w:rPr>
              <w:t>Consejo de Estado. Sala de Consulta y Servicio Civil. Concepto del 13 de agosto de 2009. Radicado: 11001-03-06-000-2009-00033-00 (</w:t>
            </w:r>
            <w:r w:rsidRPr="003A3B5E">
              <w:rPr>
                <w:rFonts w:ascii="Verdana" w:hAnsi="Verdana" w:cs="Arial"/>
                <w:bCs/>
              </w:rPr>
              <w:t>1952), C.P. Enrique José Arboleda Perdomo.</w:t>
            </w:r>
          </w:p>
          <w:p w14:paraId="1BCA9934" w14:textId="77777777" w:rsidR="001D0810" w:rsidRPr="003A3B5E" w:rsidRDefault="001D0810" w:rsidP="00C71E99">
            <w:pPr>
              <w:pStyle w:val="ListParagraph"/>
              <w:numPr>
                <w:ilvl w:val="0"/>
                <w:numId w:val="16"/>
              </w:numPr>
              <w:spacing w:before="120" w:after="120" w:line="276" w:lineRule="auto"/>
              <w:contextualSpacing w:val="0"/>
              <w:jc w:val="both"/>
              <w:rPr>
                <w:rFonts w:ascii="Verdana" w:hAnsi="Verdana" w:cs="Arial"/>
              </w:rPr>
            </w:pPr>
            <w:r w:rsidRPr="003A3B5E">
              <w:rPr>
                <w:rFonts w:ascii="Verdana" w:hAnsi="Verdana"/>
                <w:lang w:val="es-CO"/>
              </w:rPr>
              <w:t>Consejo de Estado, Sección Tercera. Sentencia del 12 de mayo de 2012. Rad No. 18446. M.P. Mauricio Fajardo Gómez.</w:t>
            </w:r>
          </w:p>
          <w:p w14:paraId="46641397" w14:textId="77777777" w:rsidR="001D0810" w:rsidRPr="003A3B5E" w:rsidRDefault="001D0810" w:rsidP="00C71E99">
            <w:pPr>
              <w:pStyle w:val="ListParagraph"/>
              <w:numPr>
                <w:ilvl w:val="0"/>
                <w:numId w:val="16"/>
              </w:numPr>
              <w:spacing w:before="120" w:after="120" w:line="276" w:lineRule="auto"/>
              <w:contextualSpacing w:val="0"/>
              <w:jc w:val="both"/>
              <w:rPr>
                <w:rFonts w:ascii="Verdana" w:hAnsi="Verdana" w:cs="Arial"/>
              </w:rPr>
            </w:pPr>
            <w:r w:rsidRPr="003A3B5E">
              <w:rPr>
                <w:rFonts w:ascii="Verdana" w:hAnsi="Verdana"/>
                <w:lang w:val="es-CO"/>
              </w:rPr>
              <w:lastRenderedPageBreak/>
              <w:t>Consejo de Estado. Sección Tercera. Sentencia del 18 de marzo de 2015. Rad: 730012331000200402147 01 (33223). Consejero Ponente: Jaime Orlando Santofimio Gamboa</w:t>
            </w:r>
          </w:p>
          <w:p w14:paraId="08506E70" w14:textId="77777777" w:rsidR="001D0810" w:rsidRPr="003A3B5E" w:rsidRDefault="001D0810" w:rsidP="00C71E99">
            <w:pPr>
              <w:pStyle w:val="ListParagraph"/>
              <w:numPr>
                <w:ilvl w:val="0"/>
                <w:numId w:val="16"/>
              </w:numPr>
              <w:spacing w:before="120" w:after="120" w:line="276" w:lineRule="auto"/>
              <w:contextualSpacing w:val="0"/>
              <w:jc w:val="both"/>
              <w:rPr>
                <w:rFonts w:ascii="Verdana" w:hAnsi="Verdana" w:cs="Arial"/>
              </w:rPr>
            </w:pPr>
            <w:r w:rsidRPr="003A3B5E">
              <w:rPr>
                <w:rFonts w:ascii="Verdana" w:hAnsi="Verdana"/>
              </w:rPr>
              <w:t>Consejo de Estado. Sala de Consulta y Servicio Civil.</w:t>
            </w:r>
            <w:r w:rsidRPr="003A3B5E">
              <w:rPr>
                <w:rFonts w:ascii="Verdana" w:hAnsi="Verdana"/>
                <w:i/>
                <w:iCs/>
              </w:rPr>
              <w:t xml:space="preserve"> </w:t>
            </w:r>
            <w:r w:rsidRPr="003A3B5E">
              <w:rPr>
                <w:rFonts w:ascii="Verdana" w:hAnsi="Verdana"/>
              </w:rPr>
              <w:t>Concepto del 06 de junio 2018. Radicado: 2369. C.P: Óscar Darío Amaya Navas.</w:t>
            </w:r>
          </w:p>
          <w:p w14:paraId="10A9655B" w14:textId="77777777" w:rsidR="001D0810" w:rsidRPr="003A3B5E" w:rsidRDefault="001D0810" w:rsidP="00C71E99">
            <w:pPr>
              <w:pStyle w:val="ListParagraph"/>
              <w:numPr>
                <w:ilvl w:val="0"/>
                <w:numId w:val="16"/>
              </w:numPr>
              <w:spacing w:before="120" w:after="120" w:line="276" w:lineRule="auto"/>
              <w:contextualSpacing w:val="0"/>
              <w:jc w:val="both"/>
              <w:rPr>
                <w:rFonts w:ascii="Verdana" w:hAnsi="Verdana" w:cs="Arial"/>
              </w:rPr>
            </w:pPr>
            <w:r w:rsidRPr="003A3B5E">
              <w:rPr>
                <w:rFonts w:ascii="Verdana" w:hAnsi="Verdana"/>
              </w:rPr>
              <w:t>C</w:t>
            </w:r>
            <w:proofErr w:type="spellStart"/>
            <w:r w:rsidRPr="003A3B5E">
              <w:rPr>
                <w:rFonts w:ascii="Verdana" w:hAnsi="Verdana"/>
                <w:lang w:val="es-CO"/>
              </w:rPr>
              <w:t>onsejo</w:t>
            </w:r>
            <w:proofErr w:type="spellEnd"/>
            <w:r w:rsidRPr="003A3B5E">
              <w:rPr>
                <w:rFonts w:ascii="Verdana" w:hAnsi="Verdana"/>
                <w:lang w:val="es-CO"/>
              </w:rPr>
              <w:t xml:space="preserve"> de Estado. Sección Tercera. Sentencia del ocho (8) de mayo de dos mil diecinueve (2019). Rad: 25000-23-36-000-2013-02029-01(59309). Consejera ponente: Marta Nubia Velásquez Rico.</w:t>
            </w:r>
          </w:p>
          <w:p w14:paraId="4DA1FD0B" w14:textId="77777777" w:rsidR="001D0810" w:rsidRPr="003A3B5E" w:rsidRDefault="001D0810" w:rsidP="00C71E99">
            <w:pPr>
              <w:pStyle w:val="ListParagraph"/>
              <w:numPr>
                <w:ilvl w:val="0"/>
                <w:numId w:val="16"/>
              </w:numPr>
              <w:spacing w:before="120" w:after="120" w:line="276" w:lineRule="auto"/>
              <w:contextualSpacing w:val="0"/>
              <w:jc w:val="both"/>
              <w:rPr>
                <w:rFonts w:ascii="Verdana" w:hAnsi="Verdana" w:cs="Arial"/>
              </w:rPr>
            </w:pPr>
            <w:r w:rsidRPr="003A3B5E">
              <w:rPr>
                <w:rFonts w:ascii="Verdana" w:eastAsia="Calibri" w:hAnsi="Verdana" w:cs="Arial"/>
              </w:rPr>
              <w:t xml:space="preserve">Consejo de Estado. Sección Tercera. Sentencia del </w:t>
            </w:r>
            <w:r w:rsidRPr="003A3B5E">
              <w:rPr>
                <w:rFonts w:ascii="Verdana" w:eastAsia="Calibri" w:hAnsi="Verdana" w:cs="Arial"/>
                <w:lang w:val="es-CO"/>
              </w:rPr>
              <w:t>ocho (8) de noviembre de dos mil veintiuno (2021).</w:t>
            </w:r>
            <w:r w:rsidRPr="003A3B5E">
              <w:rPr>
                <w:rFonts w:ascii="Verdana" w:hAnsi="Verdana"/>
                <w:lang w:val="es-CO"/>
              </w:rPr>
              <w:t xml:space="preserve"> </w:t>
            </w:r>
            <w:r w:rsidRPr="003A3B5E">
              <w:rPr>
                <w:rFonts w:ascii="Verdana" w:eastAsia="Calibri" w:hAnsi="Verdana" w:cs="Arial"/>
                <w:lang w:val="es-CO"/>
              </w:rPr>
              <w:t>Rad: 25000-23-36-000-2013-02201-01(56023). Consejera ponente: Marta Nubia Velásquez Rico</w:t>
            </w:r>
          </w:p>
          <w:p w14:paraId="5A75768C" w14:textId="77777777" w:rsidR="001D0810" w:rsidRPr="003A3B5E" w:rsidRDefault="001D0810" w:rsidP="00C71E99">
            <w:pPr>
              <w:pStyle w:val="ListParagraph"/>
              <w:numPr>
                <w:ilvl w:val="0"/>
                <w:numId w:val="16"/>
              </w:numPr>
              <w:spacing w:before="120" w:after="120" w:line="276" w:lineRule="auto"/>
              <w:contextualSpacing w:val="0"/>
              <w:jc w:val="both"/>
              <w:rPr>
                <w:rFonts w:ascii="Verdana" w:hAnsi="Verdana" w:cs="Arial"/>
              </w:rPr>
            </w:pPr>
            <w:r w:rsidRPr="003A3B5E">
              <w:rPr>
                <w:rFonts w:ascii="Verdana" w:hAnsi="Verdana"/>
                <w:lang w:val="pt-BR"/>
              </w:rPr>
              <w:t>Corte Constitucional. Sentencia C-300 de 2012. M.P: Jorge Ignacio Pretelt Chaljub.</w:t>
            </w:r>
          </w:p>
        </w:tc>
      </w:tr>
    </w:tbl>
    <w:p w14:paraId="44698CE4" w14:textId="77777777" w:rsidR="001D0810" w:rsidRPr="00E009FE" w:rsidRDefault="001D0810" w:rsidP="001D0810">
      <w:pPr>
        <w:widowControl w:val="0"/>
        <w:autoSpaceDE w:val="0"/>
        <w:autoSpaceDN w:val="0"/>
        <w:spacing w:after="0" w:line="276" w:lineRule="auto"/>
        <w:jc w:val="both"/>
        <w:rPr>
          <w:rFonts w:ascii="Verdana" w:hAnsi="Verdana" w:cs="Arial"/>
          <w:color w:val="000000" w:themeColor="text1"/>
          <w:lang w:val="es-ES"/>
        </w:rPr>
      </w:pPr>
    </w:p>
    <w:p w14:paraId="204ECCE3" w14:textId="77777777" w:rsidR="001D0810" w:rsidRPr="00E009FE" w:rsidRDefault="001D0810" w:rsidP="001D0810">
      <w:pPr>
        <w:tabs>
          <w:tab w:val="left" w:pos="142"/>
          <w:tab w:val="left" w:pos="284"/>
        </w:tabs>
        <w:spacing w:after="0" w:line="276" w:lineRule="auto"/>
        <w:jc w:val="both"/>
        <w:rPr>
          <w:rFonts w:ascii="Verdana" w:eastAsia="Century Gothic" w:hAnsi="Verdana" w:cs="Century Gothic"/>
          <w:b/>
          <w:color w:val="000000" w:themeColor="text1"/>
          <w:lang w:val="es-ES"/>
        </w:rPr>
      </w:pPr>
      <w:r w:rsidRPr="00E009FE">
        <w:rPr>
          <w:rFonts w:ascii="Verdana" w:eastAsia="Century Gothic" w:hAnsi="Verdana" w:cs="Century Gothic"/>
          <w:b/>
          <w:color w:val="000000" w:themeColor="text1"/>
          <w:lang w:val="es-ES"/>
        </w:rPr>
        <w:t>5.Doctrina de la Agencia Nacional de Contratación Pública:</w:t>
      </w:r>
    </w:p>
    <w:p w14:paraId="0A16F3F0" w14:textId="77777777" w:rsidR="001D0810" w:rsidRPr="00E009FE" w:rsidRDefault="001D0810" w:rsidP="001D0810">
      <w:pPr>
        <w:widowControl w:val="0"/>
        <w:autoSpaceDE w:val="0"/>
        <w:autoSpaceDN w:val="0"/>
        <w:spacing w:after="0" w:line="276" w:lineRule="auto"/>
        <w:jc w:val="both"/>
        <w:rPr>
          <w:rFonts w:ascii="Verdana" w:hAnsi="Verdana" w:cs="Arial"/>
          <w:color w:val="000000" w:themeColor="text1"/>
          <w:lang w:val="es-ES"/>
        </w:rPr>
      </w:pPr>
    </w:p>
    <w:p w14:paraId="2D98FF00" w14:textId="77777777" w:rsidR="001D0810" w:rsidRPr="00E009FE" w:rsidRDefault="001D0810" w:rsidP="001D0810">
      <w:pPr>
        <w:spacing w:after="120"/>
        <w:jc w:val="both"/>
        <w:rPr>
          <w:rFonts w:ascii="Verdana" w:hAnsi="Verdana" w:cs="Arial"/>
          <w:color w:val="000000" w:themeColor="text1"/>
          <w:shd w:val="clear" w:color="auto" w:fill="FFFFFF"/>
          <w:lang w:val="es-ES"/>
        </w:rPr>
      </w:pPr>
      <w:r w:rsidRPr="00E009FE">
        <w:rPr>
          <w:rFonts w:ascii="Verdana" w:eastAsia="Calibri" w:hAnsi="Verdana" w:cs="Arial"/>
          <w:lang w:val="es-ES"/>
        </w:rPr>
        <w:t xml:space="preserve">La Agencia Nacional de Contratación Pública – Colombia Compra Eficiente se ha referido </w:t>
      </w:r>
      <w:r w:rsidRPr="00E009FE">
        <w:rPr>
          <w:rFonts w:ascii="Verdana" w:hAnsi="Verdana" w:cs="Arial"/>
          <w:shd w:val="clear" w:color="auto" w:fill="FFFFFF"/>
          <w:lang w:val="es-ES"/>
        </w:rPr>
        <w:t xml:space="preserve">sobre el objeto y las características del contrato de obra pública en los Conceptos 4201913000008014 del 24 de diciembre del año 2019, C-530 del 13 de agosto de 2020 y C-038 del 5 de abril de 2021. Por otra parte, en los Conceptos 4201912000005784 del 7 de octubre de 2019, C-702 del 11 de diciembre de 2020, C-177 del 26 de abril de 2021, C-255 del 1 de junio de 2021, C-284 del 11 de mayo de 2022, C-359 del 21 de julio de 2022, C-174 del 16 de mayo de 2023, </w:t>
      </w:r>
      <w:r w:rsidRPr="00E009FE">
        <w:rPr>
          <w:rFonts w:ascii="Verdana" w:eastAsia="Calibri" w:hAnsi="Verdana" w:cs="Arial"/>
          <w:lang w:val="es-ES" w:eastAsia="es-ES"/>
        </w:rPr>
        <w:t>C–735 del 20 de junio de 2025,</w:t>
      </w:r>
      <w:r w:rsidRPr="00E009FE">
        <w:rPr>
          <w:rFonts w:ascii="Verdana" w:eastAsia="Calibri" w:hAnsi="Verdana" w:cs="Arial"/>
          <w:b/>
          <w:bCs/>
          <w:lang w:val="es-ES" w:eastAsia="es-ES"/>
        </w:rPr>
        <w:t xml:space="preserve"> </w:t>
      </w:r>
      <w:r w:rsidRPr="00E009FE">
        <w:rPr>
          <w:rFonts w:ascii="Verdana" w:eastAsia="Calibri" w:hAnsi="Verdana" w:cs="Arial"/>
          <w:lang w:val="es-ES" w:eastAsia="es-ES"/>
        </w:rPr>
        <w:t>C-1151 del 29 de septiembre de 2025,</w:t>
      </w:r>
      <w:r w:rsidRPr="00E009FE">
        <w:rPr>
          <w:rFonts w:ascii="Verdana" w:eastAsia="Calibri" w:hAnsi="Verdana" w:cs="Arial"/>
          <w:b/>
          <w:bCs/>
          <w:lang w:val="es-ES" w:eastAsia="es-ES"/>
        </w:rPr>
        <w:t xml:space="preserve"> </w:t>
      </w:r>
      <w:r w:rsidRPr="00E009FE">
        <w:rPr>
          <w:rFonts w:ascii="Verdana" w:hAnsi="Verdana" w:cs="Arial"/>
          <w:shd w:val="clear" w:color="auto" w:fill="FFFFFF"/>
          <w:lang w:val="es-ES"/>
        </w:rPr>
        <w:t>estudió la figura del contrato llave en mano</w:t>
      </w:r>
      <w:r w:rsidRPr="00E009FE">
        <w:rPr>
          <w:rFonts w:ascii="Verdana" w:eastAsia="Calibri" w:hAnsi="Verdana" w:cs="Arial"/>
          <w:lang w:val="es-ES" w:eastAsia="es-ES"/>
        </w:rPr>
        <w:t>,</w:t>
      </w:r>
      <w:r w:rsidRPr="00E009FE">
        <w:rPr>
          <w:rFonts w:ascii="Verdana" w:eastAsia="Calibri" w:hAnsi="Verdana" w:cs="Arial"/>
          <w:b/>
          <w:bCs/>
          <w:lang w:val="es-ES" w:eastAsia="es-ES"/>
        </w:rPr>
        <w:t xml:space="preserve"> </w:t>
      </w:r>
      <w:r w:rsidRPr="00E009FE">
        <w:rPr>
          <w:rFonts w:ascii="Verdana" w:hAnsi="Verdana" w:cs="Arial"/>
          <w:shd w:val="clear" w:color="auto" w:fill="FFFFFF"/>
          <w:lang w:val="es-ES"/>
        </w:rPr>
        <w:t>entre otros. Estos</w:t>
      </w:r>
      <w:r w:rsidRPr="00E009FE">
        <w:rPr>
          <w:rFonts w:ascii="Verdana" w:hAnsi="Verdana"/>
          <w:lang w:val="es-ES"/>
        </w:rPr>
        <w:t xml:space="preserve"> y otros se encuentran disponibles para consulta en el Sistema de relatoría de la Agencia, al cual se puede acceder a través del siguiente enlace:</w:t>
      </w:r>
      <w:r w:rsidRPr="00E009FE">
        <w:rPr>
          <w:rFonts w:ascii="Verdana" w:hAnsi="Verdana" w:cs="Arial"/>
          <w:shd w:val="clear" w:color="auto" w:fill="FFFFFF"/>
          <w:lang w:val="es-ES"/>
        </w:rPr>
        <w:t xml:space="preserve"> </w:t>
      </w:r>
      <w:hyperlink r:id="rId12" w:history="1">
        <w:r w:rsidRPr="00E009FE">
          <w:rPr>
            <w:rFonts w:ascii="Verdana" w:hAnsi="Verdana" w:cs="Arial"/>
            <w:color w:val="0000FF"/>
            <w:u w:val="single"/>
            <w:shd w:val="clear" w:color="auto" w:fill="FFFFFF"/>
            <w:lang w:val="es-ES"/>
          </w:rPr>
          <w:t>https://relatoria.colombiacompra.gov.co/busqueda/concept os</w:t>
        </w:r>
      </w:hyperlink>
      <w:r w:rsidRPr="00E009FE">
        <w:rPr>
          <w:rFonts w:ascii="Verdana" w:hAnsi="Verdana" w:cs="Arial"/>
          <w:shd w:val="clear" w:color="auto" w:fill="FFFFFF"/>
          <w:lang w:val="es-ES"/>
        </w:rPr>
        <w:t>.</w:t>
      </w:r>
      <w:r w:rsidRPr="00E009FE">
        <w:rPr>
          <w:rFonts w:ascii="Verdana" w:hAnsi="Verdana" w:cs="Arial"/>
          <w:color w:val="FF0000"/>
          <w:shd w:val="clear" w:color="auto" w:fill="FFFFFF"/>
          <w:lang w:val="es-ES"/>
        </w:rPr>
        <w:t xml:space="preserve"> </w:t>
      </w:r>
      <w:r w:rsidRPr="00E009FE">
        <w:rPr>
          <w:rFonts w:ascii="Verdana" w:hAnsi="Verdana" w:cs="Arial"/>
          <w:color w:val="000000" w:themeColor="text1"/>
          <w:shd w:val="clear" w:color="auto" w:fill="FFFFFF"/>
          <w:lang w:val="es-ES"/>
        </w:rPr>
        <w:t>  </w:t>
      </w:r>
    </w:p>
    <w:p w14:paraId="617B8168" w14:textId="77777777" w:rsidR="001D0810" w:rsidRPr="00E009FE" w:rsidRDefault="001D0810" w:rsidP="001D0810">
      <w:pPr>
        <w:spacing w:after="0" w:line="276" w:lineRule="auto"/>
        <w:jc w:val="both"/>
        <w:rPr>
          <w:rFonts w:ascii="Verdana" w:hAnsi="Verdana"/>
          <w:lang w:val="es-ES"/>
        </w:rPr>
      </w:pPr>
      <w:r w:rsidRPr="00E009FE">
        <w:rPr>
          <w:rFonts w:ascii="Verdana" w:hAnsi="Verdana"/>
          <w:lang w:val="es-ES"/>
        </w:rPr>
        <w:t xml:space="preserve">Por último, lo invitamos a seguirnos en las redes sociales en las cuales se difunde información institucional: </w:t>
      </w:r>
    </w:p>
    <w:p w14:paraId="5A206DE3" w14:textId="77777777" w:rsidR="001D0810" w:rsidRPr="00E009FE" w:rsidRDefault="001D0810" w:rsidP="001D0810">
      <w:pPr>
        <w:spacing w:after="0" w:line="276" w:lineRule="auto"/>
        <w:jc w:val="both"/>
        <w:rPr>
          <w:rFonts w:ascii="Verdana" w:hAnsi="Verdana"/>
          <w:lang w:val="es-ES"/>
        </w:rPr>
      </w:pPr>
    </w:p>
    <w:p w14:paraId="29248804" w14:textId="77777777" w:rsidR="001D0810" w:rsidRPr="00E009FE" w:rsidRDefault="001D0810" w:rsidP="001D0810">
      <w:pPr>
        <w:spacing w:after="0" w:line="276" w:lineRule="auto"/>
        <w:jc w:val="both"/>
        <w:rPr>
          <w:rFonts w:ascii="Verdana" w:hAnsi="Verdana"/>
          <w:lang w:val="es-ES"/>
        </w:rPr>
      </w:pPr>
      <w:r w:rsidRPr="00E009FE">
        <w:rPr>
          <w:rFonts w:ascii="Verdana" w:hAnsi="Verdana"/>
          <w:lang w:val="es-ES"/>
        </w:rPr>
        <w:t xml:space="preserve">Twitter: </w:t>
      </w:r>
      <w:r w:rsidRPr="00E009FE">
        <w:rPr>
          <w:rStyle w:val="Hyperlink"/>
          <w:rFonts w:ascii="Verdana" w:hAnsi="Verdana"/>
          <w:color w:val="1F45F6"/>
          <w:lang w:val="es-ES"/>
        </w:rPr>
        <w:t>@colombiacompra</w:t>
      </w:r>
      <w:r w:rsidRPr="00E009FE">
        <w:rPr>
          <w:rFonts w:ascii="Verdana" w:hAnsi="Verdana"/>
          <w:color w:val="1F45F6"/>
          <w:lang w:val="es-ES"/>
        </w:rPr>
        <w:t xml:space="preserve"> </w:t>
      </w:r>
    </w:p>
    <w:p w14:paraId="7982C02A" w14:textId="77777777" w:rsidR="001D0810" w:rsidRPr="00E009FE" w:rsidRDefault="001D0810" w:rsidP="001D0810">
      <w:pPr>
        <w:spacing w:after="0" w:line="276" w:lineRule="auto"/>
        <w:jc w:val="both"/>
        <w:rPr>
          <w:rFonts w:ascii="Verdana" w:hAnsi="Verdana"/>
          <w:lang w:val="es-ES"/>
        </w:rPr>
      </w:pPr>
      <w:r w:rsidRPr="00E009FE">
        <w:rPr>
          <w:rFonts w:ascii="Verdana" w:hAnsi="Verdana"/>
          <w:lang w:val="es-ES"/>
        </w:rPr>
        <w:t xml:space="preserve">Facebook: </w:t>
      </w:r>
      <w:proofErr w:type="spellStart"/>
      <w:r w:rsidRPr="00E009FE">
        <w:rPr>
          <w:rStyle w:val="Hyperlink"/>
          <w:rFonts w:ascii="Verdana" w:hAnsi="Verdana"/>
          <w:color w:val="1F45F6"/>
          <w:lang w:val="es-ES"/>
        </w:rPr>
        <w:t>ColombiaCompraEficiente</w:t>
      </w:r>
      <w:proofErr w:type="spellEnd"/>
    </w:p>
    <w:p w14:paraId="28130CBC" w14:textId="77777777" w:rsidR="001D0810" w:rsidRPr="00E009FE" w:rsidRDefault="001D0810" w:rsidP="001D0810">
      <w:pPr>
        <w:spacing w:after="0" w:line="276" w:lineRule="auto"/>
        <w:jc w:val="both"/>
        <w:rPr>
          <w:rFonts w:ascii="Verdana" w:hAnsi="Verdana" w:cs="Arial"/>
          <w:color w:val="0000FF"/>
          <w:shd w:val="clear" w:color="auto" w:fill="FFFFFF"/>
          <w:lang w:val="es-ES"/>
        </w:rPr>
      </w:pPr>
      <w:r w:rsidRPr="00E009FE">
        <w:rPr>
          <w:rFonts w:ascii="Verdana" w:hAnsi="Verdana"/>
          <w:lang w:val="es-ES"/>
        </w:rPr>
        <w:t xml:space="preserve">LinkedIn: </w:t>
      </w:r>
      <w:r w:rsidRPr="00E009FE">
        <w:rPr>
          <w:rStyle w:val="Hyperlink"/>
          <w:rFonts w:ascii="Verdana" w:hAnsi="Verdana"/>
          <w:color w:val="1F45F6"/>
          <w:lang w:val="es-ES"/>
        </w:rPr>
        <w:t>Agencia Nacional de Contratación Pública - Colombia Compra Eficiente</w:t>
      </w:r>
      <w:r w:rsidRPr="00E009FE">
        <w:rPr>
          <w:rFonts w:ascii="Verdana" w:hAnsi="Verdana"/>
          <w:color w:val="4472C4" w:themeColor="accent1"/>
          <w:lang w:val="es-ES"/>
        </w:rPr>
        <w:t xml:space="preserve"> </w:t>
      </w:r>
      <w:r w:rsidRPr="00E009FE">
        <w:rPr>
          <w:rFonts w:ascii="Verdana" w:hAnsi="Verdana"/>
          <w:lang w:val="es-ES"/>
        </w:rPr>
        <w:t xml:space="preserve">Instagram: </w:t>
      </w:r>
      <w:r w:rsidRPr="00E009FE">
        <w:rPr>
          <w:rFonts w:ascii="Verdana" w:hAnsi="Verdana" w:cs="Arial"/>
          <w:color w:val="0000FF"/>
          <w:shd w:val="clear" w:color="auto" w:fill="FFFFFF"/>
          <w:lang w:val="es-ES"/>
        </w:rPr>
        <w:t>@colombiacompraeficiente_cce</w:t>
      </w:r>
    </w:p>
    <w:p w14:paraId="7DDC5D56" w14:textId="77777777" w:rsidR="001D0810" w:rsidRPr="00E009FE" w:rsidRDefault="001D0810" w:rsidP="001D0810">
      <w:pPr>
        <w:spacing w:after="0"/>
        <w:jc w:val="both"/>
        <w:rPr>
          <w:rFonts w:ascii="Arial" w:eastAsia="Calibri" w:hAnsi="Arial" w:cs="Arial"/>
          <w:b/>
          <w:bCs/>
          <w:color w:val="000000" w:themeColor="text1"/>
          <w:lang w:val="es-ES"/>
        </w:rPr>
      </w:pPr>
    </w:p>
    <w:p w14:paraId="09F5B2AB" w14:textId="77777777" w:rsidR="001D0810" w:rsidRPr="00E009FE" w:rsidRDefault="001D0810" w:rsidP="001D0810">
      <w:pPr>
        <w:widowControl w:val="0"/>
        <w:autoSpaceDE w:val="0"/>
        <w:autoSpaceDN w:val="0"/>
        <w:spacing w:after="0" w:line="276" w:lineRule="auto"/>
        <w:jc w:val="both"/>
        <w:rPr>
          <w:rFonts w:ascii="Verdana" w:hAnsi="Verdana" w:cs="Arial"/>
          <w:lang w:val="es-ES"/>
        </w:rPr>
      </w:pPr>
      <w:r w:rsidRPr="00E009FE">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1D3F881" w14:textId="77777777" w:rsidR="001D0810" w:rsidRPr="00E009FE" w:rsidRDefault="001D0810" w:rsidP="001D0810">
      <w:pPr>
        <w:widowControl w:val="0"/>
        <w:autoSpaceDE w:val="0"/>
        <w:autoSpaceDN w:val="0"/>
        <w:spacing w:after="0" w:line="276" w:lineRule="auto"/>
        <w:jc w:val="both"/>
        <w:rPr>
          <w:rFonts w:ascii="Verdana" w:hAnsi="Verdana" w:cs="Arial"/>
          <w:lang w:val="es-ES"/>
        </w:rPr>
      </w:pPr>
    </w:p>
    <w:p w14:paraId="2BF1310D" w14:textId="430E27A9" w:rsidR="001D0810" w:rsidRPr="00E009FE" w:rsidRDefault="00F70117" w:rsidP="001D0810">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59264" behindDoc="0" locked="0" layoutInCell="1" allowOverlap="1" wp14:anchorId="62766442" wp14:editId="0FC9E3C1">
            <wp:simplePos x="0" y="0"/>
            <wp:positionH relativeFrom="column">
              <wp:posOffset>1268362</wp:posOffset>
            </wp:positionH>
            <wp:positionV relativeFrom="page">
              <wp:posOffset>2850474</wp:posOffset>
            </wp:positionV>
            <wp:extent cx="3295650" cy="1223010"/>
            <wp:effectExtent l="0" t="0" r="635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295650" cy="1223010"/>
                    </a:xfrm>
                    <a:prstGeom prst="rect">
                      <a:avLst/>
                    </a:prstGeom>
                  </pic:spPr>
                </pic:pic>
              </a:graphicData>
            </a:graphic>
            <wp14:sizeRelH relativeFrom="page">
              <wp14:pctWidth>0</wp14:pctWidth>
            </wp14:sizeRelH>
            <wp14:sizeRelV relativeFrom="page">
              <wp14:pctHeight>0</wp14:pctHeight>
            </wp14:sizeRelV>
          </wp:anchor>
        </w:drawing>
      </w:r>
      <w:r w:rsidR="001D0810" w:rsidRPr="00E009FE">
        <w:rPr>
          <w:rFonts w:ascii="Verdana" w:eastAsia="Times New Roman" w:hAnsi="Verdana" w:cs="Arial"/>
          <w:color w:val="000000" w:themeColor="text1"/>
          <w:lang w:val="es-ES" w:eastAsia="es-CO"/>
        </w:rPr>
        <w:t>Atentamente,</w:t>
      </w:r>
      <w:r w:rsidR="001D0810" w:rsidRPr="00E009FE">
        <w:rPr>
          <w:rFonts w:ascii="Verdana" w:hAnsi="Verdana" w:cs="Arial"/>
          <w:color w:val="000000" w:themeColor="text1"/>
          <w:lang w:val="es-ES" w:eastAsia="es-CO"/>
        </w:rPr>
        <w:t xml:space="preserve"> </w:t>
      </w:r>
    </w:p>
    <w:p w14:paraId="5EF37E70" w14:textId="7085D7FC" w:rsidR="001D0810" w:rsidRPr="00E009FE" w:rsidRDefault="001D0810" w:rsidP="001D0810">
      <w:pPr>
        <w:spacing w:after="0" w:line="276" w:lineRule="auto"/>
        <w:rPr>
          <w:rFonts w:ascii="Verdana" w:hAnsi="Verdana" w:cs="Arial"/>
          <w:color w:val="000000" w:themeColor="text1"/>
          <w:lang w:val="es-ES" w:eastAsia="es-CO"/>
        </w:rPr>
      </w:pPr>
    </w:p>
    <w:p w14:paraId="3E4669CD" w14:textId="2B0D94B2" w:rsidR="001D0810" w:rsidRPr="00E009FE" w:rsidRDefault="001D0810" w:rsidP="001D0810">
      <w:pPr>
        <w:spacing w:line="276" w:lineRule="auto"/>
        <w:jc w:val="center"/>
        <w:rPr>
          <w:rFonts w:ascii="Verdana" w:hAnsi="Verdana" w:cs="Arial"/>
          <w:color w:val="000000" w:themeColor="text1"/>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D0810" w:rsidRPr="00E009FE" w14:paraId="38EC4330" w14:textId="77777777" w:rsidTr="00C71E99">
        <w:trPr>
          <w:trHeight w:val="315"/>
        </w:trPr>
        <w:tc>
          <w:tcPr>
            <w:tcW w:w="893" w:type="dxa"/>
            <w:vAlign w:val="center"/>
            <w:hideMark/>
          </w:tcPr>
          <w:p w14:paraId="2E55B285" w14:textId="77777777" w:rsidR="001D0810" w:rsidRPr="00E009FE" w:rsidRDefault="001D0810" w:rsidP="00C71E99">
            <w:pPr>
              <w:contextualSpacing/>
              <w:rPr>
                <w:rFonts w:ascii="Verdana" w:hAnsi="Verdana" w:cs="Arial"/>
                <w:sz w:val="16"/>
                <w:szCs w:val="16"/>
                <w:lang w:val="es-ES" w:eastAsia="es-ES"/>
              </w:rPr>
            </w:pPr>
            <w:r w:rsidRPr="00E009F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8AE5203" w14:textId="77777777" w:rsidR="001D0810" w:rsidRPr="00E009FE" w:rsidRDefault="001D0810" w:rsidP="00C71E99">
            <w:pPr>
              <w:contextualSpacing/>
              <w:rPr>
                <w:rFonts w:ascii="Verdana" w:eastAsia="Arial" w:hAnsi="Verdana" w:cs="Arial"/>
                <w:color w:val="000000" w:themeColor="text1"/>
                <w:sz w:val="16"/>
                <w:szCs w:val="16"/>
                <w:lang w:val="es-ES"/>
              </w:rPr>
            </w:pPr>
            <w:r w:rsidRPr="00E009FE">
              <w:rPr>
                <w:rFonts w:ascii="Verdana" w:eastAsia="Arial" w:hAnsi="Verdana" w:cs="Arial"/>
                <w:color w:val="000000" w:themeColor="text1"/>
                <w:sz w:val="16"/>
                <w:szCs w:val="16"/>
                <w:lang w:val="es-ES"/>
              </w:rPr>
              <w:t>Anamaría Bonilla Prieto</w:t>
            </w:r>
          </w:p>
          <w:p w14:paraId="428D11AF" w14:textId="77777777" w:rsidR="001D0810" w:rsidRPr="00E009FE" w:rsidRDefault="001D0810" w:rsidP="00C71E99">
            <w:pPr>
              <w:contextualSpacing/>
              <w:rPr>
                <w:rFonts w:ascii="Verdana" w:eastAsia="Arial" w:hAnsi="Verdana" w:cs="Arial"/>
                <w:sz w:val="16"/>
                <w:szCs w:val="16"/>
                <w:lang w:val="es-ES"/>
              </w:rPr>
            </w:pPr>
            <w:r w:rsidRPr="00E009FE">
              <w:rPr>
                <w:rStyle w:val="normaltextrun"/>
                <w:rFonts w:ascii="Verdana" w:eastAsia="Arial" w:hAnsi="Verdana" w:cs="Arial"/>
                <w:color w:val="000000" w:themeColor="text1"/>
                <w:sz w:val="16"/>
                <w:szCs w:val="16"/>
                <w:lang w:val="es-ES"/>
              </w:rPr>
              <w:t xml:space="preserve">Contratista de la Subdirección </w:t>
            </w:r>
            <w:r w:rsidRPr="00E009FE">
              <w:rPr>
                <w:rStyle w:val="normaltextrun"/>
                <w:rFonts w:ascii="Verdana" w:eastAsia="Arial" w:hAnsi="Verdana" w:cs="Arial"/>
                <w:sz w:val="16"/>
                <w:szCs w:val="16"/>
                <w:lang w:val="es-ES"/>
              </w:rPr>
              <w:t>de Gestión Contractual</w:t>
            </w:r>
          </w:p>
        </w:tc>
      </w:tr>
      <w:tr w:rsidR="001D0810" w:rsidRPr="00E009FE" w14:paraId="4E9EABE4" w14:textId="77777777" w:rsidTr="00C71E99">
        <w:trPr>
          <w:trHeight w:val="330"/>
        </w:trPr>
        <w:tc>
          <w:tcPr>
            <w:tcW w:w="893" w:type="dxa"/>
            <w:vAlign w:val="center"/>
            <w:hideMark/>
          </w:tcPr>
          <w:p w14:paraId="5ADA4F65" w14:textId="77777777" w:rsidR="001D0810" w:rsidRPr="00E009FE" w:rsidRDefault="001D0810" w:rsidP="00C71E99">
            <w:pPr>
              <w:contextualSpacing/>
              <w:rPr>
                <w:rFonts w:ascii="Verdana" w:hAnsi="Verdana" w:cs="Arial"/>
                <w:sz w:val="16"/>
                <w:szCs w:val="16"/>
                <w:lang w:val="es-ES" w:eastAsia="es-ES"/>
              </w:rPr>
            </w:pPr>
            <w:r w:rsidRPr="00E009F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424B00F" w14:textId="77777777" w:rsidR="001D0810" w:rsidRPr="00E009FE" w:rsidRDefault="001D0810" w:rsidP="00C71E99">
            <w:pPr>
              <w:spacing w:line="276" w:lineRule="auto"/>
              <w:contextualSpacing/>
              <w:textAlignment w:val="baseline"/>
              <w:rPr>
                <w:rFonts w:ascii="Verdana" w:eastAsia="Times New Roman" w:hAnsi="Verdana" w:cs="Arial"/>
                <w:sz w:val="16"/>
                <w:szCs w:val="16"/>
                <w:lang w:val="es-ES" w:eastAsia="es-ES_tradnl"/>
              </w:rPr>
            </w:pPr>
            <w:r w:rsidRPr="00E009FE">
              <w:rPr>
                <w:rFonts w:ascii="Verdana" w:eastAsia="Times New Roman" w:hAnsi="Verdana" w:cs="Arial"/>
                <w:sz w:val="16"/>
                <w:szCs w:val="16"/>
                <w:lang w:val="es-ES" w:eastAsia="es-ES_tradnl"/>
              </w:rPr>
              <w:t>Alejandro Sarmiento Cantillo</w:t>
            </w:r>
          </w:p>
          <w:p w14:paraId="0E82E52D" w14:textId="77777777" w:rsidR="001D0810" w:rsidRPr="00E009FE" w:rsidRDefault="001D0810" w:rsidP="00C71E99">
            <w:pPr>
              <w:pStyle w:val="paragraph"/>
              <w:spacing w:before="0" w:beforeAutospacing="0" w:after="0" w:afterAutospacing="0"/>
              <w:contextualSpacing/>
              <w:textAlignment w:val="baseline"/>
              <w:rPr>
                <w:rFonts w:ascii="Verdana" w:hAnsi="Verdana" w:cs="Segoe UI"/>
                <w:sz w:val="16"/>
                <w:szCs w:val="16"/>
                <w:lang w:val="es-ES"/>
              </w:rPr>
            </w:pPr>
            <w:r w:rsidRPr="00E009FE">
              <w:rPr>
                <w:rFonts w:ascii="Verdana" w:hAnsi="Verdana" w:cs="Arial"/>
                <w:sz w:val="16"/>
                <w:szCs w:val="16"/>
                <w:lang w:val="es-ES"/>
              </w:rPr>
              <w:t xml:space="preserve">Gestor T1 – 15 </w:t>
            </w:r>
            <w:r w:rsidRPr="00E009FE">
              <w:rPr>
                <w:rStyle w:val="normaltextrun"/>
                <w:rFonts w:ascii="Verdana" w:hAnsi="Verdana" w:cs="Arial"/>
                <w:sz w:val="16"/>
                <w:szCs w:val="16"/>
                <w:lang w:val="es-ES"/>
              </w:rPr>
              <w:t>de la Subdirección de Gestión Contractual</w:t>
            </w:r>
            <w:r w:rsidRPr="00E009FE">
              <w:rPr>
                <w:rStyle w:val="eop"/>
                <w:rFonts w:ascii="Verdana" w:hAnsi="Verdana" w:cs="Arial"/>
                <w:sz w:val="16"/>
                <w:szCs w:val="16"/>
                <w:lang w:val="es-ES"/>
              </w:rPr>
              <w:t> </w:t>
            </w:r>
          </w:p>
        </w:tc>
      </w:tr>
      <w:tr w:rsidR="001D0810" w:rsidRPr="00E009FE" w14:paraId="513FED9B" w14:textId="77777777" w:rsidTr="00C71E99">
        <w:trPr>
          <w:trHeight w:val="300"/>
        </w:trPr>
        <w:tc>
          <w:tcPr>
            <w:tcW w:w="893" w:type="dxa"/>
            <w:vAlign w:val="center"/>
          </w:tcPr>
          <w:p w14:paraId="38351AAD" w14:textId="77777777" w:rsidR="001D0810" w:rsidRPr="00E009FE" w:rsidRDefault="001D0810" w:rsidP="00C71E99">
            <w:pPr>
              <w:contextualSpacing/>
              <w:rPr>
                <w:rFonts w:ascii="Verdana" w:hAnsi="Verdana" w:cs="Arial"/>
                <w:sz w:val="16"/>
                <w:szCs w:val="16"/>
                <w:lang w:val="es-ES" w:eastAsia="es-ES"/>
              </w:rPr>
            </w:pPr>
            <w:r w:rsidRPr="00E009F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84D384F" w14:textId="77777777" w:rsidR="001D0810" w:rsidRPr="00E009FE" w:rsidRDefault="001D0810" w:rsidP="00C71E99">
            <w:pPr>
              <w:contextualSpacing/>
              <w:rPr>
                <w:rFonts w:ascii="Verdana" w:eastAsia="Calibri" w:hAnsi="Verdana" w:cs="Arial"/>
                <w:sz w:val="16"/>
                <w:szCs w:val="16"/>
                <w:lang w:val="es-ES" w:eastAsia="es-ES"/>
              </w:rPr>
            </w:pPr>
            <w:r w:rsidRPr="00E009FE">
              <w:rPr>
                <w:rFonts w:ascii="Verdana" w:eastAsia="Calibri" w:hAnsi="Verdana" w:cs="Arial"/>
                <w:sz w:val="16"/>
                <w:szCs w:val="16"/>
                <w:lang w:val="es-ES" w:eastAsia="es-ES"/>
              </w:rPr>
              <w:t>Carolina Quintero Gacharná</w:t>
            </w:r>
          </w:p>
          <w:p w14:paraId="75762A41" w14:textId="77777777" w:rsidR="001D0810" w:rsidRPr="00E009FE" w:rsidRDefault="001D0810" w:rsidP="00C71E99">
            <w:pPr>
              <w:contextualSpacing/>
              <w:rPr>
                <w:rFonts w:ascii="Verdana" w:eastAsia="Calibri" w:hAnsi="Verdana" w:cs="Arial"/>
                <w:sz w:val="16"/>
                <w:szCs w:val="16"/>
                <w:lang w:val="es-ES" w:eastAsia="es-ES"/>
              </w:rPr>
            </w:pPr>
            <w:r w:rsidRPr="00E009FE">
              <w:rPr>
                <w:rFonts w:ascii="Verdana" w:eastAsia="Calibri" w:hAnsi="Verdana" w:cs="Arial"/>
                <w:sz w:val="16"/>
                <w:szCs w:val="16"/>
                <w:lang w:val="es-ES" w:eastAsia="es-ES"/>
              </w:rPr>
              <w:t>Subdirectora de Gestión Contractual ANCP – CCE</w:t>
            </w:r>
          </w:p>
        </w:tc>
      </w:tr>
      <w:bookmarkEnd w:id="0"/>
    </w:tbl>
    <w:p w14:paraId="1C8B4607" w14:textId="77777777" w:rsidR="001D0810" w:rsidRPr="00E009FE" w:rsidRDefault="001D0810" w:rsidP="001D0810">
      <w:pPr>
        <w:rPr>
          <w:lang w:val="es-ES"/>
        </w:rPr>
      </w:pPr>
    </w:p>
    <w:p w14:paraId="0F293BF4" w14:textId="44C9F5FD" w:rsidR="00127233" w:rsidRPr="004B3894" w:rsidRDefault="00127233" w:rsidP="004B3894"/>
    <w:sectPr w:rsidR="00127233" w:rsidRPr="004B3894"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5E999E" w14:textId="77777777" w:rsidR="008B6272" w:rsidRDefault="008B6272" w:rsidP="004A1847">
      <w:pPr>
        <w:spacing w:after="0" w:line="240" w:lineRule="auto"/>
      </w:pPr>
      <w:r>
        <w:separator/>
      </w:r>
    </w:p>
  </w:endnote>
  <w:endnote w:type="continuationSeparator" w:id="0">
    <w:p w14:paraId="47BB05BA" w14:textId="77777777" w:rsidR="008B6272" w:rsidRDefault="008B6272" w:rsidP="004A1847">
      <w:pPr>
        <w:spacing w:after="0" w:line="240" w:lineRule="auto"/>
      </w:pPr>
      <w:r>
        <w:continuationSeparator/>
      </w:r>
    </w:p>
  </w:endnote>
  <w:endnote w:type="continuationNotice" w:id="1">
    <w:p w14:paraId="261BF657" w14:textId="77777777" w:rsidR="008B6272" w:rsidRDefault="008B62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Arial"/>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DA512F" w14:textId="77777777" w:rsidR="008B6272" w:rsidRDefault="008B6272" w:rsidP="004A1847">
      <w:pPr>
        <w:spacing w:after="0" w:line="240" w:lineRule="auto"/>
      </w:pPr>
      <w:r>
        <w:separator/>
      </w:r>
    </w:p>
  </w:footnote>
  <w:footnote w:type="continuationSeparator" w:id="0">
    <w:p w14:paraId="44C25E5A" w14:textId="77777777" w:rsidR="008B6272" w:rsidRDefault="008B6272" w:rsidP="004A1847">
      <w:pPr>
        <w:spacing w:after="0" w:line="240" w:lineRule="auto"/>
      </w:pPr>
      <w:r>
        <w:continuationSeparator/>
      </w:r>
    </w:p>
  </w:footnote>
  <w:footnote w:type="continuationNotice" w:id="1">
    <w:p w14:paraId="7B3EC7FB" w14:textId="77777777" w:rsidR="008B6272" w:rsidRDefault="008B6272">
      <w:pPr>
        <w:spacing w:after="0" w:line="240" w:lineRule="auto"/>
      </w:pPr>
    </w:p>
  </w:footnote>
  <w:footnote w:id="2">
    <w:p w14:paraId="6574D0A9" w14:textId="77777777" w:rsidR="001D0810" w:rsidRPr="00A11C2B" w:rsidRDefault="001D0810" w:rsidP="001D0810">
      <w:pPr>
        <w:pStyle w:val="FootnoteText"/>
        <w:snapToGrid w:val="0"/>
        <w:ind w:firstLine="708"/>
        <w:jc w:val="both"/>
        <w:rPr>
          <w:rFonts w:ascii="Verdana" w:hAnsi="Verdana"/>
          <w:sz w:val="16"/>
          <w:szCs w:val="16"/>
        </w:rPr>
      </w:pPr>
      <w:r w:rsidRPr="00A11C2B">
        <w:rPr>
          <w:rStyle w:val="FootnoteReference"/>
          <w:rFonts w:ascii="Verdana" w:hAnsi="Verdana"/>
          <w:sz w:val="16"/>
          <w:szCs w:val="16"/>
        </w:rPr>
        <w:footnoteRef/>
      </w:r>
      <w:r w:rsidRPr="00A11C2B">
        <w:rPr>
          <w:rFonts w:ascii="Verdana" w:hAnsi="Verdana"/>
          <w:sz w:val="16"/>
          <w:szCs w:val="16"/>
        </w:rPr>
        <w:t xml:space="preserve"> De acuerdo con la norma citada: “Artículo 87. Maduración de proyectos. El numeral 12 del artículo 25 de la Ley 80 de 1993 quedará así:</w:t>
      </w:r>
    </w:p>
    <w:p w14:paraId="4D75C33A" w14:textId="77777777" w:rsidR="001D0810" w:rsidRPr="00A11C2B" w:rsidRDefault="001D0810" w:rsidP="001D0810">
      <w:pPr>
        <w:pStyle w:val="FootnoteText"/>
        <w:snapToGrid w:val="0"/>
        <w:ind w:firstLine="708"/>
        <w:jc w:val="both"/>
        <w:rPr>
          <w:rFonts w:ascii="Verdana" w:hAnsi="Verdana"/>
          <w:sz w:val="16"/>
          <w:szCs w:val="16"/>
        </w:rPr>
      </w:pPr>
      <w:r w:rsidRPr="00A11C2B">
        <w:rPr>
          <w:rFonts w:ascii="Verdana" w:hAnsi="Verdana"/>
          <w:sz w:val="16"/>
          <w:szCs w:val="16"/>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39CF6E20" w14:textId="77777777" w:rsidR="001D0810" w:rsidRPr="00A11C2B" w:rsidRDefault="001D0810" w:rsidP="001D0810">
      <w:pPr>
        <w:pStyle w:val="FootnoteText"/>
        <w:snapToGrid w:val="0"/>
        <w:ind w:firstLine="708"/>
        <w:jc w:val="both"/>
        <w:rPr>
          <w:rFonts w:ascii="Verdana" w:hAnsi="Verdana"/>
          <w:sz w:val="16"/>
          <w:szCs w:val="16"/>
        </w:rPr>
      </w:pPr>
      <w:r w:rsidRPr="00A11C2B">
        <w:rPr>
          <w:rFonts w:ascii="Verdana" w:hAnsi="Verdana"/>
          <w:sz w:val="16"/>
          <w:szCs w:val="16"/>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footnote>
  <w:footnote w:id="3">
    <w:p w14:paraId="65C0843C" w14:textId="77777777" w:rsidR="001D0810" w:rsidRPr="00A11C2B" w:rsidRDefault="001D0810" w:rsidP="001D0810">
      <w:pPr>
        <w:snapToGrid w:val="0"/>
        <w:spacing w:after="0" w:line="240" w:lineRule="auto"/>
        <w:ind w:firstLine="707"/>
        <w:jc w:val="both"/>
        <w:rPr>
          <w:rFonts w:ascii="Verdana" w:hAnsi="Verdana" w:cs="Arial"/>
          <w:sz w:val="16"/>
          <w:szCs w:val="16"/>
        </w:rPr>
      </w:pPr>
      <w:r w:rsidRPr="00A11C2B">
        <w:rPr>
          <w:rStyle w:val="FootnoteReference"/>
          <w:rFonts w:ascii="Verdana" w:hAnsi="Verdana" w:cs="Arial"/>
          <w:sz w:val="16"/>
          <w:szCs w:val="16"/>
        </w:rPr>
        <w:footnoteRef/>
      </w:r>
      <w:r w:rsidRPr="00A11C2B">
        <w:rPr>
          <w:rFonts w:ascii="Verdana" w:hAnsi="Verdana" w:cs="Arial"/>
          <w:position w:val="6"/>
          <w:sz w:val="16"/>
          <w:szCs w:val="16"/>
        </w:rPr>
        <w:t xml:space="preserve"> </w:t>
      </w:r>
      <w:r w:rsidRPr="00A11C2B">
        <w:rPr>
          <w:rFonts w:ascii="Verdana" w:hAnsi="Verdana" w:cs="Arial"/>
          <w:sz w:val="16"/>
          <w:szCs w:val="16"/>
        </w:rPr>
        <w:t>DEIK ACOSTAMADIEDO, Carolina, Guía de Contratación Estatal: Deber de planeación y modalidades de selección, Buenos Aires, 2015, p. 59.</w:t>
      </w:r>
    </w:p>
    <w:p w14:paraId="259DDDFF" w14:textId="77777777" w:rsidR="001D0810" w:rsidRPr="00A11C2B" w:rsidRDefault="001D0810" w:rsidP="001D0810">
      <w:pPr>
        <w:pStyle w:val="FootnoteText"/>
        <w:snapToGrid w:val="0"/>
        <w:jc w:val="both"/>
        <w:rPr>
          <w:rFonts w:ascii="Verdana" w:hAnsi="Verdana" w:cs="Arial"/>
          <w:sz w:val="16"/>
          <w:szCs w:val="16"/>
        </w:rPr>
      </w:pPr>
    </w:p>
  </w:footnote>
  <w:footnote w:id="4">
    <w:p w14:paraId="7CBB4F75" w14:textId="4DDCFBAB" w:rsidR="001D0810" w:rsidRPr="00A11C2B" w:rsidRDefault="001D0810" w:rsidP="004B2131">
      <w:pPr>
        <w:pStyle w:val="BodyText"/>
        <w:snapToGrid w:val="0"/>
        <w:ind w:firstLine="709"/>
        <w:jc w:val="both"/>
        <w:rPr>
          <w:rFonts w:cs="Arial"/>
          <w:sz w:val="16"/>
          <w:szCs w:val="16"/>
        </w:rPr>
      </w:pPr>
      <w:r w:rsidRPr="00A11C2B">
        <w:rPr>
          <w:rStyle w:val="FootnoteReference"/>
          <w:rFonts w:cs="Arial"/>
          <w:sz w:val="16"/>
          <w:szCs w:val="16"/>
        </w:rPr>
        <w:footnoteRef/>
      </w:r>
      <w:r w:rsidRPr="00A11C2B">
        <w:rPr>
          <w:rFonts w:cs="Arial"/>
          <w:sz w:val="16"/>
          <w:szCs w:val="16"/>
        </w:rPr>
        <w:t xml:space="preserve"> “Artículo </w:t>
      </w:r>
      <w:bookmarkStart w:id="5" w:name="_Hlk54173885"/>
      <w:r w:rsidRPr="00A11C2B">
        <w:rPr>
          <w:rFonts w:cs="Arial"/>
          <w:sz w:val="16"/>
          <w:szCs w:val="16"/>
        </w:rPr>
        <w:t>2.2.1.1.2.1.1</w:t>
      </w:r>
      <w:bookmarkEnd w:id="5"/>
      <w:r w:rsidRPr="00A11C2B">
        <w:rPr>
          <w:rFonts w:cs="Arial"/>
          <w:sz w:val="16"/>
          <w:szCs w:val="16"/>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footnote>
  <w:footnote w:id="5">
    <w:p w14:paraId="38E4412D" w14:textId="77777777" w:rsidR="001D0810" w:rsidRPr="00A11C2B" w:rsidRDefault="001D0810" w:rsidP="001D0810">
      <w:pPr>
        <w:pStyle w:val="BodyText"/>
        <w:snapToGrid w:val="0"/>
        <w:ind w:firstLine="709"/>
        <w:jc w:val="both"/>
        <w:rPr>
          <w:rFonts w:cs="Arial"/>
          <w:sz w:val="16"/>
          <w:szCs w:val="16"/>
        </w:rPr>
      </w:pPr>
      <w:r w:rsidRPr="00A11C2B">
        <w:rPr>
          <w:rStyle w:val="FootnoteReference"/>
          <w:rFonts w:cs="Arial"/>
          <w:sz w:val="16"/>
          <w:szCs w:val="16"/>
        </w:rPr>
        <w:footnoteRef/>
      </w:r>
      <w:r w:rsidRPr="00A11C2B">
        <w:rPr>
          <w:rFonts w:cs="Arial"/>
          <w:sz w:val="16"/>
          <w:szCs w:val="16"/>
        </w:rPr>
        <w:t xml:space="preserve"> Consejo de Estado. Sección Tercera. Subsección B. Sentencia del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footnote>
  <w:footnote w:id="6">
    <w:p w14:paraId="27A536FD" w14:textId="77777777" w:rsidR="001D0810" w:rsidRPr="00A11C2B" w:rsidRDefault="001D0810" w:rsidP="001D0810">
      <w:pPr>
        <w:pStyle w:val="FootnoteText"/>
        <w:snapToGrid w:val="0"/>
        <w:ind w:firstLine="708"/>
        <w:jc w:val="both"/>
        <w:rPr>
          <w:rFonts w:ascii="Verdana" w:hAnsi="Verdana" w:cs="Arial"/>
          <w:sz w:val="16"/>
          <w:szCs w:val="16"/>
        </w:rPr>
      </w:pPr>
      <w:r w:rsidRPr="00A11C2B">
        <w:rPr>
          <w:rStyle w:val="FootnoteReference"/>
          <w:rFonts w:ascii="Verdana" w:hAnsi="Verdana" w:cs="Arial"/>
          <w:sz w:val="16"/>
          <w:szCs w:val="16"/>
        </w:rPr>
        <w:footnoteRef/>
      </w:r>
      <w:r w:rsidRPr="00A11C2B">
        <w:rPr>
          <w:rFonts w:ascii="Verdana" w:hAnsi="Verdana" w:cs="Arial"/>
          <w:sz w:val="16"/>
          <w:szCs w:val="16"/>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 w:id="7">
    <w:p w14:paraId="083B4102" w14:textId="77777777" w:rsidR="001D0810" w:rsidRPr="00A11C2B" w:rsidRDefault="001D0810" w:rsidP="001D0810">
      <w:pPr>
        <w:pStyle w:val="FootnoteText"/>
        <w:snapToGrid w:val="0"/>
        <w:ind w:firstLine="708"/>
        <w:jc w:val="both"/>
        <w:rPr>
          <w:rFonts w:ascii="Verdana" w:hAnsi="Verdana" w:cs="Arial"/>
          <w:sz w:val="16"/>
          <w:szCs w:val="16"/>
        </w:rPr>
      </w:pPr>
      <w:r w:rsidRPr="00A11C2B">
        <w:rPr>
          <w:rStyle w:val="FootnoteReference"/>
          <w:rFonts w:ascii="Verdana" w:hAnsi="Verdana" w:cs="Arial"/>
          <w:sz w:val="16"/>
          <w:szCs w:val="16"/>
        </w:rPr>
        <w:footnoteRef/>
      </w:r>
      <w:r w:rsidRPr="00A11C2B">
        <w:rPr>
          <w:rFonts w:ascii="Verdana" w:hAnsi="Verdana" w:cs="Arial"/>
          <w:sz w:val="16"/>
          <w:szCs w:val="16"/>
        </w:rPr>
        <w:t xml:space="preserve"> Colombia Compra Eficiente. </w:t>
      </w:r>
      <w:r w:rsidRPr="00A11C2B">
        <w:rPr>
          <w:rFonts w:ascii="Verdana" w:eastAsia="Calibri" w:hAnsi="Verdana" w:cs="Arial"/>
          <w:bCs/>
          <w:sz w:val="16"/>
          <w:szCs w:val="16"/>
          <w:lang w:val="es-ES_tradnl" w:eastAsia="es-ES_tradnl"/>
        </w:rPr>
        <w:t>Guía de Elaboración de Estudios del Sector</w:t>
      </w:r>
      <w:r w:rsidRPr="00A11C2B">
        <w:rPr>
          <w:rFonts w:ascii="Verdana" w:hAnsi="Verdana" w:cs="Arial"/>
          <w:sz w:val="16"/>
          <w:szCs w:val="16"/>
        </w:rPr>
        <w:t xml:space="preserve">. Disponible en: </w:t>
      </w:r>
      <w:hyperlink r:id="rId1" w:history="1">
        <w:r w:rsidRPr="00A11C2B">
          <w:rPr>
            <w:rStyle w:val="Hyperlink"/>
            <w:rFonts w:ascii="Verdana" w:hAnsi="Verdana" w:cs="Arial"/>
            <w:sz w:val="16"/>
            <w:szCs w:val="16"/>
          </w:rPr>
          <w:t>https://www.colombiacompra.gov.co/manuales-guias-y-pliegos-tipo/manuales-y-guias</w:t>
        </w:r>
      </w:hyperlink>
      <w:r w:rsidRPr="00A11C2B">
        <w:rPr>
          <w:rFonts w:ascii="Verdana" w:hAnsi="Verdana" w:cs="Arial"/>
          <w:sz w:val="16"/>
          <w:szCs w:val="16"/>
        </w:rPr>
        <w:t xml:space="preserve"> </w:t>
      </w:r>
    </w:p>
    <w:p w14:paraId="6439ACEF" w14:textId="77777777" w:rsidR="001D0810" w:rsidRPr="00A11C2B" w:rsidRDefault="001D0810" w:rsidP="001D0810">
      <w:pPr>
        <w:pStyle w:val="FootnoteText"/>
        <w:snapToGrid w:val="0"/>
        <w:ind w:firstLine="708"/>
        <w:jc w:val="both"/>
        <w:rPr>
          <w:rFonts w:ascii="Verdana" w:hAnsi="Verdana" w:cs="Arial"/>
          <w:sz w:val="16"/>
          <w:szCs w:val="16"/>
          <w:lang w:val="es-CO"/>
        </w:rPr>
      </w:pPr>
    </w:p>
  </w:footnote>
  <w:footnote w:id="8">
    <w:p w14:paraId="13AC4A68" w14:textId="77777777" w:rsidR="001D0810" w:rsidRPr="00A11C2B" w:rsidRDefault="001D0810" w:rsidP="001D0810">
      <w:pPr>
        <w:pStyle w:val="FootnoteText"/>
        <w:snapToGrid w:val="0"/>
        <w:ind w:firstLine="708"/>
        <w:jc w:val="both"/>
        <w:rPr>
          <w:rFonts w:ascii="Verdana" w:hAnsi="Verdana" w:cs="Arial"/>
          <w:sz w:val="16"/>
          <w:szCs w:val="16"/>
          <w:lang w:val="es-ES_tradnl"/>
        </w:rPr>
      </w:pPr>
      <w:r w:rsidRPr="00A11C2B">
        <w:rPr>
          <w:rStyle w:val="FootnoteReference"/>
          <w:rFonts w:ascii="Verdana" w:hAnsi="Verdana" w:cs="Arial"/>
          <w:sz w:val="16"/>
          <w:szCs w:val="16"/>
        </w:rPr>
        <w:footnoteRef/>
      </w:r>
      <w:r w:rsidRPr="00A11C2B">
        <w:rPr>
          <w:rFonts w:ascii="Verdana" w:hAnsi="Verdana" w:cs="Arial"/>
          <w:sz w:val="16"/>
          <w:szCs w:val="16"/>
        </w:rPr>
        <w:t xml:space="preserve"> </w:t>
      </w:r>
      <w:r w:rsidRPr="00A11C2B">
        <w:rPr>
          <w:rFonts w:ascii="Verdana" w:hAnsi="Verdana" w:cs="Arial"/>
          <w:sz w:val="16"/>
          <w:szCs w:val="16"/>
          <w:lang w:val="es-ES_tradnl"/>
        </w:rPr>
        <w:t xml:space="preserve">Respecto a la referencia a los bienes inmuebles, debe considerarse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p>
  </w:footnote>
  <w:footnote w:id="9">
    <w:p w14:paraId="53AF3BBE" w14:textId="77777777" w:rsidR="001D0810" w:rsidRPr="00A11C2B" w:rsidRDefault="001D0810" w:rsidP="001D0810">
      <w:pPr>
        <w:pStyle w:val="FootnoteText"/>
        <w:snapToGrid w:val="0"/>
        <w:ind w:firstLine="709"/>
        <w:jc w:val="both"/>
        <w:rPr>
          <w:rFonts w:ascii="Verdana" w:hAnsi="Verdana" w:cs="Arial"/>
          <w:color w:val="000000"/>
          <w:sz w:val="16"/>
          <w:szCs w:val="16"/>
        </w:rPr>
      </w:pPr>
      <w:r w:rsidRPr="00A11C2B">
        <w:rPr>
          <w:rStyle w:val="FootnoteReference"/>
          <w:rFonts w:ascii="Verdana" w:hAnsi="Verdana" w:cs="Arial"/>
          <w:color w:val="000000"/>
          <w:sz w:val="16"/>
          <w:szCs w:val="16"/>
        </w:rPr>
        <w:footnoteRef/>
      </w:r>
      <w:r w:rsidRPr="00A11C2B">
        <w:rPr>
          <w:rFonts w:ascii="Verdana" w:hAnsi="Verdana" w:cs="Arial"/>
          <w:color w:val="000000"/>
          <w:sz w:val="16"/>
          <w:szCs w:val="16"/>
        </w:rPr>
        <w:t xml:space="preserve"> OSPINA MENA, Jesús Marino. Régimen de la Contratación Estatal. Un salto a la contratación liquida. Bogotá: Dike, 2020. p. 168.</w:t>
      </w:r>
    </w:p>
  </w:footnote>
  <w:footnote w:id="10">
    <w:p w14:paraId="0493B833" w14:textId="77777777" w:rsidR="001D0810" w:rsidRPr="00A11C2B" w:rsidRDefault="001D0810" w:rsidP="001D0810">
      <w:pPr>
        <w:pStyle w:val="FootnoteText"/>
        <w:snapToGrid w:val="0"/>
        <w:ind w:firstLine="708"/>
        <w:jc w:val="both"/>
        <w:rPr>
          <w:rFonts w:ascii="Verdana" w:hAnsi="Verdana"/>
          <w:sz w:val="16"/>
          <w:szCs w:val="16"/>
        </w:rPr>
      </w:pPr>
      <w:r w:rsidRPr="00A11C2B">
        <w:rPr>
          <w:rStyle w:val="FootnoteReference"/>
          <w:rFonts w:ascii="Verdana" w:hAnsi="Verdana"/>
          <w:sz w:val="16"/>
          <w:szCs w:val="16"/>
        </w:rPr>
        <w:footnoteRef/>
      </w:r>
      <w:r w:rsidRPr="00A11C2B">
        <w:rPr>
          <w:rFonts w:ascii="Verdana" w:hAnsi="Verdana"/>
          <w:sz w:val="16"/>
          <w:szCs w:val="16"/>
        </w:rPr>
        <w:t xml:space="preserve"> De acuerdo con la norma citada: “Artículo 87. Maduración de proyectos. El numeral 12 del artículo 25 de la Ley 80 de 1993 quedará así:</w:t>
      </w:r>
    </w:p>
    <w:p w14:paraId="320E3DA4" w14:textId="77777777" w:rsidR="001D0810" w:rsidRPr="00A11C2B" w:rsidRDefault="001D0810" w:rsidP="001D0810">
      <w:pPr>
        <w:pStyle w:val="FootnoteText"/>
        <w:snapToGrid w:val="0"/>
        <w:ind w:firstLine="708"/>
        <w:jc w:val="both"/>
        <w:rPr>
          <w:rFonts w:ascii="Verdana" w:hAnsi="Verdana"/>
          <w:sz w:val="16"/>
          <w:szCs w:val="16"/>
        </w:rPr>
      </w:pPr>
      <w:r w:rsidRPr="00A11C2B">
        <w:rPr>
          <w:rFonts w:ascii="Verdana" w:hAnsi="Verdana"/>
          <w:sz w:val="16"/>
          <w:szCs w:val="16"/>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675F907F" w14:textId="77777777" w:rsidR="001D0810" w:rsidRPr="00A11C2B" w:rsidRDefault="001D0810" w:rsidP="001D0810">
      <w:pPr>
        <w:pStyle w:val="FootnoteText"/>
        <w:snapToGrid w:val="0"/>
        <w:ind w:firstLine="708"/>
        <w:jc w:val="both"/>
        <w:rPr>
          <w:rFonts w:ascii="Verdana" w:hAnsi="Verdana"/>
          <w:sz w:val="16"/>
          <w:szCs w:val="16"/>
        </w:rPr>
      </w:pPr>
      <w:r w:rsidRPr="00A11C2B">
        <w:rPr>
          <w:rFonts w:ascii="Verdana" w:hAnsi="Verdana"/>
          <w:sz w:val="16"/>
          <w:szCs w:val="16"/>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footnote>
  <w:footnote w:id="11">
    <w:p w14:paraId="583742C2" w14:textId="77777777" w:rsidR="001D0810" w:rsidRPr="00A11C2B" w:rsidRDefault="001D0810" w:rsidP="001D0810">
      <w:pPr>
        <w:pStyle w:val="FootnoteText"/>
        <w:snapToGrid w:val="0"/>
        <w:ind w:firstLine="708"/>
        <w:jc w:val="both"/>
        <w:rPr>
          <w:rFonts w:ascii="Verdana" w:hAnsi="Verdana" w:cs="Arial"/>
          <w:sz w:val="16"/>
          <w:szCs w:val="16"/>
        </w:rPr>
      </w:pPr>
      <w:r w:rsidRPr="00A11C2B">
        <w:rPr>
          <w:rStyle w:val="FootnoteReference"/>
          <w:rFonts w:ascii="Verdana" w:hAnsi="Verdana" w:cs="Arial"/>
          <w:sz w:val="16"/>
          <w:szCs w:val="16"/>
        </w:rPr>
        <w:footnoteRef/>
      </w:r>
      <w:r w:rsidRPr="00A11C2B">
        <w:rPr>
          <w:rFonts w:ascii="Verdana" w:hAnsi="Verdana" w:cs="Arial"/>
          <w:sz w:val="16"/>
          <w:szCs w:val="16"/>
        </w:rPr>
        <w:t xml:space="preserve"> El artículo 26.3 de la Ley 80 de 1993 dispone que “Las entidades y los servidores públicos, responderán cuando hubieren abierto licitaciones o concursos sin haber elaborado previamente los correspondientes pliegos de condiciones, diseños, estudios, planos y evaluaciones que fueren necesarios, o cuando los pliegos de condiciones hayan sido elaborados en forma incompleta, ambigua o confusa que conduzcan a interpretaciones o decisiones de carácter subjetivo por parte de aquellos”.</w:t>
      </w:r>
    </w:p>
  </w:footnote>
  <w:footnote w:id="12">
    <w:p w14:paraId="5B08F886" w14:textId="77777777" w:rsidR="001D0810" w:rsidRPr="00A11C2B" w:rsidRDefault="001D0810" w:rsidP="001D0810">
      <w:pPr>
        <w:snapToGrid w:val="0"/>
        <w:spacing w:after="0" w:line="240" w:lineRule="auto"/>
        <w:ind w:firstLine="709"/>
        <w:jc w:val="both"/>
        <w:rPr>
          <w:rFonts w:ascii="Verdana" w:hAnsi="Verdana" w:cs="Arial"/>
          <w:sz w:val="16"/>
          <w:szCs w:val="16"/>
        </w:rPr>
      </w:pPr>
      <w:r w:rsidRPr="00A11C2B">
        <w:rPr>
          <w:rStyle w:val="FootnoteReference"/>
          <w:rFonts w:ascii="Verdana" w:hAnsi="Verdana" w:cs="Arial"/>
          <w:sz w:val="16"/>
          <w:szCs w:val="16"/>
        </w:rPr>
        <w:footnoteRef/>
      </w:r>
      <w:r w:rsidRPr="00A11C2B">
        <w:rPr>
          <w:rFonts w:ascii="Verdana" w:hAnsi="Verdana" w:cs="Arial"/>
          <w:sz w:val="16"/>
          <w:szCs w:val="16"/>
        </w:rPr>
        <w:t xml:space="preserve"> Decreto 1082 de 2015: “Artículo 2.2.1.1.2.1.1</w:t>
      </w:r>
      <w:r w:rsidRPr="00A11C2B">
        <w:rPr>
          <w:rFonts w:ascii="Verdana" w:hAnsi="Verdana" w:cs="Arial"/>
          <w:b/>
          <w:sz w:val="16"/>
          <w:szCs w:val="16"/>
        </w:rPr>
        <w:t xml:space="preserve">. </w:t>
      </w:r>
      <w:r w:rsidRPr="00A11C2B">
        <w:rPr>
          <w:rFonts w:ascii="Verdana" w:hAnsi="Verdana" w:cs="Arial"/>
          <w:sz w:val="16"/>
          <w:szCs w:val="16"/>
        </w:rPr>
        <w:t>Estudios y documentos previos</w:t>
      </w:r>
      <w:r w:rsidRPr="00A11C2B">
        <w:rPr>
          <w:rFonts w:ascii="Verdana" w:hAnsi="Verdana" w:cs="Arial"/>
          <w:b/>
          <w:i/>
          <w:sz w:val="16"/>
          <w:szCs w:val="16"/>
        </w:rPr>
        <w:t xml:space="preserve">. </w:t>
      </w:r>
      <w:r w:rsidRPr="00A11C2B">
        <w:rPr>
          <w:rFonts w:ascii="Verdana" w:hAnsi="Verdana" w:cs="Arial"/>
          <w:sz w:val="16"/>
          <w:szCs w:val="16"/>
        </w:rPr>
        <w:t>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 2. El objeto a contratar, con sus especificaciones, las autorizaciones, permisos y licencias requeridos para su ejecución, y cuando el contrato incluye diseño y construcción, los documentos técnicos para el desarrollo del proyecto [...]”.</w:t>
      </w:r>
    </w:p>
  </w:footnote>
  <w:footnote w:id="13">
    <w:p w14:paraId="023303AD" w14:textId="77777777" w:rsidR="001D0810" w:rsidRPr="00A11C2B" w:rsidRDefault="001D0810" w:rsidP="001D0810">
      <w:pPr>
        <w:pStyle w:val="FootnoteText"/>
        <w:snapToGrid w:val="0"/>
        <w:ind w:firstLine="708"/>
        <w:jc w:val="both"/>
        <w:rPr>
          <w:rFonts w:ascii="Verdana" w:hAnsi="Verdana" w:cs="Arial"/>
          <w:sz w:val="16"/>
          <w:szCs w:val="16"/>
        </w:rPr>
      </w:pPr>
      <w:r w:rsidRPr="00A11C2B">
        <w:rPr>
          <w:rStyle w:val="FootnoteReference"/>
          <w:rFonts w:ascii="Verdana" w:hAnsi="Verdana" w:cs="Arial"/>
          <w:sz w:val="16"/>
          <w:szCs w:val="16"/>
        </w:rPr>
        <w:footnoteRef/>
      </w:r>
      <w:r w:rsidRPr="00A11C2B">
        <w:rPr>
          <w:rFonts w:ascii="Verdana" w:hAnsi="Verdana" w:cs="Arial"/>
          <w:sz w:val="16"/>
          <w:szCs w:val="16"/>
        </w:rPr>
        <w:t xml:space="preserve"> Al respecto, la doctrina considera que “[…] resulta legalmente posible que se contrate en un mismo proceso el diseño de la obra y su ejecución, en la medida que los estudios previos realizados por la entidad soporten esa necesidad, lo que resulta consistente con la frase final del numeral 2° del artículo 20 del Decreto 1510 de 2013, al disponer que cuando el objeto a contratar comprenda el diseño y construcción de la obra, deberán publicarse los documentos técnicos para el desarrollo del proyecto […]” (Cfr. SUÁREZ BELTRÁN, Gonzalo. Estudios de derecho público contractual: Bogotá: Legis, 2014. p. 6).  </w:t>
      </w:r>
    </w:p>
  </w:footnote>
  <w:footnote w:id="14">
    <w:p w14:paraId="7A20B2E6" w14:textId="77777777" w:rsidR="001D0810" w:rsidRPr="00A11C2B" w:rsidRDefault="001D0810" w:rsidP="001D0810">
      <w:pPr>
        <w:snapToGrid w:val="0"/>
        <w:spacing w:after="0" w:line="240" w:lineRule="auto"/>
        <w:ind w:firstLine="709"/>
        <w:jc w:val="both"/>
        <w:rPr>
          <w:rFonts w:ascii="Verdana" w:hAnsi="Verdana"/>
          <w:sz w:val="16"/>
          <w:szCs w:val="16"/>
        </w:rPr>
      </w:pPr>
      <w:r w:rsidRPr="00A11C2B">
        <w:rPr>
          <w:rStyle w:val="FootnoteReference"/>
          <w:rFonts w:ascii="Verdana" w:hAnsi="Verdana" w:cs="Arial"/>
          <w:sz w:val="16"/>
          <w:szCs w:val="16"/>
        </w:rPr>
        <w:footnoteRef/>
      </w:r>
      <w:r w:rsidRPr="00A11C2B">
        <w:rPr>
          <w:rFonts w:ascii="Verdana" w:hAnsi="Verdana" w:cs="Arial"/>
          <w:sz w:val="16"/>
          <w:szCs w:val="16"/>
        </w:rPr>
        <w:t xml:space="preserve"> Ley 1682 de 2013: “Artículo 12. En lo que se refiere a la infraestructura de transporte terrestre, aeronáutica, aeroportuaria y acuática, se tendrán en cuenta las siguientes definiciones:</w:t>
      </w:r>
    </w:p>
    <w:p w14:paraId="537C2475" w14:textId="77777777" w:rsidR="001D0810" w:rsidRPr="00A11C2B" w:rsidRDefault="001D0810" w:rsidP="001D0810">
      <w:pPr>
        <w:snapToGrid w:val="0"/>
        <w:spacing w:after="0" w:line="240" w:lineRule="auto"/>
        <w:ind w:firstLine="709"/>
        <w:jc w:val="both"/>
        <w:rPr>
          <w:rFonts w:ascii="Verdana" w:hAnsi="Verdana"/>
          <w:sz w:val="16"/>
          <w:szCs w:val="16"/>
        </w:rPr>
      </w:pPr>
      <w:r w:rsidRPr="00A11C2B">
        <w:rPr>
          <w:rFonts w:ascii="Verdana" w:hAnsi="Verdana" w:cs="Arial"/>
          <w:sz w:val="16"/>
          <w:szCs w:val="16"/>
        </w:rPr>
        <w:t>Estudios de Ingeniería. Sin perjuicio de lo previsto en la Ley</w:t>
      </w:r>
      <w:hyperlink r:id="rId2" w:anchor="Inicio">
        <w:r w:rsidRPr="00A11C2B">
          <w:rPr>
            <w:rFonts w:ascii="Verdana" w:hAnsi="Verdana" w:cs="Arial"/>
            <w:sz w:val="16"/>
            <w:szCs w:val="16"/>
          </w:rPr>
          <w:t xml:space="preserve"> 1508 </w:t>
        </w:r>
      </w:hyperlink>
      <w:r w:rsidRPr="00A11C2B">
        <w:rPr>
          <w:rFonts w:ascii="Verdana" w:hAnsi="Verdana" w:cs="Arial"/>
          <w:sz w:val="16"/>
          <w:szCs w:val="16"/>
        </w:rPr>
        <w:t>de 2012 y sus decretos reglamentarios, las siguientes definiciones deben tenerse en cuenta en la preparación de los diversos estudios de ingeniería que se adelanten para la ejecución de los proyectos de</w:t>
      </w:r>
      <w:r w:rsidRPr="00A11C2B">
        <w:rPr>
          <w:rFonts w:ascii="Verdana" w:hAnsi="Verdana" w:cs="Arial"/>
          <w:spacing w:val="-10"/>
          <w:sz w:val="16"/>
          <w:szCs w:val="16"/>
        </w:rPr>
        <w:t xml:space="preserve"> </w:t>
      </w:r>
      <w:r w:rsidRPr="00A11C2B">
        <w:rPr>
          <w:rFonts w:ascii="Verdana" w:hAnsi="Verdana" w:cs="Arial"/>
          <w:sz w:val="16"/>
          <w:szCs w:val="16"/>
        </w:rPr>
        <w:t>infraestructura:</w:t>
      </w:r>
    </w:p>
    <w:p w14:paraId="5C8F737F" w14:textId="77777777" w:rsidR="001D0810" w:rsidRPr="00A11C2B" w:rsidRDefault="001D0810" w:rsidP="001D0810">
      <w:pPr>
        <w:snapToGrid w:val="0"/>
        <w:spacing w:after="0" w:line="240" w:lineRule="auto"/>
        <w:ind w:firstLine="709"/>
        <w:jc w:val="both"/>
        <w:rPr>
          <w:rFonts w:ascii="Verdana" w:hAnsi="Verdana"/>
          <w:sz w:val="16"/>
          <w:szCs w:val="16"/>
        </w:rPr>
      </w:pPr>
      <w:r w:rsidRPr="00A11C2B">
        <w:rPr>
          <w:rFonts w:ascii="Verdana" w:hAnsi="Verdana" w:cs="Arial"/>
          <w:sz w:val="16"/>
          <w:szCs w:val="16"/>
        </w:rPr>
        <w:t>Fase 1. Prefactibilidad. Es la fase en la cual se debe realizar el prediseño aproximado del proyecto, presentando alternativas y realizar la evaluación económica preliminar recurriendo a costos obtenidos en proyectos con condiciones similares, utilizando modelos de simulación debidamente aprobados por las entidades solicitantes. En esta fase se debe consultar la herramienta o base de datos que determine el Ministerio de Ambiente y Desarrollo Sostenible para tal fin, dentro de la Ventanilla Integral de Trámites Ambientales en Línea (Vital). El objetivo de la fase 1 es surtir el proceso para establecer la alternativa de trazado que a este nivel satisface en mayor medida los requisitos técnicos y financieros.</w:t>
      </w:r>
    </w:p>
    <w:p w14:paraId="064EA48F" w14:textId="77777777" w:rsidR="001D0810" w:rsidRPr="00A11C2B" w:rsidRDefault="001D0810" w:rsidP="001D0810">
      <w:pPr>
        <w:snapToGrid w:val="0"/>
        <w:spacing w:after="0" w:line="240" w:lineRule="auto"/>
        <w:ind w:firstLine="709"/>
        <w:jc w:val="both"/>
        <w:rPr>
          <w:rFonts w:ascii="Verdana" w:hAnsi="Verdana"/>
          <w:sz w:val="16"/>
          <w:szCs w:val="16"/>
        </w:rPr>
      </w:pPr>
      <w:r w:rsidRPr="00A11C2B">
        <w:rPr>
          <w:rFonts w:ascii="Verdana" w:hAnsi="Verdana" w:cs="Arial"/>
          <w:sz w:val="16"/>
          <w:szCs w:val="16"/>
        </w:rPr>
        <w:t>Fase 2. Factibilidad. Es la fase en la cual se debe diseñar el proyecto y efectuar la evaluación económica final, mediante la simulación con el modelo aprobado por las entidades contratantes. Tiene por finalidad establecer si el proyecto es factible para su ejecución, considerando todos los aspectos relacionados con el mismo.</w:t>
      </w:r>
    </w:p>
    <w:p w14:paraId="120BB820" w14:textId="77777777" w:rsidR="001D0810" w:rsidRPr="00A11C2B" w:rsidRDefault="001D0810" w:rsidP="001D0810">
      <w:pPr>
        <w:snapToGrid w:val="0"/>
        <w:spacing w:after="0" w:line="240" w:lineRule="auto"/>
        <w:ind w:firstLine="709"/>
        <w:jc w:val="both"/>
        <w:rPr>
          <w:rFonts w:ascii="Verdana" w:hAnsi="Verdana"/>
          <w:sz w:val="16"/>
          <w:szCs w:val="16"/>
        </w:rPr>
      </w:pPr>
      <w:r w:rsidRPr="00A11C2B">
        <w:rPr>
          <w:rFonts w:ascii="Verdana" w:hAnsi="Verdana" w:cs="Arial"/>
          <w:sz w:val="16"/>
          <w:szCs w:val="16"/>
        </w:rPr>
        <w:t>En esta fase se identifican las redes, infraestructuras y activos existentes, las comunidades étnicas y el patrimonio urbano, arquitectónico, cultural y arqueológico que puedan impactar el proyecto, así como títulos mineros en procesos de adjudicación, otorgados, existentes y en explotación.</w:t>
      </w:r>
    </w:p>
    <w:p w14:paraId="66A3639D" w14:textId="77777777" w:rsidR="001D0810" w:rsidRPr="00A11C2B" w:rsidRDefault="001D0810" w:rsidP="001D0810">
      <w:pPr>
        <w:snapToGrid w:val="0"/>
        <w:spacing w:after="0" w:line="240" w:lineRule="auto"/>
        <w:ind w:firstLine="709"/>
        <w:jc w:val="both"/>
        <w:rPr>
          <w:rFonts w:ascii="Verdana" w:hAnsi="Verdana"/>
          <w:sz w:val="16"/>
          <w:szCs w:val="16"/>
        </w:rPr>
      </w:pPr>
      <w:r w:rsidRPr="00A11C2B">
        <w:rPr>
          <w:rFonts w:ascii="Verdana" w:hAnsi="Verdana" w:cs="Arial"/>
          <w:sz w:val="16"/>
          <w:szCs w:val="16"/>
        </w:rPr>
        <w:t>Desarrollados los estudios de factibilidad del proyecto, podrá la entidad pública o el responsable del diseño si ya fue adjudicado el proyecto, continuar con la elaboración de los diseños definitivos.</w:t>
      </w:r>
    </w:p>
    <w:p w14:paraId="25315C86" w14:textId="77777777" w:rsidR="001D0810" w:rsidRPr="00A11C2B" w:rsidRDefault="001D0810" w:rsidP="001D0810">
      <w:pPr>
        <w:snapToGrid w:val="0"/>
        <w:spacing w:after="0" w:line="240" w:lineRule="auto"/>
        <w:ind w:firstLine="709"/>
        <w:jc w:val="both"/>
        <w:rPr>
          <w:rFonts w:ascii="Verdana" w:hAnsi="Verdana"/>
          <w:sz w:val="16"/>
          <w:szCs w:val="16"/>
        </w:rPr>
      </w:pPr>
      <w:r w:rsidRPr="00A11C2B">
        <w:rPr>
          <w:rFonts w:ascii="Verdana" w:hAnsi="Verdana" w:cs="Arial"/>
          <w:sz w:val="16"/>
          <w:szCs w:val="16"/>
        </w:rPr>
        <w:t>Finalizada esta fase de factibilidad, la entidad pública o el contratista, si ya fue adjudicado el proyecto de infraestructura de transporte, adelantará el estudio de impacto ambiental, el cual será sometido a aprobación de la autoridad ambiental quien otorgará la licencia</w:t>
      </w:r>
      <w:r w:rsidRPr="00A11C2B">
        <w:rPr>
          <w:rFonts w:ascii="Verdana" w:hAnsi="Verdana" w:cs="Arial"/>
          <w:spacing w:val="-6"/>
          <w:sz w:val="16"/>
          <w:szCs w:val="16"/>
        </w:rPr>
        <w:t xml:space="preserve"> </w:t>
      </w:r>
      <w:r w:rsidRPr="00A11C2B">
        <w:rPr>
          <w:rFonts w:ascii="Verdana" w:hAnsi="Verdana" w:cs="Arial"/>
          <w:sz w:val="16"/>
          <w:szCs w:val="16"/>
        </w:rPr>
        <w:t>respectiva.</w:t>
      </w:r>
    </w:p>
    <w:p w14:paraId="71B73607" w14:textId="77777777" w:rsidR="001D0810" w:rsidRPr="00A11C2B" w:rsidRDefault="001D0810" w:rsidP="001D0810">
      <w:pPr>
        <w:snapToGrid w:val="0"/>
        <w:spacing w:after="0" w:line="240" w:lineRule="auto"/>
        <w:ind w:firstLine="708"/>
        <w:jc w:val="both"/>
        <w:rPr>
          <w:rFonts w:ascii="Verdana" w:hAnsi="Verdana" w:cs="Arial"/>
          <w:sz w:val="16"/>
          <w:szCs w:val="16"/>
        </w:rPr>
      </w:pPr>
      <w:r w:rsidRPr="00A11C2B">
        <w:rPr>
          <w:rFonts w:ascii="Verdana" w:hAnsi="Verdana" w:cs="Arial"/>
          <w:sz w:val="16"/>
          <w:szCs w:val="16"/>
        </w:rPr>
        <w:t>Fase 3. Estudios y diseños definitivos. Es la fase en la cual se deben elaborar los diseños detallados tanto geométricos como de todas las estructuras y obras que se requieran, de tal forma que un constructor pueda materializar el proyecto. El objetivo de esta fase es materializar en campo el proyecto definitivo y diseñar todos sus componentes de tal manera que se pueda dar inicio a su construcción”.</w:t>
      </w:r>
    </w:p>
  </w:footnote>
  <w:footnote w:id="15">
    <w:p w14:paraId="1CA090F9" w14:textId="77777777" w:rsidR="001D0810" w:rsidRPr="00A11C2B" w:rsidRDefault="001D0810" w:rsidP="001D0810">
      <w:pPr>
        <w:pStyle w:val="FootnoteText"/>
        <w:snapToGrid w:val="0"/>
        <w:ind w:firstLine="709"/>
        <w:jc w:val="both"/>
        <w:rPr>
          <w:rFonts w:ascii="Verdana" w:hAnsi="Verdana" w:cs="Arial"/>
          <w:sz w:val="16"/>
          <w:szCs w:val="16"/>
        </w:rPr>
      </w:pPr>
      <w:r w:rsidRPr="00A11C2B">
        <w:rPr>
          <w:rStyle w:val="FootnoteReference"/>
          <w:rFonts w:ascii="Verdana" w:hAnsi="Verdana" w:cs="Arial"/>
          <w:sz w:val="16"/>
          <w:szCs w:val="16"/>
        </w:rPr>
        <w:footnoteRef/>
      </w:r>
      <w:r w:rsidRPr="00A11C2B">
        <w:rPr>
          <w:rFonts w:ascii="Verdana" w:hAnsi="Verdana" w:cs="Arial"/>
          <w:sz w:val="16"/>
          <w:szCs w:val="16"/>
        </w:rPr>
        <w:t xml:space="preserve"> Consejo de Estado, Sala de Consulta y Servicio Civil, Concepto 1439 del 18 de julio de 2002. Consejera Ponente: Susana Montes de Echeverri.</w:t>
      </w:r>
    </w:p>
  </w:footnote>
  <w:footnote w:id="16">
    <w:p w14:paraId="56E65F9F" w14:textId="77777777" w:rsidR="001D0810" w:rsidRPr="00A11C2B" w:rsidRDefault="001D0810" w:rsidP="001D0810">
      <w:pPr>
        <w:snapToGrid w:val="0"/>
        <w:spacing w:after="0" w:line="240" w:lineRule="auto"/>
        <w:ind w:firstLine="709"/>
        <w:jc w:val="both"/>
        <w:rPr>
          <w:rFonts w:ascii="Verdana" w:hAnsi="Verdana" w:cs="Arial"/>
          <w:sz w:val="16"/>
          <w:szCs w:val="16"/>
        </w:rPr>
      </w:pPr>
      <w:r w:rsidRPr="00A11C2B">
        <w:rPr>
          <w:rStyle w:val="FootnoteReference"/>
          <w:rFonts w:ascii="Verdana" w:hAnsi="Verdana" w:cs="Arial"/>
          <w:sz w:val="16"/>
          <w:szCs w:val="16"/>
        </w:rPr>
        <w:footnoteRef/>
      </w:r>
      <w:r w:rsidRPr="00A11C2B">
        <w:rPr>
          <w:rFonts w:ascii="Verdana" w:hAnsi="Verdana" w:cs="Arial"/>
          <w:sz w:val="16"/>
          <w:szCs w:val="16"/>
        </w:rPr>
        <w:t xml:space="preserve"> En efecto, en el Anexo Técnico 1 de la Resolución 465 de 2024, “Poda cual se adopta la versión -4- de los Documentos Tipo para los procesos de selección de licitación de obra pública del sector de infraestructura de transporte y se deroga la Resolución 240 de 2020”, dispone que dentro de los documentos que la entidad entrega para la ejecución del contrato se encuentran los estudios y diseños que ésta posea. En este sentido, en el literal b del numeral 6 se indica lo siguiente:</w:t>
      </w:r>
    </w:p>
    <w:p w14:paraId="5EEF3552" w14:textId="77777777" w:rsidR="001D0810" w:rsidRPr="00A11C2B" w:rsidRDefault="001D0810" w:rsidP="001D0810">
      <w:pPr>
        <w:snapToGrid w:val="0"/>
        <w:spacing w:after="0" w:line="240" w:lineRule="auto"/>
        <w:ind w:firstLine="709"/>
        <w:jc w:val="both"/>
        <w:rPr>
          <w:rFonts w:ascii="Verdana" w:hAnsi="Verdana" w:cs="Arial"/>
          <w:sz w:val="16"/>
          <w:szCs w:val="16"/>
        </w:rPr>
      </w:pPr>
      <w:r w:rsidRPr="00A11C2B">
        <w:rPr>
          <w:rFonts w:ascii="Verdana" w:hAnsi="Verdana" w:cs="Arial"/>
          <w:sz w:val="16"/>
          <w:szCs w:val="16"/>
        </w:rPr>
        <w:t>“El contratista deberá realizar lo necesario y suficiente en orden a conocer, revisar y estudiar completamente los estudios y diseños que la entidad entregue para la ejecución de las obras objeto de este contrato. En consecuencia, finalizado el plazo previsto por la entidad para la revisión de estudios y diseños [cuando aplique], si el contratista no se pronuncia en sentido contrario, se entiende que ha aceptado los estudios y diseños presentados por la entidad y asume toda la responsabilidad de los resultados para la implementación de los mismos y la ejecución de la obra contratada, con la debida calidad, garantizando la durabilidad, resistencia, estabilidad y funcionalidad de tales obras.</w:t>
      </w:r>
    </w:p>
    <w:p w14:paraId="19DD6D79" w14:textId="77777777" w:rsidR="001D0810" w:rsidRPr="00A11C2B" w:rsidRDefault="001D0810" w:rsidP="001D0810">
      <w:pPr>
        <w:snapToGrid w:val="0"/>
        <w:spacing w:after="0" w:line="240" w:lineRule="auto"/>
        <w:ind w:firstLine="709"/>
        <w:jc w:val="both"/>
        <w:rPr>
          <w:rFonts w:ascii="Verdana" w:hAnsi="Verdana" w:cs="Arial"/>
          <w:color w:val="000000" w:themeColor="text1"/>
          <w:sz w:val="16"/>
          <w:szCs w:val="16"/>
        </w:rPr>
      </w:pPr>
      <w:r w:rsidRPr="00A11C2B">
        <w:rPr>
          <w:rFonts w:ascii="Verdana" w:hAnsi="Verdana" w:cs="Arial"/>
          <w:sz w:val="16"/>
          <w:szCs w:val="16"/>
        </w:rPr>
        <w:t>Cualquier modificación y/o adaptación y/o complementación que el contratista pretenda efectuar a los estudios y diseños deberán ser tramitadas por el contratista para su aprobación por la Interventoría, sin que ello se constituya en causa de demora en la ejecución del proyecto</w:t>
      </w:r>
      <w:r w:rsidRPr="00A11C2B">
        <w:rPr>
          <w:rFonts w:ascii="Verdana" w:hAnsi="Verdana" w:cs="Arial"/>
          <w:color w:val="000000" w:themeColor="text1"/>
          <w:sz w:val="16"/>
          <w:szCs w:val="16"/>
        </w:rPr>
        <w:t xml:space="preserve">”. </w:t>
      </w:r>
    </w:p>
  </w:footnote>
  <w:footnote w:id="17">
    <w:p w14:paraId="5EBD76E6" w14:textId="77777777" w:rsidR="001D0810" w:rsidRPr="00A11C2B" w:rsidRDefault="001D0810" w:rsidP="001D0810">
      <w:pPr>
        <w:snapToGrid w:val="0"/>
        <w:spacing w:after="0" w:line="240" w:lineRule="auto"/>
        <w:ind w:firstLine="707"/>
        <w:jc w:val="both"/>
        <w:rPr>
          <w:rFonts w:ascii="Verdana" w:hAnsi="Verdana" w:cs="Arial"/>
          <w:color w:val="000000" w:themeColor="text1"/>
          <w:sz w:val="16"/>
          <w:szCs w:val="16"/>
        </w:rPr>
      </w:pPr>
      <w:r w:rsidRPr="00A11C2B">
        <w:rPr>
          <w:rStyle w:val="FootnoteReference"/>
          <w:rFonts w:ascii="Verdana" w:hAnsi="Verdana" w:cs="Arial"/>
          <w:color w:val="000000" w:themeColor="text1"/>
          <w:sz w:val="16"/>
          <w:szCs w:val="16"/>
        </w:rPr>
        <w:footnoteRef/>
      </w:r>
      <w:r w:rsidRPr="00A11C2B">
        <w:rPr>
          <w:rFonts w:ascii="Verdana" w:hAnsi="Verdana" w:cs="Arial"/>
          <w:color w:val="000000" w:themeColor="text1"/>
          <w:sz w:val="16"/>
          <w:szCs w:val="16"/>
        </w:rPr>
        <w:t xml:space="preserve"> VALLEJO, Felipe. Responsabilidad profesional en la construcción de obras. Revista Derecho Del Estado, n.º 20 (1), 97-120. </w:t>
      </w:r>
      <w:hyperlink r:id="rId3">
        <w:r w:rsidRPr="00A11C2B">
          <w:rPr>
            <w:rFonts w:ascii="Verdana" w:hAnsi="Verdana" w:cs="Arial"/>
            <w:color w:val="000000" w:themeColor="text1"/>
            <w:sz w:val="16"/>
            <w:szCs w:val="16"/>
            <w:u w:val="single" w:color="F1F1F1"/>
          </w:rPr>
          <w:t>https://revistas.uexternado.edu.co/index.php/derest/article/view/706</w:t>
        </w:r>
        <w:r w:rsidRPr="00A11C2B">
          <w:rPr>
            <w:rFonts w:ascii="Verdana" w:hAnsi="Verdana" w:cs="Arial"/>
            <w:color w:val="000000" w:themeColor="text1"/>
            <w:sz w:val="16"/>
            <w:szCs w:val="16"/>
          </w:rPr>
          <w:t xml:space="preserve">. </w:t>
        </w:r>
      </w:hyperlink>
      <w:r w:rsidRPr="00A11C2B">
        <w:rPr>
          <w:rFonts w:ascii="Verdana" w:hAnsi="Verdana" w:cs="Arial"/>
          <w:color w:val="000000" w:themeColor="text1"/>
          <w:sz w:val="16"/>
          <w:szCs w:val="16"/>
        </w:rPr>
        <w:t>pp. 106-107.</w:t>
      </w:r>
    </w:p>
  </w:footnote>
  <w:footnote w:id="18">
    <w:p w14:paraId="25873B62" w14:textId="77777777" w:rsidR="001D0810" w:rsidRPr="00A11C2B" w:rsidRDefault="001D0810" w:rsidP="001D0810">
      <w:pPr>
        <w:pStyle w:val="FootnoteText"/>
        <w:snapToGrid w:val="0"/>
        <w:ind w:firstLine="709"/>
        <w:jc w:val="both"/>
        <w:rPr>
          <w:rFonts w:ascii="Verdana" w:hAnsi="Verdana" w:cs="Arial"/>
          <w:sz w:val="16"/>
          <w:szCs w:val="16"/>
          <w:lang w:val="es-ES"/>
        </w:rPr>
      </w:pPr>
      <w:r w:rsidRPr="00A11C2B">
        <w:rPr>
          <w:rStyle w:val="FootnoteReference"/>
          <w:rFonts w:ascii="Verdana" w:hAnsi="Verdana" w:cs="Arial"/>
          <w:sz w:val="16"/>
          <w:szCs w:val="16"/>
        </w:rPr>
        <w:footnoteRef/>
      </w:r>
      <w:r w:rsidRPr="00A11C2B">
        <w:rPr>
          <w:rFonts w:ascii="Verdana" w:hAnsi="Verdana" w:cs="Arial"/>
          <w:sz w:val="16"/>
          <w:szCs w:val="16"/>
        </w:rPr>
        <w:t xml:space="preserve"> </w:t>
      </w:r>
      <w:r w:rsidRPr="00A11C2B">
        <w:rPr>
          <w:rFonts w:ascii="Verdana" w:hAnsi="Verdana" w:cs="Arial"/>
          <w:sz w:val="16"/>
          <w:szCs w:val="16"/>
          <w:lang w:val="es-ES"/>
        </w:rPr>
        <w:t xml:space="preserve">Guía para los procesos de contratación de obra pública, expedida por Colombia Compra Eficiente. Pág 9. </w:t>
      </w:r>
    </w:p>
  </w:footnote>
  <w:footnote w:id="19">
    <w:p w14:paraId="4FFDF2AC" w14:textId="77777777" w:rsidR="001D0810" w:rsidRPr="00A11C2B" w:rsidRDefault="001D0810" w:rsidP="001D0810">
      <w:pPr>
        <w:pStyle w:val="FootnoteText"/>
        <w:snapToGrid w:val="0"/>
        <w:ind w:firstLine="708"/>
        <w:jc w:val="both"/>
        <w:rPr>
          <w:rFonts w:ascii="Verdana" w:hAnsi="Verdana" w:cs="Arial"/>
          <w:sz w:val="16"/>
          <w:szCs w:val="16"/>
        </w:rPr>
      </w:pPr>
      <w:r w:rsidRPr="00A11C2B">
        <w:rPr>
          <w:rStyle w:val="FootnoteReference"/>
          <w:rFonts w:ascii="Verdana" w:hAnsi="Verdana" w:cs="Arial"/>
          <w:sz w:val="16"/>
          <w:szCs w:val="16"/>
        </w:rPr>
        <w:footnoteRef/>
      </w:r>
      <w:r w:rsidRPr="00A11C2B">
        <w:rPr>
          <w:rFonts w:ascii="Verdana" w:hAnsi="Verdana" w:cs="Arial"/>
          <w:sz w:val="16"/>
          <w:szCs w:val="16"/>
        </w:rPr>
        <w:t xml:space="preserve"> SUÁREZ BELTRÁN, Ob. cit., p. 7.</w:t>
      </w:r>
    </w:p>
  </w:footnote>
  <w:footnote w:id="20">
    <w:p w14:paraId="5C5382AE" w14:textId="77777777" w:rsidR="001D0810" w:rsidRPr="00A11C2B" w:rsidRDefault="001D0810" w:rsidP="001D0810">
      <w:pPr>
        <w:pStyle w:val="FootnoteText"/>
        <w:snapToGrid w:val="0"/>
        <w:ind w:firstLine="708"/>
        <w:jc w:val="both"/>
        <w:rPr>
          <w:rFonts w:ascii="Verdana" w:hAnsi="Verdana" w:cs="Arial"/>
          <w:sz w:val="16"/>
          <w:szCs w:val="16"/>
          <w:lang w:val="es-CO"/>
        </w:rPr>
      </w:pPr>
      <w:r w:rsidRPr="00A11C2B">
        <w:rPr>
          <w:rStyle w:val="FootnoteReference"/>
          <w:rFonts w:ascii="Verdana" w:hAnsi="Verdana" w:cs="Arial"/>
          <w:sz w:val="16"/>
          <w:szCs w:val="16"/>
        </w:rPr>
        <w:footnoteRef/>
      </w:r>
      <w:r w:rsidRPr="00A11C2B">
        <w:rPr>
          <w:rFonts w:ascii="Verdana" w:hAnsi="Verdana" w:cs="Arial"/>
          <w:sz w:val="16"/>
          <w:szCs w:val="16"/>
        </w:rPr>
        <w:t xml:space="preserve"> </w:t>
      </w:r>
      <w:r w:rsidRPr="00A11C2B">
        <w:rPr>
          <w:rFonts w:ascii="Verdana" w:hAnsi="Verdana" w:cs="Arial"/>
          <w:sz w:val="16"/>
          <w:szCs w:val="16"/>
          <w:lang w:val="es-CO"/>
        </w:rPr>
        <w:t>El artículo 40 de la Ley 80 de 1993 dispone que los contratos no podrán adicionarse en más del 50% de su valor inicial, expresado en SMLMV.</w:t>
      </w:r>
    </w:p>
  </w:footnote>
  <w:footnote w:id="21">
    <w:p w14:paraId="0AC93105" w14:textId="77777777" w:rsidR="001D0810" w:rsidRPr="00A11C2B" w:rsidRDefault="001D0810" w:rsidP="001D0810">
      <w:pPr>
        <w:pStyle w:val="FootnoteText"/>
        <w:snapToGrid w:val="0"/>
        <w:ind w:firstLine="708"/>
        <w:jc w:val="both"/>
        <w:rPr>
          <w:rFonts w:ascii="Verdana" w:hAnsi="Verdana"/>
          <w:sz w:val="16"/>
          <w:szCs w:val="16"/>
          <w:lang w:val="pt-BR"/>
        </w:rPr>
      </w:pPr>
      <w:r w:rsidRPr="00A11C2B">
        <w:rPr>
          <w:rStyle w:val="FootnoteReference"/>
          <w:rFonts w:ascii="Verdana" w:hAnsi="Verdana"/>
          <w:sz w:val="16"/>
          <w:szCs w:val="16"/>
        </w:rPr>
        <w:footnoteRef/>
      </w:r>
      <w:r w:rsidRPr="00A11C2B">
        <w:rPr>
          <w:rFonts w:ascii="Verdana" w:hAnsi="Verdana"/>
          <w:sz w:val="16"/>
          <w:szCs w:val="16"/>
          <w:lang w:val="pt-BR"/>
        </w:rPr>
        <w:t xml:space="preserve"> Corte Constitucional. Sentencia C-300 de 2012. M.P: Jorge Ignacio Pretelt Chaljub.</w:t>
      </w:r>
    </w:p>
  </w:footnote>
  <w:footnote w:id="22">
    <w:p w14:paraId="636A3E31" w14:textId="77777777" w:rsidR="001D0810" w:rsidRPr="00A11C2B" w:rsidRDefault="001D0810" w:rsidP="001D0810">
      <w:pPr>
        <w:pStyle w:val="FootnoteText"/>
        <w:snapToGrid w:val="0"/>
        <w:ind w:firstLine="708"/>
        <w:jc w:val="both"/>
        <w:rPr>
          <w:rFonts w:ascii="Verdana" w:hAnsi="Verdana"/>
          <w:sz w:val="16"/>
          <w:szCs w:val="16"/>
        </w:rPr>
      </w:pPr>
      <w:r w:rsidRPr="00A11C2B">
        <w:rPr>
          <w:rStyle w:val="FootnoteReference"/>
          <w:rFonts w:ascii="Verdana" w:hAnsi="Verdana"/>
          <w:sz w:val="16"/>
          <w:szCs w:val="16"/>
        </w:rPr>
        <w:footnoteRef/>
      </w:r>
      <w:r w:rsidRPr="00A11C2B">
        <w:rPr>
          <w:rFonts w:ascii="Verdana" w:hAnsi="Verdana"/>
          <w:sz w:val="16"/>
          <w:szCs w:val="16"/>
        </w:rPr>
        <w:t xml:space="preserve"> Sobre la naturaleza instrumental del contrato para alcanzar los fines propios del estado social de derecho, ver la sentencia C-932 de 2007, M.P: Marco Gerardo Monroy Cabra.</w:t>
      </w:r>
    </w:p>
  </w:footnote>
  <w:footnote w:id="23">
    <w:p w14:paraId="7DE0D289" w14:textId="77777777" w:rsidR="001D0810" w:rsidRPr="00A11C2B" w:rsidRDefault="001D0810" w:rsidP="001D0810">
      <w:pPr>
        <w:pStyle w:val="FootnoteText"/>
        <w:snapToGrid w:val="0"/>
        <w:ind w:firstLine="708"/>
        <w:jc w:val="both"/>
        <w:rPr>
          <w:rFonts w:ascii="Verdana" w:hAnsi="Verdana"/>
          <w:sz w:val="16"/>
          <w:szCs w:val="16"/>
        </w:rPr>
      </w:pPr>
      <w:r w:rsidRPr="00A11C2B">
        <w:rPr>
          <w:rStyle w:val="FootnoteReference"/>
          <w:rFonts w:ascii="Verdana" w:hAnsi="Verdana"/>
          <w:sz w:val="16"/>
          <w:szCs w:val="16"/>
        </w:rPr>
        <w:footnoteRef/>
      </w:r>
      <w:r w:rsidRPr="00A11C2B">
        <w:rPr>
          <w:rFonts w:ascii="Verdana" w:hAnsi="Verdana"/>
          <w:sz w:val="16"/>
          <w:szCs w:val="16"/>
        </w:rPr>
        <w:t xml:space="preserve"> M.P: Clara Inés Vargas Hernández.</w:t>
      </w:r>
    </w:p>
  </w:footnote>
  <w:footnote w:id="24">
    <w:p w14:paraId="34F9D1D3" w14:textId="77777777" w:rsidR="001D0810" w:rsidRPr="00A11C2B" w:rsidRDefault="001D0810" w:rsidP="001D0810">
      <w:pPr>
        <w:pStyle w:val="FootnoteText"/>
        <w:snapToGrid w:val="0"/>
        <w:ind w:firstLine="708"/>
        <w:jc w:val="both"/>
        <w:rPr>
          <w:rFonts w:ascii="Verdana" w:hAnsi="Verdana"/>
          <w:sz w:val="16"/>
          <w:szCs w:val="16"/>
        </w:rPr>
      </w:pPr>
      <w:r w:rsidRPr="00A11C2B">
        <w:rPr>
          <w:rStyle w:val="FootnoteReference"/>
          <w:rFonts w:ascii="Verdana" w:hAnsi="Verdana"/>
          <w:sz w:val="16"/>
          <w:szCs w:val="16"/>
        </w:rPr>
        <w:footnoteRef/>
      </w:r>
      <w:r w:rsidRPr="00A11C2B">
        <w:rPr>
          <w:rFonts w:ascii="Verdana" w:hAnsi="Verdana"/>
          <w:sz w:val="16"/>
          <w:szCs w:val="16"/>
        </w:rPr>
        <w:t xml:space="preserve"> Ver también la sentencia C-068 de 2009, M.P: Mauricio González Cuervo</w:t>
      </w:r>
      <w:r w:rsidRPr="00A11C2B">
        <w:rPr>
          <w:rFonts w:ascii="Verdana" w:hAnsi="Verdana"/>
          <w:b/>
          <w:sz w:val="16"/>
          <w:szCs w:val="16"/>
        </w:rPr>
        <w:t xml:space="preserve">, </w:t>
      </w:r>
      <w:r w:rsidRPr="00A11C2B">
        <w:rPr>
          <w:rFonts w:ascii="Verdana" w:hAnsi="Verdana"/>
          <w:sz w:val="16"/>
          <w:szCs w:val="16"/>
        </w:rPr>
        <w:t>sobre la constitucional</w:t>
      </w:r>
      <w:r w:rsidRPr="00A11C2B">
        <w:rPr>
          <w:rFonts w:ascii="Verdana" w:hAnsi="Verdana"/>
          <w:b/>
          <w:sz w:val="16"/>
          <w:szCs w:val="16"/>
        </w:rPr>
        <w:t xml:space="preserve"> </w:t>
      </w:r>
      <w:r w:rsidRPr="00A11C2B">
        <w:rPr>
          <w:rFonts w:ascii="Verdana" w:hAnsi="Verdana"/>
          <w:sz w:val="16"/>
          <w:szCs w:val="16"/>
          <w:lang w:val="es-CO"/>
        </w:rPr>
        <w:t>de la posibilidad de prorrogar los contratos de concesión portuaria (artículo 8º de la ley 1º de 1991).</w:t>
      </w:r>
    </w:p>
  </w:footnote>
  <w:footnote w:id="25">
    <w:p w14:paraId="6EF34F76" w14:textId="77777777" w:rsidR="001D0810" w:rsidRPr="00A11C2B" w:rsidRDefault="001D0810" w:rsidP="001D0810">
      <w:pPr>
        <w:pStyle w:val="FootnoteText"/>
        <w:snapToGrid w:val="0"/>
        <w:ind w:firstLine="708"/>
        <w:jc w:val="both"/>
        <w:rPr>
          <w:rFonts w:ascii="Verdana" w:hAnsi="Verdana"/>
          <w:sz w:val="16"/>
          <w:szCs w:val="16"/>
        </w:rPr>
      </w:pPr>
      <w:r w:rsidRPr="00A11C2B">
        <w:rPr>
          <w:rStyle w:val="FootnoteReference"/>
          <w:rFonts w:ascii="Verdana" w:hAnsi="Verdana"/>
          <w:sz w:val="16"/>
          <w:szCs w:val="16"/>
        </w:rPr>
        <w:footnoteRef/>
      </w:r>
      <w:r w:rsidRPr="00A11C2B">
        <w:rPr>
          <w:rFonts w:ascii="Verdana" w:hAnsi="Verdana"/>
          <w:sz w:val="16"/>
          <w:szCs w:val="16"/>
        </w:rPr>
        <w:t xml:space="preserve"> Esta clasificación es tomada de la literatura del análisis económico del derecho. </w:t>
      </w:r>
      <w:r w:rsidRPr="00A11C2B">
        <w:rPr>
          <w:rFonts w:ascii="Verdana" w:hAnsi="Verdana"/>
          <w:sz w:val="16"/>
          <w:szCs w:val="16"/>
          <w:lang w:val="en-US"/>
        </w:rPr>
        <w:t xml:space="preserve">Ver WILLIAMSON, Oliver E. “Transaction-Cost Economics: The Governance of Contractual Relations”. En: Journal of Law and Economics, Vol. 22, No. 2 (Oct, 1979), pp. 233-261. SHAVELL, Steven. “Foundations of Economic Analysis of Law”. Harvard University Press, 2004. </w:t>
      </w:r>
      <w:r w:rsidRPr="00A11C2B">
        <w:rPr>
          <w:rFonts w:ascii="Verdana" w:hAnsi="Verdana"/>
          <w:sz w:val="16"/>
          <w:szCs w:val="16"/>
        </w:rPr>
        <w:t>Dentro de esta literatura, también se señalan como causas de los contratos incompletos, (i) los altos costos de estructuración del contrato, esto es, las altas inversiones que deben realizar las partes para prever las contingencias y diseñar remedios; cuando tales costos exceden los beneficios esperados por las partes, estas últimas pueden optar por celebrar contratos incompletos y dejar por fuera, por ejemplo, previsiones o cláusulas relacionadas con contingencias de baja probabilidad. (ii) Los altos costos de hacer cumplir ciertas cláusulas, y (iii) la dificultad posterior de probar en sede judicial la ocurrencia de ciertas contingencias o variables, entre otras. Vale la pena mencionar que por estas razones la mayoría de los contratos tienden a ser incompletos.</w:t>
      </w:r>
    </w:p>
  </w:footnote>
  <w:footnote w:id="26">
    <w:p w14:paraId="073C4A79" w14:textId="77777777" w:rsidR="001D0810" w:rsidRPr="00A11C2B" w:rsidRDefault="001D0810" w:rsidP="001D0810">
      <w:pPr>
        <w:pStyle w:val="FootnoteText"/>
        <w:snapToGrid w:val="0"/>
        <w:ind w:firstLine="708"/>
        <w:jc w:val="both"/>
        <w:rPr>
          <w:rFonts w:ascii="Verdana" w:hAnsi="Verdana" w:cs="Arial"/>
          <w:sz w:val="16"/>
          <w:szCs w:val="16"/>
        </w:rPr>
      </w:pPr>
      <w:r w:rsidRPr="00A11C2B">
        <w:rPr>
          <w:rStyle w:val="FootnoteReference"/>
          <w:rFonts w:ascii="Verdana" w:hAnsi="Verdana" w:cs="Arial"/>
          <w:sz w:val="16"/>
          <w:szCs w:val="16"/>
        </w:rPr>
        <w:footnoteRef/>
      </w:r>
      <w:r w:rsidRPr="00A11C2B">
        <w:rPr>
          <w:rFonts w:ascii="Verdana" w:hAnsi="Verdana" w:cs="Arial"/>
          <w:sz w:val="16"/>
          <w:szCs w:val="16"/>
        </w:rPr>
        <w:t xml:space="preserve"> </w:t>
      </w:r>
      <w:r w:rsidRPr="00A11C2B">
        <w:rPr>
          <w:rFonts w:ascii="Verdana" w:hAnsi="Verdana" w:cs="Arial"/>
          <w:i/>
          <w:sz w:val="16"/>
          <w:szCs w:val="16"/>
        </w:rPr>
        <w:t xml:space="preserve">Cfr. </w:t>
      </w:r>
      <w:r w:rsidRPr="00A11C2B">
        <w:rPr>
          <w:rFonts w:ascii="Verdana" w:hAnsi="Verdana" w:cs="Arial"/>
          <w:sz w:val="16"/>
          <w:szCs w:val="16"/>
        </w:rPr>
        <w:t>Consejo de Estado. Sala de Consulta y Servicio Civil. Concepto del 13 de agosto de 2009. Radicado: 11001-03-06-000-2009-00033-00 (</w:t>
      </w:r>
      <w:r w:rsidRPr="00A11C2B">
        <w:rPr>
          <w:rFonts w:ascii="Verdana" w:hAnsi="Verdana" w:cs="Arial"/>
          <w:bCs/>
          <w:sz w:val="16"/>
          <w:szCs w:val="16"/>
        </w:rPr>
        <w:t>1952), C.P. Enrique José Arboleda Perdomo. En este concepto la Sala de Consulta se ocupó, entre otras preguntas, de la siguiente formulada por el Ministerio de Transporte: “</w:t>
      </w:r>
      <w:r w:rsidRPr="00A11C2B">
        <w:rPr>
          <w:rFonts w:ascii="Verdana" w:hAnsi="Verdana" w:cs="Arial"/>
          <w:bCs/>
          <w:iCs/>
          <w:sz w:val="16"/>
          <w:szCs w:val="16"/>
          <w:lang w:val="es-ES_tradnl"/>
        </w:rPr>
        <w:t>1. ¿Bajo el supuesto lo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27">
    <w:p w14:paraId="2F01A6F3" w14:textId="77777777" w:rsidR="001D0810" w:rsidRPr="00A11C2B" w:rsidRDefault="001D0810" w:rsidP="001D0810">
      <w:pPr>
        <w:pStyle w:val="FootnoteText"/>
        <w:snapToGrid w:val="0"/>
        <w:ind w:firstLine="708"/>
        <w:jc w:val="both"/>
        <w:rPr>
          <w:rFonts w:ascii="Verdana" w:hAnsi="Verdana" w:cs="Arial"/>
          <w:bCs/>
          <w:iCs/>
          <w:sz w:val="16"/>
          <w:szCs w:val="16"/>
          <w:lang w:val="es-ES_tradnl"/>
        </w:rPr>
      </w:pPr>
      <w:r w:rsidRPr="00A11C2B">
        <w:rPr>
          <w:rStyle w:val="FootnoteReference"/>
          <w:rFonts w:ascii="Verdana" w:hAnsi="Verdana" w:cs="Arial"/>
          <w:sz w:val="16"/>
          <w:szCs w:val="16"/>
        </w:rPr>
        <w:footnoteRef/>
      </w:r>
      <w:r w:rsidRPr="00A11C2B">
        <w:rPr>
          <w:rFonts w:ascii="Verdana" w:hAnsi="Verdana" w:cs="Arial"/>
          <w:sz w:val="16"/>
          <w:szCs w:val="16"/>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A11C2B">
        <w:rPr>
          <w:rFonts w:ascii="Verdana" w:hAnsi="Verdana" w:cs="Arial"/>
          <w:bCs/>
          <w:iCs/>
          <w:sz w:val="16"/>
          <w:szCs w:val="16"/>
          <w:lang w:val="es-ES_tradnl"/>
        </w:rPr>
        <w:t>”.</w:t>
      </w:r>
    </w:p>
    <w:p w14:paraId="6D6E8B72" w14:textId="77777777" w:rsidR="001D0810" w:rsidRPr="00A11C2B" w:rsidRDefault="001D0810" w:rsidP="001D0810">
      <w:pPr>
        <w:pStyle w:val="FootnoteText"/>
        <w:snapToGrid w:val="0"/>
        <w:ind w:firstLine="708"/>
        <w:jc w:val="both"/>
        <w:rPr>
          <w:rFonts w:ascii="Verdana" w:hAnsi="Verdana" w:cs="Arial"/>
          <w:sz w:val="16"/>
          <w:szCs w:val="16"/>
          <w:lang w:val="es-CO"/>
        </w:rPr>
      </w:pPr>
    </w:p>
  </w:footnote>
  <w:footnote w:id="28">
    <w:p w14:paraId="44E88615" w14:textId="77777777" w:rsidR="001D0810" w:rsidRPr="00A11C2B" w:rsidRDefault="001D0810" w:rsidP="001D0810">
      <w:pPr>
        <w:pStyle w:val="FootnoteText"/>
        <w:snapToGrid w:val="0"/>
        <w:ind w:firstLine="708"/>
        <w:jc w:val="both"/>
        <w:rPr>
          <w:rFonts w:ascii="Verdana" w:hAnsi="Verdana" w:cs="Arial"/>
          <w:sz w:val="16"/>
          <w:szCs w:val="16"/>
          <w:lang w:val="es-CO"/>
        </w:rPr>
      </w:pPr>
      <w:r w:rsidRPr="00A11C2B">
        <w:rPr>
          <w:rStyle w:val="FootnoteReference"/>
          <w:rFonts w:ascii="Verdana" w:hAnsi="Verdana" w:cs="Arial"/>
          <w:sz w:val="16"/>
          <w:szCs w:val="16"/>
        </w:rPr>
        <w:footnoteRef/>
      </w:r>
      <w:r w:rsidRPr="00A11C2B">
        <w:rPr>
          <w:rFonts w:ascii="Verdana" w:hAnsi="Verdana" w:cs="Arial"/>
          <w:sz w:val="16"/>
          <w:szCs w:val="16"/>
        </w:rPr>
        <w:t xml:space="preserve"> Ibídem.</w:t>
      </w:r>
    </w:p>
  </w:footnote>
  <w:footnote w:id="29">
    <w:p w14:paraId="276C9C3C" w14:textId="77777777" w:rsidR="001D0810" w:rsidRPr="00A11C2B" w:rsidRDefault="001D0810" w:rsidP="001D0810">
      <w:pPr>
        <w:snapToGrid w:val="0"/>
        <w:spacing w:after="0" w:line="240" w:lineRule="auto"/>
        <w:ind w:firstLine="708"/>
        <w:jc w:val="both"/>
        <w:rPr>
          <w:rFonts w:ascii="Verdana" w:hAnsi="Verdana"/>
          <w:sz w:val="16"/>
          <w:szCs w:val="16"/>
        </w:rPr>
      </w:pPr>
      <w:r w:rsidRPr="00A11C2B">
        <w:rPr>
          <w:rStyle w:val="FootnoteReference"/>
          <w:rFonts w:ascii="Verdana" w:hAnsi="Verdana"/>
          <w:sz w:val="16"/>
          <w:szCs w:val="16"/>
        </w:rPr>
        <w:footnoteRef/>
      </w:r>
      <w:r w:rsidRPr="00A11C2B">
        <w:rPr>
          <w:rFonts w:ascii="Verdana" w:hAnsi="Verdana"/>
          <w:sz w:val="16"/>
          <w:szCs w:val="16"/>
        </w:rPr>
        <w:t xml:space="preserve"> Consejo de Estado. Sala de Consulta y Servicio Civil.</w:t>
      </w:r>
      <w:r w:rsidRPr="00A11C2B">
        <w:rPr>
          <w:rFonts w:ascii="Verdana" w:hAnsi="Verdana"/>
          <w:i/>
          <w:iCs/>
          <w:sz w:val="16"/>
          <w:szCs w:val="16"/>
        </w:rPr>
        <w:t xml:space="preserve"> </w:t>
      </w:r>
      <w:r w:rsidRPr="00A11C2B">
        <w:rPr>
          <w:rFonts w:ascii="Verdana" w:hAnsi="Verdana"/>
          <w:sz w:val="16"/>
          <w:szCs w:val="16"/>
        </w:rPr>
        <w:t>Concepto del 06 de junio 2018. Radicado: 2369. C.P: Óscar Darío Amaya Navas.</w:t>
      </w:r>
    </w:p>
  </w:footnote>
  <w:footnote w:id="30">
    <w:p w14:paraId="0CB28404" w14:textId="77777777" w:rsidR="001D0810" w:rsidRPr="00A11C2B" w:rsidRDefault="001D0810" w:rsidP="001D0810">
      <w:pPr>
        <w:pStyle w:val="FootnoteText"/>
        <w:snapToGrid w:val="0"/>
        <w:ind w:firstLine="709"/>
        <w:jc w:val="both"/>
        <w:rPr>
          <w:rFonts w:ascii="Verdana" w:hAnsi="Verdana"/>
          <w:sz w:val="16"/>
          <w:szCs w:val="16"/>
          <w:lang w:val="es-CO"/>
        </w:rPr>
      </w:pPr>
      <w:r w:rsidRPr="00A11C2B">
        <w:rPr>
          <w:rStyle w:val="FootnoteReference"/>
          <w:rFonts w:ascii="Verdana" w:hAnsi="Verdana"/>
          <w:sz w:val="16"/>
          <w:szCs w:val="16"/>
        </w:rPr>
        <w:footnoteRef/>
      </w:r>
      <w:r w:rsidRPr="00A11C2B">
        <w:rPr>
          <w:rFonts w:ascii="Verdana" w:hAnsi="Verdana"/>
          <w:sz w:val="16"/>
          <w:szCs w:val="16"/>
        </w:rPr>
        <w:t xml:space="preserve"> </w:t>
      </w:r>
      <w:r w:rsidRPr="00A11C2B">
        <w:rPr>
          <w:rFonts w:ascii="Verdana" w:hAnsi="Verdana"/>
          <w:bCs/>
          <w:sz w:val="16"/>
          <w:szCs w:val="16"/>
          <w:lang w:val="es-CO"/>
        </w:rPr>
        <w:t>ARTICULO 11. DE LA COMPETENCIA PARA DIRIGIR LICITACIONES O CONCURSOS Y PARA CELEBRAR CONTRATOS ESTATALES. </w:t>
      </w:r>
      <w:r w:rsidRPr="00A11C2B">
        <w:rPr>
          <w:rFonts w:ascii="Verdana" w:hAnsi="Verdana"/>
          <w:sz w:val="16"/>
          <w:szCs w:val="16"/>
          <w:lang w:val="es-CO"/>
        </w:rPr>
        <w:t>En las entidades estatales a que se refiere el artículo 2o.: </w:t>
      </w:r>
    </w:p>
    <w:p w14:paraId="377F353E" w14:textId="77777777" w:rsidR="001D0810" w:rsidRPr="00A11C2B" w:rsidRDefault="001D0810" w:rsidP="001D0810">
      <w:pPr>
        <w:pStyle w:val="FootnoteText"/>
        <w:snapToGrid w:val="0"/>
        <w:ind w:firstLine="709"/>
        <w:jc w:val="both"/>
        <w:rPr>
          <w:rFonts w:ascii="Verdana" w:hAnsi="Verdana"/>
          <w:sz w:val="16"/>
          <w:szCs w:val="16"/>
          <w:lang w:val="es-CO"/>
        </w:rPr>
      </w:pPr>
      <w:r w:rsidRPr="00A11C2B">
        <w:rPr>
          <w:rFonts w:ascii="Verdana" w:hAnsi="Verdana"/>
          <w:sz w:val="16"/>
          <w:szCs w:val="16"/>
          <w:lang w:val="es-CO"/>
        </w:rPr>
        <w:t>1o. La competencia para ordenar y dirigir la celebración de licitaciones o concursos y para escoger contratistas será del jefe o representante de la entidad, según el caso. </w:t>
      </w:r>
    </w:p>
    <w:p w14:paraId="262A504F" w14:textId="77777777" w:rsidR="001D0810" w:rsidRPr="00A11C2B" w:rsidRDefault="001D0810" w:rsidP="001D0810">
      <w:pPr>
        <w:pStyle w:val="FootnoteText"/>
        <w:snapToGrid w:val="0"/>
        <w:ind w:firstLine="709"/>
        <w:jc w:val="both"/>
        <w:rPr>
          <w:rFonts w:ascii="Verdana" w:hAnsi="Verdana"/>
          <w:sz w:val="16"/>
          <w:szCs w:val="16"/>
          <w:lang w:val="es-CO"/>
        </w:rPr>
      </w:pPr>
      <w:r w:rsidRPr="00A11C2B">
        <w:rPr>
          <w:rFonts w:ascii="Verdana" w:hAnsi="Verdana"/>
          <w:sz w:val="16"/>
          <w:szCs w:val="16"/>
          <w:lang w:val="es-CO"/>
        </w:rPr>
        <w:t>2o. Tiene competencia para celebrar contratos a nombre de la Nación, el Presidente de la República. </w:t>
      </w:r>
    </w:p>
    <w:p w14:paraId="4057B6CC" w14:textId="77777777" w:rsidR="001D0810" w:rsidRPr="00A11C2B" w:rsidRDefault="001D0810" w:rsidP="001D0810">
      <w:pPr>
        <w:pStyle w:val="FootnoteText"/>
        <w:snapToGrid w:val="0"/>
        <w:ind w:firstLine="709"/>
        <w:jc w:val="both"/>
        <w:rPr>
          <w:rFonts w:ascii="Verdana" w:hAnsi="Verdana"/>
          <w:sz w:val="16"/>
          <w:szCs w:val="16"/>
          <w:lang w:val="es-CO"/>
        </w:rPr>
      </w:pPr>
      <w:r w:rsidRPr="00A11C2B">
        <w:rPr>
          <w:rFonts w:ascii="Verdana" w:hAnsi="Verdana"/>
          <w:sz w:val="16"/>
          <w:szCs w:val="16"/>
          <w:lang w:val="es-CO"/>
        </w:rPr>
        <w:t>3o. Tienen competencia para celebrar contratos a nombre de la entidad respectiva: </w:t>
      </w:r>
    </w:p>
    <w:p w14:paraId="000C909F" w14:textId="77777777" w:rsidR="001D0810" w:rsidRPr="00A11C2B" w:rsidRDefault="001D0810" w:rsidP="001D0810">
      <w:pPr>
        <w:pStyle w:val="FootnoteText"/>
        <w:snapToGrid w:val="0"/>
        <w:ind w:firstLine="709"/>
        <w:jc w:val="both"/>
        <w:rPr>
          <w:rFonts w:ascii="Verdana" w:hAnsi="Verdana"/>
          <w:sz w:val="16"/>
          <w:szCs w:val="16"/>
          <w:lang w:val="es-CO"/>
        </w:rPr>
      </w:pPr>
      <w:r w:rsidRPr="00A11C2B">
        <w:rPr>
          <w:rFonts w:ascii="Verdana" w:hAnsi="Verdana"/>
          <w:sz w:val="16"/>
          <w:szCs w:val="16"/>
          <w:lang w:val="es-CO"/>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7D14D570" w14:textId="77777777" w:rsidR="001D0810" w:rsidRPr="00A11C2B" w:rsidRDefault="001D0810" w:rsidP="001D0810">
      <w:pPr>
        <w:pStyle w:val="FootnoteText"/>
        <w:snapToGrid w:val="0"/>
        <w:ind w:firstLine="709"/>
        <w:jc w:val="both"/>
        <w:rPr>
          <w:rFonts w:ascii="Verdana" w:hAnsi="Verdana"/>
          <w:sz w:val="16"/>
          <w:szCs w:val="16"/>
          <w:lang w:val="es-CO"/>
        </w:rPr>
      </w:pPr>
      <w:r w:rsidRPr="00A11C2B">
        <w:rPr>
          <w:rFonts w:ascii="Verdana" w:hAnsi="Verdana"/>
          <w:sz w:val="16"/>
          <w:szCs w:val="16"/>
          <w:lang w:val="es-CO"/>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234D13F0" w14:textId="77777777" w:rsidR="001D0810" w:rsidRPr="00A11C2B" w:rsidRDefault="001D0810" w:rsidP="001D0810">
      <w:pPr>
        <w:pStyle w:val="FootnoteText"/>
        <w:snapToGrid w:val="0"/>
        <w:ind w:firstLine="709"/>
        <w:jc w:val="both"/>
        <w:rPr>
          <w:rFonts w:ascii="Verdana" w:hAnsi="Verdana"/>
          <w:sz w:val="16"/>
          <w:szCs w:val="16"/>
          <w:lang w:val="es-CO"/>
        </w:rPr>
      </w:pPr>
      <w:r w:rsidRPr="00A11C2B">
        <w:rPr>
          <w:rFonts w:ascii="Verdana" w:hAnsi="Verdana"/>
          <w:sz w:val="16"/>
          <w:szCs w:val="16"/>
          <w:lang w:val="es-CO"/>
        </w:rPr>
        <w:t>c) Los representantes legales de las entidades descentralizadas en todos los órdenes y niveles. </w:t>
      </w:r>
      <w:bookmarkStart w:id="18" w:name="ver_30161404"/>
      <w:bookmarkStart w:id="19" w:name="ver_1790120"/>
      <w:bookmarkEnd w:id="18"/>
      <w:bookmarkEnd w:id="19"/>
    </w:p>
  </w:footnote>
  <w:footnote w:id="31">
    <w:p w14:paraId="5F02B52D" w14:textId="77777777" w:rsidR="001D0810" w:rsidRPr="00A11C2B" w:rsidRDefault="001D0810" w:rsidP="001D0810">
      <w:pPr>
        <w:pStyle w:val="FootnoteText"/>
        <w:snapToGrid w:val="0"/>
        <w:ind w:firstLine="709"/>
        <w:jc w:val="both"/>
        <w:rPr>
          <w:rFonts w:ascii="Verdana" w:hAnsi="Verdana"/>
          <w:sz w:val="16"/>
          <w:szCs w:val="16"/>
          <w:lang w:val="es-CO"/>
        </w:rPr>
      </w:pPr>
      <w:r w:rsidRPr="00A11C2B">
        <w:rPr>
          <w:rStyle w:val="FootnoteReference"/>
          <w:rFonts w:ascii="Verdana" w:hAnsi="Verdana"/>
          <w:sz w:val="16"/>
          <w:szCs w:val="16"/>
        </w:rPr>
        <w:footnoteRef/>
      </w:r>
      <w:r w:rsidRPr="00A11C2B">
        <w:rPr>
          <w:rFonts w:ascii="Verdana" w:hAnsi="Verdana"/>
          <w:sz w:val="16"/>
          <w:szCs w:val="16"/>
        </w:rPr>
        <w:t xml:space="preserve"> </w:t>
      </w:r>
      <w:r w:rsidRPr="00A11C2B">
        <w:rPr>
          <w:rFonts w:ascii="Verdana" w:hAnsi="Verdana"/>
          <w:bCs/>
          <w:sz w:val="16"/>
          <w:szCs w:val="16"/>
          <w:lang w:val="es-CO"/>
        </w:rPr>
        <w:t>ARTICULO 12. DE LA DELEGACION PARA CONTRATAR.</w:t>
      </w:r>
      <w:r w:rsidRPr="00A11C2B">
        <w:rPr>
          <w:rFonts w:ascii="Verdana" w:hAnsi="Verdana"/>
          <w:sz w:val="16"/>
          <w:szCs w:val="16"/>
          <w:lang w:val="es-CO"/>
        </w:rPr>
        <w:t>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w:t>
      </w:r>
    </w:p>
    <w:p w14:paraId="05ED7B22" w14:textId="77777777" w:rsidR="001D0810" w:rsidRPr="00A11C2B" w:rsidRDefault="001D0810" w:rsidP="001D0810">
      <w:pPr>
        <w:pStyle w:val="FootnoteText"/>
        <w:snapToGrid w:val="0"/>
        <w:ind w:firstLine="709"/>
        <w:jc w:val="both"/>
        <w:rPr>
          <w:rFonts w:ascii="Verdana" w:hAnsi="Verdana"/>
          <w:sz w:val="16"/>
          <w:szCs w:val="16"/>
          <w:lang w:val="es-CO"/>
        </w:rPr>
      </w:pPr>
      <w:r w:rsidRPr="00A11C2B">
        <w:rPr>
          <w:rFonts w:ascii="Verdana" w:hAnsi="Verdana"/>
          <w:sz w:val="16"/>
          <w:szCs w:val="16"/>
          <w:lang w:val="es-CO"/>
        </w:rPr>
        <w:t>En ningún caso, los jefes y representantes legales de las entidades estatales quedarán exonerados por virtud de la delegación de sus deberes de control y vigilancia de la actividad precontractual y contractual.  </w:t>
      </w:r>
    </w:p>
    <w:p w14:paraId="02997D87" w14:textId="77777777" w:rsidR="001D0810" w:rsidRPr="00A11C2B" w:rsidRDefault="001D0810" w:rsidP="001D0810">
      <w:pPr>
        <w:pStyle w:val="FootnoteText"/>
        <w:snapToGrid w:val="0"/>
        <w:ind w:firstLine="708"/>
        <w:jc w:val="both"/>
        <w:rPr>
          <w:rFonts w:ascii="Verdana" w:hAnsi="Verdana"/>
          <w:sz w:val="16"/>
          <w:szCs w:val="16"/>
          <w:lang w:val="es-ES"/>
        </w:rPr>
      </w:pPr>
      <w:r w:rsidRPr="00A11C2B">
        <w:rPr>
          <w:rFonts w:ascii="Verdana" w:hAnsi="Verdana"/>
          <w:bCs/>
          <w:sz w:val="16"/>
          <w:szCs w:val="16"/>
          <w:lang w:val="es-CO"/>
        </w:rPr>
        <w:t>Parágrafo. </w:t>
      </w:r>
      <w:r w:rsidRPr="00A11C2B">
        <w:rPr>
          <w:rFonts w:ascii="Verdana" w:hAnsi="Verdana"/>
          <w:sz w:val="16"/>
          <w:szCs w:val="16"/>
          <w:lang w:val="es-CO"/>
        </w:rPr>
        <w:t>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  </w:t>
      </w:r>
    </w:p>
  </w:footnote>
  <w:footnote w:id="32">
    <w:p w14:paraId="55716408" w14:textId="77777777" w:rsidR="001D0810" w:rsidRPr="00A11C2B" w:rsidRDefault="001D0810" w:rsidP="001D0810">
      <w:pPr>
        <w:snapToGrid w:val="0"/>
        <w:spacing w:after="0" w:line="240" w:lineRule="auto"/>
        <w:ind w:firstLine="708"/>
        <w:jc w:val="both"/>
        <w:rPr>
          <w:rFonts w:ascii="Verdana" w:hAnsi="Verdana"/>
          <w:sz w:val="16"/>
          <w:szCs w:val="16"/>
        </w:rPr>
      </w:pPr>
      <w:r w:rsidRPr="00A11C2B">
        <w:rPr>
          <w:rStyle w:val="FootnoteReference"/>
          <w:rFonts w:ascii="Verdana" w:hAnsi="Verdana"/>
          <w:sz w:val="16"/>
          <w:szCs w:val="16"/>
        </w:rPr>
        <w:footnoteRef/>
      </w:r>
      <w:r w:rsidRPr="00A11C2B">
        <w:rPr>
          <w:rFonts w:ascii="Verdana" w:hAnsi="Verdana"/>
          <w:sz w:val="16"/>
          <w:szCs w:val="16"/>
        </w:rPr>
        <w:t xml:space="preserve"> Consejo de Estado. Sala de Consulta y Servicio Civil. C.P.: Óscar Darío Amaya Navas. Concepto del 6 de junio de 2018. Radicación número: 2369.</w:t>
      </w:r>
    </w:p>
  </w:footnote>
  <w:footnote w:id="33">
    <w:p w14:paraId="7A176564" w14:textId="77777777" w:rsidR="001D0810" w:rsidRPr="00A11C2B" w:rsidRDefault="001D0810" w:rsidP="001D0810">
      <w:pPr>
        <w:pStyle w:val="FootnoteText"/>
        <w:snapToGrid w:val="0"/>
        <w:ind w:firstLine="708"/>
        <w:jc w:val="both"/>
        <w:rPr>
          <w:rFonts w:ascii="Verdana" w:hAnsi="Verdana"/>
          <w:sz w:val="16"/>
          <w:szCs w:val="16"/>
        </w:rPr>
      </w:pPr>
      <w:r w:rsidRPr="00A11C2B">
        <w:rPr>
          <w:rStyle w:val="FootnoteReference"/>
          <w:rFonts w:ascii="Verdana" w:hAnsi="Verdana"/>
          <w:sz w:val="16"/>
          <w:szCs w:val="16"/>
        </w:rPr>
        <w:footnoteRef/>
      </w:r>
      <w:r w:rsidRPr="00A11C2B">
        <w:rPr>
          <w:rFonts w:ascii="Verdana" w:hAnsi="Verdana"/>
          <w:sz w:val="16"/>
          <w:szCs w:val="16"/>
        </w:rPr>
        <w:t xml:space="preserve"> Ibidem. </w:t>
      </w:r>
    </w:p>
  </w:footnote>
  <w:footnote w:id="34">
    <w:p w14:paraId="6E99A00A" w14:textId="77777777" w:rsidR="001D0810" w:rsidRPr="00A11C2B" w:rsidRDefault="001D0810" w:rsidP="001D0810">
      <w:pPr>
        <w:pStyle w:val="FootnoteText"/>
        <w:snapToGrid w:val="0"/>
        <w:ind w:firstLine="708"/>
        <w:jc w:val="both"/>
        <w:rPr>
          <w:rFonts w:ascii="Verdana" w:hAnsi="Verdana" w:cs="Arial"/>
          <w:sz w:val="16"/>
          <w:szCs w:val="16"/>
        </w:rPr>
      </w:pPr>
      <w:r w:rsidRPr="00A11C2B">
        <w:rPr>
          <w:rStyle w:val="FootnoteReference"/>
          <w:rFonts w:ascii="Verdana" w:hAnsi="Verdana" w:cs="Arial"/>
          <w:sz w:val="16"/>
          <w:szCs w:val="16"/>
        </w:rPr>
        <w:footnoteRef/>
      </w:r>
      <w:r w:rsidRPr="00A11C2B">
        <w:rPr>
          <w:rFonts w:ascii="Verdana" w:hAnsi="Verdana" w:cs="Arial"/>
          <w:sz w:val="16"/>
          <w:szCs w:val="16"/>
        </w:rPr>
        <w:t xml:space="preserve"> </w:t>
      </w:r>
      <w:r w:rsidRPr="00A11C2B">
        <w:rPr>
          <w:rFonts w:ascii="Verdana" w:hAnsi="Verdana" w:cs="Arial"/>
          <w:bCs/>
          <w:i/>
          <w:sz w:val="16"/>
          <w:szCs w:val="16"/>
        </w:rPr>
        <w:t xml:space="preserve">Cfr. </w:t>
      </w:r>
      <w:r w:rsidRPr="00A11C2B">
        <w:rPr>
          <w:rFonts w:ascii="Verdana" w:hAnsi="Verdana" w:cs="Arial"/>
          <w:sz w:val="16"/>
          <w:szCs w:val="16"/>
        </w:rPr>
        <w:t>DAVILA VINUEZA Luis Guillermo. Régimen Jurídico de la contratación estatal. Bogotá: Editorial Legis, 2001, p. 387.</w:t>
      </w:r>
    </w:p>
  </w:footnote>
  <w:footnote w:id="35">
    <w:p w14:paraId="169DA36F" w14:textId="77777777" w:rsidR="001D0810" w:rsidRPr="00A11C2B" w:rsidRDefault="001D0810" w:rsidP="001D0810">
      <w:pPr>
        <w:pStyle w:val="FootnoteText"/>
        <w:snapToGrid w:val="0"/>
        <w:ind w:firstLine="708"/>
        <w:jc w:val="both"/>
        <w:rPr>
          <w:rFonts w:ascii="Verdana" w:eastAsia="Times New Roman" w:hAnsi="Verdana" w:cs="Arial"/>
          <w:bCs/>
          <w:sz w:val="16"/>
          <w:szCs w:val="16"/>
          <w:lang w:val="es-ES" w:eastAsia="es-ES"/>
        </w:rPr>
      </w:pPr>
      <w:r w:rsidRPr="00A11C2B">
        <w:rPr>
          <w:rStyle w:val="FootnoteReference"/>
          <w:rFonts w:ascii="Verdana" w:hAnsi="Verdana" w:cs="Arial"/>
          <w:sz w:val="16"/>
          <w:szCs w:val="16"/>
        </w:rPr>
        <w:footnoteRef/>
      </w:r>
      <w:r w:rsidRPr="00A11C2B">
        <w:rPr>
          <w:rFonts w:ascii="Verdana" w:hAnsi="Verdana" w:cs="Arial"/>
          <w:sz w:val="16"/>
          <w:szCs w:val="16"/>
        </w:rPr>
        <w:t xml:space="preserve"> </w:t>
      </w:r>
      <w:r w:rsidRPr="00A11C2B">
        <w:rPr>
          <w:rFonts w:ascii="Verdana" w:hAnsi="Verdana" w:cs="Arial"/>
          <w:sz w:val="16"/>
          <w:szCs w:val="16"/>
          <w:lang w:val="es-CO"/>
        </w:rPr>
        <w:t>Sobre el particular resultan pertinentes las consideraciones efectuadas en el mismo sentido por la</w:t>
      </w:r>
      <w:r w:rsidRPr="00A11C2B">
        <w:rPr>
          <w:rFonts w:ascii="Verdana" w:eastAsia="Times New Roman" w:hAnsi="Verdana" w:cs="Arial"/>
          <w:sz w:val="16"/>
          <w:szCs w:val="16"/>
          <w:lang w:val="es-ES" w:eastAsia="es-ES"/>
        </w:rPr>
        <w:t xml:space="preserve"> Sala de Consulta y Servicio Civil del Consejo de Estado en el concepto del 13 de agosto de 2009, rad. </w:t>
      </w:r>
      <w:r w:rsidRPr="00A11C2B">
        <w:rPr>
          <w:rFonts w:ascii="Verdana" w:eastAsia="Times New Roman" w:hAnsi="Verdana" w:cs="Arial"/>
          <w:bCs/>
          <w:sz w:val="16"/>
          <w:szCs w:val="16"/>
          <w:lang w:val="es-ES" w:eastAsia="es-ES"/>
        </w:rPr>
        <w:t xml:space="preserve">1.952, C.P. Enrique José Arboleda Perdomo y por la Corte Constitucional en la sentencia C-300 de 2012. </w:t>
      </w:r>
    </w:p>
    <w:p w14:paraId="3893A048" w14:textId="77777777" w:rsidR="001D0810" w:rsidRPr="00A11C2B" w:rsidRDefault="001D0810" w:rsidP="001D0810">
      <w:pPr>
        <w:pStyle w:val="FootnoteText"/>
        <w:snapToGrid w:val="0"/>
        <w:ind w:firstLine="708"/>
        <w:jc w:val="both"/>
        <w:rPr>
          <w:rFonts w:ascii="Verdana" w:hAnsi="Verdana" w:cs="Arial"/>
          <w:sz w:val="16"/>
          <w:szCs w:val="16"/>
          <w:lang w:val="es-CO"/>
        </w:rPr>
      </w:pPr>
    </w:p>
  </w:footnote>
  <w:footnote w:id="36">
    <w:p w14:paraId="1278C486" w14:textId="77777777" w:rsidR="001D0810" w:rsidRPr="00A11C2B" w:rsidRDefault="001D0810" w:rsidP="001D0810">
      <w:pPr>
        <w:pStyle w:val="FootnoteText"/>
        <w:snapToGrid w:val="0"/>
        <w:ind w:firstLine="708"/>
        <w:jc w:val="both"/>
        <w:rPr>
          <w:rFonts w:ascii="Verdana" w:hAnsi="Verdana" w:cs="Arial"/>
          <w:color w:val="000000"/>
          <w:sz w:val="16"/>
          <w:szCs w:val="16"/>
        </w:rPr>
      </w:pPr>
      <w:r w:rsidRPr="00A11C2B">
        <w:rPr>
          <w:rStyle w:val="FootnoteReference"/>
          <w:rFonts w:ascii="Verdana" w:hAnsi="Verdana" w:cs="Arial"/>
          <w:color w:val="000000"/>
          <w:sz w:val="16"/>
          <w:szCs w:val="16"/>
        </w:rPr>
        <w:footnoteRef/>
      </w:r>
      <w:r w:rsidRPr="00A11C2B">
        <w:rPr>
          <w:rFonts w:ascii="Verdana" w:hAnsi="Verdana" w:cs="Arial"/>
          <w:color w:val="000000"/>
          <w:sz w:val="16"/>
          <w:szCs w:val="16"/>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3E17FE67" w14:textId="77777777" w:rsidR="001D0810" w:rsidRPr="00A11C2B" w:rsidRDefault="001D0810" w:rsidP="001D0810">
      <w:pPr>
        <w:pStyle w:val="FootnoteText"/>
        <w:snapToGrid w:val="0"/>
        <w:ind w:firstLine="708"/>
        <w:jc w:val="both"/>
        <w:rPr>
          <w:rFonts w:ascii="Verdana" w:hAnsi="Verdana" w:cs="Arial"/>
          <w:color w:val="000000"/>
          <w:sz w:val="16"/>
          <w:szCs w:val="16"/>
          <w:lang w:val="es-CO"/>
        </w:rPr>
      </w:pPr>
    </w:p>
  </w:footnote>
  <w:footnote w:id="37">
    <w:p w14:paraId="39879853" w14:textId="77777777" w:rsidR="001D0810" w:rsidRPr="00A11C2B" w:rsidRDefault="001D0810" w:rsidP="001D0810">
      <w:pPr>
        <w:pStyle w:val="FootnoteText"/>
        <w:snapToGrid w:val="0"/>
        <w:ind w:firstLine="708"/>
        <w:jc w:val="both"/>
        <w:rPr>
          <w:rFonts w:ascii="Verdana" w:hAnsi="Verdana"/>
          <w:sz w:val="16"/>
          <w:szCs w:val="16"/>
          <w:lang w:val="es-ES"/>
        </w:rPr>
      </w:pPr>
      <w:r w:rsidRPr="00A11C2B">
        <w:rPr>
          <w:rStyle w:val="FootnoteReference"/>
          <w:rFonts w:ascii="Verdana" w:hAnsi="Verdana"/>
          <w:sz w:val="16"/>
          <w:szCs w:val="16"/>
        </w:rPr>
        <w:footnoteRef/>
      </w:r>
      <w:r w:rsidRPr="00A11C2B">
        <w:rPr>
          <w:rFonts w:ascii="Verdana" w:hAnsi="Verdana"/>
          <w:sz w:val="16"/>
          <w:szCs w:val="16"/>
        </w:rPr>
        <w:t xml:space="preserve"> </w:t>
      </w:r>
      <w:r w:rsidRPr="00A11C2B">
        <w:rPr>
          <w:rFonts w:ascii="Verdana" w:hAnsi="Verdana"/>
          <w:sz w:val="16"/>
          <w:szCs w:val="16"/>
          <w:lang w:val="es-CO"/>
        </w:rPr>
        <w:t>Consejo de Estado, Sección Tercera. Sentencia del 12 de mayo de 2012. Rad No. 18446. M.P. Mauricio Fajardo Gómez.</w:t>
      </w:r>
    </w:p>
  </w:footnote>
  <w:footnote w:id="38">
    <w:p w14:paraId="21EB7901" w14:textId="77777777" w:rsidR="001D0810" w:rsidRPr="00A11C2B" w:rsidRDefault="001D0810" w:rsidP="001D0810">
      <w:pPr>
        <w:pStyle w:val="FootnoteText"/>
        <w:ind w:firstLine="708"/>
        <w:jc w:val="both"/>
        <w:rPr>
          <w:rFonts w:ascii="Verdana" w:hAnsi="Verdana"/>
          <w:sz w:val="16"/>
          <w:szCs w:val="16"/>
          <w:lang w:val="es-ES"/>
        </w:rPr>
      </w:pPr>
      <w:r w:rsidRPr="00A11C2B">
        <w:rPr>
          <w:rStyle w:val="FootnoteReference"/>
          <w:rFonts w:ascii="Verdana" w:hAnsi="Verdana"/>
          <w:sz w:val="16"/>
          <w:szCs w:val="16"/>
        </w:rPr>
        <w:footnoteRef/>
      </w:r>
      <w:r w:rsidRPr="00A11C2B">
        <w:rPr>
          <w:rFonts w:ascii="Verdana" w:hAnsi="Verdana"/>
          <w:sz w:val="16"/>
          <w:szCs w:val="16"/>
        </w:rPr>
        <w:t xml:space="preserve"> C</w:t>
      </w:r>
      <w:r w:rsidRPr="00A11C2B">
        <w:rPr>
          <w:rFonts w:ascii="Verdana" w:hAnsi="Verdana"/>
          <w:sz w:val="16"/>
          <w:szCs w:val="16"/>
          <w:lang w:val="es-CO"/>
        </w:rPr>
        <w:t>onsejo de Estado. Sección Tercera. Sentencia de 29 de agosto de 2007. Rad: 25000- 23-26-000-1994-09845-01(14854). Consejero Ponente: Mauricio Fajardo Gómez.</w:t>
      </w:r>
    </w:p>
  </w:footnote>
  <w:footnote w:id="39">
    <w:p w14:paraId="618DCE76" w14:textId="77777777" w:rsidR="001D0810" w:rsidRPr="00A11C2B" w:rsidRDefault="001D0810" w:rsidP="001D0810">
      <w:pPr>
        <w:pStyle w:val="FootnoteText"/>
        <w:snapToGrid w:val="0"/>
        <w:ind w:firstLine="708"/>
        <w:jc w:val="both"/>
        <w:rPr>
          <w:rFonts w:ascii="Verdana" w:hAnsi="Verdana"/>
          <w:sz w:val="16"/>
          <w:szCs w:val="16"/>
          <w:lang w:val="es-ES"/>
        </w:rPr>
      </w:pPr>
      <w:r w:rsidRPr="00A11C2B">
        <w:rPr>
          <w:rStyle w:val="FootnoteReference"/>
          <w:rFonts w:ascii="Verdana" w:hAnsi="Verdana"/>
          <w:sz w:val="16"/>
          <w:szCs w:val="16"/>
        </w:rPr>
        <w:footnoteRef/>
      </w:r>
      <w:r w:rsidRPr="00A11C2B">
        <w:rPr>
          <w:rFonts w:ascii="Verdana" w:hAnsi="Verdana"/>
          <w:sz w:val="16"/>
          <w:szCs w:val="16"/>
        </w:rPr>
        <w:t xml:space="preserve">Citado en Benavides, Jose Luis. </w:t>
      </w:r>
      <w:r w:rsidRPr="00A11C2B">
        <w:rPr>
          <w:rFonts w:ascii="Verdana" w:hAnsi="Verdana"/>
          <w:sz w:val="16"/>
          <w:szCs w:val="16"/>
          <w:lang w:val="es-CO"/>
        </w:rPr>
        <w:t>Identificación de las nulidades en los contratos estatales en Colombia. Universidad Externado de Colombia. Revista Digital de Derecho Administrativo. 2021.</w:t>
      </w:r>
    </w:p>
  </w:footnote>
  <w:footnote w:id="40">
    <w:p w14:paraId="1836806D" w14:textId="77777777" w:rsidR="001D0810" w:rsidRPr="00A11C2B" w:rsidRDefault="001D0810" w:rsidP="001D0810">
      <w:pPr>
        <w:pStyle w:val="FootnoteText"/>
        <w:ind w:firstLine="708"/>
        <w:jc w:val="both"/>
        <w:rPr>
          <w:rFonts w:ascii="Verdana" w:hAnsi="Verdana"/>
          <w:sz w:val="16"/>
          <w:szCs w:val="16"/>
          <w:lang w:val="es-ES"/>
        </w:rPr>
      </w:pPr>
      <w:r w:rsidRPr="00A11C2B">
        <w:rPr>
          <w:rStyle w:val="FootnoteReference"/>
          <w:rFonts w:ascii="Verdana" w:hAnsi="Verdana"/>
          <w:sz w:val="16"/>
          <w:szCs w:val="16"/>
        </w:rPr>
        <w:footnoteRef/>
      </w:r>
      <w:r w:rsidRPr="00A11C2B">
        <w:rPr>
          <w:rFonts w:ascii="Verdana" w:hAnsi="Verdana"/>
          <w:sz w:val="16"/>
          <w:szCs w:val="16"/>
        </w:rPr>
        <w:t xml:space="preserve"> </w:t>
      </w:r>
      <w:r w:rsidRPr="00A11C2B">
        <w:rPr>
          <w:rFonts w:ascii="Verdana" w:hAnsi="Verdana"/>
          <w:sz w:val="16"/>
          <w:szCs w:val="16"/>
          <w:lang w:val="es-CO"/>
        </w:rPr>
        <w:t>Consejo de Estado. Seccion Tercera. Sentencia del  treinta y uno (31) de agosto de dos mil once (2011). Rad: 25000-23-26-000-1997-04390-01(18080) Consejera ponente: Ruth Stella Correa Palacio.</w:t>
      </w:r>
    </w:p>
  </w:footnote>
  <w:footnote w:id="41">
    <w:p w14:paraId="7DE99D3A" w14:textId="77777777" w:rsidR="001D0810" w:rsidRPr="00A11C2B" w:rsidRDefault="001D0810" w:rsidP="001D0810">
      <w:pPr>
        <w:pStyle w:val="FootnoteText"/>
        <w:ind w:firstLine="708"/>
        <w:jc w:val="both"/>
        <w:rPr>
          <w:rFonts w:ascii="Verdana" w:hAnsi="Verdana"/>
          <w:sz w:val="16"/>
          <w:szCs w:val="16"/>
          <w:lang w:val="es-ES"/>
        </w:rPr>
      </w:pPr>
      <w:r w:rsidRPr="00A11C2B">
        <w:rPr>
          <w:rStyle w:val="FootnoteReference"/>
          <w:rFonts w:ascii="Verdana" w:hAnsi="Verdana"/>
          <w:sz w:val="16"/>
          <w:szCs w:val="16"/>
        </w:rPr>
        <w:footnoteRef/>
      </w:r>
      <w:r w:rsidRPr="00A11C2B">
        <w:rPr>
          <w:rFonts w:ascii="Verdana" w:hAnsi="Verdana"/>
          <w:sz w:val="16"/>
          <w:szCs w:val="16"/>
        </w:rPr>
        <w:t xml:space="preserve"> </w:t>
      </w:r>
      <w:r w:rsidRPr="00A11C2B">
        <w:rPr>
          <w:rFonts w:ascii="Verdana" w:eastAsia="Calibri" w:hAnsi="Verdana" w:cs="Arial"/>
          <w:sz w:val="16"/>
          <w:szCs w:val="16"/>
        </w:rPr>
        <w:t>Consejo de Estado. Sección Tercera. Sentencia del julio 23 de 1992. Exp. 6032. C.P Daniel Suárez Hernández.</w:t>
      </w:r>
      <w:r w:rsidRPr="00A11C2B">
        <w:rPr>
          <w:rFonts w:ascii="Verdana" w:hAnsi="Verdana"/>
          <w:sz w:val="16"/>
          <w:szCs w:val="16"/>
          <w:lang w:val="es-CO"/>
        </w:rPr>
        <w:t xml:space="preserve"> </w:t>
      </w:r>
      <w:r w:rsidRPr="00A11C2B">
        <w:rPr>
          <w:rFonts w:ascii="Verdana" w:eastAsia="Calibri" w:hAnsi="Verdana" w:cs="Arial"/>
          <w:sz w:val="16"/>
          <w:szCs w:val="16"/>
          <w:lang w:val="es-CO"/>
        </w:rPr>
        <w:t>Sobre la ausencia de salvedades en los acuerdos modificatorios, de suspensión o prórroga de los contratos el Consejo de Estado se ha</w:t>
      </w:r>
      <w:r>
        <w:rPr>
          <w:rFonts w:ascii="Verdana" w:eastAsia="Calibri" w:hAnsi="Verdana" w:cs="Arial"/>
          <w:sz w:val="16"/>
          <w:szCs w:val="16"/>
          <w:lang w:val="es-CO"/>
        </w:rPr>
        <w:t xml:space="preserve"> </w:t>
      </w:r>
      <w:r w:rsidRPr="00A11C2B">
        <w:rPr>
          <w:rFonts w:ascii="Verdana" w:eastAsia="Calibri" w:hAnsi="Verdana" w:cs="Arial"/>
          <w:sz w:val="16"/>
          <w:szCs w:val="16"/>
          <w:lang w:val="es-CO"/>
        </w:rPr>
        <w:t xml:space="preserve">pronunciado en: </w:t>
      </w:r>
      <w:r>
        <w:rPr>
          <w:rFonts w:ascii="Verdana" w:eastAsia="Calibri" w:hAnsi="Verdana" w:cs="Arial"/>
          <w:sz w:val="16"/>
          <w:szCs w:val="16"/>
          <w:lang w:val="es-CO"/>
        </w:rPr>
        <w:t>C</w:t>
      </w:r>
      <w:r w:rsidRPr="00A11C2B">
        <w:rPr>
          <w:rFonts w:ascii="Verdana" w:eastAsia="Calibri" w:hAnsi="Verdana" w:cs="Arial"/>
          <w:sz w:val="16"/>
          <w:szCs w:val="16"/>
          <w:lang w:val="es-CO"/>
        </w:rPr>
        <w:t>onsejo de Estado, Sala de lo Contencioso Administrativo, Sección Tercera – Subsección A, sentencia de 8 de noviembre de 2016, radicación: 17001233100020080013801 (47336);</w:t>
      </w:r>
      <w:r>
        <w:rPr>
          <w:rFonts w:ascii="Verdana" w:eastAsia="Calibri" w:hAnsi="Verdana" w:cs="Arial"/>
          <w:sz w:val="16"/>
          <w:szCs w:val="16"/>
          <w:lang w:val="es-CO"/>
        </w:rPr>
        <w:t xml:space="preserve"> </w:t>
      </w:r>
      <w:r w:rsidRPr="00A11C2B">
        <w:rPr>
          <w:rFonts w:ascii="Verdana" w:eastAsia="Calibri" w:hAnsi="Verdana" w:cs="Arial"/>
          <w:sz w:val="16"/>
          <w:szCs w:val="16"/>
          <w:lang w:val="es-CO"/>
        </w:rPr>
        <w:t xml:space="preserve">Consejo de Estado, Sala de lo Contencioso Administrativo. Sección Tercera, Subsección A. sentencia de 6 de febrero de 2020, radicación número: 25000-23-26-000-2012-00225-01(63123); Consejo de Estado, Sala de lo Contencioso Administrativo, Sección Tercera, Subsección A, 8 de mayo de 2020. Exp. 64.701.; y </w:t>
      </w:r>
      <w:r w:rsidRPr="00A11C2B">
        <w:rPr>
          <w:rFonts w:ascii="Verdana" w:eastAsia="Calibri" w:hAnsi="Verdana" w:cs="Arial"/>
          <w:sz w:val="16"/>
          <w:szCs w:val="16"/>
        </w:rPr>
        <w:t xml:space="preserve">Consejo de Estado. Sección Tercera. Sentencia del </w:t>
      </w:r>
      <w:r w:rsidRPr="00A11C2B">
        <w:rPr>
          <w:rFonts w:ascii="Verdana" w:eastAsia="Calibri" w:hAnsi="Verdana" w:cs="Arial"/>
          <w:sz w:val="16"/>
          <w:szCs w:val="16"/>
          <w:lang w:val="es-CO"/>
        </w:rPr>
        <w:t>ocho (8) de noviembre de dos mil veintiuno (2021).</w:t>
      </w:r>
      <w:r w:rsidRPr="00A11C2B">
        <w:rPr>
          <w:rFonts w:ascii="Verdana" w:hAnsi="Verdana"/>
          <w:sz w:val="16"/>
          <w:szCs w:val="16"/>
          <w:lang w:val="es-CO"/>
        </w:rPr>
        <w:t xml:space="preserve"> </w:t>
      </w:r>
      <w:r w:rsidRPr="00A11C2B">
        <w:rPr>
          <w:rFonts w:ascii="Verdana" w:eastAsia="Calibri" w:hAnsi="Verdana" w:cs="Arial"/>
          <w:sz w:val="16"/>
          <w:szCs w:val="16"/>
          <w:lang w:val="es-CO"/>
        </w:rPr>
        <w:t>Rad: 25000-23-36-000-2013-02201-01(56023). Consejera ponente: Marta Nubia Velásquez Rico, entre otras.</w:t>
      </w:r>
    </w:p>
  </w:footnote>
  <w:footnote w:id="42">
    <w:p w14:paraId="0641ACCA" w14:textId="77777777" w:rsidR="001D0810" w:rsidRPr="00A11C2B" w:rsidRDefault="001D0810" w:rsidP="001D0810">
      <w:pPr>
        <w:pStyle w:val="FootnoteText"/>
        <w:ind w:firstLine="708"/>
        <w:jc w:val="both"/>
        <w:rPr>
          <w:rFonts w:ascii="Verdana" w:hAnsi="Verdana"/>
          <w:sz w:val="16"/>
          <w:szCs w:val="16"/>
          <w:lang w:val="es-ES"/>
        </w:rPr>
      </w:pPr>
      <w:r w:rsidRPr="00A11C2B">
        <w:rPr>
          <w:rStyle w:val="FootnoteReference"/>
          <w:rFonts w:ascii="Verdana" w:hAnsi="Verdana"/>
          <w:sz w:val="16"/>
          <w:szCs w:val="16"/>
        </w:rPr>
        <w:footnoteRef/>
      </w:r>
      <w:r w:rsidRPr="00A11C2B">
        <w:rPr>
          <w:rFonts w:ascii="Verdana" w:hAnsi="Verdana"/>
          <w:sz w:val="16"/>
          <w:szCs w:val="16"/>
        </w:rPr>
        <w:t xml:space="preserve"> </w:t>
      </w:r>
      <w:r w:rsidRPr="00A11C2B">
        <w:rPr>
          <w:rFonts w:ascii="Verdana" w:eastAsia="Calibri" w:hAnsi="Verdana" w:cs="Arial"/>
          <w:sz w:val="16"/>
          <w:szCs w:val="16"/>
        </w:rPr>
        <w:t xml:space="preserve">Consejo de Estado. Sección Tercera. </w:t>
      </w:r>
      <w:r w:rsidRPr="00A11C2B">
        <w:rPr>
          <w:rFonts w:ascii="Verdana" w:hAnsi="Verdana"/>
          <w:sz w:val="16"/>
          <w:szCs w:val="16"/>
          <w:lang w:val="es-CO"/>
        </w:rPr>
        <w:t>Sentencia del trece (13) de noviembre de dos mil trece (2013). Rad: 25000-23-26-000-1999-02430-01(23829). Consejero ponente: Hernán Andrade Rincón</w:t>
      </w:r>
    </w:p>
  </w:footnote>
  <w:footnote w:id="43">
    <w:p w14:paraId="208E7875" w14:textId="77777777" w:rsidR="001D0810" w:rsidRPr="00A11C2B" w:rsidRDefault="001D0810" w:rsidP="001D0810">
      <w:pPr>
        <w:pStyle w:val="FootnoteText"/>
        <w:ind w:firstLine="708"/>
        <w:jc w:val="both"/>
        <w:rPr>
          <w:rFonts w:ascii="Verdana" w:hAnsi="Verdana"/>
          <w:sz w:val="16"/>
          <w:szCs w:val="16"/>
          <w:lang w:val="es-ES"/>
        </w:rPr>
      </w:pPr>
      <w:r w:rsidRPr="00A11C2B">
        <w:rPr>
          <w:rStyle w:val="FootnoteReference"/>
          <w:rFonts w:ascii="Verdana" w:hAnsi="Verdana"/>
          <w:sz w:val="16"/>
          <w:szCs w:val="16"/>
        </w:rPr>
        <w:footnoteRef/>
      </w:r>
      <w:r w:rsidRPr="00A11C2B">
        <w:rPr>
          <w:rFonts w:ascii="Verdana" w:hAnsi="Verdana"/>
          <w:sz w:val="16"/>
          <w:szCs w:val="16"/>
        </w:rPr>
        <w:t xml:space="preserve"> </w:t>
      </w:r>
      <w:r w:rsidRPr="00A11C2B">
        <w:rPr>
          <w:rFonts w:ascii="Verdana" w:eastAsia="Calibri" w:hAnsi="Verdana" w:cs="Arial"/>
          <w:sz w:val="16"/>
          <w:szCs w:val="16"/>
        </w:rPr>
        <w:t xml:space="preserve">Consejo de Estado. Sección Tercera. Sentencia del </w:t>
      </w:r>
      <w:r w:rsidRPr="00A11C2B">
        <w:rPr>
          <w:rFonts w:ascii="Verdana" w:eastAsia="Calibri" w:hAnsi="Verdana" w:cs="Arial"/>
          <w:sz w:val="16"/>
          <w:szCs w:val="16"/>
          <w:lang w:val="es-CO"/>
        </w:rPr>
        <w:t>ocho (8) de noviembre de dos mil veintiuno (2021).</w:t>
      </w:r>
      <w:r w:rsidRPr="00A11C2B">
        <w:rPr>
          <w:rFonts w:ascii="Verdana" w:hAnsi="Verdana"/>
          <w:sz w:val="16"/>
          <w:szCs w:val="16"/>
          <w:lang w:val="es-CO"/>
        </w:rPr>
        <w:t xml:space="preserve"> </w:t>
      </w:r>
      <w:r w:rsidRPr="00A11C2B">
        <w:rPr>
          <w:rFonts w:ascii="Verdana" w:eastAsia="Calibri" w:hAnsi="Verdana" w:cs="Arial"/>
          <w:sz w:val="16"/>
          <w:szCs w:val="16"/>
          <w:lang w:val="es-CO"/>
        </w:rPr>
        <w:t>Rad: 25000-23-36-000-2013-02201-01(56023). Consejera ponente: Marta Nubia Velásquez Rico</w:t>
      </w:r>
    </w:p>
  </w:footnote>
  <w:footnote w:id="44">
    <w:p w14:paraId="14AFE764" w14:textId="77777777" w:rsidR="001D0810" w:rsidRPr="00A11C2B" w:rsidRDefault="001D0810" w:rsidP="001D0810">
      <w:pPr>
        <w:pStyle w:val="FootnoteText"/>
        <w:snapToGrid w:val="0"/>
        <w:ind w:firstLine="708"/>
        <w:jc w:val="both"/>
        <w:rPr>
          <w:rFonts w:ascii="Verdana" w:hAnsi="Verdana"/>
          <w:sz w:val="16"/>
          <w:szCs w:val="16"/>
          <w:lang w:val="es-ES"/>
        </w:rPr>
      </w:pPr>
      <w:r w:rsidRPr="00A11C2B">
        <w:rPr>
          <w:rStyle w:val="FootnoteReference"/>
          <w:rFonts w:ascii="Verdana" w:hAnsi="Verdana"/>
          <w:sz w:val="16"/>
          <w:szCs w:val="16"/>
        </w:rPr>
        <w:footnoteRef/>
      </w:r>
      <w:r w:rsidRPr="00A11C2B">
        <w:rPr>
          <w:rFonts w:ascii="Verdana" w:hAnsi="Verdana"/>
          <w:sz w:val="16"/>
          <w:szCs w:val="16"/>
        </w:rPr>
        <w:t xml:space="preserve"> </w:t>
      </w:r>
      <w:r w:rsidRPr="00A11C2B">
        <w:rPr>
          <w:rFonts w:ascii="Verdana" w:hAnsi="Verdana"/>
          <w:sz w:val="16"/>
          <w:szCs w:val="16"/>
          <w:lang w:val="es-ES"/>
        </w:rPr>
        <w:t>Esta posición es sostenida por el Consejo de Estado en</w:t>
      </w:r>
      <w:r w:rsidRPr="00A11C2B">
        <w:rPr>
          <w:rFonts w:ascii="Verdana" w:hAnsi="Verdana"/>
          <w:sz w:val="16"/>
          <w:szCs w:val="16"/>
          <w:lang w:val="es-CO"/>
        </w:rPr>
        <w:t xml:space="preserve"> la sentencia del del 12 de mayo de 2012. Rad No. 18446. M.P. Mauricio Fajardo Gómez.</w:t>
      </w:r>
    </w:p>
  </w:footnote>
  <w:footnote w:id="45">
    <w:p w14:paraId="3B4C945C" w14:textId="77777777" w:rsidR="001D0810" w:rsidRPr="00A11C2B" w:rsidRDefault="001D0810" w:rsidP="001D0810">
      <w:pPr>
        <w:pStyle w:val="FootnoteText"/>
        <w:snapToGrid w:val="0"/>
        <w:ind w:firstLine="708"/>
        <w:jc w:val="both"/>
        <w:rPr>
          <w:rFonts w:ascii="Verdana" w:hAnsi="Verdana"/>
          <w:sz w:val="16"/>
          <w:szCs w:val="16"/>
          <w:lang w:val="es-ES"/>
        </w:rPr>
      </w:pPr>
      <w:r w:rsidRPr="00A11C2B">
        <w:rPr>
          <w:rStyle w:val="FootnoteReference"/>
          <w:rFonts w:ascii="Verdana" w:hAnsi="Verdana"/>
          <w:sz w:val="16"/>
          <w:szCs w:val="16"/>
        </w:rPr>
        <w:footnoteRef/>
      </w:r>
      <w:r w:rsidRPr="00A11C2B">
        <w:rPr>
          <w:rFonts w:ascii="Verdana" w:hAnsi="Verdana"/>
          <w:sz w:val="16"/>
          <w:szCs w:val="16"/>
        </w:rPr>
        <w:t xml:space="preserve"> C</w:t>
      </w:r>
      <w:r w:rsidRPr="00A11C2B">
        <w:rPr>
          <w:rFonts w:ascii="Verdana" w:hAnsi="Verdana"/>
          <w:sz w:val="16"/>
          <w:szCs w:val="16"/>
          <w:lang w:val="es-CO"/>
        </w:rPr>
        <w:t>onsejo de Estado. Sección Tercera. Sentencia del ocho (8) de mayo de dos mil diecinueve (2019). Rad: 25000-23-36-000-2013-02029-01(59309). Consejera ponente: Marta Nubia Velásquez Rico.</w:t>
      </w:r>
    </w:p>
  </w:footnote>
  <w:footnote w:id="46">
    <w:p w14:paraId="03E46DA2" w14:textId="77777777" w:rsidR="001D0810" w:rsidRPr="00A11C2B" w:rsidRDefault="001D0810" w:rsidP="001D0810">
      <w:pPr>
        <w:pStyle w:val="FootnoteText"/>
        <w:ind w:firstLine="708"/>
        <w:jc w:val="both"/>
        <w:rPr>
          <w:rFonts w:ascii="Verdana" w:hAnsi="Verdana"/>
          <w:sz w:val="16"/>
          <w:szCs w:val="16"/>
          <w:lang w:val="es-ES"/>
        </w:rPr>
      </w:pPr>
      <w:r w:rsidRPr="00A11C2B">
        <w:rPr>
          <w:rStyle w:val="FootnoteReference"/>
          <w:rFonts w:ascii="Verdana" w:hAnsi="Verdana"/>
          <w:sz w:val="16"/>
          <w:szCs w:val="16"/>
        </w:rPr>
        <w:footnoteRef/>
      </w:r>
      <w:r w:rsidRPr="00A11C2B">
        <w:rPr>
          <w:rFonts w:ascii="Verdana" w:hAnsi="Verdana"/>
          <w:sz w:val="16"/>
          <w:szCs w:val="16"/>
        </w:rPr>
        <w:t xml:space="preserve"> </w:t>
      </w:r>
      <w:r w:rsidRPr="00A11C2B">
        <w:rPr>
          <w:rFonts w:ascii="Verdana" w:hAnsi="Verdana"/>
          <w:sz w:val="16"/>
          <w:szCs w:val="16"/>
          <w:lang w:val="es-CO"/>
        </w:rPr>
        <w:t>Consejo de Estado. Sección Tercera. Sentencia del 18 de marzo de 2015. Rad: 730012331000200402147 01 (33223). Consejero Ponente: Jaime Orlando Santofimio Gamboa</w:t>
      </w:r>
    </w:p>
  </w:footnote>
  <w:footnote w:id="47">
    <w:p w14:paraId="6D4E9C04" w14:textId="77777777" w:rsidR="001D0810" w:rsidRPr="00A11C2B" w:rsidRDefault="001D0810" w:rsidP="001D0810">
      <w:pPr>
        <w:pStyle w:val="FootnoteText"/>
        <w:ind w:firstLine="708"/>
        <w:jc w:val="both"/>
        <w:rPr>
          <w:rFonts w:ascii="Verdana" w:hAnsi="Verdana"/>
          <w:sz w:val="16"/>
          <w:szCs w:val="16"/>
        </w:rPr>
      </w:pPr>
      <w:r w:rsidRPr="00A11C2B">
        <w:rPr>
          <w:rStyle w:val="FootnoteReference"/>
          <w:rFonts w:ascii="Verdana" w:hAnsi="Verdana"/>
          <w:sz w:val="16"/>
          <w:szCs w:val="16"/>
        </w:rPr>
        <w:footnoteRef/>
      </w:r>
      <w:r w:rsidRPr="00A11C2B">
        <w:rPr>
          <w:rFonts w:ascii="Verdana" w:hAnsi="Verdana"/>
          <w:sz w:val="16"/>
          <w:szCs w:val="16"/>
        </w:rPr>
        <w:t xml:space="preserve"> </w:t>
      </w:r>
      <w:r w:rsidRPr="00A11C2B">
        <w:rPr>
          <w:rFonts w:ascii="Verdana" w:hAnsi="Verdana"/>
          <w:sz w:val="16"/>
          <w:szCs w:val="16"/>
          <w:lang w:val="es-ES"/>
        </w:rPr>
        <w:t xml:space="preserve">Corte Constitucional. Sentencia </w:t>
      </w:r>
      <w:r w:rsidRPr="00A11C2B">
        <w:rPr>
          <w:rFonts w:ascii="Verdana" w:hAnsi="Verdana"/>
          <w:sz w:val="16"/>
          <w:szCs w:val="16"/>
          <w:lang w:val="es-CO"/>
        </w:rPr>
        <w:t>C-300 del 25 de abril de 2012.</w:t>
      </w:r>
      <w:r w:rsidRPr="00A11C2B">
        <w:rPr>
          <w:rFonts w:ascii="Verdana" w:eastAsia="Times New Roman" w:hAnsi="Verdana" w:cs="Times New Roman"/>
          <w:color w:val="2D2D2D"/>
          <w:sz w:val="16"/>
          <w:szCs w:val="16"/>
          <w:lang w:val="pt-BR"/>
        </w:rPr>
        <w:t xml:space="preserve"> </w:t>
      </w:r>
      <w:r w:rsidRPr="00A11C2B">
        <w:rPr>
          <w:rFonts w:ascii="Verdana" w:hAnsi="Verdana"/>
          <w:sz w:val="16"/>
          <w:szCs w:val="16"/>
          <w:lang w:val="pt-BR"/>
        </w:rPr>
        <w:t>Magistrado Ponente: Jorge Ignacio Pretelt Chaljub.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19" type="#_x0000_t75" style="width:15.1pt;height:15.1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554DA4"/>
    <w:multiLevelType w:val="multilevel"/>
    <w:tmpl w:val="87A6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03AD"/>
    <w:multiLevelType w:val="multilevel"/>
    <w:tmpl w:val="71D09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0E70FB"/>
    <w:multiLevelType w:val="multilevel"/>
    <w:tmpl w:val="2F36A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A35184"/>
    <w:multiLevelType w:val="multilevel"/>
    <w:tmpl w:val="DA6AA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0E0E95"/>
    <w:multiLevelType w:val="multilevel"/>
    <w:tmpl w:val="37E4A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617F90"/>
    <w:multiLevelType w:val="multilevel"/>
    <w:tmpl w:val="13BE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F4476D"/>
    <w:multiLevelType w:val="hybridMultilevel"/>
    <w:tmpl w:val="B728E722"/>
    <w:lvl w:ilvl="0" w:tplc="C86C7122">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90499D"/>
    <w:multiLevelType w:val="multilevel"/>
    <w:tmpl w:val="8B748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C5E1B4B"/>
    <w:multiLevelType w:val="multilevel"/>
    <w:tmpl w:val="87484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D7C82"/>
    <w:multiLevelType w:val="multilevel"/>
    <w:tmpl w:val="98521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C466FB6"/>
    <w:multiLevelType w:val="hybridMultilevel"/>
    <w:tmpl w:val="E168DEFA"/>
    <w:lvl w:ilvl="0" w:tplc="240A0017">
      <w:start w:val="1"/>
      <w:numFmt w:val="lowerLetter"/>
      <w:lvlText w:val="%1)"/>
      <w:lvlJc w:val="left"/>
      <w:pPr>
        <w:ind w:left="2220" w:hanging="360"/>
      </w:pPr>
    </w:lvl>
    <w:lvl w:ilvl="1" w:tplc="240A0019" w:tentative="1">
      <w:start w:val="1"/>
      <w:numFmt w:val="lowerLetter"/>
      <w:lvlText w:val="%2."/>
      <w:lvlJc w:val="left"/>
      <w:pPr>
        <w:ind w:left="2940" w:hanging="360"/>
      </w:pPr>
    </w:lvl>
    <w:lvl w:ilvl="2" w:tplc="240A001B" w:tentative="1">
      <w:start w:val="1"/>
      <w:numFmt w:val="lowerRoman"/>
      <w:lvlText w:val="%3."/>
      <w:lvlJc w:val="right"/>
      <w:pPr>
        <w:ind w:left="3660" w:hanging="180"/>
      </w:pPr>
    </w:lvl>
    <w:lvl w:ilvl="3" w:tplc="240A000F" w:tentative="1">
      <w:start w:val="1"/>
      <w:numFmt w:val="decimal"/>
      <w:lvlText w:val="%4."/>
      <w:lvlJc w:val="left"/>
      <w:pPr>
        <w:ind w:left="4380" w:hanging="360"/>
      </w:pPr>
    </w:lvl>
    <w:lvl w:ilvl="4" w:tplc="240A0019" w:tentative="1">
      <w:start w:val="1"/>
      <w:numFmt w:val="lowerLetter"/>
      <w:lvlText w:val="%5."/>
      <w:lvlJc w:val="left"/>
      <w:pPr>
        <w:ind w:left="5100" w:hanging="360"/>
      </w:pPr>
    </w:lvl>
    <w:lvl w:ilvl="5" w:tplc="240A001B" w:tentative="1">
      <w:start w:val="1"/>
      <w:numFmt w:val="lowerRoman"/>
      <w:lvlText w:val="%6."/>
      <w:lvlJc w:val="right"/>
      <w:pPr>
        <w:ind w:left="5820" w:hanging="180"/>
      </w:pPr>
    </w:lvl>
    <w:lvl w:ilvl="6" w:tplc="240A000F" w:tentative="1">
      <w:start w:val="1"/>
      <w:numFmt w:val="decimal"/>
      <w:lvlText w:val="%7."/>
      <w:lvlJc w:val="left"/>
      <w:pPr>
        <w:ind w:left="6540" w:hanging="360"/>
      </w:pPr>
    </w:lvl>
    <w:lvl w:ilvl="7" w:tplc="240A0019" w:tentative="1">
      <w:start w:val="1"/>
      <w:numFmt w:val="lowerLetter"/>
      <w:lvlText w:val="%8."/>
      <w:lvlJc w:val="left"/>
      <w:pPr>
        <w:ind w:left="7260" w:hanging="360"/>
      </w:pPr>
    </w:lvl>
    <w:lvl w:ilvl="8" w:tplc="240A001B" w:tentative="1">
      <w:start w:val="1"/>
      <w:numFmt w:val="lowerRoman"/>
      <w:lvlText w:val="%9."/>
      <w:lvlJc w:val="right"/>
      <w:pPr>
        <w:ind w:left="7980" w:hanging="180"/>
      </w:pPr>
    </w:lvl>
  </w:abstractNum>
  <w:abstractNum w:abstractNumId="23" w15:restartNumberingAfterBreak="0">
    <w:nsid w:val="4DBB54BE"/>
    <w:multiLevelType w:val="multilevel"/>
    <w:tmpl w:val="9E968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15196A"/>
    <w:multiLevelType w:val="multilevel"/>
    <w:tmpl w:val="35008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594255"/>
    <w:multiLevelType w:val="multilevel"/>
    <w:tmpl w:val="099E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D7D280E"/>
    <w:multiLevelType w:val="multilevel"/>
    <w:tmpl w:val="C70A6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CB78FD"/>
    <w:multiLevelType w:val="multilevel"/>
    <w:tmpl w:val="B6A67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79781">
    <w:abstractNumId w:val="14"/>
  </w:num>
  <w:num w:numId="2" w16cid:durableId="19822139">
    <w:abstractNumId w:val="2"/>
  </w:num>
  <w:num w:numId="3" w16cid:durableId="876742304">
    <w:abstractNumId w:val="12"/>
  </w:num>
  <w:num w:numId="4" w16cid:durableId="2451864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30"/>
  </w:num>
  <w:num w:numId="7" w16cid:durableId="1946422806">
    <w:abstractNumId w:val="13"/>
  </w:num>
  <w:num w:numId="8" w16cid:durableId="152644682">
    <w:abstractNumId w:val="28"/>
  </w:num>
  <w:num w:numId="9" w16cid:durableId="1317221377">
    <w:abstractNumId w:val="15"/>
  </w:num>
  <w:num w:numId="10" w16cid:durableId="1471245386">
    <w:abstractNumId w:val="27"/>
  </w:num>
  <w:num w:numId="11" w16cid:durableId="289172385">
    <w:abstractNumId w:val="16"/>
  </w:num>
  <w:num w:numId="12" w16cid:durableId="1470781324">
    <w:abstractNumId w:val="1"/>
  </w:num>
  <w:num w:numId="13" w16cid:durableId="1512908409">
    <w:abstractNumId w:val="7"/>
  </w:num>
  <w:num w:numId="14" w16cid:durableId="895897244">
    <w:abstractNumId w:val="31"/>
  </w:num>
  <w:num w:numId="15" w16cid:durableId="390349800">
    <w:abstractNumId w:val="26"/>
  </w:num>
  <w:num w:numId="16" w16cid:durableId="153255849">
    <w:abstractNumId w:val="20"/>
  </w:num>
  <w:num w:numId="17" w16cid:durableId="1337683695">
    <w:abstractNumId w:val="21"/>
  </w:num>
  <w:num w:numId="18" w16cid:durableId="1330140246">
    <w:abstractNumId w:val="0"/>
  </w:num>
  <w:num w:numId="19" w16cid:durableId="679089576">
    <w:abstractNumId w:val="17"/>
  </w:num>
  <w:num w:numId="20" w16cid:durableId="339936543">
    <w:abstractNumId w:val="32"/>
  </w:num>
  <w:num w:numId="21" w16cid:durableId="1790931206">
    <w:abstractNumId w:val="6"/>
  </w:num>
  <w:num w:numId="22" w16cid:durableId="1972861872">
    <w:abstractNumId w:val="23"/>
  </w:num>
  <w:num w:numId="23" w16cid:durableId="1656571551">
    <w:abstractNumId w:val="24"/>
  </w:num>
  <w:num w:numId="24" w16cid:durableId="2083481147">
    <w:abstractNumId w:val="4"/>
  </w:num>
  <w:num w:numId="25" w16cid:durableId="264313086">
    <w:abstractNumId w:val="8"/>
  </w:num>
  <w:num w:numId="26" w16cid:durableId="1538395811">
    <w:abstractNumId w:val="29"/>
  </w:num>
  <w:num w:numId="27" w16cid:durableId="808740154">
    <w:abstractNumId w:val="18"/>
  </w:num>
  <w:num w:numId="28" w16cid:durableId="1397971400">
    <w:abstractNumId w:val="19"/>
  </w:num>
  <w:num w:numId="29" w16cid:durableId="1433016357">
    <w:abstractNumId w:val="9"/>
  </w:num>
  <w:num w:numId="30" w16cid:durableId="891501897">
    <w:abstractNumId w:val="3"/>
  </w:num>
  <w:num w:numId="31" w16cid:durableId="251356420">
    <w:abstractNumId w:val="25"/>
  </w:num>
  <w:num w:numId="32" w16cid:durableId="1228877998">
    <w:abstractNumId w:val="5"/>
  </w:num>
  <w:num w:numId="33" w16cid:durableId="1722510067">
    <w:abstractNumId w:val="11"/>
  </w:num>
  <w:num w:numId="34" w16cid:durableId="472218517">
    <w:abstractNumId w:val="22"/>
  </w:num>
  <w:num w:numId="35" w16cid:durableId="14935233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1943"/>
    <w:rsid w:val="00061B2A"/>
    <w:rsid w:val="00082362"/>
    <w:rsid w:val="000A683E"/>
    <w:rsid w:val="000B19B9"/>
    <w:rsid w:val="000D0334"/>
    <w:rsid w:val="000D5DA7"/>
    <w:rsid w:val="000F6486"/>
    <w:rsid w:val="00116940"/>
    <w:rsid w:val="00125105"/>
    <w:rsid w:val="00127233"/>
    <w:rsid w:val="001377BF"/>
    <w:rsid w:val="0015699B"/>
    <w:rsid w:val="001A33BF"/>
    <w:rsid w:val="001D0810"/>
    <w:rsid w:val="001E4177"/>
    <w:rsid w:val="001F0B24"/>
    <w:rsid w:val="001F7DC6"/>
    <w:rsid w:val="0022400B"/>
    <w:rsid w:val="002421BB"/>
    <w:rsid w:val="0025796E"/>
    <w:rsid w:val="00265E99"/>
    <w:rsid w:val="002707A2"/>
    <w:rsid w:val="002951A0"/>
    <w:rsid w:val="002962BC"/>
    <w:rsid w:val="002A093D"/>
    <w:rsid w:val="002A0DD0"/>
    <w:rsid w:val="002A49AC"/>
    <w:rsid w:val="002A64FD"/>
    <w:rsid w:val="002C7A84"/>
    <w:rsid w:val="002E2BF8"/>
    <w:rsid w:val="002E4FD9"/>
    <w:rsid w:val="0030657A"/>
    <w:rsid w:val="0031665C"/>
    <w:rsid w:val="00322A85"/>
    <w:rsid w:val="00324168"/>
    <w:rsid w:val="00330834"/>
    <w:rsid w:val="003448F4"/>
    <w:rsid w:val="00374F5E"/>
    <w:rsid w:val="00377E3E"/>
    <w:rsid w:val="003A779E"/>
    <w:rsid w:val="003C564F"/>
    <w:rsid w:val="003D0F4D"/>
    <w:rsid w:val="003D12A2"/>
    <w:rsid w:val="003D5B0D"/>
    <w:rsid w:val="003E0499"/>
    <w:rsid w:val="003E4F80"/>
    <w:rsid w:val="003E6439"/>
    <w:rsid w:val="003F3941"/>
    <w:rsid w:val="0040425B"/>
    <w:rsid w:val="00406575"/>
    <w:rsid w:val="00414C74"/>
    <w:rsid w:val="0042722E"/>
    <w:rsid w:val="00441226"/>
    <w:rsid w:val="0044528D"/>
    <w:rsid w:val="00466E39"/>
    <w:rsid w:val="004A1847"/>
    <w:rsid w:val="004A305D"/>
    <w:rsid w:val="004B2131"/>
    <w:rsid w:val="004B3894"/>
    <w:rsid w:val="004F21C4"/>
    <w:rsid w:val="004F685F"/>
    <w:rsid w:val="005566E8"/>
    <w:rsid w:val="00574867"/>
    <w:rsid w:val="00586A28"/>
    <w:rsid w:val="00591460"/>
    <w:rsid w:val="005A65E0"/>
    <w:rsid w:val="005C3777"/>
    <w:rsid w:val="005C5CDC"/>
    <w:rsid w:val="005D2738"/>
    <w:rsid w:val="005D476C"/>
    <w:rsid w:val="006200BF"/>
    <w:rsid w:val="006219F8"/>
    <w:rsid w:val="006302F7"/>
    <w:rsid w:val="00646B9F"/>
    <w:rsid w:val="00665D70"/>
    <w:rsid w:val="00672F5A"/>
    <w:rsid w:val="00673878"/>
    <w:rsid w:val="006900D9"/>
    <w:rsid w:val="00706C16"/>
    <w:rsid w:val="0071580B"/>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B6272"/>
    <w:rsid w:val="008D180B"/>
    <w:rsid w:val="008F0EA7"/>
    <w:rsid w:val="009040BD"/>
    <w:rsid w:val="009111D3"/>
    <w:rsid w:val="00923EEF"/>
    <w:rsid w:val="009419F9"/>
    <w:rsid w:val="0095685E"/>
    <w:rsid w:val="00961B09"/>
    <w:rsid w:val="00965334"/>
    <w:rsid w:val="0096758F"/>
    <w:rsid w:val="0097093E"/>
    <w:rsid w:val="009A0DFA"/>
    <w:rsid w:val="009A1C6F"/>
    <w:rsid w:val="009B2D26"/>
    <w:rsid w:val="009C5E5F"/>
    <w:rsid w:val="009C71FA"/>
    <w:rsid w:val="009C72E7"/>
    <w:rsid w:val="009C7F7E"/>
    <w:rsid w:val="009D3058"/>
    <w:rsid w:val="009F3A13"/>
    <w:rsid w:val="00A122D3"/>
    <w:rsid w:val="00A14468"/>
    <w:rsid w:val="00A17F13"/>
    <w:rsid w:val="00A20739"/>
    <w:rsid w:val="00A23AF9"/>
    <w:rsid w:val="00A33C78"/>
    <w:rsid w:val="00A630E6"/>
    <w:rsid w:val="00AB0ADB"/>
    <w:rsid w:val="00B00C0E"/>
    <w:rsid w:val="00B01B1A"/>
    <w:rsid w:val="00B0381D"/>
    <w:rsid w:val="00B44A47"/>
    <w:rsid w:val="00B72CD3"/>
    <w:rsid w:val="00B72FFF"/>
    <w:rsid w:val="00BC3D36"/>
    <w:rsid w:val="00BD54A6"/>
    <w:rsid w:val="00BD7F72"/>
    <w:rsid w:val="00BF6C95"/>
    <w:rsid w:val="00BF7425"/>
    <w:rsid w:val="00C04FB3"/>
    <w:rsid w:val="00C11D8B"/>
    <w:rsid w:val="00C15139"/>
    <w:rsid w:val="00C330EB"/>
    <w:rsid w:val="00C428B3"/>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0117"/>
    <w:rsid w:val="00F76AFC"/>
    <w:rsid w:val="00FA47C0"/>
    <w:rsid w:val="00FB5DD1"/>
    <w:rsid w:val="00FC2B5D"/>
    <w:rsid w:val="00FC62FC"/>
    <w:rsid w:val="00FF1449"/>
    <w:rsid w:val="00FF7963"/>
    <w:rsid w:val="071B8F93"/>
    <w:rsid w:val="09908A09"/>
    <w:rsid w:val="0FF4CCA8"/>
    <w:rsid w:val="13CFC91B"/>
    <w:rsid w:val="19A2EC2C"/>
    <w:rsid w:val="2859CA1B"/>
    <w:rsid w:val="2DA6E0E6"/>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1D0810"/>
    <w:pPr>
      <w:spacing w:line="240" w:lineRule="exact"/>
    </w:pPr>
    <w:rPr>
      <w:vertAlign w:val="superscript"/>
    </w:rPr>
  </w:style>
  <w:style w:type="character" w:customStyle="1" w:styleId="baj">
    <w:name w:val="b_aj"/>
    <w:basedOn w:val="DefaultParagraphFont"/>
    <w:rsid w:val="001D0810"/>
  </w:style>
  <w:style w:type="character" w:customStyle="1" w:styleId="NormalWebChar">
    <w:name w:val="Normal (Web) Char"/>
    <w:link w:val="NormalWeb"/>
    <w:uiPriority w:val="99"/>
    <w:locked/>
    <w:rsid w:val="001D0810"/>
    <w:rPr>
      <w:rFonts w:ascii="Times New Roman" w:eastAsia="Times New Roman" w:hAnsi="Times New Roman" w:cs="Times New Roman"/>
      <w:sz w:val="24"/>
      <w:szCs w:val="24"/>
      <w:lang w:eastAsia="es-CO"/>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1D0810"/>
    <w:rPr>
      <w:rFonts w:ascii="Geomanist Light" w:hAnsi="Geomanist Light"/>
      <w:lang w:val="es-ES"/>
    </w:rPr>
  </w:style>
  <w:style w:type="paragraph" w:styleId="BodyText">
    <w:name w:val="Body Text"/>
    <w:basedOn w:val="Normal"/>
    <w:link w:val="BodyTextChar"/>
    <w:uiPriority w:val="1"/>
    <w:qFormat/>
    <w:rsid w:val="001D0810"/>
    <w:pPr>
      <w:widowControl w:val="0"/>
      <w:autoSpaceDE w:val="0"/>
      <w:autoSpaceDN w:val="0"/>
      <w:spacing w:after="0" w:line="240" w:lineRule="auto"/>
    </w:pPr>
    <w:rPr>
      <w:rFonts w:ascii="Verdana" w:eastAsia="Verdana" w:hAnsi="Verdana" w:cs="Verdana"/>
      <w:lang w:val="es-ES"/>
    </w:rPr>
  </w:style>
  <w:style w:type="character" w:customStyle="1" w:styleId="BodyTextChar">
    <w:name w:val="Body Text Char"/>
    <w:basedOn w:val="DefaultParagraphFont"/>
    <w:link w:val="BodyText"/>
    <w:uiPriority w:val="1"/>
    <w:rsid w:val="001D0810"/>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20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yerolayatorres52@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revistas.uexternado.edu.co/index.php/derest/article/view/706" TargetMode="External"/><Relationship Id="rId2" Type="http://schemas.openxmlformats.org/officeDocument/2006/relationships/hyperlink" Target="http://www.secretariasenado.gov.co/senado/basedoc/ley_1508_2012.html" TargetMode="External"/><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01781fedfafda0f78eb836b344c0283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c95995aec6ec9bb8a2772c6ac378fe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d8f5e815-0076-445a-b727-5225634d30bd"/>
    <ds:schemaRef ds:uri="8ae15d26-076e-464e-81a7-6f76a0fb3917"/>
  </ds:schemaRefs>
</ds:datastoreItem>
</file>

<file path=customXml/itemProps2.xml><?xml version="1.0" encoding="utf-8"?>
<ds:datastoreItem xmlns:ds="http://schemas.openxmlformats.org/officeDocument/2006/customXml" ds:itemID="{3FE26F18-6597-4934-9A0D-1A738F8D786D}"/>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46</Pages>
  <Words>14760</Words>
  <Characters>84138</Characters>
  <Application>Microsoft Office Word</Application>
  <DocSecurity>0</DocSecurity>
  <Lines>701</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98701</CharactersWithSpaces>
  <SharedDoc>false</SharedDoc>
  <HLinks>
    <vt:vector size="30" baseType="variant">
      <vt:variant>
        <vt:i4>7209021</vt:i4>
      </vt:variant>
      <vt:variant>
        <vt:i4>3</vt:i4>
      </vt:variant>
      <vt:variant>
        <vt:i4>0</vt:i4>
      </vt:variant>
      <vt:variant>
        <vt:i4>5</vt:i4>
      </vt:variant>
      <vt:variant>
        <vt:lpwstr>https://relatoria.colombiacompra.gov.co/busqueda/concept os</vt:lpwstr>
      </vt:variant>
      <vt:variant>
        <vt:lpwstr/>
      </vt:variant>
      <vt:variant>
        <vt:i4>6094970</vt:i4>
      </vt:variant>
      <vt:variant>
        <vt:i4>0</vt:i4>
      </vt:variant>
      <vt:variant>
        <vt:i4>0</vt:i4>
      </vt:variant>
      <vt:variant>
        <vt:i4>5</vt:i4>
      </vt:variant>
      <vt:variant>
        <vt:lpwstr>mailto:royerolayatorres52@gmail.com</vt:lpwstr>
      </vt:variant>
      <vt:variant>
        <vt:lpwstr/>
      </vt:variant>
      <vt:variant>
        <vt:i4>720960</vt:i4>
      </vt:variant>
      <vt:variant>
        <vt:i4>6</vt:i4>
      </vt:variant>
      <vt:variant>
        <vt:i4>0</vt:i4>
      </vt:variant>
      <vt:variant>
        <vt:i4>5</vt:i4>
      </vt:variant>
      <vt:variant>
        <vt:lpwstr>https://revistas.uexternado.edu.co/index.php/derest/article/view/706</vt:lpwstr>
      </vt:variant>
      <vt:variant>
        <vt:lpwstr/>
      </vt:variant>
      <vt:variant>
        <vt:i4>6094926</vt:i4>
      </vt:variant>
      <vt:variant>
        <vt:i4>3</vt:i4>
      </vt:variant>
      <vt:variant>
        <vt:i4>0</vt:i4>
      </vt:variant>
      <vt:variant>
        <vt:i4>5</vt:i4>
      </vt:variant>
      <vt:variant>
        <vt:lpwstr>http://www.secretariasenado.gov.co/senado/basedoc/ley_1508_2012.html</vt:lpwstr>
      </vt:variant>
      <vt:variant>
        <vt:lpwstr>Inicio</vt:lpwstr>
      </vt:variant>
      <vt:variant>
        <vt:i4>5111895</vt:i4>
      </vt:variant>
      <vt:variant>
        <vt:i4>0</vt:i4>
      </vt:variant>
      <vt:variant>
        <vt:i4>0</vt:i4>
      </vt:variant>
      <vt:variant>
        <vt:i4>5</vt:i4>
      </vt:variant>
      <vt:variant>
        <vt:lpwstr>https://www.colombiacompra.gov.co/manuales-guias-y-pliegos-tipo/manuales-y-guias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5</cp:revision>
  <cp:lastPrinted>2023-01-10T21:18:00Z</cp:lastPrinted>
  <dcterms:created xsi:type="dcterms:W3CDTF">2025-12-31T17:17:00Z</dcterms:created>
  <dcterms:modified xsi:type="dcterms:W3CDTF">2025-12-31T17:35:00Z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