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86EDC" w14:textId="5F51F730" w:rsidR="003C6608" w:rsidRDefault="003C6608" w:rsidP="003C6608">
      <w:pPr>
        <w:jc w:val="both"/>
        <w:rPr>
          <w:rFonts w:ascii="Verdana" w:hAnsi="Verdana" w:cs="Arial"/>
          <w:b/>
          <w:bCs/>
          <w:lang w:val="es-ES" w:eastAsia="es-ES"/>
        </w:rPr>
      </w:pPr>
      <w:bookmarkStart w:id="0" w:name="_Hlk215673488"/>
      <w:r w:rsidRPr="003C6608">
        <w:rPr>
          <w:rFonts w:ascii="Verdana" w:hAnsi="Verdana" w:cs="Arial"/>
          <w:b/>
          <w:bCs/>
          <w:lang w:val="es-ES" w:eastAsia="es-ES"/>
        </w:rPr>
        <w:t>LEY DE GARANTÍAS ELECTORALES – Finalidad / LEY DE GARANTÍAS ELECTORALES ‒ Restricciones ‒ Contratación ‒ Tipos de elección</w:t>
      </w:r>
    </w:p>
    <w:p w14:paraId="057EAA9C" w14:textId="4B4D5ACF" w:rsidR="003C6608" w:rsidRPr="00BC3A80" w:rsidRDefault="003C6608" w:rsidP="003C6608">
      <w:pPr>
        <w:tabs>
          <w:tab w:val="left" w:pos="426"/>
        </w:tabs>
        <w:spacing w:after="120" w:line="276" w:lineRule="auto"/>
        <w:jc w:val="both"/>
        <w:rPr>
          <w:rFonts w:ascii="Verdana" w:eastAsia="Times New Roman" w:hAnsi="Verdana" w:cs="Arial"/>
          <w:lang w:val="es-ES" w:eastAsia="es-CO"/>
        </w:rPr>
      </w:pPr>
      <w:r w:rsidRPr="00BC3A80">
        <w:rPr>
          <w:rFonts w:ascii="Verdana" w:hAnsi="Verdana" w:cs="Arial"/>
          <w:lang w:val="es-ES"/>
        </w:rPr>
        <w:t>El ordenamiento jurídico colombiano contempla medidas para evitar la obtención de beneficios personales en asuntos propios de la administración pública</w:t>
      </w:r>
      <w:r w:rsidRPr="00BC3A80">
        <w:rPr>
          <w:rFonts w:ascii="Verdana" w:hAnsi="Verdana" w:cs="Arial"/>
          <w:i/>
          <w:lang w:val="es-ES"/>
        </w:rPr>
        <w:t xml:space="preserve">. </w:t>
      </w:r>
      <w:r w:rsidRPr="00BC3A80">
        <w:rPr>
          <w:rFonts w:ascii="Verdana" w:hAnsi="Verdana" w:cs="Arial"/>
          <w:lang w:val="es-ES"/>
        </w:rPr>
        <w:t xml:space="preserve">Por ejemplo, el artículo 127 de la Constitución Política establece una prohibición contractual a los servidores públicos y, en cuanto a aspectos políticos, señala restricciones a ciertos empleados del Estado, incluso en época no electoral. </w:t>
      </w:r>
    </w:p>
    <w:p w14:paraId="6763DAB8" w14:textId="71A18FFD" w:rsidR="003C6608" w:rsidRPr="00BC3A80" w:rsidRDefault="003C6608" w:rsidP="003C6608">
      <w:pPr>
        <w:tabs>
          <w:tab w:val="left" w:pos="426"/>
        </w:tabs>
        <w:spacing w:after="120" w:line="276" w:lineRule="auto"/>
        <w:jc w:val="both"/>
        <w:rPr>
          <w:rFonts w:ascii="Verdana" w:hAnsi="Verdana" w:cs="Arial"/>
          <w:lang w:val="es-ES"/>
        </w:rPr>
      </w:pPr>
      <w:r w:rsidRPr="00BC3A80">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BC3A80">
        <w:rPr>
          <w:rFonts w:ascii="Verdana" w:hAnsi="Verdana" w:cs="Arial"/>
          <w:lang w:val="es-ES"/>
        </w:rPr>
        <w:t xml:space="preserve"> </w:t>
      </w:r>
    </w:p>
    <w:p w14:paraId="0EE5ACAE" w14:textId="77777777" w:rsidR="00A2016E" w:rsidRPr="00A2016E" w:rsidRDefault="00A2016E" w:rsidP="00A2016E">
      <w:pPr>
        <w:spacing w:line="276" w:lineRule="auto"/>
        <w:jc w:val="both"/>
        <w:rPr>
          <w:rFonts w:ascii="Verdana" w:hAnsi="Verdana" w:cs="Arial"/>
          <w:b/>
          <w:bCs/>
          <w:lang w:eastAsia="es-ES_tradnl"/>
        </w:rPr>
      </w:pPr>
      <w:r w:rsidRPr="00A2016E">
        <w:rPr>
          <w:rFonts w:ascii="Verdana" w:hAnsi="Verdana" w:cs="Arial"/>
          <w:b/>
          <w:bCs/>
          <w:lang w:val="es-ES" w:eastAsia="es-ES"/>
        </w:rPr>
        <w:t xml:space="preserve">LEY DE GARANTÍAS ELECTORALES ‒ Artículo 33 ‒ Ámbito material - </w:t>
      </w:r>
      <w:r w:rsidRPr="00A2016E">
        <w:rPr>
          <w:rFonts w:ascii="Verdana" w:hAnsi="Verdana" w:cs="Arial"/>
          <w:b/>
          <w:bCs/>
          <w:lang w:eastAsia="es-ES_tradnl"/>
        </w:rPr>
        <w:t>CONTRATOS Y CONVENIOS INTERADMINISTRATIVOS – Circular Externa Única – Autos de suspensión – Consejo de Estado</w:t>
      </w:r>
    </w:p>
    <w:p w14:paraId="7AB7552A" w14:textId="77777777" w:rsidR="00A2016E" w:rsidRPr="002E4D19" w:rsidRDefault="00A2016E" w:rsidP="00A2016E">
      <w:pPr>
        <w:spacing w:after="120" w:line="276" w:lineRule="auto"/>
        <w:jc w:val="both"/>
        <w:rPr>
          <w:rFonts w:ascii="Verdana" w:eastAsia="Arial" w:hAnsi="Verdana" w:cs="Arial"/>
          <w:lang w:eastAsia="es-ES" w:bidi="es-ES"/>
        </w:rPr>
      </w:pPr>
      <w:r>
        <w:rPr>
          <w:rFonts w:ascii="Verdana" w:eastAsia="Arial" w:hAnsi="Verdana" w:cs="Arial"/>
          <w:lang w:val="es-ES_tradnl" w:eastAsia="es-ES" w:bidi="es-ES"/>
        </w:rPr>
        <w:t>D</w:t>
      </w:r>
      <w:proofErr w:type="spellStart"/>
      <w:r w:rsidRPr="002E4D19">
        <w:rPr>
          <w:rFonts w:ascii="Verdana" w:eastAsia="Arial" w:hAnsi="Verdana" w:cs="Arial"/>
          <w:lang w:eastAsia="es-ES" w:bidi="es-ES"/>
        </w:rPr>
        <w:t>e</w:t>
      </w:r>
      <w:proofErr w:type="spellEnd"/>
      <w:r w:rsidRPr="002E4D19">
        <w:rPr>
          <w:rFonts w:ascii="Verdana" w:eastAsia="Arial" w:hAnsi="Verdana" w:cs="Arial"/>
          <w:lang w:eastAsia="es-ES" w:bidi="es-ES"/>
        </w:rPr>
        <w:t xml:space="preserve"> acuerdo con la reciente postura del Consejo de Estado —particularmente en </w:t>
      </w:r>
      <w:r w:rsidRPr="31E4E861">
        <w:rPr>
          <w:rFonts w:ascii="Verdana" w:eastAsia="Times New Roman" w:hAnsi="Verdana" w:cs="Arial"/>
          <w:lang w:eastAsia="es-CO"/>
        </w:rPr>
        <w:t>la sentencia expedida por la Sección Tercera de la Sala de lo Contencioso Administrativo del 17 de octubre de 2025</w:t>
      </w:r>
      <w:r>
        <w:rPr>
          <w:rFonts w:ascii="Verdana" w:eastAsia="Times New Roman" w:hAnsi="Verdana" w:cs="Arial"/>
          <w:lang w:eastAsia="es-CO"/>
        </w:rPr>
        <w:t>,</w:t>
      </w:r>
      <w:r w:rsidRPr="002E4D19">
        <w:rPr>
          <w:rFonts w:ascii="Verdana" w:eastAsia="Arial" w:hAnsi="Verdana" w:cs="Arial"/>
          <w:lang w:eastAsia="es-ES" w:bidi="es-ES"/>
        </w:rPr>
        <w:t xml:space="preserve"> en los autos del 4 de octubre de 2024 y del 6 de noviembre de 2025, mediante los cuales </w:t>
      </w:r>
      <w:r w:rsidRPr="31E4E861">
        <w:rPr>
          <w:rFonts w:ascii="Verdana" w:eastAsia="Times New Roman" w:hAnsi="Verdana" w:cs="Arial"/>
          <w:lang w:eastAsia="es-CO"/>
        </w:rPr>
        <w:t>se declaró la nulidad parcial</w:t>
      </w:r>
      <w:r>
        <w:rPr>
          <w:rFonts w:ascii="Verdana" w:eastAsia="Times New Roman" w:hAnsi="Verdana" w:cs="Arial"/>
          <w:lang w:eastAsia="es-CO"/>
        </w:rPr>
        <w:t>,</w:t>
      </w:r>
      <w:r w:rsidRPr="002E4D19">
        <w:rPr>
          <w:rFonts w:ascii="Verdana" w:eastAsia="Arial" w:hAnsi="Verdana" w:cs="Arial"/>
          <w:lang w:eastAsia="es-ES" w:bidi="es-ES"/>
        </w:rPr>
        <w:t xml:space="preserve"> se suspendió parcialmente el numeral 16.2 de la Circular Externa Única de 2022 de Colombia Compra Eficiente</w:t>
      </w:r>
      <w:r>
        <w:rPr>
          <w:rFonts w:ascii="Verdana" w:eastAsia="Arial" w:hAnsi="Verdana" w:cs="Arial"/>
          <w:lang w:eastAsia="es-ES" w:bidi="es-ES"/>
        </w:rPr>
        <w:t xml:space="preserve"> </w:t>
      </w:r>
      <w:r w:rsidRPr="31E4E861">
        <w:rPr>
          <w:rFonts w:ascii="Verdana" w:eastAsia="Arial" w:hAnsi="Verdana" w:cs="Arial"/>
          <w:lang w:eastAsia="es-ES" w:bidi="es-ES"/>
        </w:rPr>
        <w:t>y del inciso cuarto del numeral 16.2 de la Circular Externa Única, versión 3 del 27 de diciembre de 2023</w:t>
      </w:r>
      <w:r>
        <w:rPr>
          <w:rFonts w:ascii="Verdana" w:eastAsia="Arial" w:hAnsi="Verdana" w:cs="Arial"/>
          <w:lang w:eastAsia="es-ES" w:bidi="es-ES"/>
        </w:rPr>
        <w:t xml:space="preserve">, respectivamente </w:t>
      </w:r>
      <w:r w:rsidRPr="002E4D19">
        <w:rPr>
          <w:rFonts w:ascii="Verdana" w:eastAsia="Arial" w:hAnsi="Verdana" w:cs="Arial"/>
          <w:lang w:eastAsia="es-ES" w:bidi="es-ES"/>
        </w:rPr>
        <w:t xml:space="preserve">— la prohibición del parágrafo del artículo 38 no se extiende a los contratos interadministrativos, independientemente de su objeto. En tal sentido, dos entidades públicas pueden suscribir válidamente contratos interadministrativos durante los periodos de restricción electoral, incluidos los cuatro </w:t>
      </w:r>
      <w:r>
        <w:rPr>
          <w:rFonts w:ascii="Verdana" w:eastAsia="Arial" w:hAnsi="Verdana" w:cs="Arial"/>
          <w:lang w:eastAsia="es-ES" w:bidi="es-ES"/>
        </w:rPr>
        <w:t xml:space="preserve">(4) </w:t>
      </w:r>
      <w:r w:rsidRPr="002E4D19">
        <w:rPr>
          <w:rFonts w:ascii="Verdana" w:eastAsia="Arial" w:hAnsi="Verdana" w:cs="Arial"/>
          <w:lang w:eastAsia="es-ES" w:bidi="es-ES"/>
        </w:rPr>
        <w:t>meses previos a las elecciones presidenciales, siempre que la figura no corresponda materialmente a un convenio interadministrativo para la ejecución de recursos públicos, que sí está prohibido para los sujetos territoriales mencionados en la norma.</w:t>
      </w:r>
    </w:p>
    <w:p w14:paraId="664B1E39" w14:textId="77777777" w:rsidR="00A2016E" w:rsidRDefault="00A2016E" w:rsidP="00A2016E">
      <w:pPr>
        <w:spacing w:after="120" w:line="276" w:lineRule="auto"/>
        <w:jc w:val="both"/>
        <w:rPr>
          <w:rFonts w:ascii="Verdana" w:eastAsia="Arial" w:hAnsi="Verdana" w:cs="Arial"/>
          <w:lang w:eastAsia="es-ES" w:bidi="es-ES"/>
        </w:rPr>
      </w:pPr>
      <w:r w:rsidRPr="002E4D19">
        <w:rPr>
          <w:rFonts w:ascii="Verdana" w:eastAsia="Arial" w:hAnsi="Verdana" w:cs="Arial"/>
          <w:lang w:eastAsia="es-ES" w:bidi="es-ES"/>
        </w:rPr>
        <w:lastRenderedPageBreak/>
        <w:t xml:space="preserve">De esta manera, </w:t>
      </w:r>
      <w:r>
        <w:rPr>
          <w:rFonts w:ascii="Verdana" w:eastAsia="Arial" w:hAnsi="Verdana" w:cs="Arial"/>
          <w:lang w:eastAsia="es-ES" w:bidi="es-ES"/>
        </w:rPr>
        <w:t>las entidades públicas</w:t>
      </w:r>
      <w:r w:rsidRPr="002E4D19">
        <w:rPr>
          <w:rFonts w:ascii="Verdana" w:eastAsia="Arial" w:hAnsi="Verdana" w:cs="Arial"/>
          <w:lang w:eastAsia="es-ES" w:bidi="es-ES"/>
        </w:rPr>
        <w:t>, deberá</w:t>
      </w:r>
      <w:r>
        <w:rPr>
          <w:rFonts w:ascii="Verdana" w:eastAsia="Arial" w:hAnsi="Verdana" w:cs="Arial"/>
          <w:lang w:eastAsia="es-ES" w:bidi="es-ES"/>
        </w:rPr>
        <w:t>n</w:t>
      </w:r>
      <w:r w:rsidRPr="002E4D19">
        <w:rPr>
          <w:rFonts w:ascii="Verdana" w:eastAsia="Arial" w:hAnsi="Verdana" w:cs="Arial"/>
          <w:lang w:eastAsia="es-ES" w:bidi="es-ES"/>
        </w:rPr>
        <w:t xml:space="preserve"> verificar si la naturaleza del instrumento jurídico corresponde a un convenio interadministrativo para la ejecución de recursos públicos. Si ello es así, la restricción se activa respecto de la entidad territorial obligada, lo que condiciona la viabilidad del convenio. Por el contrario, si el instrumento corresponde a un contrato interadministrativo, la prohibición del artículo 38 no resulta aplicable, conforme a la interpretación vigente del Consejo de Estado.</w:t>
      </w:r>
    </w:p>
    <w:p w14:paraId="14F7E0E7" w14:textId="1C1E3B59" w:rsidR="002D5BEA" w:rsidRPr="00A2016E" w:rsidRDefault="002D5BEA" w:rsidP="002B64AF">
      <w:pPr>
        <w:rPr>
          <w:rFonts w:ascii="Verdana" w:eastAsia="Times New Roman" w:hAnsi="Verdana" w:cs="Arial"/>
          <w:b/>
          <w:bCs/>
          <w:lang w:eastAsia="es-ES_tradnl"/>
        </w:rPr>
      </w:pPr>
    </w:p>
    <w:p w14:paraId="182EC2EB" w14:textId="77777777" w:rsidR="002D5BEA" w:rsidRDefault="002D5BEA" w:rsidP="002B64AF">
      <w:pPr>
        <w:rPr>
          <w:rFonts w:ascii="Verdana" w:eastAsia="Times New Roman" w:hAnsi="Verdana" w:cs="Arial"/>
          <w:lang w:eastAsia="es-ES_tradnl"/>
        </w:rPr>
      </w:pPr>
    </w:p>
    <w:p w14:paraId="59D9D823" w14:textId="77777777" w:rsidR="002D5BEA" w:rsidRDefault="002D5BEA" w:rsidP="002B64AF">
      <w:pPr>
        <w:rPr>
          <w:rFonts w:ascii="Verdana" w:eastAsia="Times New Roman" w:hAnsi="Verdana" w:cs="Arial"/>
          <w:lang w:eastAsia="es-ES_tradnl"/>
        </w:rPr>
      </w:pPr>
    </w:p>
    <w:p w14:paraId="2D0038A2" w14:textId="77777777" w:rsidR="002D5BEA" w:rsidRDefault="002D5BEA" w:rsidP="002B64AF">
      <w:pPr>
        <w:rPr>
          <w:rFonts w:ascii="Verdana" w:eastAsia="Times New Roman" w:hAnsi="Verdana" w:cs="Arial"/>
          <w:lang w:eastAsia="es-ES_tradnl"/>
        </w:rPr>
      </w:pPr>
    </w:p>
    <w:p w14:paraId="3E97CA9D" w14:textId="77777777" w:rsidR="002D5BEA" w:rsidRDefault="002D5BEA" w:rsidP="002B64AF">
      <w:pPr>
        <w:rPr>
          <w:rFonts w:ascii="Verdana" w:eastAsia="Times New Roman" w:hAnsi="Verdana" w:cs="Arial"/>
          <w:lang w:eastAsia="es-ES_tradnl"/>
        </w:rPr>
      </w:pPr>
    </w:p>
    <w:p w14:paraId="49A15549" w14:textId="77777777" w:rsidR="002D5BEA" w:rsidRDefault="002D5BEA" w:rsidP="002B64AF">
      <w:pPr>
        <w:rPr>
          <w:rFonts w:ascii="Verdana" w:eastAsia="Times New Roman" w:hAnsi="Verdana" w:cs="Arial"/>
          <w:lang w:eastAsia="es-ES_tradnl"/>
        </w:rPr>
      </w:pPr>
    </w:p>
    <w:p w14:paraId="5446D624" w14:textId="77777777" w:rsidR="002D5BEA" w:rsidRDefault="002D5BEA" w:rsidP="002B64AF">
      <w:pPr>
        <w:rPr>
          <w:rFonts w:ascii="Verdana" w:eastAsia="Times New Roman" w:hAnsi="Verdana" w:cs="Arial"/>
          <w:lang w:eastAsia="es-ES_tradnl"/>
        </w:rPr>
      </w:pPr>
    </w:p>
    <w:p w14:paraId="48588CC4" w14:textId="77777777" w:rsidR="002D5BEA" w:rsidRDefault="002D5BEA" w:rsidP="002B64AF">
      <w:pPr>
        <w:rPr>
          <w:rFonts w:ascii="Verdana" w:eastAsia="Times New Roman" w:hAnsi="Verdana" w:cs="Arial"/>
          <w:lang w:eastAsia="es-ES_tradnl"/>
        </w:rPr>
      </w:pPr>
    </w:p>
    <w:p w14:paraId="5F63D12A" w14:textId="77777777" w:rsidR="002D5BEA" w:rsidRDefault="002D5BEA" w:rsidP="002B64AF">
      <w:pPr>
        <w:rPr>
          <w:rFonts w:ascii="Verdana" w:eastAsia="Times New Roman" w:hAnsi="Verdana" w:cs="Arial"/>
          <w:lang w:eastAsia="es-ES_tradnl"/>
        </w:rPr>
      </w:pPr>
    </w:p>
    <w:p w14:paraId="528A6893" w14:textId="77777777" w:rsidR="002D5BEA" w:rsidRDefault="002D5BEA" w:rsidP="002B64AF">
      <w:pPr>
        <w:rPr>
          <w:rFonts w:ascii="Verdana" w:eastAsia="Times New Roman" w:hAnsi="Verdana" w:cs="Arial"/>
          <w:lang w:eastAsia="es-ES_tradnl"/>
        </w:rPr>
      </w:pPr>
    </w:p>
    <w:p w14:paraId="3B61ACC3" w14:textId="77777777" w:rsidR="002D5BEA" w:rsidRDefault="002D5BEA" w:rsidP="002B64AF">
      <w:pPr>
        <w:rPr>
          <w:rFonts w:ascii="Verdana" w:eastAsia="Times New Roman" w:hAnsi="Verdana" w:cs="Arial"/>
          <w:lang w:eastAsia="es-ES_tradnl"/>
        </w:rPr>
      </w:pPr>
    </w:p>
    <w:p w14:paraId="47DE79D9" w14:textId="77777777" w:rsidR="002D5BEA" w:rsidRDefault="002D5BEA" w:rsidP="002B64AF">
      <w:pPr>
        <w:rPr>
          <w:rFonts w:ascii="Verdana" w:eastAsia="Times New Roman" w:hAnsi="Verdana" w:cs="Arial"/>
          <w:lang w:eastAsia="es-ES_tradnl"/>
        </w:rPr>
      </w:pPr>
    </w:p>
    <w:p w14:paraId="4877DC2B" w14:textId="77777777" w:rsidR="00A2016E" w:rsidRDefault="00A2016E" w:rsidP="002B64AF">
      <w:pPr>
        <w:rPr>
          <w:rFonts w:ascii="Verdana" w:eastAsia="Times New Roman" w:hAnsi="Verdana" w:cs="Arial"/>
          <w:lang w:eastAsia="es-ES_tradnl"/>
        </w:rPr>
      </w:pPr>
    </w:p>
    <w:p w14:paraId="54438D20" w14:textId="77777777" w:rsidR="00A2016E" w:rsidRDefault="00A2016E" w:rsidP="002B64AF">
      <w:pPr>
        <w:rPr>
          <w:rFonts w:ascii="Verdana" w:eastAsia="Times New Roman" w:hAnsi="Verdana" w:cs="Arial"/>
          <w:lang w:eastAsia="es-ES_tradnl"/>
        </w:rPr>
      </w:pPr>
    </w:p>
    <w:p w14:paraId="4D97E554" w14:textId="77777777" w:rsidR="00A2016E" w:rsidRDefault="00A2016E" w:rsidP="002B64AF">
      <w:pPr>
        <w:rPr>
          <w:rFonts w:ascii="Verdana" w:eastAsia="Times New Roman" w:hAnsi="Verdana" w:cs="Arial"/>
          <w:lang w:eastAsia="es-ES_tradnl"/>
        </w:rPr>
      </w:pPr>
    </w:p>
    <w:p w14:paraId="25F869F9" w14:textId="77777777" w:rsidR="00A2016E" w:rsidRDefault="00A2016E" w:rsidP="002B64AF">
      <w:pPr>
        <w:rPr>
          <w:rFonts w:ascii="Verdana" w:eastAsia="Times New Roman" w:hAnsi="Verdana" w:cs="Arial"/>
          <w:lang w:eastAsia="es-ES_tradnl"/>
        </w:rPr>
      </w:pPr>
    </w:p>
    <w:p w14:paraId="787C468A" w14:textId="77777777" w:rsidR="00A2016E" w:rsidRDefault="00A2016E" w:rsidP="002B64AF">
      <w:pPr>
        <w:rPr>
          <w:rFonts w:ascii="Verdana" w:eastAsia="Times New Roman" w:hAnsi="Verdana" w:cs="Arial"/>
          <w:lang w:eastAsia="es-ES_tradnl"/>
        </w:rPr>
      </w:pPr>
    </w:p>
    <w:p w14:paraId="0A22D8B7" w14:textId="77777777" w:rsidR="00A2016E" w:rsidRDefault="00A2016E" w:rsidP="002B64AF">
      <w:pPr>
        <w:rPr>
          <w:rFonts w:ascii="Verdana" w:eastAsia="Times New Roman" w:hAnsi="Verdana" w:cs="Arial"/>
          <w:lang w:eastAsia="es-ES_tradnl"/>
        </w:rPr>
      </w:pPr>
    </w:p>
    <w:p w14:paraId="45E47026" w14:textId="77777777" w:rsidR="00A2016E" w:rsidRDefault="00A2016E" w:rsidP="002B64AF">
      <w:pPr>
        <w:rPr>
          <w:rFonts w:ascii="Verdana" w:eastAsia="Times New Roman" w:hAnsi="Verdana" w:cs="Arial"/>
          <w:lang w:eastAsia="es-ES_tradnl"/>
        </w:rPr>
      </w:pPr>
    </w:p>
    <w:p w14:paraId="473CC9E0" w14:textId="77777777" w:rsidR="00A2016E" w:rsidRDefault="00A2016E" w:rsidP="002B64AF">
      <w:pPr>
        <w:rPr>
          <w:rFonts w:ascii="Verdana" w:eastAsia="Times New Roman" w:hAnsi="Verdana" w:cs="Arial"/>
          <w:lang w:eastAsia="es-ES_tradnl"/>
        </w:rPr>
      </w:pPr>
    </w:p>
    <w:p w14:paraId="562A6728" w14:textId="67AF32CD" w:rsidR="002B64AF" w:rsidRPr="006F44C3" w:rsidRDefault="002B64AF" w:rsidP="002B64AF">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2D5BEA">
        <w:rPr>
          <w:rFonts w:ascii="Verdana" w:eastAsia="Times New Roman" w:hAnsi="Verdana" w:cs="Arial"/>
          <w:lang w:eastAsia="es-ES_tradnl"/>
        </w:rPr>
        <w:t>16</w:t>
      </w:r>
      <w:r w:rsidRPr="00093B55">
        <w:rPr>
          <w:rFonts w:ascii="Verdana" w:eastAsia="Times New Roman" w:hAnsi="Verdana" w:cs="Arial"/>
          <w:lang w:eastAsia="es-ES_tradnl"/>
        </w:rPr>
        <w:t xml:space="preserve"> de </w:t>
      </w:r>
      <w:r w:rsidR="002D5BEA">
        <w:rPr>
          <w:rFonts w:ascii="Verdana" w:eastAsia="Times New Roman" w:hAnsi="Verdana" w:cs="Arial"/>
          <w:lang w:eastAsia="es-ES_tradnl"/>
        </w:rPr>
        <w:t>diciembre</w:t>
      </w:r>
      <w:r w:rsidRPr="00093B55">
        <w:rPr>
          <w:rFonts w:ascii="Verdana" w:eastAsia="Times New Roman" w:hAnsi="Verdana" w:cs="Arial"/>
          <w:lang w:eastAsia="es-ES_tradnl"/>
        </w:rPr>
        <w:t xml:space="preserve"> de </w:t>
      </w:r>
      <w:r w:rsidR="002D5BEA">
        <w:rPr>
          <w:rFonts w:ascii="Verdana" w:eastAsia="Times New Roman" w:hAnsi="Verdana" w:cs="Arial"/>
          <w:lang w:eastAsia="es-ES_tradnl"/>
        </w:rPr>
        <w:t>2025</w:t>
      </w:r>
    </w:p>
    <w:p w14:paraId="33C458BA" w14:textId="77777777" w:rsidR="002B64AF" w:rsidRPr="00BC3A80" w:rsidRDefault="002B64AF" w:rsidP="002B64AF">
      <w:pPr>
        <w:spacing w:after="0" w:line="240" w:lineRule="auto"/>
        <w:jc w:val="right"/>
        <w:rPr>
          <w:rFonts w:ascii="Verdana" w:hAnsi="Verdana" w:cs="Arial"/>
          <w:color w:val="000000"/>
          <w:lang w:val="es-ES_tradnl"/>
        </w:rPr>
      </w:pPr>
    </w:p>
    <w:p w14:paraId="5F1BDF95" w14:textId="23867B46" w:rsidR="00BF5D70" w:rsidRDefault="00BF5D70" w:rsidP="00BF5D70">
      <w:pPr>
        <w:spacing w:after="0" w:line="240" w:lineRule="auto"/>
        <w:ind w:left="4956"/>
        <w:jc w:val="both"/>
        <w:rPr>
          <w:rFonts w:ascii="Verdana" w:hAnsi="Verdana" w:cs="Arial"/>
          <w:lang w:val="es-ES_tradnl" w:eastAsia="es-ES"/>
        </w:rPr>
      </w:pPr>
      <w:r w:rsidRPr="00BF5D70">
        <w:rPr>
          <w:rFonts w:ascii="Verdana" w:hAnsi="Verdana" w:cs="Arial"/>
          <w:lang w:val="es-ES_tradnl" w:eastAsia="es-ES"/>
        </w:rPr>
        <w:drawing>
          <wp:inline distT="0" distB="0" distL="0" distR="0" wp14:anchorId="7934048B" wp14:editId="4FF0AE47">
            <wp:extent cx="2494429" cy="800100"/>
            <wp:effectExtent l="0" t="0" r="1270" b="0"/>
            <wp:docPr id="13834485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48570" name=""/>
                    <pic:cNvPicPr/>
                  </pic:nvPicPr>
                  <pic:blipFill>
                    <a:blip r:embed="rId10"/>
                    <a:stretch>
                      <a:fillRect/>
                    </a:stretch>
                  </pic:blipFill>
                  <pic:spPr>
                    <a:xfrm>
                      <a:off x="0" y="0"/>
                      <a:ext cx="2501304" cy="802305"/>
                    </a:xfrm>
                    <a:prstGeom prst="rect">
                      <a:avLst/>
                    </a:prstGeom>
                  </pic:spPr>
                </pic:pic>
              </a:graphicData>
            </a:graphic>
          </wp:inline>
        </w:drawing>
      </w:r>
    </w:p>
    <w:p w14:paraId="0E8CA054" w14:textId="32220B65" w:rsidR="002B64AF" w:rsidRPr="00BC3A80" w:rsidRDefault="002B64AF" w:rsidP="002B64AF">
      <w:pPr>
        <w:spacing w:after="0" w:line="240" w:lineRule="auto"/>
        <w:jc w:val="both"/>
        <w:rPr>
          <w:rFonts w:ascii="Verdana" w:hAnsi="Verdana" w:cs="Arial"/>
          <w:lang w:val="es-ES_tradnl" w:eastAsia="es-ES"/>
        </w:rPr>
      </w:pPr>
      <w:r w:rsidRPr="00BC3A80">
        <w:rPr>
          <w:rFonts w:ascii="Verdana" w:hAnsi="Verdana" w:cs="Arial"/>
          <w:lang w:val="es-ES_tradnl" w:eastAsia="es-ES"/>
        </w:rPr>
        <w:t>Señor</w:t>
      </w:r>
    </w:p>
    <w:p w14:paraId="43EF784E" w14:textId="77777777" w:rsidR="002B64AF" w:rsidRDefault="002B64AF" w:rsidP="002B64AF">
      <w:pPr>
        <w:spacing w:after="0" w:line="240" w:lineRule="auto"/>
        <w:jc w:val="both"/>
        <w:rPr>
          <w:rFonts w:ascii="Verdana" w:hAnsi="Verdana" w:cs="Arial"/>
          <w:b/>
          <w:bCs/>
          <w:lang w:val="es-ES_tradnl" w:eastAsia="es-ES"/>
        </w:rPr>
      </w:pPr>
      <w:r>
        <w:rPr>
          <w:rFonts w:ascii="Verdana" w:hAnsi="Verdana" w:cs="Arial"/>
          <w:b/>
          <w:bCs/>
          <w:lang w:val="es-ES_tradnl" w:eastAsia="es-ES"/>
        </w:rPr>
        <w:t>Anónimo</w:t>
      </w:r>
    </w:p>
    <w:p w14:paraId="54E70E3E" w14:textId="77777777" w:rsidR="002B64AF" w:rsidRDefault="002B64AF" w:rsidP="002B64AF">
      <w:pPr>
        <w:spacing w:after="0" w:line="240" w:lineRule="auto"/>
        <w:rPr>
          <w:rFonts w:ascii="Verdana" w:hAnsi="Verdana"/>
        </w:rPr>
      </w:pPr>
      <w:hyperlink r:id="rId11" w:history="1">
        <w:r w:rsidRPr="008A67C9">
          <w:rPr>
            <w:rStyle w:val="Hipervnculo"/>
            <w:rFonts w:ascii="Verdana" w:hAnsi="Verdana"/>
          </w:rPr>
          <w:t>mauricio.garcia@culturantioquia.gov.co</w:t>
        </w:r>
      </w:hyperlink>
    </w:p>
    <w:p w14:paraId="3F1A4C6C" w14:textId="77777777" w:rsidR="002B64AF" w:rsidRPr="00FA3DC5" w:rsidRDefault="002B64AF" w:rsidP="002B64AF">
      <w:pPr>
        <w:spacing w:after="0" w:line="240" w:lineRule="auto"/>
        <w:rPr>
          <w:rFonts w:ascii="Verdana" w:hAnsi="Verdana"/>
        </w:rPr>
      </w:pPr>
      <w:r>
        <w:rPr>
          <w:rFonts w:ascii="Verdana" w:hAnsi="Verdana" w:cs="Arial"/>
          <w:lang w:val="en-US" w:eastAsia="es-ES"/>
        </w:rPr>
        <w:t>Medellin, Antioquia.</w:t>
      </w:r>
      <w:r w:rsidRPr="00C8004B">
        <w:rPr>
          <w:rFonts w:ascii="Verdana" w:hAnsi="Verdana" w:cs="Arial"/>
          <w:lang w:val="en-US" w:eastAsia="es-ES"/>
        </w:rPr>
        <w:tab/>
      </w:r>
    </w:p>
    <w:p w14:paraId="6EF29449" w14:textId="77777777" w:rsidR="002B64AF" w:rsidRPr="00C8004B" w:rsidRDefault="002B64AF" w:rsidP="002B64AF">
      <w:pPr>
        <w:spacing w:after="0" w:line="240" w:lineRule="auto"/>
        <w:rPr>
          <w:rFonts w:ascii="Verdana" w:hAnsi="Verdana" w:cs="Arial"/>
          <w:b/>
          <w:bCs/>
          <w:color w:val="000000"/>
          <w:lang w:val="en-US" w:eastAsia="es-ES_tradnl"/>
        </w:rPr>
      </w:pPr>
    </w:p>
    <w:p w14:paraId="6B2FB88A" w14:textId="77777777" w:rsidR="002B64AF" w:rsidRPr="00C8004B" w:rsidRDefault="002B64AF" w:rsidP="002B64AF">
      <w:pPr>
        <w:spacing w:after="0" w:line="240" w:lineRule="auto"/>
        <w:rPr>
          <w:rFonts w:ascii="Verdana" w:hAnsi="Verdana" w:cs="Arial"/>
          <w:b/>
          <w:bCs/>
          <w:color w:val="000000"/>
          <w:lang w:val="en-US"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2B64AF" w:rsidRPr="00BC3A80" w14:paraId="66873AD9" w14:textId="77777777" w:rsidTr="003021E1">
        <w:trPr>
          <w:trHeight w:val="102"/>
        </w:trPr>
        <w:tc>
          <w:tcPr>
            <w:tcW w:w="2689" w:type="dxa"/>
          </w:tcPr>
          <w:p w14:paraId="20C7886F" w14:textId="77777777" w:rsidR="002B64AF" w:rsidRPr="00C8004B" w:rsidRDefault="002B64AF" w:rsidP="003021E1">
            <w:pPr>
              <w:jc w:val="both"/>
              <w:rPr>
                <w:rFonts w:ascii="Verdana" w:hAnsi="Verdana" w:cs="Arial"/>
                <w:b/>
                <w:bCs/>
                <w:color w:val="7030A0"/>
                <w:lang w:val="en-US" w:eastAsia="es-ES_tradnl"/>
              </w:rPr>
            </w:pPr>
          </w:p>
        </w:tc>
        <w:tc>
          <w:tcPr>
            <w:tcW w:w="6100" w:type="dxa"/>
          </w:tcPr>
          <w:p w14:paraId="21C9DF5F" w14:textId="77777777" w:rsidR="002B64AF" w:rsidRDefault="002B64AF" w:rsidP="003021E1">
            <w:pPr>
              <w:jc w:val="both"/>
              <w:rPr>
                <w:rFonts w:ascii="Verdana" w:hAnsi="Verdana" w:cs="Arial"/>
                <w:b/>
                <w:bCs/>
                <w:lang w:val="es-ES_tradnl" w:eastAsia="es-ES"/>
              </w:rPr>
            </w:pPr>
            <w:r w:rsidRPr="00BC3A80">
              <w:rPr>
                <w:rFonts w:ascii="Verdana" w:hAnsi="Verdana" w:cs="Arial"/>
                <w:b/>
                <w:bCs/>
                <w:lang w:val="es-ES_tradnl" w:eastAsia="es-ES"/>
              </w:rPr>
              <w:t xml:space="preserve">Concepto </w:t>
            </w:r>
            <w:r w:rsidRPr="00FA3DC5">
              <w:rPr>
                <w:rFonts w:ascii="Verdana" w:hAnsi="Verdana" w:cs="Arial"/>
                <w:b/>
                <w:bCs/>
                <w:lang w:val="es-ES_tradnl" w:eastAsia="es-ES"/>
              </w:rPr>
              <w:t>C-1767</w:t>
            </w:r>
            <w:r>
              <w:rPr>
                <w:rFonts w:ascii="Verdana" w:hAnsi="Verdana" w:cs="Arial"/>
                <w:b/>
                <w:bCs/>
                <w:lang w:val="es-ES_tradnl" w:eastAsia="es-ES"/>
              </w:rPr>
              <w:t xml:space="preserve"> </w:t>
            </w:r>
            <w:r w:rsidRPr="00BC3A80">
              <w:rPr>
                <w:rFonts w:ascii="Verdana" w:hAnsi="Verdana" w:cs="Arial"/>
                <w:b/>
                <w:bCs/>
                <w:lang w:val="es-ES_tradnl" w:eastAsia="es-ES"/>
              </w:rPr>
              <w:t>de 2025</w:t>
            </w:r>
          </w:p>
          <w:p w14:paraId="588AF935" w14:textId="77777777" w:rsidR="002B64AF" w:rsidRPr="00BC3A80" w:rsidRDefault="002B64AF" w:rsidP="003021E1">
            <w:pPr>
              <w:jc w:val="both"/>
              <w:rPr>
                <w:rFonts w:ascii="Verdana" w:hAnsi="Verdana" w:cs="Arial"/>
                <w:b/>
                <w:bCs/>
                <w:color w:val="7030A0"/>
                <w:lang w:val="es-ES_tradnl" w:eastAsia="es-ES"/>
              </w:rPr>
            </w:pPr>
          </w:p>
        </w:tc>
      </w:tr>
      <w:tr w:rsidR="002B64AF" w:rsidRPr="00BC3A80" w14:paraId="3E914655" w14:textId="77777777" w:rsidTr="003021E1">
        <w:trPr>
          <w:trHeight w:val="884"/>
        </w:trPr>
        <w:tc>
          <w:tcPr>
            <w:tcW w:w="2689" w:type="dxa"/>
          </w:tcPr>
          <w:p w14:paraId="6CE97371" w14:textId="77777777" w:rsidR="002B64AF" w:rsidRPr="00BC3A80" w:rsidRDefault="002B64AF" w:rsidP="003021E1">
            <w:pPr>
              <w:jc w:val="both"/>
              <w:rPr>
                <w:rFonts w:ascii="Verdana" w:hAnsi="Verdana" w:cs="Arial"/>
                <w:color w:val="000000"/>
                <w:lang w:val="es-ES_tradnl" w:eastAsia="es-ES_tradnl"/>
              </w:rPr>
            </w:pPr>
            <w:r w:rsidRPr="00BC3A80">
              <w:rPr>
                <w:rFonts w:ascii="Verdana" w:hAnsi="Verdana" w:cs="Arial"/>
                <w:b/>
                <w:color w:val="000000"/>
                <w:lang w:val="es-ES_tradnl" w:eastAsia="es-ES_tradnl"/>
              </w:rPr>
              <w:t>Temas:</w:t>
            </w:r>
            <w:r w:rsidRPr="00BC3A80">
              <w:rPr>
                <w:rFonts w:ascii="Verdana" w:hAnsi="Verdana" w:cs="Arial"/>
                <w:color w:val="000000"/>
                <w:lang w:val="es-ES_tradnl" w:eastAsia="es-ES_tradnl"/>
              </w:rPr>
              <w:t xml:space="preserve">                   </w:t>
            </w:r>
          </w:p>
        </w:tc>
        <w:tc>
          <w:tcPr>
            <w:tcW w:w="6100" w:type="dxa"/>
          </w:tcPr>
          <w:p w14:paraId="52FEA35F" w14:textId="77777777" w:rsidR="002B64AF" w:rsidRPr="00BC3A80" w:rsidRDefault="002B64AF" w:rsidP="003021E1">
            <w:pPr>
              <w:spacing w:line="276" w:lineRule="auto"/>
              <w:jc w:val="both"/>
              <w:rPr>
                <w:rFonts w:ascii="Verdana" w:hAnsi="Verdana" w:cs="Arial"/>
                <w:lang w:eastAsia="es-ES_tradnl"/>
              </w:rPr>
            </w:pPr>
            <w:r w:rsidRPr="00BC3A80">
              <w:rPr>
                <w:rFonts w:ascii="Verdana" w:hAnsi="Verdana" w:cs="Arial"/>
                <w:lang w:val="es-ES" w:eastAsia="es-ES"/>
              </w:rPr>
              <w:t>LEY DE GARANTÍAS ELECTORALES – Finalidad / LEY DE GARANTÍAS ELECTORALES ‒ Restricciones ‒ Contratación ‒ Tipos de elección / LEY DE GARANTÍAS ELECTORALES ‒ Artículo 33 ‒ Ámbito material</w:t>
            </w:r>
            <w:r>
              <w:rPr>
                <w:rFonts w:ascii="Verdana" w:hAnsi="Verdana" w:cs="Arial"/>
                <w:lang w:val="es-ES" w:eastAsia="es-ES"/>
              </w:rPr>
              <w:t xml:space="preserve"> </w:t>
            </w:r>
            <w:r w:rsidRPr="00BC3A80">
              <w:rPr>
                <w:rFonts w:ascii="Verdana" w:hAnsi="Verdana" w:cs="Arial"/>
                <w:lang w:val="es-ES" w:eastAsia="es-ES"/>
              </w:rPr>
              <w:t xml:space="preserve">/ </w:t>
            </w:r>
            <w:r w:rsidRPr="00BC3A80">
              <w:rPr>
                <w:rFonts w:ascii="Verdana" w:hAnsi="Verdana" w:cs="Arial"/>
                <w:lang w:eastAsia="es-ES_tradnl"/>
              </w:rPr>
              <w:t>CONTRATOS Y CONVENIOS INTERADMINISTRATIVOS – Circular Externa Única – Autos de suspensión – Consejo de Estado</w:t>
            </w:r>
          </w:p>
          <w:p w14:paraId="0DCE4DF4" w14:textId="77777777" w:rsidR="002B64AF" w:rsidRPr="00BC3A80" w:rsidRDefault="002B64AF" w:rsidP="003021E1">
            <w:pPr>
              <w:spacing w:line="276" w:lineRule="auto"/>
              <w:jc w:val="both"/>
              <w:rPr>
                <w:rFonts w:ascii="Verdana" w:eastAsia="Arial" w:hAnsi="Verdana" w:cs="Arial"/>
                <w:bCs/>
                <w:color w:val="000000" w:themeColor="text1"/>
              </w:rPr>
            </w:pPr>
          </w:p>
        </w:tc>
      </w:tr>
      <w:tr w:rsidR="002B64AF" w:rsidRPr="00BC3A80" w14:paraId="64276620" w14:textId="77777777" w:rsidTr="003021E1">
        <w:trPr>
          <w:trHeight w:val="402"/>
        </w:trPr>
        <w:tc>
          <w:tcPr>
            <w:tcW w:w="2689" w:type="dxa"/>
          </w:tcPr>
          <w:p w14:paraId="664409A9" w14:textId="77777777" w:rsidR="002B64AF" w:rsidRPr="00BC3A80" w:rsidRDefault="002B64AF" w:rsidP="003021E1">
            <w:pPr>
              <w:jc w:val="both"/>
              <w:rPr>
                <w:rFonts w:ascii="Verdana" w:hAnsi="Verdana" w:cs="Arial"/>
                <w:b/>
                <w:lang w:val="es-ES_tradnl" w:eastAsia="es-ES_tradnl"/>
              </w:rPr>
            </w:pPr>
            <w:r w:rsidRPr="00BC3A80">
              <w:rPr>
                <w:rFonts w:ascii="Verdana" w:hAnsi="Verdana" w:cs="Arial"/>
                <w:b/>
                <w:lang w:val="es-ES_tradnl" w:eastAsia="es-ES_tradnl"/>
              </w:rPr>
              <w:t>Radicación:</w:t>
            </w:r>
            <w:r w:rsidRPr="00BC3A80">
              <w:rPr>
                <w:rFonts w:ascii="Verdana" w:hAnsi="Verdana" w:cs="Arial"/>
                <w:lang w:val="es-ES_tradnl" w:eastAsia="es-ES_tradnl"/>
              </w:rPr>
              <w:t xml:space="preserve">               </w:t>
            </w:r>
          </w:p>
        </w:tc>
        <w:tc>
          <w:tcPr>
            <w:tcW w:w="6100" w:type="dxa"/>
          </w:tcPr>
          <w:p w14:paraId="5B338FFB" w14:textId="77777777" w:rsidR="002B64AF" w:rsidRPr="00BC3A80" w:rsidRDefault="002B64AF" w:rsidP="003021E1">
            <w:pPr>
              <w:spacing w:line="276" w:lineRule="auto"/>
              <w:jc w:val="both"/>
              <w:rPr>
                <w:rFonts w:ascii="Verdana" w:hAnsi="Verdana" w:cs="Arial"/>
                <w:lang w:val="es-ES_tradnl" w:eastAsia="es-ES_tradnl"/>
              </w:rPr>
            </w:pPr>
            <w:r w:rsidRPr="00BC3A80">
              <w:rPr>
                <w:rFonts w:ascii="Verdana" w:hAnsi="Verdana" w:cs="Arial"/>
                <w:lang w:val="es-ES_tradnl" w:eastAsia="es-ES_tradnl"/>
              </w:rPr>
              <w:t xml:space="preserve">Respuesta a la consulta con radicado No. </w:t>
            </w:r>
            <w:r w:rsidRPr="00FA3DC5">
              <w:rPr>
                <w:rFonts w:ascii="Verdana" w:hAnsi="Verdana" w:cs="Arial"/>
                <w:lang w:val="es-ES_tradnl" w:eastAsia="es-ES_tradnl"/>
              </w:rPr>
              <w:t>1_2025_11_26_013389</w:t>
            </w:r>
          </w:p>
        </w:tc>
      </w:tr>
    </w:tbl>
    <w:p w14:paraId="5685C093" w14:textId="77777777" w:rsidR="002B64AF" w:rsidRPr="00BC3A80" w:rsidRDefault="002B64AF" w:rsidP="002B64AF">
      <w:pPr>
        <w:spacing w:after="0" w:line="276" w:lineRule="auto"/>
        <w:jc w:val="both"/>
        <w:rPr>
          <w:rFonts w:ascii="Verdana" w:hAnsi="Verdana" w:cs="Arial"/>
          <w:color w:val="000000"/>
          <w:lang w:val="es-ES_tradnl" w:eastAsia="es-ES_tradnl"/>
        </w:rPr>
      </w:pPr>
    </w:p>
    <w:p w14:paraId="6439B745" w14:textId="77777777" w:rsidR="002B64AF" w:rsidRPr="00BC3A80" w:rsidRDefault="002B64AF" w:rsidP="002B64AF">
      <w:pPr>
        <w:spacing w:after="0" w:line="276" w:lineRule="auto"/>
        <w:jc w:val="both"/>
        <w:rPr>
          <w:rFonts w:ascii="Verdana" w:hAnsi="Verdana" w:cs="Arial"/>
          <w:color w:val="000000"/>
          <w:lang w:val="es-ES_tradnl" w:eastAsia="es-ES_tradnl"/>
        </w:rPr>
      </w:pPr>
    </w:p>
    <w:p w14:paraId="1538B32D" w14:textId="77777777" w:rsidR="002B64AF" w:rsidRPr="00BC3A80" w:rsidRDefault="002B64AF" w:rsidP="002B64AF">
      <w:pPr>
        <w:spacing w:after="0" w:line="276" w:lineRule="auto"/>
        <w:jc w:val="both"/>
        <w:rPr>
          <w:rFonts w:ascii="Verdana" w:hAnsi="Verdana" w:cs="Arial"/>
          <w:lang w:val="es-ES_tradnl" w:eastAsia="es-ES"/>
        </w:rPr>
      </w:pPr>
      <w:r w:rsidRPr="00BC3A80">
        <w:rPr>
          <w:rFonts w:ascii="Verdana" w:hAnsi="Verdana" w:cs="Arial"/>
          <w:lang w:val="es-ES_tradnl" w:eastAsia="es-ES"/>
        </w:rPr>
        <w:t>Estimad</w:t>
      </w:r>
      <w:r>
        <w:rPr>
          <w:rFonts w:ascii="Verdana" w:hAnsi="Verdana" w:cs="Arial"/>
          <w:lang w:val="es-ES_tradnl" w:eastAsia="es-ES"/>
        </w:rPr>
        <w:t>o señor Anónimo</w:t>
      </w:r>
      <w:r w:rsidRPr="00BC3A80">
        <w:rPr>
          <w:rFonts w:ascii="Verdana" w:hAnsi="Verdana" w:cs="Arial"/>
          <w:lang w:val="es-ES_tradnl" w:eastAsia="es-ES"/>
        </w:rPr>
        <w:t xml:space="preserve">: </w:t>
      </w:r>
    </w:p>
    <w:p w14:paraId="3B3E8869" w14:textId="77777777" w:rsidR="002B64AF" w:rsidRPr="00BC3A80" w:rsidRDefault="002B64AF" w:rsidP="002B64AF">
      <w:pPr>
        <w:tabs>
          <w:tab w:val="left" w:pos="3768"/>
        </w:tabs>
        <w:spacing w:after="0" w:line="276" w:lineRule="auto"/>
        <w:jc w:val="both"/>
        <w:rPr>
          <w:rFonts w:ascii="Verdana" w:hAnsi="Verdana" w:cs="Arial"/>
          <w:color w:val="000000" w:themeColor="text1"/>
          <w:lang w:val="es-ES_tradnl" w:eastAsia="es-ES"/>
        </w:rPr>
      </w:pPr>
      <w:r w:rsidRPr="00BC3A80">
        <w:rPr>
          <w:rFonts w:ascii="Verdana" w:hAnsi="Verdana" w:cs="Arial"/>
          <w:color w:val="000000" w:themeColor="text1"/>
          <w:lang w:val="es-ES_tradnl" w:eastAsia="es-ES"/>
        </w:rPr>
        <w:tab/>
      </w:r>
    </w:p>
    <w:p w14:paraId="6903ED6C" w14:textId="77777777" w:rsidR="002B64AF" w:rsidRPr="00BC3A80" w:rsidRDefault="002B64AF" w:rsidP="002B64AF">
      <w:pPr>
        <w:spacing w:after="0" w:line="276" w:lineRule="auto"/>
        <w:jc w:val="both"/>
        <w:rPr>
          <w:rFonts w:ascii="Verdana" w:hAnsi="Verdana" w:cs="Arial"/>
          <w:color w:val="7030A0"/>
          <w:lang w:val="es-ES_tradnl" w:eastAsia="es-ES"/>
        </w:rPr>
      </w:pPr>
      <w:r w:rsidRPr="00BC3A80">
        <w:rPr>
          <w:rFonts w:ascii="Verdana" w:hAnsi="Verdana" w:cs="Arial"/>
          <w:color w:val="000000" w:themeColor="text1"/>
          <w:lang w:val="es-ES_tradnl" w:eastAsia="es-ES"/>
        </w:rPr>
        <w:t>En ejercicio de la competencia otorgada por los artículos 3, numeral 5º, y 11, numeral 8º, del Decreto Ley 4170 de 2011,</w:t>
      </w:r>
      <w:r w:rsidRPr="00BC3A80">
        <w:rPr>
          <w:rFonts w:ascii="Verdana" w:eastAsia="Arial MT" w:hAnsi="Verdana" w:cs="Arial MT"/>
          <w:lang w:val="es-ES_tradnl" w:eastAsia="es-ES"/>
        </w:rPr>
        <w:t xml:space="preserve"> </w:t>
      </w:r>
      <w:r w:rsidRPr="00BC3A80">
        <w:rPr>
          <w:rFonts w:ascii="Verdana" w:hAnsi="Verdana" w:cs="Arial"/>
          <w:lang w:val="es-ES_tradnl"/>
        </w:rPr>
        <w:t>así como lo establecido en</w:t>
      </w:r>
      <w:r w:rsidRPr="00BC3A80">
        <w:rPr>
          <w:rFonts w:ascii="Verdana" w:hAnsi="Verdana" w:cs="Arial"/>
        </w:rPr>
        <w:t xml:space="preserve"> la Resolución 469 de 2025 expedida por esta Entidad</w:t>
      </w:r>
      <w:r w:rsidRPr="00BC3A80">
        <w:rPr>
          <w:rFonts w:ascii="Verdana" w:hAnsi="Verdana" w:cs="Arial"/>
          <w:lang w:val="es-ES_tradnl"/>
        </w:rPr>
        <w:t xml:space="preserve">, </w:t>
      </w:r>
      <w:r w:rsidRPr="00BC3A80">
        <w:rPr>
          <w:rFonts w:ascii="Verdana" w:hAnsi="Verdana" w:cs="Arial"/>
          <w:color w:val="000000" w:themeColor="text1"/>
          <w:lang w:val="es-ES_tradnl" w:eastAsia="es-ES"/>
        </w:rPr>
        <w:t xml:space="preserve">la Agencia Nacional de Contratación Pública – Colombia Compra Eficiente responde su solicitud de consulta </w:t>
      </w:r>
      <w:r>
        <w:rPr>
          <w:rFonts w:ascii="Verdana" w:hAnsi="Verdana" w:cs="Arial"/>
          <w:color w:val="000000" w:themeColor="text1"/>
          <w:lang w:val="es-ES_tradnl" w:eastAsia="es-ES"/>
        </w:rPr>
        <w:t>remitida por la Contraloría General de la república</w:t>
      </w:r>
      <w:r w:rsidRPr="00BC3A80">
        <w:rPr>
          <w:rFonts w:ascii="Verdana" w:hAnsi="Verdana" w:cs="Arial"/>
          <w:lang w:val="es-ES_tradnl" w:eastAsia="es-ES"/>
        </w:rPr>
        <w:t xml:space="preserve">, </w:t>
      </w:r>
      <w:r>
        <w:rPr>
          <w:rFonts w:ascii="Verdana" w:hAnsi="Verdana" w:cs="Arial"/>
          <w:lang w:val="es-ES_tradnl" w:eastAsia="es-ES"/>
        </w:rPr>
        <w:t>y registrada en nuestro sistema de gestión documental el 26 de noviembre de 2025,</w:t>
      </w:r>
      <w:r w:rsidRPr="00BC3A80">
        <w:rPr>
          <w:rFonts w:ascii="Verdana" w:hAnsi="Verdana" w:cs="Arial"/>
          <w:lang w:val="es-ES_tradnl" w:eastAsia="es-ES"/>
        </w:rPr>
        <w:t xml:space="preserve"> respecto de la aplicación de la Ley de Garantías Electorales en la contratación </w:t>
      </w:r>
      <w:r>
        <w:rPr>
          <w:rFonts w:ascii="Verdana" w:hAnsi="Verdana" w:cs="Arial"/>
          <w:lang w:val="es-ES_tradnl" w:eastAsia="es-ES"/>
        </w:rPr>
        <w:t>directa y la celebración de convenios y contratos, donde</w:t>
      </w:r>
      <w:r w:rsidRPr="00BC3A80">
        <w:rPr>
          <w:rFonts w:ascii="Verdana" w:hAnsi="Verdana" w:cs="Arial"/>
          <w:lang w:val="es-ES_tradnl" w:eastAsia="es-ES"/>
        </w:rPr>
        <w:t xml:space="preserve"> manifiesta lo siguiente: </w:t>
      </w:r>
    </w:p>
    <w:p w14:paraId="56B83ACC" w14:textId="77777777" w:rsidR="002B64AF" w:rsidRPr="00BC3A80" w:rsidRDefault="002B64AF" w:rsidP="002B64AF">
      <w:pPr>
        <w:tabs>
          <w:tab w:val="left" w:pos="142"/>
          <w:tab w:val="left" w:pos="284"/>
        </w:tabs>
        <w:spacing w:after="0" w:line="276" w:lineRule="auto"/>
        <w:jc w:val="both"/>
        <w:rPr>
          <w:rFonts w:ascii="Verdana" w:eastAsia="Century Gothic" w:hAnsi="Verdana" w:cs="Century Gothic"/>
          <w:b/>
          <w:bCs/>
          <w:lang w:val="es-ES_tradnl"/>
        </w:rPr>
      </w:pPr>
    </w:p>
    <w:p w14:paraId="74B499E5" w14:textId="77777777" w:rsidR="002B64AF" w:rsidRDefault="002B64AF" w:rsidP="002B64AF">
      <w:pPr>
        <w:spacing w:after="0" w:line="240" w:lineRule="auto"/>
        <w:ind w:left="709" w:right="709"/>
        <w:jc w:val="both"/>
        <w:rPr>
          <w:rFonts w:ascii="Verdana" w:eastAsia="Century Gothic" w:hAnsi="Verdana" w:cs="Century Gothic"/>
          <w:sz w:val="20"/>
          <w:szCs w:val="20"/>
          <w:lang w:val="es-ES"/>
        </w:rPr>
      </w:pPr>
      <w:bookmarkStart w:id="1" w:name="_Hlk95313578"/>
      <w:r w:rsidRPr="00BC3A80">
        <w:rPr>
          <w:rFonts w:ascii="Verdana" w:eastAsia="Century Gothic" w:hAnsi="Verdana" w:cs="Century Gothic"/>
          <w:sz w:val="20"/>
          <w:szCs w:val="20"/>
          <w:lang w:val="es-ES"/>
        </w:rPr>
        <w:lastRenderedPageBreak/>
        <w:t>“</w:t>
      </w:r>
      <w:bookmarkEnd w:id="1"/>
      <w:r>
        <w:rPr>
          <w:rFonts w:ascii="Verdana" w:eastAsia="Century Gothic" w:hAnsi="Verdana" w:cs="Century Gothic"/>
          <w:sz w:val="20"/>
          <w:szCs w:val="20"/>
          <w:lang w:val="es-ES"/>
        </w:rPr>
        <w:t>[…]</w:t>
      </w:r>
    </w:p>
    <w:p w14:paraId="4F80D4B6" w14:textId="77777777" w:rsidR="002B64AF" w:rsidRDefault="002B64AF" w:rsidP="002B64AF">
      <w:pPr>
        <w:spacing w:after="0" w:line="240" w:lineRule="auto"/>
        <w:ind w:left="709" w:right="709"/>
        <w:jc w:val="both"/>
        <w:rPr>
          <w:rFonts w:ascii="Verdana" w:eastAsia="Century Gothic" w:hAnsi="Verdana" w:cs="Century Gothic"/>
          <w:sz w:val="20"/>
          <w:szCs w:val="20"/>
          <w:lang w:val="es-ES"/>
        </w:rPr>
      </w:pPr>
    </w:p>
    <w:p w14:paraId="1C6D20F6" w14:textId="77777777" w:rsidR="002B64AF" w:rsidRPr="00FA3DC5" w:rsidRDefault="002B64AF" w:rsidP="002B64AF">
      <w:pPr>
        <w:spacing w:after="0" w:line="240" w:lineRule="auto"/>
        <w:ind w:left="709" w:right="709"/>
        <w:jc w:val="both"/>
        <w:rPr>
          <w:rFonts w:ascii="Verdana" w:eastAsia="Century Gothic" w:hAnsi="Verdana" w:cs="Century Gothic"/>
          <w:sz w:val="20"/>
          <w:szCs w:val="20"/>
        </w:rPr>
      </w:pPr>
      <w:r w:rsidRPr="00FA3DC5">
        <w:rPr>
          <w:rFonts w:ascii="Verdana" w:eastAsia="Century Gothic" w:hAnsi="Verdana" w:cs="Century Gothic"/>
          <w:sz w:val="20"/>
          <w:szCs w:val="20"/>
        </w:rPr>
        <w:t>Teniendo en cuenta que la Sección Tercera del Consejo de Estado</w:t>
      </w:r>
    </w:p>
    <w:p w14:paraId="219644DA" w14:textId="77777777" w:rsidR="002B64AF" w:rsidRDefault="002B64AF" w:rsidP="002B64AF">
      <w:pPr>
        <w:spacing w:after="0" w:line="240" w:lineRule="auto"/>
        <w:ind w:left="709" w:right="709"/>
        <w:jc w:val="both"/>
        <w:rPr>
          <w:rFonts w:ascii="Verdana" w:eastAsia="Century Gothic" w:hAnsi="Verdana" w:cs="Century Gothic"/>
          <w:sz w:val="20"/>
          <w:szCs w:val="20"/>
        </w:rPr>
      </w:pPr>
      <w:r w:rsidRPr="00FA3DC5">
        <w:rPr>
          <w:rFonts w:ascii="Verdana" w:eastAsia="Century Gothic" w:hAnsi="Verdana" w:cs="Century Gothic"/>
          <w:sz w:val="20"/>
          <w:szCs w:val="20"/>
        </w:rPr>
        <w:t>declaró la</w:t>
      </w:r>
      <w:r>
        <w:rPr>
          <w:rFonts w:ascii="Verdana" w:eastAsia="Century Gothic" w:hAnsi="Verdana" w:cs="Century Gothic"/>
          <w:sz w:val="20"/>
          <w:szCs w:val="20"/>
        </w:rPr>
        <w:t xml:space="preserve"> </w:t>
      </w:r>
      <w:r w:rsidRPr="00FA3DC5">
        <w:rPr>
          <w:rFonts w:ascii="Verdana" w:eastAsia="Century Gothic" w:hAnsi="Verdana" w:cs="Century Gothic"/>
          <w:sz w:val="20"/>
          <w:szCs w:val="20"/>
        </w:rPr>
        <w:t>nulidad parcial de la circular 16.2 de Colombia Compra Eficiente, en la</w:t>
      </w:r>
      <w:r>
        <w:rPr>
          <w:rFonts w:ascii="Verdana" w:eastAsia="Century Gothic" w:hAnsi="Verdana" w:cs="Century Gothic"/>
          <w:sz w:val="20"/>
          <w:szCs w:val="20"/>
        </w:rPr>
        <w:t xml:space="preserve"> </w:t>
      </w:r>
      <w:r w:rsidRPr="00FA3DC5">
        <w:rPr>
          <w:rFonts w:ascii="Verdana" w:eastAsia="Century Gothic" w:hAnsi="Verdana" w:cs="Century Gothic"/>
          <w:sz w:val="20"/>
          <w:szCs w:val="20"/>
        </w:rPr>
        <w:t>cual incluía la</w:t>
      </w:r>
      <w:r>
        <w:rPr>
          <w:rFonts w:ascii="Verdana" w:eastAsia="Century Gothic" w:hAnsi="Verdana" w:cs="Century Gothic"/>
          <w:sz w:val="20"/>
          <w:szCs w:val="20"/>
        </w:rPr>
        <w:t xml:space="preserve"> </w:t>
      </w:r>
      <w:r w:rsidRPr="00FA3DC5">
        <w:rPr>
          <w:rFonts w:ascii="Verdana" w:eastAsia="Century Gothic" w:hAnsi="Verdana" w:cs="Century Gothic"/>
          <w:sz w:val="20"/>
          <w:szCs w:val="20"/>
        </w:rPr>
        <w:t>firma de contratos interadministrativos dentro de la prohibición durante</w:t>
      </w:r>
      <w:r>
        <w:rPr>
          <w:rFonts w:ascii="Verdana" w:eastAsia="Century Gothic" w:hAnsi="Verdana" w:cs="Century Gothic"/>
          <w:sz w:val="20"/>
          <w:szCs w:val="20"/>
        </w:rPr>
        <w:t xml:space="preserve"> </w:t>
      </w:r>
      <w:r w:rsidRPr="00FA3DC5">
        <w:rPr>
          <w:rFonts w:ascii="Verdana" w:eastAsia="Century Gothic" w:hAnsi="Verdana" w:cs="Century Gothic"/>
          <w:sz w:val="20"/>
          <w:szCs w:val="20"/>
        </w:rPr>
        <w:t>la vigencia de</w:t>
      </w:r>
      <w:r>
        <w:rPr>
          <w:rFonts w:ascii="Verdana" w:eastAsia="Century Gothic" w:hAnsi="Verdana" w:cs="Century Gothic"/>
          <w:sz w:val="20"/>
          <w:szCs w:val="20"/>
        </w:rPr>
        <w:t xml:space="preserve"> </w:t>
      </w:r>
      <w:r w:rsidRPr="00FA3DC5">
        <w:rPr>
          <w:rFonts w:ascii="Verdana" w:eastAsia="Century Gothic" w:hAnsi="Verdana" w:cs="Century Gothic"/>
          <w:sz w:val="20"/>
          <w:szCs w:val="20"/>
        </w:rPr>
        <w:t>la ley de garantías, deseo conocer la posición de la PROCURADURÍA</w:t>
      </w:r>
      <w:r>
        <w:rPr>
          <w:rFonts w:ascii="Verdana" w:eastAsia="Century Gothic" w:hAnsi="Verdana" w:cs="Century Gothic"/>
          <w:sz w:val="20"/>
          <w:szCs w:val="20"/>
        </w:rPr>
        <w:t xml:space="preserve"> </w:t>
      </w:r>
      <w:r w:rsidRPr="00FA3DC5">
        <w:rPr>
          <w:rFonts w:ascii="Verdana" w:eastAsia="Century Gothic" w:hAnsi="Verdana" w:cs="Century Gothic"/>
          <w:sz w:val="20"/>
          <w:szCs w:val="20"/>
        </w:rPr>
        <w:t>al respecto, y se</w:t>
      </w:r>
      <w:r>
        <w:rPr>
          <w:rFonts w:ascii="Verdana" w:eastAsia="Century Gothic" w:hAnsi="Verdana" w:cs="Century Gothic"/>
          <w:sz w:val="20"/>
          <w:szCs w:val="20"/>
        </w:rPr>
        <w:t xml:space="preserve"> </w:t>
      </w:r>
      <w:r w:rsidRPr="00FA3DC5">
        <w:rPr>
          <w:rFonts w:ascii="Verdana" w:eastAsia="Century Gothic" w:hAnsi="Verdana" w:cs="Century Gothic"/>
          <w:sz w:val="20"/>
          <w:szCs w:val="20"/>
        </w:rPr>
        <w:t>me responda la siguiente pregunta ¿es posible la celebración de</w:t>
      </w:r>
      <w:r>
        <w:rPr>
          <w:rFonts w:ascii="Verdana" w:eastAsia="Century Gothic" w:hAnsi="Verdana" w:cs="Century Gothic"/>
          <w:sz w:val="20"/>
          <w:szCs w:val="20"/>
        </w:rPr>
        <w:t xml:space="preserve"> </w:t>
      </w:r>
      <w:r w:rsidRPr="00FA3DC5">
        <w:rPr>
          <w:rFonts w:ascii="Verdana" w:eastAsia="Century Gothic" w:hAnsi="Verdana" w:cs="Century Gothic"/>
          <w:sz w:val="20"/>
          <w:szCs w:val="20"/>
        </w:rPr>
        <w:t>Contratos</w:t>
      </w:r>
      <w:r>
        <w:rPr>
          <w:rFonts w:ascii="Verdana" w:eastAsia="Century Gothic" w:hAnsi="Verdana" w:cs="Century Gothic"/>
          <w:sz w:val="20"/>
          <w:szCs w:val="20"/>
        </w:rPr>
        <w:t xml:space="preserve"> </w:t>
      </w:r>
      <w:r w:rsidRPr="00FA3DC5">
        <w:rPr>
          <w:rFonts w:ascii="Verdana" w:eastAsia="Century Gothic" w:hAnsi="Verdana" w:cs="Century Gothic"/>
          <w:sz w:val="20"/>
          <w:szCs w:val="20"/>
        </w:rPr>
        <w:t>Interadministrativos por parte de entidades públicas hasta el 30 de</w:t>
      </w:r>
      <w:r>
        <w:rPr>
          <w:rFonts w:ascii="Verdana" w:eastAsia="Century Gothic" w:hAnsi="Verdana" w:cs="Century Gothic"/>
          <w:sz w:val="20"/>
          <w:szCs w:val="20"/>
        </w:rPr>
        <w:t xml:space="preserve"> </w:t>
      </w:r>
      <w:r w:rsidRPr="00FA3DC5">
        <w:rPr>
          <w:rFonts w:ascii="Verdana" w:eastAsia="Century Gothic" w:hAnsi="Verdana" w:cs="Century Gothic"/>
          <w:sz w:val="20"/>
          <w:szCs w:val="20"/>
        </w:rPr>
        <w:t>enero de 2026?</w:t>
      </w:r>
      <w:r w:rsidRPr="003F6C92">
        <w:rPr>
          <w:rFonts w:ascii="Verdana" w:eastAsia="Century Gothic" w:hAnsi="Verdana" w:cs="Century Gothic"/>
          <w:sz w:val="20"/>
          <w:szCs w:val="20"/>
        </w:rPr>
        <w:t>"</w:t>
      </w:r>
    </w:p>
    <w:p w14:paraId="1CDC1D9D" w14:textId="77777777" w:rsidR="002B64AF" w:rsidRPr="00BC3A80" w:rsidRDefault="002B64AF" w:rsidP="002B64AF">
      <w:pPr>
        <w:tabs>
          <w:tab w:val="left" w:pos="142"/>
          <w:tab w:val="left" w:pos="284"/>
        </w:tabs>
        <w:spacing w:after="0" w:line="276" w:lineRule="auto"/>
        <w:contextualSpacing/>
        <w:jc w:val="both"/>
        <w:rPr>
          <w:rFonts w:ascii="Verdana" w:eastAsia="Century Gothic" w:hAnsi="Verdana" w:cs="Century Gothic"/>
          <w:b/>
          <w:bCs/>
          <w:lang w:val="es-ES_tradnl"/>
        </w:rPr>
      </w:pPr>
    </w:p>
    <w:p w14:paraId="4368CF46" w14:textId="77777777" w:rsidR="002B64AF" w:rsidRPr="00BC3A80" w:rsidRDefault="002B64AF" w:rsidP="002B64AF">
      <w:pPr>
        <w:spacing w:after="120" w:line="276" w:lineRule="auto"/>
        <w:ind w:firstLine="709"/>
        <w:jc w:val="both"/>
        <w:rPr>
          <w:rFonts w:ascii="Verdana" w:hAnsi="Verdana" w:cs="Arial"/>
          <w:color w:val="000000"/>
          <w:lang w:val="es-ES" w:eastAsia="es-ES"/>
        </w:rPr>
      </w:pPr>
      <w:r w:rsidRPr="00BC3A80">
        <w:rPr>
          <w:rFonts w:ascii="Verdana" w:hAnsi="Verdana" w:cs="Arial"/>
          <w:color w:val="000000" w:themeColor="text1"/>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hAnsi="Verdana" w:cs="Arial"/>
          <w:color w:val="000000" w:themeColor="text1"/>
          <w:lang w:val="es-ES" w:eastAsia="es-ES"/>
        </w:rPr>
        <w:t xml:space="preserve">la Agencia Nacional de Contratación Pública – </w:t>
      </w:r>
      <w:r w:rsidRPr="00BC3A80">
        <w:rPr>
          <w:rFonts w:ascii="Verdana" w:hAnsi="Verdana" w:cs="Arial"/>
          <w:color w:val="000000" w:themeColor="text1"/>
          <w:lang w:val="es-ES" w:eastAsia="es-ES"/>
        </w:rPr>
        <w:t xml:space="preserve">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C3A80">
        <w:tab/>
      </w:r>
    </w:p>
    <w:p w14:paraId="26E495F6" w14:textId="77777777" w:rsidR="002B64AF" w:rsidRPr="00BC3A80" w:rsidRDefault="002B64AF" w:rsidP="002B64AF">
      <w:pPr>
        <w:spacing w:after="0" w:line="276" w:lineRule="auto"/>
        <w:ind w:firstLine="709"/>
        <w:jc w:val="both"/>
        <w:rPr>
          <w:rFonts w:ascii="Verdana" w:hAnsi="Verdana" w:cs="Arial"/>
          <w:color w:val="000000"/>
          <w:lang w:val="es-ES_tradnl" w:eastAsia="es-ES"/>
        </w:rPr>
      </w:pPr>
      <w:r w:rsidRPr="00BC3A80">
        <w:rPr>
          <w:rFonts w:ascii="Verdana" w:hAnsi="Verdana" w:cs="Arial"/>
          <w:color w:val="000000"/>
          <w:lang w:val="es-ES_tradnl" w:eastAsia="es-ES"/>
        </w:rPr>
        <w:t>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w:t>
      </w:r>
      <w:r w:rsidRPr="00BC3A80">
        <w:rPr>
          <w:rFonts w:ascii="Verdana" w:hAnsi="Verdana" w:cs="Arial"/>
          <w:color w:val="7030A0"/>
          <w:lang w:val="es-ES_tradnl" w:eastAsia="es-ES"/>
        </w:rPr>
        <w:t xml:space="preserve"> </w:t>
      </w:r>
      <w:r w:rsidRPr="00BC3A80">
        <w:rPr>
          <w:rFonts w:ascii="Verdana" w:hAnsi="Verdana" w:cs="Arial"/>
          <w:color w:val="000000"/>
          <w:lang w:val="es-ES_tradnl" w:eastAsia="es-ES"/>
        </w:rPr>
        <w:t>problema</w:t>
      </w:r>
      <w:r w:rsidRPr="00BC3A80">
        <w:rPr>
          <w:rFonts w:ascii="Verdana" w:hAnsi="Verdana" w:cs="Arial"/>
          <w:color w:val="7030A0"/>
          <w:lang w:val="es-ES_tradnl" w:eastAsia="es-ES"/>
        </w:rPr>
        <w:t xml:space="preserve"> </w:t>
      </w:r>
      <w:r w:rsidRPr="00BC3A80">
        <w:rPr>
          <w:rFonts w:ascii="Verdana" w:hAnsi="Verdana" w:cs="Arial"/>
          <w:color w:val="000000"/>
          <w:lang w:val="es-ES_tradnl" w:eastAsia="es-ES"/>
        </w:rPr>
        <w:t>jurídico</w:t>
      </w:r>
      <w:r w:rsidRPr="00BC3A80">
        <w:rPr>
          <w:rFonts w:ascii="Verdana" w:hAnsi="Verdana" w:cs="Arial"/>
          <w:color w:val="7030A0"/>
          <w:lang w:val="es-ES_tradnl" w:eastAsia="es-ES"/>
        </w:rPr>
        <w:t xml:space="preserve"> </w:t>
      </w:r>
      <w:r w:rsidRPr="00BC3A80">
        <w:rPr>
          <w:rFonts w:ascii="Verdana" w:hAnsi="Verdana" w:cs="Arial"/>
          <w:color w:val="000000"/>
          <w:lang w:val="es-ES_tradnl" w:eastAsia="es-ES"/>
        </w:rPr>
        <w:t xml:space="preserve">de su consulta. </w:t>
      </w:r>
      <w:r w:rsidRPr="00BC3A80">
        <w:rPr>
          <w:rFonts w:ascii="Verdana" w:hAnsi="Verdana" w:cs="Arial"/>
          <w:lang w:val="es-ES_tradnl" w:eastAsia="es-ES"/>
        </w:rPr>
        <w:t xml:space="preserve"> </w:t>
      </w:r>
    </w:p>
    <w:p w14:paraId="2A59B691" w14:textId="77777777" w:rsidR="002B64AF" w:rsidRPr="00BC3A80" w:rsidRDefault="002B64AF" w:rsidP="002B64AF">
      <w:pPr>
        <w:spacing w:after="0" w:line="276" w:lineRule="auto"/>
        <w:ind w:firstLine="708"/>
        <w:jc w:val="both"/>
        <w:rPr>
          <w:rFonts w:ascii="Verdana" w:hAnsi="Verdana" w:cs="Arial"/>
          <w:lang w:val="es-ES_tradnl" w:eastAsia="es-ES"/>
        </w:rPr>
      </w:pPr>
    </w:p>
    <w:p w14:paraId="4EBD94FE" w14:textId="77777777" w:rsidR="002B64AF" w:rsidRPr="00BC3A80" w:rsidRDefault="002B64AF" w:rsidP="002B64AF">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Problema planteado:</w:t>
      </w:r>
    </w:p>
    <w:p w14:paraId="5A09B694" w14:textId="77777777" w:rsidR="002B64AF" w:rsidRPr="00BC3A80" w:rsidRDefault="002B64AF" w:rsidP="002B64AF">
      <w:pPr>
        <w:tabs>
          <w:tab w:val="left" w:pos="426"/>
        </w:tabs>
        <w:spacing w:after="0" w:line="276" w:lineRule="auto"/>
        <w:jc w:val="both"/>
        <w:rPr>
          <w:rFonts w:ascii="Verdana" w:eastAsia="Century Gothic" w:hAnsi="Verdana" w:cs="Century Gothic"/>
          <w:lang w:val="es-ES_tradnl"/>
        </w:rPr>
      </w:pPr>
    </w:p>
    <w:p w14:paraId="41AE3198" w14:textId="2DC05388" w:rsidR="002B64AF" w:rsidRDefault="002B64AF" w:rsidP="002B64AF">
      <w:pPr>
        <w:spacing w:after="0" w:line="276" w:lineRule="auto"/>
        <w:jc w:val="both"/>
        <w:rPr>
          <w:rFonts w:ascii="Verdana" w:eastAsia="Century Gothic" w:hAnsi="Verdana" w:cs="Century Gothic"/>
          <w:lang w:val="es-ES"/>
        </w:rPr>
      </w:pPr>
      <w:r w:rsidRPr="732396C5">
        <w:rPr>
          <w:rFonts w:ascii="Verdana" w:eastAsia="Century Gothic" w:hAnsi="Verdana" w:cs="Century Gothic"/>
          <w:lang w:val="es-ES"/>
        </w:rPr>
        <w:t xml:space="preserve">De acuerdo con el contenido de su solicitud, esta Agencia resolverá el siguiente problema jurídico: </w:t>
      </w:r>
      <w:r w:rsidRPr="0067327F">
        <w:rPr>
          <w:rFonts w:ascii="Verdana" w:eastAsia="Century Gothic" w:hAnsi="Verdana" w:cs="Century Gothic"/>
        </w:rPr>
        <w:t xml:space="preserve">¿La nulidad parcial del numeral 16.2 de la Circular </w:t>
      </w:r>
      <w:r w:rsidR="11C77E75" w:rsidRPr="732396C5">
        <w:rPr>
          <w:rFonts w:ascii="Verdana" w:eastAsia="Century Gothic" w:hAnsi="Verdana" w:cs="Century Gothic"/>
        </w:rPr>
        <w:t xml:space="preserve">Externa </w:t>
      </w:r>
      <w:proofErr w:type="spellStart"/>
      <w:r w:rsidR="11C77E75" w:rsidRPr="732396C5">
        <w:rPr>
          <w:rFonts w:ascii="Verdana" w:eastAsia="Century Gothic" w:hAnsi="Verdana" w:cs="Century Gothic"/>
        </w:rPr>
        <w:t>Unica</w:t>
      </w:r>
      <w:proofErr w:type="spellEnd"/>
      <w:r w:rsidRPr="732396C5">
        <w:rPr>
          <w:rFonts w:ascii="Verdana" w:eastAsia="Century Gothic" w:hAnsi="Verdana" w:cs="Century Gothic"/>
        </w:rPr>
        <w:t xml:space="preserve"> </w:t>
      </w:r>
      <w:r w:rsidRPr="0067327F">
        <w:rPr>
          <w:rFonts w:ascii="Verdana" w:eastAsia="Century Gothic" w:hAnsi="Verdana" w:cs="Century Gothic"/>
        </w:rPr>
        <w:t>de Colombia Compra Eficiente permite a las entidades públicas celebrar contratos interadministrativos durante la Ley de Garantías Electorales?</w:t>
      </w:r>
      <w:r w:rsidRPr="732396C5">
        <w:rPr>
          <w:rFonts w:ascii="Verdana" w:eastAsia="Century Gothic" w:hAnsi="Verdana" w:cs="Century Gothic"/>
          <w:lang w:val="es-ES"/>
        </w:rPr>
        <w:t xml:space="preserve"> </w:t>
      </w:r>
    </w:p>
    <w:p w14:paraId="52B1684A" w14:textId="77777777" w:rsidR="002B64AF" w:rsidRPr="00BC3A80" w:rsidRDefault="002B64AF" w:rsidP="002B64AF">
      <w:pPr>
        <w:spacing w:after="0" w:line="276" w:lineRule="auto"/>
        <w:jc w:val="both"/>
        <w:rPr>
          <w:rFonts w:ascii="Verdana" w:hAnsi="Verdana" w:cs="Arial"/>
          <w:color w:val="7030A0"/>
          <w:lang w:val="es-ES_tradnl"/>
        </w:rPr>
      </w:pPr>
    </w:p>
    <w:p w14:paraId="7AFAB113" w14:textId="77777777" w:rsidR="002B64AF" w:rsidRPr="00BC3A80" w:rsidRDefault="002B64AF" w:rsidP="002B64AF">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Respuesta:</w:t>
      </w:r>
    </w:p>
    <w:p w14:paraId="7E683011" w14:textId="77777777" w:rsidR="002B64AF" w:rsidRPr="00BC3A80" w:rsidRDefault="002B64AF" w:rsidP="002B64AF">
      <w:pPr>
        <w:tabs>
          <w:tab w:val="left" w:pos="142"/>
          <w:tab w:val="left" w:pos="284"/>
        </w:tabs>
        <w:spacing w:after="0" w:line="276" w:lineRule="auto"/>
        <w:jc w:val="both"/>
        <w:rPr>
          <w:rFonts w:ascii="Verdana" w:eastAsia="Century Gothic" w:hAnsi="Verdana" w:cs="Century Gothic"/>
          <w:b/>
          <w:bCs/>
          <w:lang w:val="es-ES_tradnl"/>
        </w:rPr>
      </w:pPr>
    </w:p>
    <w:tbl>
      <w:tblPr>
        <w:tblStyle w:val="Tablaconcuadrcu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B64AF" w:rsidRPr="00BC3A80" w14:paraId="73697593" w14:textId="77777777" w:rsidTr="003021E1">
        <w:trPr>
          <w:jc w:val="center"/>
        </w:trPr>
        <w:tc>
          <w:tcPr>
            <w:tcW w:w="8828" w:type="dxa"/>
          </w:tcPr>
          <w:p w14:paraId="7E08FA47" w14:textId="77777777" w:rsidR="002B64AF" w:rsidRPr="002E4D19" w:rsidRDefault="002B64AF" w:rsidP="003021E1">
            <w:pPr>
              <w:spacing w:after="120" w:line="276" w:lineRule="auto"/>
              <w:ind w:firstLine="709"/>
              <w:jc w:val="both"/>
              <w:rPr>
                <w:rFonts w:ascii="Verdana" w:eastAsia="Arial" w:hAnsi="Verdana" w:cs="Arial"/>
                <w:lang w:eastAsia="es-ES" w:bidi="es-ES"/>
              </w:rPr>
            </w:pPr>
            <w:r>
              <w:rPr>
                <w:rFonts w:ascii="Verdana" w:eastAsia="Arial" w:hAnsi="Verdana" w:cs="Arial"/>
                <w:lang w:val="es-ES_tradnl" w:eastAsia="es-ES" w:bidi="es-ES"/>
              </w:rPr>
              <w:lastRenderedPageBreak/>
              <w:t>D</w:t>
            </w:r>
            <w:proofErr w:type="spellStart"/>
            <w:r w:rsidRPr="002E4D19">
              <w:rPr>
                <w:rFonts w:ascii="Verdana" w:eastAsia="Arial" w:hAnsi="Verdana" w:cs="Arial"/>
                <w:lang w:eastAsia="es-ES" w:bidi="es-ES"/>
              </w:rPr>
              <w:t>e</w:t>
            </w:r>
            <w:proofErr w:type="spellEnd"/>
            <w:r w:rsidRPr="002E4D19">
              <w:rPr>
                <w:rFonts w:ascii="Verdana" w:eastAsia="Arial" w:hAnsi="Verdana" w:cs="Arial"/>
                <w:lang w:eastAsia="es-ES" w:bidi="es-ES"/>
              </w:rPr>
              <w:t xml:space="preserve"> acuerdo con la reciente postura del Consejo de Estado —particularmente en </w:t>
            </w:r>
            <w:r w:rsidRPr="31E4E861">
              <w:rPr>
                <w:rFonts w:ascii="Verdana" w:eastAsia="Times New Roman" w:hAnsi="Verdana" w:cs="Arial"/>
                <w:lang w:eastAsia="es-CO"/>
              </w:rPr>
              <w:t>la sentencia expedida por la Sección Tercera de la Sala de lo Contencioso Administrativo del 17 de octubre de 2025</w:t>
            </w:r>
            <w:r>
              <w:rPr>
                <w:rFonts w:ascii="Verdana" w:eastAsia="Times New Roman" w:hAnsi="Verdana" w:cs="Arial"/>
                <w:lang w:eastAsia="es-CO"/>
              </w:rPr>
              <w:t>,</w:t>
            </w:r>
            <w:r w:rsidRPr="002E4D19">
              <w:rPr>
                <w:rFonts w:ascii="Verdana" w:eastAsia="Arial" w:hAnsi="Verdana" w:cs="Arial"/>
                <w:lang w:eastAsia="es-ES" w:bidi="es-ES"/>
              </w:rPr>
              <w:t xml:space="preserve"> en los autos del 4 de octubre de 2024 y del 6 de noviembre de 2025, mediante los cuales </w:t>
            </w:r>
            <w:r w:rsidRPr="31E4E861">
              <w:rPr>
                <w:rFonts w:ascii="Verdana" w:eastAsia="Times New Roman" w:hAnsi="Verdana" w:cs="Arial"/>
                <w:lang w:eastAsia="es-CO"/>
              </w:rPr>
              <w:t>se declaró la nulidad parcial</w:t>
            </w:r>
            <w:r>
              <w:rPr>
                <w:rFonts w:ascii="Verdana" w:eastAsia="Times New Roman" w:hAnsi="Verdana" w:cs="Arial"/>
                <w:lang w:eastAsia="es-CO"/>
              </w:rPr>
              <w:t>,</w:t>
            </w:r>
            <w:r w:rsidRPr="002E4D19">
              <w:rPr>
                <w:rFonts w:ascii="Verdana" w:eastAsia="Arial" w:hAnsi="Verdana" w:cs="Arial"/>
                <w:lang w:eastAsia="es-ES" w:bidi="es-ES"/>
              </w:rPr>
              <w:t xml:space="preserve"> se suspendió parcialmente el numeral 16.2 de la Circular Externa Única de 2022 de Colombia Compra Eficiente</w:t>
            </w:r>
            <w:r>
              <w:rPr>
                <w:rFonts w:ascii="Verdana" w:eastAsia="Arial" w:hAnsi="Verdana" w:cs="Arial"/>
                <w:lang w:eastAsia="es-ES" w:bidi="es-ES"/>
              </w:rPr>
              <w:t xml:space="preserve"> </w:t>
            </w:r>
            <w:r w:rsidRPr="31E4E861">
              <w:rPr>
                <w:rFonts w:ascii="Verdana" w:eastAsia="Arial" w:hAnsi="Verdana" w:cs="Arial"/>
                <w:lang w:eastAsia="es-ES" w:bidi="es-ES"/>
              </w:rPr>
              <w:t>y del inciso cuarto del numeral 16.2 de la Circular Externa Única, versión 3 del 27 de diciembre de 2023</w:t>
            </w:r>
            <w:r>
              <w:rPr>
                <w:rFonts w:ascii="Verdana" w:eastAsia="Arial" w:hAnsi="Verdana" w:cs="Arial"/>
                <w:lang w:eastAsia="es-ES" w:bidi="es-ES"/>
              </w:rPr>
              <w:t xml:space="preserve">, respectivamente </w:t>
            </w:r>
            <w:r w:rsidRPr="002E4D19">
              <w:rPr>
                <w:rFonts w:ascii="Verdana" w:eastAsia="Arial" w:hAnsi="Verdana" w:cs="Arial"/>
                <w:lang w:eastAsia="es-ES" w:bidi="es-ES"/>
              </w:rPr>
              <w:t xml:space="preserve">— la prohibición del parágrafo del artículo 38 no se extiende a los contratos interadministrativos, independientemente de su objeto. En tal sentido, dos entidades públicas pueden suscribir válidamente contratos interadministrativos durante los periodos de restricción electoral, incluidos los cuatro </w:t>
            </w:r>
            <w:r>
              <w:rPr>
                <w:rFonts w:ascii="Verdana" w:eastAsia="Arial" w:hAnsi="Verdana" w:cs="Arial"/>
                <w:lang w:eastAsia="es-ES" w:bidi="es-ES"/>
              </w:rPr>
              <w:t xml:space="preserve">(4) </w:t>
            </w:r>
            <w:r w:rsidRPr="002E4D19">
              <w:rPr>
                <w:rFonts w:ascii="Verdana" w:eastAsia="Arial" w:hAnsi="Verdana" w:cs="Arial"/>
                <w:lang w:eastAsia="es-ES" w:bidi="es-ES"/>
              </w:rPr>
              <w:t>meses previos a las elecciones presidenciales, siempre que la figura no corresponda materialmente a un convenio interadministrativo para la ejecución de recursos públicos, que sí está prohibido para los sujetos territoriales mencionados en la norma.</w:t>
            </w:r>
          </w:p>
          <w:p w14:paraId="39766A9B" w14:textId="77777777" w:rsidR="002B64AF" w:rsidRDefault="002B64AF" w:rsidP="003021E1">
            <w:pPr>
              <w:spacing w:after="120" w:line="276" w:lineRule="auto"/>
              <w:ind w:firstLine="709"/>
              <w:jc w:val="both"/>
              <w:rPr>
                <w:rFonts w:ascii="Verdana" w:eastAsia="Arial" w:hAnsi="Verdana" w:cs="Arial"/>
                <w:lang w:eastAsia="es-ES" w:bidi="es-ES"/>
              </w:rPr>
            </w:pPr>
            <w:r w:rsidRPr="002E4D19">
              <w:rPr>
                <w:rFonts w:ascii="Verdana" w:eastAsia="Arial" w:hAnsi="Verdana" w:cs="Arial"/>
                <w:lang w:eastAsia="es-ES" w:bidi="es-ES"/>
              </w:rPr>
              <w:t xml:space="preserve">De esta manera, </w:t>
            </w:r>
            <w:r>
              <w:rPr>
                <w:rFonts w:ascii="Verdana" w:eastAsia="Arial" w:hAnsi="Verdana" w:cs="Arial"/>
                <w:lang w:eastAsia="es-ES" w:bidi="es-ES"/>
              </w:rPr>
              <w:t>las entidades públicas</w:t>
            </w:r>
            <w:r w:rsidRPr="002E4D19">
              <w:rPr>
                <w:rFonts w:ascii="Verdana" w:eastAsia="Arial" w:hAnsi="Verdana" w:cs="Arial"/>
                <w:lang w:eastAsia="es-ES" w:bidi="es-ES"/>
              </w:rPr>
              <w:t>, deberá</w:t>
            </w:r>
            <w:r>
              <w:rPr>
                <w:rFonts w:ascii="Verdana" w:eastAsia="Arial" w:hAnsi="Verdana" w:cs="Arial"/>
                <w:lang w:eastAsia="es-ES" w:bidi="es-ES"/>
              </w:rPr>
              <w:t>n</w:t>
            </w:r>
            <w:r w:rsidRPr="002E4D19">
              <w:rPr>
                <w:rFonts w:ascii="Verdana" w:eastAsia="Arial" w:hAnsi="Verdana" w:cs="Arial"/>
                <w:lang w:eastAsia="es-ES" w:bidi="es-ES"/>
              </w:rPr>
              <w:t xml:space="preserve"> verificar si la naturaleza del instrumento jurídico corresponde a un convenio interadministrativo para la ejecución de recursos públicos. Si ello es así, la restricción se activa respecto de la entidad territorial obligada, lo que condiciona la viabilidad del convenio. Por el contrario, si el instrumento corresponde a un contrato interadministrativo, la prohibición del artículo 38 no resulta aplicable, conforme a la interpretación vigente del Consejo de Estado.</w:t>
            </w:r>
          </w:p>
          <w:p w14:paraId="0EE49D0B" w14:textId="77777777" w:rsidR="002B64AF" w:rsidRPr="00BC3A80" w:rsidRDefault="002B64AF" w:rsidP="003021E1">
            <w:pPr>
              <w:spacing w:after="120" w:line="276" w:lineRule="auto"/>
              <w:ind w:firstLine="709"/>
              <w:jc w:val="both"/>
              <w:rPr>
                <w:rFonts w:ascii="Verdana" w:eastAsia="Arial" w:hAnsi="Verdana" w:cs="Arial"/>
                <w:color w:val="000000" w:themeColor="text1"/>
              </w:rPr>
            </w:pPr>
            <w:r w:rsidRPr="00BC3A80">
              <w:rPr>
                <w:rFonts w:ascii="Verdana" w:eastAsia="Arial" w:hAnsi="Verdana" w:cs="Arial"/>
                <w:bCs/>
                <w:color w:val="000000" w:themeColor="text1"/>
              </w:rPr>
              <w:t>En todo caso, vale anotar que es responsabilidad de</w:t>
            </w:r>
            <w:r>
              <w:rPr>
                <w:rFonts w:ascii="Verdana" w:eastAsia="Arial" w:hAnsi="Verdana" w:cs="Arial"/>
                <w:bCs/>
                <w:color w:val="000000" w:themeColor="text1"/>
              </w:rPr>
              <w:t xml:space="preserve"> la</w:t>
            </w:r>
            <w:r w:rsidRPr="00BC3A80">
              <w:rPr>
                <w:rFonts w:ascii="Verdana" w:eastAsia="Arial" w:hAnsi="Verdana" w:cs="Arial"/>
                <w:bCs/>
                <w:color w:val="000000" w:themeColor="text1"/>
              </w:rPr>
              <w:t xml:space="preserve"> respectiv</w:t>
            </w:r>
            <w:r>
              <w:rPr>
                <w:rFonts w:ascii="Verdana" w:eastAsia="Arial" w:hAnsi="Verdana" w:cs="Arial"/>
                <w:bCs/>
                <w:color w:val="000000" w:themeColor="text1"/>
              </w:rPr>
              <w:t>a</w:t>
            </w:r>
            <w:r w:rsidRPr="00BC3A80">
              <w:rPr>
                <w:rFonts w:ascii="Verdana" w:eastAsia="Arial" w:hAnsi="Verdana" w:cs="Arial"/>
                <w:bCs/>
                <w:color w:val="000000" w:themeColor="text1"/>
              </w:rPr>
              <w:t xml:space="preserve"> </w:t>
            </w:r>
            <w:r>
              <w:rPr>
                <w:rFonts w:ascii="Verdana" w:eastAsia="Arial" w:hAnsi="Verdana" w:cs="Arial"/>
                <w:bCs/>
                <w:color w:val="000000" w:themeColor="text1"/>
              </w:rPr>
              <w:t>entidad</w:t>
            </w:r>
            <w:r w:rsidRPr="00BC3A80">
              <w:rPr>
                <w:rFonts w:ascii="Verdana" w:eastAsia="Arial" w:hAnsi="Verdana" w:cs="Arial"/>
                <w:bCs/>
                <w:color w:val="000000" w:themeColor="text1"/>
              </w:rPr>
              <w:t xml:space="preserv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BC3A80">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tc>
      </w:tr>
    </w:tbl>
    <w:p w14:paraId="2FD08CA7" w14:textId="77777777" w:rsidR="002B64AF" w:rsidRPr="00BC3A80" w:rsidRDefault="002B64AF" w:rsidP="002B64AF">
      <w:pPr>
        <w:tabs>
          <w:tab w:val="left" w:pos="142"/>
          <w:tab w:val="left" w:pos="284"/>
        </w:tabs>
        <w:spacing w:after="0" w:line="276" w:lineRule="auto"/>
        <w:jc w:val="both"/>
        <w:rPr>
          <w:rFonts w:ascii="Verdana" w:eastAsia="Century Gothic" w:hAnsi="Verdana" w:cs="Century Gothic"/>
          <w:b/>
          <w:bCs/>
          <w:lang w:val="es-ES_tradnl"/>
        </w:rPr>
      </w:pPr>
    </w:p>
    <w:p w14:paraId="6EB0AD12" w14:textId="77777777" w:rsidR="002B64AF" w:rsidRPr="00BC3A80" w:rsidRDefault="002B64AF" w:rsidP="002B64AF">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Razones de la respuesta:</w:t>
      </w:r>
    </w:p>
    <w:p w14:paraId="0AEC738B" w14:textId="77777777" w:rsidR="002B64AF" w:rsidRPr="00BC3A80" w:rsidRDefault="002B64AF" w:rsidP="002B64AF">
      <w:pPr>
        <w:spacing w:after="0" w:line="276" w:lineRule="auto"/>
        <w:jc w:val="both"/>
        <w:rPr>
          <w:rFonts w:ascii="Verdana" w:hAnsi="Verdana" w:cs="Arial"/>
          <w:color w:val="7030A0"/>
          <w:lang w:val="es-ES_tradnl"/>
        </w:rPr>
      </w:pPr>
    </w:p>
    <w:p w14:paraId="2C195378" w14:textId="77777777" w:rsidR="002B64AF" w:rsidRPr="00BC3A80" w:rsidRDefault="002B64AF" w:rsidP="002B64AF">
      <w:pPr>
        <w:spacing w:after="0" w:line="276" w:lineRule="auto"/>
        <w:jc w:val="both"/>
        <w:rPr>
          <w:rFonts w:ascii="Verdana" w:hAnsi="Verdana" w:cs="Arial"/>
          <w:lang w:val="es-ES_tradnl"/>
        </w:rPr>
      </w:pPr>
      <w:r w:rsidRPr="00BC3A80">
        <w:rPr>
          <w:rFonts w:ascii="Verdana" w:hAnsi="Verdana" w:cs="Arial"/>
          <w:lang w:val="es-ES_tradnl"/>
        </w:rPr>
        <w:lastRenderedPageBreak/>
        <w:t>Lo anterior se sustenta en las siguientes consideraciones:</w:t>
      </w:r>
    </w:p>
    <w:p w14:paraId="62A3F05E" w14:textId="77777777" w:rsidR="002B64AF" w:rsidRPr="00BC3A80" w:rsidRDefault="002B64AF" w:rsidP="002B64AF">
      <w:pPr>
        <w:spacing w:after="0" w:line="276" w:lineRule="auto"/>
        <w:ind w:firstLine="709"/>
        <w:jc w:val="both"/>
        <w:rPr>
          <w:rFonts w:ascii="Verdana" w:hAnsi="Verdana" w:cs="Arial"/>
          <w:color w:val="000000" w:themeColor="text1"/>
        </w:rPr>
      </w:pPr>
    </w:p>
    <w:p w14:paraId="464934D1" w14:textId="77777777" w:rsidR="002B64AF" w:rsidRPr="00BC3A80" w:rsidRDefault="002B64AF" w:rsidP="002B64AF">
      <w:pPr>
        <w:tabs>
          <w:tab w:val="left" w:pos="426"/>
        </w:tabs>
        <w:spacing w:after="120" w:line="276" w:lineRule="auto"/>
        <w:jc w:val="both"/>
        <w:rPr>
          <w:rFonts w:ascii="Verdana" w:eastAsia="Times New Roman" w:hAnsi="Verdana" w:cs="Arial"/>
          <w:lang w:val="es-ES" w:eastAsia="es-CO"/>
        </w:rPr>
      </w:pPr>
      <w:r w:rsidRPr="00BC3A80">
        <w:rPr>
          <w:rFonts w:ascii="Verdana" w:hAnsi="Verdana" w:cs="Arial"/>
          <w:color w:val="000000" w:themeColor="text1"/>
          <w:lang w:val="es-ES"/>
        </w:rPr>
        <w:t>i.</w:t>
      </w:r>
      <w:r w:rsidRPr="00BC3A80">
        <w:rPr>
          <w:rFonts w:ascii="Verdana" w:eastAsia="Verdana" w:hAnsi="Verdana" w:cs="Verdana"/>
          <w:lang w:val="es-ES"/>
        </w:rPr>
        <w:t xml:space="preserve"> </w:t>
      </w:r>
      <w:r w:rsidRPr="00BC3A80">
        <w:rPr>
          <w:rFonts w:ascii="Verdana" w:hAnsi="Verdana" w:cs="Arial"/>
          <w:lang w:val="es-ES"/>
        </w:rPr>
        <w:t>El ordenamiento jurídico colombiano contempla medidas para evitar la obtención de beneficios personales en asuntos propios de la administración pública</w:t>
      </w:r>
      <w:r w:rsidRPr="00BC3A80">
        <w:rPr>
          <w:rFonts w:ascii="Verdana" w:hAnsi="Verdana" w:cs="Arial"/>
          <w:i/>
          <w:lang w:val="es-ES"/>
        </w:rPr>
        <w:t xml:space="preserve">. </w:t>
      </w:r>
      <w:r w:rsidRPr="00BC3A80">
        <w:rPr>
          <w:rFonts w:ascii="Verdana"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BC3A80">
        <w:rPr>
          <w:rFonts w:ascii="Verdana" w:hAnsi="Verdana"/>
          <w:vertAlign w:val="superscript"/>
          <w:lang w:val="es-ES"/>
        </w:rPr>
        <w:footnoteReference w:id="1"/>
      </w:r>
      <w:r w:rsidRPr="00BC3A80">
        <w:rPr>
          <w:rFonts w:ascii="Verdana" w:hAnsi="Verdana" w:cs="Arial"/>
          <w:lang w:val="es-ES"/>
        </w:rPr>
        <w:t xml:space="preserve">. </w:t>
      </w:r>
    </w:p>
    <w:p w14:paraId="017C1AA2" w14:textId="77777777" w:rsidR="002B64AF" w:rsidRPr="00BC3A80" w:rsidRDefault="002B64AF" w:rsidP="002B64AF">
      <w:pPr>
        <w:tabs>
          <w:tab w:val="left" w:pos="426"/>
        </w:tabs>
        <w:spacing w:after="120" w:line="276" w:lineRule="auto"/>
        <w:ind w:firstLine="709"/>
        <w:jc w:val="both"/>
        <w:rPr>
          <w:rFonts w:ascii="Verdana" w:hAnsi="Verdana" w:cs="Arial"/>
          <w:lang w:val="es-ES"/>
        </w:rPr>
      </w:pPr>
      <w:r w:rsidRPr="00BC3A80">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BC3A80">
        <w:rPr>
          <w:rFonts w:ascii="Verdana" w:eastAsia="Times New Roman" w:hAnsi="Verdana" w:cs="Arial"/>
          <w:vertAlign w:val="superscript"/>
          <w:lang w:val="es-ES" w:eastAsia="es-CO"/>
        </w:rPr>
        <w:footnoteReference w:id="2"/>
      </w:r>
      <w:r w:rsidRPr="00BC3A80">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BC3A80">
        <w:rPr>
          <w:rFonts w:ascii="Verdana" w:hAnsi="Verdana" w:cs="Arial"/>
          <w:lang w:val="es-ES"/>
        </w:rPr>
        <w:t xml:space="preserve"> </w:t>
      </w:r>
    </w:p>
    <w:p w14:paraId="11167120" w14:textId="77777777" w:rsidR="002B64AF" w:rsidRPr="00BC3A80" w:rsidRDefault="002B64AF" w:rsidP="002B64AF">
      <w:pPr>
        <w:tabs>
          <w:tab w:val="left" w:pos="426"/>
        </w:tabs>
        <w:spacing w:after="0" w:line="276" w:lineRule="auto"/>
        <w:ind w:firstLine="709"/>
        <w:jc w:val="both"/>
        <w:rPr>
          <w:rFonts w:ascii="Verdana" w:hAnsi="Verdana" w:cs="Arial"/>
          <w:lang w:val="es-ES"/>
        </w:rPr>
      </w:pPr>
      <w:r w:rsidRPr="00BC3A80">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24FE9BEA" w14:textId="77777777" w:rsidR="002B64AF" w:rsidRPr="00BC3A80" w:rsidRDefault="002B64AF" w:rsidP="002B64AF">
      <w:pPr>
        <w:spacing w:after="0" w:line="276" w:lineRule="auto"/>
        <w:ind w:right="709"/>
        <w:jc w:val="both"/>
        <w:rPr>
          <w:rFonts w:ascii="Verdana" w:eastAsia="Times New Roman" w:hAnsi="Verdana" w:cs="Arial"/>
          <w:lang w:val="es-ES" w:eastAsia="es-CO"/>
        </w:rPr>
      </w:pPr>
    </w:p>
    <w:p w14:paraId="56B02354" w14:textId="77777777" w:rsidR="002B64AF" w:rsidRPr="00BC3A80" w:rsidRDefault="002B64AF" w:rsidP="002B64AF">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3E48425E" w14:textId="77777777" w:rsidR="002B64AF" w:rsidRDefault="002B64AF" w:rsidP="002B64AF">
      <w:pPr>
        <w:spacing w:after="0" w:line="240" w:lineRule="auto"/>
        <w:ind w:left="709" w:right="709"/>
        <w:contextualSpacing/>
        <w:jc w:val="both"/>
        <w:rPr>
          <w:rFonts w:ascii="Verdana" w:eastAsia="Times New Roman" w:hAnsi="Verdana" w:cs="Arial"/>
          <w:sz w:val="20"/>
          <w:szCs w:val="20"/>
          <w:lang w:val="es-ES" w:eastAsia="es-CO"/>
        </w:rPr>
      </w:pPr>
    </w:p>
    <w:p w14:paraId="7526E111" w14:textId="77777777" w:rsidR="002B64AF" w:rsidRPr="00BC3A80" w:rsidRDefault="002B64AF" w:rsidP="002B64AF">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 xml:space="preserve">[…] </w:t>
      </w:r>
    </w:p>
    <w:p w14:paraId="6F954FF8" w14:textId="77777777" w:rsidR="002B64AF" w:rsidRDefault="002B64AF" w:rsidP="002B64AF">
      <w:pPr>
        <w:spacing w:after="0" w:line="240" w:lineRule="auto"/>
        <w:ind w:left="709" w:right="709"/>
        <w:contextualSpacing/>
        <w:jc w:val="both"/>
        <w:rPr>
          <w:rFonts w:ascii="Verdana" w:eastAsia="Times New Roman" w:hAnsi="Verdana" w:cs="Arial"/>
          <w:sz w:val="20"/>
          <w:szCs w:val="20"/>
          <w:lang w:val="es-ES" w:eastAsia="es-CO"/>
        </w:rPr>
      </w:pPr>
    </w:p>
    <w:p w14:paraId="4E29D49B" w14:textId="77777777" w:rsidR="002B64AF" w:rsidRPr="00BC3A80" w:rsidRDefault="002B64AF" w:rsidP="002B64AF">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w:t>
      </w:r>
      <w:r w:rsidRPr="00BC3A80">
        <w:rPr>
          <w:rFonts w:ascii="Verdana" w:eastAsia="Times New Roman" w:hAnsi="Verdana" w:cs="Arial"/>
          <w:sz w:val="20"/>
          <w:szCs w:val="20"/>
          <w:lang w:val="es-ES" w:eastAsia="es-CO"/>
        </w:rPr>
        <w:lastRenderedPageBreak/>
        <w:t>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BC3A80">
        <w:rPr>
          <w:rFonts w:ascii="Verdana" w:hAnsi="Verdana" w:cs="Arial"/>
          <w:sz w:val="20"/>
          <w:szCs w:val="20"/>
          <w:vertAlign w:val="superscript"/>
          <w:lang w:val="es-ES"/>
        </w:rPr>
        <w:footnoteReference w:id="3"/>
      </w:r>
    </w:p>
    <w:p w14:paraId="35CE0D5C" w14:textId="77777777" w:rsidR="002B64AF" w:rsidRPr="00BC3A80" w:rsidRDefault="002B64AF" w:rsidP="002B64AF">
      <w:pPr>
        <w:spacing w:after="0" w:line="276" w:lineRule="auto"/>
        <w:ind w:firstLine="709"/>
        <w:jc w:val="both"/>
        <w:rPr>
          <w:rFonts w:ascii="Verdana" w:eastAsia="Times New Roman" w:hAnsi="Verdana" w:cs="Arial"/>
          <w:lang w:val="es-ES" w:eastAsia="es-CO"/>
        </w:rPr>
      </w:pPr>
    </w:p>
    <w:p w14:paraId="3CE34E1A" w14:textId="77777777" w:rsidR="002B64AF" w:rsidRPr="00BC3A80" w:rsidRDefault="002B64AF" w:rsidP="002B64AF">
      <w:pPr>
        <w:spacing w:after="0" w:line="276" w:lineRule="auto"/>
        <w:ind w:firstLine="709"/>
        <w:jc w:val="both"/>
        <w:rPr>
          <w:rFonts w:ascii="Verdana" w:eastAsia="Times New Roman" w:hAnsi="Verdana" w:cs="Arial"/>
          <w:lang w:val="es-ES" w:eastAsia="es-CO"/>
        </w:rPr>
      </w:pPr>
      <w:r w:rsidRPr="00BC3A80">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77380074" w14:textId="77777777" w:rsidR="002B64AF" w:rsidRPr="00BC3A80" w:rsidRDefault="002B64AF" w:rsidP="002B64AF">
      <w:pPr>
        <w:spacing w:after="0" w:line="276" w:lineRule="auto"/>
        <w:ind w:firstLine="709"/>
        <w:jc w:val="both"/>
        <w:rPr>
          <w:rFonts w:ascii="Verdana" w:eastAsia="Times New Roman" w:hAnsi="Verdana" w:cs="Arial"/>
          <w:lang w:val="es-ES" w:eastAsia="es-CO"/>
        </w:rPr>
      </w:pPr>
    </w:p>
    <w:p w14:paraId="3A764725" w14:textId="77777777" w:rsidR="002B64AF" w:rsidRPr="00BC3A80" w:rsidRDefault="002B64AF" w:rsidP="002B64AF">
      <w:pPr>
        <w:spacing w:after="0" w:line="240" w:lineRule="auto"/>
        <w:ind w:left="709" w:right="709"/>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BC3A80">
        <w:rPr>
          <w:rFonts w:ascii="Verdana" w:eastAsia="Times New Roman" w:hAnsi="Verdana" w:cs="Arial"/>
          <w:sz w:val="20"/>
          <w:szCs w:val="20"/>
          <w:lang w:val="es-ES" w:eastAsia="es-CO"/>
        </w:rPr>
        <w:t>legis</w:t>
      </w:r>
      <w:proofErr w:type="spellEnd"/>
      <w:r w:rsidRPr="00BC3A80">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6942A95" w14:textId="77777777" w:rsidR="002B64AF" w:rsidRPr="00BC3A80" w:rsidRDefault="002B64AF" w:rsidP="002B64AF">
      <w:pPr>
        <w:spacing w:after="0" w:line="240" w:lineRule="auto"/>
        <w:ind w:right="709"/>
        <w:jc w:val="both"/>
        <w:rPr>
          <w:rFonts w:ascii="Verdana" w:eastAsia="Times New Roman" w:hAnsi="Verdana" w:cs="Arial"/>
          <w:lang w:val="es-ES" w:eastAsia="es-CO"/>
        </w:rPr>
      </w:pPr>
    </w:p>
    <w:p w14:paraId="5D3295A8" w14:textId="77777777" w:rsidR="002B64AF" w:rsidRPr="00BC3A80" w:rsidRDefault="002B64AF" w:rsidP="002B64AF">
      <w:pPr>
        <w:spacing w:after="0" w:line="240" w:lineRule="auto"/>
        <w:ind w:left="709" w:right="709"/>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La jurisprudencia de la Corte Constitucional</w:t>
      </w:r>
      <w:r w:rsidRPr="00BC3A80">
        <w:rPr>
          <w:rFonts w:ascii="Verdana" w:eastAsia="Times New Roman" w:hAnsi="Verdana" w:cs="Arial"/>
          <w:sz w:val="20"/>
          <w:szCs w:val="20"/>
          <w:vertAlign w:val="superscript"/>
          <w:lang w:val="es-ES" w:eastAsia="es-CO"/>
        </w:rPr>
        <w:footnoteReference w:id="4"/>
      </w:r>
      <w:r w:rsidRPr="00BC3A80">
        <w:rPr>
          <w:rFonts w:ascii="Verdana" w:eastAsia="Times New Roman" w:hAnsi="Verdana" w:cs="Arial"/>
          <w:sz w:val="20"/>
          <w:szCs w:val="20"/>
          <w:lang w:val="es-ES" w:eastAsia="es-CO"/>
        </w:rPr>
        <w:t> y del Consejo de Estado</w:t>
      </w:r>
      <w:r w:rsidRPr="00BC3A80">
        <w:rPr>
          <w:rFonts w:ascii="Verdana" w:eastAsia="Times New Roman" w:hAnsi="Verdana" w:cs="Arial"/>
          <w:sz w:val="20"/>
          <w:szCs w:val="20"/>
          <w:vertAlign w:val="superscript"/>
          <w:lang w:val="es-ES" w:eastAsia="es-CO"/>
        </w:rPr>
        <w:footnoteReference w:id="5"/>
      </w:r>
      <w:r w:rsidRPr="00BC3A80">
        <w:rPr>
          <w:rFonts w:ascii="Verdana" w:eastAsia="Times New Roman" w:hAnsi="Verdana" w:cs="Arial"/>
          <w:sz w:val="20"/>
          <w:szCs w:val="20"/>
          <w:lang w:val="es-ES"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w:t>
      </w:r>
      <w:r w:rsidRPr="00BC3A80">
        <w:rPr>
          <w:rFonts w:ascii="Verdana" w:eastAsia="Times New Roman" w:hAnsi="Verdana" w:cs="Arial"/>
          <w:sz w:val="20"/>
          <w:szCs w:val="20"/>
          <w:lang w:val="es-ES" w:eastAsia="es-CO"/>
        </w:rPr>
        <w:lastRenderedPageBreak/>
        <w:t>como entrañan una limitación -así fuere justificada- a la libertad de actuar o capacidad de obrar, sobrepasar sus precisos términos comporta el desconocimiento de la voluntad del legislador”</w:t>
      </w:r>
      <w:r w:rsidRPr="00BC3A80">
        <w:rPr>
          <w:rFonts w:ascii="Verdana" w:eastAsia="Times New Roman" w:hAnsi="Verdana" w:cs="Arial"/>
          <w:sz w:val="20"/>
          <w:szCs w:val="20"/>
          <w:vertAlign w:val="superscript"/>
          <w:lang w:val="es-ES" w:eastAsia="es-CO"/>
        </w:rPr>
        <w:footnoteReference w:id="6"/>
      </w:r>
      <w:r w:rsidRPr="00BC3A80">
        <w:rPr>
          <w:rFonts w:ascii="Verdana" w:eastAsia="Times New Roman" w:hAnsi="Verdana" w:cs="Arial"/>
          <w:sz w:val="20"/>
          <w:szCs w:val="20"/>
          <w:lang w:val="es-ES" w:eastAsia="es-CO"/>
        </w:rPr>
        <w:t>.</w:t>
      </w:r>
    </w:p>
    <w:p w14:paraId="78A42DB6" w14:textId="77777777" w:rsidR="002B64AF" w:rsidRPr="00BC3A80" w:rsidRDefault="002B64AF" w:rsidP="002B64AF">
      <w:pPr>
        <w:spacing w:after="0" w:line="276" w:lineRule="auto"/>
        <w:jc w:val="both"/>
        <w:rPr>
          <w:rFonts w:ascii="Verdana" w:hAnsi="Verdana" w:cs="Arial"/>
          <w:bCs/>
          <w:lang w:val="es-ES"/>
        </w:rPr>
      </w:pPr>
    </w:p>
    <w:p w14:paraId="4D7A9D98" w14:textId="77777777" w:rsidR="002B64AF" w:rsidRPr="00BC3A80" w:rsidRDefault="002B64AF" w:rsidP="002B64AF">
      <w:pPr>
        <w:spacing w:after="0" w:line="276" w:lineRule="auto"/>
        <w:ind w:firstLine="709"/>
        <w:jc w:val="both"/>
        <w:rPr>
          <w:rFonts w:ascii="Verdana" w:eastAsia="Arial" w:hAnsi="Verdana" w:cs="Arial"/>
          <w:lang w:val="es-ES" w:eastAsia="es-ES" w:bidi="es-ES"/>
        </w:rPr>
      </w:pPr>
      <w:r w:rsidRPr="00BC3A80">
        <w:rPr>
          <w:rFonts w:ascii="Verdana" w:eastAsia="Times New Roman" w:hAnsi="Verdana" w:cs="Arial"/>
          <w:lang w:val="es-ES" w:eastAsia="es-CO"/>
        </w:rPr>
        <w:t>De</w:t>
      </w:r>
      <w:r w:rsidRPr="00BC3A80">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3898B03A" w14:textId="77777777" w:rsidR="00A2016E" w:rsidRDefault="00A2016E" w:rsidP="002B64AF">
      <w:pPr>
        <w:spacing w:after="0" w:line="276" w:lineRule="auto"/>
        <w:jc w:val="both"/>
        <w:rPr>
          <w:rFonts w:ascii="Verdana" w:eastAsia="Arial" w:hAnsi="Verdana" w:cs="Arial"/>
          <w:lang w:val="es-ES" w:eastAsia="es-ES" w:bidi="es-ES"/>
        </w:rPr>
      </w:pPr>
    </w:p>
    <w:p w14:paraId="02C533B1" w14:textId="7B279554" w:rsidR="002B64AF" w:rsidRPr="00BC3A80" w:rsidRDefault="002B64AF" w:rsidP="002B64AF">
      <w:pPr>
        <w:spacing w:after="0" w:line="276" w:lineRule="auto"/>
        <w:jc w:val="both"/>
        <w:rPr>
          <w:rFonts w:ascii="Verdana" w:eastAsia="Times New Roman" w:hAnsi="Verdana" w:cs="Arial"/>
          <w:lang w:val="es-ES" w:eastAsia="es-CO"/>
        </w:rPr>
      </w:pPr>
      <w:proofErr w:type="spellStart"/>
      <w:r w:rsidRPr="00BC3A80">
        <w:rPr>
          <w:rFonts w:ascii="Verdana" w:hAnsi="Verdana" w:cs="Arial"/>
          <w:lang w:val="es-ES"/>
        </w:rPr>
        <w:t>iii</w:t>
      </w:r>
      <w:proofErr w:type="spellEnd"/>
      <w:r w:rsidRPr="00BC3A80">
        <w:rPr>
          <w:rFonts w:ascii="Verdana" w:hAnsi="Verdana" w:cs="Arial"/>
          <w:lang w:val="es-ES"/>
        </w:rPr>
        <w:t xml:space="preserve">) </w:t>
      </w:r>
      <w:r w:rsidRPr="00BC3A80">
        <w:rPr>
          <w:rFonts w:ascii="Verdana" w:hAnsi="Verdana" w:cs="Arial"/>
          <w:lang w:val="es-ES" w:eastAsia="es-ES" w:bidi="es-ES"/>
        </w:rPr>
        <w:t xml:space="preserve">Para responder al problema jurídico planteado es necesario, en primer lugar, precisar el alcance de la prohibición </w:t>
      </w:r>
      <w:r w:rsidRPr="00BC3A80">
        <w:rPr>
          <w:rFonts w:ascii="Verdana" w:eastAsia="Arial" w:hAnsi="Verdana" w:cs="Arial"/>
          <w:lang w:val="es-ES" w:eastAsia="es-ES" w:bidi="es-ES"/>
        </w:rPr>
        <w:t>establecida en e</w:t>
      </w:r>
      <w:r w:rsidRPr="00BC3A80">
        <w:rPr>
          <w:rFonts w:ascii="Verdana" w:hAnsi="Verdana" w:cs="Arial"/>
          <w:lang w:val="es-ES"/>
        </w:rPr>
        <w:t xml:space="preserve">l </w:t>
      </w:r>
      <w:r w:rsidRPr="00BC3A80">
        <w:rPr>
          <w:rFonts w:ascii="Verdana" w:eastAsia="Times New Roman" w:hAnsi="Verdana" w:cs="Arial"/>
          <w:lang w:val="es-ES"/>
        </w:rPr>
        <w:t xml:space="preserve">artículo 33 de la Ley 996 de 2005 y sus excepciones. El </w:t>
      </w:r>
      <w:r w:rsidRPr="00BC3A80">
        <w:rPr>
          <w:rFonts w:ascii="Verdana" w:eastAsia="Times New Roman" w:hAnsi="Verdana" w:cs="Arial"/>
          <w:i/>
          <w:iCs/>
          <w:lang w:val="es-ES"/>
        </w:rPr>
        <w:t>ámbito material</w:t>
      </w:r>
      <w:r w:rsidRPr="00BC3A80">
        <w:rPr>
          <w:rFonts w:ascii="Verdana" w:eastAsia="Times New Roman" w:hAnsi="Verdana" w:cs="Arial"/>
          <w:lang w:val="es-ES"/>
        </w:rPr>
        <w:t xml:space="preserve"> de esta prohibición está delimitado por la expresión </w:t>
      </w:r>
      <w:r w:rsidRPr="00BC3A80">
        <w:rPr>
          <w:rFonts w:ascii="Verdana" w:hAnsi="Verdana" w:cs="Arial"/>
          <w:bCs/>
          <w:lang w:val="es-ES"/>
        </w:rPr>
        <w:t>“</w:t>
      </w:r>
      <w:r w:rsidRPr="00BC3A80">
        <w:rPr>
          <w:rFonts w:ascii="Verdana" w:eastAsia="Times New Roman" w:hAnsi="Verdana" w:cs="Arial"/>
          <w:lang w:val="es-ES"/>
        </w:rPr>
        <w:t>queda prohibida la contratación directa</w:t>
      </w:r>
      <w:r w:rsidRPr="00BC3A80">
        <w:rPr>
          <w:rFonts w:ascii="Verdana" w:hAnsi="Verdana" w:cs="Arial"/>
          <w:lang w:val="es-ES"/>
        </w:rPr>
        <w:t>”</w:t>
      </w:r>
      <w:r w:rsidRPr="00BC3A80">
        <w:rPr>
          <w:rFonts w:ascii="Verdana" w:eastAsia="Times New Roman" w:hAnsi="Verdana" w:cs="Arial"/>
          <w:lang w:val="es-ES"/>
        </w:rPr>
        <w:t xml:space="preserve">. </w:t>
      </w:r>
      <w:r w:rsidRPr="00BC3A80">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625CC4E5" w14:textId="77777777" w:rsidR="002B64AF" w:rsidRPr="00BC3A80" w:rsidRDefault="002B64AF" w:rsidP="002B64AF">
      <w:pPr>
        <w:spacing w:after="0" w:line="276" w:lineRule="auto"/>
        <w:jc w:val="both"/>
        <w:rPr>
          <w:rFonts w:ascii="Verdana" w:eastAsia="Arial" w:hAnsi="Verdana" w:cs="Arial"/>
          <w:lang w:val="es-ES" w:eastAsia="es-ES" w:bidi="es-ES"/>
        </w:rPr>
      </w:pPr>
    </w:p>
    <w:p w14:paraId="1BFA7CDB" w14:textId="77777777" w:rsidR="002B64AF" w:rsidRPr="00BC3A80" w:rsidRDefault="002B64AF" w:rsidP="002B64AF">
      <w:pPr>
        <w:spacing w:after="0" w:line="240" w:lineRule="auto"/>
        <w:ind w:left="709" w:right="709"/>
        <w:jc w:val="both"/>
        <w:rPr>
          <w:rFonts w:ascii="Verdana" w:hAnsi="Verdana" w:cs="Arial"/>
          <w:sz w:val="20"/>
          <w:szCs w:val="20"/>
          <w:lang w:val="es-ES"/>
        </w:rPr>
      </w:pPr>
      <w:r w:rsidRPr="00BC3A80">
        <w:rPr>
          <w:rFonts w:ascii="Verdana" w:hAnsi="Verdana" w:cs="Arial"/>
          <w:sz w:val="20"/>
          <w:szCs w:val="20"/>
          <w:lang w:val="es-ES"/>
        </w:rPr>
        <w:t>“[…]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BC3A80">
        <w:rPr>
          <w:rFonts w:ascii="Verdana" w:eastAsia="Times New Roman" w:hAnsi="Verdana" w:cs="Arial"/>
          <w:sz w:val="20"/>
          <w:szCs w:val="20"/>
          <w:vertAlign w:val="superscript"/>
          <w:lang w:val="es-ES"/>
        </w:rPr>
        <w:footnoteReference w:id="7"/>
      </w:r>
      <w:r w:rsidRPr="00BC3A80">
        <w:rPr>
          <w:rFonts w:ascii="Verdana" w:eastAsia="Times New Roman" w:hAnsi="Verdana" w:cs="Arial"/>
          <w:sz w:val="20"/>
          <w:szCs w:val="20"/>
          <w:vertAlign w:val="superscript"/>
          <w:lang w:val="es-ES"/>
        </w:rPr>
        <w:t>.</w:t>
      </w:r>
      <w:r w:rsidRPr="00BC3A80">
        <w:rPr>
          <w:rFonts w:ascii="Verdana"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BC3A80">
        <w:rPr>
          <w:rFonts w:ascii="Verdana" w:eastAsia="Times New Roman" w:hAnsi="Verdana" w:cs="Arial"/>
          <w:sz w:val="20"/>
          <w:szCs w:val="20"/>
          <w:vertAlign w:val="superscript"/>
          <w:lang w:val="es-ES" w:eastAsia="es-CO"/>
        </w:rPr>
        <w:footnoteReference w:id="8"/>
      </w:r>
      <w:r w:rsidRPr="00BC3A80">
        <w:rPr>
          <w:rFonts w:ascii="Verdana" w:hAnsi="Verdana" w:cs="Arial"/>
          <w:sz w:val="20"/>
          <w:szCs w:val="20"/>
          <w:lang w:val="es-ES"/>
        </w:rPr>
        <w:t xml:space="preserve"> .</w:t>
      </w:r>
    </w:p>
    <w:p w14:paraId="7394AB1B" w14:textId="77777777" w:rsidR="002B64AF" w:rsidRPr="00BC3A80" w:rsidRDefault="002B64AF" w:rsidP="002B64AF">
      <w:pPr>
        <w:shd w:val="clear" w:color="auto" w:fill="FFFFFF" w:themeFill="background1"/>
        <w:spacing w:after="0" w:line="276" w:lineRule="auto"/>
        <w:ind w:firstLine="709"/>
        <w:jc w:val="both"/>
        <w:rPr>
          <w:rFonts w:ascii="Verdana" w:eastAsia="Times New Roman" w:hAnsi="Verdana" w:cs="Arial"/>
          <w:lang w:val="es-ES" w:eastAsia="x-none"/>
        </w:rPr>
      </w:pPr>
    </w:p>
    <w:p w14:paraId="29752AF0" w14:textId="77777777" w:rsidR="002B64AF" w:rsidRPr="00BC3A80" w:rsidRDefault="002B64AF" w:rsidP="002B64AF">
      <w:pPr>
        <w:spacing w:after="120" w:line="276" w:lineRule="auto"/>
        <w:ind w:firstLine="708"/>
        <w:jc w:val="both"/>
        <w:rPr>
          <w:rFonts w:ascii="Verdana" w:eastAsia="Times New Roman" w:hAnsi="Verdana" w:cs="Arial"/>
          <w:bCs/>
          <w:lang w:val="es-ES" w:eastAsia="x-none"/>
        </w:rPr>
      </w:pPr>
      <w:r w:rsidRPr="00BC3A80">
        <w:rPr>
          <w:rFonts w:ascii="Verdana" w:eastAsia="Times New Roman" w:hAnsi="Verdana" w:cs="Arial"/>
          <w:lang w:val="es-ES" w:eastAsia="x-none"/>
        </w:rPr>
        <w:t xml:space="preserve">De acuerdo con este concepto, la prohibición del artículo 33 de la Ley de Garantías Electorales se refiere a </w:t>
      </w:r>
      <w:r w:rsidRPr="00BC3A80">
        <w:rPr>
          <w:rFonts w:ascii="Verdana" w:eastAsia="Times New Roman" w:hAnsi="Verdana" w:cs="Arial"/>
          <w:sz w:val="19"/>
          <w:szCs w:val="19"/>
          <w:lang w:val="es-ES" w:eastAsia="en-GB"/>
        </w:rPr>
        <w:t>“</w:t>
      </w:r>
      <w:r w:rsidRPr="00BC3A80">
        <w:rPr>
          <w:rFonts w:ascii="Verdana" w:eastAsia="Times New Roman" w:hAnsi="Verdana" w:cs="Arial"/>
          <w:lang w:val="es-ES" w:eastAsia="x-none"/>
        </w:rPr>
        <w:t>cualquier sistema que no implique convocatoria pública y posibilidad de pluralidad de oferentes</w:t>
      </w:r>
      <w:r w:rsidRPr="00BC3A80">
        <w:rPr>
          <w:rFonts w:ascii="Verdana" w:eastAsia="Times New Roman" w:hAnsi="Verdana" w:cs="Arial"/>
          <w:lang w:val="es-ES" w:eastAsia="en-GB"/>
        </w:rPr>
        <w:t>”</w:t>
      </w:r>
      <w:r w:rsidRPr="00BC3A80">
        <w:rPr>
          <w:rFonts w:ascii="Verdana" w:eastAsia="Times New Roman" w:hAnsi="Verdana" w:cs="Arial"/>
          <w:lang w:val="es-ES" w:eastAsia="x-none"/>
        </w:rPr>
        <w:t xml:space="preserve">, por lo que excluye </w:t>
      </w:r>
      <w:r w:rsidRPr="00BC3A80">
        <w:rPr>
          <w:rFonts w:ascii="Verdana" w:eastAsia="Times New Roman" w:hAnsi="Verdana" w:cs="Arial"/>
          <w:lang w:val="es-ES" w:eastAsia="x-none"/>
        </w:rPr>
        <w:lastRenderedPageBreak/>
        <w:t xml:space="preserve">las demás modalidades de contratación previstas en la Ley 1150 de 2007, es decir, la licitación pública, la selección abreviada, el concurso de méritos </w:t>
      </w:r>
      <w:r w:rsidRPr="00BC3A80">
        <w:rPr>
          <w:rFonts w:ascii="Verdana" w:eastAsia="Times New Roman" w:hAnsi="Verdana" w:cs="Arial"/>
          <w:lang w:val="es-ES"/>
        </w:rPr>
        <w:t>y la mínima cuantía</w:t>
      </w:r>
      <w:r w:rsidRPr="00BC3A80" w:rsidDel="00A85D9F">
        <w:rPr>
          <w:rFonts w:ascii="Verdana" w:eastAsia="Times New Roman" w:hAnsi="Verdana" w:cs="Arial"/>
          <w:lang w:val="es-ES" w:eastAsia="x-none"/>
        </w:rPr>
        <w:t xml:space="preserve"> </w:t>
      </w:r>
      <w:r w:rsidRPr="00BC3A80">
        <w:rPr>
          <w:rFonts w:ascii="Verdana" w:eastAsia="Times New Roman" w:hAnsi="Verdana" w:cs="Arial"/>
          <w:lang w:val="es-ES"/>
        </w:rPr>
        <w:t xml:space="preserve">u otros previstos en normas especiales. </w:t>
      </w:r>
      <w:r w:rsidRPr="00BC3A80">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BC3A80">
        <w:rPr>
          <w:rFonts w:ascii="Verdana" w:eastAsia="Times New Roman" w:hAnsi="Verdana" w:cs="Arial"/>
          <w:vertAlign w:val="superscript"/>
          <w:lang w:val="es-ES" w:eastAsia="x-none"/>
        </w:rPr>
        <w:footnoteReference w:id="9"/>
      </w:r>
      <w:r w:rsidRPr="00BC3A80">
        <w:rPr>
          <w:rFonts w:ascii="Verdana" w:eastAsia="Times New Roman" w:hAnsi="Verdana" w:cs="Arial"/>
          <w:lang w:val="es-ES" w:eastAsia="x-none"/>
        </w:rPr>
        <w:t xml:space="preserve"> y sistematizó las causales de contratación directa</w:t>
      </w:r>
      <w:r w:rsidRPr="00BC3A80">
        <w:rPr>
          <w:rFonts w:ascii="Verdana" w:eastAsia="Times New Roman" w:hAnsi="Verdana" w:cs="Arial"/>
          <w:vertAlign w:val="superscript"/>
          <w:lang w:val="es-ES" w:eastAsia="x-none"/>
        </w:rPr>
        <w:footnoteReference w:id="10"/>
      </w:r>
      <w:r w:rsidRPr="00BC3A80">
        <w:rPr>
          <w:rFonts w:ascii="Verdana" w:eastAsia="Times New Roman" w:hAnsi="Verdana" w:cs="Arial"/>
          <w:lang w:val="es-ES" w:eastAsia="x-none"/>
        </w:rPr>
        <w:t xml:space="preserve">, </w:t>
      </w:r>
      <w:r w:rsidRPr="00BC3A80">
        <w:rPr>
          <w:rFonts w:ascii="Verdana"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0EFD040B" w14:textId="77777777" w:rsidR="002B64AF" w:rsidRPr="00BC3A80" w:rsidRDefault="002B64AF" w:rsidP="002B64AF">
      <w:pPr>
        <w:spacing w:after="120" w:line="276" w:lineRule="auto"/>
        <w:ind w:firstLine="708"/>
        <w:jc w:val="both"/>
        <w:rPr>
          <w:rFonts w:ascii="Verdana" w:eastAsia="Times New Roman" w:hAnsi="Verdana" w:cs="Arial"/>
          <w:bCs/>
          <w:lang w:val="es-ES" w:eastAsia="es-CO"/>
        </w:rPr>
      </w:pPr>
      <w:r w:rsidRPr="00BC3A80">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BC3A80">
        <w:rPr>
          <w:rFonts w:ascii="Verdana" w:eastAsia="Times New Roman" w:hAnsi="Verdana" w:cs="Arial"/>
          <w:bCs/>
          <w:i/>
          <w:iCs/>
          <w:lang w:val="es-ES" w:eastAsia="es-CO"/>
        </w:rPr>
        <w:t>, sino también frente a las entidades que tengan un régimen especial de contratación</w:t>
      </w:r>
      <w:r w:rsidRPr="00BC3A80">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BC3A80">
        <w:rPr>
          <w:rFonts w:ascii="Verdana" w:eastAsia="Times New Roman" w:hAnsi="Verdana" w:cs="Arial"/>
          <w:lang w:val="es-ES"/>
        </w:rPr>
        <w:t xml:space="preserve">Así, para la prohibición o restricción temporal contenida en su artículo 33, “contratación directa” es </w:t>
      </w:r>
      <w:r w:rsidRPr="00BC3A80">
        <w:rPr>
          <w:rFonts w:ascii="Verdana" w:eastAsia="Times New Roman" w:hAnsi="Verdana" w:cs="Arial"/>
          <w:i/>
          <w:iCs/>
          <w:lang w:val="es-ES"/>
        </w:rPr>
        <w:t>cualquier</w:t>
      </w:r>
      <w:r w:rsidRPr="00BC3A80">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BC3A80">
        <w:rPr>
          <w:rFonts w:ascii="Verdana" w:eastAsia="Times New Roman" w:hAnsi="Verdana" w:cs="Arial"/>
          <w:vertAlign w:val="superscript"/>
          <w:lang w:val="es-ES" w:eastAsia="x-none"/>
        </w:rPr>
        <w:footnoteReference w:id="11"/>
      </w:r>
      <w:r w:rsidRPr="00BC3A80">
        <w:rPr>
          <w:rFonts w:ascii="Verdana" w:eastAsia="Times New Roman" w:hAnsi="Verdana" w:cs="Arial"/>
          <w:lang w:val="es-ES"/>
        </w:rPr>
        <w:t>.</w:t>
      </w:r>
      <w:r w:rsidRPr="00BC3A80">
        <w:rPr>
          <w:rFonts w:ascii="Verdana" w:eastAsia="Times New Roman" w:hAnsi="Verdana" w:cs="Arial"/>
          <w:vertAlign w:val="superscript"/>
          <w:lang w:val="es-ES" w:eastAsia="x-none"/>
        </w:rPr>
        <w:t xml:space="preserve"> </w:t>
      </w:r>
    </w:p>
    <w:p w14:paraId="1B90DF15" w14:textId="77777777" w:rsidR="002B64AF" w:rsidRPr="00BC3A80" w:rsidRDefault="002B64AF" w:rsidP="002B64AF">
      <w:pPr>
        <w:spacing w:after="120" w:line="276" w:lineRule="auto"/>
        <w:ind w:firstLine="708"/>
        <w:jc w:val="both"/>
        <w:rPr>
          <w:rFonts w:ascii="Verdana" w:eastAsia="Times New Roman" w:hAnsi="Verdana" w:cs="Arial"/>
          <w:lang w:val="es-ES"/>
        </w:rPr>
      </w:pPr>
      <w:r w:rsidRPr="00BC3A80">
        <w:rPr>
          <w:rFonts w:ascii="Verdana" w:eastAsia="Times New Roman" w:hAnsi="Verdana" w:cs="Arial"/>
          <w:lang w:val="es-ES"/>
        </w:rPr>
        <w:t xml:space="preserve">De lo anterior se desprende que la restricción aplica, sin perjuicio de las excepciones establecidas en la misma ley, para celebrar </w:t>
      </w:r>
      <w:r w:rsidRPr="00BC3A80">
        <w:rPr>
          <w:rFonts w:ascii="Verdana" w:eastAsia="Times New Roman" w:hAnsi="Verdana" w:cs="Arial"/>
          <w:i/>
          <w:iCs/>
          <w:lang w:val="es-ES"/>
        </w:rPr>
        <w:t>cualquier contrato o convenio de forma directa</w:t>
      </w:r>
      <w:r w:rsidRPr="00BC3A80">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1FCAEE3D" w14:textId="77777777" w:rsidR="002B64AF" w:rsidRPr="00BC3A80" w:rsidRDefault="002B64AF" w:rsidP="002B64AF">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val="es-MX" w:eastAsia="es-CO"/>
        </w:rPr>
        <w:lastRenderedPageBreak/>
        <w:t xml:space="preserve">Respecto del alcance de esta prohibición la Circular Externa No. 006 de 2025 expedida por la ANCP -CCE, en los literales </w:t>
      </w:r>
      <w:proofErr w:type="spellStart"/>
      <w:r w:rsidRPr="00BC3A80">
        <w:rPr>
          <w:rFonts w:ascii="Verdana" w:eastAsia="Times New Roman" w:hAnsi="Verdana" w:cs="Arial"/>
          <w:lang w:val="es-MX" w:eastAsia="es-CO"/>
        </w:rPr>
        <w:t>ii</w:t>
      </w:r>
      <w:proofErr w:type="spellEnd"/>
      <w:r w:rsidRPr="00BC3A80">
        <w:rPr>
          <w:rFonts w:ascii="Verdana" w:eastAsia="Times New Roman" w:hAnsi="Verdana" w:cs="Arial"/>
          <w:lang w:val="es-MX" w:eastAsia="es-CO"/>
        </w:rPr>
        <w:t xml:space="preserve">) y </w:t>
      </w:r>
      <w:proofErr w:type="spellStart"/>
      <w:r w:rsidRPr="00BC3A80">
        <w:rPr>
          <w:rFonts w:ascii="Verdana" w:eastAsia="Times New Roman" w:hAnsi="Verdana" w:cs="Arial"/>
          <w:lang w:val="es-MX" w:eastAsia="es-CO"/>
        </w:rPr>
        <w:t>iv</w:t>
      </w:r>
      <w:proofErr w:type="spellEnd"/>
      <w:r w:rsidRPr="00BC3A80">
        <w:rPr>
          <w:rFonts w:ascii="Verdana" w:eastAsia="Times New Roman" w:hAnsi="Verdana" w:cs="Arial"/>
          <w:lang w:val="es-MX" w:eastAsia="es-CO"/>
        </w:rPr>
        <w:t>) del numeral 2</w:t>
      </w:r>
      <w:r w:rsidRPr="00BC3A80">
        <w:rPr>
          <w:rFonts w:ascii="Verdana" w:eastAsia="Times New Roman" w:hAnsi="Verdana" w:cs="Arial"/>
          <w:lang w:eastAsia="es-CO"/>
        </w:rPr>
        <w:t>,</w:t>
      </w:r>
      <w:r w:rsidRPr="00BC3A80">
        <w:rPr>
          <w:rFonts w:ascii="Verdana" w:eastAsia="Times New Roman" w:hAnsi="Verdana" w:cs="Arial"/>
          <w:lang w:val="es-MX" w:eastAsia="es-CO"/>
        </w:rPr>
        <w:t xml:space="preserve"> indica que el </w:t>
      </w:r>
      <w:r w:rsidRPr="00BC3A80">
        <w:rPr>
          <w:rFonts w:ascii="Verdana" w:eastAsia="Times New Roman" w:hAnsi="Verdana" w:cs="Arial"/>
          <w:lang w:eastAsia="es-CO"/>
        </w:rPr>
        <w:t xml:space="preserve">parágrafo del artículo 38 de la Ley 996 de 2005 cobija expresamente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r w:rsidRPr="00BC3A80">
        <w:rPr>
          <w:rFonts w:ascii="Verdana" w:eastAsia="Times New Roman" w:hAnsi="Verdana" w:cs="Arial"/>
          <w:lang w:eastAsia="es-CO"/>
        </w:rPr>
        <w:t xml:space="preserve"> </w:t>
      </w:r>
    </w:p>
    <w:p w14:paraId="47226A2F" w14:textId="77777777" w:rsidR="002B64AF" w:rsidRPr="00BC3A80" w:rsidRDefault="002B64AF" w:rsidP="002B64AF">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w:t>
      </w:r>
      <w:r w:rsidRPr="00BC3A80">
        <w:rPr>
          <w:rFonts w:ascii="Verdana" w:eastAsia="Times New Roman" w:hAnsi="Verdana" w:cs="Arial"/>
          <w:i/>
          <w:iCs/>
          <w:lang w:eastAsia="es-CO"/>
        </w:rPr>
        <w:t>ejecución de recursos públicos</w:t>
      </w:r>
      <w:r w:rsidRPr="00BC3A80">
        <w:rPr>
          <w:rFonts w:ascii="Verdana" w:eastAsia="Times New Roman" w:hAnsi="Verdana" w:cs="Arial"/>
          <w:lang w:eastAsia="es-CO"/>
        </w:rPr>
        <w:t xml:space="preserve">. Esto significa que la prohibición no resulta aplicable a </w:t>
      </w:r>
      <w:r w:rsidRPr="00BC3A80">
        <w:rPr>
          <w:rFonts w:ascii="Verdana" w:eastAsia="Times New Roman" w:hAnsi="Verdana" w:cs="Arial"/>
          <w:i/>
          <w:iCs/>
          <w:lang w:eastAsia="es-CO"/>
        </w:rPr>
        <w:t>convenios interadministrativos a título gratuito,</w:t>
      </w:r>
      <w:r w:rsidRPr="00BC3A80">
        <w:rPr>
          <w:rFonts w:ascii="Verdana" w:eastAsia="Times New Roman" w:hAnsi="Verdana" w:cs="Arial"/>
          <w:lang w:eastAsia="es-CO"/>
        </w:rPr>
        <w:t xml:space="preserve"> los cuales pueden celebrarse válidamente durante la vigencia de la mencionada restricción. </w:t>
      </w:r>
    </w:p>
    <w:p w14:paraId="0E50669E" w14:textId="77777777" w:rsidR="002B64AF" w:rsidRPr="00BC3A80" w:rsidRDefault="002B64AF" w:rsidP="002B64AF">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De esta manera, conforme a lo dispuesto en la Circular referida, si se suscriben </w:t>
      </w:r>
      <w:r w:rsidRPr="00BC3A80">
        <w:rPr>
          <w:rFonts w:ascii="Verdana" w:eastAsia="Times New Roman" w:hAnsi="Verdana" w:cs="Arial"/>
          <w:i/>
          <w:iCs/>
          <w:lang w:eastAsia="es-CO"/>
        </w:rPr>
        <w:t>convenios interadministrativos para la ejecución de recursos públicos</w:t>
      </w:r>
      <w:r w:rsidRPr="00BC3A80">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BC3A80">
        <w:rPr>
          <w:rFonts w:ascii="Verdana" w:eastAsia="Times New Roman" w:hAnsi="Verdana" w:cs="Arial"/>
          <w:i/>
          <w:iCs/>
          <w:lang w:eastAsia="es-CO"/>
        </w:rPr>
        <w:t>ibidem</w:t>
      </w:r>
      <w:r w:rsidRPr="00BC3A80">
        <w:rPr>
          <w:rFonts w:ascii="Verdana" w:eastAsia="Times New Roman" w:hAnsi="Verdana" w:cs="Arial"/>
          <w:lang w:eastAsia="es-CO"/>
        </w:rPr>
        <w:t>, independientemente de que se configure alguno de los supuestos de excepción que señaló el inciso final del artículo 33, es decir, que se trate de:</w:t>
      </w:r>
      <w:r w:rsidRPr="00BC3A80">
        <w:rPr>
          <w:rFonts w:ascii="Verdana" w:hAnsi="Verdana" w:cs="Arial"/>
          <w:bCs/>
          <w:lang w:val="es-MX" w:eastAsia="x-none"/>
        </w:rPr>
        <w:t xml:space="preserve"> i) la defensa y seguridad del Estado; </w:t>
      </w:r>
      <w:proofErr w:type="spellStart"/>
      <w:r w:rsidRPr="00BC3A80">
        <w:rPr>
          <w:rFonts w:ascii="Verdana" w:hAnsi="Verdana" w:cs="Arial"/>
          <w:bCs/>
          <w:lang w:val="es-MX" w:eastAsia="x-none"/>
        </w:rPr>
        <w:t>ii</w:t>
      </w:r>
      <w:proofErr w:type="spellEnd"/>
      <w:r w:rsidRPr="00BC3A80">
        <w:rPr>
          <w:rFonts w:ascii="Verdana" w:hAnsi="Verdana" w:cs="Arial"/>
          <w:bCs/>
          <w:lang w:val="es-MX" w:eastAsia="x-none"/>
        </w:rPr>
        <w:t xml:space="preserve">) los contratos de crédito público; </w:t>
      </w:r>
      <w:proofErr w:type="spellStart"/>
      <w:r w:rsidRPr="00BC3A80">
        <w:rPr>
          <w:rFonts w:ascii="Verdana" w:hAnsi="Verdana" w:cs="Arial"/>
          <w:bCs/>
          <w:lang w:val="es-MX" w:eastAsia="x-none"/>
        </w:rPr>
        <w:t>iii</w:t>
      </w:r>
      <w:proofErr w:type="spellEnd"/>
      <w:r w:rsidRPr="00BC3A80">
        <w:rPr>
          <w:rFonts w:ascii="Verdana" w:hAnsi="Verdana" w:cs="Arial"/>
          <w:bCs/>
          <w:lang w:val="es-MX" w:eastAsia="x-none"/>
        </w:rPr>
        <w:t xml:space="preserve">) los requeridos para cubrir las emergencias educativas, sanitarias y desastres; </w:t>
      </w:r>
      <w:proofErr w:type="spellStart"/>
      <w:r w:rsidRPr="00BC3A80">
        <w:rPr>
          <w:rFonts w:ascii="Verdana" w:hAnsi="Verdana" w:cs="Arial"/>
          <w:bCs/>
          <w:lang w:val="es-MX" w:eastAsia="x-none"/>
        </w:rPr>
        <w:t>iv</w:t>
      </w:r>
      <w:proofErr w:type="spellEnd"/>
      <w:r w:rsidRPr="00BC3A80">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C3A80">
        <w:rPr>
          <w:rFonts w:ascii="Verdana" w:hAnsi="Verdana" w:cs="Arial"/>
          <w:bCs/>
          <w:lang w:val="es-MX" w:eastAsia="es-CO"/>
        </w:rPr>
        <w:t xml:space="preserve"> </w:t>
      </w:r>
      <w:r w:rsidRPr="00BC3A80">
        <w:rPr>
          <w:rFonts w:ascii="Verdana" w:eastAsia="Times New Roman" w:hAnsi="Verdana" w:cs="Arial"/>
          <w:lang w:eastAsia="es-CO"/>
        </w:rPr>
        <w:t xml:space="preserve">  </w:t>
      </w:r>
    </w:p>
    <w:p w14:paraId="3D7D7133" w14:textId="77777777" w:rsidR="002B64AF" w:rsidRPr="00BC3A80" w:rsidRDefault="002B64AF" w:rsidP="002B64AF">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En este punto, vale la pena destacar que, </w:t>
      </w:r>
      <w:r w:rsidRPr="00BC3A80">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BC3A80">
        <w:rPr>
          <w:rFonts w:ascii="Verdana" w:hAnsi="Verdana" w:cs="Arial"/>
        </w:rPr>
        <w:t>numeral 16.2 de la Circular Externa Única de 2022 expedida por la Agencia Nacional de Contratación Pública -</w:t>
      </w:r>
      <w:r w:rsidRPr="00BC3A80">
        <w:rPr>
          <w:rFonts w:ascii="Verdana" w:hAnsi="Verdana" w:cs="Arial"/>
        </w:rPr>
        <w:lastRenderedPageBreak/>
        <w:t>Colombia Compra Eficiente-, concretamente, respecto de los siguientes apartes normativos</w:t>
      </w:r>
      <w:r w:rsidRPr="00BC3A80">
        <w:rPr>
          <w:rFonts w:ascii="Verdana" w:hAnsi="Verdana" w:cs="Arial"/>
          <w:vertAlign w:val="superscript"/>
        </w:rPr>
        <w:footnoteReference w:id="12"/>
      </w:r>
      <w:r w:rsidRPr="00BC3A80">
        <w:rPr>
          <w:rFonts w:ascii="Verdana" w:hAnsi="Verdana" w:cs="Arial"/>
        </w:rPr>
        <w:t>:</w:t>
      </w:r>
      <w:r w:rsidRPr="00BC3A80">
        <w:rPr>
          <w:rFonts w:cs="Arial"/>
        </w:rPr>
        <w:t xml:space="preserve"> </w:t>
      </w:r>
    </w:p>
    <w:p w14:paraId="106C750A" w14:textId="77777777" w:rsidR="002B64AF" w:rsidRPr="00BC3A80" w:rsidRDefault="002B64AF" w:rsidP="002B64AF">
      <w:pPr>
        <w:spacing w:after="0" w:line="276" w:lineRule="auto"/>
        <w:ind w:firstLine="709"/>
        <w:jc w:val="both"/>
        <w:rPr>
          <w:rFonts w:cs="Arial"/>
        </w:rPr>
      </w:pPr>
    </w:p>
    <w:p w14:paraId="2BD2CD5C" w14:textId="77777777" w:rsidR="002B64AF" w:rsidRPr="00BC3A80" w:rsidRDefault="002B64AF" w:rsidP="002B64AF">
      <w:pPr>
        <w:spacing w:after="0" w:line="240" w:lineRule="auto"/>
        <w:ind w:left="709" w:right="709"/>
        <w:jc w:val="both"/>
        <w:rPr>
          <w:rFonts w:ascii="Verdana" w:hAnsi="Verdana" w:cs="Arial"/>
          <w:sz w:val="20"/>
          <w:szCs w:val="20"/>
        </w:rPr>
      </w:pPr>
      <w:r w:rsidRPr="00BC3A80">
        <w:rPr>
          <w:rFonts w:ascii="Verdana" w:hAnsi="Verdana" w:cs="Arial"/>
          <w:sz w:val="20"/>
          <w:szCs w:val="20"/>
          <w:lang w:val="es-MX"/>
        </w:rPr>
        <w:t>i)</w:t>
      </w:r>
      <w:r w:rsidRPr="00BC3A80">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511D1C43" w14:textId="77777777" w:rsidR="002B64AF" w:rsidRPr="00BC3A80" w:rsidRDefault="002B64AF" w:rsidP="002B64AF">
      <w:pPr>
        <w:spacing w:after="0" w:line="240" w:lineRule="auto"/>
        <w:ind w:left="709" w:right="709"/>
        <w:jc w:val="both"/>
        <w:rPr>
          <w:rFonts w:ascii="Verdana" w:hAnsi="Verdana" w:cs="Arial"/>
          <w:sz w:val="20"/>
          <w:szCs w:val="20"/>
        </w:rPr>
      </w:pPr>
    </w:p>
    <w:p w14:paraId="64D20802" w14:textId="77777777" w:rsidR="002B64AF" w:rsidRPr="00BC3A80" w:rsidRDefault="002B64AF" w:rsidP="002B64AF">
      <w:pPr>
        <w:spacing w:after="0" w:line="240" w:lineRule="auto"/>
        <w:ind w:left="709" w:right="709"/>
        <w:jc w:val="both"/>
        <w:rPr>
          <w:rFonts w:ascii="Verdana" w:hAnsi="Verdana" w:cs="Arial"/>
          <w:sz w:val="20"/>
          <w:szCs w:val="20"/>
        </w:rPr>
      </w:pPr>
      <w:proofErr w:type="spellStart"/>
      <w:r w:rsidRPr="00BC3A80">
        <w:rPr>
          <w:rFonts w:ascii="Verdana" w:hAnsi="Verdana" w:cs="Arial"/>
          <w:sz w:val="20"/>
          <w:szCs w:val="20"/>
        </w:rPr>
        <w:t>ii</w:t>
      </w:r>
      <w:proofErr w:type="spellEnd"/>
      <w:r w:rsidRPr="00BC3A80">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688A347A" w14:textId="77777777" w:rsidR="002B64AF" w:rsidRPr="00BC3A80" w:rsidRDefault="002B64AF" w:rsidP="002B64AF">
      <w:pPr>
        <w:spacing w:after="0" w:line="276" w:lineRule="auto"/>
        <w:ind w:left="709" w:right="709"/>
        <w:jc w:val="both"/>
        <w:rPr>
          <w:rFonts w:ascii="Verdana" w:hAnsi="Verdana" w:cs="Arial"/>
        </w:rPr>
      </w:pPr>
    </w:p>
    <w:p w14:paraId="190C20E9" w14:textId="77777777" w:rsidR="002B64AF" w:rsidRPr="00BC3A80" w:rsidRDefault="002B64AF" w:rsidP="002B64AF">
      <w:pPr>
        <w:spacing w:after="120" w:line="276" w:lineRule="auto"/>
        <w:ind w:firstLine="709"/>
        <w:jc w:val="both"/>
        <w:rPr>
          <w:rFonts w:ascii="Verdana" w:eastAsia="Arial" w:hAnsi="Verdana" w:cs="Arial"/>
          <w:i/>
          <w:iCs/>
          <w:lang w:eastAsia="es-ES" w:bidi="es-ES"/>
        </w:rPr>
      </w:pPr>
      <w:r w:rsidRPr="00BC3A80">
        <w:rPr>
          <w:rFonts w:ascii="Verdana" w:eastAsia="Arial" w:hAnsi="Verdana" w:cs="Arial"/>
          <w:lang w:val="es-MX" w:eastAsia="es-ES" w:bidi="es-ES"/>
        </w:rPr>
        <w:t xml:space="preserve">De conformidad con los argumentos de dicha providencia, se parte de la distinción entre los conceptos </w:t>
      </w:r>
      <w:r w:rsidRPr="00BC3A80">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BC3A80">
        <w:rPr>
          <w:rFonts w:ascii="Times New Roman" w:hAnsi="Times New Roman"/>
          <w:sz w:val="24"/>
          <w:szCs w:val="24"/>
          <w:lang w:eastAsia="es-CO"/>
        </w:rPr>
        <w:t xml:space="preserve"> </w:t>
      </w:r>
      <w:r w:rsidRPr="00BC3A80">
        <w:rPr>
          <w:rFonts w:ascii="Verdana" w:eastAsia="Arial" w:hAnsi="Verdana" w:cs="Arial"/>
          <w:lang w:eastAsia="es-ES" w:bidi="es-ES"/>
        </w:rPr>
        <w:t xml:space="preserve">En este sentido, en relación con el parágrafo del artículo 38 de la Ley 996 de 2005 concluyó que </w:t>
      </w:r>
      <w:r w:rsidRPr="00BC3A80">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BC3A80">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BC3A80">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01575667" w14:textId="77777777" w:rsidR="002B64AF" w:rsidRPr="00BC3A80" w:rsidRDefault="002B64AF" w:rsidP="002B64AF">
      <w:pPr>
        <w:spacing w:after="120" w:line="276" w:lineRule="auto"/>
        <w:ind w:firstLine="709"/>
        <w:jc w:val="both"/>
        <w:rPr>
          <w:rFonts w:ascii="Verdana" w:eastAsia="Arial" w:hAnsi="Verdana" w:cs="Arial"/>
          <w:lang w:eastAsia="es-ES" w:bidi="es-ES"/>
        </w:rPr>
      </w:pPr>
      <w:r w:rsidRPr="00BC3A80">
        <w:rPr>
          <w:rFonts w:ascii="Verdana" w:eastAsia="Arial" w:hAnsi="Verdana" w:cs="Arial"/>
          <w:lang w:eastAsia="es-ES" w:bidi="es-ES"/>
        </w:rPr>
        <w:t>De igual manera, mediante auto del 6 de noviembre de 2025, el Consejo de Estado, Subsección A de la Sección Tercera, decretó</w:t>
      </w:r>
      <w:r w:rsidRPr="00BC3A80">
        <w:rPr>
          <w:rFonts w:ascii="Verdana" w:eastAsia="Arial" w:hAnsi="Verdana" w:cs="Arial"/>
          <w:b/>
          <w:bCs/>
          <w:lang w:eastAsia="es-ES" w:bidi="es-ES"/>
        </w:rPr>
        <w:t xml:space="preserve"> </w:t>
      </w:r>
      <w:r w:rsidRPr="00BC3A80">
        <w:rPr>
          <w:rFonts w:ascii="Verdana" w:eastAsia="Arial" w:hAnsi="Verdana" w:cs="Arial"/>
          <w:lang w:eastAsia="es-ES" w:bidi="es-ES"/>
        </w:rPr>
        <w:t xml:space="preserve">la suspensión provisional </w:t>
      </w:r>
      <w:r w:rsidRPr="00BC3A80">
        <w:rPr>
          <w:rFonts w:ascii="Verdana" w:eastAsia="Arial" w:hAnsi="Verdana" w:cs="Arial"/>
          <w:lang w:eastAsia="es-ES" w:bidi="es-ES"/>
        </w:rPr>
        <w:lastRenderedPageBreak/>
        <w:t>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BC3A80">
        <w:rPr>
          <w:rFonts w:ascii="Verdana" w:eastAsia="Arial" w:hAnsi="Verdana" w:cs="Arial"/>
          <w:vertAlign w:val="superscript"/>
          <w:lang w:eastAsia="es-ES" w:bidi="es-ES"/>
        </w:rPr>
        <w:footnoteReference w:id="13"/>
      </w:r>
      <w:r w:rsidRPr="00BC3A80">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BC3A80">
        <w:rPr>
          <w:rFonts w:ascii="Verdana" w:eastAsia="Arial" w:hAnsi="Verdana" w:cs="Arial"/>
          <w:lang w:eastAsia="es-ES" w:bidi="es-ES"/>
        </w:rPr>
        <w:t>legis</w:t>
      </w:r>
      <w:proofErr w:type="spellEnd"/>
      <w:r w:rsidRPr="00BC3A80">
        <w:rPr>
          <w:rFonts w:ascii="Verdana" w:eastAsia="Arial" w:hAnsi="Verdana" w:cs="Arial"/>
          <w:lang w:eastAsia="es-ES" w:bidi="es-ES"/>
        </w:rPr>
        <w:t xml:space="preserve"> o iuris y la interpretación extensiva y reiteró los argumentos sobre la diferencia entre contratos y convenios interadministrativos. </w:t>
      </w:r>
    </w:p>
    <w:p w14:paraId="0E9A5309" w14:textId="77777777" w:rsidR="002B64AF" w:rsidRDefault="002B64AF" w:rsidP="002B64AF">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w:t>
      </w:r>
      <w:r>
        <w:rPr>
          <w:rFonts w:ascii="Verdana" w:eastAsia="Times New Roman" w:hAnsi="Verdana" w:cs="Times New Roman"/>
          <w:lang w:eastAsia="es-ES"/>
        </w:rPr>
        <w:t xml:space="preserve"> [</w:t>
      </w:r>
      <w:r w:rsidRPr="31E4E861">
        <w:rPr>
          <w:rFonts w:ascii="Verdana" w:eastAsia="Times New Roman" w:hAnsi="Verdana" w:cs="Times New Roman"/>
          <w:lang w:eastAsia="es-ES"/>
        </w:rPr>
        <w:t>…</w:t>
      </w:r>
      <w:r>
        <w:rPr>
          <w:rFonts w:ascii="Verdana" w:eastAsia="Times New Roman" w:hAnsi="Verdana" w:cs="Times New Roman"/>
          <w:lang w:eastAsia="es-ES"/>
        </w:rPr>
        <w:t>]</w:t>
      </w:r>
      <w:r w:rsidRPr="31E4E861">
        <w:rPr>
          <w:rFonts w:ascii="Verdana" w:eastAsia="Times New Roman" w:hAnsi="Verdana" w:cs="Times New Roman"/>
          <w:lang w:eastAsia="es-ES"/>
        </w:rPr>
        <w:t xml:space="preserve">”. </w:t>
      </w:r>
    </w:p>
    <w:p w14:paraId="51703ACA" w14:textId="77777777" w:rsidR="002B64AF" w:rsidRDefault="002B64AF" w:rsidP="002B64AF">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14"/>
      </w:r>
      <w:r w:rsidRPr="2035D652">
        <w:rPr>
          <w:rFonts w:ascii="Verdana" w:eastAsia="Times New Roman" w:hAnsi="Verdana" w:cs="Times New Roman"/>
          <w:lang w:eastAsia="es-ES"/>
        </w:rPr>
        <w:t xml:space="preserve">. Sobre el </w:t>
      </w:r>
      <w:r w:rsidRPr="2035D652">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598C3767" w14:textId="77777777" w:rsidR="002B64AF" w:rsidRPr="00670659" w:rsidRDefault="002B64AF" w:rsidP="002B64AF">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73364EAB" w14:textId="77777777" w:rsidR="002B64AF" w:rsidRPr="00667CD6" w:rsidRDefault="002B64AF" w:rsidP="002B64AF">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15"/>
      </w:r>
      <w:r>
        <w:rPr>
          <w:rFonts w:ascii="Verdana" w:eastAsia="Times New Roman" w:hAnsi="Verdana" w:cs="Arial"/>
          <w:lang w:eastAsia="es-CO"/>
        </w:rPr>
        <w:t>.</w:t>
      </w:r>
    </w:p>
    <w:p w14:paraId="0574F7AD" w14:textId="3E78CA82" w:rsidR="002B64AF" w:rsidRDefault="002B64AF" w:rsidP="002B64AF">
      <w:pPr>
        <w:spacing w:after="120" w:line="276" w:lineRule="auto"/>
        <w:ind w:firstLine="709"/>
        <w:jc w:val="both"/>
        <w:rPr>
          <w:rFonts w:ascii="Verdana" w:eastAsia="Times New Roman" w:hAnsi="Verdana" w:cs="Arial"/>
          <w:lang w:eastAsia="es-CO"/>
        </w:rPr>
      </w:pPr>
      <w:r w:rsidRPr="00BC3A80">
        <w:rPr>
          <w:rFonts w:ascii="Verdana" w:eastAsia="Times New Roman" w:hAnsi="Verdana" w:cs="Arial"/>
          <w:lang w:eastAsia="es-CO"/>
        </w:rPr>
        <w:t xml:space="preserve">En este contexto, frente a la consulta planteada, resulta necesario verificar dos aspectos fundamentales: (i) </w:t>
      </w:r>
      <w:r w:rsidRPr="00F62707">
        <w:rPr>
          <w:rFonts w:ascii="Verdana" w:eastAsia="Times New Roman" w:hAnsi="Verdana" w:cs="Arial"/>
          <w:lang w:eastAsia="es-CO"/>
        </w:rPr>
        <w:t>si, en el marco de las alianzas estratégicas a las que se refiere la solicitud,</w:t>
      </w:r>
      <w:r w:rsidRPr="0094092E">
        <w:rPr>
          <w:rFonts w:ascii="Verdana" w:eastAsia="Times New Roman" w:hAnsi="Verdana" w:cs="Arial"/>
          <w:lang w:eastAsia="es-CO"/>
        </w:rPr>
        <w:t xml:space="preserve"> los convenios proyectados entre</w:t>
      </w:r>
      <w:r w:rsidR="00B5359A">
        <w:rPr>
          <w:rFonts w:ascii="Verdana" w:eastAsia="Times New Roman" w:hAnsi="Verdana" w:cs="Arial"/>
          <w:lang w:eastAsia="es-CO"/>
        </w:rPr>
        <w:t xml:space="preserve"> e</w:t>
      </w:r>
      <w:r w:rsidRPr="0094092E">
        <w:rPr>
          <w:rFonts w:ascii="Verdana" w:eastAsia="Times New Roman" w:hAnsi="Verdana" w:cs="Arial"/>
          <w:lang w:eastAsia="es-CO"/>
        </w:rPr>
        <w:t>ntidades públicas</w:t>
      </w:r>
      <w:r>
        <w:rPr>
          <w:rFonts w:ascii="Verdana" w:eastAsia="Times New Roman" w:hAnsi="Verdana" w:cs="Arial"/>
          <w:lang w:eastAsia="es-CO"/>
        </w:rPr>
        <w:t>,</w:t>
      </w:r>
      <w:r w:rsidRPr="0094092E">
        <w:rPr>
          <w:rFonts w:ascii="Verdana" w:eastAsia="Times New Roman" w:hAnsi="Verdana" w:cs="Arial"/>
          <w:lang w:eastAsia="es-CO"/>
        </w:rPr>
        <w:t xml:space="preserve"> involucran a alguno de los sujetos mencionados en el parágrafo del artículo 38 de la Ley 996 de 2005</w:t>
      </w:r>
      <w:r>
        <w:rPr>
          <w:rFonts w:ascii="Verdana" w:eastAsia="Arial" w:hAnsi="Verdana" w:cs="Arial"/>
          <w:lang w:eastAsia="es-ES" w:bidi="es-ES"/>
        </w:rPr>
        <w:t xml:space="preserve">, </w:t>
      </w:r>
      <w:r w:rsidRPr="0094092E">
        <w:rPr>
          <w:rFonts w:ascii="Verdana" w:eastAsia="Times New Roman" w:hAnsi="Verdana" w:cs="Arial"/>
          <w:lang w:eastAsia="es-CO"/>
        </w:rPr>
        <w:t xml:space="preserve">y </w:t>
      </w:r>
      <w:r w:rsidRPr="00BC3A80">
        <w:rPr>
          <w:rFonts w:ascii="Verdana" w:eastAsia="Times New Roman" w:hAnsi="Verdana" w:cs="Arial"/>
          <w:lang w:eastAsia="es-CO"/>
        </w:rPr>
        <w:t>(</w:t>
      </w:r>
      <w:proofErr w:type="spellStart"/>
      <w:r w:rsidRPr="00BC3A80">
        <w:rPr>
          <w:rFonts w:ascii="Verdana" w:eastAsia="Times New Roman" w:hAnsi="Verdana" w:cs="Arial"/>
          <w:lang w:eastAsia="es-CO"/>
        </w:rPr>
        <w:t>ii</w:t>
      </w:r>
      <w:proofErr w:type="spellEnd"/>
      <w:r w:rsidRPr="00BC3A80">
        <w:rPr>
          <w:rFonts w:ascii="Verdana" w:eastAsia="Times New Roman" w:hAnsi="Verdana" w:cs="Arial"/>
          <w:lang w:eastAsia="es-CO"/>
        </w:rPr>
        <w:t xml:space="preserve">) si el objeto proyectado tiene la naturaleza de un convenio interadministrativo destinado a la ejecución de recursos públicos. </w:t>
      </w:r>
      <w:r w:rsidRPr="00BC3A80">
        <w:rPr>
          <w:rFonts w:ascii="Verdana" w:hAnsi="Verdana" w:cs="Arial"/>
        </w:rPr>
        <w:t>Cuando este sea el caso</w:t>
      </w:r>
      <w:r w:rsidRPr="00BC3A80">
        <w:rPr>
          <w:rFonts w:ascii="Verdana" w:eastAsia="Times New Roman" w:hAnsi="Verdana" w:cs="Arial"/>
          <w:lang w:eastAsia="es-CO"/>
        </w:rPr>
        <w:t xml:space="preserve">, opera la prohibición establecida en la norma, restringiendo la celebración de tales convenios durante los cuatro meses previos a cualquier contienda electoral, pues como se indicó, la restricción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p>
    <w:p w14:paraId="734E5D92" w14:textId="77777777" w:rsidR="002B64AF" w:rsidRPr="00BC3A80" w:rsidRDefault="002B64AF" w:rsidP="002B64AF">
      <w:pPr>
        <w:spacing w:after="120" w:line="276" w:lineRule="auto"/>
        <w:ind w:firstLine="709"/>
        <w:jc w:val="both"/>
        <w:rPr>
          <w:rFonts w:ascii="Verdana" w:eastAsia="Times New Roman" w:hAnsi="Verdana" w:cs="Arial"/>
          <w:lang w:eastAsia="es-CO"/>
        </w:rPr>
      </w:pPr>
      <w:r w:rsidRPr="00BC3A80">
        <w:rPr>
          <w:rFonts w:ascii="Verdana" w:eastAsia="Times New Roman" w:hAnsi="Verdana" w:cs="Arial"/>
          <w:lang w:eastAsia="es-CO"/>
        </w:rPr>
        <w:t xml:space="preserve">Por su parte, conforme a lo señalado por el Consejo de Estado, cuando dos entidades públicas celebren un </w:t>
      </w:r>
      <w:r w:rsidRPr="00BC3A80">
        <w:rPr>
          <w:rFonts w:ascii="Verdana" w:eastAsia="Times New Roman" w:hAnsi="Verdana" w:cs="Arial"/>
          <w:i/>
          <w:iCs/>
          <w:lang w:eastAsia="es-CO"/>
        </w:rPr>
        <w:t>contrato interadministrativo,</w:t>
      </w:r>
      <w:r w:rsidRPr="00BC3A80">
        <w:rPr>
          <w:rFonts w:ascii="Verdana" w:eastAsia="Times New Roman" w:hAnsi="Verdana" w:cs="Arial"/>
          <w:lang w:eastAsia="es-CO"/>
        </w:rPr>
        <w:t xml:space="preserve"> independientemente del objeto, dicho contrato puede suscribirse durante el </w:t>
      </w:r>
      <w:r w:rsidRPr="00BC3A80">
        <w:rPr>
          <w:rFonts w:ascii="Verdana" w:eastAsia="Times New Roman" w:hAnsi="Verdana" w:cs="Arial"/>
          <w:lang w:eastAsia="es-CO"/>
        </w:rPr>
        <w:lastRenderedPageBreak/>
        <w:t xml:space="preserve">periodo preelectoral. Por consiguiente y de acuerdo con la referida posición del Consejo de Estado, si el contrato involucra a alguno de los sujetos mencionados en el parágrafo del artículo 38 de la Ley de Garantías Electorales y se constituye como un contrato interadministrativo no le resulta aplicable la limitación prevista en el parágrafo del artículo 38. </w:t>
      </w:r>
    </w:p>
    <w:p w14:paraId="20688CF2" w14:textId="77777777" w:rsidR="002B64AF" w:rsidRPr="00BC3A80" w:rsidRDefault="002B64AF" w:rsidP="002B64AF">
      <w:pPr>
        <w:spacing w:after="120" w:line="276" w:lineRule="auto"/>
        <w:ind w:firstLine="709"/>
        <w:jc w:val="both"/>
        <w:rPr>
          <w:rFonts w:ascii="Verdana" w:eastAsia="Arial" w:hAnsi="Verdana" w:cs="Arial"/>
          <w:lang w:val="es-ES" w:eastAsia="es-ES" w:bidi="es-ES"/>
        </w:rPr>
      </w:pPr>
      <w:r w:rsidRPr="00BC3A80">
        <w:rPr>
          <w:rFonts w:ascii="Verdana" w:eastAsia="Times New Roman" w:hAnsi="Verdana" w:cs="Arial"/>
          <w:lang w:val="es-ES" w:eastAsia="es-CO" w:bidi="es-ES"/>
        </w:rPr>
        <w:t>En todo caso</w:t>
      </w:r>
      <w:r w:rsidRPr="00BC3A80">
        <w:rPr>
          <w:rFonts w:ascii="Verdana" w:eastAsia="Arial" w:hAnsi="Verdana" w:cs="Arial"/>
          <w:lang w:val="es-ES" w:eastAsia="es-ES" w:bidi="es-ES"/>
        </w:rPr>
        <w:t>, es importante resaltar que la Sala de Consulta y Servicio Civil del Consejo de Estado se ha pronunciado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BC3A80">
        <w:rPr>
          <w:rFonts w:ascii="Verdana" w:eastAsia="Arial" w:hAnsi="Verdana" w:cs="Arial"/>
          <w:vertAlign w:val="superscript"/>
          <w:lang w:val="es-ES" w:eastAsia="es-ES" w:bidi="es-ES"/>
        </w:rPr>
        <w:footnoteReference w:id="16"/>
      </w:r>
      <w:r w:rsidRPr="00BC3A80">
        <w:rPr>
          <w:rFonts w:ascii="Verdana" w:eastAsia="Arial" w:hAnsi="Verdana" w:cs="Arial"/>
          <w:lang w:val="es-ES" w:eastAsia="es-ES" w:bidi="es-ES"/>
        </w:rPr>
        <w:t>.</w:t>
      </w:r>
    </w:p>
    <w:p w14:paraId="65F3F0C2" w14:textId="77777777" w:rsidR="002B64AF" w:rsidRPr="00BC3A80" w:rsidRDefault="002B64AF" w:rsidP="002B64AF">
      <w:pPr>
        <w:spacing w:after="120" w:line="276" w:lineRule="auto"/>
        <w:ind w:firstLine="709"/>
        <w:jc w:val="both"/>
        <w:rPr>
          <w:rFonts w:ascii="Verdana" w:eastAsia="Arial" w:hAnsi="Verdana" w:cs="Arial"/>
          <w:bCs/>
          <w:color w:val="000000" w:themeColor="text1"/>
          <w:lang w:val="es-ES"/>
        </w:rPr>
      </w:pPr>
      <w:r w:rsidRPr="00BC3A80">
        <w:rPr>
          <w:rFonts w:ascii="Verdana" w:eastAsia="Arial" w:hAnsi="Verdana" w:cs="Arial"/>
          <w:lang w:val="es-ES" w:eastAsia="es-ES" w:bidi="es-ES"/>
        </w:rPr>
        <w:t xml:space="preserve">En síntesis, por virtud de las excepciones establecidas en el </w:t>
      </w:r>
      <w:r w:rsidRPr="00BC3A80">
        <w:rPr>
          <w:rFonts w:ascii="Verdana" w:hAnsi="Verdana" w:cs="Arial"/>
          <w:bCs/>
          <w:color w:val="000000" w:themeColor="text1"/>
          <w:lang w:val="es-ES"/>
        </w:rPr>
        <w:t xml:space="preserve">segundo inciso del </w:t>
      </w:r>
      <w:r w:rsidRPr="00BC3A80">
        <w:rPr>
          <w:rFonts w:ascii="Verdana" w:eastAsia="Arial" w:hAnsi="Verdana" w:cs="Arial"/>
          <w:lang w:val="es-ES" w:eastAsia="es-ES" w:bidi="es-ES"/>
        </w:rPr>
        <w:t>artículo 33</w:t>
      </w:r>
      <w:r w:rsidRPr="00BC3A80">
        <w:rPr>
          <w:rFonts w:ascii="Verdana" w:eastAsia="Arial" w:hAnsi="Verdana" w:cs="Arial"/>
          <w:bCs/>
          <w:color w:val="000000" w:themeColor="text1"/>
          <w:lang w:val="es-ES"/>
        </w:rPr>
        <w:t xml:space="preserve"> de la Ley de Garantías Electorales, los entes del Estado </w:t>
      </w:r>
      <w:r>
        <w:rPr>
          <w:rFonts w:ascii="Verdana" w:eastAsia="Arial" w:hAnsi="Verdana" w:cs="Arial"/>
          <w:bCs/>
          <w:color w:val="000000" w:themeColor="text1"/>
          <w:lang w:val="es-ES"/>
        </w:rPr>
        <w:t xml:space="preserve">no </w:t>
      </w:r>
      <w:r w:rsidRPr="00BC3A80">
        <w:rPr>
          <w:rFonts w:ascii="Verdana" w:eastAsia="Arial" w:hAnsi="Verdana" w:cs="Arial"/>
          <w:bCs/>
          <w:color w:val="000000" w:themeColor="text1"/>
          <w:lang w:val="es-ES"/>
        </w:rPr>
        <w:t xml:space="preserve">podrán contratar directamente </w:t>
      </w:r>
      <w:r>
        <w:rPr>
          <w:rFonts w:ascii="Verdana" w:eastAsia="Arial" w:hAnsi="Verdana" w:cs="Arial"/>
          <w:bCs/>
          <w:color w:val="000000" w:themeColor="text1"/>
          <w:lang w:val="es-ES"/>
        </w:rPr>
        <w:t>la prestación de servicios de servicios profesionales y/o de apoyo a la gestión</w:t>
      </w:r>
      <w:r w:rsidRPr="00BC3A80">
        <w:rPr>
          <w:rFonts w:ascii="Verdana" w:eastAsia="Arial" w:hAnsi="Verdana" w:cs="Arial"/>
          <w:bCs/>
          <w:color w:val="000000" w:themeColor="text1"/>
          <w:lang w:val="es-ES"/>
        </w:rPr>
        <w:t xml:space="preserve">, </w:t>
      </w:r>
      <w:r w:rsidRPr="00BC3A80">
        <w:rPr>
          <w:rFonts w:ascii="Verdana" w:eastAsia="Arial" w:hAnsi="Verdana" w:cs="Arial"/>
          <w:bCs/>
          <w:color w:val="000000" w:themeColor="text1"/>
        </w:rPr>
        <w:t>durante los cuatro (4) meses anteriores a las elecciones presidenciales</w:t>
      </w:r>
      <w:r w:rsidRPr="00BC3A80">
        <w:rPr>
          <w:rFonts w:ascii="Verdana" w:eastAsia="Arial" w:hAnsi="Verdana" w:cs="Arial"/>
          <w:bCs/>
          <w:color w:val="000000" w:themeColor="text1"/>
          <w:lang w:val="es-ES"/>
        </w:rPr>
        <w:t xml:space="preserve">. Asimismo, si estos contratos se proyectan como contratos interadministrativos, de acuerdo </w:t>
      </w:r>
      <w:r>
        <w:rPr>
          <w:rFonts w:ascii="Verdana" w:eastAsia="Arial" w:hAnsi="Verdana" w:cs="Arial"/>
          <w:bCs/>
          <w:color w:val="000000" w:themeColor="text1"/>
          <w:lang w:val="es-ES"/>
        </w:rPr>
        <w:t>con</w:t>
      </w:r>
      <w:r w:rsidRPr="00BC3A80">
        <w:rPr>
          <w:rFonts w:ascii="Verdana" w:eastAsia="Arial" w:hAnsi="Verdana" w:cs="Arial"/>
          <w:bCs/>
          <w:color w:val="000000" w:themeColor="text1"/>
          <w:lang w:val="es-ES"/>
        </w:rPr>
        <w:t xml:space="preserve"> la postura del Consejo de Estado, tampoco les resultaría aplicable la restricción contenida en el parágrafo del artículo 38, por lo que podrían contratar dentro de </w:t>
      </w:r>
      <w:r w:rsidRPr="00BC3A80">
        <w:rPr>
          <w:rFonts w:ascii="Verdana" w:eastAsia="Arial" w:hAnsi="Verdana" w:cs="Arial"/>
          <w:bCs/>
          <w:color w:val="000000" w:themeColor="text1"/>
        </w:rPr>
        <w:t xml:space="preserve">los cuatro meses anteriores a las elecciones para cualquier cargo de elección popular a que se refiere la ley, incluido el de </w:t>
      </w:r>
      <w:proofErr w:type="gramStart"/>
      <w:r w:rsidRPr="00BC3A80">
        <w:rPr>
          <w:rFonts w:ascii="Verdana" w:eastAsia="Arial" w:hAnsi="Verdana" w:cs="Arial"/>
          <w:bCs/>
          <w:color w:val="000000" w:themeColor="text1"/>
        </w:rPr>
        <w:t>Presidente</w:t>
      </w:r>
      <w:proofErr w:type="gramEnd"/>
      <w:r w:rsidRPr="00BC3A80">
        <w:rPr>
          <w:rFonts w:ascii="Verdana" w:eastAsia="Arial" w:hAnsi="Verdana" w:cs="Arial"/>
          <w:bCs/>
          <w:color w:val="000000" w:themeColor="text1"/>
        </w:rPr>
        <w:t xml:space="preserve"> de la República.</w:t>
      </w:r>
    </w:p>
    <w:p w14:paraId="5A68424E" w14:textId="77777777" w:rsidR="002B64AF" w:rsidRPr="00BC3A80" w:rsidRDefault="002B64AF" w:rsidP="002B64AF">
      <w:pPr>
        <w:spacing w:after="120" w:line="276" w:lineRule="auto"/>
        <w:ind w:firstLine="709"/>
        <w:jc w:val="both"/>
        <w:rPr>
          <w:rFonts w:ascii="Verdana" w:eastAsia="Arial" w:hAnsi="Verdana" w:cs="Arial"/>
          <w:color w:val="000000" w:themeColor="text1"/>
        </w:rPr>
      </w:pPr>
      <w:r w:rsidRPr="00BC3A80">
        <w:rPr>
          <w:rFonts w:ascii="Verdana" w:eastAsia="Arial" w:hAnsi="Verdana" w:cs="Arial"/>
          <w:bCs/>
          <w:color w:val="000000" w:themeColor="text1"/>
        </w:rPr>
        <w:t xml:space="preserve">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BC3A80">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w:t>
      </w:r>
    </w:p>
    <w:p w14:paraId="6CC47F87" w14:textId="77777777" w:rsidR="002B64AF" w:rsidRPr="00BC3A80" w:rsidRDefault="002B64AF" w:rsidP="002B64AF">
      <w:pPr>
        <w:spacing w:after="120" w:line="276" w:lineRule="auto"/>
        <w:jc w:val="both"/>
        <w:rPr>
          <w:rFonts w:ascii="Verdana" w:hAnsi="Verdana" w:cs="Arial"/>
          <w:bCs/>
          <w:color w:val="000000" w:themeColor="text1"/>
        </w:rPr>
      </w:pPr>
      <w:r w:rsidRPr="00BC3A80">
        <w:rPr>
          <w:rFonts w:ascii="Verdana" w:hAnsi="Verdana" w:cs="Arial"/>
          <w:bCs/>
          <w:color w:val="000000" w:themeColor="text1"/>
        </w:rPr>
        <w:lastRenderedPageBreak/>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95D4C0A" w14:textId="77777777" w:rsidR="002B64AF" w:rsidRPr="00BC3A80" w:rsidRDefault="002B64AF" w:rsidP="002B64AF">
      <w:pPr>
        <w:spacing w:after="0" w:line="276" w:lineRule="auto"/>
        <w:ind w:firstLine="708"/>
        <w:jc w:val="both"/>
        <w:rPr>
          <w:rFonts w:ascii="Verdana" w:hAnsi="Verdana" w:cs="Arial"/>
          <w:bCs/>
          <w:color w:val="000000" w:themeColor="text1"/>
        </w:rPr>
      </w:pPr>
      <w:r w:rsidRPr="00BC3A80">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B3AE7FD" w14:textId="77777777" w:rsidR="002B64AF" w:rsidRPr="00BC3A80" w:rsidRDefault="002B64AF" w:rsidP="002B64AF">
      <w:pPr>
        <w:spacing w:after="0" w:line="276" w:lineRule="auto"/>
        <w:ind w:firstLine="708"/>
        <w:jc w:val="both"/>
        <w:rPr>
          <w:rFonts w:ascii="Verdana" w:hAnsi="Verdana" w:cs="Arial"/>
          <w:bCs/>
          <w:color w:val="000000" w:themeColor="text1"/>
        </w:rPr>
      </w:pPr>
    </w:p>
    <w:p w14:paraId="3DE28BE8" w14:textId="77777777" w:rsidR="002B64AF" w:rsidRPr="00BC3A80" w:rsidRDefault="002B64AF" w:rsidP="002B64AF">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Referencias normativas:</w:t>
      </w:r>
    </w:p>
    <w:p w14:paraId="371E298F" w14:textId="77777777" w:rsidR="002B64AF" w:rsidRPr="00BC3A80" w:rsidRDefault="002B64AF" w:rsidP="002B64AF">
      <w:pPr>
        <w:widowControl w:val="0"/>
        <w:autoSpaceDE w:val="0"/>
        <w:autoSpaceDN w:val="0"/>
        <w:spacing w:after="0" w:line="276" w:lineRule="auto"/>
        <w:jc w:val="both"/>
        <w:rPr>
          <w:rFonts w:ascii="Verdana" w:hAnsi="Verdana" w:cs="Arial"/>
          <w:lang w:val="es-ES_tradn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B64AF" w:rsidRPr="00BC3A80" w14:paraId="32895CFC" w14:textId="77777777" w:rsidTr="003021E1">
        <w:trPr>
          <w:trHeight w:val="491"/>
          <w:jc w:val="center"/>
        </w:trPr>
        <w:tc>
          <w:tcPr>
            <w:tcW w:w="8647" w:type="dxa"/>
          </w:tcPr>
          <w:p w14:paraId="1B2D2A78" w14:textId="77777777" w:rsidR="002B64AF" w:rsidRPr="00BC3A80" w:rsidRDefault="002B64AF" w:rsidP="002B64AF">
            <w:pPr>
              <w:widowControl w:val="0"/>
              <w:numPr>
                <w:ilvl w:val="0"/>
                <w:numId w:val="17"/>
              </w:numPr>
              <w:autoSpaceDE w:val="0"/>
              <w:autoSpaceDN w:val="0"/>
              <w:spacing w:before="120" w:after="120"/>
              <w:jc w:val="both"/>
              <w:rPr>
                <w:rFonts w:ascii="Verdana" w:eastAsia="Arial MT" w:hAnsi="Verdana" w:cs="Arial"/>
                <w:lang w:val="es-ES" w:eastAsia="es-ES" w:bidi="es-ES"/>
              </w:rPr>
            </w:pPr>
            <w:r w:rsidRPr="00BC3A80">
              <w:rPr>
                <w:rFonts w:ascii="Verdana" w:eastAsia="Arial MT" w:hAnsi="Verdana" w:cs="Arial"/>
                <w:lang w:val="es-ES" w:eastAsia="es-ES" w:bidi="es-ES"/>
              </w:rPr>
              <w:t>Constitución Política, artículo 127.</w:t>
            </w:r>
          </w:p>
          <w:p w14:paraId="2EC2F711" w14:textId="77777777" w:rsidR="002B64AF" w:rsidRPr="00BC3A80" w:rsidRDefault="002B64AF" w:rsidP="002B64AF">
            <w:pPr>
              <w:widowControl w:val="0"/>
              <w:numPr>
                <w:ilvl w:val="0"/>
                <w:numId w:val="17"/>
              </w:numPr>
              <w:autoSpaceDE w:val="0"/>
              <w:autoSpaceDN w:val="0"/>
              <w:spacing w:after="120"/>
              <w:jc w:val="both"/>
              <w:rPr>
                <w:rFonts w:ascii="Verdana" w:eastAsia="Arial MT" w:hAnsi="Verdana" w:cs="Arial"/>
                <w:lang w:val="es-ES" w:eastAsia="es-ES" w:bidi="es-ES"/>
              </w:rPr>
            </w:pPr>
            <w:r w:rsidRPr="00BC3A80">
              <w:rPr>
                <w:rFonts w:ascii="Verdana" w:eastAsia="Arial MT" w:hAnsi="Verdana" w:cs="Arial"/>
                <w:bCs/>
                <w:lang w:val="es-ES" w:eastAsia="es-ES" w:bidi="es-ES"/>
              </w:rPr>
              <w:t>Ley 996 de 2005, artículos 33 y 38.</w:t>
            </w:r>
          </w:p>
          <w:p w14:paraId="088D06DE" w14:textId="77777777" w:rsidR="002B64AF" w:rsidRPr="00BC3A80" w:rsidRDefault="002B64AF" w:rsidP="002B64AF">
            <w:pPr>
              <w:widowControl w:val="0"/>
              <w:numPr>
                <w:ilvl w:val="0"/>
                <w:numId w:val="17"/>
              </w:numPr>
              <w:autoSpaceDE w:val="0"/>
              <w:autoSpaceDN w:val="0"/>
              <w:spacing w:after="120"/>
              <w:jc w:val="both"/>
              <w:rPr>
                <w:rFonts w:ascii="Verdana" w:eastAsia="Arial MT" w:hAnsi="Verdana" w:cs="Arial"/>
                <w:lang w:val="es-ES" w:eastAsia="es-ES" w:bidi="es-ES"/>
              </w:rPr>
            </w:pPr>
            <w:r w:rsidRPr="00BC3A80">
              <w:rPr>
                <w:rFonts w:ascii="Verdana" w:hAnsi="Verdana" w:cs="Arial"/>
                <w:bCs/>
                <w:color w:val="000000" w:themeColor="text1"/>
                <w:lang w:val="es-ES"/>
              </w:rPr>
              <w:t>Decreto 1068 de 2015, artículo 2.2.1.1.1.</w:t>
            </w:r>
          </w:p>
          <w:p w14:paraId="254D3543" w14:textId="77777777" w:rsidR="002B64AF" w:rsidRPr="00BC3A80" w:rsidRDefault="002B64AF" w:rsidP="002B64AF">
            <w:pPr>
              <w:widowControl w:val="0"/>
              <w:numPr>
                <w:ilvl w:val="0"/>
                <w:numId w:val="17"/>
              </w:numPr>
              <w:autoSpaceDE w:val="0"/>
              <w:autoSpaceDN w:val="0"/>
              <w:spacing w:after="120"/>
              <w:jc w:val="both"/>
              <w:rPr>
                <w:rFonts w:ascii="Verdana" w:hAnsi="Verdana" w:cs="Arial"/>
                <w:lang w:val="es-ES"/>
              </w:rPr>
            </w:pPr>
            <w:r w:rsidRPr="00BC3A80">
              <w:rPr>
                <w:rFonts w:ascii="Verdana" w:hAnsi="Verdana" w:cs="Arial"/>
                <w:lang w:val="es-ES"/>
              </w:rPr>
              <w:t xml:space="preserve">Consejo de Estado, Sección Primera. Sentencia de 3 de marzo de 2005, </w:t>
            </w:r>
            <w:proofErr w:type="spellStart"/>
            <w:r w:rsidRPr="00BC3A80">
              <w:rPr>
                <w:rFonts w:ascii="Verdana" w:hAnsi="Verdana" w:cs="Arial"/>
                <w:lang w:val="es-ES"/>
              </w:rPr>
              <w:t>Exp</w:t>
            </w:r>
            <w:proofErr w:type="spellEnd"/>
            <w:r w:rsidRPr="00BC3A80">
              <w:rPr>
                <w:rFonts w:ascii="Verdana" w:hAnsi="Verdana" w:cs="Arial"/>
                <w:lang w:val="es-ES"/>
              </w:rPr>
              <w:t xml:space="preserve">. 2004-00823-01(PI). </w:t>
            </w:r>
          </w:p>
          <w:p w14:paraId="1E01112D" w14:textId="77777777" w:rsidR="002B64AF" w:rsidRPr="00BC3A80" w:rsidRDefault="002B64AF" w:rsidP="002B64AF">
            <w:pPr>
              <w:widowControl w:val="0"/>
              <w:numPr>
                <w:ilvl w:val="0"/>
                <w:numId w:val="17"/>
              </w:numPr>
              <w:autoSpaceDE w:val="0"/>
              <w:autoSpaceDN w:val="0"/>
              <w:spacing w:after="120"/>
              <w:jc w:val="both"/>
              <w:rPr>
                <w:rFonts w:ascii="Verdana" w:hAnsi="Verdana" w:cs="Arial"/>
                <w:lang w:val="es-ES"/>
              </w:rPr>
            </w:pPr>
            <w:r w:rsidRPr="00BC3A80">
              <w:rPr>
                <w:rFonts w:ascii="Verdana" w:hAnsi="Verdana" w:cs="Arial"/>
                <w:lang w:val="es-ES"/>
              </w:rPr>
              <w:t xml:space="preserve">Consejo de Estado, Sala de Consulta y Servicio Civil, Concepto de fecha 24 de julio de 2013, Rad. 2166, C. P. Álvaro </w:t>
            </w:r>
            <w:proofErr w:type="spellStart"/>
            <w:r w:rsidRPr="00BC3A80">
              <w:rPr>
                <w:rFonts w:ascii="Verdana" w:hAnsi="Verdana" w:cs="Arial"/>
                <w:lang w:val="es-ES"/>
              </w:rPr>
              <w:t>Namén</w:t>
            </w:r>
            <w:proofErr w:type="spellEnd"/>
            <w:r w:rsidRPr="00BC3A80">
              <w:rPr>
                <w:rFonts w:ascii="Verdana" w:hAnsi="Verdana" w:cs="Arial"/>
                <w:lang w:val="es-ES"/>
              </w:rPr>
              <w:t xml:space="preserve"> Vargas. </w:t>
            </w:r>
          </w:p>
          <w:p w14:paraId="29FCA9EA" w14:textId="77777777" w:rsidR="002B64AF" w:rsidRPr="00BC3A80" w:rsidRDefault="002B64AF" w:rsidP="002B64AF">
            <w:pPr>
              <w:numPr>
                <w:ilvl w:val="0"/>
                <w:numId w:val="17"/>
              </w:numPr>
              <w:spacing w:before="120" w:after="120" w:line="276" w:lineRule="auto"/>
              <w:jc w:val="both"/>
              <w:rPr>
                <w:rFonts w:ascii="Verdana" w:hAnsi="Verdana" w:cs="Arial"/>
                <w:lang w:val="es-ES"/>
              </w:rPr>
            </w:pPr>
            <w:r w:rsidRPr="00BC3A80">
              <w:rPr>
                <w:rFonts w:ascii="Verdana" w:hAnsi="Verdana" w:cs="Arial"/>
              </w:rPr>
              <w:t>Consejo de Estado. Sala de Consulta y Servicio Civil. Concepto del 15 de noviembre de 2007. Expediente número 1863. Consejero Ponente: Luis Fernando Álvarez Jaramillo</w:t>
            </w:r>
          </w:p>
          <w:p w14:paraId="5D0F432F" w14:textId="77777777" w:rsidR="002B64AF" w:rsidRPr="00BC3A80" w:rsidRDefault="002B64AF" w:rsidP="002B64AF">
            <w:pPr>
              <w:numPr>
                <w:ilvl w:val="0"/>
                <w:numId w:val="17"/>
              </w:numPr>
              <w:spacing w:before="120" w:after="120" w:line="276" w:lineRule="auto"/>
              <w:jc w:val="both"/>
              <w:rPr>
                <w:rFonts w:ascii="Verdana" w:hAnsi="Verdana" w:cs="Arial"/>
                <w:lang w:val="es-ES"/>
              </w:rPr>
            </w:pPr>
            <w:r w:rsidRPr="00BC3A80">
              <w:rPr>
                <w:rFonts w:ascii="Verdana" w:hAnsi="Verdana" w:cs="Arial"/>
                <w:lang w:val="es-ES"/>
              </w:rPr>
              <w:lastRenderedPageBreak/>
              <w:t>Consejo de Estado. Sala de Consulta y Servicio Civil. Concepto del 17 de febrero de 2015. C.P. William Zambrano Cetina. Radicación No. 11001-03-06-000-2015-00164-00(2269).</w:t>
            </w:r>
          </w:p>
          <w:p w14:paraId="2D913F5D" w14:textId="77777777" w:rsidR="002B64AF" w:rsidRPr="00BC3A80" w:rsidRDefault="002B64AF" w:rsidP="002B64AF">
            <w:pPr>
              <w:numPr>
                <w:ilvl w:val="0"/>
                <w:numId w:val="17"/>
              </w:numPr>
              <w:spacing w:before="120" w:after="120" w:line="276" w:lineRule="auto"/>
              <w:jc w:val="both"/>
              <w:rPr>
                <w:rFonts w:ascii="Verdana" w:hAnsi="Verdana" w:cs="Arial"/>
                <w:lang w:val="es-ES"/>
              </w:rPr>
            </w:pPr>
            <w:r w:rsidRPr="00BC3A80">
              <w:rPr>
                <w:rFonts w:ascii="Verdana" w:hAnsi="Verdana" w:cs="Arial"/>
                <w:lang w:val="es-ES"/>
              </w:rPr>
              <w:t xml:space="preserve">Consejo de Estado, Sala de Consulta y Servicio Civil, Concepto de fecha 8 de mayo de 2018, No. 2382. C. P. Álvaro </w:t>
            </w:r>
            <w:proofErr w:type="spellStart"/>
            <w:r w:rsidRPr="00BC3A80">
              <w:rPr>
                <w:rFonts w:ascii="Verdana" w:hAnsi="Verdana" w:cs="Arial"/>
                <w:lang w:val="es-ES"/>
              </w:rPr>
              <w:t>Namén</w:t>
            </w:r>
            <w:proofErr w:type="spellEnd"/>
            <w:r w:rsidRPr="00BC3A80">
              <w:rPr>
                <w:rFonts w:ascii="Verdana" w:hAnsi="Verdana" w:cs="Arial"/>
                <w:lang w:val="es-ES"/>
              </w:rPr>
              <w:t xml:space="preserve"> Vargas.</w:t>
            </w:r>
          </w:p>
          <w:p w14:paraId="38388BBB" w14:textId="77777777" w:rsidR="002B64AF" w:rsidRPr="00BC3A80" w:rsidRDefault="002B64AF" w:rsidP="002B64AF">
            <w:pPr>
              <w:numPr>
                <w:ilvl w:val="0"/>
                <w:numId w:val="17"/>
              </w:numPr>
              <w:spacing w:before="120" w:after="120" w:line="276" w:lineRule="auto"/>
              <w:jc w:val="both"/>
              <w:rPr>
                <w:rFonts w:ascii="Verdana" w:hAnsi="Verdana" w:cs="Arial"/>
                <w:lang w:val="es-ES"/>
              </w:rPr>
            </w:pPr>
            <w:r w:rsidRPr="00BC3A80">
              <w:rPr>
                <w:rFonts w:ascii="Verdana" w:hAnsi="Verdana" w:cs="Arial"/>
              </w:rPr>
              <w:t xml:space="preserve">Consejo de Estado. Sala de Consulta y Servicio Civil. Concepto del 2 de septiembre de 2013 Radicado No: 2168. CP: </w:t>
            </w:r>
            <w:proofErr w:type="spellStart"/>
            <w:r w:rsidRPr="00BC3A80">
              <w:rPr>
                <w:rFonts w:ascii="Verdana" w:hAnsi="Verdana" w:cs="Arial"/>
              </w:rPr>
              <w:t>Alvaro</w:t>
            </w:r>
            <w:proofErr w:type="spellEnd"/>
            <w:r w:rsidRPr="00BC3A80">
              <w:rPr>
                <w:rFonts w:ascii="Verdana" w:hAnsi="Verdana" w:cs="Arial"/>
              </w:rPr>
              <w:t xml:space="preserve"> </w:t>
            </w:r>
            <w:proofErr w:type="spellStart"/>
            <w:r w:rsidRPr="00BC3A80">
              <w:rPr>
                <w:rFonts w:ascii="Verdana" w:hAnsi="Verdana" w:cs="Arial"/>
              </w:rPr>
              <w:t>Namén</w:t>
            </w:r>
            <w:proofErr w:type="spellEnd"/>
            <w:r w:rsidRPr="00BC3A80">
              <w:rPr>
                <w:rFonts w:ascii="Verdana" w:hAnsi="Verdana" w:cs="Arial"/>
              </w:rPr>
              <w:t xml:space="preserve"> Vargas.</w:t>
            </w:r>
          </w:p>
          <w:p w14:paraId="6C556092" w14:textId="77777777" w:rsidR="002B64AF" w:rsidRPr="003346AD" w:rsidRDefault="002B64AF" w:rsidP="002B64AF">
            <w:pPr>
              <w:widowControl w:val="0"/>
              <w:numPr>
                <w:ilvl w:val="0"/>
                <w:numId w:val="17"/>
              </w:numPr>
              <w:autoSpaceDE w:val="0"/>
              <w:autoSpaceDN w:val="0"/>
              <w:spacing w:after="120" w:line="276" w:lineRule="auto"/>
              <w:jc w:val="both"/>
              <w:rPr>
                <w:rFonts w:ascii="Verdana" w:hAnsi="Verdana" w:cs="Arial"/>
                <w:lang w:val="es-ES"/>
              </w:rPr>
            </w:pPr>
            <w:r w:rsidRPr="00E42998">
              <w:rPr>
                <w:rFonts w:ascii="Verdana" w:hAnsi="Verdana" w:cs="Arial"/>
              </w:rPr>
              <w:t xml:space="preserve">Consejo de Estado, Sección Tercera. Auto del 4 de octubre de 2024. </w:t>
            </w:r>
            <w:r w:rsidRPr="00BC3A80">
              <w:rPr>
                <w:rFonts w:ascii="Verdana" w:hAnsi="Verdana" w:cs="Arial"/>
                <w:lang w:val="pt-BR"/>
              </w:rPr>
              <w:t>Exp. 70.313. C.P: Fredy Ibarra Martínez.</w:t>
            </w:r>
          </w:p>
          <w:p w14:paraId="2266A080" w14:textId="77777777" w:rsidR="002B64AF" w:rsidRPr="00C71E4F" w:rsidRDefault="002B64AF" w:rsidP="002B64AF">
            <w:pPr>
              <w:widowControl w:val="0"/>
              <w:numPr>
                <w:ilvl w:val="0"/>
                <w:numId w:val="17"/>
              </w:numPr>
              <w:autoSpaceDE w:val="0"/>
              <w:autoSpaceDN w:val="0"/>
              <w:spacing w:after="120" w:line="276" w:lineRule="auto"/>
              <w:jc w:val="both"/>
              <w:rPr>
                <w:rFonts w:ascii="Verdana" w:hAnsi="Verdana" w:cs="Arial"/>
                <w:lang w:val="es-ES"/>
              </w:rPr>
            </w:pPr>
            <w:r w:rsidRPr="00670659">
              <w:rPr>
                <w:rFonts w:ascii="Verdana" w:eastAsia="Times New Roman" w:hAnsi="Verdana" w:cs="Times New Roman"/>
                <w:lang w:eastAsia="es-ES_tradnl"/>
              </w:rPr>
              <w:t xml:space="preserve">Consejo de Estado. Sala de lo Contencioso Administrativo. Sección Tercera. Subsección B. 17 de octubre de 2025. Magistrado Ponente: Fredy Ibarra Martínez.  </w:t>
            </w:r>
          </w:p>
          <w:p w14:paraId="562811DC" w14:textId="77777777" w:rsidR="002B64AF" w:rsidRPr="00BC3A80" w:rsidRDefault="002B64AF" w:rsidP="002B64AF">
            <w:pPr>
              <w:widowControl w:val="0"/>
              <w:numPr>
                <w:ilvl w:val="0"/>
                <w:numId w:val="17"/>
              </w:numPr>
              <w:autoSpaceDE w:val="0"/>
              <w:autoSpaceDN w:val="0"/>
              <w:spacing w:after="120" w:line="276" w:lineRule="auto"/>
              <w:jc w:val="both"/>
              <w:rPr>
                <w:rFonts w:ascii="Verdana" w:hAnsi="Verdana" w:cs="Arial"/>
                <w:lang w:val="es-ES"/>
              </w:rPr>
            </w:pPr>
            <w:r w:rsidRPr="00BC3A80">
              <w:rPr>
                <w:rFonts w:ascii="Verdana" w:hAnsi="Verdana" w:cs="Arial"/>
                <w:lang w:val="pt-BR"/>
              </w:rPr>
              <w:t>Corte Constitucional. Sentencia C-671 de 2015. M.P. Alberto Rojas Ríos</w:t>
            </w:r>
          </w:p>
          <w:p w14:paraId="5A420A13" w14:textId="77777777" w:rsidR="002B64AF" w:rsidRPr="00BC3A80" w:rsidRDefault="002B64AF" w:rsidP="002B64AF">
            <w:pPr>
              <w:widowControl w:val="0"/>
              <w:numPr>
                <w:ilvl w:val="0"/>
                <w:numId w:val="17"/>
              </w:numPr>
              <w:autoSpaceDE w:val="0"/>
              <w:autoSpaceDN w:val="0"/>
              <w:spacing w:after="120" w:line="276" w:lineRule="auto"/>
              <w:jc w:val="both"/>
              <w:rPr>
                <w:rFonts w:ascii="Verdana" w:hAnsi="Verdana" w:cs="Arial"/>
                <w:lang w:val="es-ES"/>
              </w:rPr>
            </w:pPr>
            <w:r w:rsidRPr="00BC3A80">
              <w:rPr>
                <w:rFonts w:ascii="Verdana" w:hAnsi="Verdana" w:cs="Arial"/>
              </w:rPr>
              <w:t xml:space="preserve">Circular Externa No. 006 de 2025 </w:t>
            </w:r>
            <w:hyperlink r:id="rId12" w:history="1">
              <w:r w:rsidRPr="00BC3A80">
                <w:rPr>
                  <w:rFonts w:ascii="Verdana" w:hAnsi="Verdana" w:cs="Arial"/>
                  <w:color w:val="0000FF"/>
                  <w:u w:val="single"/>
                </w:rPr>
                <w:t>https://www.colombiacompra.gov.co/archivos/circular/circular-externa-006-de-2025</w:t>
              </w:r>
            </w:hyperlink>
            <w:r w:rsidRPr="00BC3A80">
              <w:rPr>
                <w:rFonts w:ascii="Verdana" w:hAnsi="Verdana" w:cs="Arial"/>
              </w:rPr>
              <w:t xml:space="preserve"> </w:t>
            </w:r>
          </w:p>
        </w:tc>
      </w:tr>
    </w:tbl>
    <w:p w14:paraId="5AC10078" w14:textId="77777777" w:rsidR="002B64AF" w:rsidRPr="00BC3A80" w:rsidRDefault="002B64AF" w:rsidP="002B64AF">
      <w:pPr>
        <w:widowControl w:val="0"/>
        <w:autoSpaceDE w:val="0"/>
        <w:autoSpaceDN w:val="0"/>
        <w:spacing w:after="0" w:line="276" w:lineRule="auto"/>
        <w:jc w:val="both"/>
        <w:rPr>
          <w:rFonts w:ascii="Verdana" w:hAnsi="Verdana" w:cs="Arial"/>
          <w:lang w:val="es-ES_tradnl"/>
        </w:rPr>
      </w:pPr>
    </w:p>
    <w:p w14:paraId="393BDC07" w14:textId="77777777" w:rsidR="002B64AF" w:rsidRPr="00BC3A80" w:rsidRDefault="002B64AF" w:rsidP="002B64AF">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Doctrina de la Agencia Nacional de Contratación Pública:</w:t>
      </w:r>
    </w:p>
    <w:p w14:paraId="4874C99D" w14:textId="77777777" w:rsidR="002B64AF" w:rsidRPr="00BC3A80" w:rsidRDefault="002B64AF" w:rsidP="002B64AF">
      <w:pPr>
        <w:widowControl w:val="0"/>
        <w:autoSpaceDE w:val="0"/>
        <w:autoSpaceDN w:val="0"/>
        <w:spacing w:after="0" w:line="276" w:lineRule="auto"/>
        <w:jc w:val="both"/>
        <w:rPr>
          <w:rFonts w:ascii="Verdana" w:hAnsi="Verdana" w:cs="Arial"/>
          <w:lang w:val="es-ES_tradnl"/>
        </w:rPr>
      </w:pPr>
    </w:p>
    <w:p w14:paraId="43677A68" w14:textId="77777777" w:rsidR="002B64AF" w:rsidRPr="00BC3A80" w:rsidRDefault="002B64AF" w:rsidP="002B64AF">
      <w:pPr>
        <w:widowControl w:val="0"/>
        <w:autoSpaceDE w:val="0"/>
        <w:autoSpaceDN w:val="0"/>
        <w:spacing w:after="0" w:line="276" w:lineRule="auto"/>
        <w:jc w:val="both"/>
        <w:rPr>
          <w:rFonts w:ascii="Verdana" w:hAnsi="Verdana" w:cs="Arial"/>
          <w:color w:val="FF0000"/>
          <w:shd w:val="clear" w:color="auto" w:fill="FFFFFF"/>
          <w:lang w:val="es-ES_tradnl"/>
        </w:rPr>
      </w:pPr>
      <w:r w:rsidRPr="00BC3A80">
        <w:rPr>
          <w:rFonts w:ascii="Verdana" w:hAnsi="Verdana" w:cs="Arial"/>
          <w:shd w:val="clear" w:color="auto" w:fill="FFFFFF"/>
        </w:rPr>
        <w:t>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w:t>
      </w:r>
      <w:r>
        <w:rPr>
          <w:rFonts w:ascii="Verdana" w:hAnsi="Verdana" w:cs="Arial"/>
          <w:shd w:val="clear" w:color="auto" w:fill="FFFFFF"/>
        </w:rPr>
        <w:t>,</w:t>
      </w:r>
      <w:r w:rsidRPr="00BC3A80">
        <w:rPr>
          <w:rFonts w:ascii="Verdana" w:hAnsi="Verdana" w:cs="Arial"/>
          <w:shd w:val="clear" w:color="auto" w:fill="FFFFFF"/>
        </w:rPr>
        <w:t xml:space="preserve"> C-1430 del 12 de noviembre de 2025</w:t>
      </w:r>
      <w:r>
        <w:rPr>
          <w:rFonts w:ascii="Verdana" w:hAnsi="Verdana" w:cs="Arial"/>
          <w:shd w:val="clear" w:color="auto" w:fill="FFFFFF"/>
        </w:rPr>
        <w:t xml:space="preserve"> y C-1568 del 14 de noviembre de 2025, entre otros</w:t>
      </w:r>
      <w:r w:rsidRPr="00BC3A80">
        <w:rPr>
          <w:rFonts w:ascii="Verdana" w:hAnsi="Verdana" w:cs="Arial"/>
          <w:shd w:val="clear" w:color="auto" w:fill="FFFFFF"/>
        </w:rPr>
        <w:t xml:space="preserve">. </w:t>
      </w:r>
      <w:r w:rsidRPr="00BC3A80">
        <w:rPr>
          <w:rFonts w:ascii="Verdana" w:hAnsi="Verdana" w:cs="Arial"/>
          <w:shd w:val="clear" w:color="auto" w:fill="FFFFFF"/>
          <w:lang w:val="es-ES_tradnl"/>
        </w:rPr>
        <w:t xml:space="preserve">Estos conceptos se encuentran disponibles para consulta en el Sistema de relatoría de </w:t>
      </w:r>
      <w:r w:rsidRPr="00BC3A80">
        <w:rPr>
          <w:rFonts w:ascii="Verdana" w:hAnsi="Verdana" w:cs="Arial"/>
          <w:shd w:val="clear" w:color="auto" w:fill="FFFFFF"/>
          <w:lang w:val="es-ES_tradnl"/>
        </w:rPr>
        <w:lastRenderedPageBreak/>
        <w:t xml:space="preserve">la Agencia, al cual puede accederse a través del siguiente enlace: </w:t>
      </w:r>
      <w:hyperlink r:id="rId13" w:history="1">
        <w:r w:rsidRPr="00BC3A80">
          <w:rPr>
            <w:rFonts w:ascii="Verdana" w:hAnsi="Verdana" w:cs="Arial"/>
            <w:color w:val="0000FF"/>
            <w:u w:val="single"/>
            <w:shd w:val="clear" w:color="auto" w:fill="FFFFFF"/>
            <w:lang w:val="es-ES_tradnl"/>
          </w:rPr>
          <w:t>https://relatoria.colombiacompra.gov.co/busqueda/conceptos</w:t>
        </w:r>
      </w:hyperlink>
      <w:r w:rsidRPr="00BC3A80">
        <w:rPr>
          <w:rFonts w:ascii="Verdana" w:hAnsi="Verdana" w:cs="Arial"/>
          <w:shd w:val="clear" w:color="auto" w:fill="FFFFFF"/>
          <w:lang w:val="es-ES_tradnl"/>
        </w:rPr>
        <w:t xml:space="preserve">. </w:t>
      </w:r>
      <w:r w:rsidRPr="00BC3A80">
        <w:rPr>
          <w:rFonts w:ascii="Verdana" w:hAnsi="Verdana" w:cs="Arial"/>
          <w:color w:val="FF0000"/>
          <w:shd w:val="clear" w:color="auto" w:fill="FFFFFF"/>
          <w:lang w:val="es-ES_tradnl"/>
        </w:rPr>
        <w:t xml:space="preserve"> </w:t>
      </w:r>
    </w:p>
    <w:p w14:paraId="73CFB09C" w14:textId="77777777" w:rsidR="002B64AF" w:rsidRPr="00BC3A80" w:rsidRDefault="002B64AF" w:rsidP="002B64AF">
      <w:pPr>
        <w:widowControl w:val="0"/>
        <w:autoSpaceDE w:val="0"/>
        <w:autoSpaceDN w:val="0"/>
        <w:spacing w:after="0" w:line="276" w:lineRule="auto"/>
        <w:jc w:val="both"/>
        <w:rPr>
          <w:rFonts w:ascii="Verdana" w:hAnsi="Verdana" w:cs="Arial"/>
          <w:color w:val="FF0000"/>
          <w:shd w:val="clear" w:color="auto" w:fill="FFFFFF"/>
          <w:lang w:val="es-ES_tradnl"/>
        </w:rPr>
      </w:pPr>
    </w:p>
    <w:p w14:paraId="01B73FCB" w14:textId="77777777" w:rsidR="002B64AF" w:rsidRPr="00BC3A80" w:rsidRDefault="002B64AF" w:rsidP="002B64AF">
      <w:pPr>
        <w:shd w:val="clear" w:color="auto" w:fill="FFFFFF"/>
        <w:spacing w:after="0" w:line="276" w:lineRule="auto"/>
        <w:jc w:val="both"/>
        <w:rPr>
          <w:rFonts w:ascii="Verdana" w:hAnsi="Verdana"/>
          <w:color w:val="467886"/>
          <w:u w:val="single"/>
        </w:rPr>
      </w:pPr>
      <w:r w:rsidRPr="00BC3A80">
        <w:rPr>
          <w:rFonts w:ascii="Verdana" w:hAnsi="Verdana"/>
          <w:color w:val="000000"/>
        </w:rPr>
        <w:t>Te informamos que ya se encuentra disponible la </w:t>
      </w:r>
      <w:r w:rsidRPr="00BC3A80">
        <w:rPr>
          <w:rFonts w:ascii="Verdana" w:hAnsi="Verdana"/>
          <w:b/>
          <w:bCs/>
          <w:color w:val="000000"/>
        </w:rPr>
        <w:t>Guía de lineamientos de transparencia y selección objetiva para el departamento de La Guajira – Objetivo sexto constitucional de la Sentencia T-302 del 2017. </w:t>
      </w:r>
      <w:r w:rsidRPr="00BC3A80">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C3A80">
        <w:rPr>
          <w:rFonts w:ascii="Verdana" w:hAnsi="Verdana"/>
          <w:color w:val="000000"/>
        </w:rPr>
        <w:t>Wayúu</w:t>
      </w:r>
      <w:proofErr w:type="spellEnd"/>
      <w:r w:rsidRPr="00BC3A80">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BC3A80">
          <w:rPr>
            <w:rFonts w:ascii="Verdana" w:hAnsi="Verdana"/>
            <w:color w:val="0000FF"/>
            <w:u w:val="single"/>
          </w:rPr>
          <w:t>Guía de lineamientos de transparencia y selección objetiva para el departamento de La Guajira – Objetivo sexto constitucional de la Sentencia T-302 del 2017</w:t>
        </w:r>
      </w:hyperlink>
      <w:r w:rsidRPr="00BC3A80">
        <w:rPr>
          <w:rFonts w:ascii="Verdana" w:hAnsi="Verdana"/>
          <w:color w:val="000000"/>
          <w:u w:val="single"/>
        </w:rPr>
        <w:t>.</w:t>
      </w:r>
    </w:p>
    <w:p w14:paraId="6E17109B" w14:textId="77777777" w:rsidR="002B64AF" w:rsidRPr="00BC3A80" w:rsidRDefault="002B64AF" w:rsidP="002B64AF">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BC3A80">
        <w:rPr>
          <w:rFonts w:ascii="Verdana" w:hAnsi="Verdana" w:cs="Arial"/>
          <w:color w:val="000000" w:themeColor="text1"/>
          <w:shd w:val="clear" w:color="auto" w:fill="FFFFFF"/>
          <w:lang w:val="es-ES_tradnl"/>
        </w:rPr>
        <w:t xml:space="preserve"> </w:t>
      </w:r>
    </w:p>
    <w:p w14:paraId="05E4FD8E" w14:textId="77777777" w:rsidR="002B64AF" w:rsidRPr="00BC3A80" w:rsidRDefault="002B64AF" w:rsidP="002B64AF">
      <w:pPr>
        <w:spacing w:after="0" w:line="276" w:lineRule="auto"/>
        <w:jc w:val="both"/>
        <w:rPr>
          <w:rFonts w:ascii="Verdana" w:hAnsi="Verdana"/>
        </w:rPr>
      </w:pPr>
      <w:r w:rsidRPr="00BC3A80">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CDFE2B7" w14:textId="77777777" w:rsidR="002B64AF" w:rsidRPr="00BC3A80" w:rsidRDefault="002B64AF" w:rsidP="002B64AF">
      <w:pPr>
        <w:spacing w:after="0" w:line="276" w:lineRule="auto"/>
        <w:jc w:val="both"/>
        <w:rPr>
          <w:rFonts w:ascii="Verdana" w:hAnsi="Verdana"/>
        </w:rPr>
      </w:pPr>
    </w:p>
    <w:p w14:paraId="74094DCF" w14:textId="77777777" w:rsidR="002B64AF" w:rsidRPr="00BC3A80" w:rsidRDefault="002B64AF" w:rsidP="002B64AF">
      <w:pPr>
        <w:numPr>
          <w:ilvl w:val="0"/>
          <w:numId w:val="15"/>
        </w:numPr>
        <w:spacing w:after="0" w:line="276" w:lineRule="auto"/>
        <w:contextualSpacing/>
        <w:jc w:val="both"/>
        <w:rPr>
          <w:rFonts w:ascii="Verdana" w:eastAsia="Verdana" w:hAnsi="Verdana" w:cs="Verdana"/>
          <w:color w:val="4472C4" w:themeColor="accent1"/>
          <w:u w:val="single"/>
          <w:lang w:val="es-MX"/>
        </w:rPr>
      </w:pPr>
      <w:r w:rsidRPr="00BC3A80">
        <w:rPr>
          <w:rFonts w:ascii="Verdana" w:eastAsia="Verdana" w:hAnsi="Verdana" w:cs="Verdana"/>
          <w:lang w:val="es-MX"/>
        </w:rPr>
        <w:t xml:space="preserve">Línea nacional gratuita o servicio a la ciudadanía (Mesa de servicio): </w:t>
      </w:r>
      <w:r w:rsidRPr="00BC3A80">
        <w:rPr>
          <w:rFonts w:ascii="Verdana" w:hAnsi="Verdana"/>
          <w:color w:val="0000FF"/>
          <w:u w:val="single"/>
          <w:lang w:val="es-ES"/>
        </w:rPr>
        <w:t>01800 0520808</w:t>
      </w:r>
    </w:p>
    <w:p w14:paraId="23FAFB68" w14:textId="77777777" w:rsidR="002B64AF" w:rsidRPr="00BC3A80" w:rsidRDefault="002B64AF" w:rsidP="002B64AF">
      <w:pPr>
        <w:numPr>
          <w:ilvl w:val="0"/>
          <w:numId w:val="15"/>
        </w:numPr>
        <w:spacing w:after="0" w:line="276" w:lineRule="auto"/>
        <w:contextualSpacing/>
        <w:rPr>
          <w:rFonts w:ascii="Verdana" w:eastAsia="Verdana" w:hAnsi="Verdana" w:cs="Verdana"/>
          <w:color w:val="4472C4" w:themeColor="accent1"/>
          <w:u w:val="single"/>
          <w:lang w:val="es-MX"/>
        </w:rPr>
      </w:pPr>
      <w:r w:rsidRPr="00BC3A80">
        <w:rPr>
          <w:rFonts w:ascii="Verdana" w:eastAsia="Verdana" w:hAnsi="Verdana" w:cs="Verdana"/>
          <w:lang w:val="es-MX"/>
        </w:rPr>
        <w:t>Línea en Bogotá (Mesa de servicio</w:t>
      </w:r>
      <w:proofErr w:type="gramStart"/>
      <w:r w:rsidRPr="00BC3A80">
        <w:rPr>
          <w:rFonts w:ascii="Verdana" w:eastAsia="Verdana" w:hAnsi="Verdana" w:cs="Verdana"/>
          <w:lang w:val="es-MX"/>
        </w:rPr>
        <w:t>):</w:t>
      </w:r>
      <w:r w:rsidRPr="00BC3A80">
        <w:rPr>
          <w:rFonts w:ascii="Verdana" w:hAnsi="Verdana"/>
          <w:color w:val="0000FF"/>
          <w:u w:val="single"/>
          <w:lang w:val="es-ES"/>
        </w:rPr>
        <w:t>+</w:t>
      </w:r>
      <w:proofErr w:type="gramEnd"/>
      <w:r w:rsidRPr="00BC3A80">
        <w:rPr>
          <w:rFonts w:ascii="Verdana" w:hAnsi="Verdana"/>
          <w:color w:val="0000FF"/>
          <w:u w:val="single"/>
          <w:lang w:val="es-ES"/>
        </w:rPr>
        <w:t>57 601 7456788</w:t>
      </w:r>
    </w:p>
    <w:p w14:paraId="6E8B8C56" w14:textId="77777777" w:rsidR="002B64AF" w:rsidRPr="00BC3A80" w:rsidRDefault="002B64AF" w:rsidP="002B64AF">
      <w:pPr>
        <w:numPr>
          <w:ilvl w:val="0"/>
          <w:numId w:val="15"/>
        </w:numPr>
        <w:spacing w:after="0" w:line="276" w:lineRule="auto"/>
        <w:contextualSpacing/>
        <w:rPr>
          <w:rFonts w:ascii="Verdana" w:eastAsia="Verdana" w:hAnsi="Verdana" w:cs="Verdana"/>
          <w:color w:val="0000FF"/>
          <w:u w:val="single"/>
          <w:lang w:val="es-MX"/>
        </w:rPr>
      </w:pPr>
      <w:r w:rsidRPr="00BC3A80">
        <w:rPr>
          <w:rFonts w:ascii="Verdana" w:eastAsia="Verdana" w:hAnsi="Verdana" w:cs="Verdana"/>
          <w:lang w:val="es-MX"/>
        </w:rPr>
        <w:t xml:space="preserve">Correo de radicación de correspondencia: </w:t>
      </w:r>
      <w:hyperlink r:id="rId15" w:history="1">
        <w:r w:rsidRPr="00BC3A80">
          <w:rPr>
            <w:rFonts w:ascii="Verdana" w:eastAsia="Verdana" w:hAnsi="Verdana" w:cs="Verdana"/>
            <w:color w:val="0000FF"/>
            <w:u w:val="single"/>
            <w:lang w:val="es-MX"/>
          </w:rPr>
          <w:t>ventanilladeradicacion@colombiacompra.gov.co</w:t>
        </w:r>
      </w:hyperlink>
    </w:p>
    <w:p w14:paraId="7A93AAFC" w14:textId="77777777" w:rsidR="002B64AF" w:rsidRPr="00BC3A80" w:rsidRDefault="002B64AF" w:rsidP="002B64AF">
      <w:pPr>
        <w:numPr>
          <w:ilvl w:val="0"/>
          <w:numId w:val="15"/>
        </w:numPr>
        <w:spacing w:after="0" w:line="276" w:lineRule="auto"/>
        <w:contextualSpacing/>
        <w:rPr>
          <w:rFonts w:ascii="Verdana" w:eastAsia="Verdana" w:hAnsi="Verdana" w:cs="Verdana"/>
          <w:color w:val="0000FF"/>
          <w:u w:val="single"/>
          <w:lang w:val="es-MX"/>
        </w:rPr>
      </w:pPr>
      <w:r w:rsidRPr="00BC3A80">
        <w:rPr>
          <w:rFonts w:ascii="Verdana" w:eastAsia="Verdana" w:hAnsi="Verdana" w:cs="Verdana"/>
          <w:lang w:val="es-ES"/>
        </w:rPr>
        <w:t xml:space="preserve">Formulario web para PQRSD: </w:t>
      </w:r>
      <w:hyperlink r:id="rId16" w:history="1">
        <w:r w:rsidRPr="00BC3A80">
          <w:rPr>
            <w:rFonts w:ascii="Verdana" w:eastAsia="Verdana" w:hAnsi="Verdana" w:cs="Verdana"/>
            <w:color w:val="0000FF"/>
            <w:u w:val="single"/>
            <w:lang w:val="es-MX"/>
          </w:rPr>
          <w:t>https://www.colombiacompra.gov.co/pqrsd/informacion-importante-antes-de-formular-una-pqrsd</w:t>
        </w:r>
      </w:hyperlink>
    </w:p>
    <w:p w14:paraId="0E138D8C" w14:textId="77777777" w:rsidR="002B64AF" w:rsidRPr="00BC3A80" w:rsidRDefault="002B64AF" w:rsidP="002B64AF">
      <w:pPr>
        <w:spacing w:after="0" w:line="276" w:lineRule="auto"/>
        <w:ind w:left="720"/>
        <w:jc w:val="both"/>
        <w:rPr>
          <w:rFonts w:ascii="Verdana" w:hAnsi="Verdana"/>
        </w:rPr>
      </w:pPr>
    </w:p>
    <w:p w14:paraId="1F29DB0D" w14:textId="77777777" w:rsidR="002B64AF" w:rsidRPr="00BC3A80" w:rsidRDefault="002B64AF" w:rsidP="002B64AF">
      <w:pPr>
        <w:spacing w:after="0" w:line="276" w:lineRule="auto"/>
        <w:rPr>
          <w:rFonts w:ascii="Verdana" w:hAnsi="Verdana"/>
        </w:rPr>
      </w:pPr>
      <w:r w:rsidRPr="00BC3A80">
        <w:rPr>
          <w:rFonts w:ascii="Verdana" w:hAnsi="Verdana"/>
        </w:rPr>
        <w:t xml:space="preserve">Evalúa el servicio que ofrece la Agencia por el canal de atención de PQRSD en el siguiente </w:t>
      </w:r>
      <w:proofErr w:type="gramStart"/>
      <w:r w:rsidRPr="00BC3A80">
        <w:rPr>
          <w:rFonts w:ascii="Verdana" w:hAnsi="Verdana"/>
        </w:rPr>
        <w:t>enlace :</w:t>
      </w:r>
      <w:proofErr w:type="gramEnd"/>
      <w:hyperlink r:id="rId17" w:tgtFrame="_blank" w:tooltip="https://forms.office.com/r/pphywvs2sz" w:history="1">
        <w:r w:rsidRPr="00BC3A80">
          <w:rPr>
            <w:rFonts w:ascii="Verdana" w:hAnsi="Verdana"/>
            <w:color w:val="0000FF"/>
            <w:u w:val="single"/>
          </w:rPr>
          <w:t>https://forms.office.com/r/pPHyWVs2SZ</w:t>
        </w:r>
      </w:hyperlink>
      <w:r w:rsidRPr="00BC3A80">
        <w:rPr>
          <w:rFonts w:ascii="Verdana" w:hAnsi="Verdana"/>
        </w:rPr>
        <w:t xml:space="preserve"> .¡Ayúdanos a mejorar porque el compromiso es de todos!</w:t>
      </w:r>
    </w:p>
    <w:p w14:paraId="23C53520" w14:textId="77777777" w:rsidR="002B64AF" w:rsidRPr="00BC3A80" w:rsidRDefault="002B64AF" w:rsidP="002B64AF">
      <w:pPr>
        <w:spacing w:after="0" w:line="276" w:lineRule="auto"/>
        <w:rPr>
          <w:rFonts w:ascii="Verdana" w:hAnsi="Verdana"/>
        </w:rPr>
      </w:pPr>
    </w:p>
    <w:p w14:paraId="5F93D754" w14:textId="77777777" w:rsidR="002B64AF" w:rsidRPr="00BC3A80" w:rsidRDefault="002B64AF" w:rsidP="002B64AF">
      <w:pPr>
        <w:spacing w:after="0" w:line="276" w:lineRule="auto"/>
        <w:jc w:val="both"/>
        <w:rPr>
          <w:rFonts w:ascii="Verdana" w:hAnsi="Verdana"/>
        </w:rPr>
      </w:pPr>
      <w:r w:rsidRPr="00BC3A80">
        <w:rPr>
          <w:rFonts w:ascii="Verdana" w:hAnsi="Verdana"/>
        </w:rPr>
        <w:t xml:space="preserve">Por último, lo invitamos a seguirnos en las redes sociales en las cuales se difunde información institucional: </w:t>
      </w:r>
    </w:p>
    <w:p w14:paraId="45B88F07" w14:textId="77777777" w:rsidR="002B64AF" w:rsidRPr="00BC3A80" w:rsidRDefault="002B64AF" w:rsidP="002B64AF">
      <w:pPr>
        <w:spacing w:after="0" w:line="276" w:lineRule="auto"/>
        <w:jc w:val="both"/>
        <w:rPr>
          <w:rFonts w:ascii="Verdana" w:hAnsi="Verdana"/>
        </w:rPr>
      </w:pPr>
    </w:p>
    <w:p w14:paraId="5453CD64" w14:textId="77777777" w:rsidR="002B64AF" w:rsidRPr="00BC3A80" w:rsidRDefault="002B64AF" w:rsidP="002B64AF">
      <w:pPr>
        <w:spacing w:after="0" w:line="276" w:lineRule="auto"/>
        <w:jc w:val="both"/>
        <w:rPr>
          <w:rFonts w:ascii="Verdana" w:hAnsi="Verdana"/>
        </w:rPr>
      </w:pPr>
      <w:r w:rsidRPr="00BC3A80">
        <w:rPr>
          <w:rFonts w:ascii="Verdana" w:hAnsi="Verdana"/>
        </w:rPr>
        <w:t xml:space="preserve">Twitter: </w:t>
      </w:r>
      <w:r w:rsidRPr="00BC3A80">
        <w:rPr>
          <w:rFonts w:ascii="Verdana" w:hAnsi="Verdana"/>
          <w:color w:val="0000FF"/>
          <w:u w:val="single"/>
        </w:rPr>
        <w:t>@colombiacompra</w:t>
      </w:r>
      <w:r w:rsidRPr="00BC3A80">
        <w:rPr>
          <w:rFonts w:ascii="Verdana" w:hAnsi="Verdana"/>
        </w:rPr>
        <w:t xml:space="preserve"> </w:t>
      </w:r>
    </w:p>
    <w:p w14:paraId="2DFB6AF8" w14:textId="77777777" w:rsidR="002B64AF" w:rsidRPr="00BC3A80" w:rsidRDefault="002B64AF" w:rsidP="002B64AF">
      <w:pPr>
        <w:spacing w:after="0" w:line="276" w:lineRule="auto"/>
        <w:jc w:val="both"/>
        <w:rPr>
          <w:rFonts w:ascii="Verdana" w:hAnsi="Verdana"/>
        </w:rPr>
      </w:pPr>
      <w:r w:rsidRPr="00BC3A80">
        <w:rPr>
          <w:rFonts w:ascii="Verdana" w:hAnsi="Verdana"/>
        </w:rPr>
        <w:t xml:space="preserve">Facebook: </w:t>
      </w:r>
      <w:proofErr w:type="spellStart"/>
      <w:r w:rsidRPr="00BC3A80">
        <w:rPr>
          <w:rFonts w:ascii="Verdana" w:hAnsi="Verdana"/>
          <w:color w:val="0000FF"/>
          <w:u w:val="single"/>
        </w:rPr>
        <w:t>ColombiaCompraEficiente</w:t>
      </w:r>
      <w:proofErr w:type="spellEnd"/>
    </w:p>
    <w:p w14:paraId="21436651" w14:textId="77777777" w:rsidR="002B64AF" w:rsidRPr="00BC3A80" w:rsidRDefault="002B64AF" w:rsidP="002B64AF">
      <w:pPr>
        <w:spacing w:after="0" w:line="276" w:lineRule="auto"/>
        <w:jc w:val="both"/>
        <w:rPr>
          <w:rFonts w:ascii="Verdana" w:hAnsi="Verdana"/>
        </w:rPr>
      </w:pPr>
      <w:r w:rsidRPr="00BC3A80">
        <w:rPr>
          <w:rFonts w:ascii="Verdana" w:hAnsi="Verdana"/>
        </w:rPr>
        <w:t xml:space="preserve">LinkedIn: </w:t>
      </w:r>
      <w:r w:rsidRPr="00BC3A80">
        <w:rPr>
          <w:rFonts w:ascii="Verdana" w:hAnsi="Verdana"/>
          <w:color w:val="0000FF"/>
          <w:u w:val="single"/>
        </w:rPr>
        <w:t>Agencia Nacional de Contratación Pública - Colombia Compra Eficiente</w:t>
      </w:r>
      <w:r w:rsidRPr="00BC3A80">
        <w:rPr>
          <w:rFonts w:ascii="Verdana" w:hAnsi="Verdana"/>
        </w:rPr>
        <w:t xml:space="preserve"> Instagram: </w:t>
      </w:r>
      <w:r w:rsidRPr="00BC3A80">
        <w:rPr>
          <w:rFonts w:ascii="Verdana" w:hAnsi="Verdana"/>
          <w:color w:val="0000FF"/>
          <w:u w:val="single"/>
        </w:rPr>
        <w:t>@colombiacompraeficiente_cce</w:t>
      </w:r>
    </w:p>
    <w:p w14:paraId="31B8EA13" w14:textId="77777777" w:rsidR="002B64AF" w:rsidRPr="00BC3A80" w:rsidRDefault="002B64AF" w:rsidP="002B64AF">
      <w:pPr>
        <w:widowControl w:val="0"/>
        <w:autoSpaceDE w:val="0"/>
        <w:autoSpaceDN w:val="0"/>
        <w:spacing w:after="120" w:line="276" w:lineRule="auto"/>
        <w:jc w:val="both"/>
        <w:rPr>
          <w:rFonts w:ascii="Verdana" w:hAnsi="Verdana" w:cs="Arial"/>
          <w:color w:val="FF0000"/>
          <w:shd w:val="clear" w:color="auto" w:fill="FFFFFF"/>
          <w:lang w:val="es-ES_tradnl"/>
        </w:rPr>
      </w:pPr>
      <w:r w:rsidRPr="00BC3A80">
        <w:rPr>
          <w:rFonts w:ascii="Verdana" w:hAnsi="Verdana" w:cs="Arial"/>
          <w:color w:val="FF0000"/>
          <w:shd w:val="clear" w:color="auto" w:fill="FFFFFF"/>
          <w:lang w:val="es-ES_tradnl"/>
        </w:rPr>
        <w:t xml:space="preserve">        </w:t>
      </w:r>
    </w:p>
    <w:p w14:paraId="1DF89AAB" w14:textId="77777777" w:rsidR="002B64AF" w:rsidRPr="00BC3A80" w:rsidRDefault="002B64AF" w:rsidP="002B64AF">
      <w:pPr>
        <w:widowControl w:val="0"/>
        <w:autoSpaceDE w:val="0"/>
        <w:autoSpaceDN w:val="0"/>
        <w:spacing w:after="0" w:line="276" w:lineRule="auto"/>
        <w:jc w:val="both"/>
        <w:rPr>
          <w:rFonts w:ascii="Verdana" w:hAnsi="Verdana" w:cs="Arial"/>
          <w:lang w:val="es-ES_tradnl"/>
        </w:rPr>
      </w:pPr>
      <w:r w:rsidRPr="00BC3A80">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65525BB3" w14:textId="77777777" w:rsidR="002B64AF" w:rsidRPr="00BC3A80" w:rsidRDefault="002B64AF" w:rsidP="002B64AF">
      <w:pPr>
        <w:widowControl w:val="0"/>
        <w:autoSpaceDE w:val="0"/>
        <w:autoSpaceDN w:val="0"/>
        <w:spacing w:after="0" w:line="276" w:lineRule="auto"/>
        <w:jc w:val="both"/>
        <w:rPr>
          <w:rFonts w:ascii="Verdana" w:hAnsi="Verdana" w:cs="Arial"/>
          <w:lang w:val="es-ES_tradnl"/>
        </w:rPr>
      </w:pPr>
    </w:p>
    <w:p w14:paraId="2394CA1B" w14:textId="77777777" w:rsidR="002B64AF" w:rsidRDefault="002B64AF" w:rsidP="002B64AF">
      <w:pPr>
        <w:spacing w:after="0" w:line="276" w:lineRule="auto"/>
        <w:rPr>
          <w:rFonts w:ascii="Verdana" w:eastAsia="Times New Roman" w:hAnsi="Verdana" w:cs="Arial"/>
          <w:lang w:eastAsia="es-ES_tradnl"/>
        </w:rPr>
      </w:pPr>
      <w:r w:rsidRPr="00BC3A80">
        <w:rPr>
          <w:rFonts w:ascii="Verdana" w:eastAsia="Times New Roman" w:hAnsi="Verdana" w:cs="Arial"/>
          <w:lang w:val="es-ES_tradnl" w:eastAsia="es-CO"/>
        </w:rPr>
        <w:t>Atentamente,</w:t>
      </w:r>
      <w:r w:rsidRPr="00BC3A80">
        <w:rPr>
          <w:rFonts w:ascii="Verdana" w:hAnsi="Verdana" w:cs="Arial"/>
          <w:lang w:val="es-ES_tradnl" w:eastAsia="es-CO"/>
        </w:rPr>
        <w:t xml:space="preserve"> </w:t>
      </w:r>
      <w:bookmarkEnd w:id="0"/>
    </w:p>
    <w:p w14:paraId="1E1A2CC0" w14:textId="77777777" w:rsidR="002B64AF" w:rsidRPr="00116940" w:rsidRDefault="002B64AF" w:rsidP="002B64AF">
      <w:pPr>
        <w:spacing w:after="0" w:line="240" w:lineRule="auto"/>
        <w:jc w:val="both"/>
        <w:rPr>
          <w:rFonts w:ascii="Verdana" w:hAnsi="Verdana"/>
        </w:rPr>
      </w:pPr>
    </w:p>
    <w:p w14:paraId="6D338B67" w14:textId="19F63EF1" w:rsidR="002B64AF" w:rsidRDefault="002D5BEA" w:rsidP="002B64AF">
      <w:pPr>
        <w:spacing w:after="0" w:line="240" w:lineRule="auto"/>
        <w:jc w:val="center"/>
      </w:pPr>
      <w:r w:rsidRPr="002C3AD6">
        <w:rPr>
          <w:rFonts w:ascii="Century Gothic" w:hAnsi="Century Gothic"/>
          <w:noProof/>
        </w:rPr>
        <w:drawing>
          <wp:inline distT="0" distB="0" distL="0" distR="0" wp14:anchorId="16D97467" wp14:editId="2F53468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B64AF" w:rsidRPr="00E3533A" w14:paraId="364A11ED" w14:textId="77777777" w:rsidTr="003021E1">
        <w:trPr>
          <w:trHeight w:val="315"/>
        </w:trPr>
        <w:tc>
          <w:tcPr>
            <w:tcW w:w="893" w:type="dxa"/>
            <w:vAlign w:val="center"/>
            <w:hideMark/>
          </w:tcPr>
          <w:p w14:paraId="6D77DD76" w14:textId="77777777" w:rsidR="002B64AF" w:rsidRPr="00E3533A" w:rsidRDefault="002B64AF" w:rsidP="003021E1">
            <w:pPr>
              <w:contextualSpacing/>
              <w:rPr>
                <w:rFonts w:ascii="Verdana" w:hAnsi="Verdana" w:cs="Arial"/>
                <w:sz w:val="16"/>
                <w:szCs w:val="16"/>
                <w:lang w:eastAsia="es-ES"/>
              </w:rPr>
            </w:pPr>
            <w:r w:rsidRPr="00E3533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A77D933" w14:textId="77777777" w:rsidR="002B64AF" w:rsidRPr="00E3533A" w:rsidRDefault="002B64AF" w:rsidP="003021E1">
            <w:pPr>
              <w:spacing w:line="256" w:lineRule="auto"/>
              <w:rPr>
                <w:rFonts w:ascii="Verdana" w:eastAsia="Calibri" w:hAnsi="Verdana" w:cs="Times New Roman"/>
                <w:sz w:val="16"/>
                <w:szCs w:val="16"/>
              </w:rPr>
            </w:pPr>
            <w:r>
              <w:rPr>
                <w:rFonts w:ascii="Verdana" w:eastAsia="Calibri" w:hAnsi="Verdana" w:cs="Times New Roman"/>
                <w:sz w:val="16"/>
                <w:szCs w:val="16"/>
              </w:rPr>
              <w:t>Richard Andrés Montenegro Siefken</w:t>
            </w:r>
          </w:p>
          <w:p w14:paraId="52D45191" w14:textId="77777777" w:rsidR="002B64AF" w:rsidRPr="00E3533A" w:rsidRDefault="002B64AF" w:rsidP="003021E1">
            <w:pPr>
              <w:contextualSpacing/>
              <w:rPr>
                <w:rFonts w:ascii="Verdana" w:eastAsia="Arial" w:hAnsi="Verdana" w:cs="Arial"/>
                <w:sz w:val="16"/>
                <w:szCs w:val="16"/>
              </w:rPr>
            </w:pPr>
            <w:r>
              <w:rPr>
                <w:rFonts w:ascii="Verdana" w:eastAsia="Calibri" w:hAnsi="Verdana" w:cs="Times New Roman"/>
                <w:sz w:val="16"/>
                <w:szCs w:val="16"/>
              </w:rPr>
              <w:t>Contratista</w:t>
            </w:r>
            <w:r w:rsidRPr="00E3533A">
              <w:rPr>
                <w:rFonts w:ascii="Verdana" w:eastAsia="Calibri" w:hAnsi="Verdana" w:cs="Times New Roman"/>
                <w:sz w:val="16"/>
                <w:szCs w:val="16"/>
              </w:rPr>
              <w:t xml:space="preserve"> de la Subdirección de Gestión Contractual</w:t>
            </w:r>
          </w:p>
        </w:tc>
      </w:tr>
      <w:tr w:rsidR="002B64AF" w:rsidRPr="00E3533A" w14:paraId="3773E546" w14:textId="77777777" w:rsidTr="003021E1">
        <w:trPr>
          <w:trHeight w:val="330"/>
        </w:trPr>
        <w:tc>
          <w:tcPr>
            <w:tcW w:w="893" w:type="dxa"/>
            <w:vAlign w:val="center"/>
            <w:hideMark/>
          </w:tcPr>
          <w:p w14:paraId="529E7A4D" w14:textId="77777777" w:rsidR="002B64AF" w:rsidRPr="00E3533A" w:rsidRDefault="002B64AF" w:rsidP="003021E1">
            <w:pPr>
              <w:contextualSpacing/>
              <w:rPr>
                <w:rFonts w:ascii="Verdana" w:hAnsi="Verdana" w:cs="Arial"/>
                <w:sz w:val="16"/>
                <w:szCs w:val="16"/>
                <w:lang w:eastAsia="es-ES"/>
              </w:rPr>
            </w:pPr>
            <w:r w:rsidRPr="00E3533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C6C792" w14:textId="77777777" w:rsidR="002B64AF" w:rsidRPr="002B5C7D" w:rsidRDefault="002B64AF" w:rsidP="003021E1">
            <w:pPr>
              <w:spacing w:line="256" w:lineRule="auto"/>
              <w:rPr>
                <w:rFonts w:ascii="Verdana" w:eastAsia="Calibri" w:hAnsi="Verdana" w:cs="Times New Roman"/>
                <w:sz w:val="16"/>
                <w:szCs w:val="16"/>
              </w:rPr>
            </w:pPr>
            <w:r>
              <w:rPr>
                <w:rFonts w:ascii="Verdana" w:eastAsia="Calibri" w:hAnsi="Verdana" w:cs="Times New Roman"/>
                <w:sz w:val="16"/>
                <w:szCs w:val="16"/>
              </w:rPr>
              <w:t>Juan Carlos González Vásquez</w:t>
            </w:r>
          </w:p>
          <w:p w14:paraId="78E2FF95" w14:textId="77777777" w:rsidR="002B64AF" w:rsidRPr="00E3533A" w:rsidRDefault="002B64AF" w:rsidP="003021E1">
            <w:pPr>
              <w:pStyle w:val="paragraph"/>
              <w:spacing w:before="0" w:beforeAutospacing="0" w:after="0" w:afterAutospacing="0"/>
              <w:contextualSpacing/>
              <w:textAlignment w:val="baseline"/>
              <w:rPr>
                <w:rFonts w:ascii="Verdana" w:hAnsi="Verdana" w:cs="Segoe UI"/>
                <w:sz w:val="16"/>
                <w:szCs w:val="16"/>
              </w:rPr>
            </w:pPr>
            <w:r w:rsidRPr="00E3533A">
              <w:rPr>
                <w:rFonts w:ascii="Verdana" w:eastAsia="Calibri" w:hAnsi="Verdana"/>
                <w:sz w:val="16"/>
                <w:szCs w:val="16"/>
              </w:rPr>
              <w:t>Contratista de la Subdirección de Gestión Contractual </w:t>
            </w:r>
          </w:p>
        </w:tc>
      </w:tr>
      <w:tr w:rsidR="002B64AF" w:rsidRPr="00E3533A" w14:paraId="64D80E4F" w14:textId="77777777" w:rsidTr="003021E1">
        <w:trPr>
          <w:trHeight w:val="300"/>
        </w:trPr>
        <w:tc>
          <w:tcPr>
            <w:tcW w:w="893" w:type="dxa"/>
            <w:vAlign w:val="center"/>
          </w:tcPr>
          <w:p w14:paraId="742F88DE" w14:textId="77777777" w:rsidR="002B64AF" w:rsidRPr="00E3533A" w:rsidRDefault="002B64AF" w:rsidP="003021E1">
            <w:pPr>
              <w:contextualSpacing/>
              <w:rPr>
                <w:rFonts w:ascii="Verdana" w:hAnsi="Verdana" w:cs="Arial"/>
                <w:sz w:val="16"/>
                <w:szCs w:val="16"/>
                <w:lang w:eastAsia="es-ES"/>
              </w:rPr>
            </w:pPr>
            <w:r w:rsidRPr="00E3533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EA28FB4" w14:textId="77777777" w:rsidR="002B64AF" w:rsidRPr="00E3533A" w:rsidRDefault="002B64AF" w:rsidP="003021E1">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Carolina Quintero </w:t>
            </w:r>
            <w:proofErr w:type="spellStart"/>
            <w:r>
              <w:rPr>
                <w:rFonts w:ascii="Verdana" w:eastAsia="Calibri" w:hAnsi="Verdana" w:cs="Arial"/>
                <w:sz w:val="16"/>
                <w:szCs w:val="16"/>
                <w:lang w:eastAsia="es-ES"/>
              </w:rPr>
              <w:t>Gacharná</w:t>
            </w:r>
            <w:proofErr w:type="spellEnd"/>
          </w:p>
          <w:p w14:paraId="1D6FCB54" w14:textId="77777777" w:rsidR="002B64AF" w:rsidRPr="00E3533A" w:rsidRDefault="002B64AF" w:rsidP="003021E1">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Subdirectora de Gestión Contractual ANCP – CCE</w:t>
            </w:r>
          </w:p>
        </w:tc>
      </w:tr>
    </w:tbl>
    <w:p w14:paraId="4FA9E0C3" w14:textId="77777777" w:rsidR="002B64AF" w:rsidRDefault="002B64AF" w:rsidP="002B64AF"/>
    <w:p w14:paraId="0F293BF4" w14:textId="0DCD15DC" w:rsidR="00127233" w:rsidRPr="00E207E7" w:rsidRDefault="00127233" w:rsidP="00E207E7"/>
    <w:sectPr w:rsidR="00127233" w:rsidRPr="00E207E7"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8F81B" w14:textId="77777777" w:rsidR="0028774F" w:rsidRDefault="0028774F" w:rsidP="004A1847">
      <w:pPr>
        <w:spacing w:after="0" w:line="240" w:lineRule="auto"/>
      </w:pPr>
      <w:r>
        <w:separator/>
      </w:r>
    </w:p>
  </w:endnote>
  <w:endnote w:type="continuationSeparator" w:id="0">
    <w:p w14:paraId="318AD40D" w14:textId="77777777" w:rsidR="0028774F" w:rsidRDefault="0028774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E207E7"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E207E7">
      <w:rPr>
        <w:rFonts w:ascii="Century Gothic" w:eastAsia="Geo" w:hAnsi="Century Gothic" w:cs="Geo"/>
        <w:b/>
        <w:bCs/>
        <w:color w:val="000000" w:themeColor="text1"/>
        <w:sz w:val="16"/>
        <w:szCs w:val="16"/>
        <w:lang w:val="pt-PT" w:eastAsia="es-CO"/>
      </w:rPr>
      <w:t xml:space="preserve">Código: </w:t>
    </w:r>
    <w:r w:rsidRPr="00E207E7">
      <w:rPr>
        <w:rFonts w:ascii="Century Gothic" w:eastAsia="Geo" w:hAnsi="Century Gothic" w:cs="Geo"/>
        <w:color w:val="000000" w:themeColor="text1"/>
        <w:sz w:val="16"/>
        <w:szCs w:val="16"/>
        <w:lang w:val="pt-PT" w:eastAsia="es-CO"/>
      </w:rPr>
      <w:t xml:space="preserve">CCE-REC-FM-17 </w:t>
    </w:r>
    <w:r w:rsidRPr="00E207E7">
      <w:rPr>
        <w:rFonts w:ascii="Century Gothic" w:eastAsia="Geo" w:hAnsi="Century Gothic" w:cs="Geo"/>
        <w:b/>
        <w:bCs/>
        <w:color w:val="000000" w:themeColor="text1"/>
        <w:sz w:val="16"/>
        <w:szCs w:val="16"/>
        <w:lang w:val="pt-PT" w:eastAsia="es-CO"/>
      </w:rPr>
      <w:t>V</w:t>
    </w:r>
    <w:r w:rsidRPr="00E207E7">
      <w:rPr>
        <w:rFonts w:ascii="Century Gothic" w:eastAsia="Arial Nova" w:hAnsi="Century Gothic" w:cs="Arial Nova"/>
        <w:b/>
        <w:bCs/>
        <w:color w:val="000000" w:themeColor="text1"/>
        <w:sz w:val="16"/>
        <w:szCs w:val="16"/>
        <w:lang w:val="pt-PT" w:eastAsia="es-CO"/>
      </w:rPr>
      <w:t xml:space="preserve">: </w:t>
    </w:r>
    <w:r w:rsidRPr="00E207E7">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28A0A" w14:textId="77777777" w:rsidR="0028774F" w:rsidRDefault="0028774F" w:rsidP="004A1847">
      <w:pPr>
        <w:spacing w:after="0" w:line="240" w:lineRule="auto"/>
      </w:pPr>
      <w:r>
        <w:separator/>
      </w:r>
    </w:p>
  </w:footnote>
  <w:footnote w:type="continuationSeparator" w:id="0">
    <w:p w14:paraId="59B30D7E" w14:textId="77777777" w:rsidR="0028774F" w:rsidRDefault="0028774F" w:rsidP="004A1847">
      <w:pPr>
        <w:spacing w:after="0" w:line="240" w:lineRule="auto"/>
      </w:pPr>
      <w:r>
        <w:continuationSeparator/>
      </w:r>
    </w:p>
  </w:footnote>
  <w:footnote w:id="1">
    <w:p w14:paraId="25AD9344" w14:textId="77777777" w:rsidR="002B64AF" w:rsidRPr="00B10300" w:rsidRDefault="002B64AF" w:rsidP="002B64AF">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EF75E84" w14:textId="77777777" w:rsidR="002B64AF" w:rsidRPr="00B10300" w:rsidRDefault="002B64AF" w:rsidP="002B64AF">
      <w:pPr>
        <w:pStyle w:val="Textonotapie"/>
        <w:ind w:firstLine="709"/>
        <w:contextualSpacing/>
        <w:jc w:val="both"/>
        <w:rPr>
          <w:rFonts w:ascii="Verdana" w:hAnsi="Verdana" w:cs="Arial"/>
          <w:sz w:val="14"/>
          <w:szCs w:val="14"/>
        </w:rPr>
      </w:pPr>
      <w:r w:rsidRPr="00B10300">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2F19404" w14:textId="77777777" w:rsidR="002B64AF" w:rsidRPr="00B10300" w:rsidRDefault="002B64AF" w:rsidP="002B64AF">
      <w:pPr>
        <w:pStyle w:val="Textonotapie"/>
        <w:ind w:firstLine="709"/>
        <w:contextualSpacing/>
        <w:jc w:val="both"/>
        <w:rPr>
          <w:rFonts w:ascii="Verdana" w:hAnsi="Verdana" w:cs="Arial"/>
          <w:sz w:val="14"/>
          <w:szCs w:val="14"/>
        </w:rPr>
      </w:pPr>
    </w:p>
  </w:footnote>
  <w:footnote w:id="2">
    <w:p w14:paraId="48C841C8" w14:textId="77777777" w:rsidR="002B64AF" w:rsidRPr="00B10300" w:rsidRDefault="002B64AF" w:rsidP="002B64AF">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Gaceta del Congreso de la República No. 71 del 2005.</w:t>
      </w:r>
    </w:p>
  </w:footnote>
  <w:footnote w:id="3">
    <w:p w14:paraId="459077D0" w14:textId="77777777" w:rsidR="002B64AF" w:rsidRPr="00B10300" w:rsidRDefault="002B64AF" w:rsidP="002B64AF">
      <w:pPr>
        <w:pStyle w:val="Textonotapie"/>
        <w:ind w:firstLine="709"/>
        <w:contextualSpacing/>
        <w:jc w:val="both"/>
        <w:rPr>
          <w:rFonts w:ascii="Verdana" w:hAnsi="Verdana" w:cs="Arial"/>
          <w:sz w:val="14"/>
          <w:szCs w:val="14"/>
          <w:lang w:val="pt-BR"/>
        </w:rPr>
      </w:pPr>
      <w:r w:rsidRPr="00B10300">
        <w:rPr>
          <w:rStyle w:val="Refdenotaalpie"/>
          <w:rFonts w:ascii="Verdana" w:hAnsi="Verdana" w:cs="Arial"/>
          <w:sz w:val="14"/>
          <w:szCs w:val="14"/>
        </w:rPr>
        <w:footnoteRef/>
      </w:r>
      <w:r w:rsidRPr="00B10300">
        <w:rPr>
          <w:rFonts w:ascii="Verdana" w:hAnsi="Verdana" w:cs="Arial"/>
          <w:sz w:val="14"/>
          <w:szCs w:val="14"/>
          <w:lang w:val="pt-BR"/>
        </w:rPr>
        <w:t xml:space="preserve"> Corte Constitucional, Sentencia C- 1153 de 2005, M.P. Marco Gerardo Monroy Cabra.</w:t>
      </w:r>
    </w:p>
    <w:p w14:paraId="52513E74" w14:textId="77777777" w:rsidR="002B64AF" w:rsidRPr="00B10300" w:rsidRDefault="002B64AF" w:rsidP="002B64AF">
      <w:pPr>
        <w:pStyle w:val="Textonotapie"/>
        <w:ind w:firstLine="709"/>
        <w:contextualSpacing/>
        <w:jc w:val="both"/>
        <w:rPr>
          <w:rFonts w:ascii="Verdana" w:hAnsi="Verdana" w:cs="Arial"/>
          <w:sz w:val="14"/>
          <w:szCs w:val="14"/>
          <w:lang w:val="pt-BR"/>
        </w:rPr>
      </w:pPr>
    </w:p>
  </w:footnote>
  <w:footnote w:id="4">
    <w:p w14:paraId="11D5C475" w14:textId="77777777" w:rsidR="002B64AF" w:rsidRPr="00B10300" w:rsidRDefault="002B64AF" w:rsidP="002B64AF">
      <w:pPr>
        <w:pStyle w:val="Textonotapie"/>
        <w:ind w:firstLine="709"/>
        <w:contextualSpacing/>
        <w:jc w:val="both"/>
        <w:rPr>
          <w:rFonts w:ascii="Verdana" w:hAnsi="Verdana" w:cs="Arial"/>
          <w:sz w:val="14"/>
          <w:szCs w:val="14"/>
          <w:lang w:val="pt-BR"/>
        </w:rPr>
      </w:pPr>
      <w:r w:rsidRPr="00B10300">
        <w:rPr>
          <w:rStyle w:val="Refdenotaalpie"/>
          <w:rFonts w:ascii="Verdana" w:hAnsi="Verdana" w:cs="Arial"/>
          <w:sz w:val="14"/>
          <w:szCs w:val="14"/>
        </w:rPr>
        <w:footnoteRef/>
      </w:r>
      <w:r w:rsidRPr="00B10300">
        <w:rPr>
          <w:rFonts w:ascii="Verdana" w:hAnsi="Verdana" w:cs="Arial"/>
          <w:sz w:val="14"/>
          <w:szCs w:val="14"/>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50DE6796" w14:textId="77777777" w:rsidR="002B64AF" w:rsidRPr="00B10300" w:rsidRDefault="002B64AF" w:rsidP="002B64AF">
      <w:pPr>
        <w:pStyle w:val="Textonotapie"/>
        <w:ind w:firstLine="709"/>
        <w:contextualSpacing/>
        <w:jc w:val="both"/>
        <w:rPr>
          <w:rFonts w:ascii="Verdana" w:hAnsi="Verdana" w:cs="Arial"/>
          <w:sz w:val="14"/>
          <w:szCs w:val="14"/>
          <w:lang w:val="pt-BR"/>
        </w:rPr>
      </w:pPr>
    </w:p>
  </w:footnote>
  <w:footnote w:id="5">
    <w:p w14:paraId="7F38D056" w14:textId="77777777" w:rsidR="002B64AF" w:rsidRPr="00B10300" w:rsidRDefault="002B64AF" w:rsidP="002B64AF">
      <w:pPr>
        <w:pStyle w:val="Textonotapie"/>
        <w:ind w:firstLine="709"/>
        <w:contextualSpacing/>
        <w:jc w:val="both"/>
        <w:rPr>
          <w:rFonts w:ascii="Verdana" w:hAnsi="Verdana" w:cs="Arial"/>
          <w:sz w:val="14"/>
          <w:szCs w:val="14"/>
          <w:lang w:val="es-CO"/>
        </w:rPr>
      </w:pPr>
      <w:r w:rsidRPr="00B10300">
        <w:rPr>
          <w:rStyle w:val="Refdenotaalpie"/>
          <w:rFonts w:ascii="Verdana" w:hAnsi="Verdana" w:cs="Arial"/>
          <w:sz w:val="14"/>
          <w:szCs w:val="14"/>
        </w:rPr>
        <w:footnoteRef/>
      </w:r>
      <w:r w:rsidRPr="00B10300">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419D7432" w14:textId="77777777" w:rsidR="002B64AF" w:rsidRPr="00B10300" w:rsidRDefault="002B64AF" w:rsidP="002B64AF">
      <w:pPr>
        <w:pStyle w:val="Textonotapie"/>
        <w:ind w:firstLine="709"/>
        <w:contextualSpacing/>
        <w:jc w:val="both"/>
        <w:rPr>
          <w:rFonts w:ascii="Verdana" w:hAnsi="Verdana" w:cs="Arial"/>
          <w:sz w:val="14"/>
          <w:szCs w:val="14"/>
          <w:lang w:val="es-CO"/>
        </w:rPr>
      </w:pPr>
    </w:p>
  </w:footnote>
  <w:footnote w:id="6">
    <w:p w14:paraId="507F6CDE" w14:textId="77777777" w:rsidR="002B64AF" w:rsidRPr="00B10300" w:rsidRDefault="002B64AF" w:rsidP="002B64AF">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Consejo de Estado, Sala de Consulta y Servicio Civil de fecha 24 de julio de 2013, Rad. 2166, C. P. Álvaro Namén Vargas. </w:t>
      </w:r>
    </w:p>
    <w:p w14:paraId="43805E29" w14:textId="77777777" w:rsidR="002B64AF" w:rsidRPr="00B10300" w:rsidRDefault="002B64AF" w:rsidP="002B64AF">
      <w:pPr>
        <w:pStyle w:val="Textonotapie"/>
        <w:ind w:firstLine="709"/>
        <w:contextualSpacing/>
        <w:jc w:val="both"/>
        <w:rPr>
          <w:rFonts w:ascii="Verdana" w:hAnsi="Verdana" w:cs="Arial"/>
          <w:sz w:val="14"/>
          <w:szCs w:val="14"/>
        </w:rPr>
      </w:pPr>
      <w:r w:rsidRPr="00B10300">
        <w:rPr>
          <w:rFonts w:ascii="Verdana" w:hAnsi="Verdana" w:cs="Arial"/>
          <w:sz w:val="14"/>
          <w:szCs w:val="14"/>
        </w:rPr>
        <w:t xml:space="preserve"> </w:t>
      </w:r>
    </w:p>
  </w:footnote>
  <w:footnote w:id="7">
    <w:p w14:paraId="2EA918BF" w14:textId="77777777" w:rsidR="002B64AF" w:rsidRPr="00B10300" w:rsidRDefault="002B64AF" w:rsidP="002B64AF">
      <w:pPr>
        <w:pStyle w:val="Textonotapie"/>
        <w:ind w:right="51"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w:t>
      </w:r>
      <w:r w:rsidRPr="00B10300">
        <w:rPr>
          <w:rFonts w:ascii="Verdana" w:hAnsi="Verdana" w:cs="Arial"/>
          <w:sz w:val="14"/>
          <w:szCs w:val="14"/>
          <w:lang w:val="es-ES"/>
        </w:rPr>
        <w:t xml:space="preserve">[26] </w:t>
      </w:r>
      <w:r w:rsidRPr="00B10300">
        <w:rPr>
          <w:rFonts w:ascii="Verdana" w:hAnsi="Verdana" w:cs="Arial"/>
          <w:sz w:val="14"/>
          <w:szCs w:val="14"/>
        </w:rPr>
        <w:t>Al respecto ver el concepto 1712 de 2 de febrero de 2006. Consejo de Estado Sala de Consulta y Servicio Civil”.</w:t>
      </w:r>
    </w:p>
    <w:p w14:paraId="282726AA" w14:textId="77777777" w:rsidR="002B64AF" w:rsidRPr="00B10300" w:rsidRDefault="002B64AF" w:rsidP="002B64AF">
      <w:pPr>
        <w:pStyle w:val="Textonotapie"/>
        <w:ind w:right="51" w:firstLine="709"/>
        <w:contextualSpacing/>
        <w:jc w:val="both"/>
        <w:rPr>
          <w:rFonts w:ascii="Verdana" w:hAnsi="Verdana" w:cs="Arial"/>
          <w:sz w:val="14"/>
          <w:szCs w:val="14"/>
        </w:rPr>
      </w:pPr>
    </w:p>
  </w:footnote>
  <w:footnote w:id="8">
    <w:p w14:paraId="010301FB" w14:textId="77777777" w:rsidR="002B64AF" w:rsidRPr="00B10300" w:rsidRDefault="002B64AF" w:rsidP="002B64AF">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Consejo de Estado. Sala de Consulta y Servicio Civil. Concepto del 2 de septiembre de 2013. Radicación número: 11001-03-06-000-2013-00412-00 (2168). Consejero Ponente: Álvaro Namén Vargas.</w:t>
      </w:r>
    </w:p>
    <w:p w14:paraId="6B6FB2D4" w14:textId="77777777" w:rsidR="002B64AF" w:rsidRPr="00B10300" w:rsidRDefault="002B64AF" w:rsidP="002B64AF">
      <w:pPr>
        <w:pStyle w:val="Textonotapie"/>
        <w:ind w:firstLine="709"/>
        <w:contextualSpacing/>
        <w:jc w:val="both"/>
        <w:rPr>
          <w:rFonts w:ascii="Verdana" w:hAnsi="Verdana" w:cs="Arial"/>
          <w:sz w:val="14"/>
          <w:szCs w:val="14"/>
        </w:rPr>
      </w:pPr>
    </w:p>
  </w:footnote>
  <w:footnote w:id="9">
    <w:p w14:paraId="372C5525" w14:textId="77777777" w:rsidR="002B64AF" w:rsidRPr="00B10300" w:rsidRDefault="002B64AF" w:rsidP="002B64AF">
      <w:pPr>
        <w:pStyle w:val="Textonotapie"/>
        <w:ind w:firstLine="709"/>
        <w:contextualSpacing/>
        <w:jc w:val="both"/>
        <w:rPr>
          <w:rFonts w:ascii="Verdana" w:hAnsi="Verdana" w:cs="Arial"/>
          <w:sz w:val="14"/>
          <w:szCs w:val="14"/>
          <w:lang w:val="es-ES"/>
        </w:rPr>
      </w:pPr>
      <w:r w:rsidRPr="00B10300">
        <w:rPr>
          <w:rStyle w:val="Refdenotaalpie"/>
          <w:rFonts w:ascii="Verdana" w:hAnsi="Verdana" w:cs="Arial"/>
          <w:sz w:val="14"/>
          <w:szCs w:val="14"/>
        </w:rPr>
        <w:footnoteRef/>
      </w:r>
      <w:r w:rsidRPr="00B10300">
        <w:rPr>
          <w:rFonts w:ascii="Verdana" w:hAnsi="Verdana" w:cs="Arial"/>
          <w:sz w:val="14"/>
          <w:szCs w:val="14"/>
        </w:rPr>
        <w:t xml:space="preserve"> </w:t>
      </w:r>
      <w:r w:rsidRPr="00B10300">
        <w:rPr>
          <w:rFonts w:ascii="Verdana" w:hAnsi="Verdana" w:cs="Arial"/>
          <w:sz w:val="14"/>
          <w:szCs w:val="14"/>
          <w:lang w:val="es-ES"/>
        </w:rPr>
        <w:t xml:space="preserve">Artículo 2. </w:t>
      </w:r>
    </w:p>
    <w:p w14:paraId="3ACB41A3" w14:textId="77777777" w:rsidR="002B64AF" w:rsidRPr="00B10300" w:rsidRDefault="002B64AF" w:rsidP="002B64AF">
      <w:pPr>
        <w:pStyle w:val="Textonotapie"/>
        <w:ind w:firstLine="709"/>
        <w:contextualSpacing/>
        <w:jc w:val="both"/>
        <w:rPr>
          <w:rFonts w:ascii="Verdana" w:hAnsi="Verdana" w:cs="Arial"/>
          <w:sz w:val="14"/>
          <w:szCs w:val="14"/>
          <w:lang w:val="es-ES"/>
        </w:rPr>
      </w:pPr>
    </w:p>
  </w:footnote>
  <w:footnote w:id="10">
    <w:p w14:paraId="22A1D1D9" w14:textId="77777777" w:rsidR="002B64AF" w:rsidRPr="00B10300" w:rsidRDefault="002B64AF" w:rsidP="002B64AF">
      <w:pPr>
        <w:pStyle w:val="Textonotapie"/>
        <w:ind w:firstLine="709"/>
        <w:contextualSpacing/>
        <w:jc w:val="both"/>
        <w:rPr>
          <w:rFonts w:ascii="Verdana" w:hAnsi="Verdana" w:cs="Arial"/>
          <w:sz w:val="14"/>
          <w:szCs w:val="14"/>
          <w:lang w:val="es-ES"/>
        </w:rPr>
      </w:pPr>
      <w:r w:rsidRPr="00B10300">
        <w:rPr>
          <w:rStyle w:val="Refdenotaalpie"/>
          <w:rFonts w:ascii="Verdana" w:hAnsi="Verdana" w:cs="Arial"/>
          <w:sz w:val="14"/>
          <w:szCs w:val="14"/>
        </w:rPr>
        <w:footnoteRef/>
      </w:r>
      <w:r w:rsidRPr="00B10300">
        <w:rPr>
          <w:rFonts w:ascii="Verdana" w:hAnsi="Verdana" w:cs="Arial"/>
          <w:sz w:val="14"/>
          <w:szCs w:val="14"/>
        </w:rPr>
        <w:t xml:space="preserve"> </w:t>
      </w:r>
      <w:r w:rsidRPr="00B10300">
        <w:rPr>
          <w:rFonts w:ascii="Verdana" w:hAnsi="Verdana" w:cs="Arial"/>
          <w:i/>
          <w:sz w:val="14"/>
          <w:szCs w:val="14"/>
          <w:lang w:val="es-ES"/>
        </w:rPr>
        <w:t>Ídem</w:t>
      </w:r>
      <w:r w:rsidRPr="00B10300">
        <w:rPr>
          <w:rFonts w:ascii="Verdana" w:hAnsi="Verdana" w:cs="Arial"/>
          <w:sz w:val="14"/>
          <w:szCs w:val="14"/>
          <w:lang w:val="es-ES"/>
        </w:rPr>
        <w:t>.</w:t>
      </w:r>
    </w:p>
    <w:p w14:paraId="34FC3E2F" w14:textId="77777777" w:rsidR="002B64AF" w:rsidRPr="00B10300" w:rsidRDefault="002B64AF" w:rsidP="002B64AF">
      <w:pPr>
        <w:pStyle w:val="Textonotapie"/>
        <w:ind w:firstLine="709"/>
        <w:contextualSpacing/>
        <w:jc w:val="both"/>
        <w:rPr>
          <w:rFonts w:ascii="Verdana" w:hAnsi="Verdana" w:cs="Arial"/>
          <w:sz w:val="14"/>
          <w:szCs w:val="14"/>
          <w:lang w:val="es-ES"/>
        </w:rPr>
      </w:pPr>
    </w:p>
  </w:footnote>
  <w:footnote w:id="11">
    <w:p w14:paraId="4BEA6E6F" w14:textId="77777777" w:rsidR="002B64AF" w:rsidRPr="00B10300" w:rsidRDefault="002B64AF" w:rsidP="002B64AF">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Consejo de Estado. Sala de Consulta y Servicio Civil. Concepto del 08 de mayo de 2018. Exp. 2.382. C.P. Álvaro Namén Vargas.</w:t>
      </w:r>
    </w:p>
    <w:p w14:paraId="7B9B7E99" w14:textId="77777777" w:rsidR="002B64AF" w:rsidRPr="00B10300" w:rsidRDefault="002B64AF" w:rsidP="002B64AF">
      <w:pPr>
        <w:pStyle w:val="Textonotapie"/>
        <w:ind w:firstLine="709"/>
        <w:contextualSpacing/>
        <w:jc w:val="both"/>
        <w:rPr>
          <w:rFonts w:ascii="Verdana" w:hAnsi="Verdana" w:cs="Arial"/>
          <w:sz w:val="14"/>
          <w:szCs w:val="14"/>
        </w:rPr>
      </w:pPr>
    </w:p>
  </w:footnote>
  <w:footnote w:id="12">
    <w:p w14:paraId="1754B177" w14:textId="77777777" w:rsidR="002B64AF" w:rsidRPr="00B10300" w:rsidRDefault="002B64AF" w:rsidP="002B64AF">
      <w:pPr>
        <w:pStyle w:val="Textonotapie"/>
        <w:ind w:firstLine="709"/>
        <w:jc w:val="both"/>
        <w:rPr>
          <w:rFonts w:ascii="Verdana" w:hAnsi="Verdana" w:cs="Arial"/>
          <w:sz w:val="14"/>
          <w:szCs w:val="14"/>
          <w:lang w:val="es-CO"/>
        </w:rPr>
      </w:pPr>
      <w:r w:rsidRPr="00B10300">
        <w:rPr>
          <w:rStyle w:val="Refdenotaalpie"/>
          <w:rFonts w:ascii="Verdana" w:hAnsi="Verdana"/>
          <w:sz w:val="14"/>
          <w:szCs w:val="14"/>
        </w:rPr>
        <w:footnoteRef/>
      </w:r>
      <w:r w:rsidRPr="00B10300">
        <w:rPr>
          <w:rFonts w:ascii="Verdana" w:hAnsi="Verdana"/>
          <w:sz w:val="14"/>
          <w:szCs w:val="14"/>
          <w:lang w:val="es-CO"/>
        </w:rPr>
        <w:t xml:space="preserve"> Consejo de Estado, Sección Tercera. Auto del 4 de octubre de 2024. Exp. 70.313. C.P: Fredy Ibarra Martínez</w:t>
      </w:r>
    </w:p>
  </w:footnote>
  <w:footnote w:id="13">
    <w:p w14:paraId="2728DBB4" w14:textId="77777777" w:rsidR="002B64AF" w:rsidRPr="00B10300" w:rsidRDefault="002B64AF" w:rsidP="002B64AF">
      <w:pPr>
        <w:pStyle w:val="Textonotapie"/>
        <w:ind w:firstLine="709"/>
        <w:jc w:val="both"/>
        <w:rPr>
          <w:rFonts w:ascii="Verdana" w:hAnsi="Verdana"/>
          <w:sz w:val="14"/>
          <w:szCs w:val="14"/>
          <w:lang w:val="es-CO"/>
        </w:rPr>
      </w:pPr>
      <w:r w:rsidRPr="00064355">
        <w:rPr>
          <w:rStyle w:val="Refdenotaalpie"/>
          <w:rFonts w:ascii="Verdana" w:hAnsi="Verdana"/>
          <w:sz w:val="14"/>
          <w:szCs w:val="14"/>
        </w:rPr>
        <w:footnoteRef/>
      </w:r>
      <w:r w:rsidRPr="00064355">
        <w:rPr>
          <w:rFonts w:ascii="Verdana" w:hAnsi="Verdana"/>
          <w:sz w:val="14"/>
          <w:szCs w:val="14"/>
        </w:rPr>
        <w:t xml:space="preserve"> L</w:t>
      </w:r>
      <w:r w:rsidRPr="00B10300">
        <w:rPr>
          <w:rFonts w:ascii="Verdana" w:hAnsi="Verdana"/>
          <w:sz w:val="14"/>
          <w:szCs w:val="14"/>
        </w:rPr>
        <w:t>a parte resolutiva del auto dispone lo siguiente; “</w:t>
      </w:r>
      <w:r w:rsidRPr="00B10300">
        <w:rPr>
          <w:rFonts w:ascii="Verdana" w:hAnsi="Verdana"/>
          <w:sz w:val="14"/>
          <w:szCs w:val="14"/>
          <w:lang w:val="es-CO"/>
        </w:rPr>
        <w:t>PRIMERO: DECRETAR</w:t>
      </w:r>
      <w:r w:rsidRPr="00B10300">
        <w:rPr>
          <w:rFonts w:ascii="Verdana" w:hAnsi="Verdana"/>
          <w:b/>
          <w:bCs/>
          <w:sz w:val="14"/>
          <w:szCs w:val="14"/>
          <w:lang w:val="es-CO"/>
        </w:rPr>
        <w:t xml:space="preserve"> </w:t>
      </w:r>
      <w:r w:rsidRPr="00B10300">
        <w:rPr>
          <w:rFonts w:ascii="Verdana" w:hAnsi="Verdana"/>
          <w:sz w:val="14"/>
          <w:szCs w:val="14"/>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B10300">
        <w:rPr>
          <w:rFonts w:ascii="Verdana" w:hAnsi="Verdana"/>
          <w:i/>
          <w:iCs/>
          <w:sz w:val="14"/>
          <w:szCs w:val="14"/>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B10300">
        <w:rPr>
          <w:rFonts w:ascii="Verdana" w:hAnsi="Verdana"/>
          <w:sz w:val="14"/>
          <w:szCs w:val="14"/>
          <w:lang w:val="es-CO"/>
        </w:rPr>
        <w:t xml:space="preserve">, por las razones expuestas en precedencia. </w:t>
      </w:r>
    </w:p>
    <w:p w14:paraId="65814814" w14:textId="77777777" w:rsidR="002B64AF" w:rsidRPr="00B10300" w:rsidRDefault="002B64AF" w:rsidP="002B64AF">
      <w:pPr>
        <w:pStyle w:val="Textonotapie"/>
        <w:ind w:firstLine="709"/>
        <w:jc w:val="both"/>
        <w:rPr>
          <w:rFonts w:ascii="Verdana" w:hAnsi="Verdana"/>
          <w:sz w:val="14"/>
          <w:szCs w:val="14"/>
          <w:lang w:val="es-CO"/>
        </w:rPr>
      </w:pPr>
      <w:r w:rsidRPr="00B10300">
        <w:rPr>
          <w:rFonts w:ascii="Verdana" w:hAnsi="Verdana"/>
          <w:sz w:val="14"/>
          <w:szCs w:val="14"/>
          <w:lang w:val="es-CO"/>
        </w:rPr>
        <w:t>SEGUNDO: DECRETAR</w:t>
      </w:r>
      <w:r w:rsidRPr="00B10300">
        <w:rPr>
          <w:rFonts w:ascii="Verdana" w:hAnsi="Verdana"/>
          <w:b/>
          <w:bCs/>
          <w:sz w:val="14"/>
          <w:szCs w:val="14"/>
          <w:lang w:val="es-CO"/>
        </w:rPr>
        <w:t xml:space="preserve"> </w:t>
      </w:r>
      <w:r w:rsidRPr="00B10300">
        <w:rPr>
          <w:rFonts w:ascii="Verdana" w:hAnsi="Verdana"/>
          <w:sz w:val="14"/>
          <w:szCs w:val="14"/>
          <w:lang w:val="es-CO"/>
        </w:rPr>
        <w:t>la suspensión provisional de la expresión “</w:t>
      </w:r>
      <w:r w:rsidRPr="00B10300">
        <w:rPr>
          <w:rFonts w:ascii="Verdana" w:hAnsi="Verdana"/>
          <w:i/>
          <w:iCs/>
          <w:sz w:val="14"/>
          <w:szCs w:val="14"/>
          <w:lang w:val="es-CO"/>
        </w:rPr>
        <w:t>contratos</w:t>
      </w:r>
      <w:r w:rsidRPr="00B10300">
        <w:rPr>
          <w:rFonts w:ascii="Verdana" w:hAnsi="Verdana"/>
          <w:sz w:val="14"/>
          <w:szCs w:val="14"/>
          <w:lang w:val="es-CO"/>
        </w:rPr>
        <w:t xml:space="preserve">” y del párrafo </w:t>
      </w:r>
      <w:r w:rsidRPr="00B10300">
        <w:rPr>
          <w:rFonts w:ascii="Verdana" w:hAnsi="Verdana"/>
          <w:i/>
          <w:iCs/>
          <w:sz w:val="14"/>
          <w:szCs w:val="14"/>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B10300">
        <w:rPr>
          <w:rFonts w:ascii="Verdana" w:hAnsi="Verdana"/>
          <w:sz w:val="14"/>
          <w:szCs w:val="14"/>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p w14:paraId="2BB7103E" w14:textId="77777777" w:rsidR="002B64AF" w:rsidRPr="00B10300" w:rsidRDefault="002B64AF" w:rsidP="002B64AF">
      <w:pPr>
        <w:pStyle w:val="Textonotapie"/>
        <w:ind w:firstLine="709"/>
        <w:jc w:val="both"/>
        <w:rPr>
          <w:rFonts w:ascii="Verdana" w:hAnsi="Verdana" w:cs="Arial"/>
          <w:sz w:val="14"/>
          <w:szCs w:val="14"/>
          <w:lang w:val="es-CO"/>
        </w:rPr>
      </w:pPr>
    </w:p>
  </w:footnote>
  <w:footnote w:id="14">
    <w:p w14:paraId="28F6E05C" w14:textId="77777777" w:rsidR="002B64AF" w:rsidRPr="00064355" w:rsidRDefault="002B64AF" w:rsidP="002B64AF">
      <w:pPr>
        <w:spacing w:after="0" w:line="240" w:lineRule="auto"/>
        <w:ind w:firstLine="709"/>
        <w:contextualSpacing/>
        <w:jc w:val="both"/>
        <w:rPr>
          <w:rFonts w:ascii="Verdana" w:eastAsia="Times New Roman" w:hAnsi="Verdana" w:cs="Times New Roman"/>
          <w:sz w:val="14"/>
          <w:szCs w:val="14"/>
          <w:lang w:eastAsia="es-ES"/>
        </w:rPr>
      </w:pPr>
      <w:r w:rsidRPr="00064355">
        <w:rPr>
          <w:rStyle w:val="Refdenotaalpie"/>
          <w:rFonts w:ascii="Verdana" w:hAnsi="Verdana"/>
          <w:sz w:val="14"/>
          <w:szCs w:val="14"/>
        </w:rPr>
        <w:footnoteRef/>
      </w:r>
      <w:r w:rsidRPr="00064355">
        <w:rPr>
          <w:rFonts w:ascii="Verdana" w:hAnsi="Verdana"/>
          <w:sz w:val="14"/>
          <w:szCs w:val="14"/>
        </w:rPr>
        <w:t xml:space="preserve"> </w:t>
      </w:r>
      <w:r w:rsidRPr="00064355">
        <w:rPr>
          <w:rFonts w:ascii="Verdana" w:eastAsia="Times New Roman" w:hAnsi="Verdana" w:cs="Times New Roman"/>
          <w:sz w:val="14"/>
          <w:szCs w:val="14"/>
          <w:lang w:eastAsia="es-ES"/>
        </w:rPr>
        <w:t xml:space="preserve">Consejo de Estado. Sala de lo Contencioso Administrativo. Sección Tercera. Subsección B. 17 de octubre de 2025. Magistrado Ponente: Fredy Ibarra Martínez.  </w:t>
      </w:r>
      <w:r w:rsidRPr="00064355">
        <w:rPr>
          <w:rFonts w:ascii="Verdana" w:hAnsi="Verdana"/>
          <w:sz w:val="14"/>
          <w:szCs w:val="14"/>
        </w:rPr>
        <w:t xml:space="preserve">La parte de la providencia señala: </w:t>
      </w:r>
      <w:r w:rsidRPr="00064355">
        <w:rPr>
          <w:rFonts w:ascii="Verdana" w:eastAsia="Times New Roman" w:hAnsi="Verdana" w:cs="Times New Roman"/>
          <w:sz w:val="14"/>
          <w:szCs w:val="14"/>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15">
    <w:p w14:paraId="2209E7FD" w14:textId="77777777" w:rsidR="002B64AF" w:rsidRDefault="002B64AF" w:rsidP="002B64AF">
      <w:pPr>
        <w:pStyle w:val="Textonotapie"/>
        <w:ind w:firstLine="709"/>
        <w:jc w:val="both"/>
        <w:rPr>
          <w:rFonts w:ascii="Verdana" w:hAnsi="Verdana"/>
          <w:sz w:val="14"/>
          <w:szCs w:val="14"/>
        </w:rPr>
      </w:pPr>
      <w:r w:rsidRPr="00064355">
        <w:rPr>
          <w:rStyle w:val="Refdenotaalpie"/>
          <w:rFonts w:ascii="Verdana" w:hAnsi="Verdana"/>
          <w:sz w:val="14"/>
          <w:szCs w:val="14"/>
        </w:rPr>
        <w:footnoteRef/>
      </w:r>
      <w:r w:rsidRPr="00064355">
        <w:rPr>
          <w:rFonts w:ascii="Verdana" w:hAnsi="Verdana"/>
          <w:sz w:val="14"/>
          <w:szCs w:val="14"/>
        </w:rPr>
        <w:t xml:space="preserve"> No </w:t>
      </w:r>
      <w:r w:rsidRPr="00B10300">
        <w:rPr>
          <w:rFonts w:ascii="Verdana" w:hAnsi="Verdana"/>
          <w:sz w:val="14"/>
          <w:szCs w:val="14"/>
        </w:rPr>
        <w:t>obstante,</w:t>
      </w:r>
      <w:r w:rsidRPr="00064355">
        <w:rPr>
          <w:rFonts w:ascii="Verdana" w:hAnsi="Verdana"/>
          <w:sz w:val="14"/>
          <w:szCs w:val="14"/>
        </w:rPr>
        <w:t xml:space="preserv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p w14:paraId="7115A215" w14:textId="77777777" w:rsidR="002B64AF" w:rsidRPr="00064355" w:rsidRDefault="002B64AF" w:rsidP="002B64AF">
      <w:pPr>
        <w:pStyle w:val="Textonotapie"/>
        <w:ind w:firstLine="709"/>
        <w:jc w:val="both"/>
        <w:rPr>
          <w:rFonts w:ascii="Verdana" w:hAnsi="Verdana"/>
          <w:sz w:val="14"/>
          <w:szCs w:val="14"/>
          <w:lang w:val="es-CO"/>
        </w:rPr>
      </w:pPr>
    </w:p>
  </w:footnote>
  <w:footnote w:id="16">
    <w:p w14:paraId="65F80347" w14:textId="77777777" w:rsidR="002B64AF" w:rsidRPr="00B10300" w:rsidRDefault="002B64AF" w:rsidP="002B64AF">
      <w:pPr>
        <w:pStyle w:val="Textonotapie"/>
        <w:ind w:firstLine="709"/>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8774F"/>
    <w:rsid w:val="002951A0"/>
    <w:rsid w:val="002962BC"/>
    <w:rsid w:val="002A093D"/>
    <w:rsid w:val="002A0DD0"/>
    <w:rsid w:val="002A49AC"/>
    <w:rsid w:val="002A64FD"/>
    <w:rsid w:val="002B64AF"/>
    <w:rsid w:val="002C7A84"/>
    <w:rsid w:val="002D5BEA"/>
    <w:rsid w:val="002E2BF8"/>
    <w:rsid w:val="002E4FD9"/>
    <w:rsid w:val="0030657A"/>
    <w:rsid w:val="00322A85"/>
    <w:rsid w:val="00324168"/>
    <w:rsid w:val="00330834"/>
    <w:rsid w:val="003448F4"/>
    <w:rsid w:val="00374F5E"/>
    <w:rsid w:val="00377E3E"/>
    <w:rsid w:val="003A779E"/>
    <w:rsid w:val="003C6608"/>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C28BD"/>
    <w:rsid w:val="00706C16"/>
    <w:rsid w:val="007340C3"/>
    <w:rsid w:val="0075235A"/>
    <w:rsid w:val="00756841"/>
    <w:rsid w:val="007649AB"/>
    <w:rsid w:val="00771D0C"/>
    <w:rsid w:val="007833AC"/>
    <w:rsid w:val="00783A4E"/>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16E"/>
    <w:rsid w:val="00A20739"/>
    <w:rsid w:val="00A23AF9"/>
    <w:rsid w:val="00A33C78"/>
    <w:rsid w:val="00A72F8A"/>
    <w:rsid w:val="00A960C0"/>
    <w:rsid w:val="00AB0ADB"/>
    <w:rsid w:val="00B00C0E"/>
    <w:rsid w:val="00B01B1A"/>
    <w:rsid w:val="00B0381D"/>
    <w:rsid w:val="00B44A47"/>
    <w:rsid w:val="00B5359A"/>
    <w:rsid w:val="00B72CD3"/>
    <w:rsid w:val="00B72FFF"/>
    <w:rsid w:val="00BC3D36"/>
    <w:rsid w:val="00BD54A6"/>
    <w:rsid w:val="00BD7F72"/>
    <w:rsid w:val="00BF5D70"/>
    <w:rsid w:val="00BF7425"/>
    <w:rsid w:val="00C04FB3"/>
    <w:rsid w:val="00C11D8B"/>
    <w:rsid w:val="00C15139"/>
    <w:rsid w:val="00C330EB"/>
    <w:rsid w:val="00C50D69"/>
    <w:rsid w:val="00C5365C"/>
    <w:rsid w:val="00C754BE"/>
    <w:rsid w:val="00C76B1C"/>
    <w:rsid w:val="00C9249B"/>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7E7"/>
    <w:rsid w:val="00E20894"/>
    <w:rsid w:val="00E245AB"/>
    <w:rsid w:val="00E2764C"/>
    <w:rsid w:val="00E27F2E"/>
    <w:rsid w:val="00E50AFE"/>
    <w:rsid w:val="00E51D51"/>
    <w:rsid w:val="00E75C92"/>
    <w:rsid w:val="00E771DC"/>
    <w:rsid w:val="00E8772A"/>
    <w:rsid w:val="00E90F6B"/>
    <w:rsid w:val="00E92C27"/>
    <w:rsid w:val="00EA0E3D"/>
    <w:rsid w:val="00EA7D27"/>
    <w:rsid w:val="00EC38A7"/>
    <w:rsid w:val="00ED632F"/>
    <w:rsid w:val="00EE1AA8"/>
    <w:rsid w:val="00F23FEA"/>
    <w:rsid w:val="00F31EDC"/>
    <w:rsid w:val="00F462B3"/>
    <w:rsid w:val="00F5664F"/>
    <w:rsid w:val="00F666C4"/>
    <w:rsid w:val="00F76AFC"/>
    <w:rsid w:val="00F85654"/>
    <w:rsid w:val="00FA47C0"/>
    <w:rsid w:val="00FB5DD1"/>
    <w:rsid w:val="00FC2B5D"/>
    <w:rsid w:val="00FF1449"/>
    <w:rsid w:val="00FF7963"/>
    <w:rsid w:val="055AFC98"/>
    <w:rsid w:val="071B8F93"/>
    <w:rsid w:val="09908A09"/>
    <w:rsid w:val="0FF4CCA8"/>
    <w:rsid w:val="11C77E75"/>
    <w:rsid w:val="13CFC91B"/>
    <w:rsid w:val="19A2EC2C"/>
    <w:rsid w:val="2859CA1B"/>
    <w:rsid w:val="32A4F9CF"/>
    <w:rsid w:val="356CEDFD"/>
    <w:rsid w:val="69614A15"/>
    <w:rsid w:val="732396C5"/>
    <w:rsid w:val="75F3E463"/>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B64AF"/>
    <w:pPr>
      <w:spacing w:line="240" w:lineRule="exact"/>
    </w:pPr>
    <w:rPr>
      <w:vertAlign w:val="superscript"/>
    </w:rPr>
  </w:style>
  <w:style w:type="table" w:customStyle="1" w:styleId="Tablaconcuadrcula1">
    <w:name w:val="Tabla con cuadrícula1"/>
    <w:basedOn w:val="Tablanormal"/>
    <w:next w:val="Tablaconcuadrcula"/>
    <w:uiPriority w:val="39"/>
    <w:qFormat/>
    <w:rsid w:val="002B64AF"/>
    <w:pPr>
      <w:spacing w:after="0" w:line="240" w:lineRule="auto"/>
    </w:pPr>
    <w:tblPr/>
  </w:style>
  <w:style w:type="paragraph" w:styleId="Textocomentario">
    <w:name w:val="annotation text"/>
    <w:basedOn w:val="Normal"/>
    <w:link w:val="TextocomentarioCar"/>
    <w:uiPriority w:val="99"/>
    <w:semiHidden/>
    <w:unhideWhenUsed/>
    <w:rsid w:val="00E51D5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51D51"/>
    <w:rPr>
      <w:sz w:val="20"/>
      <w:szCs w:val="20"/>
    </w:rPr>
  </w:style>
  <w:style w:type="character" w:styleId="Refdecomentario">
    <w:name w:val="annotation reference"/>
    <w:basedOn w:val="Fuentedeprrafopredeter"/>
    <w:uiPriority w:val="99"/>
    <w:semiHidden/>
    <w:unhideWhenUsed/>
    <w:rsid w:val="00E51D5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archivos/circular/circular-externa-006-de-2025"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uricio.garcia@culturantioquia.gov.co"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AE02C3-C416-4115-9C0D-472CF2FF6C44}"/>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18</Pages>
  <Words>5484</Words>
  <Characters>30218</Characters>
  <Application>Microsoft Office Word</Application>
  <DocSecurity>0</DocSecurity>
  <Lines>604</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4</cp:revision>
  <cp:lastPrinted>2023-01-10T21:18:00Z</cp:lastPrinted>
  <dcterms:created xsi:type="dcterms:W3CDTF">2025-12-21T23:25:00Z</dcterms:created>
  <dcterms:modified xsi:type="dcterms:W3CDTF">2025-12-23T16:08:00Z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