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F384C" w14:textId="77777777" w:rsidR="007641FC" w:rsidRPr="00572E66" w:rsidRDefault="007641FC" w:rsidP="007641FC">
      <w:pPr>
        <w:spacing w:line="276" w:lineRule="auto"/>
        <w:jc w:val="both"/>
        <w:rPr>
          <w:rFonts w:ascii="Verdana" w:hAnsi="Verdana" w:cs="Arial"/>
          <w:b/>
          <w:bCs/>
          <w:color w:val="000000" w:themeColor="text1"/>
          <w:lang w:val="es-ES"/>
        </w:rPr>
      </w:pPr>
      <w:bookmarkStart w:id="0" w:name="_Hlk213674657"/>
      <w:bookmarkEnd w:id="0"/>
      <w:r w:rsidRPr="00572E66">
        <w:rPr>
          <w:rFonts w:ascii="Verdana" w:hAnsi="Verdana" w:cs="Arial"/>
          <w:b/>
          <w:bCs/>
          <w:color w:val="000000" w:themeColor="text1"/>
          <w:lang w:val="es-ES"/>
        </w:rPr>
        <w:t xml:space="preserve">SUBSANABILIDAD – Aplicación – Regla general – Excepciones </w:t>
      </w:r>
    </w:p>
    <w:p w14:paraId="41FFA14A" w14:textId="77777777" w:rsidR="007641FC" w:rsidRDefault="007641FC" w:rsidP="007641FC">
      <w:pPr>
        <w:spacing w:after="0" w:line="240" w:lineRule="auto"/>
        <w:jc w:val="both"/>
        <w:rPr>
          <w:rFonts w:ascii="Verdana" w:eastAsia="Times New Roman" w:hAnsi="Verdana" w:cs="Arial"/>
          <w:sz w:val="20"/>
          <w:szCs w:val="20"/>
          <w:lang w:val="es-ES" w:eastAsia="es-ES"/>
        </w:rPr>
      </w:pPr>
      <w:r w:rsidRPr="00EC0EEB">
        <w:rPr>
          <w:rFonts w:ascii="Verdana" w:hAnsi="Verdana" w:cs="Arial"/>
          <w:noProof/>
          <w:sz w:val="20"/>
          <w:szCs w:val="20"/>
          <w:lang w:val="es-ES"/>
        </w:rPr>
        <w:t>L</w:t>
      </w:r>
      <w:r w:rsidRPr="00EC0EEB">
        <w:rPr>
          <w:rFonts w:ascii="Verdana" w:eastAsia="Times New Roman" w:hAnsi="Verdana" w:cs="Arial"/>
          <w:sz w:val="20"/>
          <w:szCs w:val="20"/>
        </w:rPr>
        <w:t xml:space="preserve">a regla de la </w:t>
      </w:r>
      <w:proofErr w:type="spellStart"/>
      <w:r w:rsidRPr="00EC0EEB">
        <w:rPr>
          <w:rFonts w:ascii="Verdana" w:eastAsia="Times New Roman" w:hAnsi="Verdana" w:cs="Arial"/>
          <w:sz w:val="20"/>
          <w:szCs w:val="20"/>
        </w:rPr>
        <w:t>subsanabilidad</w:t>
      </w:r>
      <w:proofErr w:type="spellEnd"/>
      <w:r w:rsidRPr="00EC0EEB">
        <w:rPr>
          <w:rFonts w:ascii="Verdana" w:eastAsia="Times New Roman" w:hAnsi="Verdana" w:cs="Arial"/>
          <w:sz w:val="20"/>
          <w:szCs w:val="20"/>
        </w:rPr>
        <w:t xml:space="preserve"> de las ofertas en los procedimientos de selección</w:t>
      </w:r>
      <w:r w:rsidRPr="00EC0EEB">
        <w:rPr>
          <w:rFonts w:ascii="Verdana" w:eastAsia="Times New Roman" w:hAnsi="Verdana" w:cs="Arial"/>
          <w:b/>
          <w:bCs/>
          <w:sz w:val="20"/>
          <w:szCs w:val="20"/>
        </w:rPr>
        <w:t xml:space="preserve"> </w:t>
      </w:r>
      <w:r w:rsidRPr="00EC0EEB">
        <w:rPr>
          <w:rFonts w:ascii="Verdana" w:eastAsia="Times New Roman" w:hAnsi="Verdana" w:cs="Arial"/>
          <w:sz w:val="20"/>
          <w:szCs w:val="20"/>
          <w:lang w:val="es-ES" w:eastAsia="es-ES"/>
        </w:rPr>
        <w:t>indica que, por regla general, la falta de entrega y los defectos en la acreditación de los requisitos habilitantes son aspectos subsanables. La excepción corresponde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06DB5A05" w14:textId="77777777" w:rsidR="007641FC" w:rsidRDefault="007641FC" w:rsidP="007641FC">
      <w:pPr>
        <w:spacing w:after="0" w:line="240" w:lineRule="auto"/>
        <w:jc w:val="both"/>
        <w:rPr>
          <w:rFonts w:ascii="Verdana" w:eastAsia="Times New Roman" w:hAnsi="Verdana" w:cs="Arial"/>
          <w:sz w:val="20"/>
          <w:szCs w:val="20"/>
          <w:lang w:val="es-ES" w:eastAsia="es-ES"/>
        </w:rPr>
      </w:pPr>
    </w:p>
    <w:p w14:paraId="281925E5" w14:textId="77777777" w:rsidR="007641FC" w:rsidRDefault="007641FC" w:rsidP="007641FC">
      <w:pPr>
        <w:spacing w:after="0" w:line="240" w:lineRule="auto"/>
        <w:jc w:val="both"/>
        <w:rPr>
          <w:rFonts w:ascii="Verdana" w:hAnsi="Verdana" w:cs="Arial"/>
          <w:b/>
          <w:bCs/>
          <w:color w:val="000000" w:themeColor="text1"/>
          <w:lang w:val="es-ES"/>
        </w:rPr>
      </w:pPr>
      <w:r w:rsidRPr="00572E66">
        <w:rPr>
          <w:rFonts w:ascii="Verdana" w:hAnsi="Verdana" w:cs="Arial"/>
          <w:b/>
          <w:bCs/>
          <w:color w:val="000000" w:themeColor="text1"/>
          <w:lang w:val="es-ES"/>
        </w:rPr>
        <w:t>SUBSANABILIDAD – Ley 1882 de 2018</w:t>
      </w:r>
    </w:p>
    <w:p w14:paraId="67CF7EE2" w14:textId="77777777" w:rsidR="007641FC" w:rsidRDefault="007641FC" w:rsidP="007641FC">
      <w:pPr>
        <w:spacing w:after="0" w:line="240" w:lineRule="auto"/>
        <w:jc w:val="both"/>
        <w:rPr>
          <w:rFonts w:ascii="Verdana" w:hAnsi="Verdana" w:cs="Arial"/>
          <w:b/>
          <w:bCs/>
          <w:color w:val="000000" w:themeColor="text1"/>
          <w:lang w:val="es-ES"/>
        </w:rPr>
      </w:pPr>
    </w:p>
    <w:p w14:paraId="1E4382E3" w14:textId="77777777" w:rsidR="007641FC" w:rsidRPr="00EC0EEB" w:rsidRDefault="007641FC" w:rsidP="007641FC">
      <w:pPr>
        <w:spacing w:after="0" w:line="240" w:lineRule="auto"/>
        <w:jc w:val="both"/>
        <w:rPr>
          <w:rFonts w:ascii="Verdana" w:eastAsia="Times New Roman" w:hAnsi="Verdana" w:cs="Arial"/>
          <w:sz w:val="20"/>
          <w:szCs w:val="20"/>
          <w:lang w:val="es-ES" w:eastAsia="es-ES"/>
        </w:rPr>
      </w:pPr>
      <w:r w:rsidRPr="00EC0EEB">
        <w:rPr>
          <w:rFonts w:ascii="Verdana" w:eastAsia="Arial" w:hAnsi="Verdana" w:cs="Arial"/>
          <w:color w:val="000000"/>
          <w:sz w:val="20"/>
          <w:szCs w:val="20"/>
        </w:rPr>
        <w:t xml:space="preserve">[…] el legislador expidió la Ley 1882 de 2018, con la finalidad de introducir cambios y ajustes para fortalecer la contratación pública. […] esta norma: i) mantiene el criterio de la Ley 80 de 1993, relativo a que todo lo que no sea necesario para la comparación de propuestas no es título suficiente para su rechazo; </w:t>
      </w:r>
      <w:proofErr w:type="spellStart"/>
      <w:r w:rsidRPr="00EC0EEB">
        <w:rPr>
          <w:rFonts w:ascii="Verdana" w:eastAsia="Arial" w:hAnsi="Verdana" w:cs="Arial"/>
          <w:color w:val="000000"/>
          <w:sz w:val="20"/>
          <w:szCs w:val="20"/>
        </w:rPr>
        <w:t>ii</w:t>
      </w:r>
      <w:proofErr w:type="spellEnd"/>
      <w:r w:rsidRPr="00EC0EEB">
        <w:rPr>
          <w:rFonts w:ascii="Verdana" w:eastAsia="Arial" w:hAnsi="Verdana" w:cs="Arial"/>
          <w:color w:val="000000"/>
          <w:sz w:val="20"/>
          <w:szCs w:val="20"/>
        </w:rPr>
        <w:t xml:space="preserve">) mantiene el criterio aclaratorio de la Ley 1150 de 2007, según el cual todo lo que no afecte la asignación de puntaje puede subsanarse e </w:t>
      </w:r>
      <w:proofErr w:type="spellStart"/>
      <w:r w:rsidRPr="00EC0EEB">
        <w:rPr>
          <w:rFonts w:ascii="Verdana" w:eastAsia="Arial" w:hAnsi="Verdana" w:cs="Arial"/>
          <w:color w:val="000000"/>
          <w:sz w:val="20"/>
          <w:szCs w:val="20"/>
        </w:rPr>
        <w:t>iii</w:t>
      </w:r>
      <w:proofErr w:type="spellEnd"/>
      <w:r w:rsidRPr="00EC0EEB">
        <w:rPr>
          <w:rFonts w:ascii="Verdana" w:eastAsia="Arial" w:hAnsi="Verdana" w:cs="Arial"/>
          <w:color w:val="000000"/>
          <w:sz w:val="20"/>
          <w:szCs w:val="20"/>
        </w:rPr>
        <w:t xml:space="preserve">) introduce modificaciones en relación con algunos aspectos que se analizarán a continuación. </w:t>
      </w:r>
    </w:p>
    <w:p w14:paraId="1F010FB0"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p>
    <w:p w14:paraId="06C3A8E2"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r w:rsidRPr="00EC0EEB">
        <w:rPr>
          <w:rFonts w:ascii="Verdana" w:eastAsia="Arial" w:hAnsi="Verdana" w:cs="Arial"/>
          <w:color w:val="000000"/>
          <w:sz w:val="20"/>
          <w:szCs w:val="20"/>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el último, los documentos o requisitos subsanables pueden y deben solicitarse hasta el momento previo a su realización.</w:t>
      </w:r>
    </w:p>
    <w:p w14:paraId="1B32A6B1"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p>
    <w:p w14:paraId="01319DCF"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r w:rsidRPr="00EC0EEB">
        <w:rPr>
          <w:rFonts w:ascii="Verdana" w:eastAsia="Arial" w:hAnsi="Verdana" w:cs="Arial"/>
          <w:color w:val="000000"/>
          <w:sz w:val="20"/>
          <w:szCs w:val="20"/>
        </w:rPr>
        <w:t xml:space="preserve">[…] </w:t>
      </w:r>
    </w:p>
    <w:p w14:paraId="677FC8F1"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p>
    <w:p w14:paraId="2C4CAEFA"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r w:rsidRPr="00EC0EEB">
        <w:rPr>
          <w:rFonts w:ascii="Verdana" w:eastAsia="Arial" w:hAnsi="Verdana" w:cs="Arial"/>
          <w:color w:val="000000"/>
          <w:sz w:val="20"/>
          <w:szCs w:val="20"/>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14E18191"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p>
    <w:p w14:paraId="2A345BDD" w14:textId="77777777" w:rsidR="007641FC" w:rsidRPr="00EC0EEB"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r w:rsidRPr="00EC0EEB">
        <w:rPr>
          <w:rFonts w:ascii="Verdana" w:eastAsia="Arial" w:hAnsi="Verdana" w:cs="Arial"/>
          <w:color w:val="000000"/>
          <w:sz w:val="20"/>
          <w:szCs w:val="20"/>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EC0EEB">
        <w:rPr>
          <w:rFonts w:ascii="Verdana" w:eastAsia="Arial" w:hAnsi="Verdana" w:cs="Arial"/>
          <w:b/>
          <w:i/>
          <w:color w:val="000000"/>
          <w:sz w:val="20"/>
          <w:szCs w:val="20"/>
        </w:rPr>
        <w:t>.</w:t>
      </w:r>
      <w:r w:rsidRPr="00EC0EEB">
        <w:rPr>
          <w:rFonts w:ascii="Verdana" w:eastAsia="Arial" w:hAnsi="Verdana" w:cs="Arial"/>
          <w:b/>
          <w:color w:val="000000"/>
          <w:sz w:val="20"/>
          <w:szCs w:val="20"/>
        </w:rPr>
        <w:t xml:space="preserve"> </w:t>
      </w:r>
    </w:p>
    <w:p w14:paraId="35B4EC00"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bCs/>
          <w:color w:val="000000"/>
          <w:sz w:val="20"/>
          <w:szCs w:val="20"/>
        </w:rPr>
      </w:pPr>
    </w:p>
    <w:p w14:paraId="78CE971C" w14:textId="77777777" w:rsidR="007641FC" w:rsidRPr="00EC0EEB"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bCs/>
          <w:color w:val="000000"/>
          <w:sz w:val="20"/>
          <w:szCs w:val="20"/>
        </w:rPr>
      </w:pPr>
      <w:r w:rsidRPr="00EC0EEB">
        <w:rPr>
          <w:rFonts w:ascii="Verdana" w:eastAsia="Arial" w:hAnsi="Verdana" w:cs="Arial"/>
          <w:bCs/>
          <w:color w:val="000000"/>
          <w:sz w:val="20"/>
          <w:szCs w:val="20"/>
        </w:rPr>
        <w:lastRenderedPageBreak/>
        <w:t xml:space="preserve">[…] </w:t>
      </w:r>
    </w:p>
    <w:p w14:paraId="28880895"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p>
    <w:p w14:paraId="05BDF5E7" w14:textId="77777777" w:rsidR="007641FC" w:rsidRPr="00EC0EEB"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r w:rsidRPr="00EC0EEB">
        <w:rPr>
          <w:rFonts w:ascii="Verdana" w:eastAsia="Arial" w:hAnsi="Verdana" w:cs="Arial"/>
          <w:color w:val="000000"/>
          <w:sz w:val="20"/>
          <w:szCs w:val="20"/>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EC0EEB">
        <w:rPr>
          <w:rFonts w:ascii="Verdana" w:eastAsia="Arial" w:hAnsi="Verdana" w:cs="Arial"/>
          <w:color w:val="000000"/>
          <w:sz w:val="20"/>
          <w:szCs w:val="20"/>
        </w:rPr>
        <w:t>subsanabilidad</w:t>
      </w:r>
      <w:proofErr w:type="spellEnd"/>
      <w:r w:rsidRPr="00EC0EEB">
        <w:rPr>
          <w:rFonts w:ascii="Verdana" w:eastAsia="Arial" w:hAnsi="Verdana" w:cs="Arial"/>
          <w:color w:val="000000"/>
          <w:sz w:val="20"/>
          <w:szCs w:val="20"/>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w:t>
      </w:r>
    </w:p>
    <w:p w14:paraId="638F541D"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p>
    <w:p w14:paraId="0C9ADB64"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r w:rsidRPr="00EC0EEB">
        <w:rPr>
          <w:rFonts w:ascii="Verdana" w:eastAsia="Arial" w:hAnsi="Verdana" w:cs="Arial"/>
          <w:color w:val="000000"/>
          <w:sz w:val="20"/>
          <w:szCs w:val="20"/>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EC0EEB">
        <w:rPr>
          <w:rFonts w:ascii="Verdana" w:eastAsia="Arial" w:hAnsi="Verdana" w:cs="Arial"/>
          <w:color w:val="000000"/>
          <w:sz w:val="20"/>
          <w:szCs w:val="20"/>
        </w:rPr>
        <w:t>que</w:t>
      </w:r>
      <w:proofErr w:type="gramEnd"/>
      <w:r w:rsidRPr="00EC0EEB">
        <w:rPr>
          <w:rFonts w:ascii="Verdana" w:eastAsia="Arial" w:hAnsi="Verdana" w:cs="Arial"/>
          <w:color w:val="000000"/>
          <w:sz w:val="20"/>
          <w:szCs w:val="20"/>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14:paraId="2BDF52A9" w14:textId="77777777" w:rsidR="007641FC"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p>
    <w:p w14:paraId="3172F43D" w14:textId="77777777" w:rsidR="007641FC" w:rsidRDefault="007641FC" w:rsidP="007641FC">
      <w:pPr>
        <w:pBdr>
          <w:top w:val="nil"/>
          <w:left w:val="nil"/>
          <w:bottom w:val="nil"/>
          <w:right w:val="nil"/>
          <w:between w:val="nil"/>
        </w:pBdr>
        <w:tabs>
          <w:tab w:val="left" w:pos="284"/>
        </w:tabs>
        <w:spacing w:after="0" w:line="240" w:lineRule="auto"/>
        <w:jc w:val="both"/>
        <w:rPr>
          <w:rFonts w:ascii="Verdana" w:hAnsi="Verdana" w:cs="Arial"/>
          <w:b/>
          <w:bCs/>
          <w:color w:val="000000" w:themeColor="text1"/>
        </w:rPr>
      </w:pPr>
      <w:r w:rsidRPr="00EC0EEB">
        <w:rPr>
          <w:rFonts w:ascii="Verdana" w:hAnsi="Verdana" w:cs="Arial"/>
          <w:b/>
          <w:bCs/>
          <w:color w:val="000000" w:themeColor="text1"/>
        </w:rPr>
        <w:t xml:space="preserve">CAUSALES DE RECHAZO DE LAS OFERTAS – Origen – Límites en su configuración </w:t>
      </w:r>
    </w:p>
    <w:p w14:paraId="22108FA5" w14:textId="77777777" w:rsidR="007641FC" w:rsidRDefault="007641FC" w:rsidP="007641FC">
      <w:pPr>
        <w:pBdr>
          <w:top w:val="nil"/>
          <w:left w:val="nil"/>
          <w:bottom w:val="nil"/>
          <w:right w:val="nil"/>
          <w:between w:val="nil"/>
        </w:pBdr>
        <w:tabs>
          <w:tab w:val="left" w:pos="284"/>
        </w:tabs>
        <w:spacing w:after="0" w:line="240" w:lineRule="auto"/>
        <w:jc w:val="both"/>
        <w:rPr>
          <w:rFonts w:ascii="Verdana" w:hAnsi="Verdana" w:cs="Arial"/>
          <w:b/>
          <w:bCs/>
          <w:color w:val="000000" w:themeColor="text1"/>
        </w:rPr>
      </w:pPr>
    </w:p>
    <w:p w14:paraId="70636B5B" w14:textId="77777777" w:rsidR="007641FC" w:rsidRPr="00EC0EEB" w:rsidRDefault="007641FC" w:rsidP="007641FC">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r w:rsidRPr="00EC0EEB">
        <w:rPr>
          <w:rFonts w:ascii="Verdana" w:eastAsia="Arial" w:hAnsi="Verdana" w:cs="Arial"/>
          <w:sz w:val="20"/>
          <w:szCs w:val="20"/>
        </w:rPr>
        <w:t xml:space="preserve">El rechazo de las ofertas y los eventos en los que proceden han sido asuntos de los que se ha ocupado la legislación nacional en materia de contratación pública, por lo que “la competencia de las entidades estales para establecer eventos de exclusión de propuestas es de carácter residual y restringido”. En ese sentido, si bien las entidades estatales, en ejercicio de la discrecionalidad que les corresponde en la configuración de los pliegos de condiciones, tienen competencia para determinar los requisitos que deben cumplir los proponentes para la presentación de ofertas y regular los eventos en los que procede su rechazo, el ejercicio de tales facultades encuentra ciertos límites en la ley y el reglamento, así como en los principios de razonabilidad y proporcionalidad.  </w:t>
      </w:r>
    </w:p>
    <w:p w14:paraId="311A67AA" w14:textId="77777777" w:rsidR="007641FC" w:rsidRDefault="007641FC" w:rsidP="007641FC">
      <w:pPr>
        <w:spacing w:after="0" w:line="240" w:lineRule="auto"/>
        <w:jc w:val="both"/>
        <w:rPr>
          <w:rFonts w:ascii="Verdana" w:eastAsia="Arial" w:hAnsi="Verdana" w:cs="Arial"/>
          <w:sz w:val="20"/>
          <w:szCs w:val="20"/>
        </w:rPr>
      </w:pPr>
    </w:p>
    <w:p w14:paraId="5D07A3EC" w14:textId="77777777" w:rsidR="007641FC" w:rsidRDefault="007641FC" w:rsidP="007641FC">
      <w:pPr>
        <w:spacing w:after="0" w:line="240" w:lineRule="auto"/>
        <w:jc w:val="both"/>
        <w:rPr>
          <w:rFonts w:ascii="Verdana" w:eastAsia="Arial" w:hAnsi="Verdana" w:cs="Arial"/>
          <w:sz w:val="20"/>
          <w:szCs w:val="20"/>
        </w:rPr>
      </w:pPr>
      <w:r w:rsidRPr="00EC0EEB">
        <w:rPr>
          <w:rFonts w:ascii="Verdana" w:eastAsia="Arial" w:hAnsi="Verdana" w:cs="Arial"/>
          <w:sz w:val="20"/>
          <w:szCs w:val="20"/>
        </w:rPr>
        <w:t xml:space="preserve">En ese entendido, uno de los límites a la facultad para establecer causales de rechazo, se encuentra en la regla de </w:t>
      </w:r>
      <w:proofErr w:type="spellStart"/>
      <w:r w:rsidRPr="00EC0EEB">
        <w:rPr>
          <w:rFonts w:ascii="Verdana" w:eastAsia="Arial" w:hAnsi="Verdana" w:cs="Arial"/>
          <w:sz w:val="20"/>
          <w:szCs w:val="20"/>
        </w:rPr>
        <w:t>subsanabilidad</w:t>
      </w:r>
      <w:proofErr w:type="spellEnd"/>
      <w:r w:rsidRPr="00EC0EEB">
        <w:rPr>
          <w:rFonts w:ascii="Verdana" w:eastAsia="Arial" w:hAnsi="Verdana" w:cs="Arial"/>
          <w:sz w:val="20"/>
          <w:szCs w:val="20"/>
        </w:rPr>
        <w:t xml:space="preserve"> del parágrafo 1 del artículo 5 de la Ley 1150 de 2007, según la cual “La ausencia de requisitos o la falta de documentos referentes a la futura contratación o al proponente, no necesarios para la comparación de las propuestas no servirán de título suficiente para el rechazo de los ofrecimientos hechos”, por lo que las entidades no podrán establecer causales de rechazo referentes a meros requisitos formales o rechazar las ofertas por esa razón. </w:t>
      </w:r>
    </w:p>
    <w:p w14:paraId="0928734C" w14:textId="77777777" w:rsidR="007641FC" w:rsidRDefault="007641FC" w:rsidP="007641FC">
      <w:pPr>
        <w:spacing w:after="0" w:line="240" w:lineRule="auto"/>
        <w:jc w:val="both"/>
        <w:rPr>
          <w:rFonts w:ascii="Verdana" w:eastAsia="Arial" w:hAnsi="Verdana" w:cs="Arial"/>
          <w:sz w:val="20"/>
          <w:szCs w:val="20"/>
        </w:rPr>
      </w:pPr>
    </w:p>
    <w:p w14:paraId="6FDBE6ED" w14:textId="77777777" w:rsidR="007641FC" w:rsidRDefault="007641FC" w:rsidP="007641FC">
      <w:pPr>
        <w:spacing w:after="0" w:line="240" w:lineRule="auto"/>
        <w:jc w:val="both"/>
        <w:rPr>
          <w:rFonts w:ascii="Verdana" w:eastAsia="Arial" w:hAnsi="Verdana" w:cs="Arial"/>
          <w:sz w:val="20"/>
          <w:szCs w:val="20"/>
        </w:rPr>
      </w:pPr>
    </w:p>
    <w:p w14:paraId="6236F467" w14:textId="77777777" w:rsidR="007641FC" w:rsidRDefault="007641FC" w:rsidP="007641FC">
      <w:pPr>
        <w:spacing w:after="0" w:line="240" w:lineRule="auto"/>
        <w:jc w:val="both"/>
        <w:rPr>
          <w:rFonts w:ascii="Verdana" w:eastAsia="Arial" w:hAnsi="Verdana" w:cs="Arial"/>
          <w:color w:val="000000"/>
          <w:sz w:val="20"/>
          <w:szCs w:val="20"/>
        </w:rPr>
      </w:pPr>
    </w:p>
    <w:p w14:paraId="714AF93E" w14:textId="77777777" w:rsidR="007641FC" w:rsidRDefault="007641FC" w:rsidP="007641FC">
      <w:pPr>
        <w:spacing w:after="0" w:line="240" w:lineRule="auto"/>
        <w:jc w:val="both"/>
        <w:rPr>
          <w:rFonts w:ascii="Verdana" w:eastAsia="Arial" w:hAnsi="Verdana" w:cs="Arial"/>
          <w:color w:val="000000"/>
          <w:sz w:val="20"/>
          <w:szCs w:val="20"/>
        </w:rPr>
      </w:pPr>
    </w:p>
    <w:p w14:paraId="6448B9F4" w14:textId="77777777" w:rsidR="007641FC" w:rsidRPr="00EC0EEB" w:rsidRDefault="007641FC" w:rsidP="007641FC">
      <w:pPr>
        <w:spacing w:after="0" w:line="240" w:lineRule="auto"/>
        <w:jc w:val="both"/>
        <w:rPr>
          <w:rFonts w:ascii="Verdana" w:eastAsia="Arial" w:hAnsi="Verdana" w:cs="Arial"/>
          <w:b/>
          <w:bCs/>
          <w:color w:val="000000"/>
          <w:sz w:val="20"/>
          <w:szCs w:val="20"/>
        </w:rPr>
      </w:pPr>
      <w:r w:rsidRPr="00EC0EEB">
        <w:rPr>
          <w:rFonts w:ascii="Verdana" w:hAnsi="Verdana" w:cs="Arial"/>
          <w:b/>
          <w:bCs/>
          <w:color w:val="000000" w:themeColor="text1"/>
        </w:rPr>
        <w:lastRenderedPageBreak/>
        <w:t>CAUSALES DE RECHAZO – Procedencia</w:t>
      </w:r>
    </w:p>
    <w:p w14:paraId="5512BE59" w14:textId="77777777" w:rsidR="007641FC" w:rsidRDefault="007641FC" w:rsidP="007641FC">
      <w:pPr>
        <w:spacing w:after="0" w:line="240" w:lineRule="auto"/>
        <w:jc w:val="both"/>
        <w:rPr>
          <w:rFonts w:ascii="Verdana" w:eastAsia="Arial" w:hAnsi="Verdana" w:cs="Arial"/>
        </w:rPr>
      </w:pPr>
    </w:p>
    <w:p w14:paraId="4B1D4E13" w14:textId="77777777" w:rsidR="007641FC" w:rsidRPr="00EC0EEB" w:rsidRDefault="007641FC" w:rsidP="007641FC">
      <w:pPr>
        <w:spacing w:after="0" w:line="240" w:lineRule="auto"/>
        <w:jc w:val="both"/>
        <w:rPr>
          <w:rFonts w:ascii="Verdana" w:eastAsia="Arial" w:hAnsi="Verdana" w:cs="Arial"/>
          <w:color w:val="000000"/>
          <w:sz w:val="20"/>
          <w:szCs w:val="20"/>
        </w:rPr>
      </w:pPr>
      <w:r w:rsidRPr="00EC0EEB">
        <w:rPr>
          <w:rFonts w:ascii="Verdana" w:eastAsia="Arial" w:hAnsi="Verdana" w:cs="Arial"/>
          <w:sz w:val="20"/>
          <w:szCs w:val="20"/>
        </w:rPr>
        <w:t xml:space="preserve">De acuerdo con la jurisprudencia citada, existen dos eventos en los cuales procede el rechazo de la oferta: i) cuando se configure alguna de las causales de rechazo originadas en la ley o el reglamento y </w:t>
      </w:r>
      <w:proofErr w:type="spellStart"/>
      <w:r w:rsidRPr="00EC0EEB">
        <w:rPr>
          <w:rFonts w:ascii="Verdana" w:eastAsia="Arial" w:hAnsi="Verdana" w:cs="Arial"/>
          <w:sz w:val="20"/>
          <w:szCs w:val="20"/>
        </w:rPr>
        <w:t>ii</w:t>
      </w:r>
      <w:proofErr w:type="spellEnd"/>
      <w:r w:rsidRPr="00EC0EEB">
        <w:rPr>
          <w:rFonts w:ascii="Verdana" w:eastAsia="Arial" w:hAnsi="Verdana" w:cs="Arial"/>
          <w:sz w:val="20"/>
          <w:szCs w:val="20"/>
        </w:rPr>
        <w:t xml:space="preserve">) cuando se materialicen las establecidas en el pliego de condiciones. En tal sentido, las causales de rechazo de la oferta serán las consagradas en la ley o el reglamento producto de su aplicación, así como las definidas por las entidades en el respectivo pliego de condiciones. </w:t>
      </w:r>
    </w:p>
    <w:p w14:paraId="3E48FE67" w14:textId="77777777" w:rsidR="007641FC" w:rsidRDefault="007641FC" w:rsidP="007641FC">
      <w:pPr>
        <w:spacing w:line="276" w:lineRule="auto"/>
        <w:jc w:val="both"/>
        <w:rPr>
          <w:rFonts w:ascii="Verdana" w:hAnsi="Verdana" w:cs="Arial"/>
          <w:color w:val="000000" w:themeColor="text1"/>
        </w:rPr>
      </w:pPr>
    </w:p>
    <w:p w14:paraId="1154848C" w14:textId="77777777" w:rsidR="007641FC" w:rsidRDefault="007641FC" w:rsidP="007641FC">
      <w:pPr>
        <w:spacing w:line="276" w:lineRule="auto"/>
        <w:jc w:val="both"/>
        <w:rPr>
          <w:rFonts w:ascii="Verdana" w:hAnsi="Verdana" w:cs="Arial"/>
          <w:color w:val="000000" w:themeColor="text1"/>
        </w:rPr>
      </w:pPr>
    </w:p>
    <w:p w14:paraId="726D9B24" w14:textId="77777777" w:rsidR="007641FC" w:rsidRDefault="007641FC" w:rsidP="007641FC">
      <w:pPr>
        <w:spacing w:line="276" w:lineRule="auto"/>
        <w:jc w:val="both"/>
        <w:rPr>
          <w:rFonts w:ascii="Verdana" w:hAnsi="Verdana" w:cs="Arial"/>
          <w:color w:val="000000" w:themeColor="text1"/>
        </w:rPr>
      </w:pPr>
    </w:p>
    <w:p w14:paraId="71E59B54" w14:textId="77777777" w:rsidR="007641FC" w:rsidRDefault="007641FC" w:rsidP="007641FC">
      <w:pPr>
        <w:spacing w:line="276" w:lineRule="auto"/>
        <w:jc w:val="both"/>
        <w:rPr>
          <w:rFonts w:ascii="Verdana" w:hAnsi="Verdana" w:cs="Arial"/>
          <w:color w:val="000000" w:themeColor="text1"/>
        </w:rPr>
      </w:pPr>
    </w:p>
    <w:p w14:paraId="1084CB0C" w14:textId="77777777" w:rsidR="007641FC" w:rsidRDefault="007641FC" w:rsidP="007641FC">
      <w:pPr>
        <w:spacing w:line="276" w:lineRule="auto"/>
        <w:jc w:val="both"/>
        <w:rPr>
          <w:rFonts w:ascii="Verdana" w:hAnsi="Verdana" w:cs="Arial"/>
          <w:color w:val="000000" w:themeColor="text1"/>
        </w:rPr>
      </w:pPr>
    </w:p>
    <w:p w14:paraId="516E43A1" w14:textId="77777777" w:rsidR="007641FC" w:rsidRDefault="007641FC" w:rsidP="007641FC">
      <w:pPr>
        <w:spacing w:line="276" w:lineRule="auto"/>
        <w:jc w:val="both"/>
        <w:rPr>
          <w:rFonts w:ascii="Verdana" w:hAnsi="Verdana" w:cs="Arial"/>
          <w:color w:val="000000" w:themeColor="text1"/>
        </w:rPr>
      </w:pPr>
    </w:p>
    <w:p w14:paraId="0E256124" w14:textId="77777777" w:rsidR="007641FC" w:rsidRDefault="007641FC" w:rsidP="007641FC">
      <w:pPr>
        <w:spacing w:line="276" w:lineRule="auto"/>
        <w:jc w:val="both"/>
        <w:rPr>
          <w:rFonts w:ascii="Verdana" w:hAnsi="Verdana" w:cs="Arial"/>
          <w:color w:val="000000" w:themeColor="text1"/>
        </w:rPr>
      </w:pPr>
    </w:p>
    <w:p w14:paraId="4B0C59E6" w14:textId="77777777" w:rsidR="007641FC" w:rsidRDefault="007641FC" w:rsidP="007641FC">
      <w:pPr>
        <w:spacing w:line="276" w:lineRule="auto"/>
        <w:jc w:val="both"/>
        <w:rPr>
          <w:rFonts w:ascii="Verdana" w:hAnsi="Verdana" w:cs="Arial"/>
          <w:color w:val="000000" w:themeColor="text1"/>
        </w:rPr>
      </w:pPr>
    </w:p>
    <w:p w14:paraId="33E1B2C2" w14:textId="77777777" w:rsidR="007641FC" w:rsidRDefault="007641FC" w:rsidP="007641FC">
      <w:pPr>
        <w:spacing w:line="276" w:lineRule="auto"/>
        <w:jc w:val="both"/>
        <w:rPr>
          <w:rFonts w:ascii="Verdana" w:hAnsi="Verdana" w:cs="Arial"/>
          <w:color w:val="000000" w:themeColor="text1"/>
        </w:rPr>
      </w:pPr>
    </w:p>
    <w:p w14:paraId="74938D06" w14:textId="77777777" w:rsidR="007641FC" w:rsidRDefault="007641FC" w:rsidP="007641FC">
      <w:pPr>
        <w:spacing w:line="276" w:lineRule="auto"/>
        <w:jc w:val="both"/>
        <w:rPr>
          <w:rFonts w:ascii="Verdana" w:hAnsi="Verdana" w:cs="Arial"/>
          <w:color w:val="000000" w:themeColor="text1"/>
        </w:rPr>
      </w:pPr>
    </w:p>
    <w:p w14:paraId="5B960322" w14:textId="77777777" w:rsidR="007641FC" w:rsidRDefault="007641FC" w:rsidP="007641FC">
      <w:pPr>
        <w:spacing w:line="276" w:lineRule="auto"/>
        <w:jc w:val="both"/>
        <w:rPr>
          <w:rFonts w:ascii="Verdana" w:hAnsi="Verdana" w:cs="Arial"/>
          <w:color w:val="000000" w:themeColor="text1"/>
        </w:rPr>
      </w:pPr>
    </w:p>
    <w:p w14:paraId="2503152E" w14:textId="77777777" w:rsidR="007641FC" w:rsidRDefault="007641FC" w:rsidP="007641FC">
      <w:pPr>
        <w:spacing w:line="276" w:lineRule="auto"/>
        <w:jc w:val="both"/>
        <w:rPr>
          <w:rFonts w:ascii="Verdana" w:hAnsi="Verdana" w:cs="Arial"/>
          <w:color w:val="000000" w:themeColor="text1"/>
        </w:rPr>
      </w:pPr>
    </w:p>
    <w:p w14:paraId="025059C9" w14:textId="77777777" w:rsidR="007641FC" w:rsidRDefault="007641FC" w:rsidP="007641FC">
      <w:pPr>
        <w:spacing w:after="0" w:line="240" w:lineRule="auto"/>
        <w:rPr>
          <w:rFonts w:ascii="Verdana" w:hAnsi="Verdana"/>
        </w:rPr>
      </w:pPr>
    </w:p>
    <w:p w14:paraId="5F911FDA" w14:textId="77777777" w:rsidR="007641FC" w:rsidRDefault="007641FC" w:rsidP="007641FC">
      <w:pPr>
        <w:spacing w:after="0" w:line="240" w:lineRule="auto"/>
        <w:rPr>
          <w:rFonts w:ascii="Verdana" w:hAnsi="Verdana"/>
        </w:rPr>
      </w:pPr>
    </w:p>
    <w:p w14:paraId="5D7FD200" w14:textId="77777777" w:rsidR="007641FC" w:rsidRDefault="007641FC" w:rsidP="007641FC">
      <w:pPr>
        <w:spacing w:after="0" w:line="240" w:lineRule="auto"/>
        <w:rPr>
          <w:rFonts w:ascii="Verdana" w:hAnsi="Verdana"/>
        </w:rPr>
      </w:pPr>
    </w:p>
    <w:p w14:paraId="0BA838BF" w14:textId="77777777" w:rsidR="007641FC" w:rsidRDefault="007641FC" w:rsidP="007641FC">
      <w:pPr>
        <w:spacing w:after="0" w:line="240" w:lineRule="auto"/>
        <w:rPr>
          <w:rFonts w:ascii="Verdana" w:hAnsi="Verdana"/>
        </w:rPr>
      </w:pPr>
    </w:p>
    <w:p w14:paraId="4F95BCB2" w14:textId="77777777" w:rsidR="007641FC" w:rsidRDefault="007641FC" w:rsidP="007641FC">
      <w:pPr>
        <w:spacing w:after="0" w:line="240" w:lineRule="auto"/>
        <w:rPr>
          <w:rFonts w:ascii="Verdana" w:hAnsi="Verdana"/>
        </w:rPr>
      </w:pPr>
    </w:p>
    <w:p w14:paraId="3E74D32E" w14:textId="77777777" w:rsidR="007641FC" w:rsidRDefault="007641FC" w:rsidP="007641FC">
      <w:pPr>
        <w:spacing w:after="0" w:line="240" w:lineRule="auto"/>
        <w:rPr>
          <w:rFonts w:ascii="Verdana" w:hAnsi="Verdana"/>
        </w:rPr>
      </w:pPr>
    </w:p>
    <w:p w14:paraId="22D64F60" w14:textId="77777777" w:rsidR="007641FC" w:rsidRDefault="007641FC" w:rsidP="007641FC">
      <w:pPr>
        <w:spacing w:after="0" w:line="240" w:lineRule="auto"/>
        <w:rPr>
          <w:rFonts w:ascii="Verdana" w:hAnsi="Verdana"/>
        </w:rPr>
      </w:pPr>
    </w:p>
    <w:p w14:paraId="12AFCA2E" w14:textId="77777777" w:rsidR="007641FC" w:rsidRDefault="007641FC" w:rsidP="007641FC">
      <w:pPr>
        <w:spacing w:after="0" w:line="240" w:lineRule="auto"/>
        <w:rPr>
          <w:rFonts w:ascii="Verdana" w:hAnsi="Verdana"/>
        </w:rPr>
      </w:pPr>
    </w:p>
    <w:p w14:paraId="7CEBF1F1" w14:textId="77777777" w:rsidR="007641FC" w:rsidRDefault="007641FC" w:rsidP="007641FC">
      <w:pPr>
        <w:spacing w:after="0" w:line="240" w:lineRule="auto"/>
        <w:rPr>
          <w:rFonts w:ascii="Verdana" w:hAnsi="Verdana"/>
        </w:rPr>
      </w:pPr>
    </w:p>
    <w:p w14:paraId="02ADA357" w14:textId="77777777" w:rsidR="007641FC" w:rsidRDefault="007641FC" w:rsidP="007641FC">
      <w:pPr>
        <w:spacing w:after="0" w:line="240" w:lineRule="auto"/>
        <w:rPr>
          <w:rFonts w:ascii="Verdana" w:hAnsi="Verdana"/>
        </w:rPr>
      </w:pPr>
    </w:p>
    <w:p w14:paraId="5A5FEC96" w14:textId="77777777" w:rsidR="007641FC" w:rsidRDefault="007641FC" w:rsidP="007641FC">
      <w:pPr>
        <w:spacing w:after="0" w:line="240" w:lineRule="auto"/>
        <w:rPr>
          <w:rFonts w:ascii="Verdana" w:hAnsi="Verdana"/>
        </w:rPr>
      </w:pPr>
    </w:p>
    <w:p w14:paraId="2D04283D" w14:textId="77777777" w:rsidR="007641FC" w:rsidRDefault="007641FC" w:rsidP="007641FC">
      <w:pPr>
        <w:spacing w:after="0" w:line="240" w:lineRule="auto"/>
        <w:rPr>
          <w:rFonts w:ascii="Verdana" w:hAnsi="Verdana"/>
        </w:rPr>
      </w:pPr>
    </w:p>
    <w:p w14:paraId="13886C4D" w14:textId="77777777" w:rsidR="007641FC" w:rsidRDefault="007641FC" w:rsidP="007641FC">
      <w:pPr>
        <w:spacing w:after="0" w:line="240" w:lineRule="auto"/>
        <w:rPr>
          <w:rFonts w:ascii="Verdana" w:hAnsi="Verdana"/>
        </w:rPr>
      </w:pPr>
    </w:p>
    <w:p w14:paraId="0D22205D" w14:textId="77777777" w:rsidR="00054793" w:rsidRDefault="00054793" w:rsidP="007641FC">
      <w:pPr>
        <w:spacing w:after="0" w:line="240" w:lineRule="auto"/>
        <w:rPr>
          <w:rFonts w:ascii="Verdana" w:eastAsia="Geomanist Light" w:hAnsi="Verdana" w:cs="Arial"/>
        </w:rPr>
      </w:pPr>
    </w:p>
    <w:p w14:paraId="73AF8C07" w14:textId="764F88CD" w:rsidR="007641FC" w:rsidRPr="00960F72" w:rsidRDefault="007641FC" w:rsidP="007641FC">
      <w:pPr>
        <w:spacing w:after="0" w:line="240" w:lineRule="auto"/>
        <w:rPr>
          <w:rFonts w:ascii="Verdana" w:eastAsia="Calibri" w:hAnsi="Verdana" w:cs="Arial"/>
          <w:bCs/>
          <w:sz w:val="20"/>
          <w:szCs w:val="20"/>
          <w:lang w:eastAsia="es-ES_tradnl"/>
        </w:rPr>
      </w:pPr>
      <w:r w:rsidRPr="00960F72">
        <w:rPr>
          <w:rFonts w:ascii="Verdana" w:eastAsia="Geomanist Light" w:hAnsi="Verdana" w:cs="Arial"/>
        </w:rPr>
        <w:t>Bogotá D.C., [Día] de [</w:t>
      </w:r>
      <w:proofErr w:type="spellStart"/>
      <w:r w:rsidRPr="00960F72">
        <w:rPr>
          <w:rFonts w:ascii="Verdana" w:eastAsia="Geomanist Light" w:hAnsi="Verdana" w:cs="Arial"/>
        </w:rPr>
        <w:t>Mes.NombreCapitalizado</w:t>
      </w:r>
      <w:proofErr w:type="spellEnd"/>
      <w:r w:rsidRPr="00960F72">
        <w:rPr>
          <w:rFonts w:ascii="Verdana" w:eastAsia="Geomanist Light" w:hAnsi="Verdana" w:cs="Arial"/>
        </w:rPr>
        <w:t>] de [Año]</w:t>
      </w:r>
    </w:p>
    <w:p w14:paraId="309BE261" w14:textId="4FD56B7B" w:rsidR="007641FC" w:rsidRDefault="007641FC" w:rsidP="007641FC">
      <w:pPr>
        <w:spacing w:after="0" w:line="240" w:lineRule="auto"/>
        <w:rPr>
          <w:rFonts w:ascii="Verdana" w:eastAsia="Calibri" w:hAnsi="Verdana" w:cs="Arial"/>
          <w:b/>
          <w:bCs/>
          <w:lang w:eastAsia="es-ES_tradnl"/>
        </w:rPr>
      </w:pPr>
    </w:p>
    <w:p w14:paraId="67486433" w14:textId="64400746" w:rsidR="007641FC" w:rsidRDefault="006E632F" w:rsidP="007641FC">
      <w:pPr>
        <w:spacing w:after="0" w:line="240" w:lineRule="auto"/>
        <w:rPr>
          <w:rFonts w:ascii="Verdana" w:eastAsia="Calibri" w:hAnsi="Verdana" w:cs="Arial"/>
          <w:lang w:eastAsia="es-ES_tradnl"/>
        </w:rPr>
      </w:pPr>
      <w:r w:rsidRPr="00054793">
        <w:rPr>
          <w:rFonts w:ascii="Verdana" w:eastAsia="Calibri" w:hAnsi="Verdana" w:cs="Arial"/>
          <w:b/>
          <w:bCs/>
          <w:noProof/>
          <w:lang w:eastAsia="es-ES_tradnl"/>
        </w:rPr>
        <w:drawing>
          <wp:anchor distT="0" distB="0" distL="114300" distR="114300" simplePos="0" relativeHeight="251658240" behindDoc="1" locked="0" layoutInCell="1" allowOverlap="1" wp14:anchorId="4B6482DC" wp14:editId="0763EA5D">
            <wp:simplePos x="0" y="0"/>
            <wp:positionH relativeFrom="margin">
              <wp:align>right</wp:align>
            </wp:positionH>
            <wp:positionV relativeFrom="paragraph">
              <wp:posOffset>8863</wp:posOffset>
            </wp:positionV>
            <wp:extent cx="2285365" cy="788035"/>
            <wp:effectExtent l="0" t="0" r="635" b="0"/>
            <wp:wrapSquare wrapText="bothSides"/>
            <wp:docPr id="698564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64048"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85365" cy="788035"/>
                    </a:xfrm>
                    <a:prstGeom prst="rect">
                      <a:avLst/>
                    </a:prstGeom>
                  </pic:spPr>
                </pic:pic>
              </a:graphicData>
            </a:graphic>
            <wp14:sizeRelH relativeFrom="page">
              <wp14:pctWidth>0</wp14:pctWidth>
            </wp14:sizeRelH>
            <wp14:sizeRelV relativeFrom="page">
              <wp14:pctHeight>0</wp14:pctHeight>
            </wp14:sizeRelV>
          </wp:anchor>
        </w:drawing>
      </w:r>
      <w:r w:rsidR="007641FC">
        <w:rPr>
          <w:rFonts w:ascii="Verdana" w:eastAsia="Calibri" w:hAnsi="Verdana" w:cs="Arial"/>
          <w:lang w:eastAsia="es-ES_tradnl"/>
        </w:rPr>
        <w:t>Señor (a)</w:t>
      </w:r>
    </w:p>
    <w:p w14:paraId="5F38E4DF" w14:textId="37B6A009" w:rsidR="007641FC" w:rsidRDefault="007641FC" w:rsidP="007641FC">
      <w:pPr>
        <w:spacing w:after="0" w:line="240" w:lineRule="auto"/>
        <w:rPr>
          <w:rFonts w:ascii="Verdana" w:eastAsia="Calibri" w:hAnsi="Verdana" w:cs="Arial"/>
          <w:b/>
          <w:bCs/>
          <w:lang w:eastAsia="es-ES_tradnl"/>
        </w:rPr>
      </w:pPr>
      <w:r>
        <w:rPr>
          <w:rFonts w:ascii="Verdana" w:eastAsia="Calibri" w:hAnsi="Verdana" w:cs="Arial"/>
          <w:b/>
          <w:bCs/>
          <w:lang w:eastAsia="es-ES_tradnl"/>
        </w:rPr>
        <w:t>Anónimo</w:t>
      </w:r>
      <w:r w:rsidR="00054793" w:rsidRPr="00054793">
        <w:rPr>
          <w:noProof/>
        </w:rPr>
        <w:t xml:space="preserve"> </w:t>
      </w:r>
    </w:p>
    <w:p w14:paraId="24B131E1" w14:textId="77777777" w:rsidR="007641FC" w:rsidRPr="00583A8C" w:rsidRDefault="007641FC" w:rsidP="007641FC">
      <w:pPr>
        <w:spacing w:after="0" w:line="240" w:lineRule="auto"/>
        <w:rPr>
          <w:rFonts w:ascii="Verdana" w:hAnsi="Verdana"/>
        </w:rPr>
      </w:pPr>
      <w:r>
        <w:rPr>
          <w:rFonts w:ascii="Verdana" w:hAnsi="Verdana"/>
        </w:rPr>
        <w:t>Servitedh@hotmail.com</w:t>
      </w:r>
    </w:p>
    <w:p w14:paraId="3CD349AC" w14:textId="77777777" w:rsidR="007641FC" w:rsidRPr="00514983" w:rsidRDefault="007641FC" w:rsidP="007641FC">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641FC" w:rsidRPr="00960F72" w14:paraId="17275994" w14:textId="77777777" w:rsidTr="007641FC">
        <w:trPr>
          <w:trHeight w:val="190"/>
        </w:trPr>
        <w:tc>
          <w:tcPr>
            <w:tcW w:w="2689" w:type="dxa"/>
          </w:tcPr>
          <w:p w14:paraId="10BE2986" w14:textId="77777777" w:rsidR="007641FC" w:rsidRPr="00960F72" w:rsidRDefault="007641FC" w:rsidP="007641FC">
            <w:pPr>
              <w:jc w:val="both"/>
              <w:rPr>
                <w:rFonts w:ascii="Verdana" w:eastAsia="Calibri" w:hAnsi="Verdana" w:cs="Arial"/>
                <w:b/>
                <w:bCs/>
                <w:lang w:eastAsia="es-ES_tradnl"/>
              </w:rPr>
            </w:pPr>
          </w:p>
        </w:tc>
        <w:tc>
          <w:tcPr>
            <w:tcW w:w="6100" w:type="dxa"/>
          </w:tcPr>
          <w:p w14:paraId="6A4BAB94" w14:textId="77777777" w:rsidR="007641FC" w:rsidRPr="00960F72" w:rsidRDefault="007641FC" w:rsidP="007641FC">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771</w:t>
            </w:r>
            <w:r w:rsidRPr="00960F72">
              <w:rPr>
                <w:rFonts w:ascii="Verdana" w:eastAsia="Calibri" w:hAnsi="Verdana" w:cs="Arial"/>
                <w:b/>
                <w:bCs/>
                <w:lang w:eastAsia="es-ES"/>
              </w:rPr>
              <w:t xml:space="preserve"> de 2025</w:t>
            </w:r>
          </w:p>
          <w:p w14:paraId="74024BEB" w14:textId="77777777" w:rsidR="007641FC" w:rsidRPr="00960F72" w:rsidRDefault="007641FC" w:rsidP="007641FC">
            <w:pPr>
              <w:jc w:val="both"/>
              <w:rPr>
                <w:rFonts w:ascii="Verdana" w:eastAsia="Calibri" w:hAnsi="Verdana" w:cs="Arial"/>
                <w:b/>
                <w:bCs/>
                <w:lang w:eastAsia="es-ES"/>
              </w:rPr>
            </w:pPr>
          </w:p>
        </w:tc>
      </w:tr>
      <w:tr w:rsidR="007641FC" w:rsidRPr="00960F72" w14:paraId="46FBADE8" w14:textId="77777777" w:rsidTr="007641FC">
        <w:trPr>
          <w:trHeight w:val="884"/>
        </w:trPr>
        <w:tc>
          <w:tcPr>
            <w:tcW w:w="2689" w:type="dxa"/>
          </w:tcPr>
          <w:p w14:paraId="5BA4491F" w14:textId="77777777" w:rsidR="007641FC" w:rsidRPr="00960F72" w:rsidRDefault="007641FC" w:rsidP="007641FC">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4896199B" w14:textId="77777777" w:rsidR="007641FC" w:rsidRPr="00314EDC" w:rsidRDefault="007641FC" w:rsidP="007641FC">
            <w:pPr>
              <w:spacing w:line="276" w:lineRule="auto"/>
              <w:jc w:val="both"/>
              <w:rPr>
                <w:rFonts w:ascii="Verdana" w:hAnsi="Verdana" w:cs="Arial"/>
                <w:color w:val="000000" w:themeColor="text1"/>
              </w:rPr>
            </w:pPr>
            <w:bookmarkStart w:id="1" w:name="_Hlk213432273"/>
            <w:r w:rsidRPr="00314EDC">
              <w:rPr>
                <w:rFonts w:ascii="Verdana" w:hAnsi="Verdana" w:cs="Arial"/>
                <w:color w:val="000000" w:themeColor="text1"/>
                <w:lang w:val="es-ES"/>
              </w:rPr>
              <w:t xml:space="preserve">SUBSANABILIDAD – Aplicación – Regla general – Excepciones / SUBSANABILIDAD – Ley 1882 de 2018 / </w:t>
            </w:r>
            <w:r w:rsidRPr="00314EDC">
              <w:rPr>
                <w:rFonts w:ascii="Verdana" w:hAnsi="Verdana" w:cs="Arial"/>
                <w:color w:val="000000" w:themeColor="text1"/>
              </w:rPr>
              <w:t>CAUSALES DE RECHAZO DE LAS OFERTAS – Origen – Límites en su configuración / CAUSALES DE RECHAZO – Procedencia</w:t>
            </w:r>
          </w:p>
          <w:bookmarkEnd w:id="1"/>
          <w:p w14:paraId="41612600" w14:textId="77777777" w:rsidR="007641FC" w:rsidRPr="001F1B6C" w:rsidRDefault="007641FC" w:rsidP="007641FC">
            <w:pPr>
              <w:spacing w:line="276" w:lineRule="auto"/>
              <w:jc w:val="both"/>
              <w:rPr>
                <w:rFonts w:ascii="Verdana" w:eastAsia="Calibri" w:hAnsi="Verdana" w:cs="Arial"/>
                <w:lang w:val="es-ES" w:eastAsia="es-ES"/>
              </w:rPr>
            </w:pP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p>
        </w:tc>
      </w:tr>
      <w:tr w:rsidR="007641FC" w:rsidRPr="00960F72" w14:paraId="4991DB39" w14:textId="77777777" w:rsidTr="007641FC">
        <w:tc>
          <w:tcPr>
            <w:tcW w:w="2689" w:type="dxa"/>
          </w:tcPr>
          <w:p w14:paraId="404B8A4D" w14:textId="77777777" w:rsidR="007641FC" w:rsidRPr="00583A8C" w:rsidRDefault="007641FC" w:rsidP="007641FC">
            <w:pPr>
              <w:jc w:val="both"/>
              <w:rPr>
                <w:rFonts w:ascii="Verdana" w:eastAsia="Calibri" w:hAnsi="Verdana" w:cs="Arial"/>
                <w:b/>
                <w:lang w:eastAsia="es-ES_tradnl"/>
              </w:rPr>
            </w:pPr>
            <w:r w:rsidRPr="00583A8C">
              <w:rPr>
                <w:rFonts w:ascii="Verdana" w:eastAsia="Calibri" w:hAnsi="Verdana" w:cs="Arial"/>
                <w:b/>
                <w:lang w:eastAsia="es-ES_tradnl"/>
              </w:rPr>
              <w:t>Radicación:</w:t>
            </w:r>
            <w:r w:rsidRPr="00583A8C">
              <w:rPr>
                <w:rFonts w:ascii="Verdana" w:eastAsia="Calibri" w:hAnsi="Verdana" w:cs="Arial"/>
                <w:lang w:eastAsia="es-ES_tradnl"/>
              </w:rPr>
              <w:t xml:space="preserve">               </w:t>
            </w:r>
          </w:p>
        </w:tc>
        <w:tc>
          <w:tcPr>
            <w:tcW w:w="6100" w:type="dxa"/>
          </w:tcPr>
          <w:p w14:paraId="2D0590D4" w14:textId="77777777" w:rsidR="007641FC" w:rsidRPr="006E632F" w:rsidRDefault="007641FC" w:rsidP="007641FC">
            <w:pPr>
              <w:jc w:val="both"/>
              <w:rPr>
                <w:rFonts w:ascii="Verdana" w:eastAsia="Calibri" w:hAnsi="Verdana" w:cs="Arial"/>
                <w:lang w:eastAsia="es-ES_tradnl"/>
              </w:rPr>
            </w:pPr>
            <w:r w:rsidRPr="006E632F">
              <w:rPr>
                <w:rFonts w:ascii="Verdana" w:eastAsia="Calibri" w:hAnsi="Verdana" w:cs="Arial"/>
                <w:lang w:eastAsia="es-ES_tradnl"/>
              </w:rPr>
              <w:t>Respuesta a consulta con radicado No.</w:t>
            </w:r>
            <w:r w:rsidRPr="006E632F">
              <w:rPr>
                <w:rFonts w:ascii="Verdana" w:hAnsi="Verdana" w:cs="Segoe UI"/>
                <w:shd w:val="clear" w:color="auto" w:fill="FFFFFF"/>
              </w:rPr>
              <w:t xml:space="preserve"> 1_2025_11_27_013424</w:t>
            </w:r>
          </w:p>
        </w:tc>
      </w:tr>
    </w:tbl>
    <w:p w14:paraId="7B93FB1C" w14:textId="77777777" w:rsidR="007641FC" w:rsidRPr="00960F72" w:rsidRDefault="007641FC" w:rsidP="007641FC">
      <w:pPr>
        <w:spacing w:after="0" w:line="240" w:lineRule="auto"/>
        <w:jc w:val="both"/>
        <w:rPr>
          <w:rFonts w:ascii="Verdana" w:eastAsia="Calibri" w:hAnsi="Verdana" w:cs="Arial"/>
          <w:lang w:eastAsia="es-ES_tradnl"/>
        </w:rPr>
      </w:pPr>
    </w:p>
    <w:p w14:paraId="77156677" w14:textId="77777777" w:rsidR="007641FC" w:rsidRPr="00960F72" w:rsidRDefault="007641FC" w:rsidP="007641FC">
      <w:pPr>
        <w:spacing w:after="0" w:line="276" w:lineRule="auto"/>
        <w:jc w:val="both"/>
        <w:rPr>
          <w:rFonts w:ascii="Verdana" w:eastAsia="Calibri" w:hAnsi="Verdana" w:cs="Arial"/>
          <w:lang w:eastAsia="es-ES"/>
        </w:rPr>
      </w:pPr>
      <w:r>
        <w:rPr>
          <w:rFonts w:ascii="Verdana" w:eastAsia="Calibri" w:hAnsi="Verdana" w:cs="Arial"/>
          <w:lang w:eastAsia="es-ES"/>
        </w:rPr>
        <w:t>Estimado(a):</w:t>
      </w:r>
    </w:p>
    <w:p w14:paraId="0B08E8D5" w14:textId="77777777" w:rsidR="007641FC" w:rsidRPr="00960F72" w:rsidRDefault="007641FC" w:rsidP="007641FC">
      <w:pPr>
        <w:tabs>
          <w:tab w:val="left" w:pos="3768"/>
        </w:tabs>
        <w:spacing w:after="0" w:line="276" w:lineRule="auto"/>
        <w:jc w:val="both"/>
        <w:rPr>
          <w:rFonts w:ascii="Verdana" w:eastAsia="Calibri" w:hAnsi="Verdana" w:cs="Arial"/>
          <w:lang w:eastAsia="es-ES"/>
        </w:rPr>
      </w:pPr>
    </w:p>
    <w:p w14:paraId="6FD8E1C2" w14:textId="77777777" w:rsidR="007641FC" w:rsidRPr="00960F72" w:rsidRDefault="007641FC" w:rsidP="007641FC">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27 </w:t>
      </w:r>
      <w:r w:rsidRPr="00960F72">
        <w:rPr>
          <w:rFonts w:ascii="Verdana" w:eastAsia="Calibri" w:hAnsi="Verdana" w:cs="Arial"/>
          <w:lang w:eastAsia="es-ES"/>
        </w:rPr>
        <w:t xml:space="preserve">de </w:t>
      </w:r>
      <w:r>
        <w:rPr>
          <w:rFonts w:ascii="Verdana" w:eastAsia="Calibri" w:hAnsi="Verdana" w:cs="Arial"/>
          <w:lang w:eastAsia="es-ES"/>
        </w:rPr>
        <w:t>noviembre</w:t>
      </w:r>
      <w:r w:rsidRPr="00960F72">
        <w:rPr>
          <w:rFonts w:ascii="Verdana" w:eastAsia="Calibri" w:hAnsi="Verdana" w:cs="Arial"/>
          <w:lang w:eastAsia="es-ES"/>
        </w:rPr>
        <w:t xml:space="preserve"> de 2025, en la cual manifiesta lo siguiente: </w:t>
      </w:r>
    </w:p>
    <w:p w14:paraId="6E59BA06" w14:textId="77777777" w:rsidR="007641FC" w:rsidRPr="00960F72" w:rsidRDefault="007641FC" w:rsidP="007641FC">
      <w:pPr>
        <w:spacing w:after="0" w:line="276" w:lineRule="auto"/>
        <w:jc w:val="both"/>
        <w:rPr>
          <w:rFonts w:ascii="Verdana" w:eastAsia="Calibri" w:hAnsi="Verdana" w:cs="Arial"/>
          <w:lang w:eastAsia="es-ES"/>
        </w:rPr>
      </w:pPr>
    </w:p>
    <w:p w14:paraId="03425D69" w14:textId="77777777" w:rsidR="007641FC" w:rsidRPr="003C2C84" w:rsidRDefault="007641FC" w:rsidP="00A8432D">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proofErr w:type="gramStart"/>
      <w:r>
        <w:rPr>
          <w:rFonts w:ascii="Verdana" w:eastAsia="Calibri" w:hAnsi="Verdana" w:cs="Arial"/>
          <w:sz w:val="20"/>
          <w:szCs w:val="20"/>
          <w:lang w:eastAsia="es-ES"/>
        </w:rPr>
        <w:t>…¿</w:t>
      </w:r>
      <w:proofErr w:type="gramEnd"/>
      <w:r w:rsidRPr="00103680">
        <w:rPr>
          <w:rFonts w:ascii="Verdana" w:eastAsia="Calibri" w:hAnsi="Verdana" w:cs="Arial"/>
          <w:sz w:val="20"/>
          <w:szCs w:val="20"/>
          <w:lang w:eastAsia="es-ES"/>
        </w:rPr>
        <w:t xml:space="preserve">es jurídicamente válido aceptar el soporte de pago de una política de seriedad efectuada con posterioridad al cierre de presentación de oferta en proceso de </w:t>
      </w:r>
      <w:proofErr w:type="gramStart"/>
      <w:r w:rsidRPr="00103680">
        <w:rPr>
          <w:rFonts w:ascii="Verdana" w:eastAsia="Calibri" w:hAnsi="Verdana" w:cs="Arial"/>
          <w:sz w:val="20"/>
          <w:szCs w:val="20"/>
          <w:lang w:eastAsia="es-ES"/>
        </w:rPr>
        <w:t>subasta?</w:t>
      </w:r>
      <w:r w:rsidRPr="003C2C84">
        <w:rPr>
          <w:rFonts w:ascii="Verdana" w:eastAsia="Calibri" w:hAnsi="Verdana" w:cs="Arial"/>
          <w:sz w:val="20"/>
          <w:szCs w:val="20"/>
          <w:lang w:eastAsia="es-ES"/>
        </w:rPr>
        <w:t>.</w:t>
      </w:r>
      <w:proofErr w:type="gramEnd"/>
      <w:r>
        <w:rPr>
          <w:rFonts w:ascii="Verdana" w:eastAsia="Calibri" w:hAnsi="Verdana" w:cs="Arial"/>
          <w:sz w:val="20"/>
          <w:szCs w:val="20"/>
          <w:lang w:eastAsia="es-ES"/>
        </w:rPr>
        <w:t>”</w:t>
      </w:r>
    </w:p>
    <w:p w14:paraId="240647E8" w14:textId="77777777" w:rsidR="007641FC" w:rsidRPr="00755387" w:rsidRDefault="007641FC" w:rsidP="007641FC">
      <w:pPr>
        <w:spacing w:after="0" w:line="276" w:lineRule="auto"/>
        <w:ind w:right="709"/>
        <w:jc w:val="both"/>
        <w:rPr>
          <w:rFonts w:ascii="Verdana" w:eastAsia="Calibri" w:hAnsi="Verdana" w:cs="Arial"/>
          <w:lang w:eastAsia="es-ES"/>
        </w:rPr>
      </w:pPr>
    </w:p>
    <w:p w14:paraId="2001630E" w14:textId="77777777" w:rsidR="007641FC" w:rsidRPr="00960F72" w:rsidRDefault="007641FC" w:rsidP="007641FC">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w:t>
      </w:r>
      <w:r w:rsidRPr="00960F72">
        <w:rPr>
          <w:rFonts w:ascii="Verdana" w:eastAsia="Calibri" w:hAnsi="Verdana" w:cs="Arial"/>
          <w:lang w:eastAsia="es-ES"/>
        </w:rPr>
        <w:lastRenderedPageBreak/>
        <w:t xml:space="preserve">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7041DD69" w14:textId="77777777" w:rsidR="007641FC" w:rsidRPr="00960F72" w:rsidRDefault="007641FC" w:rsidP="007641FC">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29D7F05E" w14:textId="77777777" w:rsidR="007641FC" w:rsidRPr="00960F72" w:rsidRDefault="007641FC" w:rsidP="007641FC">
      <w:pPr>
        <w:spacing w:after="0" w:line="276" w:lineRule="auto"/>
        <w:ind w:firstLine="709"/>
        <w:jc w:val="both"/>
        <w:rPr>
          <w:rFonts w:ascii="Verdana" w:eastAsia="Calibri" w:hAnsi="Verdana" w:cs="Arial"/>
          <w:lang w:eastAsia="es-ES"/>
        </w:rPr>
      </w:pPr>
    </w:p>
    <w:p w14:paraId="5C2D1D4A" w14:textId="77777777" w:rsidR="007641FC" w:rsidRPr="00960F72" w:rsidRDefault="007641FC" w:rsidP="00A52BB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49C9833D" w14:textId="77777777" w:rsidR="007641FC" w:rsidRPr="00960F72" w:rsidRDefault="007641FC" w:rsidP="007641FC">
      <w:pPr>
        <w:tabs>
          <w:tab w:val="left" w:pos="426"/>
        </w:tabs>
        <w:spacing w:after="0" w:line="276" w:lineRule="auto"/>
        <w:jc w:val="both"/>
        <w:rPr>
          <w:rFonts w:ascii="Verdana" w:eastAsia="Century Gothic" w:hAnsi="Verdana" w:cs="Century Gothic"/>
        </w:rPr>
      </w:pPr>
    </w:p>
    <w:p w14:paraId="487AA06C" w14:textId="75EC65F6" w:rsidR="007641FC" w:rsidRPr="007211E4" w:rsidRDefault="007641FC" w:rsidP="007641FC">
      <w:pPr>
        <w:spacing w:after="0" w:line="276" w:lineRule="auto"/>
        <w:jc w:val="both"/>
        <w:rPr>
          <w:rFonts w:ascii="Verdana" w:eastAsia="Century Gothic" w:hAnsi="Verdana" w:cs="Century Gothic"/>
          <w:color w:val="000000" w:themeColor="text1"/>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505635">
        <w:rPr>
          <w:rFonts w:ascii="Verdana" w:eastAsia="Century Gothic" w:hAnsi="Verdana" w:cs="Century Gothic"/>
        </w:rPr>
        <w:t xml:space="preserve">¿Es jurídicamente válido que </w:t>
      </w:r>
      <w:r w:rsidR="00D726E5">
        <w:rPr>
          <w:rFonts w:ascii="Verdana" w:eastAsia="Century Gothic" w:hAnsi="Verdana" w:cs="Century Gothic"/>
        </w:rPr>
        <w:t>una</w:t>
      </w:r>
      <w:r w:rsidRPr="00505635">
        <w:rPr>
          <w:rFonts w:ascii="Verdana" w:eastAsia="Century Gothic" w:hAnsi="Verdana" w:cs="Century Gothic"/>
        </w:rPr>
        <w:t xml:space="preserve"> entidad contratante acepte el soporte de pago de la póliza de seriedad de la oferta cuando dicho</w:t>
      </w:r>
      <w:r w:rsidR="00CB14B6">
        <w:rPr>
          <w:rFonts w:ascii="Verdana" w:eastAsia="Century Gothic" w:hAnsi="Verdana" w:cs="Century Gothic"/>
        </w:rPr>
        <w:t xml:space="preserve"> soporte se acredita </w:t>
      </w:r>
      <w:r w:rsidRPr="00505635">
        <w:rPr>
          <w:rFonts w:ascii="Verdana" w:eastAsia="Century Gothic" w:hAnsi="Verdana" w:cs="Century Gothic"/>
        </w:rPr>
        <w:t>con posterioridad al cierre del plazo de presentación de propuestas</w:t>
      </w:r>
      <w:r w:rsidR="00D726E5">
        <w:rPr>
          <w:rFonts w:ascii="Verdana" w:eastAsia="Century Gothic" w:hAnsi="Verdana" w:cs="Century Gothic"/>
        </w:rPr>
        <w:t>?</w:t>
      </w:r>
    </w:p>
    <w:p w14:paraId="26D83C3E" w14:textId="77777777" w:rsidR="007641FC" w:rsidRPr="00960F72" w:rsidRDefault="007641FC" w:rsidP="007641FC">
      <w:pPr>
        <w:spacing w:after="0" w:line="276" w:lineRule="auto"/>
        <w:jc w:val="both"/>
        <w:rPr>
          <w:rFonts w:ascii="Verdana" w:eastAsia="Century Gothic" w:hAnsi="Verdana" w:cs="Century Gothic"/>
        </w:rPr>
      </w:pPr>
    </w:p>
    <w:p w14:paraId="508BEDF7" w14:textId="77777777" w:rsidR="007641FC" w:rsidRDefault="007641FC" w:rsidP="00A52BB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2334F599" w14:textId="77777777" w:rsidR="007641FC" w:rsidRPr="00027E7B" w:rsidRDefault="007641FC" w:rsidP="007641FC">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641FC" w:rsidRPr="00960F72" w14:paraId="1225B540" w14:textId="77777777" w:rsidTr="007641FC">
        <w:tc>
          <w:tcPr>
            <w:tcW w:w="8828" w:type="dxa"/>
          </w:tcPr>
          <w:p w14:paraId="766A8C69" w14:textId="07C23EC1" w:rsidR="007641FC" w:rsidRPr="00114892" w:rsidRDefault="007641FC" w:rsidP="007641FC">
            <w:pPr>
              <w:spacing w:line="276" w:lineRule="auto"/>
              <w:jc w:val="both"/>
              <w:rPr>
                <w:rFonts w:ascii="Verdana" w:hAnsi="Verdana"/>
              </w:rPr>
            </w:pPr>
            <w:r w:rsidRPr="00114892">
              <w:rPr>
                <w:rFonts w:ascii="Verdana" w:hAnsi="Verdana"/>
              </w:rPr>
              <w:t xml:space="preserve">La regla de la </w:t>
            </w:r>
            <w:proofErr w:type="spellStart"/>
            <w:r w:rsidRPr="00114892">
              <w:rPr>
                <w:rFonts w:ascii="Verdana" w:hAnsi="Verdana"/>
              </w:rPr>
              <w:t>subsanabilidad</w:t>
            </w:r>
            <w:proofErr w:type="spellEnd"/>
            <w:r w:rsidRPr="00114892">
              <w:rPr>
                <w:rFonts w:ascii="Verdana" w:hAnsi="Verdana"/>
              </w:rPr>
              <w:t xml:space="preserve"> de las ofertas en los procedimientos de selección establece que, por principio general, la falta de entrega o los defectos en la acreditación de los requisitos habilitantes son subsanables, salvo en tres eventos expresamente exceptuados por la ley: i) cuando se trate de requisitos que otorgan puntaje; </w:t>
            </w:r>
            <w:proofErr w:type="spellStart"/>
            <w:r w:rsidRPr="00114892">
              <w:rPr>
                <w:rFonts w:ascii="Verdana" w:hAnsi="Verdana"/>
              </w:rPr>
              <w:t>ii</w:t>
            </w:r>
            <w:proofErr w:type="spellEnd"/>
            <w:r w:rsidRPr="00114892">
              <w:rPr>
                <w:rFonts w:ascii="Verdana" w:hAnsi="Verdana"/>
              </w:rPr>
              <w:t xml:space="preserve">) cuando se pretenda acreditar circunstancias ocurridas con posterioridad al cierre del proceso; y </w:t>
            </w:r>
            <w:proofErr w:type="spellStart"/>
            <w:r w:rsidRPr="00114892">
              <w:rPr>
                <w:rFonts w:ascii="Verdana" w:hAnsi="Verdana"/>
              </w:rPr>
              <w:t>iii</w:t>
            </w:r>
            <w:proofErr w:type="spellEnd"/>
            <w:r w:rsidRPr="00114892">
              <w:rPr>
                <w:rFonts w:ascii="Verdana" w:hAnsi="Verdana"/>
              </w:rPr>
              <w:t>) cuando no se haya aportado la garantía de seriedad de la oferta con la propuesta.</w:t>
            </w:r>
          </w:p>
          <w:p w14:paraId="4D48B92B" w14:textId="1D177601" w:rsidR="007641FC" w:rsidRPr="00114892" w:rsidRDefault="007641FC" w:rsidP="007641FC">
            <w:pPr>
              <w:spacing w:line="276" w:lineRule="auto"/>
              <w:jc w:val="both"/>
              <w:rPr>
                <w:rFonts w:ascii="Verdana" w:hAnsi="Verdana"/>
              </w:rPr>
            </w:pPr>
            <w:r>
              <w:rPr>
                <w:rFonts w:ascii="Verdana" w:hAnsi="Verdana"/>
              </w:rPr>
              <w:t xml:space="preserve">     </w:t>
            </w:r>
            <w:r w:rsidRPr="00114892">
              <w:rPr>
                <w:rFonts w:ascii="Verdana" w:hAnsi="Verdana"/>
              </w:rPr>
              <w:t>Conforme al artículo 5 de la Ley 1882 de 2018, la prohibición de acreditar circunstancias posteriores al cierre del proceso implica que únicamente es subsanable la prueba de hechos o situaciones que ya existían al momento de la presentación de la oferta, m</w:t>
            </w:r>
            <w:r w:rsidR="00D61879">
              <w:rPr>
                <w:rFonts w:ascii="Verdana" w:hAnsi="Verdana"/>
              </w:rPr>
              <w:t>á</w:t>
            </w:r>
            <w:r w:rsidRPr="00114892">
              <w:rPr>
                <w:rFonts w:ascii="Verdana" w:hAnsi="Verdana"/>
              </w:rPr>
              <w:t>s no la constitución extemporánea de requisitos habilitantes. De ahí la necesidad de distinguir entre el requisito en sí mismo y su medio de acreditación, pues lo jurídicamente inadmisible es subsanar un requisito no cumplido al cierre, y no la aportación posterior de documentos que prueban una circunstancia preexistente.</w:t>
            </w:r>
          </w:p>
          <w:p w14:paraId="34023FC4" w14:textId="61DBD087" w:rsidR="007641FC" w:rsidRPr="00114892" w:rsidRDefault="007641FC" w:rsidP="00A8432D">
            <w:pPr>
              <w:spacing w:after="120" w:line="276" w:lineRule="auto"/>
              <w:jc w:val="both"/>
              <w:rPr>
                <w:rFonts w:ascii="Verdana" w:hAnsi="Verdana"/>
              </w:rPr>
            </w:pPr>
            <w:r>
              <w:rPr>
                <w:rFonts w:ascii="Verdana" w:hAnsi="Verdana"/>
              </w:rPr>
              <w:lastRenderedPageBreak/>
              <w:t xml:space="preserve">      </w:t>
            </w:r>
            <w:r w:rsidRPr="00114892">
              <w:rPr>
                <w:rFonts w:ascii="Verdana" w:hAnsi="Verdana"/>
              </w:rPr>
              <w:t>En este marco, la garantía de seriedad de la oferta debe existir y encontrarse válidamente constituida y vigente al cierre del plazo de presentación de propuestas, siendo insubsanable su no aportación o su expedición posterior. No obstante, los soportes documentales asociados a la póliza, como el comprobante de pago de la prima, no constituyen requisitos habilitantes autónomos, sino medios probatorios de una relación jurídica ya existente, cuya acreditación puede realizarse con posterioridad sin que ello suponga la introducción de un hecho nuevo.</w:t>
            </w:r>
          </w:p>
          <w:p w14:paraId="555502DE" w14:textId="77777777" w:rsidR="007641FC" w:rsidRDefault="007641FC" w:rsidP="007641FC">
            <w:pPr>
              <w:spacing w:line="276" w:lineRule="auto"/>
              <w:jc w:val="both"/>
              <w:rPr>
                <w:rFonts w:ascii="Verdana" w:hAnsi="Verdana"/>
              </w:rPr>
            </w:pPr>
            <w:r>
              <w:rPr>
                <w:rFonts w:ascii="Verdana" w:hAnsi="Verdana"/>
              </w:rPr>
              <w:t xml:space="preserve">     </w:t>
            </w:r>
            <w:r w:rsidRPr="00114892">
              <w:rPr>
                <w:rFonts w:ascii="Verdana" w:hAnsi="Verdana"/>
              </w:rPr>
              <w:t xml:space="preserve">Por tanto, la entrega posterior del comprobante de pago </w:t>
            </w:r>
            <w:proofErr w:type="gramStart"/>
            <w:r w:rsidRPr="00114892">
              <w:rPr>
                <w:rFonts w:ascii="Verdana" w:hAnsi="Verdana"/>
              </w:rPr>
              <w:t>se enmarca dentro de</w:t>
            </w:r>
            <w:proofErr w:type="gramEnd"/>
            <w:r w:rsidRPr="00114892">
              <w:rPr>
                <w:rFonts w:ascii="Verdana" w:hAnsi="Verdana"/>
              </w:rPr>
              <w:t xml:space="preserve"> la regla general de </w:t>
            </w:r>
            <w:proofErr w:type="spellStart"/>
            <w:r w:rsidRPr="00114892">
              <w:rPr>
                <w:rFonts w:ascii="Verdana" w:hAnsi="Verdana"/>
              </w:rPr>
              <w:t>subsanabilidad</w:t>
            </w:r>
            <w:proofErr w:type="spellEnd"/>
            <w:r w:rsidRPr="00114892">
              <w:rPr>
                <w:rFonts w:ascii="Verdana" w:hAnsi="Verdana"/>
              </w:rPr>
              <w:t>, siempre que la póliza haya sido expedida y se encuentre vigente antes del cierre del proceso. En consecuencia, salvo que la ley o el pliego de condiciones hayan previsto de manera expresa, razonable y proporcional el pago de la prima como causal autónoma de rechazo</w:t>
            </w:r>
            <w:r>
              <w:rPr>
                <w:rFonts w:ascii="Verdana" w:hAnsi="Verdana"/>
              </w:rPr>
              <w:t xml:space="preserve">, </w:t>
            </w:r>
            <w:r w:rsidRPr="00114892">
              <w:rPr>
                <w:rFonts w:ascii="Verdana" w:hAnsi="Verdana"/>
              </w:rPr>
              <w:t>lo cual es de interpretación restrictiva, la ausencia inicial de dicho soporte no constituye fundamento jurídico suficiente para rechazar la oferta.</w:t>
            </w:r>
          </w:p>
          <w:p w14:paraId="395BCF1F" w14:textId="77777777" w:rsidR="007641FC" w:rsidRPr="00594F8C" w:rsidRDefault="007641FC" w:rsidP="007641FC">
            <w:pPr>
              <w:spacing w:before="120" w:line="276" w:lineRule="auto"/>
              <w:ind w:firstLine="709"/>
              <w:jc w:val="both"/>
              <w:rPr>
                <w:rFonts w:ascii="Verdana" w:eastAsia="Arial" w:hAnsi="Verdana" w:cs="Arial"/>
              </w:rPr>
            </w:pPr>
            <w:r w:rsidRPr="00314EDC">
              <w:rPr>
                <w:rFonts w:ascii="Verdana" w:eastAsia="Arial" w:hAnsi="Verdana" w:cs="Arial"/>
                <w:lang w:val="es-ES"/>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tc>
      </w:tr>
    </w:tbl>
    <w:p w14:paraId="77D97EFA" w14:textId="77777777" w:rsidR="007641FC" w:rsidRPr="00960F72" w:rsidRDefault="007641FC" w:rsidP="007641FC">
      <w:pPr>
        <w:tabs>
          <w:tab w:val="left" w:pos="142"/>
          <w:tab w:val="left" w:pos="284"/>
        </w:tabs>
        <w:spacing w:after="0" w:line="276" w:lineRule="auto"/>
        <w:jc w:val="both"/>
        <w:rPr>
          <w:rFonts w:ascii="Verdana" w:eastAsia="Century Gothic" w:hAnsi="Verdana" w:cs="Century Gothic"/>
          <w:b/>
          <w:bCs/>
        </w:rPr>
      </w:pPr>
    </w:p>
    <w:p w14:paraId="6DE935FA" w14:textId="77777777" w:rsidR="007641FC" w:rsidRDefault="007641FC" w:rsidP="00A52BB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26C8AD16" w14:textId="77777777" w:rsidR="007641FC" w:rsidRDefault="007641FC" w:rsidP="007641FC">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7BA4E2CE" w14:textId="77777777" w:rsidR="007641FC" w:rsidRDefault="007641FC" w:rsidP="007641FC">
      <w:pPr>
        <w:tabs>
          <w:tab w:val="left" w:pos="142"/>
          <w:tab w:val="left" w:pos="284"/>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7F9DF36A" w14:textId="77777777" w:rsidR="007641FC" w:rsidRDefault="007641FC" w:rsidP="00A8432D">
      <w:pPr>
        <w:tabs>
          <w:tab w:val="left" w:pos="142"/>
          <w:tab w:val="left" w:pos="284"/>
        </w:tabs>
        <w:spacing w:after="0" w:line="276" w:lineRule="auto"/>
        <w:jc w:val="both"/>
        <w:rPr>
          <w:rFonts w:ascii="Verdana" w:eastAsia="Calibri" w:hAnsi="Verdana" w:cs="Arial"/>
        </w:rPr>
      </w:pPr>
    </w:p>
    <w:p w14:paraId="69903000" w14:textId="77777777" w:rsidR="007641FC" w:rsidRPr="0055341A" w:rsidDel="004D5F83" w:rsidRDefault="007641FC" w:rsidP="007641FC">
      <w:pPr>
        <w:spacing w:after="120" w:line="276" w:lineRule="auto"/>
        <w:jc w:val="both"/>
        <w:rPr>
          <w:rFonts w:ascii="Verdana" w:eastAsia="Times New Roman" w:hAnsi="Verdana" w:cs="Arial"/>
          <w:lang w:val="es-ES" w:eastAsia="es-ES"/>
        </w:rPr>
      </w:pPr>
      <w:r w:rsidRPr="3F2B4452">
        <w:rPr>
          <w:rFonts w:ascii="Verdana" w:hAnsi="Verdana" w:cs="Arial"/>
          <w:noProof/>
          <w:lang w:val="es-ES"/>
        </w:rPr>
        <w:t>L</w:t>
      </w:r>
      <w:r w:rsidRPr="3F2B4452">
        <w:rPr>
          <w:rFonts w:ascii="Verdana" w:eastAsia="Times New Roman" w:hAnsi="Verdana" w:cs="Arial"/>
        </w:rPr>
        <w:t xml:space="preserve">a regla de la </w:t>
      </w:r>
      <w:proofErr w:type="spellStart"/>
      <w:r w:rsidRPr="3F2B4452">
        <w:rPr>
          <w:rFonts w:ascii="Verdana" w:eastAsia="Times New Roman" w:hAnsi="Verdana" w:cs="Arial"/>
        </w:rPr>
        <w:t>subsanabilidad</w:t>
      </w:r>
      <w:proofErr w:type="spellEnd"/>
      <w:r w:rsidRPr="3F2B4452">
        <w:rPr>
          <w:rFonts w:ascii="Verdana" w:eastAsia="Times New Roman" w:hAnsi="Verdana" w:cs="Arial"/>
        </w:rPr>
        <w:t xml:space="preserve"> de las ofertas en los procedimientos de selección</w:t>
      </w:r>
      <w:r w:rsidRPr="3F2B4452">
        <w:rPr>
          <w:rFonts w:ascii="Verdana" w:eastAsia="Times New Roman" w:hAnsi="Verdana" w:cs="Arial"/>
          <w:b/>
          <w:bCs/>
        </w:rPr>
        <w:t xml:space="preserve"> </w:t>
      </w:r>
      <w:r w:rsidRPr="3F2B4452">
        <w:rPr>
          <w:rFonts w:ascii="Verdana" w:eastAsia="Times New Roman" w:hAnsi="Verdana" w:cs="Arial"/>
          <w:lang w:val="es-ES" w:eastAsia="es-ES"/>
        </w:rPr>
        <w:t xml:space="preserve">indica que, por regla general, la falta de entrega y los defectos en la acreditación de los requisitos habilitantes son aspectos subsanables. La excepción </w:t>
      </w:r>
      <w:r>
        <w:rPr>
          <w:rFonts w:ascii="Verdana" w:eastAsia="Times New Roman" w:hAnsi="Verdana" w:cs="Arial"/>
          <w:lang w:val="es-ES" w:eastAsia="es-ES"/>
        </w:rPr>
        <w:t>corresponde</w:t>
      </w:r>
      <w:r w:rsidRPr="3F2B4452">
        <w:rPr>
          <w:rFonts w:ascii="Verdana" w:eastAsia="Times New Roman" w:hAnsi="Verdana" w:cs="Arial"/>
          <w:lang w:val="es-ES" w:eastAsia="es-ES"/>
        </w:rPr>
        <w:t xml:space="preserve">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5B8E7200" w14:textId="77777777" w:rsidR="007641FC" w:rsidRDefault="007641FC" w:rsidP="007641FC">
      <w:pPr>
        <w:tabs>
          <w:tab w:val="left" w:pos="3828"/>
        </w:tabs>
        <w:spacing w:after="120" w:line="276" w:lineRule="auto"/>
        <w:ind w:firstLine="709"/>
        <w:jc w:val="both"/>
        <w:rPr>
          <w:rFonts w:ascii="Verdana" w:eastAsia="Times New Roman" w:hAnsi="Verdana" w:cs="Arial"/>
          <w:lang w:val="es-ES" w:eastAsia="es-ES"/>
        </w:rPr>
      </w:pPr>
      <w:r w:rsidRPr="37C57DE6">
        <w:rPr>
          <w:rFonts w:ascii="Verdana" w:eastAsia="Times New Roman" w:hAnsi="Verdana" w:cs="Arial"/>
          <w:lang w:val="es-ES" w:eastAsia="es-ES"/>
        </w:rPr>
        <w:lastRenderedPageBreak/>
        <w:t>La posibilidad de enmendar, corregir o subsanar los errores en los que se incurre en los documentos contentivos de la oferta</w:t>
      </w:r>
      <w:r>
        <w:rPr>
          <w:rFonts w:ascii="Verdana" w:eastAsia="Times New Roman" w:hAnsi="Verdana" w:cs="Arial"/>
          <w:lang w:val="es-ES" w:eastAsia="es-ES"/>
        </w:rPr>
        <w:t>,</w:t>
      </w:r>
      <w:r w:rsidRPr="37C57DE6">
        <w:rPr>
          <w:rFonts w:ascii="Verdana" w:eastAsia="Times New Roman" w:hAnsi="Verdana" w:cs="Arial"/>
          <w:lang w:val="es-ES" w:eastAsia="es-ES"/>
        </w:rPr>
        <w:t xml:space="preserve"> es un </w:t>
      </w:r>
      <w:r>
        <w:rPr>
          <w:rFonts w:ascii="Verdana" w:eastAsia="Times New Roman" w:hAnsi="Verdana" w:cs="Arial"/>
          <w:lang w:val="es-ES" w:eastAsia="es-ES"/>
        </w:rPr>
        <w:t xml:space="preserve">asunto </w:t>
      </w:r>
      <w:r w:rsidRPr="37C57DE6">
        <w:rPr>
          <w:rFonts w:ascii="Verdana" w:eastAsia="Times New Roman" w:hAnsi="Verdana" w:cs="Arial"/>
          <w:lang w:val="es-ES" w:eastAsia="es-ES"/>
        </w:rPr>
        <w:t>que ha tenido diferentes momentos o etapas en el ordenamiento jurídico colombiano</w:t>
      </w:r>
      <w:r>
        <w:rPr>
          <w:rFonts w:ascii="Verdana" w:eastAsia="Times New Roman" w:hAnsi="Verdana" w:cs="Arial"/>
          <w:lang w:val="es-ES" w:eastAsia="es-ES"/>
        </w:rPr>
        <w:t xml:space="preserve">. </w:t>
      </w:r>
    </w:p>
    <w:p w14:paraId="02B84976" w14:textId="77777777" w:rsidR="007641FC" w:rsidRDefault="007641FC" w:rsidP="007641FC">
      <w:pPr>
        <w:spacing w:after="120" w:line="276" w:lineRule="auto"/>
        <w:ind w:firstLine="709"/>
        <w:jc w:val="both"/>
        <w:rPr>
          <w:rFonts w:ascii="Verdana" w:eastAsia="Arial" w:hAnsi="Verdana" w:cs="Arial"/>
          <w:color w:val="000000" w:themeColor="text1"/>
        </w:rPr>
      </w:pPr>
      <w:r w:rsidRPr="05E3EA9D">
        <w:rPr>
          <w:rFonts w:ascii="Verdana" w:eastAsia="Arial" w:hAnsi="Verdana" w:cs="Arial"/>
          <w:color w:val="000000" w:themeColor="text1"/>
        </w:rPr>
        <w:t xml:space="preserve">En un </w:t>
      </w:r>
      <w:r w:rsidRPr="05E3EA9D">
        <w:rPr>
          <w:rFonts w:ascii="Verdana" w:eastAsia="Arial" w:hAnsi="Verdana" w:cs="Arial"/>
          <w:i/>
          <w:color w:val="000000" w:themeColor="text1"/>
        </w:rPr>
        <w:t>primer momento</w:t>
      </w:r>
      <w:r w:rsidRPr="05E3EA9D">
        <w:rPr>
          <w:rFonts w:ascii="Verdana" w:eastAsia="Arial" w:hAnsi="Verdana" w:cs="Arial"/>
          <w:color w:val="000000" w:themeColor="text1"/>
        </w:rPr>
        <w:t xml:space="preserve">, antes de expedirse la Constitución Política de 1991, el régimen jurídico de la </w:t>
      </w:r>
      <w:proofErr w:type="spellStart"/>
      <w:r w:rsidRPr="05E3EA9D">
        <w:rPr>
          <w:rFonts w:ascii="Verdana" w:eastAsia="Arial" w:hAnsi="Verdana" w:cs="Arial"/>
          <w:color w:val="000000" w:themeColor="text1"/>
        </w:rPr>
        <w:t>subsanabilidad</w:t>
      </w:r>
      <w:proofErr w:type="spellEnd"/>
      <w:r w:rsidRPr="05E3EA9D">
        <w:rPr>
          <w:rFonts w:ascii="Verdana" w:eastAsia="Arial" w:hAnsi="Verdana" w:cs="Arial"/>
          <w:color w:val="000000" w:themeColor="text1"/>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72E6F713" w14:textId="77777777" w:rsidR="007641FC" w:rsidRPr="00166975" w:rsidRDefault="007641FC" w:rsidP="007641FC">
      <w:pPr>
        <w:spacing w:before="120" w:after="0" w:line="276" w:lineRule="auto"/>
        <w:ind w:firstLine="709"/>
        <w:jc w:val="both"/>
        <w:rPr>
          <w:rFonts w:ascii="Verdana" w:eastAsia="Arial" w:hAnsi="Verdana" w:cs="Arial"/>
          <w:color w:val="000000" w:themeColor="text1"/>
        </w:rPr>
      </w:pPr>
      <w:r w:rsidRPr="00C64261">
        <w:rPr>
          <w:rFonts w:ascii="Verdana" w:eastAsia="Arial" w:hAnsi="Verdana" w:cs="Arial"/>
          <w:color w:val="000000"/>
        </w:rPr>
        <w:t xml:space="preserve">En un </w:t>
      </w:r>
      <w:r w:rsidRPr="00C64261">
        <w:rPr>
          <w:rFonts w:ascii="Verdana" w:eastAsia="Arial" w:hAnsi="Verdana" w:cs="Arial"/>
          <w:i/>
          <w:color w:val="000000"/>
        </w:rPr>
        <w:t>segundo momento</w:t>
      </w:r>
      <w:r w:rsidRPr="00C64261">
        <w:rPr>
          <w:rFonts w:ascii="Verdana" w:eastAsia="Arial" w:hAnsi="Verdana" w:cs="Arial"/>
          <w:color w:val="000000"/>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14:paraId="21A1917D" w14:textId="77777777" w:rsidR="007641FC" w:rsidRPr="00C64261" w:rsidRDefault="007641FC" w:rsidP="00A8432D">
      <w:pPr>
        <w:spacing w:after="0" w:line="276" w:lineRule="auto"/>
        <w:jc w:val="both"/>
        <w:rPr>
          <w:rFonts w:ascii="Verdana" w:eastAsia="Arial" w:hAnsi="Verdana" w:cs="Arial"/>
          <w:color w:val="000000"/>
        </w:rPr>
      </w:pPr>
    </w:p>
    <w:p w14:paraId="4E571D16" w14:textId="77777777" w:rsidR="007641FC" w:rsidRPr="00216288" w:rsidRDefault="007641FC" w:rsidP="007641FC">
      <w:pPr>
        <w:spacing w:after="0" w:line="240" w:lineRule="auto"/>
        <w:ind w:left="709" w:right="709"/>
        <w:jc w:val="both"/>
        <w:rPr>
          <w:rFonts w:ascii="Verdana" w:eastAsia="Arial" w:hAnsi="Verdana" w:cs="Arial"/>
          <w:color w:val="000000"/>
          <w:sz w:val="20"/>
          <w:szCs w:val="20"/>
        </w:rPr>
      </w:pPr>
      <w:r w:rsidRPr="00216288">
        <w:rPr>
          <w:rFonts w:ascii="Verdana" w:eastAsia="Arial" w:hAnsi="Verdana" w:cs="Arial"/>
          <w:color w:val="000000"/>
          <w:sz w:val="20"/>
          <w:szCs w:val="20"/>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7F03A310" w14:textId="77777777" w:rsidR="007641FC" w:rsidRDefault="007641FC" w:rsidP="007641FC">
      <w:pPr>
        <w:spacing w:after="0" w:line="240" w:lineRule="auto"/>
        <w:ind w:left="709" w:right="709"/>
        <w:jc w:val="both"/>
        <w:rPr>
          <w:rFonts w:ascii="Verdana" w:eastAsia="Arial" w:hAnsi="Verdana" w:cs="Arial"/>
          <w:color w:val="000000" w:themeColor="text1"/>
          <w:sz w:val="20"/>
          <w:szCs w:val="20"/>
        </w:rPr>
      </w:pPr>
    </w:p>
    <w:p w14:paraId="4993A75B" w14:textId="77777777" w:rsidR="007641FC" w:rsidRPr="001F283D" w:rsidRDefault="007641FC" w:rsidP="007641FC">
      <w:pPr>
        <w:spacing w:after="0" w:line="240" w:lineRule="auto"/>
        <w:ind w:left="709" w:right="709"/>
        <w:jc w:val="both"/>
        <w:rPr>
          <w:rFonts w:ascii="Verdana" w:eastAsia="Arial" w:hAnsi="Verdana" w:cs="Arial"/>
          <w:color w:val="000000"/>
          <w:sz w:val="20"/>
          <w:szCs w:val="20"/>
        </w:rPr>
      </w:pPr>
      <w:r w:rsidRPr="05E3EA9D">
        <w:rPr>
          <w:rFonts w:ascii="Verdana" w:eastAsia="Arial" w:hAnsi="Verdana" w:cs="Arial"/>
          <w:color w:val="000000" w:themeColor="text1"/>
          <w:sz w:val="20"/>
          <w:szCs w:val="20"/>
        </w:rPr>
        <w:t xml:space="preserve">La ausencia de requisitos o la falta de documentos referentes a la futura contratación o al proponente, no necesarios para la comparación de propuestas, no servirá de título suficiente para el rechazo de los ofrecimientos hechos”. </w:t>
      </w:r>
    </w:p>
    <w:p w14:paraId="4088225A" w14:textId="77777777" w:rsidR="007641FC" w:rsidRPr="00693ABA" w:rsidRDefault="007641FC" w:rsidP="007641FC">
      <w:pPr>
        <w:spacing w:after="0" w:line="240" w:lineRule="auto"/>
        <w:ind w:left="709" w:right="709"/>
        <w:jc w:val="both"/>
        <w:rPr>
          <w:rFonts w:ascii="Verdana" w:eastAsia="Arial" w:hAnsi="Verdana" w:cs="Arial"/>
          <w:color w:val="000000"/>
        </w:rPr>
      </w:pPr>
    </w:p>
    <w:p w14:paraId="419ABDCC" w14:textId="77777777" w:rsidR="007641FC" w:rsidRDefault="007641FC" w:rsidP="007641FC">
      <w:pPr>
        <w:spacing w:after="0" w:line="276" w:lineRule="auto"/>
        <w:ind w:firstLine="709"/>
        <w:jc w:val="both"/>
        <w:rPr>
          <w:rFonts w:ascii="Verdana" w:eastAsia="Arial" w:hAnsi="Verdana" w:cs="Arial"/>
          <w:color w:val="000000"/>
        </w:rPr>
      </w:pPr>
      <w:r w:rsidRPr="05E3EA9D">
        <w:rPr>
          <w:rFonts w:ascii="Verdana" w:eastAsia="Arial" w:hAnsi="Verdana" w:cs="Arial"/>
          <w:color w:val="000000" w:themeColor="text1"/>
        </w:rPr>
        <w:t xml:space="preserve">Bajo el amparo de esta norma, el régimen jurídico de </w:t>
      </w:r>
      <w:proofErr w:type="spellStart"/>
      <w:r w:rsidRPr="05E3EA9D">
        <w:rPr>
          <w:rFonts w:ascii="Verdana" w:eastAsia="Arial" w:hAnsi="Verdana" w:cs="Arial"/>
          <w:color w:val="000000" w:themeColor="text1"/>
        </w:rPr>
        <w:t>subsanabilidad</w:t>
      </w:r>
      <w:proofErr w:type="spellEnd"/>
      <w:r w:rsidRPr="05E3EA9D">
        <w:rPr>
          <w:rFonts w:ascii="Verdana" w:eastAsia="Arial" w:hAnsi="Verdana" w:cs="Arial"/>
          <w:color w:val="000000" w:themeColor="text1"/>
        </w:rPr>
        <w:t xml:space="preserve"> de las ofertas sufre un cambio fundamental, pues ya no era posible rechazar las ofertas por falta de requisitos o documentos que no fueran “</w:t>
      </w:r>
      <w:r w:rsidRPr="05E3EA9D">
        <w:rPr>
          <w:rFonts w:ascii="Verdana" w:eastAsia="Arial" w:hAnsi="Verdana" w:cs="Arial"/>
          <w:i/>
          <w:color w:val="000000" w:themeColor="text1"/>
        </w:rPr>
        <w:t>necesarios para la comparación de propuestas</w:t>
      </w:r>
      <w:r w:rsidRPr="05E3EA9D">
        <w:rPr>
          <w:rFonts w:ascii="Verdana" w:eastAsia="Arial" w:hAnsi="Verdana" w:cs="Arial"/>
          <w:color w:val="000000" w:themeColor="text1"/>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6870128C" w14:textId="77777777" w:rsidR="007641FC" w:rsidRDefault="007641FC" w:rsidP="007641FC">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lastRenderedPageBreak/>
        <w:t>El artículo 25</w:t>
      </w:r>
      <w:r>
        <w:rPr>
          <w:rFonts w:ascii="Verdana" w:eastAsia="Arial" w:hAnsi="Verdana" w:cs="Arial"/>
          <w:color w:val="000000"/>
        </w:rPr>
        <w:t xml:space="preserve"> numeral 1</w:t>
      </w:r>
      <w:r w:rsidRPr="00C64261">
        <w:rPr>
          <w:rFonts w:ascii="Verdana" w:eastAsia="Arial" w:hAnsi="Verdana" w:cs="Arial"/>
          <w:color w:val="000000"/>
        </w:rPr>
        <w:t xml:space="preserve">5 </w:t>
      </w:r>
      <w:r>
        <w:rPr>
          <w:rFonts w:ascii="Verdana" w:eastAsia="Arial" w:hAnsi="Verdana" w:cs="Arial"/>
          <w:color w:val="000000"/>
        </w:rPr>
        <w:t xml:space="preserve">de la Ley 80 de 1993 </w:t>
      </w:r>
      <w:r w:rsidRPr="00C64261">
        <w:rPr>
          <w:rFonts w:ascii="Verdana" w:eastAsia="Arial" w:hAnsi="Verdana" w:cs="Arial"/>
          <w:color w:val="000000"/>
        </w:rPr>
        <w:t>debía leerse en conjunto con otras de</w:t>
      </w:r>
      <w:r>
        <w:rPr>
          <w:rFonts w:ascii="Verdana" w:eastAsia="Arial" w:hAnsi="Verdana" w:cs="Arial"/>
          <w:color w:val="000000"/>
        </w:rPr>
        <w:t>l EGCAP</w:t>
      </w:r>
      <w:r w:rsidRPr="00C64261">
        <w:rPr>
          <w:rFonts w:ascii="Verdana" w:eastAsia="Arial" w:hAnsi="Verdana" w:cs="Arial"/>
          <w:color w:val="000000"/>
        </w:rPr>
        <w:t>, particularmente con el artículo 30</w:t>
      </w:r>
      <w:r>
        <w:rPr>
          <w:rFonts w:ascii="Verdana" w:eastAsia="Arial" w:hAnsi="Verdana" w:cs="Arial"/>
          <w:color w:val="000000"/>
        </w:rPr>
        <w:t xml:space="preserve"> numeral </w:t>
      </w:r>
      <w:r w:rsidRPr="00C64261">
        <w:rPr>
          <w:rFonts w:ascii="Verdana" w:eastAsia="Arial" w:hAnsi="Verdana" w:cs="Arial"/>
          <w:color w:val="000000"/>
        </w:rPr>
        <w:t>7</w:t>
      </w:r>
      <w:r w:rsidRPr="00C64261">
        <w:rPr>
          <w:rFonts w:ascii="Verdana" w:eastAsia="Arial" w:hAnsi="Verdana" w:cs="Arial"/>
          <w:color w:val="000000"/>
          <w:vertAlign w:val="superscript"/>
        </w:rPr>
        <w:footnoteReference w:id="2"/>
      </w:r>
      <w:r w:rsidRPr="00C64261">
        <w:rPr>
          <w:rFonts w:ascii="Verdana" w:eastAsia="Arial" w:hAnsi="Verdana" w:cs="Arial"/>
          <w:color w:val="000000"/>
        </w:rPr>
        <w:t xml:space="preserve">, que ordena a la </w:t>
      </w:r>
      <w:r w:rsidRPr="003C06BF">
        <w:rPr>
          <w:rFonts w:ascii="Verdana" w:eastAsia="Arial" w:hAnsi="Verdana" w:cs="Arial"/>
          <w:color w:val="000000"/>
        </w:rPr>
        <w:t>entidad señalar un plazo razonable para evaluar las propuestas y pedir a los proponentes, de ser necesario, que aclaren o expliquen aspectos que ofrezcan dudas y resulten indispensables para hacer la evaluación</w:t>
      </w:r>
      <w:r>
        <w:rPr>
          <w:rFonts w:ascii="Verdana" w:eastAsia="Arial" w:hAnsi="Verdana" w:cs="Arial"/>
          <w:color w:val="000000"/>
        </w:rPr>
        <w:t>. C</w:t>
      </w:r>
      <w:r w:rsidRPr="003C06BF">
        <w:rPr>
          <w:rFonts w:ascii="Verdana" w:eastAsia="Arial" w:hAnsi="Verdana" w:cs="Arial"/>
          <w:color w:val="000000"/>
        </w:rPr>
        <w:t>on el artículo 30</w:t>
      </w:r>
      <w:r>
        <w:rPr>
          <w:rFonts w:ascii="Verdana" w:eastAsia="Arial" w:hAnsi="Verdana" w:cs="Arial"/>
          <w:color w:val="000000"/>
        </w:rPr>
        <w:t xml:space="preserve"> numeral </w:t>
      </w:r>
      <w:r w:rsidRPr="003C06BF">
        <w:rPr>
          <w:rFonts w:ascii="Verdana" w:eastAsia="Arial" w:hAnsi="Verdana" w:cs="Arial"/>
          <w:color w:val="000000"/>
        </w:rPr>
        <w:t>8</w:t>
      </w:r>
      <w:r w:rsidRPr="003C06BF">
        <w:rPr>
          <w:rFonts w:ascii="Verdana" w:eastAsia="Arial" w:hAnsi="Verdana" w:cs="Arial"/>
          <w:color w:val="000000"/>
          <w:vertAlign w:val="superscript"/>
        </w:rPr>
        <w:footnoteReference w:id="3"/>
      </w:r>
      <w:r w:rsidRPr="003C06BF">
        <w:rPr>
          <w:rFonts w:ascii="Verdana" w:eastAsia="Arial" w:hAnsi="Verdana" w:cs="Arial"/>
          <w:color w:val="000000"/>
        </w:rPr>
        <w:t>, que consagró el término de 5 días hábiles para que los oferentes presenten observaciones al informe de evaluación de las propuestas, sin que sea posible completar, adicionar, modificar o mejorar la oferta. A partir de la lectura integrada de estas tres normas</w:t>
      </w:r>
      <w:r>
        <w:rPr>
          <w:rFonts w:ascii="Verdana" w:eastAsia="Arial" w:hAnsi="Verdana" w:cs="Arial"/>
          <w:color w:val="000000"/>
        </w:rPr>
        <w:t>,</w:t>
      </w:r>
      <w:r w:rsidRPr="003C06BF">
        <w:rPr>
          <w:rFonts w:ascii="Verdana" w:eastAsia="Arial" w:hAnsi="Verdana" w:cs="Arial"/>
          <w:color w:val="000000"/>
        </w:rPr>
        <w:t xml:space="preserve"> debía concluirse que con la Ley 80 de 1993 era posible subsanar las propuestas, y la omisión o el error en algún aspecto de </w:t>
      </w:r>
      <w:proofErr w:type="gramStart"/>
      <w:r w:rsidRPr="003C06BF">
        <w:rPr>
          <w:rFonts w:ascii="Verdana" w:eastAsia="Arial" w:hAnsi="Verdana" w:cs="Arial"/>
          <w:color w:val="000000"/>
        </w:rPr>
        <w:t>la misma</w:t>
      </w:r>
      <w:proofErr w:type="gramEnd"/>
      <w:r w:rsidRPr="003C06BF">
        <w:rPr>
          <w:rFonts w:ascii="Verdana" w:eastAsia="Arial" w:hAnsi="Verdana" w:cs="Arial"/>
          <w:color w:val="000000"/>
        </w:rPr>
        <w:t xml:space="preserve"> no podía llevar a su rechazo, sin antes verificar que lo omitido fuera un aspecto necesario para la comparación.</w:t>
      </w:r>
      <w:r w:rsidRPr="00C64261">
        <w:rPr>
          <w:rFonts w:ascii="Verdana" w:eastAsia="Arial" w:hAnsi="Verdana" w:cs="Arial"/>
          <w:color w:val="000000"/>
        </w:rPr>
        <w:t xml:space="preserve"> </w:t>
      </w:r>
    </w:p>
    <w:p w14:paraId="2E848417" w14:textId="77777777" w:rsidR="007641FC" w:rsidRDefault="007641FC" w:rsidP="007641FC">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un </w:t>
      </w:r>
      <w:r w:rsidRPr="00C64261">
        <w:rPr>
          <w:rFonts w:ascii="Verdana" w:eastAsia="Arial" w:hAnsi="Verdana" w:cs="Arial"/>
          <w:i/>
          <w:color w:val="000000"/>
        </w:rPr>
        <w:t>tercer momento</w:t>
      </w:r>
      <w:r w:rsidRPr="00C64261">
        <w:rPr>
          <w:rFonts w:ascii="Verdana" w:eastAsia="Arial" w:hAnsi="Verdana" w:cs="Arial"/>
          <w:color w:val="000000"/>
        </w:rPr>
        <w:t>, y siguiendo la línea trazada por la Ley 80 de 1993, el legislador expidió la Ley 1150 de 2007, que, en el parágrafo 1º del artículo 5, determinó lo siguiente: “La ausencia de requisitos o la falta de documentos referentes a la futura contratación o al proponente, no necesarios para la comparación de las propuestas no servirán de título suficiente para el rechazo de los ofrecimientos hechos. En consecuencia</w:t>
      </w:r>
      <w:r w:rsidRPr="00C64261">
        <w:rPr>
          <w:rFonts w:ascii="Verdana" w:eastAsia="Arial" w:hAnsi="Verdana" w:cs="Arial"/>
          <w:b/>
          <w:color w:val="000000"/>
        </w:rPr>
        <w:t xml:space="preserve">, </w:t>
      </w:r>
      <w:r w:rsidRPr="00C64261">
        <w:rPr>
          <w:rFonts w:ascii="Verdana" w:eastAsia="Arial" w:hAnsi="Verdana" w:cs="Arial"/>
          <w:color w:val="000000"/>
        </w:rPr>
        <w:t xml:space="preserve">todos aquellos requisitos de la propuesta que no afecten la asignación de </w:t>
      </w:r>
      <w:proofErr w:type="gramStart"/>
      <w:r w:rsidRPr="00C64261">
        <w:rPr>
          <w:rFonts w:ascii="Verdana" w:eastAsia="Arial" w:hAnsi="Verdana" w:cs="Arial"/>
          <w:color w:val="000000"/>
        </w:rPr>
        <w:t>puntaje</w:t>
      </w:r>
      <w:r>
        <w:rPr>
          <w:rFonts w:ascii="Verdana" w:eastAsia="Arial" w:hAnsi="Verdana" w:cs="Arial"/>
          <w:color w:val="000000"/>
        </w:rPr>
        <w:t>,</w:t>
      </w:r>
      <w:proofErr w:type="gramEnd"/>
      <w:r w:rsidRPr="00C64261">
        <w:rPr>
          <w:rFonts w:ascii="Verdana" w:eastAsia="Arial" w:hAnsi="Verdana" w:cs="Arial"/>
          <w:color w:val="000000"/>
        </w:rPr>
        <w:t xml:space="preserve"> podrán ser solicitados por las entidades en cualquier momento, hasta la adjudicación. No </w:t>
      </w:r>
      <w:proofErr w:type="gramStart"/>
      <w:r w:rsidRPr="00C64261">
        <w:rPr>
          <w:rFonts w:ascii="Verdana" w:eastAsia="Arial" w:hAnsi="Verdana" w:cs="Arial"/>
          <w:color w:val="000000"/>
        </w:rPr>
        <w:t>obstante</w:t>
      </w:r>
      <w:proofErr w:type="gramEnd"/>
      <w:r w:rsidRPr="00C64261">
        <w:rPr>
          <w:rFonts w:ascii="Verdana" w:eastAsia="Arial" w:hAnsi="Verdana" w:cs="Arial"/>
          <w:color w:val="000000"/>
        </w:rPr>
        <w:t xml:space="preserve"> lo anterior, en aquellos procesos de selección en los que se utilice el mecanismo de subasta, deberán ser solicitados hasta el momento previo a su realización”. </w:t>
      </w:r>
    </w:p>
    <w:p w14:paraId="2CCC2A2B" w14:textId="77777777" w:rsidR="007641FC" w:rsidRDefault="007641FC" w:rsidP="007641FC">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w:t>
      </w:r>
      <w:r w:rsidRPr="00C64261">
        <w:rPr>
          <w:rFonts w:ascii="Verdana" w:eastAsia="Arial" w:hAnsi="Verdana" w:cs="Arial"/>
          <w:color w:val="000000"/>
        </w:rPr>
        <w:lastRenderedPageBreak/>
        <w:t xml:space="preserve">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2F7A75DC" w14:textId="77777777" w:rsidR="007641FC" w:rsidRPr="00C64261" w:rsidRDefault="007641FC" w:rsidP="007641FC">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El artículo 5 de la Ley 1150 de 2007, además de consagrar un criterio más claro, y, de paso, reducir la discrecionalidad de la Administración, fijó un ámbito temporal para la subsanación de las ofertas: “</w:t>
      </w:r>
      <w:r w:rsidRPr="00C64261">
        <w:rPr>
          <w:rFonts w:ascii="Verdana" w:eastAsia="Arial" w:hAnsi="Verdana" w:cs="Arial"/>
          <w:i/>
          <w:color w:val="000000"/>
        </w:rPr>
        <w:t>en cualquier momento, hasta la adjudicación</w:t>
      </w:r>
      <w:r w:rsidRPr="00C64261">
        <w:rPr>
          <w:rFonts w:ascii="Verdana" w:eastAsia="Arial" w:hAnsi="Verdana" w:cs="Arial"/>
          <w:color w:val="000000"/>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8084248" w14:textId="77777777" w:rsidR="007641FC" w:rsidRPr="00C64261" w:rsidRDefault="007641FC" w:rsidP="007641FC">
      <w:pPr>
        <w:spacing w:after="0" w:line="240" w:lineRule="auto"/>
        <w:jc w:val="both"/>
        <w:rPr>
          <w:rFonts w:ascii="Verdana" w:eastAsia="Arial" w:hAnsi="Verdana" w:cs="Arial"/>
          <w:color w:val="000000"/>
        </w:rPr>
      </w:pPr>
    </w:p>
    <w:p w14:paraId="3FE370F7" w14:textId="77777777" w:rsidR="007641FC" w:rsidRDefault="007641FC" w:rsidP="007641FC">
      <w:pPr>
        <w:spacing w:after="0" w:line="240" w:lineRule="auto"/>
        <w:ind w:left="709" w:right="709"/>
        <w:jc w:val="both"/>
        <w:rPr>
          <w:rFonts w:ascii="Verdana" w:eastAsia="Arial" w:hAnsi="Verdana" w:cs="Arial"/>
          <w:color w:val="000000"/>
          <w:sz w:val="20"/>
          <w:szCs w:val="20"/>
        </w:rPr>
      </w:pPr>
      <w:r w:rsidRPr="003C06BF">
        <w:rPr>
          <w:rFonts w:ascii="Verdana" w:eastAsia="Arial" w:hAnsi="Verdana" w:cs="Arial"/>
          <w:color w:val="000000"/>
          <w:sz w:val="20"/>
          <w:szCs w:val="20"/>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3C06BF">
        <w:rPr>
          <w:rFonts w:ascii="Verdana" w:eastAsia="Arial" w:hAnsi="Verdana" w:cs="Arial"/>
          <w:color w:val="000000"/>
          <w:sz w:val="20"/>
          <w:szCs w:val="20"/>
          <w:vertAlign w:val="superscript"/>
        </w:rPr>
        <w:footnoteReference w:id="4"/>
      </w:r>
      <w:r w:rsidRPr="003C06BF">
        <w:rPr>
          <w:rFonts w:ascii="Verdana" w:eastAsia="Arial" w:hAnsi="Verdana" w:cs="Arial"/>
          <w:color w:val="000000"/>
          <w:sz w:val="20"/>
          <w:szCs w:val="20"/>
        </w:rPr>
        <w:t>.</w:t>
      </w:r>
    </w:p>
    <w:p w14:paraId="13717F09" w14:textId="77777777" w:rsidR="007641FC" w:rsidRPr="00EC0EEB" w:rsidRDefault="007641FC" w:rsidP="007641FC">
      <w:pPr>
        <w:spacing w:after="0" w:line="240" w:lineRule="auto"/>
        <w:ind w:left="709" w:right="709"/>
        <w:jc w:val="both"/>
        <w:rPr>
          <w:rFonts w:ascii="Verdana" w:eastAsia="Arial" w:hAnsi="Verdana" w:cs="Arial"/>
          <w:color w:val="000000"/>
          <w:sz w:val="20"/>
          <w:szCs w:val="20"/>
        </w:rPr>
      </w:pPr>
    </w:p>
    <w:p w14:paraId="042344CE" w14:textId="77777777" w:rsidR="007641FC" w:rsidRDefault="007641FC" w:rsidP="007641FC">
      <w:pPr>
        <w:pBdr>
          <w:top w:val="nil"/>
          <w:left w:val="nil"/>
          <w:bottom w:val="nil"/>
          <w:right w:val="nil"/>
          <w:between w:val="nil"/>
        </w:pBdr>
        <w:tabs>
          <w:tab w:val="left" w:pos="284"/>
        </w:tabs>
        <w:spacing w:after="0" w:line="276" w:lineRule="auto"/>
        <w:ind w:firstLine="709"/>
        <w:jc w:val="both"/>
        <w:rPr>
          <w:rFonts w:ascii="Verdana" w:eastAsia="Arial" w:hAnsi="Verdana" w:cs="Arial"/>
          <w:color w:val="000000"/>
        </w:rPr>
      </w:pPr>
      <w:r w:rsidRPr="00C64261">
        <w:rPr>
          <w:rFonts w:ascii="Verdana" w:eastAsia="Arial" w:hAnsi="Verdana" w:cs="Arial"/>
          <w:color w:val="000000"/>
        </w:rPr>
        <w:t>Esa interpretación fue compartida por la Agencia Nacional de Contratación Pública – Colombia Compra Eficiente, pues en la Circular Externa Única</w:t>
      </w:r>
      <w:r>
        <w:rPr>
          <w:rStyle w:val="Refdenotaalpie"/>
          <w:rFonts w:ascii="Verdana" w:eastAsia="Arial" w:hAnsi="Verdana" w:cs="Arial"/>
          <w:color w:val="000000"/>
        </w:rPr>
        <w:footnoteReference w:id="5"/>
      </w:r>
      <w:r w:rsidRPr="00C64261">
        <w:rPr>
          <w:rFonts w:ascii="Verdana" w:eastAsia="Arial" w:hAnsi="Verdana" w:cs="Arial"/>
          <w:color w:val="000000"/>
        </w:rPr>
        <w:t xml:space="preserve"> se había precisado que</w:t>
      </w:r>
      <w:r>
        <w:rPr>
          <w:rFonts w:ascii="Verdana" w:eastAsia="Arial" w:hAnsi="Verdana" w:cs="Arial"/>
          <w:color w:val="000000"/>
        </w:rPr>
        <w:t>,</w:t>
      </w:r>
      <w:r w:rsidRPr="00C64261">
        <w:rPr>
          <w:rFonts w:ascii="Verdana" w:eastAsia="Arial" w:hAnsi="Verdana" w:cs="Arial"/>
          <w:color w:val="000000"/>
        </w:rPr>
        <w:t xml:space="preserve"> si durante un proceso de contratación hay proponentes que no acreditaron en sus ofertas requisitos que no afectan la asignación de puntaje o la comparación de </w:t>
      </w:r>
      <w:proofErr w:type="gramStart"/>
      <w:r w:rsidRPr="00C64261">
        <w:rPr>
          <w:rFonts w:ascii="Verdana" w:eastAsia="Arial" w:hAnsi="Verdana" w:cs="Arial"/>
          <w:color w:val="000000"/>
        </w:rPr>
        <w:t>las mismas</w:t>
      </w:r>
      <w:proofErr w:type="gramEnd"/>
      <w:r w:rsidRPr="00C64261">
        <w:rPr>
          <w:rFonts w:ascii="Verdana" w:eastAsia="Arial" w:hAnsi="Verdana" w:cs="Arial"/>
          <w:color w:val="000000"/>
        </w:rPr>
        <w:t>, la entidad estatal deberá indicarlo en el informe de evaluación y advertir que la correspondiente oferta no será evaluada hasta que se subsane.</w:t>
      </w:r>
    </w:p>
    <w:p w14:paraId="58133FB8" w14:textId="77777777" w:rsidR="007641FC" w:rsidRDefault="007641FC" w:rsidP="007641FC">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un </w:t>
      </w:r>
      <w:r w:rsidRPr="00C64261">
        <w:rPr>
          <w:rFonts w:ascii="Verdana" w:eastAsia="Arial" w:hAnsi="Verdana" w:cs="Arial"/>
          <w:i/>
          <w:color w:val="000000"/>
        </w:rPr>
        <w:t>cuarto momento</w:t>
      </w:r>
      <w:r w:rsidRPr="00C64261">
        <w:rPr>
          <w:rFonts w:ascii="Verdana" w:eastAsia="Arial" w:hAnsi="Verdana" w:cs="Arial"/>
          <w:color w:val="000000"/>
        </w:rPr>
        <w:t xml:space="preserve">, el legislador expidió la Ley 1882 de 2018, con la finalidad de introducir cambios y ajustes para fortalecer la contratación pública. El artículo 5 modificó el parágrafo 1º del artículo 5 de la Ley 1150 de 2007 en </w:t>
      </w:r>
      <w:r w:rsidRPr="00C64261">
        <w:rPr>
          <w:rFonts w:ascii="Verdana" w:eastAsia="Arial" w:hAnsi="Verdana" w:cs="Arial"/>
          <w:color w:val="000000"/>
        </w:rPr>
        <w:lastRenderedPageBreak/>
        <w:t xml:space="preserve">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7580481D" w14:textId="77777777" w:rsidR="007641FC" w:rsidRDefault="007641FC" w:rsidP="007641FC">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Como puede observarse, esta norma: i) mantiene el criterio de la Ley 80 de 1993, relativo a que todo lo que no sea necesario para la comparación de propuestas no es título suficiente para su rechazo; </w:t>
      </w:r>
      <w:proofErr w:type="spellStart"/>
      <w:r w:rsidRPr="00C64261">
        <w:rPr>
          <w:rFonts w:ascii="Verdana" w:eastAsia="Arial" w:hAnsi="Verdana" w:cs="Arial"/>
          <w:color w:val="000000"/>
        </w:rPr>
        <w:t>ii</w:t>
      </w:r>
      <w:proofErr w:type="spellEnd"/>
      <w:r w:rsidRPr="00C64261">
        <w:rPr>
          <w:rFonts w:ascii="Verdana" w:eastAsia="Arial" w:hAnsi="Verdana" w:cs="Arial"/>
          <w:color w:val="000000"/>
        </w:rPr>
        <w:t xml:space="preserve">) mantiene el criterio aclaratorio de la Ley 1150 de 2007, según el cual todo lo que no afecte la asignación de puntaje puede subsanarse e </w:t>
      </w:r>
      <w:proofErr w:type="spellStart"/>
      <w:r w:rsidRPr="00C64261">
        <w:rPr>
          <w:rFonts w:ascii="Verdana" w:eastAsia="Arial" w:hAnsi="Verdana" w:cs="Arial"/>
          <w:color w:val="000000"/>
        </w:rPr>
        <w:t>iii</w:t>
      </w:r>
      <w:proofErr w:type="spellEnd"/>
      <w:r w:rsidRPr="00C64261">
        <w:rPr>
          <w:rFonts w:ascii="Verdana" w:eastAsia="Arial" w:hAnsi="Verdana" w:cs="Arial"/>
          <w:color w:val="000000"/>
        </w:rPr>
        <w:t xml:space="preserve">) introduce modificaciones en relación con algunos aspectos que se analizarán a continuación. </w:t>
      </w:r>
    </w:p>
    <w:p w14:paraId="555B6B4F" w14:textId="77777777" w:rsidR="007641FC" w:rsidRDefault="007641FC" w:rsidP="007641FC">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C64261">
        <w:rPr>
          <w:rFonts w:ascii="Verdana" w:eastAsia="Arial" w:hAnsi="Verdana" w:cs="Arial"/>
          <w:color w:val="000000"/>
          <w:vertAlign w:val="superscript"/>
        </w:rPr>
        <w:footnoteReference w:id="6"/>
      </w:r>
      <w:r w:rsidRPr="00C64261">
        <w:rPr>
          <w:rFonts w:ascii="Verdana" w:eastAsia="Arial" w:hAnsi="Verdana" w:cs="Arial"/>
          <w:color w:val="000000"/>
        </w:rPr>
        <w:t>; en el último</w:t>
      </w:r>
      <w:r>
        <w:rPr>
          <w:rFonts w:ascii="Verdana" w:eastAsia="Arial" w:hAnsi="Verdana" w:cs="Arial"/>
          <w:color w:val="000000"/>
        </w:rPr>
        <w:t>,</w:t>
      </w:r>
      <w:r w:rsidRPr="00C64261">
        <w:rPr>
          <w:rFonts w:ascii="Verdana" w:eastAsia="Arial" w:hAnsi="Verdana" w:cs="Arial"/>
          <w:color w:val="000000"/>
        </w:rPr>
        <w:t xml:space="preserve"> los documentos o requisitos subsanables pueden y deben solicitarse hasta el momento previo a su realización.</w:t>
      </w:r>
    </w:p>
    <w:p w14:paraId="2F308965" w14:textId="77777777" w:rsidR="007641FC" w:rsidRDefault="007641FC" w:rsidP="007641FC">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Frente a la regla general, la norma fijó un límite final para que la Administración y los oferentes subsanen los requisitos o documentos que puedan y deban ser subsanados, pero nada impide, y la norma no lo hace, que la </w:t>
      </w:r>
      <w:r w:rsidRPr="00C64261">
        <w:rPr>
          <w:rFonts w:ascii="Verdana" w:eastAsia="Arial" w:hAnsi="Verdana" w:cs="Arial"/>
          <w:color w:val="000000"/>
        </w:rPr>
        <w:lastRenderedPageBreak/>
        <w:t xml:space="preserve">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7413BD68" w14:textId="77777777" w:rsidR="007641FC" w:rsidRDefault="007641FC" w:rsidP="007641FC">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No obstante, de la lectura de este aparte podrían, en la práctica, darse dos interpretaciones que dan lugar a dos formas de proceder en los procesos de selección, en lo que se refiere a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w:t>
      </w:r>
      <w:r w:rsidRPr="00C64261">
        <w:rPr>
          <w:rFonts w:ascii="Verdana" w:eastAsia="Arial" w:hAnsi="Verdana" w:cs="Arial"/>
          <w:i/>
          <w:color w:val="000000"/>
        </w:rPr>
        <w:t>Primera</w:t>
      </w:r>
      <w:r w:rsidRPr="00C64261">
        <w:rPr>
          <w:rFonts w:ascii="Verdana" w:eastAsia="Arial" w:hAnsi="Verdana" w:cs="Arial"/>
          <w:color w:val="000000"/>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C64261">
        <w:rPr>
          <w:rFonts w:ascii="Verdana" w:eastAsia="Arial" w:hAnsi="Verdana" w:cs="Arial"/>
          <w:i/>
          <w:color w:val="000000"/>
        </w:rPr>
        <w:t>segunda</w:t>
      </w:r>
      <w:r w:rsidRPr="00C64261">
        <w:rPr>
          <w:rFonts w:ascii="Verdana" w:eastAsia="Arial" w:hAnsi="Verdana" w:cs="Arial"/>
          <w:color w:val="000000"/>
        </w:rPr>
        <w:t xml:space="preserve">, que el término del traslado del informe de evaluación es el límite para la subsanación de ofertas, pero no el único momento para hacerlo. </w:t>
      </w:r>
    </w:p>
    <w:p w14:paraId="34563731" w14:textId="77777777" w:rsidR="007641FC" w:rsidRDefault="007641FC" w:rsidP="007641FC">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6A9028BE" w14:textId="77777777" w:rsidR="007641FC" w:rsidRDefault="007641FC" w:rsidP="007641FC">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3777E7FA" w14:textId="77777777" w:rsidR="007641FC" w:rsidRDefault="007641FC" w:rsidP="007641FC">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lastRenderedPageBreak/>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0E0B2B54" w14:textId="77777777" w:rsidR="007641FC" w:rsidRDefault="007641FC" w:rsidP="007641FC">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C64261">
        <w:rPr>
          <w:rFonts w:ascii="Verdana" w:eastAsia="Arial" w:hAnsi="Verdana" w:cs="Arial"/>
          <w:b/>
          <w:i/>
          <w:color w:val="000000"/>
        </w:rPr>
        <w:t>.</w:t>
      </w:r>
      <w:r w:rsidRPr="00C64261">
        <w:rPr>
          <w:rFonts w:ascii="Verdana" w:eastAsia="Arial" w:hAnsi="Verdana" w:cs="Arial"/>
          <w:b/>
          <w:color w:val="000000"/>
        </w:rPr>
        <w:t xml:space="preserve"> </w:t>
      </w:r>
      <w:r w:rsidRPr="00C64261">
        <w:rPr>
          <w:rFonts w:ascii="Verdana" w:eastAsia="Arial" w:hAnsi="Verdana" w:cs="Arial"/>
          <w:color w:val="000000"/>
        </w:rPr>
        <w:t xml:space="preserve">Lo anterior ofrece dos aspectos que merecen clarificación: </w:t>
      </w:r>
      <w:r w:rsidRPr="00C64261">
        <w:rPr>
          <w:rFonts w:ascii="Verdana" w:eastAsia="Arial" w:hAnsi="Verdana" w:cs="Arial"/>
          <w:i/>
          <w:color w:val="000000"/>
        </w:rPr>
        <w:t>primero</w:t>
      </w:r>
      <w:r w:rsidRPr="00C64261">
        <w:rPr>
          <w:rFonts w:ascii="Verdana" w:eastAsia="Arial" w:hAnsi="Verdana" w:cs="Arial"/>
          <w:color w:val="000000"/>
        </w:rPr>
        <w:t xml:space="preserve">, qué debe entenderse por circunstancias ocurridas con posterioridad; y </w:t>
      </w:r>
      <w:r w:rsidRPr="00C64261">
        <w:rPr>
          <w:rFonts w:ascii="Verdana" w:eastAsia="Arial" w:hAnsi="Verdana" w:cs="Arial"/>
          <w:i/>
          <w:color w:val="000000"/>
        </w:rPr>
        <w:t>segundo</w:t>
      </w:r>
      <w:r w:rsidRPr="00C64261">
        <w:rPr>
          <w:rFonts w:ascii="Verdana" w:eastAsia="Arial" w:hAnsi="Verdana" w:cs="Arial"/>
          <w:color w:val="000000"/>
        </w:rPr>
        <w:t>, qué es el cierre del proceso.</w:t>
      </w:r>
    </w:p>
    <w:p w14:paraId="5D89F042" w14:textId="77777777" w:rsidR="007641FC" w:rsidRPr="00C64261" w:rsidRDefault="007641FC" w:rsidP="007641FC">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La Sala de Consulta y Servicio Civil del Consejo de Estado ya había tenido la oportunidad de precisar estas expresiones, a propósito de un concepto en el que se refirió al artículo 10 del derogado Decreto 2474 de 2008</w:t>
      </w:r>
      <w:r w:rsidRPr="00C64261">
        <w:rPr>
          <w:rFonts w:ascii="Verdana" w:eastAsia="Arial" w:hAnsi="Verdana" w:cs="Arial"/>
          <w:color w:val="000000"/>
          <w:vertAlign w:val="superscript"/>
        </w:rPr>
        <w:footnoteReference w:id="7"/>
      </w:r>
      <w:r w:rsidRPr="00C64261">
        <w:rPr>
          <w:rFonts w:ascii="Verdana" w:eastAsia="Arial" w:hAnsi="Verdana" w:cs="Arial"/>
          <w:color w:val="000000"/>
        </w:rPr>
        <w:t xml:space="preserve">, que había determinado que en ningún caso la entidad podía permitir que se acreditaran circunstancias ocurridas con posterioridad al cierre del proceso. El Consejo de Estado precisó que por cierre del proceso debe entenderse el vencimiento del </w:t>
      </w:r>
      <w:r w:rsidRPr="00C64261">
        <w:rPr>
          <w:rFonts w:ascii="Verdana" w:eastAsia="Arial" w:hAnsi="Verdana" w:cs="Arial"/>
          <w:color w:val="000000"/>
        </w:rPr>
        <w:lastRenderedPageBreak/>
        <w:t xml:space="preserve">plazo para la presentación de las ofertas y que lo subsanable son las circunstancias que ocurrieron con anterioridad a esa fecha: </w:t>
      </w:r>
    </w:p>
    <w:p w14:paraId="0FD2FD67" w14:textId="77777777" w:rsidR="007641FC" w:rsidRPr="00C64261" w:rsidRDefault="007641FC" w:rsidP="007641FC">
      <w:pPr>
        <w:spacing w:after="0" w:line="240" w:lineRule="auto"/>
        <w:ind w:left="709" w:right="709"/>
        <w:jc w:val="both"/>
        <w:rPr>
          <w:rFonts w:ascii="Verdana" w:eastAsia="Arial" w:hAnsi="Verdana" w:cs="Arial"/>
          <w:color w:val="000000"/>
        </w:rPr>
      </w:pPr>
    </w:p>
    <w:p w14:paraId="2C5021B3" w14:textId="77777777" w:rsidR="007641FC" w:rsidRPr="00817F71" w:rsidRDefault="007641FC" w:rsidP="007641FC">
      <w:pPr>
        <w:spacing w:after="120" w:line="240" w:lineRule="auto"/>
        <w:ind w:left="709" w:right="709"/>
        <w:jc w:val="both"/>
        <w:rPr>
          <w:rFonts w:ascii="Verdana" w:eastAsia="Arial" w:hAnsi="Verdana" w:cs="Arial"/>
          <w:color w:val="000000"/>
          <w:sz w:val="20"/>
          <w:szCs w:val="20"/>
        </w:rPr>
      </w:pPr>
      <w:r w:rsidRPr="00817F71">
        <w:rPr>
          <w:rFonts w:ascii="Verdana" w:eastAsia="Arial" w:hAnsi="Verdana" w:cs="Arial"/>
          <w:color w:val="000000"/>
          <w:sz w:val="20"/>
          <w:szCs w:val="20"/>
        </w:rPr>
        <w:t xml:space="preserve">“Sin embargo, debe tenerse en cuenta que la última norma en cita -Decreto 2474 de 2008, aparte subrayado-, establece un límite a la </w:t>
      </w:r>
      <w:proofErr w:type="spellStart"/>
      <w:r w:rsidRPr="00817F71">
        <w:rPr>
          <w:rFonts w:ascii="Verdana" w:eastAsia="Arial" w:hAnsi="Verdana" w:cs="Arial"/>
          <w:color w:val="000000"/>
          <w:sz w:val="20"/>
          <w:szCs w:val="20"/>
        </w:rPr>
        <w:t>subsanabilidad</w:t>
      </w:r>
      <w:proofErr w:type="spellEnd"/>
      <w:r w:rsidRPr="00817F71">
        <w:rPr>
          <w:rFonts w:ascii="Verdana" w:eastAsia="Arial" w:hAnsi="Verdana" w:cs="Arial"/>
          <w:color w:val="000000"/>
          <w:sz w:val="20"/>
          <w:szCs w:val="20"/>
        </w:rPr>
        <w:t>, puesto que en cualquier caso debe referirse o recaer sobre circunstancias ocurridas antes del cierre del respectivo proceso, esto es, del vencimiento del plazo para presentar ofertas.</w:t>
      </w:r>
    </w:p>
    <w:p w14:paraId="19299C3B" w14:textId="77777777" w:rsidR="007641FC" w:rsidRPr="001F283D" w:rsidRDefault="007641FC" w:rsidP="007641FC">
      <w:pPr>
        <w:spacing w:after="0" w:line="240" w:lineRule="auto"/>
        <w:ind w:left="709" w:right="709"/>
        <w:jc w:val="both"/>
        <w:rPr>
          <w:rFonts w:ascii="Verdana" w:eastAsia="Arial" w:hAnsi="Verdana" w:cs="Arial"/>
          <w:color w:val="000000"/>
          <w:sz w:val="20"/>
          <w:szCs w:val="20"/>
        </w:rPr>
      </w:pPr>
      <w:r w:rsidRPr="00817F71">
        <w:rPr>
          <w:rFonts w:ascii="Verdana" w:eastAsia="Arial" w:hAnsi="Verdana" w:cs="Arial"/>
          <w:color w:val="000000"/>
          <w:sz w:val="20"/>
          <w:szCs w:val="20"/>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817F71">
        <w:rPr>
          <w:rFonts w:ascii="Verdana" w:eastAsia="Arial" w:hAnsi="Verdana" w:cs="Arial"/>
          <w:color w:val="000000"/>
          <w:sz w:val="20"/>
          <w:szCs w:val="20"/>
        </w:rPr>
        <w:t>la misma</w:t>
      </w:r>
      <w:proofErr w:type="gramEnd"/>
      <w:r w:rsidRPr="00817F71">
        <w:rPr>
          <w:rFonts w:ascii="Verdana" w:eastAsia="Arial" w:hAnsi="Verdana" w:cs="Arial"/>
          <w:color w:val="000000"/>
          <w:sz w:val="20"/>
          <w:szCs w:val="20"/>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817F71">
        <w:rPr>
          <w:rFonts w:ascii="Verdana" w:eastAsia="Arial" w:hAnsi="Verdana" w:cs="Arial"/>
          <w:color w:val="000000"/>
          <w:sz w:val="20"/>
          <w:szCs w:val="20"/>
        </w:rPr>
        <w:t>del mismo</w:t>
      </w:r>
      <w:proofErr w:type="gramEnd"/>
      <w:r w:rsidRPr="00817F71">
        <w:rPr>
          <w:rFonts w:ascii="Verdana" w:eastAsia="Arial" w:hAnsi="Verdana" w:cs="Arial"/>
          <w:color w:val="000000"/>
          <w:sz w:val="20"/>
          <w:szCs w:val="20"/>
        </w:rPr>
        <w:t xml:space="preserve"> o lo actualice, pero no para que se constituya la sociedad con posterioridad al cierre del proceso, pues si ello no se había hecho, significa simplemente que el oferente no tenía la condición para participar”</w:t>
      </w:r>
      <w:r w:rsidRPr="00817F71">
        <w:rPr>
          <w:rFonts w:ascii="Verdana" w:eastAsia="Arial" w:hAnsi="Verdana" w:cs="Arial"/>
          <w:color w:val="000000"/>
          <w:sz w:val="20"/>
          <w:szCs w:val="20"/>
          <w:vertAlign w:val="superscript"/>
        </w:rPr>
        <w:footnoteReference w:id="8"/>
      </w:r>
      <w:r w:rsidRPr="00817F71">
        <w:rPr>
          <w:rFonts w:ascii="Verdana" w:eastAsia="Arial" w:hAnsi="Verdana" w:cs="Arial"/>
          <w:color w:val="000000"/>
          <w:sz w:val="20"/>
          <w:szCs w:val="20"/>
        </w:rPr>
        <w:t>.</w:t>
      </w:r>
    </w:p>
    <w:p w14:paraId="6C5B52DB" w14:textId="77777777" w:rsidR="007641FC" w:rsidRPr="00693ABA" w:rsidRDefault="007641FC" w:rsidP="007641FC">
      <w:pPr>
        <w:spacing w:after="0" w:line="240" w:lineRule="auto"/>
        <w:ind w:left="709" w:right="709"/>
        <w:jc w:val="both"/>
        <w:rPr>
          <w:rFonts w:ascii="Verdana" w:eastAsia="Arial" w:hAnsi="Verdana" w:cs="Arial"/>
          <w:color w:val="000000"/>
        </w:rPr>
      </w:pPr>
    </w:p>
    <w:p w14:paraId="06868A15" w14:textId="77777777" w:rsidR="007641FC" w:rsidRDefault="007641FC" w:rsidP="007641FC">
      <w:pPr>
        <w:spacing w:after="0" w:line="276" w:lineRule="auto"/>
        <w:ind w:firstLine="709"/>
        <w:jc w:val="both"/>
        <w:rPr>
          <w:rFonts w:ascii="Verdana" w:eastAsia="Arial" w:hAnsi="Verdana" w:cs="Arial"/>
          <w:color w:val="000000"/>
        </w:rPr>
      </w:pPr>
      <w:r w:rsidRPr="05E3EA9D">
        <w:rPr>
          <w:rFonts w:ascii="Verdana" w:eastAsia="Arial" w:hAnsi="Verdana" w:cs="Arial"/>
          <w:color w:val="000000" w:themeColor="text1"/>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26BF81B" w14:textId="77777777" w:rsidR="007641FC" w:rsidRDefault="007641FC" w:rsidP="007641FC">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C64261">
        <w:rPr>
          <w:rFonts w:ascii="Verdana" w:eastAsia="Arial" w:hAnsi="Verdana" w:cs="Arial"/>
          <w:color w:val="000000"/>
        </w:rPr>
        <w:lastRenderedPageBreak/>
        <w:t>subsanabilidad</w:t>
      </w:r>
      <w:proofErr w:type="spellEnd"/>
      <w:r w:rsidRPr="00C64261">
        <w:rPr>
          <w:rFonts w:ascii="Verdana" w:eastAsia="Arial" w:hAnsi="Verdana" w:cs="Arial"/>
          <w:color w:val="000000"/>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331A11A8" w14:textId="77777777" w:rsidR="007641FC" w:rsidRDefault="007641FC" w:rsidP="007641FC">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roofErr w:type="spellStart"/>
      <w:r w:rsidRPr="00C64261">
        <w:rPr>
          <w:rFonts w:ascii="Verdana" w:eastAsia="Arial" w:hAnsi="Verdana" w:cs="Arial"/>
          <w:color w:val="000000"/>
        </w:rPr>
        <w:t>ii</w:t>
      </w:r>
      <w:proofErr w:type="spellEnd"/>
      <w:r w:rsidRPr="00C64261">
        <w:rPr>
          <w:rFonts w:ascii="Verdana" w:eastAsia="Arial" w:hAnsi="Verdana" w:cs="Arial"/>
          <w:color w:val="000000"/>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C64261">
        <w:rPr>
          <w:rFonts w:ascii="Verdana" w:eastAsia="Arial" w:hAnsi="Verdana" w:cs="Arial"/>
          <w:color w:val="000000"/>
          <w:vertAlign w:val="superscript"/>
        </w:rPr>
        <w:footnoteReference w:id="9"/>
      </w:r>
      <w:r w:rsidRPr="00C64261">
        <w:rPr>
          <w:rFonts w:ascii="Verdana" w:eastAsia="Arial" w:hAnsi="Verdana" w:cs="Arial"/>
          <w:color w:val="000000"/>
        </w:rPr>
        <w:t xml:space="preserve">; </w:t>
      </w:r>
      <w:proofErr w:type="spellStart"/>
      <w:r w:rsidRPr="00C64261">
        <w:rPr>
          <w:rFonts w:ascii="Verdana" w:eastAsia="Arial" w:hAnsi="Verdana" w:cs="Arial"/>
          <w:color w:val="000000"/>
        </w:rPr>
        <w:t>iii</w:t>
      </w:r>
      <w:proofErr w:type="spellEnd"/>
      <w:r w:rsidRPr="00C64261">
        <w:rPr>
          <w:rFonts w:ascii="Verdana" w:eastAsia="Arial" w:hAnsi="Verdana" w:cs="Arial"/>
          <w:color w:val="000000"/>
        </w:rPr>
        <w:t>) si un oferente no anexó el certificado de existencia y representación legal, el documento aportado con posterioridad debe dar cuenta de que la sociedad existe desde antes del cierre del proceso</w:t>
      </w:r>
      <w:r w:rsidRPr="00C64261">
        <w:rPr>
          <w:rFonts w:ascii="Verdana" w:eastAsia="Arial" w:hAnsi="Verdana" w:cs="Arial"/>
          <w:color w:val="000000"/>
          <w:vertAlign w:val="superscript"/>
        </w:rPr>
        <w:footnoteReference w:id="10"/>
      </w:r>
      <w:r w:rsidRPr="00C64261">
        <w:rPr>
          <w:rFonts w:ascii="Verdana" w:eastAsia="Arial" w:hAnsi="Verdana" w:cs="Arial"/>
          <w:color w:val="000000"/>
        </w:rPr>
        <w:t xml:space="preserve">; </w:t>
      </w:r>
      <w:proofErr w:type="spellStart"/>
      <w:r w:rsidRPr="00C64261">
        <w:rPr>
          <w:rFonts w:ascii="Verdana" w:eastAsia="Arial" w:hAnsi="Verdana" w:cs="Arial"/>
          <w:color w:val="000000"/>
        </w:rPr>
        <w:t>iv</w:t>
      </w:r>
      <w:proofErr w:type="spellEnd"/>
      <w:r w:rsidRPr="00C64261">
        <w:rPr>
          <w:rFonts w:ascii="Verdana" w:eastAsia="Arial" w:hAnsi="Verdana" w:cs="Arial"/>
          <w:color w:val="000000"/>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w:t>
      </w:r>
      <w:r>
        <w:rPr>
          <w:rFonts w:ascii="Verdana" w:eastAsia="Arial" w:hAnsi="Verdana" w:cs="Arial"/>
          <w:color w:val="000000"/>
        </w:rPr>
        <w:t>o</w:t>
      </w:r>
      <w:r w:rsidRPr="00C64261">
        <w:rPr>
          <w:rFonts w:ascii="Verdana" w:eastAsia="Arial" w:hAnsi="Verdana" w:cs="Arial"/>
          <w:color w:val="000000"/>
        </w:rPr>
        <w:t xml:space="preserve"> vi) si el oferente olvidó firmar la propuesta o presentar una copia de ella, puede subsanar sin que se entienda que acreditó una circunstancia ocurrida con posterioridad al cierre del proceso. </w:t>
      </w:r>
    </w:p>
    <w:p w14:paraId="0A24189A" w14:textId="77777777" w:rsidR="007641FC" w:rsidRPr="00C64261" w:rsidRDefault="007641FC" w:rsidP="007641FC">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w:t>
      </w:r>
      <w:r w:rsidRPr="00C64261">
        <w:rPr>
          <w:rFonts w:ascii="Verdana" w:eastAsia="Arial" w:hAnsi="Verdana" w:cs="Arial"/>
          <w:color w:val="000000"/>
        </w:rPr>
        <w:lastRenderedPageBreak/>
        <w:t xml:space="preserve">antes, esto es, que no sea una circunstancia ocurrida con posterioridad al cierre del proceso. Es por ello </w:t>
      </w:r>
      <w:proofErr w:type="gramStart"/>
      <w:r w:rsidRPr="00C64261">
        <w:rPr>
          <w:rFonts w:ascii="Verdana" w:eastAsia="Arial" w:hAnsi="Verdana" w:cs="Arial"/>
          <w:color w:val="000000"/>
        </w:rPr>
        <w:t>que</w:t>
      </w:r>
      <w:proofErr w:type="gramEnd"/>
      <w:r w:rsidRPr="00C64261">
        <w:rPr>
          <w:rFonts w:ascii="Verdana" w:eastAsia="Arial" w:hAnsi="Verdana" w:cs="Arial"/>
          <w:color w:val="000000"/>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C64261">
        <w:rPr>
          <w:rFonts w:ascii="Verdana" w:eastAsia="Arial" w:hAnsi="Verdana" w:cs="Arial"/>
          <w:color w:val="000000"/>
          <w:vertAlign w:val="superscript"/>
        </w:rPr>
        <w:footnoteReference w:id="11"/>
      </w:r>
      <w:r w:rsidRPr="00C64261">
        <w:rPr>
          <w:rFonts w:ascii="Verdana" w:eastAsia="Arial" w:hAnsi="Verdana" w:cs="Arial"/>
          <w:color w:val="000000"/>
        </w:rPr>
        <w:t xml:space="preserve">. </w:t>
      </w:r>
    </w:p>
    <w:p w14:paraId="25D072C3" w14:textId="77777777" w:rsidR="007641FC" w:rsidRDefault="007641FC" w:rsidP="007641FC">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48CF59C3" w14:textId="77777777" w:rsidR="007641FC" w:rsidRDefault="007641FC" w:rsidP="007641FC">
      <w:pPr>
        <w:spacing w:before="120" w:after="0" w:line="276" w:lineRule="auto"/>
        <w:ind w:firstLine="709"/>
        <w:jc w:val="both"/>
        <w:rPr>
          <w:rFonts w:ascii="Verdana" w:eastAsia="Arial" w:hAnsi="Verdana" w:cs="Arial"/>
          <w:color w:val="000000"/>
        </w:rPr>
      </w:pPr>
      <w:r w:rsidRPr="05E3EA9D">
        <w:rPr>
          <w:rFonts w:ascii="Verdana" w:eastAsia="Arial" w:hAnsi="Verdana" w:cs="Arial"/>
          <w:color w:val="000000" w:themeColor="text1"/>
        </w:rPr>
        <w:t xml:space="preserve">Finalmente, el parágrafo 3 del artículo 5 de la Ley 1882 de 2018 determinó, de manera expresa, que “la no entrega de la garantía de seriedad junto con la propuesta no será subsanable y será causal de rechazo de </w:t>
      </w:r>
      <w:proofErr w:type="gramStart"/>
      <w:r w:rsidRPr="05E3EA9D">
        <w:rPr>
          <w:rFonts w:ascii="Verdana" w:eastAsia="Arial" w:hAnsi="Verdana" w:cs="Arial"/>
          <w:color w:val="000000" w:themeColor="text1"/>
        </w:rPr>
        <w:t>la misma</w:t>
      </w:r>
      <w:proofErr w:type="gramEnd"/>
      <w:r w:rsidRPr="05E3EA9D">
        <w:rPr>
          <w:rFonts w:ascii="Verdana" w:eastAsia="Arial" w:hAnsi="Verdana" w:cs="Arial"/>
          <w:color w:val="000000" w:themeColor="text1"/>
        </w:rPr>
        <w:t>”, dejando claro que se trata de un documento de obligatoria presentación junto con la propuesta y que materializa los principios de seriedad e irrevocabilidad de la oferta.</w:t>
      </w:r>
    </w:p>
    <w:p w14:paraId="55B36D26" w14:textId="77777777" w:rsidR="007641FC" w:rsidRDefault="007641FC" w:rsidP="007641FC">
      <w:pPr>
        <w:spacing w:after="0" w:line="240" w:lineRule="auto"/>
        <w:ind w:firstLine="709"/>
        <w:jc w:val="both"/>
        <w:rPr>
          <w:rFonts w:ascii="Verdana" w:eastAsia="Arial" w:hAnsi="Verdana" w:cs="Arial"/>
          <w:color w:val="000000"/>
        </w:rPr>
      </w:pPr>
    </w:p>
    <w:p w14:paraId="5F6F2671" w14:textId="59F0823A" w:rsidR="007641FC" w:rsidRDefault="007641FC" w:rsidP="00D61879">
      <w:pPr>
        <w:spacing w:after="0" w:line="276" w:lineRule="auto"/>
        <w:ind w:firstLine="708"/>
        <w:jc w:val="both"/>
        <w:rPr>
          <w:rFonts w:ascii="Verdana" w:eastAsia="Calibri" w:hAnsi="Verdana" w:cs="Arial"/>
        </w:rPr>
      </w:pPr>
      <w:r>
        <w:rPr>
          <w:rFonts w:ascii="Verdana" w:eastAsia="Calibri" w:hAnsi="Verdana" w:cs="Arial"/>
        </w:rPr>
        <w:t>Por otro lado, el</w:t>
      </w:r>
      <w:r w:rsidRPr="00E85A8F">
        <w:rPr>
          <w:rFonts w:ascii="Verdana" w:eastAsia="Calibri" w:hAnsi="Verdana" w:cs="Arial"/>
        </w:rPr>
        <w:t xml:space="preserve"> Manual para determinar y verificar los requisitos habilitantes en los Procesos de Contratación, elaborado por Colombia Compra Eficiente</w:t>
      </w:r>
      <w:r>
        <w:rPr>
          <w:rStyle w:val="Refdenotaalpie"/>
          <w:rFonts w:ascii="Verdana" w:eastAsia="Calibri" w:hAnsi="Verdana" w:cs="Arial"/>
        </w:rPr>
        <w:footnoteReference w:id="12"/>
      </w:r>
      <w:r w:rsidRPr="00E85A8F">
        <w:rPr>
          <w:rFonts w:ascii="Verdana" w:eastAsia="Calibri" w:hAnsi="Verdana" w:cs="Arial"/>
        </w:rPr>
        <w:t xml:space="preserve">, constituye una herramienta técnica fundamental para las entidades estatales y los proponentes, ya que establece criterios claros y uniformes sobre cómo definir, exigir y verificar los requisitos habilitantes en los distintos procesos de selección. Este manual orienta a las entidades para que dichos requisitos respondan a la naturaleza del objeto contractual, se ajusten al principio de proporcionalidad y no constituyan barreras injustificadas al acceso. Además, </w:t>
      </w:r>
      <w:r w:rsidRPr="00E85A8F">
        <w:rPr>
          <w:rFonts w:ascii="Verdana" w:eastAsia="Calibri" w:hAnsi="Verdana" w:cs="Arial"/>
        </w:rPr>
        <w:lastRenderedPageBreak/>
        <w:t xml:space="preserve">delimita con precisión cuáles documentos pueden ser objeto de subsanación, brindando seguridad jurídica en la evaluación de ofertas. </w:t>
      </w:r>
    </w:p>
    <w:p w14:paraId="7AC0CE93" w14:textId="77777777" w:rsidR="00D61879" w:rsidRDefault="00D61879" w:rsidP="00A8432D">
      <w:pPr>
        <w:spacing w:after="0" w:line="276" w:lineRule="auto"/>
        <w:ind w:firstLine="708"/>
        <w:jc w:val="both"/>
        <w:rPr>
          <w:rFonts w:ascii="Verdana" w:eastAsia="Calibri" w:hAnsi="Verdana" w:cs="Arial"/>
          <w:lang w:eastAsia="es-ES"/>
        </w:rPr>
      </w:pPr>
    </w:p>
    <w:p w14:paraId="38DB10CD" w14:textId="4CD758D7" w:rsidR="007641FC" w:rsidRDefault="007641FC" w:rsidP="00A8432D">
      <w:pPr>
        <w:spacing w:after="0" w:line="276" w:lineRule="auto"/>
        <w:jc w:val="both"/>
        <w:rPr>
          <w:rFonts w:ascii="Verdana" w:eastAsia="Arial" w:hAnsi="Verdana" w:cs="Arial"/>
          <w:color w:val="000000"/>
        </w:rPr>
      </w:pPr>
      <w:proofErr w:type="spellStart"/>
      <w:r>
        <w:rPr>
          <w:rFonts w:ascii="Verdana" w:eastAsia="Arial" w:hAnsi="Verdana" w:cs="Arial"/>
          <w:color w:val="000000"/>
        </w:rPr>
        <w:t>ii</w:t>
      </w:r>
      <w:proofErr w:type="spellEnd"/>
      <w:r>
        <w:rPr>
          <w:rFonts w:ascii="Verdana" w:eastAsia="Arial" w:hAnsi="Verdana" w:cs="Arial"/>
          <w:color w:val="000000"/>
        </w:rPr>
        <w:t xml:space="preserve">) </w:t>
      </w:r>
      <w:r w:rsidRPr="00B36F85">
        <w:rPr>
          <w:rFonts w:ascii="Verdana" w:eastAsia="Arial" w:hAnsi="Verdana" w:cs="Arial"/>
        </w:rPr>
        <w:t xml:space="preserve">El rechazo de las ofertas y los eventos en los que proceden han sido asuntos de los que se ha ocupado la legislación nacional en materia de contratación pública, por lo que </w:t>
      </w:r>
      <w:r>
        <w:rPr>
          <w:rFonts w:ascii="Verdana" w:eastAsia="Arial" w:hAnsi="Verdana" w:cs="Arial"/>
        </w:rPr>
        <w:t>“</w:t>
      </w:r>
      <w:r w:rsidRPr="00B36F85">
        <w:rPr>
          <w:rFonts w:ascii="Verdana" w:eastAsia="Arial" w:hAnsi="Verdana" w:cs="Arial"/>
        </w:rPr>
        <w:t>la competencia de las entidades estales para establecer eventos de exclusión de propuestas es de carácter residual y restringido</w:t>
      </w:r>
      <w:r>
        <w:rPr>
          <w:rFonts w:ascii="Verdana" w:eastAsia="Arial" w:hAnsi="Verdana" w:cs="Arial"/>
        </w:rPr>
        <w:t>”</w:t>
      </w:r>
      <w:r w:rsidRPr="00B36F85">
        <w:rPr>
          <w:rFonts w:ascii="Verdana" w:eastAsia="Arial" w:hAnsi="Verdana" w:cs="Arial"/>
          <w:vertAlign w:val="superscript"/>
        </w:rPr>
        <w:footnoteReference w:id="13"/>
      </w:r>
      <w:r w:rsidRPr="00B36F85">
        <w:rPr>
          <w:rFonts w:ascii="Verdana" w:eastAsia="Arial" w:hAnsi="Verdana" w:cs="Arial"/>
        </w:rPr>
        <w:t>. En ese sentido, si bien las entidades estatales, en ejercicio de la discrecionalidad que les corresponde en la configuración de los pliegos de condiciones, tienen competencia para determinar los requisitos que deben cumplir los proponentes para la presentación de ofertas</w:t>
      </w:r>
      <w:r w:rsidRPr="00B36F85">
        <w:rPr>
          <w:rFonts w:ascii="Verdana" w:eastAsia="Arial" w:hAnsi="Verdana" w:cs="Arial"/>
          <w:vertAlign w:val="superscript"/>
        </w:rPr>
        <w:footnoteReference w:id="14"/>
      </w:r>
      <w:r w:rsidRPr="00B36F85">
        <w:rPr>
          <w:rFonts w:ascii="Verdana" w:eastAsia="Arial" w:hAnsi="Verdana" w:cs="Arial"/>
        </w:rPr>
        <w:t xml:space="preserve"> y regular los eventos en los que procede su rechazo</w:t>
      </w:r>
      <w:r w:rsidRPr="00B36F85">
        <w:rPr>
          <w:rFonts w:ascii="Verdana" w:eastAsia="Arial" w:hAnsi="Verdana" w:cs="Arial"/>
          <w:vertAlign w:val="superscript"/>
        </w:rPr>
        <w:footnoteReference w:id="15"/>
      </w:r>
      <w:r w:rsidRPr="00B36F85">
        <w:rPr>
          <w:rFonts w:ascii="Verdana" w:eastAsia="Arial" w:hAnsi="Verdana" w:cs="Arial"/>
        </w:rPr>
        <w:t xml:space="preserve">, el ejercicio de tales facultades encuentra ciertos límites en la ley y el reglamento, así como en los principios de razonabilidad y proporcionalidad.  </w:t>
      </w:r>
    </w:p>
    <w:p w14:paraId="47205FB0" w14:textId="77777777" w:rsidR="007641FC" w:rsidRDefault="007641FC" w:rsidP="007641FC">
      <w:pPr>
        <w:spacing w:before="120" w:after="0" w:line="276" w:lineRule="auto"/>
        <w:ind w:firstLine="709"/>
        <w:jc w:val="both"/>
        <w:rPr>
          <w:rFonts w:ascii="Verdana" w:eastAsia="Arial" w:hAnsi="Verdana" w:cs="Arial"/>
          <w:color w:val="000000"/>
        </w:rPr>
      </w:pPr>
      <w:r w:rsidRPr="00B36F85">
        <w:rPr>
          <w:rFonts w:ascii="Verdana" w:eastAsia="Arial" w:hAnsi="Verdana" w:cs="Arial"/>
        </w:rPr>
        <w:t xml:space="preserve">En ese entendido, uno de los límites a la facultad para establecer causales de rechazo, se encuentra en la regla de </w:t>
      </w:r>
      <w:proofErr w:type="spellStart"/>
      <w:r w:rsidRPr="00B36F85">
        <w:rPr>
          <w:rFonts w:ascii="Verdana" w:eastAsia="Arial" w:hAnsi="Verdana" w:cs="Arial"/>
        </w:rPr>
        <w:t>subsanabilidad</w:t>
      </w:r>
      <w:proofErr w:type="spellEnd"/>
      <w:r w:rsidRPr="00B36F85">
        <w:rPr>
          <w:rFonts w:ascii="Verdana" w:eastAsia="Arial" w:hAnsi="Verdana" w:cs="Arial"/>
        </w:rPr>
        <w:t xml:space="preserve"> del parágrafo 1 del artículo 5 de la Ley 1150 de 2007, según la cual </w:t>
      </w:r>
      <w:r>
        <w:rPr>
          <w:rFonts w:ascii="Verdana" w:eastAsia="Arial" w:hAnsi="Verdana" w:cs="Arial"/>
        </w:rPr>
        <w:t>“</w:t>
      </w:r>
      <w:r w:rsidRPr="00B36F85">
        <w:rPr>
          <w:rFonts w:ascii="Verdana" w:eastAsia="Arial" w:hAnsi="Verdana" w:cs="Arial"/>
        </w:rPr>
        <w:t>La ausencia de requisitos o la falta de documentos referentes a la futura contratación o al proponente, no necesarios para la comparación de las propuestas no servirán de título suficiente para el rechazo de los ofrecimientos hechos</w:t>
      </w:r>
      <w:r>
        <w:rPr>
          <w:rFonts w:ascii="Verdana" w:eastAsia="Arial" w:hAnsi="Verdana" w:cs="Arial"/>
        </w:rPr>
        <w:t>”</w:t>
      </w:r>
      <w:r w:rsidRPr="00B36F85">
        <w:rPr>
          <w:rFonts w:ascii="Verdana" w:eastAsia="Arial" w:hAnsi="Verdana" w:cs="Arial"/>
        </w:rPr>
        <w:t xml:space="preserve">, por lo que las entidades no podrán establecer causales de rechazo referentes a meros requisitos formales o rechazar las ofertas por esa razón. </w:t>
      </w:r>
    </w:p>
    <w:p w14:paraId="6CE65383" w14:textId="39CB5EA8" w:rsidR="007641FC" w:rsidRPr="00054793" w:rsidRDefault="007641FC" w:rsidP="00054793">
      <w:pPr>
        <w:spacing w:before="120" w:after="0" w:line="276" w:lineRule="auto"/>
        <w:ind w:firstLine="709"/>
        <w:jc w:val="both"/>
        <w:rPr>
          <w:rFonts w:ascii="Verdana" w:eastAsia="Arial" w:hAnsi="Verdana" w:cs="Arial"/>
          <w:color w:val="000000"/>
        </w:rPr>
      </w:pPr>
      <w:r w:rsidRPr="00B36F85">
        <w:rPr>
          <w:rFonts w:ascii="Verdana" w:eastAsia="Arial" w:hAnsi="Verdana" w:cs="Arial"/>
        </w:rPr>
        <w:t xml:space="preserve">De esta manera, la jurisprudencia del Consejo de Estado ha determinado que las causales de rechazo pueden o no estar establecidas en el pliego de condiciones, sin perjuicio de que sean aplicables al proceso contractual las </w:t>
      </w:r>
      <w:r w:rsidRPr="00B36F85">
        <w:rPr>
          <w:rFonts w:ascii="Verdana" w:eastAsia="Arial" w:hAnsi="Verdana" w:cs="Arial"/>
        </w:rPr>
        <w:lastRenderedPageBreak/>
        <w:t>establecidas directamente en la ley. Así se estableció en la sentencia del 27 de abril de 2011, en los siguientes términos:</w:t>
      </w:r>
    </w:p>
    <w:p w14:paraId="5B1EB011" w14:textId="77777777" w:rsidR="007641FC" w:rsidRPr="004B49E2" w:rsidRDefault="007641FC" w:rsidP="007641FC">
      <w:pPr>
        <w:widowControl w:val="0"/>
        <w:spacing w:after="0" w:line="240" w:lineRule="auto"/>
        <w:ind w:left="709" w:right="709"/>
        <w:jc w:val="both"/>
        <w:rPr>
          <w:rFonts w:ascii="Verdana" w:eastAsia="Arial" w:hAnsi="Verdana" w:cs="Arial"/>
          <w:sz w:val="20"/>
          <w:szCs w:val="20"/>
        </w:rPr>
      </w:pPr>
      <w:r>
        <w:rPr>
          <w:rFonts w:ascii="Verdana" w:eastAsia="Arial" w:hAnsi="Verdana" w:cs="Arial"/>
          <w:sz w:val="21"/>
          <w:szCs w:val="21"/>
        </w:rPr>
        <w:t>“</w:t>
      </w:r>
      <w:r w:rsidRPr="004B49E2">
        <w:rPr>
          <w:rFonts w:ascii="Verdana" w:eastAsia="Arial" w:hAnsi="Verdana" w:cs="Arial"/>
          <w:sz w:val="20"/>
          <w:szCs w:val="20"/>
        </w:rPr>
        <w:t>En efecto, la Administración puede rechazar o descalificar los ofrecimientos hechos por causales previstas en la ley; hipótesis bajo la cual, la entidad pública licitante se limita a dar por comprobado el hecho que justifica la exclusión y así lo declarará apoyada en normas legales o reglamentarias de carácter general.</w:t>
      </w:r>
    </w:p>
    <w:p w14:paraId="3AF17337" w14:textId="6A087B31" w:rsidR="007641FC" w:rsidRDefault="007641FC" w:rsidP="00054793">
      <w:pPr>
        <w:widowControl w:val="0"/>
        <w:spacing w:after="0" w:line="240" w:lineRule="auto"/>
        <w:ind w:left="709" w:right="709"/>
        <w:jc w:val="both"/>
        <w:rPr>
          <w:rFonts w:ascii="Verdana" w:eastAsia="Arial" w:hAnsi="Verdana" w:cs="Arial"/>
          <w:sz w:val="20"/>
          <w:szCs w:val="20"/>
        </w:rPr>
      </w:pPr>
      <w:r w:rsidRPr="004B49E2">
        <w:rPr>
          <w:rFonts w:ascii="Verdana" w:eastAsia="Arial" w:hAnsi="Verdana" w:cs="Arial"/>
          <w:sz w:val="20"/>
          <w:szCs w:val="20"/>
        </w:rPr>
        <w:t>En esta línea de pensamiento, resulta claro que el rechazo o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661699DC" w14:textId="496CB27F" w:rsidR="007641FC" w:rsidRDefault="007641FC" w:rsidP="00054793">
      <w:pPr>
        <w:widowControl w:val="0"/>
        <w:spacing w:after="0" w:line="240" w:lineRule="auto"/>
        <w:ind w:left="709" w:right="709"/>
        <w:jc w:val="both"/>
        <w:rPr>
          <w:rFonts w:ascii="Verdana" w:eastAsia="Arial" w:hAnsi="Verdana" w:cs="Arial"/>
          <w:sz w:val="20"/>
          <w:szCs w:val="20"/>
        </w:rPr>
      </w:pPr>
      <w:r w:rsidRPr="004B49E2">
        <w:rPr>
          <w:rFonts w:ascii="Verdana" w:eastAsia="Arial" w:hAnsi="Verdana" w:cs="Arial"/>
          <w:sz w:val="20"/>
          <w:szCs w:val="20"/>
        </w:rPr>
        <w:t>[…]</w:t>
      </w:r>
    </w:p>
    <w:p w14:paraId="0C19852F" w14:textId="77777777" w:rsidR="007641FC" w:rsidRPr="004B49E2" w:rsidRDefault="007641FC" w:rsidP="007641FC">
      <w:pPr>
        <w:widowControl w:val="0"/>
        <w:spacing w:after="0" w:line="240" w:lineRule="auto"/>
        <w:ind w:left="709" w:right="709"/>
        <w:jc w:val="both"/>
        <w:rPr>
          <w:rFonts w:ascii="Verdana" w:eastAsia="Arial" w:hAnsi="Verdana" w:cs="Arial"/>
          <w:sz w:val="20"/>
          <w:szCs w:val="20"/>
        </w:rPr>
      </w:pPr>
      <w:r w:rsidRPr="004B49E2">
        <w:rPr>
          <w:rFonts w:ascii="Verdana" w:eastAsia="Arial" w:hAnsi="Verdana" w:cs="Arial"/>
          <w:sz w:val="20"/>
          <w:szCs w:val="20"/>
        </w:rPr>
        <w:t xml:space="preserve">Quiere con esto destacar la Sala que las causales de rechazo de las propuestas pueden ser legales y por lo mismo generan el efecto del descarte o exclusión de la oferta </w:t>
      </w:r>
      <w:proofErr w:type="spellStart"/>
      <w:r w:rsidRPr="004B49E2">
        <w:rPr>
          <w:rFonts w:ascii="Verdana" w:eastAsia="Arial" w:hAnsi="Verdana" w:cs="Arial"/>
          <w:i/>
          <w:iCs/>
          <w:sz w:val="20"/>
          <w:szCs w:val="20"/>
        </w:rPr>
        <w:t>ope</w:t>
      </w:r>
      <w:proofErr w:type="spellEnd"/>
      <w:r w:rsidRPr="004B49E2">
        <w:rPr>
          <w:rFonts w:ascii="Verdana" w:eastAsia="Arial" w:hAnsi="Verdana" w:cs="Arial"/>
          <w:i/>
          <w:iCs/>
          <w:sz w:val="20"/>
          <w:szCs w:val="20"/>
        </w:rPr>
        <w:t xml:space="preserve"> </w:t>
      </w:r>
      <w:proofErr w:type="spellStart"/>
      <w:r w:rsidRPr="004B49E2">
        <w:rPr>
          <w:rFonts w:ascii="Verdana" w:eastAsia="Arial" w:hAnsi="Verdana" w:cs="Arial"/>
          <w:i/>
          <w:iCs/>
          <w:sz w:val="20"/>
          <w:szCs w:val="20"/>
        </w:rPr>
        <w:t>legis</w:t>
      </w:r>
      <w:proofErr w:type="spellEnd"/>
      <w:r w:rsidRPr="004B49E2">
        <w:rPr>
          <w:rFonts w:ascii="Verdana" w:eastAsia="Arial" w:hAnsi="Verdana" w:cs="Arial"/>
          <w:sz w:val="20"/>
          <w:szCs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4B49E2">
        <w:rPr>
          <w:rFonts w:ascii="Verdana" w:eastAsia="Arial" w:hAnsi="Verdana" w:cs="Arial"/>
          <w:sz w:val="20"/>
          <w:szCs w:val="20"/>
          <w:vertAlign w:val="superscript"/>
        </w:rPr>
        <w:footnoteReference w:id="16"/>
      </w:r>
      <w:r w:rsidRPr="004B49E2">
        <w:rPr>
          <w:rFonts w:ascii="Verdana" w:eastAsia="Arial" w:hAnsi="Verdana" w:cs="Arial"/>
          <w:sz w:val="20"/>
          <w:szCs w:val="20"/>
        </w:rPr>
        <w:t>”.</w:t>
      </w:r>
    </w:p>
    <w:p w14:paraId="4A172401" w14:textId="77777777" w:rsidR="007641FC" w:rsidRPr="004B49E2" w:rsidRDefault="007641FC" w:rsidP="007641FC">
      <w:pPr>
        <w:widowControl w:val="0"/>
        <w:spacing w:after="0" w:line="240" w:lineRule="auto"/>
        <w:ind w:left="709" w:right="709"/>
        <w:jc w:val="both"/>
        <w:rPr>
          <w:rFonts w:ascii="Verdana" w:eastAsia="Arial" w:hAnsi="Verdana" w:cs="Arial"/>
          <w:sz w:val="20"/>
          <w:szCs w:val="20"/>
        </w:rPr>
      </w:pPr>
    </w:p>
    <w:p w14:paraId="74CD2296" w14:textId="77777777" w:rsidR="007641FC" w:rsidRDefault="007641FC" w:rsidP="007641FC">
      <w:pPr>
        <w:widowControl w:val="0"/>
        <w:spacing w:after="0" w:line="276" w:lineRule="auto"/>
        <w:ind w:firstLine="709"/>
        <w:jc w:val="both"/>
        <w:rPr>
          <w:rFonts w:ascii="Verdana" w:eastAsia="Arial" w:hAnsi="Verdana" w:cs="Arial"/>
        </w:rPr>
      </w:pPr>
      <w:r w:rsidRPr="00B36F85">
        <w:rPr>
          <w:rFonts w:ascii="Verdana" w:eastAsia="Arial" w:hAnsi="Verdana" w:cs="Arial"/>
        </w:rPr>
        <w:t xml:space="preserve">De acuerdo con la jurisprudencia citada, existen dos </w:t>
      </w:r>
      <w:r>
        <w:rPr>
          <w:rFonts w:ascii="Verdana" w:eastAsia="Arial" w:hAnsi="Verdana" w:cs="Arial"/>
        </w:rPr>
        <w:t>eventos</w:t>
      </w:r>
      <w:r w:rsidRPr="00B36F85">
        <w:rPr>
          <w:rFonts w:ascii="Verdana" w:eastAsia="Arial" w:hAnsi="Verdana" w:cs="Arial"/>
        </w:rPr>
        <w:t xml:space="preserve"> en los </w:t>
      </w:r>
      <w:r>
        <w:rPr>
          <w:rFonts w:ascii="Verdana" w:eastAsia="Arial" w:hAnsi="Verdana" w:cs="Arial"/>
        </w:rPr>
        <w:t xml:space="preserve">cuales </w:t>
      </w:r>
      <w:r w:rsidRPr="00B36F85">
        <w:rPr>
          <w:rFonts w:ascii="Verdana" w:eastAsia="Arial" w:hAnsi="Verdana" w:cs="Arial"/>
        </w:rPr>
        <w:t xml:space="preserve">procede el rechazo de la oferta: </w:t>
      </w:r>
      <w:r>
        <w:rPr>
          <w:rFonts w:ascii="Verdana" w:eastAsia="Arial" w:hAnsi="Verdana" w:cs="Arial"/>
        </w:rPr>
        <w:t xml:space="preserve">i) cuando </w:t>
      </w:r>
      <w:r w:rsidRPr="00B36F85">
        <w:rPr>
          <w:rFonts w:ascii="Verdana" w:eastAsia="Arial" w:hAnsi="Verdana" w:cs="Arial"/>
        </w:rPr>
        <w:t>se configure alguna de las causales de rechazo originadas en la ley o</w:t>
      </w:r>
      <w:r>
        <w:rPr>
          <w:rFonts w:ascii="Verdana" w:eastAsia="Arial" w:hAnsi="Verdana" w:cs="Arial"/>
        </w:rPr>
        <w:t xml:space="preserve"> el reglamento y</w:t>
      </w:r>
      <w:r w:rsidRPr="00B36F85">
        <w:rPr>
          <w:rFonts w:ascii="Verdana" w:eastAsia="Arial" w:hAnsi="Verdana" w:cs="Arial"/>
        </w:rPr>
        <w:t xml:space="preserve"> </w:t>
      </w:r>
      <w:proofErr w:type="spellStart"/>
      <w:r>
        <w:rPr>
          <w:rFonts w:ascii="Verdana" w:eastAsia="Arial" w:hAnsi="Verdana" w:cs="Arial"/>
        </w:rPr>
        <w:t>ii</w:t>
      </w:r>
      <w:proofErr w:type="spellEnd"/>
      <w:r>
        <w:rPr>
          <w:rFonts w:ascii="Verdana" w:eastAsia="Arial" w:hAnsi="Verdana" w:cs="Arial"/>
        </w:rPr>
        <w:t xml:space="preserve">) cuando se materialicen </w:t>
      </w:r>
      <w:r w:rsidRPr="00B36F85">
        <w:rPr>
          <w:rFonts w:ascii="Verdana" w:eastAsia="Arial" w:hAnsi="Verdana" w:cs="Arial"/>
        </w:rPr>
        <w:t xml:space="preserve">las </w:t>
      </w:r>
      <w:r w:rsidRPr="00B36F85">
        <w:rPr>
          <w:rFonts w:ascii="Verdana" w:eastAsia="Arial" w:hAnsi="Verdana" w:cs="Arial"/>
        </w:rPr>
        <w:lastRenderedPageBreak/>
        <w:t>establecidas en el pliego de condiciones. En tal sentido, las causales de rechazo de la oferta serán las consagradas en la ley o</w:t>
      </w:r>
      <w:r>
        <w:rPr>
          <w:rFonts w:ascii="Verdana" w:eastAsia="Arial" w:hAnsi="Verdana" w:cs="Arial"/>
        </w:rPr>
        <w:t xml:space="preserve"> el reglamento</w:t>
      </w:r>
      <w:r w:rsidRPr="00B36F85">
        <w:rPr>
          <w:rFonts w:ascii="Verdana" w:eastAsia="Arial" w:hAnsi="Verdana" w:cs="Arial"/>
        </w:rPr>
        <w:t xml:space="preserve"> producto de su aplicación, así como las definidas por las entidades en el respectivo pliego de condiciones. </w:t>
      </w:r>
    </w:p>
    <w:p w14:paraId="7CB4C7BB" w14:textId="77777777" w:rsidR="007641FC" w:rsidRDefault="007641FC" w:rsidP="007641FC">
      <w:pPr>
        <w:widowControl w:val="0"/>
        <w:spacing w:before="120" w:after="0" w:line="276" w:lineRule="auto"/>
        <w:ind w:firstLine="709"/>
        <w:jc w:val="both"/>
        <w:rPr>
          <w:rFonts w:ascii="Verdana" w:eastAsia="Arial" w:hAnsi="Verdana" w:cs="Arial"/>
        </w:rPr>
      </w:pPr>
      <w:r w:rsidRPr="00B36F85">
        <w:rPr>
          <w:rFonts w:ascii="Verdana" w:eastAsia="Arial" w:hAnsi="Verdana" w:cs="Arial"/>
        </w:rPr>
        <w:t xml:space="preserve">En tales términos, la facultad de las entidades estatales para incluir en los pliegos de condiciones causales de rechazo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14:paraId="3E5F38DC" w14:textId="77777777" w:rsidR="007641FC" w:rsidRDefault="007641FC" w:rsidP="007641FC">
      <w:pPr>
        <w:widowControl w:val="0"/>
        <w:spacing w:before="120" w:after="0" w:line="276" w:lineRule="auto"/>
        <w:ind w:firstLine="709"/>
        <w:jc w:val="both"/>
        <w:rPr>
          <w:rFonts w:ascii="Verdana" w:eastAsia="Arial" w:hAnsi="Verdana" w:cs="Arial"/>
        </w:rPr>
      </w:pPr>
      <w:r w:rsidRPr="05E3EA9D">
        <w:rPr>
          <w:rFonts w:ascii="Verdana" w:eastAsia="Arial" w:hAnsi="Verdana" w:cs="Arial"/>
          <w:lang w:val="es-ES"/>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5E3EA9D">
        <w:rPr>
          <w:rFonts w:ascii="Verdana" w:eastAsia="Arial" w:hAnsi="Verdana" w:cs="Arial"/>
          <w:vertAlign w:val="superscript"/>
          <w:lang w:val="es-ES"/>
        </w:rPr>
        <w:footnoteReference w:id="17"/>
      </w:r>
      <w:r w:rsidRPr="05E3EA9D">
        <w:rPr>
          <w:rFonts w:ascii="Verdana" w:eastAsia="Arial" w:hAnsi="Verdana" w:cs="Arial"/>
          <w:lang w:val="es-ES"/>
        </w:rPr>
        <w:t xml:space="preserve"> sostuvo: </w:t>
      </w:r>
    </w:p>
    <w:p w14:paraId="6615275C" w14:textId="77777777" w:rsidR="007641FC" w:rsidRPr="008C505B" w:rsidRDefault="007641FC" w:rsidP="007641FC">
      <w:pPr>
        <w:spacing w:after="0" w:line="240" w:lineRule="auto"/>
        <w:ind w:firstLine="709"/>
        <w:jc w:val="both"/>
        <w:rPr>
          <w:rFonts w:ascii="Verdana" w:eastAsia="Arial" w:hAnsi="Verdana" w:cs="Arial"/>
        </w:rPr>
      </w:pPr>
    </w:p>
    <w:p w14:paraId="4AF7117A" w14:textId="626AE476" w:rsidR="007641FC" w:rsidRPr="004B49E2" w:rsidRDefault="007641FC" w:rsidP="00054793">
      <w:pPr>
        <w:spacing w:after="0"/>
        <w:ind w:left="708" w:right="709"/>
        <w:jc w:val="both"/>
        <w:rPr>
          <w:rFonts w:ascii="Verdana" w:eastAsia="Arial" w:hAnsi="Verdana" w:cs="Arial"/>
          <w:sz w:val="20"/>
          <w:szCs w:val="20"/>
          <w:lang w:val="es-ES"/>
        </w:rPr>
      </w:pPr>
      <w:r w:rsidRPr="05E3EA9D">
        <w:rPr>
          <w:rFonts w:ascii="Verdana" w:eastAsia="Arial" w:hAnsi="Verdana" w:cs="Arial"/>
          <w:sz w:val="20"/>
          <w:szCs w:val="20"/>
          <w:lang w:val="es-ES"/>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03665DED" w14:textId="77777777" w:rsidR="007641FC" w:rsidRDefault="007641FC" w:rsidP="00A8432D">
      <w:pPr>
        <w:spacing w:after="120" w:line="276" w:lineRule="auto"/>
        <w:ind w:firstLine="709"/>
        <w:jc w:val="both"/>
        <w:rPr>
          <w:rFonts w:ascii="Verdana" w:eastAsia="Arial" w:hAnsi="Verdana" w:cs="Arial"/>
          <w:lang w:val="es-ES"/>
        </w:rPr>
      </w:pPr>
      <w:r w:rsidRPr="004B49E2">
        <w:rPr>
          <w:rFonts w:ascii="Verdana" w:eastAsia="Arial" w:hAnsi="Verdana" w:cs="Arial"/>
          <w:lang w:val="es-ES"/>
        </w:rPr>
        <w:lastRenderedPageBreak/>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092DF018" w14:textId="77777777" w:rsidR="007641FC" w:rsidRDefault="007641FC" w:rsidP="00A8432D">
      <w:pPr>
        <w:spacing w:after="120" w:line="276" w:lineRule="auto"/>
        <w:ind w:firstLine="709"/>
        <w:jc w:val="both"/>
        <w:rPr>
          <w:rFonts w:ascii="Verdana" w:eastAsia="Arial" w:hAnsi="Verdana" w:cs="Arial"/>
        </w:rPr>
      </w:pPr>
      <w:r>
        <w:rPr>
          <w:rFonts w:ascii="Verdana" w:eastAsia="Arial" w:hAnsi="Verdana" w:cs="Arial"/>
        </w:rPr>
        <w:t>De conformidad con lo anterior, p</w:t>
      </w:r>
      <w:r w:rsidRPr="004B49E2">
        <w:rPr>
          <w:rFonts w:ascii="Verdana" w:eastAsia="Arial" w:hAnsi="Verdana" w:cs="Arial"/>
        </w:rPr>
        <w:t xml:space="preserve">ara garantizar el principio de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w:t>
      </w:r>
    </w:p>
    <w:p w14:paraId="42607587" w14:textId="77777777" w:rsidR="007641FC" w:rsidRDefault="007641FC" w:rsidP="00A8432D">
      <w:pPr>
        <w:spacing w:after="120" w:line="276" w:lineRule="auto"/>
        <w:ind w:firstLine="709"/>
        <w:jc w:val="both"/>
        <w:rPr>
          <w:rFonts w:ascii="Verdana" w:eastAsia="Arial" w:hAnsi="Verdana" w:cs="Arial"/>
        </w:rPr>
      </w:pPr>
      <w:r w:rsidRPr="004B49E2">
        <w:rPr>
          <w:rFonts w:ascii="Verdana" w:eastAsia="Arial" w:hAnsi="Verdana" w:cs="Arial"/>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09898759" w14:textId="77777777" w:rsidR="007641FC" w:rsidRDefault="007641FC" w:rsidP="00A8432D">
      <w:pPr>
        <w:spacing w:after="120" w:line="276" w:lineRule="auto"/>
        <w:ind w:firstLine="709"/>
        <w:jc w:val="both"/>
        <w:rPr>
          <w:rFonts w:ascii="Verdana" w:eastAsia="Arial" w:hAnsi="Verdana" w:cs="Arial"/>
        </w:rPr>
      </w:pPr>
      <w:r w:rsidRPr="00C90784">
        <w:rPr>
          <w:rFonts w:ascii="Verdana" w:eastAsia="Arial" w:hAnsi="Verdana" w:cs="Arial"/>
        </w:rPr>
        <w:t xml:space="preserve">Con base en lo anterior, tratándose de la garantía de seriedad de la oferta, debe precisarse que la regla de </w:t>
      </w:r>
      <w:proofErr w:type="spellStart"/>
      <w:r w:rsidRPr="00C90784">
        <w:rPr>
          <w:rFonts w:ascii="Verdana" w:eastAsia="Arial" w:hAnsi="Verdana" w:cs="Arial"/>
        </w:rPr>
        <w:t>subsanabilidad</w:t>
      </w:r>
      <w:proofErr w:type="spellEnd"/>
      <w:r w:rsidRPr="00C90784">
        <w:rPr>
          <w:rFonts w:ascii="Verdana" w:eastAsia="Arial" w:hAnsi="Verdana" w:cs="Arial"/>
        </w:rPr>
        <w:t xml:space="preserve"> prevista por el legislador recae sobre la no entrega de la garantía junto con la propuesta y, en general, sobre la inexistencia o falta de vigencia de la póliza al momento del cierre del proceso, por cuanto ello implicaría pretender acreditar una circunstancia constitutiva posterior e inadmisible. Sin embargo, resulta necesario distinguir entre la garantía como requisito habilitante y los soportes documentales asociados a su acreditación, como el comprobante de pago de la prima. En la medida en que el pago de la prima corresponde a una obligación derivada del contrato de seguro entre tomador y aseguradora, su soporte constituye un medio de prueba que no altera la realidad jurídica de la oferta, siempre que la póliza haya sido válidamente expedida y se encuentre vigente desde antes del cierre del plazo de presentación de propuestas. Por tanto, la entrega posterior del comprobante de pago no configura la acreditación de una circunstancia ocurrida con posterioridad al cierre del proceso, sino la aportación extemporánea de un documento verificable, subsanable bajo la regla del artículo 5 de la Ley 1882 de 2018, salvo </w:t>
      </w:r>
      <w:r w:rsidRPr="00C90784">
        <w:rPr>
          <w:rFonts w:ascii="Verdana" w:eastAsia="Arial" w:hAnsi="Verdana" w:cs="Arial"/>
        </w:rPr>
        <w:lastRenderedPageBreak/>
        <w:t>que la ley o el pliego de condiciones</w:t>
      </w:r>
      <w:r>
        <w:rPr>
          <w:rFonts w:ascii="Verdana" w:eastAsia="Arial" w:hAnsi="Verdana" w:cs="Arial"/>
        </w:rPr>
        <w:t xml:space="preserve">, </w:t>
      </w:r>
      <w:r w:rsidRPr="00C90784">
        <w:rPr>
          <w:rFonts w:ascii="Verdana" w:eastAsia="Arial" w:hAnsi="Verdana" w:cs="Arial"/>
        </w:rPr>
        <w:t>de forma expresa, razonable y proporcional</w:t>
      </w:r>
      <w:r>
        <w:rPr>
          <w:rFonts w:ascii="Verdana" w:eastAsia="Arial" w:hAnsi="Verdana" w:cs="Arial"/>
        </w:rPr>
        <w:t xml:space="preserve">, </w:t>
      </w:r>
      <w:r w:rsidRPr="00C90784">
        <w:rPr>
          <w:rFonts w:ascii="Verdana" w:eastAsia="Arial" w:hAnsi="Verdana" w:cs="Arial"/>
        </w:rPr>
        <w:t xml:space="preserve"> hubiesen elevado dicho soporte a causal autónoma de rechazo, hipótesis que, por su naturaleza, es de interpretación estricta y restrictiva.</w:t>
      </w:r>
    </w:p>
    <w:p w14:paraId="7C1A29DC" w14:textId="77777777" w:rsidR="007641FC" w:rsidRPr="00314EDC" w:rsidRDefault="007641FC" w:rsidP="00A8432D">
      <w:pPr>
        <w:spacing w:after="120" w:line="276" w:lineRule="auto"/>
        <w:ind w:firstLine="709"/>
        <w:jc w:val="both"/>
        <w:rPr>
          <w:rFonts w:ascii="Verdana" w:eastAsia="Arial" w:hAnsi="Verdana" w:cs="Arial"/>
        </w:rPr>
      </w:pPr>
      <w:r w:rsidRPr="00314EDC">
        <w:rPr>
          <w:rFonts w:ascii="Verdana" w:eastAsia="Arial" w:hAnsi="Verdana" w:cs="Arial"/>
          <w:lang w:val="es-ES"/>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12C4D689" w14:textId="77777777" w:rsidR="007641FC" w:rsidRPr="00314EDC" w:rsidRDefault="007641FC" w:rsidP="007641FC">
      <w:pPr>
        <w:spacing w:before="120" w:after="0" w:line="276" w:lineRule="auto"/>
        <w:ind w:firstLine="709"/>
        <w:jc w:val="both"/>
        <w:rPr>
          <w:rFonts w:ascii="Verdana" w:eastAsia="Arial" w:hAnsi="Verdana" w:cs="Arial"/>
          <w:lang w:val="es-ES"/>
        </w:rPr>
      </w:pPr>
      <w:r w:rsidRPr="00314EDC">
        <w:rPr>
          <w:rFonts w:ascii="Verdana" w:eastAsia="Arial" w:hAnsi="Verdana" w:cs="Arial"/>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2466F1C1" w14:textId="77777777" w:rsidR="007641FC" w:rsidRDefault="007641FC" w:rsidP="007641FC">
      <w:pPr>
        <w:pStyle w:val="Prrafodelista"/>
        <w:tabs>
          <w:tab w:val="left" w:pos="142"/>
          <w:tab w:val="left" w:pos="284"/>
          <w:tab w:val="left" w:pos="3828"/>
          <w:tab w:val="left" w:pos="6900"/>
        </w:tabs>
        <w:spacing w:after="0" w:line="240" w:lineRule="auto"/>
        <w:ind w:left="0"/>
        <w:contextualSpacing w:val="0"/>
        <w:jc w:val="both"/>
        <w:rPr>
          <w:rFonts w:ascii="Verdana" w:eastAsia="Calibri" w:hAnsi="Verdana" w:cs="Arial"/>
          <w:lang w:val="es-CO"/>
        </w:rPr>
      </w:pPr>
    </w:p>
    <w:p w14:paraId="0E316547" w14:textId="7140438F" w:rsidR="007641FC" w:rsidRPr="005644FE" w:rsidRDefault="007641FC" w:rsidP="007641FC">
      <w:pPr>
        <w:tabs>
          <w:tab w:val="left" w:pos="142"/>
          <w:tab w:val="left" w:pos="284"/>
          <w:tab w:val="left" w:pos="3828"/>
        </w:tabs>
        <w:spacing w:after="0" w:line="240" w:lineRule="auto"/>
        <w:rPr>
          <w:rFonts w:ascii="Verdana" w:eastAsia="Century Gothic" w:hAnsi="Verdana" w:cs="Century Gothic"/>
          <w:b/>
          <w:bCs/>
        </w:rPr>
      </w:pPr>
      <w:bookmarkStart w:id="2" w:name="_Hlk204854194"/>
      <w:r w:rsidRPr="005644FE">
        <w:rPr>
          <w:rFonts w:ascii="Verdana" w:eastAsia="Century Gothic" w:hAnsi="Verdana" w:cs="Century Gothic"/>
          <w:b/>
          <w:bCs/>
        </w:rPr>
        <w:t>4. 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2"/>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641FC" w:rsidRPr="005644FE" w14:paraId="1AC304AA" w14:textId="77777777" w:rsidTr="007641FC">
        <w:trPr>
          <w:trHeight w:val="1288"/>
          <w:jc w:val="center"/>
        </w:trPr>
        <w:tc>
          <w:tcPr>
            <w:tcW w:w="8647" w:type="dxa"/>
          </w:tcPr>
          <w:p w14:paraId="1806FD8F" w14:textId="77777777" w:rsidR="007641FC" w:rsidRPr="001C79AB"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1C79AB">
              <w:rPr>
                <w:rFonts w:ascii="Verdana" w:eastAsia="Arial" w:hAnsi="Verdana" w:cs="Arial"/>
                <w:color w:val="000000" w:themeColor="text1"/>
              </w:rPr>
              <w:t>Decreto-ley 150 de 1976</w:t>
            </w:r>
            <w:r>
              <w:rPr>
                <w:rFonts w:ascii="Verdana" w:eastAsia="Arial" w:hAnsi="Verdana" w:cs="Arial"/>
                <w:color w:val="000000" w:themeColor="text1"/>
              </w:rPr>
              <w:t>.</w:t>
            </w:r>
          </w:p>
          <w:p w14:paraId="5F3A033B" w14:textId="77777777" w:rsidR="007641FC" w:rsidRPr="001C79AB"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1C79AB">
              <w:rPr>
                <w:rFonts w:ascii="Verdana" w:eastAsia="Arial" w:hAnsi="Verdana" w:cs="Arial"/>
                <w:color w:val="000000" w:themeColor="text1"/>
              </w:rPr>
              <w:t>Decreto-ley 222 de 1983</w:t>
            </w:r>
            <w:r>
              <w:rPr>
                <w:rFonts w:ascii="Verdana" w:eastAsia="Arial" w:hAnsi="Verdana" w:cs="Arial"/>
                <w:color w:val="000000" w:themeColor="text1"/>
              </w:rPr>
              <w:t>.</w:t>
            </w:r>
          </w:p>
          <w:p w14:paraId="4F9AD5AF" w14:textId="77777777" w:rsidR="007641FC" w:rsidRPr="005F35CB"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Pr>
                <w:rFonts w:ascii="Verdana" w:eastAsia="Arial" w:hAnsi="Verdana" w:cs="Arial"/>
                <w:color w:val="000000" w:themeColor="text1"/>
              </w:rPr>
              <w:t>Constitución Política. Artículo 228.</w:t>
            </w:r>
          </w:p>
          <w:p w14:paraId="02047FF5" w14:textId="77777777" w:rsidR="007641FC" w:rsidRPr="005F35CB"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Pr>
                <w:rFonts w:ascii="Verdana" w:eastAsia="Arial" w:hAnsi="Verdana" w:cs="Arial"/>
                <w:color w:val="000000" w:themeColor="text1"/>
              </w:rPr>
              <w:t>Ley 80 de 1993. Artículo 25 numeral 15, 30 numerales 7 y 8.</w:t>
            </w:r>
          </w:p>
          <w:p w14:paraId="01AD8445" w14:textId="77777777" w:rsidR="007641FC"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5F35CB">
              <w:rPr>
                <w:rFonts w:ascii="Verdana" w:eastAsia="Aptos" w:hAnsi="Verdana" w:cs="Arial"/>
              </w:rPr>
              <w:t xml:space="preserve">Ley 1150 de 2007. Artículo 5 parágrafo 1. </w:t>
            </w:r>
          </w:p>
          <w:p w14:paraId="78B7E943" w14:textId="77777777" w:rsidR="007641FC" w:rsidRPr="005F35CB"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C64261">
              <w:rPr>
                <w:rFonts w:ascii="Verdana" w:eastAsia="Arial" w:hAnsi="Verdana" w:cs="Arial"/>
                <w:color w:val="000000"/>
              </w:rPr>
              <w:t>Ley 1882 de 2018</w:t>
            </w:r>
            <w:r>
              <w:rPr>
                <w:rFonts w:ascii="Verdana" w:eastAsia="Arial" w:hAnsi="Verdana" w:cs="Arial"/>
                <w:color w:val="000000"/>
              </w:rPr>
              <w:t>. Artículo 5.</w:t>
            </w:r>
          </w:p>
          <w:p w14:paraId="427CA7E5" w14:textId="77777777" w:rsidR="007641FC"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5F35CB">
              <w:rPr>
                <w:rFonts w:ascii="Verdana" w:eastAsia="Aptos" w:hAnsi="Verdana" w:cs="Arial"/>
              </w:rPr>
              <w:t xml:space="preserve">Consejo de Estado. Sala de lo Contencioso Administrativo Sección Tercera, Subsección C. Sentencia del 26 de febrero de 2014. Radicado: 1999-00113-01 (25.804). C.P. Enrique Gil Botero. </w:t>
            </w:r>
          </w:p>
          <w:p w14:paraId="4341D86E" w14:textId="77777777" w:rsidR="007641FC"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5F35CB">
              <w:rPr>
                <w:rFonts w:ascii="Verdana" w:eastAsia="Aptos" w:hAnsi="Verdana" w:cs="Arial"/>
              </w:rPr>
              <w:t>Consejo de Estado. Sala de Consulta y Servicio Civil, concepto del 6 de noviembre de 2008. Rad. 2008-00079-00 (1927). C.P. William Zambrano Cetina.</w:t>
            </w:r>
          </w:p>
          <w:p w14:paraId="5018BE70" w14:textId="77777777" w:rsidR="007641FC" w:rsidRPr="005F35CB"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5F35CB">
              <w:rPr>
                <w:rFonts w:ascii="Verdana" w:eastAsia="Aptos" w:hAnsi="Verdana" w:cs="Arial"/>
              </w:rPr>
              <w:t xml:space="preserve">Consejo de Estado. Sala de lo Contencioso Administrativo. Sección Tercera, Subsección C. Sentencia del 26 de febrero de 2011. </w:t>
            </w:r>
            <w:r w:rsidRPr="005F35CB">
              <w:rPr>
                <w:rFonts w:ascii="Verdana" w:eastAsia="Aptos" w:hAnsi="Verdana" w:cs="Arial"/>
              </w:rPr>
              <w:lastRenderedPageBreak/>
              <w:t xml:space="preserve">Radicado: 11001-03-26-000-2009-00018-00 (36.408). C.P. Jaime Orlando Santofimio.   </w:t>
            </w:r>
          </w:p>
          <w:p w14:paraId="604EBDA8" w14:textId="77777777" w:rsidR="007641FC"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5F35CB">
              <w:rPr>
                <w:rFonts w:ascii="Verdana" w:eastAsia="Aptos" w:hAnsi="Verdana" w:cs="Arial"/>
              </w:rPr>
              <w:t xml:space="preserve">Consejo de Estado, Sección Tercera, Subsección C. Sentencia del 26 de febrero de 2014. C.P. Enrique Gil Botero. Radicado: 13001-23-31-000-1999-00113-01 (25.804). M.P: Enrique Gil Botero.   </w:t>
            </w:r>
          </w:p>
          <w:p w14:paraId="47CEB03F" w14:textId="77777777" w:rsidR="007641FC"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5F35CB">
              <w:rPr>
                <w:rFonts w:ascii="Verdana" w:eastAsia="Aptos" w:hAnsi="Verdana" w:cs="Arial"/>
              </w:rPr>
              <w:t>Consejo de Estado. Sala de Consulta y Servicio Civil. Concepto del 20 de mayo de 2010. Rad. 2010-00034-00 (1992). C.P. Enrique José Arboleda Perdomo.</w:t>
            </w:r>
          </w:p>
          <w:p w14:paraId="5F4C2F09" w14:textId="77777777" w:rsidR="007641FC"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5F35CB">
              <w:rPr>
                <w:rFonts w:ascii="Verdana" w:eastAsia="Aptos" w:hAnsi="Verdana" w:cs="Arial"/>
              </w:rPr>
              <w:t>Consejo de Estado. Sala de lo Contencioso Administrativo. Sección Tercera. Sentencia de 30 de noviembre de 2006. Radicado: 11001-03-26-000-2000-00020-01 (18.059). M.P. Alier Hernández Enríquez.</w:t>
            </w:r>
          </w:p>
          <w:p w14:paraId="08B5576C" w14:textId="77777777" w:rsidR="007641FC"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5F35CB">
              <w:rPr>
                <w:rFonts w:ascii="Verdana" w:eastAsia="Aptos" w:hAnsi="Verdana" w:cs="Arial"/>
              </w:rPr>
              <w:t>Consejo de Estado. Sala de lo Contencioso Administrativo. Sección Tercera Subsección B. Sentencia del 27 de abril de 2011. Radicado: 25000-23-26-000-1997-03924-01 (18.293). C.P. Ponente: Ruth Stella Correa Palacio.</w:t>
            </w:r>
          </w:p>
          <w:p w14:paraId="2FE773F9" w14:textId="77777777" w:rsidR="007641FC" w:rsidRPr="005F35CB" w:rsidRDefault="007641FC" w:rsidP="007641FC">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5F35CB">
              <w:rPr>
                <w:rFonts w:ascii="Verdana" w:eastAsia="Aptos" w:hAnsi="Verdana" w:cs="Arial"/>
              </w:rPr>
              <w:t>Consejo de Estado. Sección Tercera. Sentencia del 21 de noviembre de 2013. Radicado 25000-23-26-000-1999-01850-01 (25.397). C.P. Carlos Alberto Zambrano Barrera.</w:t>
            </w:r>
          </w:p>
          <w:p w14:paraId="5D58D19A" w14:textId="77777777" w:rsidR="007641FC" w:rsidRPr="005F35CB" w:rsidRDefault="007641FC" w:rsidP="007641FC">
            <w:pPr>
              <w:pStyle w:val="Prrafodelista"/>
              <w:numPr>
                <w:ilvl w:val="0"/>
                <w:numId w:val="17"/>
              </w:numPr>
              <w:jc w:val="both"/>
              <w:rPr>
                <w:rFonts w:ascii="Verdana" w:eastAsia="Aptos" w:hAnsi="Verdana" w:cs="Arial"/>
              </w:rPr>
            </w:pPr>
            <w:r w:rsidRPr="005F35CB">
              <w:rPr>
                <w:rFonts w:ascii="Verdana" w:eastAsia="Aptos" w:hAnsi="Verdana" w:cs="Arial"/>
              </w:rPr>
              <w:t xml:space="preserve">Circular </w:t>
            </w:r>
            <w:r>
              <w:rPr>
                <w:rFonts w:ascii="Verdana" w:eastAsia="Aptos" w:hAnsi="Verdana" w:cs="Arial"/>
              </w:rPr>
              <w:t xml:space="preserve">Única </w:t>
            </w:r>
            <w:r w:rsidRPr="005F35CB">
              <w:rPr>
                <w:rFonts w:ascii="Verdana" w:eastAsia="Aptos" w:hAnsi="Verdana" w:cs="Arial"/>
              </w:rPr>
              <w:t xml:space="preserve">Externa. Agencia Nacional de Contratación Pública. Disponible en </w:t>
            </w:r>
            <w:hyperlink r:id="rId11" w:history="1">
              <w:r w:rsidRPr="005F35CB">
                <w:rPr>
                  <w:rStyle w:val="Hipervnculo"/>
                  <w:rFonts w:ascii="Verdana" w:hAnsi="Verdana"/>
                  <w:lang w:val="es-CO"/>
                </w:rPr>
                <w:t>circular_externa_unica_version_3_vf49.pdf</w:t>
              </w:r>
            </w:hyperlink>
          </w:p>
          <w:p w14:paraId="336DD8FD" w14:textId="77777777" w:rsidR="007641FC" w:rsidRPr="005F35CB" w:rsidRDefault="007641FC" w:rsidP="007641FC">
            <w:pPr>
              <w:pStyle w:val="Prrafodelista"/>
              <w:numPr>
                <w:ilvl w:val="0"/>
                <w:numId w:val="17"/>
              </w:numPr>
              <w:jc w:val="both"/>
              <w:rPr>
                <w:rFonts w:ascii="Verdana" w:eastAsia="Aptos" w:hAnsi="Verdana" w:cs="Arial"/>
              </w:rPr>
            </w:pPr>
            <w:r w:rsidRPr="00E85A8F">
              <w:rPr>
                <w:rFonts w:ascii="Verdana" w:eastAsia="Calibri" w:hAnsi="Verdana" w:cs="Arial"/>
              </w:rPr>
              <w:t>Manual para determinar y verificar los requisitos habilitantes en los Procesos de Contratación</w:t>
            </w:r>
            <w:r>
              <w:rPr>
                <w:rFonts w:ascii="Verdana" w:hAnsi="Verdana"/>
                <w:sz w:val="16"/>
                <w:szCs w:val="16"/>
                <w:lang w:val="es-CO"/>
              </w:rPr>
              <w:t xml:space="preserve">. </w:t>
            </w:r>
            <w:r w:rsidRPr="005F35CB">
              <w:rPr>
                <w:rFonts w:ascii="Verdana" w:hAnsi="Verdana"/>
                <w:lang w:val="es-CO"/>
              </w:rPr>
              <w:t xml:space="preserve">Disponible en </w:t>
            </w:r>
            <w:hyperlink r:id="rId12" w:history="1">
              <w:r w:rsidRPr="005F35CB">
                <w:rPr>
                  <w:rStyle w:val="Hipervnculo"/>
                  <w:rFonts w:ascii="Verdana" w:hAnsi="Verdana"/>
                  <w:lang w:val="es-CO"/>
                </w:rPr>
                <w:t>cce-eicp-ma-04._manual_requisitos_habilitantes_v3_29-09-2023.pdf</w:t>
              </w:r>
            </w:hyperlink>
          </w:p>
          <w:p w14:paraId="182A25CC" w14:textId="77777777" w:rsidR="007641FC" w:rsidRDefault="007641FC" w:rsidP="007641FC">
            <w:pPr>
              <w:pStyle w:val="Prrafodelista"/>
              <w:numPr>
                <w:ilvl w:val="0"/>
                <w:numId w:val="17"/>
              </w:numPr>
              <w:jc w:val="both"/>
              <w:rPr>
                <w:rFonts w:ascii="Verdana" w:eastAsia="Aptos" w:hAnsi="Verdana" w:cs="Arial"/>
              </w:rPr>
            </w:pPr>
            <w:r w:rsidRPr="005F35CB">
              <w:rPr>
                <w:rFonts w:ascii="Verdana" w:eastAsia="Aptos" w:hAnsi="Verdana" w:cs="Arial"/>
              </w:rPr>
              <w:t xml:space="preserve">OSPINA MENA, Jesús Marino. Régimen de la Contratación Estatal. Un salto a la contratación líquida. Bogotá: Ed. 1ª. </w:t>
            </w:r>
            <w:proofErr w:type="spellStart"/>
            <w:r w:rsidRPr="005F35CB">
              <w:rPr>
                <w:rFonts w:ascii="Verdana" w:eastAsia="Aptos" w:hAnsi="Verdana" w:cs="Arial"/>
              </w:rPr>
              <w:t>Diké</w:t>
            </w:r>
            <w:proofErr w:type="spellEnd"/>
            <w:r w:rsidRPr="005F35CB">
              <w:rPr>
                <w:rFonts w:ascii="Verdana" w:eastAsia="Aptos" w:hAnsi="Verdana" w:cs="Arial"/>
              </w:rPr>
              <w:t>, 2020</w:t>
            </w:r>
            <w:r>
              <w:rPr>
                <w:rFonts w:ascii="Verdana" w:eastAsia="Aptos" w:hAnsi="Verdana" w:cs="Arial"/>
              </w:rPr>
              <w:t>.</w:t>
            </w:r>
          </w:p>
          <w:p w14:paraId="23F8CC51" w14:textId="77777777" w:rsidR="007641FC" w:rsidRPr="005F35CB" w:rsidRDefault="007641FC" w:rsidP="007641FC">
            <w:pPr>
              <w:pStyle w:val="Prrafodelista"/>
              <w:numPr>
                <w:ilvl w:val="0"/>
                <w:numId w:val="17"/>
              </w:numPr>
              <w:jc w:val="both"/>
              <w:rPr>
                <w:rFonts w:ascii="Verdana" w:eastAsia="Aptos" w:hAnsi="Verdana" w:cs="Arial"/>
              </w:rPr>
            </w:pPr>
            <w:r w:rsidRPr="005F35CB">
              <w:rPr>
                <w:rFonts w:ascii="Verdana" w:eastAsia="Aptos" w:hAnsi="Verdana" w:cs="Arial"/>
              </w:rPr>
              <w:t xml:space="preserve">RODRÍGUEZ TAMAYO, Mauricio Fernando. Evaluación y rechazo de ofertas en la Ley 80 de 1993. Medellín: Librería Jurídica Sánchez, 2016. </w:t>
            </w:r>
          </w:p>
        </w:tc>
      </w:tr>
    </w:tbl>
    <w:p w14:paraId="46969AF1" w14:textId="77777777" w:rsidR="007641FC" w:rsidRPr="005644FE" w:rsidRDefault="007641FC" w:rsidP="007641FC">
      <w:pPr>
        <w:widowControl w:val="0"/>
        <w:tabs>
          <w:tab w:val="left" w:pos="3828"/>
        </w:tabs>
        <w:autoSpaceDE w:val="0"/>
        <w:autoSpaceDN w:val="0"/>
        <w:spacing w:after="0" w:line="276" w:lineRule="auto"/>
        <w:jc w:val="both"/>
        <w:rPr>
          <w:rFonts w:ascii="Verdana" w:hAnsi="Verdana" w:cs="Arial"/>
        </w:rPr>
      </w:pPr>
    </w:p>
    <w:p w14:paraId="3FCBB22B" w14:textId="4123B925" w:rsidR="007641FC" w:rsidRPr="00054793" w:rsidRDefault="007641FC" w:rsidP="00054793">
      <w:pPr>
        <w:tabs>
          <w:tab w:val="left" w:pos="142"/>
          <w:tab w:val="left" w:pos="284"/>
          <w:tab w:val="left" w:pos="3828"/>
        </w:tabs>
        <w:spacing w:after="0" w:line="276" w:lineRule="auto"/>
        <w:jc w:val="both"/>
        <w:rPr>
          <w:rFonts w:ascii="Verdana" w:eastAsia="Century Gothic" w:hAnsi="Verdana" w:cs="Century Gothic"/>
          <w:b/>
          <w:bCs/>
        </w:rPr>
      </w:pPr>
      <w:r w:rsidRPr="005644FE">
        <w:rPr>
          <w:rFonts w:ascii="Verdana" w:eastAsia="Century Gothic" w:hAnsi="Verdana" w:cs="Century Gothic"/>
          <w:b/>
          <w:bCs/>
        </w:rPr>
        <w:t>5. Doctrina de la Agencia Nacional de Contratación Pública:</w:t>
      </w:r>
    </w:p>
    <w:p w14:paraId="14E669B1" w14:textId="49FB1A10" w:rsidR="007641FC" w:rsidRDefault="007641FC" w:rsidP="00054793">
      <w:pPr>
        <w:widowControl w:val="0"/>
        <w:autoSpaceDE w:val="0"/>
        <w:autoSpaceDN w:val="0"/>
        <w:spacing w:after="0" w:line="276" w:lineRule="auto"/>
        <w:jc w:val="both"/>
        <w:rPr>
          <w:rStyle w:val="normaltextrun"/>
          <w:rFonts w:ascii="Verdana" w:hAnsi="Verdana" w:cs="Arial"/>
          <w:shd w:val="clear" w:color="auto" w:fill="FFFFFF"/>
          <w:lang w:val="es-ES"/>
        </w:rPr>
      </w:pPr>
      <w:r w:rsidRPr="00277E26">
        <w:rPr>
          <w:rStyle w:val="normaltextrun"/>
          <w:rFonts w:ascii="Verdana" w:hAnsi="Verdana" w:cs="Arial"/>
          <w:shd w:val="clear" w:color="auto" w:fill="FFFFFF"/>
          <w:lang w:val="es-ES"/>
        </w:rPr>
        <w:t>Esta Subdirección</w:t>
      </w:r>
      <w:r>
        <w:rPr>
          <w:rStyle w:val="normaltextrun"/>
          <w:rFonts w:ascii="Verdana" w:hAnsi="Verdana" w:cs="Arial"/>
          <w:shd w:val="clear" w:color="auto" w:fill="FFFFFF"/>
          <w:lang w:val="es-ES"/>
        </w:rPr>
        <w:t xml:space="preserve"> </w:t>
      </w:r>
      <w:r w:rsidRPr="009D1699">
        <w:rPr>
          <w:rStyle w:val="normaltextrun"/>
          <w:rFonts w:ascii="Verdana" w:hAnsi="Verdana" w:cs="Arial"/>
          <w:shd w:val="clear" w:color="auto" w:fill="FFFFFF"/>
          <w:lang w:val="es-ES"/>
        </w:rPr>
        <w:t xml:space="preserve">se ha pronunciado sobre la </w:t>
      </w:r>
      <w:r>
        <w:rPr>
          <w:rStyle w:val="normaltextrun"/>
          <w:rFonts w:ascii="Verdana" w:hAnsi="Verdana" w:cs="Arial"/>
          <w:shd w:val="clear" w:color="auto" w:fill="FFFFFF"/>
          <w:lang w:val="es-ES"/>
        </w:rPr>
        <w:t xml:space="preserve">regla de </w:t>
      </w:r>
      <w:proofErr w:type="spellStart"/>
      <w:r>
        <w:rPr>
          <w:rStyle w:val="normaltextrun"/>
          <w:rFonts w:ascii="Verdana" w:hAnsi="Verdana" w:cs="Arial"/>
          <w:shd w:val="clear" w:color="auto" w:fill="FFFFFF"/>
          <w:lang w:val="es-ES"/>
        </w:rPr>
        <w:t>subsanabilidad</w:t>
      </w:r>
      <w:proofErr w:type="spellEnd"/>
      <w:r w:rsidRPr="00277E26">
        <w:rPr>
          <w:rStyle w:val="normaltextrun"/>
          <w:rFonts w:ascii="Verdana" w:hAnsi="Verdana" w:cs="Arial"/>
          <w:shd w:val="clear" w:color="auto" w:fill="FFFFFF"/>
          <w:lang w:val="es-ES"/>
        </w:rPr>
        <w:t xml:space="preserve"> en los Conceptos </w:t>
      </w:r>
      <w:r w:rsidRPr="00E90148">
        <w:rPr>
          <w:rStyle w:val="normaltextrun"/>
          <w:rFonts w:ascii="Verdana" w:hAnsi="Verdana" w:cs="Arial"/>
          <w:shd w:val="clear" w:color="auto" w:fill="FFFFFF"/>
          <w:lang w:val="es-ES"/>
        </w:rPr>
        <w:t>C-218 del 2 de abril de 2020, C-229 del 16 de abril de 2020, C-307 del 21 de mayo de 2020, C-396 del 16 de julio de 2020, C-410 del 26 de junio de 2020, C-429 del 24 de julio de 2020, C-481 del 27 de julio de 2020, C-548 del 21 de agosto de 2020, C-633 del 2 de octubre de 2020, C-634 del 21 de octubre de 2020, C-675 del 25 de noviembre de 2020, C-802 del 1° de febrero de 2021, C-010 del 16 de febrero de 2021, C-083 del 18 de marzo de 2021, C-</w:t>
      </w:r>
      <w:r w:rsidRPr="00E90148">
        <w:rPr>
          <w:rStyle w:val="normaltextrun"/>
          <w:rFonts w:ascii="Verdana" w:hAnsi="Verdana" w:cs="Arial"/>
          <w:shd w:val="clear" w:color="auto" w:fill="FFFFFF"/>
          <w:lang w:val="es-ES"/>
        </w:rPr>
        <w:lastRenderedPageBreak/>
        <w:t>090 del 23 de marzo de 2021, C-565 del 11 de octubre de 2021, C-691 del 28 de diciembre de 2021,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w:t>
      </w:r>
      <w:r>
        <w:rPr>
          <w:rStyle w:val="normaltextrun"/>
          <w:rFonts w:ascii="Verdana" w:hAnsi="Verdana" w:cs="Arial"/>
          <w:shd w:val="clear" w:color="auto" w:fill="FFFFFF"/>
          <w:lang w:val="es-ES"/>
        </w:rPr>
        <w:t>,</w:t>
      </w:r>
      <w:r w:rsidRPr="00E90148">
        <w:rPr>
          <w:rStyle w:val="normaltextrun"/>
          <w:rFonts w:ascii="Verdana" w:hAnsi="Verdana" w:cs="Arial"/>
          <w:shd w:val="clear" w:color="auto" w:fill="FFFFFF"/>
          <w:lang w:val="es-ES"/>
        </w:rPr>
        <w:t xml:space="preserve"> C-216 del 6 de junio de 2023</w:t>
      </w:r>
      <w:r>
        <w:rPr>
          <w:rStyle w:val="normaltextrun"/>
          <w:rFonts w:ascii="Verdana" w:hAnsi="Verdana" w:cs="Arial"/>
          <w:shd w:val="clear" w:color="auto" w:fill="FFFFFF"/>
          <w:lang w:val="es-ES"/>
        </w:rPr>
        <w:t>, C-304 del 4 de julio de 2023, C-051 del 21 de febrero de 2025, C-293 del 16 de abril de 2025, C-295 del 16 de abril de 2025, C-678 del 9 de julio de 2025, C- 1363 del 30 de octubre de 2025, C-1376 del 31 de octubre de 2025, entre otros</w:t>
      </w:r>
      <w:r w:rsidRPr="00277E26">
        <w:rPr>
          <w:rStyle w:val="normaltextrun"/>
          <w:rFonts w:ascii="Verdana" w:hAnsi="Verdana" w:cs="Arial"/>
          <w:shd w:val="clear" w:color="auto" w:fill="FFFFFF"/>
          <w:lang w:val="es-ES"/>
        </w:rPr>
        <w:t xml:space="preserve">. </w:t>
      </w:r>
    </w:p>
    <w:p w14:paraId="66715569" w14:textId="77777777" w:rsidR="007641FC" w:rsidRPr="005644FE" w:rsidRDefault="007641FC" w:rsidP="007641FC">
      <w:pPr>
        <w:widowControl w:val="0"/>
        <w:tabs>
          <w:tab w:val="left" w:pos="3828"/>
        </w:tabs>
        <w:autoSpaceDE w:val="0"/>
        <w:autoSpaceDN w:val="0"/>
        <w:spacing w:after="0" w:line="276" w:lineRule="auto"/>
        <w:jc w:val="both"/>
        <w:rPr>
          <w:rFonts w:ascii="Verdana" w:eastAsia="Times New Roman" w:hAnsi="Verdana" w:cs="Arial"/>
          <w:shd w:val="clear" w:color="auto" w:fill="FFFFFF"/>
        </w:rPr>
      </w:pPr>
      <w:r>
        <w:rPr>
          <w:rStyle w:val="normaltextrun"/>
          <w:rFonts w:ascii="Verdana" w:hAnsi="Verdana" w:cs="Arial"/>
          <w:shd w:val="clear" w:color="auto" w:fill="FFFFFF"/>
          <w:lang w:val="es-ES"/>
        </w:rPr>
        <w:t xml:space="preserve">Sobre las causales de rechazo contempladas en el pliego de condiciones, esta Subdirección se ha pronunciado en los conceptos </w:t>
      </w:r>
      <w:r w:rsidRPr="0039727B">
        <w:rPr>
          <w:rFonts w:ascii="Verdana" w:eastAsia="Calibri" w:hAnsi="Verdana" w:cs="Arial"/>
          <w:shd w:val="clear" w:color="auto" w:fill="FFFFFF"/>
          <w:lang w:val="es-ES"/>
        </w:rPr>
        <w:t>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w:t>
      </w:r>
      <w:r>
        <w:rPr>
          <w:rFonts w:ascii="Verdana" w:eastAsia="Calibri" w:hAnsi="Verdana" w:cs="Arial"/>
          <w:shd w:val="clear" w:color="auto" w:fill="FFFFFF"/>
          <w:lang w:val="es-ES"/>
        </w:rPr>
        <w:t xml:space="preserve"> C-244 del 13 de agosto de 2024,</w:t>
      </w:r>
      <w:r w:rsidRPr="0039727B">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 xml:space="preserve">C- 848 del 4 de agosto de 2025, </w:t>
      </w:r>
      <w:r w:rsidRPr="0039727B">
        <w:rPr>
          <w:rFonts w:ascii="Verdana" w:eastAsia="Calibri" w:hAnsi="Verdana" w:cs="Arial"/>
          <w:shd w:val="clear" w:color="auto" w:fill="FFFFFF"/>
          <w:lang w:val="es-ES"/>
        </w:rPr>
        <w:t>entre otros.</w:t>
      </w:r>
      <w:r>
        <w:rPr>
          <w:rStyle w:val="normaltextrun"/>
          <w:rFonts w:ascii="Verdana" w:hAnsi="Verdana" w:cs="Arial"/>
          <w:shd w:val="clear" w:color="auto" w:fill="FFFFFF"/>
          <w:lang w:val="es-ES"/>
        </w:rPr>
        <w:t xml:space="preserve"> </w:t>
      </w:r>
      <w:r w:rsidRPr="00314EDC">
        <w:rPr>
          <w:rFonts w:ascii="Verdana" w:hAnsi="Verdana" w:cs="Arial"/>
        </w:rPr>
        <w:t xml:space="preserve">Estos y otros </w:t>
      </w:r>
      <w:r w:rsidRPr="00314EDC">
        <w:rPr>
          <w:rFonts w:ascii="Verdana" w:hAnsi="Verdana"/>
        </w:rPr>
        <w:t>conceptos se encuentran disponibles para consulta en el Sistema de relatoría de la Agencia, al cual se puede acceder a través del siguiente enlace:</w:t>
      </w:r>
      <w:r w:rsidRPr="00314EDC">
        <w:rPr>
          <w:rFonts w:ascii="Verdana" w:hAnsi="Verdana" w:cs="Arial"/>
          <w:shd w:val="clear" w:color="auto" w:fill="FFFFFF"/>
        </w:rPr>
        <w:t xml:space="preserve"> </w:t>
      </w:r>
      <w:hyperlink r:id="rId13" w:history="1">
        <w:r w:rsidRPr="00314EDC">
          <w:rPr>
            <w:rStyle w:val="Hipervnculo"/>
            <w:rFonts w:ascii="Verdana" w:hAnsi="Verdana" w:cs="Arial"/>
            <w:shd w:val="clear" w:color="auto" w:fill="FFFFFF"/>
          </w:rPr>
          <w:t>https://relatoria.colombiacompra.gov.co/busqueda/conceptos</w:t>
        </w:r>
      </w:hyperlink>
      <w:r w:rsidRPr="00314EDC">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24E67A22" w14:textId="77777777" w:rsidR="007641FC" w:rsidRPr="00103B90" w:rsidRDefault="007641FC" w:rsidP="007641FC">
      <w:pPr>
        <w:widowControl w:val="0"/>
        <w:autoSpaceDE w:val="0"/>
        <w:autoSpaceDN w:val="0"/>
        <w:spacing w:after="0" w:line="276" w:lineRule="auto"/>
        <w:jc w:val="both"/>
        <w:rPr>
          <w:rFonts w:ascii="Verdana" w:hAnsi="Verdana"/>
        </w:rPr>
      </w:pPr>
    </w:p>
    <w:p w14:paraId="38E82DCA" w14:textId="77777777" w:rsidR="007641FC" w:rsidRPr="00505CD6" w:rsidRDefault="007641FC" w:rsidP="007641FC">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E316424" w14:textId="77777777" w:rsidR="007641FC" w:rsidRPr="00505CD6" w:rsidRDefault="007641FC" w:rsidP="007641FC">
      <w:pPr>
        <w:widowControl w:val="0"/>
        <w:autoSpaceDE w:val="0"/>
        <w:autoSpaceDN w:val="0"/>
        <w:spacing w:after="0" w:line="276" w:lineRule="auto"/>
        <w:jc w:val="both"/>
        <w:rPr>
          <w:rFonts w:ascii="Verdana" w:hAnsi="Verdana" w:cs="Arial"/>
        </w:rPr>
      </w:pPr>
    </w:p>
    <w:p w14:paraId="07DB970B" w14:textId="77777777" w:rsidR="007641FC" w:rsidRDefault="007641FC" w:rsidP="007641FC">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106F730F" w14:textId="4B740A14" w:rsidR="007641FC" w:rsidRDefault="00054793" w:rsidP="007641FC">
      <w:pPr>
        <w:spacing w:after="0" w:line="276" w:lineRule="auto"/>
        <w:jc w:val="center"/>
        <w:rPr>
          <w:rFonts w:ascii="Verdana" w:hAnsi="Verdana"/>
          <w:lang w:val="es-ES_tradnl"/>
        </w:rPr>
      </w:pPr>
      <w:r>
        <w:rPr>
          <w:rFonts w:ascii="Verdana" w:hAnsi="Verdana"/>
          <w:noProof/>
          <w:lang w:val="es-ES_tradnl"/>
        </w:rPr>
        <w:drawing>
          <wp:inline distT="0" distB="0" distL="0" distR="0" wp14:anchorId="3DB38179" wp14:editId="12424FF8">
            <wp:extent cx="1519767" cy="560961"/>
            <wp:effectExtent l="0" t="0" r="4445" b="0"/>
            <wp:docPr id="72081584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15842" name="Imagen 1" descr="Texto&#10;&#10;Descripción generada automá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25364" cy="563027"/>
                    </a:xfrm>
                    <a:prstGeom prst="rect">
                      <a:avLst/>
                    </a:prstGeom>
                  </pic:spPr>
                </pic:pic>
              </a:graphicData>
            </a:graphic>
          </wp:inline>
        </w:drawing>
      </w:r>
    </w:p>
    <w:tbl>
      <w:tblPr>
        <w:tblStyle w:val="Tablaconcuadrcula"/>
        <w:tblW w:w="5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0"/>
        <w:gridCol w:w="4614"/>
      </w:tblGrid>
      <w:tr w:rsidR="007641FC" w:rsidRPr="00D53651" w14:paraId="2FC5F841" w14:textId="77777777" w:rsidTr="00054793">
        <w:trPr>
          <w:trHeight w:val="216"/>
        </w:trPr>
        <w:tc>
          <w:tcPr>
            <w:tcW w:w="1210" w:type="dxa"/>
            <w:vAlign w:val="center"/>
            <w:hideMark/>
          </w:tcPr>
          <w:p w14:paraId="1E9DB522" w14:textId="77777777" w:rsidR="007641FC" w:rsidRPr="00D53651" w:rsidRDefault="007641FC" w:rsidP="007641FC">
            <w:pPr>
              <w:spacing w:line="276" w:lineRule="auto"/>
              <w:jc w:val="both"/>
              <w:rPr>
                <w:rFonts w:ascii="Verdana" w:hAnsi="Verdana"/>
                <w:sz w:val="16"/>
                <w:szCs w:val="16"/>
              </w:rPr>
            </w:pPr>
            <w:r w:rsidRPr="00D53651">
              <w:rPr>
                <w:rFonts w:ascii="Verdana" w:hAnsi="Verdana"/>
                <w:sz w:val="16"/>
                <w:szCs w:val="16"/>
              </w:rPr>
              <w:t>Elaboró:</w:t>
            </w:r>
          </w:p>
        </w:tc>
        <w:tc>
          <w:tcPr>
            <w:tcW w:w="4614" w:type="dxa"/>
            <w:tcBorders>
              <w:top w:val="nil"/>
              <w:left w:val="nil"/>
              <w:bottom w:val="dotted" w:sz="4" w:space="0" w:color="7F7F7F"/>
              <w:right w:val="nil"/>
            </w:tcBorders>
            <w:vAlign w:val="center"/>
            <w:hideMark/>
          </w:tcPr>
          <w:p w14:paraId="233A930C" w14:textId="77777777" w:rsidR="007641FC" w:rsidRPr="00D53651" w:rsidRDefault="007641FC" w:rsidP="007641FC">
            <w:pPr>
              <w:spacing w:line="276" w:lineRule="auto"/>
              <w:jc w:val="both"/>
              <w:rPr>
                <w:rFonts w:ascii="Verdana" w:hAnsi="Verdana"/>
                <w:sz w:val="16"/>
                <w:szCs w:val="16"/>
              </w:rPr>
            </w:pPr>
            <w:r>
              <w:rPr>
                <w:rFonts w:ascii="Verdana" w:hAnsi="Verdana"/>
                <w:sz w:val="16"/>
                <w:szCs w:val="16"/>
              </w:rPr>
              <w:t>Gloria Elizabeth Arango Builes</w:t>
            </w:r>
          </w:p>
          <w:p w14:paraId="192807F5" w14:textId="77777777" w:rsidR="007641FC" w:rsidRPr="00D53651" w:rsidRDefault="007641FC" w:rsidP="007641FC">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7641FC" w:rsidRPr="00D53651" w14:paraId="30D555D8" w14:textId="77777777" w:rsidTr="00054793">
        <w:trPr>
          <w:trHeight w:val="227"/>
        </w:trPr>
        <w:tc>
          <w:tcPr>
            <w:tcW w:w="1210" w:type="dxa"/>
            <w:vAlign w:val="center"/>
            <w:hideMark/>
          </w:tcPr>
          <w:p w14:paraId="58D19C92" w14:textId="77777777" w:rsidR="007641FC" w:rsidRPr="00D53651" w:rsidRDefault="007641FC" w:rsidP="007641FC">
            <w:pPr>
              <w:spacing w:line="276" w:lineRule="auto"/>
              <w:jc w:val="both"/>
              <w:rPr>
                <w:rFonts w:ascii="Verdana" w:hAnsi="Verdana"/>
                <w:sz w:val="16"/>
                <w:szCs w:val="16"/>
              </w:rPr>
            </w:pPr>
            <w:r w:rsidRPr="00D53651">
              <w:rPr>
                <w:rFonts w:ascii="Verdana" w:hAnsi="Verdana"/>
                <w:sz w:val="16"/>
                <w:szCs w:val="16"/>
              </w:rPr>
              <w:lastRenderedPageBreak/>
              <w:t>Revisó:</w:t>
            </w:r>
          </w:p>
        </w:tc>
        <w:tc>
          <w:tcPr>
            <w:tcW w:w="4614" w:type="dxa"/>
            <w:tcBorders>
              <w:top w:val="dotted" w:sz="4" w:space="0" w:color="7F7F7F"/>
              <w:left w:val="nil"/>
              <w:bottom w:val="dotted" w:sz="4" w:space="0" w:color="7F7F7F"/>
              <w:right w:val="nil"/>
            </w:tcBorders>
            <w:vAlign w:val="center"/>
            <w:hideMark/>
          </w:tcPr>
          <w:p w14:paraId="7C706766" w14:textId="77777777" w:rsidR="007641FC" w:rsidRPr="00D53651" w:rsidRDefault="007641FC" w:rsidP="007641FC">
            <w:pPr>
              <w:spacing w:line="276" w:lineRule="auto"/>
              <w:jc w:val="both"/>
              <w:rPr>
                <w:rFonts w:ascii="Verdana" w:hAnsi="Verdana"/>
                <w:sz w:val="16"/>
                <w:szCs w:val="16"/>
              </w:rPr>
            </w:pPr>
            <w:r>
              <w:rPr>
                <w:rFonts w:ascii="Verdana" w:hAnsi="Verdana"/>
                <w:sz w:val="16"/>
                <w:szCs w:val="16"/>
              </w:rPr>
              <w:t>Diana Lucía Saavedra</w:t>
            </w:r>
            <w:r w:rsidRPr="00D53651">
              <w:rPr>
                <w:rFonts w:ascii="Verdana" w:hAnsi="Verdana"/>
                <w:sz w:val="16"/>
                <w:szCs w:val="16"/>
              </w:rPr>
              <w:t xml:space="preserve"> </w:t>
            </w:r>
          </w:p>
          <w:p w14:paraId="7F3BB680" w14:textId="77777777" w:rsidR="007641FC" w:rsidRPr="00D53651" w:rsidRDefault="007641FC" w:rsidP="007641FC">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7641FC" w:rsidRPr="00D53651" w14:paraId="4CC763E0" w14:textId="77777777" w:rsidTr="00054793">
        <w:trPr>
          <w:trHeight w:val="206"/>
        </w:trPr>
        <w:tc>
          <w:tcPr>
            <w:tcW w:w="1210" w:type="dxa"/>
            <w:vAlign w:val="center"/>
            <w:hideMark/>
          </w:tcPr>
          <w:p w14:paraId="034B175D" w14:textId="77777777" w:rsidR="007641FC" w:rsidRPr="00D53651" w:rsidRDefault="007641FC" w:rsidP="007641FC">
            <w:pPr>
              <w:spacing w:line="276" w:lineRule="auto"/>
              <w:jc w:val="both"/>
              <w:rPr>
                <w:rFonts w:ascii="Verdana" w:hAnsi="Verdana"/>
                <w:sz w:val="16"/>
                <w:szCs w:val="16"/>
              </w:rPr>
            </w:pPr>
            <w:r w:rsidRPr="00D53651">
              <w:rPr>
                <w:rFonts w:ascii="Verdana" w:hAnsi="Verdana"/>
                <w:sz w:val="16"/>
                <w:szCs w:val="16"/>
              </w:rPr>
              <w:t>Aprobó:</w:t>
            </w:r>
          </w:p>
        </w:tc>
        <w:tc>
          <w:tcPr>
            <w:tcW w:w="4614" w:type="dxa"/>
            <w:tcBorders>
              <w:top w:val="dotted" w:sz="4" w:space="0" w:color="7F7F7F"/>
              <w:left w:val="nil"/>
              <w:bottom w:val="dotted" w:sz="4" w:space="0" w:color="7F7F7F"/>
              <w:right w:val="nil"/>
            </w:tcBorders>
            <w:vAlign w:val="center"/>
            <w:hideMark/>
          </w:tcPr>
          <w:p w14:paraId="72CC00BB" w14:textId="77777777" w:rsidR="007641FC" w:rsidRPr="00D53651" w:rsidRDefault="007641FC" w:rsidP="007641FC">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1744FDC0" w14:textId="77777777" w:rsidR="007641FC" w:rsidRPr="00D53651" w:rsidRDefault="007641FC" w:rsidP="007641FC">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184F59E6" w14:textId="77777777" w:rsidR="007641FC" w:rsidRPr="000931E9" w:rsidRDefault="007641FC" w:rsidP="007641FC"/>
    <w:p w14:paraId="37389802" w14:textId="77777777" w:rsidR="007641FC" w:rsidRPr="0044528D" w:rsidRDefault="007641FC" w:rsidP="007641FC">
      <w:pPr>
        <w:spacing w:after="0"/>
        <w:rPr>
          <w:rFonts w:ascii="Verdana" w:hAnsi="Verdana"/>
        </w:rPr>
      </w:pPr>
    </w:p>
    <w:p w14:paraId="112C5B32" w14:textId="77777777" w:rsidR="007641FC" w:rsidRPr="00FA01E0" w:rsidRDefault="007641FC" w:rsidP="007641FC">
      <w:pPr>
        <w:spacing w:after="0" w:line="276" w:lineRule="auto"/>
        <w:jc w:val="both"/>
        <w:rPr>
          <w:rFonts w:ascii="Verdana" w:eastAsia="Calibri" w:hAnsi="Verdana" w:cs="Arial"/>
          <w:lang w:val="es-ES"/>
        </w:rPr>
      </w:pPr>
    </w:p>
    <w:p w14:paraId="6DB3582A" w14:textId="77777777" w:rsidR="007641FC" w:rsidRDefault="007641FC" w:rsidP="007641FC"/>
    <w:p w14:paraId="144A3CA5" w14:textId="77777777" w:rsidR="007641FC" w:rsidRDefault="007641FC" w:rsidP="007641FC"/>
    <w:p w14:paraId="7F05434E" w14:textId="77777777" w:rsidR="007641FC" w:rsidRDefault="007641FC" w:rsidP="007641FC"/>
    <w:p w14:paraId="07F3FE7A" w14:textId="77777777" w:rsidR="007641FC" w:rsidRDefault="007641FC" w:rsidP="007641FC"/>
    <w:p w14:paraId="36763A9B" w14:textId="77777777" w:rsidR="007641FC" w:rsidRDefault="007641FC" w:rsidP="007641FC"/>
    <w:p w14:paraId="70B30D32" w14:textId="77777777" w:rsidR="007641FC" w:rsidRDefault="007641FC" w:rsidP="007641FC"/>
    <w:p w14:paraId="200E1C8B" w14:textId="77777777" w:rsidR="007641FC" w:rsidRDefault="007641FC" w:rsidP="007641FC"/>
    <w:p w14:paraId="13FB33C5" w14:textId="77777777" w:rsidR="007641FC" w:rsidRDefault="007641FC" w:rsidP="007641FC"/>
    <w:p w14:paraId="26FDDB9E" w14:textId="77777777" w:rsidR="007641FC" w:rsidRPr="00FF4E35" w:rsidRDefault="007641FC" w:rsidP="007641FC"/>
    <w:p w14:paraId="0F293BF4" w14:textId="4C986D4A" w:rsidR="00127233" w:rsidRPr="007641FC" w:rsidRDefault="00127233" w:rsidP="007641FC"/>
    <w:sectPr w:rsidR="00127233" w:rsidRPr="007641F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E3464" w14:textId="77777777" w:rsidR="00707CC2" w:rsidRDefault="00707CC2" w:rsidP="004A1847">
      <w:pPr>
        <w:spacing w:after="0" w:line="240" w:lineRule="auto"/>
      </w:pPr>
      <w:r>
        <w:separator/>
      </w:r>
    </w:p>
  </w:endnote>
  <w:endnote w:type="continuationSeparator" w:id="0">
    <w:p w14:paraId="2A206563" w14:textId="77777777" w:rsidR="00707CC2" w:rsidRDefault="00707CC2" w:rsidP="004A1847">
      <w:pPr>
        <w:spacing w:after="0" w:line="240" w:lineRule="auto"/>
      </w:pPr>
      <w:r>
        <w:continuationSeparator/>
      </w:r>
    </w:p>
  </w:endnote>
  <w:endnote w:type="continuationNotice" w:id="1">
    <w:p w14:paraId="67E9FF61" w14:textId="77777777" w:rsidR="00707CC2" w:rsidRDefault="00707C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D7618" w14:textId="77777777" w:rsidR="00707CC2" w:rsidRDefault="00707CC2" w:rsidP="004A1847">
      <w:pPr>
        <w:spacing w:after="0" w:line="240" w:lineRule="auto"/>
      </w:pPr>
      <w:r>
        <w:separator/>
      </w:r>
    </w:p>
  </w:footnote>
  <w:footnote w:type="continuationSeparator" w:id="0">
    <w:p w14:paraId="3230F6B9" w14:textId="77777777" w:rsidR="00707CC2" w:rsidRDefault="00707CC2" w:rsidP="004A1847">
      <w:pPr>
        <w:spacing w:after="0" w:line="240" w:lineRule="auto"/>
      </w:pPr>
      <w:r>
        <w:continuationSeparator/>
      </w:r>
    </w:p>
  </w:footnote>
  <w:footnote w:type="continuationNotice" w:id="1">
    <w:p w14:paraId="12717BCA" w14:textId="77777777" w:rsidR="00707CC2" w:rsidRDefault="00707CC2">
      <w:pPr>
        <w:spacing w:after="0" w:line="240" w:lineRule="auto"/>
      </w:pPr>
    </w:p>
  </w:footnote>
  <w:footnote w:id="2">
    <w:p w14:paraId="61EEDE82"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23DAFC57"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3">
    <w:p w14:paraId="230F6AA7"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4">
    <w:p w14:paraId="217B425D"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Consejo de Estado. Sala de lo Contencioso Administrativo Sección Tercera, Subsección C. Sentencia del 26 de febrero de 2014. Radicado: 1999-00113-01 (25.804). C.P. Enrique Gil Botero. </w:t>
      </w:r>
    </w:p>
    <w:p w14:paraId="10ADBE62"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5">
    <w:p w14:paraId="746D6BD9" w14:textId="77777777" w:rsidR="007641FC" w:rsidRPr="00AF56B9" w:rsidRDefault="007641FC" w:rsidP="007641FC">
      <w:pPr>
        <w:pStyle w:val="Textonotapie"/>
        <w:ind w:firstLine="709"/>
        <w:jc w:val="both"/>
        <w:rPr>
          <w:rFonts w:ascii="Verdana" w:hAnsi="Verdana"/>
          <w:sz w:val="16"/>
          <w:szCs w:val="16"/>
        </w:rPr>
      </w:pPr>
      <w:r w:rsidRPr="00AF56B9">
        <w:rPr>
          <w:rStyle w:val="Refdenotaalpie"/>
          <w:rFonts w:ascii="Verdana" w:hAnsi="Verdana"/>
          <w:sz w:val="16"/>
          <w:szCs w:val="16"/>
        </w:rPr>
        <w:footnoteRef/>
      </w:r>
      <w:r w:rsidRPr="00AF56B9">
        <w:rPr>
          <w:rFonts w:ascii="Verdana" w:hAnsi="Verdana"/>
          <w:sz w:val="16"/>
          <w:szCs w:val="16"/>
        </w:rPr>
        <w:t xml:space="preserve"> En </w:t>
      </w:r>
      <w:hyperlink r:id="rId1" w:history="1">
        <w:r w:rsidRPr="00AF56B9">
          <w:rPr>
            <w:rStyle w:val="Hipervnculo"/>
            <w:rFonts w:ascii="Verdana" w:hAnsi="Verdana"/>
            <w:sz w:val="16"/>
            <w:szCs w:val="16"/>
            <w:lang w:val="es-CO"/>
          </w:rPr>
          <w:t>circular_externa_unica_version_3_vf49.pdf</w:t>
        </w:r>
      </w:hyperlink>
    </w:p>
  </w:footnote>
  <w:footnote w:id="6">
    <w:p w14:paraId="24CF5128"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vertAlign w:val="superscript"/>
        </w:rPr>
        <w:t xml:space="preserve"> </w:t>
      </w:r>
      <w:r w:rsidRPr="00AF56B9">
        <w:rPr>
          <w:rFonts w:ascii="Verdana" w:eastAsia="Arial"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7">
    <w:p w14:paraId="40691F9B" w14:textId="77777777" w:rsidR="007641FC" w:rsidRPr="00AF56B9" w:rsidRDefault="007641FC" w:rsidP="007641FC">
      <w:pP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2">
        <w:r w:rsidRPr="00AF56B9">
          <w:rPr>
            <w:rFonts w:ascii="Verdana" w:eastAsia="Arial" w:hAnsi="Verdana" w:cs="Arial"/>
            <w:color w:val="000000"/>
            <w:sz w:val="16"/>
            <w:szCs w:val="16"/>
          </w:rPr>
          <w:t>Ley 1150 de 2007</w:t>
        </w:r>
      </w:hyperlink>
      <w:r w:rsidRPr="00AF56B9">
        <w:rPr>
          <w:rFonts w:ascii="Verdana" w:eastAsia="Arial" w:hAnsi="Verdana" w:cs="Arial"/>
          <w:color w:val="000000"/>
          <w:sz w:val="16"/>
          <w:szCs w:val="16"/>
        </w:rPr>
        <w:t> y en el presente decreto.</w:t>
      </w:r>
    </w:p>
    <w:p w14:paraId="1BEE605E" w14:textId="77777777" w:rsidR="007641FC" w:rsidRPr="00AF56B9" w:rsidRDefault="007641FC" w:rsidP="007641FC">
      <w:pPr>
        <w:spacing w:after="0" w:line="240" w:lineRule="auto"/>
        <w:ind w:firstLine="709"/>
        <w:jc w:val="both"/>
        <w:rPr>
          <w:rFonts w:ascii="Verdana" w:eastAsia="Arial" w:hAnsi="Verdana" w:cs="Arial"/>
          <w:color w:val="000000"/>
          <w:sz w:val="16"/>
          <w:szCs w:val="16"/>
        </w:rPr>
      </w:pPr>
      <w:r w:rsidRPr="00AF56B9">
        <w:rPr>
          <w:rFonts w:ascii="Verdana" w:eastAsia="Arial" w:hAnsi="Verdana" w:cs="Arial"/>
          <w:color w:val="000000"/>
          <w:sz w:val="16"/>
          <w:szCs w:val="16"/>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22F3AE92" w14:textId="77777777" w:rsidR="007641FC" w:rsidRPr="00AF56B9" w:rsidRDefault="007641FC" w:rsidP="007641FC">
      <w:pPr>
        <w:spacing w:after="0" w:line="240" w:lineRule="auto"/>
        <w:ind w:firstLine="709"/>
        <w:jc w:val="both"/>
        <w:rPr>
          <w:rFonts w:ascii="Verdana" w:eastAsia="Arial" w:hAnsi="Verdana" w:cs="Arial"/>
          <w:color w:val="000000"/>
          <w:sz w:val="16"/>
          <w:szCs w:val="16"/>
        </w:rPr>
      </w:pPr>
      <w:r w:rsidRPr="00AF56B9">
        <w:rPr>
          <w:rFonts w:ascii="Verdana" w:eastAsia="Arial" w:hAnsi="Verdana" w:cs="Arial"/>
          <w:color w:val="000000"/>
          <w:sz w:val="16"/>
          <w:szCs w:val="16"/>
        </w:rPr>
        <w:t>Será rechazada la oferta del proponente que dentro del término previsto en el pliego o en la solicitud, no responda al requerimiento que le haga la entidad para subsanarla.</w:t>
      </w:r>
    </w:p>
    <w:p w14:paraId="797CE842" w14:textId="77777777" w:rsidR="007641FC" w:rsidRPr="00AF56B9" w:rsidRDefault="007641FC" w:rsidP="007641FC">
      <w:pPr>
        <w:spacing w:after="0" w:line="240" w:lineRule="auto"/>
        <w:ind w:firstLine="709"/>
        <w:jc w:val="both"/>
        <w:rPr>
          <w:rFonts w:ascii="Verdana" w:eastAsia="Arial" w:hAnsi="Verdana" w:cs="Arial"/>
          <w:color w:val="000000"/>
          <w:sz w:val="16"/>
          <w:szCs w:val="16"/>
        </w:rPr>
      </w:pPr>
      <w:r w:rsidRPr="00AF56B9">
        <w:rPr>
          <w:rFonts w:ascii="Verdana" w:eastAsia="Arial" w:hAnsi="Verdana" w:cs="Arial"/>
          <w:color w:val="000000"/>
          <w:sz w:val="16"/>
          <w:szCs w:val="16"/>
        </w:rPr>
        <w:t>Cuando se utilice el mecanismo de subasta esta posibilidad deberá ejercerse hasta el momento previo a su realización, de conformidad con el artículo 22 del presente decreto.</w:t>
      </w:r>
    </w:p>
    <w:p w14:paraId="47E72848" w14:textId="77777777" w:rsidR="007641FC" w:rsidRDefault="007641FC" w:rsidP="007641FC">
      <w:pPr>
        <w:spacing w:after="0" w:line="240" w:lineRule="auto"/>
        <w:ind w:firstLine="709"/>
        <w:jc w:val="both"/>
        <w:rPr>
          <w:rFonts w:ascii="Verdana" w:eastAsia="Arial" w:hAnsi="Verdana" w:cs="Arial"/>
          <w:color w:val="000000"/>
          <w:sz w:val="14"/>
          <w:szCs w:val="14"/>
        </w:rPr>
      </w:pPr>
      <w:r w:rsidRPr="00AF56B9">
        <w:rPr>
          <w:rFonts w:ascii="Verdana" w:eastAsia="Arial" w:hAnsi="Verdana" w:cs="Arial"/>
          <w:color w:val="000000"/>
          <w:sz w:val="16"/>
          <w:szCs w:val="16"/>
        </w:rPr>
        <w:t xml:space="preserve">En ningún caso la entidad podrá señalar taxativamente los requisitos o documentos subsanables o no subsanables en el pliego de condiciones, </w:t>
      </w:r>
      <w:r w:rsidRPr="00AF56B9">
        <w:rPr>
          <w:rFonts w:ascii="Verdana" w:eastAsia="Arial" w:hAnsi="Verdana" w:cs="Arial"/>
          <w:i/>
          <w:color w:val="000000"/>
          <w:sz w:val="16"/>
          <w:szCs w:val="16"/>
        </w:rPr>
        <w:t>ni permitir que se subsane la falta de capacidad para presentar la oferta, ni que se acrediten circunstancias ocurridas con posterioridad al cierre del proceso</w:t>
      </w:r>
      <w:r w:rsidRPr="00AF56B9">
        <w:rPr>
          <w:rFonts w:ascii="Verdana" w:eastAsia="Arial" w:hAnsi="Verdana" w:cs="Arial"/>
          <w:color w:val="000000"/>
          <w:sz w:val="16"/>
          <w:szCs w:val="16"/>
        </w:rPr>
        <w:t>”. (Cursivas fuera de texto).</w:t>
      </w:r>
      <w:r w:rsidRPr="00817F71">
        <w:rPr>
          <w:rFonts w:ascii="Verdana" w:eastAsia="Arial" w:hAnsi="Verdana" w:cs="Arial"/>
          <w:color w:val="000000"/>
          <w:sz w:val="14"/>
          <w:szCs w:val="14"/>
        </w:rPr>
        <w:t xml:space="preserve"> </w:t>
      </w:r>
    </w:p>
    <w:p w14:paraId="0A013930" w14:textId="77777777" w:rsidR="007641FC" w:rsidRPr="00817F71" w:rsidRDefault="007641FC" w:rsidP="007641FC">
      <w:pPr>
        <w:spacing w:after="0" w:line="240" w:lineRule="auto"/>
        <w:ind w:firstLine="709"/>
        <w:jc w:val="both"/>
        <w:rPr>
          <w:rFonts w:ascii="Verdana" w:eastAsia="Arial" w:hAnsi="Verdana" w:cs="Arial"/>
          <w:color w:val="000000"/>
          <w:sz w:val="14"/>
          <w:szCs w:val="14"/>
        </w:rPr>
      </w:pPr>
    </w:p>
  </w:footnote>
  <w:footnote w:id="8">
    <w:p w14:paraId="6BFB908B"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Consejo de Estado. Sala de Consulta y Servicio Civil, concepto del 6 de noviembre de 2008. Rad. 2008-00079-00 (1927). C.P. William Zambrano Cetina.</w:t>
      </w:r>
    </w:p>
  </w:footnote>
  <w:footnote w:id="9">
    <w:p w14:paraId="2CE527D9"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Ver Consejo de Estado. Sala de lo Contencioso Administrativo. Sección Tercera, Subsección C. Sentencia del 26 de febrero de 2011. Radicado: 11001-03-26-000-2009-00018-00 (36.408). C.P. Jaime Orlando Santofimio.   </w:t>
      </w:r>
    </w:p>
    <w:p w14:paraId="6E367357"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10">
    <w:p w14:paraId="39F3C3B2"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Ver Consejo de Estado, Sección Tercera, Subsección C. Sentencia del 26 de febrero de 2014. C.P. Enrique Gil Botero. Radicado: 13001-23-31-000-1999-00113-01 (25.804). M.P: Enrique Gil Botero.   </w:t>
      </w:r>
    </w:p>
    <w:p w14:paraId="57A75D81"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11">
    <w:p w14:paraId="4ABAEF89"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Consejo de Estado. Sala de Consulta y Servicio Civil. Concepto del 20 de mayo de 2010. Rad. 2010-00034-00 (1992). C.P. Enrique José Arboleda Perdomo.</w:t>
      </w:r>
    </w:p>
    <w:p w14:paraId="0084342A"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12">
    <w:p w14:paraId="6AD1D71E" w14:textId="77777777" w:rsidR="007641FC" w:rsidRPr="00A76E99" w:rsidRDefault="007641FC" w:rsidP="007641FC">
      <w:pPr>
        <w:pStyle w:val="Textonotapie"/>
        <w:ind w:firstLine="709"/>
        <w:rPr>
          <w:rFonts w:ascii="Verdana" w:hAnsi="Verdana"/>
          <w:sz w:val="16"/>
          <w:szCs w:val="16"/>
          <w:lang w:val="es-CO"/>
        </w:rPr>
      </w:pPr>
      <w:r w:rsidRPr="00AF56B9">
        <w:rPr>
          <w:rStyle w:val="Refdenotaalpie"/>
          <w:rFonts w:ascii="Verdana" w:hAnsi="Verdana"/>
          <w:sz w:val="16"/>
          <w:szCs w:val="16"/>
        </w:rPr>
        <w:footnoteRef/>
      </w:r>
      <w:r w:rsidRPr="00AF56B9">
        <w:rPr>
          <w:rFonts w:ascii="Verdana" w:hAnsi="Verdana"/>
          <w:sz w:val="16"/>
          <w:szCs w:val="16"/>
          <w:lang w:val="es-CO"/>
        </w:rPr>
        <w:t xml:space="preserve"> Disponible en </w:t>
      </w:r>
      <w:hyperlink r:id="rId3" w:history="1">
        <w:r w:rsidRPr="00AF56B9">
          <w:rPr>
            <w:rStyle w:val="Hipervnculo"/>
            <w:rFonts w:ascii="Verdana" w:hAnsi="Verdana"/>
            <w:sz w:val="16"/>
            <w:szCs w:val="16"/>
            <w:lang w:val="es-CO"/>
          </w:rPr>
          <w:t>cce-eicp-ma-04._manual_requisitos_habilitantes_v3_29-09-2023.pdf</w:t>
        </w:r>
      </w:hyperlink>
    </w:p>
    <w:p w14:paraId="0F368C05" w14:textId="77777777" w:rsidR="007641FC" w:rsidRPr="00AF56B9" w:rsidRDefault="007641FC" w:rsidP="007641FC">
      <w:pPr>
        <w:pStyle w:val="Textonotapie"/>
        <w:ind w:firstLine="709"/>
        <w:rPr>
          <w:rFonts w:ascii="Verdana" w:hAnsi="Verdana"/>
          <w:sz w:val="16"/>
          <w:szCs w:val="16"/>
          <w:lang w:val="es-CO"/>
        </w:rPr>
      </w:pPr>
    </w:p>
  </w:footnote>
  <w:footnote w:id="13">
    <w:p w14:paraId="3C08FADC"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hAnsi="Verdana" w:cs="Arial"/>
          <w:color w:val="000000" w:themeColor="text1"/>
          <w:sz w:val="16"/>
          <w:szCs w:val="16"/>
          <w:vertAlign w:val="superscript"/>
        </w:rPr>
        <w:footnoteRef/>
      </w:r>
      <w:r w:rsidRPr="00AF56B9">
        <w:rPr>
          <w:rFonts w:ascii="Verdana" w:eastAsia="Arial" w:hAnsi="Verdana" w:cs="Arial"/>
          <w:color w:val="000000" w:themeColor="text1"/>
          <w:sz w:val="16"/>
          <w:szCs w:val="16"/>
        </w:rPr>
        <w:t xml:space="preserve">  RODRÍGUEZ TAMAYO, Mauricio Fernando. Evaluación y rechazo de ofertas en la Ley 80 de 1993. Medellín: Librería Jurídica Sánchez, 2016. p. 190. </w:t>
      </w:r>
    </w:p>
    <w:p w14:paraId="3F8C9A3F"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p>
  </w:footnote>
  <w:footnote w:id="14">
    <w:p w14:paraId="100631F0"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hAnsi="Verdana" w:cs="Arial"/>
          <w:color w:val="000000" w:themeColor="text1"/>
          <w:sz w:val="16"/>
          <w:szCs w:val="16"/>
          <w:vertAlign w:val="superscript"/>
        </w:rPr>
        <w:footnoteRef/>
      </w:r>
      <w:r w:rsidRPr="00AF56B9">
        <w:rPr>
          <w:rFonts w:ascii="Verdana" w:eastAsia="Arial" w:hAnsi="Verdana" w:cs="Arial"/>
          <w:color w:val="000000" w:themeColor="text1"/>
          <w:sz w:val="16"/>
          <w:szCs w:val="16"/>
        </w:rPr>
        <w:t xml:space="preserve">  Ley 80 de 1993 “</w:t>
      </w:r>
      <w:r w:rsidRPr="00AF56B9">
        <w:rPr>
          <w:rFonts w:ascii="Verdana" w:eastAsia="Arial" w:hAnsi="Verdana" w:cs="Arial"/>
          <w:bCs/>
          <w:color w:val="000000" w:themeColor="text1"/>
          <w:sz w:val="16"/>
          <w:szCs w:val="16"/>
        </w:rPr>
        <w:t>Articulo 24. Del principio de transparencia. </w:t>
      </w:r>
      <w:r w:rsidRPr="00AF56B9">
        <w:rPr>
          <w:rFonts w:ascii="Verdana" w:eastAsia="Arial" w:hAnsi="Verdana" w:cs="Arial"/>
          <w:color w:val="000000" w:themeColor="text1"/>
          <w:sz w:val="16"/>
          <w:szCs w:val="16"/>
        </w:rPr>
        <w:t xml:space="preserve">En virtud de este principio: </w:t>
      </w:r>
    </w:p>
    <w:p w14:paraId="58B68FDD"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w:t>
      </w:r>
    </w:p>
    <w:p w14:paraId="6EB9FCA8" w14:textId="77777777" w:rsidR="007641FC" w:rsidRPr="00AF56B9" w:rsidRDefault="007641FC" w:rsidP="007641FC">
      <w:pP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5o. En los pliegos de condiciones:</w:t>
      </w:r>
    </w:p>
    <w:p w14:paraId="701E9E08" w14:textId="77777777" w:rsidR="007641FC" w:rsidRPr="00AF56B9" w:rsidRDefault="007641FC" w:rsidP="007641FC">
      <w:pP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w:t>
      </w:r>
    </w:p>
    <w:p w14:paraId="61A1936A" w14:textId="77777777" w:rsidR="007641FC" w:rsidRDefault="007641FC" w:rsidP="007641FC">
      <w:pP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b) Se definirán reglas objetivas, justas, claras y completas que permitan la confección de ofrecimientos de la misma índole, aseguren una escogencia objetiva y eviten la declaratoria de desierta de la licitación […]”.</w:t>
      </w:r>
    </w:p>
    <w:p w14:paraId="0EA122C0" w14:textId="77777777" w:rsidR="007641FC" w:rsidRPr="00AF56B9" w:rsidRDefault="007641FC" w:rsidP="007641FC">
      <w:pPr>
        <w:spacing w:after="0" w:line="240" w:lineRule="auto"/>
        <w:ind w:firstLine="709"/>
        <w:jc w:val="both"/>
        <w:rPr>
          <w:rFonts w:ascii="Verdana" w:eastAsia="Arial" w:hAnsi="Verdana" w:cs="Arial"/>
          <w:color w:val="000000" w:themeColor="text1"/>
          <w:sz w:val="16"/>
          <w:szCs w:val="16"/>
        </w:rPr>
      </w:pPr>
    </w:p>
  </w:footnote>
  <w:footnote w:id="15">
    <w:p w14:paraId="56BEE00A"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hAnsi="Verdana" w:cs="Arial"/>
          <w:color w:val="000000" w:themeColor="text1"/>
          <w:sz w:val="16"/>
          <w:szCs w:val="16"/>
          <w:vertAlign w:val="superscript"/>
        </w:rPr>
        <w:footnoteRef/>
      </w:r>
      <w:r w:rsidRPr="00AF56B9">
        <w:rPr>
          <w:rFonts w:ascii="Verdana" w:eastAsia="Arial" w:hAnsi="Verdana" w:cs="Arial"/>
          <w:color w:val="000000" w:themeColor="text1"/>
          <w:sz w:val="16"/>
          <w:szCs w:val="16"/>
        </w:rPr>
        <w:t xml:space="preserve"> Decreto 1082 de 2015 “Artículo 2.2.1.1.2.1.3. Pliegos de condiciones. Los pliegos de condiciones deben contener por lo menos la siguiente información</w:t>
      </w:r>
    </w:p>
    <w:p w14:paraId="73A5B3A0"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w:t>
      </w:r>
    </w:p>
    <w:p w14:paraId="36E8F2B8"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6. Las causas que dan lugar a rechazar una oferta […]”.</w:t>
      </w:r>
    </w:p>
  </w:footnote>
  <w:footnote w:id="16">
    <w:p w14:paraId="21B43E68" w14:textId="77777777" w:rsidR="007641FC"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hAnsi="Verdana" w:cs="Arial"/>
          <w:color w:val="000000" w:themeColor="text1"/>
          <w:sz w:val="16"/>
          <w:szCs w:val="16"/>
          <w:vertAlign w:val="superscript"/>
        </w:rPr>
        <w:footnoteRef/>
      </w:r>
      <w:r w:rsidRPr="00AF56B9">
        <w:rPr>
          <w:rFonts w:ascii="Verdana" w:eastAsia="Arial" w:hAnsi="Verdana" w:cs="Arial"/>
          <w:color w:val="000000" w:themeColor="text1"/>
          <w:sz w:val="16"/>
          <w:szCs w:val="16"/>
        </w:rPr>
        <w:t xml:space="preserve"> Consejo de Estado. Sala de lo Contencioso Administrativo. Sección Tercera Subsección B. Sentencia del 27 de abril de 2011. Radicado: 25000-23-26-000-1997-03924-01 (18.293). C.P. Ponente: Ruth Stella Correa Palacio. </w:t>
      </w:r>
    </w:p>
    <w:p w14:paraId="1ACAF326" w14:textId="77777777" w:rsidR="007641FC" w:rsidRPr="00AF56B9" w:rsidRDefault="007641FC" w:rsidP="007641FC">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p>
  </w:footnote>
  <w:footnote w:id="17">
    <w:p w14:paraId="76DECAB3" w14:textId="77777777" w:rsidR="007641FC" w:rsidRPr="00AF56B9" w:rsidRDefault="007641FC" w:rsidP="007641FC">
      <w:pPr>
        <w:pStyle w:val="Textonotapie"/>
        <w:ind w:firstLine="709"/>
        <w:jc w:val="both"/>
        <w:rPr>
          <w:rFonts w:ascii="Verdana" w:eastAsia="Times New Roman" w:hAnsi="Verdana" w:cs="Arial"/>
          <w:sz w:val="16"/>
          <w:szCs w:val="16"/>
          <w:lang w:val="es-CO" w:eastAsia="es-CO"/>
        </w:rPr>
      </w:pPr>
      <w:r w:rsidRPr="00AF56B9">
        <w:rPr>
          <w:rStyle w:val="Refdenotaalpie"/>
          <w:rFonts w:ascii="Verdana" w:hAnsi="Verdana" w:cs="Arial"/>
          <w:sz w:val="16"/>
          <w:szCs w:val="16"/>
        </w:rPr>
        <w:footnoteRef/>
      </w:r>
      <w:r w:rsidRPr="00AF56B9">
        <w:rPr>
          <w:rFonts w:ascii="Verdana" w:hAnsi="Verdana" w:cs="Arial"/>
          <w:sz w:val="16"/>
          <w:szCs w:val="16"/>
        </w:rPr>
        <w:t xml:space="preserve"> </w:t>
      </w:r>
      <w:r w:rsidRPr="00AF56B9">
        <w:rPr>
          <w:rFonts w:ascii="Verdana" w:eastAsia="Times New Roman" w:hAnsi="Verdana" w:cs="Arial"/>
          <w:sz w:val="16"/>
          <w:szCs w:val="16"/>
          <w:lang w:val="es-CO" w:eastAsia="es-CO"/>
        </w:rPr>
        <w:t>Consejo de Estado. Sección Tercera. Sentencia del 21 de noviembre de 2013. Radicado 25000-23-26-000-1999-01850-01 (25.397). C.P.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FD188E"/>
    <w:multiLevelType w:val="hybridMultilevel"/>
    <w:tmpl w:val="88882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4366326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4793"/>
    <w:rsid w:val="00061B2A"/>
    <w:rsid w:val="00082362"/>
    <w:rsid w:val="000A683E"/>
    <w:rsid w:val="000B19B9"/>
    <w:rsid w:val="000B6A16"/>
    <w:rsid w:val="000D0334"/>
    <w:rsid w:val="000D5DA7"/>
    <w:rsid w:val="000F6486"/>
    <w:rsid w:val="00116940"/>
    <w:rsid w:val="00117699"/>
    <w:rsid w:val="00125105"/>
    <w:rsid w:val="00127233"/>
    <w:rsid w:val="0015699B"/>
    <w:rsid w:val="00163EF9"/>
    <w:rsid w:val="001A33BF"/>
    <w:rsid w:val="001E4177"/>
    <w:rsid w:val="001F0B24"/>
    <w:rsid w:val="001F7DC6"/>
    <w:rsid w:val="0022400B"/>
    <w:rsid w:val="002421BB"/>
    <w:rsid w:val="0025796E"/>
    <w:rsid w:val="002707A2"/>
    <w:rsid w:val="00271A6F"/>
    <w:rsid w:val="002951A0"/>
    <w:rsid w:val="002962BC"/>
    <w:rsid w:val="002A093D"/>
    <w:rsid w:val="002A0DD0"/>
    <w:rsid w:val="002A49AC"/>
    <w:rsid w:val="002A64FD"/>
    <w:rsid w:val="002C1DA9"/>
    <w:rsid w:val="002C7A84"/>
    <w:rsid w:val="002E2BF8"/>
    <w:rsid w:val="002E4FD9"/>
    <w:rsid w:val="0030657A"/>
    <w:rsid w:val="00322A85"/>
    <w:rsid w:val="00324168"/>
    <w:rsid w:val="00330834"/>
    <w:rsid w:val="003327F7"/>
    <w:rsid w:val="003448F4"/>
    <w:rsid w:val="00374F5E"/>
    <w:rsid w:val="00377E3E"/>
    <w:rsid w:val="003A779E"/>
    <w:rsid w:val="003D0F4D"/>
    <w:rsid w:val="003D5B0D"/>
    <w:rsid w:val="003E0499"/>
    <w:rsid w:val="003E4F80"/>
    <w:rsid w:val="003E6439"/>
    <w:rsid w:val="003F3941"/>
    <w:rsid w:val="004032E4"/>
    <w:rsid w:val="00406575"/>
    <w:rsid w:val="00414C74"/>
    <w:rsid w:val="0042722E"/>
    <w:rsid w:val="0044528D"/>
    <w:rsid w:val="00466E39"/>
    <w:rsid w:val="004A1847"/>
    <w:rsid w:val="004A305D"/>
    <w:rsid w:val="004F18D6"/>
    <w:rsid w:val="004F21C4"/>
    <w:rsid w:val="004F685F"/>
    <w:rsid w:val="00530B96"/>
    <w:rsid w:val="005566E8"/>
    <w:rsid w:val="00557C2E"/>
    <w:rsid w:val="00571774"/>
    <w:rsid w:val="00574867"/>
    <w:rsid w:val="00591460"/>
    <w:rsid w:val="005A65E0"/>
    <w:rsid w:val="005B2037"/>
    <w:rsid w:val="005C3777"/>
    <w:rsid w:val="005C5CDC"/>
    <w:rsid w:val="005C6D9D"/>
    <w:rsid w:val="005D476C"/>
    <w:rsid w:val="00612B0C"/>
    <w:rsid w:val="006200BF"/>
    <w:rsid w:val="006219F8"/>
    <w:rsid w:val="006302F7"/>
    <w:rsid w:val="00646B9F"/>
    <w:rsid w:val="00665D70"/>
    <w:rsid w:val="006900D9"/>
    <w:rsid w:val="006D0922"/>
    <w:rsid w:val="006E632F"/>
    <w:rsid w:val="006F61ED"/>
    <w:rsid w:val="00706C16"/>
    <w:rsid w:val="00707CC2"/>
    <w:rsid w:val="007340C3"/>
    <w:rsid w:val="007420D1"/>
    <w:rsid w:val="0075235A"/>
    <w:rsid w:val="00756841"/>
    <w:rsid w:val="007641FC"/>
    <w:rsid w:val="007649AB"/>
    <w:rsid w:val="00771D0C"/>
    <w:rsid w:val="007833AC"/>
    <w:rsid w:val="007A2C36"/>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06FFD"/>
    <w:rsid w:val="00923EEF"/>
    <w:rsid w:val="009419F9"/>
    <w:rsid w:val="0095685E"/>
    <w:rsid w:val="00961B09"/>
    <w:rsid w:val="00965334"/>
    <w:rsid w:val="0097093E"/>
    <w:rsid w:val="00991A32"/>
    <w:rsid w:val="009A0DFA"/>
    <w:rsid w:val="009A1C6F"/>
    <w:rsid w:val="009B2D26"/>
    <w:rsid w:val="009C71FA"/>
    <w:rsid w:val="009C72E7"/>
    <w:rsid w:val="009C7F7E"/>
    <w:rsid w:val="009D3058"/>
    <w:rsid w:val="009E521D"/>
    <w:rsid w:val="009F3A13"/>
    <w:rsid w:val="00A122D3"/>
    <w:rsid w:val="00A14468"/>
    <w:rsid w:val="00A17F13"/>
    <w:rsid w:val="00A20739"/>
    <w:rsid w:val="00A21898"/>
    <w:rsid w:val="00A23AF9"/>
    <w:rsid w:val="00A33C78"/>
    <w:rsid w:val="00A52BB4"/>
    <w:rsid w:val="00A8432D"/>
    <w:rsid w:val="00AB0ADB"/>
    <w:rsid w:val="00B00C0E"/>
    <w:rsid w:val="00B01B1A"/>
    <w:rsid w:val="00B0381D"/>
    <w:rsid w:val="00B44A47"/>
    <w:rsid w:val="00B72CD3"/>
    <w:rsid w:val="00B72FFF"/>
    <w:rsid w:val="00BA3BFA"/>
    <w:rsid w:val="00BC3D36"/>
    <w:rsid w:val="00BD54A6"/>
    <w:rsid w:val="00BD7F72"/>
    <w:rsid w:val="00BF7425"/>
    <w:rsid w:val="00C04FB3"/>
    <w:rsid w:val="00C11D8B"/>
    <w:rsid w:val="00C15139"/>
    <w:rsid w:val="00C330EB"/>
    <w:rsid w:val="00C50D69"/>
    <w:rsid w:val="00C5365C"/>
    <w:rsid w:val="00C70734"/>
    <w:rsid w:val="00C754BE"/>
    <w:rsid w:val="00C76B1C"/>
    <w:rsid w:val="00C817DC"/>
    <w:rsid w:val="00C925AC"/>
    <w:rsid w:val="00CB14B6"/>
    <w:rsid w:val="00CB6357"/>
    <w:rsid w:val="00CC1B26"/>
    <w:rsid w:val="00CF7942"/>
    <w:rsid w:val="00D361FD"/>
    <w:rsid w:val="00D423A2"/>
    <w:rsid w:val="00D44E26"/>
    <w:rsid w:val="00D520D8"/>
    <w:rsid w:val="00D61879"/>
    <w:rsid w:val="00D63AC2"/>
    <w:rsid w:val="00D726E5"/>
    <w:rsid w:val="00D7383B"/>
    <w:rsid w:val="00D7788A"/>
    <w:rsid w:val="00DA231B"/>
    <w:rsid w:val="00DC39FC"/>
    <w:rsid w:val="00DE4799"/>
    <w:rsid w:val="00DF5254"/>
    <w:rsid w:val="00E02524"/>
    <w:rsid w:val="00E16408"/>
    <w:rsid w:val="00E20894"/>
    <w:rsid w:val="00E245AB"/>
    <w:rsid w:val="00E2764C"/>
    <w:rsid w:val="00E27F2E"/>
    <w:rsid w:val="00E50AFE"/>
    <w:rsid w:val="00E7244E"/>
    <w:rsid w:val="00E75C92"/>
    <w:rsid w:val="00E771DC"/>
    <w:rsid w:val="00E8772A"/>
    <w:rsid w:val="00E90F6B"/>
    <w:rsid w:val="00E92C27"/>
    <w:rsid w:val="00EA0E3D"/>
    <w:rsid w:val="00EC38A7"/>
    <w:rsid w:val="00EE1AA8"/>
    <w:rsid w:val="00F1078A"/>
    <w:rsid w:val="00F23FEA"/>
    <w:rsid w:val="00F31EDC"/>
    <w:rsid w:val="00F35BD8"/>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B8365DF-26BD-4073-B5B8-569BD1FCD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1769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1769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4/08/cce-eicp-ma-04._manual_requisitos_habilitantes_v3_29-09-2023.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wp-content/uploads/2024/08/circular_externa_unica_version_3_vf49.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4/08/cce-eicp-ma-04._manual_requisitos_habilitantes_v3_29-09-2023.pdf" TargetMode="External"/><Relationship Id="rId2" Type="http://schemas.openxmlformats.org/officeDocument/2006/relationships/hyperlink" Target="http://www.lexbase.biz/lexbase/normas/leyes/2007/L1150de2007.htm" TargetMode="External"/><Relationship Id="rId1" Type="http://schemas.openxmlformats.org/officeDocument/2006/relationships/hyperlink" Target="https://www.colombiacompra.gov.co/wp-content/uploads/2024/08/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EB8C0F-829A-43CB-AD6E-EA42E6615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23</Pages>
  <Words>7915</Words>
  <Characters>41240</Characters>
  <Application>Microsoft Office Word</Application>
  <DocSecurity>0</DocSecurity>
  <Lines>793</Lines>
  <Paragraphs>146</Paragraphs>
  <ScaleCrop>false</ScaleCrop>
  <Company/>
  <LinksUpToDate>false</LinksUpToDate>
  <CharactersWithSpaces>49009</CharactersWithSpaces>
  <SharedDoc>false</SharedDoc>
  <HLinks>
    <vt:vector size="36" baseType="variant">
      <vt:variant>
        <vt:i4>7471218</vt:i4>
      </vt:variant>
      <vt:variant>
        <vt:i4>6</vt:i4>
      </vt:variant>
      <vt:variant>
        <vt:i4>0</vt:i4>
      </vt:variant>
      <vt:variant>
        <vt:i4>5</vt:i4>
      </vt:variant>
      <vt:variant>
        <vt:lpwstr>https://relatoria.colombiacompra.gov.co/busqueda/conceptos</vt:lpwstr>
      </vt:variant>
      <vt:variant>
        <vt:lpwstr/>
      </vt:variant>
      <vt:variant>
        <vt:i4>655414</vt:i4>
      </vt:variant>
      <vt:variant>
        <vt:i4>3</vt:i4>
      </vt:variant>
      <vt:variant>
        <vt:i4>0</vt:i4>
      </vt:variant>
      <vt:variant>
        <vt:i4>5</vt:i4>
      </vt:variant>
      <vt:variant>
        <vt:lpwstr>https://www.colombiacompra.gov.co/wp-content/uploads/2024/08/cce-eicp-ma-04._manual_requisitos_habilitantes_v3_29-09-2023.pdf</vt:lpwstr>
      </vt:variant>
      <vt:variant>
        <vt:lpwstr/>
      </vt:variant>
      <vt:variant>
        <vt:i4>786475</vt:i4>
      </vt:variant>
      <vt:variant>
        <vt:i4>0</vt:i4>
      </vt:variant>
      <vt:variant>
        <vt:i4>0</vt:i4>
      </vt:variant>
      <vt:variant>
        <vt:i4>5</vt:i4>
      </vt:variant>
      <vt:variant>
        <vt:lpwstr>https://www.colombiacompra.gov.co/wp-content/uploads/2024/08/circular_externa_unica_version_3_vf49.pdf</vt:lpwstr>
      </vt:variant>
      <vt:variant>
        <vt:lpwstr/>
      </vt:variant>
      <vt:variant>
        <vt:i4>655414</vt:i4>
      </vt:variant>
      <vt:variant>
        <vt:i4>6</vt:i4>
      </vt:variant>
      <vt:variant>
        <vt:i4>0</vt:i4>
      </vt:variant>
      <vt:variant>
        <vt:i4>5</vt:i4>
      </vt:variant>
      <vt:variant>
        <vt:lpwstr>https://www.colombiacompra.gov.co/wp-content/uploads/2024/08/cce-eicp-ma-04._manual_requisitos_habilitantes_v3_29-09-2023.pdf</vt:lpwstr>
      </vt:variant>
      <vt:variant>
        <vt:lpwstr/>
      </vt:variant>
      <vt:variant>
        <vt:i4>4390933</vt:i4>
      </vt:variant>
      <vt:variant>
        <vt:i4>3</vt:i4>
      </vt:variant>
      <vt:variant>
        <vt:i4>0</vt:i4>
      </vt:variant>
      <vt:variant>
        <vt:i4>5</vt:i4>
      </vt:variant>
      <vt:variant>
        <vt:lpwstr>http://www.lexbase.biz/lexbase/normas/leyes/2007/L1150de2007.htm</vt:lpwstr>
      </vt:variant>
      <vt:variant>
        <vt:lpwstr/>
      </vt:variant>
      <vt:variant>
        <vt:i4>786475</vt:i4>
      </vt:variant>
      <vt:variant>
        <vt:i4>0</vt:i4>
      </vt:variant>
      <vt:variant>
        <vt:i4>0</vt:i4>
      </vt:variant>
      <vt:variant>
        <vt:i4>5</vt:i4>
      </vt:variant>
      <vt:variant>
        <vt:lpwstr>https://www.colombiacompra.gov.co/wp-content/uploads/2024/08/circular_externa_unica_version_3_vf49.pdf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2025-12-29T04:18:00Z</dcterms:created>
  <dcterms:modified xsi:type="dcterms:W3CDTF">2025-12-29T18:23:00Z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