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4FD36" w14:textId="77777777" w:rsidR="00A25C8F" w:rsidRPr="000239A6" w:rsidRDefault="00A25C8F" w:rsidP="00A25C8F">
      <w:pPr>
        <w:spacing w:after="0" w:line="240" w:lineRule="auto"/>
        <w:contextualSpacing/>
        <w:jc w:val="both"/>
        <w:rPr>
          <w:rFonts w:ascii="Verdana" w:eastAsia="Calibri" w:hAnsi="Verdana" w:cs="Arial"/>
          <w:b/>
          <w:bCs/>
          <w:sz w:val="20"/>
          <w:szCs w:val="20"/>
          <w:lang w:val="es-MX" w:eastAsia="es-ES_tradnl"/>
          <w14:ligatures w14:val="standardContextual"/>
        </w:rPr>
      </w:pPr>
    </w:p>
    <w:p w14:paraId="00E2E94C" w14:textId="77777777" w:rsidR="00A25C8F" w:rsidRPr="000239A6" w:rsidRDefault="00A25C8F" w:rsidP="00A25C8F">
      <w:pPr>
        <w:spacing w:after="0" w:line="240" w:lineRule="auto"/>
        <w:contextualSpacing/>
        <w:jc w:val="both"/>
        <w:rPr>
          <w:rFonts w:ascii="Verdana" w:eastAsia="Calibri" w:hAnsi="Verdana" w:cs="Arial"/>
          <w:b/>
          <w:bCs/>
          <w:lang w:val="es-MX" w:eastAsia="es-ES_tradnl"/>
          <w14:ligatures w14:val="standardContextual"/>
        </w:rPr>
      </w:pPr>
      <w:r w:rsidRPr="000239A6">
        <w:rPr>
          <w:rFonts w:ascii="Verdana" w:eastAsia="Calibri" w:hAnsi="Verdana" w:cs="Arial"/>
          <w:b/>
          <w:bCs/>
          <w:lang w:val="es-MX" w:eastAsia="es-ES_tradnl"/>
          <w14:ligatures w14:val="standardContextual"/>
        </w:rPr>
        <w:t>DETERMINACIÓN DEL VALOR DEL CONTRATO – Etapa de planeación – Metodologías – Factores que inciden</w:t>
      </w:r>
    </w:p>
    <w:p w14:paraId="1C1CB2A6" w14:textId="77777777" w:rsidR="00A25C8F" w:rsidRPr="000239A6" w:rsidRDefault="00A25C8F" w:rsidP="00A25C8F">
      <w:pPr>
        <w:spacing w:after="0" w:line="240" w:lineRule="auto"/>
        <w:contextualSpacing/>
        <w:jc w:val="both"/>
        <w:rPr>
          <w:rFonts w:ascii="Verdana" w:eastAsia="Calibri" w:hAnsi="Verdana" w:cs="Arial"/>
          <w:b/>
          <w:bCs/>
          <w:sz w:val="20"/>
          <w:szCs w:val="20"/>
          <w:lang w:val="es-MX" w:eastAsia="es-ES_tradnl"/>
          <w14:ligatures w14:val="standardContextual"/>
        </w:rPr>
      </w:pPr>
    </w:p>
    <w:p w14:paraId="13FE39F7" w14:textId="77777777" w:rsidR="00A25C8F" w:rsidRPr="000239A6" w:rsidRDefault="00A25C8F" w:rsidP="00A25C8F">
      <w:pPr>
        <w:spacing w:after="0" w:line="240" w:lineRule="auto"/>
        <w:contextualSpacing/>
        <w:jc w:val="both"/>
        <w:rPr>
          <w:rFonts w:ascii="Verdana" w:eastAsia="Times New Roman" w:hAnsi="Verdana" w:cs="Arial"/>
          <w:noProof/>
          <w:sz w:val="20"/>
          <w:szCs w:val="20"/>
          <w:lang w:val="es-ES_tradnl" w:eastAsia="es-ES_tradnl"/>
          <w14:ligatures w14:val="standardContextual"/>
        </w:rPr>
      </w:pPr>
      <w:r w:rsidRPr="000239A6">
        <w:rPr>
          <w:rFonts w:ascii="Verdana" w:eastAsia="Times New Roman" w:hAnsi="Verdana" w:cs="Arial"/>
          <w:noProof/>
          <w:sz w:val="20"/>
          <w:szCs w:val="20"/>
          <w:lang w:val="es-ES_tradnl" w:eastAsia="es-ES_tradnl"/>
          <w14:ligatures w14:val="standardContextual"/>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epara los de concesión, por mencionar algunos ejemplos.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por la realización integral del objeto del contrato, sin discriminar unidades–, y iii) la administración delegada de recursos –en la que se distinguen los costos de inversión de los honorarios del administrador–.</w:t>
      </w:r>
    </w:p>
    <w:p w14:paraId="1B02656E" w14:textId="77777777" w:rsidR="00A25C8F" w:rsidRPr="000239A6" w:rsidRDefault="00A25C8F" w:rsidP="00A25C8F">
      <w:pPr>
        <w:spacing w:after="0" w:line="240" w:lineRule="auto"/>
        <w:contextualSpacing/>
        <w:jc w:val="both"/>
        <w:rPr>
          <w:rFonts w:ascii="Verdana" w:eastAsia="Times New Roman" w:hAnsi="Verdana" w:cs="Arial"/>
          <w:noProof/>
          <w:sz w:val="20"/>
          <w:szCs w:val="20"/>
          <w:lang w:val="es-ES_tradnl" w:eastAsia="es-ES_tradnl"/>
          <w14:ligatures w14:val="standardContextual"/>
        </w:rPr>
      </w:pPr>
    </w:p>
    <w:p w14:paraId="45F9DAA1" w14:textId="77777777" w:rsidR="00A25C8F" w:rsidRPr="000239A6" w:rsidRDefault="00A25C8F" w:rsidP="00A25C8F">
      <w:pPr>
        <w:spacing w:after="0" w:line="240" w:lineRule="auto"/>
        <w:contextualSpacing/>
        <w:jc w:val="both"/>
        <w:rPr>
          <w:rFonts w:ascii="Verdana" w:eastAsia="Calibri" w:hAnsi="Verdana" w:cs="Arial"/>
          <w:b/>
          <w:bCs/>
          <w:lang w:val="es-MX" w:eastAsia="es-ES_tradnl"/>
          <w14:ligatures w14:val="standardContextual"/>
        </w:rPr>
      </w:pPr>
      <w:r w:rsidRPr="000239A6">
        <w:rPr>
          <w:rFonts w:ascii="Verdana" w:eastAsia="Calibri" w:hAnsi="Verdana" w:cs="Arial"/>
          <w:b/>
          <w:bCs/>
          <w:lang w:val="es-MX" w:eastAsia="es-ES_tradnl"/>
          <w14:ligatures w14:val="standardContextual"/>
        </w:rPr>
        <w:t>SISTEMA DE FACTOR MULTIPLICADOR – Noción – Costos directos – Imputables al contrato</w:t>
      </w:r>
    </w:p>
    <w:p w14:paraId="1D453462" w14:textId="77777777" w:rsidR="00A25C8F" w:rsidRPr="000239A6" w:rsidRDefault="00A25C8F" w:rsidP="00A25C8F">
      <w:pPr>
        <w:spacing w:after="0" w:line="240" w:lineRule="auto"/>
        <w:contextualSpacing/>
        <w:jc w:val="both"/>
        <w:rPr>
          <w:rFonts w:ascii="Verdana" w:eastAsia="Times New Roman" w:hAnsi="Verdana" w:cs="Arial"/>
          <w:noProof/>
          <w:sz w:val="20"/>
          <w:szCs w:val="20"/>
          <w:lang w:val="es-ES_tradnl" w:eastAsia="es-ES_tradnl"/>
          <w14:ligatures w14:val="standardContextual"/>
        </w:rPr>
      </w:pPr>
    </w:p>
    <w:p w14:paraId="02F76654" w14:textId="77777777" w:rsidR="00A25C8F" w:rsidRPr="000239A6" w:rsidRDefault="00A25C8F" w:rsidP="00A25C8F">
      <w:pPr>
        <w:spacing w:after="0" w:line="240" w:lineRule="auto"/>
        <w:jc w:val="both"/>
        <w:rPr>
          <w:rFonts w:ascii="Verdana" w:eastAsia="Geomanist Light" w:hAnsi="Verdana" w:cs="Arial"/>
          <w:sz w:val="20"/>
          <w:szCs w:val="20"/>
          <w:lang w:val="es-MX"/>
        </w:rPr>
      </w:pPr>
      <w:r w:rsidRPr="000239A6">
        <w:rPr>
          <w:rFonts w:ascii="Verdana" w:eastAsia="Times New Roman" w:hAnsi="Verdana" w:cs="Arial"/>
          <w:noProof/>
          <w:sz w:val="20"/>
          <w:szCs w:val="20"/>
          <w:lang w:val="es-ES_tradnl" w:eastAsia="es-ES_tradnl"/>
          <w14:ligatures w14:val="standardContextual"/>
        </w:rPr>
        <w:t>[…] el factor multiplicador es una metodología permite imputar al contrato los costos directos asociados a prestaciones laborales y sociales del personal vinculado con carácter exclusivo al proyecto, la utilidad del ingeniero y los costos de administración asociados al personal, afectando el valor parcial de la oferta por un factor multiplicador . De esta manera se obtiene un subtotal de costos directos a partir de la sumatoria de los valores correspondientes los salarios del personal, incrementado a partir de su multiplicación por un factor que suele consistir en una cifra de dos dígitos, con una parte entera y otra decimal. Esto sin perjuicio de la incorporación de otros costos directos como viáticos, alquiler de equipos, oficinas, etc, cuya discriminación se exige de manera separada de los costos de personal, para ser sumados al valor resultante la aplicación del factor multiplicador.</w:t>
      </w:r>
    </w:p>
    <w:p w14:paraId="681D4602" w14:textId="77777777" w:rsidR="00A25C8F" w:rsidRPr="000239A6" w:rsidRDefault="00A25C8F" w:rsidP="00A25C8F">
      <w:pPr>
        <w:spacing w:after="0" w:line="240" w:lineRule="auto"/>
        <w:rPr>
          <w:rFonts w:ascii="Verdana" w:eastAsia="Geomanist Light" w:hAnsi="Verdana" w:cs="Arial"/>
          <w:sz w:val="20"/>
          <w:szCs w:val="20"/>
          <w:lang w:val="es-MX"/>
        </w:rPr>
      </w:pPr>
    </w:p>
    <w:p w14:paraId="46139BFC" w14:textId="77777777" w:rsidR="00A25C8F" w:rsidRPr="000239A6" w:rsidRDefault="00A25C8F" w:rsidP="00A25C8F">
      <w:pPr>
        <w:spacing w:after="0" w:line="240" w:lineRule="auto"/>
        <w:jc w:val="both"/>
        <w:rPr>
          <w:rFonts w:ascii="Verdana" w:eastAsia="Calibri" w:hAnsi="Verdana" w:cs="Arial"/>
          <w:b/>
          <w:bCs/>
          <w:lang w:val="es-ES" w:eastAsia="es-ES"/>
        </w:rPr>
      </w:pPr>
      <w:r w:rsidRPr="000239A6">
        <w:rPr>
          <w:rFonts w:ascii="Verdana" w:eastAsia="Calibri" w:hAnsi="Verdana" w:cs="Arial"/>
          <w:b/>
          <w:bCs/>
        </w:rPr>
        <w:t>FACTOR MULTIPLICADOR – Costos – Determinación</w:t>
      </w:r>
    </w:p>
    <w:p w14:paraId="7953FA8B" w14:textId="77777777" w:rsidR="00A25C8F" w:rsidRDefault="00A25C8F" w:rsidP="00A25C8F">
      <w:pPr>
        <w:spacing w:after="0" w:line="240" w:lineRule="auto"/>
        <w:jc w:val="both"/>
        <w:rPr>
          <w:rFonts w:ascii="Verdana" w:eastAsia="Geomanist Light" w:hAnsi="Verdana" w:cs="Arial"/>
          <w:sz w:val="20"/>
          <w:szCs w:val="20"/>
          <w:lang w:val="es-MX"/>
        </w:rPr>
      </w:pPr>
    </w:p>
    <w:p w14:paraId="25BFAB32" w14:textId="77777777" w:rsidR="00A25C8F" w:rsidRPr="000239A6" w:rsidRDefault="00A25C8F" w:rsidP="00A25C8F">
      <w:pPr>
        <w:spacing w:after="0" w:line="240" w:lineRule="auto"/>
        <w:jc w:val="both"/>
        <w:rPr>
          <w:rFonts w:ascii="Verdana" w:eastAsia="Geomanist Light" w:hAnsi="Verdana" w:cs="Arial"/>
          <w:sz w:val="20"/>
          <w:szCs w:val="20"/>
          <w:lang w:val="es-MX"/>
        </w:rPr>
      </w:pPr>
      <w:r>
        <w:rPr>
          <w:rFonts w:ascii="Verdana" w:eastAsia="Calibri" w:hAnsi="Verdana" w:cs="Arial"/>
          <w:color w:val="000000"/>
          <w:sz w:val="20"/>
          <w:szCs w:val="20"/>
          <w:lang w:val="es-MX"/>
        </w:rPr>
        <w:t>S</w:t>
      </w:r>
      <w:r w:rsidRPr="000239A6">
        <w:rPr>
          <w:rFonts w:ascii="Verdana" w:eastAsia="Calibri" w:hAnsi="Verdana" w:cs="Arial"/>
          <w:color w:val="000000"/>
          <w:sz w:val="20"/>
          <w:szCs w:val="20"/>
        </w:rPr>
        <w:t xml:space="preserve">i el factor multiplicador se usa para determinar costos, el contratista debe demostrar el gasto de cada componente. Si ciertos costos no se generan (por ejemplo, si el personal no requiere prestaciones), el contrato debería modificarse para reducir el % correspondiente. Si la interventoría presentó un informe de proyección de gastos, pero este no fue parte del contrato, la entidad aún puede exigirle soportes de gastos reales. Si los costos directos (ejemplo: nómina, laboratorios) son menores a lo presupuestado, </w:t>
      </w:r>
      <w:r w:rsidRPr="000239A6">
        <w:rPr>
          <w:rFonts w:ascii="Verdana" w:eastAsia="Calibri" w:hAnsi="Verdana" w:cs="Arial"/>
          <w:color w:val="000000"/>
          <w:sz w:val="20"/>
          <w:szCs w:val="20"/>
        </w:rPr>
        <w:lastRenderedPageBreak/>
        <w:t xml:space="preserve">el saldo no ejecutado debería liberarse y no ser facturado sin justificación. En conclusión, los valores facturados deben corresponder a costos reales soportados. </w:t>
      </w:r>
    </w:p>
    <w:p w14:paraId="45176B04" w14:textId="77777777" w:rsidR="00A25C8F" w:rsidRDefault="00A25C8F" w:rsidP="00A25C8F">
      <w:pPr>
        <w:spacing w:after="0" w:line="240" w:lineRule="auto"/>
        <w:rPr>
          <w:rFonts w:ascii="Verdana" w:eastAsia="Calibri" w:hAnsi="Verdana" w:cs="Arial"/>
          <w:color w:val="000000" w:themeColor="text1"/>
          <w:sz w:val="20"/>
          <w:szCs w:val="20"/>
        </w:rPr>
      </w:pPr>
    </w:p>
    <w:p w14:paraId="2E7147BB" w14:textId="77777777" w:rsidR="00A25C8F" w:rsidRDefault="00A25C8F" w:rsidP="00A25C8F">
      <w:pPr>
        <w:spacing w:after="0" w:line="240" w:lineRule="auto"/>
        <w:rPr>
          <w:rFonts w:ascii="Verdana" w:eastAsia="Calibri" w:hAnsi="Verdana" w:cs="Arial"/>
          <w:color w:val="000000" w:themeColor="text1"/>
          <w:sz w:val="20"/>
          <w:szCs w:val="20"/>
        </w:rPr>
      </w:pPr>
    </w:p>
    <w:p w14:paraId="6F79E2EF" w14:textId="77777777" w:rsidR="00A25C8F" w:rsidRDefault="00A25C8F" w:rsidP="00985A2A">
      <w:pPr>
        <w:spacing w:after="0" w:line="240" w:lineRule="auto"/>
        <w:rPr>
          <w:rFonts w:ascii="Verdana" w:eastAsia="Geomanist Light" w:hAnsi="Verdana" w:cs="Arial"/>
          <w:color w:val="000000" w:themeColor="text1"/>
        </w:rPr>
      </w:pPr>
    </w:p>
    <w:p w14:paraId="6DF962E4" w14:textId="77777777" w:rsidR="00A25C8F" w:rsidRDefault="00A25C8F" w:rsidP="00985A2A">
      <w:pPr>
        <w:spacing w:after="0" w:line="240" w:lineRule="auto"/>
        <w:rPr>
          <w:rFonts w:ascii="Verdana" w:eastAsia="Geomanist Light" w:hAnsi="Verdana" w:cs="Arial"/>
          <w:color w:val="000000" w:themeColor="text1"/>
        </w:rPr>
      </w:pPr>
    </w:p>
    <w:p w14:paraId="0F27FC2D" w14:textId="77777777" w:rsidR="00A25C8F" w:rsidRDefault="00A25C8F" w:rsidP="00985A2A">
      <w:pPr>
        <w:spacing w:after="0" w:line="240" w:lineRule="auto"/>
        <w:rPr>
          <w:rFonts w:ascii="Verdana" w:eastAsia="Geomanist Light" w:hAnsi="Verdana" w:cs="Arial"/>
          <w:color w:val="000000" w:themeColor="text1"/>
        </w:rPr>
      </w:pPr>
    </w:p>
    <w:p w14:paraId="46225A6A" w14:textId="77777777" w:rsidR="00A25C8F" w:rsidRDefault="00A25C8F" w:rsidP="00985A2A">
      <w:pPr>
        <w:spacing w:after="0" w:line="240" w:lineRule="auto"/>
        <w:rPr>
          <w:rFonts w:ascii="Verdana" w:eastAsia="Geomanist Light" w:hAnsi="Verdana" w:cs="Arial"/>
          <w:color w:val="000000" w:themeColor="text1"/>
        </w:rPr>
      </w:pPr>
    </w:p>
    <w:p w14:paraId="4DABE92F" w14:textId="77777777" w:rsidR="00A25C8F" w:rsidRDefault="00A25C8F" w:rsidP="00985A2A">
      <w:pPr>
        <w:spacing w:after="0" w:line="240" w:lineRule="auto"/>
        <w:rPr>
          <w:rFonts w:ascii="Verdana" w:eastAsia="Geomanist Light" w:hAnsi="Verdana" w:cs="Arial"/>
          <w:color w:val="000000" w:themeColor="text1"/>
        </w:rPr>
      </w:pPr>
    </w:p>
    <w:p w14:paraId="217D5BFC" w14:textId="77777777" w:rsidR="00A25C8F" w:rsidRDefault="00A25C8F" w:rsidP="00985A2A">
      <w:pPr>
        <w:spacing w:after="0" w:line="240" w:lineRule="auto"/>
        <w:rPr>
          <w:rFonts w:ascii="Verdana" w:eastAsia="Geomanist Light" w:hAnsi="Verdana" w:cs="Arial"/>
          <w:color w:val="000000" w:themeColor="text1"/>
        </w:rPr>
      </w:pPr>
    </w:p>
    <w:p w14:paraId="3B908D56" w14:textId="77777777" w:rsidR="00A25C8F" w:rsidRDefault="00A25C8F" w:rsidP="00985A2A">
      <w:pPr>
        <w:spacing w:after="0" w:line="240" w:lineRule="auto"/>
        <w:rPr>
          <w:rFonts w:ascii="Verdana" w:eastAsia="Geomanist Light" w:hAnsi="Verdana" w:cs="Arial"/>
          <w:color w:val="000000" w:themeColor="text1"/>
        </w:rPr>
      </w:pPr>
    </w:p>
    <w:p w14:paraId="75517253" w14:textId="77777777" w:rsidR="00A25C8F" w:rsidRDefault="00A25C8F" w:rsidP="00985A2A">
      <w:pPr>
        <w:spacing w:after="0" w:line="240" w:lineRule="auto"/>
        <w:rPr>
          <w:rFonts w:ascii="Verdana" w:eastAsia="Geomanist Light" w:hAnsi="Verdana" w:cs="Arial"/>
          <w:color w:val="000000" w:themeColor="text1"/>
        </w:rPr>
      </w:pPr>
    </w:p>
    <w:p w14:paraId="034EA6AE" w14:textId="77777777" w:rsidR="00A25C8F" w:rsidRDefault="00A25C8F" w:rsidP="00985A2A">
      <w:pPr>
        <w:spacing w:after="0" w:line="240" w:lineRule="auto"/>
        <w:rPr>
          <w:rFonts w:ascii="Verdana" w:eastAsia="Geomanist Light" w:hAnsi="Verdana" w:cs="Arial"/>
          <w:color w:val="000000" w:themeColor="text1"/>
        </w:rPr>
      </w:pPr>
    </w:p>
    <w:p w14:paraId="3A2F354C" w14:textId="77777777" w:rsidR="00A25C8F" w:rsidRDefault="00A25C8F" w:rsidP="00985A2A">
      <w:pPr>
        <w:spacing w:after="0" w:line="240" w:lineRule="auto"/>
        <w:rPr>
          <w:rFonts w:ascii="Verdana" w:eastAsia="Geomanist Light" w:hAnsi="Verdana" w:cs="Arial"/>
          <w:color w:val="000000" w:themeColor="text1"/>
        </w:rPr>
      </w:pPr>
    </w:p>
    <w:p w14:paraId="1FA1D9A9" w14:textId="77777777" w:rsidR="00A25C8F" w:rsidRDefault="00A25C8F" w:rsidP="00985A2A">
      <w:pPr>
        <w:spacing w:after="0" w:line="240" w:lineRule="auto"/>
        <w:rPr>
          <w:rFonts w:ascii="Verdana" w:eastAsia="Geomanist Light" w:hAnsi="Verdana" w:cs="Arial"/>
          <w:color w:val="000000" w:themeColor="text1"/>
        </w:rPr>
      </w:pPr>
    </w:p>
    <w:p w14:paraId="57FF821D" w14:textId="77777777" w:rsidR="00A25C8F" w:rsidRDefault="00A25C8F" w:rsidP="00985A2A">
      <w:pPr>
        <w:spacing w:after="0" w:line="240" w:lineRule="auto"/>
        <w:rPr>
          <w:rFonts w:ascii="Verdana" w:eastAsia="Geomanist Light" w:hAnsi="Verdana" w:cs="Arial"/>
          <w:color w:val="000000" w:themeColor="text1"/>
        </w:rPr>
      </w:pPr>
    </w:p>
    <w:p w14:paraId="3696EDF6" w14:textId="77777777" w:rsidR="00A25C8F" w:rsidRDefault="00A25C8F" w:rsidP="00985A2A">
      <w:pPr>
        <w:spacing w:after="0" w:line="240" w:lineRule="auto"/>
        <w:rPr>
          <w:rFonts w:ascii="Verdana" w:eastAsia="Geomanist Light" w:hAnsi="Verdana" w:cs="Arial"/>
          <w:color w:val="000000" w:themeColor="text1"/>
        </w:rPr>
      </w:pPr>
    </w:p>
    <w:p w14:paraId="78DBABEA" w14:textId="77777777" w:rsidR="00A25C8F" w:rsidRDefault="00A25C8F" w:rsidP="00985A2A">
      <w:pPr>
        <w:spacing w:after="0" w:line="240" w:lineRule="auto"/>
        <w:rPr>
          <w:rFonts w:ascii="Verdana" w:eastAsia="Geomanist Light" w:hAnsi="Verdana" w:cs="Arial"/>
          <w:color w:val="000000" w:themeColor="text1"/>
        </w:rPr>
      </w:pPr>
    </w:p>
    <w:p w14:paraId="42E66F17" w14:textId="77777777" w:rsidR="00A25C8F" w:rsidRDefault="00A25C8F" w:rsidP="00985A2A">
      <w:pPr>
        <w:spacing w:after="0" w:line="240" w:lineRule="auto"/>
        <w:rPr>
          <w:rFonts w:ascii="Verdana" w:eastAsia="Geomanist Light" w:hAnsi="Verdana" w:cs="Arial"/>
          <w:color w:val="000000" w:themeColor="text1"/>
        </w:rPr>
      </w:pPr>
    </w:p>
    <w:p w14:paraId="5467247B" w14:textId="77777777" w:rsidR="00A25C8F" w:rsidRDefault="00A25C8F" w:rsidP="00985A2A">
      <w:pPr>
        <w:spacing w:after="0" w:line="240" w:lineRule="auto"/>
        <w:rPr>
          <w:rFonts w:ascii="Verdana" w:eastAsia="Geomanist Light" w:hAnsi="Verdana" w:cs="Arial"/>
          <w:color w:val="000000" w:themeColor="text1"/>
        </w:rPr>
      </w:pPr>
    </w:p>
    <w:p w14:paraId="611C2E15" w14:textId="77777777" w:rsidR="00A25C8F" w:rsidRDefault="00A25C8F" w:rsidP="00985A2A">
      <w:pPr>
        <w:spacing w:after="0" w:line="240" w:lineRule="auto"/>
        <w:rPr>
          <w:rFonts w:ascii="Verdana" w:eastAsia="Geomanist Light" w:hAnsi="Verdana" w:cs="Arial"/>
          <w:color w:val="000000" w:themeColor="text1"/>
        </w:rPr>
      </w:pPr>
    </w:p>
    <w:p w14:paraId="316B10E9" w14:textId="77777777" w:rsidR="00A25C8F" w:rsidRDefault="00A25C8F" w:rsidP="00985A2A">
      <w:pPr>
        <w:spacing w:after="0" w:line="240" w:lineRule="auto"/>
        <w:rPr>
          <w:rFonts w:ascii="Verdana" w:eastAsia="Geomanist Light" w:hAnsi="Verdana" w:cs="Arial"/>
          <w:color w:val="000000" w:themeColor="text1"/>
        </w:rPr>
      </w:pPr>
    </w:p>
    <w:p w14:paraId="5829A4F9" w14:textId="77777777" w:rsidR="00A25C8F" w:rsidRDefault="00A25C8F" w:rsidP="00985A2A">
      <w:pPr>
        <w:spacing w:after="0" w:line="240" w:lineRule="auto"/>
        <w:rPr>
          <w:rFonts w:ascii="Verdana" w:eastAsia="Geomanist Light" w:hAnsi="Verdana" w:cs="Arial"/>
          <w:color w:val="000000" w:themeColor="text1"/>
        </w:rPr>
      </w:pPr>
    </w:p>
    <w:p w14:paraId="402848BB" w14:textId="77777777" w:rsidR="00A25C8F" w:rsidRDefault="00A25C8F" w:rsidP="00985A2A">
      <w:pPr>
        <w:spacing w:after="0" w:line="240" w:lineRule="auto"/>
        <w:rPr>
          <w:rFonts w:ascii="Verdana" w:eastAsia="Geomanist Light" w:hAnsi="Verdana" w:cs="Arial"/>
          <w:color w:val="000000" w:themeColor="text1"/>
        </w:rPr>
      </w:pPr>
    </w:p>
    <w:p w14:paraId="5FD1BDFF" w14:textId="77777777" w:rsidR="00A25C8F" w:rsidRDefault="00A25C8F" w:rsidP="00985A2A">
      <w:pPr>
        <w:spacing w:after="0" w:line="240" w:lineRule="auto"/>
        <w:rPr>
          <w:rFonts w:ascii="Verdana" w:eastAsia="Geomanist Light" w:hAnsi="Verdana" w:cs="Arial"/>
          <w:color w:val="000000" w:themeColor="text1"/>
        </w:rPr>
      </w:pPr>
    </w:p>
    <w:p w14:paraId="294AC319" w14:textId="77777777" w:rsidR="00A25C8F" w:rsidRDefault="00A25C8F" w:rsidP="00985A2A">
      <w:pPr>
        <w:spacing w:after="0" w:line="240" w:lineRule="auto"/>
        <w:rPr>
          <w:rFonts w:ascii="Verdana" w:eastAsia="Geomanist Light" w:hAnsi="Verdana" w:cs="Arial"/>
          <w:color w:val="000000" w:themeColor="text1"/>
        </w:rPr>
      </w:pPr>
    </w:p>
    <w:p w14:paraId="7C4CFDA2" w14:textId="77777777" w:rsidR="00A25C8F" w:rsidRDefault="00A25C8F" w:rsidP="00985A2A">
      <w:pPr>
        <w:spacing w:after="0" w:line="240" w:lineRule="auto"/>
        <w:rPr>
          <w:rFonts w:ascii="Verdana" w:eastAsia="Geomanist Light" w:hAnsi="Verdana" w:cs="Arial"/>
          <w:color w:val="000000" w:themeColor="text1"/>
        </w:rPr>
      </w:pPr>
    </w:p>
    <w:p w14:paraId="33734E6B" w14:textId="77777777" w:rsidR="00A25C8F" w:rsidRDefault="00A25C8F" w:rsidP="00985A2A">
      <w:pPr>
        <w:spacing w:after="0" w:line="240" w:lineRule="auto"/>
        <w:rPr>
          <w:rFonts w:ascii="Verdana" w:eastAsia="Geomanist Light" w:hAnsi="Verdana" w:cs="Arial"/>
          <w:color w:val="000000" w:themeColor="text1"/>
        </w:rPr>
      </w:pPr>
    </w:p>
    <w:p w14:paraId="757E993A" w14:textId="77777777" w:rsidR="00A25C8F" w:rsidRDefault="00A25C8F" w:rsidP="00985A2A">
      <w:pPr>
        <w:spacing w:after="0" w:line="240" w:lineRule="auto"/>
        <w:rPr>
          <w:rFonts w:ascii="Verdana" w:eastAsia="Geomanist Light" w:hAnsi="Verdana" w:cs="Arial"/>
          <w:color w:val="000000" w:themeColor="text1"/>
        </w:rPr>
      </w:pPr>
    </w:p>
    <w:p w14:paraId="079FA85B" w14:textId="77777777" w:rsidR="00A25C8F" w:rsidRDefault="00A25C8F" w:rsidP="00985A2A">
      <w:pPr>
        <w:spacing w:after="0" w:line="240" w:lineRule="auto"/>
        <w:rPr>
          <w:rFonts w:ascii="Verdana" w:eastAsia="Geomanist Light" w:hAnsi="Verdana" w:cs="Arial"/>
          <w:color w:val="000000" w:themeColor="text1"/>
        </w:rPr>
      </w:pPr>
    </w:p>
    <w:p w14:paraId="11C50954" w14:textId="77777777" w:rsidR="00A25C8F" w:rsidRDefault="00A25C8F" w:rsidP="00985A2A">
      <w:pPr>
        <w:spacing w:after="0" w:line="240" w:lineRule="auto"/>
        <w:rPr>
          <w:rFonts w:ascii="Verdana" w:eastAsia="Geomanist Light" w:hAnsi="Verdana" w:cs="Arial"/>
          <w:color w:val="000000" w:themeColor="text1"/>
        </w:rPr>
      </w:pPr>
    </w:p>
    <w:p w14:paraId="5A20AEF3" w14:textId="77777777" w:rsidR="00A25C8F" w:rsidRDefault="00A25C8F" w:rsidP="00985A2A">
      <w:pPr>
        <w:spacing w:after="0" w:line="240" w:lineRule="auto"/>
        <w:rPr>
          <w:rFonts w:ascii="Verdana" w:eastAsia="Geomanist Light" w:hAnsi="Verdana" w:cs="Arial"/>
          <w:color w:val="000000" w:themeColor="text1"/>
        </w:rPr>
      </w:pPr>
    </w:p>
    <w:p w14:paraId="01CEC6D8" w14:textId="77777777" w:rsidR="00A25C8F" w:rsidRDefault="00A25C8F" w:rsidP="00985A2A">
      <w:pPr>
        <w:spacing w:after="0" w:line="240" w:lineRule="auto"/>
        <w:rPr>
          <w:rFonts w:ascii="Verdana" w:eastAsia="Geomanist Light" w:hAnsi="Verdana" w:cs="Arial"/>
          <w:color w:val="000000" w:themeColor="text1"/>
        </w:rPr>
      </w:pPr>
    </w:p>
    <w:p w14:paraId="75EEB77F" w14:textId="77777777" w:rsidR="00A25C8F" w:rsidRDefault="00A25C8F" w:rsidP="00985A2A">
      <w:pPr>
        <w:spacing w:after="0" w:line="240" w:lineRule="auto"/>
        <w:rPr>
          <w:rFonts w:ascii="Verdana" w:eastAsia="Geomanist Light" w:hAnsi="Verdana" w:cs="Arial"/>
          <w:color w:val="000000" w:themeColor="text1"/>
        </w:rPr>
      </w:pPr>
    </w:p>
    <w:p w14:paraId="1136E33E" w14:textId="77777777" w:rsidR="00A25C8F" w:rsidRDefault="00A25C8F" w:rsidP="00985A2A">
      <w:pPr>
        <w:spacing w:after="0" w:line="240" w:lineRule="auto"/>
        <w:rPr>
          <w:rFonts w:ascii="Verdana" w:eastAsia="Geomanist Light" w:hAnsi="Verdana" w:cs="Arial"/>
          <w:color w:val="000000" w:themeColor="text1"/>
        </w:rPr>
      </w:pPr>
    </w:p>
    <w:p w14:paraId="1B22C18C" w14:textId="77777777" w:rsidR="00A25C8F" w:rsidRDefault="00A25C8F" w:rsidP="00985A2A">
      <w:pPr>
        <w:spacing w:after="0" w:line="240" w:lineRule="auto"/>
        <w:rPr>
          <w:rFonts w:ascii="Verdana" w:eastAsia="Geomanist Light" w:hAnsi="Verdana" w:cs="Arial"/>
          <w:color w:val="000000" w:themeColor="text1"/>
        </w:rPr>
      </w:pPr>
    </w:p>
    <w:p w14:paraId="6DE79448" w14:textId="77777777" w:rsidR="00A25C8F" w:rsidRDefault="00A25C8F" w:rsidP="00985A2A">
      <w:pPr>
        <w:spacing w:after="0" w:line="240" w:lineRule="auto"/>
        <w:rPr>
          <w:rFonts w:ascii="Verdana" w:eastAsia="Geomanist Light" w:hAnsi="Verdana" w:cs="Arial"/>
          <w:color w:val="000000" w:themeColor="text1"/>
        </w:rPr>
      </w:pPr>
    </w:p>
    <w:p w14:paraId="298D3446" w14:textId="77777777" w:rsidR="00A25C8F" w:rsidRDefault="00A25C8F" w:rsidP="00985A2A">
      <w:pPr>
        <w:spacing w:after="0" w:line="240" w:lineRule="auto"/>
        <w:rPr>
          <w:rFonts w:ascii="Verdana" w:eastAsia="Geomanist Light" w:hAnsi="Verdana" w:cs="Arial"/>
          <w:color w:val="000000" w:themeColor="text1"/>
        </w:rPr>
      </w:pPr>
    </w:p>
    <w:p w14:paraId="134AC86D" w14:textId="77777777" w:rsidR="00A25C8F" w:rsidRDefault="00A25C8F" w:rsidP="00985A2A">
      <w:pPr>
        <w:spacing w:after="0" w:line="240" w:lineRule="auto"/>
        <w:rPr>
          <w:rFonts w:ascii="Verdana" w:eastAsia="Geomanist Light" w:hAnsi="Verdana" w:cs="Arial"/>
          <w:color w:val="000000" w:themeColor="text1"/>
        </w:rPr>
      </w:pPr>
    </w:p>
    <w:p w14:paraId="566DE1CA" w14:textId="77777777" w:rsidR="00A25C8F" w:rsidRPr="00A25C8F" w:rsidRDefault="00A25C8F" w:rsidP="00985A2A">
      <w:pPr>
        <w:spacing w:after="0" w:line="240" w:lineRule="auto"/>
        <w:rPr>
          <w:rFonts w:ascii="Verdana" w:eastAsia="Geomanist Light" w:hAnsi="Verdana" w:cs="Arial"/>
          <w:color w:val="000000" w:themeColor="text1"/>
        </w:rPr>
      </w:pPr>
    </w:p>
    <w:p w14:paraId="58D57A50" w14:textId="77777777" w:rsidR="00A25C8F" w:rsidRDefault="00A25C8F" w:rsidP="00985A2A">
      <w:pPr>
        <w:spacing w:after="0" w:line="240" w:lineRule="auto"/>
        <w:rPr>
          <w:rFonts w:ascii="Verdana" w:eastAsia="Geomanist Light" w:hAnsi="Verdana" w:cs="Arial"/>
          <w:color w:val="000000" w:themeColor="text1"/>
          <w:lang w:val="es-MX"/>
        </w:rPr>
      </w:pPr>
    </w:p>
    <w:p w14:paraId="714215DD" w14:textId="77777777" w:rsidR="00755493" w:rsidRDefault="00755493" w:rsidP="00985A2A">
      <w:pPr>
        <w:spacing w:after="0" w:line="240" w:lineRule="auto"/>
        <w:rPr>
          <w:rFonts w:ascii="Verdana" w:eastAsia="Geomanist Light" w:hAnsi="Verdana" w:cs="Arial"/>
          <w:color w:val="000000" w:themeColor="text1"/>
          <w:lang w:val="es-MX"/>
        </w:rPr>
      </w:pPr>
    </w:p>
    <w:p w14:paraId="2BFE6E52" w14:textId="53F82220" w:rsidR="00985A2A" w:rsidRPr="00593A5F" w:rsidRDefault="00985A2A" w:rsidP="00985A2A">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B8624C" w:rsidRPr="00B8624C">
        <w:rPr>
          <w:rFonts w:ascii="Verdana" w:eastAsia="Geomanist Light" w:hAnsi="Verdana" w:cs="Arial"/>
          <w:color w:val="000000" w:themeColor="text1"/>
          <w:lang w:val="es-MX"/>
        </w:rPr>
        <w:t>16 de Diciembre de 2025</w:t>
      </w:r>
    </w:p>
    <w:p w14:paraId="5ADB09E4" w14:textId="77777777" w:rsidR="00985A2A" w:rsidRDefault="00985A2A" w:rsidP="00985A2A">
      <w:pPr>
        <w:spacing w:after="0" w:line="240" w:lineRule="auto"/>
        <w:jc w:val="both"/>
        <w:rPr>
          <w:rFonts w:ascii="Verdana" w:eastAsia="Calibri" w:hAnsi="Verdana" w:cs="Arial"/>
          <w:color w:val="000000"/>
          <w:lang w:val="es-ES"/>
        </w:rPr>
      </w:pPr>
    </w:p>
    <w:p w14:paraId="1016C47A" w14:textId="018E30DB" w:rsidR="00B8624C" w:rsidRDefault="00B8624C" w:rsidP="00B8624C">
      <w:pPr>
        <w:spacing w:after="0" w:line="240" w:lineRule="auto"/>
        <w:jc w:val="right"/>
        <w:rPr>
          <w:rFonts w:ascii="Verdana" w:eastAsia="Calibri" w:hAnsi="Verdana" w:cs="Arial"/>
          <w:color w:val="000000"/>
          <w:lang w:val="es-ES"/>
        </w:rPr>
      </w:pPr>
      <w:r w:rsidRPr="00B8624C">
        <w:rPr>
          <w:rFonts w:ascii="Verdana" w:eastAsia="Calibri" w:hAnsi="Verdana" w:cs="Arial"/>
          <w:noProof/>
          <w:color w:val="000000"/>
          <w:lang w:val="es-ES"/>
        </w:rPr>
        <w:drawing>
          <wp:inline distT="0" distB="0" distL="0" distR="0" wp14:anchorId="46F4EB4B" wp14:editId="3CF37CC1">
            <wp:extent cx="3238500" cy="901700"/>
            <wp:effectExtent l="0" t="0" r="0" b="0"/>
            <wp:docPr id="18294684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468441" name=""/>
                    <pic:cNvPicPr/>
                  </pic:nvPicPr>
                  <pic:blipFill>
                    <a:blip r:embed="rId10"/>
                    <a:stretch>
                      <a:fillRect/>
                    </a:stretch>
                  </pic:blipFill>
                  <pic:spPr>
                    <a:xfrm>
                      <a:off x="0" y="0"/>
                      <a:ext cx="3238500" cy="901700"/>
                    </a:xfrm>
                    <a:prstGeom prst="rect">
                      <a:avLst/>
                    </a:prstGeom>
                  </pic:spPr>
                </pic:pic>
              </a:graphicData>
            </a:graphic>
          </wp:inline>
        </w:drawing>
      </w:r>
    </w:p>
    <w:p w14:paraId="20176252" w14:textId="77777777" w:rsidR="00985A2A" w:rsidRPr="00593A5F" w:rsidRDefault="00985A2A" w:rsidP="00985A2A">
      <w:pPr>
        <w:spacing w:after="0" w:line="240" w:lineRule="auto"/>
        <w:jc w:val="both"/>
        <w:rPr>
          <w:rFonts w:ascii="Verdana" w:eastAsia="Calibri" w:hAnsi="Verdana" w:cs="Arial"/>
          <w:color w:val="000000"/>
          <w:lang w:val="es-ES"/>
        </w:rPr>
      </w:pPr>
    </w:p>
    <w:p w14:paraId="3C23AC3F" w14:textId="77777777" w:rsidR="00985A2A" w:rsidRPr="00B96799" w:rsidRDefault="00985A2A" w:rsidP="00985A2A">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3F93B92A" w14:textId="77777777" w:rsidR="00985A2A" w:rsidRPr="0085423D" w:rsidRDefault="00985A2A" w:rsidP="00985A2A">
      <w:pPr>
        <w:spacing w:after="0" w:line="240" w:lineRule="auto"/>
        <w:rPr>
          <w:rFonts w:ascii="Verdana" w:eastAsia="Calibri" w:hAnsi="Verdana" w:cs="Arial"/>
          <w:b/>
          <w:lang w:val="es-ES_tradnl" w:eastAsia="es-ES_tradnl"/>
        </w:rPr>
      </w:pPr>
      <w:r w:rsidRPr="0096613A">
        <w:rPr>
          <w:rFonts w:ascii="Verdana" w:eastAsia="Calibri" w:hAnsi="Verdana" w:cs="Arial"/>
          <w:b/>
          <w:lang w:val="es-ES_tradnl" w:eastAsia="es-ES_tradnl"/>
        </w:rPr>
        <w:t>Fernando José Gutiérrez Ibáñez</w:t>
      </w:r>
      <w:r>
        <w:rPr>
          <w:rFonts w:ascii="Verdana" w:eastAsia="Calibri" w:hAnsi="Verdana" w:cs="Arial"/>
          <w:b/>
          <w:lang w:val="es-ES_tradnl" w:eastAsia="es-ES_tradnl"/>
        </w:rPr>
        <w:t xml:space="preserve"> </w:t>
      </w:r>
    </w:p>
    <w:p w14:paraId="213356A7" w14:textId="77777777" w:rsidR="00985A2A" w:rsidRPr="00DB1DAC" w:rsidRDefault="00985A2A" w:rsidP="00985A2A">
      <w:pPr>
        <w:spacing w:after="0" w:line="240" w:lineRule="auto"/>
        <w:rPr>
          <w:rFonts w:ascii="Verdana" w:eastAsia="Calibri" w:hAnsi="Verdana" w:cs="Arial"/>
          <w:lang w:val="es-ES" w:eastAsia="es-ES"/>
        </w:rPr>
      </w:pPr>
      <w:hyperlink r:id="rId11" w:history="1">
        <w:r w:rsidRPr="00C907A2">
          <w:rPr>
            <w:rStyle w:val="Hipervnculo"/>
            <w:rFonts w:ascii="Verdana" w:hAnsi="Verdana"/>
          </w:rPr>
          <w:t>fernandog213@hotmail.com</w:t>
        </w:r>
      </w:hyperlink>
      <w:r>
        <w:rPr>
          <w:rFonts w:ascii="Verdana" w:hAnsi="Verdana"/>
        </w:rPr>
        <w:t xml:space="preserve"> </w:t>
      </w:r>
      <w:r w:rsidRPr="00DB1DAC">
        <w:rPr>
          <w:rFonts w:ascii="Verdana" w:hAnsi="Verdana"/>
        </w:rPr>
        <w:t xml:space="preserve">             </w:t>
      </w:r>
      <w:r w:rsidRPr="00DB1DAC">
        <w:rPr>
          <w:rFonts w:ascii="Verdana" w:eastAsia="Calibri" w:hAnsi="Verdana" w:cs="Arial"/>
          <w:lang w:val="es-ES" w:eastAsia="es-ES"/>
        </w:rPr>
        <w:t xml:space="preserve">    </w:t>
      </w:r>
    </w:p>
    <w:p w14:paraId="499008B4" w14:textId="77777777" w:rsidR="00985A2A" w:rsidRDefault="00985A2A" w:rsidP="00985A2A">
      <w:pPr>
        <w:spacing w:after="0" w:line="240" w:lineRule="auto"/>
        <w:rPr>
          <w:rFonts w:ascii="Verdana" w:eastAsia="Calibri" w:hAnsi="Verdana" w:cs="Arial"/>
          <w:lang w:val="es-ES" w:eastAsia="es-ES"/>
        </w:rPr>
      </w:pPr>
      <w:r w:rsidRPr="00DB1DAC">
        <w:rPr>
          <w:rFonts w:ascii="Verdana" w:eastAsia="Calibri" w:hAnsi="Verdana" w:cs="Arial"/>
          <w:lang w:val="es-ES" w:eastAsia="es-ES"/>
        </w:rPr>
        <w:t>Valledupar</w:t>
      </w:r>
      <w:r>
        <w:rPr>
          <w:rFonts w:ascii="Verdana" w:eastAsia="Calibri" w:hAnsi="Verdana" w:cs="Arial"/>
          <w:lang w:val="es-ES" w:eastAsia="es-ES"/>
        </w:rPr>
        <w:t xml:space="preserve">, Cesar </w:t>
      </w:r>
    </w:p>
    <w:p w14:paraId="35AAB888" w14:textId="77777777" w:rsidR="00985A2A" w:rsidRPr="00593A5F" w:rsidRDefault="00985A2A" w:rsidP="00985A2A">
      <w:pPr>
        <w:spacing w:after="0" w:line="240" w:lineRule="auto"/>
        <w:rPr>
          <w:rFonts w:ascii="Verdana" w:eastAsia="Calibri" w:hAnsi="Verdana" w:cs="Arial"/>
          <w:b/>
          <w:bCs/>
          <w:color w:val="000000"/>
          <w:lang w:val="es-ES_tradnl" w:eastAsia="es-ES_tradnl"/>
        </w:rPr>
      </w:pPr>
    </w:p>
    <w:p w14:paraId="71761CC2" w14:textId="77777777" w:rsidR="00985A2A" w:rsidRPr="00593A5F" w:rsidRDefault="00985A2A" w:rsidP="00985A2A">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85A2A" w:rsidRPr="00593A5F" w14:paraId="40507D74" w14:textId="77777777" w:rsidTr="00C400BF">
        <w:trPr>
          <w:trHeight w:val="884"/>
        </w:trPr>
        <w:tc>
          <w:tcPr>
            <w:tcW w:w="2689" w:type="dxa"/>
          </w:tcPr>
          <w:p w14:paraId="5B3A3922" w14:textId="77777777" w:rsidR="00985A2A" w:rsidRPr="00C00976" w:rsidRDefault="00985A2A" w:rsidP="00C400BF">
            <w:pPr>
              <w:jc w:val="both"/>
              <w:rPr>
                <w:rFonts w:ascii="Verdana" w:eastAsia="Calibri" w:hAnsi="Verdana" w:cs="Arial"/>
                <w:b/>
                <w:bCs/>
                <w:color w:val="7030A0"/>
                <w:lang w:val="es-ES_tradnl" w:eastAsia="es-ES_tradnl"/>
              </w:rPr>
            </w:pPr>
          </w:p>
        </w:tc>
        <w:tc>
          <w:tcPr>
            <w:tcW w:w="6100" w:type="dxa"/>
          </w:tcPr>
          <w:p w14:paraId="63AEB487" w14:textId="17FF4803" w:rsidR="00985A2A" w:rsidRPr="00C00976" w:rsidRDefault="00985A2A" w:rsidP="00C400BF">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01189D">
              <w:rPr>
                <w:rFonts w:ascii="Verdana" w:eastAsia="Calibri" w:hAnsi="Verdana" w:cs="Arial"/>
                <w:b/>
                <w:bCs/>
                <w:lang w:val="es-ES" w:eastAsia="es-ES"/>
              </w:rPr>
              <w:t>1797</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985A2A" w:rsidRPr="00593A5F" w14:paraId="543D3EB7" w14:textId="77777777" w:rsidTr="00C400BF">
        <w:trPr>
          <w:trHeight w:val="884"/>
        </w:trPr>
        <w:tc>
          <w:tcPr>
            <w:tcW w:w="2689" w:type="dxa"/>
          </w:tcPr>
          <w:p w14:paraId="6AE99FE2" w14:textId="77777777" w:rsidR="00985A2A" w:rsidRPr="00593A5F" w:rsidRDefault="00985A2A" w:rsidP="00C400B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1FA78BA7" w14:textId="77777777" w:rsidR="00985A2A" w:rsidRPr="00A11406" w:rsidRDefault="00985A2A" w:rsidP="00C400BF">
            <w:pPr>
              <w:spacing w:line="276" w:lineRule="auto"/>
              <w:jc w:val="both"/>
              <w:rPr>
                <w:rFonts w:ascii="Verdana" w:eastAsia="Calibri" w:hAnsi="Verdana" w:cs="Arial"/>
                <w:lang w:val="es-ES" w:eastAsia="es-ES"/>
              </w:rPr>
            </w:pPr>
            <w:r w:rsidRPr="000239A6">
              <w:rPr>
                <w:rFonts w:ascii="Verdana" w:eastAsia="Calibri" w:hAnsi="Verdana" w:cs="Arial"/>
                <w:lang w:val="es-ES" w:eastAsia="es-ES"/>
              </w:rPr>
              <w:t>DETERMINACIÓN DEL VALOR DEL CONTRATO – Etapa de planeación – Metodologías – Factores que inciden</w:t>
            </w:r>
            <w:r>
              <w:rPr>
                <w:rFonts w:ascii="Verdana" w:eastAsia="Calibri" w:hAnsi="Verdana" w:cs="Arial"/>
                <w:lang w:val="es-ES" w:eastAsia="es-ES"/>
              </w:rPr>
              <w:t xml:space="preserve"> / </w:t>
            </w:r>
            <w:r w:rsidRPr="000239A6">
              <w:rPr>
                <w:rFonts w:ascii="Verdana" w:eastAsia="Calibri" w:hAnsi="Verdana" w:cs="Arial"/>
                <w:lang w:val="es-ES" w:eastAsia="es-ES"/>
              </w:rPr>
              <w:t>SISTEMA DE FACTOR MULTIPLICADOR – Noción – Costos directos – Imputables al contrato</w:t>
            </w:r>
            <w:r>
              <w:rPr>
                <w:rFonts w:ascii="Verdana" w:eastAsia="Calibri" w:hAnsi="Verdana" w:cs="Arial"/>
                <w:lang w:val="es-ES" w:eastAsia="es-ES"/>
              </w:rPr>
              <w:t xml:space="preserve"> / </w:t>
            </w:r>
            <w:r w:rsidRPr="000239A6">
              <w:rPr>
                <w:rFonts w:ascii="Verdana" w:eastAsia="Calibri" w:hAnsi="Verdana" w:cs="Arial"/>
                <w:lang w:val="es-ES" w:eastAsia="es-ES"/>
              </w:rPr>
              <w:t>FACTOR MULTIPLICADOR – Costos – Determinación</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79A54461" w14:textId="77777777" w:rsidR="00985A2A" w:rsidRPr="00593A5F" w:rsidRDefault="00985A2A" w:rsidP="00C400BF">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985A2A" w:rsidRPr="008E6AD9" w14:paraId="7B940A40" w14:textId="77777777" w:rsidTr="00C400BF">
        <w:tc>
          <w:tcPr>
            <w:tcW w:w="2689" w:type="dxa"/>
          </w:tcPr>
          <w:p w14:paraId="4C9BC786" w14:textId="77777777" w:rsidR="00985A2A" w:rsidRPr="008E6AD9" w:rsidRDefault="00985A2A" w:rsidP="00C400BF">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0F423FBE" w14:textId="77777777" w:rsidR="00985A2A" w:rsidRPr="00B92340" w:rsidRDefault="00985A2A" w:rsidP="00C400BF">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las </w:t>
            </w:r>
            <w:r w:rsidRPr="008E6AD9">
              <w:rPr>
                <w:rFonts w:ascii="Verdana" w:eastAsia="Calibri" w:hAnsi="Verdana" w:cs="Arial"/>
                <w:lang w:val="es-ES_tradnl" w:eastAsia="es-ES_tradnl"/>
              </w:rPr>
              <w:t>consulta</w:t>
            </w:r>
            <w:r>
              <w:rPr>
                <w:rFonts w:ascii="Verdana" w:eastAsia="Calibri" w:hAnsi="Verdana" w:cs="Arial"/>
                <w:lang w:val="es-ES_tradnl" w:eastAsia="es-ES_tradnl"/>
              </w:rPr>
              <w:t>s</w:t>
            </w:r>
            <w:r w:rsidRPr="008E6AD9">
              <w:rPr>
                <w:rFonts w:ascii="Verdana" w:eastAsia="Calibri" w:hAnsi="Verdana" w:cs="Arial"/>
                <w:lang w:val="es-ES_tradnl" w:eastAsia="es-ES_tradnl"/>
              </w:rPr>
              <w:t xml:space="preserve"> con radicado</w:t>
            </w:r>
            <w:r>
              <w:rPr>
                <w:rFonts w:ascii="Verdana" w:eastAsia="Calibri" w:hAnsi="Verdana" w:cs="Arial"/>
                <w:lang w:val="es-ES_tradnl" w:eastAsia="es-ES_tradnl"/>
              </w:rPr>
              <w:t>s</w:t>
            </w:r>
            <w:r w:rsidRPr="008E6AD9">
              <w:rPr>
                <w:rFonts w:ascii="Verdana" w:eastAsia="Calibri" w:hAnsi="Verdana" w:cs="Arial"/>
                <w:lang w:val="es-ES_tradnl" w:eastAsia="es-ES_tradnl"/>
              </w:rPr>
              <w:t xml:space="preserve"> No.</w:t>
            </w:r>
            <w:r>
              <w:rPr>
                <w:rFonts w:ascii="Verdana" w:eastAsia="Calibri" w:hAnsi="Verdana" w:cs="Arial"/>
                <w:lang w:val="es-ES_tradnl" w:eastAsia="es-ES_tradnl"/>
              </w:rPr>
              <w:t xml:space="preserve"> </w:t>
            </w:r>
            <w:r w:rsidRPr="00DB1DAC">
              <w:rPr>
                <w:rFonts w:ascii="Verdana" w:eastAsia="Calibri" w:hAnsi="Verdana" w:cs="Arial"/>
                <w:lang w:val="es-ES_tradnl" w:eastAsia="es-ES_tradnl"/>
              </w:rPr>
              <w:t xml:space="preserve">1_2025_12_08_013757 </w:t>
            </w:r>
            <w:r>
              <w:rPr>
                <w:rFonts w:ascii="Verdana" w:eastAsia="Calibri" w:hAnsi="Verdana" w:cs="Arial"/>
                <w:lang w:val="es-ES_tradnl" w:eastAsia="es-ES_tradnl"/>
              </w:rPr>
              <w:t xml:space="preserve">y </w:t>
            </w:r>
            <w:r w:rsidRPr="00DB1DAC">
              <w:rPr>
                <w:rFonts w:ascii="Verdana" w:eastAsia="Calibri" w:hAnsi="Verdana" w:cs="Arial"/>
                <w:lang w:val="es-ES_tradnl" w:eastAsia="es-ES_tradnl"/>
              </w:rPr>
              <w:t>1_2025_12_08_013758</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–Acumulados–                                   </w:t>
            </w:r>
          </w:p>
        </w:tc>
      </w:tr>
    </w:tbl>
    <w:p w14:paraId="795A3C39" w14:textId="77777777" w:rsidR="00985A2A" w:rsidRPr="00593A5F" w:rsidRDefault="00985A2A" w:rsidP="00985A2A">
      <w:pPr>
        <w:spacing w:after="0" w:line="240" w:lineRule="auto"/>
        <w:jc w:val="both"/>
        <w:rPr>
          <w:rFonts w:ascii="Verdana" w:eastAsia="Calibri" w:hAnsi="Verdana" w:cs="Arial"/>
          <w:color w:val="000000"/>
          <w:lang w:val="es-ES_tradnl" w:eastAsia="es-ES_tradnl"/>
        </w:rPr>
      </w:pPr>
    </w:p>
    <w:p w14:paraId="15C54408" w14:textId="77777777" w:rsidR="00985A2A" w:rsidRPr="00593A5F" w:rsidRDefault="00985A2A" w:rsidP="00985A2A">
      <w:pPr>
        <w:spacing w:after="0" w:line="240" w:lineRule="auto"/>
        <w:jc w:val="both"/>
        <w:rPr>
          <w:rFonts w:ascii="Verdana" w:eastAsia="Calibri" w:hAnsi="Verdana" w:cs="Arial"/>
          <w:color w:val="000000"/>
          <w:lang w:val="es-ES_tradnl" w:eastAsia="es-ES_tradnl"/>
        </w:rPr>
      </w:pPr>
    </w:p>
    <w:p w14:paraId="4BCF9AFB" w14:textId="77777777" w:rsidR="00985A2A" w:rsidRPr="008E6AD9" w:rsidRDefault="00985A2A" w:rsidP="00985A2A">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DB1DAC">
        <w:rPr>
          <w:rFonts w:ascii="Verdana" w:eastAsia="Calibri" w:hAnsi="Verdana" w:cs="Arial"/>
          <w:lang w:val="es-ES" w:eastAsia="es-ES"/>
        </w:rPr>
        <w:t>Gutiérrez Ibáñez</w:t>
      </w:r>
      <w:r w:rsidRPr="008E6AD9">
        <w:rPr>
          <w:rFonts w:ascii="Verdana" w:eastAsia="Calibri" w:hAnsi="Verdana" w:cs="Arial"/>
          <w:lang w:val="es-ES" w:eastAsia="es-ES"/>
        </w:rPr>
        <w:t xml:space="preserve">: </w:t>
      </w:r>
    </w:p>
    <w:p w14:paraId="7679723C" w14:textId="77777777" w:rsidR="00985A2A" w:rsidRDefault="00985A2A" w:rsidP="00985A2A">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C206CF2" w14:textId="77777777" w:rsidR="00985A2A" w:rsidRPr="00593A5F" w:rsidRDefault="00985A2A" w:rsidP="00985A2A">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w:t>
      </w:r>
      <w:r>
        <w:rPr>
          <w:rFonts w:ascii="Verdana" w:eastAsia="Calibri" w:hAnsi="Verdana" w:cs="Arial"/>
          <w:color w:val="000000" w:themeColor="text1"/>
          <w:lang w:val="es-ES" w:eastAsia="es-ES"/>
        </w:rPr>
        <w:t>s</w:t>
      </w:r>
      <w:r w:rsidRPr="00593A5F">
        <w:rPr>
          <w:rFonts w:ascii="Verdana" w:eastAsia="Calibri" w:hAnsi="Verdana" w:cs="Arial"/>
          <w:color w:val="000000" w:themeColor="text1"/>
          <w:lang w:val="es-ES" w:eastAsia="es-ES"/>
        </w:rPr>
        <w:t xml:space="preserve"> solicitud</w:t>
      </w:r>
      <w:r>
        <w:rPr>
          <w:rFonts w:ascii="Verdana" w:eastAsia="Calibri" w:hAnsi="Verdana" w:cs="Arial"/>
          <w:color w:val="000000" w:themeColor="text1"/>
          <w:lang w:val="es-ES" w:eastAsia="es-ES"/>
        </w:rPr>
        <w:t>es</w:t>
      </w:r>
      <w:r w:rsidRPr="00593A5F">
        <w:rPr>
          <w:rFonts w:ascii="Verdana" w:eastAsia="Calibri" w:hAnsi="Verdana" w:cs="Arial"/>
          <w:color w:val="000000" w:themeColor="text1"/>
          <w:lang w:val="es-ES" w:eastAsia="es-ES"/>
        </w:rPr>
        <w:t xml:space="preserve">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8 de diciembre de 2025, donde pregunta lo siguiente</w:t>
      </w:r>
      <w:r w:rsidRPr="008E6AD9">
        <w:rPr>
          <w:rFonts w:ascii="Verdana" w:eastAsia="Calibri" w:hAnsi="Verdana" w:cs="Arial"/>
          <w:lang w:val="es-ES" w:eastAsia="es-ES"/>
        </w:rPr>
        <w:t xml:space="preserve">: </w:t>
      </w:r>
    </w:p>
    <w:p w14:paraId="73005135" w14:textId="77777777" w:rsidR="00985A2A" w:rsidRPr="00272A7B" w:rsidRDefault="00985A2A" w:rsidP="00985A2A">
      <w:pPr>
        <w:pStyle w:val="Prrafodelista"/>
        <w:tabs>
          <w:tab w:val="left" w:pos="142"/>
          <w:tab w:val="left" w:pos="284"/>
        </w:tabs>
        <w:spacing w:after="0" w:line="276" w:lineRule="auto"/>
        <w:ind w:left="0"/>
        <w:jc w:val="both"/>
        <w:rPr>
          <w:rFonts w:ascii="Verdana" w:eastAsia="Century Gothic" w:hAnsi="Verdana" w:cs="Century Gothic"/>
          <w:b/>
          <w:bCs/>
        </w:rPr>
      </w:pPr>
    </w:p>
    <w:p w14:paraId="6E386187" w14:textId="77777777" w:rsidR="00985A2A" w:rsidRPr="00562811" w:rsidRDefault="00985A2A" w:rsidP="00985A2A">
      <w:pPr>
        <w:spacing w:after="120" w:line="240" w:lineRule="auto"/>
        <w:ind w:left="709" w:right="709"/>
        <w:jc w:val="both"/>
        <w:rPr>
          <w:rFonts w:ascii="Verdana" w:eastAsia="Century Gothic" w:hAnsi="Verdana" w:cs="Century Gothic"/>
          <w:sz w:val="20"/>
          <w:szCs w:val="20"/>
          <w:lang w:val="es-ES"/>
        </w:rPr>
      </w:pPr>
      <w:bookmarkStart w:id="0" w:name="_Hlk95313578"/>
      <w:r>
        <w:rPr>
          <w:rFonts w:ascii="Verdana" w:eastAsia="Century Gothic" w:hAnsi="Verdana" w:cs="Century Gothic"/>
          <w:sz w:val="20"/>
          <w:szCs w:val="20"/>
          <w:lang w:val="es-ES"/>
        </w:rPr>
        <w:t xml:space="preserve">1. </w:t>
      </w:r>
      <w:r w:rsidRPr="001904AF">
        <w:rPr>
          <w:rFonts w:ascii="Verdana" w:eastAsia="Century Gothic" w:hAnsi="Verdana" w:cs="Century Gothic"/>
          <w:sz w:val="20"/>
          <w:szCs w:val="20"/>
          <w:lang w:val="es-ES"/>
        </w:rPr>
        <w:t>“</w:t>
      </w:r>
      <w:bookmarkEnd w:id="0"/>
      <w:r>
        <w:rPr>
          <w:rFonts w:ascii="Verdana" w:eastAsia="Century Gothic" w:hAnsi="Verdana" w:cs="Century Gothic"/>
          <w:sz w:val="20"/>
          <w:szCs w:val="20"/>
          <w:lang w:val="es-ES"/>
        </w:rPr>
        <w:t>E</w:t>
      </w:r>
      <w:r w:rsidRPr="005A38DC">
        <w:rPr>
          <w:rFonts w:ascii="Verdana" w:eastAsia="Century Gothic" w:hAnsi="Verdana" w:cs="Century Gothic"/>
          <w:sz w:val="20"/>
          <w:szCs w:val="20"/>
          <w:lang w:val="es-ES"/>
        </w:rPr>
        <w:t>n los contratos de obra y de interventoría dentro de sus presupuesto</w:t>
      </w:r>
      <w:r>
        <w:rPr>
          <w:rFonts w:ascii="Verdana" w:eastAsia="Century Gothic" w:hAnsi="Verdana" w:cs="Century Gothic"/>
          <w:sz w:val="20"/>
          <w:szCs w:val="20"/>
          <w:lang w:val="es-ES"/>
        </w:rPr>
        <w:t>s</w:t>
      </w:r>
      <w:r w:rsidRPr="005A38DC">
        <w:rPr>
          <w:rFonts w:ascii="Verdana" w:eastAsia="Century Gothic" w:hAnsi="Verdana" w:cs="Century Gothic"/>
          <w:sz w:val="20"/>
          <w:szCs w:val="20"/>
          <w:lang w:val="es-ES"/>
        </w:rPr>
        <w:t xml:space="preserve"> en el caso de</w:t>
      </w:r>
      <w:r>
        <w:rPr>
          <w:rFonts w:ascii="Verdana" w:eastAsia="Century Gothic" w:hAnsi="Verdana" w:cs="Century Gothic"/>
          <w:sz w:val="20"/>
          <w:szCs w:val="20"/>
          <w:lang w:val="es-ES"/>
        </w:rPr>
        <w:t xml:space="preserve"> </w:t>
      </w:r>
      <w:r w:rsidRPr="005A38DC">
        <w:rPr>
          <w:rFonts w:ascii="Verdana" w:eastAsia="Century Gothic" w:hAnsi="Verdana" w:cs="Century Gothic"/>
          <w:sz w:val="20"/>
          <w:szCs w:val="20"/>
          <w:lang w:val="es-ES"/>
        </w:rPr>
        <w:t>obra la administración y de la inter el factor multiplicador, se encuentra un personal</w:t>
      </w:r>
      <w:r>
        <w:rPr>
          <w:rFonts w:ascii="Verdana" w:eastAsia="Century Gothic" w:hAnsi="Verdana" w:cs="Century Gothic"/>
          <w:sz w:val="20"/>
          <w:szCs w:val="20"/>
          <w:lang w:val="es-ES"/>
        </w:rPr>
        <w:t xml:space="preserve"> </w:t>
      </w:r>
      <w:r w:rsidRPr="005A38DC">
        <w:rPr>
          <w:rFonts w:ascii="Verdana" w:eastAsia="Century Gothic" w:hAnsi="Verdana" w:cs="Century Gothic"/>
          <w:sz w:val="20"/>
          <w:szCs w:val="20"/>
          <w:lang w:val="es-ES"/>
        </w:rPr>
        <w:t xml:space="preserve">establecido como es el caso de director, </w:t>
      </w:r>
      <w:r w:rsidRPr="005A38DC">
        <w:rPr>
          <w:rFonts w:ascii="Verdana" w:eastAsia="Century Gothic" w:hAnsi="Verdana" w:cs="Century Gothic"/>
          <w:sz w:val="20"/>
          <w:szCs w:val="20"/>
          <w:lang w:val="es-ES"/>
        </w:rPr>
        <w:lastRenderedPageBreak/>
        <w:t>residente, siso y demás, los cuales se</w:t>
      </w:r>
      <w:r>
        <w:rPr>
          <w:rFonts w:ascii="Verdana" w:eastAsia="Century Gothic" w:hAnsi="Verdana" w:cs="Century Gothic"/>
          <w:sz w:val="20"/>
          <w:szCs w:val="20"/>
          <w:lang w:val="es-ES"/>
        </w:rPr>
        <w:t xml:space="preserve"> </w:t>
      </w:r>
      <w:r w:rsidRPr="005A38DC">
        <w:rPr>
          <w:rFonts w:ascii="Verdana" w:eastAsia="Century Gothic" w:hAnsi="Verdana" w:cs="Century Gothic"/>
          <w:sz w:val="20"/>
          <w:szCs w:val="20"/>
          <w:lang w:val="es-ES"/>
        </w:rPr>
        <w:t>encuentran dentro del presupuesto con un tiempo de dedicación del 50% o 100%,</w:t>
      </w:r>
      <w:r>
        <w:rPr>
          <w:rFonts w:ascii="Verdana" w:eastAsia="Century Gothic" w:hAnsi="Verdana" w:cs="Century Gothic"/>
          <w:sz w:val="20"/>
          <w:szCs w:val="20"/>
          <w:lang w:val="es-ES"/>
        </w:rPr>
        <w:t xml:space="preserve"> </w:t>
      </w:r>
      <w:r w:rsidRPr="005A38DC">
        <w:rPr>
          <w:rFonts w:ascii="Verdana" w:eastAsia="Century Gothic" w:hAnsi="Verdana" w:cs="Century Gothic"/>
          <w:sz w:val="20"/>
          <w:szCs w:val="20"/>
          <w:lang w:val="es-ES"/>
        </w:rPr>
        <w:t>para efectos de soportar cual es el tipo de vinculación deben tener en los contratos,</w:t>
      </w:r>
      <w:r>
        <w:rPr>
          <w:rFonts w:ascii="Verdana" w:eastAsia="Century Gothic" w:hAnsi="Verdana" w:cs="Century Gothic"/>
          <w:sz w:val="20"/>
          <w:szCs w:val="20"/>
          <w:lang w:val="es-ES"/>
        </w:rPr>
        <w:t xml:space="preserve"> </w:t>
      </w:r>
      <w:r w:rsidRPr="005A38DC">
        <w:rPr>
          <w:rFonts w:ascii="Verdana" w:eastAsia="Century Gothic" w:hAnsi="Verdana" w:cs="Century Gothic"/>
          <w:sz w:val="20"/>
          <w:szCs w:val="20"/>
          <w:lang w:val="es-ES"/>
        </w:rPr>
        <w:t>si mediante prestación de servicios o laboral, si deben estar dentro de la planilla del</w:t>
      </w:r>
      <w:r>
        <w:rPr>
          <w:rFonts w:ascii="Verdana" w:eastAsia="Century Gothic" w:hAnsi="Verdana" w:cs="Century Gothic"/>
          <w:sz w:val="20"/>
          <w:szCs w:val="20"/>
          <w:lang w:val="es-ES"/>
        </w:rPr>
        <w:t xml:space="preserve"> </w:t>
      </w:r>
      <w:r w:rsidRPr="005A38DC">
        <w:rPr>
          <w:rFonts w:ascii="Verdana" w:eastAsia="Century Gothic" w:hAnsi="Verdana" w:cs="Century Gothic"/>
          <w:sz w:val="20"/>
          <w:szCs w:val="20"/>
          <w:lang w:val="es-ES"/>
        </w:rPr>
        <w:t>consorcio o puede soportar mediante contrato de prestación de servicio por el valor</w:t>
      </w:r>
      <w:r>
        <w:rPr>
          <w:rFonts w:ascii="Verdana" w:eastAsia="Century Gothic" w:hAnsi="Verdana" w:cs="Century Gothic"/>
          <w:sz w:val="20"/>
          <w:szCs w:val="20"/>
          <w:lang w:val="es-ES"/>
        </w:rPr>
        <w:t xml:space="preserve"> </w:t>
      </w:r>
      <w:r w:rsidRPr="005A38DC">
        <w:rPr>
          <w:rFonts w:ascii="Verdana" w:eastAsia="Century Gothic" w:hAnsi="Verdana" w:cs="Century Gothic"/>
          <w:sz w:val="20"/>
          <w:szCs w:val="20"/>
          <w:lang w:val="es-ES"/>
        </w:rPr>
        <w:t>que se encuentra en el presupuesto del contrato</w:t>
      </w:r>
      <w:r>
        <w:rPr>
          <w:rFonts w:ascii="Verdana" w:eastAsia="Century Gothic" w:hAnsi="Verdana" w:cs="Century Gothic"/>
          <w:sz w:val="20"/>
          <w:szCs w:val="20"/>
          <w:lang w:val="es-ES"/>
        </w:rPr>
        <w:t>”.</w:t>
      </w:r>
      <w:r w:rsidRPr="00562811">
        <w:rPr>
          <w:rFonts w:ascii="Verdana" w:eastAsia="Century Gothic" w:hAnsi="Verdana" w:cs="Century Gothic"/>
          <w:sz w:val="20"/>
          <w:szCs w:val="20"/>
          <w:lang w:val="es-ES"/>
        </w:rPr>
        <w:t xml:space="preserve"> </w:t>
      </w:r>
    </w:p>
    <w:p w14:paraId="04025AE1" w14:textId="77777777" w:rsidR="00985A2A" w:rsidRPr="001904AF" w:rsidRDefault="00985A2A" w:rsidP="00985A2A">
      <w:pPr>
        <w:spacing w:after="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2. “L</w:t>
      </w:r>
      <w:r w:rsidRPr="005A38DC">
        <w:rPr>
          <w:rFonts w:ascii="Verdana" w:eastAsia="Century Gothic" w:hAnsi="Verdana" w:cs="Century Gothic"/>
          <w:sz w:val="20"/>
          <w:szCs w:val="20"/>
          <w:lang w:val="es-ES"/>
        </w:rPr>
        <w:t>os contratos de interventoría su estructura presupuestal es mensualizada y basada en el factor multiplicador el personal se puede soportar mediante contrato de prestación de servicios o se debe vincular a la planilla del contrato, es de anotar que dentro de esos presupuestos algunos se encuentran con una dedicación de 50% o menos</w:t>
      </w:r>
      <w:r w:rsidRPr="001904AF">
        <w:rPr>
          <w:rFonts w:ascii="Verdana" w:eastAsia="Century Gothic" w:hAnsi="Verdana" w:cs="Century Gothic"/>
          <w:sz w:val="20"/>
          <w:szCs w:val="20"/>
          <w:lang w:val="es-ES"/>
        </w:rPr>
        <w:t>”.</w:t>
      </w:r>
    </w:p>
    <w:p w14:paraId="69650D54" w14:textId="77777777" w:rsidR="00985A2A" w:rsidRPr="008E6AD9" w:rsidRDefault="00985A2A" w:rsidP="00985A2A">
      <w:pPr>
        <w:pStyle w:val="Prrafodelista"/>
        <w:tabs>
          <w:tab w:val="left" w:pos="142"/>
          <w:tab w:val="left" w:pos="284"/>
        </w:tabs>
        <w:spacing w:after="0" w:line="276" w:lineRule="auto"/>
        <w:ind w:left="0"/>
        <w:jc w:val="both"/>
        <w:rPr>
          <w:rFonts w:ascii="Verdana" w:eastAsia="Century Gothic" w:hAnsi="Verdana" w:cs="Century Gothic"/>
          <w:b/>
          <w:bCs/>
        </w:rPr>
      </w:pPr>
    </w:p>
    <w:p w14:paraId="64BD3411" w14:textId="77777777" w:rsidR="00985A2A" w:rsidRPr="00A652FF" w:rsidRDefault="00985A2A" w:rsidP="00985A2A">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983673D" w14:textId="77777777" w:rsidR="00985A2A" w:rsidRDefault="00985A2A" w:rsidP="00985A2A">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511C5AB0" w14:textId="77777777" w:rsidR="00985A2A" w:rsidRPr="00593A5F" w:rsidRDefault="00985A2A" w:rsidP="00985A2A">
      <w:pPr>
        <w:spacing w:after="0" w:line="276" w:lineRule="auto"/>
        <w:ind w:firstLine="709"/>
        <w:jc w:val="both"/>
        <w:rPr>
          <w:rFonts w:ascii="Verdana" w:eastAsia="Calibri" w:hAnsi="Verdana" w:cs="Arial"/>
          <w:color w:val="000000"/>
          <w:lang w:val="es-ES" w:eastAsia="es-ES"/>
        </w:rPr>
      </w:pPr>
    </w:p>
    <w:p w14:paraId="47CFEF5F" w14:textId="77777777" w:rsidR="00985A2A" w:rsidRPr="00593A5F" w:rsidRDefault="00985A2A" w:rsidP="00985A2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0F1EFCC3" w14:textId="77777777" w:rsidR="00985A2A" w:rsidRPr="00593A5F" w:rsidRDefault="00985A2A" w:rsidP="00985A2A">
      <w:pPr>
        <w:tabs>
          <w:tab w:val="left" w:pos="426"/>
        </w:tabs>
        <w:spacing w:after="0" w:line="276" w:lineRule="auto"/>
        <w:jc w:val="both"/>
        <w:rPr>
          <w:rFonts w:ascii="Verdana" w:eastAsia="Century Gothic" w:hAnsi="Verdana" w:cs="Century Gothic"/>
          <w:lang w:val="es-ES"/>
        </w:rPr>
      </w:pPr>
    </w:p>
    <w:p w14:paraId="32D371DF" w14:textId="77777777" w:rsidR="00985A2A" w:rsidRPr="00593A5F" w:rsidRDefault="00985A2A" w:rsidP="00985A2A">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problema jurídico:</w:t>
      </w:r>
      <w:r>
        <w:rPr>
          <w:rFonts w:ascii="Verdana" w:eastAsia="Century Gothic" w:hAnsi="Verdana" w:cs="Century Gothic"/>
        </w:rPr>
        <w:t xml:space="preserve"> </w:t>
      </w:r>
      <w:r w:rsidRPr="00D85592">
        <w:rPr>
          <w:rFonts w:ascii="Verdana" w:eastAsia="Century Gothic" w:hAnsi="Verdana" w:cs="Century Gothic"/>
        </w:rPr>
        <w:t xml:space="preserve">¿cuál es el marco normativo </w:t>
      </w:r>
      <w:r>
        <w:rPr>
          <w:rFonts w:ascii="Verdana" w:eastAsia="Century Gothic" w:hAnsi="Verdana" w:cs="Century Gothic"/>
        </w:rPr>
        <w:t>y el alcance del factor multiplicador en el sistema de compras públicas</w:t>
      </w:r>
      <w:r w:rsidRPr="00D85592">
        <w:rPr>
          <w:rFonts w:ascii="Verdana" w:eastAsia="Century Gothic" w:hAnsi="Verdana" w:cs="Century Gothic"/>
        </w:rPr>
        <w:t>?</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74C45837" w14:textId="77777777" w:rsidR="00985A2A" w:rsidRPr="004B140F" w:rsidRDefault="00985A2A" w:rsidP="00985A2A">
      <w:pPr>
        <w:spacing w:after="0" w:line="276" w:lineRule="auto"/>
        <w:jc w:val="both"/>
        <w:rPr>
          <w:rFonts w:ascii="Verdana" w:eastAsia="Calibri" w:hAnsi="Verdana" w:cs="Arial"/>
          <w:color w:val="7030A0"/>
        </w:rPr>
      </w:pPr>
    </w:p>
    <w:p w14:paraId="2B793EE0" w14:textId="77777777" w:rsidR="00985A2A" w:rsidRPr="00593A5F" w:rsidRDefault="00985A2A" w:rsidP="00985A2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56DEBD1" w14:textId="77777777" w:rsidR="00985A2A" w:rsidRPr="00593A5F" w:rsidRDefault="00985A2A" w:rsidP="00985A2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85A2A" w:rsidRPr="00593A5F" w14:paraId="0EE7D7AA" w14:textId="77777777">
        <w:trPr>
          <w:jc w:val="center"/>
        </w:trPr>
        <w:tc>
          <w:tcPr>
            <w:tcW w:w="8828" w:type="dxa"/>
          </w:tcPr>
          <w:p w14:paraId="44FCA5F7" w14:textId="77777777" w:rsidR="00985A2A" w:rsidRDefault="00985A2A" w:rsidP="00C400BF">
            <w:pPr>
              <w:spacing w:after="120" w:line="276" w:lineRule="auto"/>
              <w:jc w:val="both"/>
              <w:rPr>
                <w:rFonts w:ascii="Verdana" w:hAnsi="Verdana" w:cs="Arial"/>
              </w:rPr>
            </w:pPr>
            <w:bookmarkStart w:id="1" w:name="_Hlk171694685"/>
            <w:r w:rsidRPr="000955E3">
              <w:rPr>
                <w:rFonts w:ascii="Verdana" w:eastAsia="Calibri" w:hAnsi="Verdana" w:cs="Arial"/>
                <w:bCs/>
                <w:color w:val="000000" w:themeColor="text1"/>
              </w:rPr>
              <w:lastRenderedPageBreak/>
              <w:t>Conforme a la interpretación general de las normas del sistema de compras públicas</w:t>
            </w:r>
            <w:r w:rsidRPr="000955E3">
              <w:rPr>
                <w:rFonts w:ascii="Verdana" w:eastAsia="Arial" w:hAnsi="Verdana" w:cs="Arial"/>
                <w:lang w:val="es-MX" w:eastAsia="es-ES" w:bidi="es-ES"/>
              </w:rPr>
              <w:t>,</w:t>
            </w:r>
            <w:r>
              <w:rPr>
                <w:rFonts w:ascii="Verdana" w:eastAsia="Arial" w:hAnsi="Verdana" w:cs="Arial"/>
                <w:lang w:val="es-MX" w:eastAsia="es-ES" w:bidi="es-ES"/>
              </w:rPr>
              <w:t xml:space="preserve"> </w:t>
            </w:r>
            <w:r>
              <w:rPr>
                <w:rFonts w:ascii="Verdana" w:hAnsi="Verdana" w:cs="Arial"/>
                <w:lang w:val="es-ES_tradnl"/>
              </w:rPr>
              <w:t>p</w:t>
            </w:r>
            <w:r w:rsidRPr="00705972">
              <w:rPr>
                <w:rFonts w:ascii="Verdana" w:hAnsi="Verdana" w:cs="Arial"/>
                <w:lang w:val="es-ES_tradnl"/>
              </w:rPr>
              <w:t xml:space="preserve">ara efectos de la consultorías e interventorías, </w:t>
            </w:r>
            <w:r w:rsidRPr="00705972">
              <w:rPr>
                <w:rFonts w:ascii="Verdana" w:hAnsi="Verdana" w:cs="Arial"/>
              </w:rPr>
              <w:t>el factor</w:t>
            </w:r>
            <w:r w:rsidRPr="004F607E">
              <w:rPr>
                <w:rFonts w:ascii="Verdana" w:hAnsi="Verdana" w:cs="Arial"/>
              </w:rPr>
              <w:t xml:space="preserve"> multiplicador es una metodología permite imputar al contrato los costos directos</w:t>
            </w:r>
            <w:r>
              <w:rPr>
                <w:rFonts w:ascii="Verdana" w:hAnsi="Verdana" w:cs="Arial"/>
              </w:rPr>
              <w:t xml:space="preserve"> </w:t>
            </w:r>
            <w:r w:rsidRPr="00167C84">
              <w:rPr>
                <w:rFonts w:ascii="Verdana" w:hAnsi="Verdana" w:cs="Arial"/>
              </w:rPr>
              <w:t xml:space="preserve">asociados a </w:t>
            </w:r>
            <w:r>
              <w:rPr>
                <w:rFonts w:ascii="Verdana" w:hAnsi="Verdana" w:cs="Arial"/>
              </w:rPr>
              <w:t>prestaciones laborales y sociales</w:t>
            </w:r>
            <w:r w:rsidRPr="00167C84">
              <w:rPr>
                <w:rFonts w:ascii="Verdana" w:hAnsi="Verdana" w:cs="Arial"/>
              </w:rPr>
              <w:t xml:space="preserve"> del personal vinculado con carácter exclusivo al proyecto, la utilidad del ingeniero y los costos</w:t>
            </w:r>
            <w:r>
              <w:rPr>
                <w:rFonts w:ascii="Verdana" w:hAnsi="Verdana" w:cs="Arial"/>
              </w:rPr>
              <w:t xml:space="preserve"> </w:t>
            </w:r>
            <w:r w:rsidRPr="00167C84">
              <w:rPr>
                <w:rFonts w:ascii="Verdana" w:hAnsi="Verdana" w:cs="Arial"/>
              </w:rPr>
              <w:t>de administración</w:t>
            </w:r>
            <w:r>
              <w:rPr>
                <w:rFonts w:ascii="Verdana" w:hAnsi="Verdana" w:cs="Arial"/>
              </w:rPr>
              <w:t xml:space="preserve"> asociados al personal</w:t>
            </w:r>
            <w:r w:rsidRPr="00167C84">
              <w:rPr>
                <w:rFonts w:ascii="Verdana" w:hAnsi="Verdana" w:cs="Arial"/>
              </w:rPr>
              <w:t>, afectando el valor parcial de la oferta por un factor multiplicador. De esta manera se obtiene un subtotal de costos directos a partir de la sumatoria de los valores correspondientes los salarios del personal, incrementado a partir de su multiplicación por un factor que suele consistir en una cifra de dos dígitos, con una parte entera y otra decimal. Esto sin perjuicio de la incorporación de otros costos directos como viáticos, alquiler de equipos, oficinas, etc</w:t>
            </w:r>
            <w:r>
              <w:rPr>
                <w:rFonts w:ascii="Verdana" w:hAnsi="Verdana" w:cs="Arial"/>
              </w:rPr>
              <w:t>.</w:t>
            </w:r>
            <w:r w:rsidRPr="00167C84">
              <w:rPr>
                <w:rFonts w:ascii="Verdana" w:hAnsi="Verdana" w:cs="Arial"/>
              </w:rPr>
              <w:t xml:space="preserve">, cuya discriminación se exige de manera separada de los costos de personal, para ser sumados al valor resultante la aplicación del factor multiplicador. </w:t>
            </w:r>
          </w:p>
          <w:p w14:paraId="2B77C3EE" w14:textId="77777777" w:rsidR="00985A2A" w:rsidRDefault="00985A2A" w:rsidP="00C400BF">
            <w:pPr>
              <w:spacing w:after="120" w:line="276" w:lineRule="auto"/>
              <w:ind w:firstLine="737"/>
              <w:jc w:val="both"/>
              <w:rPr>
                <w:rFonts w:ascii="Verdana" w:eastAsia="Arial" w:hAnsi="Verdana" w:cs="Arial"/>
                <w:lang w:val="es-MX" w:eastAsia="es-ES" w:bidi="es-ES"/>
              </w:rPr>
            </w:pPr>
            <w:r>
              <w:rPr>
                <w:rFonts w:ascii="Verdana" w:hAnsi="Verdana" w:cs="Arial"/>
                <w:lang w:val="es-ES_tradnl"/>
              </w:rPr>
              <w:t>E</w:t>
            </w:r>
            <w:r w:rsidRPr="00143443">
              <w:rPr>
                <w:rFonts w:ascii="Verdana" w:hAnsi="Verdana" w:cs="Arial"/>
                <w:lang w:val="es-ES_tradnl"/>
              </w:rPr>
              <w:t xml:space="preserve">l principal sustento para que las Entidades Estatales sujetas al EGCAP, como las excluidas de este, aplique la referida metodología, es la autonomía de la que gozan para la estructuración de las condiciones del negocio jurídico, determinando el sistema más apropiado para satisfacer los fines de la contratación, respetando los límites previstos en el ordenamiento. </w:t>
            </w:r>
            <w:r w:rsidRPr="000D4C3B">
              <w:rPr>
                <w:rFonts w:ascii="Verdana" w:hAnsi="Verdana" w:cs="Arial"/>
                <w:bCs/>
                <w:lang w:val="es-ES_tradnl"/>
              </w:rPr>
              <w:t>Para las entidades que se rigen por el Estatuto General de Contratación de la Administración Pública, tal autonomía está reconocida en los artículos 13, 32 y 40 de la Ley 80 de 1993.</w:t>
            </w:r>
            <w:r>
              <w:rPr>
                <w:rFonts w:ascii="Verdana" w:hAnsi="Verdana" w:cs="Arial"/>
                <w:bCs/>
                <w:lang w:val="es-ES_tradnl"/>
              </w:rPr>
              <w:t xml:space="preserve"> </w:t>
            </w:r>
            <w:r w:rsidRPr="00143443">
              <w:rPr>
                <w:rFonts w:ascii="Verdana" w:hAnsi="Verdana" w:cs="Arial"/>
                <w:lang w:val="es-ES_tradnl"/>
              </w:rPr>
              <w:t>De ahí que, las entidades cuenten con la discrecionalidad para disponer en los documentos del proceso, la aplicación de metodología explicada, siempre que resulte adecuada y proporcional al objeto del contrato.</w:t>
            </w:r>
            <w:r w:rsidRPr="000955E3">
              <w:rPr>
                <w:rFonts w:ascii="Verdana" w:eastAsia="Arial" w:hAnsi="Verdana" w:cs="Arial"/>
                <w:lang w:val="es-MX" w:eastAsia="es-ES" w:bidi="es-ES"/>
              </w:rPr>
              <w:t xml:space="preserve"> </w:t>
            </w:r>
          </w:p>
          <w:p w14:paraId="2CA45B14" w14:textId="77777777" w:rsidR="00985A2A" w:rsidRPr="000C0EFB" w:rsidRDefault="00985A2A" w:rsidP="00C400BF">
            <w:pPr>
              <w:spacing w:after="120" w:line="276" w:lineRule="auto"/>
              <w:ind w:firstLine="737"/>
              <w:jc w:val="both"/>
              <w:rPr>
                <w:rFonts w:ascii="Verdana" w:eastAsia="Times New Roman" w:hAnsi="Verdana" w:cs="Arial"/>
                <w:lang w:eastAsia="es-CO"/>
              </w:rPr>
            </w:pPr>
            <w:r w:rsidRPr="00143443">
              <w:rPr>
                <w:rFonts w:ascii="Verdana" w:hAnsi="Verdana" w:cs="Arial"/>
                <w:lang w:val="es-ES"/>
              </w:rPr>
              <w:t xml:space="preserve">Ahora bien, desde luego que los costos asociados al personal requerido para ejecutar el contrato son un aspecto que entran a determinar su precio, por lo que son un tema para considerar al hacer el ofrecimiento económico en la etapa de presentación de ofertas, con sujeción al mecanismo para determinar el precio que regule la entidad en el pliego de condiciones. En ese sentido, cuando una entidad incorpora el mecanismo del factor multiplicador debe incluir las reglas para que estos sean considerados por los proponentes, de suerte que incluyan los costos asociados al personal para la ejecución del contrato en concordancia con el equipo de trabajo exigido, el cual debe atender unas condiciones y perfiles específicos establecidos en los Documentos del </w:t>
            </w:r>
            <w:r w:rsidRPr="00143443">
              <w:rPr>
                <w:rFonts w:ascii="Verdana" w:hAnsi="Verdana" w:cs="Arial"/>
                <w:lang w:val="es-ES"/>
              </w:rPr>
              <w:lastRenderedPageBreak/>
              <w:t>Proceso. Las reglas que discrecionalmente deben establecer las entidades estatales en los pliegos de condiciones para regular los mencionados aspectos son las que en últimas determinan que tipo de contratación de personal es la que corresponde realizar al contratista para ejecutar el proyecto, así como la posibilidad de que los costos de dicha contratación</w:t>
            </w:r>
            <w:r>
              <w:rPr>
                <w:rFonts w:ascii="Verdana" w:hAnsi="Verdana" w:cs="Arial"/>
                <w:lang w:val="es-ES"/>
              </w:rPr>
              <w:t xml:space="preserve"> </w:t>
            </w:r>
            <w:r w:rsidRPr="00143443">
              <w:rPr>
                <w:rFonts w:ascii="Verdana" w:hAnsi="Verdana" w:cs="Arial"/>
                <w:lang w:val="es-ES"/>
              </w:rPr>
              <w:t>–ya sea laboral o por prestación de servicios–, se incorporen al precio del contrato, por la vía del factor multiplicador aplicado para hacer la oferta económica.</w:t>
            </w:r>
          </w:p>
          <w:p w14:paraId="3846CB09" w14:textId="77777777" w:rsidR="00985A2A" w:rsidRPr="001941FD" w:rsidRDefault="00985A2A" w:rsidP="00C400BF">
            <w:pPr>
              <w:spacing w:line="276" w:lineRule="auto"/>
              <w:ind w:right="51" w:firstLine="737"/>
              <w:jc w:val="both"/>
              <w:rPr>
                <w:rFonts w:ascii="Verdana" w:eastAsia="Calibri" w:hAnsi="Verdana" w:cs="Arial"/>
                <w:bCs/>
                <w:color w:val="000000" w:themeColor="text1"/>
              </w:rPr>
            </w:pPr>
            <w:r w:rsidRPr="00007D0A">
              <w:rPr>
                <w:rStyle w:val="s15"/>
                <w:rFonts w:ascii="Verdana" w:hAnsi="Verdana"/>
                <w:color w:val="000000"/>
              </w:rPr>
              <w:t xml:space="preserve">Al margen de la explicación </w:t>
            </w:r>
            <w:r>
              <w:rPr>
                <w:rStyle w:val="s15"/>
                <w:rFonts w:ascii="Verdana" w:hAnsi="Verdana"/>
                <w:color w:val="000000"/>
              </w:rPr>
              <w:t>precedente,</w:t>
            </w:r>
            <w:r w:rsidRPr="00007D0A">
              <w:rPr>
                <w:rStyle w:val="s15"/>
                <w:rFonts w:ascii="Verdana" w:hAnsi="Verdana"/>
                <w:color w:val="000000"/>
              </w:rPr>
              <w:t xml:space="preserve"> debe advertirse que el análisis requerido para resolver problemas específicos en torno a la gestión contractual de las entidades públicas debe ser realizado por quienes tengan interés en ello, de acuerdo con lo explicado </w:t>
            </w:r>
            <w:r>
              <w:rPr>
                <w:rStyle w:val="s15"/>
                <w:rFonts w:ascii="Verdana" w:hAnsi="Verdana"/>
                <w:color w:val="000000"/>
              </w:rPr>
              <w:t>en la</w:t>
            </w:r>
            <w:r w:rsidRPr="00007D0A">
              <w:rPr>
                <w:rStyle w:val="s15"/>
                <w:rFonts w:ascii="Verdana" w:hAnsi="Verdana"/>
                <w:color w:val="000000"/>
              </w:rPr>
              <w:t xml:space="preserve">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6F493B7E" w14:textId="77777777" w:rsidR="00985A2A" w:rsidRPr="00593A5F" w:rsidRDefault="00985A2A" w:rsidP="00985A2A">
      <w:pPr>
        <w:tabs>
          <w:tab w:val="left" w:pos="142"/>
          <w:tab w:val="left" w:pos="284"/>
        </w:tabs>
        <w:spacing w:after="0" w:line="276" w:lineRule="auto"/>
        <w:jc w:val="both"/>
        <w:rPr>
          <w:rFonts w:ascii="Verdana" w:eastAsia="Century Gothic" w:hAnsi="Verdana" w:cs="Century Gothic"/>
          <w:b/>
          <w:bCs/>
          <w:lang w:val="es-ES"/>
        </w:rPr>
      </w:pPr>
    </w:p>
    <w:bookmarkEnd w:id="1"/>
    <w:p w14:paraId="677C4D74" w14:textId="77777777" w:rsidR="00985A2A" w:rsidRPr="00593A5F" w:rsidRDefault="00985A2A" w:rsidP="00985A2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6B43E93" w14:textId="77777777" w:rsidR="00985A2A" w:rsidRPr="00593A5F" w:rsidRDefault="00985A2A" w:rsidP="00985A2A">
      <w:pPr>
        <w:spacing w:after="0" w:line="276" w:lineRule="auto"/>
        <w:jc w:val="both"/>
        <w:rPr>
          <w:rFonts w:ascii="Verdana" w:eastAsia="Calibri" w:hAnsi="Verdana" w:cs="Arial"/>
          <w:color w:val="7030A0"/>
          <w:lang w:val="es-ES"/>
        </w:rPr>
      </w:pPr>
    </w:p>
    <w:p w14:paraId="6BD1424D" w14:textId="77777777" w:rsidR="00985A2A" w:rsidRDefault="00985A2A" w:rsidP="00985A2A">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55E966F4" w14:textId="77777777" w:rsidR="00985A2A" w:rsidRPr="00415608" w:rsidRDefault="00985A2A" w:rsidP="00985A2A">
      <w:pPr>
        <w:spacing w:after="0" w:line="276" w:lineRule="auto"/>
        <w:jc w:val="both"/>
        <w:rPr>
          <w:rFonts w:ascii="Verdana" w:eastAsia="Calibri" w:hAnsi="Verdana" w:cs="Arial"/>
          <w:lang w:val="es-ES"/>
        </w:rPr>
      </w:pPr>
    </w:p>
    <w:p w14:paraId="761F7687" w14:textId="77777777" w:rsidR="00985A2A" w:rsidRPr="000D4C3B" w:rsidRDefault="00985A2A" w:rsidP="00985A2A">
      <w:pPr>
        <w:spacing w:after="120" w:line="276" w:lineRule="auto"/>
        <w:jc w:val="both"/>
        <w:rPr>
          <w:rFonts w:ascii="Verdana" w:hAnsi="Verdana" w:cs="Arial"/>
          <w:bCs/>
          <w:lang w:val="es-ES_tradnl"/>
        </w:rPr>
      </w:pPr>
      <w:r w:rsidRPr="000D4C3B">
        <w:rPr>
          <w:rFonts w:ascii="Verdana" w:hAnsi="Verdana" w:cs="Arial"/>
          <w:bCs/>
          <w:lang w:val="es-ES_tradnl"/>
        </w:rPr>
        <w:t xml:space="preserve">Como es sabido, uno de los elementos más comunes en los contratos estatales es el </w:t>
      </w:r>
      <w:r w:rsidRPr="000D4C3B">
        <w:rPr>
          <w:rFonts w:ascii="Verdana" w:hAnsi="Verdana" w:cs="Arial"/>
          <w:bCs/>
          <w:i/>
          <w:iCs/>
          <w:lang w:val="es-ES_tradnl"/>
        </w:rPr>
        <w:t>precio</w:t>
      </w:r>
      <w:r w:rsidRPr="000D4C3B">
        <w:rPr>
          <w:rFonts w:ascii="Verdana" w:hAnsi="Verdana" w:cs="Arial"/>
          <w:bCs/>
          <w:lang w:val="es-ES_tradnl"/>
        </w:rPr>
        <w:t>,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30131BB8" w14:textId="77777777" w:rsidR="00985A2A" w:rsidRPr="000D4C3B" w:rsidRDefault="00985A2A" w:rsidP="00985A2A">
      <w:pPr>
        <w:spacing w:before="120" w:after="120" w:line="276" w:lineRule="auto"/>
        <w:ind w:firstLine="709"/>
        <w:jc w:val="both"/>
        <w:rPr>
          <w:rFonts w:ascii="Verdana" w:hAnsi="Verdana" w:cs="Arial"/>
          <w:bCs/>
          <w:lang w:val="es-ES_tradnl"/>
        </w:rPr>
      </w:pPr>
      <w:r w:rsidRPr="000D4C3B">
        <w:rPr>
          <w:rFonts w:ascii="Verdana" w:hAnsi="Verdana" w:cs="Arial"/>
          <w:bCs/>
          <w:lang w:val="es-ES_tradnl"/>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entidad usará para estipular el precio. Tal metodología generalmente depende del tipo de contrato, </w:t>
      </w:r>
      <w:r w:rsidRPr="000D4C3B">
        <w:rPr>
          <w:rFonts w:ascii="Verdana" w:hAnsi="Verdana" w:cs="Arial"/>
          <w:bCs/>
          <w:lang w:val="es-ES_tradnl"/>
        </w:rPr>
        <w:lastRenderedPageBreak/>
        <w:t>pues hay algunas modalidades más comunes en los de obra pública; otras más utilizadas en los de prestación de servicios y otras más indicadas para los de concesión, por mencionar algunos ejemplos</w:t>
      </w:r>
      <w:r w:rsidRPr="000D4C3B">
        <w:rPr>
          <w:rStyle w:val="Refdenotaalpie"/>
          <w:rFonts w:ascii="Verdana" w:hAnsi="Verdana" w:cs="Arial"/>
          <w:bCs/>
          <w:lang w:val="es-ES_tradnl"/>
        </w:rPr>
        <w:footnoteReference w:id="2"/>
      </w:r>
      <w:r w:rsidRPr="000D4C3B">
        <w:rPr>
          <w:rFonts w:ascii="Verdana" w:hAnsi="Verdana" w:cs="Arial"/>
          <w:bCs/>
          <w:lang w:val="es-ES_tradnl"/>
        </w:rPr>
        <w:t>.</w:t>
      </w:r>
    </w:p>
    <w:p w14:paraId="681B334A" w14:textId="77777777" w:rsidR="00985A2A" w:rsidRPr="000D4C3B" w:rsidRDefault="00985A2A" w:rsidP="00985A2A">
      <w:pPr>
        <w:spacing w:before="120" w:after="120" w:line="276" w:lineRule="auto"/>
        <w:ind w:firstLine="709"/>
        <w:jc w:val="both"/>
        <w:rPr>
          <w:rFonts w:ascii="Verdana" w:hAnsi="Verdana" w:cs="Arial"/>
          <w:lang w:val="es-ES"/>
        </w:rPr>
      </w:pPr>
      <w:r w:rsidRPr="33C8B6A3">
        <w:rPr>
          <w:rFonts w:ascii="Verdana" w:hAnsi="Verdana" w:cs="Arial"/>
          <w:lang w:val="es-ES"/>
        </w:rPr>
        <w:t xml:space="preserve">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33C8B6A3">
        <w:rPr>
          <w:rFonts w:ascii="Verdana" w:hAnsi="Verdana" w:cs="Arial"/>
          <w:lang w:val="es-ES"/>
        </w:rPr>
        <w:t>ii</w:t>
      </w:r>
      <w:proofErr w:type="spellEnd"/>
      <w:r w:rsidRPr="33C8B6A3">
        <w:rPr>
          <w:rFonts w:ascii="Verdana" w:hAnsi="Verdana" w:cs="Arial"/>
          <w:lang w:val="es-ES"/>
        </w:rPr>
        <w:t xml:space="preserve">) el precio global –que equivale al monto total, sin discriminar unidades–, y </w:t>
      </w:r>
      <w:proofErr w:type="spellStart"/>
      <w:r w:rsidRPr="33C8B6A3">
        <w:rPr>
          <w:rFonts w:ascii="Verdana" w:hAnsi="Verdana" w:cs="Arial"/>
          <w:lang w:val="es-ES"/>
        </w:rPr>
        <w:t>iii</w:t>
      </w:r>
      <w:proofErr w:type="spellEnd"/>
      <w:r w:rsidRPr="33C8B6A3">
        <w:rPr>
          <w:rFonts w:ascii="Verdana" w:hAnsi="Verdana" w:cs="Arial"/>
          <w:lang w:val="es-ES"/>
        </w:rPr>
        <w:t>) la administración delegada de recursos –en la que se distinguen los costos de inversión de los honorarios del administrador–.</w:t>
      </w:r>
    </w:p>
    <w:p w14:paraId="768B88BA" w14:textId="77777777" w:rsidR="00985A2A" w:rsidRDefault="00985A2A" w:rsidP="00985A2A">
      <w:pPr>
        <w:spacing w:line="276" w:lineRule="auto"/>
        <w:ind w:firstLine="709"/>
        <w:jc w:val="both"/>
        <w:rPr>
          <w:rFonts w:ascii="Verdana" w:hAnsi="Verdana" w:cs="Arial"/>
          <w:sz w:val="21"/>
          <w:szCs w:val="21"/>
          <w:lang w:val="es-ES_tradnl"/>
        </w:rPr>
      </w:pPr>
      <w:r w:rsidRPr="000D4C3B">
        <w:rPr>
          <w:rFonts w:ascii="Verdana" w:hAnsi="Verdana" w:cs="Arial"/>
          <w:bCs/>
          <w:lang w:val="es-ES_tradnl"/>
        </w:rPr>
        <w:t xml:space="preserve">Por ejemplo,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w:t>
      </w:r>
      <w:r w:rsidRPr="000D4C3B">
        <w:rPr>
          <w:rFonts w:ascii="Verdana" w:hAnsi="Verdana" w:cs="Arial"/>
          <w:bCs/>
          <w:lang w:val="es-ES_tradnl"/>
        </w:rPr>
        <w:lastRenderedPageBreak/>
        <w:t xml:space="preserve">valores de los </w:t>
      </w:r>
      <w:r w:rsidRPr="000D4C3B">
        <w:rPr>
          <w:rFonts w:ascii="Verdana" w:hAnsi="Verdana" w:cs="Arial"/>
          <w:bCs/>
          <w:i/>
          <w:iCs/>
          <w:lang w:val="es-ES_tradnl"/>
        </w:rPr>
        <w:t>ítems</w:t>
      </w:r>
      <w:r w:rsidRPr="000D4C3B">
        <w:rPr>
          <w:rFonts w:ascii="Verdana" w:hAnsi="Verdana" w:cs="Arial"/>
          <w:bCs/>
          <w:lang w:val="es-ES_tradnl"/>
        </w:rPr>
        <w:t xml:space="preserve"> según su unidad de medida, los costos indirectos se suelen abreviar en las variables que integran el acrónimo AIU –Administración, Imprevistos y Utilidad–, que se calcula como un porcentaje aplicado a los costos indirectos</w:t>
      </w:r>
      <w:r w:rsidRPr="000D4C3B">
        <w:rPr>
          <w:rStyle w:val="Refdenotaalpie"/>
          <w:rFonts w:ascii="Verdana" w:hAnsi="Verdana" w:cs="Arial"/>
          <w:sz w:val="21"/>
          <w:szCs w:val="21"/>
          <w:lang w:val="es-ES_tradnl"/>
        </w:rPr>
        <w:footnoteReference w:id="3"/>
      </w:r>
      <w:r w:rsidRPr="000D4C3B">
        <w:rPr>
          <w:rFonts w:ascii="Verdana" w:hAnsi="Verdana" w:cs="Arial"/>
          <w:sz w:val="21"/>
          <w:szCs w:val="21"/>
          <w:lang w:val="es-ES_tradnl"/>
        </w:rPr>
        <w:t>.</w:t>
      </w:r>
    </w:p>
    <w:p w14:paraId="62094885" w14:textId="77777777" w:rsidR="00985A2A" w:rsidRDefault="00985A2A" w:rsidP="00985A2A">
      <w:pPr>
        <w:spacing w:after="120" w:line="276" w:lineRule="auto"/>
        <w:ind w:firstLine="709"/>
        <w:jc w:val="both"/>
        <w:rPr>
          <w:rFonts w:ascii="Verdana" w:hAnsi="Verdana" w:cs="Arial"/>
        </w:rPr>
      </w:pPr>
      <w:r>
        <w:rPr>
          <w:rFonts w:ascii="Verdana" w:hAnsi="Verdana" w:cs="Arial"/>
          <w:lang w:val="es-ES_tradnl"/>
        </w:rPr>
        <w:t>De igual forma, p</w:t>
      </w:r>
      <w:r w:rsidRPr="00705972">
        <w:rPr>
          <w:rFonts w:ascii="Verdana" w:hAnsi="Verdana" w:cs="Arial"/>
          <w:lang w:val="es-ES_tradnl"/>
        </w:rPr>
        <w:t xml:space="preserve">ara efectos de la consultorías e interventorías, </w:t>
      </w:r>
      <w:r w:rsidRPr="00705972">
        <w:rPr>
          <w:rFonts w:ascii="Verdana" w:hAnsi="Verdana" w:cs="Arial"/>
        </w:rPr>
        <w:t>el factor</w:t>
      </w:r>
      <w:r w:rsidRPr="004F607E">
        <w:rPr>
          <w:rFonts w:ascii="Verdana" w:hAnsi="Verdana" w:cs="Arial"/>
        </w:rPr>
        <w:t xml:space="preserve"> multiplicador es una metodología permite imputar al contrato los costos directos</w:t>
      </w:r>
      <w:r>
        <w:rPr>
          <w:rFonts w:ascii="Verdana" w:hAnsi="Verdana" w:cs="Arial"/>
        </w:rPr>
        <w:t xml:space="preserve"> </w:t>
      </w:r>
      <w:r w:rsidRPr="00167C84">
        <w:rPr>
          <w:rFonts w:ascii="Verdana" w:hAnsi="Verdana" w:cs="Arial"/>
        </w:rPr>
        <w:t xml:space="preserve">asociados a </w:t>
      </w:r>
      <w:r>
        <w:rPr>
          <w:rFonts w:ascii="Verdana" w:hAnsi="Verdana" w:cs="Arial"/>
        </w:rPr>
        <w:t>prestaciones laborales y sociales</w:t>
      </w:r>
      <w:r w:rsidRPr="00167C84">
        <w:rPr>
          <w:rFonts w:ascii="Verdana" w:hAnsi="Verdana" w:cs="Arial"/>
        </w:rPr>
        <w:t xml:space="preserve"> del personal vinculado con carácter exclusivo al proyecto, la utilidad del ingeniero y los costos</w:t>
      </w:r>
      <w:r>
        <w:rPr>
          <w:rFonts w:ascii="Verdana" w:hAnsi="Verdana" w:cs="Arial"/>
        </w:rPr>
        <w:t xml:space="preserve"> </w:t>
      </w:r>
      <w:r w:rsidRPr="00167C84">
        <w:rPr>
          <w:rFonts w:ascii="Verdana" w:hAnsi="Verdana" w:cs="Arial"/>
        </w:rPr>
        <w:t>de administración</w:t>
      </w:r>
      <w:r>
        <w:rPr>
          <w:rFonts w:ascii="Verdana" w:hAnsi="Verdana" w:cs="Arial"/>
        </w:rPr>
        <w:t xml:space="preserve"> asociados al personal</w:t>
      </w:r>
      <w:r w:rsidRPr="00167C84">
        <w:rPr>
          <w:rFonts w:ascii="Verdana" w:hAnsi="Verdana" w:cs="Arial"/>
        </w:rPr>
        <w:t>, afectando el valor parcial de la oferta por un factor multiplicador</w:t>
      </w:r>
      <w:r w:rsidRPr="00167C84">
        <w:rPr>
          <w:rStyle w:val="Refdenotaalpie"/>
          <w:rFonts w:ascii="Verdana" w:hAnsi="Verdana" w:cs="Arial"/>
        </w:rPr>
        <w:footnoteReference w:id="4"/>
      </w:r>
      <w:r w:rsidRPr="00167C84">
        <w:rPr>
          <w:rFonts w:ascii="Verdana" w:hAnsi="Verdana" w:cs="Arial"/>
        </w:rPr>
        <w:t>. De esta manera se obtiene un subtotal de costos directos a partir de la sumatoria de los valores correspondientes los salarios del personal, incrementado a partir de su multiplicación por un factor que suele consistir en una cifra de dos dígitos, con una parte entera y otra decimal. Esto sin perjuicio de la incorporación de otros costos directos como viáticos, alquiler de equipos, oficinas, etc</w:t>
      </w:r>
      <w:r>
        <w:rPr>
          <w:rFonts w:ascii="Verdana" w:hAnsi="Verdana" w:cs="Arial"/>
        </w:rPr>
        <w:t>.</w:t>
      </w:r>
      <w:r w:rsidRPr="00167C84">
        <w:rPr>
          <w:rFonts w:ascii="Verdana" w:hAnsi="Verdana" w:cs="Arial"/>
        </w:rPr>
        <w:t xml:space="preserve">, cuya discriminación se exige de manera separada de los costos de personal, para ser sumados al valor resultante la aplicación del factor multiplicador. </w:t>
      </w:r>
    </w:p>
    <w:p w14:paraId="19300763" w14:textId="77777777" w:rsidR="00985A2A" w:rsidRPr="00DF05AC" w:rsidRDefault="00985A2A" w:rsidP="00985A2A">
      <w:pPr>
        <w:spacing w:after="120" w:line="276" w:lineRule="auto"/>
        <w:ind w:firstLine="709"/>
        <w:jc w:val="both"/>
        <w:textAlignment w:val="baseline"/>
        <w:rPr>
          <w:rFonts w:ascii="Verdana" w:eastAsia="Times New Roman" w:hAnsi="Verdana" w:cs="Arial"/>
          <w:bCs/>
          <w:lang w:val="es-ES_tradnl" w:eastAsia="es-CO"/>
        </w:rPr>
      </w:pPr>
      <w:r w:rsidRPr="00DF05AC">
        <w:rPr>
          <w:rFonts w:ascii="Verdana" w:eastAsia="Times New Roman" w:hAnsi="Verdana" w:cs="Arial"/>
          <w:lang w:eastAsia="es-CO"/>
        </w:rPr>
        <w:t xml:space="preserve">En ese contexto, las metodologías señaladas están asociadas, por un lado, a la estimación del valor del contrato por parte de la Entidad Estatal en el marco de lo requerido por la planeación correspondiente, y por otro lado, a la determinación del precio del contrato en el marco del proceso de selección, en la medida en que se tornan relevantes para la presentación de la oferta económica. Sin embargo, debe advertirse que ni en el sistema de precios unitario ni el factor multiplicador son asuntos expresamente regulados en el conjunto de las disposiciones legales y reglamentarias que integran la normativa contractual del Estado. La justificación de estas formas de establecer o cotizar el precio procede, incluso, de la formación universitaria que reciben los ingenieros, a quienes se les enseña esta metodología para elaborar las ofertas. En ese sentido, estas metodologías para la configuración del precio del contrato, determinantes </w:t>
      </w:r>
      <w:r w:rsidRPr="00DF05AC">
        <w:rPr>
          <w:rFonts w:ascii="Verdana" w:eastAsia="Times New Roman" w:hAnsi="Verdana" w:cs="Arial"/>
          <w:lang w:eastAsia="es-CO"/>
        </w:rPr>
        <w:lastRenderedPageBreak/>
        <w:t>para la elaboración de la propuesta económica, no proceden de la ley ni del reglamento, sino de la costumbre</w:t>
      </w:r>
      <w:r w:rsidRPr="00DF05AC">
        <w:rPr>
          <w:rFonts w:ascii="Verdana" w:eastAsia="Times New Roman" w:hAnsi="Verdana" w:cs="Arial"/>
          <w:vertAlign w:val="superscript"/>
          <w:lang w:val="es-ES_tradnl" w:eastAsia="es-CO"/>
        </w:rPr>
        <w:footnoteReference w:id="5"/>
      </w:r>
      <w:r w:rsidRPr="00DF05AC">
        <w:rPr>
          <w:rFonts w:ascii="Verdana" w:eastAsia="Times New Roman" w:hAnsi="Verdana" w:cs="Arial"/>
          <w:bCs/>
          <w:lang w:val="es-ES_tradnl" w:eastAsia="es-CO"/>
        </w:rPr>
        <w:t>.</w:t>
      </w:r>
    </w:p>
    <w:p w14:paraId="6298181C" w14:textId="77777777" w:rsidR="00985A2A" w:rsidRDefault="00985A2A" w:rsidP="00985A2A">
      <w:pPr>
        <w:spacing w:after="120" w:line="276" w:lineRule="auto"/>
        <w:ind w:firstLine="709"/>
        <w:jc w:val="both"/>
        <w:rPr>
          <w:rFonts w:ascii="Verdana" w:hAnsi="Verdana" w:cs="Arial"/>
          <w:lang w:val="es-ES_tradnl"/>
        </w:rPr>
      </w:pPr>
      <w:r w:rsidRPr="006E75FD">
        <w:rPr>
          <w:rFonts w:ascii="Verdana" w:hAnsi="Verdana" w:cs="Arial"/>
          <w:lang w:val="es-ES_tradnl"/>
        </w:rPr>
        <w:t>Pese a que el Estatuto General de Contratación de la Administración Pública, en adelante EGCAP, no establece una regulación integral o detallada conforme a la cual se debe dar la estructuración del valor del contrato cuando se usa el sistema de precios unitarios, el Decreto 1082 de 2015 impone taxativamente una carga justificativa para las entidades que utilicen dicho sistema. Al respecto, el artículo 2.2.1.1.2.1.1 del Decreto 1082 de 2015 que regula el contenido del estudio del sector, indica en su numeral 4 que: “Cuando el valor del contrato esté determinado por precios unitarios, la Entidad Estatal debe incluir la forma como los calculó y soportar sus cálculos presupuestales en la estimación de aquello”. En todo caso, esta Agencia estima que, si bien el factor multiplicador no está mencionado en el referido artículo, ello no implica que la entidad esté exenta del deber de incluir en los estudios previos, la razón por la cual determinó la viabilidad o conveniencia de usar tal metodología para estimar el valor del contrato, esto, independientemente del método que haya utilizado para calcularlo.</w:t>
      </w:r>
    </w:p>
    <w:p w14:paraId="7FE1DE62" w14:textId="77777777" w:rsidR="00985A2A" w:rsidRPr="00DF05AC" w:rsidRDefault="00985A2A" w:rsidP="00985A2A">
      <w:pPr>
        <w:spacing w:after="120" w:line="276" w:lineRule="auto"/>
        <w:ind w:firstLine="709"/>
        <w:jc w:val="both"/>
        <w:rPr>
          <w:rFonts w:ascii="Verdana" w:hAnsi="Verdana" w:cs="Arial"/>
          <w:lang w:val="es-ES_tradnl"/>
        </w:rPr>
      </w:pPr>
      <w:r>
        <w:rPr>
          <w:rFonts w:ascii="Verdana" w:hAnsi="Verdana" w:cs="Arial"/>
          <w:lang w:val="es-ES_tradnl"/>
        </w:rPr>
        <w:t>E</w:t>
      </w:r>
      <w:r w:rsidRPr="00143443">
        <w:rPr>
          <w:rFonts w:ascii="Verdana" w:hAnsi="Verdana" w:cs="Arial"/>
          <w:lang w:val="es-ES_tradnl"/>
        </w:rPr>
        <w:t xml:space="preserve">l principal sustento para que las Entidades Estatales sujetas al EGCAP, como las excluidas de este, aplique las referidas metodologías, es la autonomía de la que gozan para la estructuración de las condiciones del negocio jurídico, determinando el sistema más apropiado para satisfacer los fines de la contratación, respetando los límites previstos en el ordenamiento. </w:t>
      </w:r>
      <w:r w:rsidRPr="000D4C3B">
        <w:rPr>
          <w:rFonts w:ascii="Verdana" w:hAnsi="Verdana" w:cs="Arial"/>
          <w:bCs/>
          <w:lang w:val="es-ES_tradnl"/>
        </w:rPr>
        <w:t>Para las entidades que se rigen por el Estatuto General de Contratación de la Administración Pública, tal autonomía está reconocida en los artículos 13, 32 y 40 de la Ley 80 de 1993.</w:t>
      </w:r>
      <w:r>
        <w:rPr>
          <w:rFonts w:ascii="Verdana" w:hAnsi="Verdana" w:cs="Arial"/>
          <w:bCs/>
          <w:lang w:val="es-ES_tradnl"/>
        </w:rPr>
        <w:t xml:space="preserve"> </w:t>
      </w:r>
      <w:r w:rsidRPr="00143443">
        <w:rPr>
          <w:rFonts w:ascii="Verdana" w:hAnsi="Verdana" w:cs="Arial"/>
          <w:lang w:val="es-ES_tradnl"/>
        </w:rPr>
        <w:t>De ahí que, las entidades cuenten con la discrecionalidad para disponer en los documentos del proceso, la aplicación de metodologías como las explicadas, siempre que resulten adecuadas y proporcionales al objeto del contrato.</w:t>
      </w:r>
    </w:p>
    <w:p w14:paraId="171D4B3E" w14:textId="77777777" w:rsidR="00985A2A" w:rsidRDefault="00985A2A" w:rsidP="00985A2A">
      <w:pPr>
        <w:spacing w:after="120" w:line="276" w:lineRule="auto"/>
        <w:ind w:firstLine="709"/>
        <w:jc w:val="both"/>
        <w:rPr>
          <w:rFonts w:ascii="Verdana" w:hAnsi="Verdana" w:cs="Arial"/>
        </w:rPr>
      </w:pPr>
      <w:r w:rsidRPr="00143443">
        <w:rPr>
          <w:rFonts w:ascii="Verdana" w:hAnsi="Verdana" w:cs="Arial"/>
        </w:rPr>
        <w:t>En es</w:t>
      </w:r>
      <w:r>
        <w:rPr>
          <w:rFonts w:ascii="Verdana" w:hAnsi="Verdana" w:cs="Arial"/>
        </w:rPr>
        <w:t>te</w:t>
      </w:r>
      <w:r w:rsidRPr="00143443">
        <w:rPr>
          <w:rFonts w:ascii="Verdana" w:hAnsi="Verdana" w:cs="Arial"/>
        </w:rPr>
        <w:t xml:space="preserve"> orden</w:t>
      </w:r>
      <w:r>
        <w:rPr>
          <w:rFonts w:ascii="Verdana" w:hAnsi="Verdana" w:cs="Arial"/>
        </w:rPr>
        <w:t xml:space="preserve"> de ideas</w:t>
      </w:r>
      <w:r w:rsidRPr="00143443">
        <w:rPr>
          <w:rFonts w:ascii="Verdana" w:hAnsi="Verdana" w:cs="Arial"/>
        </w:rPr>
        <w:t xml:space="preserve">, ante la ausencia de un marco normativo particularmente aplicable a las referidas metodologías, corresponderá a las Entidades Estatales establecer las reglas para su aplicación, con el propósito de dar a conocer los aspectos que deben tenerse en cuenta a la hora de configurar las ofertas. A partir de tales reglas, la entidad podrá exigir el desglose de </w:t>
      </w:r>
      <w:r w:rsidRPr="00143443">
        <w:rPr>
          <w:rFonts w:ascii="Verdana" w:hAnsi="Verdana" w:cs="Arial"/>
        </w:rPr>
        <w:lastRenderedPageBreak/>
        <w:t>determinados factores imputables a costos directos de cierta forma, realizar una tasación del AIU o el factor multiplicador, y en general, establecer parámetros que garanticen el desarrollo de principios de la función administrativa y de la gestión fiscal, dentro de los cuales se encuentra el principio de economía, postulado este, que exige la optimización de los recursos públicos.</w:t>
      </w:r>
    </w:p>
    <w:p w14:paraId="59DC43BE" w14:textId="77777777" w:rsidR="00985A2A" w:rsidRPr="00143443" w:rsidRDefault="00985A2A" w:rsidP="00985A2A">
      <w:pPr>
        <w:spacing w:after="120" w:line="276" w:lineRule="auto"/>
        <w:ind w:firstLine="709"/>
        <w:jc w:val="both"/>
        <w:rPr>
          <w:rFonts w:ascii="Verdana" w:hAnsi="Verdana" w:cs="Arial"/>
          <w:lang w:val="es-ES"/>
        </w:rPr>
      </w:pPr>
      <w:r w:rsidRPr="33C8B6A3">
        <w:rPr>
          <w:rFonts w:ascii="Verdana" w:hAnsi="Verdana" w:cs="Arial"/>
          <w:lang w:val="es-ES"/>
        </w:rPr>
        <w:t>Bajo esta órbita, se aclara que los proponentes al momento de estructurar sus ofertas tienen la obligación, respecto del proceso de selección, de conocer las normas que lo rigen, sus características, condiciones de ejecución del contrato y riesgos previsibles. Esto, en razón a que, mediante la presentación de la oferta se pone en contexto a la entidad contratante frente a una serie de documentos que en conjunto conforman un acervo probatorio, de los requisitos que se pretenden hacer valer y que permiten determinar, entre varias ofertas, la que represente la mejor condición de elegibilidad.</w:t>
      </w:r>
    </w:p>
    <w:p w14:paraId="721FAF08" w14:textId="77777777" w:rsidR="00985A2A" w:rsidRPr="00143443" w:rsidRDefault="00985A2A" w:rsidP="00985A2A">
      <w:pPr>
        <w:spacing w:after="120" w:line="276" w:lineRule="auto"/>
        <w:ind w:firstLine="709"/>
        <w:jc w:val="both"/>
        <w:rPr>
          <w:rFonts w:ascii="Verdana" w:hAnsi="Verdana" w:cs="Arial"/>
          <w:lang w:val="es-ES"/>
        </w:rPr>
      </w:pPr>
      <w:r w:rsidRPr="33C8B6A3">
        <w:rPr>
          <w:rFonts w:ascii="Verdana" w:hAnsi="Verdana" w:cs="Arial"/>
          <w:lang w:val="es-ES"/>
        </w:rPr>
        <w:t xml:space="preserve">Los requisitos de los proponentes, que se hacen valer por medio de la oferta en su integridad, pueden ser entendidos en tres cales: i) </w:t>
      </w:r>
      <w:r w:rsidRPr="33C8B6A3">
        <w:rPr>
          <w:rFonts w:ascii="Verdana" w:hAnsi="Verdana" w:cs="Arial"/>
          <w:i/>
          <w:lang w:val="es-ES"/>
        </w:rPr>
        <w:t xml:space="preserve">subjetivos, </w:t>
      </w:r>
      <w:r w:rsidRPr="33C8B6A3">
        <w:rPr>
          <w:rFonts w:ascii="Verdana" w:hAnsi="Verdana" w:cs="Arial"/>
          <w:lang w:val="es-ES"/>
        </w:rPr>
        <w:t xml:space="preserve">que atienden a las calidades, capacidades, idoneidad y condiciones de los oferentes; </w:t>
      </w:r>
      <w:proofErr w:type="spellStart"/>
      <w:r w:rsidRPr="33C8B6A3">
        <w:rPr>
          <w:rFonts w:ascii="Verdana" w:hAnsi="Verdana" w:cs="Arial"/>
          <w:lang w:val="es-ES"/>
        </w:rPr>
        <w:t>ii</w:t>
      </w:r>
      <w:proofErr w:type="spellEnd"/>
      <w:r w:rsidRPr="33C8B6A3">
        <w:rPr>
          <w:rFonts w:ascii="Verdana" w:hAnsi="Verdana" w:cs="Arial"/>
          <w:lang w:val="es-ES"/>
        </w:rPr>
        <w:t xml:space="preserve">) </w:t>
      </w:r>
      <w:r w:rsidRPr="33C8B6A3">
        <w:rPr>
          <w:rFonts w:ascii="Verdana" w:hAnsi="Verdana" w:cs="Arial"/>
          <w:i/>
          <w:lang w:val="es-ES"/>
        </w:rPr>
        <w:t xml:space="preserve">objetivos </w:t>
      </w:r>
      <w:r w:rsidRPr="33C8B6A3">
        <w:rPr>
          <w:rFonts w:ascii="Verdana" w:hAnsi="Verdana" w:cs="Arial"/>
          <w:lang w:val="es-ES"/>
        </w:rPr>
        <w:t xml:space="preserve">que se refieren a aspectos técnicos, económicos, presupuestales, etc., que permiten ponderar las ofertas en su real y efectiva dimensión; y </w:t>
      </w:r>
      <w:proofErr w:type="spellStart"/>
      <w:r w:rsidRPr="33C8B6A3">
        <w:rPr>
          <w:rFonts w:ascii="Verdana" w:hAnsi="Verdana" w:cs="Arial"/>
          <w:lang w:val="es-ES"/>
        </w:rPr>
        <w:t>iii</w:t>
      </w:r>
      <w:proofErr w:type="spellEnd"/>
      <w:r w:rsidRPr="33C8B6A3">
        <w:rPr>
          <w:rFonts w:ascii="Verdana" w:hAnsi="Verdana" w:cs="Arial"/>
          <w:lang w:val="es-ES"/>
        </w:rPr>
        <w:t xml:space="preserve">) </w:t>
      </w:r>
      <w:r w:rsidRPr="33C8B6A3">
        <w:rPr>
          <w:rFonts w:ascii="Verdana" w:hAnsi="Verdana" w:cs="Arial"/>
          <w:i/>
          <w:lang w:val="es-ES"/>
        </w:rPr>
        <w:t xml:space="preserve">formales </w:t>
      </w:r>
      <w:r w:rsidRPr="33C8B6A3">
        <w:rPr>
          <w:rFonts w:ascii="Verdana" w:hAnsi="Verdana" w:cs="Arial"/>
          <w:lang w:val="es-ES"/>
        </w:rPr>
        <w:t xml:space="preserve">que se atienden a la instrumentalización y protocolización de los actos jurídicos, tanto de la propuesta como del contrato estatal. </w:t>
      </w:r>
    </w:p>
    <w:p w14:paraId="448AAC09" w14:textId="77777777" w:rsidR="00985A2A" w:rsidRDefault="00985A2A" w:rsidP="00985A2A">
      <w:pPr>
        <w:spacing w:after="120" w:line="276" w:lineRule="auto"/>
        <w:ind w:firstLine="709"/>
        <w:jc w:val="both"/>
        <w:rPr>
          <w:rFonts w:ascii="Verdana" w:hAnsi="Verdana" w:cs="Arial"/>
          <w:lang w:val="es-ES"/>
        </w:rPr>
      </w:pPr>
      <w:r w:rsidRPr="00143443">
        <w:rPr>
          <w:rFonts w:ascii="Verdana" w:hAnsi="Verdana" w:cs="Arial"/>
          <w:lang w:val="es-ES"/>
        </w:rPr>
        <w:t>Ahora bien, desde luego que los costos asociados al personal requerido para ejecutar el contrato son un aspecto que entran a determinar su precio, por lo que son un tema para considerar al hacer el ofrecimiento económico en la etapa de presentación de ofertas, con sujeción al mecanismo para determinar el precio que regule la entidad en el pliego de condiciones. En ese sentido, cuando una entidad incorpora el mecanismo del factor multiplicador debe incluir las reglas para que estos sean considerados por los proponentes, de suerte que incluyan los costos asociados al personal para la ejecución del contrato en concordancia con el equipo de trabajo exigido, el cual debe atender unas condiciones y perfiles específicos establecidos en los Documentos del Proceso. Las reglas que discrecionalmente deben establecer las entidades estatales en los pliegos de condiciones para regular los mencionados aspectos son las que en últimas determinan que tipo de contratación de personal es la que corresponde realizar al contratista para ejecutar el proyecto, así como la posibilidad de que los costos de dicha contratación</w:t>
      </w:r>
      <w:r>
        <w:rPr>
          <w:rFonts w:ascii="Verdana" w:hAnsi="Verdana" w:cs="Arial"/>
          <w:lang w:val="es-ES"/>
        </w:rPr>
        <w:t xml:space="preserve"> </w:t>
      </w:r>
      <w:r w:rsidRPr="00143443">
        <w:rPr>
          <w:rFonts w:ascii="Verdana" w:hAnsi="Verdana" w:cs="Arial"/>
          <w:lang w:val="es-ES"/>
        </w:rPr>
        <w:t xml:space="preserve">–ya sea laboral o por prestación de servicios–, </w:t>
      </w:r>
      <w:r w:rsidRPr="00143443">
        <w:rPr>
          <w:rFonts w:ascii="Verdana" w:hAnsi="Verdana" w:cs="Arial"/>
          <w:lang w:val="es-ES"/>
        </w:rPr>
        <w:lastRenderedPageBreak/>
        <w:t xml:space="preserve">se incorporen al precio del contrato, por la vía del factor multiplicador aplicado para hacer la oferta económica. </w:t>
      </w:r>
    </w:p>
    <w:p w14:paraId="16F69EED" w14:textId="77777777" w:rsidR="00985A2A" w:rsidRPr="00143443" w:rsidRDefault="00985A2A" w:rsidP="00985A2A">
      <w:pPr>
        <w:spacing w:after="120" w:line="276" w:lineRule="auto"/>
        <w:ind w:firstLine="709"/>
        <w:jc w:val="both"/>
        <w:rPr>
          <w:rFonts w:ascii="Verdana" w:hAnsi="Verdana" w:cs="Arial"/>
          <w:lang w:val="es-ES"/>
        </w:rPr>
      </w:pPr>
      <w:r>
        <w:rPr>
          <w:rFonts w:ascii="Verdana" w:hAnsi="Verdana" w:cs="Arial"/>
          <w:lang w:val="es-ES"/>
        </w:rPr>
        <w:t>S</w:t>
      </w:r>
      <w:r w:rsidRPr="00A76060">
        <w:rPr>
          <w:rFonts w:ascii="Verdana" w:hAnsi="Verdana" w:cs="Arial"/>
          <w:lang w:val="es-ES"/>
        </w:rPr>
        <w:t>i el factor multiplicador se usa para determinar costos, el contratista debe demostrar el gasto de cada componente. Si ciertos costos no se generan (por ejemplo, si el personal no requiere prestaciones), el contrato debería modificarse para reducir el % correspondiente. Si la interventoría presentó un informe de proyección de gastos, pero este no fue parte del contrato, la entidad aún puede exigirle soportes de gastos reales. Si los costos directos (ejemplo: nómina, laboratorios) son menores a lo presupuestado, el saldo no ejecutado debería liberarse y no ser facturado sin justificación. En conclusión, los valores facturados deben corresponder a costos reales soportados.</w:t>
      </w:r>
    </w:p>
    <w:p w14:paraId="0E3BB2C8" w14:textId="77777777" w:rsidR="00985A2A" w:rsidRPr="000239A6" w:rsidRDefault="00985A2A" w:rsidP="00985A2A">
      <w:pPr>
        <w:spacing w:after="120" w:line="276" w:lineRule="auto"/>
        <w:ind w:firstLine="709"/>
        <w:jc w:val="both"/>
        <w:rPr>
          <w:rFonts w:ascii="Verdana" w:hAnsi="Verdana" w:cs="Arial"/>
        </w:rPr>
      </w:pPr>
      <w:r>
        <w:rPr>
          <w:rFonts w:ascii="Verdana" w:hAnsi="Verdana" w:cs="Arial"/>
          <w:bCs/>
          <w:lang w:val="es-ES_tradnl"/>
        </w:rPr>
        <w:t>De esta manera</w:t>
      </w:r>
      <w:r w:rsidRPr="00143443">
        <w:rPr>
          <w:rFonts w:ascii="Verdana" w:hAnsi="Verdana" w:cs="Arial"/>
          <w:bCs/>
          <w:lang w:val="es-ES_tradnl"/>
        </w:rPr>
        <w:t>, cuando la Entidad Estatal haga uso del factor multiplicador, debe asegurarse de ejercer una buena vigilancia de la ejecución contractual, con el fin de poder realizar adecuadamente la auditoría de los costos del contrato para apagar sólo aquello que se hayan causado efectivamente. Por tanto, podrán verificarse los soportes contables, administrativos y financieros de la ejecución, ya que la Entidad Estatal sólo debe pagar aquellos costos que hubieran sido pagados por el contratista so pena de que se configure un enriquecimiento sin causa de su parte.</w:t>
      </w:r>
    </w:p>
    <w:p w14:paraId="23465D7A" w14:textId="77777777" w:rsidR="00985A2A" w:rsidRPr="003A380F" w:rsidRDefault="00985A2A" w:rsidP="00985A2A">
      <w:pPr>
        <w:spacing w:after="120" w:line="276" w:lineRule="auto"/>
        <w:ind w:firstLine="708"/>
        <w:jc w:val="both"/>
        <w:rPr>
          <w:rFonts w:ascii="Verdana" w:eastAsia="Calibri" w:hAnsi="Verdana" w:cs="Arial"/>
          <w:bCs/>
          <w:color w:val="000000" w:themeColor="text1"/>
        </w:rPr>
      </w:pPr>
      <w:r w:rsidRPr="003A380F">
        <w:rPr>
          <w:rFonts w:ascii="Verdana" w:eastAsia="Calibri" w:hAnsi="Verdana" w:cs="Arial"/>
          <w:bCs/>
          <w:color w:val="000000" w:themeColor="text1"/>
        </w:rPr>
        <w:t>Al margen de la explicación precedente</w:t>
      </w:r>
      <w:r>
        <w:rPr>
          <w:rFonts w:ascii="Verdana" w:eastAsia="Calibri" w:hAnsi="Verdana" w:cs="Arial"/>
          <w:bCs/>
          <w:color w:val="000000" w:themeColor="text1"/>
        </w:rPr>
        <w:t>,</w:t>
      </w:r>
      <w:r w:rsidRPr="003A380F">
        <w:rPr>
          <w:rFonts w:ascii="Verdana" w:eastAsia="Calibri" w:hAnsi="Verdana" w:cs="Arial"/>
          <w:bCs/>
          <w:color w:val="000000" w:themeColor="text1"/>
        </w:rPr>
        <w:t xml:space="preserve"> debe advertirse que el análisis requerido para resolver problemas específicos en torno a la gestión contractual de las entidades públicas debe ser realizado por quienes tengan interés en ello, de acuerdo con lo explicado </w:t>
      </w:r>
      <w:r>
        <w:rPr>
          <w:rFonts w:ascii="Verdana" w:eastAsia="Calibri" w:hAnsi="Verdana" w:cs="Arial"/>
          <w:bCs/>
          <w:color w:val="000000" w:themeColor="text1"/>
        </w:rPr>
        <w:t>en la</w:t>
      </w:r>
      <w:r w:rsidRPr="003A380F">
        <w:rPr>
          <w:rFonts w:ascii="Verdana" w:eastAsia="Calibri" w:hAnsi="Verdana" w:cs="Arial"/>
          <w:bCs/>
          <w:color w:val="000000" w:themeColor="text1"/>
        </w:rPr>
        <w:t xml:space="preserve">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D7CDB59" w14:textId="77777777" w:rsidR="00985A2A" w:rsidRPr="00185EE9" w:rsidRDefault="00985A2A" w:rsidP="00985A2A">
      <w:pPr>
        <w:spacing w:after="0" w:line="276" w:lineRule="auto"/>
        <w:ind w:firstLine="708"/>
        <w:jc w:val="both"/>
        <w:rPr>
          <w:rFonts w:ascii="Verdana" w:eastAsia="Calibri" w:hAnsi="Verdana" w:cs="Arial"/>
          <w:bCs/>
          <w:color w:val="000000" w:themeColor="text1"/>
        </w:rPr>
      </w:pPr>
      <w:r w:rsidRPr="003A380F">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w:t>
      </w:r>
      <w:r w:rsidRPr="003A380F">
        <w:rPr>
          <w:rFonts w:ascii="Verdana" w:eastAsia="Calibri" w:hAnsi="Verdana" w:cs="Arial"/>
          <w:bCs/>
          <w:color w:val="000000" w:themeColor="text1"/>
        </w:rPr>
        <w:lastRenderedPageBreak/>
        <w:t>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19F7D0DB" w14:textId="77777777" w:rsidR="00985A2A" w:rsidRPr="00182C89" w:rsidRDefault="00985A2A" w:rsidP="00985A2A">
      <w:pPr>
        <w:tabs>
          <w:tab w:val="left" w:pos="709"/>
        </w:tabs>
        <w:spacing w:after="0" w:line="276" w:lineRule="auto"/>
        <w:jc w:val="both"/>
        <w:rPr>
          <w:rFonts w:ascii="Verdana" w:eastAsia="Calibri" w:hAnsi="Verdana" w:cs="Arial"/>
          <w:color w:val="000000" w:themeColor="text1"/>
        </w:rPr>
      </w:pPr>
    </w:p>
    <w:p w14:paraId="53142E22" w14:textId="77777777" w:rsidR="00985A2A" w:rsidRPr="00593A5F" w:rsidRDefault="00985A2A" w:rsidP="00985A2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483AC09E" w14:textId="77777777" w:rsidR="00985A2A" w:rsidRPr="00593A5F" w:rsidRDefault="00985A2A" w:rsidP="00985A2A">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85A2A" w:rsidRPr="002407CE" w14:paraId="3249EEA9" w14:textId="77777777" w:rsidTr="00C400BF">
        <w:trPr>
          <w:trHeight w:val="870"/>
          <w:jc w:val="center"/>
        </w:trPr>
        <w:tc>
          <w:tcPr>
            <w:tcW w:w="8647" w:type="dxa"/>
          </w:tcPr>
          <w:p w14:paraId="10FC4751" w14:textId="77777777" w:rsidR="00985A2A" w:rsidRPr="00D85592" w:rsidRDefault="00985A2A" w:rsidP="00C400B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D85592">
              <w:rPr>
                <w:rFonts w:ascii="Verdana" w:hAnsi="Verdana" w:cs="Arial"/>
              </w:rPr>
              <w:t xml:space="preserve">Ley 80 de 1993, artículos </w:t>
            </w:r>
            <w:r>
              <w:rPr>
                <w:rFonts w:ascii="Verdana" w:hAnsi="Verdana" w:cs="Arial"/>
              </w:rPr>
              <w:t>13, 32 y 40</w:t>
            </w:r>
            <w:r w:rsidRPr="00D85592">
              <w:rPr>
                <w:rFonts w:ascii="Verdana" w:hAnsi="Verdana" w:cs="Arial"/>
              </w:rPr>
              <w:t>.</w:t>
            </w:r>
          </w:p>
          <w:p w14:paraId="3948A0B4" w14:textId="15384423" w:rsidR="00985A2A" w:rsidRPr="00F803DB" w:rsidRDefault="00985A2A" w:rsidP="00C400BF">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lang w:val="es-ES_tradnl"/>
              </w:rPr>
            </w:pPr>
            <w:r w:rsidRPr="00D85592">
              <w:rPr>
                <w:rFonts w:ascii="Verdana" w:hAnsi="Verdana" w:cs="Arial"/>
                <w:color w:val="000000" w:themeColor="text1"/>
                <w:lang w:val="es-ES_tradnl"/>
              </w:rPr>
              <w:t>Decreto 1082 de 2015</w:t>
            </w:r>
            <w:r w:rsidR="00947D3E">
              <w:rPr>
                <w:rFonts w:ascii="Verdana" w:hAnsi="Verdana" w:cs="Arial"/>
                <w:color w:val="000000" w:themeColor="text1"/>
                <w:lang w:val="es-ES_tradnl"/>
              </w:rPr>
              <w:t>,</w:t>
            </w:r>
            <w:r w:rsidRPr="00D85592">
              <w:rPr>
                <w:rFonts w:ascii="Verdana" w:hAnsi="Verdana" w:cs="Arial"/>
                <w:color w:val="000000" w:themeColor="text1"/>
                <w:lang w:val="es-ES_tradnl"/>
              </w:rPr>
              <w:t xml:space="preserve"> artículo 2.2.1.1.2.1.1</w:t>
            </w:r>
            <w:r>
              <w:rPr>
                <w:rFonts w:ascii="Verdana" w:hAnsi="Verdana" w:cs="Arial"/>
                <w:color w:val="000000" w:themeColor="text1"/>
                <w:lang w:val="es-ES_tradnl"/>
              </w:rPr>
              <w:t>.</w:t>
            </w:r>
          </w:p>
        </w:tc>
      </w:tr>
    </w:tbl>
    <w:p w14:paraId="595597FE" w14:textId="77777777" w:rsidR="00985A2A" w:rsidRPr="002407CE" w:rsidRDefault="00985A2A" w:rsidP="00985A2A">
      <w:pPr>
        <w:widowControl w:val="0"/>
        <w:autoSpaceDE w:val="0"/>
        <w:autoSpaceDN w:val="0"/>
        <w:spacing w:after="0" w:line="276" w:lineRule="auto"/>
        <w:jc w:val="both"/>
        <w:rPr>
          <w:rFonts w:ascii="Verdana" w:hAnsi="Verdana" w:cs="Arial"/>
        </w:rPr>
      </w:pPr>
    </w:p>
    <w:p w14:paraId="43B4D9DE" w14:textId="77777777" w:rsidR="00985A2A" w:rsidRPr="00593A5F" w:rsidRDefault="00985A2A" w:rsidP="00985A2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C16F763" w14:textId="77777777" w:rsidR="00985A2A" w:rsidRPr="00593A5F" w:rsidRDefault="00985A2A" w:rsidP="00985A2A">
      <w:pPr>
        <w:widowControl w:val="0"/>
        <w:autoSpaceDE w:val="0"/>
        <w:autoSpaceDN w:val="0"/>
        <w:spacing w:after="0" w:line="276" w:lineRule="auto"/>
        <w:jc w:val="both"/>
        <w:rPr>
          <w:rFonts w:ascii="Verdana" w:hAnsi="Verdana" w:cs="Arial"/>
        </w:rPr>
      </w:pPr>
    </w:p>
    <w:p w14:paraId="681D4D5B" w14:textId="77777777" w:rsidR="00985A2A" w:rsidRPr="00ED0098" w:rsidRDefault="00985A2A" w:rsidP="00985A2A">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t>Esta Subdirección</w:t>
      </w:r>
      <w:r w:rsidRPr="00D85592">
        <w:rPr>
          <w:rFonts w:ascii="Verdana" w:hAnsi="Verdana" w:cs="Arial"/>
          <w:shd w:val="clear" w:color="auto" w:fill="FFFFFF"/>
        </w:rPr>
        <w:t xml:space="preserve"> se ha pronunciado en varias ocasiones sobre </w:t>
      </w:r>
      <w:r>
        <w:rPr>
          <w:rFonts w:ascii="Verdana" w:hAnsi="Verdana" w:cs="Arial"/>
          <w:shd w:val="clear" w:color="auto" w:fill="FFFFFF"/>
        </w:rPr>
        <w:t>la determinación del precio en los contratos estatales</w:t>
      </w:r>
      <w:r w:rsidRPr="00D85592">
        <w:rPr>
          <w:rFonts w:ascii="Verdana" w:hAnsi="Verdana" w:cs="Arial"/>
          <w:shd w:val="clear" w:color="auto" w:fill="FFFFFF"/>
        </w:rPr>
        <w:t xml:space="preserve"> en los Conceptos 4201714000005136 del 14 de noviembre de 2017; 4201714000006401 del 23 de noviembre de 2017; 4201813000004155 del 9 de mayo de 2018; 4201814000008069 del 27 de septiembre de 2018; 4201814000007383 del 18 de octubre de 2018; 4201814000008069 del 13 de noviembre de 2018; 4201912000004214 del 26 de junio de 2019; 4201912000006455 y 4201912000006463 del 19 de septiembre de 2019; 4201912000007375 del 28 de octubre de 2019; 4201912000007092 del 29 de noviembre de 2019; 4202012000000093, </w:t>
      </w:r>
      <w:r>
        <w:rPr>
          <w:rFonts w:ascii="Verdana" w:hAnsi="Verdana" w:cs="Arial"/>
          <w:shd w:val="clear" w:color="auto" w:fill="FFFFFF"/>
        </w:rPr>
        <w:t>C-</w:t>
      </w:r>
      <w:r w:rsidRPr="00D85592">
        <w:rPr>
          <w:rFonts w:ascii="Verdana" w:hAnsi="Verdana" w:cs="Arial"/>
          <w:shd w:val="clear" w:color="auto" w:fill="FFFFFF"/>
        </w:rPr>
        <w:t>037 del 28 de enero de 2020, 4202012000000664 del 30 de enero de 2020, C-191 del 16 de marzo de 2020, C-211 del 8 de abril de 2020, C-714 del 9 de diciembre de 2020, C-059 del 10 de marzo de 2021, C-613 del 6 de octubre de 2022, C-716 de 15 de noviembre de 2022, C-802 de 23 de noviembre de 2022, C-854 del 9 de diciembre de 2022, C-914 del 27 de diciembre de 2022, C-361 de septiembre de 2023, C-401 del 27 de septiembre de 2023 y C-455 del 18 de septiembre de 2024, C-248 del 3 de abril de 2025 y C-460 del 18 de junio de 2025</w:t>
      </w:r>
      <w:r>
        <w:rPr>
          <w:rFonts w:ascii="Verdana" w:hAnsi="Verdana"/>
        </w:rPr>
        <w:t>.</w:t>
      </w:r>
      <w:r>
        <w:rPr>
          <w:rFonts w:ascii="Verdana"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472D8555" w14:textId="77777777" w:rsidR="00985A2A" w:rsidRPr="00096788" w:rsidRDefault="00985A2A" w:rsidP="00985A2A">
      <w:pPr>
        <w:widowControl w:val="0"/>
        <w:autoSpaceDE w:val="0"/>
        <w:autoSpaceDN w:val="0"/>
        <w:spacing w:after="0" w:line="276" w:lineRule="auto"/>
        <w:jc w:val="both"/>
        <w:rPr>
          <w:rFonts w:ascii="Verdana" w:hAnsi="Verdana" w:cs="Arial"/>
          <w:color w:val="000000" w:themeColor="text1"/>
          <w:shd w:val="clear" w:color="auto" w:fill="FFFFFF"/>
        </w:rPr>
      </w:pPr>
    </w:p>
    <w:p w14:paraId="3860EF96" w14:textId="77777777" w:rsidR="00985A2A" w:rsidRPr="00E440FD" w:rsidRDefault="00985A2A" w:rsidP="00985A2A">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w:t>
      </w:r>
      <w:r w:rsidRPr="00032009">
        <w:rPr>
          <w:rFonts w:ascii="Verdana" w:hAnsi="Verdana"/>
          <w:color w:val="000000"/>
        </w:rPr>
        <w:lastRenderedPageBreak/>
        <w:t xml:space="preserve">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p>
    <w:p w14:paraId="79D421EF" w14:textId="77777777" w:rsidR="00985A2A" w:rsidRDefault="00985A2A" w:rsidP="00985A2A">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4A73EC">
        <w:rPr>
          <w:rFonts w:ascii="Verdana" w:hAnsi="Verdana" w:cs="Arial"/>
          <w:color w:val="000000" w:themeColor="text1"/>
          <w:shd w:val="clear" w:color="auto" w:fill="FFFFFF"/>
          <w:lang w:val="es-ES_tradnl"/>
        </w:rPr>
        <w:t xml:space="preserve"> </w:t>
      </w:r>
    </w:p>
    <w:p w14:paraId="5A26C2DC" w14:textId="77777777" w:rsidR="00985A2A" w:rsidRPr="00116940" w:rsidRDefault="00985A2A" w:rsidP="00985A2A">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1C0E677D" w14:textId="77777777" w:rsidR="00985A2A" w:rsidRPr="00116940" w:rsidRDefault="00985A2A" w:rsidP="00985A2A">
      <w:pPr>
        <w:spacing w:after="0"/>
        <w:jc w:val="both"/>
        <w:rPr>
          <w:rFonts w:ascii="Verdana" w:hAnsi="Verdana"/>
        </w:rPr>
      </w:pPr>
    </w:p>
    <w:p w14:paraId="6FA4D9A9" w14:textId="77777777" w:rsidR="00985A2A" w:rsidRPr="00116940" w:rsidRDefault="00985A2A" w:rsidP="00985A2A">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223F0B87" w14:textId="77777777" w:rsidR="00985A2A" w:rsidRPr="00116940" w:rsidRDefault="00985A2A" w:rsidP="00985A2A">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67A9F981" w14:textId="77777777" w:rsidR="00985A2A" w:rsidRPr="00116940" w:rsidRDefault="00985A2A" w:rsidP="00985A2A">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4">
        <w:r w:rsidRPr="00116940">
          <w:rPr>
            <w:rStyle w:val="Hipervnculo"/>
            <w:rFonts w:ascii="Verdana" w:eastAsia="Verdana" w:hAnsi="Verdana" w:cs="Verdana"/>
            <w:lang w:val="es-MX"/>
          </w:rPr>
          <w:t>ventanilladeradicacion@colombiacompra.gov.co</w:t>
        </w:r>
      </w:hyperlink>
    </w:p>
    <w:p w14:paraId="7ED5C44B" w14:textId="77777777" w:rsidR="00985A2A" w:rsidRPr="00116940" w:rsidRDefault="00985A2A" w:rsidP="00985A2A">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5">
        <w:r w:rsidRPr="00116940">
          <w:rPr>
            <w:rStyle w:val="Hipervnculo"/>
            <w:rFonts w:ascii="Verdana" w:eastAsia="Verdana" w:hAnsi="Verdana" w:cs="Verdana"/>
            <w:lang w:val="es-MX"/>
          </w:rPr>
          <w:t>https://www.colombiacompra.gov.co/pqrsd/informacion-importante-antes-de-formular-una-pqrsd</w:t>
        </w:r>
      </w:hyperlink>
    </w:p>
    <w:p w14:paraId="69D869CE" w14:textId="77777777" w:rsidR="00985A2A" w:rsidRPr="00116940" w:rsidRDefault="00985A2A" w:rsidP="00985A2A">
      <w:pPr>
        <w:spacing w:after="0" w:line="240" w:lineRule="auto"/>
        <w:ind w:left="720"/>
        <w:jc w:val="both"/>
        <w:rPr>
          <w:rFonts w:ascii="Verdana" w:hAnsi="Verdana"/>
        </w:rPr>
      </w:pPr>
    </w:p>
    <w:p w14:paraId="2E5FE7B7" w14:textId="77777777" w:rsidR="00985A2A" w:rsidRPr="00116940" w:rsidRDefault="00985A2A" w:rsidP="00985A2A">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6"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30493631" w14:textId="77777777" w:rsidR="00985A2A" w:rsidRPr="00116940" w:rsidRDefault="00985A2A" w:rsidP="00985A2A">
      <w:pPr>
        <w:spacing w:after="0" w:line="240" w:lineRule="auto"/>
        <w:rPr>
          <w:rFonts w:ascii="Verdana" w:hAnsi="Verdana"/>
        </w:rPr>
      </w:pPr>
    </w:p>
    <w:p w14:paraId="03B0C00F" w14:textId="77777777" w:rsidR="00985A2A" w:rsidRPr="00116940" w:rsidRDefault="00985A2A" w:rsidP="00985A2A">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2EC4B327" w14:textId="77777777" w:rsidR="00985A2A" w:rsidRPr="00116940" w:rsidRDefault="00985A2A" w:rsidP="00985A2A">
      <w:pPr>
        <w:spacing w:after="0" w:line="240" w:lineRule="auto"/>
        <w:jc w:val="both"/>
        <w:rPr>
          <w:rFonts w:ascii="Verdana" w:hAnsi="Verdana"/>
        </w:rPr>
      </w:pPr>
    </w:p>
    <w:p w14:paraId="4B199F62" w14:textId="77777777" w:rsidR="00985A2A" w:rsidRPr="00116940" w:rsidRDefault="00985A2A" w:rsidP="00985A2A">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31043FA1" w14:textId="77777777" w:rsidR="00985A2A" w:rsidRPr="00116940" w:rsidRDefault="00985A2A" w:rsidP="00985A2A">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0B09D2D7" w14:textId="77777777" w:rsidR="00985A2A" w:rsidRPr="00116940" w:rsidRDefault="00985A2A" w:rsidP="00985A2A">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12EA434C" w14:textId="77777777" w:rsidR="00985A2A" w:rsidRPr="009C4035" w:rsidRDefault="00985A2A" w:rsidP="00985A2A">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40246F22" w14:textId="77777777" w:rsidR="00985A2A" w:rsidRPr="00593A5F" w:rsidRDefault="00985A2A" w:rsidP="00985A2A">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 xml:space="preserve">y las expresiones aquí utilizadas con mayúscula inicial deben ser entendidas con el </w:t>
      </w:r>
      <w:r w:rsidRPr="00593A5F">
        <w:rPr>
          <w:rFonts w:ascii="Verdana" w:hAnsi="Verdana" w:cs="Arial"/>
          <w:lang w:val="es-ES_tradnl"/>
        </w:rPr>
        <w:lastRenderedPageBreak/>
        <w:t>significado que les otorga el artículo 2.2.1.1.1.3.1. del Decreto 1082 de 2015.</w:t>
      </w:r>
    </w:p>
    <w:p w14:paraId="50C851DA" w14:textId="77777777" w:rsidR="00985A2A" w:rsidRPr="00593A5F" w:rsidRDefault="00985A2A" w:rsidP="00985A2A">
      <w:pPr>
        <w:widowControl w:val="0"/>
        <w:autoSpaceDE w:val="0"/>
        <w:autoSpaceDN w:val="0"/>
        <w:spacing w:after="0" w:line="276" w:lineRule="auto"/>
        <w:jc w:val="both"/>
        <w:rPr>
          <w:rFonts w:ascii="Verdana" w:hAnsi="Verdana" w:cs="Arial"/>
        </w:rPr>
      </w:pPr>
    </w:p>
    <w:p w14:paraId="2FF9049E" w14:textId="77777777" w:rsidR="00985A2A" w:rsidRPr="00593A5F" w:rsidRDefault="00985A2A" w:rsidP="00985A2A">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F32F4DD" w14:textId="1DE20EC6" w:rsidR="00985A2A" w:rsidRPr="00593A5F" w:rsidRDefault="00C20067" w:rsidP="00985A2A">
      <w:pPr>
        <w:spacing w:line="276" w:lineRule="auto"/>
        <w:jc w:val="center"/>
        <w:rPr>
          <w:rFonts w:ascii="Verdana" w:hAnsi="Verdana" w:cs="Arial"/>
          <w:color w:val="000000"/>
          <w:lang w:val="es-ES_tradnl" w:eastAsia="es-CO"/>
        </w:rPr>
      </w:pPr>
      <w:r>
        <w:rPr>
          <w:noProof/>
        </w:rPr>
        <w:drawing>
          <wp:inline distT="0" distB="0" distL="0" distR="0" wp14:anchorId="045D7A5B" wp14:editId="112B9FEC">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85A2A" w:rsidRPr="00593A5F" w14:paraId="7507DE06" w14:textId="77777777" w:rsidTr="00C400BF">
        <w:trPr>
          <w:trHeight w:val="315"/>
        </w:trPr>
        <w:tc>
          <w:tcPr>
            <w:tcW w:w="893" w:type="dxa"/>
            <w:vAlign w:val="center"/>
            <w:hideMark/>
          </w:tcPr>
          <w:p w14:paraId="60E8CFD3" w14:textId="77777777" w:rsidR="00985A2A" w:rsidRPr="003751C7" w:rsidRDefault="00985A2A" w:rsidP="00C400B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E79B023" w14:textId="77777777" w:rsidR="00985A2A" w:rsidRPr="00254A7A" w:rsidRDefault="00985A2A" w:rsidP="00C400BF">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7D670A6C" w14:textId="77777777" w:rsidR="00985A2A" w:rsidRPr="00254A7A" w:rsidRDefault="00985A2A" w:rsidP="00C400BF">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985A2A" w:rsidRPr="00593A5F" w14:paraId="021A6B39" w14:textId="77777777" w:rsidTr="00C400BF">
        <w:trPr>
          <w:trHeight w:val="330"/>
        </w:trPr>
        <w:tc>
          <w:tcPr>
            <w:tcW w:w="893" w:type="dxa"/>
            <w:vAlign w:val="center"/>
            <w:hideMark/>
          </w:tcPr>
          <w:p w14:paraId="49DD71B5" w14:textId="77777777" w:rsidR="00985A2A" w:rsidRPr="003751C7" w:rsidRDefault="00985A2A" w:rsidP="00C400B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F600B63" w14:textId="77777777" w:rsidR="00985A2A" w:rsidRPr="00FE00BE" w:rsidRDefault="00985A2A" w:rsidP="00C400BF">
            <w:pPr>
              <w:pStyle w:val="paragraph"/>
              <w:spacing w:after="0"/>
              <w:contextualSpacing/>
              <w:textAlignment w:val="baseline"/>
              <w:rPr>
                <w:rStyle w:val="normaltextrun"/>
                <w:rFonts w:ascii="Verdana" w:hAnsi="Verdana" w:cs="Arial"/>
                <w:sz w:val="16"/>
                <w:szCs w:val="16"/>
                <w:lang w:val="es-ES_tradnl"/>
              </w:rPr>
            </w:pPr>
            <w:r w:rsidRPr="00FE00BE">
              <w:rPr>
                <w:rStyle w:val="normaltextrun"/>
                <w:rFonts w:ascii="Verdana" w:hAnsi="Verdana" w:cs="Arial"/>
                <w:sz w:val="16"/>
                <w:szCs w:val="16"/>
                <w:lang w:val="es-ES_tradnl"/>
              </w:rPr>
              <w:t>Alejandro Sarmiento Cantillo</w:t>
            </w:r>
          </w:p>
          <w:p w14:paraId="32A1BE9D" w14:textId="77777777" w:rsidR="00985A2A" w:rsidRPr="00FE00BE" w:rsidRDefault="00985A2A" w:rsidP="00C400BF">
            <w:pPr>
              <w:pStyle w:val="paragraph"/>
              <w:spacing w:before="0" w:beforeAutospacing="0" w:after="0" w:afterAutospacing="0"/>
              <w:contextualSpacing/>
              <w:textAlignment w:val="baseline"/>
              <w:rPr>
                <w:rFonts w:ascii="Verdana" w:hAnsi="Verdana" w:cs="Segoe UI"/>
                <w:sz w:val="16"/>
                <w:szCs w:val="16"/>
                <w:lang w:val="es-ES_tradnl"/>
              </w:rPr>
            </w:pPr>
            <w:r w:rsidRPr="00FE00BE">
              <w:rPr>
                <w:rStyle w:val="normaltextrun"/>
                <w:rFonts w:ascii="Verdana" w:hAnsi="Verdana" w:cs="Arial"/>
                <w:sz w:val="16"/>
                <w:szCs w:val="16"/>
                <w:lang w:val="es-ES_tradnl"/>
              </w:rPr>
              <w:t>Gestor T1 ‒ 15 de la Subdirección de Gestión Contractual</w:t>
            </w:r>
          </w:p>
        </w:tc>
      </w:tr>
      <w:tr w:rsidR="00985A2A" w:rsidRPr="00593A5F" w14:paraId="4729AF45" w14:textId="77777777" w:rsidTr="00C400BF">
        <w:trPr>
          <w:trHeight w:val="300"/>
        </w:trPr>
        <w:tc>
          <w:tcPr>
            <w:tcW w:w="893" w:type="dxa"/>
            <w:vAlign w:val="center"/>
          </w:tcPr>
          <w:p w14:paraId="4A90298C" w14:textId="77777777" w:rsidR="00985A2A" w:rsidRPr="003751C7" w:rsidRDefault="00985A2A" w:rsidP="00C400BF">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796B06A" w14:textId="77777777" w:rsidR="00985A2A" w:rsidRPr="00FE00BE" w:rsidRDefault="00985A2A" w:rsidP="00C400BF">
            <w:pPr>
              <w:contextualSpacing/>
              <w:rPr>
                <w:rFonts w:ascii="Verdana" w:eastAsia="Calibri" w:hAnsi="Verdana" w:cs="Arial"/>
                <w:sz w:val="16"/>
                <w:szCs w:val="16"/>
                <w:lang w:val="es-ES" w:eastAsia="es-ES"/>
              </w:rPr>
            </w:pPr>
            <w:r w:rsidRPr="33C8B6A3">
              <w:rPr>
                <w:rFonts w:ascii="Verdana" w:eastAsia="Calibri" w:hAnsi="Verdana" w:cs="Arial"/>
                <w:sz w:val="16"/>
                <w:szCs w:val="16"/>
                <w:lang w:val="es-ES" w:eastAsia="es-ES"/>
              </w:rPr>
              <w:t xml:space="preserve">Carolina Quintero </w:t>
            </w:r>
            <w:proofErr w:type="spellStart"/>
            <w:r w:rsidRPr="33C8B6A3">
              <w:rPr>
                <w:rFonts w:ascii="Verdana" w:eastAsia="Calibri" w:hAnsi="Verdana" w:cs="Arial"/>
                <w:sz w:val="16"/>
                <w:szCs w:val="16"/>
                <w:lang w:val="es-ES" w:eastAsia="es-ES"/>
              </w:rPr>
              <w:t>Gacharná</w:t>
            </w:r>
            <w:proofErr w:type="spellEnd"/>
          </w:p>
          <w:p w14:paraId="0AFA80BE" w14:textId="77777777" w:rsidR="00985A2A" w:rsidRPr="00FE00BE" w:rsidRDefault="00985A2A" w:rsidP="00C400BF">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Subdirectora de Gestión Contractual ANCP – CCE</w:t>
            </w:r>
          </w:p>
        </w:tc>
      </w:tr>
    </w:tbl>
    <w:p w14:paraId="2535D764" w14:textId="77777777" w:rsidR="00985A2A" w:rsidRPr="00543BFE" w:rsidRDefault="00985A2A" w:rsidP="00985A2A"/>
    <w:p w14:paraId="0F293BF4" w14:textId="51BD67F7" w:rsidR="00127233" w:rsidRPr="003765AE" w:rsidRDefault="00127233" w:rsidP="003765AE"/>
    <w:p w14:paraId="65CE6679" w14:textId="77777777" w:rsidR="00B22DCA" w:rsidRPr="003765AE" w:rsidRDefault="00B22DCA"/>
    <w:sectPr w:rsidR="00B22DCA" w:rsidRPr="003765AE"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3EEF2" w14:textId="77777777" w:rsidR="00152E95" w:rsidRDefault="00152E95" w:rsidP="004A1847">
      <w:pPr>
        <w:spacing w:after="0" w:line="240" w:lineRule="auto"/>
      </w:pPr>
      <w:r>
        <w:separator/>
      </w:r>
    </w:p>
  </w:endnote>
  <w:endnote w:type="continuationSeparator" w:id="0">
    <w:p w14:paraId="074CA014" w14:textId="77777777" w:rsidR="00152E95" w:rsidRDefault="00152E95" w:rsidP="004A1847">
      <w:pPr>
        <w:spacing w:after="0" w:line="240" w:lineRule="auto"/>
      </w:pPr>
      <w:r>
        <w:continuationSeparator/>
      </w:r>
    </w:p>
  </w:endnote>
  <w:endnote w:type="continuationNotice" w:id="1">
    <w:p w14:paraId="6F98AB74" w14:textId="77777777" w:rsidR="00152E95" w:rsidRDefault="00152E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55858" w14:textId="77777777" w:rsidR="00152E95" w:rsidRDefault="00152E95" w:rsidP="004A1847">
      <w:pPr>
        <w:spacing w:after="0" w:line="240" w:lineRule="auto"/>
      </w:pPr>
      <w:r>
        <w:separator/>
      </w:r>
    </w:p>
  </w:footnote>
  <w:footnote w:type="continuationSeparator" w:id="0">
    <w:p w14:paraId="33116FF0" w14:textId="77777777" w:rsidR="00152E95" w:rsidRDefault="00152E95" w:rsidP="004A1847">
      <w:pPr>
        <w:spacing w:after="0" w:line="240" w:lineRule="auto"/>
      </w:pPr>
      <w:r>
        <w:continuationSeparator/>
      </w:r>
    </w:p>
  </w:footnote>
  <w:footnote w:type="continuationNotice" w:id="1">
    <w:p w14:paraId="7F6B00A4" w14:textId="77777777" w:rsidR="00152E95" w:rsidRDefault="00152E95">
      <w:pPr>
        <w:spacing w:after="0" w:line="240" w:lineRule="auto"/>
      </w:pPr>
    </w:p>
  </w:footnote>
  <w:footnote w:id="2">
    <w:p w14:paraId="4300C3DA" w14:textId="77777777" w:rsidR="00985A2A" w:rsidRPr="00DF05AC" w:rsidRDefault="00985A2A" w:rsidP="00985A2A">
      <w:pPr>
        <w:pStyle w:val="Textonotapie"/>
        <w:ind w:firstLine="709"/>
        <w:jc w:val="both"/>
        <w:rPr>
          <w:rFonts w:ascii="Verdana" w:hAnsi="Verdana" w:cs="Arial"/>
          <w:sz w:val="16"/>
          <w:szCs w:val="16"/>
          <w:lang w:val="es-ES"/>
        </w:rPr>
      </w:pPr>
      <w:r w:rsidRPr="00DF05AC">
        <w:rPr>
          <w:rStyle w:val="Refdenotaalpie"/>
          <w:rFonts w:ascii="Verdana" w:hAnsi="Verdana" w:cs="Arial"/>
          <w:sz w:val="16"/>
          <w:szCs w:val="16"/>
        </w:rPr>
        <w:footnoteRef/>
      </w:r>
      <w:r w:rsidRPr="00DF05AC">
        <w:rPr>
          <w:rFonts w:ascii="Verdana" w:hAnsi="Verdana" w:cs="Arial"/>
          <w:sz w:val="16"/>
          <w:szCs w:val="16"/>
        </w:rPr>
        <w:t xml:space="preserve"> </w:t>
      </w:r>
      <w:r w:rsidRPr="00DF05AC">
        <w:rPr>
          <w:rFonts w:ascii="Verdana" w:hAnsi="Verdana" w:cs="Arial"/>
          <w:sz w:val="16"/>
          <w:szCs w:val="16"/>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0F66530C" w14:textId="77777777" w:rsidR="00985A2A" w:rsidRPr="00DF05AC" w:rsidRDefault="00985A2A" w:rsidP="00985A2A">
      <w:pPr>
        <w:pStyle w:val="Textonotapie"/>
        <w:ind w:firstLine="709"/>
        <w:jc w:val="both"/>
        <w:rPr>
          <w:rFonts w:ascii="Verdana" w:hAnsi="Verdana" w:cs="Arial"/>
          <w:sz w:val="16"/>
          <w:szCs w:val="16"/>
          <w:lang w:val="es-ES"/>
        </w:rPr>
      </w:pPr>
      <w:r w:rsidRPr="00DF05AC">
        <w:rPr>
          <w:rFonts w:ascii="Verdana" w:hAnsi="Verdana" w:cs="Arial"/>
          <w:sz w:val="16"/>
          <w:szCs w:val="16"/>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DF05AC">
        <w:rPr>
          <w:rFonts w:ascii="Verdana" w:hAnsi="Verdana" w:cs="Arial"/>
          <w:i/>
          <w:iCs/>
          <w:sz w:val="16"/>
          <w:szCs w:val="16"/>
          <w:lang w:val="es-ES"/>
        </w:rPr>
        <w:t>costos directos</w:t>
      </w:r>
      <w:r w:rsidRPr="00DF05AC">
        <w:rPr>
          <w:rFonts w:ascii="Verdana" w:hAnsi="Verdana" w:cs="Arial"/>
          <w:sz w:val="16"/>
          <w:szCs w:val="16"/>
          <w:lang w:val="es-ES"/>
        </w:rPr>
        <w:t xml:space="preserve"> y los</w:t>
      </w:r>
      <w:r w:rsidRPr="00DF05AC">
        <w:rPr>
          <w:rFonts w:ascii="Verdana" w:hAnsi="Verdana" w:cs="Arial"/>
          <w:i/>
          <w:iCs/>
          <w:sz w:val="16"/>
          <w:szCs w:val="16"/>
          <w:lang w:val="es-ES"/>
        </w:rPr>
        <w:t xml:space="preserve"> costos indirectos</w:t>
      </w:r>
      <w:r w:rsidRPr="00DF05AC">
        <w:rPr>
          <w:rFonts w:ascii="Verdana" w:hAnsi="Verdana" w:cs="Arial"/>
          <w:sz w:val="16"/>
          <w:szCs w:val="16"/>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DF05AC">
        <w:rPr>
          <w:rFonts w:ascii="Verdana" w:hAnsi="Verdana" w:cs="Arial"/>
          <w:i/>
          <w:iCs/>
          <w:sz w:val="16"/>
          <w:szCs w:val="16"/>
          <w:lang w:val="es-ES"/>
        </w:rPr>
        <w:t>ítems</w:t>
      </w:r>
      <w:r w:rsidRPr="00DF05AC">
        <w:rPr>
          <w:rFonts w:ascii="Verdana" w:hAnsi="Verdana" w:cs="Arial"/>
          <w:sz w:val="16"/>
          <w:szCs w:val="16"/>
          <w:lang w:val="es-ES"/>
        </w:rPr>
        <w:t xml:space="preserve"> que componen el contrato–. Los costos </w:t>
      </w:r>
      <w:r w:rsidRPr="00DF05AC">
        <w:rPr>
          <w:rFonts w:ascii="Verdana" w:hAnsi="Verdana" w:cs="Arial"/>
          <w:i/>
          <w:iCs/>
          <w:sz w:val="16"/>
          <w:szCs w:val="16"/>
          <w:lang w:val="es-ES"/>
        </w:rPr>
        <w:t>indirectos</w:t>
      </w:r>
      <w:r w:rsidRPr="00DF05AC">
        <w:rPr>
          <w:rFonts w:ascii="Verdana" w:hAnsi="Verdana" w:cs="Arial"/>
          <w:sz w:val="16"/>
          <w:szCs w:val="16"/>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3">
    <w:p w14:paraId="638CA675" w14:textId="77777777" w:rsidR="00985A2A" w:rsidRPr="00DF05AC" w:rsidRDefault="00985A2A" w:rsidP="00985A2A">
      <w:pPr>
        <w:pStyle w:val="Textonotapie"/>
        <w:ind w:firstLine="709"/>
        <w:jc w:val="both"/>
        <w:rPr>
          <w:rFonts w:ascii="Verdana" w:hAnsi="Verdana" w:cs="Arial"/>
          <w:sz w:val="16"/>
          <w:szCs w:val="16"/>
          <w:lang w:val="es-ES"/>
        </w:rPr>
      </w:pPr>
      <w:r w:rsidRPr="00DF05AC">
        <w:rPr>
          <w:rStyle w:val="Refdenotaalpie"/>
          <w:rFonts w:ascii="Verdana" w:hAnsi="Verdana" w:cs="Arial"/>
          <w:sz w:val="16"/>
          <w:szCs w:val="16"/>
        </w:rPr>
        <w:footnoteRef/>
      </w:r>
      <w:r w:rsidRPr="00DF05AC">
        <w:rPr>
          <w:rFonts w:ascii="Verdana" w:hAnsi="Verdana" w:cs="Arial"/>
          <w:sz w:val="16"/>
          <w:szCs w:val="16"/>
        </w:rPr>
        <w:t xml:space="preserve"> Consejo de Estado. Sección Tercera. Subsección B. Sentencia del 14 de octubre de 2011. Exp. 20811, C.P. Ruth Stella Correa Palacio.</w:t>
      </w:r>
    </w:p>
  </w:footnote>
  <w:footnote w:id="4">
    <w:p w14:paraId="25DAD210" w14:textId="77777777" w:rsidR="00985A2A" w:rsidRPr="00DF05AC" w:rsidRDefault="00985A2A" w:rsidP="00985A2A">
      <w:pPr>
        <w:pStyle w:val="Textonotapie"/>
        <w:ind w:firstLine="708"/>
        <w:jc w:val="both"/>
        <w:rPr>
          <w:rFonts w:ascii="Verdana" w:hAnsi="Verdana" w:cs="Arial"/>
          <w:sz w:val="16"/>
          <w:szCs w:val="16"/>
          <w:lang w:val="es-ES"/>
        </w:rPr>
      </w:pPr>
      <w:r w:rsidRPr="00DF05AC">
        <w:rPr>
          <w:rStyle w:val="Refdenotaalpie"/>
          <w:rFonts w:ascii="Verdana" w:hAnsi="Verdana" w:cs="Arial"/>
          <w:sz w:val="16"/>
          <w:szCs w:val="16"/>
        </w:rPr>
        <w:footnoteRef/>
      </w:r>
      <w:r w:rsidRPr="00DF05AC">
        <w:rPr>
          <w:rFonts w:ascii="Verdana" w:hAnsi="Verdana" w:cs="Arial"/>
          <w:sz w:val="16"/>
          <w:szCs w:val="16"/>
        </w:rPr>
        <w:t xml:space="preserve"> Frente a ello, esta Agencia en respuesta a consulta del 27 de septiembre de 2017, indicó, </w:t>
      </w:r>
      <w:r w:rsidRPr="00DF05AC">
        <w:rPr>
          <w:rFonts w:ascii="Verdana" w:eastAsia="Calibri" w:hAnsi="Verdana" w:cs="Arial"/>
          <w:sz w:val="16"/>
          <w:szCs w:val="16"/>
        </w:rPr>
        <w:t>“</w:t>
      </w:r>
      <w:r w:rsidRPr="00DF05AC">
        <w:rPr>
          <w:rFonts w:ascii="Verdana" w:hAnsi="Verdana" w:cs="Arial"/>
          <w:sz w:val="16"/>
          <w:szCs w:val="16"/>
        </w:rPr>
        <w:t>en los concursos de méritos no es obligatorio aplicar el factor multiplicador debido a que no existe norma vigente que lo haya previsto de manera expresa en la forma de pago de los contratos de consultoría y/o interventoría. Pero es viable jurídicamente utilizar el factor multiplicador como fórmula para la determinación de los costos del contrato, caso en el cual, el contratista debe demostrar el gasto de todos los componentes de costo que se tuvieron en cuenta para determinarlo</w:t>
      </w:r>
      <w:r w:rsidRPr="00DF05AC">
        <w:rPr>
          <w:rFonts w:ascii="Verdana" w:eastAsia="Calibri" w:hAnsi="Verdana" w:cs="Arial"/>
          <w:sz w:val="16"/>
          <w:szCs w:val="16"/>
        </w:rPr>
        <w:t>”</w:t>
      </w:r>
      <w:r w:rsidRPr="00DF05AC">
        <w:rPr>
          <w:rFonts w:ascii="Verdana" w:hAnsi="Verdana" w:cs="Arial"/>
          <w:sz w:val="16"/>
          <w:szCs w:val="16"/>
        </w:rPr>
        <w:t xml:space="preserve"> </w:t>
      </w:r>
      <w:r w:rsidRPr="00DF05AC">
        <w:rPr>
          <w:rFonts w:ascii="Verdana" w:hAnsi="Verdana" w:cs="Arial"/>
          <w:sz w:val="16"/>
          <w:szCs w:val="16"/>
          <w:lang w:val="es-ES"/>
        </w:rPr>
        <w:t>Radicación: Respuesta a consulta #4201714000006240 Temas: Contrato de consultoría Tipo de asunto consultado: Cómo se aplica y evalúa el factor multiplicador.</w:t>
      </w:r>
    </w:p>
  </w:footnote>
  <w:footnote w:id="5">
    <w:p w14:paraId="56B97771" w14:textId="77777777" w:rsidR="00985A2A" w:rsidRPr="00DF05AC" w:rsidRDefault="00985A2A" w:rsidP="00985A2A">
      <w:pPr>
        <w:pStyle w:val="Textonotapie"/>
        <w:ind w:firstLine="708"/>
        <w:jc w:val="both"/>
        <w:rPr>
          <w:rFonts w:ascii="Verdana" w:hAnsi="Verdana" w:cs="Arial"/>
          <w:sz w:val="16"/>
          <w:szCs w:val="16"/>
          <w:lang w:val="es-ES"/>
        </w:rPr>
      </w:pPr>
      <w:r w:rsidRPr="00DF05AC">
        <w:rPr>
          <w:rStyle w:val="Refdenotaalpie"/>
          <w:rFonts w:ascii="Verdana" w:hAnsi="Verdana" w:cs="Arial"/>
          <w:sz w:val="16"/>
          <w:szCs w:val="16"/>
        </w:rPr>
        <w:footnoteRef/>
      </w:r>
      <w:r w:rsidRPr="00DF05AC">
        <w:rPr>
          <w:rFonts w:ascii="Verdana" w:hAnsi="Verdana" w:cs="Arial"/>
          <w:sz w:val="16"/>
          <w:szCs w:val="16"/>
        </w:rPr>
        <w:t xml:space="preserve"> </w:t>
      </w:r>
      <w:r w:rsidRPr="00DF05AC">
        <w:rPr>
          <w:rFonts w:ascii="Verdana" w:hAnsi="Verdana" w:cs="Arial"/>
          <w:sz w:val="16"/>
          <w:szCs w:val="16"/>
          <w:lang w:val="es-ES"/>
        </w:rPr>
        <w:t>MARÍN</w:t>
      </w:r>
      <w:r>
        <w:rPr>
          <w:rFonts w:ascii="Verdana" w:hAnsi="Verdana" w:cs="Arial"/>
          <w:sz w:val="16"/>
          <w:szCs w:val="16"/>
          <w:lang w:val="es-ES"/>
        </w:rPr>
        <w:t xml:space="preserve"> </w:t>
      </w:r>
      <w:r w:rsidRPr="00C37D4D">
        <w:rPr>
          <w:rFonts w:ascii="Verdana" w:hAnsi="Verdana" w:cs="Arial"/>
          <w:sz w:val="16"/>
          <w:szCs w:val="16"/>
          <w:lang w:val="es-ES"/>
        </w:rPr>
        <w:t>CORTÉS</w:t>
      </w:r>
      <w:r w:rsidRPr="00DF05AC">
        <w:rPr>
          <w:rFonts w:ascii="Verdana" w:hAnsi="Verdana" w:cs="Arial"/>
          <w:sz w:val="16"/>
          <w:szCs w:val="16"/>
          <w:lang w:val="es-ES"/>
        </w:rPr>
        <w:t>, Op. Cit., pp. 64-65.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5" type="#_x0000_t75" style="width:12.25pt;height:12.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189D"/>
    <w:rsid w:val="00016F78"/>
    <w:rsid w:val="00046945"/>
    <w:rsid w:val="00061B2A"/>
    <w:rsid w:val="00082362"/>
    <w:rsid w:val="000A683E"/>
    <w:rsid w:val="000B19B9"/>
    <w:rsid w:val="000D0334"/>
    <w:rsid w:val="000D5DA7"/>
    <w:rsid w:val="000F6486"/>
    <w:rsid w:val="00116940"/>
    <w:rsid w:val="00124539"/>
    <w:rsid w:val="00125105"/>
    <w:rsid w:val="00127233"/>
    <w:rsid w:val="00152E95"/>
    <w:rsid w:val="0015699B"/>
    <w:rsid w:val="00156F23"/>
    <w:rsid w:val="001A33BF"/>
    <w:rsid w:val="001E4177"/>
    <w:rsid w:val="001F0B24"/>
    <w:rsid w:val="001F7DC6"/>
    <w:rsid w:val="0022400B"/>
    <w:rsid w:val="002421BB"/>
    <w:rsid w:val="0025796E"/>
    <w:rsid w:val="002707A2"/>
    <w:rsid w:val="002951A0"/>
    <w:rsid w:val="002962BC"/>
    <w:rsid w:val="002A093D"/>
    <w:rsid w:val="002A0DD0"/>
    <w:rsid w:val="002A1F11"/>
    <w:rsid w:val="002A49AC"/>
    <w:rsid w:val="002A64FD"/>
    <w:rsid w:val="002C7A84"/>
    <w:rsid w:val="002E2BF8"/>
    <w:rsid w:val="002E4FD9"/>
    <w:rsid w:val="0030657A"/>
    <w:rsid w:val="00322A85"/>
    <w:rsid w:val="00324168"/>
    <w:rsid w:val="00330834"/>
    <w:rsid w:val="003448F4"/>
    <w:rsid w:val="00374F5E"/>
    <w:rsid w:val="003765AE"/>
    <w:rsid w:val="00377E3E"/>
    <w:rsid w:val="003A779E"/>
    <w:rsid w:val="003D0F4D"/>
    <w:rsid w:val="003D5B0D"/>
    <w:rsid w:val="003E0499"/>
    <w:rsid w:val="003E4F80"/>
    <w:rsid w:val="003E6439"/>
    <w:rsid w:val="003F3941"/>
    <w:rsid w:val="00406575"/>
    <w:rsid w:val="00414C74"/>
    <w:rsid w:val="0042722E"/>
    <w:rsid w:val="0044528D"/>
    <w:rsid w:val="00466E39"/>
    <w:rsid w:val="00471335"/>
    <w:rsid w:val="00481F06"/>
    <w:rsid w:val="004A1847"/>
    <w:rsid w:val="004A305D"/>
    <w:rsid w:val="004F21C4"/>
    <w:rsid w:val="004F685F"/>
    <w:rsid w:val="005566E8"/>
    <w:rsid w:val="00574867"/>
    <w:rsid w:val="00591460"/>
    <w:rsid w:val="005A65E0"/>
    <w:rsid w:val="005C090E"/>
    <w:rsid w:val="005C3777"/>
    <w:rsid w:val="005C5CDC"/>
    <w:rsid w:val="005D476C"/>
    <w:rsid w:val="00611CE6"/>
    <w:rsid w:val="006200BF"/>
    <w:rsid w:val="006219F8"/>
    <w:rsid w:val="006302F7"/>
    <w:rsid w:val="00646B9F"/>
    <w:rsid w:val="00665D70"/>
    <w:rsid w:val="006900D9"/>
    <w:rsid w:val="00706C16"/>
    <w:rsid w:val="007340C3"/>
    <w:rsid w:val="0075235A"/>
    <w:rsid w:val="00755493"/>
    <w:rsid w:val="00756841"/>
    <w:rsid w:val="00760DFF"/>
    <w:rsid w:val="007649AB"/>
    <w:rsid w:val="00771D0C"/>
    <w:rsid w:val="007833AC"/>
    <w:rsid w:val="007A0422"/>
    <w:rsid w:val="007B268C"/>
    <w:rsid w:val="007B7171"/>
    <w:rsid w:val="007C0C0F"/>
    <w:rsid w:val="007C3DC2"/>
    <w:rsid w:val="007E5497"/>
    <w:rsid w:val="007F69E4"/>
    <w:rsid w:val="00806F5F"/>
    <w:rsid w:val="00820278"/>
    <w:rsid w:val="008258C9"/>
    <w:rsid w:val="00844AE9"/>
    <w:rsid w:val="00867F95"/>
    <w:rsid w:val="008843B6"/>
    <w:rsid w:val="00891928"/>
    <w:rsid w:val="008A446D"/>
    <w:rsid w:val="008B1183"/>
    <w:rsid w:val="008B25F1"/>
    <w:rsid w:val="008D180B"/>
    <w:rsid w:val="008F0EA7"/>
    <w:rsid w:val="00923EEF"/>
    <w:rsid w:val="009419F9"/>
    <w:rsid w:val="009442B1"/>
    <w:rsid w:val="00947D3E"/>
    <w:rsid w:val="0095685E"/>
    <w:rsid w:val="00961B09"/>
    <w:rsid w:val="00965334"/>
    <w:rsid w:val="0097093E"/>
    <w:rsid w:val="00985A2A"/>
    <w:rsid w:val="009A0DFA"/>
    <w:rsid w:val="009A1C6F"/>
    <w:rsid w:val="009B2D26"/>
    <w:rsid w:val="009C50B2"/>
    <w:rsid w:val="009C71FA"/>
    <w:rsid w:val="009C72E7"/>
    <w:rsid w:val="009C7F7E"/>
    <w:rsid w:val="009D3058"/>
    <w:rsid w:val="009F3A13"/>
    <w:rsid w:val="00A122D3"/>
    <w:rsid w:val="00A14468"/>
    <w:rsid w:val="00A17F13"/>
    <w:rsid w:val="00A201C5"/>
    <w:rsid w:val="00A20739"/>
    <w:rsid w:val="00A23AF9"/>
    <w:rsid w:val="00A25C8F"/>
    <w:rsid w:val="00A33C78"/>
    <w:rsid w:val="00AB0ADB"/>
    <w:rsid w:val="00AC0A8F"/>
    <w:rsid w:val="00B00C0E"/>
    <w:rsid w:val="00B01B1A"/>
    <w:rsid w:val="00B0381D"/>
    <w:rsid w:val="00B22DCA"/>
    <w:rsid w:val="00B44A47"/>
    <w:rsid w:val="00B72CD3"/>
    <w:rsid w:val="00B72FFF"/>
    <w:rsid w:val="00B73160"/>
    <w:rsid w:val="00B8624C"/>
    <w:rsid w:val="00BC3D36"/>
    <w:rsid w:val="00BD54A6"/>
    <w:rsid w:val="00BD7F72"/>
    <w:rsid w:val="00BF7425"/>
    <w:rsid w:val="00C04FB3"/>
    <w:rsid w:val="00C11D8B"/>
    <w:rsid w:val="00C15139"/>
    <w:rsid w:val="00C20067"/>
    <w:rsid w:val="00C330EB"/>
    <w:rsid w:val="00C33F36"/>
    <w:rsid w:val="00C474DA"/>
    <w:rsid w:val="00C50D69"/>
    <w:rsid w:val="00C5365C"/>
    <w:rsid w:val="00C754BE"/>
    <w:rsid w:val="00C76B1C"/>
    <w:rsid w:val="00C925AC"/>
    <w:rsid w:val="00CB6357"/>
    <w:rsid w:val="00CC1B26"/>
    <w:rsid w:val="00CF03C6"/>
    <w:rsid w:val="00D35657"/>
    <w:rsid w:val="00D361FD"/>
    <w:rsid w:val="00D423A2"/>
    <w:rsid w:val="00D44E26"/>
    <w:rsid w:val="00D520D8"/>
    <w:rsid w:val="00D63069"/>
    <w:rsid w:val="00D63AC2"/>
    <w:rsid w:val="00D7383B"/>
    <w:rsid w:val="00D7788A"/>
    <w:rsid w:val="00DA231B"/>
    <w:rsid w:val="00DC39FC"/>
    <w:rsid w:val="00DD0079"/>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0D2C"/>
    <w:rsid w:val="00F462B3"/>
    <w:rsid w:val="00F5664F"/>
    <w:rsid w:val="00F666C4"/>
    <w:rsid w:val="00F76AFC"/>
    <w:rsid w:val="00FA47C0"/>
    <w:rsid w:val="00FB5DD1"/>
    <w:rsid w:val="00FC2B5D"/>
    <w:rsid w:val="00FE0A96"/>
    <w:rsid w:val="00FF1449"/>
    <w:rsid w:val="00FF7963"/>
    <w:rsid w:val="071B8F93"/>
    <w:rsid w:val="09908A09"/>
    <w:rsid w:val="0FF4CCA8"/>
    <w:rsid w:val="13CFC91B"/>
    <w:rsid w:val="19A2EC2C"/>
    <w:rsid w:val="2859CA1B"/>
    <w:rsid w:val="32A4F9CF"/>
    <w:rsid w:val="33C8B6A3"/>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85A2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85A2A"/>
    <w:rPr>
      <w:rFonts w:ascii="Geomanist Light" w:hAnsi="Geomanist Light"/>
      <w:lang w:val="es-ES"/>
    </w:rPr>
  </w:style>
  <w:style w:type="character" w:customStyle="1" w:styleId="s15">
    <w:name w:val="s15"/>
    <w:basedOn w:val="Fuentedeprrafopredeter"/>
    <w:rsid w:val="00985A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forms.office.com/r/pPHyWVs2S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ernandog213@hotmail.com" TargetMode="External"/><Relationship Id="rId5" Type="http://schemas.openxmlformats.org/officeDocument/2006/relationships/styles" Target="styles.xml"/><Relationship Id="rId15" Type="http://schemas.openxmlformats.org/officeDocument/2006/relationships/hyperlink" Target="https://www.colombiacompra.gov.co/pqrsd/informacion-importante-antes-de-formular-una-pqrsd"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ventanilladeradicacion@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8F39B0B1-C040-4300-8246-B5EB9DCD9E79}"/>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14</Pages>
  <Words>4384</Words>
  <Characters>24117</Characters>
  <Application>Microsoft Office Word</Application>
  <DocSecurity>0</DocSecurity>
  <Lines>200</Lines>
  <Paragraphs>56</Paragraphs>
  <ScaleCrop>false</ScaleCrop>
  <Company/>
  <LinksUpToDate>false</LinksUpToDate>
  <CharactersWithSpaces>28445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7</cp:revision>
  <cp:lastPrinted>2023-01-10T21:18:00Z</cp:lastPrinted>
  <dcterms:created xsi:type="dcterms:W3CDTF">2025-12-16T06:00:00Z</dcterms:created>
  <dcterms:modified xsi:type="dcterms:W3CDTF">2025-12-16T13:24:00Z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