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7E9C5" w14:textId="77777777" w:rsidR="00DA5F4C" w:rsidRPr="00B52AA3" w:rsidRDefault="00DA5F4C" w:rsidP="00B52AA3">
      <w:pPr>
        <w:jc w:val="right"/>
        <w:rPr>
          <w:rFonts w:ascii="Arial" w:hAnsi="Arial" w:cs="Arial"/>
          <w:b/>
          <w:color w:val="000000" w:themeColor="text1"/>
          <w:sz w:val="16"/>
          <w:szCs w:val="16"/>
          <w:lang w:eastAsia="es-ES"/>
        </w:rPr>
      </w:pPr>
      <w:r w:rsidRPr="00B52AA3">
        <w:rPr>
          <w:rFonts w:ascii="Arial" w:hAnsi="Arial" w:cs="Arial"/>
          <w:b/>
          <w:color w:val="000000" w:themeColor="text1"/>
          <w:sz w:val="16"/>
          <w:szCs w:val="16"/>
          <w:lang w:eastAsia="es-ES"/>
        </w:rPr>
        <w:t>CCE-DES-FM-17</w:t>
      </w:r>
    </w:p>
    <w:p w14:paraId="423F7B3F" w14:textId="77777777" w:rsidR="00DA5F4C" w:rsidRPr="00B52AA3" w:rsidRDefault="00DA5F4C" w:rsidP="00B52AA3">
      <w:pPr>
        <w:jc w:val="both"/>
        <w:rPr>
          <w:rFonts w:ascii="Arial" w:eastAsia="Calibri" w:hAnsi="Arial" w:cs="Arial"/>
          <w:b/>
          <w:color w:val="000000" w:themeColor="text1"/>
          <w:sz w:val="16"/>
          <w:szCs w:val="16"/>
        </w:rPr>
      </w:pPr>
    </w:p>
    <w:p w14:paraId="24E1D825" w14:textId="5EF4907F" w:rsidR="005675C8" w:rsidRPr="00B52AA3" w:rsidRDefault="000A0F05" w:rsidP="00B52AA3">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r w:rsidR="005675C8" w:rsidRPr="00B52AA3">
        <w:rPr>
          <w:rFonts w:ascii="Arial" w:eastAsia="Calibri" w:hAnsi="Arial" w:cs="Arial"/>
          <w:b/>
          <w:color w:val="000000" w:themeColor="text1"/>
          <w:sz w:val="22"/>
        </w:rPr>
        <w:t xml:space="preserve"> </w:t>
      </w:r>
      <w:bookmarkStart w:id="0" w:name="_Hlk39676694"/>
      <w:r w:rsidR="00542DF7" w:rsidRPr="006C15D5">
        <w:rPr>
          <w:rFonts w:ascii="Arial" w:eastAsia="Calibri" w:hAnsi="Arial" w:cs="Arial"/>
          <w:b/>
          <w:color w:val="000000" w:themeColor="text1"/>
          <w:sz w:val="22"/>
        </w:rPr>
        <w:t>–</w:t>
      </w:r>
      <w:bookmarkEnd w:id="0"/>
      <w:r w:rsidR="005675C8" w:rsidRPr="00B52AA3">
        <w:rPr>
          <w:rFonts w:ascii="Arial" w:eastAsia="Calibri" w:hAnsi="Arial" w:cs="Arial"/>
          <w:b/>
          <w:color w:val="000000" w:themeColor="text1"/>
          <w:sz w:val="22"/>
        </w:rPr>
        <w:t xml:space="preserve"> Ejercicio </w:t>
      </w:r>
      <w:r>
        <w:rPr>
          <w:rFonts w:ascii="Arial" w:eastAsia="Calibri" w:hAnsi="Arial" w:cs="Arial"/>
          <w:b/>
          <w:color w:val="000000" w:themeColor="text1"/>
          <w:sz w:val="22"/>
        </w:rPr>
        <w:t>–</w:t>
      </w:r>
      <w:r>
        <w:rPr>
          <w:rFonts w:ascii="Arial" w:eastAsia="Calibri" w:hAnsi="Arial" w:cs="Arial"/>
          <w:b/>
          <w:color w:val="000000" w:themeColor="text1"/>
          <w:sz w:val="22"/>
        </w:rPr>
        <w:t xml:space="preserve"> Funciones </w:t>
      </w:r>
      <w:r>
        <w:rPr>
          <w:rFonts w:ascii="Arial" w:eastAsia="Calibri" w:hAnsi="Arial" w:cs="Arial"/>
          <w:b/>
          <w:color w:val="000000" w:themeColor="text1"/>
          <w:sz w:val="22"/>
        </w:rPr>
        <w:t>–</w:t>
      </w:r>
      <w:r>
        <w:rPr>
          <w:rFonts w:ascii="Arial" w:eastAsia="Calibri" w:hAnsi="Arial" w:cs="Arial"/>
          <w:b/>
          <w:color w:val="000000" w:themeColor="text1"/>
          <w:sz w:val="22"/>
        </w:rPr>
        <w:t xml:space="preserve"> C</w:t>
      </w:r>
      <w:r w:rsidR="005675C8" w:rsidRPr="00B52AA3">
        <w:rPr>
          <w:rFonts w:ascii="Arial" w:eastAsia="Calibri" w:hAnsi="Arial" w:cs="Arial"/>
          <w:b/>
          <w:color w:val="000000" w:themeColor="text1"/>
          <w:sz w:val="22"/>
        </w:rPr>
        <w:t>ontrol y vigilancia</w:t>
      </w:r>
    </w:p>
    <w:p w14:paraId="072DDC89" w14:textId="77777777" w:rsidR="005675C8" w:rsidRPr="00B52AA3" w:rsidRDefault="005675C8" w:rsidP="00B52AA3">
      <w:pPr>
        <w:jc w:val="both"/>
        <w:rPr>
          <w:rFonts w:ascii="Arial" w:eastAsia="Calibri" w:hAnsi="Arial" w:cs="Arial"/>
          <w:bCs/>
          <w:color w:val="000000" w:themeColor="text1"/>
          <w:sz w:val="20"/>
          <w:szCs w:val="20"/>
        </w:rPr>
      </w:pPr>
    </w:p>
    <w:p w14:paraId="05722620" w14:textId="49CD9171" w:rsidR="005675C8" w:rsidRPr="00B52AA3" w:rsidRDefault="005675C8" w:rsidP="00B52AA3">
      <w:pPr>
        <w:jc w:val="both"/>
        <w:rPr>
          <w:rFonts w:ascii="Arial" w:eastAsia="Calibri" w:hAnsi="Arial" w:cs="Arial"/>
          <w:bCs/>
          <w:color w:val="000000" w:themeColor="text1"/>
          <w:sz w:val="20"/>
          <w:szCs w:val="20"/>
        </w:rPr>
      </w:pPr>
      <w:r w:rsidRPr="00B52AA3">
        <w:rPr>
          <w:rFonts w:ascii="Arial" w:eastAsia="Calibri" w:hAnsi="Arial" w:cs="Arial"/>
          <w:bCs/>
          <w:color w:val="000000" w:themeColor="text1"/>
          <w:sz w:val="20"/>
          <w:szCs w:val="20"/>
        </w:rPr>
        <w:t>Los artículos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14:paraId="072D4F81" w14:textId="77777777" w:rsidR="005675C8" w:rsidRPr="00B52AA3" w:rsidRDefault="005675C8" w:rsidP="00B52AA3">
      <w:pPr>
        <w:jc w:val="both"/>
        <w:rPr>
          <w:rFonts w:ascii="Arial" w:eastAsia="Calibri" w:hAnsi="Arial" w:cs="Arial"/>
          <w:b/>
          <w:color w:val="000000" w:themeColor="text1"/>
          <w:sz w:val="20"/>
          <w:szCs w:val="20"/>
          <w:highlight w:val="yellow"/>
        </w:rPr>
      </w:pPr>
    </w:p>
    <w:p w14:paraId="704FABFA" w14:textId="50224AB2" w:rsidR="005675C8" w:rsidRPr="00B52AA3" w:rsidRDefault="000A0F05" w:rsidP="00B52AA3">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r w:rsidR="005675C8" w:rsidRPr="00B52AA3">
        <w:rPr>
          <w:rFonts w:ascii="Arial" w:eastAsia="Calibri" w:hAnsi="Arial" w:cs="Arial"/>
          <w:b/>
          <w:color w:val="000000" w:themeColor="text1"/>
          <w:sz w:val="22"/>
        </w:rPr>
        <w:t xml:space="preserve"> </w:t>
      </w:r>
      <w:r w:rsidR="00542DF7" w:rsidRPr="006C15D5">
        <w:rPr>
          <w:rFonts w:ascii="Arial" w:eastAsia="Calibri" w:hAnsi="Arial" w:cs="Arial"/>
          <w:b/>
          <w:color w:val="000000" w:themeColor="text1"/>
          <w:sz w:val="22"/>
        </w:rPr>
        <w:t>–</w:t>
      </w:r>
      <w:r w:rsidR="005675C8" w:rsidRPr="00B52AA3">
        <w:rPr>
          <w:rFonts w:ascii="Arial" w:eastAsia="Calibri" w:hAnsi="Arial" w:cs="Arial"/>
          <w:b/>
          <w:color w:val="000000" w:themeColor="text1"/>
          <w:sz w:val="22"/>
        </w:rPr>
        <w:t xml:space="preserve"> </w:t>
      </w:r>
      <w:r>
        <w:rPr>
          <w:rFonts w:ascii="Arial" w:eastAsia="Calibri" w:hAnsi="Arial" w:cs="Arial"/>
          <w:b/>
          <w:color w:val="000000" w:themeColor="text1"/>
          <w:sz w:val="22"/>
        </w:rPr>
        <w:t>Funciones – C</w:t>
      </w:r>
      <w:r w:rsidRPr="00B52AA3">
        <w:rPr>
          <w:rFonts w:ascii="Arial" w:eastAsia="Calibri" w:hAnsi="Arial" w:cs="Arial"/>
          <w:b/>
          <w:color w:val="000000" w:themeColor="text1"/>
          <w:sz w:val="22"/>
        </w:rPr>
        <w:t>ontrol y vigilancia</w:t>
      </w:r>
    </w:p>
    <w:p w14:paraId="3B8584CA" w14:textId="77777777" w:rsidR="005675C8" w:rsidRPr="00B52AA3" w:rsidRDefault="005675C8" w:rsidP="00B52AA3">
      <w:pPr>
        <w:jc w:val="both"/>
        <w:rPr>
          <w:rFonts w:ascii="Arial" w:eastAsia="Calibri" w:hAnsi="Arial" w:cs="Arial"/>
          <w:b/>
          <w:color w:val="000000" w:themeColor="text1"/>
          <w:sz w:val="20"/>
          <w:szCs w:val="20"/>
        </w:rPr>
      </w:pPr>
    </w:p>
    <w:p w14:paraId="0C4413AD" w14:textId="5BE7C709" w:rsidR="005675C8" w:rsidRPr="00B52AA3" w:rsidRDefault="00AA593D" w:rsidP="00B52AA3">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451C82">
        <w:rPr>
          <w:rFonts w:ascii="Arial" w:hAnsi="Arial" w:cs="Arial"/>
          <w:color w:val="000000" w:themeColor="text1"/>
          <w:sz w:val="20"/>
          <w:szCs w:val="20"/>
          <w:lang w:val="es-ES"/>
        </w:rPr>
        <w:t>e</w:t>
      </w:r>
      <w:r w:rsidR="005675C8" w:rsidRPr="00B52AA3">
        <w:rPr>
          <w:rFonts w:ascii="Arial" w:hAnsi="Arial" w:cs="Arial"/>
          <w:color w:val="000000" w:themeColor="text1"/>
          <w:sz w:val="20"/>
          <w:szCs w:val="20"/>
          <w:lang w:val="es-ES"/>
        </w:rPr>
        <w:t>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2AB3829B" w14:textId="77777777" w:rsidR="005675C8" w:rsidRPr="00B52AA3" w:rsidRDefault="005675C8" w:rsidP="00B52AA3">
      <w:pPr>
        <w:jc w:val="both"/>
        <w:rPr>
          <w:rFonts w:ascii="Arial" w:eastAsia="Calibri" w:hAnsi="Arial" w:cs="Arial"/>
          <w:b/>
          <w:color w:val="000000" w:themeColor="text1"/>
          <w:sz w:val="20"/>
          <w:szCs w:val="20"/>
        </w:rPr>
      </w:pPr>
    </w:p>
    <w:p w14:paraId="43A634F9" w14:textId="18237041" w:rsidR="005675C8" w:rsidRPr="00B52AA3" w:rsidRDefault="005675C8" w:rsidP="00B52AA3">
      <w:pPr>
        <w:jc w:val="both"/>
        <w:rPr>
          <w:rFonts w:ascii="Arial" w:eastAsia="Calibri" w:hAnsi="Arial" w:cs="Arial"/>
          <w:b/>
          <w:color w:val="000000" w:themeColor="text1"/>
          <w:sz w:val="22"/>
        </w:rPr>
      </w:pPr>
      <w:r w:rsidRPr="00B52AA3">
        <w:rPr>
          <w:rFonts w:ascii="Arial" w:eastAsia="Calibri" w:hAnsi="Arial" w:cs="Arial"/>
          <w:b/>
          <w:color w:val="000000" w:themeColor="text1"/>
          <w:sz w:val="22"/>
        </w:rPr>
        <w:t xml:space="preserve">SUPERVISIÓN </w:t>
      </w:r>
      <w:r w:rsidR="00542DF7" w:rsidRPr="006C15D5">
        <w:rPr>
          <w:rFonts w:ascii="Arial" w:eastAsia="Calibri" w:hAnsi="Arial" w:cs="Arial"/>
          <w:b/>
          <w:color w:val="000000" w:themeColor="text1"/>
          <w:sz w:val="22"/>
        </w:rPr>
        <w:t>–</w:t>
      </w:r>
      <w:r w:rsidRPr="00B52AA3">
        <w:rPr>
          <w:rFonts w:ascii="Arial" w:eastAsia="Calibri" w:hAnsi="Arial" w:cs="Arial"/>
          <w:b/>
          <w:color w:val="000000" w:themeColor="text1"/>
          <w:sz w:val="22"/>
        </w:rPr>
        <w:t xml:space="preserve"> </w:t>
      </w:r>
      <w:r w:rsidR="000A0F05">
        <w:rPr>
          <w:rFonts w:ascii="Arial" w:eastAsia="Calibri" w:hAnsi="Arial" w:cs="Arial"/>
          <w:b/>
          <w:color w:val="000000" w:themeColor="text1"/>
          <w:sz w:val="22"/>
        </w:rPr>
        <w:t xml:space="preserve">Ejercicio </w:t>
      </w:r>
      <w:r w:rsidR="000A0F05" w:rsidRPr="006C15D5">
        <w:rPr>
          <w:rFonts w:ascii="Arial" w:eastAsia="Calibri" w:hAnsi="Arial" w:cs="Arial"/>
          <w:b/>
          <w:color w:val="000000" w:themeColor="text1"/>
          <w:sz w:val="22"/>
        </w:rPr>
        <w:t>–</w:t>
      </w:r>
      <w:r w:rsidR="000A0F05">
        <w:rPr>
          <w:rFonts w:ascii="Arial" w:eastAsia="Calibri" w:hAnsi="Arial" w:cs="Arial"/>
          <w:b/>
          <w:color w:val="000000" w:themeColor="text1"/>
          <w:sz w:val="22"/>
        </w:rPr>
        <w:t xml:space="preserve"> Contratista </w:t>
      </w:r>
      <w:r w:rsidR="000A0F05" w:rsidRPr="006C15D5">
        <w:rPr>
          <w:rFonts w:ascii="Arial" w:eastAsia="Calibri" w:hAnsi="Arial" w:cs="Arial"/>
          <w:b/>
          <w:color w:val="000000" w:themeColor="text1"/>
          <w:sz w:val="22"/>
        </w:rPr>
        <w:t>–</w:t>
      </w:r>
      <w:r w:rsidR="000A0F05">
        <w:rPr>
          <w:rFonts w:ascii="Arial" w:eastAsia="Calibri" w:hAnsi="Arial" w:cs="Arial"/>
          <w:b/>
          <w:color w:val="000000" w:themeColor="text1"/>
          <w:sz w:val="22"/>
        </w:rPr>
        <w:t xml:space="preserve"> </w:t>
      </w:r>
      <w:r w:rsidRPr="00B52AA3">
        <w:rPr>
          <w:rFonts w:ascii="Arial" w:eastAsia="Calibri" w:hAnsi="Arial" w:cs="Arial"/>
          <w:b/>
          <w:color w:val="000000" w:themeColor="text1"/>
          <w:sz w:val="22"/>
        </w:rPr>
        <w:t xml:space="preserve">Imposibilidad </w:t>
      </w:r>
      <w:bookmarkStart w:id="1" w:name="_GoBack"/>
      <w:bookmarkEnd w:id="1"/>
    </w:p>
    <w:p w14:paraId="5A4B04EE" w14:textId="77777777" w:rsidR="005675C8" w:rsidRPr="00B52AA3" w:rsidRDefault="005675C8" w:rsidP="00B52AA3">
      <w:pPr>
        <w:jc w:val="both"/>
        <w:rPr>
          <w:rFonts w:ascii="Arial" w:hAnsi="Arial" w:cs="Arial"/>
          <w:color w:val="000000" w:themeColor="text1"/>
          <w:sz w:val="20"/>
          <w:szCs w:val="20"/>
          <w:highlight w:val="yellow"/>
        </w:rPr>
      </w:pPr>
    </w:p>
    <w:p w14:paraId="0B08FB73" w14:textId="77777777" w:rsidR="005675C8" w:rsidRPr="00B52AA3" w:rsidRDefault="005675C8" w:rsidP="00B52AA3">
      <w:pPr>
        <w:jc w:val="both"/>
        <w:rPr>
          <w:rFonts w:ascii="Arial" w:hAnsi="Arial" w:cs="Arial"/>
          <w:color w:val="000000" w:themeColor="text1"/>
          <w:sz w:val="20"/>
          <w:szCs w:val="20"/>
        </w:rPr>
      </w:pPr>
      <w:r w:rsidRPr="00B52AA3">
        <w:rPr>
          <w:rFonts w:ascii="Arial" w:hAnsi="Arial" w:cs="Arial"/>
          <w:color w:val="000000" w:themeColor="text1"/>
          <w:sz w:val="20"/>
          <w:szCs w:val="20"/>
          <w:lang w:val="es-CO"/>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7930B9BC" w14:textId="77777777" w:rsidR="005675C8" w:rsidRPr="00B52AA3" w:rsidRDefault="005675C8" w:rsidP="005675C8">
      <w:pPr>
        <w:rPr>
          <w:rFonts w:ascii="Arial" w:hAnsi="Arial" w:cs="Arial"/>
          <w:color w:val="000000" w:themeColor="text1"/>
          <w:sz w:val="20"/>
          <w:szCs w:val="20"/>
        </w:rPr>
      </w:pPr>
    </w:p>
    <w:p w14:paraId="371FF38F" w14:textId="4B18160B" w:rsidR="00B52AA3" w:rsidRPr="00542DF7" w:rsidRDefault="00B52AA3" w:rsidP="00B52AA3">
      <w:pPr>
        <w:pStyle w:val="Default"/>
        <w:rPr>
          <w:color w:val="000000" w:themeColor="text1"/>
          <w:sz w:val="20"/>
          <w:szCs w:val="20"/>
        </w:rPr>
      </w:pPr>
      <w:r w:rsidRPr="00B52AA3">
        <w:rPr>
          <w:color w:val="000000" w:themeColor="text1"/>
        </w:rPr>
        <w:t xml:space="preserve"> </w:t>
      </w:r>
    </w:p>
    <w:p w14:paraId="5FCF90A9" w14:textId="77777777" w:rsidR="00B52AA3" w:rsidRPr="00B52AA3" w:rsidRDefault="00B52AA3" w:rsidP="00B52AA3">
      <w:pPr>
        <w:pStyle w:val="Default"/>
        <w:rPr>
          <w:color w:val="000000" w:themeColor="text1"/>
          <w:sz w:val="22"/>
          <w:szCs w:val="22"/>
        </w:rPr>
      </w:pPr>
      <w:r w:rsidRPr="00B52AA3">
        <w:rPr>
          <w:color w:val="000000" w:themeColor="text1"/>
          <w:sz w:val="22"/>
          <w:szCs w:val="22"/>
        </w:rPr>
        <w:t xml:space="preserve">Bogotá D.C., </w:t>
      </w:r>
      <w:r w:rsidRPr="00B52AA3">
        <w:rPr>
          <w:b/>
          <w:bCs/>
          <w:color w:val="000000" w:themeColor="text1"/>
          <w:sz w:val="22"/>
          <w:szCs w:val="22"/>
        </w:rPr>
        <w:t xml:space="preserve">13/04/2020 Hora 12:43:23s </w:t>
      </w:r>
    </w:p>
    <w:p w14:paraId="4B68A41F" w14:textId="38ED89D2" w:rsidR="005675C8" w:rsidRPr="00B52AA3" w:rsidRDefault="00B52AA3" w:rsidP="00B52AA3">
      <w:pPr>
        <w:jc w:val="right"/>
        <w:rPr>
          <w:rFonts w:ascii="Arial" w:eastAsia="Calibri" w:hAnsi="Arial" w:cs="Arial"/>
          <w:color w:val="000000" w:themeColor="text1"/>
          <w:sz w:val="22"/>
        </w:rPr>
      </w:pPr>
      <w:r w:rsidRPr="00B52AA3">
        <w:rPr>
          <w:rFonts w:ascii="Arial" w:hAnsi="Arial" w:cs="Arial"/>
          <w:b/>
          <w:bCs/>
          <w:color w:val="000000" w:themeColor="text1"/>
          <w:sz w:val="22"/>
        </w:rPr>
        <w:t>N° Radicado: 2202013000002604</w:t>
      </w:r>
    </w:p>
    <w:p w14:paraId="086D1859" w14:textId="77777777" w:rsidR="005675C8" w:rsidRPr="00B52AA3" w:rsidRDefault="005675C8" w:rsidP="005675C8">
      <w:pPr>
        <w:rPr>
          <w:rFonts w:ascii="Arial" w:eastAsia="Calibri" w:hAnsi="Arial" w:cs="Arial"/>
          <w:color w:val="000000" w:themeColor="text1"/>
          <w:sz w:val="22"/>
        </w:rPr>
      </w:pPr>
    </w:p>
    <w:p w14:paraId="5C4BD510" w14:textId="7D1034A4" w:rsidR="005675C8" w:rsidRPr="00B52AA3" w:rsidRDefault="005675C8" w:rsidP="005675C8">
      <w:pPr>
        <w:rPr>
          <w:rFonts w:ascii="Arial" w:eastAsia="Calibri" w:hAnsi="Arial" w:cs="Arial"/>
          <w:color w:val="000000" w:themeColor="text1"/>
          <w:sz w:val="22"/>
        </w:rPr>
      </w:pPr>
      <w:r w:rsidRPr="00B52AA3">
        <w:rPr>
          <w:rFonts w:ascii="Arial" w:eastAsia="Calibri" w:hAnsi="Arial" w:cs="Arial"/>
          <w:color w:val="000000" w:themeColor="text1"/>
          <w:sz w:val="22"/>
        </w:rPr>
        <w:t>Señor</w:t>
      </w:r>
      <w:r w:rsidR="005F6C66" w:rsidRPr="00B52AA3">
        <w:rPr>
          <w:rFonts w:ascii="Arial" w:eastAsia="Calibri" w:hAnsi="Arial" w:cs="Arial"/>
          <w:color w:val="000000" w:themeColor="text1"/>
          <w:sz w:val="22"/>
        </w:rPr>
        <w:t>a</w:t>
      </w:r>
    </w:p>
    <w:p w14:paraId="6439B2A2" w14:textId="15646CF9" w:rsidR="005675C8" w:rsidRPr="00B52AA3" w:rsidRDefault="005F6C66" w:rsidP="005675C8">
      <w:pPr>
        <w:rPr>
          <w:rFonts w:ascii="Arial" w:eastAsia="Calibri" w:hAnsi="Arial" w:cs="Arial"/>
          <w:b/>
          <w:color w:val="000000" w:themeColor="text1"/>
          <w:sz w:val="22"/>
        </w:rPr>
      </w:pPr>
      <w:r w:rsidRPr="00B52AA3">
        <w:rPr>
          <w:rFonts w:ascii="Arial" w:eastAsia="Calibri" w:hAnsi="Arial" w:cs="Arial"/>
          <w:b/>
          <w:color w:val="000000" w:themeColor="text1"/>
          <w:sz w:val="22"/>
        </w:rPr>
        <w:t xml:space="preserve">Sonia Camargo </w:t>
      </w:r>
      <w:r w:rsidR="00F15A2B" w:rsidRPr="00B52AA3">
        <w:rPr>
          <w:rFonts w:ascii="Arial" w:eastAsia="Calibri" w:hAnsi="Arial" w:cs="Arial"/>
          <w:b/>
          <w:color w:val="000000" w:themeColor="text1"/>
          <w:sz w:val="22"/>
        </w:rPr>
        <w:t>Bernal</w:t>
      </w:r>
    </w:p>
    <w:p w14:paraId="1486D94E" w14:textId="77777777" w:rsidR="005675C8" w:rsidRPr="00B52AA3" w:rsidRDefault="005675C8" w:rsidP="005675C8">
      <w:pPr>
        <w:rPr>
          <w:rFonts w:ascii="Arial" w:eastAsia="Calibri" w:hAnsi="Arial" w:cs="Arial"/>
          <w:color w:val="000000" w:themeColor="text1"/>
          <w:sz w:val="22"/>
        </w:rPr>
      </w:pPr>
      <w:r w:rsidRPr="00B52AA3">
        <w:rPr>
          <w:rFonts w:ascii="Arial" w:eastAsia="Calibri" w:hAnsi="Arial" w:cs="Arial"/>
          <w:color w:val="000000" w:themeColor="text1"/>
          <w:sz w:val="22"/>
        </w:rPr>
        <w:t>Bogotá</w:t>
      </w:r>
    </w:p>
    <w:p w14:paraId="144B40C2" w14:textId="77777777" w:rsidR="005675C8" w:rsidRPr="00B52AA3" w:rsidRDefault="005675C8" w:rsidP="005675C8">
      <w:pPr>
        <w:rPr>
          <w:rFonts w:ascii="Arial" w:eastAsia="Calibri" w:hAnsi="Arial" w:cs="Arial"/>
          <w:color w:val="000000" w:themeColor="text1"/>
          <w:sz w:val="22"/>
        </w:rPr>
      </w:pPr>
    </w:p>
    <w:p w14:paraId="26000787" w14:textId="77777777" w:rsidR="005675C8" w:rsidRPr="00B52AA3" w:rsidRDefault="005675C8" w:rsidP="005675C8">
      <w:pPr>
        <w:rPr>
          <w:rFonts w:ascii="Arial" w:eastAsia="Calibri" w:hAnsi="Arial" w:cs="Arial"/>
          <w:color w:val="000000" w:themeColor="text1"/>
          <w:sz w:val="22"/>
        </w:rPr>
      </w:pPr>
    </w:p>
    <w:p w14:paraId="6A2D9098" w14:textId="137AD082" w:rsidR="005675C8" w:rsidRPr="00B52AA3" w:rsidRDefault="005675C8" w:rsidP="005675C8">
      <w:pPr>
        <w:ind w:firstLine="2694"/>
        <w:rPr>
          <w:rFonts w:ascii="Arial" w:eastAsia="Calibri" w:hAnsi="Arial" w:cs="Arial"/>
          <w:b/>
          <w:color w:val="000000" w:themeColor="text1"/>
          <w:sz w:val="22"/>
        </w:rPr>
      </w:pPr>
      <w:bookmarkStart w:id="2" w:name="_Hlk29890381"/>
      <w:r w:rsidRPr="00B52AA3">
        <w:rPr>
          <w:rFonts w:ascii="Arial" w:eastAsia="Calibri" w:hAnsi="Arial" w:cs="Arial"/>
          <w:b/>
          <w:color w:val="000000" w:themeColor="text1"/>
          <w:sz w:val="22"/>
        </w:rPr>
        <w:t xml:space="preserve">Concepto C ─ </w:t>
      </w:r>
      <w:r w:rsidR="00F15A2B" w:rsidRPr="00B52AA3">
        <w:rPr>
          <w:rFonts w:ascii="Arial" w:eastAsia="Calibri" w:hAnsi="Arial" w:cs="Arial"/>
          <w:b/>
          <w:color w:val="000000" w:themeColor="text1"/>
          <w:sz w:val="22"/>
        </w:rPr>
        <w:t>180</w:t>
      </w:r>
      <w:r w:rsidRPr="00B52AA3">
        <w:rPr>
          <w:rFonts w:ascii="Arial" w:eastAsia="Calibri" w:hAnsi="Arial" w:cs="Arial"/>
          <w:b/>
          <w:color w:val="000000" w:themeColor="text1"/>
          <w:sz w:val="22"/>
        </w:rPr>
        <w:t xml:space="preserve"> de 2020</w:t>
      </w:r>
    </w:p>
    <w:p w14:paraId="71110D27" w14:textId="77777777" w:rsidR="005675C8" w:rsidRPr="00B52AA3" w:rsidRDefault="005675C8" w:rsidP="005675C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2AA3" w:rsidRPr="00B52AA3" w14:paraId="75680A34" w14:textId="77777777" w:rsidTr="00EC39F1">
        <w:tc>
          <w:tcPr>
            <w:tcW w:w="2689" w:type="dxa"/>
            <w:hideMark/>
          </w:tcPr>
          <w:p w14:paraId="36328DA0" w14:textId="77777777" w:rsidR="005675C8" w:rsidRPr="00B52AA3" w:rsidRDefault="005675C8" w:rsidP="00EC39F1">
            <w:pPr>
              <w:rPr>
                <w:rFonts w:ascii="Arial" w:eastAsia="Calibri" w:hAnsi="Arial" w:cs="Arial"/>
                <w:color w:val="000000" w:themeColor="text1"/>
                <w:sz w:val="22"/>
              </w:rPr>
            </w:pPr>
            <w:r w:rsidRPr="00B52AA3">
              <w:rPr>
                <w:rFonts w:ascii="Arial" w:eastAsia="Calibri" w:hAnsi="Arial" w:cs="Arial"/>
                <w:b/>
                <w:color w:val="000000" w:themeColor="text1"/>
                <w:sz w:val="22"/>
              </w:rPr>
              <w:t>Temas:</w:t>
            </w:r>
            <w:r w:rsidRPr="00B52AA3">
              <w:rPr>
                <w:rFonts w:ascii="Arial" w:eastAsia="Calibri" w:hAnsi="Arial" w:cs="Arial"/>
                <w:color w:val="000000" w:themeColor="text1"/>
                <w:sz w:val="22"/>
              </w:rPr>
              <w:t xml:space="preserve">           </w:t>
            </w:r>
          </w:p>
          <w:p w14:paraId="4C7001B9" w14:textId="77777777" w:rsidR="005675C8" w:rsidRPr="00B52AA3" w:rsidRDefault="005675C8" w:rsidP="00EC39F1">
            <w:pPr>
              <w:rPr>
                <w:rFonts w:ascii="Arial" w:eastAsia="Calibri" w:hAnsi="Arial" w:cs="Arial"/>
                <w:color w:val="000000" w:themeColor="text1"/>
                <w:sz w:val="22"/>
              </w:rPr>
            </w:pPr>
            <w:r w:rsidRPr="00B52AA3">
              <w:rPr>
                <w:rFonts w:ascii="Arial" w:eastAsia="Calibri" w:hAnsi="Arial" w:cs="Arial"/>
                <w:color w:val="000000" w:themeColor="text1"/>
                <w:sz w:val="22"/>
              </w:rPr>
              <w:t xml:space="preserve">                           </w:t>
            </w:r>
          </w:p>
        </w:tc>
        <w:tc>
          <w:tcPr>
            <w:tcW w:w="6237" w:type="dxa"/>
            <w:hideMark/>
          </w:tcPr>
          <w:p w14:paraId="7FFF04CC" w14:textId="77777777" w:rsidR="005675C8" w:rsidRPr="00B52AA3" w:rsidRDefault="005675C8" w:rsidP="00EC39F1">
            <w:pPr>
              <w:jc w:val="both"/>
              <w:rPr>
                <w:rFonts w:ascii="Arial" w:eastAsia="Calibri" w:hAnsi="Arial" w:cs="Arial"/>
                <w:b/>
                <w:color w:val="000000" w:themeColor="text1"/>
                <w:sz w:val="21"/>
                <w:szCs w:val="21"/>
              </w:rPr>
            </w:pPr>
            <w:r w:rsidRPr="00B52AA3">
              <w:rPr>
                <w:rFonts w:ascii="Arial" w:eastAsia="Calibri" w:hAnsi="Arial" w:cs="Arial"/>
                <w:bCs/>
                <w:color w:val="000000" w:themeColor="text1"/>
                <w:sz w:val="21"/>
                <w:szCs w:val="21"/>
              </w:rPr>
              <w:t>CONTRATOS ESTATALES − Deber de control y vigilancia − Funciones de control y vigilancia / SUPERVISIÓN − Imposibilidad de ser ejercida por un contratista</w:t>
            </w:r>
          </w:p>
        </w:tc>
      </w:tr>
      <w:tr w:rsidR="005675C8" w:rsidRPr="00B52AA3" w14:paraId="73DD6F77" w14:textId="77777777" w:rsidTr="00EC39F1">
        <w:tc>
          <w:tcPr>
            <w:tcW w:w="2689" w:type="dxa"/>
          </w:tcPr>
          <w:p w14:paraId="335C7616" w14:textId="77777777" w:rsidR="005675C8" w:rsidRPr="00B52AA3" w:rsidRDefault="005675C8" w:rsidP="00EC39F1">
            <w:pPr>
              <w:rPr>
                <w:rFonts w:ascii="Arial" w:eastAsia="Calibri" w:hAnsi="Arial" w:cs="Arial"/>
                <w:b/>
                <w:color w:val="000000" w:themeColor="text1"/>
                <w:sz w:val="22"/>
              </w:rPr>
            </w:pPr>
            <w:r w:rsidRPr="00B52AA3">
              <w:rPr>
                <w:rFonts w:ascii="Arial" w:eastAsia="Calibri" w:hAnsi="Arial" w:cs="Arial"/>
                <w:b/>
                <w:color w:val="000000" w:themeColor="text1"/>
                <w:sz w:val="22"/>
              </w:rPr>
              <w:t xml:space="preserve"> Radicación:</w:t>
            </w:r>
            <w:r w:rsidRPr="00B52AA3">
              <w:rPr>
                <w:rFonts w:ascii="Arial" w:eastAsia="Calibri" w:hAnsi="Arial" w:cs="Arial"/>
                <w:color w:val="000000" w:themeColor="text1"/>
                <w:sz w:val="22"/>
              </w:rPr>
              <w:t xml:space="preserve">                              </w:t>
            </w:r>
          </w:p>
        </w:tc>
        <w:tc>
          <w:tcPr>
            <w:tcW w:w="6237" w:type="dxa"/>
          </w:tcPr>
          <w:p w14:paraId="7D2AF3F1" w14:textId="37FBDBDF" w:rsidR="005675C8" w:rsidRPr="00B52AA3" w:rsidRDefault="005675C8" w:rsidP="00EC39F1">
            <w:pPr>
              <w:jc w:val="both"/>
              <w:rPr>
                <w:rFonts w:ascii="Arial" w:eastAsia="Calibri" w:hAnsi="Arial" w:cs="Arial"/>
                <w:color w:val="000000" w:themeColor="text1"/>
                <w:sz w:val="22"/>
              </w:rPr>
            </w:pPr>
            <w:r w:rsidRPr="00B52AA3">
              <w:rPr>
                <w:rFonts w:ascii="Arial" w:eastAsia="Calibri" w:hAnsi="Arial" w:cs="Arial"/>
                <w:color w:val="000000" w:themeColor="text1"/>
                <w:sz w:val="22"/>
              </w:rPr>
              <w:t>Respuesta a consulta # 4</w:t>
            </w:r>
            <w:r w:rsidR="00AB7BE7" w:rsidRPr="00B52AA3">
              <w:rPr>
                <w:rFonts w:ascii="Arial" w:eastAsia="Calibri" w:hAnsi="Arial" w:cs="Arial"/>
                <w:color w:val="000000" w:themeColor="text1"/>
                <w:sz w:val="22"/>
              </w:rPr>
              <w:t>202012000001379</w:t>
            </w:r>
          </w:p>
        </w:tc>
      </w:tr>
    </w:tbl>
    <w:p w14:paraId="110A1F72" w14:textId="77777777" w:rsidR="005675C8" w:rsidRPr="00B52AA3" w:rsidRDefault="005675C8" w:rsidP="005675C8">
      <w:pPr>
        <w:jc w:val="both"/>
        <w:rPr>
          <w:rFonts w:ascii="Arial" w:eastAsia="Calibri" w:hAnsi="Arial" w:cs="Arial"/>
          <w:bCs/>
          <w:color w:val="000000" w:themeColor="text1"/>
          <w:sz w:val="21"/>
          <w:szCs w:val="21"/>
        </w:rPr>
      </w:pPr>
    </w:p>
    <w:p w14:paraId="4C650B97" w14:textId="2B5267A1" w:rsidR="005675C8" w:rsidRPr="00B52AA3" w:rsidRDefault="005675C8" w:rsidP="005675C8">
      <w:pPr>
        <w:rPr>
          <w:rFonts w:ascii="Arial" w:eastAsia="Calibri" w:hAnsi="Arial" w:cs="Arial"/>
          <w:color w:val="000000" w:themeColor="text1"/>
          <w:sz w:val="22"/>
        </w:rPr>
      </w:pPr>
      <w:r w:rsidRPr="00B52AA3">
        <w:rPr>
          <w:rFonts w:ascii="Arial" w:eastAsia="Calibri" w:hAnsi="Arial" w:cs="Arial"/>
          <w:color w:val="000000" w:themeColor="text1"/>
          <w:sz w:val="22"/>
        </w:rPr>
        <w:lastRenderedPageBreak/>
        <w:t>Estimada señora</w:t>
      </w:r>
      <w:r w:rsidR="00AB7BE7" w:rsidRPr="00B52AA3">
        <w:rPr>
          <w:rFonts w:ascii="Arial" w:eastAsia="Calibri" w:hAnsi="Arial" w:cs="Arial"/>
          <w:color w:val="000000" w:themeColor="text1"/>
          <w:sz w:val="22"/>
        </w:rPr>
        <w:t xml:space="preserve"> Camargo Bernal:</w:t>
      </w:r>
    </w:p>
    <w:p w14:paraId="5B7A7C04" w14:textId="77777777" w:rsidR="005675C8" w:rsidRPr="00B52AA3" w:rsidRDefault="005675C8" w:rsidP="005675C8">
      <w:pPr>
        <w:rPr>
          <w:rFonts w:ascii="Arial" w:eastAsia="Calibri" w:hAnsi="Arial" w:cs="Arial"/>
          <w:color w:val="000000" w:themeColor="text1"/>
          <w:sz w:val="22"/>
        </w:rPr>
      </w:pPr>
    </w:p>
    <w:p w14:paraId="5A98625C" w14:textId="65AB220C" w:rsidR="005675C8" w:rsidRPr="00B52AA3" w:rsidRDefault="00AB7BE7" w:rsidP="005675C8">
      <w:pPr>
        <w:spacing w:line="276" w:lineRule="auto"/>
        <w:jc w:val="both"/>
        <w:rPr>
          <w:rFonts w:ascii="Arial" w:eastAsia="Calibri" w:hAnsi="Arial" w:cs="Arial"/>
          <w:color w:val="000000" w:themeColor="text1"/>
          <w:sz w:val="22"/>
        </w:rPr>
      </w:pPr>
      <w:r w:rsidRPr="00B52AA3">
        <w:rPr>
          <w:rFonts w:ascii="Arial" w:eastAsia="Calibri" w:hAnsi="Arial" w:cs="Arial"/>
          <w:color w:val="000000" w:themeColor="text1"/>
          <w:sz w:val="22"/>
        </w:rPr>
        <w:t>En ejercicio de la competencia otorgada por el numeral 8 del artículo 11 y el numeral 5 del artículo 3 del Decreto Ley 4170 de 2011, l</w:t>
      </w:r>
      <w:r w:rsidR="005675C8" w:rsidRPr="00B52AA3">
        <w:rPr>
          <w:rFonts w:ascii="Arial" w:eastAsia="Calibri" w:hAnsi="Arial" w:cs="Arial"/>
          <w:color w:val="000000" w:themeColor="text1"/>
          <w:sz w:val="22"/>
        </w:rPr>
        <w:t xml:space="preserve">a Agencia Nacional de Contratación Pública ― Colombia Compra Eficiente responde su consulta del </w:t>
      </w:r>
      <w:r w:rsidR="00E44440" w:rsidRPr="00B52AA3">
        <w:rPr>
          <w:rFonts w:ascii="Arial" w:eastAsia="Calibri" w:hAnsi="Arial" w:cs="Arial"/>
          <w:color w:val="000000" w:themeColor="text1"/>
          <w:sz w:val="22"/>
        </w:rPr>
        <w:t xml:space="preserve">24 </w:t>
      </w:r>
      <w:r w:rsidR="005675C8" w:rsidRPr="00B52AA3">
        <w:rPr>
          <w:rFonts w:ascii="Arial" w:eastAsia="Calibri" w:hAnsi="Arial" w:cs="Arial"/>
          <w:color w:val="000000" w:themeColor="text1"/>
          <w:sz w:val="22"/>
        </w:rPr>
        <w:t xml:space="preserve">de </w:t>
      </w:r>
      <w:r w:rsidR="00E44440" w:rsidRPr="00B52AA3">
        <w:rPr>
          <w:rFonts w:ascii="Arial" w:eastAsia="Calibri" w:hAnsi="Arial" w:cs="Arial"/>
          <w:color w:val="000000" w:themeColor="text1"/>
          <w:sz w:val="22"/>
        </w:rPr>
        <w:t xml:space="preserve">febrero </w:t>
      </w:r>
      <w:r w:rsidR="005675C8" w:rsidRPr="00B52AA3">
        <w:rPr>
          <w:rFonts w:ascii="Arial" w:eastAsia="Calibri" w:hAnsi="Arial" w:cs="Arial"/>
          <w:color w:val="000000" w:themeColor="text1"/>
          <w:sz w:val="22"/>
        </w:rPr>
        <w:t xml:space="preserve">de 2020. </w:t>
      </w:r>
    </w:p>
    <w:p w14:paraId="23025B76" w14:textId="77777777" w:rsidR="005675C8" w:rsidRPr="00B52AA3" w:rsidRDefault="005675C8" w:rsidP="005675C8">
      <w:pPr>
        <w:spacing w:line="276" w:lineRule="auto"/>
        <w:jc w:val="both"/>
        <w:rPr>
          <w:rFonts w:ascii="Arial" w:eastAsia="Calibri" w:hAnsi="Arial" w:cs="Arial"/>
          <w:color w:val="000000" w:themeColor="text1"/>
          <w:sz w:val="22"/>
        </w:rPr>
      </w:pPr>
    </w:p>
    <w:p w14:paraId="2C7B70E5" w14:textId="77777777" w:rsidR="005675C8" w:rsidRPr="00B52AA3" w:rsidRDefault="005675C8" w:rsidP="005675C8">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B52AA3">
        <w:rPr>
          <w:rFonts w:ascii="Arial" w:eastAsia="Calibri" w:hAnsi="Arial" w:cs="Arial"/>
          <w:b/>
          <w:color w:val="000000" w:themeColor="text1"/>
          <w:sz w:val="22"/>
        </w:rPr>
        <w:t xml:space="preserve">Problemas planteados </w:t>
      </w:r>
    </w:p>
    <w:p w14:paraId="16A6CF6B" w14:textId="77777777" w:rsidR="005675C8" w:rsidRPr="00B52AA3" w:rsidRDefault="005675C8" w:rsidP="005675C8">
      <w:pPr>
        <w:tabs>
          <w:tab w:val="left" w:pos="426"/>
        </w:tabs>
        <w:spacing w:line="276" w:lineRule="auto"/>
        <w:jc w:val="both"/>
        <w:rPr>
          <w:rFonts w:ascii="Arial" w:eastAsia="Calibri" w:hAnsi="Arial" w:cs="Arial"/>
          <w:b/>
          <w:color w:val="000000" w:themeColor="text1"/>
          <w:sz w:val="22"/>
        </w:rPr>
      </w:pPr>
    </w:p>
    <w:p w14:paraId="187007A0" w14:textId="70F24C35" w:rsidR="005675C8" w:rsidRPr="00B52AA3" w:rsidRDefault="005675C8" w:rsidP="005675C8">
      <w:pPr>
        <w:tabs>
          <w:tab w:val="left" w:pos="426"/>
        </w:tabs>
        <w:spacing w:line="276" w:lineRule="auto"/>
        <w:jc w:val="both"/>
        <w:rPr>
          <w:rFonts w:ascii="Arial" w:eastAsia="Calibri" w:hAnsi="Arial" w:cs="Arial"/>
          <w:color w:val="000000" w:themeColor="text1"/>
          <w:sz w:val="22"/>
        </w:rPr>
      </w:pPr>
      <w:r w:rsidRPr="00B52AA3">
        <w:rPr>
          <w:rFonts w:ascii="Arial" w:eastAsia="Calibri" w:hAnsi="Arial" w:cs="Arial"/>
          <w:color w:val="000000" w:themeColor="text1"/>
          <w:sz w:val="22"/>
        </w:rPr>
        <w:t>Usted realiza la</w:t>
      </w:r>
      <w:r w:rsidR="00D07B0C" w:rsidRPr="00B52AA3">
        <w:rPr>
          <w:rFonts w:ascii="Arial" w:eastAsia="Calibri" w:hAnsi="Arial" w:cs="Arial"/>
          <w:color w:val="000000" w:themeColor="text1"/>
          <w:sz w:val="22"/>
        </w:rPr>
        <w:t>s</w:t>
      </w:r>
      <w:r w:rsidRPr="00B52AA3">
        <w:rPr>
          <w:rFonts w:ascii="Arial" w:eastAsia="Calibri" w:hAnsi="Arial" w:cs="Arial"/>
          <w:color w:val="000000" w:themeColor="text1"/>
          <w:sz w:val="22"/>
        </w:rPr>
        <w:t xml:space="preserve"> siguiente</w:t>
      </w:r>
      <w:r w:rsidR="00D07B0C" w:rsidRPr="00B52AA3">
        <w:rPr>
          <w:rFonts w:ascii="Arial" w:eastAsia="Calibri" w:hAnsi="Arial" w:cs="Arial"/>
          <w:color w:val="000000" w:themeColor="text1"/>
          <w:sz w:val="22"/>
        </w:rPr>
        <w:t>s</w:t>
      </w:r>
      <w:r w:rsidRPr="00B52AA3">
        <w:rPr>
          <w:rFonts w:ascii="Arial" w:eastAsia="Calibri" w:hAnsi="Arial" w:cs="Arial"/>
          <w:color w:val="000000" w:themeColor="text1"/>
          <w:sz w:val="22"/>
        </w:rPr>
        <w:t xml:space="preserve"> pregunta</w:t>
      </w:r>
      <w:r w:rsidR="00D07B0C" w:rsidRPr="00B52AA3">
        <w:rPr>
          <w:rFonts w:ascii="Arial" w:eastAsia="Calibri" w:hAnsi="Arial" w:cs="Arial"/>
          <w:color w:val="000000" w:themeColor="text1"/>
          <w:sz w:val="22"/>
        </w:rPr>
        <w:t>s</w:t>
      </w:r>
      <w:r w:rsidRPr="00B52AA3">
        <w:rPr>
          <w:rFonts w:ascii="Arial" w:eastAsia="Calibri" w:hAnsi="Arial" w:cs="Arial"/>
          <w:color w:val="000000" w:themeColor="text1"/>
          <w:sz w:val="22"/>
        </w:rPr>
        <w:t>:</w:t>
      </w:r>
      <w:r w:rsidR="00D07B0C" w:rsidRPr="00B52AA3">
        <w:rPr>
          <w:rFonts w:ascii="Arial" w:eastAsia="Calibri" w:hAnsi="Arial" w:cs="Arial"/>
          <w:color w:val="000000" w:themeColor="text1"/>
          <w:sz w:val="22"/>
        </w:rPr>
        <w:t xml:space="preserve"> i)</w:t>
      </w:r>
      <w:r w:rsidRPr="00B52AA3">
        <w:rPr>
          <w:rFonts w:ascii="Arial" w:eastAsia="Calibri" w:hAnsi="Arial" w:cs="Arial"/>
          <w:color w:val="000000" w:themeColor="text1"/>
          <w:sz w:val="22"/>
        </w:rPr>
        <w:t xml:space="preserve"> «¿</w:t>
      </w:r>
      <w:r w:rsidR="009620C8" w:rsidRPr="00B52AA3">
        <w:rPr>
          <w:rFonts w:ascii="Arial" w:eastAsia="Calibri" w:hAnsi="Arial" w:cs="Arial"/>
          <w:color w:val="000000" w:themeColor="text1"/>
          <w:sz w:val="22"/>
        </w:rPr>
        <w:t>el artículo 83 de la Ley 1474 de 2001, autoriza la contratación de la supervisión o lo que autoriza es contratar el apoyo a la supervisión</w:t>
      </w:r>
      <w:r w:rsidRPr="00B52AA3">
        <w:rPr>
          <w:rFonts w:ascii="Arial" w:eastAsia="Calibri" w:hAnsi="Arial" w:cs="Arial"/>
          <w:color w:val="000000" w:themeColor="text1"/>
          <w:sz w:val="22"/>
        </w:rPr>
        <w:t>?»</w:t>
      </w:r>
      <w:r w:rsidR="00D07B0C" w:rsidRPr="00B52AA3">
        <w:rPr>
          <w:rFonts w:ascii="Arial" w:eastAsia="Calibri" w:hAnsi="Arial" w:cs="Arial"/>
          <w:color w:val="000000" w:themeColor="text1"/>
          <w:sz w:val="22"/>
        </w:rPr>
        <w:t xml:space="preserve">; ii) «¿a cargo de quién esta ejercer la supervisión de los contratos o convenios, de la entidad pública o de particulares vinculados a través de contratos de prestación de servicios?»; </w:t>
      </w:r>
      <w:r w:rsidR="001C20D1" w:rsidRPr="00B52AA3">
        <w:rPr>
          <w:rFonts w:ascii="Arial" w:eastAsia="Calibri" w:hAnsi="Arial" w:cs="Arial"/>
          <w:color w:val="000000" w:themeColor="text1"/>
          <w:sz w:val="22"/>
        </w:rPr>
        <w:t xml:space="preserve">y </w:t>
      </w:r>
      <w:r w:rsidR="00D07B0C" w:rsidRPr="00B52AA3">
        <w:rPr>
          <w:rFonts w:ascii="Arial" w:eastAsia="Calibri" w:hAnsi="Arial" w:cs="Arial"/>
          <w:color w:val="000000" w:themeColor="text1"/>
          <w:sz w:val="22"/>
        </w:rPr>
        <w:t xml:space="preserve">iii) </w:t>
      </w:r>
      <w:r w:rsidR="0042719C" w:rsidRPr="00B52AA3">
        <w:rPr>
          <w:rFonts w:ascii="Arial" w:eastAsia="Calibri" w:hAnsi="Arial" w:cs="Arial"/>
          <w:color w:val="000000" w:themeColor="text1"/>
          <w:sz w:val="22"/>
        </w:rPr>
        <w:t>«¿en caso de que lo autorizado por el artículo 83 de la ley mencionada sea el apoyo a la supervisión, podrían las entidades contratar la supervisión de los contratos o convenios, y en tal caso a través de que modalidad de contratación se haría?</w:t>
      </w:r>
      <w:r w:rsidR="001C20D1" w:rsidRPr="00B52AA3">
        <w:rPr>
          <w:rFonts w:ascii="Arial" w:eastAsia="Calibri" w:hAnsi="Arial" w:cs="Arial"/>
          <w:color w:val="000000" w:themeColor="text1"/>
          <w:sz w:val="22"/>
        </w:rPr>
        <w:t>».</w:t>
      </w:r>
      <w:r w:rsidRPr="00B52AA3">
        <w:rPr>
          <w:rFonts w:ascii="Arial" w:eastAsia="Calibri" w:hAnsi="Arial" w:cs="Arial"/>
          <w:color w:val="000000" w:themeColor="text1"/>
          <w:sz w:val="22"/>
        </w:rPr>
        <w:t xml:space="preserve"> </w:t>
      </w:r>
    </w:p>
    <w:p w14:paraId="1CE1511B" w14:textId="77777777" w:rsidR="005675C8" w:rsidRPr="00B52AA3" w:rsidRDefault="005675C8" w:rsidP="005675C8">
      <w:pPr>
        <w:tabs>
          <w:tab w:val="left" w:pos="426"/>
        </w:tabs>
        <w:spacing w:line="276" w:lineRule="auto"/>
        <w:jc w:val="both"/>
        <w:rPr>
          <w:rFonts w:ascii="Arial" w:eastAsia="Calibri" w:hAnsi="Arial" w:cs="Arial"/>
          <w:color w:val="000000" w:themeColor="text1"/>
          <w:sz w:val="22"/>
        </w:rPr>
      </w:pPr>
    </w:p>
    <w:p w14:paraId="0AF13355" w14:textId="77777777" w:rsidR="005675C8" w:rsidRPr="00B52AA3" w:rsidRDefault="005675C8" w:rsidP="005675C8">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B52AA3">
        <w:rPr>
          <w:rFonts w:ascii="Arial" w:eastAsia="Calibri" w:hAnsi="Arial" w:cs="Arial"/>
          <w:b/>
          <w:color w:val="000000" w:themeColor="text1"/>
          <w:sz w:val="22"/>
        </w:rPr>
        <w:t>Consideraciones</w:t>
      </w:r>
    </w:p>
    <w:p w14:paraId="624AF208" w14:textId="77777777" w:rsidR="005675C8" w:rsidRPr="00B52AA3" w:rsidRDefault="005675C8" w:rsidP="005675C8">
      <w:pPr>
        <w:pStyle w:val="Sinespaciado"/>
        <w:spacing w:line="276" w:lineRule="auto"/>
        <w:jc w:val="both"/>
        <w:rPr>
          <w:rFonts w:ascii="Arial" w:hAnsi="Arial" w:cs="Arial"/>
          <w:color w:val="000000" w:themeColor="text1"/>
          <w:sz w:val="22"/>
        </w:rPr>
      </w:pPr>
    </w:p>
    <w:p w14:paraId="703418E9" w14:textId="3121244E" w:rsidR="005675C8" w:rsidRPr="00B52AA3" w:rsidRDefault="005675C8" w:rsidP="005675C8">
      <w:pPr>
        <w:pStyle w:val="Sinespaciado"/>
        <w:spacing w:line="276" w:lineRule="auto"/>
        <w:jc w:val="both"/>
        <w:rPr>
          <w:rFonts w:ascii="Arial" w:hAnsi="Arial" w:cs="Arial"/>
          <w:color w:val="000000" w:themeColor="text1"/>
          <w:sz w:val="22"/>
          <w:lang w:val="es-ES"/>
        </w:rPr>
      </w:pPr>
      <w:r w:rsidRPr="00B52AA3">
        <w:rPr>
          <w:rFonts w:ascii="Arial" w:hAnsi="Arial" w:cs="Arial"/>
          <w:color w:val="000000" w:themeColor="text1"/>
          <w:sz w:val="22"/>
        </w:rPr>
        <w:t xml:space="preserve">La </w:t>
      </w:r>
      <w:r w:rsidRPr="00B52AA3">
        <w:rPr>
          <w:rFonts w:ascii="Arial" w:eastAsia="Calibri" w:hAnsi="Arial" w:cs="Arial"/>
          <w:color w:val="000000" w:themeColor="text1"/>
          <w:sz w:val="22"/>
        </w:rPr>
        <w:t xml:space="preserve">Agencia Nacional de Contratación Pública ― Colombia Compra Eficiente se ha pronunciado sobre la obligación de controlar y vigilar la ejecución de los contratos estatales, en los conceptos con radicado 4201913000004799, emitido el 30 de agosto de 2019, y 4201913000008240 del 20 de diciembre de 2019, </w:t>
      </w:r>
      <w:r w:rsidR="001408D5" w:rsidRPr="00B52AA3">
        <w:rPr>
          <w:rFonts w:ascii="Arial" w:eastAsia="Calibri" w:hAnsi="Arial" w:cs="Arial"/>
          <w:color w:val="000000" w:themeColor="text1"/>
          <w:sz w:val="22"/>
        </w:rPr>
        <w:t xml:space="preserve">y, recientemente, en el concepto </w:t>
      </w:r>
      <w:r w:rsidR="00445456" w:rsidRPr="00B52AA3">
        <w:rPr>
          <w:rFonts w:ascii="Arial" w:eastAsia="Calibri" w:hAnsi="Arial" w:cs="Arial"/>
          <w:color w:val="000000" w:themeColor="text1"/>
          <w:sz w:val="22"/>
        </w:rPr>
        <w:t>C-064 de</w:t>
      </w:r>
      <w:r w:rsidR="00680650" w:rsidRPr="00B52AA3">
        <w:rPr>
          <w:rFonts w:ascii="Arial" w:eastAsia="Calibri" w:hAnsi="Arial" w:cs="Arial"/>
          <w:color w:val="000000" w:themeColor="text1"/>
          <w:sz w:val="22"/>
        </w:rPr>
        <w:t xml:space="preserve">l 28 de febrero </w:t>
      </w:r>
      <w:r w:rsidR="00445456" w:rsidRPr="00B52AA3">
        <w:rPr>
          <w:rFonts w:ascii="Arial" w:eastAsia="Calibri" w:hAnsi="Arial" w:cs="Arial"/>
          <w:color w:val="000000" w:themeColor="text1"/>
          <w:sz w:val="22"/>
        </w:rPr>
        <w:t>de 2020</w:t>
      </w:r>
      <w:r w:rsidR="00BD7AB9" w:rsidRPr="00B52AA3">
        <w:rPr>
          <w:rFonts w:ascii="Arial" w:eastAsia="Calibri" w:hAnsi="Arial" w:cs="Arial"/>
          <w:color w:val="000000" w:themeColor="text1"/>
          <w:sz w:val="22"/>
        </w:rPr>
        <w:t xml:space="preserve"> –radicado No. </w:t>
      </w:r>
      <w:r w:rsidR="00680650" w:rsidRPr="00B52AA3">
        <w:rPr>
          <w:rFonts w:ascii="Arial" w:eastAsia="Calibri" w:hAnsi="Arial" w:cs="Arial"/>
          <w:color w:val="000000" w:themeColor="text1"/>
          <w:sz w:val="22"/>
        </w:rPr>
        <w:t>2202013000001430–</w:t>
      </w:r>
      <w:r w:rsidR="00BD7AB9" w:rsidRPr="00B52AA3">
        <w:rPr>
          <w:rFonts w:ascii="Arial" w:eastAsia="Calibri" w:hAnsi="Arial" w:cs="Arial"/>
          <w:color w:val="000000" w:themeColor="text1"/>
          <w:sz w:val="22"/>
        </w:rPr>
        <w:t xml:space="preserve">, </w:t>
      </w:r>
      <w:r w:rsidRPr="00B52AA3">
        <w:rPr>
          <w:rFonts w:ascii="Arial" w:eastAsia="Calibri" w:hAnsi="Arial" w:cs="Arial"/>
          <w:color w:val="000000" w:themeColor="text1"/>
          <w:sz w:val="22"/>
        </w:rPr>
        <w:t xml:space="preserve">por lo que se reiteran dichas consideraciones. </w:t>
      </w:r>
      <w:r w:rsidRPr="00B52AA3">
        <w:rPr>
          <w:rFonts w:ascii="Arial" w:hAnsi="Arial" w:cs="Arial"/>
          <w:color w:val="000000" w:themeColor="text1"/>
          <w:sz w:val="22"/>
        </w:rPr>
        <w:t>En tal sentido, para absolver la consulta se analizará: i) la obligación de vigilar la correcta ejecución del objeto contratado; y</w:t>
      </w:r>
      <w:r w:rsidRPr="00B52AA3">
        <w:rPr>
          <w:rFonts w:ascii="Arial" w:hAnsi="Arial" w:cs="Arial"/>
          <w:bCs/>
          <w:color w:val="000000" w:themeColor="text1"/>
          <w:sz w:val="22"/>
        </w:rPr>
        <w:t xml:space="preserve"> ii) la supervisión en los contratos estatales. </w:t>
      </w:r>
    </w:p>
    <w:p w14:paraId="19AC9417" w14:textId="77777777" w:rsidR="005675C8" w:rsidRPr="00B52AA3" w:rsidRDefault="005675C8" w:rsidP="005675C8">
      <w:pPr>
        <w:pStyle w:val="Sinespaciado"/>
        <w:spacing w:line="276" w:lineRule="auto"/>
        <w:jc w:val="both"/>
        <w:rPr>
          <w:rFonts w:ascii="Arial" w:hAnsi="Arial" w:cs="Arial"/>
          <w:color w:val="000000" w:themeColor="text1"/>
          <w:sz w:val="22"/>
        </w:rPr>
      </w:pPr>
    </w:p>
    <w:p w14:paraId="0CB9EA22" w14:textId="77777777" w:rsidR="005675C8" w:rsidRPr="00B52AA3" w:rsidRDefault="005675C8" w:rsidP="005675C8">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B52AA3">
        <w:rPr>
          <w:rFonts w:ascii="Arial" w:hAnsi="Arial" w:cs="Arial"/>
          <w:b/>
          <w:color w:val="000000" w:themeColor="text1"/>
          <w:sz w:val="22"/>
        </w:rPr>
        <w:t xml:space="preserve">La obligación de controlar y vigilar la correcta ejecución del objeto contratado </w:t>
      </w:r>
    </w:p>
    <w:p w14:paraId="5357E188" w14:textId="77777777" w:rsidR="005675C8" w:rsidRPr="00B52AA3" w:rsidRDefault="005675C8" w:rsidP="005675C8">
      <w:pPr>
        <w:pStyle w:val="Sinespaciado"/>
        <w:spacing w:line="276" w:lineRule="auto"/>
        <w:ind w:left="567"/>
        <w:jc w:val="both"/>
        <w:rPr>
          <w:rFonts w:ascii="Arial" w:hAnsi="Arial" w:cs="Arial"/>
          <w:b/>
          <w:color w:val="000000" w:themeColor="text1"/>
          <w:sz w:val="22"/>
        </w:rPr>
      </w:pPr>
    </w:p>
    <w:p w14:paraId="6D740DAC" w14:textId="635E8791" w:rsidR="005675C8" w:rsidRPr="00B52AA3" w:rsidRDefault="005675C8" w:rsidP="005675C8">
      <w:pPr>
        <w:pStyle w:val="Sinespaciado"/>
        <w:spacing w:before="120" w:line="276" w:lineRule="auto"/>
        <w:jc w:val="both"/>
        <w:rPr>
          <w:rFonts w:ascii="Arial" w:hAnsi="Arial" w:cs="Arial"/>
          <w:bCs/>
          <w:color w:val="000000" w:themeColor="text1"/>
          <w:sz w:val="22"/>
        </w:rPr>
      </w:pPr>
      <w:r w:rsidRPr="00B52AA3">
        <w:rPr>
          <w:rFonts w:ascii="Arial" w:hAnsi="Arial" w:cs="Arial"/>
          <w:bCs/>
          <w:color w:val="000000" w:themeColor="text1"/>
          <w:sz w:val="22"/>
        </w:rPr>
        <w:t>El Estado acude a la contratación de bienes, obras y servicios para cumplir los fines que</w:t>
      </w:r>
      <w:r w:rsidR="0032057F" w:rsidRPr="00B52AA3">
        <w:rPr>
          <w:rFonts w:ascii="Arial" w:hAnsi="Arial" w:cs="Arial"/>
          <w:bCs/>
          <w:color w:val="000000" w:themeColor="text1"/>
          <w:sz w:val="22"/>
        </w:rPr>
        <w:t xml:space="preserve"> le</w:t>
      </w:r>
      <w:r w:rsidRPr="00B52AA3">
        <w:rPr>
          <w:rFonts w:ascii="Arial" w:hAnsi="Arial" w:cs="Arial"/>
          <w:bCs/>
          <w:color w:val="000000" w:themeColor="text1"/>
          <w:sz w:val="22"/>
        </w:rPr>
        <w:t xml:space="preserve"> impone el ordenamiento jurídico, la continuidad y eficiente prestación de los servicios públicos y la efectividad de los derechos e intereses de los administrados y de quienes colaboran en la consecución de dichos fines</w:t>
      </w:r>
      <w:r w:rsidRPr="00B52AA3">
        <w:rPr>
          <w:rStyle w:val="Refdenotaalpie"/>
          <w:rFonts w:ascii="Arial" w:hAnsi="Arial" w:cs="Arial"/>
          <w:bCs/>
          <w:color w:val="000000" w:themeColor="text1"/>
          <w:sz w:val="22"/>
        </w:rPr>
        <w:footnoteReference w:id="1"/>
      </w:r>
      <w:r w:rsidRPr="00B52AA3">
        <w:rPr>
          <w:rFonts w:ascii="Arial" w:hAnsi="Arial" w:cs="Arial"/>
          <w:bCs/>
          <w:color w:val="000000" w:themeColor="text1"/>
          <w:sz w:val="22"/>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w:t>
      </w:r>
      <w:r w:rsidRPr="00B52AA3">
        <w:rPr>
          <w:rFonts w:ascii="Arial" w:hAnsi="Arial" w:cs="Arial"/>
          <w:bCs/>
          <w:color w:val="000000" w:themeColor="text1"/>
          <w:sz w:val="22"/>
        </w:rPr>
        <w:lastRenderedPageBreak/>
        <w:t xml:space="preserve">de que las finalidades perseguidas con la celebración de los negocios jurídicos se logren de manera satisfactoria. </w:t>
      </w:r>
    </w:p>
    <w:p w14:paraId="183D7593" w14:textId="77777777" w:rsidR="005675C8" w:rsidRPr="00B52AA3" w:rsidRDefault="005675C8" w:rsidP="005675C8">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Es por esto que el estatuto contractual alude a la obligación mencionada, la cual guarda relación con el principio de responsabilidad que rige la celebración y ejecución de los contratos estatales. Así, por ejemplo, los artículos 4, 5, 12, 14 y 26 de la Ley 80 de 1993 consagran normas relacionadas con el control y vigilancia de la ejecución del contrato.</w:t>
      </w:r>
    </w:p>
    <w:p w14:paraId="08D44612" w14:textId="6E518506" w:rsidR="005675C8" w:rsidRPr="00B52AA3" w:rsidRDefault="005675C8" w:rsidP="005675C8">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 xml:space="preserve">Las normas en cita establecen, entre otras cuestiones, la obligación de la entidad estatal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5290E6D2" w14:textId="77777777" w:rsidR="005675C8" w:rsidRPr="00B52AA3" w:rsidRDefault="005675C8" w:rsidP="005675C8">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En ese sentido, las entidades estatales deben ejercer el control de la ejecución del contrato y, de ser el caso, tomar medidas para exigir el adecuado cumplimiento.</w:t>
      </w:r>
    </w:p>
    <w:p w14:paraId="1BF3EEAB" w14:textId="48692360" w:rsidR="005675C8" w:rsidRPr="00B52AA3" w:rsidRDefault="005675C8" w:rsidP="005675C8">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Las Leyes 1150 de 2007 y 1474 de 2011 complementan el régimen jurídico de la obligación de vigilar la ejecución de los contratos estatales. Allí se impone</w:t>
      </w:r>
      <w:r w:rsidR="008E4956" w:rsidRPr="00B52AA3">
        <w:rPr>
          <w:rFonts w:ascii="Arial" w:hAnsi="Arial" w:cs="Arial"/>
          <w:bCs/>
          <w:color w:val="000000" w:themeColor="text1"/>
          <w:sz w:val="22"/>
        </w:rPr>
        <w:t>, entre otros postulados,</w:t>
      </w:r>
      <w:r w:rsidRPr="00B52AA3">
        <w:rPr>
          <w:rFonts w:ascii="Arial" w:hAnsi="Arial" w:cs="Arial"/>
          <w:bCs/>
          <w:color w:val="000000" w:themeColor="text1"/>
          <w:sz w:val="22"/>
        </w:rPr>
        <w:t xml:space="preserv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B52AA3">
        <w:rPr>
          <w:rStyle w:val="Refdenotaalpie"/>
          <w:rFonts w:ascii="Arial" w:hAnsi="Arial" w:cs="Arial"/>
          <w:bCs/>
          <w:color w:val="000000" w:themeColor="text1"/>
          <w:sz w:val="22"/>
        </w:rPr>
        <w:footnoteReference w:id="2"/>
      </w:r>
      <w:r w:rsidRPr="00B52AA3">
        <w:rPr>
          <w:rFonts w:ascii="Arial" w:hAnsi="Arial" w:cs="Arial"/>
          <w:bCs/>
          <w:color w:val="000000" w:themeColor="text1"/>
          <w:sz w:val="22"/>
        </w:rPr>
        <w:t>. También se establecen los límites de la responsabilidad del representante legal ante la delegación de sus funciones en materia contractual</w:t>
      </w:r>
      <w:r w:rsidRPr="00B52AA3">
        <w:rPr>
          <w:rStyle w:val="Refdenotaalpie"/>
          <w:rFonts w:ascii="Arial" w:hAnsi="Arial" w:cs="Arial"/>
          <w:bCs/>
          <w:color w:val="000000" w:themeColor="text1"/>
          <w:sz w:val="22"/>
        </w:rPr>
        <w:footnoteReference w:id="3"/>
      </w:r>
      <w:r w:rsidRPr="00B52AA3">
        <w:rPr>
          <w:rFonts w:ascii="Arial" w:hAnsi="Arial" w:cs="Arial"/>
          <w:bCs/>
          <w:color w:val="000000" w:themeColor="text1"/>
          <w:sz w:val="22"/>
        </w:rPr>
        <w:t xml:space="preserve"> y se regula la supervisión y la interventoría de los contratos estatales</w:t>
      </w:r>
      <w:r w:rsidRPr="00B52AA3">
        <w:rPr>
          <w:rStyle w:val="Refdenotaalpie"/>
          <w:rFonts w:ascii="Arial" w:hAnsi="Arial" w:cs="Arial"/>
          <w:bCs/>
          <w:color w:val="000000" w:themeColor="text1"/>
          <w:sz w:val="22"/>
        </w:rPr>
        <w:footnoteReference w:id="4"/>
      </w:r>
      <w:r w:rsidRPr="00B52AA3">
        <w:rPr>
          <w:rFonts w:ascii="Arial" w:hAnsi="Arial" w:cs="Arial"/>
          <w:bCs/>
          <w:color w:val="000000" w:themeColor="text1"/>
          <w:sz w:val="22"/>
        </w:rPr>
        <w:t xml:space="preserve">.  </w:t>
      </w:r>
    </w:p>
    <w:p w14:paraId="7817CA91" w14:textId="77777777" w:rsidR="005675C8" w:rsidRPr="00B52AA3" w:rsidRDefault="005675C8" w:rsidP="005675C8">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43C32293" w14:textId="77777777" w:rsidR="005675C8" w:rsidRPr="00B52AA3" w:rsidRDefault="005675C8" w:rsidP="005675C8">
      <w:pPr>
        <w:pStyle w:val="Sinespaciado"/>
        <w:spacing w:line="276" w:lineRule="auto"/>
        <w:jc w:val="both"/>
        <w:rPr>
          <w:rFonts w:ascii="Arial" w:hAnsi="Arial" w:cs="Arial"/>
          <w:bCs/>
          <w:color w:val="000000" w:themeColor="text1"/>
        </w:rPr>
      </w:pPr>
      <w:r w:rsidRPr="00B52AA3">
        <w:rPr>
          <w:rFonts w:ascii="Arial" w:hAnsi="Arial" w:cs="Arial"/>
          <w:bCs/>
          <w:color w:val="000000" w:themeColor="text1"/>
        </w:rPr>
        <w:t xml:space="preserve"> </w:t>
      </w:r>
    </w:p>
    <w:p w14:paraId="30122BA8" w14:textId="77777777" w:rsidR="005675C8" w:rsidRPr="00B52AA3" w:rsidRDefault="005675C8" w:rsidP="005675C8">
      <w:pPr>
        <w:pStyle w:val="Sinespaciado"/>
        <w:ind w:left="709" w:right="709"/>
        <w:jc w:val="both"/>
        <w:rPr>
          <w:rFonts w:ascii="Arial" w:hAnsi="Arial" w:cs="Arial"/>
          <w:bCs/>
          <w:color w:val="000000" w:themeColor="text1"/>
          <w:sz w:val="21"/>
          <w:szCs w:val="21"/>
          <w:lang w:val="es-CO"/>
        </w:rPr>
      </w:pPr>
      <w:r w:rsidRPr="00B52AA3">
        <w:rPr>
          <w:rFonts w:ascii="Arial" w:hAnsi="Arial" w:cs="Arial"/>
          <w:bCs/>
          <w:color w:val="000000" w:themeColor="text1"/>
          <w:sz w:val="21"/>
          <w:szCs w:val="21"/>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w:t>
      </w:r>
      <w:r w:rsidRPr="00B52AA3">
        <w:rPr>
          <w:rFonts w:ascii="Arial" w:hAnsi="Arial" w:cs="Arial"/>
          <w:bCs/>
          <w:color w:val="000000" w:themeColor="text1"/>
          <w:sz w:val="21"/>
          <w:szCs w:val="21"/>
        </w:rPr>
        <w:lastRenderedPageBreak/>
        <w:t>garantizar la satisfacción de las necesidades que la administración buscaba alcanzar con la celebración del respectivo contrato”</w:t>
      </w:r>
      <w:r w:rsidRPr="00B52AA3">
        <w:rPr>
          <w:rStyle w:val="Refdenotaalpie"/>
          <w:rFonts w:ascii="Arial" w:hAnsi="Arial" w:cs="Arial"/>
          <w:bCs/>
          <w:color w:val="000000" w:themeColor="text1"/>
          <w:sz w:val="21"/>
          <w:szCs w:val="21"/>
        </w:rPr>
        <w:footnoteReference w:id="5"/>
      </w:r>
      <w:r w:rsidRPr="00B52AA3">
        <w:rPr>
          <w:rFonts w:ascii="Arial" w:hAnsi="Arial" w:cs="Arial"/>
          <w:bCs/>
          <w:color w:val="000000" w:themeColor="text1"/>
          <w:sz w:val="21"/>
          <w:szCs w:val="21"/>
        </w:rPr>
        <w:t>.</w:t>
      </w:r>
    </w:p>
    <w:p w14:paraId="4421A618" w14:textId="77777777" w:rsidR="005675C8" w:rsidRPr="00B52AA3" w:rsidRDefault="005675C8" w:rsidP="005675C8">
      <w:pPr>
        <w:pStyle w:val="Sinespaciado"/>
        <w:spacing w:line="276" w:lineRule="auto"/>
        <w:jc w:val="both"/>
        <w:rPr>
          <w:rFonts w:ascii="Arial" w:hAnsi="Arial" w:cs="Arial"/>
          <w:bCs/>
          <w:color w:val="000000" w:themeColor="text1"/>
          <w:lang w:val="es-ES"/>
        </w:rPr>
      </w:pPr>
    </w:p>
    <w:p w14:paraId="59EDCD4B" w14:textId="77777777" w:rsidR="005675C8" w:rsidRPr="00B52AA3" w:rsidRDefault="005675C8" w:rsidP="005675C8">
      <w:pPr>
        <w:pStyle w:val="Sinespaciado"/>
        <w:spacing w:line="276" w:lineRule="auto"/>
        <w:ind w:firstLine="567"/>
        <w:jc w:val="both"/>
        <w:rPr>
          <w:rFonts w:ascii="Arial" w:hAnsi="Arial" w:cs="Arial"/>
          <w:bCs/>
          <w:color w:val="000000" w:themeColor="text1"/>
          <w:sz w:val="22"/>
        </w:rPr>
      </w:pPr>
      <w:r w:rsidRPr="00B52AA3">
        <w:rPr>
          <w:rFonts w:ascii="Arial" w:hAnsi="Arial" w:cs="Arial"/>
          <w:bCs/>
          <w:color w:val="000000" w:themeColor="text1"/>
          <w:sz w:val="22"/>
        </w:rPr>
        <w:t>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12E9A9A4" w14:textId="77777777" w:rsidR="005675C8" w:rsidRPr="00B52AA3" w:rsidRDefault="005675C8" w:rsidP="005675C8">
      <w:pPr>
        <w:pStyle w:val="Sinespaciado"/>
        <w:spacing w:line="276" w:lineRule="auto"/>
        <w:jc w:val="both"/>
        <w:rPr>
          <w:rFonts w:ascii="Arial" w:hAnsi="Arial" w:cs="Arial"/>
          <w:b/>
          <w:color w:val="000000" w:themeColor="text1"/>
          <w:sz w:val="22"/>
        </w:rPr>
      </w:pPr>
    </w:p>
    <w:p w14:paraId="291DA191" w14:textId="77777777" w:rsidR="005675C8" w:rsidRPr="00B52AA3" w:rsidRDefault="005675C8" w:rsidP="005675C8">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B52AA3">
        <w:rPr>
          <w:rFonts w:ascii="Arial" w:hAnsi="Arial" w:cs="Arial"/>
          <w:b/>
          <w:color w:val="000000" w:themeColor="text1"/>
          <w:sz w:val="22"/>
        </w:rPr>
        <w:t xml:space="preserve">La supervisión en los contratos estatales </w:t>
      </w:r>
    </w:p>
    <w:p w14:paraId="70CBF8DC" w14:textId="77777777" w:rsidR="005675C8" w:rsidRPr="00B52AA3" w:rsidRDefault="005675C8" w:rsidP="005675C8">
      <w:pPr>
        <w:pStyle w:val="Sinespaciado"/>
        <w:spacing w:line="276" w:lineRule="auto"/>
        <w:ind w:left="567"/>
        <w:jc w:val="both"/>
        <w:rPr>
          <w:rFonts w:ascii="Arial" w:hAnsi="Arial" w:cs="Arial"/>
          <w:color w:val="000000" w:themeColor="text1"/>
          <w:sz w:val="22"/>
        </w:rPr>
      </w:pPr>
    </w:p>
    <w:p w14:paraId="5C17112C" w14:textId="77777777" w:rsidR="005675C8" w:rsidRPr="00B52AA3" w:rsidRDefault="005675C8" w:rsidP="005675C8">
      <w:pPr>
        <w:pStyle w:val="Sinespaciado"/>
        <w:spacing w:line="276" w:lineRule="auto"/>
        <w:jc w:val="both"/>
        <w:rPr>
          <w:rFonts w:ascii="Arial" w:hAnsi="Arial" w:cs="Arial"/>
          <w:color w:val="000000" w:themeColor="text1"/>
          <w:sz w:val="22"/>
        </w:rPr>
      </w:pPr>
      <w:r w:rsidRPr="00B52AA3">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B52AA3">
        <w:rPr>
          <w:rFonts w:ascii="Arial" w:hAnsi="Arial" w:cs="Arial"/>
          <w:i/>
          <w:iCs/>
          <w:color w:val="000000" w:themeColor="text1"/>
          <w:sz w:val="22"/>
        </w:rPr>
        <w:t xml:space="preserve">ibidem </w:t>
      </w:r>
      <w:r w:rsidRPr="00B52AA3">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B52AA3">
        <w:rPr>
          <w:rFonts w:ascii="Arial" w:hAnsi="Arial" w:cs="Arial"/>
          <w:i/>
          <w:iCs/>
          <w:color w:val="000000" w:themeColor="text1"/>
          <w:sz w:val="22"/>
        </w:rPr>
        <w:t>supervisión</w:t>
      </w:r>
      <w:r w:rsidRPr="00B52AA3">
        <w:rPr>
          <w:rFonts w:ascii="Arial" w:hAnsi="Arial" w:cs="Arial"/>
          <w:color w:val="000000" w:themeColor="text1"/>
          <w:sz w:val="22"/>
        </w:rPr>
        <w:t xml:space="preserve"> e </w:t>
      </w:r>
      <w:r w:rsidRPr="00B52AA3">
        <w:rPr>
          <w:rFonts w:ascii="Arial" w:hAnsi="Arial" w:cs="Arial"/>
          <w:i/>
          <w:iCs/>
          <w:color w:val="000000" w:themeColor="text1"/>
          <w:sz w:val="22"/>
        </w:rPr>
        <w:t>interventoría</w:t>
      </w:r>
      <w:r w:rsidRPr="00B52AA3">
        <w:rPr>
          <w:rFonts w:ascii="Arial" w:hAnsi="Arial" w:cs="Arial"/>
          <w:color w:val="000000" w:themeColor="text1"/>
          <w:sz w:val="22"/>
        </w:rPr>
        <w:t xml:space="preserve">, como mecanismos que pueden usar las entidades estatales para vigilar el contrato, en estos términos: </w:t>
      </w:r>
    </w:p>
    <w:p w14:paraId="7BFAAB8F" w14:textId="77777777" w:rsidR="005675C8" w:rsidRPr="00B52AA3" w:rsidRDefault="005675C8" w:rsidP="005675C8">
      <w:pPr>
        <w:pStyle w:val="Sinespaciado"/>
        <w:spacing w:line="276" w:lineRule="auto"/>
        <w:jc w:val="both"/>
        <w:rPr>
          <w:rFonts w:ascii="Arial" w:hAnsi="Arial" w:cs="Arial"/>
          <w:color w:val="000000" w:themeColor="text1"/>
        </w:rPr>
      </w:pPr>
    </w:p>
    <w:p w14:paraId="5A948056"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E0C58F5" w14:textId="77777777" w:rsidR="005675C8" w:rsidRPr="00B52AA3" w:rsidRDefault="005675C8" w:rsidP="005675C8">
      <w:pPr>
        <w:pStyle w:val="Sinespaciado"/>
        <w:ind w:left="709" w:right="709"/>
        <w:jc w:val="both"/>
        <w:rPr>
          <w:rFonts w:ascii="Arial" w:hAnsi="Arial" w:cs="Arial"/>
          <w:color w:val="000000" w:themeColor="text1"/>
          <w:sz w:val="21"/>
          <w:szCs w:val="21"/>
        </w:rPr>
      </w:pPr>
    </w:p>
    <w:p w14:paraId="0ABD7032"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w:t>
      </w:r>
      <w:r w:rsidRPr="00B52AA3">
        <w:rPr>
          <w:rFonts w:ascii="Arial" w:hAnsi="Arial" w:cs="Arial"/>
          <w:color w:val="000000" w:themeColor="text1"/>
          <w:sz w:val="21"/>
          <w:szCs w:val="21"/>
        </w:rPr>
        <w:lastRenderedPageBreak/>
        <w:t>administrativo, técnico, financiero, contable, jurídico del objeto o contrato dentro de la interventoría.</w:t>
      </w:r>
    </w:p>
    <w:p w14:paraId="2085E2B1" w14:textId="77777777" w:rsidR="005675C8" w:rsidRPr="00B52AA3" w:rsidRDefault="005675C8" w:rsidP="005675C8">
      <w:pPr>
        <w:pStyle w:val="Sinespaciado"/>
        <w:spacing w:line="276" w:lineRule="auto"/>
        <w:jc w:val="both"/>
        <w:rPr>
          <w:rFonts w:ascii="Arial" w:hAnsi="Arial" w:cs="Arial"/>
          <w:color w:val="000000" w:themeColor="text1"/>
          <w:lang w:val="es-ES"/>
        </w:rPr>
      </w:pPr>
    </w:p>
    <w:p w14:paraId="4B566070" w14:textId="77777777" w:rsidR="005675C8" w:rsidRPr="00B52AA3" w:rsidRDefault="005675C8" w:rsidP="005675C8">
      <w:pPr>
        <w:pStyle w:val="Sinespaciado"/>
        <w:spacing w:line="276" w:lineRule="auto"/>
        <w:ind w:firstLine="708"/>
        <w:jc w:val="both"/>
        <w:rPr>
          <w:rFonts w:ascii="Arial" w:hAnsi="Arial" w:cs="Arial"/>
          <w:color w:val="000000" w:themeColor="text1"/>
          <w:sz w:val="22"/>
        </w:rPr>
      </w:pPr>
      <w:r w:rsidRPr="00B52AA3">
        <w:rPr>
          <w:rFonts w:ascii="Arial" w:hAnsi="Arial" w:cs="Arial"/>
          <w:color w:val="000000" w:themeColor="text1"/>
          <w:sz w:val="22"/>
        </w:rPr>
        <w:t>Del primer concepto, según lo expresado por esta entidad</w:t>
      </w:r>
      <w:r w:rsidRPr="00B52AA3">
        <w:rPr>
          <w:rStyle w:val="Refdenotaalpie"/>
          <w:rFonts w:ascii="Arial" w:hAnsi="Arial" w:cs="Arial"/>
          <w:color w:val="000000" w:themeColor="text1"/>
          <w:sz w:val="22"/>
        </w:rPr>
        <w:footnoteReference w:id="6"/>
      </w:r>
      <w:r w:rsidRPr="00B52AA3">
        <w:rPr>
          <w:rFonts w:ascii="Arial" w:hAnsi="Arial" w:cs="Arial"/>
          <w:color w:val="000000" w:themeColor="text1"/>
          <w:sz w:val="22"/>
        </w:rPr>
        <w:t xml:space="preserve">, se extractan las siguientes características: </w:t>
      </w:r>
    </w:p>
    <w:p w14:paraId="4BBE951C" w14:textId="77777777" w:rsidR="005675C8" w:rsidRPr="00B52AA3" w:rsidRDefault="005675C8" w:rsidP="005675C8">
      <w:pPr>
        <w:pStyle w:val="Sinespaciado"/>
        <w:spacing w:line="276" w:lineRule="auto"/>
        <w:jc w:val="both"/>
        <w:rPr>
          <w:rFonts w:ascii="Arial" w:hAnsi="Arial" w:cs="Arial"/>
          <w:color w:val="000000" w:themeColor="text1"/>
        </w:rPr>
      </w:pPr>
    </w:p>
    <w:p w14:paraId="696B26A4" w14:textId="3A772A6B" w:rsidR="005675C8" w:rsidRPr="00B52AA3" w:rsidRDefault="00EB113F" w:rsidP="000A7B25">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xml:space="preserve">- </w:t>
      </w:r>
      <w:r w:rsidR="005675C8" w:rsidRPr="00B52AA3">
        <w:rPr>
          <w:rFonts w:ascii="Arial" w:hAnsi="Arial" w:cs="Arial"/>
          <w:color w:val="000000" w:themeColor="text1"/>
          <w:sz w:val="21"/>
          <w:szCs w:val="21"/>
        </w:rPr>
        <w:t>La labor de supervisión siempre existirá en relación con cualquier contrato estatal (a diferencia de la interventoría que depende del análisis de su necesidad y extensión</w:t>
      </w:r>
      <w:r w:rsidR="005675C8" w:rsidRPr="00B52AA3">
        <w:rPr>
          <w:rStyle w:val="Refdenotaalpie"/>
          <w:rFonts w:ascii="Arial" w:hAnsi="Arial" w:cs="Arial"/>
          <w:color w:val="000000" w:themeColor="text1"/>
          <w:sz w:val="21"/>
          <w:szCs w:val="21"/>
        </w:rPr>
        <w:footnoteReference w:id="7"/>
      </w:r>
      <w:r w:rsidR="005675C8" w:rsidRPr="00B52AA3">
        <w:rPr>
          <w:rFonts w:ascii="Arial" w:hAnsi="Arial" w:cs="Arial"/>
          <w:color w:val="000000" w:themeColor="text1"/>
          <w:sz w:val="21"/>
          <w:szCs w:val="21"/>
        </w:rPr>
        <w:t>).</w:t>
      </w:r>
    </w:p>
    <w:p w14:paraId="4EB648C1" w14:textId="20B54FBD" w:rsidR="005675C8" w:rsidRPr="00B52AA3" w:rsidRDefault="00EB113F" w:rsidP="000A7B25">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xml:space="preserve">- </w:t>
      </w:r>
      <w:r w:rsidR="005675C8" w:rsidRPr="00B52AA3">
        <w:rPr>
          <w:rFonts w:ascii="Arial" w:hAnsi="Arial" w:cs="Arial"/>
          <w:color w:val="000000" w:themeColor="text1"/>
          <w:sz w:val="21"/>
          <w:szCs w:val="21"/>
        </w:rPr>
        <w:t>No requiere conocimientos especializados.</w:t>
      </w:r>
    </w:p>
    <w:p w14:paraId="4211F286" w14:textId="66C0D41C" w:rsidR="005675C8" w:rsidRPr="00B52AA3" w:rsidRDefault="00EB113F" w:rsidP="000A7B25">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xml:space="preserve">- </w:t>
      </w:r>
      <w:r w:rsidR="005675C8" w:rsidRPr="00B52AA3">
        <w:rPr>
          <w:rFonts w:ascii="Arial" w:hAnsi="Arial" w:cs="Arial"/>
          <w:color w:val="000000" w:themeColor="text1"/>
          <w:sz w:val="21"/>
          <w:szCs w:val="21"/>
        </w:rPr>
        <w:t>Se ejerce por la entidad estatal por conducto de la designación de servidores públicos idóneos para cumplir la función.</w:t>
      </w:r>
    </w:p>
    <w:p w14:paraId="4591D36C" w14:textId="0E9616D5" w:rsidR="005675C8" w:rsidRPr="00B52AA3" w:rsidRDefault="00EB113F" w:rsidP="000A7B25">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xml:space="preserve">- </w:t>
      </w:r>
      <w:r w:rsidR="005675C8" w:rsidRPr="00B52AA3">
        <w:rPr>
          <w:rFonts w:ascii="Arial" w:hAnsi="Arial" w:cs="Arial"/>
          <w:color w:val="000000" w:themeColor="text1"/>
          <w:sz w:val="21"/>
          <w:szCs w:val="21"/>
        </w:rPr>
        <w:t>Puede recibir apoyo de personal contratado para tal fin mediante contrato de prestación de servicios.</w:t>
      </w:r>
    </w:p>
    <w:p w14:paraId="0668C0C9" w14:textId="77777777" w:rsidR="005675C8" w:rsidRPr="00B52AA3" w:rsidRDefault="005675C8" w:rsidP="005675C8">
      <w:pPr>
        <w:pStyle w:val="Sinespaciado"/>
        <w:spacing w:line="276" w:lineRule="auto"/>
        <w:ind w:firstLine="708"/>
        <w:jc w:val="both"/>
        <w:rPr>
          <w:rFonts w:ascii="Arial" w:hAnsi="Arial" w:cs="Arial"/>
          <w:color w:val="000000" w:themeColor="text1"/>
          <w:sz w:val="22"/>
        </w:rPr>
      </w:pPr>
    </w:p>
    <w:p w14:paraId="7BB89DBB" w14:textId="77777777" w:rsidR="005675C8" w:rsidRPr="00B52AA3" w:rsidRDefault="005675C8" w:rsidP="005675C8">
      <w:pPr>
        <w:pStyle w:val="Sinespaciado"/>
        <w:spacing w:line="276" w:lineRule="auto"/>
        <w:ind w:firstLine="708"/>
        <w:jc w:val="both"/>
        <w:rPr>
          <w:rFonts w:ascii="Arial" w:hAnsi="Arial" w:cs="Arial"/>
          <w:color w:val="000000" w:themeColor="text1"/>
          <w:sz w:val="22"/>
        </w:rPr>
      </w:pPr>
      <w:r w:rsidRPr="00B52AA3">
        <w:rPr>
          <w:rFonts w:ascii="Arial" w:hAnsi="Arial" w:cs="Arial"/>
          <w:color w:val="000000" w:themeColor="text1"/>
          <w:sz w:val="22"/>
        </w:rPr>
        <w:t xml:space="preserve">En relación con las definiciones de </w:t>
      </w:r>
      <w:r w:rsidRPr="00B52AA3">
        <w:rPr>
          <w:rFonts w:ascii="Arial" w:hAnsi="Arial" w:cs="Arial"/>
          <w:i/>
          <w:iCs/>
          <w:color w:val="000000" w:themeColor="text1"/>
          <w:sz w:val="22"/>
        </w:rPr>
        <w:t xml:space="preserve">supervisión </w:t>
      </w:r>
      <w:r w:rsidRPr="00B52AA3">
        <w:rPr>
          <w:rFonts w:ascii="Arial" w:hAnsi="Arial" w:cs="Arial"/>
          <w:color w:val="000000" w:themeColor="text1"/>
          <w:sz w:val="22"/>
        </w:rPr>
        <w:t xml:space="preserve">e </w:t>
      </w:r>
      <w:r w:rsidRPr="00B52AA3">
        <w:rPr>
          <w:rFonts w:ascii="Arial" w:hAnsi="Arial" w:cs="Arial"/>
          <w:i/>
          <w:iCs/>
          <w:color w:val="000000" w:themeColor="text1"/>
          <w:sz w:val="22"/>
        </w:rPr>
        <w:t>interventoría</w:t>
      </w:r>
      <w:r w:rsidRPr="00B52AA3">
        <w:rPr>
          <w:rFonts w:ascii="Arial" w:hAnsi="Arial" w:cs="Arial"/>
          <w:color w:val="000000" w:themeColor="text1"/>
          <w:sz w:val="22"/>
        </w:rPr>
        <w:t>, doctrinariamente se ha establecido la diferencia entre una y otra, de la siguiente manera:</w:t>
      </w:r>
    </w:p>
    <w:p w14:paraId="74881068" w14:textId="77777777" w:rsidR="005675C8" w:rsidRPr="00B52AA3" w:rsidRDefault="005675C8" w:rsidP="005675C8">
      <w:pPr>
        <w:pStyle w:val="Sinespaciado"/>
        <w:ind w:left="709" w:right="709"/>
        <w:jc w:val="both"/>
        <w:rPr>
          <w:rFonts w:ascii="Arial" w:hAnsi="Arial" w:cs="Arial"/>
          <w:color w:val="000000" w:themeColor="text1"/>
          <w:sz w:val="21"/>
          <w:szCs w:val="21"/>
        </w:rPr>
      </w:pPr>
    </w:p>
    <w:p w14:paraId="22EA6131"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B52AA3">
        <w:rPr>
          <w:rStyle w:val="Refdenotaalpie"/>
          <w:rFonts w:ascii="Arial" w:hAnsi="Arial" w:cs="Arial"/>
          <w:color w:val="000000" w:themeColor="text1"/>
          <w:sz w:val="21"/>
          <w:szCs w:val="21"/>
        </w:rPr>
        <w:footnoteReference w:id="8"/>
      </w:r>
      <w:r w:rsidRPr="00B52AA3">
        <w:rPr>
          <w:rFonts w:ascii="Arial" w:hAnsi="Arial" w:cs="Arial"/>
          <w:color w:val="000000" w:themeColor="text1"/>
          <w:sz w:val="21"/>
          <w:szCs w:val="21"/>
        </w:rPr>
        <w:t xml:space="preserve">. </w:t>
      </w:r>
    </w:p>
    <w:p w14:paraId="149F4E93" w14:textId="77777777" w:rsidR="005675C8" w:rsidRPr="00B52AA3" w:rsidRDefault="005675C8" w:rsidP="005675C8">
      <w:pPr>
        <w:pStyle w:val="Sinespaciado"/>
        <w:spacing w:line="276" w:lineRule="auto"/>
        <w:jc w:val="both"/>
        <w:rPr>
          <w:rFonts w:ascii="Arial" w:hAnsi="Arial" w:cs="Arial"/>
          <w:color w:val="000000" w:themeColor="text1"/>
          <w:sz w:val="22"/>
        </w:rPr>
      </w:pPr>
    </w:p>
    <w:p w14:paraId="3E96129A" w14:textId="2B7AC762"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lastRenderedPageBreak/>
        <w:t xml:space="preserve">Por otro lado, quien ejerza la vigilancia de la ejecución del contrato, ya sea mediante la supervisión o mediante la interventoría, puede hacer uso de las facultades previstas en el artículo 84 de la Ley 1474 de 2011 para </w:t>
      </w:r>
      <w:r w:rsidR="009F3BED" w:rsidRPr="00B52AA3">
        <w:rPr>
          <w:rFonts w:ascii="Arial" w:hAnsi="Arial" w:cs="Arial"/>
          <w:color w:val="000000" w:themeColor="text1"/>
          <w:sz w:val="22"/>
        </w:rPr>
        <w:t xml:space="preserve">efectuar </w:t>
      </w:r>
      <w:r w:rsidRPr="00B52AA3">
        <w:rPr>
          <w:rFonts w:ascii="Arial" w:hAnsi="Arial" w:cs="Arial"/>
          <w:color w:val="000000" w:themeColor="text1"/>
          <w:sz w:val="22"/>
        </w:rPr>
        <w:t>el seguimiento al cumplimiento obligacional del contrato y estará sometido a los deberes y responsabilidades que implica el ejercicio de dicha actividad.</w:t>
      </w:r>
    </w:p>
    <w:p w14:paraId="1E547670" w14:textId="1D3A9F1E"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bCs/>
          <w:color w:val="000000" w:themeColor="text1"/>
          <w:sz w:val="22"/>
        </w:rPr>
        <w:t>Ahora bien, e</w:t>
      </w:r>
      <w:r w:rsidRPr="00B52AA3">
        <w:rPr>
          <w:rFonts w:ascii="Arial" w:hAnsi="Arial" w:cs="Arial"/>
          <w:color w:val="000000" w:themeColor="text1"/>
          <w:sz w:val="22"/>
        </w:rPr>
        <w:t>n cuanto a la designación del supervisor, Colombia Compra Eficiente, en la «Guía para el ejercicio de las funciones de supervisión e interventoría de los contratos del Estado»</w:t>
      </w:r>
      <w:r w:rsidRPr="00B52AA3">
        <w:rPr>
          <w:rStyle w:val="Refdenotaalpie"/>
          <w:rFonts w:ascii="Arial" w:hAnsi="Arial" w:cs="Arial"/>
          <w:color w:val="000000" w:themeColor="text1"/>
          <w:sz w:val="22"/>
        </w:rPr>
        <w:footnoteReference w:id="9"/>
      </w:r>
      <w:r w:rsidRPr="00B52AA3">
        <w:rPr>
          <w:rFonts w:ascii="Arial" w:hAnsi="Arial" w:cs="Arial"/>
          <w:color w:val="000000" w:themeColor="text1"/>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w:t>
      </w:r>
      <w:r w:rsidR="009F3BED" w:rsidRPr="00B52AA3">
        <w:rPr>
          <w:rFonts w:ascii="Arial" w:hAnsi="Arial" w:cs="Arial"/>
          <w:color w:val="000000" w:themeColor="text1"/>
          <w:sz w:val="22"/>
        </w:rPr>
        <w:t>,</w:t>
      </w:r>
      <w:r w:rsidRPr="00B52AA3">
        <w:rPr>
          <w:rFonts w:ascii="Arial" w:hAnsi="Arial" w:cs="Arial"/>
          <w:color w:val="000000" w:themeColor="text1"/>
          <w:sz w:val="22"/>
        </w:rPr>
        <w:t xml:space="preserve"> para no incurrir en el riesgo de que el supervisor no pueda desempeñar la labor de manera adecuada. La designación, igualmente, se recomienda que se efect</w:t>
      </w:r>
      <w:r w:rsidR="00727747" w:rsidRPr="00B52AA3">
        <w:rPr>
          <w:rFonts w:ascii="Arial" w:hAnsi="Arial" w:cs="Arial"/>
          <w:color w:val="000000" w:themeColor="text1"/>
          <w:sz w:val="22"/>
        </w:rPr>
        <w:t>úe</w:t>
      </w:r>
      <w:r w:rsidRPr="00B52AA3">
        <w:rPr>
          <w:rFonts w:ascii="Arial" w:hAnsi="Arial" w:cs="Arial"/>
          <w:color w:val="000000" w:themeColor="text1"/>
          <w:sz w:val="22"/>
        </w:rPr>
        <w:t xml:space="preserv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29506E05" w14:textId="77777777"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B52AA3">
        <w:rPr>
          <w:rStyle w:val="Refdenotaalpie"/>
          <w:rFonts w:ascii="Arial" w:hAnsi="Arial" w:cs="Arial"/>
          <w:color w:val="000000" w:themeColor="text1"/>
          <w:sz w:val="22"/>
        </w:rPr>
        <w:footnoteReference w:id="10"/>
      </w:r>
      <w:r w:rsidRPr="00B52AA3">
        <w:rPr>
          <w:rFonts w:ascii="Arial" w:hAnsi="Arial" w:cs="Arial"/>
          <w:color w:val="000000" w:themeColor="text1"/>
          <w:sz w:val="22"/>
        </w:rPr>
        <w:t>.</w:t>
      </w:r>
    </w:p>
    <w:p w14:paraId="0D998CA9" w14:textId="77777777"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 xml:space="preserve">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w:t>
      </w:r>
      <w:r w:rsidRPr="00B52AA3">
        <w:rPr>
          <w:rFonts w:ascii="Arial" w:hAnsi="Arial" w:cs="Arial"/>
          <w:color w:val="000000" w:themeColor="text1"/>
          <w:sz w:val="22"/>
        </w:rPr>
        <w:lastRenderedPageBreak/>
        <w:t xml:space="preserve">administrativa, que son aplicables en la contratación estatal por disposición del artículo 23 de la Ley 80 de 1993. </w:t>
      </w:r>
    </w:p>
    <w:p w14:paraId="56B5F6E0" w14:textId="6CF70615"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 xml:space="preserve">En el concepto del 30 de agosto de 2019, que corresponde al radicado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1DCCD428" w14:textId="77777777"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Es cierto que el proyecto de ley que se convirtió en la Ley 1474 de 2011, inicialmente, establecía que «la supervisión de los contratos ser[ía] ejercida por un funcionario de la misma entidad estatal, o por un contratista de prestación de servicios profesionales […]»</w:t>
      </w:r>
      <w:r w:rsidRPr="00B52AA3">
        <w:rPr>
          <w:rStyle w:val="Refdenotaalpie"/>
          <w:rFonts w:ascii="Arial" w:hAnsi="Arial" w:cs="Arial"/>
          <w:color w:val="000000" w:themeColor="text1"/>
          <w:sz w:val="22"/>
        </w:rPr>
        <w:footnoteReference w:id="11"/>
      </w:r>
      <w:r w:rsidRPr="00B52AA3">
        <w:rPr>
          <w:rFonts w:ascii="Arial" w:hAnsi="Arial" w:cs="Arial"/>
          <w:color w:val="000000" w:themeColor="text1"/>
          <w:sz w:val="22"/>
        </w:rPr>
        <w:t>. Sin embargo, también lo es que esa postura fue modificada para el segundo debate legislativo</w:t>
      </w:r>
      <w:r w:rsidRPr="00B52AA3">
        <w:rPr>
          <w:rStyle w:val="Refdenotaalpie"/>
          <w:rFonts w:ascii="Arial" w:hAnsi="Arial" w:cs="Arial"/>
          <w:color w:val="000000" w:themeColor="text1"/>
          <w:sz w:val="22"/>
        </w:rPr>
        <w:footnoteReference w:id="12"/>
      </w:r>
      <w:r w:rsidRPr="00B52AA3">
        <w:rPr>
          <w:rFonts w:ascii="Arial" w:hAnsi="Arial" w:cs="Arial"/>
          <w:color w:val="000000" w:themeColor="text1"/>
          <w:sz w:val="22"/>
        </w:rPr>
        <w:t xml:space="preserve"> y en la ponencia registrada para tercer debate</w:t>
      </w:r>
      <w:r w:rsidRPr="00B52AA3">
        <w:rPr>
          <w:rStyle w:val="Refdenotaalpie"/>
          <w:rFonts w:ascii="Arial" w:hAnsi="Arial" w:cs="Arial"/>
          <w:color w:val="000000" w:themeColor="text1"/>
          <w:sz w:val="22"/>
        </w:rPr>
        <w:footnoteReference w:id="13"/>
      </w:r>
      <w:r w:rsidRPr="00B52AA3">
        <w:rPr>
          <w:rFonts w:ascii="Arial" w:hAnsi="Arial" w:cs="Arial"/>
          <w:color w:val="000000" w:themeColor="text1"/>
          <w:sz w:val="22"/>
        </w:rPr>
        <w:t>, en donde se estableció que «la supervisión de los contratos ser[ía] ejercida por un funcionario de la misma entidad estatal». Incluso, la versión que finalmente se aprobó en cuarto debate</w:t>
      </w:r>
      <w:r w:rsidRPr="00B52AA3">
        <w:rPr>
          <w:rStyle w:val="Refdenotaalpie"/>
          <w:rFonts w:ascii="Arial" w:hAnsi="Arial" w:cs="Arial"/>
          <w:color w:val="000000" w:themeColor="text1"/>
          <w:sz w:val="22"/>
        </w:rPr>
        <w:footnoteReference w:id="14"/>
      </w:r>
      <w:r w:rsidRPr="00B52AA3">
        <w:rPr>
          <w:rFonts w:ascii="Arial" w:hAnsi="Arial" w:cs="Arial"/>
          <w:color w:val="000000" w:themeColor="text1"/>
          <w:sz w:val="22"/>
        </w:rPr>
        <w:t>, que fue acogida por ambas cámaras legislativas</w:t>
      </w:r>
      <w:r w:rsidRPr="00B52AA3">
        <w:rPr>
          <w:rStyle w:val="Refdenotaalpie"/>
          <w:rFonts w:ascii="Arial" w:hAnsi="Arial" w:cs="Arial"/>
          <w:color w:val="000000" w:themeColor="text1"/>
          <w:sz w:val="22"/>
        </w:rPr>
        <w:footnoteReference w:id="15"/>
      </w:r>
      <w:r w:rsidRPr="00B52AA3">
        <w:rPr>
          <w:rFonts w:ascii="Arial" w:hAnsi="Arial" w:cs="Arial"/>
          <w:color w:val="000000" w:themeColor="text1"/>
          <w:sz w:val="22"/>
        </w:rPr>
        <w:t xml:space="preserve"> luego del correspondiente trámite de conciliación</w:t>
      </w:r>
      <w:r w:rsidRPr="00B52AA3">
        <w:rPr>
          <w:rStyle w:val="Refdenotaalpie"/>
          <w:rFonts w:ascii="Arial" w:hAnsi="Arial" w:cs="Arial"/>
          <w:color w:val="000000" w:themeColor="text1"/>
          <w:sz w:val="22"/>
        </w:rPr>
        <w:footnoteReference w:id="16"/>
      </w:r>
      <w:r w:rsidRPr="00B52AA3">
        <w:rPr>
          <w:rFonts w:ascii="Arial" w:hAnsi="Arial" w:cs="Arial"/>
          <w:color w:val="000000" w:themeColor="text1"/>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55F3C1C5" w14:textId="77777777" w:rsidR="005675C8" w:rsidRPr="00B52AA3" w:rsidRDefault="005675C8" w:rsidP="005675C8">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 xml:space="preserve">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w:t>
      </w:r>
      <w:r w:rsidRPr="00B52AA3">
        <w:rPr>
          <w:rFonts w:ascii="Arial" w:hAnsi="Arial" w:cs="Arial"/>
          <w:color w:val="000000" w:themeColor="text1"/>
          <w:sz w:val="22"/>
        </w:rPr>
        <w:lastRenderedPageBreak/>
        <w:t>Consejo de Estado</w:t>
      </w:r>
      <w:r w:rsidRPr="00B52AA3">
        <w:rPr>
          <w:rStyle w:val="Refdenotaalpie"/>
          <w:rFonts w:ascii="Arial" w:hAnsi="Arial" w:cs="Arial"/>
          <w:color w:val="000000" w:themeColor="text1"/>
          <w:sz w:val="22"/>
        </w:rPr>
        <w:footnoteReference w:id="17"/>
      </w:r>
      <w:r w:rsidRPr="00B52AA3">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035D8819" w14:textId="77777777" w:rsidR="005675C8" w:rsidRPr="00B52AA3" w:rsidRDefault="005675C8" w:rsidP="005675C8">
      <w:pPr>
        <w:pStyle w:val="Sinespaciado"/>
        <w:spacing w:before="120" w:line="276" w:lineRule="auto"/>
        <w:ind w:firstLine="709"/>
        <w:jc w:val="both"/>
        <w:rPr>
          <w:rFonts w:ascii="Arial" w:hAnsi="Arial" w:cs="Arial"/>
          <w:color w:val="000000" w:themeColor="text1"/>
          <w:sz w:val="22"/>
        </w:rPr>
      </w:pPr>
    </w:p>
    <w:p w14:paraId="363ADF47"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0B94897A"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w:t>
      </w:r>
    </w:p>
    <w:p w14:paraId="5C6AC943" w14:textId="77777777" w:rsidR="005675C8" w:rsidRPr="00B52AA3" w:rsidRDefault="005675C8" w:rsidP="005675C8">
      <w:pPr>
        <w:pStyle w:val="Sinespaciado"/>
        <w:ind w:left="709" w:right="709"/>
        <w:jc w:val="both"/>
        <w:rPr>
          <w:rFonts w:ascii="Arial" w:hAnsi="Arial" w:cs="Arial"/>
          <w:color w:val="000000" w:themeColor="text1"/>
          <w:sz w:val="21"/>
          <w:szCs w:val="21"/>
        </w:rPr>
      </w:pPr>
    </w:p>
    <w:p w14:paraId="07B7F52C" w14:textId="77777777" w:rsidR="005675C8" w:rsidRPr="00B52AA3" w:rsidRDefault="005675C8" w:rsidP="005675C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374546B1" w14:textId="77777777" w:rsidR="005675C8" w:rsidRPr="00B52AA3" w:rsidRDefault="005675C8" w:rsidP="005675C8">
      <w:pPr>
        <w:pStyle w:val="Sinespaciado"/>
        <w:ind w:left="709" w:right="709"/>
        <w:jc w:val="both"/>
        <w:rPr>
          <w:rFonts w:ascii="Arial" w:hAnsi="Arial" w:cs="Arial"/>
          <w:color w:val="000000" w:themeColor="text1"/>
          <w:sz w:val="21"/>
          <w:szCs w:val="21"/>
        </w:rPr>
      </w:pPr>
    </w:p>
    <w:p w14:paraId="77B5C67E" w14:textId="38D952F1" w:rsidR="005675C8" w:rsidRPr="00B52AA3" w:rsidRDefault="005675C8" w:rsidP="005675C8">
      <w:pPr>
        <w:pStyle w:val="Sinespaciado"/>
        <w:ind w:left="709" w:right="709"/>
        <w:jc w:val="both"/>
        <w:rPr>
          <w:rFonts w:ascii="Arial" w:hAnsi="Arial" w:cs="Arial"/>
          <w:color w:val="000000" w:themeColor="text1"/>
          <w:sz w:val="22"/>
        </w:rPr>
      </w:pPr>
      <w:r w:rsidRPr="00B52AA3">
        <w:rPr>
          <w:rFonts w:ascii="Arial" w:hAnsi="Arial" w:cs="Arial"/>
          <w:color w:val="000000" w:themeColor="text1"/>
          <w:sz w:val="21"/>
          <w:szCs w:val="21"/>
        </w:rPr>
        <w:t xml:space="preserve">Actualmente, la cuestión se mantiene en similares condiciones, sólo </w:t>
      </w:r>
      <w:r w:rsidRPr="00B52AA3">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B52AA3">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B52AA3">
        <w:rPr>
          <w:rStyle w:val="Refdenotaalpie"/>
          <w:rFonts w:ascii="Arial" w:hAnsi="Arial" w:cs="Arial"/>
          <w:color w:val="000000" w:themeColor="text1"/>
          <w:sz w:val="21"/>
          <w:szCs w:val="21"/>
        </w:rPr>
        <w:footnoteReference w:id="18"/>
      </w:r>
      <w:r w:rsidRPr="00B52AA3">
        <w:rPr>
          <w:rFonts w:ascii="Arial" w:hAnsi="Arial" w:cs="Arial"/>
          <w:color w:val="000000" w:themeColor="text1"/>
          <w:sz w:val="21"/>
          <w:szCs w:val="21"/>
        </w:rPr>
        <w:t>.</w:t>
      </w:r>
      <w:r w:rsidRPr="00B52AA3">
        <w:rPr>
          <w:rFonts w:ascii="Arial" w:hAnsi="Arial" w:cs="Arial"/>
          <w:color w:val="000000" w:themeColor="text1"/>
          <w:sz w:val="21"/>
          <w:szCs w:val="21"/>
        </w:rPr>
        <w:br/>
      </w:r>
      <w:r w:rsidR="00F555F0" w:rsidRPr="00B52AA3">
        <w:rPr>
          <w:rFonts w:ascii="Arial" w:hAnsi="Arial" w:cs="Arial"/>
          <w:color w:val="000000" w:themeColor="text1"/>
          <w:sz w:val="21"/>
          <w:szCs w:val="21"/>
        </w:rPr>
        <w:t>[</w:t>
      </w:r>
      <w:r w:rsidRPr="00B52AA3">
        <w:rPr>
          <w:rFonts w:ascii="Arial" w:hAnsi="Arial" w:cs="Arial"/>
          <w:color w:val="000000" w:themeColor="text1"/>
          <w:sz w:val="21"/>
          <w:szCs w:val="21"/>
        </w:rPr>
        <w:t>Cursivas propias</w:t>
      </w:r>
      <w:r w:rsidR="00F555F0" w:rsidRPr="00B52AA3">
        <w:rPr>
          <w:rFonts w:ascii="Arial" w:hAnsi="Arial" w:cs="Arial"/>
          <w:color w:val="000000" w:themeColor="text1"/>
          <w:sz w:val="21"/>
          <w:szCs w:val="21"/>
        </w:rPr>
        <w:t>]</w:t>
      </w:r>
    </w:p>
    <w:p w14:paraId="138CD9F2" w14:textId="77777777" w:rsidR="005675C8" w:rsidRPr="00B52AA3" w:rsidRDefault="005675C8" w:rsidP="005675C8">
      <w:pPr>
        <w:pStyle w:val="Sinespaciado"/>
        <w:spacing w:line="276" w:lineRule="auto"/>
        <w:ind w:firstLine="709"/>
        <w:jc w:val="both"/>
        <w:rPr>
          <w:rFonts w:ascii="Arial" w:hAnsi="Arial" w:cs="Arial"/>
          <w:color w:val="000000" w:themeColor="text1"/>
          <w:sz w:val="22"/>
        </w:rPr>
      </w:pPr>
    </w:p>
    <w:p w14:paraId="1D91CA4B" w14:textId="77777777" w:rsidR="005675C8" w:rsidRPr="00B52AA3" w:rsidRDefault="005675C8" w:rsidP="005675C8">
      <w:pPr>
        <w:pStyle w:val="Sinespaciado"/>
        <w:spacing w:line="276" w:lineRule="auto"/>
        <w:ind w:firstLine="709"/>
        <w:jc w:val="both"/>
        <w:rPr>
          <w:rFonts w:ascii="Arial" w:hAnsi="Arial" w:cs="Arial"/>
          <w:color w:val="000000" w:themeColor="text1"/>
          <w:sz w:val="22"/>
        </w:rPr>
      </w:pPr>
      <w:r w:rsidRPr="00B52AA3">
        <w:rPr>
          <w:rFonts w:ascii="Arial" w:hAnsi="Arial" w:cs="Arial"/>
          <w:color w:val="000000" w:themeColor="text1"/>
          <w:sz w:val="22"/>
        </w:rPr>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14:paraId="7D0A6D9E" w14:textId="77777777" w:rsidR="005675C8" w:rsidRPr="00B52AA3" w:rsidRDefault="005675C8" w:rsidP="005675C8">
      <w:pPr>
        <w:pStyle w:val="Sinespaciado"/>
        <w:spacing w:before="120" w:line="276" w:lineRule="auto"/>
        <w:ind w:firstLine="709"/>
        <w:jc w:val="both"/>
        <w:rPr>
          <w:rFonts w:ascii="Arial" w:eastAsia="Calibri" w:hAnsi="Arial" w:cs="Arial"/>
          <w:color w:val="000000" w:themeColor="text1"/>
          <w:sz w:val="22"/>
        </w:rPr>
      </w:pPr>
      <w:r w:rsidRPr="00B52AA3">
        <w:rPr>
          <w:rFonts w:ascii="Arial" w:hAnsi="Arial" w:cs="Arial"/>
          <w:color w:val="000000" w:themeColor="text1"/>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B52AA3">
        <w:rPr>
          <w:rFonts w:ascii="Arial" w:eastAsia="Calibri" w:hAnsi="Arial" w:cs="Arial"/>
          <w:color w:val="000000" w:themeColor="text1"/>
          <w:sz w:val="22"/>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141C4674" w14:textId="77777777" w:rsidR="005675C8" w:rsidRPr="00B52AA3" w:rsidRDefault="005675C8" w:rsidP="005675C8">
      <w:pPr>
        <w:spacing w:before="120" w:line="276" w:lineRule="auto"/>
        <w:ind w:firstLine="709"/>
        <w:jc w:val="both"/>
        <w:rPr>
          <w:rFonts w:ascii="Arial" w:eastAsia="Calibri" w:hAnsi="Arial" w:cs="Arial"/>
          <w:color w:val="000000" w:themeColor="text1"/>
          <w:sz w:val="22"/>
        </w:rPr>
      </w:pPr>
      <w:r w:rsidRPr="00B52AA3">
        <w:rPr>
          <w:rFonts w:ascii="Arial" w:eastAsia="Calibri" w:hAnsi="Arial" w:cs="Arial"/>
          <w:color w:val="000000" w:themeColor="text1"/>
          <w:sz w:val="22"/>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p w14:paraId="1BC793F4" w14:textId="77777777" w:rsidR="005675C8" w:rsidRPr="00B52AA3" w:rsidRDefault="005675C8" w:rsidP="005675C8">
      <w:pPr>
        <w:spacing w:line="276" w:lineRule="auto"/>
        <w:ind w:left="709" w:right="709"/>
        <w:jc w:val="both"/>
        <w:rPr>
          <w:rFonts w:ascii="Arial" w:hAnsi="Arial" w:cs="Arial"/>
          <w:color w:val="000000" w:themeColor="text1"/>
          <w:sz w:val="21"/>
          <w:szCs w:val="21"/>
          <w:lang w:val="es-CO"/>
        </w:rPr>
      </w:pPr>
    </w:p>
    <w:p w14:paraId="5283B9E0" w14:textId="77777777" w:rsidR="005675C8" w:rsidRPr="00B52AA3" w:rsidRDefault="005675C8" w:rsidP="005675C8">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B52AA3">
        <w:rPr>
          <w:rFonts w:ascii="Arial" w:hAnsi="Arial" w:cs="Arial"/>
          <w:b/>
          <w:bCs/>
          <w:color w:val="000000" w:themeColor="text1"/>
          <w:sz w:val="22"/>
          <w:lang w:val="es-CO"/>
        </w:rPr>
        <w:t xml:space="preserve">Respuesta </w:t>
      </w:r>
    </w:p>
    <w:p w14:paraId="227EB618" w14:textId="77777777" w:rsidR="005675C8" w:rsidRPr="00B52AA3" w:rsidRDefault="005675C8" w:rsidP="005675C8">
      <w:pPr>
        <w:spacing w:line="276" w:lineRule="auto"/>
        <w:jc w:val="both"/>
        <w:rPr>
          <w:rFonts w:ascii="Arial" w:hAnsi="Arial" w:cs="Arial"/>
          <w:color w:val="000000" w:themeColor="text1"/>
          <w:sz w:val="22"/>
          <w:lang w:val="es-CO"/>
        </w:rPr>
      </w:pPr>
    </w:p>
    <w:p w14:paraId="4BE2BB21" w14:textId="211315B1" w:rsidR="005675C8" w:rsidRPr="00B52AA3" w:rsidRDefault="002B2918" w:rsidP="002B2918">
      <w:pPr>
        <w:ind w:left="709" w:right="709"/>
        <w:jc w:val="both"/>
        <w:rPr>
          <w:rFonts w:ascii="Arial" w:eastAsia="Calibri" w:hAnsi="Arial" w:cs="Arial"/>
          <w:color w:val="000000" w:themeColor="text1"/>
          <w:sz w:val="21"/>
          <w:szCs w:val="21"/>
        </w:rPr>
      </w:pPr>
      <w:r w:rsidRPr="00B52AA3">
        <w:rPr>
          <w:rFonts w:ascii="Arial" w:eastAsia="Calibri" w:hAnsi="Arial" w:cs="Arial"/>
          <w:color w:val="000000" w:themeColor="text1"/>
          <w:sz w:val="21"/>
          <w:szCs w:val="21"/>
        </w:rPr>
        <w:t xml:space="preserve">i) «¿el artículo 83 de la Ley 1474 de 2001, autoriza la contratación de la supervisión o lo que autoriza es contratar el apoyo a la supervisión?»; ii) «¿a cargo de quién esta ejercer la supervisión de los contratos o convenios, de la entidad pública o de particulares vinculados a través de contratos de prestación de servicios?»; y iii) «¿en caso de que lo autorizado por el artículo 83 de la ley </w:t>
      </w:r>
      <w:r w:rsidRPr="00B52AA3">
        <w:rPr>
          <w:rFonts w:ascii="Arial" w:eastAsia="Calibri" w:hAnsi="Arial" w:cs="Arial"/>
          <w:color w:val="000000" w:themeColor="text1"/>
          <w:sz w:val="21"/>
          <w:szCs w:val="21"/>
        </w:rPr>
        <w:lastRenderedPageBreak/>
        <w:t>mencionada sea el apoyo a la supervisión, podrían las entidades contratar la supervisión de los contratos o convenios, y en tal caso a través de que modalidad de contratación se haría?»</w:t>
      </w:r>
    </w:p>
    <w:p w14:paraId="6C4AAB40" w14:textId="77777777" w:rsidR="002B2918" w:rsidRPr="00B52AA3" w:rsidRDefault="002B2918" w:rsidP="005675C8">
      <w:pPr>
        <w:spacing w:line="276" w:lineRule="auto"/>
        <w:ind w:left="709" w:right="709"/>
        <w:jc w:val="both"/>
        <w:rPr>
          <w:rFonts w:ascii="Arial" w:hAnsi="Arial" w:cs="Arial"/>
          <w:color w:val="000000" w:themeColor="text1"/>
          <w:sz w:val="22"/>
          <w:lang w:val="es-CO"/>
        </w:rPr>
      </w:pPr>
    </w:p>
    <w:p w14:paraId="5431CFF5" w14:textId="7FD6983E" w:rsidR="005675C8" w:rsidRPr="00B52AA3" w:rsidRDefault="005675C8" w:rsidP="00B12FAC">
      <w:pPr>
        <w:spacing w:before="120" w:line="276" w:lineRule="auto"/>
        <w:jc w:val="both"/>
        <w:rPr>
          <w:rFonts w:ascii="Arial" w:hAnsi="Arial" w:cs="Arial"/>
          <w:color w:val="000000" w:themeColor="text1"/>
          <w:sz w:val="22"/>
          <w:lang w:val="es-CO"/>
        </w:rPr>
      </w:pPr>
      <w:r w:rsidRPr="00B52AA3">
        <w:rPr>
          <w:rFonts w:ascii="Arial" w:hAnsi="Arial" w:cs="Arial"/>
          <w:color w:val="000000" w:themeColor="text1"/>
          <w:sz w:val="22"/>
          <w:lang w:val="es-CO"/>
        </w:rPr>
        <w:t xml:space="preserve">La responsabilidad en el control y vigilancia de la ejecución del contrato está a cargo de la entidad estatal. Por lo tanto, esta es quien debe supervisar sus contratos mediante sus funcionarios y únicamente puede contratar personal en caso de necesitarlo como </w:t>
      </w:r>
      <w:r w:rsidR="00B00F50" w:rsidRPr="00B52AA3">
        <w:rPr>
          <w:rFonts w:ascii="Arial" w:hAnsi="Arial" w:cs="Arial"/>
          <w:color w:val="000000" w:themeColor="text1"/>
          <w:sz w:val="22"/>
          <w:lang w:val="es-CO"/>
        </w:rPr>
        <w:t>«</w:t>
      </w:r>
      <w:r w:rsidRPr="00B52AA3">
        <w:rPr>
          <w:rFonts w:ascii="Arial" w:hAnsi="Arial" w:cs="Arial"/>
          <w:color w:val="000000" w:themeColor="text1"/>
          <w:sz w:val="22"/>
          <w:lang w:val="es-CO"/>
        </w:rPr>
        <w:t>apoyo</w:t>
      </w:r>
      <w:r w:rsidR="00B00F50" w:rsidRPr="00B52AA3">
        <w:rPr>
          <w:rFonts w:ascii="Arial" w:hAnsi="Arial" w:cs="Arial"/>
          <w:color w:val="000000" w:themeColor="text1"/>
          <w:sz w:val="22"/>
          <w:lang w:val="es-CO"/>
        </w:rPr>
        <w:t>»</w:t>
      </w:r>
      <w:r w:rsidRPr="00B52AA3">
        <w:rPr>
          <w:rFonts w:ascii="Arial" w:hAnsi="Arial" w:cs="Arial"/>
          <w:color w:val="000000" w:themeColor="text1"/>
          <w:sz w:val="22"/>
          <w:lang w:val="es-CO"/>
        </w:rPr>
        <w:t xml:space="preserve">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7D2E9048" w14:textId="1FDFCBCD" w:rsidR="00935D91" w:rsidRPr="00B52AA3" w:rsidRDefault="00935D91" w:rsidP="008F4E84">
      <w:pPr>
        <w:tabs>
          <w:tab w:val="left" w:pos="851"/>
        </w:tabs>
        <w:spacing w:before="120" w:line="276" w:lineRule="auto"/>
        <w:ind w:firstLine="709"/>
        <w:jc w:val="both"/>
        <w:rPr>
          <w:rFonts w:ascii="Arial" w:hAnsi="Arial" w:cs="Arial"/>
          <w:color w:val="000000" w:themeColor="text1"/>
          <w:sz w:val="22"/>
          <w:lang w:val="es-CO"/>
        </w:rPr>
      </w:pPr>
      <w:r w:rsidRPr="00B52AA3">
        <w:rPr>
          <w:rFonts w:ascii="Arial" w:hAnsi="Arial" w:cs="Arial"/>
          <w:color w:val="000000" w:themeColor="text1"/>
          <w:sz w:val="22"/>
          <w:lang w:val="es-CO"/>
        </w:rPr>
        <w:tab/>
        <w:t xml:space="preserve">Ahora bien, </w:t>
      </w:r>
      <w:r w:rsidR="00123251" w:rsidRPr="00B52AA3">
        <w:rPr>
          <w:rFonts w:ascii="Arial" w:hAnsi="Arial" w:cs="Arial"/>
          <w:color w:val="000000" w:themeColor="text1"/>
          <w:sz w:val="22"/>
          <w:lang w:val="es-CO"/>
        </w:rPr>
        <w:t xml:space="preserve">teniendo en cuenta que </w:t>
      </w:r>
      <w:r w:rsidR="002A02A9" w:rsidRPr="00B52AA3">
        <w:rPr>
          <w:rFonts w:ascii="Arial" w:hAnsi="Arial" w:cs="Arial"/>
          <w:color w:val="000000" w:themeColor="text1"/>
          <w:sz w:val="22"/>
          <w:lang w:val="es-CO"/>
        </w:rPr>
        <w:t xml:space="preserve">para </w:t>
      </w:r>
      <w:r w:rsidR="00123251" w:rsidRPr="00B52AA3">
        <w:rPr>
          <w:rFonts w:ascii="Arial" w:hAnsi="Arial" w:cs="Arial"/>
          <w:color w:val="000000" w:themeColor="text1"/>
          <w:sz w:val="22"/>
          <w:lang w:val="es-CO"/>
        </w:rPr>
        <w:t xml:space="preserve">el apoyo a la </w:t>
      </w:r>
      <w:r w:rsidR="002A02A9" w:rsidRPr="00B52AA3">
        <w:rPr>
          <w:rFonts w:ascii="Arial" w:hAnsi="Arial" w:cs="Arial"/>
          <w:color w:val="000000" w:themeColor="text1"/>
          <w:sz w:val="22"/>
          <w:lang w:val="es-CO"/>
        </w:rPr>
        <w:t>supervisión debe</w:t>
      </w:r>
      <w:r w:rsidR="00575015" w:rsidRPr="00B52AA3">
        <w:rPr>
          <w:rFonts w:ascii="Arial" w:hAnsi="Arial" w:cs="Arial"/>
          <w:color w:val="000000" w:themeColor="text1"/>
          <w:sz w:val="22"/>
          <w:lang w:val="es-CO"/>
        </w:rPr>
        <w:t>n</w:t>
      </w:r>
      <w:r w:rsidR="002A02A9" w:rsidRPr="00B52AA3">
        <w:rPr>
          <w:rFonts w:ascii="Arial" w:hAnsi="Arial" w:cs="Arial"/>
          <w:color w:val="000000" w:themeColor="text1"/>
          <w:sz w:val="22"/>
          <w:lang w:val="es-CO"/>
        </w:rPr>
        <w:t xml:space="preserve"> celebrarse </w:t>
      </w:r>
      <w:r w:rsidR="0039626A" w:rsidRPr="00B52AA3">
        <w:rPr>
          <w:rFonts w:ascii="Arial" w:hAnsi="Arial" w:cs="Arial"/>
          <w:i/>
          <w:iCs/>
          <w:color w:val="000000" w:themeColor="text1"/>
          <w:sz w:val="22"/>
        </w:rPr>
        <w:t>contratos de prestación</w:t>
      </w:r>
      <w:r w:rsidR="0039626A" w:rsidRPr="00B52AA3">
        <w:rPr>
          <w:rFonts w:ascii="Arial" w:hAnsi="Arial" w:cs="Arial"/>
          <w:color w:val="000000" w:themeColor="text1"/>
          <w:sz w:val="22"/>
        </w:rPr>
        <w:t xml:space="preserve"> </w:t>
      </w:r>
      <w:r w:rsidR="0039626A" w:rsidRPr="00B52AA3">
        <w:rPr>
          <w:rFonts w:ascii="Arial" w:hAnsi="Arial" w:cs="Arial"/>
          <w:i/>
          <w:iCs/>
          <w:color w:val="000000" w:themeColor="text1"/>
          <w:sz w:val="22"/>
        </w:rPr>
        <w:t>de servicios profesionales</w:t>
      </w:r>
      <w:r w:rsidR="0039626A" w:rsidRPr="00B52AA3">
        <w:rPr>
          <w:rFonts w:ascii="Arial" w:hAnsi="Arial" w:cs="Arial"/>
          <w:color w:val="000000" w:themeColor="text1"/>
          <w:sz w:val="22"/>
        </w:rPr>
        <w:t xml:space="preserve"> </w:t>
      </w:r>
      <w:r w:rsidR="00575015" w:rsidRPr="00B52AA3">
        <w:rPr>
          <w:rFonts w:ascii="Arial" w:hAnsi="Arial" w:cs="Arial"/>
          <w:color w:val="000000" w:themeColor="text1"/>
          <w:sz w:val="22"/>
        </w:rPr>
        <w:t>o</w:t>
      </w:r>
      <w:r w:rsidR="0039626A" w:rsidRPr="00B52AA3">
        <w:rPr>
          <w:rFonts w:ascii="Arial" w:hAnsi="Arial" w:cs="Arial"/>
          <w:color w:val="000000" w:themeColor="text1"/>
          <w:sz w:val="22"/>
        </w:rPr>
        <w:t xml:space="preserve"> </w:t>
      </w:r>
      <w:r w:rsidR="0039626A" w:rsidRPr="00B52AA3">
        <w:rPr>
          <w:rFonts w:ascii="Arial" w:hAnsi="Arial" w:cs="Arial"/>
          <w:i/>
          <w:iCs/>
          <w:color w:val="000000" w:themeColor="text1"/>
          <w:sz w:val="22"/>
        </w:rPr>
        <w:t>contratos de prestación de servicios de apoyo a la gestión</w:t>
      </w:r>
      <w:r w:rsidR="0039626A" w:rsidRPr="00B52AA3">
        <w:rPr>
          <w:rStyle w:val="Refdenotaalpie"/>
          <w:rFonts w:ascii="Arial" w:hAnsi="Arial" w:cs="Arial"/>
          <w:color w:val="000000" w:themeColor="text1"/>
          <w:sz w:val="22"/>
        </w:rPr>
        <w:footnoteReference w:id="19"/>
      </w:r>
      <w:r w:rsidR="0039626A" w:rsidRPr="00B52AA3">
        <w:rPr>
          <w:rFonts w:ascii="Arial" w:hAnsi="Arial" w:cs="Arial"/>
          <w:color w:val="000000" w:themeColor="text1"/>
          <w:sz w:val="22"/>
        </w:rPr>
        <w:t xml:space="preserve">, </w:t>
      </w:r>
      <w:r w:rsidR="002A02A9" w:rsidRPr="00B52AA3">
        <w:rPr>
          <w:rFonts w:ascii="Arial" w:hAnsi="Arial" w:cs="Arial"/>
          <w:color w:val="000000" w:themeColor="text1"/>
          <w:sz w:val="22"/>
          <w:lang w:val="es-CO"/>
        </w:rPr>
        <w:t>dependiendo de</w:t>
      </w:r>
      <w:r w:rsidR="0067010A" w:rsidRPr="00B52AA3">
        <w:rPr>
          <w:rFonts w:ascii="Arial" w:hAnsi="Arial" w:cs="Arial"/>
          <w:color w:val="000000" w:themeColor="text1"/>
          <w:sz w:val="22"/>
          <w:lang w:val="es-CO"/>
        </w:rPr>
        <w:t xml:space="preserve"> </w:t>
      </w:r>
      <w:r w:rsidR="002A02A9" w:rsidRPr="00B52AA3">
        <w:rPr>
          <w:rFonts w:ascii="Arial" w:hAnsi="Arial" w:cs="Arial"/>
          <w:color w:val="000000" w:themeColor="text1"/>
          <w:sz w:val="22"/>
          <w:lang w:val="es-CO"/>
        </w:rPr>
        <w:t>l</w:t>
      </w:r>
      <w:r w:rsidR="0067010A" w:rsidRPr="00B52AA3">
        <w:rPr>
          <w:rFonts w:ascii="Arial" w:hAnsi="Arial" w:cs="Arial"/>
          <w:color w:val="000000" w:themeColor="text1"/>
          <w:sz w:val="22"/>
          <w:lang w:val="es-CO"/>
        </w:rPr>
        <w:t>a naturaleza del</w:t>
      </w:r>
      <w:r w:rsidR="002A02A9" w:rsidRPr="00B52AA3">
        <w:rPr>
          <w:rFonts w:ascii="Arial" w:hAnsi="Arial" w:cs="Arial"/>
          <w:color w:val="000000" w:themeColor="text1"/>
          <w:sz w:val="22"/>
          <w:lang w:val="es-CO"/>
        </w:rPr>
        <w:t xml:space="preserve"> objeto de apoyo requerido por la entidad</w:t>
      </w:r>
      <w:r w:rsidR="00051D6A" w:rsidRPr="00B52AA3">
        <w:rPr>
          <w:rFonts w:ascii="Arial" w:hAnsi="Arial" w:cs="Arial"/>
          <w:color w:val="000000" w:themeColor="text1"/>
          <w:sz w:val="22"/>
          <w:lang w:val="es-CO"/>
        </w:rPr>
        <w:t xml:space="preserve">, </w:t>
      </w:r>
      <w:r w:rsidR="009B312C" w:rsidRPr="00B52AA3">
        <w:rPr>
          <w:rFonts w:ascii="Arial" w:hAnsi="Arial" w:cs="Arial"/>
          <w:color w:val="000000" w:themeColor="text1"/>
          <w:sz w:val="22"/>
          <w:lang w:val="es-CO"/>
        </w:rPr>
        <w:t xml:space="preserve">la modalidad sería la </w:t>
      </w:r>
      <w:r w:rsidR="009B312C" w:rsidRPr="00B52AA3">
        <w:rPr>
          <w:rFonts w:ascii="Arial" w:hAnsi="Arial" w:cs="Arial"/>
          <w:i/>
          <w:iCs/>
          <w:color w:val="000000" w:themeColor="text1"/>
          <w:sz w:val="22"/>
          <w:lang w:val="es-CO"/>
        </w:rPr>
        <w:t>contratación directa</w:t>
      </w:r>
      <w:r w:rsidR="009B312C" w:rsidRPr="00B52AA3">
        <w:rPr>
          <w:rFonts w:ascii="Arial" w:hAnsi="Arial" w:cs="Arial"/>
          <w:color w:val="000000" w:themeColor="text1"/>
          <w:sz w:val="22"/>
          <w:lang w:val="es-CO"/>
        </w:rPr>
        <w:t xml:space="preserve">, en aplicación del artículo </w:t>
      </w:r>
      <w:r w:rsidR="002A02A9" w:rsidRPr="00B52AA3">
        <w:rPr>
          <w:rFonts w:ascii="Arial" w:hAnsi="Arial" w:cs="Arial"/>
          <w:color w:val="000000" w:themeColor="text1"/>
          <w:sz w:val="22"/>
          <w:lang w:val="es-CO"/>
        </w:rPr>
        <w:t>2, numeral 4, literal h</w:t>
      </w:r>
      <w:r w:rsidR="004715DE" w:rsidRPr="00B52AA3">
        <w:rPr>
          <w:rFonts w:ascii="Arial" w:hAnsi="Arial" w:cs="Arial"/>
          <w:color w:val="000000" w:themeColor="text1"/>
          <w:sz w:val="22"/>
          <w:lang w:val="es-CO"/>
        </w:rPr>
        <w:t>)</w:t>
      </w:r>
      <w:r w:rsidR="002A02A9" w:rsidRPr="00B52AA3">
        <w:rPr>
          <w:rFonts w:ascii="Arial" w:hAnsi="Arial" w:cs="Arial"/>
          <w:color w:val="000000" w:themeColor="text1"/>
          <w:sz w:val="22"/>
          <w:lang w:val="es-CO"/>
        </w:rPr>
        <w:t>, de la Ley 1150 de 2007.</w:t>
      </w:r>
    </w:p>
    <w:p w14:paraId="7F1F7BB8" w14:textId="77777777" w:rsidR="005675C8" w:rsidRPr="00B52AA3" w:rsidRDefault="005675C8" w:rsidP="005675C8">
      <w:pPr>
        <w:spacing w:line="276" w:lineRule="auto"/>
        <w:jc w:val="both"/>
        <w:rPr>
          <w:rFonts w:ascii="Arial" w:eastAsia="Calibri" w:hAnsi="Arial" w:cs="Arial"/>
          <w:color w:val="000000" w:themeColor="text1"/>
          <w:sz w:val="22"/>
        </w:rPr>
      </w:pPr>
    </w:p>
    <w:p w14:paraId="298B667F" w14:textId="77777777" w:rsidR="005675C8" w:rsidRPr="00B52AA3" w:rsidRDefault="005675C8" w:rsidP="005675C8">
      <w:pPr>
        <w:spacing w:line="276" w:lineRule="auto"/>
        <w:ind w:firstLine="708"/>
        <w:jc w:val="both"/>
        <w:rPr>
          <w:rFonts w:ascii="Arial" w:eastAsia="Calibri" w:hAnsi="Arial" w:cs="Arial"/>
          <w:color w:val="000000" w:themeColor="text1"/>
          <w:sz w:val="22"/>
        </w:rPr>
      </w:pPr>
      <w:r w:rsidRPr="00B52AA3">
        <w:rPr>
          <w:rFonts w:ascii="Arial" w:eastAsia="Calibri" w:hAnsi="Arial" w:cs="Arial"/>
          <w:color w:val="000000" w:themeColor="text1"/>
          <w:sz w:val="22"/>
        </w:rPr>
        <w:t>Este concepto tiene el alcance previsto en el artículo 28 del Código de Procedimiento Administrativo y de lo Contencioso Administrativo.</w:t>
      </w:r>
    </w:p>
    <w:p w14:paraId="63E7DAEB" w14:textId="77777777" w:rsidR="005675C8" w:rsidRPr="00B52AA3" w:rsidRDefault="005675C8" w:rsidP="005675C8">
      <w:pPr>
        <w:spacing w:line="276" w:lineRule="auto"/>
        <w:ind w:firstLine="708"/>
        <w:jc w:val="both"/>
        <w:rPr>
          <w:rFonts w:ascii="Arial" w:eastAsia="Calibri" w:hAnsi="Arial" w:cs="Arial"/>
          <w:color w:val="000000" w:themeColor="text1"/>
          <w:sz w:val="22"/>
        </w:rPr>
      </w:pPr>
    </w:p>
    <w:p w14:paraId="50C65FD5" w14:textId="77777777" w:rsidR="005675C8" w:rsidRPr="00B52AA3" w:rsidRDefault="005675C8" w:rsidP="005675C8">
      <w:pPr>
        <w:jc w:val="both"/>
        <w:rPr>
          <w:rFonts w:ascii="Arial" w:eastAsia="Times New Roman" w:hAnsi="Arial" w:cs="Arial"/>
          <w:color w:val="000000" w:themeColor="text1"/>
          <w:sz w:val="22"/>
          <w:lang w:eastAsia="es-CO"/>
        </w:rPr>
      </w:pPr>
      <w:r w:rsidRPr="00B52AA3">
        <w:rPr>
          <w:rFonts w:ascii="Arial" w:eastAsia="Times New Roman" w:hAnsi="Arial" w:cs="Arial"/>
          <w:color w:val="000000" w:themeColor="text1"/>
          <w:sz w:val="22"/>
          <w:lang w:eastAsia="es-CO"/>
        </w:rPr>
        <w:t>Atentamente,</w:t>
      </w:r>
    </w:p>
    <w:bookmarkEnd w:id="2"/>
    <w:p w14:paraId="65574EE2" w14:textId="3CDCE4A0" w:rsidR="005675C8" w:rsidRPr="00B52AA3" w:rsidRDefault="00ED39DB" w:rsidP="005675C8">
      <w:pPr>
        <w:jc w:val="center"/>
        <w:rPr>
          <w:rFonts w:ascii="Arial" w:eastAsia="Times New Roman" w:hAnsi="Arial" w:cs="Arial"/>
          <w:color w:val="000000" w:themeColor="text1"/>
          <w:sz w:val="18"/>
          <w:szCs w:val="20"/>
          <w:lang w:eastAsia="es-CO"/>
        </w:rPr>
      </w:pPr>
      <w:r>
        <w:rPr>
          <w:noProof/>
          <w:lang w:val="en-US"/>
        </w:rPr>
        <w:drawing>
          <wp:inline distT="0" distB="0" distL="0" distR="0" wp14:anchorId="013B9756" wp14:editId="66295D1C">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17A3281" w14:textId="77777777" w:rsidR="005675C8" w:rsidRPr="00B52AA3" w:rsidRDefault="005675C8" w:rsidP="005675C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52AA3" w:rsidRPr="00B52AA3" w14:paraId="41D03386" w14:textId="77777777" w:rsidTr="00EC39F1">
        <w:trPr>
          <w:trHeight w:val="315"/>
        </w:trPr>
        <w:tc>
          <w:tcPr>
            <w:tcW w:w="812" w:type="dxa"/>
            <w:vAlign w:val="center"/>
            <w:hideMark/>
          </w:tcPr>
          <w:p w14:paraId="27F0691D"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CFD46BD"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David Castellanos Carreño</w:t>
            </w:r>
          </w:p>
          <w:p w14:paraId="2B8FAC42"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Contratista</w:t>
            </w:r>
          </w:p>
        </w:tc>
      </w:tr>
      <w:tr w:rsidR="00B52AA3" w:rsidRPr="00B52AA3" w14:paraId="2AA253BA" w14:textId="77777777" w:rsidTr="00EC39F1">
        <w:trPr>
          <w:trHeight w:val="330"/>
        </w:trPr>
        <w:tc>
          <w:tcPr>
            <w:tcW w:w="812" w:type="dxa"/>
            <w:vAlign w:val="center"/>
            <w:hideMark/>
          </w:tcPr>
          <w:p w14:paraId="6B556375"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7C49F6" w14:textId="044FC391" w:rsidR="00FA0371" w:rsidRPr="00B52AA3" w:rsidRDefault="00FA0371"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Cristian Andrés Díaz Díez</w:t>
            </w:r>
          </w:p>
          <w:p w14:paraId="45D58028" w14:textId="2E08B096" w:rsidR="005675C8" w:rsidRPr="00B52AA3" w:rsidRDefault="00FA0371"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Contratista, Subdirección de Gestión Contractual</w:t>
            </w:r>
          </w:p>
        </w:tc>
      </w:tr>
      <w:tr w:rsidR="005675C8" w:rsidRPr="00B52AA3" w14:paraId="48D88461" w14:textId="77777777" w:rsidTr="00EC39F1">
        <w:trPr>
          <w:trHeight w:val="300"/>
        </w:trPr>
        <w:tc>
          <w:tcPr>
            <w:tcW w:w="812" w:type="dxa"/>
            <w:vAlign w:val="center"/>
            <w:hideMark/>
          </w:tcPr>
          <w:p w14:paraId="3072CE34" w14:textId="422E311E"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5D6D3E"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Fabián Gonzalo Marín Cortés</w:t>
            </w:r>
          </w:p>
          <w:p w14:paraId="7E34C0E1" w14:textId="77777777" w:rsidR="005675C8" w:rsidRPr="00B52AA3" w:rsidRDefault="005675C8" w:rsidP="00EC39F1">
            <w:pPr>
              <w:rPr>
                <w:rFonts w:ascii="Arial" w:eastAsia="Times New Roman" w:hAnsi="Arial" w:cs="Arial"/>
                <w:color w:val="000000" w:themeColor="text1"/>
                <w:sz w:val="16"/>
                <w:szCs w:val="16"/>
                <w:lang w:eastAsia="es-ES"/>
              </w:rPr>
            </w:pPr>
            <w:r w:rsidRPr="00B52AA3">
              <w:rPr>
                <w:rFonts w:ascii="Arial" w:eastAsia="Times New Roman" w:hAnsi="Arial" w:cs="Arial"/>
                <w:color w:val="000000" w:themeColor="text1"/>
                <w:sz w:val="16"/>
                <w:szCs w:val="16"/>
                <w:lang w:eastAsia="es-ES"/>
              </w:rPr>
              <w:t>Subdirector de Gestión Contractual</w:t>
            </w:r>
          </w:p>
        </w:tc>
      </w:tr>
    </w:tbl>
    <w:p w14:paraId="198146DC" w14:textId="77777777" w:rsidR="00086DC0" w:rsidRPr="00B52AA3" w:rsidRDefault="00086DC0">
      <w:pPr>
        <w:rPr>
          <w:color w:val="000000" w:themeColor="text1"/>
        </w:rPr>
      </w:pPr>
    </w:p>
    <w:sectPr w:rsidR="00086DC0" w:rsidRPr="00B52AA3"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F2C35" w14:textId="77777777" w:rsidR="00DA7891" w:rsidRDefault="00DA7891" w:rsidP="005675C8">
      <w:r>
        <w:separator/>
      </w:r>
    </w:p>
  </w:endnote>
  <w:endnote w:type="continuationSeparator" w:id="0">
    <w:p w14:paraId="4347413B" w14:textId="77777777" w:rsidR="00DA7891" w:rsidRDefault="00DA7891" w:rsidP="0056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09DCB" w14:textId="3D1D2577" w:rsidR="004A34D2" w:rsidRDefault="00DA7891" w:rsidP="007B0854">
    <w:pPr>
      <w:pStyle w:val="Sinespaciado"/>
      <w:jc w:val="center"/>
      <w:rPr>
        <w:rFonts w:ascii="Arial" w:hAnsi="Arial" w:cs="Arial"/>
        <w:sz w:val="18"/>
        <w:szCs w:val="18"/>
      </w:rPr>
    </w:pPr>
  </w:p>
  <w:p w14:paraId="223318BB" w14:textId="77777777" w:rsidR="001A2C13" w:rsidRDefault="001A2C13" w:rsidP="007B0854">
    <w:pPr>
      <w:pStyle w:val="Sinespaciado"/>
      <w:jc w:val="center"/>
      <w:rPr>
        <w:rFonts w:ascii="Arial" w:hAnsi="Arial" w:cs="Arial"/>
        <w:sz w:val="18"/>
        <w:szCs w:val="18"/>
      </w:rPr>
    </w:pPr>
  </w:p>
  <w:p w14:paraId="73C22BD1" w14:textId="67DADDB8" w:rsidR="007B0854" w:rsidRDefault="009D13A8"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0A0F05">
      <w:rPr>
        <w:rFonts w:ascii="Arial" w:hAnsi="Arial" w:cs="Arial"/>
        <w:noProof/>
        <w:sz w:val="18"/>
        <w:szCs w:val="18"/>
      </w:rPr>
      <w:t>2</w:t>
    </w:r>
    <w:r w:rsidRPr="00D04413">
      <w:rPr>
        <w:rFonts w:ascii="Arial" w:hAnsi="Arial" w:cs="Arial"/>
        <w:sz w:val="18"/>
        <w:szCs w:val="18"/>
      </w:rPr>
      <w:fldChar w:fldCharType="end"/>
    </w:r>
  </w:p>
  <w:p w14:paraId="7B17DE2B" w14:textId="77777777" w:rsidR="009047C5" w:rsidRDefault="009D13A8" w:rsidP="007B0854">
    <w:pPr>
      <w:pStyle w:val="Piedepgina"/>
      <w:jc w:val="center"/>
      <w:rPr>
        <w:lang w:val="es-ES"/>
      </w:rPr>
    </w:pPr>
    <w:r>
      <w:rPr>
        <w:noProof/>
        <w:lang w:val="en-US"/>
      </w:rPr>
      <w:drawing>
        <wp:inline distT="0" distB="0" distL="0" distR="0" wp14:anchorId="3FE201C9" wp14:editId="5C6B4154">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5DB31187" w14:textId="77777777" w:rsidR="004A34D2" w:rsidRDefault="00DA7891" w:rsidP="007B0854">
    <w:pPr>
      <w:pStyle w:val="Piedepgina"/>
      <w:jc w:val="center"/>
      <w:rPr>
        <w:lang w:val="es-ES"/>
      </w:rPr>
    </w:pPr>
  </w:p>
  <w:p w14:paraId="39B45643" w14:textId="77777777" w:rsidR="00E87BC6" w:rsidRPr="007B0854" w:rsidRDefault="00DA789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46794" w14:textId="77777777" w:rsidR="00DA7891" w:rsidRDefault="00DA7891" w:rsidP="005675C8">
      <w:r>
        <w:separator/>
      </w:r>
    </w:p>
  </w:footnote>
  <w:footnote w:type="continuationSeparator" w:id="0">
    <w:p w14:paraId="70720D42" w14:textId="77777777" w:rsidR="00DA7891" w:rsidRDefault="00DA7891" w:rsidP="005675C8">
      <w:r>
        <w:continuationSeparator/>
      </w:r>
    </w:p>
  </w:footnote>
  <w:footnote w:id="1">
    <w:p w14:paraId="19B60E08"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3 de la Ley 80 de 1993.</w:t>
      </w:r>
    </w:p>
    <w:p w14:paraId="78450C90" w14:textId="77777777" w:rsidR="005675C8" w:rsidRPr="00B52AA3" w:rsidRDefault="005675C8" w:rsidP="005675C8">
      <w:pPr>
        <w:pStyle w:val="Textonotapie"/>
        <w:jc w:val="both"/>
        <w:rPr>
          <w:rFonts w:ascii="Arial" w:hAnsi="Arial" w:cs="Arial"/>
          <w:iCs/>
          <w:color w:val="000000" w:themeColor="text1"/>
          <w:sz w:val="19"/>
          <w:szCs w:val="19"/>
        </w:rPr>
      </w:pPr>
    </w:p>
  </w:footnote>
  <w:footnote w:id="2">
    <w:p w14:paraId="0BFFF158"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17 de la Ley 1150 de 2007.</w:t>
      </w:r>
    </w:p>
    <w:p w14:paraId="74DA6859"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3">
    <w:p w14:paraId="79E2250D"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21 de la Ley 1150 de 2007.</w:t>
      </w:r>
    </w:p>
    <w:p w14:paraId="73B45456" w14:textId="77777777" w:rsidR="005675C8" w:rsidRPr="00B52AA3" w:rsidRDefault="005675C8" w:rsidP="005675C8">
      <w:pPr>
        <w:pStyle w:val="Textonotapie"/>
        <w:jc w:val="both"/>
        <w:rPr>
          <w:rFonts w:ascii="Arial" w:hAnsi="Arial" w:cs="Arial"/>
          <w:color w:val="000000" w:themeColor="text1"/>
          <w:sz w:val="19"/>
          <w:szCs w:val="19"/>
        </w:rPr>
      </w:pPr>
    </w:p>
  </w:footnote>
  <w:footnote w:id="4">
    <w:p w14:paraId="681467BE"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Artículos 83 a 86 de la Ley 1474 de 2011.</w:t>
      </w:r>
    </w:p>
    <w:p w14:paraId="71DCD1A4" w14:textId="77777777" w:rsidR="005675C8" w:rsidRPr="00B52AA3" w:rsidRDefault="005675C8" w:rsidP="005675C8">
      <w:pPr>
        <w:pStyle w:val="Textonotapie"/>
        <w:jc w:val="both"/>
        <w:rPr>
          <w:rFonts w:ascii="Arial" w:hAnsi="Arial" w:cs="Arial"/>
          <w:color w:val="000000" w:themeColor="text1"/>
          <w:sz w:val="19"/>
          <w:szCs w:val="19"/>
        </w:rPr>
      </w:pPr>
    </w:p>
  </w:footnote>
  <w:footnote w:id="5">
    <w:p w14:paraId="3F6376D1"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Consejo de Estado. Sección 3ª. Sentencia del 27 de noviembre de 2017. M.P. Jaime Orlando Santofimio. Exp. 51.802.</w:t>
      </w:r>
    </w:p>
    <w:p w14:paraId="65D1FBAD" w14:textId="77777777" w:rsidR="005675C8" w:rsidRPr="00B52AA3" w:rsidRDefault="005675C8" w:rsidP="005675C8">
      <w:pPr>
        <w:pStyle w:val="Textonotapie"/>
        <w:jc w:val="both"/>
        <w:rPr>
          <w:rFonts w:ascii="Arial" w:hAnsi="Arial" w:cs="Arial"/>
          <w:color w:val="000000" w:themeColor="text1"/>
          <w:sz w:val="19"/>
          <w:szCs w:val="19"/>
          <w:lang w:val="es-CO"/>
        </w:rPr>
      </w:pPr>
    </w:p>
  </w:footnote>
  <w:footnote w:id="6">
    <w:p w14:paraId="43B10E30"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Radicado # 4201913000008240 del 20 de diciembre de 2019.</w:t>
      </w:r>
    </w:p>
    <w:p w14:paraId="7A7A2851"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7">
    <w:p w14:paraId="3B69A64F" w14:textId="77777777" w:rsidR="005675C8" w:rsidRPr="00B52AA3" w:rsidRDefault="005675C8" w:rsidP="005675C8">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5F1DFA57" w14:textId="77777777" w:rsidR="005675C8" w:rsidRPr="00B52AA3" w:rsidRDefault="005675C8" w:rsidP="005675C8">
      <w:pPr>
        <w:pStyle w:val="Textonotapie"/>
        <w:jc w:val="both"/>
        <w:rPr>
          <w:rFonts w:ascii="Arial" w:hAnsi="Arial" w:cs="Arial"/>
          <w:iCs/>
          <w:color w:val="000000" w:themeColor="text1"/>
          <w:sz w:val="19"/>
          <w:szCs w:val="19"/>
        </w:rPr>
      </w:pPr>
    </w:p>
  </w:footnote>
  <w:footnote w:id="8">
    <w:p w14:paraId="1C19CD0D" w14:textId="030E4741" w:rsidR="005675C8" w:rsidRPr="00B52AA3" w:rsidRDefault="005675C8" w:rsidP="005675C8">
      <w:pPr>
        <w:pStyle w:val="Textonotapie"/>
        <w:ind w:firstLine="708"/>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00EB113F" w:rsidRPr="00B52AA3">
        <w:rPr>
          <w:rFonts w:ascii="Arial" w:hAnsi="Arial" w:cs="Arial"/>
          <w:iCs/>
          <w:color w:val="000000" w:themeColor="text1"/>
          <w:sz w:val="19"/>
          <w:szCs w:val="19"/>
        </w:rPr>
        <w:t xml:space="preserve">SUÁREZ </w:t>
      </w:r>
      <w:r w:rsidRPr="00B52AA3">
        <w:rPr>
          <w:rFonts w:ascii="Arial" w:hAnsi="Arial" w:cs="Arial"/>
          <w:iCs/>
          <w:color w:val="000000" w:themeColor="text1"/>
          <w:sz w:val="19"/>
          <w:szCs w:val="19"/>
        </w:rPr>
        <w:t>BELTRÁN, Gonzalo. Estudios de derecho contractual público. 1ª Ed. Legis, 2014. Bogotá. p. 256.</w:t>
      </w:r>
    </w:p>
    <w:p w14:paraId="24DC1F5A" w14:textId="77777777" w:rsidR="005675C8" w:rsidRPr="00B52AA3" w:rsidRDefault="005675C8" w:rsidP="005675C8">
      <w:pPr>
        <w:pStyle w:val="Textonotapie"/>
        <w:jc w:val="both"/>
        <w:rPr>
          <w:rFonts w:ascii="Arial" w:hAnsi="Arial" w:cs="Arial"/>
          <w:color w:val="000000" w:themeColor="text1"/>
          <w:sz w:val="19"/>
          <w:szCs w:val="19"/>
        </w:rPr>
      </w:pPr>
    </w:p>
  </w:footnote>
  <w:footnote w:id="9">
    <w:p w14:paraId="2BAB78F1" w14:textId="77777777" w:rsidR="005675C8" w:rsidRPr="00B52AA3" w:rsidRDefault="005675C8" w:rsidP="005675C8">
      <w:pPr>
        <w:pStyle w:val="Textonotapie"/>
        <w:ind w:firstLine="708"/>
        <w:jc w:val="both"/>
        <w:rPr>
          <w:rStyle w:val="Hipervnculo"/>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 xml:space="preserve">Disponible en: </w:t>
      </w:r>
      <w:hyperlink r:id="rId1" w:history="1">
        <w:r w:rsidRPr="00B52AA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B52AA3">
        <w:rPr>
          <w:rStyle w:val="Hipervnculo"/>
          <w:rFonts w:ascii="Arial" w:hAnsi="Arial" w:cs="Arial"/>
          <w:iCs/>
          <w:color w:val="000000" w:themeColor="text1"/>
          <w:sz w:val="19"/>
          <w:szCs w:val="19"/>
        </w:rPr>
        <w:t>.</w:t>
      </w:r>
    </w:p>
    <w:p w14:paraId="6C4B86B2" w14:textId="77777777" w:rsidR="005675C8" w:rsidRPr="00B52AA3" w:rsidRDefault="005675C8" w:rsidP="005675C8">
      <w:pPr>
        <w:pStyle w:val="Textonotapie"/>
        <w:ind w:firstLine="708"/>
        <w:jc w:val="both"/>
        <w:rPr>
          <w:rFonts w:ascii="Arial" w:hAnsi="Arial" w:cs="Arial"/>
          <w:iCs/>
          <w:color w:val="000000" w:themeColor="text1"/>
          <w:sz w:val="19"/>
          <w:szCs w:val="19"/>
        </w:rPr>
      </w:pPr>
    </w:p>
  </w:footnote>
  <w:footnote w:id="10">
    <w:p w14:paraId="287B5001"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Departamento Administrativo de la Función Pública. Concepto del 6 de mayo de 2019. Rad. 140.881.</w:t>
      </w:r>
    </w:p>
    <w:p w14:paraId="1DB8FB3A" w14:textId="77777777" w:rsidR="005675C8" w:rsidRPr="00B52AA3" w:rsidRDefault="005675C8" w:rsidP="005675C8">
      <w:pPr>
        <w:pStyle w:val="Textonotapie"/>
        <w:jc w:val="both"/>
        <w:rPr>
          <w:rFonts w:ascii="Arial" w:hAnsi="Arial" w:cs="Arial"/>
          <w:color w:val="000000" w:themeColor="text1"/>
          <w:sz w:val="19"/>
          <w:szCs w:val="19"/>
        </w:rPr>
      </w:pPr>
    </w:p>
  </w:footnote>
  <w:footnote w:id="11">
    <w:p w14:paraId="5C8A90C6"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En las Gacetas Nos. 607 y 784 de 2010, en las páginas 12 y 24, respectivamente, se da cuenta de esto.</w:t>
      </w:r>
    </w:p>
    <w:p w14:paraId="4AE0D851"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12">
    <w:p w14:paraId="2ED773D8"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 en las páginas 44 y 13, respectivamente.</w:t>
      </w:r>
    </w:p>
    <w:p w14:paraId="1A83E5D6"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13">
    <w:p w14:paraId="5114F757"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019 de 2011, en la página 17.</w:t>
      </w:r>
    </w:p>
    <w:p w14:paraId="2C61B214"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14">
    <w:p w14:paraId="3AF96B34"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128 de 2011, en la página 20.</w:t>
      </w:r>
    </w:p>
    <w:p w14:paraId="0D927DBD"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p>
  </w:footnote>
  <w:footnote w:id="15">
    <w:p w14:paraId="47EE78F4"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258 de 2011, en la página 16.</w:t>
      </w:r>
    </w:p>
    <w:p w14:paraId="22A2F272" w14:textId="77777777" w:rsidR="005675C8" w:rsidRPr="00B52AA3" w:rsidRDefault="005675C8" w:rsidP="005675C8">
      <w:pPr>
        <w:pStyle w:val="Textonotapie"/>
        <w:ind w:firstLine="708"/>
        <w:rPr>
          <w:rFonts w:ascii="Arial" w:hAnsi="Arial" w:cs="Arial"/>
          <w:color w:val="000000" w:themeColor="text1"/>
          <w:sz w:val="19"/>
          <w:szCs w:val="19"/>
          <w:lang w:val="es-ES"/>
        </w:rPr>
      </w:pPr>
    </w:p>
  </w:footnote>
  <w:footnote w:id="16">
    <w:p w14:paraId="603BD608" w14:textId="77777777" w:rsidR="005675C8" w:rsidRPr="00B52AA3" w:rsidRDefault="005675C8" w:rsidP="005675C8">
      <w:pPr>
        <w:pStyle w:val="Textonotapie"/>
        <w:ind w:firstLine="708"/>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w:t>
      </w:r>
    </w:p>
    <w:p w14:paraId="728EC9D8" w14:textId="77777777" w:rsidR="005675C8" w:rsidRPr="00B52AA3" w:rsidRDefault="005675C8" w:rsidP="005675C8">
      <w:pPr>
        <w:pStyle w:val="Textonotapie"/>
        <w:ind w:firstLine="708"/>
        <w:rPr>
          <w:rFonts w:ascii="Arial" w:hAnsi="Arial" w:cs="Arial"/>
          <w:color w:val="000000" w:themeColor="text1"/>
          <w:sz w:val="19"/>
          <w:szCs w:val="19"/>
          <w:lang w:val="es-ES"/>
        </w:rPr>
      </w:pPr>
    </w:p>
  </w:footnote>
  <w:footnote w:id="17">
    <w:p w14:paraId="6AE2549C" w14:textId="77777777" w:rsidR="005675C8" w:rsidRPr="00B52AA3" w:rsidRDefault="005675C8" w:rsidP="005675C8">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Consejo de Estado, Sección Tercera, Subsección A. Radicado No. 27426. C.P. Ramiro Pazos Guerrero.</w:t>
      </w:r>
    </w:p>
    <w:p w14:paraId="07D4C94E" w14:textId="77777777" w:rsidR="005675C8" w:rsidRPr="00B52AA3" w:rsidRDefault="005675C8" w:rsidP="005675C8">
      <w:pPr>
        <w:pStyle w:val="Textonotapie"/>
        <w:ind w:firstLine="708"/>
        <w:jc w:val="both"/>
        <w:rPr>
          <w:rFonts w:ascii="Arial" w:hAnsi="Arial" w:cs="Arial"/>
          <w:color w:val="000000" w:themeColor="text1"/>
          <w:sz w:val="19"/>
          <w:szCs w:val="19"/>
        </w:rPr>
      </w:pPr>
    </w:p>
  </w:footnote>
  <w:footnote w:id="18">
    <w:p w14:paraId="093B66B8" w14:textId="77777777" w:rsidR="005675C8" w:rsidRPr="00B52AA3" w:rsidRDefault="005675C8" w:rsidP="005675C8">
      <w:pPr>
        <w:pStyle w:val="Textonotapie"/>
        <w:ind w:firstLine="708"/>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 w:id="19">
    <w:p w14:paraId="46679932" w14:textId="77777777" w:rsidR="0039626A" w:rsidRPr="00B52AA3" w:rsidRDefault="0039626A" w:rsidP="0039626A">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Sentencia de unificación del 2 de diciembre de 2013, expediente No. 11001-03-26-000-2011-00039-00(41719), M.P. Dr. Jaime Orlando Santofimio Gamboa −acción de nulidad en contra del inciso 1° del artículo 1º del Decreto 4266 de 2010−.</w:t>
      </w:r>
    </w:p>
    <w:p w14:paraId="0F6CE896" w14:textId="77777777" w:rsidR="0039626A" w:rsidRPr="00B52AA3" w:rsidRDefault="0039626A" w:rsidP="0039626A">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55E6" w14:textId="77777777" w:rsidR="007B0854" w:rsidRDefault="009D13A8">
    <w:pPr>
      <w:pStyle w:val="Encabezado"/>
    </w:pPr>
    <w:r>
      <w:rPr>
        <w:noProof/>
        <w:lang w:val="en-US"/>
      </w:rPr>
      <w:drawing>
        <wp:anchor distT="0" distB="0" distL="114300" distR="114300" simplePos="0" relativeHeight="251659264" behindDoc="1" locked="0" layoutInCell="1" allowOverlap="1" wp14:anchorId="30864C2B" wp14:editId="2B24DA93">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6A2FD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5C8"/>
    <w:rsid w:val="00051D6A"/>
    <w:rsid w:val="00064981"/>
    <w:rsid w:val="00086DC0"/>
    <w:rsid w:val="000A0F05"/>
    <w:rsid w:val="000A7B25"/>
    <w:rsid w:val="00123251"/>
    <w:rsid w:val="001408D5"/>
    <w:rsid w:val="001A2C13"/>
    <w:rsid w:val="001C20D1"/>
    <w:rsid w:val="002417B8"/>
    <w:rsid w:val="002A02A9"/>
    <w:rsid w:val="002B2918"/>
    <w:rsid w:val="002C2B1F"/>
    <w:rsid w:val="0032057F"/>
    <w:rsid w:val="0039626A"/>
    <w:rsid w:val="003B2F8D"/>
    <w:rsid w:val="0042719C"/>
    <w:rsid w:val="00445456"/>
    <w:rsid w:val="00451C82"/>
    <w:rsid w:val="004715DE"/>
    <w:rsid w:val="00542DF7"/>
    <w:rsid w:val="005675C8"/>
    <w:rsid w:val="00575015"/>
    <w:rsid w:val="005F6C66"/>
    <w:rsid w:val="0067010A"/>
    <w:rsid w:val="00680650"/>
    <w:rsid w:val="00727747"/>
    <w:rsid w:val="008E4956"/>
    <w:rsid w:val="008F4E84"/>
    <w:rsid w:val="00935D91"/>
    <w:rsid w:val="009620C8"/>
    <w:rsid w:val="009B312C"/>
    <w:rsid w:val="009D13A8"/>
    <w:rsid w:val="009F3BED"/>
    <w:rsid w:val="00AA593D"/>
    <w:rsid w:val="00AB7BE7"/>
    <w:rsid w:val="00AF7270"/>
    <w:rsid w:val="00B00F50"/>
    <w:rsid w:val="00B12FAC"/>
    <w:rsid w:val="00B52AA3"/>
    <w:rsid w:val="00BD7AB9"/>
    <w:rsid w:val="00BE43D2"/>
    <w:rsid w:val="00D07B0C"/>
    <w:rsid w:val="00D27A46"/>
    <w:rsid w:val="00D85C85"/>
    <w:rsid w:val="00DA5F4C"/>
    <w:rsid w:val="00DA7891"/>
    <w:rsid w:val="00DB19C1"/>
    <w:rsid w:val="00DF2CEC"/>
    <w:rsid w:val="00E44440"/>
    <w:rsid w:val="00EB113F"/>
    <w:rsid w:val="00ED39DB"/>
    <w:rsid w:val="00F15A2B"/>
    <w:rsid w:val="00F555F0"/>
    <w:rsid w:val="00F7287A"/>
    <w:rsid w:val="00FA03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03D4"/>
  <w15:chartTrackingRefBased/>
  <w15:docId w15:val="{194FB760-3BCD-48F7-8B25-67A5EE38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5C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675C8"/>
    <w:pPr>
      <w:tabs>
        <w:tab w:val="center" w:pos="4419"/>
        <w:tab w:val="right" w:pos="8838"/>
      </w:tabs>
    </w:pPr>
  </w:style>
  <w:style w:type="character" w:customStyle="1" w:styleId="PiedepginaCar">
    <w:name w:val="Pie de página Car"/>
    <w:basedOn w:val="Fuentedeprrafopredeter"/>
    <w:link w:val="Piedepgina"/>
    <w:uiPriority w:val="99"/>
    <w:rsid w:val="005675C8"/>
    <w:rPr>
      <w:sz w:val="24"/>
      <w:lang w:val="es-MX"/>
    </w:rPr>
  </w:style>
  <w:style w:type="paragraph" w:styleId="Encabezado">
    <w:name w:val="header"/>
    <w:basedOn w:val="Normal"/>
    <w:link w:val="EncabezadoCar"/>
    <w:uiPriority w:val="99"/>
    <w:unhideWhenUsed/>
    <w:rsid w:val="005675C8"/>
    <w:pPr>
      <w:tabs>
        <w:tab w:val="center" w:pos="4252"/>
        <w:tab w:val="right" w:pos="8504"/>
      </w:tabs>
    </w:pPr>
  </w:style>
  <w:style w:type="character" w:customStyle="1" w:styleId="EncabezadoCar">
    <w:name w:val="Encabezado Car"/>
    <w:basedOn w:val="Fuentedeprrafopredeter"/>
    <w:link w:val="Encabezado"/>
    <w:uiPriority w:val="99"/>
    <w:rsid w:val="005675C8"/>
    <w:rPr>
      <w:sz w:val="24"/>
      <w:lang w:val="es-MX"/>
    </w:rPr>
  </w:style>
  <w:style w:type="table" w:styleId="Tablaconcuadrcula">
    <w:name w:val="Table Grid"/>
    <w:basedOn w:val="Tablanormal"/>
    <w:uiPriority w:val="39"/>
    <w:rsid w:val="00567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675C8"/>
    <w:pPr>
      <w:ind w:left="720"/>
      <w:contextualSpacing/>
    </w:pPr>
  </w:style>
  <w:style w:type="character" w:styleId="Hipervnculo">
    <w:name w:val="Hyperlink"/>
    <w:basedOn w:val="Fuentedeprrafopredeter"/>
    <w:uiPriority w:val="99"/>
    <w:unhideWhenUsed/>
    <w:rsid w:val="005675C8"/>
    <w:rPr>
      <w:color w:val="0563C1" w:themeColor="hyperlink"/>
      <w:u w:val="single"/>
    </w:rPr>
  </w:style>
  <w:style w:type="paragraph" w:styleId="Sinespaciado">
    <w:name w:val="No Spacing"/>
    <w:aliases w:val="No Indent"/>
    <w:uiPriority w:val="3"/>
    <w:qFormat/>
    <w:rsid w:val="005675C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5675C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5675C8"/>
    <w:rPr>
      <w:sz w:val="20"/>
      <w:szCs w:val="20"/>
    </w:rPr>
  </w:style>
  <w:style w:type="character" w:customStyle="1" w:styleId="TextonotapieCar1">
    <w:name w:val="Texto nota pie Car1"/>
    <w:basedOn w:val="Fuentedeprrafopredeter"/>
    <w:uiPriority w:val="99"/>
    <w:semiHidden/>
    <w:rsid w:val="005675C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75C8"/>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unhideWhenUsed/>
    <w:qFormat/>
    <w:rsid w:val="005675C8"/>
    <w:rPr>
      <w:vertAlign w:val="superscript"/>
    </w:rPr>
  </w:style>
  <w:style w:type="paragraph" w:styleId="Textodeglobo">
    <w:name w:val="Balloon Text"/>
    <w:basedOn w:val="Normal"/>
    <w:link w:val="TextodegloboCar"/>
    <w:uiPriority w:val="99"/>
    <w:semiHidden/>
    <w:unhideWhenUsed/>
    <w:rsid w:val="003B2F8D"/>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B2F8D"/>
    <w:rPr>
      <w:rFonts w:ascii="Times New Roman" w:hAnsi="Times New Roman" w:cs="Times New Roman"/>
      <w:sz w:val="18"/>
      <w:szCs w:val="18"/>
      <w:lang w:val="es-MX"/>
    </w:rPr>
  </w:style>
  <w:style w:type="paragraph" w:customStyle="1" w:styleId="Default">
    <w:name w:val="Default"/>
    <w:rsid w:val="00B52AA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C0B12A-B6AB-4B5D-A983-5B635FEE7E0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6F09B14-7237-4CBD-8DA5-5A9BEAB70D15}">
  <ds:schemaRefs>
    <ds:schemaRef ds:uri="http://schemas.microsoft.com/sharepoint/v3/contenttype/forms"/>
  </ds:schemaRefs>
</ds:datastoreItem>
</file>

<file path=customXml/itemProps3.xml><?xml version="1.0" encoding="utf-8"?>
<ds:datastoreItem xmlns:ds="http://schemas.openxmlformats.org/officeDocument/2006/customXml" ds:itemID="{AEB5DA3C-9683-47F5-BE06-202CFE5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3464</Words>
  <Characters>19749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dcterms:created xsi:type="dcterms:W3CDTF">2020-08-11T03:38:00Z</dcterms:created>
  <dcterms:modified xsi:type="dcterms:W3CDTF">2020-08-11T03:38:00Z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