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956B7" w14:textId="77777777" w:rsidR="00785BA9" w:rsidRPr="00DE2B01" w:rsidRDefault="00785BA9" w:rsidP="00785BA9">
      <w:pPr>
        <w:spacing w:after="0" w:line="240" w:lineRule="auto"/>
        <w:jc w:val="both"/>
        <w:rPr>
          <w:rFonts w:ascii="Century Gothic" w:eastAsia="Calibri" w:hAnsi="Century Gothic" w:cs="Arial"/>
          <w:b/>
          <w:lang w:eastAsia="es-CO"/>
        </w:rPr>
      </w:pPr>
      <w:bookmarkStart w:id="0" w:name="_Hlk143780582"/>
      <w:r w:rsidRPr="00DE2B01">
        <w:rPr>
          <w:rFonts w:ascii="Century Gothic" w:eastAsia="Calibri" w:hAnsi="Century Gothic" w:cs="Arial"/>
          <w:b/>
          <w:lang w:eastAsia="es-ES_tradnl"/>
        </w:rPr>
        <w:t>COLOMBIA COMPRA EFICIENTE – Competencia Consultiva – Contratación Estatal – Normas Generales – Alcance – No vinculante</w:t>
      </w:r>
    </w:p>
    <w:p w14:paraId="09C080CD" w14:textId="77777777" w:rsidR="00785BA9" w:rsidRPr="00DE2B01" w:rsidRDefault="00785BA9" w:rsidP="00785BA9">
      <w:pPr>
        <w:spacing w:after="0" w:line="240" w:lineRule="auto"/>
        <w:jc w:val="both"/>
        <w:rPr>
          <w:rFonts w:ascii="Century Gothic" w:eastAsia="Times New Roman" w:hAnsi="Century Gothic" w:cs="Arial"/>
          <w:sz w:val="20"/>
          <w:szCs w:val="20"/>
          <w:lang w:eastAsia="es-ES_tradnl"/>
        </w:rPr>
      </w:pPr>
    </w:p>
    <w:p w14:paraId="3919F58A" w14:textId="77777777" w:rsidR="00785BA9" w:rsidRPr="00DE2B01" w:rsidRDefault="00785BA9" w:rsidP="00785BA9">
      <w:pPr>
        <w:spacing w:after="120" w:line="240" w:lineRule="auto"/>
        <w:jc w:val="both"/>
        <w:rPr>
          <w:rFonts w:ascii="Century Gothic" w:eastAsia="Times New Roman" w:hAnsi="Century Gothic" w:cs="Arial"/>
          <w:sz w:val="20"/>
          <w:szCs w:val="20"/>
          <w:lang w:eastAsia="es-ES_tradnl"/>
        </w:rPr>
      </w:pPr>
      <w:r w:rsidRPr="00DE2B01">
        <w:rPr>
          <w:rFonts w:ascii="Century Gothic" w:eastAsia="Times New Roman" w:hAnsi="Century Gothic" w:cs="Arial"/>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3ED8A66" w14:textId="77777777" w:rsidR="00785BA9" w:rsidRDefault="00785BA9" w:rsidP="00785BA9">
      <w:pPr>
        <w:spacing w:after="0" w:line="240" w:lineRule="auto"/>
        <w:jc w:val="both"/>
        <w:rPr>
          <w:rFonts w:ascii="Century Gothic" w:eastAsia="Times New Roman" w:hAnsi="Century Gothic" w:cs="Arial"/>
          <w:sz w:val="20"/>
          <w:szCs w:val="20"/>
          <w:lang w:eastAsia="es-ES_tradnl"/>
        </w:rPr>
      </w:pPr>
      <w:r w:rsidRPr="00DE2B01">
        <w:rPr>
          <w:rFonts w:ascii="Century Gothic" w:eastAsia="Times New Roman" w:hAnsi="Century Gothic" w:cs="Arial"/>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3AE327AC" w14:textId="77777777" w:rsidR="00785BA9" w:rsidRDefault="00785BA9" w:rsidP="00785BA9">
      <w:pPr>
        <w:spacing w:after="0" w:line="240" w:lineRule="auto"/>
        <w:jc w:val="both"/>
        <w:rPr>
          <w:rFonts w:ascii="Century Gothic" w:eastAsia="Times New Roman" w:hAnsi="Century Gothic" w:cs="Arial"/>
          <w:sz w:val="20"/>
          <w:szCs w:val="20"/>
          <w:lang w:eastAsia="es-ES_tradnl"/>
        </w:rPr>
      </w:pPr>
    </w:p>
    <w:p w14:paraId="3775C94D" w14:textId="77777777" w:rsidR="00785BA9" w:rsidRPr="008B0076" w:rsidRDefault="00785BA9" w:rsidP="00785BA9">
      <w:pPr>
        <w:spacing w:after="0" w:line="276" w:lineRule="auto"/>
        <w:ind w:right="102"/>
        <w:jc w:val="both"/>
        <w:rPr>
          <w:rFonts w:ascii="Century Gothic" w:eastAsiaTheme="minorEastAsia" w:hAnsi="Century Gothic" w:cs="Arial"/>
          <w:b/>
          <w:color w:val="000000" w:themeColor="text1"/>
          <w:lang w:val="es-ES_tradnl" w:eastAsia="es-CO"/>
        </w:rPr>
      </w:pPr>
      <w:r w:rsidRPr="008B0076">
        <w:rPr>
          <w:rFonts w:ascii="Century Gothic" w:eastAsiaTheme="minorEastAsia" w:hAnsi="Century Gothic" w:cs="Arial"/>
          <w:b/>
          <w:color w:val="000000" w:themeColor="text1"/>
          <w:lang w:val="es-ES_tradnl" w:eastAsia="es-CO"/>
        </w:rPr>
        <w:t>DECRETO 092 DE 2017 – Finalidad – Clases de contratos</w:t>
      </w:r>
    </w:p>
    <w:p w14:paraId="3CB86451" w14:textId="77777777" w:rsidR="00785BA9" w:rsidRPr="008B0076" w:rsidRDefault="00785BA9" w:rsidP="00785BA9">
      <w:pPr>
        <w:spacing w:after="0" w:line="276" w:lineRule="auto"/>
        <w:ind w:right="102"/>
        <w:jc w:val="both"/>
        <w:rPr>
          <w:rFonts w:ascii="Century Gothic" w:eastAsiaTheme="minorEastAsia" w:hAnsi="Century Gothic" w:cs="Arial"/>
          <w:color w:val="000000" w:themeColor="text1"/>
          <w:sz w:val="20"/>
          <w:szCs w:val="20"/>
          <w:lang w:val="es-ES_tradnl" w:eastAsia="es-CO"/>
        </w:rPr>
      </w:pPr>
    </w:p>
    <w:p w14:paraId="08ED4CFF" w14:textId="77777777" w:rsidR="00785BA9" w:rsidRPr="008B0076" w:rsidRDefault="00785BA9" w:rsidP="00785BA9">
      <w:pPr>
        <w:spacing w:after="0"/>
        <w:jc w:val="both"/>
        <w:rPr>
          <w:rFonts w:ascii="Century Gothic" w:eastAsia="Arial" w:hAnsi="Century Gothic" w:cs="Arial"/>
          <w:color w:val="000000" w:themeColor="text1"/>
          <w:sz w:val="20"/>
          <w:szCs w:val="20"/>
          <w:lang w:val="es-ES_tradnl"/>
        </w:rPr>
      </w:pPr>
      <w:bookmarkStart w:id="1" w:name="_Hlk149122871"/>
      <w:r w:rsidRPr="008B0076">
        <w:rPr>
          <w:rFonts w:ascii="Century Gothic" w:eastAsia="Arial" w:hAnsi="Century Gothic" w:cs="Arial"/>
          <w:color w:val="000000" w:themeColor="text1"/>
          <w:sz w:val="20"/>
          <w:szCs w:val="20"/>
          <w:lang w:val="es-ES_tradnl"/>
        </w:rPr>
        <w:t>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w:t>
      </w:r>
    </w:p>
    <w:bookmarkEnd w:id="1"/>
    <w:p w14:paraId="12AF96C0" w14:textId="77777777" w:rsidR="00785BA9" w:rsidRPr="008B0076" w:rsidRDefault="00785BA9" w:rsidP="00785BA9">
      <w:pPr>
        <w:spacing w:after="0"/>
        <w:jc w:val="both"/>
        <w:rPr>
          <w:rFonts w:ascii="Century Gothic" w:eastAsia="Calibri" w:hAnsi="Century Gothic" w:cs="Arial"/>
          <w:b/>
          <w:color w:val="000000" w:themeColor="text1"/>
          <w:lang w:val="es-ES_tradnl"/>
        </w:rPr>
      </w:pPr>
    </w:p>
    <w:p w14:paraId="7536FB7E" w14:textId="77777777" w:rsidR="00785BA9" w:rsidRPr="008B0076" w:rsidRDefault="00785BA9" w:rsidP="00785BA9">
      <w:pPr>
        <w:spacing w:after="0"/>
        <w:jc w:val="both"/>
        <w:rPr>
          <w:rFonts w:ascii="Century Gothic" w:eastAsia="Calibri" w:hAnsi="Century Gothic" w:cs="Arial"/>
          <w:b/>
          <w:color w:val="000000" w:themeColor="text1"/>
          <w:lang w:val="es-ES_tradnl"/>
        </w:rPr>
      </w:pPr>
      <w:r w:rsidRPr="008B0076">
        <w:rPr>
          <w:rFonts w:ascii="Century Gothic" w:eastAsia="Calibri" w:hAnsi="Century Gothic" w:cs="Arial"/>
          <w:b/>
          <w:color w:val="000000" w:themeColor="text1"/>
          <w:lang w:val="es-ES_tradnl"/>
        </w:rPr>
        <w:t xml:space="preserve">CONTRATACIÓN CON ESAL – Contrato de colaboración – Objeto – Alcance </w:t>
      </w:r>
    </w:p>
    <w:p w14:paraId="595B165F" w14:textId="77777777" w:rsidR="00785BA9" w:rsidRPr="008B0076" w:rsidRDefault="00785BA9" w:rsidP="00785BA9">
      <w:pPr>
        <w:spacing w:after="0"/>
        <w:jc w:val="both"/>
        <w:rPr>
          <w:rFonts w:ascii="Century Gothic" w:eastAsia="Calibri" w:hAnsi="Century Gothic" w:cs="Arial"/>
          <w:bCs/>
          <w:color w:val="000000" w:themeColor="text1"/>
          <w:sz w:val="20"/>
          <w:szCs w:val="20"/>
          <w:lang w:val="es-ES_tradnl"/>
        </w:rPr>
      </w:pPr>
    </w:p>
    <w:p w14:paraId="16760F42" w14:textId="77777777" w:rsidR="00785BA9" w:rsidRPr="008B0076" w:rsidRDefault="00785BA9" w:rsidP="00785BA9">
      <w:pPr>
        <w:spacing w:after="0"/>
        <w:jc w:val="both"/>
        <w:rPr>
          <w:rFonts w:ascii="Century Gothic" w:hAnsi="Century Gothic" w:cs="Arial"/>
          <w:color w:val="000000" w:themeColor="text1"/>
          <w:sz w:val="20"/>
          <w:szCs w:val="20"/>
          <w:lang w:val="es-ES_tradnl"/>
        </w:rPr>
      </w:pPr>
      <w:r w:rsidRPr="008B0076">
        <w:rPr>
          <w:rFonts w:ascii="Century Gothic" w:hAnsi="Century Gothic"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4A341B29" w14:textId="77777777" w:rsidR="00785BA9" w:rsidRPr="008B0076" w:rsidRDefault="00785BA9" w:rsidP="00785BA9">
      <w:pPr>
        <w:spacing w:after="0"/>
        <w:jc w:val="both"/>
        <w:rPr>
          <w:rFonts w:ascii="Century Gothic" w:hAnsi="Century Gothic" w:cs="Arial"/>
          <w:color w:val="000000" w:themeColor="text1"/>
          <w:sz w:val="21"/>
          <w:szCs w:val="21"/>
          <w:lang w:val="es-ES_tradnl"/>
        </w:rPr>
      </w:pPr>
    </w:p>
    <w:p w14:paraId="4C02D8F9" w14:textId="77777777" w:rsidR="00785BA9" w:rsidRPr="008B0076" w:rsidRDefault="00785BA9" w:rsidP="00785BA9">
      <w:pPr>
        <w:spacing w:after="0"/>
        <w:jc w:val="both"/>
        <w:rPr>
          <w:rFonts w:ascii="Century Gothic" w:eastAsia="Calibri" w:hAnsi="Century Gothic" w:cs="Arial"/>
          <w:b/>
          <w:color w:val="000000" w:themeColor="text1"/>
          <w:lang w:val="es-ES_tradnl"/>
        </w:rPr>
      </w:pPr>
      <w:bookmarkStart w:id="2" w:name="_Hlk109118876"/>
      <w:r w:rsidRPr="008B0076">
        <w:rPr>
          <w:rFonts w:ascii="Century Gothic" w:eastAsia="Calibri" w:hAnsi="Century Gothic" w:cs="Arial"/>
          <w:b/>
          <w:color w:val="000000" w:themeColor="text1"/>
          <w:lang w:val="es-ES_tradnl"/>
        </w:rPr>
        <w:t>CONTRATACIÓN CON ESAL –</w:t>
      </w:r>
      <w:bookmarkEnd w:id="2"/>
      <w:r w:rsidRPr="008B0076">
        <w:rPr>
          <w:rFonts w:ascii="Century Gothic" w:eastAsia="Calibri" w:hAnsi="Century Gothic" w:cs="Arial"/>
          <w:b/>
          <w:color w:val="000000" w:themeColor="text1"/>
          <w:lang w:val="es-ES_tradnl"/>
        </w:rPr>
        <w:t xml:space="preserve"> Contrato de asociación – Objeto – Alcance</w:t>
      </w:r>
    </w:p>
    <w:p w14:paraId="244AA392" w14:textId="77777777" w:rsidR="00785BA9" w:rsidRPr="008B0076" w:rsidRDefault="00785BA9" w:rsidP="00785BA9">
      <w:pPr>
        <w:spacing w:after="0"/>
        <w:jc w:val="both"/>
        <w:rPr>
          <w:rFonts w:ascii="Century Gothic" w:eastAsia="Calibri" w:hAnsi="Century Gothic" w:cs="Arial"/>
          <w:b/>
          <w:color w:val="000000" w:themeColor="text1"/>
          <w:lang w:val="es-ES_tradnl"/>
        </w:rPr>
      </w:pPr>
    </w:p>
    <w:p w14:paraId="5E71ED15" w14:textId="77777777" w:rsidR="00785BA9" w:rsidRPr="008B0076" w:rsidRDefault="00785BA9" w:rsidP="00785BA9">
      <w:pPr>
        <w:spacing w:after="0"/>
        <w:jc w:val="both"/>
        <w:rPr>
          <w:rFonts w:ascii="Century Gothic" w:hAnsi="Century Gothic" w:cs="Arial"/>
          <w:color w:val="000000" w:themeColor="text1"/>
          <w:sz w:val="20"/>
          <w:szCs w:val="20"/>
          <w:lang w:val="es-ES_tradnl"/>
        </w:rPr>
      </w:pPr>
      <w:r w:rsidRPr="008B0076">
        <w:rPr>
          <w:rFonts w:ascii="Century Gothic" w:hAnsi="Century Gothic" w:cs="Arial"/>
          <w:color w:val="000000" w:themeColor="text1"/>
          <w:sz w:val="20"/>
          <w:szCs w:val="20"/>
          <w:lang w:val="es-ES_tradnl"/>
        </w:rPr>
        <w:t xml:space="preserve">De otro lado, los convenios de asociación «[t]ienen como finalidad que la entidad estatal, cualquiera que sea su naturaleza y orden administrativo, se asocien con personas jurídicas particulares para el desarrollo conjunto de actividades relacionadas con los cometidos y </w:t>
      </w:r>
      <w:r w:rsidRPr="008B0076">
        <w:rPr>
          <w:rFonts w:ascii="Century Gothic" w:hAnsi="Century Gothic" w:cs="Arial"/>
          <w:color w:val="000000" w:themeColor="text1"/>
          <w:sz w:val="20"/>
          <w:szCs w:val="20"/>
          <w:lang w:val="es-ES_tradnl"/>
        </w:rPr>
        <w:lastRenderedPageBreak/>
        <w:t>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53A11EB0" w14:textId="77777777" w:rsidR="00785BA9" w:rsidRPr="008B0076" w:rsidRDefault="00785BA9" w:rsidP="00785BA9">
      <w:pPr>
        <w:spacing w:after="0"/>
        <w:jc w:val="both"/>
        <w:rPr>
          <w:rFonts w:ascii="Century Gothic" w:hAnsi="Century Gothic" w:cs="Arial"/>
          <w:color w:val="000000" w:themeColor="text1"/>
          <w:sz w:val="20"/>
          <w:szCs w:val="20"/>
          <w:lang w:val="es-ES_tradnl"/>
        </w:rPr>
      </w:pPr>
    </w:p>
    <w:p w14:paraId="67231A88" w14:textId="77777777" w:rsidR="00785BA9" w:rsidRPr="008B0076" w:rsidRDefault="00785BA9" w:rsidP="00785BA9">
      <w:pPr>
        <w:spacing w:after="0"/>
        <w:jc w:val="both"/>
        <w:rPr>
          <w:rFonts w:ascii="Century Gothic" w:eastAsia="Calibri" w:hAnsi="Century Gothic" w:cs="Arial"/>
          <w:b/>
          <w:color w:val="000000" w:themeColor="text1"/>
          <w:lang w:val="es-ES_tradnl"/>
        </w:rPr>
      </w:pPr>
      <w:r w:rsidRPr="008B0076">
        <w:rPr>
          <w:rFonts w:ascii="Century Gothic" w:eastAsia="Calibri" w:hAnsi="Century Gothic" w:cs="Arial"/>
          <w:b/>
          <w:color w:val="000000" w:themeColor="text1"/>
          <w:lang w:val="es-ES_tradnl"/>
        </w:rPr>
        <w:t>CONVENIOS DE ASOCIACIÓN – Multiplicidad de sujetos – Límites legales</w:t>
      </w:r>
    </w:p>
    <w:p w14:paraId="48BDB004" w14:textId="77777777" w:rsidR="00785BA9" w:rsidRPr="008B0076" w:rsidRDefault="00785BA9" w:rsidP="00785BA9">
      <w:pPr>
        <w:spacing w:after="0"/>
        <w:jc w:val="both"/>
        <w:rPr>
          <w:rFonts w:ascii="Century Gothic" w:hAnsi="Century Gothic" w:cs="Arial"/>
          <w:color w:val="000000" w:themeColor="text1"/>
          <w:sz w:val="20"/>
          <w:szCs w:val="20"/>
          <w:lang w:val="es-ES_tradnl"/>
        </w:rPr>
      </w:pPr>
    </w:p>
    <w:p w14:paraId="301676C6" w14:textId="77777777" w:rsidR="00785BA9" w:rsidRPr="008B0076" w:rsidRDefault="00785BA9" w:rsidP="00785BA9">
      <w:pPr>
        <w:spacing w:after="0" w:line="240" w:lineRule="auto"/>
        <w:jc w:val="both"/>
        <w:rPr>
          <w:rFonts w:ascii="Century Gothic" w:hAnsi="Century Gothic" w:cs="Arial"/>
          <w:color w:val="000000" w:themeColor="text1"/>
          <w:sz w:val="20"/>
          <w:szCs w:val="20"/>
          <w:lang w:val="es-ES_tradnl"/>
        </w:rPr>
      </w:pPr>
      <w:r w:rsidRPr="008B0076">
        <w:rPr>
          <w:rFonts w:ascii="Century Gothic" w:hAnsi="Century Gothic" w:cs="Arial"/>
          <w:color w:val="000000" w:themeColor="text1"/>
          <w:sz w:val="20"/>
          <w:szCs w:val="20"/>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68D7644B" w14:textId="77777777" w:rsidR="00785BA9" w:rsidRPr="008B0076" w:rsidRDefault="00785BA9" w:rsidP="00785BA9">
      <w:pPr>
        <w:spacing w:after="0" w:line="240" w:lineRule="auto"/>
        <w:jc w:val="both"/>
        <w:rPr>
          <w:rFonts w:ascii="Century Gothic" w:hAnsi="Century Gothic" w:cs="Arial"/>
          <w:color w:val="000000" w:themeColor="text1"/>
          <w:sz w:val="20"/>
          <w:szCs w:val="20"/>
          <w:lang w:val="es-ES_tradnl"/>
        </w:rPr>
      </w:pPr>
    </w:p>
    <w:p w14:paraId="2A2F6D56" w14:textId="77777777" w:rsidR="00785BA9" w:rsidRPr="008B0076" w:rsidRDefault="00785BA9" w:rsidP="00785BA9">
      <w:pPr>
        <w:spacing w:after="0"/>
        <w:jc w:val="both"/>
        <w:rPr>
          <w:rFonts w:ascii="Century Gothic" w:eastAsia="Calibri" w:hAnsi="Century Gothic" w:cs="Arial"/>
          <w:b/>
          <w:color w:val="000000" w:themeColor="text1"/>
          <w:lang w:val="es-ES_tradnl"/>
        </w:rPr>
      </w:pPr>
      <w:r w:rsidRPr="008B0076">
        <w:rPr>
          <w:rFonts w:ascii="Century Gothic" w:eastAsia="Calibri" w:hAnsi="Century Gothic" w:cs="Arial"/>
          <w:b/>
          <w:color w:val="000000" w:themeColor="text1"/>
          <w:lang w:val="es-ES_tradnl"/>
        </w:rPr>
        <w:t xml:space="preserve">DECRETO 092 DE 2017 – Criterios – Aplicación </w:t>
      </w:r>
    </w:p>
    <w:p w14:paraId="788238C8" w14:textId="77777777" w:rsidR="00785BA9" w:rsidRPr="008B0076" w:rsidRDefault="00785BA9" w:rsidP="00785BA9">
      <w:pPr>
        <w:spacing w:after="0"/>
        <w:jc w:val="both"/>
        <w:rPr>
          <w:rFonts w:ascii="Century Gothic" w:hAnsi="Century Gothic" w:cs="Arial"/>
          <w:color w:val="000000" w:themeColor="text1"/>
          <w:sz w:val="21"/>
          <w:szCs w:val="21"/>
          <w:lang w:val="es-ES_tradnl"/>
        </w:rPr>
      </w:pPr>
    </w:p>
    <w:p w14:paraId="36C947DE" w14:textId="77777777" w:rsidR="00785BA9" w:rsidRPr="008B0076" w:rsidRDefault="00785BA9" w:rsidP="00785BA9">
      <w:pPr>
        <w:spacing w:after="0"/>
        <w:jc w:val="both"/>
        <w:rPr>
          <w:rFonts w:ascii="Century Gothic" w:hAnsi="Century Gothic" w:cs="Arial"/>
          <w:color w:val="000000" w:themeColor="text1"/>
          <w:sz w:val="20"/>
          <w:szCs w:val="20"/>
          <w:lang w:val="es-ES_tradnl"/>
        </w:rPr>
      </w:pPr>
      <w:r w:rsidRPr="008B0076">
        <w:rPr>
          <w:rFonts w:ascii="Century Gothic" w:hAnsi="Century Gothic" w:cs="Arial"/>
          <w:color w:val="000000" w:themeColor="text1"/>
          <w:sz w:val="20"/>
          <w:szCs w:val="20"/>
          <w:lang w:val="es-ES_tradnl"/>
        </w:rPr>
        <w:t>[…]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62D6E930" w14:textId="77777777" w:rsidR="00785BA9" w:rsidRPr="008B0076" w:rsidRDefault="00785BA9" w:rsidP="00785BA9">
      <w:pPr>
        <w:spacing w:after="0" w:line="240" w:lineRule="auto"/>
        <w:jc w:val="both"/>
        <w:rPr>
          <w:rFonts w:ascii="Century Gothic" w:hAnsi="Century Gothic" w:cs="Arial"/>
          <w:color w:val="000000" w:themeColor="text1"/>
          <w:sz w:val="20"/>
          <w:szCs w:val="20"/>
          <w:lang w:val="es-ES_tradnl"/>
        </w:rPr>
      </w:pPr>
    </w:p>
    <w:p w14:paraId="69BCB299" w14:textId="77777777" w:rsidR="00785BA9" w:rsidRPr="008B0076" w:rsidRDefault="00785BA9" w:rsidP="00785BA9">
      <w:pPr>
        <w:spacing w:after="0" w:line="276" w:lineRule="auto"/>
        <w:ind w:right="102"/>
        <w:jc w:val="both"/>
        <w:rPr>
          <w:rFonts w:ascii="Century Gothic" w:eastAsiaTheme="minorEastAsia" w:hAnsi="Century Gothic" w:cs="Arial"/>
          <w:b/>
          <w:bCs/>
          <w:color w:val="000000" w:themeColor="text1"/>
          <w:lang w:val="es-ES_tradnl" w:eastAsia="es-CO"/>
        </w:rPr>
      </w:pPr>
      <w:r w:rsidRPr="008B0076">
        <w:rPr>
          <w:rFonts w:ascii="Century Gothic" w:eastAsiaTheme="minorEastAsia" w:hAnsi="Century Gothic" w:cs="Arial"/>
          <w:b/>
          <w:bCs/>
          <w:color w:val="000000" w:themeColor="text1"/>
          <w:lang w:val="es-ES_tradnl" w:eastAsia="es-CO"/>
        </w:rPr>
        <w:t>DECRETO 092 DE 2017 – Suspensión Provisional – Artículos suspendidos</w:t>
      </w:r>
    </w:p>
    <w:p w14:paraId="071C8176" w14:textId="77777777" w:rsidR="00785BA9" w:rsidRPr="008B0076" w:rsidRDefault="00785BA9" w:rsidP="00785BA9">
      <w:pPr>
        <w:spacing w:after="0" w:line="276" w:lineRule="auto"/>
        <w:ind w:right="102"/>
        <w:jc w:val="both"/>
        <w:rPr>
          <w:rFonts w:ascii="Century Gothic" w:eastAsiaTheme="minorEastAsia" w:hAnsi="Century Gothic" w:cs="Arial"/>
          <w:b/>
          <w:color w:val="000000" w:themeColor="text1"/>
          <w:lang w:val="es-ES_tradnl" w:eastAsia="es-CO"/>
        </w:rPr>
      </w:pPr>
    </w:p>
    <w:p w14:paraId="6B9F323A" w14:textId="77777777" w:rsidR="00785BA9" w:rsidRPr="008B0076" w:rsidRDefault="00785BA9" w:rsidP="00785BA9">
      <w:pPr>
        <w:spacing w:after="0" w:line="276" w:lineRule="auto"/>
        <w:ind w:right="102"/>
        <w:jc w:val="both"/>
        <w:rPr>
          <w:rFonts w:ascii="Century Gothic" w:eastAsiaTheme="minorEastAsia" w:hAnsi="Century Gothic" w:cs="Arial"/>
          <w:color w:val="000000" w:themeColor="text1"/>
          <w:sz w:val="20"/>
          <w:szCs w:val="20"/>
          <w:lang w:val="es-ES_tradnl" w:eastAsia="es-CO"/>
        </w:rPr>
      </w:pPr>
      <w:r w:rsidRPr="008B0076">
        <w:rPr>
          <w:rFonts w:ascii="Century Gothic" w:eastAsiaTheme="minorEastAsia" w:hAnsi="Century Gothic" w:cs="Arial"/>
          <w:color w:val="000000" w:themeColor="text1"/>
          <w:sz w:val="20"/>
          <w:szCs w:val="20"/>
          <w:lang w:val="es-ES_tradnl" w:eastAsia="es-CO"/>
        </w:rPr>
        <w:t xml:space="preserve">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w:t>
      </w:r>
      <w:r w:rsidRPr="008B0076">
        <w:rPr>
          <w:rFonts w:ascii="Century Gothic" w:eastAsiaTheme="minorEastAsia" w:hAnsi="Century Gothic" w:cs="Arial"/>
          <w:color w:val="000000" w:themeColor="text1"/>
          <w:sz w:val="20"/>
          <w:szCs w:val="20"/>
          <w:lang w:val="es-ES_tradnl" w:eastAsia="es-CO"/>
        </w:rPr>
        <w:lastRenderedPageBreak/>
        <w:t>artículo 4 y artículo 5 del Decreto 092 de 2017. […] 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5556DB46" w14:textId="77777777" w:rsidR="00785BA9" w:rsidRPr="008B0076" w:rsidRDefault="00785BA9" w:rsidP="00785BA9">
      <w:pPr>
        <w:spacing w:after="0" w:line="276" w:lineRule="auto"/>
        <w:ind w:right="102"/>
        <w:jc w:val="both"/>
        <w:rPr>
          <w:rFonts w:ascii="Century Gothic" w:eastAsiaTheme="minorEastAsia" w:hAnsi="Century Gothic" w:cs="Arial"/>
          <w:color w:val="000000" w:themeColor="text1"/>
          <w:sz w:val="20"/>
          <w:szCs w:val="20"/>
          <w:lang w:val="es-ES_tradnl" w:eastAsia="es-CO"/>
        </w:rPr>
      </w:pPr>
    </w:p>
    <w:p w14:paraId="0026DE2E" w14:textId="77777777" w:rsidR="00785BA9" w:rsidRPr="008B0076" w:rsidRDefault="00785BA9" w:rsidP="00785BA9">
      <w:pPr>
        <w:spacing w:after="0"/>
        <w:jc w:val="both"/>
        <w:rPr>
          <w:rFonts w:ascii="Century Gothic" w:eastAsia="Arial" w:hAnsi="Century Gothic" w:cs="Arial"/>
          <w:color w:val="000000" w:themeColor="text1"/>
          <w:sz w:val="20"/>
          <w:szCs w:val="20"/>
          <w:lang w:val="es-ES_tradnl"/>
        </w:rPr>
      </w:pPr>
      <w:r w:rsidRPr="008B0076">
        <w:rPr>
          <w:rFonts w:ascii="Century Gothic" w:eastAsia="Arial" w:hAnsi="Century Gothic" w:cs="Arial"/>
          <w:color w:val="000000" w:themeColor="text1"/>
          <w:sz w:val="20"/>
          <w:szCs w:val="20"/>
          <w:lang w:val="es-ES_tradnl"/>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092 de 2017. […] </w:t>
      </w:r>
    </w:p>
    <w:p w14:paraId="6E2644B4" w14:textId="77777777" w:rsidR="00785BA9" w:rsidRPr="008B0076" w:rsidRDefault="00785BA9" w:rsidP="00785BA9">
      <w:pPr>
        <w:spacing w:after="0"/>
        <w:jc w:val="both"/>
        <w:rPr>
          <w:rFonts w:ascii="Century Gothic" w:eastAsia="Arial" w:hAnsi="Century Gothic" w:cs="Arial"/>
          <w:color w:val="000000" w:themeColor="text1"/>
          <w:sz w:val="20"/>
          <w:szCs w:val="20"/>
          <w:lang w:val="es-ES_tradnl"/>
        </w:rPr>
      </w:pPr>
    </w:p>
    <w:p w14:paraId="4D269DDC" w14:textId="77777777" w:rsidR="00785BA9" w:rsidRPr="008B0076" w:rsidRDefault="00785BA9" w:rsidP="00785BA9">
      <w:pPr>
        <w:spacing w:after="0"/>
        <w:jc w:val="both"/>
        <w:rPr>
          <w:rFonts w:ascii="Century Gothic" w:eastAsia="Arial" w:hAnsi="Century Gothic" w:cs="Arial"/>
          <w:color w:val="000000" w:themeColor="text1"/>
          <w:sz w:val="20"/>
          <w:szCs w:val="20"/>
          <w:lang w:val="es-ES_tradnl"/>
        </w:rPr>
      </w:pPr>
      <w:r w:rsidRPr="008B0076">
        <w:rPr>
          <w:rFonts w:ascii="Century Gothic" w:eastAsia="Arial" w:hAnsi="Century Gothic" w:cs="Arial"/>
          <w:color w:val="000000" w:themeColor="text1"/>
          <w:sz w:val="20"/>
          <w:szCs w:val="20"/>
          <w:lang w:val="es-ES_tradnl"/>
        </w:rPr>
        <w:t>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En estos procesos, entonces, se debe acudir a los criterios aplicables a los otros negocios jurídicos que regula el Decreto 092 de 2017, particularmente las exigencias del artículo 2 ibidem. Incluso, habría que tener en cuenta las exigencias del inciso 2 del artículo 4 íb</w:t>
      </w:r>
      <w:r>
        <w:rPr>
          <w:rFonts w:ascii="Century Gothic" w:eastAsia="Arial" w:hAnsi="Century Gothic" w:cs="Arial"/>
          <w:color w:val="000000" w:themeColor="text1"/>
          <w:sz w:val="20"/>
          <w:szCs w:val="20"/>
          <w:lang w:val="es-ES_tradnl"/>
        </w:rPr>
        <w:t>i</w:t>
      </w:r>
      <w:r w:rsidRPr="008B0076">
        <w:rPr>
          <w:rFonts w:ascii="Century Gothic" w:eastAsia="Arial" w:hAnsi="Century Gothic" w:cs="Arial"/>
          <w:color w:val="000000" w:themeColor="text1"/>
          <w:sz w:val="20"/>
          <w:szCs w:val="20"/>
          <w:lang w:val="es-ES_tradnl"/>
        </w:rPr>
        <w:t>dem, claro está, siempre que se configuren los supuestos de aplicación de dicha normativa, esto es, siempre que exista más de una entidad sin ánimo de lucro de reconocida idoneidad.</w:t>
      </w:r>
    </w:p>
    <w:p w14:paraId="5D82DB82" w14:textId="77777777" w:rsidR="00785BA9" w:rsidRPr="008B0076" w:rsidRDefault="00785BA9" w:rsidP="00785BA9">
      <w:pPr>
        <w:spacing w:after="0"/>
        <w:jc w:val="both"/>
        <w:rPr>
          <w:rFonts w:ascii="Century Gothic" w:eastAsia="Arial" w:hAnsi="Century Gothic" w:cs="Arial"/>
          <w:color w:val="000000" w:themeColor="text1"/>
          <w:sz w:val="20"/>
          <w:szCs w:val="20"/>
          <w:lang w:val="es-ES_tradnl"/>
        </w:rPr>
      </w:pPr>
    </w:p>
    <w:p w14:paraId="002BFB39" w14:textId="77777777" w:rsidR="00785BA9" w:rsidRPr="008B0076" w:rsidRDefault="00785BA9" w:rsidP="00785BA9">
      <w:pPr>
        <w:spacing w:after="0"/>
        <w:jc w:val="both"/>
        <w:rPr>
          <w:rFonts w:ascii="Century Gothic" w:eastAsia="Arial" w:hAnsi="Century Gothic" w:cs="Arial"/>
          <w:color w:val="000000" w:themeColor="text1"/>
          <w:sz w:val="20"/>
          <w:szCs w:val="20"/>
          <w:lang w:val="es-ES_tradnl"/>
        </w:rPr>
      </w:pPr>
      <w:r w:rsidRPr="008B0076">
        <w:rPr>
          <w:rFonts w:ascii="Century Gothic" w:eastAsia="Arial" w:hAnsi="Century Gothic" w:cs="Arial"/>
          <w:color w:val="000000" w:themeColor="text1"/>
          <w:sz w:val="20"/>
          <w:szCs w:val="20"/>
          <w:lang w:val="es-ES_tradnl"/>
        </w:rPr>
        <w:t>Sin perjuicio de lo anterior, el mismo Consejo de Estado bajo el Auto del 15 de marzo de 2022 de la Sala Plena de lo Contencioso Administrativo, radicado No. 11001-03-26-000-2018-00113-01 (62.003), Consejera Ponente Roció Araujo Oñate, revocó el Auto del 6 de agosto de 2019 de la Sección Tercera, en lo pertinente a la suspensión provisional del inciso segundo del artículo 1 y del inciso segundo del artículo 3 del Decreto 092 de 2017, respectivamente y por ende  levantó la suspensión provisional de los mismos</w:t>
      </w:r>
    </w:p>
    <w:p w14:paraId="325169E3" w14:textId="77777777" w:rsidR="00785BA9" w:rsidRPr="008B0076" w:rsidRDefault="00785BA9" w:rsidP="00785BA9">
      <w:pPr>
        <w:spacing w:after="0"/>
        <w:jc w:val="both"/>
        <w:rPr>
          <w:rFonts w:ascii="Century Gothic" w:eastAsia="Arial" w:hAnsi="Century Gothic" w:cs="Arial"/>
          <w:color w:val="000000" w:themeColor="text1"/>
          <w:sz w:val="20"/>
          <w:szCs w:val="20"/>
          <w:lang w:val="es-ES_tradnl"/>
        </w:rPr>
      </w:pPr>
    </w:p>
    <w:p w14:paraId="7857FB6F" w14:textId="77777777" w:rsidR="00785BA9" w:rsidRPr="008B0076" w:rsidRDefault="00785BA9" w:rsidP="00785BA9">
      <w:pPr>
        <w:spacing w:after="0"/>
        <w:jc w:val="both"/>
        <w:rPr>
          <w:rFonts w:ascii="Century Gothic" w:eastAsia="Arial" w:hAnsi="Century Gothic" w:cs="Arial"/>
          <w:b/>
          <w:bCs/>
          <w:color w:val="000000" w:themeColor="text1"/>
          <w:lang w:val="es-ES_tradnl"/>
        </w:rPr>
      </w:pPr>
      <w:r w:rsidRPr="008B0076">
        <w:rPr>
          <w:rFonts w:ascii="Century Gothic" w:eastAsia="Arial" w:hAnsi="Century Gothic" w:cs="Arial"/>
          <w:b/>
          <w:bCs/>
          <w:color w:val="000000" w:themeColor="text1"/>
          <w:lang w:val="es-ES_tradnl"/>
        </w:rPr>
        <w:t>DECRETO 092 DE 2017 – Normativa vigente</w:t>
      </w:r>
    </w:p>
    <w:p w14:paraId="6255D4F9" w14:textId="77777777" w:rsidR="00785BA9" w:rsidRPr="008B0076" w:rsidRDefault="00785BA9" w:rsidP="00785BA9">
      <w:pPr>
        <w:spacing w:after="0"/>
        <w:jc w:val="both"/>
        <w:rPr>
          <w:rFonts w:ascii="Century Gothic" w:eastAsia="Arial" w:hAnsi="Century Gothic" w:cs="Arial"/>
          <w:b/>
          <w:bCs/>
          <w:color w:val="000000" w:themeColor="text1"/>
          <w:lang w:val="es-ES_tradnl"/>
        </w:rPr>
      </w:pPr>
    </w:p>
    <w:p w14:paraId="11D833D8" w14:textId="77777777" w:rsidR="00785BA9" w:rsidRPr="00712399" w:rsidRDefault="00785BA9" w:rsidP="00785BA9">
      <w:pPr>
        <w:spacing w:after="0"/>
        <w:jc w:val="both"/>
        <w:rPr>
          <w:rFonts w:ascii="Century Gothic" w:hAnsi="Century Gothic"/>
        </w:rPr>
      </w:pPr>
      <w:r w:rsidRPr="008B0076">
        <w:rPr>
          <w:rFonts w:ascii="Century Gothic" w:hAnsi="Century Gothic" w:cs="Arial"/>
          <w:color w:val="000000" w:themeColor="text1"/>
          <w:sz w:val="20"/>
          <w:szCs w:val="20"/>
          <w:lang w:val="es-ES_tradnl"/>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que las actividades o programas correspondan exclusivamente a promover los derechos de </w:t>
      </w:r>
      <w:r w:rsidRPr="008B0076">
        <w:rPr>
          <w:rFonts w:ascii="Century Gothic" w:hAnsi="Century Gothic" w:cs="Arial"/>
          <w:color w:val="000000" w:themeColor="text1"/>
          <w:sz w:val="20"/>
          <w:szCs w:val="20"/>
          <w:lang w:val="es-ES_tradnl"/>
        </w:rPr>
        <w:lastRenderedPageBreak/>
        <w:t>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14:paraId="7BB30EBA" w14:textId="77777777" w:rsidR="00785BA9" w:rsidRDefault="00785BA9" w:rsidP="00E245AB">
      <w:pPr>
        <w:spacing w:after="0"/>
        <w:rPr>
          <w:rFonts w:ascii="Century Gothic" w:hAnsi="Century Gothic"/>
        </w:rPr>
      </w:pPr>
    </w:p>
    <w:p w14:paraId="3C57FC7F" w14:textId="77777777" w:rsidR="00785BA9" w:rsidRDefault="00785BA9" w:rsidP="00E245AB">
      <w:pPr>
        <w:spacing w:after="0"/>
        <w:rPr>
          <w:rFonts w:ascii="Century Gothic" w:hAnsi="Century Gothic"/>
        </w:rPr>
      </w:pPr>
    </w:p>
    <w:p w14:paraId="0B67C055" w14:textId="77777777" w:rsidR="00785BA9" w:rsidRDefault="00785BA9" w:rsidP="00E245AB">
      <w:pPr>
        <w:spacing w:after="0"/>
        <w:rPr>
          <w:rFonts w:ascii="Century Gothic" w:hAnsi="Century Gothic"/>
        </w:rPr>
      </w:pPr>
    </w:p>
    <w:p w14:paraId="074D8350" w14:textId="77777777" w:rsidR="00785BA9" w:rsidRDefault="00785BA9" w:rsidP="00E245AB">
      <w:pPr>
        <w:spacing w:after="0"/>
        <w:rPr>
          <w:rFonts w:ascii="Century Gothic" w:hAnsi="Century Gothic"/>
        </w:rPr>
      </w:pPr>
    </w:p>
    <w:p w14:paraId="4EAFB79B" w14:textId="77777777" w:rsidR="00785BA9" w:rsidRDefault="00785BA9" w:rsidP="00E245AB">
      <w:pPr>
        <w:spacing w:after="0"/>
        <w:rPr>
          <w:rFonts w:ascii="Century Gothic" w:hAnsi="Century Gothic"/>
        </w:rPr>
      </w:pPr>
    </w:p>
    <w:p w14:paraId="60CC6D38" w14:textId="77777777" w:rsidR="00785BA9" w:rsidRDefault="00785BA9" w:rsidP="00E245AB">
      <w:pPr>
        <w:spacing w:after="0"/>
        <w:rPr>
          <w:rFonts w:ascii="Century Gothic" w:hAnsi="Century Gothic"/>
        </w:rPr>
      </w:pPr>
    </w:p>
    <w:p w14:paraId="5D1EA806" w14:textId="77777777" w:rsidR="00785BA9" w:rsidRDefault="00785BA9" w:rsidP="00E245AB">
      <w:pPr>
        <w:spacing w:after="0"/>
        <w:rPr>
          <w:rFonts w:ascii="Century Gothic" w:hAnsi="Century Gothic"/>
        </w:rPr>
      </w:pPr>
    </w:p>
    <w:p w14:paraId="12A8C258" w14:textId="77777777" w:rsidR="00785BA9" w:rsidRDefault="00785BA9" w:rsidP="00E245AB">
      <w:pPr>
        <w:spacing w:after="0"/>
        <w:rPr>
          <w:rFonts w:ascii="Century Gothic" w:hAnsi="Century Gothic"/>
        </w:rPr>
      </w:pPr>
    </w:p>
    <w:p w14:paraId="4592FFDD" w14:textId="77777777" w:rsidR="00785BA9" w:rsidRDefault="00785BA9" w:rsidP="00E245AB">
      <w:pPr>
        <w:spacing w:after="0"/>
        <w:rPr>
          <w:rFonts w:ascii="Century Gothic" w:hAnsi="Century Gothic"/>
        </w:rPr>
      </w:pPr>
    </w:p>
    <w:p w14:paraId="35CBE617" w14:textId="77777777" w:rsidR="00785BA9" w:rsidRDefault="00785BA9" w:rsidP="00E245AB">
      <w:pPr>
        <w:spacing w:after="0"/>
        <w:rPr>
          <w:rFonts w:ascii="Century Gothic" w:hAnsi="Century Gothic"/>
        </w:rPr>
      </w:pPr>
    </w:p>
    <w:p w14:paraId="3A364CF5" w14:textId="77777777" w:rsidR="00785BA9" w:rsidRDefault="00785BA9" w:rsidP="00E245AB">
      <w:pPr>
        <w:spacing w:after="0"/>
        <w:rPr>
          <w:rFonts w:ascii="Century Gothic" w:hAnsi="Century Gothic"/>
        </w:rPr>
      </w:pPr>
    </w:p>
    <w:p w14:paraId="57999D23" w14:textId="77777777" w:rsidR="00785BA9" w:rsidRDefault="00785BA9" w:rsidP="00E245AB">
      <w:pPr>
        <w:spacing w:after="0"/>
        <w:rPr>
          <w:rFonts w:ascii="Century Gothic" w:hAnsi="Century Gothic"/>
        </w:rPr>
      </w:pPr>
    </w:p>
    <w:p w14:paraId="76D23356" w14:textId="77777777" w:rsidR="00785BA9" w:rsidRDefault="00785BA9" w:rsidP="00E245AB">
      <w:pPr>
        <w:spacing w:after="0"/>
        <w:rPr>
          <w:rFonts w:ascii="Century Gothic" w:hAnsi="Century Gothic"/>
        </w:rPr>
      </w:pPr>
    </w:p>
    <w:p w14:paraId="52D16A32" w14:textId="77777777" w:rsidR="00785BA9" w:rsidRDefault="00785BA9" w:rsidP="00E245AB">
      <w:pPr>
        <w:spacing w:after="0"/>
        <w:rPr>
          <w:rFonts w:ascii="Century Gothic" w:hAnsi="Century Gothic"/>
        </w:rPr>
      </w:pPr>
    </w:p>
    <w:p w14:paraId="2E5D27F8" w14:textId="77777777" w:rsidR="00785BA9" w:rsidRDefault="00785BA9" w:rsidP="00E245AB">
      <w:pPr>
        <w:spacing w:after="0"/>
        <w:rPr>
          <w:rFonts w:ascii="Century Gothic" w:hAnsi="Century Gothic"/>
        </w:rPr>
      </w:pPr>
    </w:p>
    <w:p w14:paraId="2A8948DE" w14:textId="77777777" w:rsidR="00785BA9" w:rsidRDefault="00785BA9" w:rsidP="00E245AB">
      <w:pPr>
        <w:spacing w:after="0"/>
        <w:rPr>
          <w:rFonts w:ascii="Century Gothic" w:hAnsi="Century Gothic"/>
        </w:rPr>
      </w:pPr>
    </w:p>
    <w:p w14:paraId="4677B26F" w14:textId="77777777" w:rsidR="00785BA9" w:rsidRDefault="00785BA9" w:rsidP="00E245AB">
      <w:pPr>
        <w:spacing w:after="0"/>
        <w:rPr>
          <w:rFonts w:ascii="Century Gothic" w:hAnsi="Century Gothic"/>
        </w:rPr>
      </w:pPr>
    </w:p>
    <w:p w14:paraId="5567ECFF" w14:textId="77777777" w:rsidR="00785BA9" w:rsidRDefault="00785BA9" w:rsidP="00E245AB">
      <w:pPr>
        <w:spacing w:after="0"/>
        <w:rPr>
          <w:rFonts w:ascii="Century Gothic" w:hAnsi="Century Gothic"/>
        </w:rPr>
      </w:pPr>
    </w:p>
    <w:p w14:paraId="70F686EA" w14:textId="77777777" w:rsidR="00785BA9" w:rsidRDefault="00785BA9" w:rsidP="00E245AB">
      <w:pPr>
        <w:spacing w:after="0"/>
        <w:rPr>
          <w:rFonts w:ascii="Century Gothic" w:hAnsi="Century Gothic"/>
        </w:rPr>
      </w:pPr>
    </w:p>
    <w:p w14:paraId="49E793DD" w14:textId="77777777" w:rsidR="00785BA9" w:rsidRDefault="00785BA9" w:rsidP="00E245AB">
      <w:pPr>
        <w:spacing w:after="0"/>
        <w:rPr>
          <w:rFonts w:ascii="Century Gothic" w:hAnsi="Century Gothic"/>
        </w:rPr>
      </w:pPr>
    </w:p>
    <w:p w14:paraId="7B3B65C8" w14:textId="77777777" w:rsidR="00785BA9" w:rsidRDefault="00785BA9" w:rsidP="00E245AB">
      <w:pPr>
        <w:spacing w:after="0"/>
        <w:rPr>
          <w:rFonts w:ascii="Century Gothic" w:hAnsi="Century Gothic"/>
        </w:rPr>
      </w:pPr>
    </w:p>
    <w:p w14:paraId="509C50F1" w14:textId="77777777" w:rsidR="00785BA9" w:rsidRDefault="00785BA9" w:rsidP="00E245AB">
      <w:pPr>
        <w:spacing w:after="0"/>
        <w:rPr>
          <w:rFonts w:ascii="Century Gothic" w:hAnsi="Century Gothic"/>
        </w:rPr>
      </w:pPr>
    </w:p>
    <w:p w14:paraId="235FED3C" w14:textId="77777777" w:rsidR="00785BA9" w:rsidRDefault="00785BA9" w:rsidP="00E245AB">
      <w:pPr>
        <w:spacing w:after="0"/>
        <w:rPr>
          <w:rFonts w:ascii="Century Gothic" w:hAnsi="Century Gothic"/>
        </w:rPr>
      </w:pPr>
    </w:p>
    <w:p w14:paraId="16C20302" w14:textId="77777777" w:rsidR="00785BA9" w:rsidRDefault="00785BA9" w:rsidP="00E245AB">
      <w:pPr>
        <w:spacing w:after="0"/>
        <w:rPr>
          <w:rFonts w:ascii="Century Gothic" w:hAnsi="Century Gothic"/>
        </w:rPr>
      </w:pPr>
    </w:p>
    <w:p w14:paraId="35F40512" w14:textId="77777777" w:rsidR="00785BA9" w:rsidRDefault="00785BA9" w:rsidP="00E245AB">
      <w:pPr>
        <w:spacing w:after="0"/>
        <w:rPr>
          <w:rFonts w:ascii="Century Gothic" w:hAnsi="Century Gothic"/>
        </w:rPr>
      </w:pPr>
    </w:p>
    <w:p w14:paraId="7BAD1C9C" w14:textId="77777777" w:rsidR="00785BA9" w:rsidRDefault="00785BA9" w:rsidP="00E245AB">
      <w:pPr>
        <w:spacing w:after="0"/>
        <w:rPr>
          <w:rFonts w:ascii="Century Gothic" w:hAnsi="Century Gothic"/>
        </w:rPr>
      </w:pPr>
    </w:p>
    <w:p w14:paraId="2767DFB7" w14:textId="77777777" w:rsidR="00785BA9" w:rsidRDefault="00785BA9" w:rsidP="00E245AB">
      <w:pPr>
        <w:spacing w:after="0"/>
        <w:rPr>
          <w:rFonts w:ascii="Century Gothic" w:hAnsi="Century Gothic"/>
        </w:rPr>
      </w:pPr>
    </w:p>
    <w:p w14:paraId="6FF172C4" w14:textId="77777777" w:rsidR="00785BA9" w:rsidRDefault="00785BA9" w:rsidP="00E245AB">
      <w:pPr>
        <w:spacing w:after="0"/>
        <w:rPr>
          <w:rFonts w:ascii="Century Gothic" w:hAnsi="Century Gothic"/>
        </w:rPr>
      </w:pPr>
    </w:p>
    <w:p w14:paraId="760CDB53" w14:textId="77777777" w:rsidR="00785BA9" w:rsidRDefault="00785BA9" w:rsidP="00E245AB">
      <w:pPr>
        <w:spacing w:after="0"/>
        <w:rPr>
          <w:rFonts w:ascii="Century Gothic" w:hAnsi="Century Gothic"/>
        </w:rPr>
      </w:pPr>
    </w:p>
    <w:p w14:paraId="48F66376" w14:textId="77777777" w:rsidR="00785BA9" w:rsidRDefault="00785BA9" w:rsidP="00E245AB">
      <w:pPr>
        <w:spacing w:after="0"/>
        <w:rPr>
          <w:rFonts w:ascii="Century Gothic" w:hAnsi="Century Gothic"/>
        </w:rPr>
      </w:pPr>
    </w:p>
    <w:p w14:paraId="0E278FD4" w14:textId="77777777" w:rsidR="00785BA9" w:rsidRDefault="00785BA9" w:rsidP="00E245AB">
      <w:pPr>
        <w:spacing w:after="0"/>
        <w:rPr>
          <w:rFonts w:ascii="Century Gothic" w:hAnsi="Century Gothic"/>
        </w:rPr>
      </w:pPr>
    </w:p>
    <w:p w14:paraId="1A1ACB85" w14:textId="77777777" w:rsidR="00785BA9" w:rsidRDefault="00785BA9" w:rsidP="00E245AB">
      <w:pPr>
        <w:spacing w:after="0"/>
        <w:rPr>
          <w:rFonts w:ascii="Century Gothic" w:hAnsi="Century Gothic"/>
        </w:rPr>
      </w:pPr>
    </w:p>
    <w:p w14:paraId="0D971219" w14:textId="77777777" w:rsidR="00785BA9" w:rsidRDefault="00785BA9" w:rsidP="00E245AB">
      <w:pPr>
        <w:spacing w:after="0"/>
        <w:rPr>
          <w:rFonts w:ascii="Century Gothic" w:hAnsi="Century Gothic"/>
        </w:rPr>
      </w:pPr>
    </w:p>
    <w:p w14:paraId="02F1AB7F" w14:textId="77777777" w:rsidR="00785BA9" w:rsidRDefault="00785BA9" w:rsidP="00E245AB">
      <w:pPr>
        <w:spacing w:after="0"/>
        <w:rPr>
          <w:rFonts w:ascii="Century Gothic" w:hAnsi="Century Gothic"/>
        </w:rPr>
      </w:pPr>
    </w:p>
    <w:p w14:paraId="3FE2184B" w14:textId="2D8252E6" w:rsidR="00E245AB" w:rsidRDefault="00E245AB" w:rsidP="00E245AB">
      <w:pPr>
        <w:spacing w:after="0"/>
        <w:rPr>
          <w:rFonts w:ascii="Century Gothic" w:hAnsi="Century Gothic"/>
        </w:rPr>
      </w:pPr>
      <w:r w:rsidRPr="00322A85">
        <w:rPr>
          <w:rFonts w:ascii="Century Gothic" w:hAnsi="Century Gothic"/>
        </w:rPr>
        <w:lastRenderedPageBreak/>
        <w:t xml:space="preserve">Bogotá D.C., </w:t>
      </w:r>
      <w:r w:rsidR="00891928" w:rsidRPr="00322A85">
        <w:rPr>
          <w:rFonts w:ascii="Century Gothic" w:hAnsi="Century Gothic"/>
        </w:rPr>
        <w:t>[Día]</w:t>
      </w:r>
      <w:r w:rsidR="005A2340">
        <w:rPr>
          <w:rFonts w:ascii="Century Gothic" w:hAnsi="Century Gothic"/>
        </w:rPr>
        <w:t xml:space="preserve"> </w:t>
      </w:r>
      <w:r w:rsidR="00891928" w:rsidRPr="00322A85">
        <w:rPr>
          <w:rFonts w:ascii="Century Gothic" w:hAnsi="Century Gothic"/>
        </w:rPr>
        <w:t>[Mes</w:t>
      </w:r>
      <w:r w:rsidR="005A2340">
        <w:rPr>
          <w:rFonts w:ascii="Century Gothic" w:hAnsi="Century Gothic"/>
        </w:rPr>
        <w:t>.</w:t>
      </w:r>
      <w:r w:rsidR="00891928" w:rsidRPr="00322A85">
        <w:rPr>
          <w:rFonts w:ascii="Century Gothic" w:hAnsi="Century Gothic"/>
        </w:rPr>
        <w:t>NombreCapitalizado]</w:t>
      </w:r>
      <w:r w:rsidR="005A2340">
        <w:rPr>
          <w:rFonts w:ascii="Century Gothic" w:hAnsi="Century Gothic"/>
        </w:rPr>
        <w:t xml:space="preserve"> </w:t>
      </w:r>
      <w:r w:rsidR="00891928" w:rsidRPr="00322A85">
        <w:rPr>
          <w:rFonts w:ascii="Century Gothic" w:hAnsi="Century Gothic"/>
        </w:rPr>
        <w:t>[Año]</w:t>
      </w:r>
    </w:p>
    <w:p w14:paraId="5F47464A" w14:textId="77777777" w:rsidR="0021231E" w:rsidRDefault="0021231E" w:rsidP="00E245AB">
      <w:pPr>
        <w:spacing w:after="0"/>
        <w:rPr>
          <w:rFonts w:ascii="Century Gothic" w:hAnsi="Century Gothic"/>
        </w:rPr>
      </w:pPr>
    </w:p>
    <w:p w14:paraId="451FABC8" w14:textId="77777777" w:rsidR="0021231E" w:rsidRPr="0021231E" w:rsidRDefault="0021231E" w:rsidP="0021231E">
      <w:pPr>
        <w:spacing w:after="0"/>
        <w:rPr>
          <w:rFonts w:ascii="Century Gothic" w:hAnsi="Century Gothic"/>
        </w:rPr>
      </w:pPr>
    </w:p>
    <w:p w14:paraId="6B0E019A" w14:textId="77777777" w:rsidR="0021231E" w:rsidRPr="0021231E" w:rsidRDefault="0021231E" w:rsidP="0021231E">
      <w:pPr>
        <w:spacing w:after="0" w:line="276" w:lineRule="auto"/>
        <w:contextualSpacing/>
        <w:rPr>
          <w:rFonts w:ascii="Century Gothic" w:eastAsia="Calibri" w:hAnsi="Century Gothic" w:cs="Arial"/>
          <w:lang w:eastAsia="es-CO"/>
        </w:rPr>
      </w:pPr>
      <w:r w:rsidRPr="0021231E">
        <w:rPr>
          <w:rFonts w:ascii="Century Gothic" w:eastAsia="Calibri" w:hAnsi="Century Gothic" w:cs="Arial"/>
          <w:lang w:eastAsia="es-CO"/>
        </w:rPr>
        <w:t>Señor</w:t>
      </w:r>
    </w:p>
    <w:p w14:paraId="13606B02" w14:textId="77777777" w:rsidR="0021231E" w:rsidRPr="0021231E" w:rsidRDefault="0021231E" w:rsidP="0021231E">
      <w:pPr>
        <w:spacing w:after="0" w:line="276" w:lineRule="auto"/>
        <w:contextualSpacing/>
        <w:rPr>
          <w:rFonts w:ascii="Century Gothic" w:eastAsia="Calibri" w:hAnsi="Century Gothic" w:cs="Arial"/>
          <w:b/>
          <w:lang w:eastAsia="es-CO"/>
        </w:rPr>
      </w:pPr>
      <w:r w:rsidRPr="0021231E">
        <w:rPr>
          <w:rFonts w:ascii="Century Gothic" w:eastAsia="Calibri" w:hAnsi="Century Gothic" w:cs="Arial"/>
          <w:b/>
          <w:lang w:eastAsia="es-CO"/>
        </w:rPr>
        <w:t>José Julián Noriega Leal</w:t>
      </w:r>
    </w:p>
    <w:p w14:paraId="74F5DB27" w14:textId="77777777" w:rsidR="0021231E" w:rsidRPr="0021231E" w:rsidRDefault="0021231E" w:rsidP="0021231E">
      <w:pPr>
        <w:spacing w:after="0" w:line="276" w:lineRule="auto"/>
        <w:contextualSpacing/>
        <w:rPr>
          <w:rFonts w:ascii="Century Gothic" w:eastAsia="Calibri" w:hAnsi="Century Gothic" w:cs="Arial"/>
          <w:lang w:eastAsia="es-CO"/>
        </w:rPr>
      </w:pPr>
      <w:r w:rsidRPr="0021231E">
        <w:rPr>
          <w:rFonts w:ascii="Century Gothic" w:eastAsia="Calibri" w:hAnsi="Century Gothic" w:cs="Arial"/>
          <w:lang w:eastAsia="es-CO"/>
        </w:rPr>
        <w:t>Bucaramanga, Santander</w:t>
      </w:r>
    </w:p>
    <w:p w14:paraId="16E5668D" w14:textId="77777777" w:rsidR="0021231E" w:rsidRPr="0021231E" w:rsidRDefault="0021231E" w:rsidP="0021231E">
      <w:pPr>
        <w:spacing w:after="0" w:line="240" w:lineRule="auto"/>
        <w:contextualSpacing/>
        <w:rPr>
          <w:rFonts w:ascii="Century Gothic" w:eastAsia="Calibri" w:hAnsi="Century Gothic" w:cs="Arial"/>
          <w:szCs w:val="24"/>
          <w:lang w:eastAsia="es-CO"/>
        </w:rPr>
      </w:pPr>
    </w:p>
    <w:p w14:paraId="799BDA9A" w14:textId="77777777" w:rsidR="0021231E" w:rsidRPr="0021231E" w:rsidRDefault="0021231E" w:rsidP="0021231E">
      <w:pPr>
        <w:spacing w:after="0" w:line="240" w:lineRule="auto"/>
        <w:ind w:right="571"/>
        <w:contextualSpacing/>
        <w:jc w:val="center"/>
        <w:rPr>
          <w:rFonts w:ascii="Century Gothic" w:eastAsia="Calibri" w:hAnsi="Century Gothic" w:cs="Arial"/>
          <w:b/>
          <w:szCs w:val="24"/>
          <w:lang w:eastAsia="es-CO"/>
        </w:rPr>
      </w:pPr>
      <w:r w:rsidRPr="0021231E">
        <w:rPr>
          <w:rFonts w:ascii="Century Gothic" w:eastAsia="Calibri" w:hAnsi="Century Gothic" w:cs="Arial"/>
          <w:b/>
          <w:szCs w:val="24"/>
          <w:lang w:eastAsia="es-CO"/>
        </w:rPr>
        <w:t>Concepto C-180 de 2023</w:t>
      </w:r>
    </w:p>
    <w:p w14:paraId="6B1E4CAA" w14:textId="77777777" w:rsidR="0021231E" w:rsidRPr="0021231E" w:rsidRDefault="0021231E" w:rsidP="0021231E">
      <w:pPr>
        <w:spacing w:after="0" w:line="240" w:lineRule="auto"/>
        <w:jc w:val="both"/>
        <w:rPr>
          <w:rFonts w:ascii="Century Gothic" w:eastAsia="Calibri" w:hAnsi="Century Gothic" w:cs="Arial"/>
          <w:szCs w:val="24"/>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21231E" w:rsidRPr="0021231E" w14:paraId="5F8D191E" w14:textId="77777777" w:rsidTr="002E5AFC">
        <w:trPr>
          <w:jc w:val="right"/>
        </w:trPr>
        <w:tc>
          <w:tcPr>
            <w:tcW w:w="1838" w:type="dxa"/>
          </w:tcPr>
          <w:p w14:paraId="04700661" w14:textId="77777777" w:rsidR="0021231E" w:rsidRPr="0021231E" w:rsidRDefault="0021231E" w:rsidP="0021231E">
            <w:pPr>
              <w:jc w:val="center"/>
              <w:rPr>
                <w:rFonts w:ascii="Century Gothic" w:eastAsia="Calibri" w:hAnsi="Century Gothic" w:cs="Arial"/>
                <w:szCs w:val="24"/>
                <w:lang w:val="es-ES_tradnl" w:eastAsia="es-ES_tradnl"/>
              </w:rPr>
            </w:pPr>
            <w:r w:rsidRPr="0021231E">
              <w:rPr>
                <w:rFonts w:ascii="Century Gothic" w:eastAsia="Calibri" w:hAnsi="Century Gothic" w:cs="Arial"/>
                <w:b/>
                <w:szCs w:val="24"/>
                <w:lang w:val="es-ES_tradnl" w:eastAsia="es-ES_tradnl"/>
              </w:rPr>
              <w:t>Temas:</w:t>
            </w:r>
          </w:p>
        </w:tc>
        <w:tc>
          <w:tcPr>
            <w:tcW w:w="6237" w:type="dxa"/>
          </w:tcPr>
          <w:p w14:paraId="58B16B03" w14:textId="77777777" w:rsidR="0021231E" w:rsidRPr="0021231E" w:rsidRDefault="0021231E" w:rsidP="0021231E">
            <w:pPr>
              <w:spacing w:after="120"/>
              <w:contextualSpacing/>
              <w:jc w:val="both"/>
              <w:rPr>
                <w:rFonts w:ascii="Century Gothic" w:eastAsia="Calibri" w:hAnsi="Century Gothic" w:cs="Arial"/>
                <w:bCs/>
                <w:lang w:val="es-ES_tradnl" w:eastAsia="es-ES_tradnl"/>
              </w:rPr>
            </w:pPr>
            <w:r w:rsidRPr="0021231E">
              <w:rPr>
                <w:rFonts w:ascii="Century Gothic" w:eastAsia="Calibri" w:hAnsi="Century Gothic" w:cs="Arial"/>
                <w:szCs w:val="24"/>
                <w:lang w:eastAsia="es-ES_tradnl"/>
              </w:rPr>
              <w:t xml:space="preserve">COLOMBIA COMPRA EFICIENTE – Competencia Consultiva – Contratación Estatal – Normas Generales / </w:t>
            </w:r>
            <w:r w:rsidRPr="0021231E">
              <w:rPr>
                <w:rFonts w:ascii="Century Gothic" w:eastAsia="Calibri" w:hAnsi="Century Gothic" w:cs="Arial"/>
                <w:bCs/>
                <w:lang w:val="es-ES_tradnl" w:eastAsia="es-ES_tradnl"/>
              </w:rPr>
              <w:t>DECRETO 092 DE 2017 – Finalidad – Clases de contratos / CONTRATACIÓN CON ESAL – Contrato de colaboración – Objeto – Alcance / CONTRATACIÓN CON ESAL – Contrato de asociación – Objeto – Alcance / CONVENIOS DE ASOCIACIÓN – Multiplicidad de sujetos – Límites legales / DECRETO 092 DE 2017 – Criterios – Aplicación / DECRETO 092 DE 2017 – Suspensión Provisional – Artículos suspendidos / DECRETO 092 DE 2017 – Normativa vigente</w:t>
            </w:r>
          </w:p>
          <w:p w14:paraId="29633FA3" w14:textId="77777777" w:rsidR="0021231E" w:rsidRPr="0021231E" w:rsidRDefault="0021231E" w:rsidP="0021231E">
            <w:pPr>
              <w:spacing w:after="120"/>
              <w:contextualSpacing/>
              <w:jc w:val="both"/>
              <w:rPr>
                <w:rFonts w:ascii="Century Gothic" w:eastAsia="Calibri" w:hAnsi="Century Gothic" w:cs="Arial"/>
                <w:bCs/>
                <w:lang w:val="es-MX" w:eastAsia="es-ES_tradnl"/>
              </w:rPr>
            </w:pPr>
          </w:p>
        </w:tc>
      </w:tr>
      <w:tr w:rsidR="0021231E" w:rsidRPr="0021231E" w14:paraId="64F5300C" w14:textId="77777777" w:rsidTr="002E5AFC">
        <w:trPr>
          <w:jc w:val="right"/>
        </w:trPr>
        <w:tc>
          <w:tcPr>
            <w:tcW w:w="1838" w:type="dxa"/>
          </w:tcPr>
          <w:p w14:paraId="430989FC" w14:textId="77777777" w:rsidR="0021231E" w:rsidRPr="0021231E" w:rsidRDefault="0021231E" w:rsidP="0021231E">
            <w:pPr>
              <w:jc w:val="center"/>
              <w:rPr>
                <w:rFonts w:ascii="Century Gothic" w:eastAsia="Calibri" w:hAnsi="Century Gothic" w:cs="Arial"/>
                <w:b/>
                <w:szCs w:val="24"/>
                <w:lang w:val="es-ES" w:eastAsia="es-ES_tradnl"/>
              </w:rPr>
            </w:pPr>
            <w:r w:rsidRPr="0021231E">
              <w:rPr>
                <w:rFonts w:ascii="Century Gothic" w:eastAsia="Calibri" w:hAnsi="Century Gothic" w:cs="Arial"/>
                <w:b/>
                <w:szCs w:val="24"/>
                <w:lang w:val="es-ES" w:eastAsia="es-ES_tradnl"/>
              </w:rPr>
              <w:t xml:space="preserve"> Radicación:</w:t>
            </w:r>
          </w:p>
        </w:tc>
        <w:tc>
          <w:tcPr>
            <w:tcW w:w="6237" w:type="dxa"/>
          </w:tcPr>
          <w:p w14:paraId="5FFF6C93" w14:textId="77777777" w:rsidR="0021231E" w:rsidRPr="0021231E" w:rsidRDefault="0021231E" w:rsidP="0021231E">
            <w:pPr>
              <w:jc w:val="both"/>
              <w:rPr>
                <w:rFonts w:ascii="Century Gothic" w:eastAsia="Calibri" w:hAnsi="Century Gothic" w:cs="Arial"/>
                <w:szCs w:val="24"/>
                <w:lang w:val="es-ES" w:eastAsia="es-ES_tradnl"/>
              </w:rPr>
            </w:pPr>
            <w:r w:rsidRPr="0021231E">
              <w:rPr>
                <w:rFonts w:ascii="Century Gothic" w:eastAsia="Calibri" w:hAnsi="Century Gothic" w:cs="Arial"/>
                <w:szCs w:val="24"/>
                <w:lang w:val="es-ES" w:eastAsia="es-ES_tradnl"/>
              </w:rPr>
              <w:t>Respuesta a consulta P20230914015114 y P20230915015166</w:t>
            </w:r>
          </w:p>
        </w:tc>
      </w:tr>
    </w:tbl>
    <w:p w14:paraId="2D4124BC" w14:textId="77777777" w:rsidR="0021231E" w:rsidRPr="0021231E" w:rsidRDefault="0021231E" w:rsidP="0021231E">
      <w:pPr>
        <w:spacing w:after="0" w:line="276" w:lineRule="auto"/>
        <w:ind w:left="2124" w:firstLine="428"/>
        <w:jc w:val="both"/>
        <w:rPr>
          <w:rFonts w:ascii="Century Gothic" w:eastAsia="Calibri" w:hAnsi="Century Gothic" w:cs="Arial"/>
          <w:szCs w:val="24"/>
          <w:lang w:val="es-MX" w:eastAsia="es-ES_tradnl"/>
        </w:rPr>
      </w:pPr>
      <w:r w:rsidRPr="0021231E">
        <w:rPr>
          <w:rFonts w:ascii="Century Gothic" w:eastAsia="Calibri" w:hAnsi="Century Gothic" w:cs="Arial"/>
          <w:szCs w:val="24"/>
          <w:lang w:val="es-MX" w:eastAsia="es-ES_tradnl"/>
        </w:rPr>
        <w:t>(Acumulados)</w:t>
      </w:r>
    </w:p>
    <w:p w14:paraId="372B1B1C" w14:textId="77777777" w:rsidR="0021231E" w:rsidRPr="0021231E" w:rsidRDefault="0021231E" w:rsidP="0021231E">
      <w:pPr>
        <w:spacing w:after="0" w:line="276" w:lineRule="auto"/>
        <w:jc w:val="both"/>
        <w:rPr>
          <w:rFonts w:ascii="Century Gothic" w:eastAsia="Calibri" w:hAnsi="Century Gothic" w:cs="Arial"/>
          <w:szCs w:val="24"/>
          <w:lang w:val="es-ES_tradnl" w:eastAsia="es-ES_tradnl"/>
        </w:rPr>
      </w:pPr>
    </w:p>
    <w:p w14:paraId="0BBBE0B5" w14:textId="77777777" w:rsidR="0021231E" w:rsidRPr="0021231E" w:rsidRDefault="0021231E" w:rsidP="0021231E">
      <w:pPr>
        <w:spacing w:after="0" w:line="276" w:lineRule="auto"/>
        <w:jc w:val="both"/>
        <w:rPr>
          <w:rFonts w:ascii="Century Gothic" w:eastAsia="Calibri" w:hAnsi="Century Gothic" w:cs="Arial"/>
          <w:szCs w:val="24"/>
          <w:lang w:val="es-ES_tradnl" w:eastAsia="es-ES_tradnl"/>
        </w:rPr>
      </w:pPr>
      <w:r w:rsidRPr="0021231E">
        <w:rPr>
          <w:rFonts w:ascii="Century Gothic" w:eastAsia="Calibri" w:hAnsi="Century Gothic" w:cs="Arial"/>
          <w:szCs w:val="24"/>
          <w:lang w:val="es-ES_tradnl" w:eastAsia="es-ES_tradnl"/>
        </w:rPr>
        <w:t>Estimado señor Noriega:</w:t>
      </w:r>
    </w:p>
    <w:p w14:paraId="41A849EF" w14:textId="77777777" w:rsidR="0021231E" w:rsidRPr="0021231E" w:rsidRDefault="0021231E" w:rsidP="0021231E">
      <w:pPr>
        <w:spacing w:after="0" w:line="276" w:lineRule="auto"/>
        <w:jc w:val="both"/>
        <w:rPr>
          <w:rFonts w:ascii="Century Gothic" w:eastAsia="Calibri" w:hAnsi="Century Gothic" w:cs="Arial"/>
          <w:szCs w:val="24"/>
          <w:lang w:val="es-ES_tradnl" w:eastAsia="es-ES_tradnl"/>
        </w:rPr>
      </w:pPr>
    </w:p>
    <w:p w14:paraId="702928EB" w14:textId="77777777" w:rsidR="0021231E" w:rsidRPr="0021231E" w:rsidRDefault="0021231E" w:rsidP="0021231E">
      <w:pPr>
        <w:spacing w:after="0" w:line="276" w:lineRule="auto"/>
        <w:jc w:val="both"/>
        <w:rPr>
          <w:rFonts w:ascii="Century Gothic" w:eastAsia="Calibri" w:hAnsi="Century Gothic" w:cs="Arial"/>
          <w:szCs w:val="24"/>
          <w:lang w:val="es-ES" w:eastAsia="es-ES_tradnl"/>
        </w:rPr>
      </w:pPr>
      <w:r w:rsidRPr="0021231E">
        <w:rPr>
          <w:rFonts w:ascii="Century Gothic" w:eastAsia="Calibri" w:hAnsi="Century Gothic" w:cs="Arial"/>
          <w:szCs w:val="24"/>
          <w:lang w:val="es-ES" w:eastAsia="es-ES_tradnl"/>
        </w:rPr>
        <w:t>En virtud de la competencia conferida por el numeral 8 del artículo 11 y el numeral 5 del artículo 3 del Decreto Ley 4170 de 2011, la Agencia Nacional de Contratación Pública -Colombia Compra Eficiente- responde a su consulta radicada con los números P20230914015114 y P20230915015166, siendo el último radicado remitido por el Departamento Administrativo de la Función Pública mediante oficio radicado con el número 20232040444561 el 14 de septiembre de 2023.</w:t>
      </w:r>
    </w:p>
    <w:p w14:paraId="7613AA11" w14:textId="77777777" w:rsidR="0021231E" w:rsidRPr="0021231E" w:rsidRDefault="0021231E" w:rsidP="0021231E">
      <w:pPr>
        <w:spacing w:after="0" w:line="276" w:lineRule="auto"/>
        <w:jc w:val="both"/>
        <w:rPr>
          <w:rFonts w:ascii="Century Gothic" w:eastAsia="Calibri" w:hAnsi="Century Gothic" w:cs="Arial"/>
          <w:szCs w:val="24"/>
          <w:lang w:val="es-ES_tradnl" w:eastAsia="es-CO"/>
        </w:rPr>
      </w:pPr>
    </w:p>
    <w:p w14:paraId="6B704130" w14:textId="77777777" w:rsidR="0021231E" w:rsidRPr="0021231E" w:rsidRDefault="0021231E" w:rsidP="0021231E">
      <w:pPr>
        <w:spacing w:after="0" w:line="276" w:lineRule="auto"/>
        <w:jc w:val="both"/>
        <w:rPr>
          <w:rFonts w:ascii="Century Gothic" w:eastAsia="Calibri" w:hAnsi="Century Gothic" w:cs="Arial"/>
          <w:szCs w:val="24"/>
          <w:lang w:val="es-ES_tradnl" w:eastAsia="es-CO"/>
        </w:rPr>
      </w:pPr>
      <w:r w:rsidRPr="0021231E">
        <w:rPr>
          <w:rFonts w:ascii="Century Gothic" w:eastAsia="Calibri" w:hAnsi="Century Gothic" w:cs="Arial"/>
          <w:b/>
          <w:szCs w:val="24"/>
          <w:lang w:val="es-ES_tradnl" w:eastAsia="es-CO"/>
        </w:rPr>
        <w:t>1.</w:t>
      </w:r>
      <w:r w:rsidRPr="0021231E">
        <w:rPr>
          <w:rFonts w:ascii="Century Gothic" w:eastAsia="Calibri" w:hAnsi="Century Gothic" w:cs="Arial"/>
          <w:b/>
          <w:szCs w:val="24"/>
          <w:lang w:val="es-ES_tradnl" w:eastAsia="es-CO"/>
        </w:rPr>
        <w:tab/>
        <w:t>Problema planteado</w:t>
      </w:r>
    </w:p>
    <w:p w14:paraId="4C81C7BF" w14:textId="77777777" w:rsidR="0021231E" w:rsidRPr="0021231E" w:rsidRDefault="0021231E" w:rsidP="0021231E">
      <w:pPr>
        <w:tabs>
          <w:tab w:val="left" w:pos="0"/>
          <w:tab w:val="left" w:pos="142"/>
          <w:tab w:val="left" w:pos="284"/>
        </w:tabs>
        <w:spacing w:after="0" w:line="276" w:lineRule="auto"/>
        <w:contextualSpacing/>
        <w:jc w:val="both"/>
        <w:rPr>
          <w:rFonts w:ascii="Century Gothic" w:eastAsia="Calibri" w:hAnsi="Century Gothic" w:cs="Arial"/>
          <w:szCs w:val="24"/>
          <w:lang w:val="es-ES_tradnl" w:eastAsia="es-ES_tradnl"/>
        </w:rPr>
      </w:pPr>
    </w:p>
    <w:p w14:paraId="29D8C739" w14:textId="77777777" w:rsidR="0021231E" w:rsidRPr="0021231E" w:rsidRDefault="0021231E" w:rsidP="0021231E">
      <w:pPr>
        <w:spacing w:after="0" w:line="276" w:lineRule="auto"/>
        <w:jc w:val="both"/>
        <w:rPr>
          <w:rFonts w:ascii="Century Gothic" w:eastAsia="Times New Roman" w:hAnsi="Century Gothic" w:cs="Arial"/>
          <w:szCs w:val="24"/>
          <w:lang w:val="es-ES_tradnl" w:eastAsia="es-ES_tradnl"/>
        </w:rPr>
      </w:pPr>
      <w:r w:rsidRPr="0021231E">
        <w:rPr>
          <w:rFonts w:ascii="Century Gothic" w:eastAsia="Times New Roman" w:hAnsi="Century Gothic" w:cs="Arial"/>
          <w:szCs w:val="24"/>
          <w:lang w:val="es-ES_tradnl" w:eastAsia="es-ES_tradnl"/>
        </w:rPr>
        <w:t xml:space="preserve">En relación con las entidades sin ánimo de lucro -ESAL-, usted solicita sea emitido un concepto jurídico en el que se le informe, con base en el marco normativo vigente, </w:t>
      </w:r>
      <w:bookmarkStart w:id="3" w:name="_Hlk149125296"/>
      <w:r w:rsidRPr="0021231E">
        <w:rPr>
          <w:rFonts w:ascii="Century Gothic" w:eastAsia="Times New Roman" w:hAnsi="Century Gothic" w:cs="Arial"/>
          <w:szCs w:val="24"/>
          <w:lang w:val="es-ES_tradnl" w:eastAsia="es-ES_tradnl"/>
        </w:rPr>
        <w:t xml:space="preserve">si una entidad sin ánimo de lucro puede presentar ofertas y hacerse adjudicatario de licitaciones públicas en el marco de la Ley 80 de 1993 y, además, en caso de que la respuesta a tal inquietud sea afirmativa, si aquella puede </w:t>
      </w:r>
      <w:r w:rsidRPr="0021231E">
        <w:rPr>
          <w:rFonts w:ascii="Century Gothic" w:eastAsia="Times New Roman" w:hAnsi="Century Gothic" w:cs="Arial"/>
          <w:szCs w:val="24"/>
          <w:lang w:val="es-ES_tradnl" w:eastAsia="es-ES_tradnl"/>
        </w:rPr>
        <w:lastRenderedPageBreak/>
        <w:t>hacerse acreedora de las utilidades propias de ese ejercicio contractual-comercial.</w:t>
      </w:r>
      <w:bookmarkEnd w:id="3"/>
    </w:p>
    <w:p w14:paraId="7C5FB191" w14:textId="77777777" w:rsidR="0021231E" w:rsidRPr="0021231E" w:rsidRDefault="0021231E" w:rsidP="0021231E">
      <w:pPr>
        <w:spacing w:after="0" w:line="276" w:lineRule="auto"/>
        <w:jc w:val="both"/>
        <w:rPr>
          <w:rFonts w:ascii="Century Gothic" w:eastAsia="Times New Roman" w:hAnsi="Century Gothic" w:cs="Arial"/>
          <w:szCs w:val="24"/>
          <w:lang w:val="es-ES_tradnl" w:eastAsia="es-ES_tradnl"/>
        </w:rPr>
      </w:pPr>
    </w:p>
    <w:p w14:paraId="7E2BFC09" w14:textId="77777777" w:rsidR="0021231E" w:rsidRPr="0021231E" w:rsidRDefault="0021231E" w:rsidP="0021231E">
      <w:pPr>
        <w:spacing w:after="0" w:line="276" w:lineRule="auto"/>
        <w:jc w:val="both"/>
        <w:rPr>
          <w:rFonts w:ascii="Century Gothic" w:eastAsia="Calibri" w:hAnsi="Century Gothic" w:cs="Arial"/>
          <w:szCs w:val="24"/>
          <w:lang w:val="es-ES_tradnl" w:eastAsia="es-CO"/>
        </w:rPr>
      </w:pPr>
      <w:r w:rsidRPr="0021231E">
        <w:rPr>
          <w:rFonts w:ascii="Century Gothic" w:eastAsia="Calibri" w:hAnsi="Century Gothic" w:cs="Arial"/>
          <w:b/>
          <w:szCs w:val="24"/>
          <w:lang w:val="es-ES_tradnl" w:eastAsia="es-CO"/>
        </w:rPr>
        <w:t>2.</w:t>
      </w:r>
      <w:r w:rsidRPr="0021231E">
        <w:rPr>
          <w:rFonts w:ascii="Century Gothic" w:eastAsia="Calibri" w:hAnsi="Century Gothic" w:cs="Arial"/>
          <w:b/>
          <w:szCs w:val="24"/>
          <w:lang w:val="es-ES_tradnl" w:eastAsia="es-CO"/>
        </w:rPr>
        <w:tab/>
        <w:t>Consideraciones</w:t>
      </w:r>
    </w:p>
    <w:p w14:paraId="7870E8EA" w14:textId="77777777" w:rsidR="0021231E" w:rsidRPr="0021231E" w:rsidRDefault="0021231E" w:rsidP="0021231E">
      <w:pPr>
        <w:spacing w:after="0" w:line="276" w:lineRule="auto"/>
        <w:jc w:val="both"/>
        <w:rPr>
          <w:rFonts w:ascii="Century Gothic" w:eastAsia="Times New Roman" w:hAnsi="Century Gothic" w:cs="Arial"/>
          <w:szCs w:val="24"/>
          <w:lang w:val="es-ES_tradnl" w:eastAsia="es-ES_tradnl"/>
        </w:rPr>
      </w:pPr>
    </w:p>
    <w:p w14:paraId="1EA45EC2" w14:textId="77777777" w:rsidR="0021231E" w:rsidRPr="0021231E" w:rsidRDefault="0021231E" w:rsidP="0021231E">
      <w:pPr>
        <w:spacing w:after="120" w:line="276" w:lineRule="auto"/>
        <w:jc w:val="both"/>
        <w:rPr>
          <w:rFonts w:ascii="Century Gothic" w:eastAsia="Times New Roman" w:hAnsi="Century Gothic" w:cs="Arial"/>
          <w:szCs w:val="24"/>
          <w:lang w:val="es-ES" w:eastAsia="es-ES_tradnl"/>
        </w:rPr>
      </w:pPr>
      <w:r w:rsidRPr="0021231E">
        <w:rPr>
          <w:rFonts w:ascii="Century Gothic" w:eastAsia="Times New Roman" w:hAnsi="Century Gothic" w:cs="Arial"/>
          <w:szCs w:val="24"/>
          <w:lang w:eastAsia="es-ES_tradnl"/>
        </w:rPr>
        <w:t>En ejercicio de las competencias previstas en los artículos 3, numeral 5° y 11, numeral 8° del Decreto-Ley 4170 de 2011, la Agencia Nacional de Contratación Pública -Colombia Compra Eficiente- resuelve las consultas sobre los asuntos de su competencia, esto es, sobre las temáticas de la contratación estatal y compras públicas relacionadas en los artículos citados.</w:t>
      </w:r>
      <w:r w:rsidRPr="0021231E">
        <w:rPr>
          <w:rFonts w:ascii="Century Gothic" w:eastAsia="Times New Roman" w:hAnsi="Century Gothic" w:cs="Arial"/>
          <w:szCs w:val="24"/>
          <w:shd w:val="clear" w:color="auto" w:fill="E6E6E6"/>
          <w:lang w:eastAsia="es-ES_tradnl"/>
        </w:rPr>
        <w:t xml:space="preserve"> </w:t>
      </w:r>
      <w:r w:rsidRPr="0021231E">
        <w:rPr>
          <w:rFonts w:ascii="Century Gothic" w:eastAsia="Times New Roman" w:hAnsi="Century Gothic" w:cs="Arial"/>
          <w:szCs w:val="24"/>
          <w:lang w:val="es-ES" w:eastAsia="es-ES_tradnl"/>
        </w:rPr>
        <w:t>Es necesario tener en cuenta que esta entidad solo tiene competencia para responder solicitudes sobre la aplicación de normas de carácter general en materia de compras y contratación pública. En este sentido, resolver casos particulares desborda las atribuciones asignadas por el legislador extraordinario, que no concibió a Colombia Compra Eficiente como una autoridad para solucionar problemas jurídicos particulares</w:t>
      </w:r>
      <w:r w:rsidRPr="0021231E">
        <w:rPr>
          <w:rFonts w:ascii="Century Gothic" w:eastAsia="Times New Roman" w:hAnsi="Century Gothic" w:cs="Arial"/>
          <w:szCs w:val="24"/>
          <w:lang w:eastAsia="es-ES_tradnl"/>
        </w:rPr>
        <w:t xml:space="preserve"> de todos los partícipes de la contratación estatal.</w:t>
      </w:r>
    </w:p>
    <w:p w14:paraId="22D3F4CC" w14:textId="77777777" w:rsidR="0021231E" w:rsidRPr="0021231E" w:rsidRDefault="0021231E" w:rsidP="0021231E">
      <w:pPr>
        <w:spacing w:after="120" w:line="276" w:lineRule="auto"/>
        <w:ind w:firstLine="708"/>
        <w:jc w:val="both"/>
        <w:rPr>
          <w:rFonts w:ascii="Century Gothic" w:eastAsia="Times New Roman" w:hAnsi="Century Gothic" w:cs="Arial"/>
          <w:szCs w:val="24"/>
          <w:lang w:val="es-ES" w:eastAsia="es-ES_tradnl"/>
        </w:rPr>
      </w:pPr>
      <w:r w:rsidRPr="0021231E">
        <w:rPr>
          <w:rFonts w:ascii="Century Gothic" w:eastAsia="Times New Roman" w:hAnsi="Century Gothic" w:cs="Arial"/>
          <w:szCs w:val="24"/>
          <w:lang w:val="es-ES" w:eastAsia="es-ES_tradnl"/>
        </w:rP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sidRPr="0021231E">
        <w:rPr>
          <w:rFonts w:ascii="Century Gothic" w:eastAsia="Times New Roman" w:hAnsi="Century Gothic" w:cs="Arial"/>
          <w:szCs w:val="24"/>
          <w:vertAlign w:val="superscript"/>
          <w:lang w:val="es-ES" w:eastAsia="es-ES_tradnl"/>
        </w:rPr>
        <w:footnoteReference w:id="2"/>
      </w:r>
      <w:r w:rsidRPr="0021231E">
        <w:rPr>
          <w:rFonts w:ascii="Century Gothic" w:eastAsia="Times New Roman" w:hAnsi="Century Gothic" w:cs="Arial"/>
          <w:szCs w:val="24"/>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y/o disciplinarias, según corresponda.</w:t>
      </w:r>
    </w:p>
    <w:p w14:paraId="3862F20E" w14:textId="77777777" w:rsidR="0021231E" w:rsidRPr="0021231E" w:rsidRDefault="0021231E" w:rsidP="0021231E">
      <w:pPr>
        <w:spacing w:after="120" w:line="276" w:lineRule="auto"/>
        <w:ind w:firstLine="708"/>
        <w:jc w:val="both"/>
        <w:rPr>
          <w:rFonts w:ascii="Century Gothic" w:eastAsia="Times New Roman" w:hAnsi="Century Gothic" w:cs="Arial"/>
          <w:szCs w:val="24"/>
          <w:lang w:eastAsia="es-ES_tradnl"/>
        </w:rPr>
      </w:pPr>
      <w:r w:rsidRPr="0021231E">
        <w:rPr>
          <w:rFonts w:ascii="Century Gothic" w:eastAsia="Times New Roman" w:hAnsi="Century Gothic" w:cs="Arial"/>
          <w:szCs w:val="24"/>
          <w:lang w:val="es-ES" w:eastAsia="es-ES_tradnl"/>
        </w:rPr>
        <w:t xml:space="preserve">Bajo este entendido, </w:t>
      </w:r>
      <w:r w:rsidRPr="0021231E">
        <w:rPr>
          <w:rFonts w:ascii="Century Gothic" w:eastAsia="Times New Roman" w:hAnsi="Century Gothic" w:cs="Arial"/>
          <w:szCs w:val="24"/>
          <w:lang w:eastAsia="es-ES_tradnl"/>
        </w:rPr>
        <w:t xml:space="preserve">la Subdirección -dentro del límite de sus atribuciones, esto es, haciendo abstracción de cualquier caso particular que pueda llegar a </w:t>
      </w:r>
      <w:r w:rsidRPr="0021231E">
        <w:rPr>
          <w:rFonts w:ascii="Century Gothic" w:eastAsia="Times New Roman" w:hAnsi="Century Gothic" w:cs="Arial"/>
          <w:szCs w:val="24"/>
          <w:lang w:eastAsia="es-ES_tradnl"/>
        </w:rPr>
        <w:lastRenderedPageBreak/>
        <w:t xml:space="preserve">proponer el peticionario- resolverá la presente consulta de acuerdo con el alcance general de las normas en materia de contratación estatal. Con tal propósito, analizará los siguientes temas: </w:t>
      </w:r>
      <w:r w:rsidRPr="0021231E">
        <w:rPr>
          <w:rFonts w:ascii="Century Gothic" w:eastAsia="Times New Roman" w:hAnsi="Century Gothic" w:cs="Arial"/>
          <w:i/>
          <w:szCs w:val="24"/>
          <w:lang w:eastAsia="es-ES_tradnl"/>
        </w:rPr>
        <w:t>(i)</w:t>
      </w:r>
      <w:r w:rsidRPr="0021231E">
        <w:rPr>
          <w:rFonts w:ascii="Century Gothic" w:eastAsia="Times New Roman" w:hAnsi="Century Gothic" w:cs="Arial"/>
          <w:szCs w:val="24"/>
          <w:lang w:eastAsia="es-ES_tradnl"/>
        </w:rPr>
        <w:t xml:space="preserve"> la contratación con entidades privadas sin ánimo de lucro y de reconocida idoneidad -desde ahora ESAL- con fundamento en el Decreto 092 de 2017 y (ii) la suspensión provisional de algunas normas de dicho decreto.</w:t>
      </w:r>
    </w:p>
    <w:p w14:paraId="46ECC28D" w14:textId="77777777" w:rsidR="0021231E" w:rsidRPr="0021231E" w:rsidRDefault="0021231E" w:rsidP="0021231E">
      <w:pPr>
        <w:spacing w:after="120" w:line="276" w:lineRule="auto"/>
        <w:ind w:firstLine="708"/>
        <w:jc w:val="both"/>
        <w:rPr>
          <w:rFonts w:ascii="Century Gothic" w:eastAsia="Times New Roman" w:hAnsi="Century Gothic" w:cs="Arial"/>
          <w:szCs w:val="24"/>
          <w:lang w:eastAsia="es-ES_tradnl"/>
        </w:rPr>
      </w:pPr>
      <w:r w:rsidRPr="0021231E">
        <w:rPr>
          <w:rFonts w:ascii="Century Gothic" w:eastAsia="Times New Roman" w:hAnsi="Century Gothic" w:cs="Arial"/>
          <w:szCs w:val="24"/>
          <w:lang w:eastAsia="es-ES_tradnl"/>
        </w:rPr>
        <w:t xml:space="preserve">La Agencia Nacional de Contratación Pública - Colombia Compra Eficiente se ha referido previamente a los temas planteados en los conceptos </w:t>
      </w:r>
      <w:r w:rsidRPr="0021231E">
        <w:rPr>
          <w:rFonts w:ascii="Century Gothic" w:hAnsi="Century Gothic" w:cs="Arial"/>
        </w:rPr>
        <w:t>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C-037 del 5 de abril de 2023, C-259 del 4 de julio de 2023 y C-351 del 6 de octubre de 2023</w:t>
      </w:r>
      <w:r w:rsidRPr="0021231E">
        <w:rPr>
          <w:rFonts w:ascii="Century Gothic" w:eastAsia="Calibri" w:hAnsi="Century Gothic" w:cs="Arial"/>
          <w:vertAlign w:val="superscript"/>
        </w:rPr>
        <w:footnoteReference w:id="3"/>
      </w:r>
      <w:r w:rsidRPr="0021231E">
        <w:rPr>
          <w:rFonts w:ascii="Century Gothic" w:hAnsi="Century Gothic" w:cs="Arial"/>
        </w:rPr>
        <w:t>. Las tesis propuestas en tales conceptos se reiteran a continuación y se complementan en lo pertinente, teniendo en cuenta que la Sala Plena del Consejo de Estado resolvió el recurso de súplica interpuesto contra el Auto del 6 de agosto de 2019 de la Subsección A de la Sección Tercera.</w:t>
      </w:r>
    </w:p>
    <w:p w14:paraId="03F06F4C" w14:textId="77777777" w:rsidR="0021231E" w:rsidRPr="0021231E" w:rsidRDefault="0021231E" w:rsidP="00507A72">
      <w:pPr>
        <w:spacing w:after="0" w:line="276" w:lineRule="auto"/>
        <w:jc w:val="both"/>
        <w:rPr>
          <w:rFonts w:ascii="Century Gothic" w:hAnsi="Century Gothic" w:cs="Arial"/>
          <w:b/>
          <w:bCs/>
        </w:rPr>
      </w:pPr>
      <w:r w:rsidRPr="0021231E">
        <w:rPr>
          <w:rFonts w:ascii="Century Gothic" w:hAnsi="Century Gothic" w:cs="Arial"/>
          <w:b/>
          <w:bCs/>
        </w:rPr>
        <w:t>2.1.</w:t>
      </w:r>
      <w:r w:rsidRPr="0021231E">
        <w:rPr>
          <w:rFonts w:ascii="Century Gothic" w:hAnsi="Century Gothic" w:cs="Arial"/>
          <w:b/>
          <w:bCs/>
        </w:rPr>
        <w:tab/>
        <w:t>La contratación con entidades privadas sin ánimo de lucro y de reconocida idoneidad -ESALES- con fundamento en el Decreto 092 de 2017</w:t>
      </w:r>
    </w:p>
    <w:p w14:paraId="39EA6271" w14:textId="77777777" w:rsidR="0021231E" w:rsidRPr="0021231E" w:rsidRDefault="0021231E" w:rsidP="0021231E">
      <w:pPr>
        <w:spacing w:after="0" w:line="276" w:lineRule="auto"/>
        <w:jc w:val="both"/>
        <w:rPr>
          <w:rFonts w:ascii="Century Gothic" w:eastAsia="Calibri" w:hAnsi="Century Gothic" w:cs="Arial"/>
          <w:bCs/>
          <w:lang w:val="es-ES_tradnl"/>
        </w:rPr>
      </w:pPr>
    </w:p>
    <w:p w14:paraId="6FCF6CDA" w14:textId="77777777" w:rsidR="0021231E" w:rsidRPr="0021231E" w:rsidRDefault="0021231E" w:rsidP="0021231E">
      <w:pPr>
        <w:spacing w:line="276" w:lineRule="auto"/>
        <w:jc w:val="both"/>
        <w:rPr>
          <w:rFonts w:ascii="Century Gothic" w:eastAsia="Calibri" w:hAnsi="Century Gothic" w:cs="Arial"/>
          <w:bCs/>
          <w:lang w:val="es-ES_tradnl"/>
        </w:rPr>
      </w:pPr>
      <w:r w:rsidRPr="0021231E">
        <w:rPr>
          <w:rFonts w:ascii="Century Gothic" w:eastAsia="Calibri" w:hAnsi="Century Gothic" w:cs="Arial"/>
          <w:bCs/>
          <w:lang w:val="es-ES_tradnl"/>
        </w:rPr>
        <w:t xml:space="preserve">Tal y como se ha reiterado en múltiples conceptos por parte de esta entidad, el artículo 355 de la Constitución Política prohíbe a las ramas y órganos del poder </w:t>
      </w:r>
      <w:r w:rsidRPr="0021231E">
        <w:rPr>
          <w:rFonts w:ascii="Century Gothic" w:eastAsia="Calibri" w:hAnsi="Century Gothic" w:cs="Arial"/>
          <w:bCs/>
          <w:lang w:val="es-ES_tradnl"/>
        </w:rPr>
        <w:lastRenderedPageBreak/>
        <w:t>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21231E">
        <w:rPr>
          <w:rFonts w:ascii="Century Gothic" w:hAnsi="Century Gothic" w:cs="Arial"/>
          <w:vertAlign w:val="superscript"/>
        </w:rPr>
        <w:footnoteReference w:id="4"/>
      </w:r>
      <w:r w:rsidRPr="0021231E">
        <w:rPr>
          <w:rFonts w:ascii="Century Gothic" w:eastAsia="Calibri" w:hAnsi="Century Gothic"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21231E">
        <w:rPr>
          <w:rFonts w:ascii="Century Gothic" w:eastAsia="Calibri" w:hAnsi="Century Gothic" w:cs="Arial"/>
          <w:bCs/>
          <w:vertAlign w:val="superscript"/>
          <w:lang w:val="es-ES_tradnl"/>
        </w:rPr>
        <w:footnoteReference w:id="5"/>
      </w:r>
      <w:r w:rsidRPr="0021231E">
        <w:rPr>
          <w:rFonts w:ascii="Century Gothic" w:eastAsia="Calibri" w:hAnsi="Century Gothic" w:cs="Arial"/>
          <w:bCs/>
          <w:lang w:val="es-ES_tradnl"/>
        </w:rPr>
        <w:t>.</w:t>
      </w:r>
    </w:p>
    <w:p w14:paraId="038FE54E" w14:textId="77777777" w:rsidR="0021231E" w:rsidRPr="0021231E" w:rsidRDefault="0021231E" w:rsidP="0021231E">
      <w:pPr>
        <w:spacing w:before="120" w:after="120" w:line="276" w:lineRule="auto"/>
        <w:ind w:firstLine="709"/>
        <w:jc w:val="both"/>
        <w:rPr>
          <w:rFonts w:ascii="Century Gothic" w:eastAsia="Calibri" w:hAnsi="Century Gothic" w:cs="Arial"/>
          <w:bCs/>
          <w:lang w:val="es-ES_tradnl"/>
        </w:rPr>
      </w:pPr>
      <w:bookmarkStart w:id="5" w:name="_Hlk38819155"/>
      <w:r w:rsidRPr="0021231E">
        <w:rPr>
          <w:rFonts w:ascii="Century Gothic" w:eastAsia="Calibri" w:hAnsi="Century Gothic" w:cs="Arial"/>
          <w:bCs/>
          <w:lang w:val="es-ES_tradnl"/>
        </w:rPr>
        <w:t xml:space="preserve">El Decreto 092 de 2017 dispone reglas para las contrataciones que realicen las entidades estatales con las ESAL. El Decreto regula dos (2) eventos: </w:t>
      </w:r>
      <w:r w:rsidRPr="0021231E">
        <w:rPr>
          <w:rFonts w:ascii="Century Gothic" w:eastAsia="Calibri" w:hAnsi="Century Gothic" w:cs="Arial"/>
          <w:bCs/>
          <w:i/>
          <w:iCs/>
          <w:lang w:val="es-ES_tradnl"/>
        </w:rPr>
        <w:t>(i)</w:t>
      </w:r>
      <w:r w:rsidRPr="0021231E">
        <w:rPr>
          <w:rFonts w:ascii="Century Gothic" w:eastAsia="Calibri" w:hAnsi="Century Gothic" w:cs="Arial"/>
          <w:bCs/>
          <w:lang w:val="es-ES_tradnl"/>
        </w:rPr>
        <w:t xml:space="preserve"> los contratos del artículo 355 de la Constitución Política con el fin impulsar programas y actividades de interés público de acuerdo con el Plan Nacional o los planes seccionales de desarrollo; y </w:t>
      </w:r>
      <w:r w:rsidRPr="0021231E">
        <w:rPr>
          <w:rFonts w:ascii="Century Gothic" w:eastAsia="Calibri" w:hAnsi="Century Gothic" w:cs="Arial"/>
          <w:bCs/>
          <w:i/>
          <w:iCs/>
          <w:lang w:val="es-ES_tradnl"/>
        </w:rPr>
        <w:t>(ii)</w:t>
      </w:r>
      <w:r w:rsidRPr="0021231E">
        <w:rPr>
          <w:rFonts w:ascii="Century Gothic" w:eastAsia="Calibri" w:hAnsi="Century Gothic" w:cs="Arial"/>
          <w:bCs/>
          <w:lang w:val="es-ES_tradnl"/>
        </w:rPr>
        <w:t xml:space="preserve"> los convenios de asociación, para el desarrollo conjunto de actividades relacionadas con las funciones de las entidades estatales, en desarrollo del artículo 96 de la Ley 489 de 1998.</w:t>
      </w:r>
      <w:bookmarkEnd w:id="5"/>
    </w:p>
    <w:p w14:paraId="425C896C" w14:textId="77777777" w:rsidR="0021231E" w:rsidRPr="0021231E" w:rsidRDefault="0021231E" w:rsidP="0021231E">
      <w:pPr>
        <w:spacing w:before="120" w:after="120" w:line="276" w:lineRule="auto"/>
        <w:ind w:firstLine="709"/>
        <w:jc w:val="both"/>
        <w:rPr>
          <w:rFonts w:ascii="Century Gothic" w:eastAsia="Calibri" w:hAnsi="Century Gothic" w:cs="Arial"/>
          <w:bCs/>
          <w:lang w:val="es-ES_tradnl"/>
        </w:rPr>
      </w:pPr>
      <w:bookmarkStart w:id="6" w:name="_Hlk95756032"/>
      <w:r w:rsidRPr="0021231E">
        <w:rPr>
          <w:rFonts w:ascii="Century Gothic" w:eastAsia="Calibri" w:hAnsi="Century Gothic" w:cs="Arial"/>
          <w:bCs/>
          <w:lang w:val="es-ES_tradnl"/>
        </w:rPr>
        <w:t xml:space="preserve">Los </w:t>
      </w:r>
      <w:r w:rsidRPr="0021231E">
        <w:rPr>
          <w:rFonts w:ascii="Century Gothic" w:eastAsia="Calibri" w:hAnsi="Century Gothic" w:cs="Arial"/>
          <w:bCs/>
          <w:i/>
          <w:lang w:val="es-ES_tradnl"/>
        </w:rPr>
        <w:t>contratos del artículo 355 de la Constitución Política</w:t>
      </w:r>
      <w:r w:rsidRPr="0021231E">
        <w:rPr>
          <w:rFonts w:ascii="Century Gothic" w:eastAsia="Calibri" w:hAnsi="Century Gothic" w:cs="Arial"/>
          <w:bCs/>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w:t>
      </w:r>
      <w:r w:rsidRPr="0021231E">
        <w:rPr>
          <w:rFonts w:ascii="Century Gothic" w:eastAsia="Calibri" w:hAnsi="Century Gothic" w:cs="Arial"/>
          <w:bCs/>
          <w:lang w:val="es-ES_tradnl"/>
        </w:rPr>
        <w:lastRenderedPageBreak/>
        <w:t>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6"/>
    <w:p w14:paraId="7310D4E4" w14:textId="77777777" w:rsidR="0021231E" w:rsidRPr="0021231E" w:rsidRDefault="0021231E" w:rsidP="0021231E">
      <w:pPr>
        <w:spacing w:before="120" w:after="120" w:line="276" w:lineRule="auto"/>
        <w:ind w:firstLine="709"/>
        <w:jc w:val="both"/>
        <w:rPr>
          <w:rFonts w:ascii="Century Gothic" w:eastAsia="Calibri" w:hAnsi="Century Gothic" w:cs="Arial"/>
          <w:bCs/>
          <w:lang w:val="es-ES_tradnl"/>
        </w:rPr>
      </w:pPr>
      <w:r w:rsidRPr="0021231E">
        <w:rPr>
          <w:rFonts w:ascii="Century Gothic" w:eastAsia="Calibri" w:hAnsi="Century Gothic" w:cs="Arial"/>
          <w:bCs/>
          <w:lang w:val="es-ES_tradnl"/>
        </w:rPr>
        <w:t xml:space="preserve">De otro lado, los </w:t>
      </w:r>
      <w:r w:rsidRPr="0021231E">
        <w:rPr>
          <w:rFonts w:ascii="Century Gothic" w:eastAsia="Calibri" w:hAnsi="Century Gothic" w:cs="Arial"/>
          <w:bCs/>
          <w:i/>
          <w:lang w:val="es-ES_tradnl"/>
        </w:rPr>
        <w:t>convenios de asociación</w:t>
      </w:r>
      <w:r w:rsidRPr="0021231E">
        <w:rPr>
          <w:rFonts w:ascii="Century Gothic" w:eastAsia="Calibri" w:hAnsi="Century Gothic" w:cs="Arial"/>
          <w:bCs/>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21231E">
        <w:rPr>
          <w:rFonts w:ascii="Century Gothic" w:hAnsi="Century Gothic" w:cs="Arial"/>
          <w:vertAlign w:val="superscript"/>
        </w:rPr>
        <w:footnoteReference w:id="6"/>
      </w:r>
      <w:r w:rsidRPr="0021231E">
        <w:rPr>
          <w:rFonts w:ascii="Century Gothic" w:eastAsia="Calibri" w:hAnsi="Century Gothic"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21231E">
        <w:rPr>
          <w:rFonts w:ascii="Century Gothic" w:hAnsi="Century Gothic" w:cs="Arial"/>
          <w:vertAlign w:val="superscript"/>
        </w:rPr>
        <w:footnoteReference w:id="7"/>
      </w:r>
      <w:r w:rsidRPr="0021231E">
        <w:rPr>
          <w:rFonts w:ascii="Century Gothic" w:eastAsia="Calibri" w:hAnsi="Century Gothic" w:cs="Arial"/>
          <w:bCs/>
          <w:lang w:val="es-ES_tradnl"/>
        </w:rPr>
        <w:t>.</w:t>
      </w:r>
    </w:p>
    <w:p w14:paraId="67C414CE" w14:textId="77777777" w:rsidR="0021231E" w:rsidRPr="0021231E" w:rsidRDefault="0021231E" w:rsidP="0021231E">
      <w:pPr>
        <w:spacing w:before="120" w:after="120" w:line="276" w:lineRule="auto"/>
        <w:ind w:firstLine="709"/>
        <w:jc w:val="both"/>
        <w:rPr>
          <w:rFonts w:ascii="Century Gothic" w:eastAsia="Calibri" w:hAnsi="Century Gothic" w:cs="Arial"/>
          <w:bCs/>
        </w:rPr>
      </w:pPr>
      <w:r w:rsidRPr="0021231E">
        <w:rPr>
          <w:rFonts w:ascii="Century Gothic" w:eastAsia="Calibri" w:hAnsi="Century Gothic"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21231E">
        <w:rPr>
          <w:rFonts w:ascii="Century Gothic" w:eastAsia="Calibri" w:hAnsi="Century Gothic" w:cs="Arial"/>
          <w:bC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w:t>
      </w:r>
      <w:r w:rsidRPr="0021231E">
        <w:rPr>
          <w:rFonts w:ascii="Century Gothic" w:eastAsia="Calibri" w:hAnsi="Century Gothic" w:cs="Arial"/>
          <w:bCs/>
        </w:rPr>
        <w:lastRenderedPageBreak/>
        <w:t>que la entidad encuentre que más de una ESAL le ofrece al menos el 30% de recursos en dinero para el convenio de asociación, debe seleccionar objetivamente con cual asociarse.</w:t>
      </w:r>
    </w:p>
    <w:p w14:paraId="685F04EA" w14:textId="77777777" w:rsidR="0021231E" w:rsidRPr="0021231E" w:rsidRDefault="0021231E" w:rsidP="0021231E">
      <w:pPr>
        <w:spacing w:before="120" w:after="120" w:line="276" w:lineRule="auto"/>
        <w:ind w:firstLine="709"/>
        <w:jc w:val="both"/>
        <w:rPr>
          <w:rFonts w:ascii="Century Gothic" w:hAnsi="Century Gothic"/>
        </w:rPr>
      </w:pPr>
      <w:r w:rsidRPr="0021231E">
        <w:rPr>
          <w:rFonts w:ascii="Century Gothic" w:hAnsi="Century Gothic" w:cs="Arial"/>
          <w:color w:val="000000" w:themeColor="text1"/>
        </w:rPr>
        <w:t xml:space="preserve">La noción “seleccionar de forma objetiva”, contenida en la disposición </w:t>
      </w:r>
      <w:r w:rsidRPr="0021231E">
        <w:rPr>
          <w:rFonts w:ascii="Century Gothic" w:hAnsi="Century Gothic" w:cs="Arial"/>
          <w:i/>
          <w:iCs/>
          <w:color w:val="000000" w:themeColor="text1"/>
        </w:rPr>
        <w:t xml:space="preserve">sub examine </w:t>
      </w:r>
      <w:r w:rsidRPr="0021231E">
        <w:rPr>
          <w:rFonts w:ascii="Century Gothic" w:hAnsi="Century Gothic"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204C7C4C" w14:textId="77777777" w:rsidR="0021231E" w:rsidRPr="0021231E" w:rsidRDefault="0021231E" w:rsidP="0021231E">
      <w:pPr>
        <w:spacing w:after="0" w:line="276" w:lineRule="auto"/>
        <w:ind w:firstLine="708"/>
        <w:jc w:val="both"/>
        <w:rPr>
          <w:rFonts w:ascii="Century Gothic" w:hAnsi="Century Gothic" w:cs="Arial"/>
          <w:color w:val="000000" w:themeColor="text1"/>
          <w:lang w:val="es-MX"/>
        </w:rPr>
      </w:pPr>
      <w:r w:rsidRPr="0021231E">
        <w:rPr>
          <w:rFonts w:ascii="Century Gothic" w:hAnsi="Century Gothic" w:cs="Arial"/>
          <w:color w:val="000000" w:themeColor="text1"/>
          <w:lang w:val="es-MX"/>
        </w:rPr>
        <w:t>Es importante aclarar, en todo caso, que los negocios jurídicos que regula el Decreto 092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21231E">
        <w:rPr>
          <w:rFonts w:ascii="Century Gothic" w:hAnsi="Century Gothic" w:cs="Arial"/>
          <w:color w:val="000000" w:themeColor="text1"/>
          <w:vertAlign w:val="superscript"/>
          <w:lang w:val="es-MX"/>
        </w:rPr>
        <w:footnoteReference w:id="8"/>
      </w:r>
      <w:r w:rsidRPr="0021231E">
        <w:rPr>
          <w:rFonts w:ascii="Century Gothic" w:hAnsi="Century Gothic" w:cs="Arial"/>
          <w:color w:val="000000" w:themeColor="text1"/>
          <w:lang w:val="es-MX"/>
        </w:rPr>
        <w:t>. Así lo consideró la Sala de Consulta y Servicio Civil del Consejo de Estado</w:t>
      </w:r>
      <w:r w:rsidRPr="0021231E">
        <w:rPr>
          <w:rFonts w:ascii="Century Gothic" w:hAnsi="Century Gothic" w:cs="Arial"/>
          <w:color w:val="000000" w:themeColor="text1"/>
          <w:vertAlign w:val="superscript"/>
          <w:lang w:val="es-MX"/>
        </w:rPr>
        <w:footnoteReference w:id="9"/>
      </w:r>
      <w:r w:rsidRPr="0021231E">
        <w:rPr>
          <w:rFonts w:ascii="Century Gothic" w:hAnsi="Century Gothic" w:cs="Arial"/>
          <w:color w:val="000000" w:themeColor="text1"/>
          <w:lang w:val="es-MX"/>
        </w:rPr>
        <w:t>:</w:t>
      </w:r>
    </w:p>
    <w:p w14:paraId="314929AE" w14:textId="77777777" w:rsidR="0021231E" w:rsidRPr="0021231E" w:rsidRDefault="0021231E" w:rsidP="0021231E">
      <w:pPr>
        <w:spacing w:after="0" w:line="276" w:lineRule="auto"/>
        <w:jc w:val="both"/>
        <w:rPr>
          <w:rFonts w:ascii="Century Gothic" w:hAnsi="Century Gothic" w:cs="Arial"/>
          <w:color w:val="000000" w:themeColor="text1"/>
          <w:lang w:val="es-MX"/>
        </w:rPr>
      </w:pPr>
    </w:p>
    <w:p w14:paraId="5ED0C948" w14:textId="77777777" w:rsidR="0021231E" w:rsidRPr="0021231E" w:rsidRDefault="0021231E" w:rsidP="0021231E">
      <w:pPr>
        <w:spacing w:line="240" w:lineRule="auto"/>
        <w:ind w:left="709"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0AC6BD87" w14:textId="77777777" w:rsidR="0021231E" w:rsidRPr="0021231E" w:rsidRDefault="0021231E" w:rsidP="0021231E">
      <w:pPr>
        <w:spacing w:after="0" w:line="240" w:lineRule="auto"/>
        <w:ind w:left="708"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 xml:space="preserve">Cuando el artículo 355 autoriza a las entidades estatales a celebrar contratos para “impulsar” programas y actividades de interés público, se </w:t>
      </w:r>
      <w:r w:rsidRPr="0021231E">
        <w:rPr>
          <w:rFonts w:ascii="Century Gothic" w:eastAsia="Calibri" w:hAnsi="Century Gothic" w:cs="Arial"/>
          <w:color w:val="000000" w:themeColor="text1"/>
          <w:sz w:val="21"/>
          <w:szCs w:val="21"/>
        </w:rPr>
        <w:lastRenderedPageBreak/>
        <w:t>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0561ACE1" w14:textId="77777777" w:rsidR="0021231E" w:rsidRPr="0021231E" w:rsidRDefault="0021231E" w:rsidP="0021231E">
      <w:pPr>
        <w:spacing w:after="0" w:line="276" w:lineRule="auto"/>
        <w:ind w:firstLine="708"/>
        <w:jc w:val="both"/>
        <w:rPr>
          <w:rFonts w:ascii="Century Gothic" w:eastAsia="Calibri" w:hAnsi="Century Gothic" w:cs="Arial"/>
          <w:color w:val="000000" w:themeColor="text1"/>
        </w:rPr>
      </w:pPr>
      <w:bookmarkStart w:id="7" w:name="_Hlk95756200"/>
    </w:p>
    <w:p w14:paraId="0F31D622" w14:textId="77777777" w:rsidR="0021231E" w:rsidRPr="0021231E" w:rsidRDefault="0021231E" w:rsidP="0021231E">
      <w:pPr>
        <w:spacing w:after="0" w:line="276" w:lineRule="auto"/>
        <w:ind w:firstLine="708"/>
        <w:jc w:val="both"/>
        <w:rPr>
          <w:rFonts w:ascii="Century Gothic" w:eastAsia="Calibri" w:hAnsi="Century Gothic" w:cs="Arial"/>
          <w:color w:val="000000" w:themeColor="text1"/>
        </w:rPr>
      </w:pPr>
      <w:bookmarkStart w:id="8" w:name="_Hlk149125584"/>
      <w:r w:rsidRPr="0021231E">
        <w:rPr>
          <w:rFonts w:ascii="Century Gothic" w:eastAsia="Calibri" w:hAnsi="Century Gothic" w:cs="Arial"/>
          <w:color w:val="000000" w:themeColor="text1"/>
        </w:rPr>
        <w:t xml:space="preserve">De acuerdo con lo anterior y por interesar especialmente a la presente consulta, interesa recalcar que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7"/>
      <w:r w:rsidRPr="0021231E">
        <w:rPr>
          <w:rFonts w:ascii="Century Gothic" w:eastAsia="Calibri" w:hAnsi="Century Gothic" w:cs="Arial"/>
          <w:color w:val="000000" w:themeColor="text1"/>
        </w:rPr>
        <w:t>Así lo reconoció la Corte Constitucional en la sentencia C-287 del 18 de abril de 2012, en la que indicó que:</w:t>
      </w:r>
    </w:p>
    <w:p w14:paraId="05F09824" w14:textId="77777777" w:rsidR="0021231E" w:rsidRPr="0021231E" w:rsidRDefault="0021231E" w:rsidP="0021231E">
      <w:pPr>
        <w:spacing w:after="0" w:line="276" w:lineRule="auto"/>
        <w:ind w:firstLine="708"/>
        <w:jc w:val="both"/>
        <w:rPr>
          <w:rFonts w:ascii="Century Gothic" w:eastAsia="Calibri" w:hAnsi="Century Gothic" w:cs="Arial"/>
          <w:color w:val="000000" w:themeColor="text1"/>
        </w:rPr>
      </w:pPr>
    </w:p>
    <w:p w14:paraId="7A0962FC" w14:textId="77777777" w:rsidR="0021231E" w:rsidRPr="0021231E" w:rsidRDefault="0021231E" w:rsidP="0021231E">
      <w:pPr>
        <w:spacing w:line="240" w:lineRule="auto"/>
        <w:ind w:left="709"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“Las corporaciones o asociaciones sin ánimo de lucro han sido definidas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55274971" w14:textId="77777777" w:rsidR="0021231E" w:rsidRPr="0021231E" w:rsidRDefault="0021231E" w:rsidP="0021231E">
      <w:pPr>
        <w:spacing w:after="0" w:line="240" w:lineRule="auto"/>
        <w:ind w:left="709" w:right="709"/>
        <w:jc w:val="both"/>
        <w:rPr>
          <w:rFonts w:ascii="Century Gothic" w:eastAsia="Calibri" w:hAnsi="Century Gothic" w:cs="Arial"/>
          <w:color w:val="000000" w:themeColor="text1"/>
          <w:sz w:val="21"/>
          <w:szCs w:val="21"/>
        </w:rPr>
      </w:pPr>
      <w:r w:rsidRPr="0021231E">
        <w:rPr>
          <w:rFonts w:ascii="Century Gothic" w:eastAsia="Calibri" w:hAnsi="Century Gothic"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21231E">
        <w:rPr>
          <w:rFonts w:ascii="Century Gothic" w:eastAsia="Calibri" w:hAnsi="Century Gothic"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5F396378"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p>
    <w:p w14:paraId="37A9D041"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w:t>
      </w:r>
    </w:p>
    <w:p w14:paraId="08A72967"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p>
    <w:p w14:paraId="0FEC1B74"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lastRenderedPageBreak/>
        <w:t>En todo caso, las ESAL pueden participar en igualdad de condiciones en procesos de contratación regidos por la Ley 80 de 1993, la Ley 1150 de 2007 y el Decreto 1082 de 2015, siempre y cuando cumplan con los requisitos exigidos en los documentos del proceso. De esta manera, como ha enfatizado esta entidad en conceptos sobre la materia,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bookmarkEnd w:id="8"/>
    <w:p w14:paraId="6FE5EC1B"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629FC623" w14:textId="77777777" w:rsidR="0021231E" w:rsidRPr="0021231E" w:rsidRDefault="0021231E" w:rsidP="0021231E">
      <w:pPr>
        <w:spacing w:after="0" w:line="276" w:lineRule="auto"/>
        <w:jc w:val="both"/>
        <w:rPr>
          <w:rFonts w:ascii="Century Gothic" w:eastAsia="Calibri" w:hAnsi="Century Gothic" w:cs="Arial"/>
          <w:b/>
          <w:bCs/>
          <w:color w:val="000000" w:themeColor="text1"/>
        </w:rPr>
      </w:pPr>
      <w:r w:rsidRPr="0021231E">
        <w:rPr>
          <w:rFonts w:ascii="Century Gothic" w:eastAsia="Calibri" w:hAnsi="Century Gothic" w:cs="Arial"/>
          <w:b/>
          <w:bCs/>
          <w:color w:val="000000" w:themeColor="text1"/>
        </w:rPr>
        <w:t>2.2.</w:t>
      </w:r>
      <w:r w:rsidRPr="0021231E">
        <w:rPr>
          <w:rFonts w:ascii="Century Gothic" w:eastAsia="Calibri" w:hAnsi="Century Gothic" w:cs="Arial"/>
          <w:b/>
          <w:bCs/>
          <w:color w:val="000000" w:themeColor="text1"/>
        </w:rPr>
        <w:tab/>
      </w:r>
      <w:r w:rsidRPr="0021231E">
        <w:rPr>
          <w:rFonts w:ascii="Century Gothic" w:hAnsi="Century Gothic" w:cs="Arial"/>
          <w:b/>
          <w:bCs/>
          <w:color w:val="000000" w:themeColor="text1"/>
          <w:lang w:val="es-ES_tradnl"/>
        </w:rPr>
        <w:t>Suspensión provisional de algunas normas del Decreto 092 de 2017</w:t>
      </w:r>
    </w:p>
    <w:p w14:paraId="26811026"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405536B4" w14:textId="77777777" w:rsidR="0021231E" w:rsidRPr="0021231E" w:rsidRDefault="0021231E" w:rsidP="0021231E">
      <w:pPr>
        <w:spacing w:line="276" w:lineRule="auto"/>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En relación con la vigencia del Decreto 092 de 2017, debe indicarse que el Consejo de Estado, en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21231E">
        <w:rPr>
          <w:rFonts w:ascii="Century Gothic" w:eastAsia="Calibri" w:hAnsi="Century Gothic" w:cs="Arial"/>
          <w:color w:val="000000" w:themeColor="text1"/>
          <w:vertAlign w:val="superscript"/>
        </w:rPr>
        <w:footnoteReference w:id="10"/>
      </w:r>
      <w:r w:rsidRPr="0021231E">
        <w:rPr>
          <w:rFonts w:ascii="Century Gothic" w:eastAsia="Calibri" w:hAnsi="Century Gothic" w:cs="Arial"/>
          <w:color w:val="000000" w:themeColor="text1"/>
        </w:rPr>
        <w:t>. Cabe precisar que las decisiones adoptadas en el auto indicado fueron mantenidas en su mayoría en el Auto del 15 de marzo de 2022 de la Sala Plena del Consejo de Estado</w:t>
      </w:r>
      <w:r w:rsidRPr="0021231E">
        <w:rPr>
          <w:rFonts w:ascii="Century Gothic" w:eastAsia="Calibri" w:hAnsi="Century Gothic" w:cs="Arial"/>
          <w:color w:val="000000" w:themeColor="text1"/>
          <w:vertAlign w:val="superscript"/>
        </w:rPr>
        <w:footnoteReference w:id="11"/>
      </w:r>
      <w:r w:rsidRPr="0021231E">
        <w:rPr>
          <w:rFonts w:ascii="Century Gothic" w:eastAsia="Calibri" w:hAnsi="Century Gothic" w:cs="Arial"/>
          <w:color w:val="000000" w:themeColor="text1"/>
        </w:rPr>
        <w:t>,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w:t>
      </w:r>
    </w:p>
    <w:p w14:paraId="20207A60" w14:textId="77777777" w:rsidR="0021231E" w:rsidRPr="0021231E" w:rsidRDefault="0021231E" w:rsidP="0021231E">
      <w:pPr>
        <w:spacing w:before="120" w:after="0" w:line="276" w:lineRule="auto"/>
        <w:ind w:firstLine="708"/>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La </w:t>
      </w:r>
      <w:r w:rsidRPr="0021231E">
        <w:rPr>
          <w:rFonts w:ascii="Century Gothic" w:eastAsia="Calibri" w:hAnsi="Century Gothic" w:cs="Arial"/>
          <w:i/>
          <w:iCs/>
          <w:color w:val="000000" w:themeColor="text1"/>
        </w:rPr>
        <w:t>primera</w:t>
      </w:r>
      <w:r w:rsidRPr="0021231E">
        <w:rPr>
          <w:rFonts w:ascii="Century Gothic" w:eastAsia="Calibri" w:hAnsi="Century Gothic"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21231E">
        <w:rPr>
          <w:rFonts w:ascii="Century Gothic" w:eastAsia="Calibri" w:hAnsi="Century Gothic" w:cs="Arial"/>
          <w:color w:val="000000" w:themeColor="text1"/>
          <w:vertAlign w:val="superscript"/>
        </w:rPr>
        <w:footnoteReference w:id="12"/>
      </w:r>
      <w:r w:rsidRPr="0021231E">
        <w:rPr>
          <w:rFonts w:ascii="Century Gothic" w:eastAsia="Calibri" w:hAnsi="Century Gothic" w:cs="Arial"/>
          <w:color w:val="000000" w:themeColor="text1"/>
        </w:rPr>
        <w:t xml:space="preserve">. Señaló que esta </w:t>
      </w:r>
      <w:r w:rsidRPr="0021231E">
        <w:rPr>
          <w:rFonts w:ascii="Century Gothic" w:eastAsia="Calibri" w:hAnsi="Century Gothic" w:cs="Arial"/>
          <w:color w:val="000000" w:themeColor="text1"/>
        </w:rPr>
        <w:lastRenderedPageBreak/>
        <w:t>disposición, así como el inciso segundo del artículo 3 del Decreto 092 de 2017</w:t>
      </w:r>
      <w:r w:rsidRPr="0021231E">
        <w:rPr>
          <w:rFonts w:ascii="Century Gothic" w:eastAsia="Calibri" w:hAnsi="Century Gothic" w:cs="Arial"/>
          <w:color w:val="000000" w:themeColor="text1"/>
          <w:vertAlign w:val="superscript"/>
        </w:rPr>
        <w:footnoteReference w:id="13"/>
      </w:r>
      <w:r w:rsidRPr="0021231E">
        <w:rPr>
          <w:rFonts w:ascii="Century Gothic" w:eastAsia="Calibri" w:hAnsi="Century Gothic"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19036655"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327979DC" w14:textId="77777777" w:rsidR="0021231E" w:rsidRPr="0021231E" w:rsidRDefault="0021231E" w:rsidP="0021231E">
      <w:pPr>
        <w:tabs>
          <w:tab w:val="left" w:pos="8789"/>
        </w:tabs>
        <w:spacing w:after="0" w:line="240" w:lineRule="auto"/>
        <w:ind w:left="708"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7944C27D" w14:textId="77777777" w:rsidR="0021231E" w:rsidRPr="0021231E" w:rsidRDefault="0021231E" w:rsidP="0021231E">
      <w:pPr>
        <w:tabs>
          <w:tab w:val="left" w:pos="8789"/>
        </w:tabs>
        <w:spacing w:after="0" w:line="276" w:lineRule="auto"/>
        <w:ind w:left="708" w:right="709"/>
        <w:jc w:val="both"/>
        <w:rPr>
          <w:rFonts w:ascii="Century Gothic" w:eastAsia="Calibri" w:hAnsi="Century Gothic" w:cs="Arial"/>
          <w:color w:val="000000" w:themeColor="text1"/>
        </w:rPr>
      </w:pPr>
    </w:p>
    <w:p w14:paraId="5DE61FE2"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14:paraId="6061FF49"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p>
    <w:p w14:paraId="2A8B79B9" w14:textId="77777777" w:rsidR="0021231E" w:rsidRPr="0021231E" w:rsidRDefault="0021231E" w:rsidP="0021231E">
      <w:pPr>
        <w:spacing w:after="0" w:line="240" w:lineRule="auto"/>
        <w:ind w:left="708"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 xml:space="preserve">“28. Contrario a la conclusión a la que se arribó en el auto suplicado, la Sala observa que de la simple confrontación de la norma no se advierte, prima facie, que lo ordenado en el inciso segundo del artículo 1, así como </w:t>
      </w:r>
      <w:r w:rsidRPr="0021231E">
        <w:rPr>
          <w:rFonts w:ascii="Century Gothic" w:eastAsia="Calibri" w:hAnsi="Century Gothic" w:cs="Arial"/>
          <w:color w:val="000000" w:themeColor="text1"/>
          <w:sz w:val="21"/>
          <w:szCs w:val="21"/>
        </w:rPr>
        <w:lastRenderedPageBreak/>
        <w:t>en el inciso segundo del artículo 3 del Decreto 092 de 2017, conlleve, per se, la delegación de la facultad reglamentaria directa de la Constitución, atribuida al Gobierno nacional en el artículo 355 superior”.</w:t>
      </w:r>
    </w:p>
    <w:p w14:paraId="43C97EC1" w14:textId="77777777" w:rsidR="0021231E" w:rsidRPr="0021231E" w:rsidRDefault="0021231E" w:rsidP="0021231E">
      <w:pPr>
        <w:spacing w:after="0" w:line="276" w:lineRule="auto"/>
        <w:ind w:left="708" w:right="709"/>
        <w:jc w:val="both"/>
        <w:rPr>
          <w:rFonts w:ascii="Century Gothic" w:eastAsia="Calibri" w:hAnsi="Century Gothic" w:cs="Arial"/>
          <w:color w:val="000000" w:themeColor="text1"/>
        </w:rPr>
      </w:pPr>
    </w:p>
    <w:p w14:paraId="24109612"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2B59EFDB"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p>
    <w:p w14:paraId="34536AB1" w14:textId="77777777" w:rsidR="0021231E" w:rsidRPr="0021231E" w:rsidRDefault="0021231E" w:rsidP="0021231E">
      <w:pPr>
        <w:spacing w:after="0" w:line="240" w:lineRule="auto"/>
        <w:ind w:left="708"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14:paraId="7F30E2BC"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p>
    <w:p w14:paraId="11774FB8" w14:textId="77777777" w:rsidR="0021231E" w:rsidRPr="0021231E" w:rsidRDefault="0021231E" w:rsidP="0021231E">
      <w:pPr>
        <w:spacing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21231E">
        <w:rPr>
          <w:rFonts w:ascii="Century Gothic" w:eastAsia="Calibri" w:hAnsi="Century Gothic" w:cs="Arial"/>
          <w:color w:val="000000" w:themeColor="text1"/>
          <w:vertAlign w:val="superscript"/>
        </w:rPr>
        <w:footnoteReference w:id="14"/>
      </w:r>
      <w:r w:rsidRPr="0021231E">
        <w:rPr>
          <w:rFonts w:ascii="Century Gothic" w:eastAsia="Calibri" w:hAnsi="Century Gothic" w:cs="Arial"/>
          <w:color w:val="000000" w:themeColor="text1"/>
        </w:rPr>
        <w:t>.</w:t>
      </w:r>
    </w:p>
    <w:p w14:paraId="2939FE6B" w14:textId="77777777" w:rsidR="0021231E" w:rsidRPr="0021231E" w:rsidRDefault="0021231E" w:rsidP="0021231E">
      <w:pPr>
        <w:spacing w:before="12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lastRenderedPageBreak/>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30E207AB" w14:textId="77777777" w:rsidR="0021231E" w:rsidRPr="0021231E" w:rsidRDefault="0021231E" w:rsidP="0021231E">
      <w:pPr>
        <w:spacing w:before="120" w:after="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La </w:t>
      </w:r>
      <w:r w:rsidRPr="0021231E">
        <w:rPr>
          <w:rFonts w:ascii="Century Gothic" w:eastAsia="Calibri" w:hAnsi="Century Gothic" w:cs="Arial"/>
          <w:i/>
          <w:iCs/>
          <w:color w:val="000000" w:themeColor="text1"/>
        </w:rPr>
        <w:t>segunda</w:t>
      </w:r>
      <w:r w:rsidRPr="0021231E">
        <w:rPr>
          <w:rFonts w:ascii="Century Gothic" w:eastAsia="Calibri" w:hAnsi="Century Gothic"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21231E">
        <w:rPr>
          <w:rFonts w:ascii="Century Gothic" w:hAnsi="Century Gothic" w:cs="Arial"/>
          <w:color w:val="000000" w:themeColor="text1"/>
          <w:vertAlign w:val="superscript"/>
        </w:rPr>
        <w:footnoteReference w:id="15"/>
      </w:r>
      <w:r w:rsidRPr="0021231E">
        <w:rPr>
          <w:rFonts w:ascii="Century Gothic" w:eastAsia="Calibri" w:hAnsi="Century Gothic" w:cs="Arial"/>
          <w:color w:val="000000" w:themeColor="text1"/>
        </w:rPr>
        <w:t xml:space="preserve">. </w:t>
      </w:r>
      <w:bookmarkStart w:id="9" w:name="_Hlk95756502"/>
      <w:r w:rsidRPr="0021231E">
        <w:rPr>
          <w:rFonts w:ascii="Century Gothic" w:eastAsia="Calibri" w:hAnsi="Century Gothic" w:cs="Arial"/>
          <w:color w:val="000000" w:themeColor="text1"/>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9"/>
      <w:r w:rsidRPr="0021231E">
        <w:rPr>
          <w:rFonts w:ascii="Century Gothic" w:eastAsia="Calibri" w:hAnsi="Century Gothic" w:cs="Arial"/>
          <w:color w:val="000000" w:themeColor="text1"/>
        </w:rPr>
        <w:t xml:space="preserve">En relación con lo anterior, el auto del Consejo de Estado explica que: </w:t>
      </w:r>
    </w:p>
    <w:p w14:paraId="6A4CF8D2"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25F277FE" w14:textId="77777777" w:rsidR="0021231E" w:rsidRPr="0021231E" w:rsidRDefault="0021231E" w:rsidP="0021231E">
      <w:pPr>
        <w:spacing w:after="0" w:line="240" w:lineRule="auto"/>
        <w:ind w:left="708"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61F20DBC"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1E05C38F" w14:textId="77777777" w:rsidR="0021231E" w:rsidRPr="0021231E" w:rsidRDefault="0021231E" w:rsidP="0021231E">
      <w:pPr>
        <w:spacing w:after="0" w:line="276" w:lineRule="auto"/>
        <w:ind w:firstLine="708"/>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5E2C0BC1"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5ACBDDE7" w14:textId="77777777" w:rsidR="0021231E" w:rsidRPr="0021231E" w:rsidRDefault="0021231E" w:rsidP="0021231E">
      <w:pPr>
        <w:tabs>
          <w:tab w:val="left" w:pos="8080"/>
        </w:tabs>
        <w:spacing w:after="0" w:line="240" w:lineRule="auto"/>
        <w:ind w:left="708"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5A0CCB3F" w14:textId="77777777" w:rsidR="0021231E" w:rsidRPr="0021231E" w:rsidRDefault="0021231E" w:rsidP="0021231E">
      <w:pPr>
        <w:spacing w:after="0" w:line="276" w:lineRule="auto"/>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 </w:t>
      </w:r>
    </w:p>
    <w:p w14:paraId="37DE120B" w14:textId="77777777" w:rsidR="0021231E" w:rsidRPr="0021231E" w:rsidRDefault="0021231E" w:rsidP="0021231E">
      <w:pPr>
        <w:spacing w:line="276" w:lineRule="auto"/>
        <w:ind w:firstLine="709"/>
        <w:jc w:val="both"/>
        <w:rPr>
          <w:rFonts w:ascii="Century Gothic" w:eastAsia="Calibri" w:hAnsi="Century Gothic" w:cs="Arial"/>
          <w:color w:val="000000" w:themeColor="text1"/>
        </w:rPr>
      </w:pPr>
      <w:bookmarkStart w:id="10" w:name="_Hlk95756534"/>
      <w:r w:rsidRPr="0021231E">
        <w:rPr>
          <w:rFonts w:ascii="Century Gothic" w:eastAsia="Calibri" w:hAnsi="Century Gothic"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10"/>
    <w:p w14:paraId="5D6707E3"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El Consejo de Estado, en el auto del 6 de agosto de 2019, en </w:t>
      </w:r>
      <w:r w:rsidRPr="0021231E">
        <w:rPr>
          <w:rFonts w:ascii="Century Gothic" w:eastAsia="Calibri" w:hAnsi="Century Gothic" w:cs="Arial"/>
          <w:i/>
          <w:iCs/>
          <w:color w:val="000000" w:themeColor="text1"/>
        </w:rPr>
        <w:t>tercer</w:t>
      </w:r>
      <w:r w:rsidRPr="0021231E">
        <w:rPr>
          <w:rFonts w:ascii="Century Gothic" w:eastAsia="Calibri" w:hAnsi="Century Gothic" w:cs="Arial"/>
          <w:color w:val="000000" w:themeColor="text1"/>
        </w:rPr>
        <w:t xml:space="preserve"> lugar, examinó el literal c) y el inciso 5 del artículo 2 del Decreto</w:t>
      </w:r>
      <w:r w:rsidRPr="0021231E">
        <w:rPr>
          <w:rFonts w:ascii="Century Gothic" w:eastAsia="Calibri" w:hAnsi="Century Gothic" w:cs="Arial"/>
          <w:color w:val="000000" w:themeColor="text1"/>
          <w:vertAlign w:val="superscript"/>
        </w:rPr>
        <w:footnoteReference w:id="16"/>
      </w:r>
      <w:r w:rsidRPr="0021231E">
        <w:rPr>
          <w:rFonts w:ascii="Century Gothic" w:eastAsia="Calibri" w:hAnsi="Century Gothic"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w:t>
      </w:r>
      <w:r w:rsidRPr="0021231E">
        <w:rPr>
          <w:rFonts w:ascii="Century Gothic" w:eastAsia="Calibri" w:hAnsi="Century Gothic" w:cs="Arial"/>
          <w:color w:val="000000" w:themeColor="text1"/>
        </w:rPr>
        <w:lastRenderedPageBreak/>
        <w:t xml:space="preserve">servicios de la misma forma que las demás sociedades. En este sentido, el Consejo de Estado manifestó: </w:t>
      </w:r>
    </w:p>
    <w:p w14:paraId="54A66BC7"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0F8182BE" w14:textId="77777777" w:rsidR="0021231E" w:rsidRPr="0021231E" w:rsidRDefault="0021231E" w:rsidP="0021231E">
      <w:pPr>
        <w:spacing w:after="0" w:line="240" w:lineRule="auto"/>
        <w:ind w:left="708"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76817781"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5FD290D0" w14:textId="77777777" w:rsidR="0021231E" w:rsidRPr="0021231E" w:rsidRDefault="0021231E" w:rsidP="0021231E">
      <w:pPr>
        <w:spacing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2C0A6CA1"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La </w:t>
      </w:r>
      <w:r w:rsidRPr="0021231E">
        <w:rPr>
          <w:rFonts w:ascii="Century Gothic" w:eastAsia="Calibri" w:hAnsi="Century Gothic" w:cs="Arial"/>
          <w:i/>
          <w:iCs/>
          <w:color w:val="000000" w:themeColor="text1"/>
        </w:rPr>
        <w:t>cuarta</w:t>
      </w:r>
      <w:r w:rsidRPr="0021231E">
        <w:rPr>
          <w:rFonts w:ascii="Century Gothic" w:eastAsia="Calibri" w:hAnsi="Century Gothic"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21231E">
        <w:rPr>
          <w:rFonts w:ascii="Century Gothic" w:eastAsia="Calibri" w:hAnsi="Century Gothic" w:cs="Arial"/>
          <w:color w:val="000000" w:themeColor="text1"/>
          <w:vertAlign w:val="superscript"/>
        </w:rPr>
        <w:footnoteReference w:id="17"/>
      </w:r>
      <w:r w:rsidRPr="0021231E">
        <w:rPr>
          <w:rFonts w:ascii="Century Gothic" w:eastAsia="Calibri" w:hAnsi="Century Gothic"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26F63A00" w14:textId="77777777" w:rsidR="0021231E" w:rsidRPr="0021231E" w:rsidRDefault="0021231E" w:rsidP="0021231E">
      <w:pPr>
        <w:spacing w:after="0" w:line="276" w:lineRule="auto"/>
        <w:jc w:val="both"/>
        <w:rPr>
          <w:rFonts w:ascii="Century Gothic" w:eastAsia="Calibri" w:hAnsi="Century Gothic" w:cs="Arial"/>
          <w:color w:val="000000" w:themeColor="text1"/>
        </w:rPr>
      </w:pPr>
    </w:p>
    <w:p w14:paraId="4F1BDFDA" w14:textId="77777777" w:rsidR="0021231E" w:rsidRPr="0021231E" w:rsidRDefault="0021231E" w:rsidP="0021231E">
      <w:pPr>
        <w:spacing w:after="0" w:line="240" w:lineRule="auto"/>
        <w:ind w:left="708"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w:t>
      </w:r>
      <w:r w:rsidRPr="0021231E">
        <w:rPr>
          <w:rFonts w:ascii="Century Gothic" w:eastAsia="Calibri" w:hAnsi="Century Gothic" w:cs="Arial"/>
          <w:color w:val="000000" w:themeColor="text1"/>
          <w:sz w:val="21"/>
          <w:szCs w:val="21"/>
        </w:rPr>
        <w:lastRenderedPageBreak/>
        <w:t xml:space="preserve">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7B677D77"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bookmarkStart w:id="11" w:name="_Hlk95756891"/>
    </w:p>
    <w:p w14:paraId="4C45452D" w14:textId="77777777" w:rsidR="0021231E" w:rsidRPr="0021231E" w:rsidRDefault="0021231E" w:rsidP="0021231E">
      <w:pPr>
        <w:spacing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11"/>
      <w:r w:rsidRPr="0021231E">
        <w:rPr>
          <w:rFonts w:ascii="Century Gothic" w:eastAsia="Calibri" w:hAnsi="Century Gothic" w:cs="Arial"/>
          <w:color w:val="000000" w:themeColor="text1"/>
        </w:rPr>
        <w:t xml:space="preserve">En estos procesos, entonces, se debe acudir a los criterios aplicables a los otros negocios jurídicos que regula el Decreto 092 de 2017, particularmente las exigencias del artículo 2 </w:t>
      </w:r>
      <w:r w:rsidRPr="0021231E">
        <w:rPr>
          <w:rFonts w:ascii="Century Gothic" w:eastAsia="Calibri" w:hAnsi="Century Gothic" w:cs="Arial"/>
          <w:i/>
          <w:iCs/>
          <w:color w:val="000000" w:themeColor="text1"/>
        </w:rPr>
        <w:t>ibidem</w:t>
      </w:r>
      <w:r w:rsidRPr="0021231E">
        <w:rPr>
          <w:rFonts w:ascii="Century Gothic" w:eastAsia="Calibri" w:hAnsi="Century Gothic" w:cs="Arial"/>
          <w:color w:val="000000" w:themeColor="text1"/>
        </w:rPr>
        <w:t xml:space="preserve">. Incluso, habría que tener en cuenta las exigencias del inciso 2 del artículo 4 </w:t>
      </w:r>
      <w:r w:rsidRPr="0021231E">
        <w:rPr>
          <w:rFonts w:ascii="Century Gothic" w:eastAsia="Calibri" w:hAnsi="Century Gothic" w:cs="Arial"/>
          <w:i/>
          <w:iCs/>
          <w:color w:val="000000" w:themeColor="text1"/>
        </w:rPr>
        <w:t>íbídem</w:t>
      </w:r>
      <w:r w:rsidRPr="0021231E">
        <w:rPr>
          <w:rFonts w:ascii="Century Gothic" w:eastAsia="Calibri" w:hAnsi="Century Gothic" w:cs="Arial"/>
          <w:color w:val="000000" w:themeColor="text1"/>
        </w:rPr>
        <w:t>, siempre que se configuren los supuestos de aplicación de dicha normativa, esto es, siempre que exista más de una entidad sin ánimo de lucro de reconocida idoneidad.</w:t>
      </w:r>
    </w:p>
    <w:p w14:paraId="187BAE6F" w14:textId="77777777" w:rsidR="0021231E" w:rsidRPr="0021231E" w:rsidRDefault="0021231E" w:rsidP="0021231E">
      <w:pPr>
        <w:spacing w:before="120" w:line="276" w:lineRule="auto"/>
        <w:ind w:firstLine="709"/>
        <w:jc w:val="both"/>
        <w:rPr>
          <w:rFonts w:ascii="Century Gothic" w:eastAsia="Calibri" w:hAnsi="Century Gothic" w:cs="Arial"/>
          <w:color w:val="000000" w:themeColor="text1"/>
        </w:rPr>
      </w:pPr>
      <w:bookmarkStart w:id="12" w:name="_Hlk95757095"/>
      <w:r w:rsidRPr="0021231E">
        <w:rPr>
          <w:rFonts w:ascii="Century Gothic" w:eastAsia="Calibri" w:hAnsi="Century Gothic" w:cs="Arial"/>
          <w:color w:val="000000" w:themeColor="text1"/>
        </w:rPr>
        <w:t xml:space="preserve">Por último, en </w:t>
      </w:r>
      <w:r w:rsidRPr="0021231E">
        <w:rPr>
          <w:rFonts w:ascii="Century Gothic" w:eastAsia="Calibri" w:hAnsi="Century Gothic" w:cs="Arial"/>
          <w:i/>
          <w:iCs/>
          <w:color w:val="000000" w:themeColor="text1"/>
        </w:rPr>
        <w:t xml:space="preserve">quinto </w:t>
      </w:r>
      <w:r w:rsidRPr="0021231E">
        <w:rPr>
          <w:rFonts w:ascii="Century Gothic" w:eastAsia="Calibri" w:hAnsi="Century Gothic"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5BDF9F0E" w14:textId="77777777" w:rsidR="0021231E" w:rsidRPr="0021231E" w:rsidRDefault="0021231E" w:rsidP="0021231E">
      <w:pPr>
        <w:spacing w:before="120" w:after="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La Sala Plena del Consejo de Estado en Auto del 15 de marzo de 2022 estima que debe mantenerse la suspensión provisional del literal a) del artículo 2 del Decreto 092 de 2017. Lo anterior, en tanto este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w:t>
      </w:r>
      <w:r w:rsidRPr="0021231E">
        <w:rPr>
          <w:rFonts w:ascii="Century Gothic" w:eastAsia="Calibri" w:hAnsi="Century Gothic" w:cs="Arial"/>
          <w:color w:val="000000" w:themeColor="text1"/>
        </w:rPr>
        <w:lastRenderedPageBreak/>
        <w:t>público susceptibles de este mecanismo</w:t>
      </w:r>
      <w:r w:rsidRPr="0021231E">
        <w:rPr>
          <w:rFonts w:ascii="Century Gothic" w:eastAsia="Calibri" w:hAnsi="Century Gothic" w:cs="Arial"/>
          <w:color w:val="000000" w:themeColor="text1"/>
          <w:vertAlign w:val="superscript"/>
        </w:rPr>
        <w:footnoteReference w:id="18"/>
      </w:r>
      <w:r w:rsidRPr="0021231E">
        <w:rPr>
          <w:rFonts w:ascii="Century Gothic" w:eastAsia="Calibri" w:hAnsi="Century Gothic" w:cs="Arial"/>
          <w:color w:val="000000" w:themeColor="text1"/>
        </w:rPr>
        <w:t xml:space="preserve">. Por lo demás, respecto al inciso final del artículo 4 </w:t>
      </w:r>
      <w:r w:rsidRPr="0021231E">
        <w:rPr>
          <w:rFonts w:ascii="Century Gothic" w:eastAsia="Calibri" w:hAnsi="Century Gothic" w:cs="Arial"/>
          <w:i/>
          <w:iCs/>
          <w:color w:val="000000" w:themeColor="text1"/>
        </w:rPr>
        <w:t>ibidem</w:t>
      </w:r>
      <w:r w:rsidRPr="0021231E">
        <w:rPr>
          <w:rFonts w:ascii="Century Gothic" w:eastAsia="Calibri" w:hAnsi="Century Gothic" w:cs="Arial"/>
          <w:color w:val="000000" w:themeColor="text1"/>
        </w:rPr>
        <w:t>, el Consejo de Estado mantiene la medida cautelar al configurarse el cargo de violación del principio de igualdad. Para estos efectos, considera que:</w:t>
      </w:r>
    </w:p>
    <w:p w14:paraId="2CE5C7E9"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p>
    <w:p w14:paraId="0632F7BC" w14:textId="77777777" w:rsidR="0021231E" w:rsidRPr="0021231E" w:rsidRDefault="0021231E" w:rsidP="0021231E">
      <w:pPr>
        <w:spacing w:after="120" w:line="240" w:lineRule="auto"/>
        <w:ind w:left="709"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6C56A2B6" w14:textId="77777777" w:rsidR="0021231E" w:rsidRPr="0021231E" w:rsidRDefault="0021231E" w:rsidP="0021231E">
      <w:pPr>
        <w:spacing w:after="0" w:line="240" w:lineRule="auto"/>
        <w:ind w:left="709" w:right="709"/>
        <w:jc w:val="both"/>
        <w:rPr>
          <w:rFonts w:ascii="Century Gothic" w:eastAsia="Calibri" w:hAnsi="Century Gothic" w:cs="Arial"/>
          <w:color w:val="000000" w:themeColor="text1"/>
          <w:sz w:val="21"/>
          <w:szCs w:val="21"/>
        </w:rPr>
      </w:pPr>
      <w:r w:rsidRPr="0021231E">
        <w:rPr>
          <w:rFonts w:ascii="Century Gothic" w:eastAsia="Calibri" w:hAnsi="Century Gothic" w:cs="Arial"/>
          <w:color w:val="000000" w:themeColor="text1"/>
          <w:sz w:val="21"/>
          <w:szCs w:val="21"/>
        </w:rPr>
        <w:t>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enunciadas en la norma: de índole artística, cultural, deportiva o de promoción de la diversidad étnica”</w:t>
      </w:r>
      <w:r w:rsidRPr="0021231E">
        <w:rPr>
          <w:rFonts w:ascii="Century Gothic" w:eastAsia="Calibri" w:hAnsi="Century Gothic" w:cs="Arial"/>
          <w:color w:val="000000" w:themeColor="text1"/>
          <w:sz w:val="21"/>
          <w:szCs w:val="21"/>
          <w:vertAlign w:val="superscript"/>
        </w:rPr>
        <w:footnoteReference w:id="19"/>
      </w:r>
      <w:r w:rsidRPr="0021231E">
        <w:rPr>
          <w:rFonts w:ascii="Century Gothic" w:eastAsia="Calibri" w:hAnsi="Century Gothic" w:cs="Arial"/>
          <w:color w:val="000000" w:themeColor="text1"/>
          <w:sz w:val="21"/>
          <w:szCs w:val="21"/>
        </w:rPr>
        <w:t xml:space="preserve">.  </w:t>
      </w:r>
    </w:p>
    <w:p w14:paraId="52AD21E4" w14:textId="77777777" w:rsidR="0021231E" w:rsidRPr="0021231E" w:rsidRDefault="0021231E" w:rsidP="0021231E">
      <w:pPr>
        <w:spacing w:after="0" w:line="276" w:lineRule="auto"/>
        <w:ind w:firstLine="709"/>
        <w:jc w:val="both"/>
        <w:rPr>
          <w:rFonts w:ascii="Century Gothic" w:eastAsia="Calibri" w:hAnsi="Century Gothic" w:cs="Arial"/>
          <w:color w:val="000000" w:themeColor="text1"/>
        </w:rPr>
      </w:pPr>
    </w:p>
    <w:p w14:paraId="56FA18BE" w14:textId="77777777" w:rsidR="0021231E" w:rsidRPr="0021231E" w:rsidRDefault="0021231E" w:rsidP="0021231E">
      <w:pPr>
        <w:spacing w:line="276" w:lineRule="auto"/>
        <w:ind w:firstLine="709"/>
        <w:jc w:val="both"/>
        <w:rPr>
          <w:rFonts w:ascii="Century Gothic" w:eastAsia="Calibri" w:hAnsi="Century Gothic" w:cs="Arial"/>
          <w:color w:val="000000" w:themeColor="text1"/>
        </w:rPr>
      </w:pPr>
      <w:bookmarkStart w:id="14" w:name="_Hlk95757157"/>
      <w:bookmarkEnd w:id="12"/>
      <w:r w:rsidRPr="0021231E">
        <w:rPr>
          <w:rFonts w:ascii="Century Gothic" w:hAnsi="Century Gothic"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w:t>
      </w:r>
      <w:r w:rsidRPr="0021231E">
        <w:rPr>
          <w:rFonts w:ascii="Century Gothic" w:hAnsi="Century Gothic" w:cs="Arial"/>
          <w:color w:val="000000" w:themeColor="text1"/>
        </w:rPr>
        <w:lastRenderedPageBreak/>
        <w:t>en el cual haya una contraprestación directa a favor de la entidad, ni instrucciones precisas dadas por esta al contratista para cumplir con el objeto del contrato.</w:t>
      </w:r>
    </w:p>
    <w:p w14:paraId="539426F6" w14:textId="77777777" w:rsidR="0021231E" w:rsidRPr="0021231E" w:rsidRDefault="0021231E" w:rsidP="0021231E">
      <w:pPr>
        <w:spacing w:before="12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 xml:space="preserve">Ahora, si se pretende realizar un </w:t>
      </w:r>
      <w:r w:rsidRPr="0021231E">
        <w:rPr>
          <w:rFonts w:ascii="Century Gothic" w:eastAsia="Calibri" w:hAnsi="Century Gothic" w:cs="Arial"/>
          <w:i/>
          <w:iCs/>
          <w:color w:val="000000" w:themeColor="text1"/>
        </w:rPr>
        <w:t>convenio de asociación</w:t>
      </w:r>
      <w:r w:rsidRPr="0021231E">
        <w:rPr>
          <w:rFonts w:ascii="Century Gothic" w:eastAsia="Calibri" w:hAnsi="Century Gothic" w:cs="Arial"/>
          <w:color w:val="000000" w:themeColor="text1"/>
        </w:rPr>
        <w:t xml:space="preserve"> con ESAL de reconocida idoneidad para el cumplimiento de las funciones que la ley les asigna a las entidades públicas, deberá aplicarse lo dispuesto en el artículo 5 del Decreto 092 de 2017. De esta manera, </w:t>
      </w:r>
      <w:bookmarkEnd w:id="14"/>
      <w:r w:rsidRPr="0021231E">
        <w:rPr>
          <w:rFonts w:ascii="Century Gothic" w:eastAsia="Calibri" w:hAnsi="Century Gothic" w:cs="Arial"/>
          <w:color w:val="000000" w:themeColor="text1"/>
        </w:rPr>
        <w:t>deben estar sujetos a competencia, salvo en aquellos casos en que una entidad sin ánimo de lucro comprometa recursos en dinero por un valor igual o superior al 30% del valor total del convenio</w:t>
      </w:r>
      <w:r w:rsidRPr="0021231E">
        <w:rPr>
          <w:rFonts w:ascii="Century Gothic" w:hAnsi="Century Gothic" w:cs="Arial"/>
          <w:color w:val="000000" w:themeColor="text1"/>
          <w:sz w:val="20"/>
          <w:szCs w:val="20"/>
          <w:vertAlign w:val="superscript"/>
        </w:rPr>
        <w:footnoteReference w:id="20"/>
      </w:r>
      <w:r w:rsidRPr="0021231E">
        <w:rPr>
          <w:rFonts w:ascii="Century Gothic" w:eastAsia="Calibri" w:hAnsi="Century Gothic" w:cs="Arial"/>
          <w:color w:val="000000" w:themeColor="text1"/>
        </w:rPr>
        <w:t xml:space="preserve">, y siempre que la entidad estatal verifique previamente que no existe ninguna otra entidad sin ánimo de lucro que ofrezca aportes iguales o superiores al 30%. </w:t>
      </w:r>
      <w:r w:rsidRPr="0021231E">
        <w:rPr>
          <w:rFonts w:ascii="Century Gothic" w:eastAsia="Calibri" w:hAnsi="Century Gothic" w:cs="Arial"/>
          <w:color w:val="000000"/>
        </w:rPr>
        <w:t>Lo anterior, sin perjuicio de las restricciones previstas en el artículo 33 de la Ley de Garantías durante el periodo preelectoral de las elecciones presidenciales para los procesos no competitivos</w:t>
      </w:r>
      <w:r w:rsidRPr="0021231E">
        <w:rPr>
          <w:rFonts w:ascii="Century Gothic" w:eastAsia="Calibri" w:hAnsi="Century Gothic" w:cs="Arial"/>
          <w:color w:val="000000" w:themeColor="text1"/>
        </w:rPr>
        <w:t>.</w:t>
      </w:r>
    </w:p>
    <w:p w14:paraId="75A78175" w14:textId="77777777" w:rsidR="0021231E" w:rsidRPr="0021231E" w:rsidRDefault="0021231E" w:rsidP="0021231E">
      <w:pPr>
        <w:spacing w:before="120" w:line="276" w:lineRule="auto"/>
        <w:ind w:firstLine="709"/>
        <w:jc w:val="both"/>
        <w:rPr>
          <w:rFonts w:ascii="Century Gothic" w:eastAsia="Calibri" w:hAnsi="Century Gothic" w:cs="Arial"/>
          <w:color w:val="000000" w:themeColor="text1"/>
        </w:rPr>
      </w:pPr>
      <w:r w:rsidRPr="0021231E">
        <w:rPr>
          <w:rFonts w:ascii="Century Gothic" w:eastAsia="Calibri" w:hAnsi="Century Gothic" w:cs="Arial"/>
          <w:color w:val="000000" w:themeColor="text1"/>
        </w:rPr>
        <w:t>El numeral 16.1 de la versión anterior de la Circular Externa Única disponía lo siguiente: “El Decreto 092 de 2017 no es aplicable a las contrataciones que cuentan con una norma especial que las regula. A la fecha se han identificado algunas especiales, no obstante, es posible que las Entidades Estatales en el cumplimiento de sus funciones identifiquen otras adicionales”. Sin embargo, este aparte no se reprodujo en la versión 2, aprobada el 15 de julio de 2022, la cual no se refiere a la contratación con ESAL</w:t>
      </w:r>
      <w:r w:rsidRPr="0021231E">
        <w:rPr>
          <w:rFonts w:ascii="Century Gothic" w:eastAsia="Calibri" w:hAnsi="Century Gothic" w:cs="Arial"/>
          <w:color w:val="000000" w:themeColor="text1"/>
          <w:vertAlign w:val="superscript"/>
        </w:rPr>
        <w:footnoteReference w:id="21"/>
      </w:r>
      <w:r w:rsidRPr="0021231E">
        <w:rPr>
          <w:rFonts w:ascii="Century Gothic" w:eastAsia="Calibri" w:hAnsi="Century Gothic" w:cs="Arial"/>
          <w:color w:val="000000" w:themeColor="text1"/>
        </w:rPr>
        <w:t xml:space="preserve">. Por lo demás, </w:t>
      </w:r>
      <w:r w:rsidRPr="0021231E">
        <w:rPr>
          <w:rFonts w:ascii="Century Gothic" w:hAnsi="Century Gothic" w:cs="Arial"/>
          <w:lang w:val="es-ES"/>
        </w:rPr>
        <w:t>el inciso primero del artículo 16 de la Ley 1219 de 2022 se refiere a la promoción de “programas especiales", sin aludir explícitamente a la suscripción de contratos y convenios, por lo que la Agencia carece de atribuciones para interpretar su alcance.</w:t>
      </w:r>
    </w:p>
    <w:p w14:paraId="361E5A65" w14:textId="77777777" w:rsidR="0021231E" w:rsidRPr="0021231E" w:rsidRDefault="0021231E" w:rsidP="0021231E">
      <w:pPr>
        <w:spacing w:before="120" w:after="0" w:line="276" w:lineRule="auto"/>
        <w:jc w:val="both"/>
        <w:rPr>
          <w:rFonts w:ascii="Century Gothic" w:eastAsia="Times New Roman" w:hAnsi="Century Gothic" w:cs="Arial"/>
          <w:b/>
          <w:szCs w:val="24"/>
          <w:lang w:eastAsia="es-MX"/>
        </w:rPr>
      </w:pPr>
      <w:r w:rsidRPr="0021231E">
        <w:rPr>
          <w:rFonts w:ascii="Century Gothic" w:eastAsia="Times New Roman" w:hAnsi="Century Gothic" w:cs="Arial"/>
          <w:b/>
          <w:szCs w:val="24"/>
          <w:lang w:eastAsia="es-MX"/>
        </w:rPr>
        <w:t>3.</w:t>
      </w:r>
      <w:r w:rsidRPr="0021231E">
        <w:rPr>
          <w:rFonts w:ascii="Century Gothic" w:eastAsia="Times New Roman" w:hAnsi="Century Gothic" w:cs="Arial"/>
          <w:b/>
          <w:szCs w:val="24"/>
          <w:lang w:eastAsia="es-MX"/>
        </w:rPr>
        <w:tab/>
        <w:t>Respuesta</w:t>
      </w:r>
    </w:p>
    <w:p w14:paraId="457E95F4" w14:textId="77777777" w:rsidR="0021231E" w:rsidRPr="0021231E" w:rsidRDefault="0021231E" w:rsidP="0021231E">
      <w:pPr>
        <w:spacing w:after="0" w:line="240" w:lineRule="auto"/>
        <w:ind w:right="714"/>
        <w:jc w:val="both"/>
        <w:rPr>
          <w:rFonts w:ascii="Century Gothic" w:eastAsia="Times New Roman" w:hAnsi="Century Gothic" w:cs="Arial"/>
          <w:i/>
          <w:szCs w:val="24"/>
          <w:lang w:val="es-ES_tradnl" w:eastAsia="es-ES_tradnl"/>
        </w:rPr>
      </w:pPr>
    </w:p>
    <w:p w14:paraId="244B9380" w14:textId="77777777" w:rsidR="0021231E" w:rsidRPr="0021231E" w:rsidRDefault="0021231E" w:rsidP="0021231E">
      <w:pPr>
        <w:spacing w:after="120" w:line="276" w:lineRule="auto"/>
        <w:jc w:val="both"/>
        <w:rPr>
          <w:rFonts w:ascii="Century Gothic" w:eastAsia="Times New Roman" w:hAnsi="Century Gothic" w:cs="Arial"/>
          <w:lang w:eastAsia="es-CO"/>
        </w:rPr>
      </w:pPr>
      <w:r w:rsidRPr="0021231E">
        <w:rPr>
          <w:rFonts w:ascii="Century Gothic" w:eastAsia="Times New Roman" w:hAnsi="Century Gothic" w:cs="Arial"/>
          <w:lang w:val="es-ES" w:eastAsia="es-CO"/>
        </w:rPr>
        <w:t xml:space="preserve">En ejercicio de las competencias establecidas en los artículos 3, numeral 5° y 11, numeral 8° del Decreto 4170 de 2011, la Agencia Nacional de Contratación Pública -Colombia Compra Eficiente- solo tiene competencia para responder solicitudes sobre la aplicación de normas de carácter general en materia de compras y contratación pública. En ese sentido, esta Agencia no tiene competencia para </w:t>
      </w:r>
      <w:r w:rsidRPr="0021231E">
        <w:rPr>
          <w:rFonts w:ascii="Century Gothic" w:eastAsia="Times New Roman" w:hAnsi="Century Gothic" w:cs="Arial"/>
          <w:lang w:eastAsia="es-CO"/>
        </w:rPr>
        <w:t xml:space="preserve">brindar asesorías, ni para pronunciarse sobre asuntos particulares, mucho menos </w:t>
      </w:r>
      <w:r w:rsidRPr="0021231E">
        <w:rPr>
          <w:rFonts w:ascii="Century Gothic" w:eastAsia="Times New Roman" w:hAnsi="Century Gothic" w:cs="Arial"/>
          <w:lang w:eastAsia="es-CO"/>
        </w:rPr>
        <w:lastRenderedPageBreak/>
        <w:t>para brindar directrices especiales en materia de capacidad para contratar por parte de las entidades sin ánimo de lucro y la forma de distribución de sus utilidades.</w:t>
      </w:r>
    </w:p>
    <w:p w14:paraId="02665186" w14:textId="77777777" w:rsidR="0021231E" w:rsidRPr="0021231E" w:rsidRDefault="0021231E" w:rsidP="0021231E">
      <w:pPr>
        <w:spacing w:after="120" w:line="276" w:lineRule="auto"/>
        <w:ind w:firstLine="708"/>
        <w:jc w:val="both"/>
        <w:rPr>
          <w:rFonts w:ascii="Century Gothic" w:eastAsia="Calibri" w:hAnsi="Century Gothic" w:cs="Arial"/>
          <w:bCs/>
          <w:lang w:val="es-ES_tradnl"/>
        </w:rPr>
      </w:pPr>
      <w:r w:rsidRPr="0021231E">
        <w:rPr>
          <w:rFonts w:ascii="Century Gothic" w:eastAsia="Calibri" w:hAnsi="Century Gothic" w:cs="Arial"/>
          <w:lang w:val="es-MX"/>
        </w:rPr>
        <w:t xml:space="preserve">Sin embargo, en línea con las precisiones normativas previamente realizadas, para dar respuesta a la inquietud que originó la presente consulta, conviene precisar que </w:t>
      </w:r>
      <w:r w:rsidRPr="0021231E">
        <w:rPr>
          <w:rFonts w:ascii="Century Gothic" w:eastAsia="Calibri" w:hAnsi="Century Gothic" w:cs="Arial"/>
          <w:bCs/>
          <w:lang w:val="es-ES_tradnl"/>
        </w:rPr>
        <w:t>el Decreto 092 de 2017 es el cuerpo normativo que establece las reglas especiales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w:t>
      </w:r>
    </w:p>
    <w:p w14:paraId="2A5221C0" w14:textId="77777777" w:rsidR="0021231E" w:rsidRPr="0021231E" w:rsidRDefault="0021231E" w:rsidP="0021231E">
      <w:pPr>
        <w:spacing w:after="120" w:line="276" w:lineRule="auto"/>
        <w:ind w:firstLine="708"/>
        <w:jc w:val="both"/>
        <w:rPr>
          <w:rFonts w:ascii="Century Gothic" w:hAnsi="Century Gothic"/>
        </w:rPr>
      </w:pPr>
      <w:r w:rsidRPr="0021231E">
        <w:rPr>
          <w:rFonts w:ascii="Century Gothic" w:eastAsia="Calibri" w:hAnsi="Century Gothic" w:cs="Arial"/>
          <w:bCs/>
          <w:lang w:val="es-ES_tradnl"/>
        </w:rPr>
        <w:t xml:space="preserve">Con todo, </w:t>
      </w:r>
      <w:r w:rsidRPr="0021231E">
        <w:rPr>
          <w:rFonts w:ascii="Century Gothic" w:eastAsia="Calibri" w:hAnsi="Century Gothic" w:cs="Arial"/>
          <w:color w:val="000000" w:themeColor="text1"/>
        </w:rPr>
        <w:t xml:space="preserve">interesa recalcar que, al contar con capacidad para contratar en calidad de personas jurídicas -como sujetos legalmente capaces- según las previsiones del artículo 6º de la Ley 80 de 1993, nada obsta para que las ESAL puedan participar, en igualdad de condiciones, con los demás oferentes en los diferentes procesos de contratación regidos por la Ley 80 de 1993, la Ley 1150 de 2007 y el Decreto 1082 de 2015, siempre y cuando cumplan con los requisitos exigidos en los documentos de cada proceso. Dicho de otro modo, </w:t>
      </w:r>
      <w:r w:rsidRPr="0021231E">
        <w:rPr>
          <w:rFonts w:ascii="Century Gothic" w:hAnsi="Century Gothic"/>
        </w:rPr>
        <w:t>las ESAL no solo pueden contratar bajo</w:t>
      </w:r>
      <w:r w:rsidRPr="0021231E">
        <w:rPr>
          <w:rFonts w:ascii="Century Gothic" w:hAnsi="Century Gothic"/>
          <w:spacing w:val="1"/>
        </w:rPr>
        <w:t xml:space="preserve"> </w:t>
      </w:r>
      <w:r w:rsidRPr="0021231E">
        <w:rPr>
          <w:rFonts w:ascii="Century Gothic" w:hAnsi="Century Gothic"/>
        </w:rPr>
        <w:t>las reglas establecidas en el Decreto 092 de 2017, sino que también pueden intervenir en procesos de</w:t>
      </w:r>
      <w:r w:rsidRPr="0021231E">
        <w:rPr>
          <w:rFonts w:ascii="Century Gothic" w:hAnsi="Century Gothic"/>
          <w:spacing w:val="1"/>
        </w:rPr>
        <w:t xml:space="preserve"> </w:t>
      </w:r>
      <w:r w:rsidRPr="0021231E">
        <w:rPr>
          <w:rFonts w:ascii="Century Gothic" w:hAnsi="Century Gothic"/>
        </w:rPr>
        <w:t>selección</w:t>
      </w:r>
      <w:r w:rsidRPr="0021231E">
        <w:rPr>
          <w:rFonts w:ascii="Century Gothic" w:hAnsi="Century Gothic"/>
          <w:spacing w:val="-11"/>
        </w:rPr>
        <w:t xml:space="preserve"> </w:t>
      </w:r>
      <w:r w:rsidRPr="0021231E">
        <w:rPr>
          <w:rFonts w:ascii="Century Gothic" w:hAnsi="Century Gothic"/>
        </w:rPr>
        <w:t>regidos</w:t>
      </w:r>
      <w:r w:rsidRPr="0021231E">
        <w:rPr>
          <w:rFonts w:ascii="Century Gothic" w:hAnsi="Century Gothic"/>
          <w:spacing w:val="-10"/>
        </w:rPr>
        <w:t xml:space="preserve"> </w:t>
      </w:r>
      <w:r w:rsidRPr="0021231E">
        <w:rPr>
          <w:rFonts w:ascii="Century Gothic" w:hAnsi="Century Gothic"/>
        </w:rPr>
        <w:t>por</w:t>
      </w:r>
      <w:r w:rsidRPr="0021231E">
        <w:rPr>
          <w:rFonts w:ascii="Century Gothic" w:hAnsi="Century Gothic"/>
          <w:spacing w:val="-10"/>
        </w:rPr>
        <w:t xml:space="preserve"> </w:t>
      </w:r>
      <w:r w:rsidRPr="0021231E">
        <w:rPr>
          <w:rFonts w:ascii="Century Gothic" w:hAnsi="Century Gothic"/>
        </w:rPr>
        <w:t>las</w:t>
      </w:r>
      <w:r w:rsidRPr="0021231E">
        <w:rPr>
          <w:rFonts w:ascii="Century Gothic" w:hAnsi="Century Gothic"/>
          <w:spacing w:val="-11"/>
        </w:rPr>
        <w:t xml:space="preserve"> </w:t>
      </w:r>
      <w:r w:rsidRPr="0021231E">
        <w:rPr>
          <w:rFonts w:ascii="Century Gothic" w:hAnsi="Century Gothic"/>
        </w:rPr>
        <w:t>reglas</w:t>
      </w:r>
      <w:r w:rsidRPr="0021231E">
        <w:rPr>
          <w:rFonts w:ascii="Century Gothic" w:hAnsi="Century Gothic"/>
          <w:spacing w:val="-9"/>
        </w:rPr>
        <w:t xml:space="preserve"> </w:t>
      </w:r>
      <w:r w:rsidRPr="0021231E">
        <w:rPr>
          <w:rFonts w:ascii="Century Gothic" w:hAnsi="Century Gothic"/>
        </w:rPr>
        <w:t>del</w:t>
      </w:r>
      <w:r w:rsidRPr="0021231E">
        <w:rPr>
          <w:rFonts w:ascii="Century Gothic" w:hAnsi="Century Gothic"/>
          <w:spacing w:val="-11"/>
        </w:rPr>
        <w:t xml:space="preserve"> </w:t>
      </w:r>
      <w:r w:rsidRPr="0021231E">
        <w:rPr>
          <w:rFonts w:ascii="Century Gothic" w:hAnsi="Century Gothic"/>
        </w:rPr>
        <w:t>Estatuto</w:t>
      </w:r>
      <w:r w:rsidRPr="0021231E">
        <w:rPr>
          <w:rFonts w:ascii="Century Gothic" w:hAnsi="Century Gothic"/>
          <w:spacing w:val="-9"/>
        </w:rPr>
        <w:t xml:space="preserve"> </w:t>
      </w:r>
      <w:r w:rsidRPr="0021231E">
        <w:rPr>
          <w:rFonts w:ascii="Century Gothic" w:hAnsi="Century Gothic"/>
        </w:rPr>
        <w:t>General</w:t>
      </w:r>
      <w:r w:rsidRPr="0021231E">
        <w:rPr>
          <w:rFonts w:ascii="Century Gothic" w:hAnsi="Century Gothic"/>
          <w:spacing w:val="-10"/>
        </w:rPr>
        <w:t xml:space="preserve"> </w:t>
      </w:r>
      <w:r w:rsidRPr="0021231E">
        <w:rPr>
          <w:rFonts w:ascii="Century Gothic" w:hAnsi="Century Gothic"/>
        </w:rPr>
        <w:t>de</w:t>
      </w:r>
      <w:r w:rsidRPr="0021231E">
        <w:rPr>
          <w:rFonts w:ascii="Century Gothic" w:hAnsi="Century Gothic"/>
          <w:spacing w:val="-11"/>
        </w:rPr>
        <w:t xml:space="preserve"> </w:t>
      </w:r>
      <w:r w:rsidRPr="0021231E">
        <w:rPr>
          <w:rFonts w:ascii="Century Gothic" w:hAnsi="Century Gothic"/>
        </w:rPr>
        <w:t>Contratación</w:t>
      </w:r>
      <w:r w:rsidRPr="0021231E">
        <w:rPr>
          <w:rFonts w:ascii="Century Gothic" w:hAnsi="Century Gothic"/>
          <w:spacing w:val="-9"/>
        </w:rPr>
        <w:t xml:space="preserve"> </w:t>
      </w:r>
      <w:r w:rsidRPr="0021231E">
        <w:rPr>
          <w:rFonts w:ascii="Century Gothic" w:hAnsi="Century Gothic"/>
        </w:rPr>
        <w:t>de</w:t>
      </w:r>
      <w:r w:rsidRPr="0021231E">
        <w:rPr>
          <w:rFonts w:ascii="Century Gothic" w:hAnsi="Century Gothic"/>
          <w:spacing w:val="-11"/>
        </w:rPr>
        <w:t xml:space="preserve"> </w:t>
      </w:r>
      <w:r w:rsidRPr="0021231E">
        <w:rPr>
          <w:rFonts w:ascii="Century Gothic" w:hAnsi="Century Gothic"/>
        </w:rPr>
        <w:t>la</w:t>
      </w:r>
      <w:r w:rsidRPr="0021231E">
        <w:rPr>
          <w:rFonts w:ascii="Century Gothic" w:hAnsi="Century Gothic"/>
          <w:spacing w:val="-10"/>
        </w:rPr>
        <w:t xml:space="preserve"> </w:t>
      </w:r>
      <w:r w:rsidRPr="0021231E">
        <w:rPr>
          <w:rFonts w:ascii="Century Gothic" w:hAnsi="Century Gothic"/>
        </w:rPr>
        <w:t>Administración</w:t>
      </w:r>
      <w:r w:rsidRPr="0021231E">
        <w:rPr>
          <w:rFonts w:ascii="Century Gothic" w:hAnsi="Century Gothic"/>
          <w:spacing w:val="-9"/>
        </w:rPr>
        <w:t xml:space="preserve"> </w:t>
      </w:r>
      <w:r w:rsidRPr="0021231E">
        <w:rPr>
          <w:rFonts w:ascii="Century Gothic" w:hAnsi="Century Gothic"/>
        </w:rPr>
        <w:t>Pública -EGCAP-,</w:t>
      </w:r>
      <w:r w:rsidRPr="0021231E">
        <w:rPr>
          <w:rFonts w:ascii="Century Gothic" w:hAnsi="Century Gothic"/>
          <w:spacing w:val="-10"/>
        </w:rPr>
        <w:t xml:space="preserve"> </w:t>
      </w:r>
      <w:r w:rsidRPr="0021231E">
        <w:rPr>
          <w:rFonts w:ascii="Century Gothic" w:hAnsi="Century Gothic"/>
        </w:rPr>
        <w:t>caso</w:t>
      </w:r>
      <w:r w:rsidRPr="0021231E">
        <w:rPr>
          <w:rFonts w:ascii="Century Gothic" w:hAnsi="Century Gothic"/>
          <w:spacing w:val="-9"/>
        </w:rPr>
        <w:t xml:space="preserve"> </w:t>
      </w:r>
      <w:r w:rsidRPr="0021231E">
        <w:rPr>
          <w:rFonts w:ascii="Century Gothic" w:hAnsi="Century Gothic"/>
        </w:rPr>
        <w:t>en</w:t>
      </w:r>
      <w:r w:rsidRPr="0021231E">
        <w:rPr>
          <w:rFonts w:ascii="Century Gothic" w:hAnsi="Century Gothic"/>
          <w:spacing w:val="1"/>
        </w:rPr>
        <w:t xml:space="preserve"> </w:t>
      </w:r>
      <w:r w:rsidRPr="0021231E">
        <w:rPr>
          <w:rFonts w:ascii="Century Gothic" w:hAnsi="Century Gothic"/>
        </w:rPr>
        <w:t>el</w:t>
      </w:r>
      <w:r w:rsidRPr="0021231E">
        <w:rPr>
          <w:rFonts w:ascii="Century Gothic" w:hAnsi="Century Gothic"/>
          <w:spacing w:val="-2"/>
        </w:rPr>
        <w:t xml:space="preserve"> </w:t>
      </w:r>
      <w:r w:rsidRPr="0021231E">
        <w:rPr>
          <w:rFonts w:ascii="Century Gothic" w:hAnsi="Century Gothic"/>
        </w:rPr>
        <w:t>cual</w:t>
      </w:r>
      <w:r w:rsidRPr="0021231E">
        <w:rPr>
          <w:rFonts w:ascii="Century Gothic" w:hAnsi="Century Gothic"/>
          <w:spacing w:val="-2"/>
        </w:rPr>
        <w:t xml:space="preserve"> </w:t>
      </w:r>
      <w:r w:rsidRPr="0021231E">
        <w:rPr>
          <w:rFonts w:ascii="Century Gothic" w:hAnsi="Century Gothic"/>
        </w:rPr>
        <w:t>participan</w:t>
      </w:r>
      <w:r w:rsidRPr="0021231E">
        <w:rPr>
          <w:rFonts w:ascii="Century Gothic" w:hAnsi="Century Gothic"/>
          <w:spacing w:val="-1"/>
        </w:rPr>
        <w:t xml:space="preserve"> </w:t>
      </w:r>
      <w:r w:rsidRPr="0021231E">
        <w:rPr>
          <w:rFonts w:ascii="Century Gothic" w:hAnsi="Century Gothic"/>
        </w:rPr>
        <w:t>con</w:t>
      </w:r>
      <w:r w:rsidRPr="0021231E">
        <w:rPr>
          <w:rFonts w:ascii="Century Gothic" w:hAnsi="Century Gothic"/>
          <w:spacing w:val="-2"/>
        </w:rPr>
        <w:t xml:space="preserve"> </w:t>
      </w:r>
      <w:r w:rsidRPr="0021231E">
        <w:rPr>
          <w:rFonts w:ascii="Century Gothic" w:hAnsi="Century Gothic"/>
        </w:rPr>
        <w:t>las</w:t>
      </w:r>
      <w:r w:rsidRPr="0021231E">
        <w:rPr>
          <w:rFonts w:ascii="Century Gothic" w:hAnsi="Century Gothic"/>
          <w:spacing w:val="-1"/>
        </w:rPr>
        <w:t xml:space="preserve"> </w:t>
      </w:r>
      <w:r w:rsidRPr="0021231E">
        <w:rPr>
          <w:rFonts w:ascii="Century Gothic" w:hAnsi="Century Gothic"/>
        </w:rPr>
        <w:t>mismas</w:t>
      </w:r>
      <w:r w:rsidRPr="0021231E">
        <w:rPr>
          <w:rFonts w:ascii="Century Gothic" w:hAnsi="Century Gothic"/>
          <w:spacing w:val="-2"/>
        </w:rPr>
        <w:t xml:space="preserve"> </w:t>
      </w:r>
      <w:r w:rsidRPr="0021231E">
        <w:rPr>
          <w:rFonts w:ascii="Century Gothic" w:hAnsi="Century Gothic"/>
        </w:rPr>
        <w:t>reglas</w:t>
      </w:r>
      <w:r w:rsidRPr="0021231E">
        <w:rPr>
          <w:rFonts w:ascii="Century Gothic" w:hAnsi="Century Gothic"/>
          <w:spacing w:val="-2"/>
        </w:rPr>
        <w:t xml:space="preserve"> </w:t>
      </w:r>
      <w:r w:rsidRPr="0021231E">
        <w:rPr>
          <w:rFonts w:ascii="Century Gothic" w:hAnsi="Century Gothic"/>
        </w:rPr>
        <w:t>aplicables</w:t>
      </w:r>
      <w:r w:rsidRPr="0021231E">
        <w:rPr>
          <w:rFonts w:ascii="Century Gothic" w:hAnsi="Century Gothic"/>
          <w:spacing w:val="-1"/>
        </w:rPr>
        <w:t xml:space="preserve"> </w:t>
      </w:r>
      <w:r w:rsidRPr="0021231E">
        <w:rPr>
          <w:rFonts w:ascii="Century Gothic" w:hAnsi="Century Gothic"/>
        </w:rPr>
        <w:t>a</w:t>
      </w:r>
      <w:r w:rsidRPr="0021231E">
        <w:rPr>
          <w:rFonts w:ascii="Century Gothic" w:hAnsi="Century Gothic"/>
          <w:spacing w:val="-2"/>
        </w:rPr>
        <w:t xml:space="preserve"> </w:t>
      </w:r>
      <w:r w:rsidRPr="0021231E">
        <w:rPr>
          <w:rFonts w:ascii="Century Gothic" w:hAnsi="Century Gothic"/>
        </w:rPr>
        <w:t>los</w:t>
      </w:r>
      <w:r w:rsidRPr="0021231E">
        <w:rPr>
          <w:rFonts w:ascii="Century Gothic" w:hAnsi="Century Gothic"/>
          <w:spacing w:val="-1"/>
        </w:rPr>
        <w:t xml:space="preserve"> </w:t>
      </w:r>
      <w:r w:rsidRPr="0021231E">
        <w:rPr>
          <w:rFonts w:ascii="Century Gothic" w:hAnsi="Century Gothic"/>
        </w:rPr>
        <w:t>demás</w:t>
      </w:r>
      <w:r w:rsidRPr="0021231E">
        <w:rPr>
          <w:rFonts w:ascii="Century Gothic" w:hAnsi="Century Gothic"/>
          <w:spacing w:val="-2"/>
        </w:rPr>
        <w:t xml:space="preserve"> </w:t>
      </w:r>
      <w:r w:rsidRPr="0021231E">
        <w:rPr>
          <w:rFonts w:ascii="Century Gothic" w:hAnsi="Century Gothic"/>
        </w:rPr>
        <w:t>oferentes.</w:t>
      </w:r>
    </w:p>
    <w:p w14:paraId="2BE592B4" w14:textId="7294EB1D" w:rsidR="0021231E" w:rsidRPr="0021231E" w:rsidRDefault="0021231E" w:rsidP="0021231E">
      <w:pPr>
        <w:spacing w:after="120" w:line="276" w:lineRule="auto"/>
        <w:ind w:firstLine="708"/>
        <w:jc w:val="both"/>
        <w:rPr>
          <w:rFonts w:ascii="Century Gothic" w:hAnsi="Century Gothic"/>
        </w:rPr>
      </w:pPr>
      <w:r w:rsidRPr="0021231E">
        <w:rPr>
          <w:rFonts w:ascii="Century Gothic" w:hAnsi="Century Gothic"/>
        </w:rPr>
        <w:t>En este sentido, es de aclarar que</w:t>
      </w:r>
      <w:r w:rsidR="31C327D2" w:rsidRPr="679A3303">
        <w:rPr>
          <w:rFonts w:ascii="Century Gothic" w:hAnsi="Century Gothic"/>
        </w:rPr>
        <w:t>,</w:t>
      </w:r>
      <w:r w:rsidRPr="0021231E">
        <w:rPr>
          <w:rFonts w:ascii="Century Gothic" w:hAnsi="Century Gothic"/>
        </w:rPr>
        <w:t xml:space="preserve"> si su objeto social lo permite, la ESAL, como consecuencia de la ejecución del respectivo contrato, podrá percibir la contraprestación allí convenida, a menos que esa posibilidad se haya limitado en sus estatutos y, por consiguiente, se haya fijado un destino específico distinto para los remanentes, excedentes y/o utilidades que deben repartirse, en principio, entre los asociados.</w:t>
      </w:r>
    </w:p>
    <w:p w14:paraId="2139C69A" w14:textId="77777777" w:rsidR="0021231E" w:rsidRPr="0021231E" w:rsidRDefault="0021231E" w:rsidP="0021231E">
      <w:pPr>
        <w:spacing w:after="120" w:line="276" w:lineRule="auto"/>
        <w:ind w:firstLine="708"/>
        <w:jc w:val="both"/>
        <w:rPr>
          <w:rFonts w:ascii="Century Gothic" w:hAnsi="Century Gothic"/>
        </w:rPr>
      </w:pPr>
      <w:r w:rsidRPr="0021231E">
        <w:rPr>
          <w:rFonts w:ascii="Century Gothic" w:eastAsia="Calibri" w:hAnsi="Century Gothic" w:cs="Arial"/>
          <w:bCs/>
          <w:color w:val="000000"/>
          <w:lang w:eastAsia="es-CO"/>
        </w:rPr>
        <w:t xml:space="preserve">De cualquier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r w:rsidRPr="0021231E">
        <w:rPr>
          <w:rFonts w:ascii="Century Gothic" w:hAnsi="Century Gothic" w:cs="Arial"/>
          <w:lang w:val="es-ES"/>
        </w:rPr>
        <w:t xml:space="preserve">Por lo anterior, previo concepto de sus órganos asesores, la solución de casos particulares o la interpretación de disposiciones de subsistemas normativos ajenos a las compras </w:t>
      </w:r>
      <w:r w:rsidRPr="0021231E">
        <w:rPr>
          <w:rFonts w:ascii="Century Gothic" w:hAnsi="Century Gothic" w:cs="Arial"/>
          <w:lang w:val="es-ES"/>
        </w:rPr>
        <w:lastRenderedPageBreak/>
        <w:t>públicas corresponden a la entidad de adoptar la decisión correspondiente y, en caso de conflicto, a las autoridades judiciales, fiscales y disciplinarias.</w:t>
      </w:r>
    </w:p>
    <w:p w14:paraId="4084D92A" w14:textId="77777777" w:rsidR="0021231E" w:rsidRPr="0021231E" w:rsidRDefault="0021231E" w:rsidP="0021231E">
      <w:pPr>
        <w:spacing w:after="120" w:line="276" w:lineRule="auto"/>
        <w:ind w:firstLine="708"/>
        <w:jc w:val="both"/>
        <w:rPr>
          <w:rFonts w:ascii="Century Gothic" w:eastAsia="Calibri" w:hAnsi="Century Gothic" w:cs="Arial"/>
          <w:color w:val="000000" w:themeColor="text1"/>
          <w:lang w:val="es-ES"/>
        </w:rPr>
      </w:pPr>
      <w:r w:rsidRPr="0021231E">
        <w:rPr>
          <w:rFonts w:ascii="Century Gothic" w:eastAsia="Times New Roman" w:hAnsi="Century Gothic" w:cs="Arial"/>
          <w:szCs w:val="24"/>
          <w:lang w:eastAsia="es-CO"/>
        </w:rPr>
        <w:t>Este concepto tiene el alcance previsto en el artículo 28 del Código de Procedimiento Administrativo y de lo Contencioso Administrativo.</w:t>
      </w:r>
    </w:p>
    <w:p w14:paraId="438BE438" w14:textId="77777777" w:rsidR="0021231E" w:rsidRPr="0021231E" w:rsidRDefault="0021231E" w:rsidP="0021231E">
      <w:pPr>
        <w:spacing w:after="0" w:line="276" w:lineRule="auto"/>
        <w:ind w:firstLine="709"/>
        <w:jc w:val="both"/>
        <w:rPr>
          <w:rFonts w:ascii="Century Gothic" w:eastAsia="Calibri" w:hAnsi="Century Gothic" w:cs="Arial"/>
          <w:lang w:val="es-MX"/>
        </w:rPr>
      </w:pPr>
    </w:p>
    <w:p w14:paraId="68BF0884" w14:textId="77777777" w:rsidR="0021231E" w:rsidRPr="0021231E" w:rsidRDefault="0021231E" w:rsidP="0021231E">
      <w:pPr>
        <w:spacing w:after="120" w:line="276" w:lineRule="auto"/>
        <w:jc w:val="both"/>
        <w:rPr>
          <w:rFonts w:ascii="Century Gothic" w:eastAsia="Calibri" w:hAnsi="Century Gothic" w:cs="Arial"/>
        </w:rPr>
      </w:pPr>
      <w:r w:rsidRPr="0021231E">
        <w:rPr>
          <w:rFonts w:ascii="Century Gothic" w:eastAsia="Times New Roman" w:hAnsi="Century Gothic" w:cs="Arial"/>
          <w:lang w:val="es-MX" w:eastAsia="es-CO"/>
        </w:rPr>
        <w:t>Atentamente,</w:t>
      </w:r>
    </w:p>
    <w:p w14:paraId="03B6976F" w14:textId="6AAA00F6" w:rsidR="0021231E" w:rsidRPr="0021231E" w:rsidRDefault="00EA1848" w:rsidP="0021231E">
      <w:pPr>
        <w:spacing w:after="0" w:line="276" w:lineRule="auto"/>
        <w:jc w:val="center"/>
        <w:textAlignment w:val="baseline"/>
        <w:rPr>
          <w:rFonts w:ascii="Century Gothic" w:eastAsia="Times New Roman" w:hAnsi="Century Gothic" w:cs="Arial"/>
          <w:sz w:val="24"/>
          <w:szCs w:val="24"/>
          <w:lang w:eastAsia="es-CO"/>
        </w:rPr>
      </w:pPr>
      <w:r>
        <w:rPr>
          <w:noProof/>
        </w:rPr>
        <w:drawing>
          <wp:inline distT="0" distB="0" distL="0" distR="0" wp14:anchorId="5387FDED" wp14:editId="23253CD3">
            <wp:extent cx="3161905" cy="1209524"/>
            <wp:effectExtent l="0" t="0" r="635" b="0"/>
            <wp:docPr id="1151692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92828" name=""/>
                    <pic:cNvPicPr/>
                  </pic:nvPicPr>
                  <pic:blipFill>
                    <a:blip r:embed="rId10"/>
                    <a:stretch>
                      <a:fillRect/>
                    </a:stretch>
                  </pic:blipFill>
                  <pic:spPr>
                    <a:xfrm>
                      <a:off x="0" y="0"/>
                      <a:ext cx="3161905" cy="1209524"/>
                    </a:xfrm>
                    <a:prstGeom prst="rect">
                      <a:avLst/>
                    </a:prstGeom>
                  </pic:spPr>
                </pic:pic>
              </a:graphicData>
            </a:graphic>
          </wp:inline>
        </w:drawing>
      </w:r>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9"/>
        <w:gridCol w:w="5177"/>
      </w:tblGrid>
      <w:tr w:rsidR="0021231E" w:rsidRPr="0021231E" w14:paraId="77049795" w14:textId="77777777" w:rsidTr="002E5AFC">
        <w:trPr>
          <w:trHeight w:val="315"/>
        </w:trPr>
        <w:tc>
          <w:tcPr>
            <w:tcW w:w="639" w:type="dxa"/>
            <w:tcBorders>
              <w:top w:val="nil"/>
              <w:left w:val="nil"/>
              <w:bottom w:val="nil"/>
              <w:right w:val="nil"/>
            </w:tcBorders>
            <w:shd w:val="clear" w:color="auto" w:fill="auto"/>
            <w:vAlign w:val="center"/>
            <w:hideMark/>
          </w:tcPr>
          <w:p w14:paraId="0EDC2AE2"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Elaboró:</w:t>
            </w:r>
          </w:p>
        </w:tc>
        <w:tc>
          <w:tcPr>
            <w:tcW w:w="5177" w:type="dxa"/>
            <w:tcBorders>
              <w:top w:val="nil"/>
              <w:left w:val="nil"/>
              <w:bottom w:val="dotted" w:sz="6" w:space="0" w:color="7F7F7F"/>
              <w:right w:val="nil"/>
            </w:tcBorders>
            <w:shd w:val="clear" w:color="auto" w:fill="auto"/>
            <w:vAlign w:val="center"/>
            <w:hideMark/>
          </w:tcPr>
          <w:p w14:paraId="2F65E45D"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Diego Andrés Zambrano Pérez</w:t>
            </w:r>
          </w:p>
          <w:p w14:paraId="72F68977"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Contratista de la Subdirección de Gestión Contractual</w:t>
            </w:r>
          </w:p>
        </w:tc>
      </w:tr>
      <w:tr w:rsidR="0021231E" w:rsidRPr="0021231E" w14:paraId="084BCE65" w14:textId="77777777" w:rsidTr="002E5AFC">
        <w:trPr>
          <w:trHeight w:val="315"/>
        </w:trPr>
        <w:tc>
          <w:tcPr>
            <w:tcW w:w="639" w:type="dxa"/>
            <w:tcBorders>
              <w:top w:val="nil"/>
              <w:left w:val="nil"/>
              <w:bottom w:val="nil"/>
              <w:right w:val="nil"/>
            </w:tcBorders>
            <w:shd w:val="clear" w:color="auto" w:fill="auto"/>
            <w:vAlign w:val="center"/>
            <w:hideMark/>
          </w:tcPr>
          <w:p w14:paraId="06382AFD"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Revisó:</w:t>
            </w:r>
          </w:p>
        </w:tc>
        <w:tc>
          <w:tcPr>
            <w:tcW w:w="5177" w:type="dxa"/>
            <w:tcBorders>
              <w:top w:val="dotted" w:sz="6" w:space="0" w:color="7F7F7F"/>
              <w:left w:val="nil"/>
              <w:bottom w:val="dotted" w:sz="6" w:space="0" w:color="7F7F7F"/>
              <w:right w:val="nil"/>
            </w:tcBorders>
            <w:shd w:val="clear" w:color="auto" w:fill="auto"/>
            <w:vAlign w:val="center"/>
            <w:hideMark/>
          </w:tcPr>
          <w:p w14:paraId="33D5E921"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Alejandro Raúl Sarmiento Cantillo</w:t>
            </w:r>
          </w:p>
          <w:p w14:paraId="305D59D3"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Gestor T1-15 de la Subdirección de Gestión Contractual</w:t>
            </w:r>
          </w:p>
        </w:tc>
      </w:tr>
      <w:tr w:rsidR="0021231E" w:rsidRPr="0021231E" w14:paraId="742EDCFD" w14:textId="77777777" w:rsidTr="002E5AFC">
        <w:trPr>
          <w:trHeight w:val="300"/>
        </w:trPr>
        <w:tc>
          <w:tcPr>
            <w:tcW w:w="639" w:type="dxa"/>
            <w:tcBorders>
              <w:top w:val="nil"/>
              <w:left w:val="nil"/>
              <w:bottom w:val="nil"/>
              <w:right w:val="nil"/>
            </w:tcBorders>
            <w:shd w:val="clear" w:color="auto" w:fill="auto"/>
            <w:vAlign w:val="center"/>
            <w:hideMark/>
          </w:tcPr>
          <w:p w14:paraId="5F39AAE4"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Aprobó:</w:t>
            </w:r>
          </w:p>
        </w:tc>
        <w:tc>
          <w:tcPr>
            <w:tcW w:w="5177" w:type="dxa"/>
            <w:tcBorders>
              <w:top w:val="dotted" w:sz="6" w:space="0" w:color="7F7F7F"/>
              <w:left w:val="nil"/>
              <w:bottom w:val="dotted" w:sz="6" w:space="0" w:color="7F7F7F"/>
              <w:right w:val="nil"/>
            </w:tcBorders>
            <w:shd w:val="clear" w:color="auto" w:fill="auto"/>
            <w:vAlign w:val="center"/>
            <w:hideMark/>
          </w:tcPr>
          <w:p w14:paraId="425DE17E"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Nohelia del Carmen Zawady Palacio</w:t>
            </w:r>
          </w:p>
          <w:p w14:paraId="26A0717F" w14:textId="77777777" w:rsidR="0021231E" w:rsidRPr="0021231E" w:rsidRDefault="0021231E" w:rsidP="0021231E">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Subdirectora de Gestión Contractual</w:t>
            </w:r>
          </w:p>
        </w:tc>
      </w:tr>
      <w:bookmarkEnd w:id="0"/>
    </w:tbl>
    <w:p w14:paraId="0674069E" w14:textId="77777777" w:rsidR="0021231E" w:rsidRPr="00322A85" w:rsidRDefault="0021231E" w:rsidP="00E245AB">
      <w:pPr>
        <w:spacing w:after="0"/>
        <w:rPr>
          <w:rFonts w:ascii="Century Gothic" w:hAnsi="Century Gothic"/>
        </w:rPr>
      </w:pPr>
    </w:p>
    <w:sectPr w:rsidR="0021231E" w:rsidRPr="00322A85" w:rsidSect="002E4FD9">
      <w:headerReference w:type="default" r:id="rId11"/>
      <w:footerReference w:type="default" r:id="rId12"/>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A4BD2" w14:textId="77777777" w:rsidR="00415396" w:rsidRDefault="00415396" w:rsidP="004A1847">
      <w:pPr>
        <w:spacing w:after="0" w:line="240" w:lineRule="auto"/>
      </w:pPr>
      <w:r>
        <w:separator/>
      </w:r>
    </w:p>
  </w:endnote>
  <w:endnote w:type="continuationSeparator" w:id="0">
    <w:p w14:paraId="05B76C87" w14:textId="77777777" w:rsidR="00415396" w:rsidRDefault="00415396" w:rsidP="004A1847">
      <w:pPr>
        <w:spacing w:after="0" w:line="240" w:lineRule="auto"/>
      </w:pPr>
      <w:r>
        <w:continuationSeparator/>
      </w:r>
    </w:p>
  </w:endnote>
  <w:endnote w:type="continuationNotice" w:id="1">
    <w:p w14:paraId="1B8BA437" w14:textId="77777777" w:rsidR="00FD0469" w:rsidRDefault="00FD04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39C63" w14:textId="77777777" w:rsidR="00415396" w:rsidRDefault="00415396" w:rsidP="004A1847">
      <w:pPr>
        <w:spacing w:after="0" w:line="240" w:lineRule="auto"/>
      </w:pPr>
      <w:r>
        <w:separator/>
      </w:r>
    </w:p>
  </w:footnote>
  <w:footnote w:type="continuationSeparator" w:id="0">
    <w:p w14:paraId="5E4AADC0" w14:textId="77777777" w:rsidR="00415396" w:rsidRDefault="00415396" w:rsidP="004A1847">
      <w:pPr>
        <w:spacing w:after="0" w:line="240" w:lineRule="auto"/>
      </w:pPr>
      <w:r>
        <w:continuationSeparator/>
      </w:r>
    </w:p>
  </w:footnote>
  <w:footnote w:type="continuationNotice" w:id="1">
    <w:p w14:paraId="22019E2D" w14:textId="77777777" w:rsidR="00FD0469" w:rsidRDefault="00FD0469">
      <w:pPr>
        <w:spacing w:after="0" w:line="240" w:lineRule="auto"/>
      </w:pPr>
    </w:p>
  </w:footnote>
  <w:footnote w:id="2">
    <w:p w14:paraId="5E53C58F" w14:textId="77777777" w:rsidR="0021231E" w:rsidRPr="004E5637" w:rsidRDefault="0021231E" w:rsidP="0021231E">
      <w:pPr>
        <w:pStyle w:val="Textonotapie"/>
        <w:ind w:firstLine="708"/>
        <w:jc w:val="both"/>
        <w:rPr>
          <w:rFonts w:ascii="Century Gothic" w:hAnsi="Century Gothic" w:cs="Arial"/>
          <w:sz w:val="14"/>
          <w:szCs w:val="14"/>
          <w:lang w:val="es-ES"/>
        </w:rPr>
      </w:pPr>
      <w:r w:rsidRPr="004E5637">
        <w:rPr>
          <w:rStyle w:val="Refdenotaalpie"/>
          <w:rFonts w:ascii="Century Gothic" w:eastAsiaTheme="majorEastAsia" w:hAnsi="Century Gothic" w:cs="Arial"/>
          <w:sz w:val="14"/>
          <w:szCs w:val="14"/>
        </w:rPr>
        <w:footnoteRef/>
      </w:r>
      <w:r w:rsidRPr="004E5637">
        <w:rPr>
          <w:rFonts w:ascii="Century Gothic" w:hAnsi="Century Gothic" w:cs="Arial"/>
          <w:sz w:val="14"/>
          <w:szCs w:val="14"/>
        </w:rPr>
        <w:t xml:space="preserve"> La Agencia Nacional de Contratación Pública -Colombia Compra Eficiente- fue creada por el Decreto-Ley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sidRPr="004E5637">
        <w:rPr>
          <w:rFonts w:ascii="Century Gothic" w:hAnsi="Century Gothic" w:cs="Arial"/>
          <w:i/>
          <w:sz w:val="14"/>
          <w:szCs w:val="14"/>
        </w:rPr>
        <w:t xml:space="preserve">ibidem </w:t>
      </w:r>
      <w:r w:rsidRPr="004E5637">
        <w:rPr>
          <w:rFonts w:ascii="Century Gothic" w:hAnsi="Century Gothic" w:cs="Arial"/>
          <w:sz w:val="14"/>
          <w:szCs w:val="14"/>
        </w:rPr>
        <w:t xml:space="preserve">señala, de manera precisa, las funciones de la entidad. Concretamente, el numeral 5º del citado artículo establece que le corresponde a esta entidad: </w:t>
      </w:r>
      <w:r w:rsidRPr="004E5637">
        <w:rPr>
          <w:rFonts w:ascii="Century Gothic" w:hAnsi="Century Gothic" w:cs="Arial"/>
          <w:i/>
          <w:sz w:val="14"/>
          <w:szCs w:val="14"/>
        </w:rPr>
        <w:t>“[a]bsolver consultas sobre la aplicación de normas de carácter general y expedir circulares externas en materia de compras y contratación pública”</w:t>
      </w:r>
      <w:r w:rsidRPr="004E5637">
        <w:rPr>
          <w:rFonts w:ascii="Century Gothic" w:hAnsi="Century Gothic" w:cs="Arial"/>
          <w:sz w:val="14"/>
          <w:szCs w:val="14"/>
        </w:rPr>
        <w:t xml:space="preserve">. A su turno, el numeral 8º del artículo 11 </w:t>
      </w:r>
      <w:r w:rsidRPr="004E5637">
        <w:rPr>
          <w:rFonts w:ascii="Century Gothic" w:hAnsi="Century Gothic" w:cs="Arial"/>
          <w:i/>
          <w:sz w:val="14"/>
          <w:szCs w:val="14"/>
        </w:rPr>
        <w:t>ibidem</w:t>
      </w:r>
      <w:r w:rsidRPr="004E5637">
        <w:rPr>
          <w:rFonts w:ascii="Century Gothic" w:hAnsi="Century Gothic" w:cs="Arial"/>
          <w:sz w:val="14"/>
          <w:szCs w:val="14"/>
        </w:rPr>
        <w:t xml:space="preserve"> indica que es función de la Subdirección de Gestión Contractual: </w:t>
      </w:r>
      <w:r w:rsidRPr="004E5637">
        <w:rPr>
          <w:rFonts w:ascii="Century Gothic" w:hAnsi="Century Gothic" w:cs="Arial"/>
          <w:i/>
          <w:sz w:val="14"/>
          <w:szCs w:val="14"/>
        </w:rPr>
        <w:t>“[a]bsolver consultas sobre la aplicación de normas de carácter general”</w:t>
      </w:r>
      <w:r w:rsidRPr="004E5637">
        <w:rPr>
          <w:rFonts w:ascii="Century Gothic" w:hAnsi="Century Gothic" w:cs="Arial"/>
          <w:sz w:val="14"/>
          <w:szCs w:val="14"/>
        </w:rPr>
        <w:t>.</w:t>
      </w:r>
    </w:p>
  </w:footnote>
  <w:footnote w:id="3">
    <w:p w14:paraId="4ECEEA06" w14:textId="77777777" w:rsidR="0021231E" w:rsidRPr="004E5637" w:rsidRDefault="0021231E" w:rsidP="0021231E">
      <w:pPr>
        <w:pStyle w:val="Textonotapie"/>
        <w:ind w:firstLine="708"/>
        <w:jc w:val="both"/>
        <w:rPr>
          <w:rFonts w:ascii="Century Gothic" w:hAnsi="Century Gothic" w:cs="Arial"/>
          <w:sz w:val="14"/>
          <w:szCs w:val="14"/>
        </w:rPr>
      </w:pPr>
      <w:r w:rsidRPr="004E5637">
        <w:rPr>
          <w:rStyle w:val="Refdenotaalpie"/>
          <w:rFonts w:ascii="Century Gothic" w:hAnsi="Century Gothic" w:cs="Arial"/>
          <w:sz w:val="14"/>
          <w:szCs w:val="14"/>
        </w:rPr>
        <w:footnoteRef/>
      </w:r>
      <w:r w:rsidRPr="004E5637">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4E5637">
          <w:rPr>
            <w:rStyle w:val="Hipervnculo"/>
            <w:rFonts w:ascii="Century Gothic" w:hAnsi="Century Gothic" w:cs="Arial"/>
            <w:sz w:val="14"/>
            <w:szCs w:val="14"/>
          </w:rPr>
          <w:t>https://relatoria.colombiacompra.gov.co/busqueda/conceptos</w:t>
        </w:r>
      </w:hyperlink>
    </w:p>
  </w:footnote>
  <w:footnote w:id="4">
    <w:p w14:paraId="72F4BCC5" w14:textId="77777777" w:rsidR="0021231E" w:rsidRPr="004E5637" w:rsidRDefault="0021231E" w:rsidP="0021231E">
      <w:pPr>
        <w:pStyle w:val="Textonotapie"/>
        <w:ind w:firstLine="708"/>
        <w:jc w:val="both"/>
        <w:rPr>
          <w:rFonts w:ascii="Century Gothic" w:hAnsi="Century Gothic" w:cs="Arial"/>
          <w:sz w:val="14"/>
          <w:szCs w:val="14"/>
        </w:rPr>
      </w:pPr>
      <w:r w:rsidRPr="004E5637">
        <w:rPr>
          <w:rStyle w:val="Refdenotaalpie"/>
          <w:rFonts w:ascii="Century Gothic" w:hAnsi="Century Gothic" w:cs="Arial"/>
          <w:sz w:val="14"/>
          <w:szCs w:val="14"/>
        </w:rPr>
        <w:footnoteRef/>
      </w:r>
      <w:r w:rsidRPr="004E5637">
        <w:rPr>
          <w:rFonts w:ascii="Century Gothic" w:hAnsi="Century Gothic" w:cs="Arial"/>
          <w:sz w:val="14"/>
          <w:szCs w:val="14"/>
        </w:rPr>
        <w:t xml:space="preserve"> Sobre esta norma, consultar los conceptos del 8 de octubre de 2019, con radicado No. 2201913000007532, y del 20 de diciembre de 2019, con radicado No. 4201913000008240.</w:t>
      </w:r>
    </w:p>
  </w:footnote>
  <w:footnote w:id="5">
    <w:p w14:paraId="31FAD48B" w14:textId="77777777" w:rsidR="0021231E" w:rsidRPr="004E5637" w:rsidRDefault="0021231E" w:rsidP="0021231E">
      <w:pPr>
        <w:pStyle w:val="Textonotapie"/>
        <w:ind w:firstLine="708"/>
        <w:jc w:val="both"/>
        <w:rPr>
          <w:rFonts w:ascii="Century Gothic" w:hAnsi="Century Gothic" w:cs="Arial"/>
          <w:sz w:val="14"/>
          <w:szCs w:val="14"/>
        </w:rPr>
      </w:pPr>
      <w:r w:rsidRPr="004E5637">
        <w:rPr>
          <w:rStyle w:val="Refdenotaalpie"/>
          <w:rFonts w:ascii="Century Gothic" w:hAnsi="Century Gothic"/>
          <w:sz w:val="14"/>
          <w:szCs w:val="14"/>
        </w:rPr>
        <w:footnoteRef/>
      </w:r>
      <w:r w:rsidRPr="004E5637">
        <w:rPr>
          <w:rFonts w:ascii="Century Gothic" w:hAnsi="Century Gothic"/>
          <w:sz w:val="14"/>
          <w:szCs w:val="14"/>
        </w:rPr>
        <w:t xml:space="preserve"> </w:t>
      </w:r>
      <w:r w:rsidRPr="004E5637">
        <w:rPr>
          <w:rFonts w:ascii="Century Gothic" w:hAnsi="Century Gothic" w:cs="Arial"/>
          <w:sz w:val="14"/>
          <w:szCs w:val="14"/>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EB89F73" w14:textId="77777777" w:rsidR="0021231E" w:rsidRPr="004E5637" w:rsidRDefault="0021231E" w:rsidP="0021231E">
      <w:pPr>
        <w:pStyle w:val="Textonotapie"/>
        <w:ind w:firstLine="708"/>
        <w:jc w:val="both"/>
        <w:rPr>
          <w:rFonts w:ascii="Century Gothic" w:hAnsi="Century Gothic" w:cs="Arial"/>
          <w:sz w:val="14"/>
          <w:szCs w:val="14"/>
        </w:rPr>
      </w:pPr>
      <w:r w:rsidRPr="004E5637">
        <w:rPr>
          <w:rFonts w:ascii="Century Gothic" w:hAnsi="Century Gothic" w:cs="Arial"/>
          <w:sz w:val="14"/>
          <w:szCs w:val="14"/>
        </w:rPr>
        <w:t xml:space="preserve">Los convenios de asociación a que se refiere el presente artículo </w:t>
      </w:r>
      <w:bookmarkStart w:id="4" w:name="_Hlk36023315"/>
      <w:r w:rsidRPr="004E5637">
        <w:rPr>
          <w:rFonts w:ascii="Century Gothic" w:hAnsi="Century Gothic" w:cs="Arial"/>
          <w:sz w:val="14"/>
          <w:szCs w:val="14"/>
        </w:rPr>
        <w:t>se celebrarán de conformidad con lo dispuesto en el artículo 355 de la Constitución Política</w:t>
      </w:r>
      <w:bookmarkEnd w:id="4"/>
      <w:r w:rsidRPr="004E5637">
        <w:rPr>
          <w:rFonts w:ascii="Century Gothic" w:hAnsi="Century Gothic" w:cs="Arial"/>
          <w:sz w:val="14"/>
          <w:szCs w:val="14"/>
        </w:rPr>
        <w:t>, en ellos se determinará con precisión su objeto, término, obligaciones de las partes, aportes, coordinación y todos aquellos aspectos que se consideren pertinentes”.</w:t>
      </w:r>
    </w:p>
  </w:footnote>
  <w:footnote w:id="6">
    <w:p w14:paraId="0BC9FF82" w14:textId="77777777" w:rsidR="0021231E" w:rsidRPr="004E5637" w:rsidRDefault="0021231E" w:rsidP="0021231E">
      <w:pPr>
        <w:pStyle w:val="Textonotapie"/>
        <w:ind w:firstLine="708"/>
        <w:jc w:val="both"/>
        <w:rPr>
          <w:rFonts w:ascii="Century Gothic" w:hAnsi="Century Gothic" w:cs="Arial"/>
          <w:sz w:val="14"/>
          <w:szCs w:val="14"/>
        </w:rPr>
      </w:pPr>
      <w:r w:rsidRPr="004E5637">
        <w:rPr>
          <w:rStyle w:val="Refdenotaalpie"/>
          <w:rFonts w:ascii="Century Gothic" w:hAnsi="Century Gothic" w:cs="Arial"/>
          <w:sz w:val="14"/>
          <w:szCs w:val="14"/>
        </w:rPr>
        <w:footnoteRef/>
      </w:r>
      <w:r w:rsidRPr="004E5637">
        <w:rPr>
          <w:rFonts w:ascii="Century Gothic" w:hAnsi="Century Gothic" w:cs="Arial"/>
          <w:sz w:val="14"/>
          <w:szCs w:val="14"/>
        </w:rPr>
        <w:t xml:space="preserve"> Concepto del 3 de septiembre de 2019, con radicado No. 2201913000006512.</w:t>
      </w:r>
    </w:p>
  </w:footnote>
  <w:footnote w:id="7">
    <w:p w14:paraId="5F5BD419" w14:textId="77777777" w:rsidR="0021231E" w:rsidRPr="004E5637" w:rsidRDefault="0021231E" w:rsidP="0021231E">
      <w:pPr>
        <w:pStyle w:val="Textonotapie"/>
        <w:ind w:firstLine="708"/>
        <w:jc w:val="both"/>
        <w:rPr>
          <w:rFonts w:ascii="Century Gothic" w:hAnsi="Century Gothic" w:cs="Arial"/>
          <w:sz w:val="14"/>
          <w:szCs w:val="14"/>
        </w:rPr>
      </w:pPr>
      <w:r w:rsidRPr="004E5637">
        <w:rPr>
          <w:rStyle w:val="Refdenotaalpie"/>
          <w:rFonts w:ascii="Century Gothic" w:hAnsi="Century Gothic" w:cs="Arial"/>
          <w:sz w:val="14"/>
          <w:szCs w:val="14"/>
        </w:rPr>
        <w:footnoteRef/>
      </w:r>
      <w:r w:rsidRPr="004E5637">
        <w:rPr>
          <w:rFonts w:ascii="Century Gothic" w:hAnsi="Century Gothic" w:cs="Arial"/>
          <w:sz w:val="14"/>
          <w:szCs w:val="14"/>
        </w:rPr>
        <w:t xml:space="preserve"> Sobre la naturaleza de los convenios de asociación, se reitera lo expuesto en el concepto del 19 de noviembre de 2019, con radicado No. 2201913000008611.</w:t>
      </w:r>
    </w:p>
  </w:footnote>
  <w:footnote w:id="8">
    <w:p w14:paraId="60E4B3EC" w14:textId="77777777" w:rsidR="0021231E" w:rsidRPr="004E5637" w:rsidRDefault="0021231E" w:rsidP="0021231E">
      <w:pPr>
        <w:pStyle w:val="Textonotapie"/>
        <w:ind w:firstLine="708"/>
        <w:jc w:val="both"/>
        <w:rPr>
          <w:rFonts w:ascii="Century Gothic" w:hAnsi="Century Gothic" w:cs="Arial"/>
          <w:color w:val="000000" w:themeColor="text1"/>
          <w:sz w:val="14"/>
          <w:szCs w:val="14"/>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Cfr. Concepto del 21 de agosto de 2019, dictado dentro del radicado No. 2201913000006047.</w:t>
      </w:r>
    </w:p>
  </w:footnote>
  <w:footnote w:id="9">
    <w:p w14:paraId="40D753B4" w14:textId="77777777" w:rsidR="0021231E" w:rsidRPr="004E5637" w:rsidRDefault="0021231E" w:rsidP="0021231E">
      <w:pPr>
        <w:pStyle w:val="Textonotapie"/>
        <w:ind w:firstLine="708"/>
        <w:jc w:val="both"/>
        <w:rPr>
          <w:rFonts w:ascii="Century Gothic" w:hAnsi="Century Gothic" w:cs="Arial"/>
          <w:color w:val="000000" w:themeColor="text1"/>
          <w:sz w:val="14"/>
          <w:szCs w:val="14"/>
          <w:lang w:val="es-ES"/>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Concepto del 24 de febrero de 2005, con radicado No. 1626, C.P. Dra. Gloria Duque Hernández</w:t>
      </w:r>
    </w:p>
  </w:footnote>
  <w:footnote w:id="10">
    <w:p w14:paraId="1FB2FA9B" w14:textId="77777777" w:rsidR="0021231E" w:rsidRPr="004E5637" w:rsidRDefault="0021231E" w:rsidP="0021231E">
      <w:pPr>
        <w:pStyle w:val="Textonotapie"/>
        <w:ind w:firstLine="708"/>
        <w:jc w:val="both"/>
        <w:rPr>
          <w:rFonts w:ascii="Century Gothic" w:hAnsi="Century Gothic" w:cs="Arial"/>
          <w:color w:val="000000" w:themeColor="text1"/>
          <w:sz w:val="14"/>
          <w:szCs w:val="14"/>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1">
    <w:p w14:paraId="3044DA76" w14:textId="77777777" w:rsidR="0021231E" w:rsidRPr="004E5637" w:rsidRDefault="0021231E" w:rsidP="0021231E">
      <w:pPr>
        <w:pStyle w:val="Textonotapie"/>
        <w:ind w:firstLine="708"/>
        <w:jc w:val="both"/>
        <w:rPr>
          <w:rFonts w:ascii="Century Gothic" w:hAnsi="Century Gothic" w:cs="Arial"/>
          <w:color w:val="000000" w:themeColor="text1"/>
          <w:sz w:val="14"/>
          <w:szCs w:val="14"/>
        </w:rPr>
      </w:pPr>
      <w:r w:rsidRPr="004E5637">
        <w:rPr>
          <w:rStyle w:val="Refdenotaalpie"/>
          <w:rFonts w:ascii="Century Gothic" w:hAnsi="Century Gothic"/>
          <w:sz w:val="14"/>
          <w:szCs w:val="14"/>
        </w:rPr>
        <w:footnoteRef/>
      </w:r>
      <w:r w:rsidRPr="004E5637">
        <w:rPr>
          <w:rFonts w:ascii="Century Gothic" w:hAnsi="Century Gothic"/>
          <w:sz w:val="14"/>
          <w:szCs w:val="14"/>
        </w:rPr>
        <w:t xml:space="preserve"> </w:t>
      </w:r>
      <w:r w:rsidRPr="004E5637">
        <w:rPr>
          <w:rFonts w:ascii="Century Gothic" w:hAnsi="Century Gothic" w:cs="Arial"/>
          <w:color w:val="000000" w:themeColor="text1"/>
          <w:sz w:val="14"/>
          <w:szCs w:val="14"/>
        </w:rPr>
        <w:t>CONSEJO DE ESTADO. Sala Plena. Auto del 15 de marzo de 2022. Exp. 11001-03-26-000-2018-00113-01 (62.003). C.P. Rocío Araújo Oñate.</w:t>
      </w:r>
    </w:p>
  </w:footnote>
  <w:footnote w:id="12">
    <w:p w14:paraId="5C7DA5A6" w14:textId="77777777" w:rsidR="0021231E" w:rsidRPr="004E5637" w:rsidRDefault="0021231E" w:rsidP="0021231E">
      <w:pPr>
        <w:pStyle w:val="Textonotapie"/>
        <w:ind w:firstLine="708"/>
        <w:jc w:val="both"/>
        <w:rPr>
          <w:rFonts w:ascii="Century Gothic" w:eastAsia="Calibri" w:hAnsi="Century Gothic" w:cs="Arial"/>
          <w:color w:val="000000" w:themeColor="text1"/>
          <w:sz w:val="14"/>
          <w:szCs w:val="14"/>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w:t>
      </w:r>
      <w:r w:rsidRPr="004E5637">
        <w:rPr>
          <w:rFonts w:ascii="Century Gothic" w:eastAsia="Calibri" w:hAnsi="Century Gothic" w:cs="Arial"/>
          <w:color w:val="000000" w:themeColor="text1"/>
          <w:sz w:val="14"/>
          <w:szCs w:val="14"/>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footnote>
  <w:footnote w:id="13">
    <w:p w14:paraId="5B48C7C4" w14:textId="77777777" w:rsidR="0021231E" w:rsidRPr="004E5637" w:rsidRDefault="0021231E" w:rsidP="0021231E">
      <w:pPr>
        <w:pStyle w:val="Textonotapie"/>
        <w:ind w:firstLine="708"/>
        <w:jc w:val="both"/>
        <w:rPr>
          <w:rFonts w:ascii="Century Gothic" w:hAnsi="Century Gothic" w:cs="Arial"/>
          <w:color w:val="000000" w:themeColor="text1"/>
          <w:sz w:val="14"/>
          <w:szCs w:val="14"/>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w:t>
      </w:r>
      <w:r w:rsidRPr="004E5637">
        <w:rPr>
          <w:rFonts w:ascii="Century Gothic" w:eastAsia="Calibri" w:hAnsi="Century Gothic" w:cs="Arial"/>
          <w:color w:val="000000" w:themeColor="text1"/>
          <w:sz w:val="14"/>
          <w:szCs w:val="14"/>
        </w:rPr>
        <w:t>Decreto 092 de 2017, artículo 3, inciso 2: “</w:t>
      </w:r>
      <w:r w:rsidRPr="004E5637">
        <w:rPr>
          <w:rFonts w:ascii="Century Gothic" w:hAnsi="Century Gothic" w:cs="Arial"/>
          <w:color w:val="000000" w:themeColor="text1"/>
          <w:sz w:val="14"/>
          <w:szCs w:val="14"/>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4">
    <w:p w14:paraId="12248AB7" w14:textId="77777777" w:rsidR="0021231E" w:rsidRPr="004E5637" w:rsidRDefault="0021231E" w:rsidP="0021231E">
      <w:pPr>
        <w:spacing w:after="0" w:line="240" w:lineRule="auto"/>
        <w:ind w:firstLine="708"/>
        <w:jc w:val="both"/>
        <w:rPr>
          <w:rFonts w:ascii="Century Gothic" w:hAnsi="Century Gothic" w:cs="Arial"/>
          <w:color w:val="000000" w:themeColor="text1"/>
          <w:sz w:val="14"/>
          <w:szCs w:val="14"/>
        </w:rPr>
      </w:pPr>
      <w:r w:rsidRPr="004E5637">
        <w:rPr>
          <w:rFonts w:ascii="Century Gothic" w:hAnsi="Century Gothic" w:cs="Arial"/>
          <w:color w:val="000000" w:themeColor="text1"/>
          <w:sz w:val="14"/>
          <w:szCs w:val="14"/>
          <w:vertAlign w:val="superscript"/>
        </w:rPr>
        <w:footnoteRef/>
      </w:r>
      <w:r w:rsidRPr="004E5637">
        <w:rPr>
          <w:rFonts w:ascii="Century Gothic" w:hAnsi="Century Gothic" w:cs="Arial"/>
          <w:color w:val="000000" w:themeColor="text1"/>
          <w:sz w:val="14"/>
          <w:szCs w:val="14"/>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14:paraId="1EEA4029" w14:textId="77777777" w:rsidR="0021231E" w:rsidRPr="004E5637" w:rsidRDefault="0021231E" w:rsidP="0021231E">
      <w:pPr>
        <w:spacing w:after="0" w:line="240" w:lineRule="auto"/>
        <w:ind w:firstLine="708"/>
        <w:jc w:val="both"/>
        <w:rPr>
          <w:rFonts w:ascii="Century Gothic" w:hAnsi="Century Gothic" w:cs="Arial"/>
          <w:color w:val="000000" w:themeColor="text1"/>
          <w:sz w:val="14"/>
          <w:szCs w:val="14"/>
        </w:rPr>
      </w:pPr>
      <w:r w:rsidRPr="004E5637">
        <w:rPr>
          <w:rFonts w:ascii="Century Gothic" w:hAnsi="Century Gothic" w:cs="Arial"/>
          <w:color w:val="000000" w:themeColor="text1"/>
          <w:sz w:val="14"/>
          <w:szCs w:val="14"/>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Exp. 11001-03-26-000-2018-00113-01 (62.003). C.P. Rocío Araújo Oñate).</w:t>
      </w:r>
    </w:p>
  </w:footnote>
  <w:footnote w:id="15">
    <w:p w14:paraId="1BAC28C8" w14:textId="77777777" w:rsidR="0021231E" w:rsidRPr="004E5637" w:rsidRDefault="0021231E" w:rsidP="0021231E">
      <w:pPr>
        <w:spacing w:after="0" w:line="240" w:lineRule="auto"/>
        <w:ind w:firstLine="708"/>
        <w:jc w:val="both"/>
        <w:rPr>
          <w:rFonts w:ascii="Century Gothic" w:hAnsi="Century Gothic" w:cs="Arial"/>
          <w:color w:val="000000" w:themeColor="text1"/>
          <w:sz w:val="14"/>
          <w:szCs w:val="14"/>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6">
    <w:p w14:paraId="36A549DD" w14:textId="77777777" w:rsidR="0021231E" w:rsidRPr="004E5637" w:rsidRDefault="0021231E" w:rsidP="0021231E">
      <w:pPr>
        <w:pStyle w:val="Textonotapie"/>
        <w:ind w:firstLine="708"/>
        <w:jc w:val="both"/>
        <w:rPr>
          <w:rFonts w:ascii="Century Gothic" w:hAnsi="Century Gothic" w:cs="Arial"/>
          <w:color w:val="000000" w:themeColor="text1"/>
          <w:sz w:val="14"/>
          <w:szCs w:val="14"/>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7">
    <w:p w14:paraId="7E0F6884" w14:textId="77777777" w:rsidR="0021231E" w:rsidRPr="004E5637" w:rsidRDefault="0021231E" w:rsidP="0021231E">
      <w:pPr>
        <w:pStyle w:val="Textonotapie"/>
        <w:ind w:firstLine="708"/>
        <w:jc w:val="both"/>
        <w:rPr>
          <w:rFonts w:ascii="Century Gothic" w:hAnsi="Century Gothic" w:cs="Arial"/>
          <w:color w:val="000000" w:themeColor="text1"/>
          <w:sz w:val="14"/>
          <w:szCs w:val="14"/>
          <w:lang w:val="es-ES"/>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8">
    <w:p w14:paraId="302989DD" w14:textId="77777777" w:rsidR="0021231E" w:rsidRPr="004E5637" w:rsidRDefault="0021231E" w:rsidP="0021231E">
      <w:pPr>
        <w:pStyle w:val="Textonotapie"/>
        <w:ind w:firstLine="708"/>
        <w:jc w:val="both"/>
        <w:rPr>
          <w:rFonts w:ascii="Century Gothic" w:hAnsi="Century Gothic" w:cs="Arial"/>
          <w:sz w:val="14"/>
          <w:szCs w:val="14"/>
        </w:rPr>
      </w:pPr>
      <w:r w:rsidRPr="004E5637">
        <w:rPr>
          <w:rStyle w:val="Refdenotaalpie"/>
          <w:rFonts w:ascii="Century Gothic" w:hAnsi="Century Gothic" w:cs="Arial"/>
          <w:sz w:val="14"/>
          <w:szCs w:val="14"/>
        </w:rPr>
        <w:footnoteRef/>
      </w:r>
      <w:r w:rsidRPr="004E5637">
        <w:rPr>
          <w:rFonts w:ascii="Century Gothic" w:hAnsi="Century Gothic" w:cs="Arial"/>
          <w:sz w:val="14"/>
          <w:szCs w:val="14"/>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id="13" w:name="_Hlk102655636"/>
      <w:r w:rsidRPr="004E5637">
        <w:rPr>
          <w:rFonts w:ascii="Century Gothic" w:hAnsi="Century Gothic" w:cs="Arial"/>
          <w:sz w:val="14"/>
          <w:szCs w:val="14"/>
        </w:rPr>
        <w:t>Auto del 15 de marzo de 2022</w:t>
      </w:r>
      <w:bookmarkEnd w:id="13"/>
      <w:r w:rsidRPr="004E5637">
        <w:rPr>
          <w:rFonts w:ascii="Century Gothic" w:hAnsi="Century Gothic" w:cs="Arial"/>
          <w:sz w:val="14"/>
          <w:szCs w:val="14"/>
        </w:rPr>
        <w:t>. Exp. 62.003. C.P. Rocío Araújo Oñate).</w:t>
      </w:r>
    </w:p>
  </w:footnote>
  <w:footnote w:id="19">
    <w:p w14:paraId="449AAB24" w14:textId="77777777" w:rsidR="0021231E" w:rsidRPr="004E5637" w:rsidRDefault="0021231E" w:rsidP="0021231E">
      <w:pPr>
        <w:pStyle w:val="Textonotapie"/>
        <w:ind w:firstLine="708"/>
        <w:jc w:val="both"/>
        <w:rPr>
          <w:rFonts w:ascii="Century Gothic" w:hAnsi="Century Gothic" w:cs="Arial"/>
          <w:sz w:val="14"/>
          <w:szCs w:val="14"/>
        </w:rPr>
      </w:pPr>
      <w:r w:rsidRPr="004E5637">
        <w:rPr>
          <w:rStyle w:val="Refdenotaalpie"/>
          <w:rFonts w:ascii="Century Gothic" w:hAnsi="Century Gothic" w:cs="Arial"/>
          <w:sz w:val="14"/>
          <w:szCs w:val="14"/>
        </w:rPr>
        <w:footnoteRef/>
      </w:r>
      <w:r w:rsidRPr="004E5637">
        <w:rPr>
          <w:rFonts w:ascii="Century Gothic" w:hAnsi="Century Gothic" w:cs="Arial"/>
          <w:sz w:val="14"/>
          <w:szCs w:val="14"/>
        </w:rPr>
        <w:t xml:space="preserve"> </w:t>
      </w:r>
      <w:r w:rsidRPr="004E5637">
        <w:rPr>
          <w:rFonts w:ascii="Century Gothic" w:hAnsi="Century Gothic" w:cs="Arial"/>
          <w:i/>
          <w:iCs/>
          <w:sz w:val="14"/>
          <w:szCs w:val="14"/>
        </w:rPr>
        <w:t>Ibidem</w:t>
      </w:r>
      <w:r w:rsidRPr="004E5637">
        <w:rPr>
          <w:rFonts w:ascii="Century Gothic" w:hAnsi="Century Gothic" w:cs="Arial"/>
          <w:sz w:val="14"/>
          <w:szCs w:val="14"/>
        </w:rPr>
        <w:t>.</w:t>
      </w:r>
    </w:p>
  </w:footnote>
  <w:footnote w:id="20">
    <w:p w14:paraId="7CA46555" w14:textId="77777777" w:rsidR="0021231E" w:rsidRPr="004E5637" w:rsidRDefault="0021231E" w:rsidP="0021231E">
      <w:pPr>
        <w:pStyle w:val="Textonotapie"/>
        <w:ind w:firstLine="708"/>
        <w:jc w:val="both"/>
        <w:rPr>
          <w:rFonts w:ascii="Century Gothic" w:hAnsi="Century Gothic" w:cs="Arial"/>
          <w:color w:val="000000" w:themeColor="text1"/>
          <w:sz w:val="14"/>
          <w:szCs w:val="14"/>
        </w:rPr>
      </w:pPr>
      <w:r w:rsidRPr="004E5637">
        <w:rPr>
          <w:rStyle w:val="Refdenotaalpie"/>
          <w:rFonts w:ascii="Century Gothic" w:hAnsi="Century Gothic" w:cs="Arial"/>
          <w:color w:val="000000" w:themeColor="text1"/>
          <w:sz w:val="14"/>
          <w:szCs w:val="14"/>
        </w:rPr>
        <w:footnoteRef/>
      </w:r>
      <w:r w:rsidRPr="004E5637">
        <w:rPr>
          <w:rFonts w:ascii="Century Gothic" w:hAnsi="Century Gothic" w:cs="Arial"/>
          <w:color w:val="000000" w:themeColor="text1"/>
          <w:sz w:val="14"/>
          <w:szCs w:val="14"/>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21">
    <w:p w14:paraId="49D0653D" w14:textId="77777777" w:rsidR="0021231E" w:rsidRPr="003C5CFE" w:rsidRDefault="0021231E" w:rsidP="0021231E">
      <w:pPr>
        <w:pStyle w:val="Textonotapie"/>
        <w:ind w:firstLine="708"/>
        <w:jc w:val="both"/>
        <w:rPr>
          <w:rFonts w:ascii="Arial" w:hAnsi="Arial" w:cs="Arial"/>
          <w:sz w:val="18"/>
          <w:szCs w:val="18"/>
        </w:rPr>
      </w:pPr>
      <w:r w:rsidRPr="004E5637">
        <w:rPr>
          <w:rStyle w:val="Refdenotaalpie"/>
          <w:rFonts w:ascii="Century Gothic" w:hAnsi="Century Gothic" w:cs="Arial"/>
          <w:sz w:val="14"/>
          <w:szCs w:val="14"/>
        </w:rPr>
        <w:footnoteRef/>
      </w:r>
      <w:r w:rsidRPr="004E5637">
        <w:rPr>
          <w:rFonts w:ascii="Century Gothic" w:hAnsi="Century Gothic" w:cs="Arial"/>
          <w:sz w:val="14"/>
          <w:szCs w:val="14"/>
        </w:rPr>
        <w:t xml:space="preserve"> La nueva versión de la circular se encuentra en el siguiente enlace: </w:t>
      </w:r>
      <w:hyperlink r:id="rId2" w:history="1">
        <w:r w:rsidRPr="004E5637">
          <w:rPr>
            <w:rStyle w:val="Hipervnculo"/>
            <w:rFonts w:ascii="Century Gothic" w:hAnsi="Century Gothic" w:cs="Arial"/>
            <w:sz w:val="14"/>
            <w:szCs w:val="14"/>
          </w:rPr>
          <w:t>https://colombiacompra.gov.co/sites/cce_public/files/cce_circulares/cce-eicp-ma-06_circular_externa_con_comentarios_de_ciudadanos-_v2f_002.pdf</w:t>
        </w:r>
      </w:hyperlink>
      <w:r w:rsidRPr="004E5637">
        <w:rPr>
          <w:rFonts w:ascii="Century Gothic" w:hAnsi="Century Gothic"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953894">
    <w:abstractNumId w:val="6"/>
  </w:num>
  <w:num w:numId="2" w16cid:durableId="1445273241">
    <w:abstractNumId w:val="2"/>
  </w:num>
  <w:num w:numId="3" w16cid:durableId="1076442709">
    <w:abstractNumId w:val="4"/>
  </w:num>
  <w:num w:numId="4" w16cid:durableId="18870629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9807604">
    <w:abstractNumId w:val="2"/>
  </w:num>
  <w:num w:numId="6" w16cid:durableId="1324816531">
    <w:abstractNumId w:val="12"/>
  </w:num>
  <w:num w:numId="7" w16cid:durableId="1570843389">
    <w:abstractNumId w:val="5"/>
  </w:num>
  <w:num w:numId="8" w16cid:durableId="1267419814">
    <w:abstractNumId w:val="11"/>
  </w:num>
  <w:num w:numId="9" w16cid:durableId="910389690">
    <w:abstractNumId w:val="7"/>
  </w:num>
  <w:num w:numId="10" w16cid:durableId="1367675120">
    <w:abstractNumId w:val="10"/>
  </w:num>
  <w:num w:numId="11" w16cid:durableId="794714388">
    <w:abstractNumId w:val="8"/>
  </w:num>
  <w:num w:numId="12" w16cid:durableId="1171989440">
    <w:abstractNumId w:val="1"/>
  </w:num>
  <w:num w:numId="13" w16cid:durableId="1327787919">
    <w:abstractNumId w:val="3"/>
  </w:num>
  <w:num w:numId="14" w16cid:durableId="166949294">
    <w:abstractNumId w:val="13"/>
  </w:num>
  <w:num w:numId="15" w16cid:durableId="1438253472">
    <w:abstractNumId w:val="9"/>
  </w:num>
  <w:num w:numId="16" w16cid:durableId="361974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25105"/>
    <w:rsid w:val="00127233"/>
    <w:rsid w:val="001E4177"/>
    <w:rsid w:val="001F7DC6"/>
    <w:rsid w:val="0021231E"/>
    <w:rsid w:val="002421BB"/>
    <w:rsid w:val="002707A2"/>
    <w:rsid w:val="002951A0"/>
    <w:rsid w:val="002962BC"/>
    <w:rsid w:val="002A093D"/>
    <w:rsid w:val="002A0DD0"/>
    <w:rsid w:val="002A49AC"/>
    <w:rsid w:val="002A64FD"/>
    <w:rsid w:val="002C7A84"/>
    <w:rsid w:val="002E4FD9"/>
    <w:rsid w:val="00322A85"/>
    <w:rsid w:val="003448F4"/>
    <w:rsid w:val="00374F5E"/>
    <w:rsid w:val="00377E3E"/>
    <w:rsid w:val="003A779E"/>
    <w:rsid w:val="003D0F4D"/>
    <w:rsid w:val="003D5B0D"/>
    <w:rsid w:val="003E0499"/>
    <w:rsid w:val="003E1F8D"/>
    <w:rsid w:val="003F3941"/>
    <w:rsid w:val="00406575"/>
    <w:rsid w:val="00415396"/>
    <w:rsid w:val="0042722E"/>
    <w:rsid w:val="00467D16"/>
    <w:rsid w:val="004A1847"/>
    <w:rsid w:val="004A305D"/>
    <w:rsid w:val="004F21C4"/>
    <w:rsid w:val="004F685F"/>
    <w:rsid w:val="00507A72"/>
    <w:rsid w:val="005566E8"/>
    <w:rsid w:val="00574867"/>
    <w:rsid w:val="00591460"/>
    <w:rsid w:val="005A2340"/>
    <w:rsid w:val="005C3777"/>
    <w:rsid w:val="005C5CDC"/>
    <w:rsid w:val="005D476C"/>
    <w:rsid w:val="006219F8"/>
    <w:rsid w:val="00665D70"/>
    <w:rsid w:val="006900D9"/>
    <w:rsid w:val="00706C16"/>
    <w:rsid w:val="00756841"/>
    <w:rsid w:val="007649AB"/>
    <w:rsid w:val="00771D0C"/>
    <w:rsid w:val="007833AC"/>
    <w:rsid w:val="007845D3"/>
    <w:rsid w:val="00785BA9"/>
    <w:rsid w:val="007B268C"/>
    <w:rsid w:val="007B7171"/>
    <w:rsid w:val="007C3DC2"/>
    <w:rsid w:val="007E5497"/>
    <w:rsid w:val="00806F5F"/>
    <w:rsid w:val="00820278"/>
    <w:rsid w:val="008843B6"/>
    <w:rsid w:val="00891928"/>
    <w:rsid w:val="008A446D"/>
    <w:rsid w:val="008D180B"/>
    <w:rsid w:val="008F0EA7"/>
    <w:rsid w:val="00923EEF"/>
    <w:rsid w:val="009419F9"/>
    <w:rsid w:val="00961B09"/>
    <w:rsid w:val="00965334"/>
    <w:rsid w:val="0097093E"/>
    <w:rsid w:val="009A6976"/>
    <w:rsid w:val="009C71FA"/>
    <w:rsid w:val="009C72E7"/>
    <w:rsid w:val="009F3A13"/>
    <w:rsid w:val="00A122D3"/>
    <w:rsid w:val="00A17F13"/>
    <w:rsid w:val="00A20739"/>
    <w:rsid w:val="00A33C78"/>
    <w:rsid w:val="00AB02C6"/>
    <w:rsid w:val="00AB0ADB"/>
    <w:rsid w:val="00B72CD3"/>
    <w:rsid w:val="00B72FFF"/>
    <w:rsid w:val="00B94043"/>
    <w:rsid w:val="00BC3D36"/>
    <w:rsid w:val="00BD7F72"/>
    <w:rsid w:val="00C04FB3"/>
    <w:rsid w:val="00C330EB"/>
    <w:rsid w:val="00C633A0"/>
    <w:rsid w:val="00C754BE"/>
    <w:rsid w:val="00C76B1C"/>
    <w:rsid w:val="00CB6357"/>
    <w:rsid w:val="00CC1B26"/>
    <w:rsid w:val="00D423A2"/>
    <w:rsid w:val="00D63AC2"/>
    <w:rsid w:val="00D7383B"/>
    <w:rsid w:val="00DA231B"/>
    <w:rsid w:val="00DF5254"/>
    <w:rsid w:val="00E16408"/>
    <w:rsid w:val="00E20894"/>
    <w:rsid w:val="00E245AB"/>
    <w:rsid w:val="00E2764C"/>
    <w:rsid w:val="00E27F2E"/>
    <w:rsid w:val="00E50AFE"/>
    <w:rsid w:val="00E771DC"/>
    <w:rsid w:val="00E8772A"/>
    <w:rsid w:val="00E90F6B"/>
    <w:rsid w:val="00E92C27"/>
    <w:rsid w:val="00E97D30"/>
    <w:rsid w:val="00EA0E3D"/>
    <w:rsid w:val="00EA1848"/>
    <w:rsid w:val="00EB3F68"/>
    <w:rsid w:val="00EE1AA8"/>
    <w:rsid w:val="00F31EDC"/>
    <w:rsid w:val="00F33D33"/>
    <w:rsid w:val="00F462B3"/>
    <w:rsid w:val="00F5664F"/>
    <w:rsid w:val="00F666C4"/>
    <w:rsid w:val="00F76AFC"/>
    <w:rsid w:val="00FB5DD1"/>
    <w:rsid w:val="00FC2B5D"/>
    <w:rsid w:val="00FD0469"/>
    <w:rsid w:val="00FF1449"/>
    <w:rsid w:val="31C327D2"/>
    <w:rsid w:val="679A33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1231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circulares/cce-eicp-ma-06_circular_externa_con_comentarios_de_ciudadanos-_v2f_0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A11076-2E1C-46F6-A251-E93DA3F74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www.w3.org/XML/1998/namespace"/>
    <ds:schemaRef ds:uri="http://purl.org/dc/dcmitype/"/>
    <ds:schemaRef ds:uri="http://schemas.openxmlformats.org/package/2006/metadata/core-properties"/>
    <ds:schemaRef ds:uri="http://purl.org/dc/terms/"/>
    <ds:schemaRef ds:uri="http://schemas.microsoft.com/office/2006/metadata/properties"/>
    <ds:schemaRef ds:uri="http://purl.org/dc/elements/1.1/"/>
    <ds:schemaRef ds:uri="cabc2350-70b2-4dba-bb42-96a3175f4d5a"/>
    <ds:schemaRef ds:uri="http://schemas.microsoft.com/office/infopath/2007/PartnerControls"/>
    <ds:schemaRef ds:uri="8ae15d26-076e-464e-81a7-6f76a0fb3917"/>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22</Pages>
  <Words>7753</Words>
  <Characters>42645</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cp:lastPrinted>2023-01-10T21:18:00Z</cp:lastPrinted>
  <dcterms:created xsi:type="dcterms:W3CDTF">2023-10-25T22:23:00Z</dcterms:created>
  <dcterms:modified xsi:type="dcterms:W3CDTF">2024-03-15T18:55:00Z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