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38DC21" w14:textId="77777777" w:rsidR="00AE444D" w:rsidRPr="00AE444D" w:rsidRDefault="00AE444D" w:rsidP="00AE444D">
      <w:pPr>
        <w:spacing w:after="0" w:line="240" w:lineRule="auto"/>
        <w:jc w:val="both"/>
        <w:rPr>
          <w:rFonts w:ascii="Verdana" w:hAnsi="Verdana" w:cs="Arial"/>
          <w:b/>
          <w:lang w:eastAsia="es-ES"/>
        </w:rPr>
      </w:pPr>
      <w:bookmarkStart w:id="0" w:name="_Hlk143780582"/>
      <w:r w:rsidRPr="00AE444D">
        <w:rPr>
          <w:rFonts w:ascii="Verdana" w:hAnsi="Verdana" w:cs="Arial"/>
          <w:b/>
          <w:lang w:eastAsia="es-ES"/>
        </w:rPr>
        <w:t xml:space="preserve">ARTÍCULO 355 DE LA CONSTITUCIÓN POLÍTICA – Formas de colaboración o cooperación – Estado y particulares </w:t>
      </w:r>
    </w:p>
    <w:p w14:paraId="14619224" w14:textId="77777777" w:rsidR="00AE444D" w:rsidRPr="00AE444D" w:rsidRDefault="00AE444D" w:rsidP="00AE444D">
      <w:pPr>
        <w:spacing w:after="0" w:line="240" w:lineRule="auto"/>
        <w:jc w:val="both"/>
        <w:rPr>
          <w:rFonts w:ascii="Verdana" w:hAnsi="Verdana" w:cs="Arial"/>
          <w:b/>
          <w:lang w:eastAsia="es-ES"/>
        </w:rPr>
      </w:pPr>
    </w:p>
    <w:p w14:paraId="7E3032BC" w14:textId="77777777" w:rsidR="00AE444D" w:rsidRPr="00AE444D" w:rsidRDefault="00AE444D" w:rsidP="00AE444D">
      <w:pPr>
        <w:spacing w:after="0" w:line="240" w:lineRule="auto"/>
        <w:jc w:val="both"/>
        <w:rPr>
          <w:rFonts w:ascii="Verdana" w:hAnsi="Verdana" w:cs="Arial"/>
          <w:sz w:val="20"/>
          <w:lang w:val="es-MX" w:eastAsia="es-ES"/>
        </w:rPr>
      </w:pPr>
      <w:r w:rsidRPr="00AE444D">
        <w:rPr>
          <w:rFonts w:ascii="Verdana" w:hAnsi="Verdana" w:cs="Arial"/>
          <w:sz w:val="20"/>
          <w:lang w:val="es-MX" w:eastAsia="es-ES"/>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 con el fin de impulsar programas y actividades de interés público acordes con el plan nacional y los planes seccionales de desarrollo. Por otra parte, la Ley 489 de 1998, en el artículo 96,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p>
    <w:p w14:paraId="1A175753" w14:textId="77777777" w:rsidR="00AE444D" w:rsidRPr="00AE444D" w:rsidRDefault="00AE444D" w:rsidP="00AE444D">
      <w:pPr>
        <w:spacing w:after="0" w:line="240" w:lineRule="auto"/>
        <w:jc w:val="both"/>
        <w:rPr>
          <w:rFonts w:ascii="Verdana" w:hAnsi="Verdana" w:cs="Arial"/>
          <w:b/>
          <w:lang w:val="es-MX" w:eastAsia="es-ES"/>
        </w:rPr>
      </w:pPr>
    </w:p>
    <w:p w14:paraId="0C7DDCE7" w14:textId="77777777" w:rsidR="00AE444D" w:rsidRPr="00AE444D" w:rsidRDefault="00AE444D" w:rsidP="00AE444D">
      <w:pPr>
        <w:spacing w:after="0" w:line="240" w:lineRule="auto"/>
        <w:jc w:val="both"/>
        <w:rPr>
          <w:rFonts w:ascii="Verdana" w:hAnsi="Verdana" w:cs="Arial"/>
          <w:b/>
          <w:lang w:eastAsia="es-ES"/>
        </w:rPr>
      </w:pPr>
      <w:r w:rsidRPr="00AE444D">
        <w:rPr>
          <w:rFonts w:ascii="Verdana" w:hAnsi="Verdana" w:cs="Arial"/>
          <w:b/>
          <w:lang w:eastAsia="es-ES"/>
        </w:rPr>
        <w:t xml:space="preserve">DECRETO 092 DE 2017 – Convenios de interés público – Convenios de asociación </w:t>
      </w:r>
    </w:p>
    <w:p w14:paraId="539043E9" w14:textId="77777777" w:rsidR="00AE444D" w:rsidRPr="00AE444D" w:rsidRDefault="00AE444D" w:rsidP="00AE444D">
      <w:pPr>
        <w:spacing w:after="0" w:line="240" w:lineRule="auto"/>
        <w:jc w:val="both"/>
        <w:rPr>
          <w:rFonts w:ascii="Verdana" w:hAnsi="Verdana" w:cs="Arial"/>
          <w:b/>
          <w:lang w:eastAsia="es-ES"/>
        </w:rPr>
      </w:pPr>
    </w:p>
    <w:p w14:paraId="608A321C" w14:textId="77777777" w:rsidR="00AE444D" w:rsidRPr="00AE444D" w:rsidRDefault="00AE444D" w:rsidP="00AE444D">
      <w:pPr>
        <w:spacing w:after="0" w:line="240" w:lineRule="auto"/>
        <w:jc w:val="both"/>
        <w:rPr>
          <w:rFonts w:ascii="Verdana" w:hAnsi="Verdana" w:cs="Arial"/>
          <w:sz w:val="20"/>
          <w:lang w:val="es-MX" w:eastAsia="es-ES"/>
        </w:rPr>
      </w:pPr>
      <w:r w:rsidRPr="00AE444D">
        <w:rPr>
          <w:rFonts w:ascii="Verdana" w:hAnsi="Verdana" w:cs="Arial"/>
          <w:sz w:val="20"/>
          <w:lang w:val="es-MX" w:eastAsia="es-ES"/>
        </w:rPr>
        <w:t xml:space="preserve">En desarrollo del artículo 355 de la Constitución, el Gobierno Nacional expidió el Decreto 92 de 2017, que dispone las reglas para las contrataciones que realicen las entidades estatales con las ESAL. El Decreto regula dos eventos: i) los </w:t>
      </w:r>
      <w:r w:rsidRPr="00AE444D">
        <w:rPr>
          <w:rFonts w:ascii="Verdana" w:hAnsi="Verdana" w:cs="Arial"/>
          <w:i/>
          <w:iCs/>
          <w:sz w:val="20"/>
          <w:lang w:val="es-MX" w:eastAsia="es-ES"/>
        </w:rPr>
        <w:t>contratos de colaboración</w:t>
      </w:r>
      <w:r w:rsidRPr="00AE444D">
        <w:rPr>
          <w:rFonts w:ascii="Verdana" w:hAnsi="Verdana" w:cs="Arial"/>
          <w:sz w:val="20"/>
          <w:lang w:val="es-MX" w:eastAsia="es-ES"/>
        </w:rPr>
        <w:t xml:space="preserve"> o de interés público, con el fin impulsar programas y actividades de interés público de acuerdo con el Plan Nacional o los planes seccionales de desarrollo, en los términos del artículo 355 de la Constitución Política; y ii) los </w:t>
      </w:r>
      <w:r w:rsidRPr="00AE444D">
        <w:rPr>
          <w:rFonts w:ascii="Verdana" w:hAnsi="Verdana" w:cs="Arial"/>
          <w:i/>
          <w:iCs/>
          <w:sz w:val="20"/>
          <w:lang w:val="es-MX" w:eastAsia="es-ES"/>
        </w:rPr>
        <w:t>convenios de asociación</w:t>
      </w:r>
      <w:r w:rsidRPr="00AE444D">
        <w:rPr>
          <w:rFonts w:ascii="Verdana" w:hAnsi="Verdana" w:cs="Arial"/>
          <w:sz w:val="20"/>
          <w:lang w:val="es-MX" w:eastAsia="es-ES"/>
        </w:rPr>
        <w:t xml:space="preserve">, para el desarrollo conjunto de actividades relacionadas con las funciones de las entidades estatales, en desarrollo del artículo 96 de la Ley 489 de 1998. Los primeros están regulados en el artículo 2 del Decreto 92 de 2017, mientras que los segundos en los artículos 5, 6, 7 y 8 </w:t>
      </w:r>
      <w:r w:rsidRPr="00AE444D">
        <w:rPr>
          <w:rFonts w:ascii="Verdana" w:hAnsi="Verdana" w:cs="Arial"/>
          <w:i/>
          <w:iCs/>
          <w:sz w:val="20"/>
          <w:lang w:val="es-MX" w:eastAsia="es-ES"/>
        </w:rPr>
        <w:t>ibidem</w:t>
      </w:r>
      <w:r w:rsidRPr="00AE444D">
        <w:rPr>
          <w:rFonts w:ascii="Verdana" w:hAnsi="Verdana" w:cs="Arial"/>
          <w:sz w:val="20"/>
          <w:lang w:val="es-MX" w:eastAsia="es-ES"/>
        </w:rPr>
        <w:t xml:space="preserve">. Es posible diferenciar, pues, los </w:t>
      </w:r>
      <w:r w:rsidRPr="00AE444D">
        <w:rPr>
          <w:rFonts w:ascii="Verdana" w:hAnsi="Verdana" w:cs="Arial"/>
          <w:i/>
          <w:iCs/>
          <w:sz w:val="20"/>
          <w:lang w:val="es-MX" w:eastAsia="es-ES"/>
        </w:rPr>
        <w:t>convenios de asociación</w:t>
      </w:r>
      <w:r w:rsidRPr="00AE444D">
        <w:rPr>
          <w:rFonts w:ascii="Verdana" w:hAnsi="Verdana" w:cs="Arial"/>
          <w:sz w:val="20"/>
          <w:lang w:val="es-MX" w:eastAsia="es-ES"/>
        </w:rPr>
        <w:t xml:space="preserve">, regulados en el artículo 5, de los </w:t>
      </w:r>
      <w:r w:rsidRPr="00AE444D">
        <w:rPr>
          <w:rFonts w:ascii="Verdana" w:hAnsi="Verdana" w:cs="Arial"/>
          <w:i/>
          <w:iCs/>
          <w:sz w:val="20"/>
          <w:lang w:val="es-MX" w:eastAsia="es-ES"/>
        </w:rPr>
        <w:t>contratos de colaboración</w:t>
      </w:r>
      <w:r w:rsidRPr="00AE444D">
        <w:rPr>
          <w:rFonts w:ascii="Verdana" w:hAnsi="Verdana" w:cs="Arial"/>
          <w:sz w:val="20"/>
          <w:lang w:val="es-MX" w:eastAsia="es-ES"/>
        </w:rPr>
        <w:t>, establecidos en el artículo 2 del Decreto 092 de 2017.</w:t>
      </w:r>
    </w:p>
    <w:p w14:paraId="30B14EAA" w14:textId="77777777" w:rsidR="00AE444D" w:rsidRPr="00AE444D" w:rsidRDefault="00AE444D" w:rsidP="00AE444D">
      <w:pPr>
        <w:spacing w:after="0" w:line="240" w:lineRule="auto"/>
        <w:jc w:val="both"/>
        <w:rPr>
          <w:rFonts w:ascii="Verdana" w:hAnsi="Verdana" w:cs="Arial"/>
          <w:lang w:eastAsia="es-ES"/>
        </w:rPr>
      </w:pPr>
    </w:p>
    <w:p w14:paraId="1D239837" w14:textId="77777777" w:rsidR="00AE444D" w:rsidRPr="00AE444D" w:rsidRDefault="00AE444D" w:rsidP="00AE444D">
      <w:pPr>
        <w:spacing w:after="0" w:line="240" w:lineRule="auto"/>
        <w:jc w:val="both"/>
        <w:rPr>
          <w:rFonts w:ascii="Verdana" w:hAnsi="Verdana" w:cs="Arial"/>
          <w:b/>
          <w:lang w:val="es-ES" w:eastAsia="es-ES"/>
        </w:rPr>
      </w:pPr>
      <w:r w:rsidRPr="00AE444D">
        <w:rPr>
          <w:rFonts w:ascii="Verdana" w:hAnsi="Verdana" w:cs="Arial"/>
          <w:b/>
          <w:lang w:eastAsia="es-ES"/>
        </w:rPr>
        <w:t xml:space="preserve"> CONVENIOS DE ASOCIACIÓN – Artículo 5 del Decreto 092 de 2017 – Artículo 96 de la Ley 489 de 1998 – Requisitos </w:t>
      </w:r>
    </w:p>
    <w:p w14:paraId="79934241" w14:textId="77777777" w:rsidR="00AE444D" w:rsidRPr="00AE444D" w:rsidRDefault="00AE444D" w:rsidP="00AE444D">
      <w:pPr>
        <w:spacing w:after="0" w:line="240" w:lineRule="auto"/>
        <w:jc w:val="both"/>
        <w:rPr>
          <w:rFonts w:ascii="Verdana" w:hAnsi="Verdana" w:cs="Arial"/>
          <w:b/>
          <w:lang w:val="es-ES" w:eastAsia="es-ES"/>
        </w:rPr>
      </w:pPr>
    </w:p>
    <w:p w14:paraId="2161B45F" w14:textId="77777777" w:rsidR="00AE444D" w:rsidRPr="00AE444D" w:rsidRDefault="00AE444D" w:rsidP="00AE444D">
      <w:pPr>
        <w:spacing w:after="0" w:line="240" w:lineRule="auto"/>
        <w:jc w:val="both"/>
        <w:rPr>
          <w:rFonts w:ascii="Verdana" w:hAnsi="Verdana" w:cs="Arial"/>
          <w:sz w:val="20"/>
          <w:lang w:val="es-MX" w:eastAsia="es-ES"/>
        </w:rPr>
      </w:pPr>
      <w:r w:rsidRPr="00AE444D">
        <w:rPr>
          <w:rFonts w:ascii="Verdana" w:hAnsi="Verdana" w:cs="Arial"/>
          <w:sz w:val="20"/>
          <w:lang w:val="es-MX" w:eastAsia="es-ES"/>
        </w:rPr>
        <w:t xml:space="preserve">Los </w:t>
      </w:r>
      <w:r w:rsidRPr="00AE444D">
        <w:rPr>
          <w:rFonts w:ascii="Verdana" w:hAnsi="Verdana" w:cs="Arial"/>
          <w:i/>
          <w:iCs/>
          <w:sz w:val="20"/>
          <w:lang w:val="es-MX" w:eastAsia="es-ES"/>
        </w:rPr>
        <w:t>convenios de asociación</w:t>
      </w:r>
      <w:r w:rsidRPr="00AE444D">
        <w:rPr>
          <w:rFonts w:ascii="Verdana" w:hAnsi="Verdana" w:cs="Arial"/>
          <w:sz w:val="20"/>
          <w:lang w:val="es-MX" w:eastAsia="es-ES"/>
        </w:rPr>
        <w:t xml:space="preserve"> tienen como fin que la entidad estatal, cualquiera que sea su naturaleza y orden administrativo como es el caso de las entidades territoriales –distritos, municipios, departamentos, entre otros- se asocien con personas jurídicas particulares para el desarrollo conjunto de actividades relacionadas con los cometidos y funciones asignadas a aquellas conforme a la Constitución y a la Ley. Los convenios de asociación están regulados en el artículo 5° del Decreto 092 de 2017 y el artículo 96 de la Ley 489 de 1998, sin dejar de lado los artículos 6,7, 8, 9, 10 y 11 del precitado Decreto Autónomo. </w:t>
      </w:r>
    </w:p>
    <w:p w14:paraId="3C51649F" w14:textId="77777777" w:rsidR="00AE444D" w:rsidRPr="00AE444D" w:rsidRDefault="00AE444D" w:rsidP="00AE444D">
      <w:pPr>
        <w:spacing w:after="0" w:line="240" w:lineRule="auto"/>
        <w:jc w:val="both"/>
        <w:rPr>
          <w:rFonts w:ascii="Verdana" w:hAnsi="Verdana" w:cs="Arial"/>
          <w:sz w:val="20"/>
          <w:lang w:val="es-MX" w:eastAsia="es-ES"/>
        </w:rPr>
      </w:pPr>
    </w:p>
    <w:p w14:paraId="198E05E0" w14:textId="77777777" w:rsidR="00AE444D" w:rsidRPr="00AE444D" w:rsidRDefault="00AE444D" w:rsidP="00AE444D">
      <w:pPr>
        <w:spacing w:after="0" w:line="240" w:lineRule="auto"/>
        <w:jc w:val="both"/>
        <w:rPr>
          <w:rFonts w:ascii="Verdana" w:hAnsi="Verdana" w:cs="Arial"/>
          <w:sz w:val="20"/>
          <w:lang w:val="es-MX" w:eastAsia="es-ES"/>
        </w:rPr>
      </w:pPr>
      <w:r w:rsidRPr="00AE444D">
        <w:rPr>
          <w:rFonts w:ascii="Verdana" w:hAnsi="Verdana" w:cs="Arial"/>
          <w:sz w:val="20"/>
          <w:lang w:val="es-MX" w:eastAsia="es-ES"/>
        </w:rPr>
        <w:t xml:space="preserve">En estos convenios no existe contraprestación o pago, sino aportes, los cuales están dirigidos, exclusivamente, a lograr la ejecución del convenio y no a remunerar la </w:t>
      </w:r>
      <w:r w:rsidRPr="00AE444D">
        <w:rPr>
          <w:rFonts w:ascii="Verdana" w:hAnsi="Verdana" w:cs="Arial"/>
          <w:sz w:val="20"/>
          <w:lang w:val="es-MX" w:eastAsia="es-ES"/>
        </w:rPr>
        <w:lastRenderedPageBreak/>
        <w:t xml:space="preserve">actividad o actuaciones del asociado. De todos modos, la entidad debe adelantar un proceso competitivo, salvo cuando la ESAL comprometa recursos en dinero para la ejecución de estas actividades, en una proporción no inferior al 30% del valor total del convenio. </w:t>
      </w:r>
    </w:p>
    <w:p w14:paraId="78841B3E" w14:textId="77777777" w:rsidR="00AE444D" w:rsidRPr="00AE444D" w:rsidRDefault="00AE444D" w:rsidP="00AE444D">
      <w:pPr>
        <w:spacing w:after="0" w:line="240" w:lineRule="auto"/>
        <w:jc w:val="both"/>
        <w:rPr>
          <w:rFonts w:ascii="Verdana" w:hAnsi="Verdana" w:cs="Arial"/>
          <w:sz w:val="20"/>
          <w:lang w:val="es-MX" w:eastAsia="es-ES"/>
        </w:rPr>
      </w:pPr>
    </w:p>
    <w:p w14:paraId="7F16148D" w14:textId="77777777" w:rsidR="00AE444D" w:rsidRPr="00AE444D" w:rsidRDefault="00AE444D" w:rsidP="00AE444D">
      <w:pPr>
        <w:spacing w:after="0" w:line="240" w:lineRule="auto"/>
        <w:jc w:val="both"/>
        <w:rPr>
          <w:rFonts w:ascii="Verdana" w:hAnsi="Verdana" w:cs="Arial"/>
          <w:sz w:val="20"/>
          <w:lang w:val="es-MX" w:eastAsia="es-ES"/>
        </w:rPr>
      </w:pPr>
      <w:r w:rsidRPr="00AE444D">
        <w:rPr>
          <w:rFonts w:ascii="Verdana" w:hAnsi="Verdana" w:cs="Arial"/>
          <w:sz w:val="20"/>
          <w:lang w:val="es-MX" w:eastAsia="es-ES"/>
        </w:rPr>
        <w:t xml:space="preserve">De conformidad con el inciso segundo del artículo 96 de la Ley 489 de 1998, en estos convenios debe determinarse “con precisión su objeto, término, obligaciones de las partes, aportes, coordinación y todos aquellos aspectos que se consideren pertinentes”, elementos dentro de los que resalta la exigencia de aportes, que debe interpretarse en el sentido de que las ESAL deben realizar aportes a los convenios que suscriban, los cuales pueden ser en dinero, en porcentajes inferiores o superiores al 30%, o en especie, los cuales deben servir al desarrollo de los objetivos comunes de la asociación. </w:t>
      </w:r>
    </w:p>
    <w:p w14:paraId="0D1F6F52" w14:textId="77777777" w:rsidR="00AE444D" w:rsidRPr="00AE444D" w:rsidRDefault="00AE444D" w:rsidP="00AE444D">
      <w:pPr>
        <w:spacing w:after="0" w:line="240" w:lineRule="auto"/>
        <w:jc w:val="both"/>
        <w:rPr>
          <w:rFonts w:ascii="Verdana" w:hAnsi="Verdana" w:cs="Arial"/>
          <w:b/>
          <w:lang w:val="es-MX" w:eastAsia="es-ES"/>
        </w:rPr>
      </w:pPr>
    </w:p>
    <w:p w14:paraId="09FE4747" w14:textId="77777777" w:rsidR="00AE444D" w:rsidRPr="00AE444D" w:rsidRDefault="00AE444D" w:rsidP="00AE444D">
      <w:pPr>
        <w:spacing w:after="0" w:line="240" w:lineRule="auto"/>
        <w:jc w:val="both"/>
        <w:rPr>
          <w:rFonts w:ascii="Verdana" w:hAnsi="Verdana" w:cs="Arial"/>
          <w:b/>
          <w:lang w:val="es-ES" w:eastAsia="es-ES"/>
        </w:rPr>
      </w:pPr>
      <w:r w:rsidRPr="00AE444D">
        <w:rPr>
          <w:rFonts w:ascii="Verdana" w:hAnsi="Verdana" w:cs="Arial"/>
          <w:b/>
          <w:lang w:val="es-ES" w:eastAsia="es-ES"/>
        </w:rPr>
        <w:t xml:space="preserve">CONVENIOS DE ASOCIACIÓN – Requisitos – Nueva Guía para la contratación con Entidades Sin Ánimo de Lucro y reconocida idoneidad </w:t>
      </w:r>
    </w:p>
    <w:p w14:paraId="7B0121E4" w14:textId="77777777" w:rsidR="00AE444D" w:rsidRPr="00AE444D" w:rsidRDefault="00AE444D" w:rsidP="00AE444D">
      <w:pPr>
        <w:spacing w:after="0" w:line="240" w:lineRule="auto"/>
        <w:jc w:val="both"/>
        <w:rPr>
          <w:rFonts w:ascii="Verdana" w:hAnsi="Verdana" w:cs="Arial"/>
          <w:b/>
          <w:lang w:val="es-ES" w:eastAsia="es-ES"/>
        </w:rPr>
      </w:pPr>
    </w:p>
    <w:p w14:paraId="757E2362" w14:textId="77777777" w:rsidR="00AE444D" w:rsidRPr="00AE444D" w:rsidRDefault="00AE444D" w:rsidP="00AE444D">
      <w:pPr>
        <w:spacing w:after="0" w:line="240" w:lineRule="auto"/>
        <w:jc w:val="both"/>
        <w:rPr>
          <w:rFonts w:ascii="Verdana" w:hAnsi="Verdana" w:cs="Arial"/>
          <w:sz w:val="20"/>
          <w:lang w:eastAsia="es-ES"/>
        </w:rPr>
      </w:pPr>
      <w:r w:rsidRPr="00AE444D">
        <w:rPr>
          <w:rFonts w:ascii="Verdana" w:hAnsi="Verdana" w:cs="Arial"/>
          <w:sz w:val="20"/>
          <w:lang w:val="es-MX" w:eastAsia="es-ES"/>
        </w:rPr>
        <w:t xml:space="preserve">A partir de lo expuesto, se encuentra que en la Nueva </w:t>
      </w:r>
      <w:r w:rsidRPr="00AE444D">
        <w:rPr>
          <w:rFonts w:ascii="Verdana" w:hAnsi="Verdana" w:cs="Arial"/>
          <w:bCs/>
          <w:sz w:val="20"/>
          <w:lang w:eastAsia="es-ES"/>
        </w:rPr>
        <w:t>“</w:t>
      </w:r>
      <w:r w:rsidRPr="00AE444D">
        <w:rPr>
          <w:rFonts w:ascii="Verdana" w:hAnsi="Verdana" w:cs="Arial"/>
          <w:bCs/>
          <w:i/>
          <w:iCs/>
          <w:sz w:val="20"/>
          <w:lang w:eastAsia="es-ES"/>
        </w:rPr>
        <w:t xml:space="preserve">Guía para la contratación con entidades privadas sin ánimo de lucro y de reconocida idoneidad” </w:t>
      </w:r>
      <w:r w:rsidRPr="00AE444D">
        <w:rPr>
          <w:rFonts w:ascii="Verdana" w:hAnsi="Verdana" w:cs="Arial"/>
          <w:sz w:val="20"/>
          <w:lang w:val="es-MX" w:eastAsia="es-ES"/>
        </w:rPr>
        <w:t>se establece tres condiciones para contratar mediante convenios de asociación: en primer lugar, e</w:t>
      </w:r>
      <w:r w:rsidRPr="00AE444D">
        <w:rPr>
          <w:rFonts w:ascii="Verdana" w:hAnsi="Verdana" w:cs="Arial"/>
          <w:sz w:val="20"/>
          <w:lang w:eastAsia="es-ES"/>
        </w:rPr>
        <w:t>l convenio de asociación debe suscribirse mediante un proceso competitivo con Entidades Privadas Sin Ánimo de Lucro de reconocida idoneidad, con la condición de que el aporte de la Entidad Privada Sin Ánimo de Lucro sea inferior al 30% en dinero propio o de cooperación internacional. En segundo lugar, la suscripción del convenio de asociación del convenio de asociación no está sujeto a un proceso competitivo cuando la Entidad Privada Sin Ánimo de Lucro comprometa recursos en dinero propio o de cooperación internacional para la ejecución de las actividades en un porcentaje no inferior al 30% del valor total del convenio. Por último, si más de una Entidad Privada Sin Ánimo de Lucro promete recursos en dinero para el desarrollo de las actividades del convenio de asociación en un porcentaje no inferior al 30% del valor total del convenio, la Entidad debe seleccionar de forma objetiva y con justificación las razones para dicha selección.</w:t>
      </w:r>
    </w:p>
    <w:p w14:paraId="55C59229" w14:textId="38360AA7" w:rsidR="00AE444D" w:rsidRPr="00AE444D" w:rsidRDefault="00AE444D" w:rsidP="00AE444D">
      <w:pPr>
        <w:spacing w:after="0" w:line="240" w:lineRule="auto"/>
        <w:jc w:val="both"/>
        <w:rPr>
          <w:rFonts w:ascii="Verdana" w:hAnsi="Verdana"/>
          <w:b/>
        </w:rPr>
      </w:pPr>
    </w:p>
    <w:p w14:paraId="2249E889" w14:textId="77777777" w:rsidR="00AE444D" w:rsidRPr="00AE444D" w:rsidRDefault="00AE444D" w:rsidP="00AE444D">
      <w:pPr>
        <w:spacing w:after="0" w:line="240" w:lineRule="auto"/>
        <w:jc w:val="both"/>
        <w:rPr>
          <w:rFonts w:ascii="Verdana" w:hAnsi="Verdana" w:cs="Arial"/>
          <w:b/>
          <w:bCs/>
          <w:lang w:val="es-ES" w:eastAsia="es-ES"/>
        </w:rPr>
      </w:pPr>
      <w:r w:rsidRPr="00AE444D">
        <w:rPr>
          <w:rFonts w:ascii="Verdana" w:hAnsi="Verdana" w:cs="Arial"/>
          <w:b/>
          <w:bCs/>
          <w:lang w:val="es-ES" w:eastAsia="es-ES"/>
        </w:rPr>
        <w:t>INTEGRACIÓN NORMATIVA – Convenios de asociación – Reglas – – inaplicabilidad del anticipo y pago anticipado</w:t>
      </w:r>
      <w:r w:rsidRPr="00AE444D">
        <w:rPr>
          <w:rFonts w:ascii="Verdana" w:hAnsi="Verdana" w:cs="Arial"/>
          <w:b/>
          <w:bCs/>
          <w:lang w:val="es-ES" w:eastAsia="es-ES"/>
        </w:rPr>
        <w:t xml:space="preserve"> </w:t>
      </w:r>
    </w:p>
    <w:p w14:paraId="7545E676" w14:textId="57A042CD" w:rsidR="00AE444D" w:rsidRDefault="00AE444D" w:rsidP="00AE444D">
      <w:pPr>
        <w:spacing w:after="0" w:line="240" w:lineRule="auto"/>
        <w:jc w:val="both"/>
        <w:rPr>
          <w:rFonts w:ascii="Verdana" w:hAnsi="Verdana" w:cs="Arial"/>
          <w:b/>
          <w:bCs/>
          <w:lang w:val="es-ES" w:eastAsia="es-ES"/>
        </w:rPr>
      </w:pPr>
    </w:p>
    <w:p w14:paraId="508640BF" w14:textId="77777777" w:rsidR="00AE444D" w:rsidRPr="00AE444D" w:rsidRDefault="00AE444D" w:rsidP="00AE444D">
      <w:pPr>
        <w:spacing w:after="0" w:line="240" w:lineRule="auto"/>
        <w:jc w:val="both"/>
        <w:rPr>
          <w:rFonts w:ascii="Verdana" w:hAnsi="Verdana" w:cs="Arial"/>
          <w:bCs/>
          <w:sz w:val="20"/>
          <w:lang w:val="es-ES" w:eastAsia="es-ES"/>
        </w:rPr>
      </w:pPr>
      <w:r w:rsidRPr="00AE444D">
        <w:rPr>
          <w:rFonts w:ascii="Verdana" w:hAnsi="Verdana" w:cs="Arial"/>
          <w:bCs/>
          <w:sz w:val="20"/>
          <w:lang w:val="es-ES" w:eastAsia="es-ES"/>
        </w:rPr>
        <w:t xml:space="preserve">Ahora bien, esta remisión del artículo 8 del Decreto 092 de 2017 no puede integrarse de plano con las normas del Estatuto General de Contratación de la Administración Pública, sin tener en cuenta las características y condiciones especiales de los diferentes tipos de convenios que se suscribe bajo el amparo del artículo 355 de la Constitución Política y cuya reglamentación está dispuesta en el Decreto 092 de 2017. Al respecto, el Concepto C-557 de 2025 precisó que el anticipo y el pago anticipado son instituciones propias de contratos conmutativos donde existe contraprestación económica, por lo que no aplican de manera integral en convenios de asociación, contratos de colaboración o de interés público y convenios solidarios, caracterizados por su naturaleza no onerosa. Sin embargo, aclaró que ello no impide que las partes incluyan cláusulas que permitan el desembolso temprano de recursos, garantizando que las entidades sin ánimo de lucro </w:t>
      </w:r>
      <w:r w:rsidRPr="00AE444D">
        <w:rPr>
          <w:rFonts w:ascii="Verdana" w:hAnsi="Verdana" w:cs="Arial"/>
          <w:bCs/>
          <w:sz w:val="20"/>
          <w:lang w:val="es-ES" w:eastAsia="es-ES"/>
        </w:rPr>
        <w:lastRenderedPageBreak/>
        <w:t>ejecutoras cuenten con fondos iniciales para poner en marcha los proyectos. En este sentido, se recomienda que los giros se vinculen a las fases y cronograma de ejecución, a partir de condiciones administrativas claras que faciliten la gestión entre las partes, como lo ejemplifica el documento tipo para convenios solidarios que, en su “Cláusula 7 Giro de los recursos”, ofrece tres alternativas para que la entidad estatal seleccione el mecanismo más adecuado a las características de cada convenio.</w:t>
      </w:r>
    </w:p>
    <w:p w14:paraId="3A2F9381" w14:textId="77777777" w:rsidR="00AE444D" w:rsidRPr="00AE444D" w:rsidRDefault="00AE444D" w:rsidP="00AE444D">
      <w:pPr>
        <w:spacing w:after="0" w:line="240" w:lineRule="auto"/>
        <w:jc w:val="both"/>
        <w:rPr>
          <w:rFonts w:ascii="Verdana" w:hAnsi="Verdana" w:cs="Arial"/>
          <w:b/>
          <w:bCs/>
          <w:lang w:val="es-ES" w:eastAsia="es-ES"/>
        </w:rPr>
      </w:pPr>
    </w:p>
    <w:p w14:paraId="0DC08300" w14:textId="77777777" w:rsidR="00AE444D" w:rsidRPr="00AE444D" w:rsidRDefault="00AE444D" w:rsidP="00AE444D">
      <w:pPr>
        <w:spacing w:after="0" w:line="240" w:lineRule="auto"/>
        <w:jc w:val="both"/>
        <w:rPr>
          <w:rFonts w:ascii="Verdana" w:hAnsi="Verdana" w:cs="Arial"/>
          <w:b/>
          <w:bCs/>
          <w:lang w:val="es-ES_tradnl" w:eastAsia="es-ES"/>
        </w:rPr>
      </w:pPr>
      <w:r w:rsidRPr="00AE444D">
        <w:rPr>
          <w:rFonts w:ascii="Verdana" w:hAnsi="Verdana" w:cs="Arial"/>
          <w:b/>
          <w:bCs/>
          <w:lang w:val="es-ES" w:eastAsia="es-ES"/>
        </w:rPr>
        <w:t xml:space="preserve">INTEGRACIÓN NORMATIVA - </w:t>
      </w:r>
      <w:r w:rsidRPr="00AE444D">
        <w:rPr>
          <w:rFonts w:ascii="Verdana" w:hAnsi="Verdana" w:cs="Arial"/>
          <w:b/>
          <w:bCs/>
          <w:lang w:val="es-ES_tradnl" w:eastAsia="es-ES"/>
        </w:rPr>
        <w:t>Garantías – Finalidad</w:t>
      </w:r>
      <w:r w:rsidRPr="00AE444D">
        <w:rPr>
          <w:rFonts w:ascii="Verdana" w:hAnsi="Verdana" w:cs="Arial"/>
          <w:b/>
          <w:bCs/>
          <w:lang w:val="es-ES_tradnl" w:eastAsia="es-ES"/>
        </w:rPr>
        <w:t xml:space="preserve"> </w:t>
      </w:r>
    </w:p>
    <w:p w14:paraId="589E2D81" w14:textId="0E633C28" w:rsidR="00AE444D" w:rsidRDefault="00AE444D" w:rsidP="00AE444D">
      <w:pPr>
        <w:spacing w:after="0" w:line="240" w:lineRule="auto"/>
        <w:jc w:val="both"/>
        <w:rPr>
          <w:rFonts w:ascii="Verdana" w:hAnsi="Verdana" w:cs="Arial"/>
          <w:b/>
          <w:bCs/>
          <w:lang w:val="es-ES_tradnl" w:eastAsia="es-ES"/>
        </w:rPr>
      </w:pPr>
    </w:p>
    <w:p w14:paraId="100772FF" w14:textId="28967467" w:rsidR="00AE444D" w:rsidRPr="00AE444D" w:rsidRDefault="00AE444D" w:rsidP="00AE444D">
      <w:pPr>
        <w:spacing w:after="0" w:line="240" w:lineRule="auto"/>
        <w:jc w:val="both"/>
        <w:rPr>
          <w:rFonts w:ascii="Verdana" w:hAnsi="Verdana" w:cs="Arial"/>
          <w:bCs/>
          <w:sz w:val="20"/>
          <w:lang w:val="es-ES_tradnl" w:eastAsia="es-ES"/>
        </w:rPr>
      </w:pPr>
      <w:r w:rsidRPr="00AE444D">
        <w:rPr>
          <w:rFonts w:ascii="Verdana" w:hAnsi="Verdana" w:cs="Arial"/>
          <w:bCs/>
          <w:sz w:val="20"/>
          <w:lang w:val="es-ES_tradnl" w:eastAsia="es-ES"/>
        </w:rPr>
        <w:t xml:space="preserve">El Estatuto General de Contratación de la Administración Pública exige, por regla general, en los procesos de contratación pública </w:t>
      </w:r>
      <w:r w:rsidRPr="00AE444D">
        <w:rPr>
          <w:rFonts w:ascii="Verdana" w:hAnsi="Verdana" w:cs="Arial"/>
          <w:bCs/>
          <w:sz w:val="20"/>
          <w:lang w:val="es-ES" w:eastAsia="es-ES"/>
        </w:rPr>
        <w:t>la constitución de garantías, ya sea en la etapa precontractual, contractual o postcontractual, con el fin de evitar o mitigar posibles riesgos</w:t>
      </w:r>
      <w:r w:rsidRPr="00AE444D">
        <w:rPr>
          <w:rFonts w:ascii="Verdana" w:hAnsi="Verdana" w:cs="Arial"/>
          <w:bCs/>
          <w:sz w:val="20"/>
          <w:lang w:val="es-ES_tradnl" w:eastAsia="es-ES"/>
        </w:rPr>
        <w:t>. En esa orientación, el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w:t>
      </w:r>
    </w:p>
    <w:p w14:paraId="2EFC605F" w14:textId="77777777" w:rsidR="00AE444D" w:rsidRPr="00AE444D" w:rsidRDefault="00AE444D" w:rsidP="00AE444D">
      <w:pPr>
        <w:spacing w:after="0" w:line="240" w:lineRule="auto"/>
        <w:jc w:val="both"/>
        <w:rPr>
          <w:rFonts w:ascii="Verdana" w:hAnsi="Verdana" w:cs="Arial"/>
          <w:b/>
          <w:bCs/>
          <w:lang w:val="es-ES_tradnl" w:eastAsia="es-ES"/>
        </w:rPr>
      </w:pPr>
    </w:p>
    <w:p w14:paraId="0C4369EF" w14:textId="4986EF7B" w:rsidR="00AE444D" w:rsidRPr="00AE444D" w:rsidRDefault="00AE444D" w:rsidP="00AE444D">
      <w:pPr>
        <w:spacing w:after="0" w:line="240" w:lineRule="auto"/>
        <w:jc w:val="both"/>
        <w:rPr>
          <w:rFonts w:ascii="Verdana" w:hAnsi="Verdana"/>
          <w:b/>
        </w:rPr>
      </w:pPr>
      <w:r w:rsidRPr="00AE444D">
        <w:rPr>
          <w:rFonts w:ascii="Verdana" w:hAnsi="Verdana" w:cs="Arial"/>
          <w:b/>
          <w:bCs/>
          <w:lang w:val="es-ES_tradnl" w:eastAsia="es-ES"/>
        </w:rPr>
        <w:t>GARANTÍAS – Convenios de Asociación – Procedencia – Amparo de Cumplimiento – Mecanismos de Cobertura de Riesgos.</w:t>
      </w:r>
    </w:p>
    <w:p w14:paraId="5DE5C80E" w14:textId="77777777" w:rsidR="00AE444D" w:rsidRDefault="00AE444D" w:rsidP="003878CE">
      <w:pPr>
        <w:spacing w:after="0"/>
        <w:rPr>
          <w:rFonts w:ascii="Verdana" w:hAnsi="Verdana"/>
        </w:rPr>
      </w:pPr>
    </w:p>
    <w:p w14:paraId="131A5DF3" w14:textId="66B71EF7" w:rsidR="00AE444D" w:rsidRDefault="00AE444D" w:rsidP="00AE444D">
      <w:pPr>
        <w:spacing w:after="0"/>
        <w:jc w:val="both"/>
        <w:rPr>
          <w:rFonts w:ascii="Verdana" w:hAnsi="Verdana"/>
          <w:sz w:val="20"/>
          <w:lang w:val="es-ES"/>
        </w:rPr>
      </w:pPr>
      <w:r w:rsidRPr="00AE444D">
        <w:rPr>
          <w:rFonts w:ascii="Verdana" w:hAnsi="Verdana"/>
          <w:sz w:val="20"/>
          <w:lang w:val="es-ES"/>
        </w:rPr>
        <w:t xml:space="preserve">Teniendo en cuenta esta explicación, es pertinente precisar que como se señaló previamente el buen manejo y correcta inversión del anticipo y la devolución del pago anticipado no son exigibles en los convenios de asociación. No obstante, frente a desembolsos tempranos estipulados en estos convenios, es posible exigir como forma o mecanismo para mitigar riesgos, el amparo de cumplimiento, la cual protege a la entidad de los perjuicios que puedan ocasionarse con el incumplimiento total o parcial del contrato, el cumplimiento tardío o defectuoso, los daños por entregas parciales, cuando el contrato no prevé entregas parciales, y el valor de las multas y de la cláusula penal pecuniaria. En tal sentido, el </w:t>
      </w:r>
      <w:r w:rsidRPr="00AE444D">
        <w:rPr>
          <w:rFonts w:ascii="Verdana" w:hAnsi="Verdana"/>
          <w:i/>
          <w:iCs/>
          <w:sz w:val="20"/>
          <w:lang w:val="es-ES"/>
        </w:rPr>
        <w:t>amparo de cumplimiento</w:t>
      </w:r>
      <w:r w:rsidRPr="00AE444D">
        <w:rPr>
          <w:rFonts w:ascii="Verdana" w:hAnsi="Verdana"/>
          <w:sz w:val="20"/>
          <w:lang w:val="es-ES"/>
        </w:rPr>
        <w:t xml:space="preserve"> tiene como objeto proteger a la entidad de los riesgos que puedan concretarse durante la etapa de ejecución del convenio de asociación, en especial, de aquellos derivados de incumplimientos o conductas imputables del asociado de la entidad pública. De esta manera, el propósito fundamental del amparo de cumplimiento es blindar a la entidad durante la fase de ejecución del convenio, especialmente frente a conductas atribuibles al asociado que puedan comprometer el éxito del proyecto. Este mecanismo no solo mitiga los riesgos inherentes a la gestión contractual, sino que también fomenta la disciplina y el compromiso del asociado, incentivando el cumplimiento oportuno y adecuado de las obligaciones pactadas.</w:t>
      </w:r>
    </w:p>
    <w:p w14:paraId="1A2BCA51" w14:textId="77777777" w:rsidR="00AE444D" w:rsidRPr="00AE444D" w:rsidRDefault="00AE444D" w:rsidP="00AE444D">
      <w:pPr>
        <w:spacing w:after="0"/>
        <w:jc w:val="both"/>
        <w:rPr>
          <w:rFonts w:ascii="Verdana" w:hAnsi="Verdana"/>
          <w:sz w:val="20"/>
          <w:lang w:val="es-ES"/>
        </w:rPr>
      </w:pPr>
    </w:p>
    <w:p w14:paraId="1E49C732" w14:textId="04D0DFC6" w:rsidR="00AE444D" w:rsidRDefault="00AE444D" w:rsidP="00AE444D">
      <w:pPr>
        <w:spacing w:after="0"/>
        <w:jc w:val="both"/>
        <w:rPr>
          <w:rFonts w:ascii="Verdana" w:hAnsi="Verdana"/>
          <w:sz w:val="20"/>
        </w:rPr>
      </w:pPr>
      <w:r w:rsidRPr="00AE444D">
        <w:rPr>
          <w:rFonts w:ascii="Verdana" w:hAnsi="Verdana"/>
          <w:sz w:val="20"/>
        </w:rPr>
        <w:t xml:space="preserve">De igual modo, es posible establecer como mecanismo de cobertura de riesgos a los desembolsos tempranos, las cuentas conjuntas bajo la modalidad de convenios y contratos, que son instrumentos financieros creados para administrar de forma </w:t>
      </w:r>
      <w:r w:rsidRPr="00AE444D">
        <w:rPr>
          <w:rFonts w:ascii="Verdana" w:hAnsi="Verdana"/>
          <w:sz w:val="20"/>
        </w:rPr>
        <w:lastRenderedPageBreak/>
        <w:t xml:space="preserve">transparente y ordenada los recursos destinados a proyectos interinstitucionales o acuerdos con terceros. Su principal propósito es garantizar que los fondos se manejen con corresponsabilidad entre las partes, evitando confusiones sobre la titularidad y asegurando que cada movimiento esté respaldado por documentos válidos. </w:t>
      </w:r>
    </w:p>
    <w:p w14:paraId="5C255990" w14:textId="77777777" w:rsidR="00AE444D" w:rsidRPr="00AE444D" w:rsidRDefault="00AE444D" w:rsidP="00AE444D">
      <w:pPr>
        <w:spacing w:after="0"/>
        <w:jc w:val="both"/>
        <w:rPr>
          <w:rFonts w:ascii="Verdana" w:hAnsi="Verdana"/>
          <w:sz w:val="20"/>
        </w:rPr>
      </w:pPr>
    </w:p>
    <w:p w14:paraId="0F6B931F" w14:textId="77777777" w:rsidR="00AE444D" w:rsidRPr="00AE444D" w:rsidRDefault="00AE444D" w:rsidP="00AE444D">
      <w:pPr>
        <w:spacing w:after="0"/>
        <w:jc w:val="both"/>
        <w:rPr>
          <w:rFonts w:ascii="Verdana" w:hAnsi="Verdana"/>
          <w:sz w:val="20"/>
        </w:rPr>
      </w:pPr>
      <w:r w:rsidRPr="00AE444D">
        <w:rPr>
          <w:rFonts w:ascii="Verdana" w:hAnsi="Verdana"/>
          <w:sz w:val="20"/>
        </w:rPr>
        <w:t xml:space="preserve">La administración y gestión adecuada de estas cuentas implica reglas claras sobre ingresos, egresos y conciliaciones periódicas, además de informes financieros que permitan verificar el uso correcto de los recursos. Al finalizar el convenio o contrato, debe realizarse un cierre formal con acta y reporte del saldo final, asegurando que cualquier recurso no ejecutado tenga un destino definido. En todo caso, la entidad pública deberá revisar mecanismos de cobertura de riesgos que garanticen una administración y mitigación de riesgos ante desembolsos tempranos.  </w:t>
      </w:r>
    </w:p>
    <w:p w14:paraId="2BC0EEBF" w14:textId="4B3AA17B" w:rsidR="00AE444D" w:rsidRDefault="00AE444D" w:rsidP="003878CE">
      <w:pPr>
        <w:spacing w:after="0"/>
        <w:rPr>
          <w:rFonts w:ascii="Verdana" w:hAnsi="Verdana"/>
        </w:rPr>
      </w:pPr>
    </w:p>
    <w:p w14:paraId="2351B8A3" w14:textId="1C1B5695" w:rsidR="00AE444D" w:rsidRDefault="00AE444D" w:rsidP="003878CE">
      <w:pPr>
        <w:spacing w:after="0"/>
        <w:rPr>
          <w:rFonts w:ascii="Verdana" w:hAnsi="Verdana"/>
        </w:rPr>
      </w:pPr>
    </w:p>
    <w:p w14:paraId="5FD55CAE" w14:textId="55761A09" w:rsidR="00AE444D" w:rsidRDefault="00AE444D" w:rsidP="003878CE">
      <w:pPr>
        <w:spacing w:after="0"/>
        <w:rPr>
          <w:rFonts w:ascii="Verdana" w:hAnsi="Verdana"/>
        </w:rPr>
      </w:pPr>
    </w:p>
    <w:p w14:paraId="2ED1A88E" w14:textId="58E5F3B4" w:rsidR="00AE444D" w:rsidRDefault="00AE444D" w:rsidP="003878CE">
      <w:pPr>
        <w:spacing w:after="0"/>
        <w:rPr>
          <w:rFonts w:ascii="Verdana" w:hAnsi="Verdana"/>
        </w:rPr>
      </w:pPr>
    </w:p>
    <w:p w14:paraId="08C32313" w14:textId="46BD5333" w:rsidR="00AE444D" w:rsidRDefault="00AE444D" w:rsidP="003878CE">
      <w:pPr>
        <w:spacing w:after="0"/>
        <w:rPr>
          <w:rFonts w:ascii="Verdana" w:hAnsi="Verdana"/>
        </w:rPr>
      </w:pPr>
    </w:p>
    <w:p w14:paraId="682DAF8E" w14:textId="5FB5D1CB" w:rsidR="00AE444D" w:rsidRDefault="00AE444D" w:rsidP="003878CE">
      <w:pPr>
        <w:spacing w:after="0"/>
        <w:rPr>
          <w:rFonts w:ascii="Verdana" w:hAnsi="Verdana"/>
        </w:rPr>
      </w:pPr>
    </w:p>
    <w:p w14:paraId="5D3E3A14" w14:textId="69643C48" w:rsidR="00AE444D" w:rsidRDefault="00AE444D" w:rsidP="003878CE">
      <w:pPr>
        <w:spacing w:after="0"/>
        <w:rPr>
          <w:rFonts w:ascii="Verdana" w:hAnsi="Verdana"/>
        </w:rPr>
      </w:pPr>
    </w:p>
    <w:p w14:paraId="456987BF" w14:textId="1E559195" w:rsidR="00AE444D" w:rsidRDefault="00AE444D" w:rsidP="003878CE">
      <w:pPr>
        <w:spacing w:after="0"/>
        <w:rPr>
          <w:rFonts w:ascii="Verdana" w:hAnsi="Verdana"/>
        </w:rPr>
      </w:pPr>
    </w:p>
    <w:p w14:paraId="53BEC6D0" w14:textId="44632D6B" w:rsidR="00AE444D" w:rsidRDefault="00AE444D" w:rsidP="003878CE">
      <w:pPr>
        <w:spacing w:after="0"/>
        <w:rPr>
          <w:rFonts w:ascii="Verdana" w:hAnsi="Verdana"/>
        </w:rPr>
      </w:pPr>
    </w:p>
    <w:p w14:paraId="2BD22E39" w14:textId="57BE1C51" w:rsidR="00AE444D" w:rsidRDefault="00AE444D" w:rsidP="003878CE">
      <w:pPr>
        <w:spacing w:after="0"/>
        <w:rPr>
          <w:rFonts w:ascii="Verdana" w:hAnsi="Verdana"/>
        </w:rPr>
      </w:pPr>
    </w:p>
    <w:p w14:paraId="33514105" w14:textId="6C4A79BD" w:rsidR="00AE444D" w:rsidRDefault="00AE444D" w:rsidP="003878CE">
      <w:pPr>
        <w:spacing w:after="0"/>
        <w:rPr>
          <w:rFonts w:ascii="Verdana" w:hAnsi="Verdana"/>
        </w:rPr>
      </w:pPr>
    </w:p>
    <w:p w14:paraId="002D2D1E" w14:textId="2C31A46C" w:rsidR="00AE444D" w:rsidRDefault="00AE444D" w:rsidP="003878CE">
      <w:pPr>
        <w:spacing w:after="0"/>
        <w:rPr>
          <w:rFonts w:ascii="Verdana" w:hAnsi="Verdana"/>
        </w:rPr>
      </w:pPr>
    </w:p>
    <w:p w14:paraId="077D8686" w14:textId="545ED884" w:rsidR="00AE444D" w:rsidRDefault="00AE444D" w:rsidP="003878CE">
      <w:pPr>
        <w:spacing w:after="0"/>
        <w:rPr>
          <w:rFonts w:ascii="Verdana" w:hAnsi="Verdana"/>
        </w:rPr>
      </w:pPr>
    </w:p>
    <w:p w14:paraId="55A51765" w14:textId="0075521D" w:rsidR="00AE444D" w:rsidRDefault="00AE444D" w:rsidP="003878CE">
      <w:pPr>
        <w:spacing w:after="0"/>
        <w:rPr>
          <w:rFonts w:ascii="Verdana" w:hAnsi="Verdana"/>
        </w:rPr>
      </w:pPr>
    </w:p>
    <w:p w14:paraId="2FDBC754" w14:textId="45D7A21D" w:rsidR="00AE444D" w:rsidRDefault="00AE444D" w:rsidP="003878CE">
      <w:pPr>
        <w:spacing w:after="0"/>
        <w:rPr>
          <w:rFonts w:ascii="Verdana" w:hAnsi="Verdana"/>
        </w:rPr>
      </w:pPr>
    </w:p>
    <w:p w14:paraId="7C7301F5" w14:textId="2C3A87EF" w:rsidR="00AE444D" w:rsidRDefault="00AE444D" w:rsidP="003878CE">
      <w:pPr>
        <w:spacing w:after="0"/>
        <w:rPr>
          <w:rFonts w:ascii="Verdana" w:hAnsi="Verdana"/>
        </w:rPr>
      </w:pPr>
    </w:p>
    <w:p w14:paraId="5C7D9EBC" w14:textId="6893E987" w:rsidR="00AE444D" w:rsidRDefault="00AE444D" w:rsidP="003878CE">
      <w:pPr>
        <w:spacing w:after="0"/>
        <w:rPr>
          <w:rFonts w:ascii="Verdana" w:hAnsi="Verdana"/>
        </w:rPr>
      </w:pPr>
    </w:p>
    <w:p w14:paraId="0D72C7BF" w14:textId="05DF0345" w:rsidR="00AE444D" w:rsidRDefault="00AE444D" w:rsidP="003878CE">
      <w:pPr>
        <w:spacing w:after="0"/>
        <w:rPr>
          <w:rFonts w:ascii="Verdana" w:hAnsi="Verdana"/>
        </w:rPr>
      </w:pPr>
    </w:p>
    <w:p w14:paraId="578D1CBF" w14:textId="2F0EDFD1" w:rsidR="00AE444D" w:rsidRDefault="00AE444D" w:rsidP="003878CE">
      <w:pPr>
        <w:spacing w:after="0"/>
        <w:rPr>
          <w:rFonts w:ascii="Verdana" w:hAnsi="Verdana"/>
        </w:rPr>
      </w:pPr>
    </w:p>
    <w:p w14:paraId="68AD148A" w14:textId="6AAEF25B" w:rsidR="00AE444D" w:rsidRDefault="00AE444D" w:rsidP="003878CE">
      <w:pPr>
        <w:spacing w:after="0"/>
        <w:rPr>
          <w:rFonts w:ascii="Verdana" w:hAnsi="Verdana"/>
        </w:rPr>
      </w:pPr>
    </w:p>
    <w:p w14:paraId="54948E62" w14:textId="2BFCA191" w:rsidR="00AE444D" w:rsidRDefault="00AE444D" w:rsidP="003878CE">
      <w:pPr>
        <w:spacing w:after="0"/>
        <w:rPr>
          <w:rFonts w:ascii="Verdana" w:hAnsi="Verdana"/>
        </w:rPr>
      </w:pPr>
    </w:p>
    <w:p w14:paraId="15CEF3FF" w14:textId="5708C991" w:rsidR="00AE444D" w:rsidRDefault="00AE444D" w:rsidP="003878CE">
      <w:pPr>
        <w:spacing w:after="0"/>
        <w:rPr>
          <w:rFonts w:ascii="Verdana" w:hAnsi="Verdana"/>
        </w:rPr>
      </w:pPr>
    </w:p>
    <w:p w14:paraId="0729953F" w14:textId="147DE8A9" w:rsidR="00AE444D" w:rsidRDefault="00AE444D" w:rsidP="003878CE">
      <w:pPr>
        <w:spacing w:after="0"/>
        <w:rPr>
          <w:rFonts w:ascii="Verdana" w:hAnsi="Verdana"/>
        </w:rPr>
      </w:pPr>
    </w:p>
    <w:p w14:paraId="3D5355D7" w14:textId="3B73C0B1" w:rsidR="00AE444D" w:rsidRDefault="00AE444D" w:rsidP="003878CE">
      <w:pPr>
        <w:spacing w:after="0"/>
        <w:rPr>
          <w:rFonts w:ascii="Verdana" w:hAnsi="Verdana"/>
        </w:rPr>
      </w:pPr>
    </w:p>
    <w:p w14:paraId="62B40CF5" w14:textId="6AF52437" w:rsidR="00AE444D" w:rsidRDefault="00AE444D" w:rsidP="003878CE">
      <w:pPr>
        <w:spacing w:after="0"/>
        <w:rPr>
          <w:rFonts w:ascii="Verdana" w:hAnsi="Verdana"/>
        </w:rPr>
      </w:pPr>
    </w:p>
    <w:p w14:paraId="597B455E" w14:textId="799B2103" w:rsidR="00AE444D" w:rsidRDefault="00AE444D" w:rsidP="003878CE">
      <w:pPr>
        <w:spacing w:after="0"/>
        <w:rPr>
          <w:rFonts w:ascii="Verdana" w:hAnsi="Verdana"/>
        </w:rPr>
      </w:pPr>
    </w:p>
    <w:p w14:paraId="4F4E60EE" w14:textId="10CD743B" w:rsidR="00AE444D" w:rsidRDefault="00AE444D" w:rsidP="003878CE">
      <w:pPr>
        <w:spacing w:after="0"/>
        <w:rPr>
          <w:rFonts w:ascii="Verdana" w:hAnsi="Verdana"/>
        </w:rPr>
      </w:pPr>
    </w:p>
    <w:p w14:paraId="3AA2E08C" w14:textId="39BF9085" w:rsidR="00AE444D" w:rsidRDefault="00AE444D" w:rsidP="003878CE">
      <w:pPr>
        <w:spacing w:after="0"/>
        <w:rPr>
          <w:rFonts w:ascii="Verdana" w:hAnsi="Verdana"/>
        </w:rPr>
      </w:pPr>
    </w:p>
    <w:p w14:paraId="544EB2FC" w14:textId="4B4B8883" w:rsidR="003878CE" w:rsidRPr="009C1EC5" w:rsidRDefault="00AE444D" w:rsidP="003878CE">
      <w:pPr>
        <w:spacing w:after="0"/>
        <w:rPr>
          <w:rFonts w:ascii="Verdana" w:hAnsi="Verdana"/>
        </w:rPr>
      </w:pPr>
      <w:r w:rsidRPr="00AE444D">
        <w:rPr>
          <w:rFonts w:ascii="Verdana" w:hAnsi="Verdana"/>
          <w:noProof/>
          <w:lang w:val="en-US"/>
        </w:rPr>
        <w:lastRenderedPageBreak/>
        <w:drawing>
          <wp:anchor distT="0" distB="0" distL="114300" distR="114300" simplePos="0" relativeHeight="251658240" behindDoc="0" locked="0" layoutInCell="1" allowOverlap="1" wp14:anchorId="3B8ABB84" wp14:editId="078A80D1">
            <wp:simplePos x="0" y="0"/>
            <wp:positionH relativeFrom="margin">
              <wp:posOffset>2685935</wp:posOffset>
            </wp:positionH>
            <wp:positionV relativeFrom="paragraph">
              <wp:posOffset>194541</wp:posOffset>
            </wp:positionV>
            <wp:extent cx="2861945" cy="789940"/>
            <wp:effectExtent l="0" t="0" r="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61945" cy="789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878CE" w:rsidRPr="0024624F">
        <w:rPr>
          <w:rFonts w:ascii="Verdana" w:hAnsi="Verdana"/>
        </w:rPr>
        <w:t xml:space="preserve">Bogotá D.C., </w:t>
      </w:r>
      <w:r>
        <w:rPr>
          <w:rFonts w:ascii="Verdana" w:hAnsi="Verdana"/>
        </w:rPr>
        <w:t>22 de diciembre de 2025</w:t>
      </w:r>
      <w:r w:rsidR="003878CE" w:rsidRPr="000E2B93">
        <w:rPr>
          <w:rFonts w:ascii="Verdana" w:hAnsi="Verdana"/>
        </w:rPr>
        <w:tab/>
      </w:r>
      <w:r w:rsidR="003878CE" w:rsidRPr="000E2B93">
        <w:rPr>
          <w:rFonts w:ascii="Verdana" w:hAnsi="Verdana"/>
        </w:rPr>
        <w:tab/>
      </w:r>
      <w:r w:rsidR="003878CE" w:rsidRPr="000E2B93">
        <w:rPr>
          <w:rFonts w:ascii="Verdana" w:hAnsi="Verdana"/>
        </w:rPr>
        <w:br/>
      </w:r>
    </w:p>
    <w:p w14:paraId="6A35419D" w14:textId="1CE6C148" w:rsidR="003878CE" w:rsidRPr="009C1EC5" w:rsidRDefault="003878CE" w:rsidP="003878CE">
      <w:pPr>
        <w:spacing w:after="0" w:line="240" w:lineRule="auto"/>
        <w:rPr>
          <w:rFonts w:ascii="Verdana" w:hAnsi="Verdana"/>
        </w:rPr>
      </w:pPr>
    </w:p>
    <w:p w14:paraId="18231C99" w14:textId="77777777" w:rsidR="003878CE" w:rsidRPr="00926D8E" w:rsidRDefault="003878CE" w:rsidP="003878CE">
      <w:pPr>
        <w:spacing w:after="0" w:line="240" w:lineRule="auto"/>
        <w:rPr>
          <w:rFonts w:ascii="Verdana" w:eastAsia="Calibri" w:hAnsi="Verdana" w:cs="Times New Roman"/>
          <w:lang w:val="es-MX"/>
        </w:rPr>
      </w:pPr>
      <w:r w:rsidRPr="00926D8E">
        <w:rPr>
          <w:rFonts w:ascii="Verdana" w:eastAsia="Calibri" w:hAnsi="Verdana" w:cs="Times New Roman"/>
          <w:lang w:val="es-MX"/>
        </w:rPr>
        <w:t>Señor</w:t>
      </w:r>
    </w:p>
    <w:p w14:paraId="160CD707" w14:textId="77777777" w:rsidR="003878CE" w:rsidRPr="00926D8E" w:rsidRDefault="003878CE" w:rsidP="003878CE">
      <w:pPr>
        <w:spacing w:after="0" w:line="240" w:lineRule="auto"/>
        <w:rPr>
          <w:rFonts w:ascii="Verdana" w:eastAsia="Calibri" w:hAnsi="Verdana" w:cs="Times New Roman"/>
          <w:b/>
        </w:rPr>
      </w:pPr>
      <w:r w:rsidRPr="00926D8E">
        <w:rPr>
          <w:rFonts w:ascii="Verdana" w:eastAsia="Calibri" w:hAnsi="Verdana" w:cs="Times New Roman"/>
          <w:b/>
        </w:rPr>
        <w:t>Fernando José Gutiérrez Ibáñez</w:t>
      </w:r>
    </w:p>
    <w:p w14:paraId="05A1D8ED" w14:textId="77777777" w:rsidR="003878CE" w:rsidRPr="00926D8E" w:rsidRDefault="00CD3186" w:rsidP="003878CE">
      <w:pPr>
        <w:spacing w:after="0" w:line="240" w:lineRule="auto"/>
        <w:rPr>
          <w:rFonts w:ascii="Verdana" w:hAnsi="Verdana"/>
        </w:rPr>
      </w:pPr>
      <w:hyperlink r:id="rId12" w:history="1">
        <w:r w:rsidR="003878CE" w:rsidRPr="00926D8E">
          <w:rPr>
            <w:rStyle w:val="Hipervnculo"/>
            <w:rFonts w:ascii="Verdana" w:hAnsi="Verdana"/>
          </w:rPr>
          <w:t>fernandog213@hotmail.com</w:t>
        </w:r>
      </w:hyperlink>
      <w:r w:rsidR="003878CE" w:rsidRPr="00926D8E">
        <w:rPr>
          <w:rFonts w:ascii="Verdana" w:hAnsi="Verdana"/>
        </w:rPr>
        <w:t xml:space="preserve"> </w:t>
      </w:r>
    </w:p>
    <w:p w14:paraId="2D0BA41C" w14:textId="77777777" w:rsidR="003878CE" w:rsidRPr="00926D8E" w:rsidRDefault="003878CE" w:rsidP="003878CE">
      <w:pPr>
        <w:spacing w:after="0" w:line="240" w:lineRule="auto"/>
        <w:rPr>
          <w:rFonts w:ascii="Verdana" w:eastAsia="Calibri" w:hAnsi="Verdana" w:cs="Times New Roman"/>
        </w:rPr>
      </w:pPr>
      <w:r w:rsidRPr="00926D8E">
        <w:rPr>
          <w:rFonts w:ascii="Verdana" w:eastAsia="Calibri" w:hAnsi="Verdana" w:cs="Times New Roman"/>
        </w:rPr>
        <w:t>Bogotá D.C.</w:t>
      </w:r>
    </w:p>
    <w:p w14:paraId="32A39FDD" w14:textId="77777777" w:rsidR="003878CE" w:rsidRPr="00926D8E" w:rsidRDefault="003878CE" w:rsidP="003878CE">
      <w:pPr>
        <w:spacing w:after="0" w:line="240" w:lineRule="auto"/>
        <w:rPr>
          <w:rFonts w:ascii="Verdana" w:eastAsia="Calibri" w:hAnsi="Verdana" w:cs="Times New Roman"/>
        </w:rPr>
      </w:pPr>
    </w:p>
    <w:p w14:paraId="4A38A505" w14:textId="77777777" w:rsidR="003878CE" w:rsidRPr="00926D8E" w:rsidRDefault="003878CE" w:rsidP="003878CE">
      <w:pPr>
        <w:spacing w:after="0" w:line="240" w:lineRule="auto"/>
        <w:rPr>
          <w:rFonts w:ascii="Verdana" w:eastAsia="Calibri" w:hAnsi="Verdana" w:cs="Times New Roman"/>
        </w:rPr>
      </w:pPr>
    </w:p>
    <w:p w14:paraId="7A1F9272" w14:textId="77777777" w:rsidR="003878CE" w:rsidRPr="00926D8E" w:rsidRDefault="003878CE" w:rsidP="003878CE">
      <w:pPr>
        <w:spacing w:after="0" w:line="256" w:lineRule="auto"/>
        <w:rPr>
          <w:rFonts w:ascii="Verdana" w:eastAsia="Calibri" w:hAnsi="Verdana" w:cs="Times New Roman"/>
          <w:b/>
          <w:bCs/>
          <w:lang w:val="es-ES"/>
        </w:rPr>
      </w:pPr>
      <w:r w:rsidRPr="00926D8E">
        <w:rPr>
          <w:rFonts w:ascii="Verdana" w:eastAsia="Calibri" w:hAnsi="Verdana" w:cs="Times New Roman"/>
          <w:b/>
          <w:bCs/>
          <w:lang w:val="es-ES"/>
        </w:rPr>
        <w:t xml:space="preserve">                                    Concepto C–1802 de 2025</w:t>
      </w:r>
    </w:p>
    <w:p w14:paraId="28421341" w14:textId="77777777" w:rsidR="003878CE" w:rsidRPr="00926D8E" w:rsidRDefault="003878CE" w:rsidP="003878CE">
      <w:pPr>
        <w:spacing w:after="0" w:line="256" w:lineRule="auto"/>
        <w:rPr>
          <w:rFonts w:ascii="Verdana" w:eastAsia="Calibri" w:hAnsi="Verdana" w:cs="Times New Roman"/>
          <w:lang w:val="es-ES_tradnl"/>
        </w:rPr>
      </w:pPr>
    </w:p>
    <w:tbl>
      <w:tblPr>
        <w:tblStyle w:val="Tablaconcuadrcula1"/>
        <w:tblW w:w="15163"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3878CE" w:rsidRPr="00926D8E" w14:paraId="657B2B13" w14:textId="77777777" w:rsidTr="003878CE">
        <w:trPr>
          <w:trHeight w:val="645"/>
        </w:trPr>
        <w:tc>
          <w:tcPr>
            <w:tcW w:w="2685" w:type="dxa"/>
            <w:hideMark/>
          </w:tcPr>
          <w:p w14:paraId="09E97790" w14:textId="77777777" w:rsidR="003878CE" w:rsidRPr="00926D8E" w:rsidRDefault="003878CE" w:rsidP="003878CE">
            <w:pPr>
              <w:spacing w:line="256" w:lineRule="auto"/>
              <w:rPr>
                <w:rFonts w:ascii="Verdana" w:hAnsi="Verdana"/>
                <w:b/>
                <w:bCs/>
                <w:lang w:val="es-ES_tradnl"/>
              </w:rPr>
            </w:pPr>
            <w:r w:rsidRPr="00926D8E">
              <w:rPr>
                <w:rFonts w:ascii="Verdana" w:hAnsi="Verdana"/>
                <w:b/>
                <w:bCs/>
                <w:lang w:val="es-ES_tradnl"/>
              </w:rPr>
              <w:t xml:space="preserve">Temas:                   </w:t>
            </w:r>
          </w:p>
        </w:tc>
        <w:tc>
          <w:tcPr>
            <w:tcW w:w="6241" w:type="dxa"/>
            <w:hideMark/>
          </w:tcPr>
          <w:p w14:paraId="5C9C85B6" w14:textId="77777777" w:rsidR="003878CE" w:rsidRDefault="003878CE" w:rsidP="003878CE">
            <w:pPr>
              <w:spacing w:line="276" w:lineRule="auto"/>
              <w:jc w:val="both"/>
              <w:rPr>
                <w:rFonts w:ascii="Verdana" w:hAnsi="Verdana" w:cs="Arial"/>
                <w:bCs/>
                <w:lang w:val="es-ES_tradnl" w:eastAsia="es-ES"/>
              </w:rPr>
            </w:pPr>
            <w:r w:rsidRPr="0076755F">
              <w:rPr>
                <w:rFonts w:ascii="Verdana" w:hAnsi="Verdana" w:cs="Arial"/>
                <w:bCs/>
                <w:lang w:eastAsia="es-ES"/>
              </w:rPr>
              <w:t xml:space="preserve">ARTÍCULO 355 DE LA CONSTITUCIÓN POLÍTICA – Formas de colaboración o cooperación – Estado y particulares / DECRETO 092 DE 2017 – Convenios de interés público – Convenios de asociación / CONVENIOS DE ASOCIACIÓN – Artículo 5 del Decreto 092 de 2017 – Artículo 96 de la Ley 489 de 1998 – Requisitos </w:t>
            </w:r>
            <w:r w:rsidRPr="0076755F">
              <w:rPr>
                <w:rFonts w:ascii="Verdana" w:hAnsi="Verdana" w:cs="Arial"/>
                <w:bCs/>
                <w:lang w:val="es-ES" w:eastAsia="es-ES"/>
              </w:rPr>
              <w:t>/ CONVENIOS DE ASOCIACIÓN – Requisitos – Nueva Guía para la contratación con Entidades Sin Ánimo de Lucro y reconocida idoneidad / IN</w:t>
            </w:r>
            <w:bookmarkStart w:id="1" w:name="_GoBack"/>
            <w:bookmarkEnd w:id="1"/>
            <w:r w:rsidRPr="0076755F">
              <w:rPr>
                <w:rFonts w:ascii="Verdana" w:hAnsi="Verdana" w:cs="Arial"/>
                <w:bCs/>
                <w:lang w:val="es-ES" w:eastAsia="es-ES"/>
              </w:rPr>
              <w:t>TEGRACIÓN NORMATIVA – Convenios de asociación – Reglas –</w:t>
            </w:r>
            <w:r>
              <w:rPr>
                <w:rFonts w:ascii="Verdana" w:hAnsi="Verdana" w:cs="Arial"/>
                <w:bCs/>
                <w:lang w:val="es-ES" w:eastAsia="es-ES"/>
              </w:rPr>
              <w:t xml:space="preserve"> </w:t>
            </w:r>
            <w:r w:rsidRPr="0076755F">
              <w:rPr>
                <w:rFonts w:ascii="Verdana" w:hAnsi="Verdana" w:cs="Arial"/>
                <w:bCs/>
                <w:lang w:val="es-ES" w:eastAsia="es-ES"/>
              </w:rPr>
              <w:t>– inaplicabilidad del anticipo y pago anticipado</w:t>
            </w:r>
            <w:r>
              <w:rPr>
                <w:rFonts w:ascii="Verdana" w:hAnsi="Verdana" w:cs="Arial"/>
                <w:bCs/>
                <w:lang w:val="es-ES" w:eastAsia="es-ES"/>
              </w:rPr>
              <w:t xml:space="preserve"> / INTEGRACIÓN NORMATIVA - </w:t>
            </w:r>
            <w:r>
              <w:rPr>
                <w:rFonts w:ascii="Verdana" w:hAnsi="Verdana" w:cs="Arial"/>
                <w:bCs/>
                <w:lang w:val="es-ES_tradnl" w:eastAsia="es-ES"/>
              </w:rPr>
              <w:t>Garantías</w:t>
            </w:r>
            <w:r w:rsidRPr="0076755F">
              <w:rPr>
                <w:rFonts w:ascii="Verdana" w:hAnsi="Verdana" w:cs="Arial"/>
                <w:bCs/>
                <w:lang w:val="es-ES_tradnl" w:eastAsia="es-ES"/>
              </w:rPr>
              <w:t xml:space="preserve"> – Finalidad</w:t>
            </w:r>
            <w:r>
              <w:rPr>
                <w:rFonts w:ascii="Verdana" w:hAnsi="Verdana" w:cs="Arial"/>
                <w:bCs/>
                <w:lang w:val="es-ES_tradnl" w:eastAsia="es-ES"/>
              </w:rPr>
              <w:t xml:space="preserve"> / GARANTÍAS – Convenios de Asociación – Procedencia – Amparo de Cumplimiento – Mecanismos de Cobertura de Riesgos. </w:t>
            </w:r>
          </w:p>
          <w:p w14:paraId="7BC26C02" w14:textId="77777777" w:rsidR="003878CE" w:rsidRPr="00926D8E" w:rsidRDefault="003878CE" w:rsidP="003878CE">
            <w:pPr>
              <w:spacing w:line="276" w:lineRule="auto"/>
              <w:jc w:val="both"/>
              <w:rPr>
                <w:rFonts w:ascii="Verdana" w:hAnsi="Verdana" w:cs="Arial"/>
                <w:bCs/>
                <w:lang w:val="es-ES" w:eastAsia="es-ES"/>
              </w:rPr>
            </w:pPr>
          </w:p>
          <w:p w14:paraId="6CB68135" w14:textId="77777777" w:rsidR="003878CE" w:rsidRPr="00926D8E" w:rsidRDefault="003878CE" w:rsidP="003878CE">
            <w:pPr>
              <w:spacing w:line="276" w:lineRule="auto"/>
              <w:jc w:val="both"/>
              <w:rPr>
                <w:rFonts w:ascii="Verdana" w:hAnsi="Verdana" w:cs="Arial"/>
                <w:lang w:eastAsia="es-ES"/>
              </w:rPr>
            </w:pPr>
          </w:p>
        </w:tc>
        <w:tc>
          <w:tcPr>
            <w:tcW w:w="6237" w:type="dxa"/>
          </w:tcPr>
          <w:p w14:paraId="3087D174" w14:textId="77777777" w:rsidR="003878CE" w:rsidRPr="00926D8E" w:rsidRDefault="003878CE" w:rsidP="003878CE">
            <w:pPr>
              <w:spacing w:line="256" w:lineRule="auto"/>
              <w:rPr>
                <w:rFonts w:ascii="Verdana" w:hAnsi="Verdana"/>
              </w:rPr>
            </w:pPr>
          </w:p>
        </w:tc>
      </w:tr>
      <w:tr w:rsidR="003878CE" w:rsidRPr="00926D8E" w14:paraId="6AD4DCF3" w14:textId="77777777" w:rsidTr="003878CE">
        <w:tc>
          <w:tcPr>
            <w:tcW w:w="2685" w:type="dxa"/>
          </w:tcPr>
          <w:p w14:paraId="4130733C" w14:textId="77777777" w:rsidR="003878CE" w:rsidRPr="00926D8E" w:rsidRDefault="003878CE" w:rsidP="003878CE">
            <w:pPr>
              <w:spacing w:line="256" w:lineRule="auto"/>
              <w:rPr>
                <w:rFonts w:ascii="Verdana" w:hAnsi="Verdana"/>
                <w:b/>
                <w:bCs/>
                <w:lang w:val="es-ES_tradnl"/>
              </w:rPr>
            </w:pPr>
            <w:r w:rsidRPr="00926D8E">
              <w:rPr>
                <w:rFonts w:ascii="Verdana" w:hAnsi="Verdana"/>
                <w:b/>
                <w:bCs/>
                <w:lang w:val="es-ES_tradnl"/>
              </w:rPr>
              <w:t xml:space="preserve">Radicación:               </w:t>
            </w:r>
          </w:p>
        </w:tc>
        <w:tc>
          <w:tcPr>
            <w:tcW w:w="6241" w:type="dxa"/>
          </w:tcPr>
          <w:p w14:paraId="7AC19DE2" w14:textId="77777777" w:rsidR="003878CE" w:rsidRPr="00926D8E" w:rsidRDefault="003878CE" w:rsidP="003878CE">
            <w:pPr>
              <w:spacing w:line="257" w:lineRule="auto"/>
              <w:jc w:val="both"/>
              <w:rPr>
                <w:rFonts w:ascii="Verdana" w:hAnsi="Verdana"/>
                <w:lang w:val="es-ES_tradnl"/>
              </w:rPr>
            </w:pPr>
            <w:r w:rsidRPr="00926D8E">
              <w:rPr>
                <w:rFonts w:ascii="Verdana" w:hAnsi="Verdana"/>
                <w:lang w:val="es-ES_tradnl"/>
              </w:rPr>
              <w:t>Respuesta a consulta con radicado No.</w:t>
            </w:r>
            <w:r w:rsidRPr="00926D8E">
              <w:rPr>
                <w:rFonts w:ascii="Verdana" w:eastAsiaTheme="minorHAnsi" w:hAnsi="Verdana" w:cs="Segoe UI"/>
                <w:shd w:val="clear" w:color="auto" w:fill="FFFFFF"/>
              </w:rPr>
              <w:t xml:space="preserve"> 1_2025_12_08_013759</w:t>
            </w:r>
          </w:p>
          <w:p w14:paraId="70D2E62D" w14:textId="77777777" w:rsidR="003878CE" w:rsidRPr="00926D8E" w:rsidRDefault="003878CE" w:rsidP="003878CE">
            <w:pPr>
              <w:spacing w:line="257" w:lineRule="auto"/>
              <w:jc w:val="both"/>
              <w:rPr>
                <w:rFonts w:ascii="Verdana" w:hAnsi="Verdana"/>
                <w:lang w:val="es-ES_tradnl"/>
              </w:rPr>
            </w:pPr>
          </w:p>
          <w:p w14:paraId="65D54EF2" w14:textId="77777777" w:rsidR="003878CE" w:rsidRPr="00926D8E" w:rsidRDefault="003878CE" w:rsidP="003878CE">
            <w:pPr>
              <w:spacing w:line="257" w:lineRule="auto"/>
              <w:jc w:val="both"/>
              <w:rPr>
                <w:rFonts w:ascii="Verdana" w:hAnsi="Verdana"/>
                <w:lang w:val="es-ES_tradnl"/>
              </w:rPr>
            </w:pPr>
          </w:p>
        </w:tc>
        <w:tc>
          <w:tcPr>
            <w:tcW w:w="6237" w:type="dxa"/>
          </w:tcPr>
          <w:p w14:paraId="43428AD5" w14:textId="77777777" w:rsidR="003878CE" w:rsidRPr="00926D8E" w:rsidRDefault="003878CE" w:rsidP="003878CE">
            <w:pPr>
              <w:spacing w:line="256" w:lineRule="auto"/>
              <w:rPr>
                <w:rFonts w:ascii="Verdana" w:hAnsi="Verdana"/>
                <w:lang w:val="es-ES_tradnl"/>
              </w:rPr>
            </w:pPr>
          </w:p>
        </w:tc>
      </w:tr>
    </w:tbl>
    <w:p w14:paraId="032D52BD" w14:textId="77777777" w:rsidR="003878CE" w:rsidRPr="00926D8E" w:rsidRDefault="003878CE" w:rsidP="003878CE">
      <w:pPr>
        <w:spacing w:after="0" w:line="256" w:lineRule="auto"/>
        <w:rPr>
          <w:rFonts w:ascii="Verdana" w:eastAsia="Calibri" w:hAnsi="Verdana" w:cs="Times New Roman"/>
          <w:lang w:val="es-ES"/>
        </w:rPr>
      </w:pPr>
      <w:r w:rsidRPr="00926D8E">
        <w:rPr>
          <w:rFonts w:ascii="Verdana" w:eastAsia="Calibri" w:hAnsi="Verdana" w:cs="Times New Roman"/>
          <w:lang w:val="es-ES"/>
        </w:rPr>
        <w:t xml:space="preserve">Estimado Señor Gutiérrez: </w:t>
      </w:r>
    </w:p>
    <w:p w14:paraId="7CCBC4E5" w14:textId="77777777" w:rsidR="003878CE" w:rsidRPr="00926D8E" w:rsidRDefault="003878CE" w:rsidP="003878CE">
      <w:pPr>
        <w:spacing w:after="0" w:line="256" w:lineRule="auto"/>
        <w:rPr>
          <w:rFonts w:ascii="Verdana" w:eastAsia="Calibri" w:hAnsi="Verdana" w:cs="Times New Roman"/>
          <w:lang w:val="es-ES"/>
        </w:rPr>
      </w:pPr>
    </w:p>
    <w:p w14:paraId="304D73CA" w14:textId="77777777" w:rsidR="003878CE" w:rsidRPr="00926D8E" w:rsidRDefault="003878CE" w:rsidP="003878CE">
      <w:pPr>
        <w:spacing w:after="120" w:line="276" w:lineRule="auto"/>
        <w:jc w:val="both"/>
        <w:rPr>
          <w:rFonts w:ascii="Verdana" w:eastAsia="Calibri" w:hAnsi="Verdana" w:cs="Times New Roman"/>
          <w:bCs/>
          <w:lang w:bidi="es-ES"/>
        </w:rPr>
      </w:pPr>
      <w:r w:rsidRPr="00926D8E">
        <w:rPr>
          <w:rFonts w:ascii="Verdana" w:eastAsia="Calibri" w:hAnsi="Verdana" w:cs="Times New Roman"/>
          <w:bCs/>
          <w:lang w:val="es-ES" w:bidi="es-ES"/>
        </w:rPr>
        <w:t xml:space="preserve">En ejercicio de la competencia otorgada por los artículos 3, numeral 5º, y 11, numeral 8º, del Decreto Ley 4170 de 2011, </w:t>
      </w:r>
      <w:r w:rsidRPr="00926D8E">
        <w:rPr>
          <w:rFonts w:ascii="Verdana" w:eastAsia="Calibri" w:hAnsi="Verdana" w:cs="Times New Roman"/>
          <w:bCs/>
        </w:rPr>
        <w:t xml:space="preserve">así como lo establecido por la Resolución 469 de 2025 expedida por esta Entidad, </w:t>
      </w:r>
      <w:r w:rsidRPr="00926D8E">
        <w:rPr>
          <w:rFonts w:ascii="Verdana" w:eastAsia="Calibri" w:hAnsi="Verdana" w:cs="Times New Roman"/>
          <w:bCs/>
          <w:lang w:val="es-ES" w:bidi="es-ES"/>
        </w:rPr>
        <w:t xml:space="preserve">la Agencia Nacional de Contratación Pública – Colombia Compra Eficiente– responde la solicitud de consulta 8 de diciembre del de 2025, en la cual manifiesta: </w:t>
      </w:r>
      <w:r>
        <w:rPr>
          <w:rFonts w:ascii="Verdana" w:eastAsia="Calibri" w:hAnsi="Verdana" w:cs="Times New Roman"/>
          <w:bCs/>
          <w:lang w:val="es-ES" w:bidi="es-ES"/>
        </w:rPr>
        <w:t>“</w:t>
      </w:r>
      <w:r w:rsidRPr="00470754">
        <w:rPr>
          <w:rFonts w:ascii="Verdana" w:eastAsia="Calibri" w:hAnsi="Verdana" w:cs="Times New Roman"/>
          <w:bCs/>
          <w:lang w:val="es-ES" w:bidi="es-ES"/>
        </w:rPr>
        <w:t>[….]</w:t>
      </w:r>
      <w:r>
        <w:rPr>
          <w:rFonts w:ascii="Verdana" w:eastAsia="Calibri" w:hAnsi="Verdana" w:cs="Times New Roman"/>
          <w:bCs/>
          <w:i/>
          <w:iCs/>
          <w:lang w:val="es-ES" w:bidi="es-ES"/>
        </w:rPr>
        <w:t xml:space="preserve"> </w:t>
      </w:r>
      <w:r w:rsidRPr="00635BB9">
        <w:rPr>
          <w:rFonts w:ascii="Verdana" w:eastAsia="Calibri" w:hAnsi="Verdana" w:cs="Times New Roman"/>
          <w:bCs/>
          <w:i/>
          <w:iCs/>
          <w:lang w:bidi="es-ES"/>
        </w:rPr>
        <w:t xml:space="preserve">a la luz del </w:t>
      </w:r>
      <w:r w:rsidRPr="00635BB9">
        <w:rPr>
          <w:rFonts w:ascii="Verdana" w:eastAsia="Calibri" w:hAnsi="Verdana" w:cs="Times New Roman"/>
          <w:bCs/>
          <w:i/>
          <w:iCs/>
          <w:lang w:bidi="es-ES"/>
        </w:rPr>
        <w:lastRenderedPageBreak/>
        <w:t>concepto 557 de 2025 en los convenios en caso de optar por un primer desembolso o desembolso temprano al no poderse según concepto incluir amparo de anticipo que garantía se debe colocar en el convenio para que ampare ese desembolso”.</w:t>
      </w:r>
    </w:p>
    <w:p w14:paraId="265FDAD6" w14:textId="77777777" w:rsidR="003878CE" w:rsidRPr="00926D8E" w:rsidRDefault="003878CE" w:rsidP="003878CE">
      <w:pPr>
        <w:spacing w:after="120" w:line="276" w:lineRule="auto"/>
        <w:ind w:firstLine="709"/>
        <w:jc w:val="both"/>
        <w:rPr>
          <w:rFonts w:ascii="Verdana" w:eastAsia="Calibri" w:hAnsi="Verdana" w:cs="Times New Roman"/>
          <w:lang w:val="es-ES"/>
        </w:rPr>
      </w:pPr>
      <w:r w:rsidRPr="00926D8E">
        <w:rPr>
          <w:rFonts w:ascii="Verdana" w:eastAsia="Calibri" w:hAnsi="Verdana" w:cs="Times New Roman"/>
          <w:lang w:val="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465AFE09" w14:textId="77777777" w:rsidR="003878CE" w:rsidRPr="00926D8E" w:rsidRDefault="003878CE" w:rsidP="003878CE">
      <w:pPr>
        <w:spacing w:after="0" w:line="276" w:lineRule="auto"/>
        <w:ind w:firstLine="709"/>
        <w:jc w:val="both"/>
        <w:rPr>
          <w:rFonts w:ascii="Verdana" w:eastAsia="Calibri" w:hAnsi="Verdana" w:cs="Times New Roman"/>
          <w:lang w:val="es-ES"/>
        </w:rPr>
      </w:pPr>
      <w:r w:rsidRPr="00926D8E">
        <w:rPr>
          <w:rFonts w:ascii="Verdana" w:eastAsia="Calibri" w:hAnsi="Verdana" w:cs="Times New Roman"/>
          <w:lang w:val="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objeto de consulta.</w:t>
      </w:r>
    </w:p>
    <w:p w14:paraId="2BD08540" w14:textId="77777777" w:rsidR="003878CE" w:rsidRPr="00B57A1B" w:rsidRDefault="003878CE" w:rsidP="003878CE">
      <w:pPr>
        <w:spacing w:after="0" w:line="256" w:lineRule="auto"/>
        <w:rPr>
          <w:rFonts w:ascii="Verdana" w:eastAsia="Calibri" w:hAnsi="Verdana" w:cs="Times New Roman"/>
          <w:lang w:val="es-ES"/>
        </w:rPr>
      </w:pPr>
    </w:p>
    <w:p w14:paraId="7994A3E4" w14:textId="77777777" w:rsidR="003878CE" w:rsidRPr="00B57A1B" w:rsidRDefault="003878CE" w:rsidP="003878CE">
      <w:pPr>
        <w:numPr>
          <w:ilvl w:val="0"/>
          <w:numId w:val="16"/>
        </w:numPr>
        <w:spacing w:after="0" w:line="256" w:lineRule="auto"/>
        <w:contextualSpacing/>
        <w:rPr>
          <w:rFonts w:ascii="Verdana" w:eastAsia="Calibri" w:hAnsi="Verdana" w:cs="Times New Roman"/>
          <w:b/>
          <w:bCs/>
          <w:lang w:val="es-ES"/>
        </w:rPr>
      </w:pPr>
      <w:r w:rsidRPr="00B57A1B">
        <w:rPr>
          <w:rFonts w:ascii="Verdana" w:eastAsia="Calibri" w:hAnsi="Verdana" w:cs="Times New Roman"/>
          <w:b/>
          <w:bCs/>
          <w:lang w:val="es-ES"/>
        </w:rPr>
        <w:t>Problema planteado:</w:t>
      </w:r>
    </w:p>
    <w:p w14:paraId="56605225" w14:textId="77777777" w:rsidR="003878CE" w:rsidRPr="00B57A1B" w:rsidRDefault="003878CE" w:rsidP="003878CE">
      <w:pPr>
        <w:spacing w:after="0" w:line="256" w:lineRule="auto"/>
        <w:rPr>
          <w:rFonts w:ascii="Verdana" w:eastAsia="Calibri" w:hAnsi="Verdana" w:cs="Times New Roman"/>
        </w:rPr>
      </w:pPr>
    </w:p>
    <w:p w14:paraId="483C3A12" w14:textId="77777777" w:rsidR="003878CE" w:rsidRPr="000846BF" w:rsidRDefault="003878CE" w:rsidP="003878CE">
      <w:pPr>
        <w:spacing w:after="0" w:line="276" w:lineRule="auto"/>
        <w:jc w:val="both"/>
        <w:rPr>
          <w:rFonts w:ascii="Verdana" w:eastAsia="Calibri" w:hAnsi="Verdana" w:cs="Times New Roman"/>
          <w:bCs/>
          <w:iCs/>
        </w:rPr>
      </w:pPr>
      <w:r w:rsidRPr="00B57A1B">
        <w:rPr>
          <w:rFonts w:ascii="Verdana" w:eastAsia="Calibri" w:hAnsi="Verdana" w:cs="Times New Roman"/>
        </w:rPr>
        <w:t xml:space="preserve">De acuerdo </w:t>
      </w:r>
      <w:r>
        <w:rPr>
          <w:rFonts w:ascii="Verdana" w:eastAsia="Calibri" w:hAnsi="Verdana" w:cs="Times New Roman"/>
        </w:rPr>
        <w:t>con el contenido de sus solicitudes</w:t>
      </w:r>
      <w:r w:rsidRPr="00B57A1B">
        <w:rPr>
          <w:rFonts w:ascii="Verdana" w:eastAsia="Calibri" w:hAnsi="Verdana" w:cs="Times New Roman"/>
        </w:rPr>
        <w:t>, es</w:t>
      </w:r>
      <w:r>
        <w:rPr>
          <w:rFonts w:ascii="Verdana" w:eastAsia="Calibri" w:hAnsi="Verdana" w:cs="Times New Roman"/>
        </w:rPr>
        <w:t>ta Agencia procede a resolver el siguiente problema jurídico: ¿Qué garantía debe estipularse en un convenio de asociación</w:t>
      </w:r>
      <w:r w:rsidRPr="004444AC">
        <w:rPr>
          <w:rFonts w:ascii="Verdana" w:eastAsia="Calibri" w:hAnsi="Verdana" w:cs="Times New Roman"/>
        </w:rPr>
        <w:t xml:space="preserve"> para respaldar un desembolso temprano, si </w:t>
      </w:r>
      <w:r>
        <w:rPr>
          <w:rFonts w:ascii="Verdana" w:eastAsia="Calibri" w:hAnsi="Verdana" w:cs="Times New Roman"/>
        </w:rPr>
        <w:t xml:space="preserve">no se puede pactar los amparos de buen manejo y correcta inversión del anticipo y la devolución de pago anticipado? </w:t>
      </w:r>
    </w:p>
    <w:p w14:paraId="498C9C34" w14:textId="77777777" w:rsidR="003878CE" w:rsidRPr="000846BF" w:rsidRDefault="003878CE" w:rsidP="003878CE">
      <w:pPr>
        <w:spacing w:after="0" w:line="276" w:lineRule="auto"/>
        <w:jc w:val="both"/>
        <w:rPr>
          <w:rFonts w:ascii="Verdana" w:eastAsia="Calibri" w:hAnsi="Verdana" w:cs="Times New Roman"/>
          <w:i/>
          <w:iCs/>
        </w:rPr>
      </w:pPr>
    </w:p>
    <w:p w14:paraId="325164A9" w14:textId="77777777" w:rsidR="003878CE" w:rsidRPr="00B57A1B" w:rsidRDefault="003878CE" w:rsidP="003878CE">
      <w:pPr>
        <w:numPr>
          <w:ilvl w:val="0"/>
          <w:numId w:val="16"/>
        </w:numPr>
        <w:spacing w:after="0" w:line="256" w:lineRule="auto"/>
        <w:contextualSpacing/>
        <w:rPr>
          <w:rFonts w:ascii="Verdana" w:eastAsia="Calibri" w:hAnsi="Verdana" w:cs="Times New Roman"/>
          <w:b/>
          <w:bCs/>
          <w:lang w:val="es-ES"/>
        </w:rPr>
      </w:pPr>
      <w:r w:rsidRPr="00B57A1B">
        <w:rPr>
          <w:rFonts w:ascii="Verdana" w:eastAsia="Calibri" w:hAnsi="Verdana" w:cs="Times New Roman"/>
          <w:b/>
          <w:bCs/>
          <w:lang w:val="es-ES"/>
        </w:rPr>
        <w:t>Respuesta:</w:t>
      </w:r>
    </w:p>
    <w:p w14:paraId="778F8534" w14:textId="77777777" w:rsidR="003878CE" w:rsidRPr="00B57A1B" w:rsidRDefault="003878CE" w:rsidP="003878CE">
      <w:pPr>
        <w:spacing w:after="0" w:line="276" w:lineRule="auto"/>
        <w:rPr>
          <w:rFonts w:ascii="Verdana" w:eastAsia="Calibri" w:hAnsi="Verdana" w:cs="Times New Roman"/>
          <w:b/>
          <w:bCs/>
          <w:lang w:val="es-ES"/>
        </w:rPr>
      </w:pPr>
    </w:p>
    <w:tbl>
      <w:tblPr>
        <w:tblStyle w:val="Tablaconcuadrcula"/>
        <w:tblW w:w="8784"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784"/>
      </w:tblGrid>
      <w:tr w:rsidR="003878CE" w:rsidRPr="00B57A1B" w14:paraId="035ED3CD" w14:textId="77777777" w:rsidTr="003878CE">
        <w:trPr>
          <w:trHeight w:val="345"/>
          <w:jc w:val="center"/>
        </w:trPr>
        <w:tc>
          <w:tcPr>
            <w:tcW w:w="8784" w:type="dxa"/>
            <w:tcBorders>
              <w:bottom w:val="single" w:sz="4" w:space="0" w:color="auto"/>
            </w:tcBorders>
          </w:tcPr>
          <w:p w14:paraId="57F6059D" w14:textId="77777777" w:rsidR="003878CE" w:rsidRPr="00033F02" w:rsidRDefault="003878CE" w:rsidP="003878CE">
            <w:pPr>
              <w:spacing w:after="120" w:line="276" w:lineRule="auto"/>
              <w:jc w:val="both"/>
              <w:rPr>
                <w:rFonts w:ascii="Verdana" w:eastAsia="Times New Roman" w:hAnsi="Verdana" w:cs="Arial"/>
                <w:color w:val="000000" w:themeColor="text1"/>
                <w:lang w:val="es-ES" w:eastAsia="es-CO"/>
              </w:rPr>
            </w:pPr>
            <w:r>
              <w:rPr>
                <w:rFonts w:ascii="Verdana" w:eastAsia="Times New Roman" w:hAnsi="Verdana" w:cs="Arial"/>
                <w:color w:val="000000" w:themeColor="text1"/>
                <w:lang w:val="es-ES" w:eastAsia="es-CO"/>
              </w:rPr>
              <w:lastRenderedPageBreak/>
              <w:t xml:space="preserve">En torno al problema jurídico, objeto de consulta, se precisa que como se expresó en el concepto C-557 de 2025 no son procedentes los anticipos y pagos anticipados, los cuales son conceptos vinculados a la contraprestación que suelen recibir contratistas en el marco de relaciones conmutativas. No obstante, frente a desembolsos tempranos en los convenios de asociación es posible mitigar los riesgos con la exigencia del amparo de cumplimiento, la cual </w:t>
            </w:r>
            <w:r>
              <w:rPr>
                <w:rFonts w:ascii="Verdana" w:eastAsia="Calibri" w:hAnsi="Verdana" w:cs="Arial"/>
                <w:color w:val="000000" w:themeColor="text1"/>
                <w:lang w:val="es-ES"/>
              </w:rPr>
              <w:t>protege</w:t>
            </w:r>
            <w:r w:rsidRPr="009037F6">
              <w:rPr>
                <w:rFonts w:ascii="Verdana" w:eastAsia="Calibri" w:hAnsi="Verdana" w:cs="Arial"/>
                <w:color w:val="000000" w:themeColor="text1"/>
                <w:lang w:val="es-ES"/>
              </w:rPr>
              <w:t xml:space="preserve"> a la entidad de los perjuicios que puedan ocasionarse con el incumplimiento total o parcial del contrato, el cumplimiento tardío o defectuoso, los daños p</w:t>
            </w:r>
            <w:r>
              <w:rPr>
                <w:rFonts w:ascii="Verdana" w:eastAsia="Calibri" w:hAnsi="Verdana" w:cs="Arial"/>
                <w:color w:val="000000" w:themeColor="text1"/>
                <w:lang w:val="es-ES"/>
              </w:rPr>
              <w:t>or entregas parciales</w:t>
            </w:r>
            <w:r w:rsidRPr="009037F6">
              <w:rPr>
                <w:rFonts w:ascii="Verdana" w:eastAsia="Calibri" w:hAnsi="Verdana" w:cs="Arial"/>
                <w:color w:val="000000" w:themeColor="text1"/>
                <w:lang w:val="es-ES"/>
              </w:rPr>
              <w:t xml:space="preserve">, cuando el contrato no prevé entregas parciales, y el valor de las multas y de la cláusula penal pecuniaria. </w:t>
            </w:r>
            <w:r>
              <w:rPr>
                <w:rFonts w:ascii="Verdana" w:eastAsia="Calibri" w:hAnsi="Verdana" w:cs="Arial"/>
                <w:color w:val="000000" w:themeColor="text1"/>
                <w:lang w:val="es-ES"/>
              </w:rPr>
              <w:t xml:space="preserve">En tal sentido, </w:t>
            </w:r>
            <w:r w:rsidRPr="009037F6">
              <w:rPr>
                <w:rFonts w:ascii="Verdana" w:eastAsia="Calibri" w:hAnsi="Verdana" w:cs="Arial"/>
                <w:color w:val="000000" w:themeColor="text1"/>
                <w:lang w:val="es-ES"/>
              </w:rPr>
              <w:t xml:space="preserve">el </w:t>
            </w:r>
            <w:r w:rsidRPr="009037F6">
              <w:rPr>
                <w:rFonts w:ascii="Verdana" w:eastAsia="Calibri" w:hAnsi="Verdana" w:cs="Arial"/>
                <w:i/>
                <w:iCs/>
                <w:color w:val="000000" w:themeColor="text1"/>
                <w:lang w:val="es-ES"/>
              </w:rPr>
              <w:t>amparo de cumplimiento</w:t>
            </w:r>
            <w:r w:rsidRPr="009037F6">
              <w:rPr>
                <w:rFonts w:ascii="Verdana" w:eastAsia="Calibri" w:hAnsi="Verdana" w:cs="Arial"/>
                <w:color w:val="000000" w:themeColor="text1"/>
                <w:lang w:val="es-ES"/>
              </w:rPr>
              <w:t xml:space="preserve"> tiene como objeto proteger a la entidad de los riesgos que puedan concretarse durant</w:t>
            </w:r>
            <w:r>
              <w:rPr>
                <w:rFonts w:ascii="Verdana" w:eastAsia="Calibri" w:hAnsi="Verdana" w:cs="Arial"/>
                <w:color w:val="000000" w:themeColor="text1"/>
                <w:lang w:val="es-ES"/>
              </w:rPr>
              <w:t>e la etapa de ejecución del convenio de asociación, en especial,</w:t>
            </w:r>
            <w:r w:rsidRPr="009037F6">
              <w:rPr>
                <w:rFonts w:ascii="Verdana" w:eastAsia="Calibri" w:hAnsi="Verdana" w:cs="Arial"/>
                <w:color w:val="000000" w:themeColor="text1"/>
                <w:lang w:val="es-ES"/>
              </w:rPr>
              <w:t xml:space="preserve"> de aquellos derivados de incumplimientos o conductas imputables </w:t>
            </w:r>
            <w:r>
              <w:rPr>
                <w:rFonts w:ascii="Verdana" w:eastAsia="Calibri" w:hAnsi="Verdana" w:cs="Arial"/>
                <w:color w:val="000000" w:themeColor="text1"/>
                <w:lang w:val="es-ES"/>
              </w:rPr>
              <w:t>del asociado de la entidad pública. De esta manera, e</w:t>
            </w:r>
            <w:r w:rsidRPr="008306C4">
              <w:rPr>
                <w:rFonts w:ascii="Verdana" w:eastAsia="Calibri" w:hAnsi="Verdana" w:cs="Arial"/>
                <w:color w:val="000000" w:themeColor="text1"/>
                <w:lang w:val="es-ES"/>
              </w:rPr>
              <w:t xml:space="preserve">l propósito fundamental del amparo de cumplimiento es blindar a la entidad durante la fase de ejecución del convenio, especialmente frente a conductas atribuibles al asociado que puedan comprometer el éxito del proyecto. </w:t>
            </w:r>
          </w:p>
          <w:p w14:paraId="14423D44" w14:textId="77777777" w:rsidR="003878CE" w:rsidRDefault="003878CE" w:rsidP="003878CE">
            <w:pPr>
              <w:spacing w:after="120" w:line="276" w:lineRule="auto"/>
              <w:ind w:firstLine="708"/>
              <w:jc w:val="both"/>
              <w:rPr>
                <w:rFonts w:ascii="Verdana" w:eastAsia="Calibri" w:hAnsi="Verdana" w:cs="Arial"/>
                <w:color w:val="000000" w:themeColor="text1"/>
              </w:rPr>
            </w:pPr>
            <w:r>
              <w:rPr>
                <w:rFonts w:ascii="Verdana" w:eastAsia="Calibri" w:hAnsi="Verdana" w:cs="Arial"/>
                <w:color w:val="000000" w:themeColor="text1"/>
                <w:lang w:val="es-ES"/>
              </w:rPr>
              <w:t xml:space="preserve">En torno al amparo de cumplimiento se establece </w:t>
            </w:r>
            <w:r w:rsidRPr="00E960A7">
              <w:rPr>
                <w:rFonts w:ascii="Verdana" w:eastAsia="Calibri" w:hAnsi="Verdana" w:cs="Arial"/>
                <w:color w:val="000000" w:themeColor="text1"/>
              </w:rPr>
              <w:t>el artículo 2.2.1.2.3.1</w:t>
            </w:r>
            <w:r>
              <w:rPr>
                <w:rFonts w:ascii="Verdana" w:eastAsia="Calibri" w:hAnsi="Verdana" w:cs="Arial"/>
                <w:color w:val="000000" w:themeColor="text1"/>
              </w:rPr>
              <w:t>.12 del Decreto 1082 de 2015, que se</w:t>
            </w:r>
            <w:r w:rsidRPr="00E960A7">
              <w:rPr>
                <w:rFonts w:ascii="Verdana" w:eastAsia="Calibri" w:hAnsi="Verdana" w:cs="Arial"/>
                <w:color w:val="000000" w:themeColor="text1"/>
              </w:rPr>
              <w:t xml:space="preserve"> asemeja a lo dispuesto en el Decreto 1510, </w:t>
            </w:r>
            <w:r>
              <w:rPr>
                <w:rFonts w:ascii="Verdana" w:eastAsia="Calibri" w:hAnsi="Verdana" w:cs="Arial"/>
                <w:color w:val="000000" w:themeColor="text1"/>
              </w:rPr>
              <w:t xml:space="preserve">que prescribe </w:t>
            </w:r>
            <w:r w:rsidRPr="00E960A7">
              <w:rPr>
                <w:rFonts w:ascii="Verdana" w:eastAsia="Calibri" w:hAnsi="Verdana" w:cs="Arial"/>
                <w:color w:val="000000" w:themeColor="text1"/>
              </w:rPr>
              <w:t xml:space="preserve">que el valor de </w:t>
            </w:r>
            <w:r>
              <w:rPr>
                <w:rFonts w:ascii="Verdana" w:eastAsia="Calibri" w:hAnsi="Verdana" w:cs="Arial"/>
                <w:color w:val="000000" w:themeColor="text1"/>
              </w:rPr>
              <w:t xml:space="preserve">esta </w:t>
            </w:r>
            <w:r w:rsidRPr="00E960A7">
              <w:rPr>
                <w:rFonts w:ascii="Verdana" w:eastAsia="Calibri" w:hAnsi="Verdana" w:cs="Arial"/>
                <w:color w:val="000000" w:themeColor="text1"/>
              </w:rPr>
              <w:t>debe ser por lo menos del 10% del valor del contrato, salvo que el valor de este sea superior a un millón de SMMLV, evento en el cual debe aplicar unas reglas dispuestas en este reglamento</w:t>
            </w:r>
            <w:r>
              <w:rPr>
                <w:rFonts w:ascii="Verdana" w:eastAsia="Calibri" w:hAnsi="Verdana" w:cs="Arial"/>
                <w:color w:val="000000" w:themeColor="text1"/>
              </w:rPr>
              <w:t>. Frente</w:t>
            </w:r>
            <w:r w:rsidRPr="00E960A7">
              <w:rPr>
                <w:rFonts w:ascii="Verdana" w:eastAsia="Calibri" w:hAnsi="Verdana" w:cs="Arial"/>
                <w:color w:val="000000" w:themeColor="text1"/>
              </w:rPr>
              <w:t xml:space="preserve"> a la vigencia, el último artículo citado establece que debe cubri</w:t>
            </w:r>
            <w:r>
              <w:rPr>
                <w:rFonts w:ascii="Verdana" w:eastAsia="Calibri" w:hAnsi="Verdana" w:cs="Arial"/>
                <w:color w:val="000000" w:themeColor="text1"/>
              </w:rPr>
              <w:t>r la ejecución del contrato y “hasta la liquidación”</w:t>
            </w:r>
            <w:r w:rsidRPr="00E960A7">
              <w:rPr>
                <w:rFonts w:ascii="Verdana" w:eastAsia="Calibri" w:hAnsi="Verdana" w:cs="Arial"/>
                <w:color w:val="000000" w:themeColor="text1"/>
              </w:rPr>
              <w:t xml:space="preserve">. </w:t>
            </w:r>
          </w:p>
          <w:p w14:paraId="4C351C64" w14:textId="77777777" w:rsidR="003878CE" w:rsidRPr="009C57DE" w:rsidRDefault="003878CE" w:rsidP="003878CE">
            <w:pPr>
              <w:spacing w:after="120" w:line="276" w:lineRule="auto"/>
              <w:ind w:firstLine="708"/>
              <w:jc w:val="both"/>
              <w:rPr>
                <w:rFonts w:ascii="Verdana" w:eastAsia="Calibri" w:hAnsi="Verdana" w:cs="Arial"/>
                <w:color w:val="000000" w:themeColor="text1"/>
              </w:rPr>
            </w:pPr>
            <w:r>
              <w:rPr>
                <w:rFonts w:ascii="Verdana" w:eastAsia="Calibri" w:hAnsi="Verdana" w:cs="Arial"/>
                <w:color w:val="000000" w:themeColor="text1"/>
              </w:rPr>
              <w:t>De igual modo, es posible establecer como mecanismo de cobertura de riesgos a los desembolsos tempranos en convenios de asociación, las</w:t>
            </w:r>
            <w:r w:rsidRPr="009C57DE">
              <w:rPr>
                <w:rFonts w:ascii="Verdana" w:eastAsia="Calibri" w:hAnsi="Verdana" w:cs="Arial"/>
                <w:color w:val="000000" w:themeColor="text1"/>
              </w:rPr>
              <w:t xml:space="preserve"> cuentas conjuntas bajo la modalidad de convenios y con</w:t>
            </w:r>
            <w:r>
              <w:rPr>
                <w:rFonts w:ascii="Verdana" w:eastAsia="Calibri" w:hAnsi="Verdana" w:cs="Arial"/>
                <w:color w:val="000000" w:themeColor="text1"/>
              </w:rPr>
              <w:t xml:space="preserve">tratos, que son </w:t>
            </w:r>
            <w:r w:rsidRPr="009C57DE">
              <w:rPr>
                <w:rFonts w:ascii="Verdana" w:eastAsia="Calibri" w:hAnsi="Verdana" w:cs="Arial"/>
                <w:color w:val="000000" w:themeColor="text1"/>
              </w:rPr>
              <w:t>instrumentos financieros cre</w:t>
            </w:r>
            <w:r>
              <w:rPr>
                <w:rFonts w:ascii="Verdana" w:eastAsia="Calibri" w:hAnsi="Verdana" w:cs="Arial"/>
                <w:color w:val="000000" w:themeColor="text1"/>
              </w:rPr>
              <w:t xml:space="preserve">ados para administrar de forma </w:t>
            </w:r>
            <w:r w:rsidRPr="009C57DE">
              <w:rPr>
                <w:rFonts w:ascii="Verdana" w:eastAsia="Calibri" w:hAnsi="Verdana" w:cs="Arial"/>
                <w:color w:val="000000" w:themeColor="text1"/>
              </w:rPr>
              <w:t xml:space="preserve">transparente y ordenada los recursos destinados a proyectos interinstitucionales o acuerdos con terceros. Su principal </w:t>
            </w:r>
            <w:r>
              <w:rPr>
                <w:rFonts w:ascii="Verdana" w:eastAsia="Calibri" w:hAnsi="Verdana" w:cs="Arial"/>
                <w:color w:val="000000" w:themeColor="text1"/>
              </w:rPr>
              <w:t xml:space="preserve">propósito </w:t>
            </w:r>
            <w:r w:rsidRPr="009C57DE">
              <w:rPr>
                <w:rFonts w:ascii="Verdana" w:eastAsia="Calibri" w:hAnsi="Verdana" w:cs="Arial"/>
                <w:color w:val="000000" w:themeColor="text1"/>
              </w:rPr>
              <w:t xml:space="preserve">es garantizar que los fondos se manejen con corresponsabilidad entre las partes, evitando confusiones sobre la titularidad y asegurando que cada movimiento esté respaldado por documentos válidos. </w:t>
            </w:r>
          </w:p>
          <w:p w14:paraId="2C8EF522" w14:textId="77777777" w:rsidR="003878CE" w:rsidRPr="009C57DE" w:rsidRDefault="003878CE" w:rsidP="003878CE">
            <w:pPr>
              <w:spacing w:after="120" w:line="276" w:lineRule="auto"/>
              <w:ind w:firstLine="708"/>
              <w:jc w:val="both"/>
              <w:rPr>
                <w:rFonts w:ascii="Verdana" w:eastAsia="Calibri" w:hAnsi="Verdana" w:cs="Arial"/>
                <w:color w:val="000000" w:themeColor="text1"/>
              </w:rPr>
            </w:pPr>
            <w:r>
              <w:rPr>
                <w:rFonts w:ascii="Verdana" w:eastAsia="Calibri" w:hAnsi="Verdana" w:cs="Arial"/>
                <w:color w:val="000000" w:themeColor="text1"/>
              </w:rPr>
              <w:t xml:space="preserve">La administración y gestión adecuada </w:t>
            </w:r>
            <w:r w:rsidRPr="009C57DE">
              <w:rPr>
                <w:rFonts w:ascii="Verdana" w:eastAsia="Calibri" w:hAnsi="Verdana" w:cs="Arial"/>
                <w:color w:val="000000" w:themeColor="text1"/>
              </w:rPr>
              <w:t xml:space="preserve">de estas cuentas implica reglas claras sobre ingresos, egresos y conciliaciones periódicas, además de informes </w:t>
            </w:r>
            <w:r w:rsidRPr="009C57DE">
              <w:rPr>
                <w:rFonts w:ascii="Verdana" w:eastAsia="Calibri" w:hAnsi="Verdana" w:cs="Arial"/>
                <w:color w:val="000000" w:themeColor="text1"/>
              </w:rPr>
              <w:lastRenderedPageBreak/>
              <w:t>financieros que permitan verificar el uso correcto de los recursos. Al final</w:t>
            </w:r>
            <w:r>
              <w:rPr>
                <w:rFonts w:ascii="Verdana" w:eastAsia="Calibri" w:hAnsi="Verdana" w:cs="Arial"/>
                <w:color w:val="000000" w:themeColor="text1"/>
              </w:rPr>
              <w:t xml:space="preserve">izar el convenio o contrato, debe realizarse </w:t>
            </w:r>
            <w:r w:rsidRPr="009C57DE">
              <w:rPr>
                <w:rFonts w:ascii="Verdana" w:eastAsia="Calibri" w:hAnsi="Verdana" w:cs="Arial"/>
                <w:color w:val="000000" w:themeColor="text1"/>
              </w:rPr>
              <w:t xml:space="preserve">un cierre formal con acta y reporte del saldo final, asegurando que cualquier recurso no ejecutado tenga un destino definido. En todo caso, la entidad pública deberá revisar mecanismos de cobertura de riesgos que garanticen una administración y mitigación de riesgos ante desembolsos tempranos.  </w:t>
            </w:r>
          </w:p>
        </w:tc>
      </w:tr>
    </w:tbl>
    <w:p w14:paraId="67F006A8" w14:textId="77777777" w:rsidR="003878CE" w:rsidRPr="00B57A1B" w:rsidRDefault="003878CE" w:rsidP="003878CE">
      <w:pPr>
        <w:spacing w:after="0" w:line="276" w:lineRule="auto"/>
        <w:jc w:val="both"/>
        <w:rPr>
          <w:rFonts w:ascii="Verdana" w:eastAsia="Calibri" w:hAnsi="Verdana" w:cs="Arial"/>
          <w:bCs/>
          <w:color w:val="000000" w:themeColor="text1"/>
        </w:rPr>
      </w:pPr>
    </w:p>
    <w:p w14:paraId="7E3C5B28" w14:textId="77777777" w:rsidR="003878CE" w:rsidRPr="00B57A1B" w:rsidRDefault="003878CE" w:rsidP="003878CE">
      <w:pPr>
        <w:numPr>
          <w:ilvl w:val="0"/>
          <w:numId w:val="16"/>
        </w:numPr>
        <w:tabs>
          <w:tab w:val="left" w:pos="2268"/>
        </w:tabs>
        <w:spacing w:after="0" w:line="256" w:lineRule="auto"/>
        <w:rPr>
          <w:rFonts w:ascii="Verdana" w:eastAsia="Calibri" w:hAnsi="Verdana" w:cs="Times New Roman"/>
          <w:b/>
          <w:bCs/>
          <w:lang w:val="es-ES"/>
        </w:rPr>
      </w:pPr>
      <w:r w:rsidRPr="00B57A1B">
        <w:rPr>
          <w:rFonts w:ascii="Verdana" w:eastAsia="Calibri" w:hAnsi="Verdana" w:cs="Times New Roman"/>
          <w:b/>
          <w:bCs/>
          <w:lang w:val="es-ES"/>
        </w:rPr>
        <w:t>Razones de la respuesta:</w:t>
      </w:r>
    </w:p>
    <w:p w14:paraId="6C81FE98" w14:textId="77777777" w:rsidR="003878CE" w:rsidRPr="00B57A1B" w:rsidRDefault="003878CE" w:rsidP="003878CE">
      <w:pPr>
        <w:spacing w:after="0" w:line="256" w:lineRule="auto"/>
        <w:rPr>
          <w:rFonts w:ascii="Verdana" w:eastAsia="Calibri" w:hAnsi="Verdana" w:cs="Times New Roman"/>
          <w:b/>
          <w:bCs/>
          <w:lang w:val="es-ES"/>
        </w:rPr>
      </w:pPr>
    </w:p>
    <w:p w14:paraId="5211112B" w14:textId="77777777" w:rsidR="003878CE" w:rsidRPr="00E9090B" w:rsidRDefault="003878CE" w:rsidP="003878CE">
      <w:pPr>
        <w:spacing w:after="0" w:line="276" w:lineRule="auto"/>
        <w:jc w:val="both"/>
        <w:rPr>
          <w:rFonts w:ascii="Verdana" w:eastAsia="Calibri" w:hAnsi="Verdana" w:cs="Arial"/>
          <w:lang w:val="es-ES"/>
        </w:rPr>
      </w:pPr>
      <w:r w:rsidRPr="00B57A1B">
        <w:rPr>
          <w:rFonts w:ascii="Verdana" w:eastAsia="Calibri" w:hAnsi="Verdana" w:cs="Arial"/>
          <w:lang w:val="es-ES"/>
        </w:rPr>
        <w:t xml:space="preserve">Lo anterior se sustenta en las siguientes consideraciones: </w:t>
      </w:r>
    </w:p>
    <w:p w14:paraId="73CC7383" w14:textId="77777777" w:rsidR="003878CE" w:rsidRPr="00E9090B" w:rsidRDefault="003878CE" w:rsidP="003878CE">
      <w:pPr>
        <w:spacing w:after="0" w:line="276" w:lineRule="auto"/>
        <w:jc w:val="both"/>
        <w:rPr>
          <w:rFonts w:ascii="Verdana" w:hAnsi="Verdana" w:cs="Arial"/>
          <w:bCs/>
          <w:lang w:val="es-ES" w:eastAsia="es-ES" w:bidi="es-ES"/>
        </w:rPr>
      </w:pPr>
    </w:p>
    <w:p w14:paraId="05786114" w14:textId="77777777" w:rsidR="003878CE" w:rsidRPr="00F17EB6" w:rsidRDefault="003878CE" w:rsidP="003878CE">
      <w:pPr>
        <w:spacing w:after="120" w:line="276" w:lineRule="auto"/>
        <w:jc w:val="both"/>
        <w:rPr>
          <w:rFonts w:ascii="Verdana" w:eastAsia="Calibri" w:hAnsi="Verdana" w:cs="Arial"/>
          <w:color w:val="000000"/>
          <w:lang w:val="es-MX"/>
        </w:rPr>
      </w:pPr>
      <w:r>
        <w:rPr>
          <w:rFonts w:ascii="Verdana" w:eastAsia="Calibri" w:hAnsi="Verdana" w:cs="Arial"/>
          <w:bCs/>
          <w:lang w:val="es-ES_tradnl"/>
        </w:rPr>
        <w:t>i.</w:t>
      </w:r>
      <w:r>
        <w:rPr>
          <w:rFonts w:ascii="Verdana" w:eastAsia="Calibri" w:hAnsi="Verdana" w:cs="Arial"/>
          <w:color w:val="000000"/>
          <w:lang w:val="es-MX"/>
        </w:rPr>
        <w:t xml:space="preserve"> </w:t>
      </w:r>
      <w:r w:rsidRPr="00F17EB6">
        <w:rPr>
          <w:rFonts w:ascii="Verdana" w:eastAsia="Calibri" w:hAnsi="Verdana" w:cs="Arial"/>
          <w:color w:val="000000"/>
          <w:lang w:val="es-MX"/>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ESAL</w:t>
      </w:r>
      <w:r>
        <w:rPr>
          <w:rFonts w:ascii="Verdana" w:eastAsia="Calibri" w:hAnsi="Verdana" w:cs="Arial"/>
          <w:color w:val="000000"/>
          <w:lang w:val="es-MX"/>
        </w:rPr>
        <w:t>,</w:t>
      </w:r>
      <w:r w:rsidRPr="00F17EB6">
        <w:rPr>
          <w:rFonts w:ascii="Verdana" w:eastAsia="Calibri" w:hAnsi="Verdana" w:cs="Arial"/>
          <w:color w:val="000000"/>
          <w:lang w:val="es-MX"/>
        </w:rPr>
        <w:t xml:space="preserve"> con el fin de impulsar programas y actividades de interés público acordes con el plan nacional y los planes seccionales de desarrollo</w:t>
      </w:r>
      <w:r w:rsidRPr="00F17EB6">
        <w:rPr>
          <w:rFonts w:ascii="Verdana" w:eastAsia="Calibri" w:hAnsi="Verdana" w:cs="Arial"/>
          <w:color w:val="000000"/>
          <w:vertAlign w:val="superscript"/>
          <w:lang w:val="es-MX"/>
        </w:rPr>
        <w:footnoteReference w:id="1"/>
      </w:r>
      <w:r w:rsidRPr="00F17EB6">
        <w:rPr>
          <w:rFonts w:ascii="Verdana" w:eastAsia="Calibri" w:hAnsi="Verdana" w:cs="Arial"/>
          <w:color w:val="000000"/>
          <w:lang w:val="es-MX"/>
        </w:rPr>
        <w:t>. Por otra parte, la Ley 489 de 1998, en el artículo 96, permite a las entidades públicas en general, es decir, cualquiera sea su naturaleza y orden administrativo, asociarse con personas jurídicas particulares, mediante la celebración de convenios de asociación o la creación de personas jurídicas</w:t>
      </w:r>
      <w:r w:rsidRPr="00F17EB6">
        <w:rPr>
          <w:rFonts w:ascii="Verdana" w:eastAsia="Calibri" w:hAnsi="Verdana" w:cs="Arial"/>
          <w:color w:val="000000"/>
          <w:vertAlign w:val="superscript"/>
          <w:lang w:val="es-MX"/>
        </w:rPr>
        <w:footnoteReference w:id="2"/>
      </w:r>
      <w:r w:rsidRPr="00F17EB6">
        <w:rPr>
          <w:rFonts w:ascii="Verdana" w:eastAsia="Calibri" w:hAnsi="Verdana" w:cs="Arial"/>
          <w:color w:val="000000"/>
          <w:lang w:val="es-MX"/>
        </w:rPr>
        <w:t>. Ambas figuras tienen como fin desarrollar conjuntamente actividades relacionadas con los cometidos y funciones legales asignadas a la entidad.</w:t>
      </w:r>
    </w:p>
    <w:p w14:paraId="7630F2BC" w14:textId="77777777" w:rsidR="003878CE" w:rsidRPr="00D91C0D" w:rsidRDefault="003878CE" w:rsidP="003878CE">
      <w:pPr>
        <w:spacing w:after="120" w:line="276" w:lineRule="auto"/>
        <w:ind w:firstLine="709"/>
        <w:jc w:val="both"/>
        <w:rPr>
          <w:rFonts w:ascii="Verdana" w:eastAsia="Calibri" w:hAnsi="Verdana" w:cs="Arial"/>
          <w:color w:val="000000"/>
          <w:lang w:val="es-MX"/>
        </w:rPr>
      </w:pPr>
      <w:r w:rsidRPr="00F17EB6">
        <w:rPr>
          <w:rFonts w:ascii="Verdana" w:eastAsia="Calibri" w:hAnsi="Verdana" w:cs="Arial"/>
          <w:color w:val="000000"/>
          <w:lang w:val="es-MX"/>
        </w:rPr>
        <w:t xml:space="preserve">En desarrollo del artículo 355 de la Constitución, el Gobierno Nacional expidió el Decreto 92 de 2017, que dispone las reglas para las contrataciones que realicen las entidades estatales con las ESAL. El Decreto regula dos eventos: i) los </w:t>
      </w:r>
      <w:r w:rsidRPr="00F17EB6">
        <w:rPr>
          <w:rFonts w:ascii="Verdana" w:eastAsia="Calibri" w:hAnsi="Verdana" w:cs="Arial"/>
          <w:i/>
          <w:iCs/>
          <w:color w:val="000000"/>
          <w:lang w:val="es-MX"/>
        </w:rPr>
        <w:t>contratos de colaboración</w:t>
      </w:r>
      <w:r w:rsidRPr="00F17EB6">
        <w:rPr>
          <w:rFonts w:ascii="Verdana" w:eastAsia="Calibri" w:hAnsi="Verdana" w:cs="Arial"/>
          <w:color w:val="000000"/>
          <w:lang w:val="es-MX"/>
        </w:rPr>
        <w:t xml:space="preserve"> o de interés público, con el fin impulsar programas y actividades de interés público de acuerdo con el Plan Nacional o los planes seccionales de desarrollo, en los términos del artículo 355 de la </w:t>
      </w:r>
      <w:r w:rsidRPr="00F17EB6">
        <w:rPr>
          <w:rFonts w:ascii="Verdana" w:eastAsia="Calibri" w:hAnsi="Verdana" w:cs="Arial"/>
          <w:color w:val="000000"/>
          <w:lang w:val="es-MX"/>
        </w:rPr>
        <w:lastRenderedPageBreak/>
        <w:t xml:space="preserve">Constitución Política; y ii) los </w:t>
      </w:r>
      <w:r w:rsidRPr="00F17EB6">
        <w:rPr>
          <w:rFonts w:ascii="Verdana" w:eastAsia="Calibri" w:hAnsi="Verdana" w:cs="Arial"/>
          <w:i/>
          <w:iCs/>
          <w:color w:val="000000"/>
          <w:lang w:val="es-MX"/>
        </w:rPr>
        <w:t>convenios de asociación</w:t>
      </w:r>
      <w:r w:rsidRPr="00F17EB6">
        <w:rPr>
          <w:rFonts w:ascii="Verdana" w:eastAsia="Calibri" w:hAnsi="Verdana" w:cs="Arial"/>
          <w:color w:val="000000"/>
          <w:lang w:val="es-MX"/>
        </w:rPr>
        <w:t xml:space="preserve">, para el desarrollo conjunto de actividades relacionadas con las funciones de las entidades estatales, en desarrollo del artículo 96 de la Ley 489 de 1998. Los primeros están regulados en el artículo 2 del Decreto 92 de 2017, mientras que los segundos en los artículos 5, 6, 7 y 8 </w:t>
      </w:r>
      <w:r w:rsidRPr="00F17EB6">
        <w:rPr>
          <w:rFonts w:ascii="Verdana" w:eastAsia="Calibri" w:hAnsi="Verdana" w:cs="Arial"/>
          <w:i/>
          <w:iCs/>
          <w:color w:val="000000"/>
          <w:lang w:val="es-MX"/>
        </w:rPr>
        <w:t>ibidem</w:t>
      </w:r>
      <w:r w:rsidRPr="00F17EB6">
        <w:rPr>
          <w:rFonts w:ascii="Verdana" w:eastAsia="Calibri" w:hAnsi="Verdana" w:cs="Arial"/>
          <w:color w:val="000000"/>
          <w:lang w:val="es-MX"/>
        </w:rPr>
        <w:t xml:space="preserve">. Es posible diferenciar, pues, los </w:t>
      </w:r>
      <w:r w:rsidRPr="00F17EB6">
        <w:rPr>
          <w:rFonts w:ascii="Verdana" w:eastAsia="Calibri" w:hAnsi="Verdana" w:cs="Arial"/>
          <w:i/>
          <w:iCs/>
          <w:color w:val="000000"/>
          <w:lang w:val="es-MX"/>
        </w:rPr>
        <w:t>convenios de asociación</w:t>
      </w:r>
      <w:r w:rsidRPr="00F17EB6">
        <w:rPr>
          <w:rFonts w:ascii="Verdana" w:eastAsia="Calibri" w:hAnsi="Verdana" w:cs="Arial"/>
          <w:color w:val="000000"/>
          <w:lang w:val="es-MX"/>
        </w:rPr>
        <w:t xml:space="preserve">, regulados en el artículo 5, de los </w:t>
      </w:r>
      <w:r w:rsidRPr="00F17EB6">
        <w:rPr>
          <w:rFonts w:ascii="Verdana" w:eastAsia="Calibri" w:hAnsi="Verdana" w:cs="Arial"/>
          <w:i/>
          <w:iCs/>
          <w:color w:val="000000"/>
          <w:lang w:val="es-MX"/>
        </w:rPr>
        <w:t>contratos de colaboración</w:t>
      </w:r>
      <w:r w:rsidRPr="00F17EB6">
        <w:rPr>
          <w:rFonts w:ascii="Verdana" w:eastAsia="Calibri" w:hAnsi="Verdana" w:cs="Arial"/>
          <w:color w:val="000000"/>
          <w:lang w:val="es-MX"/>
        </w:rPr>
        <w:t>, establecidos en el artículo 2 del Decreto 092 de 2017</w:t>
      </w:r>
      <w:r w:rsidRPr="00F17EB6">
        <w:rPr>
          <w:rFonts w:ascii="Verdana" w:eastAsia="Calibri" w:hAnsi="Verdana" w:cs="Arial"/>
          <w:color w:val="000000"/>
          <w:vertAlign w:val="superscript"/>
          <w:lang w:val="es-MX"/>
        </w:rPr>
        <w:footnoteReference w:id="3"/>
      </w:r>
      <w:r w:rsidRPr="00F17EB6">
        <w:rPr>
          <w:rFonts w:ascii="Verdana" w:eastAsia="Calibri" w:hAnsi="Verdana" w:cs="Arial"/>
          <w:color w:val="000000"/>
          <w:lang w:val="es-MX"/>
        </w:rPr>
        <w:t xml:space="preserve">. </w:t>
      </w:r>
      <w:r w:rsidRPr="00A745FA">
        <w:rPr>
          <w:rFonts w:ascii="Verdana" w:eastAsia="Calibri" w:hAnsi="Verdana" w:cs="Arial"/>
          <w:color w:val="000000"/>
        </w:rPr>
        <w:t xml:space="preserve">Al respecto, La Sala de Consulta y Servicio Civil del Consejo de Estado haciendo un análisis del Decreto 777 de 1992 y asimilándolo en el Decreto 092 de 2017, estableció diferencias entre los contratos de apoyo y los convenios de asociación, expresando: </w:t>
      </w:r>
    </w:p>
    <w:p w14:paraId="4EDD1886" w14:textId="77777777" w:rsidR="003878CE" w:rsidRPr="00A745FA" w:rsidRDefault="003878CE" w:rsidP="003878CE">
      <w:pPr>
        <w:spacing w:after="0" w:line="276" w:lineRule="auto"/>
        <w:ind w:firstLine="708"/>
        <w:jc w:val="both"/>
        <w:rPr>
          <w:rFonts w:ascii="Verdana" w:eastAsia="Calibri" w:hAnsi="Verdana"/>
          <w:bCs/>
          <w:iCs/>
          <w:color w:val="000000"/>
        </w:rPr>
      </w:pPr>
    </w:p>
    <w:p w14:paraId="13029AD5" w14:textId="77777777" w:rsidR="003878CE" w:rsidRPr="008C1758" w:rsidRDefault="003878CE" w:rsidP="003878CE">
      <w:pPr>
        <w:spacing w:after="0" w:line="240" w:lineRule="auto"/>
        <w:ind w:left="709" w:right="709"/>
        <w:jc w:val="both"/>
        <w:rPr>
          <w:rFonts w:ascii="Verdana" w:eastAsia="Calibri" w:hAnsi="Verdana"/>
          <w:bCs/>
          <w:iCs/>
          <w:color w:val="000000"/>
          <w:sz w:val="20"/>
          <w:szCs w:val="20"/>
        </w:rPr>
      </w:pPr>
      <w:r>
        <w:rPr>
          <w:rFonts w:ascii="Verdana" w:eastAsia="Calibri" w:hAnsi="Verdana"/>
          <w:color w:val="000000"/>
          <w:sz w:val="20"/>
          <w:szCs w:val="20"/>
          <w:lang w:val="es-ES"/>
        </w:rPr>
        <w:t>“</w:t>
      </w:r>
      <w:r w:rsidRPr="008C1758">
        <w:rPr>
          <w:rFonts w:ascii="Verdana" w:eastAsia="Calibri" w:hAnsi="Verdana"/>
          <w:bCs/>
          <w:iCs/>
          <w:color w:val="000000"/>
          <w:sz w:val="20"/>
          <w:szCs w:val="20"/>
        </w:rPr>
        <w:t>1ª) Los contratos de apoyo se celebran con personas jurídicas privadas sin ánimo de lucro. Los contratos de asociación se celebran con personas jurídicas privadas con o sin ánimo de lucro.</w:t>
      </w:r>
    </w:p>
    <w:p w14:paraId="65FAA229" w14:textId="77777777" w:rsidR="003878CE" w:rsidRPr="008C1758" w:rsidRDefault="003878CE" w:rsidP="003878CE">
      <w:pPr>
        <w:spacing w:after="0" w:line="240" w:lineRule="auto"/>
        <w:ind w:left="709" w:right="709"/>
        <w:jc w:val="both"/>
        <w:rPr>
          <w:rFonts w:ascii="Verdana" w:eastAsia="Calibri" w:hAnsi="Verdana"/>
          <w:bCs/>
          <w:iCs/>
          <w:color w:val="000000"/>
          <w:sz w:val="20"/>
          <w:szCs w:val="20"/>
        </w:rPr>
      </w:pPr>
    </w:p>
    <w:p w14:paraId="5B2BF55B" w14:textId="77777777" w:rsidR="003878CE" w:rsidRPr="008C1758" w:rsidRDefault="003878CE" w:rsidP="003878CE">
      <w:pPr>
        <w:spacing w:after="0" w:line="240" w:lineRule="auto"/>
        <w:ind w:left="709" w:right="709"/>
        <w:jc w:val="both"/>
        <w:rPr>
          <w:rFonts w:ascii="Verdana" w:eastAsia="Calibri" w:hAnsi="Verdana"/>
          <w:bCs/>
          <w:iCs/>
          <w:color w:val="000000"/>
          <w:sz w:val="20"/>
          <w:szCs w:val="20"/>
        </w:rPr>
      </w:pPr>
      <w:r w:rsidRPr="008C1758">
        <w:rPr>
          <w:rFonts w:ascii="Verdana" w:eastAsia="Calibri" w:hAnsi="Verdana"/>
          <w:bCs/>
          <w:iCs/>
          <w:color w:val="000000"/>
          <w:sz w:val="20"/>
          <w:szCs w:val="20"/>
        </w:rPr>
        <w:t>2ª) Los contratos de apoyo se celebran para impulsar programas y actividades de interés público acordes con los planes de desarrollo. Los contratos de asociación se pueden celebrar con esa finalidad, pero también para el desarrollo conjunto de actividades en relación con los cometidos y funciones asignadas legalmente a las entidades estatales.</w:t>
      </w:r>
    </w:p>
    <w:p w14:paraId="40708491" w14:textId="77777777" w:rsidR="003878CE" w:rsidRPr="008C1758" w:rsidRDefault="003878CE" w:rsidP="003878CE">
      <w:pPr>
        <w:spacing w:after="0" w:line="240" w:lineRule="auto"/>
        <w:ind w:left="709" w:right="709"/>
        <w:jc w:val="both"/>
        <w:rPr>
          <w:rFonts w:ascii="Verdana" w:eastAsia="Calibri" w:hAnsi="Verdana"/>
          <w:bCs/>
          <w:iCs/>
          <w:color w:val="000000"/>
          <w:sz w:val="20"/>
          <w:szCs w:val="20"/>
        </w:rPr>
      </w:pPr>
    </w:p>
    <w:p w14:paraId="379A86B8" w14:textId="77777777" w:rsidR="003878CE" w:rsidRPr="008C1758" w:rsidRDefault="003878CE" w:rsidP="003878CE">
      <w:pPr>
        <w:spacing w:after="0" w:line="240" w:lineRule="auto"/>
        <w:ind w:left="709" w:right="709"/>
        <w:jc w:val="both"/>
        <w:rPr>
          <w:rFonts w:ascii="Verdana" w:eastAsia="Calibri" w:hAnsi="Verdana"/>
          <w:bCs/>
          <w:iCs/>
          <w:color w:val="000000"/>
          <w:sz w:val="20"/>
          <w:szCs w:val="20"/>
        </w:rPr>
      </w:pPr>
      <w:r w:rsidRPr="008C1758">
        <w:rPr>
          <w:rFonts w:ascii="Verdana" w:eastAsia="Calibri" w:hAnsi="Verdana" w:cs="Arial"/>
          <w:bCs/>
          <w:iCs/>
          <w:color w:val="000000"/>
          <w:sz w:val="20"/>
          <w:szCs w:val="20"/>
        </w:rPr>
        <w:t xml:space="preserve">3ª) Los contratos de apoyo se celebran con cargo al respectivo presupuesto de la entidad pública. En los contratos de asociación se deben determinar, como señala el inciso segundo del citado artículo </w:t>
      </w:r>
      <w:r w:rsidRPr="004608D1">
        <w:rPr>
          <w:rFonts w:ascii="Verdana" w:eastAsia="Calibri" w:hAnsi="Verdana" w:cs="Arial"/>
          <w:bCs/>
          <w:iCs/>
          <w:color w:val="000000"/>
          <w:sz w:val="20"/>
          <w:szCs w:val="20"/>
        </w:rPr>
        <w:t>96, los</w:t>
      </w:r>
      <w:r w:rsidRPr="008C1758">
        <w:rPr>
          <w:rFonts w:ascii="Verdana" w:eastAsia="Calibri" w:hAnsi="Verdana" w:cs="Arial"/>
          <w:bCs/>
          <w:iCs/>
          <w:color w:val="000000"/>
          <w:sz w:val="20"/>
          <w:szCs w:val="20"/>
        </w:rPr>
        <w:t xml:space="preserve"> </w:t>
      </w:r>
      <w:r w:rsidRPr="008C1758">
        <w:rPr>
          <w:rFonts w:ascii="Verdana" w:eastAsia="Calibri" w:hAnsi="Verdana" w:cs="Arial"/>
          <w:bCs/>
          <w:i/>
          <w:iCs/>
          <w:color w:val="000000"/>
          <w:sz w:val="20"/>
          <w:szCs w:val="20"/>
        </w:rPr>
        <w:t>“aportes”</w:t>
      </w:r>
      <w:r w:rsidRPr="008C1758">
        <w:rPr>
          <w:rFonts w:ascii="Verdana" w:eastAsia="Calibri" w:hAnsi="Verdana" w:cs="Arial"/>
          <w:bCs/>
          <w:iCs/>
          <w:color w:val="000000"/>
          <w:sz w:val="20"/>
          <w:szCs w:val="20"/>
        </w:rPr>
        <w:t xml:space="preserve"> tanto de la entidad pública como de la persona jurídica particular</w:t>
      </w:r>
      <w:r>
        <w:rPr>
          <w:rFonts w:ascii="Verdana" w:eastAsia="Calibri" w:hAnsi="Verdana" w:cs="Arial"/>
          <w:color w:val="000000"/>
          <w:sz w:val="20"/>
          <w:szCs w:val="20"/>
        </w:rPr>
        <w:t>”</w:t>
      </w:r>
      <w:r w:rsidRPr="008C1758">
        <w:rPr>
          <w:rFonts w:ascii="Verdana" w:eastAsia="Calibri" w:hAnsi="Verdana" w:cs="Arial"/>
          <w:bCs/>
          <w:iCs/>
          <w:color w:val="000000"/>
          <w:sz w:val="20"/>
          <w:szCs w:val="20"/>
          <w:vertAlign w:val="superscript"/>
        </w:rPr>
        <w:footnoteReference w:id="4"/>
      </w:r>
      <w:r w:rsidRPr="008C1758">
        <w:rPr>
          <w:rFonts w:ascii="Verdana" w:eastAsia="Calibri" w:hAnsi="Verdana" w:cs="Arial"/>
          <w:bCs/>
          <w:iCs/>
          <w:color w:val="000000"/>
          <w:sz w:val="20"/>
          <w:szCs w:val="20"/>
        </w:rPr>
        <w:t>.</w:t>
      </w:r>
    </w:p>
    <w:p w14:paraId="3E2F04BB" w14:textId="77777777" w:rsidR="003878CE" w:rsidRPr="00A745FA" w:rsidRDefault="003878CE" w:rsidP="003878CE">
      <w:pPr>
        <w:spacing w:after="0" w:line="276" w:lineRule="auto"/>
        <w:ind w:firstLine="708"/>
        <w:jc w:val="both"/>
        <w:rPr>
          <w:rFonts w:ascii="Verdana" w:eastAsia="Calibri" w:hAnsi="Verdana" w:cs="Arial"/>
          <w:color w:val="000000"/>
          <w:lang w:val="es-MX"/>
        </w:rPr>
      </w:pPr>
    </w:p>
    <w:p w14:paraId="2CD54324" w14:textId="77777777" w:rsidR="003878CE" w:rsidRDefault="003878CE" w:rsidP="003878CE">
      <w:pPr>
        <w:spacing w:after="120" w:line="276" w:lineRule="auto"/>
        <w:ind w:firstLine="708"/>
        <w:jc w:val="both"/>
        <w:rPr>
          <w:rFonts w:ascii="Verdana" w:eastAsia="Calibri" w:hAnsi="Verdana" w:cs="Arial"/>
          <w:color w:val="000000"/>
          <w:lang w:val="es-MX"/>
        </w:rPr>
      </w:pPr>
      <w:r w:rsidRPr="00F17EB6">
        <w:rPr>
          <w:rFonts w:ascii="Verdana" w:eastAsia="Calibri" w:hAnsi="Verdana" w:cs="Arial"/>
          <w:color w:val="000000"/>
          <w:lang w:val="es-MX"/>
        </w:rPr>
        <w:t xml:space="preserve">Los </w:t>
      </w:r>
      <w:r w:rsidRPr="00F17EB6">
        <w:rPr>
          <w:rFonts w:ascii="Verdana" w:eastAsia="Calibri" w:hAnsi="Verdana" w:cs="Arial"/>
          <w:i/>
          <w:iCs/>
          <w:color w:val="000000"/>
          <w:lang w:val="es-MX"/>
        </w:rPr>
        <w:t>contratos</w:t>
      </w:r>
      <w:r>
        <w:rPr>
          <w:rFonts w:ascii="Verdana" w:eastAsia="Calibri" w:hAnsi="Verdana" w:cs="Arial"/>
          <w:i/>
          <w:iCs/>
          <w:color w:val="000000"/>
          <w:lang w:val="es-MX"/>
        </w:rPr>
        <w:t xml:space="preserve"> o convenios</w:t>
      </w:r>
      <w:r w:rsidRPr="00F17EB6">
        <w:rPr>
          <w:rFonts w:ascii="Verdana" w:eastAsia="Calibri" w:hAnsi="Verdana" w:cs="Arial"/>
          <w:i/>
          <w:iCs/>
          <w:color w:val="000000"/>
          <w:lang w:val="es-MX"/>
        </w:rPr>
        <w:t xml:space="preserve"> de colaboración </w:t>
      </w:r>
      <w:r w:rsidRPr="00F17EB6">
        <w:rPr>
          <w:rFonts w:ascii="Verdana" w:eastAsia="Calibri" w:hAnsi="Verdana" w:cs="Arial"/>
          <w:color w:val="000000"/>
          <w:lang w:val="es-MX"/>
        </w:rPr>
        <w:t xml:space="preserve">tienen como objeto promover acciones de fomento social en beneficio de los sectores más desprotegidos de la población, previstas en los planes de desarrollo, motivo por el cual no dan lugar a una contraprestación directa a favor de la entidad y tampoco a una relación conmutativa entre esta y la ESAL, toda vez que el beneficio real y directo lo reciben, en últimas, los terceros beneficiarios de este tipo de acciones de fomento. </w:t>
      </w:r>
    </w:p>
    <w:p w14:paraId="0C7D8151" w14:textId="77777777" w:rsidR="003878CE" w:rsidRDefault="003878CE" w:rsidP="003878CE">
      <w:pPr>
        <w:shd w:val="clear" w:color="auto" w:fill="FFFFFF"/>
        <w:spacing w:after="120" w:line="276" w:lineRule="auto"/>
        <w:ind w:firstLine="708"/>
        <w:jc w:val="both"/>
        <w:textAlignment w:val="baseline"/>
        <w:rPr>
          <w:rFonts w:ascii="Verdana" w:eastAsia="Calibri" w:hAnsi="Verdana" w:cs="Arial"/>
          <w:color w:val="000000" w:themeColor="text1"/>
        </w:rPr>
      </w:pPr>
      <w:r w:rsidRPr="00D44070">
        <w:rPr>
          <w:rFonts w:ascii="Verdana" w:eastAsia="Calibri" w:hAnsi="Verdana" w:cs="Arial"/>
          <w:color w:val="000000" w:themeColor="text1"/>
        </w:rPr>
        <w:lastRenderedPageBreak/>
        <w:t xml:space="preserve">De otro lado, los </w:t>
      </w:r>
      <w:r w:rsidRPr="00D44070">
        <w:rPr>
          <w:rFonts w:ascii="Verdana" w:eastAsia="Calibri" w:hAnsi="Verdana" w:cs="Arial"/>
          <w:i/>
          <w:iCs/>
          <w:color w:val="000000" w:themeColor="text1"/>
        </w:rPr>
        <w:t xml:space="preserve">convenios de asociación </w:t>
      </w:r>
      <w:r w:rsidRPr="00D44070">
        <w:rPr>
          <w:rFonts w:ascii="Verdana" w:eastAsia="Calibri" w:hAnsi="Verdana" w:cs="Arial"/>
          <w:color w:val="000000" w:themeColor="text1"/>
        </w:rPr>
        <w:t>– a los cuales hace referencia en su consulta – “[…] [t]ienen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E277D4">
        <w:rPr>
          <w:rFonts w:ascii="Verdana" w:hAnsi="Verdana"/>
          <w:vertAlign w:val="superscript"/>
        </w:rPr>
        <w:footnoteReference w:id="5"/>
      </w:r>
      <w:r w:rsidRPr="00D44070">
        <w:rPr>
          <w:rFonts w:ascii="Verdana" w:eastAsia="Calibri" w:hAnsi="Verdana" w:cs="Arial"/>
          <w:color w:val="000000" w:themeColor="text1"/>
        </w:rPr>
        <w:t xml:space="preserve">. En estos convenios – al igual que en los contratos de colaboración antes explicados – no existe contraprestación o pago, sino aportes, los cuales están dirigidos, exclusivamente, a lograr la ejecución del convenio no a remunerar la actividad o actuaciones del asociado. </w:t>
      </w:r>
      <w:r>
        <w:rPr>
          <w:rFonts w:ascii="Verdana" w:eastAsia="Calibri" w:hAnsi="Verdana" w:cs="Arial"/>
          <w:color w:val="000000" w:themeColor="text1"/>
        </w:rPr>
        <w:t xml:space="preserve">Para analizar un poco sobre este tipo de convenios se desarrollará el siguiente apartado. </w:t>
      </w:r>
    </w:p>
    <w:p w14:paraId="45D6AD9C" w14:textId="77777777" w:rsidR="003878CE" w:rsidRDefault="003878CE" w:rsidP="003878CE">
      <w:pPr>
        <w:shd w:val="clear" w:color="auto" w:fill="FFFFFF"/>
        <w:spacing w:after="120" w:line="276" w:lineRule="auto"/>
        <w:jc w:val="both"/>
        <w:textAlignment w:val="baseline"/>
        <w:rPr>
          <w:rFonts w:ascii="Verdana" w:eastAsia="Calibri" w:hAnsi="Verdana" w:cs="Arial"/>
          <w:color w:val="000000" w:themeColor="text1"/>
        </w:rPr>
      </w:pPr>
    </w:p>
    <w:p w14:paraId="57CF0174" w14:textId="77777777" w:rsidR="003878CE" w:rsidRDefault="003878CE" w:rsidP="003878CE">
      <w:pPr>
        <w:spacing w:after="120" w:line="276" w:lineRule="auto"/>
        <w:jc w:val="both"/>
        <w:rPr>
          <w:rFonts w:ascii="Verdana" w:eastAsia="Calibri" w:hAnsi="Verdana" w:cs="Arial"/>
          <w:lang w:val="es-MX"/>
        </w:rPr>
      </w:pPr>
      <w:r>
        <w:rPr>
          <w:rFonts w:ascii="Verdana" w:eastAsia="Calibri" w:hAnsi="Verdana" w:cs="Arial"/>
          <w:bCs/>
          <w:color w:val="000000"/>
        </w:rPr>
        <w:t xml:space="preserve">ii. </w:t>
      </w:r>
      <w:r w:rsidRPr="00E9090B">
        <w:rPr>
          <w:rFonts w:ascii="Verdana" w:eastAsia="Calibri" w:hAnsi="Verdana" w:cs="Arial"/>
          <w:lang w:val="es-MX"/>
        </w:rPr>
        <w:t xml:space="preserve">Los </w:t>
      </w:r>
      <w:r w:rsidRPr="00E9090B">
        <w:rPr>
          <w:rFonts w:ascii="Verdana" w:eastAsia="Calibri" w:hAnsi="Verdana" w:cs="Arial"/>
          <w:i/>
          <w:iCs/>
          <w:lang w:val="es-MX"/>
        </w:rPr>
        <w:t>convenios de asociación</w:t>
      </w:r>
      <w:r w:rsidRPr="00E9090B">
        <w:rPr>
          <w:rFonts w:ascii="Verdana" w:eastAsia="Calibri" w:hAnsi="Verdana" w:cs="Arial"/>
          <w:lang w:val="es-MX"/>
        </w:rPr>
        <w:t xml:space="preserve"> tienen como fin que la entidad estatal, cualquiera que sea su naturaleza y orden administrativo como es el caso de las entidades territoriales –distritos, municipios, departamentos, entre otros- se asocien con personas jurídicas particulares para el desarrollo conjunto de actividades relacionadas con los cometidos y funciones asignadas a aquellas conforme a la Constitución y a la Ley. Los convenios de asociación están regulados en el artículo 5° del Decreto 092 de 2017 y el artículo 96 de la Ley 489 de 1998, sin dejar de lado los artículos 6,7, 8, 9, 10 y 11 del precitado Decreto</w:t>
      </w:r>
      <w:r>
        <w:rPr>
          <w:rFonts w:ascii="Verdana" w:eastAsia="Calibri" w:hAnsi="Verdana" w:cs="Arial"/>
          <w:lang w:val="es-MX"/>
        </w:rPr>
        <w:t xml:space="preserve"> Autónomo</w:t>
      </w:r>
      <w:r w:rsidRPr="00E9090B">
        <w:rPr>
          <w:rFonts w:ascii="Verdana" w:eastAsia="Calibri" w:hAnsi="Verdana" w:cs="Arial"/>
          <w:lang w:val="es-MX"/>
        </w:rPr>
        <w:t xml:space="preserve">. </w:t>
      </w:r>
    </w:p>
    <w:p w14:paraId="3B77996E" w14:textId="77777777" w:rsidR="003878CE" w:rsidRPr="00E9090B" w:rsidRDefault="003878CE" w:rsidP="003878CE">
      <w:pPr>
        <w:spacing w:after="120" w:line="276" w:lineRule="auto"/>
        <w:ind w:firstLine="708"/>
        <w:jc w:val="both"/>
        <w:rPr>
          <w:rFonts w:ascii="Verdana" w:eastAsia="Calibri" w:hAnsi="Verdana" w:cs="Arial"/>
          <w:lang w:val="es-MX"/>
        </w:rPr>
      </w:pPr>
      <w:r w:rsidRPr="00E9090B">
        <w:rPr>
          <w:rFonts w:ascii="Verdana" w:eastAsia="Calibri" w:hAnsi="Verdana" w:cs="Arial"/>
          <w:lang w:val="es-MX"/>
        </w:rPr>
        <w:t xml:space="preserve">En estos convenios no existe contraprestación o pago, sino aportes, los cuales están dirigidos, exclusivamente, a lograr la ejecución del convenio y no a remunerar la actividad o actuaciones del asociado. De todos modos, la entidad debe adelantar un proceso competitivo, salvo cuando la ESAL comprometa recursos en dinero para la ejecución de estas actividades, en una proporción no inferior al 30% del valor total del convenio. </w:t>
      </w:r>
    </w:p>
    <w:p w14:paraId="7645E614" w14:textId="77777777" w:rsidR="003878CE" w:rsidRPr="00E9090B" w:rsidRDefault="003878CE" w:rsidP="003878CE">
      <w:pPr>
        <w:spacing w:after="120" w:line="276" w:lineRule="auto"/>
        <w:ind w:firstLine="708"/>
        <w:jc w:val="both"/>
        <w:rPr>
          <w:rFonts w:ascii="Verdana" w:eastAsia="Calibri" w:hAnsi="Verdana" w:cs="Arial"/>
          <w:lang w:val="es-MX"/>
        </w:rPr>
      </w:pPr>
      <w:r w:rsidRPr="00E9090B">
        <w:rPr>
          <w:rFonts w:ascii="Verdana" w:eastAsia="Calibri" w:hAnsi="Verdana" w:cs="Arial"/>
          <w:lang w:val="es-MX"/>
        </w:rPr>
        <w:t>De conformidad con el inciso segundo del artículo 96 de la Ley 489 de 1998, en est</w:t>
      </w:r>
      <w:r>
        <w:rPr>
          <w:rFonts w:ascii="Verdana" w:eastAsia="Calibri" w:hAnsi="Verdana" w:cs="Arial"/>
          <w:lang w:val="es-MX"/>
        </w:rPr>
        <w:t>os convenios debe determinarse “</w:t>
      </w:r>
      <w:r w:rsidRPr="00E9090B">
        <w:rPr>
          <w:rFonts w:ascii="Verdana" w:eastAsia="Calibri" w:hAnsi="Verdana" w:cs="Arial"/>
          <w:lang w:val="es-MX"/>
        </w:rPr>
        <w:t>con precisión su objeto, término, obligaciones de las partes, aportes, coordinación y todos aquellos aspecto</w:t>
      </w:r>
      <w:r>
        <w:rPr>
          <w:rFonts w:ascii="Verdana" w:eastAsia="Calibri" w:hAnsi="Verdana" w:cs="Arial"/>
          <w:lang w:val="es-MX"/>
        </w:rPr>
        <w:t>s que se consideren pertinentes”</w:t>
      </w:r>
      <w:r w:rsidRPr="00E9090B">
        <w:rPr>
          <w:rFonts w:ascii="Verdana" w:eastAsia="Calibri" w:hAnsi="Verdana" w:cs="Arial"/>
          <w:lang w:val="es-MX"/>
        </w:rPr>
        <w:t xml:space="preserve">, elementos dentro de los que resalta la exigencia de aportes, que debe interpretarse en el sentido de que las ESAL deben realizar aportes a los convenios que suscriban, los cuales pueden ser en dinero, en </w:t>
      </w:r>
      <w:r w:rsidRPr="00E9090B">
        <w:rPr>
          <w:rFonts w:ascii="Verdana" w:eastAsia="Calibri" w:hAnsi="Verdana" w:cs="Arial"/>
          <w:lang w:val="es-MX"/>
        </w:rPr>
        <w:lastRenderedPageBreak/>
        <w:t xml:space="preserve">porcentajes inferiores o superiores al 30%, o en especie, los cuales deben servir al desarrollo de los objetivos comunes de la asociación. </w:t>
      </w:r>
    </w:p>
    <w:p w14:paraId="7298744A" w14:textId="77777777" w:rsidR="003878CE" w:rsidRPr="00E9090B" w:rsidRDefault="003878CE" w:rsidP="003878CE">
      <w:pPr>
        <w:spacing w:after="120" w:line="276" w:lineRule="auto"/>
        <w:ind w:firstLine="708"/>
        <w:jc w:val="both"/>
        <w:rPr>
          <w:rFonts w:ascii="Verdana" w:eastAsia="Calibri" w:hAnsi="Verdana" w:cs="Arial"/>
          <w:lang w:val="es-MX"/>
        </w:rPr>
      </w:pPr>
      <w:r w:rsidRPr="00E9090B">
        <w:rPr>
          <w:rFonts w:ascii="Verdana" w:eastAsia="Calibri" w:hAnsi="Verdana" w:cs="Arial"/>
          <w:lang w:val="es-MX"/>
        </w:rPr>
        <w:t xml:space="preserve">La normativa vigente no impide que varias entidades suscriban conjuntamente el convenio de asociación ni tampoco que dos o más ESAL pueden hacerlo a través de las figuras asociativas autorizadas por la ley, por ejemplo, la unión temporal o el consorcio. Sin embargo, comoquiera que el artículo 96 de la Ley 489 de 1998 determina que el convenio debe buscar el desarrollo conjunto de actividades relacionadas con los cometidos y funciones que la ley les asigna a las entidades estatales involucradas, es necesario que las funciones legales de las entidades estatales que suscriben conjuntamente el convenio coincidan de alguna de tal manera que, los cometidos funcionales de una y otra entidad se relacionen con el objeto del convenio.  </w:t>
      </w:r>
    </w:p>
    <w:p w14:paraId="5DB231CB" w14:textId="77777777" w:rsidR="003878CE" w:rsidRPr="00E9090B" w:rsidRDefault="003878CE" w:rsidP="003878CE">
      <w:pPr>
        <w:spacing w:after="120" w:line="276" w:lineRule="auto"/>
        <w:ind w:firstLine="708"/>
        <w:jc w:val="both"/>
        <w:rPr>
          <w:rFonts w:ascii="Verdana" w:eastAsia="Calibri" w:hAnsi="Verdana" w:cs="Arial"/>
          <w:lang w:val="es-MX"/>
        </w:rPr>
      </w:pPr>
      <w:r w:rsidRPr="00E9090B">
        <w:rPr>
          <w:rFonts w:ascii="Verdana" w:eastAsia="Calibri" w:hAnsi="Verdana" w:cs="Arial"/>
          <w:lang w:val="es-MX"/>
        </w:rPr>
        <w:t>Igualmente, considerando que los convenios de asociación “no estarán sujetos a competencia cuando la entidad sin ánimo de lucro comprometa recursos en dinero para la ejecución de esas actividades en una proporción no inferior al 30% del valor total del convenio”, las entidades deben asegurarse de que su contratista, es decir, una o varias ESAL, aporten al menos el treinta por ciento (30%), en dinero, del valor del convenio para celebrarlo directamente, pues de lo contrario deberá adelantarse un proceso competitivo. Además, en atención al inciso 2 del artículo 5 del Decreto 092 de 2017, deben “asegurarse que no haya otras ESAL que ofrezcan su compromiso de recursos en dinero en una proporción no inferior al 30% del valor total del convenio. En caso de que la entidad encuentre que más de una ESAL le ofrece al menos el 30% de recursos en dinero para el convenio de asociación, debe seleccionar objetivamente con cual asociarse”</w:t>
      </w:r>
      <w:r w:rsidRPr="00E9090B">
        <w:rPr>
          <w:rFonts w:ascii="Verdana" w:eastAsia="Calibri" w:hAnsi="Verdana" w:cs="Arial"/>
          <w:vertAlign w:val="superscript"/>
          <w:lang w:val="es-MX"/>
        </w:rPr>
        <w:footnoteReference w:id="6"/>
      </w:r>
      <w:r w:rsidRPr="00E9090B">
        <w:rPr>
          <w:rFonts w:ascii="Verdana" w:eastAsia="Calibri" w:hAnsi="Verdana" w:cs="Arial"/>
          <w:lang w:val="es-MX"/>
        </w:rPr>
        <w:t>.</w:t>
      </w:r>
    </w:p>
    <w:p w14:paraId="182D1CC7" w14:textId="77777777" w:rsidR="003878CE" w:rsidRPr="00E9090B" w:rsidRDefault="003878CE" w:rsidP="003878CE">
      <w:pPr>
        <w:spacing w:after="120" w:line="276" w:lineRule="auto"/>
        <w:ind w:firstLine="708"/>
        <w:jc w:val="both"/>
        <w:rPr>
          <w:rFonts w:ascii="Verdana" w:eastAsia="Calibri" w:hAnsi="Verdana" w:cs="Arial"/>
          <w:lang w:val="es-MX"/>
        </w:rPr>
      </w:pPr>
      <w:r w:rsidRPr="00E9090B">
        <w:rPr>
          <w:rFonts w:ascii="Verdana" w:eastAsia="Calibri" w:hAnsi="Verdana" w:cs="Arial"/>
          <w:lang w:val="es-MX"/>
        </w:rPr>
        <w:t xml:space="preserve">La noción “seleccionar de forma objetiva”, contenida en la disposición </w:t>
      </w:r>
      <w:r w:rsidRPr="00E9090B">
        <w:rPr>
          <w:rFonts w:ascii="Verdana" w:eastAsia="Calibri" w:hAnsi="Verdana" w:cs="Arial"/>
          <w:i/>
          <w:iCs/>
          <w:lang w:val="es-MX"/>
        </w:rPr>
        <w:t xml:space="preserve">sub examine </w:t>
      </w:r>
      <w:r w:rsidRPr="00E9090B">
        <w:rPr>
          <w:rFonts w:ascii="Verdana" w:eastAsia="Calibri" w:hAnsi="Verdana" w:cs="Arial"/>
          <w:lang w:val="es-MX"/>
        </w:rPr>
        <w:t xml:space="preserve">no puede ser entendida como una remisión total a las Leyes 80 de 1993 y 1150 de 2007. A lo que se refiere la norma es a que la entidad estatal debe diseñar herramientas que permitan una comparación objetiva de las entidades sin ánimo de lucro para seleccionar objetivamente a aquella que tenga las mejores condiciones para alcanzar el resultado esperado con el proyecto de cooperación, por lo que los criterios que permitan una selección objetiva deben definirse en términos de la obtención de los objetivos del convenio de asociación. </w:t>
      </w:r>
      <w:r w:rsidRPr="00E9090B">
        <w:rPr>
          <w:rFonts w:ascii="Verdana" w:eastAsia="Calibri" w:hAnsi="Verdana" w:cs="Arial"/>
          <w:lang w:val="es-MX"/>
        </w:rPr>
        <w:lastRenderedPageBreak/>
        <w:t>Sin perjuicio de lo anterior, la entidad puede decidir acudir a los procesos de selección de contratistas que establece el EGCAP o, incluso, al trámite que regula el inciso 2 del artículo 2 del Decreto 92 de 2017.</w:t>
      </w:r>
    </w:p>
    <w:p w14:paraId="15B5C494" w14:textId="77777777" w:rsidR="003878CE" w:rsidRDefault="003878CE" w:rsidP="003878CE">
      <w:pPr>
        <w:spacing w:after="120" w:line="276" w:lineRule="auto"/>
        <w:ind w:firstLine="708"/>
        <w:jc w:val="both"/>
        <w:textAlignment w:val="baseline"/>
        <w:rPr>
          <w:rFonts w:ascii="Verdana" w:eastAsia="Calibri" w:hAnsi="Verdana" w:cs="Arial"/>
          <w:lang w:val="es-MX"/>
        </w:rPr>
      </w:pPr>
      <w:r w:rsidRPr="00E9090B">
        <w:rPr>
          <w:rFonts w:ascii="Verdana" w:eastAsia="Arial" w:hAnsi="Verdana" w:cs="Arial"/>
          <w:lang w:val="es-ES"/>
        </w:rPr>
        <w:t>En suma, las entidades estatales son autónomas en la configuración del proceso competitivo en desarrollo del artículo 5 del Decreto 092 de 2017. En todo caso, el proceso competitivo que definan las entidades estatales para sus convenios de asociación debe garantizar que esté relacionado con las funciones de la entidad, la libre concurrencia y la pluralidad de interesados y la comparación objetiva de las ofertas. Este procedimiento puede ser análogo a otros donde existe competencia, como la licitación pública</w:t>
      </w:r>
      <w:r>
        <w:rPr>
          <w:rFonts w:ascii="Verdana" w:eastAsia="Calibri" w:hAnsi="Verdana" w:cs="Arial"/>
          <w:lang w:val="es-MX"/>
        </w:rPr>
        <w:t>.</w:t>
      </w:r>
    </w:p>
    <w:p w14:paraId="794323C6" w14:textId="77777777" w:rsidR="003878CE" w:rsidRPr="003356E7" w:rsidRDefault="003878CE" w:rsidP="003878CE">
      <w:pPr>
        <w:spacing w:after="120" w:line="276" w:lineRule="auto"/>
        <w:ind w:firstLine="708"/>
        <w:jc w:val="both"/>
        <w:textAlignment w:val="baseline"/>
        <w:rPr>
          <w:rFonts w:ascii="Verdana" w:eastAsia="Calibri" w:hAnsi="Verdana" w:cs="Arial"/>
        </w:rPr>
      </w:pPr>
      <w:r>
        <w:rPr>
          <w:rFonts w:ascii="Verdana" w:eastAsia="Calibri" w:hAnsi="Verdana" w:cs="Arial"/>
          <w:lang w:val="es-MX"/>
        </w:rPr>
        <w:t xml:space="preserve">A partir de lo expuesto, se encuentra que en la Nueva </w:t>
      </w:r>
      <w:r w:rsidRPr="00886DAE">
        <w:rPr>
          <w:rFonts w:ascii="Verdana" w:eastAsia="Calibri" w:hAnsi="Verdana" w:cs="Arial"/>
          <w:bCs/>
        </w:rPr>
        <w:t>“</w:t>
      </w:r>
      <w:r w:rsidRPr="00886DAE">
        <w:rPr>
          <w:rFonts w:ascii="Verdana" w:eastAsia="Calibri" w:hAnsi="Verdana" w:cs="Arial"/>
          <w:bCs/>
          <w:i/>
          <w:iCs/>
        </w:rPr>
        <w:t>Guía para la contratación con entidades privadas sin ánimo de lucro y de reconocida idoneidad”</w:t>
      </w:r>
      <w:r>
        <w:rPr>
          <w:rFonts w:ascii="Verdana" w:eastAsia="Calibri" w:hAnsi="Verdana" w:cs="Arial"/>
          <w:bCs/>
          <w:i/>
          <w:iCs/>
        </w:rPr>
        <w:t xml:space="preserve"> </w:t>
      </w:r>
      <w:r>
        <w:rPr>
          <w:rFonts w:ascii="Verdana" w:eastAsia="Calibri" w:hAnsi="Verdana" w:cs="Arial"/>
          <w:lang w:val="es-MX"/>
        </w:rPr>
        <w:t>se establece tres condiciones para contratar mediante convenios de asociación: en primer lugar, e</w:t>
      </w:r>
      <w:r w:rsidRPr="0033599C">
        <w:rPr>
          <w:rFonts w:ascii="Verdana" w:eastAsia="Calibri" w:hAnsi="Verdana" w:cs="Arial"/>
        </w:rPr>
        <w:t xml:space="preserve">l </w:t>
      </w:r>
      <w:r>
        <w:rPr>
          <w:rFonts w:ascii="Verdana" w:eastAsia="Calibri" w:hAnsi="Verdana" w:cs="Arial"/>
        </w:rPr>
        <w:t xml:space="preserve">convenio de asociación debe suscribirse mediante un proceso competitivo </w:t>
      </w:r>
      <w:r w:rsidRPr="0033599C">
        <w:rPr>
          <w:rFonts w:ascii="Verdana" w:eastAsia="Calibri" w:hAnsi="Verdana" w:cs="Arial"/>
        </w:rPr>
        <w:t>con</w:t>
      </w:r>
      <w:r>
        <w:rPr>
          <w:rFonts w:ascii="Verdana" w:eastAsia="Calibri" w:hAnsi="Verdana" w:cs="Arial"/>
        </w:rPr>
        <w:t xml:space="preserve"> </w:t>
      </w:r>
      <w:r w:rsidRPr="0033599C">
        <w:rPr>
          <w:rFonts w:ascii="Verdana" w:eastAsia="Calibri" w:hAnsi="Verdana" w:cs="Arial"/>
        </w:rPr>
        <w:t>Entidades Privadas Sin Ánimo de Lucro de</w:t>
      </w:r>
      <w:r>
        <w:rPr>
          <w:rFonts w:ascii="Verdana" w:eastAsia="Calibri" w:hAnsi="Verdana" w:cs="Arial"/>
        </w:rPr>
        <w:t xml:space="preserve"> </w:t>
      </w:r>
      <w:r w:rsidRPr="0033599C">
        <w:rPr>
          <w:rFonts w:ascii="Verdana" w:eastAsia="Calibri" w:hAnsi="Verdana" w:cs="Arial"/>
        </w:rPr>
        <w:t xml:space="preserve">reconocida idoneidad, </w:t>
      </w:r>
      <w:r>
        <w:rPr>
          <w:rFonts w:ascii="Verdana" w:eastAsia="Calibri" w:hAnsi="Verdana" w:cs="Arial"/>
        </w:rPr>
        <w:t xml:space="preserve">con la condición de que el </w:t>
      </w:r>
      <w:r w:rsidRPr="0033599C">
        <w:rPr>
          <w:rFonts w:ascii="Verdana" w:eastAsia="Calibri" w:hAnsi="Verdana" w:cs="Arial"/>
        </w:rPr>
        <w:t>aporte de la Entidad Privada Sin Ánimo de</w:t>
      </w:r>
      <w:r>
        <w:rPr>
          <w:rFonts w:ascii="Verdana" w:eastAsia="Calibri" w:hAnsi="Verdana" w:cs="Arial"/>
        </w:rPr>
        <w:t xml:space="preserve"> </w:t>
      </w:r>
      <w:r w:rsidRPr="0033599C">
        <w:rPr>
          <w:rFonts w:ascii="Verdana" w:eastAsia="Calibri" w:hAnsi="Verdana" w:cs="Arial"/>
        </w:rPr>
        <w:t>Lucro sea inferior al 30% en dinero propio o</w:t>
      </w:r>
      <w:r>
        <w:rPr>
          <w:rFonts w:ascii="Verdana" w:eastAsia="Calibri" w:hAnsi="Verdana" w:cs="Arial"/>
        </w:rPr>
        <w:t xml:space="preserve"> </w:t>
      </w:r>
      <w:r w:rsidRPr="0033599C">
        <w:rPr>
          <w:rFonts w:ascii="Verdana" w:eastAsia="Calibri" w:hAnsi="Verdana" w:cs="Arial"/>
        </w:rPr>
        <w:t>de cooperación internacional.</w:t>
      </w:r>
      <w:r>
        <w:rPr>
          <w:rFonts w:ascii="Verdana" w:eastAsia="Calibri" w:hAnsi="Verdana" w:cs="Arial"/>
        </w:rPr>
        <w:t xml:space="preserve"> En segundo lugar, la suscripción del convenio de asociación d</w:t>
      </w:r>
      <w:r w:rsidRPr="0033599C">
        <w:rPr>
          <w:rFonts w:ascii="Verdana" w:eastAsia="Calibri" w:hAnsi="Verdana" w:cs="Arial"/>
        </w:rPr>
        <w:t>el convenio de asociación</w:t>
      </w:r>
      <w:r>
        <w:rPr>
          <w:rFonts w:ascii="Verdana" w:eastAsia="Calibri" w:hAnsi="Verdana" w:cs="Arial"/>
        </w:rPr>
        <w:t xml:space="preserve"> no está </w:t>
      </w:r>
      <w:r w:rsidRPr="0033599C">
        <w:rPr>
          <w:rFonts w:ascii="Verdana" w:eastAsia="Calibri" w:hAnsi="Verdana" w:cs="Arial"/>
        </w:rPr>
        <w:t>sujeto a un proceso competitivo</w:t>
      </w:r>
      <w:r>
        <w:rPr>
          <w:rFonts w:ascii="Verdana" w:eastAsia="Calibri" w:hAnsi="Verdana" w:cs="Arial"/>
        </w:rPr>
        <w:t xml:space="preserve"> </w:t>
      </w:r>
      <w:r w:rsidRPr="0033599C">
        <w:rPr>
          <w:rFonts w:ascii="Verdana" w:eastAsia="Calibri" w:hAnsi="Verdana" w:cs="Arial"/>
        </w:rPr>
        <w:t>cuando la Entidad Privada Sin Ánimo de Lucro</w:t>
      </w:r>
      <w:r>
        <w:rPr>
          <w:rFonts w:ascii="Verdana" w:eastAsia="Calibri" w:hAnsi="Verdana" w:cs="Arial"/>
        </w:rPr>
        <w:t xml:space="preserve"> </w:t>
      </w:r>
      <w:r w:rsidRPr="0033599C">
        <w:rPr>
          <w:rFonts w:ascii="Verdana" w:eastAsia="Calibri" w:hAnsi="Verdana" w:cs="Arial"/>
        </w:rPr>
        <w:t>comprometa recursos en dinero propio o de</w:t>
      </w:r>
      <w:r>
        <w:rPr>
          <w:rFonts w:ascii="Verdana" w:eastAsia="Calibri" w:hAnsi="Verdana" w:cs="Arial"/>
        </w:rPr>
        <w:t xml:space="preserve"> </w:t>
      </w:r>
      <w:r w:rsidRPr="0033599C">
        <w:rPr>
          <w:rFonts w:ascii="Verdana" w:eastAsia="Calibri" w:hAnsi="Verdana" w:cs="Arial"/>
        </w:rPr>
        <w:t>cooperación internacional para la ejecución</w:t>
      </w:r>
      <w:r>
        <w:rPr>
          <w:rFonts w:ascii="Verdana" w:eastAsia="Calibri" w:hAnsi="Verdana" w:cs="Arial"/>
        </w:rPr>
        <w:t xml:space="preserve"> </w:t>
      </w:r>
      <w:r w:rsidRPr="0033599C">
        <w:rPr>
          <w:rFonts w:ascii="Verdana" w:eastAsia="Calibri" w:hAnsi="Verdana" w:cs="Arial"/>
        </w:rPr>
        <w:t>de las actividades en un porcentaje no inferior</w:t>
      </w:r>
      <w:r>
        <w:rPr>
          <w:rFonts w:ascii="Verdana" w:eastAsia="Calibri" w:hAnsi="Verdana" w:cs="Arial"/>
        </w:rPr>
        <w:t xml:space="preserve"> </w:t>
      </w:r>
      <w:r w:rsidRPr="0033599C">
        <w:rPr>
          <w:rFonts w:ascii="Verdana" w:eastAsia="Calibri" w:hAnsi="Verdana" w:cs="Arial"/>
        </w:rPr>
        <w:t>al 3</w:t>
      </w:r>
      <w:r>
        <w:rPr>
          <w:rFonts w:ascii="Verdana" w:eastAsia="Calibri" w:hAnsi="Verdana" w:cs="Arial"/>
        </w:rPr>
        <w:t>0% del valor total del convenio. Por último, s</w:t>
      </w:r>
      <w:r w:rsidRPr="0033599C">
        <w:rPr>
          <w:rFonts w:ascii="Verdana" w:eastAsia="Calibri" w:hAnsi="Verdana" w:cs="Arial"/>
        </w:rPr>
        <w:t>i más de una Entidad Privada Sin Ánimo</w:t>
      </w:r>
      <w:r>
        <w:rPr>
          <w:rFonts w:ascii="Verdana" w:eastAsia="Calibri" w:hAnsi="Verdana" w:cs="Arial"/>
        </w:rPr>
        <w:t xml:space="preserve"> </w:t>
      </w:r>
      <w:r w:rsidRPr="0033599C">
        <w:rPr>
          <w:rFonts w:ascii="Verdana" w:eastAsia="Calibri" w:hAnsi="Verdana" w:cs="Arial"/>
        </w:rPr>
        <w:t>de Lucro promete recursos en dinero para el</w:t>
      </w:r>
      <w:r>
        <w:rPr>
          <w:rFonts w:ascii="Verdana" w:eastAsia="Calibri" w:hAnsi="Verdana" w:cs="Arial"/>
        </w:rPr>
        <w:t xml:space="preserve"> </w:t>
      </w:r>
      <w:r w:rsidRPr="0033599C">
        <w:rPr>
          <w:rFonts w:ascii="Verdana" w:eastAsia="Calibri" w:hAnsi="Verdana" w:cs="Arial"/>
        </w:rPr>
        <w:t>desarrollo de las actividades del convenio de</w:t>
      </w:r>
      <w:r>
        <w:rPr>
          <w:rFonts w:ascii="Verdana" w:eastAsia="Calibri" w:hAnsi="Verdana" w:cs="Arial"/>
        </w:rPr>
        <w:t xml:space="preserve"> </w:t>
      </w:r>
      <w:r w:rsidRPr="0033599C">
        <w:rPr>
          <w:rFonts w:ascii="Verdana" w:eastAsia="Calibri" w:hAnsi="Verdana" w:cs="Arial"/>
        </w:rPr>
        <w:t>asociación en un porcentaje no inferior al 30%</w:t>
      </w:r>
      <w:r>
        <w:rPr>
          <w:rFonts w:ascii="Verdana" w:eastAsia="Calibri" w:hAnsi="Verdana" w:cs="Arial"/>
        </w:rPr>
        <w:t xml:space="preserve"> </w:t>
      </w:r>
      <w:r w:rsidRPr="0033599C">
        <w:rPr>
          <w:rFonts w:ascii="Verdana" w:eastAsia="Calibri" w:hAnsi="Verdana" w:cs="Arial"/>
        </w:rPr>
        <w:t xml:space="preserve">del valor total del convenio, la Entidad </w:t>
      </w:r>
      <w:r>
        <w:rPr>
          <w:rFonts w:ascii="Verdana" w:eastAsia="Calibri" w:hAnsi="Verdana" w:cs="Arial"/>
        </w:rPr>
        <w:t>debe</w:t>
      </w:r>
      <w:r w:rsidRPr="0033599C">
        <w:rPr>
          <w:rFonts w:ascii="Verdana" w:eastAsia="Calibri" w:hAnsi="Verdana" w:cs="Arial"/>
        </w:rPr>
        <w:t xml:space="preserve"> seleccionar </w:t>
      </w:r>
      <w:r>
        <w:rPr>
          <w:rFonts w:ascii="Verdana" w:eastAsia="Calibri" w:hAnsi="Verdana" w:cs="Arial"/>
        </w:rPr>
        <w:t xml:space="preserve">de forma objetiva y con justificación las razones </w:t>
      </w:r>
      <w:r w:rsidRPr="0033599C">
        <w:rPr>
          <w:rFonts w:ascii="Verdana" w:eastAsia="Calibri" w:hAnsi="Verdana" w:cs="Arial"/>
        </w:rPr>
        <w:t>para dicha</w:t>
      </w:r>
      <w:r>
        <w:rPr>
          <w:rFonts w:ascii="Verdana" w:eastAsia="Calibri" w:hAnsi="Verdana" w:cs="Arial"/>
        </w:rPr>
        <w:t xml:space="preserve"> </w:t>
      </w:r>
      <w:r w:rsidRPr="003356E7">
        <w:rPr>
          <w:rFonts w:ascii="Verdana" w:eastAsia="Calibri" w:hAnsi="Verdana" w:cs="Arial"/>
        </w:rPr>
        <w:t>selección</w:t>
      </w:r>
      <w:r w:rsidRPr="003356E7">
        <w:rPr>
          <w:rFonts w:ascii="Verdana" w:eastAsia="Calibri" w:hAnsi="Verdana" w:cs="Arial"/>
          <w:bCs/>
          <w:i/>
          <w:iCs/>
          <w:vertAlign w:val="superscript"/>
        </w:rPr>
        <w:footnoteReference w:id="7"/>
      </w:r>
      <w:r w:rsidRPr="003356E7">
        <w:rPr>
          <w:rFonts w:ascii="Verdana" w:eastAsia="Calibri" w:hAnsi="Verdana" w:cs="Arial"/>
        </w:rPr>
        <w:t>.</w:t>
      </w:r>
    </w:p>
    <w:p w14:paraId="1FC0641C" w14:textId="77777777" w:rsidR="003878CE" w:rsidRPr="00E9090B" w:rsidRDefault="003878CE" w:rsidP="003878CE">
      <w:pPr>
        <w:spacing w:after="120" w:line="276" w:lineRule="auto"/>
        <w:ind w:firstLine="709"/>
        <w:jc w:val="both"/>
        <w:rPr>
          <w:rFonts w:ascii="Verdana" w:eastAsia="Calibri" w:hAnsi="Verdana" w:cs="Arial"/>
          <w:lang w:val="es-MX"/>
        </w:rPr>
      </w:pPr>
      <w:r w:rsidRPr="00E9090B">
        <w:rPr>
          <w:rFonts w:ascii="Verdana" w:eastAsia="Calibri" w:hAnsi="Verdana" w:cs="Arial"/>
          <w:lang w:val="es-MX"/>
        </w:rPr>
        <w:t>Ahora bien, el Consejo de Estado, en el Auto del 6 de agosto de 2019 de la Sección Tercera, Subsección A –Exp. 62.003–, estudió la solicitud de suspensión provisional</w:t>
      </w:r>
      <w:r w:rsidRPr="00E9090B">
        <w:rPr>
          <w:rFonts w:ascii="Verdana" w:eastAsia="Calibri" w:hAnsi="Verdana" w:cs="Arial"/>
          <w:vertAlign w:val="superscript"/>
          <w:lang w:val="es-MX"/>
        </w:rPr>
        <w:footnoteReference w:id="8"/>
      </w:r>
      <w:r w:rsidRPr="00E9090B">
        <w:rPr>
          <w:rFonts w:ascii="Verdana" w:eastAsia="Calibri" w:hAnsi="Verdana" w:cs="Arial"/>
          <w:lang w:val="es-MX"/>
        </w:rPr>
        <w:t xml:space="preserve"> del inciso 2 del artículo 1, literales a y c del artículo 2, inciso 5 del artículo 2, inciso 2 del artículo 3, inciso final del artículo 4 y artículo </w:t>
      </w:r>
      <w:r w:rsidRPr="00E9090B">
        <w:rPr>
          <w:rFonts w:ascii="Verdana" w:eastAsia="Calibri" w:hAnsi="Verdana" w:cs="Arial"/>
          <w:lang w:val="es-MX"/>
        </w:rPr>
        <w:lastRenderedPageBreak/>
        <w:t xml:space="preserve">5 del Decreto 092 de 2017. No obstante, sobre esta última norma concluyó que el análisis de esta disposición debe realizarse a profundidad para establecer si efectivamente existe una contradicción normativa que implique que se afectó la competencia del legislador. En consecuencia, negó la solicitud de suspensión provisional frente a la última disposición relacionada con los convenios de asociación, reservando el análisis sobre la legalidad de dicho artículo a la sentencia de fondo. Por tanto, si se pretende realizar un </w:t>
      </w:r>
      <w:r w:rsidRPr="00E9090B">
        <w:rPr>
          <w:rFonts w:ascii="Verdana" w:eastAsia="Calibri" w:hAnsi="Verdana" w:cs="Arial"/>
          <w:i/>
          <w:iCs/>
          <w:lang w:val="es-MX"/>
        </w:rPr>
        <w:t>convenio de asociación</w:t>
      </w:r>
      <w:r w:rsidRPr="00E9090B">
        <w:rPr>
          <w:rFonts w:ascii="Verdana" w:eastAsia="Calibri" w:hAnsi="Verdana" w:cs="Arial"/>
          <w:lang w:val="es-MX"/>
        </w:rPr>
        <w:t xml:space="preserve"> con ESAL de reconocida idoneidad para el cumplimiento de las funciones que la ley les asigna a las entidades públicas, debe aplicarse lo dispuesto en el artículo 5 del Decreto 092 de 2017. </w:t>
      </w:r>
      <w:r w:rsidRPr="00E9090B">
        <w:rPr>
          <w:rFonts w:ascii="Verdana" w:eastAsia="Calibri" w:hAnsi="Verdana" w:cs="Arial"/>
          <w:lang w:val="es-ES_tradnl"/>
        </w:rPr>
        <w:t>En todo caso, conviene precisar que mediante Auto del 15 de marzo de 2022</w:t>
      </w:r>
      <w:r w:rsidRPr="00E9090B">
        <w:rPr>
          <w:rFonts w:ascii="Verdana" w:eastAsia="Calibri" w:hAnsi="Verdana" w:cs="Arial"/>
          <w:vertAlign w:val="superscript"/>
          <w:lang w:val="es-ES_tradnl"/>
        </w:rPr>
        <w:footnoteReference w:id="9"/>
      </w:r>
      <w:r w:rsidRPr="00E9090B">
        <w:rPr>
          <w:rFonts w:ascii="Verdana" w:eastAsia="Calibri" w:hAnsi="Verdana" w:cs="Arial"/>
          <w:lang w:val="es-ES_tradnl"/>
        </w:rPr>
        <w:t>, el Consejo de Estado levantó la medida cautelar de suspensión provisional respecto del inciso 2 del artículo 1 y el inciso 2 del artículo 3, del Decreto 092 de 2007, por lo que surten en la actualidad efectos jurídicos</w:t>
      </w:r>
      <w:r w:rsidRPr="00E9090B">
        <w:rPr>
          <w:rFonts w:ascii="Verdana" w:eastAsia="Calibri" w:hAnsi="Verdana" w:cs="Arial"/>
          <w:vertAlign w:val="superscript"/>
          <w:lang w:val="es-ES_tradnl"/>
        </w:rPr>
        <w:footnoteReference w:id="10"/>
      </w:r>
      <w:r w:rsidRPr="00E9090B">
        <w:rPr>
          <w:rFonts w:ascii="Verdana" w:eastAsia="Calibri" w:hAnsi="Verdana" w:cs="Arial"/>
          <w:lang w:val="es-ES_tradnl"/>
        </w:rPr>
        <w:t>.</w:t>
      </w:r>
    </w:p>
    <w:p w14:paraId="32CD3F58" w14:textId="77777777" w:rsidR="003878CE" w:rsidRPr="00E9090B" w:rsidRDefault="003878CE" w:rsidP="003878CE">
      <w:pPr>
        <w:spacing w:before="120" w:after="0" w:line="276" w:lineRule="auto"/>
        <w:ind w:firstLine="708"/>
        <w:jc w:val="both"/>
        <w:textAlignment w:val="baseline"/>
        <w:rPr>
          <w:rFonts w:ascii="Verdana" w:eastAsia="Calibri" w:hAnsi="Verdana" w:cs="Arial"/>
          <w:lang w:val="es-ES_tradnl" w:eastAsia="es-ES_tradnl"/>
        </w:rPr>
      </w:pPr>
      <w:r w:rsidRPr="00E9090B">
        <w:rPr>
          <w:rFonts w:ascii="Verdana" w:eastAsia="Calibri" w:hAnsi="Verdana" w:cs="Arial"/>
          <w:lang w:val="es-MX"/>
        </w:rPr>
        <w:t xml:space="preserve">Como se explicó, en relación con los convenios de asociación, el artículo 5 del citado Decreto establece que el proceso para la selección de la ESAL, por regla general, debe estar sujeto a competencia; salvo en aquellos casos en que </w:t>
      </w:r>
      <w:r w:rsidRPr="00E9090B">
        <w:rPr>
          <w:rFonts w:ascii="Verdana" w:eastAsia="Calibri" w:hAnsi="Verdana" w:cs="Arial"/>
          <w:i/>
          <w:iCs/>
          <w:lang w:val="es-MX"/>
        </w:rPr>
        <w:t>una</w:t>
      </w:r>
      <w:r w:rsidRPr="00E9090B">
        <w:rPr>
          <w:rFonts w:ascii="Verdana" w:eastAsia="Calibri" w:hAnsi="Verdana" w:cs="Arial"/>
          <w:lang w:val="es-MX"/>
        </w:rPr>
        <w:t xml:space="preserve"> entidad sin ánimo de lucro comprometa recursos en dinero por un valor igual o superior al 30% del valor total del convenio</w:t>
      </w:r>
      <w:r w:rsidRPr="00E9090B">
        <w:rPr>
          <w:rFonts w:ascii="Verdana" w:eastAsia="Calibri" w:hAnsi="Verdana" w:cs="Arial"/>
          <w:vertAlign w:val="superscript"/>
          <w:lang w:val="es-MX"/>
        </w:rPr>
        <w:footnoteReference w:id="11"/>
      </w:r>
      <w:r w:rsidRPr="00E9090B">
        <w:rPr>
          <w:rFonts w:ascii="Verdana" w:eastAsia="Calibri" w:hAnsi="Verdana" w:cs="Arial"/>
          <w:lang w:val="es-MX"/>
        </w:rPr>
        <w:t xml:space="preserve">, y siempre que la entidad estatal verifique previamente que no existe ninguna otra entidad sin ánimo de lucro que ofrezca aportes en dinero iguales o superiores al 30%, ya que en este último evento también deberá adelantar un proceso competitivo. De hecho, en </w:t>
      </w:r>
      <w:r w:rsidRPr="00E9090B">
        <w:rPr>
          <w:rFonts w:ascii="Verdana" w:eastAsia="Calibri" w:hAnsi="Verdana" w:cs="Arial"/>
          <w:lang w:val="es-MX"/>
        </w:rPr>
        <w:lastRenderedPageBreak/>
        <w:t>relación con la naturaleza y cuantía de los convenios, la norma anteriormente citada no prohíbe la celebración de convenios en que la ESAL aporte menos del 30% o cuando aporten recursos en especie. En efecto, solo indica que en esos casos la entidad estatal debe acudir al proceso competitivo para seleccionar a la entidad sin ánimo de lucro con la cual celebrará el respectivo convenio.</w:t>
      </w:r>
    </w:p>
    <w:p w14:paraId="0703DD27" w14:textId="77777777" w:rsidR="003878CE" w:rsidRPr="00E9090B" w:rsidRDefault="003878CE" w:rsidP="003878CE">
      <w:pPr>
        <w:spacing w:before="120" w:after="120" w:line="276" w:lineRule="auto"/>
        <w:ind w:firstLine="709"/>
        <w:jc w:val="both"/>
        <w:rPr>
          <w:rFonts w:ascii="Verdana" w:eastAsia="Calibri" w:hAnsi="Verdana" w:cs="Arial"/>
          <w:lang w:val="es-ES_tradnl"/>
        </w:rPr>
      </w:pPr>
      <w:r w:rsidRPr="00E9090B">
        <w:rPr>
          <w:rFonts w:ascii="Verdana" w:eastAsia="Calibri" w:hAnsi="Verdana" w:cs="Arial"/>
          <w:lang w:val="es-ES_tradnl" w:eastAsia="es-ES_tradnl"/>
        </w:rPr>
        <w:t xml:space="preserve">Finalmente, sintetizando lo expresado en relación con los </w:t>
      </w:r>
      <w:r w:rsidRPr="00E9090B">
        <w:rPr>
          <w:rFonts w:ascii="Verdana" w:eastAsia="Calibri" w:hAnsi="Verdana" w:cs="Arial"/>
          <w:i/>
          <w:iCs/>
          <w:lang w:val="es-ES_tradnl" w:eastAsia="es-ES_tradnl"/>
        </w:rPr>
        <w:t xml:space="preserve">convenios de </w:t>
      </w:r>
      <w:r w:rsidRPr="00E9090B">
        <w:rPr>
          <w:rFonts w:ascii="Verdana" w:eastAsia="Calibri" w:hAnsi="Verdana" w:cs="Arial"/>
          <w:lang w:val="es-ES_tradnl" w:eastAsia="es-ES_tradnl"/>
        </w:rPr>
        <w:t xml:space="preserve">asociación, la finalidad de los aportes está dirigido concretamente a lograr la ejecución del convenio. De todos modos, la entidad deberá adelantar un proceso competitivo, salvo cuando la ESAL comprometa recursos en dinero para la ejecución de estas actividades, en una proporción no inferior al 30% del valor total del convenio. Así, </w:t>
      </w:r>
      <w:r w:rsidRPr="00E9090B">
        <w:rPr>
          <w:rFonts w:ascii="Verdana" w:eastAsia="Calibri" w:hAnsi="Verdana" w:cs="Arial"/>
          <w:lang w:val="es-ES_tradnl"/>
        </w:rPr>
        <w:t xml:space="preserve">si se pretende suscribir un </w:t>
      </w:r>
      <w:r w:rsidRPr="00E9090B">
        <w:rPr>
          <w:rFonts w:ascii="Verdana" w:eastAsia="Calibri" w:hAnsi="Verdana" w:cs="Arial"/>
          <w:i/>
          <w:iCs/>
          <w:lang w:val="es-ES_tradnl"/>
        </w:rPr>
        <w:t>convenio de asociación</w:t>
      </w:r>
      <w:r w:rsidRPr="00E9090B">
        <w:rPr>
          <w:rFonts w:ascii="Verdana" w:eastAsia="Calibri" w:hAnsi="Verdana" w:cs="Arial"/>
          <w:lang w:val="es-ES_tradnl"/>
        </w:rPr>
        <w:t xml:space="preserve"> con una ESAL de reconocida idoneidad para el cumplimiento de las funciones que la ley les asigna a las entidades públicas, deben aplicar lo dispuesto en el artículo 5 del Decreto 92 de 2017. Como se estableció </w:t>
      </w:r>
      <w:r w:rsidRPr="00E9090B">
        <w:rPr>
          <w:rFonts w:ascii="Verdana" w:eastAsia="Calibri" w:hAnsi="Verdana" w:cs="Arial"/>
          <w:i/>
          <w:iCs/>
          <w:lang w:val="es-ES_tradnl"/>
        </w:rPr>
        <w:t>supra</w:t>
      </w:r>
      <w:r w:rsidRPr="00E9090B">
        <w:rPr>
          <w:rFonts w:ascii="Verdana" w:eastAsia="Calibri" w:hAnsi="Verdana" w:cs="Arial"/>
          <w:lang w:val="es-ES_tradnl"/>
        </w:rPr>
        <w:t xml:space="preserve">, este artículo dispone que el proceso para la escogencia de la ESAL, por regla general, debe estar sujeto a competencia. </w:t>
      </w:r>
    </w:p>
    <w:p w14:paraId="3A47CDE7" w14:textId="77777777" w:rsidR="003878CE" w:rsidRPr="00E9090B" w:rsidRDefault="003878CE" w:rsidP="003878CE">
      <w:pPr>
        <w:spacing w:before="120" w:after="120" w:line="276" w:lineRule="auto"/>
        <w:ind w:firstLine="709"/>
        <w:jc w:val="both"/>
        <w:rPr>
          <w:rFonts w:ascii="Verdana" w:eastAsia="Calibri" w:hAnsi="Verdana" w:cs="Arial"/>
          <w:lang w:val="es-ES"/>
        </w:rPr>
      </w:pPr>
      <w:r w:rsidRPr="00E9090B">
        <w:rPr>
          <w:rFonts w:ascii="Verdana" w:eastAsia="Calibri" w:hAnsi="Verdana" w:cs="Arial"/>
          <w:lang w:val="es-ES"/>
        </w:rPr>
        <w:t xml:space="preserve">Esto, salvo en aquellos casos en los que una ESAL manifieste su compromiso de aportar recursos en dinero por un valor igual o superior al 30% del valor total del convenio, con la condición de que no existan otras ESAL que ofrezca aportes en monto igual o superior a dicho porcentaje, pues en este evento también se tendría que realizar un proceso competitivo. Finalmente, dada la regla concreta y específica establecida en la norma, si los aportes no son en dinero, sino únicamente en especie, esto es, bienes diferentes o no equivalente al dinero, no se dará aplicación a dicha regla y el proceso de selección será competitivo. </w:t>
      </w:r>
    </w:p>
    <w:p w14:paraId="6FB2DB40" w14:textId="77777777" w:rsidR="003878CE" w:rsidRPr="003356E7" w:rsidRDefault="003878CE" w:rsidP="003878CE">
      <w:pPr>
        <w:spacing w:after="0" w:line="276" w:lineRule="auto"/>
        <w:ind w:firstLine="709"/>
        <w:jc w:val="both"/>
        <w:textAlignment w:val="baseline"/>
        <w:rPr>
          <w:rFonts w:ascii="Verdana" w:eastAsia="Calibri" w:hAnsi="Verdana" w:cs="Arial"/>
          <w:lang w:val="es-ES"/>
        </w:rPr>
      </w:pPr>
      <w:r w:rsidRPr="00E9090B">
        <w:rPr>
          <w:rFonts w:ascii="Verdana" w:eastAsia="Calibri" w:hAnsi="Verdana" w:cs="Arial"/>
          <w:lang w:val="es-ES"/>
        </w:rPr>
        <w:t xml:space="preserve">En ese contexto, cuando el aporte de la ESAL al convenio de asociación, que se realizará con una entidad estatal bajo los términos del artículo 5 del Decreto 092 de 2017, no sea en dinero, sino en especie, esto es, con bienes tangibles e intangibles distintos al dinero o que no sean equivalentes a este, en los términos indicados en el párrafo anterior, </w:t>
      </w:r>
      <w:r w:rsidRPr="00E9090B">
        <w:rPr>
          <w:rFonts w:ascii="Verdana" w:eastAsia="Calibri" w:hAnsi="Verdana" w:cs="Arial"/>
          <w:i/>
          <w:iCs/>
          <w:lang w:val="es-ES"/>
        </w:rPr>
        <w:t>no</w:t>
      </w:r>
      <w:r w:rsidRPr="00E9090B">
        <w:rPr>
          <w:rFonts w:ascii="Verdana" w:eastAsia="Calibri" w:hAnsi="Verdana" w:cs="Arial"/>
          <w:lang w:val="es-ES"/>
        </w:rPr>
        <w:t xml:space="preserve"> se aplicará la regla que determina que si el aporte de recursos en dinero es igual o superior a un 30% del valor del convenio, este se podrá celebrar de forma directa, por lo que deberá adelantarse un proceso competitivo. No obstante, se precisa que no significa que no puedan hacerse aportes en especie, sino que como mínimo debe realizarse un aporte en dinero del 30% del valor del convenio de asociación para que pueda </w:t>
      </w:r>
      <w:r w:rsidRPr="00E9090B">
        <w:rPr>
          <w:rFonts w:ascii="Verdana" w:eastAsia="Calibri" w:hAnsi="Verdana" w:cs="Arial"/>
          <w:lang w:val="es-ES"/>
        </w:rPr>
        <w:lastRenderedPageBreak/>
        <w:t>aplicar la selección directa de la ESAL, siempre que no haya otra entidad privada sin ánimo de lucro que realice el mismo ofrecimiento.</w:t>
      </w:r>
      <w:r>
        <w:rPr>
          <w:rFonts w:ascii="Verdana" w:eastAsia="Calibri" w:hAnsi="Verdana" w:cs="Arial"/>
          <w:lang w:val="es-ES"/>
        </w:rPr>
        <w:t xml:space="preserve"> </w:t>
      </w:r>
      <w:r w:rsidRPr="00E9090B">
        <w:rPr>
          <w:rFonts w:ascii="Verdana" w:eastAsia="Calibri" w:hAnsi="Verdana" w:cs="Arial"/>
          <w:bCs/>
          <w:lang w:val="es-MX"/>
        </w:rPr>
        <w:t xml:space="preserve">Ahora bien, </w:t>
      </w:r>
      <w:r w:rsidRPr="00E9090B">
        <w:rPr>
          <w:rFonts w:ascii="Verdana" w:eastAsia="Calibri" w:hAnsi="Verdana" w:cs="Arial"/>
          <w:bCs/>
          <w:lang w:val="es-ES_tradnl"/>
        </w:rPr>
        <w:t>frente a la regulación sumaria de los contratos del artículo 355 de la Constitución y los convenios de asociación, los artículos 6, 7 y 8 del Decreto 092 de 2017 disponen:</w:t>
      </w:r>
    </w:p>
    <w:p w14:paraId="3B921944" w14:textId="77777777" w:rsidR="003878CE" w:rsidRPr="003356E7" w:rsidRDefault="003878CE" w:rsidP="003878CE">
      <w:pPr>
        <w:spacing w:after="0" w:line="276" w:lineRule="auto"/>
        <w:ind w:firstLine="709"/>
        <w:jc w:val="both"/>
        <w:rPr>
          <w:rFonts w:ascii="Verdana" w:eastAsia="Calibri" w:hAnsi="Verdana" w:cs="Arial"/>
          <w:bCs/>
          <w:lang w:val="es-ES"/>
        </w:rPr>
      </w:pPr>
    </w:p>
    <w:p w14:paraId="6EE018A5" w14:textId="77777777" w:rsidR="003878CE" w:rsidRPr="00E9090B" w:rsidRDefault="003878CE" w:rsidP="003878CE">
      <w:pPr>
        <w:spacing w:after="0" w:line="240" w:lineRule="auto"/>
        <w:ind w:left="709" w:right="709"/>
        <w:jc w:val="both"/>
        <w:rPr>
          <w:rFonts w:ascii="Verdana" w:eastAsia="Calibri" w:hAnsi="Verdana" w:cs="Arial"/>
          <w:sz w:val="21"/>
          <w:szCs w:val="21"/>
          <w:lang w:val="es-ES_tradnl"/>
        </w:rPr>
      </w:pPr>
      <w:r w:rsidRPr="00E9090B">
        <w:rPr>
          <w:rFonts w:ascii="Verdana" w:eastAsia="Calibri" w:hAnsi="Verdana" w:cs="Arial"/>
          <w:sz w:val="21"/>
          <w:szCs w:val="21"/>
          <w:lang w:val="es-ES_tradnl"/>
        </w:rPr>
        <w:t>“Artículo 6°. Prohibiciones, inhabilidades e incompatibilidades. Las prohibiciones, inhabilidades e incompatibilidades establecidas en la Constitución y en las Leyes 80 de 1993, 1150 de 2007 y 1474 de 2011, y en las normas que las modifiquen, aclaren, adicionen o sustituyan, o en cualquier otra norma especial, son aplicables a la contratación a la que hace referencia el presente decreto.</w:t>
      </w:r>
    </w:p>
    <w:p w14:paraId="261E7511" w14:textId="77777777" w:rsidR="003878CE" w:rsidRPr="00E9090B" w:rsidRDefault="003878CE" w:rsidP="003878CE">
      <w:pPr>
        <w:spacing w:after="0" w:line="240" w:lineRule="auto"/>
        <w:ind w:left="709" w:right="709"/>
        <w:jc w:val="both"/>
        <w:rPr>
          <w:rFonts w:ascii="Verdana" w:eastAsia="Calibri" w:hAnsi="Verdana" w:cs="Arial"/>
          <w:sz w:val="21"/>
          <w:szCs w:val="21"/>
          <w:lang w:val="es-ES_tradnl"/>
        </w:rPr>
      </w:pPr>
    </w:p>
    <w:p w14:paraId="797DE237" w14:textId="77777777" w:rsidR="003878CE" w:rsidRPr="00E9090B" w:rsidRDefault="003878CE" w:rsidP="003878CE">
      <w:pPr>
        <w:spacing w:after="0" w:line="240" w:lineRule="auto"/>
        <w:ind w:left="709" w:right="709"/>
        <w:jc w:val="both"/>
        <w:rPr>
          <w:rFonts w:ascii="Verdana" w:eastAsia="Calibri" w:hAnsi="Verdana" w:cs="Arial"/>
          <w:sz w:val="21"/>
          <w:szCs w:val="21"/>
          <w:lang w:val="es-ES_tradnl"/>
        </w:rPr>
      </w:pPr>
      <w:r w:rsidRPr="00E9090B">
        <w:rPr>
          <w:rFonts w:ascii="Verdana" w:eastAsia="Calibri" w:hAnsi="Verdana" w:cs="Arial"/>
          <w:sz w:val="21"/>
          <w:szCs w:val="21"/>
          <w:lang w:val="es-ES_tradnl"/>
        </w:rPr>
        <w:t>Artículo 7°. Aplicación de los principios de la contratación estatal. La contratación a la que hace referencia el presente decreto está sujeta a los principios de la contratación estatal y a las normas presupuestales aplicables […]</w:t>
      </w:r>
    </w:p>
    <w:p w14:paraId="6D5C5E66" w14:textId="77777777" w:rsidR="003878CE" w:rsidRPr="00E9090B" w:rsidRDefault="003878CE" w:rsidP="003878CE">
      <w:pPr>
        <w:spacing w:after="0" w:line="240" w:lineRule="auto"/>
        <w:ind w:left="709" w:right="709"/>
        <w:jc w:val="both"/>
        <w:rPr>
          <w:rFonts w:ascii="Verdana" w:eastAsia="Calibri" w:hAnsi="Verdana" w:cs="Arial"/>
          <w:sz w:val="21"/>
          <w:szCs w:val="21"/>
          <w:lang w:val="es-ES_tradnl"/>
        </w:rPr>
      </w:pPr>
    </w:p>
    <w:p w14:paraId="0B9E6A2A" w14:textId="77777777" w:rsidR="003878CE" w:rsidRPr="00E9090B" w:rsidRDefault="003878CE" w:rsidP="003878CE">
      <w:pPr>
        <w:spacing w:after="0" w:line="240" w:lineRule="auto"/>
        <w:ind w:left="709" w:right="709"/>
        <w:jc w:val="both"/>
        <w:rPr>
          <w:rFonts w:ascii="Verdana" w:eastAsia="Calibri" w:hAnsi="Verdana" w:cs="Arial"/>
          <w:sz w:val="21"/>
          <w:szCs w:val="21"/>
          <w:lang w:val="es-ES_tradnl"/>
        </w:rPr>
      </w:pPr>
      <w:r w:rsidRPr="00E9090B">
        <w:rPr>
          <w:rFonts w:ascii="Verdana" w:eastAsia="Calibri" w:hAnsi="Verdana" w:cs="Arial"/>
          <w:sz w:val="21"/>
          <w:szCs w:val="21"/>
          <w:lang w:val="es-ES_tradnl"/>
        </w:rPr>
        <w:t xml:space="preserve">Artículo 8°. Aplicación de normas generales del sistema de contratación pública. La contratación a la que hace referencia el presente decreto está sujeta a las normas generales aplicables a la contratación pública excepto en lo reglamentado en el presente decreto”. </w:t>
      </w:r>
    </w:p>
    <w:p w14:paraId="575B9184" w14:textId="77777777" w:rsidR="003878CE" w:rsidRPr="00E9090B" w:rsidRDefault="003878CE" w:rsidP="003878CE">
      <w:pPr>
        <w:spacing w:after="0" w:line="276" w:lineRule="auto"/>
        <w:ind w:firstLine="709"/>
        <w:jc w:val="both"/>
        <w:rPr>
          <w:rFonts w:ascii="Arial" w:eastAsia="Calibri" w:hAnsi="Arial" w:cs="Arial"/>
          <w:bCs/>
          <w:lang w:val="es-MX"/>
        </w:rPr>
      </w:pPr>
    </w:p>
    <w:p w14:paraId="6EEA60FF" w14:textId="77777777" w:rsidR="003878CE" w:rsidRPr="00E9090B" w:rsidRDefault="003878CE" w:rsidP="003878CE">
      <w:pPr>
        <w:spacing w:after="120" w:line="276" w:lineRule="auto"/>
        <w:ind w:firstLine="709"/>
        <w:jc w:val="both"/>
        <w:rPr>
          <w:rFonts w:ascii="Verdana" w:eastAsia="Calibri" w:hAnsi="Verdana" w:cs="Arial"/>
          <w:bCs/>
        </w:rPr>
      </w:pPr>
      <w:r w:rsidRPr="00E9090B">
        <w:rPr>
          <w:rFonts w:ascii="Verdana" w:eastAsia="Calibri" w:hAnsi="Verdana" w:cs="Arial"/>
          <w:bCs/>
        </w:rPr>
        <w:t xml:space="preserve">Estas normas integran las lagunas o vacíos normativos del reglamento autónomo, y se aplican a todo lo que no esté expresamente regulado en él. Por ello no es posible aplicar ninguna de las disposiciones anteriormente citadas en temas como la competencia para celebrar los contratos del artículo 355 de la Constitución y la indelegabilidad de la autorización –art. 2–, la idoneidad de las ESAL –art. 3–, su registro en el SECOP –art. 9– y la inaplicación del registro único de proponentes –art. 10–. </w:t>
      </w:r>
    </w:p>
    <w:p w14:paraId="309813FE" w14:textId="77777777" w:rsidR="003878CE" w:rsidRPr="00E9090B" w:rsidRDefault="003878CE" w:rsidP="003878CE">
      <w:pPr>
        <w:spacing w:before="120" w:after="120" w:line="276" w:lineRule="auto"/>
        <w:ind w:firstLine="708"/>
        <w:jc w:val="both"/>
        <w:rPr>
          <w:rFonts w:ascii="Verdana" w:eastAsia="Calibri" w:hAnsi="Verdana" w:cs="Arial"/>
        </w:rPr>
      </w:pPr>
      <w:r w:rsidRPr="00E9090B">
        <w:rPr>
          <w:rFonts w:ascii="Verdana" w:eastAsia="Rockwell" w:hAnsi="Verdana" w:cs="Arial"/>
          <w:lang w:eastAsia="es-CO"/>
        </w:rPr>
        <w:t xml:space="preserve">Sobre la interpretación de estos artículos del </w:t>
      </w:r>
      <w:r w:rsidRPr="00E9090B">
        <w:rPr>
          <w:rFonts w:ascii="Verdana" w:eastAsia="Calibri" w:hAnsi="Verdana" w:cs="Arial"/>
        </w:rPr>
        <w:t xml:space="preserve">Decreto 092 de 2017, </w:t>
      </w:r>
      <w:r w:rsidRPr="00E9090B">
        <w:rPr>
          <w:rFonts w:ascii="Verdana" w:eastAsia="Rockwell" w:hAnsi="Verdana" w:cs="Arial"/>
          <w:lang w:eastAsia="es-CO"/>
        </w:rPr>
        <w:t>esta Agencia en el</w:t>
      </w:r>
      <w:r w:rsidRPr="00E9090B">
        <w:rPr>
          <w:rFonts w:ascii="Verdana" w:eastAsia="Calibri" w:hAnsi="Verdana" w:cs="Arial"/>
        </w:rPr>
        <w:t xml:space="preserve"> Concepto C-223 del 29 de abril de 2020 señaló que cuando el artículo 8 menciona a las “[…] normas generales aplicables a la contratación pública […]”, bien podrían referirse a las disposiciones comunes del Estatuto General –</w:t>
      </w:r>
      <w:r w:rsidRPr="00E9090B">
        <w:rPr>
          <w:rFonts w:ascii="Verdana" w:eastAsia="Calibri" w:hAnsi="Verdana" w:cs="Arial"/>
          <w:i/>
          <w:iCs/>
        </w:rPr>
        <w:t>remisión parcial latu sensu</w:t>
      </w:r>
      <w:r w:rsidRPr="00E9090B">
        <w:rPr>
          <w:rFonts w:ascii="Verdana" w:eastAsia="Calibri" w:hAnsi="Verdana" w:cs="Arial"/>
        </w:rPr>
        <w:t>– o a la totalidad de la Ley 80 de 1993 –</w:t>
      </w:r>
      <w:r w:rsidRPr="00E9090B">
        <w:rPr>
          <w:rFonts w:ascii="Verdana" w:eastAsia="Calibri" w:hAnsi="Verdana" w:cs="Arial"/>
          <w:i/>
          <w:iCs/>
        </w:rPr>
        <w:t>remisión integral</w:t>
      </w:r>
      <w:r w:rsidRPr="00E9090B">
        <w:rPr>
          <w:rFonts w:ascii="Verdana" w:eastAsia="Calibri" w:hAnsi="Verdana" w:cs="Arial"/>
        </w:rPr>
        <w:t xml:space="preserve">–. En esta medida, determinar el alcance de la remisión del artículo 8 del Decreto 092 requiere considerar que no hay lugar a distinguir entre normas de carácter general o especial dentro del Estatuto de Contratación de la Administración Pública, ya que de la competencia dispuesta en el inciso final del </w:t>
      </w:r>
      <w:r w:rsidRPr="00E9090B">
        <w:rPr>
          <w:rFonts w:ascii="Verdana" w:eastAsia="Calibri" w:hAnsi="Verdana" w:cs="Arial"/>
        </w:rPr>
        <w:lastRenderedPageBreak/>
        <w:t xml:space="preserve">artículo 150 de la Constitución Política se desprende que todas estas disposiciones regulan con el mismo grado de generalidad la actividad contractual del Estado.     </w:t>
      </w:r>
    </w:p>
    <w:p w14:paraId="5543CCC4" w14:textId="77777777" w:rsidR="003878CE" w:rsidRDefault="003878CE" w:rsidP="003878CE">
      <w:pPr>
        <w:spacing w:before="120" w:after="120" w:line="276" w:lineRule="auto"/>
        <w:ind w:firstLine="708"/>
        <w:jc w:val="both"/>
        <w:rPr>
          <w:rFonts w:ascii="Verdana" w:eastAsia="Calibri" w:hAnsi="Verdana" w:cs="Arial"/>
          <w:lang w:val="es-ES"/>
        </w:rPr>
      </w:pPr>
      <w:r w:rsidRPr="00E9090B">
        <w:rPr>
          <w:rFonts w:ascii="Verdana" w:eastAsia="Calibri" w:hAnsi="Verdana" w:cs="Arial"/>
          <w:lang w:val="es-ES"/>
        </w:rPr>
        <w:t xml:space="preserve">Por ello, considerando que la Ley 80 de 1993 tiene el mismo grado de generalidad, se concluyó que el artículo 8 del Decreto 092 de 2017 remite integralmente al Estatuto de Contratación. Esta remisión alcanza tanto el régimen de inhabilidades e incompatibilidades como los principios aplicables a la contratación estatal. Por tanto, los artículos 6, 7 y 8 del reglamento autónomo deben interpretarse en bloque, es decir, aplicando la Ley 80 de 1993 a todo supuesto que no esté expresamente regulado en el Decreto 092 de 2017.  </w:t>
      </w:r>
    </w:p>
    <w:p w14:paraId="25135EB6" w14:textId="77777777" w:rsidR="003878CE" w:rsidRPr="00CB5721" w:rsidRDefault="003878CE" w:rsidP="003878CE">
      <w:pPr>
        <w:spacing w:before="120" w:after="120" w:line="276" w:lineRule="auto"/>
        <w:ind w:firstLine="708"/>
        <w:jc w:val="both"/>
        <w:rPr>
          <w:rFonts w:ascii="Verdana" w:eastAsia="Calibri" w:hAnsi="Verdana" w:cs="Arial"/>
          <w:lang w:val="es-ES"/>
        </w:rPr>
      </w:pPr>
      <w:r w:rsidRPr="00E9090B">
        <w:rPr>
          <w:rFonts w:ascii="Verdana" w:eastAsia="Calibri" w:hAnsi="Verdana" w:cs="Arial"/>
          <w:lang w:val="es-ES"/>
        </w:rPr>
        <w:t xml:space="preserve">Ahora bien, esta remisión del artículo 8 del Decreto 092 de 2017 no puede integrarse de plano con las normas del Estatuto General de Contratación de la Administración Pública, sin tener en cuenta las características y condiciones especiales de los diferentes tipos de convenios que se suscribe bajo el amparo del artículo 355 de la Constitución Política y cuya reglamentación está dispuesta en el Decreto 092 de 2017. </w:t>
      </w:r>
      <w:r>
        <w:rPr>
          <w:rFonts w:ascii="Verdana" w:eastAsia="Calibri" w:hAnsi="Verdana" w:cs="Arial"/>
          <w:lang w:val="es-ES"/>
        </w:rPr>
        <w:t>Al respecto, e</w:t>
      </w:r>
      <w:r w:rsidRPr="00CB5721">
        <w:rPr>
          <w:rFonts w:ascii="Verdana" w:eastAsia="Calibri" w:hAnsi="Verdana" w:cs="Arial"/>
          <w:lang w:val="es-ES"/>
        </w:rPr>
        <w:t>l Concepto C-557 de 2025 precisó que el anti</w:t>
      </w:r>
      <w:r>
        <w:rPr>
          <w:rFonts w:ascii="Verdana" w:eastAsia="Calibri" w:hAnsi="Verdana" w:cs="Arial"/>
          <w:lang w:val="es-ES"/>
        </w:rPr>
        <w:t>cipo y el pago anticipado son instituciones</w:t>
      </w:r>
      <w:r w:rsidRPr="00CB5721">
        <w:rPr>
          <w:rFonts w:ascii="Verdana" w:eastAsia="Calibri" w:hAnsi="Verdana" w:cs="Arial"/>
          <w:lang w:val="es-ES"/>
        </w:rPr>
        <w:t xml:space="preserve"> propias de contratos conmutativos donde existe contraprestación económica, por lo que no aplican de manera integral en convenios de asociación, contratos de colaboración o de interés público y convenios solidarios, caracterizados por su naturaleza no onerosa. Sin embargo, aclaró que ello no impide que las partes incluyan cláusulas que permitan el desembolso temprano de recursos, garantizando que las entidades sin ánimo de lucro ejecutoras cuenten con fondos iniciales para poner en marcha los proyectos. En este sentido, se recomienda que los giros se vinculen a las fase</w:t>
      </w:r>
      <w:r>
        <w:rPr>
          <w:rFonts w:ascii="Verdana" w:eastAsia="Calibri" w:hAnsi="Verdana" w:cs="Arial"/>
          <w:lang w:val="es-ES"/>
        </w:rPr>
        <w:t>s y cronograma de ejecución, a partir de</w:t>
      </w:r>
      <w:r w:rsidRPr="00CB5721">
        <w:rPr>
          <w:rFonts w:ascii="Verdana" w:eastAsia="Calibri" w:hAnsi="Verdana" w:cs="Arial"/>
          <w:lang w:val="es-ES"/>
        </w:rPr>
        <w:t xml:space="preserve"> condiciones administrativas claras que faciliten la gestión entre las partes, como lo ejemplifica el documento tipo para convenios solidarios que, en su “Cláusula 7 Giro de los recursos”, ofrece tres alternativas para que la entidad estatal seleccione el mecanismo más adecuado a las características de cada convenio.</w:t>
      </w:r>
    </w:p>
    <w:p w14:paraId="732527FB" w14:textId="77777777" w:rsidR="003878CE" w:rsidRDefault="003878CE" w:rsidP="003878CE">
      <w:pPr>
        <w:spacing w:after="120" w:line="276" w:lineRule="auto"/>
        <w:ind w:firstLine="709"/>
        <w:jc w:val="both"/>
        <w:rPr>
          <w:rFonts w:ascii="Verdana" w:eastAsia="Arial" w:hAnsi="Verdana" w:cs="Arial"/>
          <w:lang w:val="es-ES" w:eastAsia="es-ES" w:bidi="es-ES"/>
        </w:rPr>
      </w:pPr>
      <w:r>
        <w:rPr>
          <w:rFonts w:ascii="Verdana" w:eastAsia="Arial" w:hAnsi="Verdana" w:cs="Arial"/>
          <w:lang w:val="es-ES" w:eastAsia="es-ES" w:bidi="es-ES"/>
        </w:rPr>
        <w:t>Por tanto, e</w:t>
      </w:r>
      <w:r w:rsidRPr="00CB5721">
        <w:rPr>
          <w:rFonts w:ascii="Verdana" w:eastAsia="Arial" w:hAnsi="Verdana" w:cs="Arial"/>
          <w:lang w:val="es-ES" w:eastAsia="es-ES" w:bidi="es-ES"/>
        </w:rPr>
        <w:t>n los convenios de asociación no procede exigir amparos de buen manejo ni de devolución de anticipos, pues las estipulaciones no constituyen contraprestación ni remuneración a la ESAL o entidad pública.</w:t>
      </w:r>
      <w:r>
        <w:rPr>
          <w:rFonts w:ascii="Verdana" w:eastAsia="Arial" w:hAnsi="Verdana" w:cs="Arial"/>
          <w:lang w:val="es-ES" w:eastAsia="es-ES" w:bidi="es-ES"/>
        </w:rPr>
        <w:t xml:space="preserve"> </w:t>
      </w:r>
      <w:r w:rsidRPr="00E9090B">
        <w:rPr>
          <w:rFonts w:ascii="Verdana" w:eastAsia="Arial" w:hAnsi="Verdana" w:cs="Arial"/>
          <w:lang w:val="es-ES" w:eastAsia="es-ES" w:bidi="es-ES"/>
        </w:rPr>
        <w:t xml:space="preserve">Sin embargo, esta precisión no implica que la entidad no exija en el respectivo convenio amparos que cubran los diferentes riesgos que se presenten por </w:t>
      </w:r>
      <w:r w:rsidRPr="00E9090B">
        <w:rPr>
          <w:rFonts w:ascii="Verdana" w:eastAsia="Arial" w:hAnsi="Verdana" w:cs="Arial"/>
          <w:lang w:val="es-ES" w:eastAsia="es-ES" w:bidi="es-ES"/>
        </w:rPr>
        <w:lastRenderedPageBreak/>
        <w:t xml:space="preserve">incumplimiento de las obligaciones, el pago de salarios y prestaciones sociales, entre otros. </w:t>
      </w:r>
    </w:p>
    <w:p w14:paraId="737BCD67" w14:textId="77777777" w:rsidR="003878CE" w:rsidRPr="00E9090B" w:rsidRDefault="003878CE" w:rsidP="003878CE">
      <w:pPr>
        <w:spacing w:after="0" w:line="276" w:lineRule="auto"/>
        <w:ind w:firstLine="709"/>
        <w:jc w:val="both"/>
        <w:rPr>
          <w:rFonts w:ascii="Verdana" w:eastAsia="Arial" w:hAnsi="Verdana" w:cs="Arial"/>
          <w:lang w:val="es-ES" w:eastAsia="es-ES" w:bidi="es-ES"/>
        </w:rPr>
      </w:pPr>
      <w:r>
        <w:rPr>
          <w:rFonts w:ascii="Verdana" w:eastAsia="Arial" w:hAnsi="Verdana" w:cs="Arial"/>
          <w:lang w:val="es-ES" w:eastAsia="es-ES" w:bidi="es-ES"/>
        </w:rPr>
        <w:t xml:space="preserve">En este aspecto que es propio del objeto, motivo de consulta, es importante tener en cuenta que tipo de amparos pueden aplicarse cuando se presentan desembolsos temprano de recursos. Para ello, hay que tener en cuenta la remisión al Estatuto General de Contratación, en especial, sobre la aplicación del régimen de garantías establecidas en esta, lo cual se explica a continuación. </w:t>
      </w:r>
    </w:p>
    <w:p w14:paraId="6F83E71E" w14:textId="77777777" w:rsidR="003878CE" w:rsidRPr="00D11085" w:rsidRDefault="003878CE" w:rsidP="003878CE">
      <w:pPr>
        <w:spacing w:after="120" w:line="276" w:lineRule="auto"/>
        <w:jc w:val="both"/>
        <w:rPr>
          <w:rFonts w:ascii="Verdana" w:eastAsia="Calibri" w:hAnsi="Verdana" w:cs="Arial"/>
          <w:lang w:val="es-ES"/>
        </w:rPr>
      </w:pPr>
    </w:p>
    <w:p w14:paraId="32467019" w14:textId="77777777" w:rsidR="003878CE" w:rsidRPr="009037F6" w:rsidRDefault="003878CE" w:rsidP="003878CE">
      <w:pPr>
        <w:spacing w:after="120" w:line="276" w:lineRule="auto"/>
        <w:jc w:val="both"/>
        <w:rPr>
          <w:rFonts w:ascii="Verdana" w:eastAsia="Calibri" w:hAnsi="Verdana" w:cs="Arial"/>
          <w:lang w:val="es-ES_tradnl"/>
        </w:rPr>
      </w:pPr>
      <w:r>
        <w:rPr>
          <w:rFonts w:ascii="Verdana" w:eastAsia="Calibri" w:hAnsi="Verdana" w:cs="Arial"/>
          <w:color w:val="000000" w:themeColor="text1"/>
          <w:lang w:val="es-ES"/>
        </w:rPr>
        <w:t xml:space="preserve">iii. </w:t>
      </w:r>
      <w:bookmarkStart w:id="2" w:name="_Hlk35876968"/>
      <w:r w:rsidRPr="009037F6">
        <w:rPr>
          <w:rFonts w:ascii="Verdana" w:eastAsia="Calibri" w:hAnsi="Verdana" w:cs="Arial"/>
          <w:lang w:val="es-ES_tradnl"/>
        </w:rPr>
        <w:t xml:space="preserve">El Estatuto General de Contratación de la Administración Pública exige, por regla general, en los procesos de contratación pública </w:t>
      </w:r>
      <w:r w:rsidRPr="009037F6">
        <w:rPr>
          <w:rFonts w:ascii="Verdana" w:eastAsia="Calibri" w:hAnsi="Verdana" w:cs="Arial"/>
          <w:lang w:val="es-ES"/>
        </w:rPr>
        <w:t>la constitución de garantías, ya sea en la etapa precontractual, contractual o postcontractual, con el fin de evitar o mitigar posibles riesgos</w:t>
      </w:r>
      <w:r w:rsidRPr="009037F6">
        <w:rPr>
          <w:rFonts w:ascii="Verdana" w:eastAsia="Calibri" w:hAnsi="Verdana" w:cs="Arial"/>
          <w:lang w:val="es-ES_tradnl"/>
        </w:rPr>
        <w:t>. En esa orientación, el artículo 7 de la Ley 1150 de 2007 dispone que los contratistas tienen la obligación de constituir garantías para el cumplimiento de las obligaciones surgidas del contrato, y los proponentes por el ofrecimiento realizado, pudiendo consistir en pólizas expedidas por compañías aseguradoras, garantías bancarias u otros mecanismos permitidos por la ley y el reglamento. La precitada norma dispone:</w:t>
      </w:r>
    </w:p>
    <w:p w14:paraId="53472ED8" w14:textId="77777777" w:rsidR="003878CE" w:rsidRPr="009037F6" w:rsidRDefault="003878CE" w:rsidP="003878CE">
      <w:pPr>
        <w:spacing w:after="0" w:line="240" w:lineRule="auto"/>
        <w:ind w:left="709" w:right="709"/>
        <w:jc w:val="both"/>
        <w:rPr>
          <w:rFonts w:ascii="Verdana" w:eastAsia="Calibri" w:hAnsi="Verdana" w:cs="Arial"/>
          <w:sz w:val="20"/>
          <w:szCs w:val="20"/>
          <w:lang w:val="es-ES_tradnl"/>
        </w:rPr>
      </w:pPr>
    </w:p>
    <w:p w14:paraId="6CDD0469" w14:textId="77777777" w:rsidR="003878CE" w:rsidRPr="009037F6" w:rsidRDefault="003878CE" w:rsidP="003878CE">
      <w:pPr>
        <w:spacing w:after="0" w:line="240" w:lineRule="auto"/>
        <w:ind w:left="709" w:right="709"/>
        <w:jc w:val="both"/>
        <w:rPr>
          <w:rFonts w:ascii="Verdana" w:eastAsia="Calibri" w:hAnsi="Verdana" w:cs="Arial"/>
          <w:sz w:val="20"/>
          <w:szCs w:val="20"/>
          <w:lang w:val="es-ES_tradnl"/>
        </w:rPr>
      </w:pPr>
      <w:r w:rsidRPr="009037F6">
        <w:rPr>
          <w:rFonts w:ascii="Verdana" w:eastAsia="Calibri" w:hAnsi="Verdana" w:cs="Arial"/>
          <w:sz w:val="20"/>
          <w:szCs w:val="20"/>
          <w:lang w:val="es-ES_tradnl"/>
        </w:rPr>
        <w:t xml:space="preserve">Los contratistas prestarán garantía única para el cumplimiento de las obligaciones surgidas del contrato. Los proponentes prestarán garantía de seriedad de los ofrecimientos hechos. </w:t>
      </w:r>
    </w:p>
    <w:p w14:paraId="75FF1838" w14:textId="77777777" w:rsidR="003878CE" w:rsidRPr="009037F6" w:rsidRDefault="003878CE" w:rsidP="003878CE">
      <w:pPr>
        <w:spacing w:after="0" w:line="240" w:lineRule="auto"/>
        <w:ind w:left="709" w:right="709"/>
        <w:jc w:val="both"/>
        <w:rPr>
          <w:rFonts w:ascii="Verdana" w:eastAsia="Calibri" w:hAnsi="Verdana" w:cs="Arial"/>
          <w:sz w:val="20"/>
          <w:szCs w:val="20"/>
          <w:lang w:val="es-ES_tradnl"/>
        </w:rPr>
      </w:pPr>
    </w:p>
    <w:p w14:paraId="565101B8" w14:textId="77777777" w:rsidR="003878CE" w:rsidRPr="009037F6" w:rsidRDefault="003878CE" w:rsidP="003878CE">
      <w:pPr>
        <w:spacing w:after="0" w:line="240" w:lineRule="auto"/>
        <w:ind w:left="709" w:right="709"/>
        <w:jc w:val="both"/>
        <w:rPr>
          <w:rFonts w:ascii="Verdana" w:eastAsia="Calibri" w:hAnsi="Verdana" w:cs="Arial"/>
          <w:sz w:val="20"/>
          <w:szCs w:val="20"/>
          <w:lang w:val="es-ES_tradnl"/>
        </w:rPr>
      </w:pPr>
      <w:r w:rsidRPr="009037F6">
        <w:rPr>
          <w:rFonts w:ascii="Verdana" w:eastAsia="Calibri" w:hAnsi="Verdana" w:cs="Arial"/>
          <w:sz w:val="20"/>
          <w:szCs w:val="20"/>
          <w:lang w:val="es-ES_tradnl"/>
        </w:rPr>
        <w:t xml:space="preserve">Las garantías consistirán en pólizas expedidas por compañías de seguros legalmente autorizadas para funcionar en Colombia, en garantías bancarias y en general, en los demás mecanismos de cobertura del riesgo autorizados por el reglamento para el efecto. Tratándose de pólizas, las mismas no expirarán por falta de pago de la prima o por revocatoria unilateral. El Gobierno Nacional señalará las condiciones generales que deberán ser incluidas en las pólizas de cumplimiento de los contratos estatales. </w:t>
      </w:r>
    </w:p>
    <w:p w14:paraId="7CBBE6E7" w14:textId="77777777" w:rsidR="003878CE" w:rsidRPr="009037F6" w:rsidRDefault="003878CE" w:rsidP="003878CE">
      <w:pPr>
        <w:spacing w:after="0" w:line="240" w:lineRule="auto"/>
        <w:ind w:left="709" w:right="709"/>
        <w:jc w:val="both"/>
        <w:rPr>
          <w:rFonts w:ascii="Verdana" w:eastAsia="Calibri" w:hAnsi="Verdana" w:cs="Arial"/>
          <w:sz w:val="20"/>
          <w:szCs w:val="20"/>
          <w:lang w:val="es-ES_tradnl"/>
        </w:rPr>
      </w:pPr>
    </w:p>
    <w:p w14:paraId="4F961DCF" w14:textId="77777777" w:rsidR="003878CE" w:rsidRPr="009037F6" w:rsidRDefault="003878CE" w:rsidP="003878CE">
      <w:pPr>
        <w:spacing w:after="0" w:line="240" w:lineRule="auto"/>
        <w:ind w:left="709" w:right="709"/>
        <w:jc w:val="both"/>
        <w:rPr>
          <w:rFonts w:ascii="Verdana" w:eastAsia="Calibri" w:hAnsi="Verdana" w:cs="Arial"/>
          <w:sz w:val="20"/>
          <w:szCs w:val="20"/>
          <w:lang w:val="es-ES"/>
        </w:rPr>
      </w:pPr>
      <w:r w:rsidRPr="009037F6">
        <w:rPr>
          <w:rFonts w:ascii="Verdana" w:eastAsia="Calibri" w:hAnsi="Verdana" w:cs="Arial"/>
          <w:sz w:val="20"/>
          <w:szCs w:val="20"/>
          <w:lang w:val="es-ES"/>
        </w:rPr>
        <w:t xml:space="preserve">El Gobierno Nacional señalará los criterios que seguirán las entidades para la exigencia de garantías, las clases y niveles de amparo de los riesgos de los contratos, así como los casos en que por las características y complejidad del contrato a celebrar, la garantía pueda ser dividida teniendo en cuenta las etapas o riesgos relativos a la ejecución del respectivo contrato. </w:t>
      </w:r>
    </w:p>
    <w:p w14:paraId="4D026BA2" w14:textId="77777777" w:rsidR="003878CE" w:rsidRPr="009037F6" w:rsidRDefault="003878CE" w:rsidP="003878CE">
      <w:pPr>
        <w:spacing w:after="0" w:line="240" w:lineRule="auto"/>
        <w:ind w:left="709" w:right="709"/>
        <w:jc w:val="both"/>
        <w:rPr>
          <w:rFonts w:ascii="Verdana" w:eastAsia="Calibri" w:hAnsi="Verdana" w:cs="Arial"/>
          <w:sz w:val="20"/>
          <w:szCs w:val="20"/>
          <w:lang w:val="es-ES_tradnl"/>
        </w:rPr>
      </w:pPr>
    </w:p>
    <w:p w14:paraId="70E81318" w14:textId="77777777" w:rsidR="003878CE" w:rsidRPr="009037F6" w:rsidRDefault="003878CE" w:rsidP="003878CE">
      <w:pPr>
        <w:spacing w:after="0" w:line="240" w:lineRule="auto"/>
        <w:ind w:left="709" w:right="709"/>
        <w:jc w:val="both"/>
        <w:rPr>
          <w:rFonts w:ascii="Verdana" w:eastAsia="Calibri" w:hAnsi="Verdana" w:cs="Arial"/>
          <w:sz w:val="20"/>
          <w:szCs w:val="20"/>
          <w:lang w:val="es-ES_tradnl"/>
        </w:rPr>
      </w:pPr>
      <w:r w:rsidRPr="009037F6">
        <w:rPr>
          <w:rFonts w:ascii="Verdana" w:eastAsia="Calibri" w:hAnsi="Verdana" w:cs="Arial"/>
          <w:sz w:val="20"/>
          <w:szCs w:val="20"/>
          <w:lang w:val="es-ES_tradnl"/>
        </w:rPr>
        <w:lastRenderedPageBreak/>
        <w:t>El acaecimiento del siniestro que amparan las garantías será comunicado por la entidad pública al respectivo asegurador mediante la notificación del acto administrativo que así lo declare.</w:t>
      </w:r>
    </w:p>
    <w:p w14:paraId="1231797B" w14:textId="77777777" w:rsidR="003878CE" w:rsidRPr="009037F6" w:rsidRDefault="003878CE" w:rsidP="003878CE">
      <w:pPr>
        <w:spacing w:after="0" w:line="240" w:lineRule="auto"/>
        <w:ind w:left="709" w:right="709"/>
        <w:jc w:val="both"/>
        <w:rPr>
          <w:rFonts w:ascii="Verdana" w:eastAsia="Calibri" w:hAnsi="Verdana" w:cs="Arial"/>
          <w:sz w:val="20"/>
          <w:szCs w:val="20"/>
          <w:lang w:val="es-ES_tradnl"/>
        </w:rPr>
      </w:pPr>
      <w:r w:rsidRPr="009037F6">
        <w:rPr>
          <w:rFonts w:ascii="Verdana" w:eastAsia="Calibri" w:hAnsi="Verdana" w:cs="Arial"/>
          <w:sz w:val="20"/>
          <w:szCs w:val="20"/>
          <w:lang w:val="es-ES_tradnl"/>
        </w:rPr>
        <w:t xml:space="preserve"> </w:t>
      </w:r>
    </w:p>
    <w:p w14:paraId="0F0E1D9B" w14:textId="77777777" w:rsidR="003878CE" w:rsidRPr="009037F6" w:rsidRDefault="003878CE" w:rsidP="003878CE">
      <w:pPr>
        <w:spacing w:after="0" w:line="240" w:lineRule="auto"/>
        <w:ind w:left="709" w:right="709"/>
        <w:jc w:val="both"/>
        <w:rPr>
          <w:rFonts w:ascii="Verdana" w:eastAsia="Calibri" w:hAnsi="Verdana" w:cs="Arial"/>
          <w:sz w:val="20"/>
          <w:szCs w:val="20"/>
          <w:lang w:val="es-ES_tradnl"/>
        </w:rPr>
      </w:pPr>
      <w:r w:rsidRPr="009037F6">
        <w:rPr>
          <w:rFonts w:ascii="Verdana" w:eastAsia="Calibri" w:hAnsi="Verdana" w:cs="Arial"/>
          <w:sz w:val="20"/>
          <w:szCs w:val="20"/>
          <w:lang w:val="es-ES_tradnl"/>
        </w:rPr>
        <w:t>Las garantías no serán obligatorias en los contratos de empréstito, en los interadministrativos, en los de seguro y en los contratos cuyo valor sea inferior al 10% de la menor cuantía a que se refiere esta ley, caso en el cual corresponderá a la entidad determinar la necesidad de exigirla, atendiendo a la naturaleza del objeto del contrato y a la forma de pago, así como en los demás que señale el reglamento.</w:t>
      </w:r>
      <w:bookmarkEnd w:id="2"/>
    </w:p>
    <w:p w14:paraId="2B928672" w14:textId="77777777" w:rsidR="003878CE" w:rsidRPr="009037F6" w:rsidRDefault="003878CE" w:rsidP="003878CE">
      <w:pPr>
        <w:spacing w:after="0" w:line="240" w:lineRule="auto"/>
        <w:ind w:left="709" w:right="709"/>
        <w:jc w:val="both"/>
        <w:rPr>
          <w:rFonts w:ascii="Verdana" w:eastAsia="Calibri" w:hAnsi="Verdana" w:cs="Arial"/>
          <w:sz w:val="20"/>
          <w:szCs w:val="20"/>
          <w:lang w:val="es-ES_tradnl"/>
        </w:rPr>
      </w:pPr>
    </w:p>
    <w:p w14:paraId="2F3C93AA" w14:textId="77777777" w:rsidR="003878CE" w:rsidRPr="009037F6" w:rsidRDefault="003878CE" w:rsidP="003878CE">
      <w:pPr>
        <w:spacing w:after="120" w:line="276" w:lineRule="auto"/>
        <w:ind w:firstLine="709"/>
        <w:jc w:val="both"/>
        <w:rPr>
          <w:rFonts w:ascii="Verdana" w:eastAsia="Calibri" w:hAnsi="Verdana" w:cs="Arial"/>
          <w:color w:val="000000" w:themeColor="text1"/>
          <w:lang w:val="es-ES_tradnl"/>
        </w:rPr>
      </w:pPr>
      <w:r w:rsidRPr="009037F6">
        <w:rPr>
          <w:rFonts w:ascii="Verdana" w:eastAsia="Calibri" w:hAnsi="Verdana" w:cs="Arial"/>
          <w:color w:val="000000" w:themeColor="text1"/>
          <w:lang w:val="es-ES_tradnl"/>
        </w:rPr>
        <w:t xml:space="preserve">Las condiciones para el cumplimiento de estas obligaciones fueron reglamentadas por el Decreto 1082 de 2015, el cual prescribe en los artículos 2.2.1.2.3.1.1. a 2.2.1.2.3.1.19 las clases de garantías permitidas; la indivisibilidad, por regla general, de las mismas; los riesgos objeto de cobertura; la vigencia y valores mínimos, entre otros aspectos que deben cumplir las garantías constituidas, ya sea mediante pólizas de seguro, garantías bancarias o patrimonios autónomos. Este último tipo de garantía fue establecida por el reglamento, previa autorización del artículo 7° de la Ley 1150 de 2007. </w:t>
      </w:r>
    </w:p>
    <w:p w14:paraId="41F9A8D7" w14:textId="77777777" w:rsidR="003878CE" w:rsidRPr="009037F6" w:rsidRDefault="003878CE" w:rsidP="003878CE">
      <w:pPr>
        <w:spacing w:after="120" w:line="276" w:lineRule="auto"/>
        <w:ind w:firstLine="709"/>
        <w:jc w:val="both"/>
        <w:rPr>
          <w:rFonts w:ascii="Verdana" w:hAnsi="Verdana" w:cs="Arial"/>
          <w:color w:val="000000" w:themeColor="text1"/>
        </w:rPr>
      </w:pPr>
      <w:r w:rsidRPr="009037F6">
        <w:rPr>
          <w:rFonts w:ascii="Verdana" w:eastAsia="Calibri" w:hAnsi="Verdana" w:cs="Arial"/>
          <w:color w:val="000000" w:themeColor="text1"/>
          <w:lang w:val="es-ES_tradnl"/>
        </w:rPr>
        <w:t>De acuerdo a lo expresado anteriormente, l</w:t>
      </w:r>
      <w:r w:rsidRPr="009037F6">
        <w:rPr>
          <w:rFonts w:ascii="Verdana" w:hAnsi="Verdana" w:cs="Arial"/>
          <w:color w:val="000000" w:themeColor="text1"/>
        </w:rPr>
        <w:t xml:space="preserve">os proponentes o contratistas, para garantizar el cumplimiento de sus obligaciones frente a entidades estatales en materia contractual, pueden otorgar, a su elección, las garantías mediante los siguientes mecanismos de cobertura de los riesgos: i) contratos de seguro, que por su esencia, es el medio más usado </w:t>
      </w:r>
      <w:r w:rsidRPr="009037F6">
        <w:rPr>
          <w:rFonts w:ascii="Verdana" w:eastAsia="Calibri" w:hAnsi="Verdana" w:cs="Arial"/>
          <w:color w:val="000000" w:themeColor="text1"/>
        </w:rPr>
        <w:t xml:space="preserve">para amparar los riesgos contractuales; </w:t>
      </w:r>
      <w:r w:rsidRPr="009037F6">
        <w:rPr>
          <w:rFonts w:ascii="Verdana" w:hAnsi="Verdana" w:cs="Arial"/>
          <w:color w:val="000000" w:themeColor="text1"/>
        </w:rPr>
        <w:t>ii) fiducia mercantil de garantía, que es un contrato que suscribe el oferente, contratista o un tercero como fideicomitente con una sociedad fiduciaria para transferir la propiedad de uno o más bienes o derechos con los cuales se integra un patrimonio autónomo, con el fin de salvaguardar con ellos o con su producido las obligaciones del oferente o contratista con la entidad estatal beneficiaria</w:t>
      </w:r>
      <w:r w:rsidRPr="009037F6">
        <w:rPr>
          <w:rFonts w:ascii="Verdana" w:hAnsi="Verdana" w:cs="Arial"/>
          <w:color w:val="000000" w:themeColor="text1"/>
          <w:vertAlign w:val="superscript"/>
        </w:rPr>
        <w:footnoteReference w:id="12"/>
      </w:r>
      <w:r w:rsidRPr="009037F6">
        <w:rPr>
          <w:rFonts w:ascii="Verdana" w:hAnsi="Verdana" w:cs="Arial"/>
          <w:color w:val="000000" w:themeColor="text1"/>
        </w:rPr>
        <w:t xml:space="preserve">;  iii) garantías bancarias o cartas de crédito </w:t>
      </w:r>
      <w:r w:rsidRPr="009037F6">
        <w:rPr>
          <w:rFonts w:ascii="Verdana" w:hAnsi="Verdana" w:cs="Arial"/>
          <w:i/>
          <w:iCs/>
          <w:color w:val="000000" w:themeColor="text1"/>
        </w:rPr>
        <w:t>stand</w:t>
      </w:r>
      <w:r w:rsidRPr="009037F6">
        <w:rPr>
          <w:rFonts w:ascii="Verdana" w:hAnsi="Verdana" w:cs="Arial"/>
          <w:color w:val="000000" w:themeColor="text1"/>
        </w:rPr>
        <w:t xml:space="preserve"> </w:t>
      </w:r>
      <w:r w:rsidRPr="009037F6">
        <w:rPr>
          <w:rFonts w:ascii="Verdana" w:hAnsi="Verdana" w:cs="Arial"/>
          <w:i/>
          <w:iCs/>
          <w:color w:val="000000" w:themeColor="text1"/>
        </w:rPr>
        <w:t>by</w:t>
      </w:r>
      <w:r w:rsidRPr="009037F6">
        <w:rPr>
          <w:rFonts w:ascii="Verdana" w:hAnsi="Verdana" w:cs="Arial"/>
          <w:color w:val="000000" w:themeColor="text1"/>
        </w:rPr>
        <w:t>, que consisten en compromisos irrevocables o incondicionales asumidos por una entidad financiera de pagar una suma determinada de dinero</w:t>
      </w:r>
      <w:r w:rsidRPr="009037F6">
        <w:rPr>
          <w:rFonts w:ascii="Verdana" w:hAnsi="Verdana" w:cs="Arial"/>
          <w:color w:val="000000" w:themeColor="text1"/>
          <w:vertAlign w:val="superscript"/>
        </w:rPr>
        <w:footnoteReference w:id="13"/>
      </w:r>
      <w:r w:rsidRPr="009037F6">
        <w:rPr>
          <w:rFonts w:ascii="Verdana" w:hAnsi="Verdana" w:cs="Arial"/>
          <w:color w:val="000000" w:themeColor="text1"/>
        </w:rPr>
        <w:t xml:space="preserve">. La suficiencia y </w:t>
      </w:r>
      <w:r w:rsidRPr="009037F6">
        <w:rPr>
          <w:rFonts w:ascii="Verdana" w:hAnsi="Verdana" w:cs="Arial"/>
          <w:color w:val="000000" w:themeColor="text1"/>
        </w:rPr>
        <w:lastRenderedPageBreak/>
        <w:t xml:space="preserve">la vigencia de las garantías deben ser las reguladas en los artículos 2.2.1.2.3.1.9 a 2.2.1.2.3.1.16 del Decreto 1082 de 2015. </w:t>
      </w:r>
    </w:p>
    <w:p w14:paraId="21CF0FE8" w14:textId="77777777" w:rsidR="003878CE" w:rsidRPr="009037F6" w:rsidRDefault="003878CE" w:rsidP="003878CE">
      <w:pPr>
        <w:spacing w:after="120" w:line="276" w:lineRule="auto"/>
        <w:ind w:firstLine="708"/>
        <w:jc w:val="both"/>
        <w:rPr>
          <w:rFonts w:ascii="Verdana" w:eastAsia="Times New Roman" w:hAnsi="Verdana" w:cs="Arial"/>
          <w:color w:val="000000" w:themeColor="text1"/>
          <w:lang w:val="es-ES"/>
        </w:rPr>
      </w:pPr>
      <w:r w:rsidRPr="009037F6">
        <w:rPr>
          <w:rFonts w:ascii="Verdana" w:eastAsia="Times New Roman" w:hAnsi="Verdana" w:cs="Arial"/>
          <w:color w:val="000000" w:themeColor="text1"/>
          <w:lang w:val="es-ES"/>
        </w:rPr>
        <w:t xml:space="preserve">En particular, mediante </w:t>
      </w:r>
      <w:r w:rsidRPr="009037F6">
        <w:rPr>
          <w:rFonts w:ascii="Verdana" w:eastAsia="Calibri" w:hAnsi="Verdana" w:cs="Arial"/>
          <w:color w:val="000000" w:themeColor="text1"/>
          <w:lang w:val="es-ES"/>
        </w:rPr>
        <w:t xml:space="preserve">la </w:t>
      </w:r>
      <w:r w:rsidRPr="009037F6">
        <w:rPr>
          <w:rFonts w:ascii="Verdana" w:eastAsia="Calibri" w:hAnsi="Verdana" w:cs="Arial"/>
          <w:i/>
          <w:iCs/>
          <w:color w:val="000000" w:themeColor="text1"/>
          <w:lang w:val="es-ES"/>
        </w:rPr>
        <w:t>garantía única de cumplimiento</w:t>
      </w:r>
      <w:r w:rsidRPr="009037F6">
        <w:rPr>
          <w:rFonts w:ascii="Verdana" w:eastAsia="Calibri" w:hAnsi="Verdana" w:cs="Arial"/>
          <w:color w:val="000000" w:themeColor="text1"/>
          <w:lang w:val="es-ES"/>
        </w:rPr>
        <w:t>, el contratista debe amparar los perjuicios que le pueda generar a la entidad el incumplimiento de las obligaciones derivadas del contrato por conductas que le sean atribuibles</w:t>
      </w:r>
      <w:r w:rsidRPr="009037F6">
        <w:rPr>
          <w:rFonts w:ascii="Verdana" w:eastAsia="Calibri" w:hAnsi="Verdana" w:cs="Arial"/>
          <w:color w:val="000000" w:themeColor="text1"/>
          <w:vertAlign w:val="superscript"/>
          <w:lang w:val="es-ES"/>
        </w:rPr>
        <w:footnoteReference w:id="14"/>
      </w:r>
      <w:r w:rsidRPr="009037F6">
        <w:rPr>
          <w:rFonts w:ascii="Verdana" w:eastAsia="Calibri" w:hAnsi="Verdana" w:cs="Arial"/>
          <w:color w:val="000000" w:themeColor="text1"/>
          <w:lang w:val="es-ES"/>
        </w:rPr>
        <w:t xml:space="preserve">. </w:t>
      </w:r>
      <w:r w:rsidRPr="009037F6">
        <w:rPr>
          <w:rFonts w:ascii="Verdana" w:eastAsia="Times New Roman" w:hAnsi="Verdana" w:cs="Arial"/>
          <w:color w:val="000000" w:themeColor="text1"/>
          <w:lang w:val="es-ES"/>
        </w:rPr>
        <w:t>Para estos efectos es única, ya que “[…] La prioridad […] es que no haya garantías separadas para los diferentes riesgos, aunque existan varias garantías para diferentes proporciones del interés asegurado […]”</w:t>
      </w:r>
      <w:r w:rsidRPr="009037F6">
        <w:rPr>
          <w:rFonts w:ascii="Verdana" w:eastAsia="Times New Roman" w:hAnsi="Verdana" w:cs="Arial"/>
          <w:color w:val="000000" w:themeColor="text1"/>
          <w:vertAlign w:val="superscript"/>
          <w:lang w:val="es-ES"/>
        </w:rPr>
        <w:footnoteReference w:id="15"/>
      </w:r>
      <w:r w:rsidRPr="009037F6">
        <w:rPr>
          <w:rFonts w:ascii="Verdana" w:eastAsia="Times New Roman" w:hAnsi="Verdana" w:cs="Arial"/>
          <w:color w:val="000000" w:themeColor="text1"/>
          <w:lang w:val="es-ES"/>
        </w:rPr>
        <w:t xml:space="preserve">.    </w:t>
      </w:r>
    </w:p>
    <w:p w14:paraId="1FA1FBEB" w14:textId="77777777" w:rsidR="003878CE" w:rsidRDefault="003878CE" w:rsidP="003878CE">
      <w:pPr>
        <w:spacing w:after="120" w:line="276" w:lineRule="auto"/>
        <w:ind w:firstLine="708"/>
        <w:jc w:val="both"/>
        <w:rPr>
          <w:rFonts w:ascii="Verdana" w:eastAsia="Times New Roman" w:hAnsi="Verdana" w:cs="Arial"/>
          <w:color w:val="000000" w:themeColor="text1"/>
          <w:lang w:val="es-ES" w:eastAsia="es-CO"/>
        </w:rPr>
      </w:pPr>
      <w:r w:rsidRPr="009037F6">
        <w:rPr>
          <w:rFonts w:ascii="Verdana" w:eastAsia="Times New Roman" w:hAnsi="Verdana" w:cs="Arial"/>
          <w:color w:val="000000" w:themeColor="text1"/>
          <w:lang w:val="es-ES"/>
        </w:rPr>
        <w:t>El artículo 2.2.1.</w:t>
      </w:r>
      <w:r>
        <w:rPr>
          <w:rFonts w:ascii="Verdana" w:eastAsia="Times New Roman" w:hAnsi="Verdana" w:cs="Arial"/>
          <w:color w:val="000000" w:themeColor="text1"/>
          <w:lang w:val="es-ES"/>
        </w:rPr>
        <w:t>2.</w:t>
      </w:r>
      <w:r w:rsidRPr="009037F6">
        <w:rPr>
          <w:rFonts w:ascii="Verdana" w:eastAsia="Times New Roman" w:hAnsi="Verdana" w:cs="Arial"/>
          <w:color w:val="000000" w:themeColor="text1"/>
          <w:lang w:val="es-ES"/>
        </w:rPr>
        <w:t xml:space="preserve">3.1.7 del Decreto 1082 de 2015 señala que </w:t>
      </w:r>
      <w:r w:rsidRPr="009037F6">
        <w:rPr>
          <w:rFonts w:ascii="Verdana" w:eastAsia="Times New Roman" w:hAnsi="Verdana" w:cs="Arial"/>
          <w:i/>
          <w:iCs/>
          <w:color w:val="000000" w:themeColor="text1"/>
          <w:lang w:val="es-ES"/>
        </w:rPr>
        <w:t>la garantía de cumplimiento</w:t>
      </w:r>
      <w:r w:rsidRPr="009037F6">
        <w:rPr>
          <w:rFonts w:ascii="Verdana" w:eastAsia="Times New Roman" w:hAnsi="Verdana" w:cs="Arial"/>
          <w:color w:val="000000" w:themeColor="text1"/>
          <w:lang w:val="es-ES"/>
        </w:rPr>
        <w:t xml:space="preserve"> </w:t>
      </w:r>
      <w:r w:rsidRPr="009037F6">
        <w:rPr>
          <w:rFonts w:ascii="Verdana" w:eastAsia="Calibri" w:hAnsi="Verdana" w:cs="Arial"/>
          <w:bCs/>
          <w:color w:val="000000" w:themeColor="text1"/>
          <w:lang w:val="es-ES"/>
        </w:rPr>
        <w:t xml:space="preserve">cuenta con varios </w:t>
      </w:r>
      <w:r w:rsidRPr="009037F6">
        <w:rPr>
          <w:rFonts w:ascii="Verdana" w:eastAsia="Calibri" w:hAnsi="Verdana" w:cs="Arial"/>
          <w:bCs/>
          <w:i/>
          <w:iCs/>
          <w:color w:val="000000" w:themeColor="text1"/>
          <w:lang w:val="es-ES"/>
        </w:rPr>
        <w:t>amparos</w:t>
      </w:r>
      <w:r w:rsidRPr="009037F6">
        <w:rPr>
          <w:rFonts w:ascii="Verdana" w:eastAsia="Calibri" w:hAnsi="Verdana" w:cs="Arial"/>
          <w:bCs/>
          <w:color w:val="000000" w:themeColor="text1"/>
          <w:lang w:val="es-ES"/>
        </w:rPr>
        <w:t xml:space="preserve"> que cubren: el buen manejo y correcta inversión del anticipo; la devolución del pago anticipado; el amparo de cumplimiento del contrato; la garantía de pago de salarios, prestaciones sociales legales e indemnizaciones laborales; la estabilidad y calidad de la obra, y </w:t>
      </w:r>
      <w:r w:rsidRPr="009037F6">
        <w:rPr>
          <w:rFonts w:ascii="Verdana" w:eastAsia="Times New Roman" w:hAnsi="Verdana" w:cs="Arial"/>
          <w:color w:val="000000" w:themeColor="text1"/>
          <w:lang w:val="es-ES" w:eastAsia="es-CO"/>
        </w:rPr>
        <w:t>los demás incumplimientos de las obligaciones que la Entidad Estatal considere deben ser amparados. Esto, además de la póliza de responsabilidad civil extracontractual que es procedente en los contratos de obra, así como en aquellos en que por su objeto o naturaleza se considere necesario con ocasión de los riesgos previstos en el negocio, de acuerdo con el artículo 2.2.1.2.3.1.8</w:t>
      </w:r>
      <w:r w:rsidRPr="009037F6">
        <w:rPr>
          <w:rFonts w:ascii="Verdana" w:eastAsia="Times New Roman" w:hAnsi="Verdana" w:cs="Arial"/>
          <w:i/>
          <w:iCs/>
          <w:color w:val="000000" w:themeColor="text1"/>
          <w:lang w:val="es-ES" w:eastAsia="es-CO"/>
        </w:rPr>
        <w:t xml:space="preserve"> </w:t>
      </w:r>
      <w:r w:rsidRPr="009037F6">
        <w:rPr>
          <w:rFonts w:ascii="Verdana" w:eastAsia="Times New Roman" w:hAnsi="Verdana" w:cs="Arial"/>
          <w:color w:val="000000" w:themeColor="text1"/>
          <w:lang w:val="es-ES" w:eastAsia="es-CO"/>
        </w:rPr>
        <w:t>del Decreto 1082 de 2015.</w:t>
      </w:r>
    </w:p>
    <w:p w14:paraId="244A2889" w14:textId="77777777" w:rsidR="003878CE" w:rsidRPr="008306C4" w:rsidRDefault="003878CE" w:rsidP="003878CE">
      <w:pPr>
        <w:spacing w:after="120" w:line="276" w:lineRule="auto"/>
        <w:ind w:firstLine="708"/>
        <w:jc w:val="both"/>
        <w:rPr>
          <w:rFonts w:ascii="Verdana" w:eastAsia="Calibri" w:hAnsi="Verdana" w:cs="Arial"/>
          <w:color w:val="000000" w:themeColor="text1"/>
          <w:lang w:val="es-ES"/>
        </w:rPr>
      </w:pPr>
      <w:r>
        <w:rPr>
          <w:rFonts w:ascii="Verdana" w:eastAsia="Times New Roman" w:hAnsi="Verdana" w:cs="Arial"/>
          <w:color w:val="000000" w:themeColor="text1"/>
          <w:lang w:val="es-ES" w:eastAsia="es-CO"/>
        </w:rPr>
        <w:t xml:space="preserve">Teniendo en cuenta esta explicación, es pertinente precisar que como se señaló previamente el buen manejo y correcta inversión del anticipo y la devolución del pago anticipado no son exigibles en los convenios de asociación. No obstante, frente a desembolsos tempranos estipulados en estos convenios, es posible exigir como forma o mecanismo para mitigar riesgos, el amparo de cumplimiento, la cual </w:t>
      </w:r>
      <w:r>
        <w:rPr>
          <w:rFonts w:ascii="Verdana" w:eastAsia="Calibri" w:hAnsi="Verdana" w:cs="Arial"/>
          <w:color w:val="000000" w:themeColor="text1"/>
          <w:lang w:val="es-ES"/>
        </w:rPr>
        <w:t>protege</w:t>
      </w:r>
      <w:r w:rsidRPr="009037F6">
        <w:rPr>
          <w:rFonts w:ascii="Verdana" w:eastAsia="Calibri" w:hAnsi="Verdana" w:cs="Arial"/>
          <w:color w:val="000000" w:themeColor="text1"/>
          <w:lang w:val="es-ES"/>
        </w:rPr>
        <w:t xml:space="preserve"> a la entidad de los perjuicios que puedan ocasionarse con el incumplimiento total o parcial del contrato, el cumplimiento tardío o defectuoso, los daños p</w:t>
      </w:r>
      <w:r>
        <w:rPr>
          <w:rFonts w:ascii="Verdana" w:eastAsia="Calibri" w:hAnsi="Verdana" w:cs="Arial"/>
          <w:color w:val="000000" w:themeColor="text1"/>
          <w:lang w:val="es-ES"/>
        </w:rPr>
        <w:t>or entregas parciales</w:t>
      </w:r>
      <w:r w:rsidRPr="009037F6">
        <w:rPr>
          <w:rFonts w:ascii="Verdana" w:eastAsia="Calibri" w:hAnsi="Verdana" w:cs="Arial"/>
          <w:color w:val="000000" w:themeColor="text1"/>
          <w:lang w:val="es-ES"/>
        </w:rPr>
        <w:t xml:space="preserve">, cuando el contrato no prevé entregas parciales, y el valor de las multas y de la cláusula penal </w:t>
      </w:r>
      <w:r w:rsidRPr="009037F6">
        <w:rPr>
          <w:rFonts w:ascii="Verdana" w:eastAsia="Calibri" w:hAnsi="Verdana" w:cs="Arial"/>
          <w:color w:val="000000" w:themeColor="text1"/>
          <w:lang w:val="es-ES"/>
        </w:rPr>
        <w:lastRenderedPageBreak/>
        <w:t>pecuniaria</w:t>
      </w:r>
      <w:r>
        <w:rPr>
          <w:rStyle w:val="Refdenotaalpie"/>
          <w:rFonts w:ascii="Verdana" w:eastAsia="Calibri" w:hAnsi="Verdana" w:cs="Arial"/>
          <w:color w:val="000000" w:themeColor="text1"/>
          <w:lang w:val="es-ES"/>
        </w:rPr>
        <w:footnoteReference w:id="16"/>
      </w:r>
      <w:r w:rsidRPr="009037F6">
        <w:rPr>
          <w:rFonts w:ascii="Verdana" w:eastAsia="Calibri" w:hAnsi="Verdana" w:cs="Arial"/>
          <w:color w:val="000000" w:themeColor="text1"/>
          <w:lang w:val="es-ES"/>
        </w:rPr>
        <w:t xml:space="preserve">. </w:t>
      </w:r>
      <w:r>
        <w:rPr>
          <w:rFonts w:ascii="Verdana" w:eastAsia="Calibri" w:hAnsi="Verdana" w:cs="Arial"/>
          <w:color w:val="000000" w:themeColor="text1"/>
          <w:lang w:val="es-ES"/>
        </w:rPr>
        <w:t xml:space="preserve">En tal sentido, </w:t>
      </w:r>
      <w:r w:rsidRPr="009037F6">
        <w:rPr>
          <w:rFonts w:ascii="Verdana" w:eastAsia="Calibri" w:hAnsi="Verdana" w:cs="Arial"/>
          <w:color w:val="000000" w:themeColor="text1"/>
          <w:lang w:val="es-ES"/>
        </w:rPr>
        <w:t xml:space="preserve">el </w:t>
      </w:r>
      <w:r w:rsidRPr="009037F6">
        <w:rPr>
          <w:rFonts w:ascii="Verdana" w:eastAsia="Calibri" w:hAnsi="Verdana" w:cs="Arial"/>
          <w:i/>
          <w:iCs/>
          <w:color w:val="000000" w:themeColor="text1"/>
          <w:lang w:val="es-ES"/>
        </w:rPr>
        <w:t>amparo de cumplimiento</w:t>
      </w:r>
      <w:r w:rsidRPr="009037F6">
        <w:rPr>
          <w:rFonts w:ascii="Verdana" w:eastAsia="Calibri" w:hAnsi="Verdana" w:cs="Arial"/>
          <w:color w:val="000000" w:themeColor="text1"/>
          <w:lang w:val="es-ES"/>
        </w:rPr>
        <w:t xml:space="preserve"> tiene como objeto proteger a la entidad de los riesgos que puedan concretarse durant</w:t>
      </w:r>
      <w:r>
        <w:rPr>
          <w:rFonts w:ascii="Verdana" w:eastAsia="Calibri" w:hAnsi="Verdana" w:cs="Arial"/>
          <w:color w:val="000000" w:themeColor="text1"/>
          <w:lang w:val="es-ES"/>
        </w:rPr>
        <w:t>e la etapa de ejecución del convenio de asociación, en especial,</w:t>
      </w:r>
      <w:r w:rsidRPr="009037F6">
        <w:rPr>
          <w:rFonts w:ascii="Verdana" w:eastAsia="Calibri" w:hAnsi="Verdana" w:cs="Arial"/>
          <w:color w:val="000000" w:themeColor="text1"/>
          <w:lang w:val="es-ES"/>
        </w:rPr>
        <w:t xml:space="preserve"> de aquellos derivados de incumplimientos o conductas imputables </w:t>
      </w:r>
      <w:r>
        <w:rPr>
          <w:rFonts w:ascii="Verdana" w:eastAsia="Calibri" w:hAnsi="Verdana" w:cs="Arial"/>
          <w:color w:val="000000" w:themeColor="text1"/>
          <w:lang w:val="es-ES"/>
        </w:rPr>
        <w:t>del asociado de la entidad pública. De esta manera, e</w:t>
      </w:r>
      <w:r w:rsidRPr="008306C4">
        <w:rPr>
          <w:rFonts w:ascii="Verdana" w:eastAsia="Calibri" w:hAnsi="Verdana" w:cs="Arial"/>
          <w:color w:val="000000" w:themeColor="text1"/>
          <w:lang w:val="es-ES"/>
        </w:rPr>
        <w:t>l propósito fundamental del amparo de cumplimiento es blindar a la entidad durante la fase de ejecución del convenio, especialmente frente a conductas atribuibles al asociado que puedan comprometer el éxito del proyecto. Este mecanismo no solo mitiga los riesgos inherentes a la gestión contractual, sino que también fomenta la disciplina y el compromiso del asociado, incentivando el cumplimiento oportuno y adecuado de las obligaciones pactadas.</w:t>
      </w:r>
    </w:p>
    <w:p w14:paraId="4C01D228" w14:textId="77777777" w:rsidR="003878CE" w:rsidRDefault="003878CE" w:rsidP="003878CE">
      <w:pPr>
        <w:spacing w:after="120" w:line="276" w:lineRule="auto"/>
        <w:ind w:firstLine="708"/>
        <w:jc w:val="both"/>
        <w:rPr>
          <w:rFonts w:ascii="Verdana" w:eastAsia="Calibri" w:hAnsi="Verdana" w:cs="Arial"/>
          <w:color w:val="000000" w:themeColor="text1"/>
        </w:rPr>
      </w:pPr>
      <w:r>
        <w:rPr>
          <w:rFonts w:ascii="Verdana" w:eastAsia="Calibri" w:hAnsi="Verdana" w:cs="Arial"/>
          <w:color w:val="000000" w:themeColor="text1"/>
          <w:lang w:val="es-ES"/>
        </w:rPr>
        <w:t xml:space="preserve">En torno al amparo de cumplimiento se establece </w:t>
      </w:r>
      <w:r w:rsidRPr="00E960A7">
        <w:rPr>
          <w:rFonts w:ascii="Verdana" w:eastAsia="Calibri" w:hAnsi="Verdana" w:cs="Arial"/>
          <w:color w:val="000000" w:themeColor="text1"/>
        </w:rPr>
        <w:t>el artículo 2.2.1.2.3.1</w:t>
      </w:r>
      <w:r>
        <w:rPr>
          <w:rFonts w:ascii="Verdana" w:eastAsia="Calibri" w:hAnsi="Verdana" w:cs="Arial"/>
          <w:color w:val="000000" w:themeColor="text1"/>
        </w:rPr>
        <w:t>.12 del Decreto 1082 de 2015, que se</w:t>
      </w:r>
      <w:r w:rsidRPr="00E960A7">
        <w:rPr>
          <w:rFonts w:ascii="Verdana" w:eastAsia="Calibri" w:hAnsi="Verdana" w:cs="Arial"/>
          <w:color w:val="000000" w:themeColor="text1"/>
        </w:rPr>
        <w:t xml:space="preserve"> asemeja a lo dispuesto en el Decreto 1510, </w:t>
      </w:r>
      <w:r>
        <w:rPr>
          <w:rFonts w:ascii="Verdana" w:eastAsia="Calibri" w:hAnsi="Verdana" w:cs="Arial"/>
          <w:color w:val="000000" w:themeColor="text1"/>
        </w:rPr>
        <w:t xml:space="preserve">que prescribe </w:t>
      </w:r>
      <w:r w:rsidRPr="00E960A7">
        <w:rPr>
          <w:rFonts w:ascii="Verdana" w:eastAsia="Calibri" w:hAnsi="Verdana" w:cs="Arial"/>
          <w:color w:val="000000" w:themeColor="text1"/>
        </w:rPr>
        <w:t xml:space="preserve">que el valor de </w:t>
      </w:r>
      <w:r>
        <w:rPr>
          <w:rFonts w:ascii="Verdana" w:eastAsia="Calibri" w:hAnsi="Verdana" w:cs="Arial"/>
          <w:color w:val="000000" w:themeColor="text1"/>
        </w:rPr>
        <w:t xml:space="preserve">esta </w:t>
      </w:r>
      <w:r w:rsidRPr="00E960A7">
        <w:rPr>
          <w:rFonts w:ascii="Verdana" w:eastAsia="Calibri" w:hAnsi="Verdana" w:cs="Arial"/>
          <w:color w:val="000000" w:themeColor="text1"/>
        </w:rPr>
        <w:t>debe ser por lo menos del 10% del valor del contrato, salvo que el valor de este sea superior a un millón de SMMLV, evento en el cual debe aplicar unas reglas dispuestas en este reglamento</w:t>
      </w:r>
      <w:r w:rsidRPr="00E960A7">
        <w:rPr>
          <w:rFonts w:ascii="Verdana" w:eastAsia="Calibri" w:hAnsi="Verdana" w:cs="Arial"/>
          <w:color w:val="000000" w:themeColor="text1"/>
          <w:vertAlign w:val="superscript"/>
        </w:rPr>
        <w:footnoteReference w:id="17"/>
      </w:r>
      <w:r>
        <w:rPr>
          <w:rFonts w:ascii="Verdana" w:eastAsia="Calibri" w:hAnsi="Verdana" w:cs="Arial"/>
          <w:color w:val="000000" w:themeColor="text1"/>
        </w:rPr>
        <w:t>. Frente</w:t>
      </w:r>
      <w:r w:rsidRPr="00E960A7">
        <w:rPr>
          <w:rFonts w:ascii="Verdana" w:eastAsia="Calibri" w:hAnsi="Verdana" w:cs="Arial"/>
          <w:color w:val="000000" w:themeColor="text1"/>
        </w:rPr>
        <w:t xml:space="preserve"> a la vigencia, el último artículo citado establece que debe cubri</w:t>
      </w:r>
      <w:r>
        <w:rPr>
          <w:rFonts w:ascii="Verdana" w:eastAsia="Calibri" w:hAnsi="Verdana" w:cs="Arial"/>
          <w:color w:val="000000" w:themeColor="text1"/>
        </w:rPr>
        <w:t>r la ejecución del contrato y “hasta la liquidación”</w:t>
      </w:r>
      <w:r w:rsidRPr="00E960A7">
        <w:rPr>
          <w:rFonts w:ascii="Verdana" w:eastAsia="Calibri" w:hAnsi="Verdana" w:cs="Arial"/>
          <w:color w:val="000000" w:themeColor="text1"/>
        </w:rPr>
        <w:t xml:space="preserve">. </w:t>
      </w:r>
    </w:p>
    <w:p w14:paraId="7CE81FD2" w14:textId="77777777" w:rsidR="003878CE" w:rsidRPr="009C57DE" w:rsidRDefault="003878CE" w:rsidP="003878CE">
      <w:pPr>
        <w:spacing w:after="120" w:line="276" w:lineRule="auto"/>
        <w:ind w:firstLine="708"/>
        <w:jc w:val="both"/>
        <w:rPr>
          <w:rFonts w:ascii="Verdana" w:eastAsia="Calibri" w:hAnsi="Verdana" w:cs="Arial"/>
          <w:color w:val="000000" w:themeColor="text1"/>
        </w:rPr>
      </w:pPr>
      <w:r>
        <w:rPr>
          <w:rFonts w:ascii="Verdana" w:eastAsia="Calibri" w:hAnsi="Verdana" w:cs="Arial"/>
          <w:color w:val="000000" w:themeColor="text1"/>
        </w:rPr>
        <w:t>De igual modo, es posible establecer como mecanismo de cobertura de riesgos a los desembolsos tempranos, las</w:t>
      </w:r>
      <w:r w:rsidRPr="009C57DE">
        <w:rPr>
          <w:rFonts w:ascii="Verdana" w:eastAsia="Calibri" w:hAnsi="Verdana" w:cs="Arial"/>
          <w:color w:val="000000" w:themeColor="text1"/>
        </w:rPr>
        <w:t xml:space="preserve"> cuentas conjuntas bajo la modalidad de convenios y con</w:t>
      </w:r>
      <w:r>
        <w:rPr>
          <w:rFonts w:ascii="Verdana" w:eastAsia="Calibri" w:hAnsi="Verdana" w:cs="Arial"/>
          <w:color w:val="000000" w:themeColor="text1"/>
        </w:rPr>
        <w:t xml:space="preserve">tratos, que son </w:t>
      </w:r>
      <w:r w:rsidRPr="009C57DE">
        <w:rPr>
          <w:rFonts w:ascii="Verdana" w:eastAsia="Calibri" w:hAnsi="Verdana" w:cs="Arial"/>
          <w:color w:val="000000" w:themeColor="text1"/>
        </w:rPr>
        <w:t>instrumentos financieros cre</w:t>
      </w:r>
      <w:r>
        <w:rPr>
          <w:rFonts w:ascii="Verdana" w:eastAsia="Calibri" w:hAnsi="Verdana" w:cs="Arial"/>
          <w:color w:val="000000" w:themeColor="text1"/>
        </w:rPr>
        <w:t xml:space="preserve">ados para administrar de forma </w:t>
      </w:r>
      <w:r w:rsidRPr="009C57DE">
        <w:rPr>
          <w:rFonts w:ascii="Verdana" w:eastAsia="Calibri" w:hAnsi="Verdana" w:cs="Arial"/>
          <w:color w:val="000000" w:themeColor="text1"/>
        </w:rPr>
        <w:t xml:space="preserve">transparente y ordenada los recursos destinados a proyectos interinstitucionales o acuerdos con terceros. Su principal </w:t>
      </w:r>
      <w:r>
        <w:rPr>
          <w:rFonts w:ascii="Verdana" w:eastAsia="Calibri" w:hAnsi="Verdana" w:cs="Arial"/>
          <w:color w:val="000000" w:themeColor="text1"/>
        </w:rPr>
        <w:t xml:space="preserve">propósito </w:t>
      </w:r>
      <w:r w:rsidRPr="009C57DE">
        <w:rPr>
          <w:rFonts w:ascii="Verdana" w:eastAsia="Calibri" w:hAnsi="Verdana" w:cs="Arial"/>
          <w:color w:val="000000" w:themeColor="text1"/>
        </w:rPr>
        <w:t xml:space="preserve">es </w:t>
      </w:r>
      <w:r w:rsidRPr="009C57DE">
        <w:rPr>
          <w:rFonts w:ascii="Verdana" w:eastAsia="Calibri" w:hAnsi="Verdana" w:cs="Arial"/>
          <w:color w:val="000000" w:themeColor="text1"/>
        </w:rPr>
        <w:lastRenderedPageBreak/>
        <w:t xml:space="preserve">garantizar que los fondos se manejen con corresponsabilidad entre las partes, evitando confusiones sobre la titularidad y asegurando que cada movimiento esté respaldado por documentos válidos. </w:t>
      </w:r>
    </w:p>
    <w:p w14:paraId="7019AC94" w14:textId="77777777" w:rsidR="003878CE" w:rsidRPr="004A1912" w:rsidRDefault="003878CE" w:rsidP="003878CE">
      <w:pPr>
        <w:spacing w:after="120" w:line="276" w:lineRule="auto"/>
        <w:ind w:firstLine="708"/>
        <w:jc w:val="both"/>
        <w:rPr>
          <w:rFonts w:ascii="Verdana" w:eastAsia="Calibri" w:hAnsi="Verdana" w:cs="Arial"/>
          <w:color w:val="000000" w:themeColor="text1"/>
        </w:rPr>
      </w:pPr>
      <w:r>
        <w:rPr>
          <w:rFonts w:ascii="Verdana" w:eastAsia="Calibri" w:hAnsi="Verdana" w:cs="Arial"/>
          <w:color w:val="000000" w:themeColor="text1"/>
        </w:rPr>
        <w:t xml:space="preserve">La administración y gestión adecuada </w:t>
      </w:r>
      <w:r w:rsidRPr="009C57DE">
        <w:rPr>
          <w:rFonts w:ascii="Verdana" w:eastAsia="Calibri" w:hAnsi="Verdana" w:cs="Arial"/>
          <w:color w:val="000000" w:themeColor="text1"/>
        </w:rPr>
        <w:t>de estas cuentas implica reglas claras sobre ingresos, egresos y conciliaciones periódicas, además de informes financieros que permitan verificar el uso correcto de los recursos. Al final</w:t>
      </w:r>
      <w:r>
        <w:rPr>
          <w:rFonts w:ascii="Verdana" w:eastAsia="Calibri" w:hAnsi="Verdana" w:cs="Arial"/>
          <w:color w:val="000000" w:themeColor="text1"/>
        </w:rPr>
        <w:t xml:space="preserve">izar el convenio o contrato, debe realizarse </w:t>
      </w:r>
      <w:r w:rsidRPr="009C57DE">
        <w:rPr>
          <w:rFonts w:ascii="Verdana" w:eastAsia="Calibri" w:hAnsi="Verdana" w:cs="Arial"/>
          <w:color w:val="000000" w:themeColor="text1"/>
        </w:rPr>
        <w:t>un cierre formal con acta y reporte del saldo final, asegurando que cualquier recurso no ejecutado tenga un destino definido.</w:t>
      </w:r>
      <w:r>
        <w:rPr>
          <w:rFonts w:ascii="Verdana" w:eastAsia="Calibri" w:hAnsi="Verdana" w:cs="Arial"/>
          <w:color w:val="000000" w:themeColor="text1"/>
        </w:rPr>
        <w:t xml:space="preserve"> En todo caso, la entidad pública deberá revisar mecanismos de cobertura de riesgos que garanticen una administración y mitigación de riesgos ante desembolsos tempranos. </w:t>
      </w:r>
      <w:r w:rsidRPr="009C57DE">
        <w:rPr>
          <w:rFonts w:ascii="Verdana" w:eastAsia="Calibri" w:hAnsi="Verdana" w:cs="Arial"/>
          <w:color w:val="000000" w:themeColor="text1"/>
        </w:rPr>
        <w:t xml:space="preserve"> </w:t>
      </w:r>
    </w:p>
    <w:p w14:paraId="23FE9C2F" w14:textId="77777777" w:rsidR="003878CE" w:rsidRPr="00B17041" w:rsidRDefault="003878CE" w:rsidP="003878CE">
      <w:pPr>
        <w:spacing w:after="0" w:line="276" w:lineRule="auto"/>
        <w:ind w:firstLine="709"/>
        <w:jc w:val="both"/>
        <w:rPr>
          <w:rFonts w:ascii="Verdana" w:hAnsi="Verdana" w:cs="Arial"/>
          <w:lang w:val="es-ES" w:eastAsia="es-ES"/>
        </w:rPr>
      </w:pPr>
      <w:r w:rsidRPr="00B17041">
        <w:rPr>
          <w:rFonts w:ascii="Verdana" w:hAnsi="Verdana" w:cs="Arial"/>
          <w:lang w:val="es-ES" w:eastAsia="es-ES"/>
        </w:rPr>
        <w:t xml:space="preserve">Dentro de este marco, la entidad </w:t>
      </w:r>
      <w:r w:rsidRPr="00485C44">
        <w:rPr>
          <w:rFonts w:ascii="Verdana" w:hAnsi="Verdana" w:cs="Arial"/>
          <w:lang w:val="es-ES" w:eastAsia="es-ES"/>
        </w:rPr>
        <w:t xml:space="preserve">pública </w:t>
      </w:r>
      <w:r>
        <w:rPr>
          <w:rFonts w:ascii="Verdana" w:hAnsi="Verdana" w:cs="Arial"/>
          <w:lang w:val="es-ES" w:eastAsia="es-ES"/>
        </w:rPr>
        <w:t>definirá</w:t>
      </w:r>
      <w:r w:rsidRPr="00B17041">
        <w:rPr>
          <w:rFonts w:ascii="Verdana" w:hAnsi="Verdana" w:cs="Arial"/>
          <w:lang w:val="es-ES" w:eastAsia="es-ES"/>
        </w:rPr>
        <w:t xml:space="preserve">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79BA78A2" w14:textId="77777777" w:rsidR="003878CE" w:rsidRPr="00AD6B46" w:rsidRDefault="003878CE" w:rsidP="003878CE">
      <w:pPr>
        <w:spacing w:after="0" w:line="276" w:lineRule="auto"/>
        <w:jc w:val="both"/>
        <w:rPr>
          <w:rFonts w:ascii="Verdana" w:eastAsia="Calibri" w:hAnsi="Verdana" w:cs="Arial"/>
          <w:lang w:eastAsia="es-ES_tradnl"/>
        </w:rPr>
      </w:pPr>
    </w:p>
    <w:p w14:paraId="01B2DC96" w14:textId="77777777" w:rsidR="003878CE" w:rsidRPr="00AD6B46" w:rsidRDefault="003878CE" w:rsidP="003878CE">
      <w:pPr>
        <w:numPr>
          <w:ilvl w:val="0"/>
          <w:numId w:val="16"/>
        </w:numPr>
        <w:spacing w:after="0" w:line="256" w:lineRule="auto"/>
        <w:rPr>
          <w:rFonts w:ascii="Verdana" w:eastAsia="Calibri" w:hAnsi="Verdana" w:cs="Times New Roman"/>
          <w:b/>
          <w:bCs/>
          <w:lang w:val="es-ES"/>
        </w:rPr>
      </w:pPr>
      <w:r>
        <w:rPr>
          <w:rFonts w:ascii="Verdana" w:eastAsia="Calibri" w:hAnsi="Verdana" w:cs="Times New Roman"/>
          <w:b/>
          <w:bCs/>
          <w:lang w:val="es-ES"/>
        </w:rPr>
        <w:t>Referencias normativas</w:t>
      </w:r>
    </w:p>
    <w:p w14:paraId="45C5122D" w14:textId="77777777" w:rsidR="003878CE" w:rsidRPr="003C5A95" w:rsidRDefault="003878CE" w:rsidP="003878CE">
      <w:pPr>
        <w:widowControl w:val="0"/>
        <w:autoSpaceDE w:val="0"/>
        <w:autoSpaceDN w:val="0"/>
        <w:spacing w:after="0" w:line="276" w:lineRule="auto"/>
        <w:jc w:val="both"/>
        <w:rPr>
          <w:rFonts w:ascii="Verdana" w:hAnsi="Verdana" w:cs="Arial"/>
          <w:lang w:val="es-E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878CE" w:rsidRPr="00AD6B46" w14:paraId="0C3CE100" w14:textId="77777777" w:rsidTr="003878CE">
        <w:trPr>
          <w:trHeight w:val="870"/>
          <w:jc w:val="center"/>
        </w:trPr>
        <w:tc>
          <w:tcPr>
            <w:tcW w:w="8647" w:type="dxa"/>
          </w:tcPr>
          <w:p w14:paraId="34571E38" w14:textId="77777777" w:rsidR="003878CE" w:rsidRPr="00AD6B46" w:rsidRDefault="003878CE" w:rsidP="003878CE">
            <w:pPr>
              <w:ind w:left="720"/>
              <w:contextualSpacing/>
              <w:rPr>
                <w:rFonts w:ascii="Verdana" w:hAnsi="Verdana" w:cs="Arial"/>
                <w:lang w:val="es-ES"/>
              </w:rPr>
            </w:pPr>
          </w:p>
          <w:p w14:paraId="0D2F1AF8" w14:textId="77777777" w:rsidR="003878CE" w:rsidRPr="002B53CE" w:rsidRDefault="003878CE" w:rsidP="003878CE">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2B53CE">
              <w:rPr>
                <w:rFonts w:ascii="Verdana" w:hAnsi="Verdana" w:cs="Arial"/>
                <w:lang w:val="es-ES_tradnl"/>
              </w:rPr>
              <w:t>C</w:t>
            </w:r>
            <w:r>
              <w:rPr>
                <w:rFonts w:ascii="Verdana" w:hAnsi="Verdana" w:cs="Arial"/>
                <w:lang w:val="es-ES_tradnl"/>
              </w:rPr>
              <w:t>onstitución Política, artículo</w:t>
            </w:r>
            <w:r w:rsidRPr="002B53CE">
              <w:rPr>
                <w:rFonts w:ascii="Verdana" w:hAnsi="Verdana" w:cs="Arial"/>
                <w:lang w:val="es-ES_tradnl"/>
              </w:rPr>
              <w:t xml:space="preserve"> 355. </w:t>
            </w:r>
          </w:p>
          <w:p w14:paraId="632A60A7" w14:textId="77777777" w:rsidR="003878CE" w:rsidRPr="002B53CE" w:rsidRDefault="003878CE" w:rsidP="003878CE">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2B53CE">
              <w:rPr>
                <w:rFonts w:ascii="Verdana" w:hAnsi="Verdana" w:cs="Arial"/>
                <w:lang w:val="es-ES_tradnl"/>
              </w:rPr>
              <w:t xml:space="preserve">Ley 489 de 1998, artículo 96. </w:t>
            </w:r>
          </w:p>
          <w:p w14:paraId="6BCAC839" w14:textId="77777777" w:rsidR="003878CE" w:rsidRDefault="003878CE" w:rsidP="003878CE">
            <w:pPr>
              <w:widowControl w:val="0"/>
              <w:numPr>
                <w:ilvl w:val="0"/>
                <w:numId w:val="17"/>
              </w:numPr>
              <w:autoSpaceDE w:val="0"/>
              <w:autoSpaceDN w:val="0"/>
              <w:spacing w:after="120" w:line="276" w:lineRule="auto"/>
              <w:ind w:left="714" w:hanging="357"/>
              <w:jc w:val="both"/>
              <w:rPr>
                <w:rFonts w:ascii="Verdana" w:hAnsi="Verdana" w:cs="Arial"/>
                <w:lang w:val="es-ES_tradnl"/>
              </w:rPr>
            </w:pPr>
            <w:r>
              <w:rPr>
                <w:rFonts w:ascii="Verdana" w:hAnsi="Verdana" w:cs="Arial"/>
                <w:lang w:val="es-ES_tradnl"/>
              </w:rPr>
              <w:t>Ley 1150 de 2007, artículo 7.</w:t>
            </w:r>
          </w:p>
          <w:p w14:paraId="5D701F94" w14:textId="77777777" w:rsidR="003878CE" w:rsidRDefault="003878CE" w:rsidP="003878CE">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2B53CE">
              <w:rPr>
                <w:rFonts w:ascii="Verdana" w:hAnsi="Verdana" w:cs="Arial"/>
                <w:lang w:val="es-ES_tradnl"/>
              </w:rPr>
              <w:t xml:space="preserve">Decreto 092 de 2017. </w:t>
            </w:r>
          </w:p>
          <w:p w14:paraId="317847C2" w14:textId="77777777" w:rsidR="003878CE" w:rsidRPr="002B53CE" w:rsidRDefault="003878CE" w:rsidP="003878CE">
            <w:pPr>
              <w:pStyle w:val="Prrafodelista"/>
              <w:numPr>
                <w:ilvl w:val="0"/>
                <w:numId w:val="17"/>
              </w:numPr>
              <w:spacing w:after="120" w:line="276" w:lineRule="auto"/>
              <w:ind w:left="714" w:hanging="357"/>
              <w:contextualSpacing w:val="0"/>
              <w:rPr>
                <w:rFonts w:ascii="Verdana" w:hAnsi="Verdana" w:cs="Arial"/>
                <w:lang w:val="es-ES_tradnl"/>
              </w:rPr>
            </w:pPr>
            <w:r w:rsidRPr="002B53CE">
              <w:rPr>
                <w:rFonts w:ascii="Verdana" w:hAnsi="Verdana" w:cs="Arial"/>
                <w:lang w:val="es-ES_tradnl"/>
              </w:rPr>
              <w:t xml:space="preserve">Decreto 1082 de 2015, artículos 2.2.1.2.3.1.1 a 2.2.1.2.3.1.19.  </w:t>
            </w:r>
          </w:p>
          <w:p w14:paraId="6E65B2E4" w14:textId="77777777" w:rsidR="003878CE" w:rsidRDefault="003878CE" w:rsidP="003878CE">
            <w:pPr>
              <w:widowControl w:val="0"/>
              <w:numPr>
                <w:ilvl w:val="0"/>
                <w:numId w:val="17"/>
              </w:numPr>
              <w:autoSpaceDE w:val="0"/>
              <w:autoSpaceDN w:val="0"/>
              <w:spacing w:after="120" w:line="276" w:lineRule="auto"/>
              <w:ind w:left="714" w:hanging="357"/>
              <w:jc w:val="both"/>
              <w:rPr>
                <w:rFonts w:ascii="Verdana" w:hAnsi="Verdana" w:cs="Arial"/>
                <w:lang w:val="es-ES_tradnl"/>
              </w:rPr>
            </w:pPr>
            <w:r w:rsidRPr="002B53CE">
              <w:rPr>
                <w:rFonts w:ascii="Verdana" w:hAnsi="Verdana" w:cs="Arial"/>
                <w:lang w:val="es-ES_tradnl"/>
              </w:rPr>
              <w:t xml:space="preserve">Agencia Nacional de Contratación Pública –Colombia Compra Eficiente. Guía para la contratación con entidades privadas sin ánimo de lucro y de reconocida idoneidad, 2025. Disponible en línea: </w:t>
            </w:r>
            <w:hyperlink r:id="rId13" w:history="1">
              <w:r w:rsidRPr="00851633">
                <w:rPr>
                  <w:rStyle w:val="Hipervnculo"/>
                  <w:rFonts w:ascii="Verdana" w:hAnsi="Verdana" w:cs="Arial"/>
                  <w:lang w:val="es-ES_tradnl"/>
                </w:rPr>
                <w:t>https://www.colombiacompra.gov.co/archivos/manual/guia-para-la-</w:t>
              </w:r>
              <w:r w:rsidRPr="00851633">
                <w:rPr>
                  <w:rStyle w:val="Hipervnculo"/>
                  <w:rFonts w:ascii="Verdana" w:hAnsi="Verdana" w:cs="Arial"/>
                  <w:lang w:val="es-ES_tradnl"/>
                </w:rPr>
                <w:lastRenderedPageBreak/>
                <w:t>contratacion-con-entidades-sin-animo-de-lucro-y-de-reconocida-idoneidad</w:t>
              </w:r>
            </w:hyperlink>
            <w:r>
              <w:rPr>
                <w:rFonts w:ascii="Verdana" w:hAnsi="Verdana" w:cs="Arial"/>
                <w:lang w:val="es-ES_tradnl"/>
              </w:rPr>
              <w:t xml:space="preserve"> </w:t>
            </w:r>
          </w:p>
          <w:p w14:paraId="4E8CD7BA" w14:textId="77777777" w:rsidR="003878CE" w:rsidRPr="008F7373" w:rsidRDefault="003878CE" w:rsidP="003878CE">
            <w:pPr>
              <w:widowControl w:val="0"/>
              <w:numPr>
                <w:ilvl w:val="0"/>
                <w:numId w:val="17"/>
              </w:numPr>
              <w:autoSpaceDE w:val="0"/>
              <w:autoSpaceDN w:val="0"/>
              <w:spacing w:after="120" w:line="276" w:lineRule="auto"/>
              <w:jc w:val="both"/>
              <w:rPr>
                <w:rFonts w:ascii="Verdana" w:hAnsi="Verdana" w:cs="Arial"/>
                <w:lang w:val="es-ES_tradnl"/>
              </w:rPr>
            </w:pPr>
            <w:r w:rsidRPr="002B53CE">
              <w:rPr>
                <w:rFonts w:ascii="Verdana" w:hAnsi="Verdana" w:cs="Arial"/>
                <w:lang w:val="es-ES_tradnl"/>
              </w:rPr>
              <w:t>COLOMBIA COMPRA EFICIENTE. Guía de garantías en</w:t>
            </w:r>
            <w:r>
              <w:rPr>
                <w:rFonts w:ascii="Verdana" w:hAnsi="Verdana" w:cs="Arial"/>
                <w:lang w:val="es-ES_tradnl"/>
              </w:rPr>
              <w:t xml:space="preserve"> procesos de contratación</w:t>
            </w:r>
            <w:r w:rsidRPr="002B53CE">
              <w:rPr>
                <w:rFonts w:ascii="Verdana" w:hAnsi="Verdana" w:cs="Arial"/>
                <w:lang w:val="es-ES_tradnl"/>
              </w:rPr>
              <w:t xml:space="preserve">. Disponible en: </w:t>
            </w:r>
            <w:hyperlink r:id="rId14" w:history="1">
              <w:r w:rsidRPr="00851633">
                <w:rPr>
                  <w:rStyle w:val="Hipervnculo"/>
                  <w:rFonts w:ascii="Verdana" w:hAnsi="Verdana" w:cs="Arial"/>
                  <w:lang w:val="es-ES_tradnl"/>
                </w:rPr>
                <w:t>https://www.colombiacompra.gov.co/manuales-guias-y-pliegos-tipo/manuales-y-guias</w:t>
              </w:r>
            </w:hyperlink>
            <w:r w:rsidRPr="002B53CE">
              <w:rPr>
                <w:rFonts w:ascii="Verdana" w:hAnsi="Verdana" w:cs="Arial"/>
                <w:lang w:val="es-ES_tradnl"/>
              </w:rPr>
              <w:t>.</w:t>
            </w:r>
            <w:r>
              <w:rPr>
                <w:rFonts w:ascii="Verdana" w:hAnsi="Verdana" w:cs="Arial"/>
                <w:lang w:val="es-ES_tradnl"/>
              </w:rPr>
              <w:t xml:space="preserve"> </w:t>
            </w:r>
          </w:p>
        </w:tc>
      </w:tr>
    </w:tbl>
    <w:p w14:paraId="16907C18" w14:textId="77777777" w:rsidR="003878CE" w:rsidRPr="00B57A1B" w:rsidRDefault="003878CE" w:rsidP="003878CE">
      <w:pPr>
        <w:widowControl w:val="0"/>
        <w:autoSpaceDE w:val="0"/>
        <w:autoSpaceDN w:val="0"/>
        <w:spacing w:after="0" w:line="276" w:lineRule="auto"/>
        <w:jc w:val="both"/>
        <w:rPr>
          <w:rFonts w:ascii="Verdana" w:hAnsi="Verdana" w:cs="Arial"/>
        </w:rPr>
      </w:pPr>
    </w:p>
    <w:p w14:paraId="3FF555F2" w14:textId="77777777" w:rsidR="003878CE" w:rsidRPr="00B57A1B" w:rsidRDefault="003878CE" w:rsidP="003878CE">
      <w:pPr>
        <w:numPr>
          <w:ilvl w:val="0"/>
          <w:numId w:val="16"/>
        </w:numPr>
        <w:tabs>
          <w:tab w:val="left" w:pos="142"/>
          <w:tab w:val="left" w:pos="284"/>
        </w:tabs>
        <w:spacing w:after="0" w:line="276" w:lineRule="auto"/>
        <w:contextualSpacing/>
        <w:jc w:val="both"/>
        <w:rPr>
          <w:rFonts w:ascii="Verdana" w:eastAsia="Century Gothic" w:hAnsi="Verdana" w:cs="Century Gothic"/>
          <w:b/>
          <w:bCs/>
          <w:lang w:val="es-ES"/>
        </w:rPr>
      </w:pPr>
      <w:r w:rsidRPr="00B57A1B">
        <w:rPr>
          <w:rFonts w:ascii="Verdana" w:eastAsia="Century Gothic" w:hAnsi="Verdana" w:cs="Century Gothic"/>
          <w:b/>
          <w:bCs/>
          <w:lang w:val="es-ES"/>
        </w:rPr>
        <w:t>Doctrina de la Agencia Nacional de Contratación Pública:</w:t>
      </w:r>
    </w:p>
    <w:p w14:paraId="41EF0BB7" w14:textId="77777777" w:rsidR="003878CE" w:rsidRPr="00B57A1B" w:rsidRDefault="003878CE" w:rsidP="003878CE">
      <w:pPr>
        <w:widowControl w:val="0"/>
        <w:autoSpaceDE w:val="0"/>
        <w:autoSpaceDN w:val="0"/>
        <w:spacing w:after="0" w:line="276" w:lineRule="auto"/>
        <w:jc w:val="both"/>
        <w:rPr>
          <w:rFonts w:ascii="Verdana" w:hAnsi="Verdana" w:cs="Arial"/>
        </w:rPr>
      </w:pPr>
    </w:p>
    <w:p w14:paraId="0AA14D6A" w14:textId="77777777" w:rsidR="003878CE" w:rsidRPr="006745D3" w:rsidRDefault="003878CE" w:rsidP="003878CE">
      <w:pPr>
        <w:widowControl w:val="0"/>
        <w:autoSpaceDE w:val="0"/>
        <w:autoSpaceDN w:val="0"/>
        <w:spacing w:after="0" w:line="276" w:lineRule="auto"/>
        <w:jc w:val="both"/>
        <w:rPr>
          <w:rFonts w:ascii="Verdana" w:eastAsia="Calibri" w:hAnsi="Verdana" w:cs="Arial"/>
          <w:b/>
          <w:bCs/>
          <w:lang w:val="es-ES" w:eastAsia="es-ES"/>
        </w:rPr>
      </w:pPr>
      <w:r w:rsidRPr="00B57A1B">
        <w:rPr>
          <w:rFonts w:ascii="Verdana" w:hAnsi="Verdana" w:cs="Arial"/>
          <w:shd w:val="clear" w:color="auto" w:fill="FFFFFF"/>
        </w:rPr>
        <w:t>Esta Subdirección se ha pronunciado sobre</w:t>
      </w:r>
      <w:r>
        <w:rPr>
          <w:rFonts w:ascii="Verdana" w:hAnsi="Verdana" w:cs="Arial"/>
          <w:shd w:val="clear" w:color="auto" w:fill="FFFFFF"/>
        </w:rPr>
        <w:t xml:space="preserve"> el </w:t>
      </w:r>
      <w:r w:rsidRPr="0017378C">
        <w:rPr>
          <w:rFonts w:ascii="Verdana" w:hAnsi="Verdana" w:cs="Arial"/>
          <w:shd w:val="clear" w:color="auto" w:fill="FFFFFF"/>
          <w:lang w:val="es-ES"/>
        </w:rPr>
        <w:t>régimen contractual de las ESAL con fundamento en el Decreto 092 de 2017 en los conceptos 4201912000008310 del 26 de diciembre de 2019, 4201912000007899 del 27 de diciembre de 2019, 4201912000007901 del 27 de diciembre de 2019, C-070 04 de marzo de 2020, C-094 del 04 de marzo de 2020, C-086 del 16 de marzo de 2020, C-594 del 7 de septiembre de 2020, C-670 del 22 de noviembre de 2020, C-689 del 1 de diciembre de 2020, C-724 de 14 de diciembre de 2020, C-364 de 26 de julio de 2021, C-379 de 20 de julio de 2021, C-537 del 27 de septiembre de 2021,  C-021 del 22 de febrero de 2022, C-236 del 27 de abril de 2022, C-273 del 6 de mayo de 2022, C-274 del 6 de mayo de 2022, C-291 del 18 de mayo de 2022, C-550 del 31 de agosto de 2022, C-560 del 7 de septiembre de 2022, C-853 del 9 de diciembre de 2022, C-351 del 6 de octubre de 2023, , C-064 del 24 de abril de 2024, C-080 del 7 de mayo de 2024, C-281 del 29 de octubre de 2024, C-957 del 17 de diciembre de 2024,</w:t>
      </w:r>
      <w:r w:rsidRPr="0017378C">
        <w:rPr>
          <w:rFonts w:ascii="Verdana" w:eastAsia="Calibri" w:hAnsi="Verdana" w:cs="Arial"/>
          <w:b/>
          <w:bCs/>
          <w:lang w:val="es-ES" w:eastAsia="es-ES"/>
        </w:rPr>
        <w:t xml:space="preserve"> </w:t>
      </w:r>
      <w:r>
        <w:rPr>
          <w:rFonts w:ascii="Verdana" w:eastAsia="Calibri" w:hAnsi="Verdana" w:cs="Arial"/>
          <w:lang w:val="es-ES" w:eastAsia="es-ES"/>
        </w:rPr>
        <w:t>C-875 del 13 de agosto de 2025, C-138 del 14 de marzo de 2025, C-373 del 6 de mayo de 2025,</w:t>
      </w:r>
      <w:r w:rsidRPr="0017378C">
        <w:rPr>
          <w:rFonts w:ascii="Verdana" w:eastAsia="Calibri" w:hAnsi="Verdana" w:cs="Arial"/>
          <w:b/>
          <w:bCs/>
          <w:lang w:val="es-ES" w:eastAsia="es-ES"/>
        </w:rPr>
        <w:t xml:space="preserve"> </w:t>
      </w:r>
      <w:r w:rsidRPr="0017378C">
        <w:rPr>
          <w:rFonts w:ascii="Verdana" w:hAnsi="Verdana" w:cs="Arial"/>
          <w:shd w:val="clear" w:color="auto" w:fill="FFFFFF"/>
          <w:lang w:val="es-ES"/>
        </w:rPr>
        <w:t>C</w:t>
      </w:r>
      <w:r>
        <w:rPr>
          <w:rFonts w:ascii="Verdana" w:hAnsi="Verdana" w:cs="Arial"/>
          <w:shd w:val="clear" w:color="auto" w:fill="FFFFFF"/>
          <w:lang w:val="es-ES"/>
        </w:rPr>
        <w:t>-557 del 17 de junio de 2025, C</w:t>
      </w:r>
      <w:r w:rsidRPr="0017378C">
        <w:rPr>
          <w:rFonts w:ascii="Verdana" w:hAnsi="Verdana" w:cs="Arial"/>
          <w:shd w:val="clear" w:color="auto" w:fill="FFFFFF"/>
          <w:lang w:val="es-ES"/>
        </w:rPr>
        <w:t xml:space="preserve">-1384 del 5 de noviembre de 2025, </w:t>
      </w:r>
      <w:r>
        <w:rPr>
          <w:rFonts w:ascii="Verdana" w:hAnsi="Verdana" w:cs="Arial"/>
          <w:shd w:val="clear" w:color="auto" w:fill="FFFFFF"/>
          <w:lang w:val="es-ES"/>
        </w:rPr>
        <w:t>C-1498 del 26 de noviembre de 2025, entre</w:t>
      </w:r>
      <w:r w:rsidRPr="0017378C">
        <w:rPr>
          <w:rFonts w:ascii="Verdana" w:hAnsi="Verdana" w:cs="Arial"/>
          <w:shd w:val="clear" w:color="auto" w:fill="FFFFFF"/>
          <w:lang w:val="es-ES"/>
        </w:rPr>
        <w:t xml:space="preserve"> otros</w:t>
      </w:r>
      <w:r>
        <w:rPr>
          <w:rFonts w:ascii="Verdana" w:hAnsi="Verdana" w:cs="Arial"/>
          <w:shd w:val="clear" w:color="auto" w:fill="FFFFFF"/>
        </w:rPr>
        <w:t>.</w:t>
      </w:r>
      <w:r>
        <w:rPr>
          <w:rFonts w:ascii="Verdana" w:hAnsi="Verdana" w:cs="Arial"/>
          <w:bCs/>
          <w:shd w:val="clear" w:color="auto" w:fill="FFFFFF"/>
          <w:lang w:val="es-ES"/>
        </w:rPr>
        <w:t xml:space="preserve"> </w:t>
      </w:r>
      <w:r w:rsidRPr="00185EE9">
        <w:rPr>
          <w:rFonts w:ascii="Verdana" w:eastAsia="Calibri" w:hAnsi="Verdana" w:cs="Times New Roman"/>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69239E7E" w14:textId="77777777" w:rsidR="003878CE" w:rsidRPr="00185EE9" w:rsidRDefault="00CD3186" w:rsidP="003878CE">
      <w:pPr>
        <w:spacing w:after="0" w:line="256" w:lineRule="auto"/>
        <w:jc w:val="both"/>
        <w:rPr>
          <w:rFonts w:ascii="Verdana" w:eastAsia="Calibri" w:hAnsi="Verdana" w:cs="Times New Roman"/>
        </w:rPr>
      </w:pPr>
      <w:hyperlink r:id="rId15" w:history="1">
        <w:r w:rsidR="003878CE" w:rsidRPr="00F14AAD">
          <w:rPr>
            <w:rStyle w:val="Hipervnculo"/>
            <w:rFonts w:ascii="Verdana" w:eastAsia="Calibri" w:hAnsi="Verdana" w:cs="Times New Roman"/>
            <w:lang w:val="es-ES"/>
          </w:rPr>
          <w:t>https://relatoria.colombiacompra.gov.co/busqueda/conceptos</w:t>
        </w:r>
      </w:hyperlink>
      <w:r w:rsidR="003878CE" w:rsidRPr="00185EE9">
        <w:rPr>
          <w:rFonts w:ascii="Verdana" w:eastAsia="Calibri" w:hAnsi="Verdana" w:cs="Times New Roman"/>
        </w:rPr>
        <w:t xml:space="preserve">. </w:t>
      </w:r>
    </w:p>
    <w:p w14:paraId="16843073" w14:textId="77777777" w:rsidR="003878CE" w:rsidRDefault="003878CE" w:rsidP="003878CE">
      <w:pPr>
        <w:spacing w:after="0" w:line="256" w:lineRule="auto"/>
        <w:jc w:val="both"/>
        <w:rPr>
          <w:rFonts w:ascii="Verdana" w:hAnsi="Verdana" w:cs="Arial"/>
          <w:bCs/>
          <w:shd w:val="clear" w:color="auto" w:fill="FFFFFF"/>
        </w:rPr>
      </w:pPr>
    </w:p>
    <w:p w14:paraId="68437C19" w14:textId="77777777" w:rsidR="003878CE" w:rsidRPr="00B57A1B" w:rsidRDefault="003878CE" w:rsidP="003878CE">
      <w:pPr>
        <w:spacing w:after="0" w:line="256" w:lineRule="auto"/>
        <w:jc w:val="both"/>
        <w:rPr>
          <w:rFonts w:ascii="Verdana" w:eastAsia="Calibri" w:hAnsi="Verdana" w:cs="Times New Roman"/>
        </w:rPr>
      </w:pPr>
      <w:r w:rsidRPr="00B57A1B">
        <w:rPr>
          <w:rFonts w:ascii="Verdana" w:eastAsia="Calibri" w:hAnsi="Verdana" w:cs="Times New Roman"/>
        </w:rPr>
        <w:t xml:space="preserve">Te informamos que ya se encuentra disponible la </w:t>
      </w:r>
      <w:r w:rsidRPr="00B57A1B">
        <w:rPr>
          <w:rFonts w:ascii="Verdana" w:eastAsia="Calibri" w:hAnsi="Verdana" w:cs="Times New Roman"/>
          <w:b/>
          <w:bCs/>
        </w:rPr>
        <w:t xml:space="preserve">Guía de lineamientos de transparencia y selección objetiva para el departamento de La Guajira – Objetivo sexto constitucional de la Sentencia T-302 del 2017. </w:t>
      </w:r>
      <w:r w:rsidRPr="00B57A1B">
        <w:rPr>
          <w:rFonts w:ascii="Verdana" w:eastAsia="Calibri" w:hAnsi="Verdana" w:cs="Times New Roman"/>
        </w:rPr>
        <w:t xml:space="preserve">Esta Guía se expedide en el marco del cumplimiento de la orden proferida por la Honorable </w:t>
      </w:r>
      <w:r w:rsidRPr="00B57A1B">
        <w:rPr>
          <w:rFonts w:ascii="Verdana" w:eastAsia="Calibri" w:hAnsi="Verdana" w:cs="Times New Roman"/>
        </w:rPr>
        <w:lastRenderedPageBreak/>
        <w:t xml:space="preserve">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Wayúu. Puede consultar la guía en el siguiente enlace: Guía de lineamientos de transparencia y selección objetiva para el departamento de La Guajira – Objetivo sexto constitucional de la Sentencia T-302 del 2017". </w:t>
      </w:r>
    </w:p>
    <w:p w14:paraId="7FFCC07E" w14:textId="77777777" w:rsidR="003878CE" w:rsidRPr="00B57A1B" w:rsidRDefault="003878CE" w:rsidP="003878CE">
      <w:pPr>
        <w:spacing w:after="0" w:line="240" w:lineRule="auto"/>
        <w:jc w:val="both"/>
        <w:rPr>
          <w:rFonts w:ascii="Verdana" w:hAnsi="Verdana"/>
        </w:rPr>
      </w:pPr>
    </w:p>
    <w:p w14:paraId="1E7193D1" w14:textId="77777777" w:rsidR="003878CE" w:rsidRPr="00B57A1B" w:rsidRDefault="003878CE" w:rsidP="003878CE">
      <w:pPr>
        <w:spacing w:after="0" w:line="256" w:lineRule="auto"/>
        <w:jc w:val="both"/>
        <w:rPr>
          <w:rFonts w:ascii="Verdana" w:eastAsia="Calibri" w:hAnsi="Verdana" w:cs="Times New Roman"/>
          <w:bCs/>
          <w:lang w:val="es-ES_tradnl"/>
        </w:rPr>
      </w:pPr>
      <w:r w:rsidRPr="00B57A1B">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06407E17" w14:textId="77777777" w:rsidR="003878CE" w:rsidRPr="00B57A1B" w:rsidRDefault="003878CE" w:rsidP="003878CE">
      <w:pPr>
        <w:spacing w:after="0" w:line="256" w:lineRule="auto"/>
        <w:jc w:val="both"/>
        <w:rPr>
          <w:rFonts w:ascii="Verdana" w:eastAsia="Calibri" w:hAnsi="Verdana" w:cs="Times New Roman"/>
        </w:rPr>
      </w:pPr>
    </w:p>
    <w:p w14:paraId="7331DE91" w14:textId="77777777" w:rsidR="003878CE" w:rsidRDefault="003878CE" w:rsidP="003878CE">
      <w:pPr>
        <w:spacing w:after="0" w:line="256" w:lineRule="auto"/>
        <w:jc w:val="both"/>
        <w:rPr>
          <w:rFonts w:ascii="Verdana" w:eastAsia="Calibri" w:hAnsi="Verdana" w:cs="Times New Roman"/>
        </w:rPr>
      </w:pPr>
      <w:r w:rsidRPr="00B57A1B">
        <w:rPr>
          <w:rFonts w:ascii="Verdana" w:eastAsia="Calibri" w:hAnsi="Verdana" w:cs="Times New Roman"/>
        </w:rPr>
        <w:t>Atentamente,</w:t>
      </w:r>
    </w:p>
    <w:p w14:paraId="5B3452F1" w14:textId="77777777" w:rsidR="003878CE" w:rsidRPr="00B57A1B" w:rsidRDefault="003878CE" w:rsidP="003878CE">
      <w:pPr>
        <w:spacing w:after="0" w:line="256" w:lineRule="auto"/>
        <w:jc w:val="both"/>
        <w:rPr>
          <w:rFonts w:ascii="Verdana" w:eastAsia="Calibri" w:hAnsi="Verdana" w:cs="Times New Roman"/>
        </w:rPr>
      </w:pPr>
    </w:p>
    <w:p w14:paraId="015EC18B" w14:textId="5EE02794" w:rsidR="003878CE" w:rsidRDefault="00AE444D" w:rsidP="003878CE">
      <w:pPr>
        <w:spacing w:after="0" w:line="256" w:lineRule="auto"/>
        <w:jc w:val="center"/>
        <w:rPr>
          <w:noProof/>
          <w:lang w:val="en-US"/>
        </w:rPr>
      </w:pPr>
      <w:r w:rsidRPr="002C3AD6">
        <w:rPr>
          <w:rFonts w:ascii="Century Gothic" w:hAnsi="Century Gothic"/>
          <w:noProof/>
          <w:lang w:val="en-US"/>
        </w:rPr>
        <w:drawing>
          <wp:inline distT="0" distB="0" distL="0" distR="0" wp14:anchorId="585B3D65" wp14:editId="3F4F235C">
            <wp:extent cx="3279697" cy="1217463"/>
            <wp:effectExtent l="0" t="0" r="0" b="1905"/>
            <wp:docPr id="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312722" cy="1229722"/>
                    </a:xfrm>
                    <a:prstGeom prst="rect">
                      <a:avLst/>
                    </a:prstGeom>
                  </pic:spPr>
                </pic:pic>
              </a:graphicData>
            </a:graphic>
          </wp:inline>
        </w:drawing>
      </w:r>
    </w:p>
    <w:p w14:paraId="2B33AABE" w14:textId="77777777" w:rsidR="003878CE" w:rsidRPr="00881D12" w:rsidRDefault="003878CE" w:rsidP="003878CE">
      <w:pPr>
        <w:spacing w:after="0" w:line="256" w:lineRule="auto"/>
        <w:jc w:val="center"/>
        <w:rPr>
          <w:rFonts w:ascii="Verdana" w:eastAsia="Times New Roman" w:hAnsi="Verdana" w:cs="Arial"/>
          <w:noProof/>
          <w:sz w:val="16"/>
          <w:szCs w:val="16"/>
          <w:lang w:val="en-US"/>
        </w:rPr>
      </w:pP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3878CE" w:rsidRPr="00B57A1B" w14:paraId="3E18E28D" w14:textId="77777777" w:rsidTr="003878CE">
        <w:trPr>
          <w:trHeight w:val="409"/>
        </w:trPr>
        <w:tc>
          <w:tcPr>
            <w:tcW w:w="817" w:type="dxa"/>
            <w:tcBorders>
              <w:top w:val="nil"/>
              <w:left w:val="nil"/>
              <w:bottom w:val="nil"/>
              <w:right w:val="nil"/>
            </w:tcBorders>
            <w:vAlign w:val="center"/>
            <w:hideMark/>
          </w:tcPr>
          <w:p w14:paraId="782A0C2B" w14:textId="77777777" w:rsidR="003878CE" w:rsidRPr="00B57A1B" w:rsidRDefault="003878CE" w:rsidP="003878CE">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Elaboró: </w:t>
            </w:r>
          </w:p>
        </w:tc>
        <w:tc>
          <w:tcPr>
            <w:tcW w:w="4937" w:type="dxa"/>
            <w:tcBorders>
              <w:top w:val="nil"/>
              <w:left w:val="nil"/>
              <w:bottom w:val="dotted" w:sz="6" w:space="0" w:color="7F7F7F" w:themeColor="text1" w:themeTint="80"/>
              <w:right w:val="nil"/>
            </w:tcBorders>
            <w:vAlign w:val="center"/>
            <w:hideMark/>
          </w:tcPr>
          <w:p w14:paraId="0021CE77" w14:textId="77777777" w:rsidR="003878CE" w:rsidRPr="00B57A1B" w:rsidRDefault="003878CE" w:rsidP="003878CE">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José Luis Sánchez Cardona</w:t>
            </w:r>
          </w:p>
          <w:p w14:paraId="2BFA5844" w14:textId="77777777" w:rsidR="003878CE" w:rsidRPr="00B57A1B" w:rsidRDefault="003878CE" w:rsidP="003878CE">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Contratista de la Subdirección de Gestión Contractual</w:t>
            </w:r>
          </w:p>
        </w:tc>
      </w:tr>
      <w:tr w:rsidR="003878CE" w:rsidRPr="00B57A1B" w14:paraId="6C9A3B8C" w14:textId="77777777" w:rsidTr="003878CE">
        <w:trPr>
          <w:trHeight w:val="409"/>
        </w:trPr>
        <w:tc>
          <w:tcPr>
            <w:tcW w:w="817" w:type="dxa"/>
            <w:tcBorders>
              <w:top w:val="nil"/>
              <w:left w:val="nil"/>
              <w:bottom w:val="nil"/>
              <w:right w:val="nil"/>
            </w:tcBorders>
            <w:vAlign w:val="center"/>
            <w:hideMark/>
          </w:tcPr>
          <w:p w14:paraId="5BB805C6" w14:textId="77777777" w:rsidR="003878CE" w:rsidRPr="00B57A1B" w:rsidRDefault="003878CE" w:rsidP="003878CE">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3DC272DE" w14:textId="77777777" w:rsidR="003878CE" w:rsidRPr="00B57A1B" w:rsidRDefault="003878CE" w:rsidP="003878CE">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Alejandro Sarmiento Cantillo</w:t>
            </w:r>
          </w:p>
          <w:p w14:paraId="67BD84BD" w14:textId="77777777" w:rsidR="003878CE" w:rsidRPr="00B57A1B" w:rsidRDefault="003878CE" w:rsidP="003878CE">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Gestor T1-15 de la Subdirección de Gestión Contractual </w:t>
            </w:r>
          </w:p>
        </w:tc>
      </w:tr>
      <w:tr w:rsidR="003878CE" w:rsidRPr="00B57A1B" w14:paraId="6455552A" w14:textId="77777777" w:rsidTr="003878CE">
        <w:trPr>
          <w:trHeight w:val="389"/>
        </w:trPr>
        <w:tc>
          <w:tcPr>
            <w:tcW w:w="817" w:type="dxa"/>
            <w:tcBorders>
              <w:top w:val="nil"/>
              <w:left w:val="nil"/>
              <w:bottom w:val="nil"/>
              <w:right w:val="nil"/>
            </w:tcBorders>
            <w:vAlign w:val="center"/>
            <w:hideMark/>
          </w:tcPr>
          <w:p w14:paraId="73EB517B" w14:textId="77777777" w:rsidR="003878CE" w:rsidRPr="00B57A1B" w:rsidRDefault="003878CE" w:rsidP="003878CE">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25A1E3FB" w14:textId="77777777" w:rsidR="003878CE" w:rsidRPr="00B57A1B" w:rsidRDefault="003878CE" w:rsidP="003878CE">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Carolina Quintero Gacharná</w:t>
            </w:r>
          </w:p>
          <w:p w14:paraId="4EB3D73E" w14:textId="77777777" w:rsidR="003878CE" w:rsidRPr="00B57A1B" w:rsidRDefault="003878CE" w:rsidP="003878CE">
            <w:pPr>
              <w:spacing w:after="0" w:line="256" w:lineRule="auto"/>
              <w:rPr>
                <w:rFonts w:ascii="Verdana" w:eastAsia="Calibri" w:hAnsi="Verdana" w:cs="Times New Roman"/>
                <w:sz w:val="16"/>
                <w:szCs w:val="16"/>
              </w:rPr>
            </w:pPr>
            <w:r w:rsidRPr="00B57A1B">
              <w:rPr>
                <w:rFonts w:ascii="Verdana" w:eastAsia="Calibri" w:hAnsi="Verdana" w:cs="Times New Roman"/>
                <w:sz w:val="16"/>
                <w:szCs w:val="16"/>
              </w:rPr>
              <w:t>Subdirectora de Gestión Contractual ANCP – CCE</w:t>
            </w:r>
          </w:p>
        </w:tc>
      </w:tr>
    </w:tbl>
    <w:p w14:paraId="38B11ED3" w14:textId="77777777" w:rsidR="003878CE" w:rsidRPr="0024624F" w:rsidRDefault="003878CE" w:rsidP="003878CE">
      <w:pPr>
        <w:spacing w:after="0"/>
        <w:rPr>
          <w:rFonts w:ascii="Verdana" w:hAnsi="Verdana"/>
        </w:rPr>
      </w:pPr>
    </w:p>
    <w:p w14:paraId="7DF85413" w14:textId="77777777" w:rsidR="003878CE" w:rsidRPr="0024624F" w:rsidRDefault="003878CE" w:rsidP="003878CE">
      <w:pPr>
        <w:spacing w:after="0"/>
        <w:rPr>
          <w:rFonts w:ascii="Verdana" w:hAnsi="Verdana"/>
        </w:rPr>
      </w:pPr>
    </w:p>
    <w:p w14:paraId="3ABE4B6C" w14:textId="77777777" w:rsidR="003878CE" w:rsidRPr="004C3055" w:rsidRDefault="003878CE" w:rsidP="003878CE"/>
    <w:bookmarkEnd w:id="0"/>
    <w:p w14:paraId="31604514" w14:textId="77777777" w:rsidR="003878CE" w:rsidRPr="0024624F" w:rsidRDefault="003878CE" w:rsidP="003878CE">
      <w:pPr>
        <w:spacing w:after="0"/>
        <w:rPr>
          <w:rFonts w:ascii="Verdana" w:hAnsi="Verdana"/>
        </w:rPr>
      </w:pPr>
    </w:p>
    <w:p w14:paraId="5D64733D" w14:textId="66F39D7E" w:rsidR="007A1830" w:rsidRPr="003878CE" w:rsidRDefault="007A1830" w:rsidP="003878CE"/>
    <w:sectPr w:rsidR="007A1830" w:rsidRPr="003878CE"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AE9735" w14:textId="77777777" w:rsidR="00CD3186" w:rsidRDefault="00CD3186" w:rsidP="004A1847">
      <w:pPr>
        <w:spacing w:after="0" w:line="240" w:lineRule="auto"/>
      </w:pPr>
      <w:r>
        <w:separator/>
      </w:r>
    </w:p>
  </w:endnote>
  <w:endnote w:type="continuationSeparator" w:id="0">
    <w:p w14:paraId="5BA06047" w14:textId="77777777" w:rsidR="00CD3186" w:rsidRDefault="00CD318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altName w:val="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Rockwell">
    <w:panose1 w:val="02060603020205020403"/>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Geomanist Bold">
    <w:altName w:val="Arial"/>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911A32" w14:textId="6CE791A4" w:rsidR="003878CE" w:rsidRDefault="003878CE">
    <w:pPr>
      <w:pStyle w:val="Piedepgina"/>
    </w:pPr>
  </w:p>
  <w:p w14:paraId="594D6D9F" w14:textId="22AABE51" w:rsidR="003878CE" w:rsidRPr="00174B77" w:rsidRDefault="003878CE"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sidR="00AE444D" w:rsidRPr="00AE444D">
      <w:rPr>
        <w:rFonts w:ascii="Verdana" w:eastAsiaTheme="minorEastAsia" w:hAnsi="Verdana"/>
        <w:b/>
        <w:bCs/>
        <w:noProof/>
        <w:sz w:val="16"/>
        <w:szCs w:val="16"/>
      </w:rPr>
      <w:t>5</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3878CE" w:rsidRDefault="003878CE"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3878CE" w:rsidRPr="00E41027" w:rsidRDefault="003878CE"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46D7CAE9" w:rsidR="003878CE" w:rsidRDefault="003878CE"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3</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21-10-2025</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FDD08C" w14:textId="77777777" w:rsidR="00CD3186" w:rsidRDefault="00CD3186" w:rsidP="004A1847">
      <w:pPr>
        <w:spacing w:after="0" w:line="240" w:lineRule="auto"/>
      </w:pPr>
      <w:r>
        <w:separator/>
      </w:r>
    </w:p>
  </w:footnote>
  <w:footnote w:type="continuationSeparator" w:id="0">
    <w:p w14:paraId="03C52F98" w14:textId="77777777" w:rsidR="00CD3186" w:rsidRDefault="00CD3186" w:rsidP="004A1847">
      <w:pPr>
        <w:spacing w:after="0" w:line="240" w:lineRule="auto"/>
      </w:pPr>
      <w:r>
        <w:continuationSeparator/>
      </w:r>
    </w:p>
  </w:footnote>
  <w:footnote w:id="1">
    <w:p w14:paraId="4D19F3DC" w14:textId="77777777" w:rsidR="003878CE" w:rsidRPr="00237249" w:rsidRDefault="003878CE" w:rsidP="003878CE">
      <w:pPr>
        <w:pStyle w:val="Textonotapie"/>
        <w:ind w:firstLine="708"/>
        <w:jc w:val="both"/>
        <w:rPr>
          <w:rFonts w:ascii="Verdana" w:hAnsi="Verdana" w:cs="Arial"/>
          <w:color w:val="000000"/>
          <w:sz w:val="14"/>
          <w:szCs w:val="14"/>
        </w:rPr>
      </w:pPr>
      <w:r w:rsidRPr="00237249">
        <w:rPr>
          <w:rStyle w:val="Refdenotaalpie"/>
          <w:rFonts w:ascii="Verdana" w:hAnsi="Verdana" w:cs="Arial"/>
          <w:color w:val="000000"/>
          <w:sz w:val="14"/>
          <w:szCs w:val="14"/>
        </w:rPr>
        <w:footnoteRef/>
      </w:r>
      <w:r w:rsidRPr="00237249">
        <w:rPr>
          <w:rFonts w:ascii="Verdana" w:hAnsi="Verdana" w:cs="Arial"/>
          <w:color w:val="000000"/>
          <w:sz w:val="14"/>
          <w:szCs w:val="14"/>
        </w:rPr>
        <w:t xml:space="preserve"> Sobre esta norma consultar los conceptos del 8 de octubre de 2019, con radicado 2201913000007532, y del 20 de diciembre de 2019, cuyo radicado es el No. 4201913000008240.</w:t>
      </w:r>
    </w:p>
  </w:footnote>
  <w:footnote w:id="2">
    <w:p w14:paraId="77AD2472" w14:textId="77777777" w:rsidR="003878CE" w:rsidRPr="00237249" w:rsidRDefault="003878CE" w:rsidP="003878CE">
      <w:pPr>
        <w:pStyle w:val="Textonotapie"/>
        <w:ind w:firstLine="708"/>
        <w:jc w:val="both"/>
        <w:rPr>
          <w:rFonts w:ascii="Verdana" w:hAnsi="Verdana" w:cs="Arial"/>
          <w:color w:val="000000"/>
          <w:sz w:val="14"/>
          <w:szCs w:val="14"/>
        </w:rPr>
      </w:pPr>
      <w:r w:rsidRPr="00237249">
        <w:rPr>
          <w:rStyle w:val="Refdenotaalpie"/>
          <w:rFonts w:ascii="Verdana" w:hAnsi="Verdana" w:cs="Arial"/>
          <w:color w:val="000000"/>
          <w:sz w:val="14"/>
          <w:szCs w:val="14"/>
        </w:rPr>
        <w:footnoteRef/>
      </w:r>
      <w:r w:rsidRPr="00237249">
        <w:rPr>
          <w:rFonts w:ascii="Verdana" w:hAnsi="Verdana" w:cs="Arial"/>
          <w:color w:val="000000"/>
          <w:sz w:val="14"/>
          <w:szCs w:val="14"/>
        </w:rPr>
        <w:t xml:space="preserve"> Articulo 96. Constitución de asociaciones y fundaciones para el cumplimiento de las actividades propias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485C2E56" w14:textId="77777777" w:rsidR="003878CE" w:rsidRPr="00237249" w:rsidRDefault="003878CE" w:rsidP="003878CE">
      <w:pPr>
        <w:pStyle w:val="Textonotapie"/>
        <w:ind w:firstLine="708"/>
        <w:jc w:val="both"/>
        <w:rPr>
          <w:rFonts w:ascii="Verdana" w:hAnsi="Verdana" w:cs="Arial"/>
          <w:color w:val="000000"/>
          <w:sz w:val="14"/>
          <w:szCs w:val="14"/>
        </w:rPr>
      </w:pPr>
      <w:r w:rsidRPr="00237249">
        <w:rPr>
          <w:rFonts w:ascii="Verdana" w:hAnsi="Verdana" w:cs="Arial"/>
          <w:color w:val="000000"/>
          <w:sz w:val="14"/>
          <w:szCs w:val="14"/>
        </w:rPr>
        <w:t>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footnote>
  <w:footnote w:id="3">
    <w:p w14:paraId="136A7C13" w14:textId="77777777" w:rsidR="003878CE" w:rsidRPr="00237249" w:rsidRDefault="003878CE" w:rsidP="003878CE">
      <w:pPr>
        <w:pStyle w:val="Textonotapie"/>
        <w:ind w:firstLine="708"/>
        <w:jc w:val="both"/>
        <w:rPr>
          <w:rFonts w:ascii="Verdana" w:hAnsi="Verdana" w:cs="Arial"/>
          <w:color w:val="000000"/>
          <w:sz w:val="14"/>
          <w:szCs w:val="14"/>
        </w:rPr>
      </w:pPr>
      <w:r w:rsidRPr="00237249">
        <w:rPr>
          <w:rStyle w:val="Refdenotaalpie"/>
          <w:rFonts w:ascii="Verdana" w:hAnsi="Verdana" w:cs="Arial"/>
          <w:color w:val="000000"/>
          <w:sz w:val="14"/>
          <w:szCs w:val="14"/>
        </w:rPr>
        <w:footnoteRef/>
      </w:r>
      <w:r w:rsidRPr="00237249">
        <w:rPr>
          <w:rFonts w:ascii="Verdana" w:hAnsi="Verdana" w:cs="Arial"/>
          <w:color w:val="000000"/>
          <w:sz w:val="14"/>
          <w:szCs w:val="14"/>
        </w:rPr>
        <w:t xml:space="preserve"> En el concepto emitido el 5 de febrero de 2019, dentro del radicado No. 2201913000000663, se dijo: «[l]os convenios de asociación del artículo 5 son distintos a los contratos de colaboración del artículo 2 del Decreto 092 de 2017».</w:t>
      </w:r>
    </w:p>
  </w:footnote>
  <w:footnote w:id="4">
    <w:p w14:paraId="7726AEC7" w14:textId="77777777" w:rsidR="003878CE" w:rsidRPr="00237249" w:rsidRDefault="003878CE" w:rsidP="003878CE">
      <w:pPr>
        <w:pStyle w:val="Textonotapie"/>
        <w:ind w:firstLine="708"/>
        <w:jc w:val="both"/>
        <w:rPr>
          <w:rFonts w:ascii="Verdana" w:hAnsi="Verdana"/>
          <w:sz w:val="14"/>
          <w:szCs w:val="14"/>
        </w:rPr>
      </w:pPr>
      <w:r w:rsidRPr="00237249">
        <w:rPr>
          <w:rStyle w:val="Refdenotaalpie"/>
          <w:rFonts w:ascii="Verdana" w:hAnsi="Verdana"/>
          <w:sz w:val="14"/>
          <w:szCs w:val="14"/>
        </w:rPr>
        <w:footnoteRef/>
      </w:r>
      <w:r w:rsidRPr="00237249">
        <w:rPr>
          <w:rFonts w:ascii="Verdana" w:hAnsi="Verdana"/>
          <w:sz w:val="14"/>
          <w:szCs w:val="14"/>
        </w:rPr>
        <w:t xml:space="preserve"> Consejo De Estado. Sala de Consulta y Servicio Civil. Concepto del 30 de mayo de 2017. C.P. Edgar González López. Rad. 2.319. </w:t>
      </w:r>
    </w:p>
  </w:footnote>
  <w:footnote w:id="5">
    <w:p w14:paraId="220C0C3E" w14:textId="77777777" w:rsidR="003878CE" w:rsidRPr="00237249" w:rsidRDefault="003878CE" w:rsidP="003878CE">
      <w:pPr>
        <w:pStyle w:val="Textonotapie"/>
        <w:ind w:firstLine="709"/>
        <w:jc w:val="both"/>
        <w:rPr>
          <w:rFonts w:ascii="Verdana" w:hAnsi="Verdana" w:cs="Arial"/>
          <w:color w:val="000000" w:themeColor="text1"/>
          <w:sz w:val="14"/>
          <w:szCs w:val="14"/>
        </w:rPr>
      </w:pPr>
      <w:r w:rsidRPr="00237249">
        <w:rPr>
          <w:rStyle w:val="Refdenotaalpie"/>
          <w:rFonts w:ascii="Verdana" w:hAnsi="Verdana" w:cs="Arial"/>
          <w:color w:val="000000" w:themeColor="text1"/>
          <w:sz w:val="14"/>
          <w:szCs w:val="14"/>
        </w:rPr>
        <w:footnoteRef/>
      </w:r>
      <w:r w:rsidRPr="00237249">
        <w:rPr>
          <w:rFonts w:ascii="Verdana" w:hAnsi="Verdana" w:cs="Arial"/>
          <w:color w:val="000000" w:themeColor="text1"/>
          <w:sz w:val="14"/>
          <w:szCs w:val="14"/>
        </w:rPr>
        <w:t xml:space="preserve"> Agencia Nacional de Contratación Pública – Colombia Compra Eficiente. Concepto del 3 de septiembre de 2019, con radicado No. 2201913000006512.</w:t>
      </w:r>
    </w:p>
    <w:p w14:paraId="433E7B6B" w14:textId="77777777" w:rsidR="003878CE" w:rsidRPr="00237249" w:rsidRDefault="003878CE" w:rsidP="003878CE">
      <w:pPr>
        <w:pStyle w:val="Textonotapie"/>
        <w:ind w:firstLine="709"/>
        <w:jc w:val="both"/>
        <w:rPr>
          <w:rFonts w:ascii="Verdana" w:hAnsi="Verdana" w:cs="Arial"/>
          <w:color w:val="000000" w:themeColor="text1"/>
          <w:sz w:val="14"/>
          <w:szCs w:val="14"/>
        </w:rPr>
      </w:pPr>
    </w:p>
  </w:footnote>
  <w:footnote w:id="6">
    <w:p w14:paraId="4F1189FE" w14:textId="77777777" w:rsidR="003878CE" w:rsidRPr="00237249" w:rsidRDefault="003878CE" w:rsidP="003878CE">
      <w:pPr>
        <w:pStyle w:val="Textonotapie"/>
        <w:ind w:firstLine="708"/>
        <w:jc w:val="both"/>
        <w:rPr>
          <w:rFonts w:ascii="Verdana" w:hAnsi="Verdana" w:cs="Arial"/>
          <w:color w:val="000000"/>
          <w:sz w:val="14"/>
          <w:szCs w:val="14"/>
          <w:lang w:val="es-ES"/>
        </w:rPr>
      </w:pPr>
      <w:r w:rsidRPr="00237249">
        <w:rPr>
          <w:rStyle w:val="Refdenotaalpie"/>
          <w:rFonts w:ascii="Verdana" w:hAnsi="Verdana" w:cs="Arial"/>
          <w:color w:val="000000"/>
          <w:sz w:val="14"/>
          <w:szCs w:val="14"/>
        </w:rPr>
        <w:footnoteRef/>
      </w:r>
      <w:r w:rsidRPr="00237249">
        <w:rPr>
          <w:rFonts w:ascii="Verdana" w:hAnsi="Verdana" w:cs="Arial"/>
          <w:color w:val="000000"/>
          <w:sz w:val="14"/>
          <w:szCs w:val="14"/>
        </w:rPr>
        <w:t xml:space="preserve"> Concepto del 19 de noviembre de 2019, emitido en el radicado No. 2201913000008611.</w:t>
      </w:r>
    </w:p>
  </w:footnote>
  <w:footnote w:id="7">
    <w:p w14:paraId="6EE7B21B" w14:textId="77777777" w:rsidR="003878CE" w:rsidRPr="00237249" w:rsidRDefault="003878CE" w:rsidP="003878CE">
      <w:pPr>
        <w:pStyle w:val="Textonotapie"/>
        <w:ind w:firstLine="708"/>
        <w:rPr>
          <w:rFonts w:ascii="Verdana" w:hAnsi="Verdana"/>
          <w:sz w:val="14"/>
          <w:szCs w:val="14"/>
          <w:lang w:val="es-ES"/>
        </w:rPr>
      </w:pPr>
      <w:r w:rsidRPr="00237249">
        <w:rPr>
          <w:rStyle w:val="Refdenotaalpie"/>
          <w:rFonts w:ascii="Verdana" w:hAnsi="Verdana"/>
          <w:sz w:val="14"/>
          <w:szCs w:val="14"/>
        </w:rPr>
        <w:footnoteRef/>
      </w:r>
      <w:r w:rsidRPr="00237249">
        <w:rPr>
          <w:rFonts w:ascii="Verdana" w:hAnsi="Verdana"/>
          <w:sz w:val="14"/>
          <w:szCs w:val="14"/>
        </w:rPr>
        <w:t xml:space="preserve"> Agencia Nacional de Contratación Pública –Colombia Compra Eficiente. </w:t>
      </w:r>
      <w:r w:rsidRPr="00237249">
        <w:rPr>
          <w:rFonts w:ascii="Verdana" w:hAnsi="Verdana"/>
          <w:bCs/>
          <w:iCs/>
          <w:sz w:val="14"/>
          <w:szCs w:val="14"/>
          <w:lang w:val="es-CO"/>
        </w:rPr>
        <w:t>Guía para la contratación con entidades privadas sin ánimo de lucro y de reconocida idoneidad, 2025. p. 14.</w:t>
      </w:r>
      <w:r w:rsidRPr="00237249">
        <w:rPr>
          <w:rFonts w:ascii="Verdana" w:hAnsi="Verdana"/>
          <w:bCs/>
          <w:i/>
          <w:iCs/>
          <w:sz w:val="14"/>
          <w:szCs w:val="14"/>
          <w:lang w:val="es-CO"/>
        </w:rPr>
        <w:t xml:space="preserve"> </w:t>
      </w:r>
    </w:p>
  </w:footnote>
  <w:footnote w:id="8">
    <w:p w14:paraId="49A8B809" w14:textId="77777777" w:rsidR="003878CE" w:rsidRPr="00237249" w:rsidRDefault="003878CE" w:rsidP="003878CE">
      <w:pPr>
        <w:pStyle w:val="Textonotapie"/>
        <w:ind w:firstLine="708"/>
        <w:jc w:val="both"/>
        <w:rPr>
          <w:rFonts w:ascii="Verdana" w:hAnsi="Verdana" w:cs="Arial"/>
          <w:color w:val="000000"/>
          <w:sz w:val="14"/>
          <w:szCs w:val="14"/>
        </w:rPr>
      </w:pPr>
      <w:r w:rsidRPr="00237249">
        <w:rPr>
          <w:rStyle w:val="Refdenotaalpie"/>
          <w:rFonts w:ascii="Verdana" w:hAnsi="Verdana" w:cs="Arial"/>
          <w:color w:val="000000"/>
          <w:sz w:val="14"/>
          <w:szCs w:val="14"/>
        </w:rPr>
        <w:footnoteRef/>
      </w:r>
      <w:r w:rsidRPr="00237249">
        <w:rPr>
          <w:rFonts w:ascii="Verdana" w:hAnsi="Verdana" w:cs="Arial"/>
          <w:color w:val="000000"/>
          <w:sz w:val="14"/>
          <w:szCs w:val="14"/>
        </w:rPr>
        <w:t xml:space="preserve"> 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p w14:paraId="68A8FF6B" w14:textId="77777777" w:rsidR="003878CE" w:rsidRPr="00237249" w:rsidRDefault="003878CE" w:rsidP="003878CE">
      <w:pPr>
        <w:pStyle w:val="Textonotapie"/>
        <w:ind w:firstLine="708"/>
        <w:jc w:val="both"/>
        <w:rPr>
          <w:rFonts w:ascii="Verdana" w:hAnsi="Verdana" w:cs="Arial"/>
          <w:color w:val="000000"/>
          <w:sz w:val="14"/>
          <w:szCs w:val="14"/>
        </w:rPr>
      </w:pPr>
    </w:p>
  </w:footnote>
  <w:footnote w:id="9">
    <w:p w14:paraId="365B9705" w14:textId="77777777" w:rsidR="003878CE" w:rsidRPr="00237249" w:rsidRDefault="003878CE" w:rsidP="003878CE">
      <w:pPr>
        <w:pStyle w:val="Textonotapie"/>
        <w:ind w:firstLine="708"/>
        <w:jc w:val="both"/>
        <w:rPr>
          <w:rFonts w:ascii="Verdana" w:hAnsi="Verdana" w:cs="Arial"/>
          <w:sz w:val="14"/>
          <w:szCs w:val="14"/>
          <w:lang w:val="es-ES"/>
        </w:rPr>
      </w:pPr>
      <w:r w:rsidRPr="00237249">
        <w:rPr>
          <w:rStyle w:val="Refdenotaalpie"/>
          <w:rFonts w:ascii="Verdana" w:hAnsi="Verdana" w:cs="Arial"/>
          <w:sz w:val="14"/>
          <w:szCs w:val="14"/>
        </w:rPr>
        <w:footnoteRef/>
      </w:r>
      <w:r w:rsidRPr="00237249">
        <w:rPr>
          <w:rFonts w:ascii="Verdana" w:hAnsi="Verdana" w:cs="Arial"/>
          <w:sz w:val="14"/>
          <w:szCs w:val="14"/>
        </w:rPr>
        <w:t xml:space="preserve"> </w:t>
      </w:r>
      <w:r w:rsidRPr="00237249">
        <w:rPr>
          <w:rFonts w:ascii="Verdana" w:hAnsi="Verdana" w:cs="Arial"/>
          <w:sz w:val="14"/>
          <w:szCs w:val="14"/>
          <w:lang w:val="es-ES"/>
        </w:rPr>
        <w:t>Consejo de Estado. Sala Plena. Auto del 15 de marzo de 2022. Consejera Ponente: Rocío Araujo Oñate. Expediente: 62.003. En esta decisión, en efecto, se decidió: “REVOCAR los numerales primero y tercero de la parte resolutiva del auto proferido el 6 de agosto de 2019, que suspendieron de manera provisional los efectos del inciso segundo del artículo 1 y del inciso segundo del artículo 3 del Decreto 92 de 2017, respectivamente, y en su lugar NEGAR la medida cautelar”, y “CONFIRMAR LA SUSPENSIÓN PROVISIONAL de los literales a) y c) del artículo segundo y el inciso quinto de la misma norma, así como del inciso final del artículo 4 del Decreto 92 de 2017, por las razones expuestas”.</w:t>
      </w:r>
    </w:p>
    <w:p w14:paraId="72BD6AE9" w14:textId="77777777" w:rsidR="003878CE" w:rsidRPr="00237249" w:rsidRDefault="003878CE" w:rsidP="003878CE">
      <w:pPr>
        <w:pStyle w:val="Textonotapie"/>
        <w:ind w:firstLine="708"/>
        <w:jc w:val="both"/>
        <w:rPr>
          <w:rFonts w:ascii="Verdana" w:hAnsi="Verdana" w:cs="Arial"/>
          <w:sz w:val="14"/>
          <w:szCs w:val="14"/>
          <w:lang w:val="es-ES"/>
        </w:rPr>
      </w:pPr>
    </w:p>
  </w:footnote>
  <w:footnote w:id="10">
    <w:p w14:paraId="67BB7383" w14:textId="77777777" w:rsidR="003878CE" w:rsidRPr="00237249" w:rsidRDefault="003878CE" w:rsidP="003878CE">
      <w:pPr>
        <w:spacing w:after="0" w:line="240" w:lineRule="auto"/>
        <w:ind w:firstLine="708"/>
        <w:jc w:val="both"/>
        <w:textAlignment w:val="baseline"/>
        <w:rPr>
          <w:rFonts w:ascii="Verdana" w:hAnsi="Verdana" w:cs="Arial"/>
          <w:sz w:val="14"/>
          <w:szCs w:val="14"/>
        </w:rPr>
      </w:pPr>
      <w:r w:rsidRPr="00237249">
        <w:rPr>
          <w:rStyle w:val="Refdenotaalpie"/>
          <w:rFonts w:ascii="Verdana" w:hAnsi="Verdana" w:cs="Arial"/>
          <w:sz w:val="14"/>
          <w:szCs w:val="14"/>
        </w:rPr>
        <w:footnoteRef/>
      </w:r>
      <w:r w:rsidRPr="00237249">
        <w:rPr>
          <w:rFonts w:ascii="Verdana" w:hAnsi="Verdana" w:cs="Arial"/>
          <w:sz w:val="14"/>
          <w:szCs w:val="14"/>
        </w:rPr>
        <w:t xml:space="preserve"> </w:t>
      </w:r>
      <w:r w:rsidRPr="00237249">
        <w:rPr>
          <w:rFonts w:ascii="Verdana" w:eastAsia="Calibri" w:hAnsi="Verdana" w:cs="Arial"/>
          <w:color w:val="000000"/>
          <w:sz w:val="14"/>
          <w:szCs w:val="14"/>
          <w:lang w:val="es-MX"/>
        </w:rPr>
        <w:t>E</w:t>
      </w:r>
      <w:r w:rsidRPr="00237249">
        <w:rPr>
          <w:rFonts w:ascii="Verdana" w:eastAsia="Calibri" w:hAnsi="Verdana" w:cs="Arial"/>
          <w:sz w:val="14"/>
          <w:szCs w:val="14"/>
          <w:lang w:val="es-ES_tradnl" w:eastAsia="es-ES_tradnl"/>
        </w:rPr>
        <w:t xml:space="preserve">n armonía con lo anterior, las siguientes son las conclusiones que dedujo esta Agencia en relación con los </w:t>
      </w:r>
      <w:r w:rsidRPr="00237249">
        <w:rPr>
          <w:rFonts w:ascii="Verdana" w:eastAsia="Calibri" w:hAnsi="Verdana" w:cs="Arial"/>
          <w:i/>
          <w:iCs/>
          <w:sz w:val="14"/>
          <w:szCs w:val="14"/>
          <w:lang w:val="es-ES_tradnl" w:eastAsia="es-ES_tradnl"/>
        </w:rPr>
        <w:t>contratos de colaboración</w:t>
      </w:r>
      <w:r w:rsidRPr="00237249">
        <w:rPr>
          <w:rFonts w:ascii="Verdana" w:eastAsia="Calibri" w:hAnsi="Verdana" w:cs="Arial"/>
          <w:sz w:val="14"/>
          <w:szCs w:val="14"/>
          <w:lang w:val="es-ES_tradnl" w:eastAsia="es-ES_tradnl"/>
        </w:rPr>
        <w:t>, tal como se expresa, por ejemplo, en el concepto C-529 del 11 de agosto de 2020: “</w:t>
      </w:r>
      <w:r w:rsidRPr="00237249">
        <w:rPr>
          <w:rFonts w:ascii="Verdana" w:eastAsia="Calibri" w:hAnsi="Verdana" w:cs="Arial"/>
          <w:color w:val="000000"/>
          <w:sz w:val="14"/>
          <w:szCs w:val="14"/>
          <w:lang w:val="es-MX"/>
        </w:rPr>
        <w:t>En este orden de ideas, la contratación con entidades sin ánimo de lucro se sigue rigiendo por el Decreto 092 de 2017, salvo lo que fue objeto de suspensión provisional. Por lo tanto, las entidades públicas que desean celebrar contratos de interés público, en los términos del artículo 355 de la Constitución Política, deben contratar con ESAL de reconocida idoneidad, como ya se dijo, realizando un proceso competitivo, y teniendo en cuenta, se insiste, las siguientes características: i) no se debe condicionar el proceso de contratación a la inexistencia de oferta en el mercado de bienes y servicios; ii) tampoco se debe condicionar a que la contratación con las ESAL garantice la optimización de los recursos públicos en términos de eficiencia, eficacia, economía y manejo del riesgo; iii) el objeto del contrato debe estar acorde con el plan nacional o seccional de desarrollo; iv) no se puede condicionar únicamente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iii); y v) el contrato no establezca una relación conmutativa en el cual haya una contraprestación directa a favor de la entidad, ni instrucciones precisas dadas por esta al contratista para cumplir con el objeto del contrato”.</w:t>
      </w:r>
    </w:p>
  </w:footnote>
  <w:footnote w:id="11">
    <w:p w14:paraId="1D4B66FF" w14:textId="77777777" w:rsidR="003878CE" w:rsidRPr="00237249" w:rsidRDefault="003878CE" w:rsidP="003878CE">
      <w:pPr>
        <w:pStyle w:val="Textonotapie"/>
        <w:ind w:firstLine="708"/>
        <w:jc w:val="both"/>
        <w:rPr>
          <w:rFonts w:ascii="Verdana" w:hAnsi="Verdana" w:cs="Arial"/>
          <w:color w:val="000000"/>
          <w:sz w:val="14"/>
          <w:szCs w:val="14"/>
        </w:rPr>
      </w:pPr>
      <w:r w:rsidRPr="00237249">
        <w:rPr>
          <w:rStyle w:val="Refdenotaalpie"/>
          <w:rFonts w:ascii="Verdana" w:hAnsi="Verdana" w:cs="Arial"/>
          <w:color w:val="000000"/>
          <w:sz w:val="14"/>
          <w:szCs w:val="14"/>
        </w:rPr>
        <w:footnoteRef/>
      </w:r>
      <w:r w:rsidRPr="00237249">
        <w:rPr>
          <w:rFonts w:ascii="Verdana" w:hAnsi="Verdana" w:cs="Arial"/>
          <w:color w:val="000000"/>
          <w:sz w:val="14"/>
          <w:szCs w:val="14"/>
        </w:rPr>
        <w:t xml:space="preserve"> Decreto 092,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footnote>
  <w:footnote w:id="12">
    <w:p w14:paraId="70BB0885" w14:textId="77777777" w:rsidR="003878CE" w:rsidRPr="00237249" w:rsidRDefault="003878CE" w:rsidP="003878CE">
      <w:pPr>
        <w:pStyle w:val="Textonotapie"/>
        <w:ind w:firstLine="708"/>
        <w:rPr>
          <w:rFonts w:ascii="Verdana" w:hAnsi="Verdana" w:cs="Arial"/>
          <w:sz w:val="14"/>
          <w:szCs w:val="14"/>
        </w:rPr>
      </w:pPr>
      <w:r w:rsidRPr="00237249">
        <w:rPr>
          <w:rStyle w:val="Refdenotaalpie"/>
          <w:rFonts w:ascii="Verdana" w:hAnsi="Verdana" w:cs="Arial"/>
          <w:sz w:val="14"/>
          <w:szCs w:val="14"/>
        </w:rPr>
        <w:footnoteRef/>
      </w:r>
      <w:r w:rsidRPr="00237249">
        <w:rPr>
          <w:rFonts w:ascii="Verdana" w:hAnsi="Verdana" w:cs="Arial"/>
          <w:sz w:val="14"/>
          <w:szCs w:val="14"/>
        </w:rPr>
        <w:t xml:space="preserve"> COLOMBIA COMPRA EFICIENTE. Guía de garantías en procesos de contratación. p. 12. Disponible en: </w:t>
      </w:r>
      <w:hyperlink r:id="rId1" w:history="1">
        <w:r w:rsidRPr="00237249">
          <w:rPr>
            <w:rStyle w:val="Hipervnculo"/>
            <w:rFonts w:ascii="Verdana" w:hAnsi="Verdana" w:cs="Arial"/>
            <w:sz w:val="14"/>
            <w:szCs w:val="14"/>
          </w:rPr>
          <w:t>https://www.colombiacompra.gov.co/manuales-guias-y-pliegos-tipo/manuales-y-guias</w:t>
        </w:r>
      </w:hyperlink>
      <w:r w:rsidRPr="00237249">
        <w:rPr>
          <w:rFonts w:ascii="Verdana" w:hAnsi="Verdana" w:cs="Arial"/>
          <w:sz w:val="14"/>
          <w:szCs w:val="14"/>
        </w:rPr>
        <w:t xml:space="preserve">. </w:t>
      </w:r>
    </w:p>
    <w:p w14:paraId="5242C5E2" w14:textId="77777777" w:rsidR="003878CE" w:rsidRPr="00237249" w:rsidRDefault="003878CE" w:rsidP="003878CE">
      <w:pPr>
        <w:pStyle w:val="Textonotapie"/>
        <w:ind w:firstLine="708"/>
        <w:rPr>
          <w:rFonts w:ascii="Verdana" w:hAnsi="Verdana" w:cs="Arial"/>
          <w:sz w:val="14"/>
          <w:szCs w:val="14"/>
          <w:lang w:val="es-CO"/>
        </w:rPr>
      </w:pPr>
    </w:p>
  </w:footnote>
  <w:footnote w:id="13">
    <w:p w14:paraId="66AE5AC5" w14:textId="77777777" w:rsidR="003878CE" w:rsidRPr="00237249" w:rsidRDefault="003878CE" w:rsidP="003878CE">
      <w:pPr>
        <w:pStyle w:val="Textonotapie"/>
        <w:ind w:firstLine="708"/>
        <w:jc w:val="both"/>
        <w:rPr>
          <w:rFonts w:ascii="Verdana" w:hAnsi="Verdana" w:cs="Arial"/>
          <w:sz w:val="14"/>
          <w:szCs w:val="14"/>
        </w:rPr>
      </w:pPr>
      <w:r w:rsidRPr="00237249">
        <w:rPr>
          <w:rStyle w:val="Refdenotaalpie"/>
          <w:rFonts w:ascii="Verdana" w:hAnsi="Verdana" w:cs="Arial"/>
          <w:sz w:val="14"/>
          <w:szCs w:val="14"/>
        </w:rPr>
        <w:footnoteRef/>
      </w:r>
      <w:r w:rsidRPr="00237249">
        <w:rPr>
          <w:rFonts w:ascii="Verdana" w:hAnsi="Verdana" w:cs="Arial"/>
          <w:sz w:val="14"/>
          <w:szCs w:val="14"/>
        </w:rPr>
        <w:t xml:space="preserve"> Ibídem., p. 17. La guía además señala en relación con las garantías bancarias y cartas de crédito stand by, que “El compromiso del emisor es pagar al primer requerimiento del beneficiario de la garantía, por lo cual no es necesario que la Entidad Estatal demuestre que el incumplimiento efectivamente ha ocurrido, pero antes de cobrar este tipo de garantías, la Entidad Estatal debe llevar a cabo el procedimiento previsto por la ley para declarar el incumplimiento respecto del oferente o contratista».</w:t>
      </w:r>
    </w:p>
  </w:footnote>
  <w:footnote w:id="14">
    <w:p w14:paraId="49DD3871" w14:textId="77777777" w:rsidR="003878CE" w:rsidRPr="00237249" w:rsidRDefault="003878CE" w:rsidP="003878CE">
      <w:pPr>
        <w:pStyle w:val="Textonotapie"/>
        <w:snapToGrid w:val="0"/>
        <w:ind w:firstLine="708"/>
        <w:contextualSpacing/>
        <w:jc w:val="both"/>
        <w:rPr>
          <w:rFonts w:ascii="Verdana" w:hAnsi="Verdana" w:cs="Arial"/>
          <w:sz w:val="14"/>
          <w:szCs w:val="14"/>
        </w:rPr>
      </w:pPr>
      <w:r w:rsidRPr="00237249">
        <w:rPr>
          <w:rStyle w:val="Refdenotaalpie"/>
          <w:rFonts w:ascii="Verdana" w:hAnsi="Verdana" w:cs="Arial"/>
          <w:sz w:val="14"/>
          <w:szCs w:val="14"/>
        </w:rPr>
        <w:footnoteRef/>
      </w:r>
      <w:r w:rsidRPr="00237249">
        <w:rPr>
          <w:rFonts w:ascii="Verdana" w:hAnsi="Verdana" w:cs="Arial"/>
          <w:sz w:val="14"/>
          <w:szCs w:val="14"/>
        </w:rPr>
        <w:t xml:space="preserve"> Para la jurisprudencia, “[…] los seguros de cumplimiento, específicamente, el de contratos estatales, son aquellos que garantizan al acreedor (entidad estatal) que serán resarcidos los daños que pueda provocar el incumplimiento de las obligaciones del deudor (contratista) dentro del marco de una relación contractual. Así, pues, el riesgo asegurado en esta categoría de seguros, visto de manera general, lo constituye el incumplimiento de las obligaciones contractuales a cargo del deudor (contratista), quien a su vez es el tomador de la póliza, de modo que el objeto de las obligaciones garantizadas es lo que determina o particulariza el riesgo asegurado” (CONSEJO DE ESTADO. Sección Tercera. Subsección A. Sentencia del 12 de febrero de 2015. Exp.  28278. C.P. Carlos Alberto Zambrano Barrera).</w:t>
      </w:r>
    </w:p>
    <w:p w14:paraId="46CB3113" w14:textId="77777777" w:rsidR="003878CE" w:rsidRPr="00237249" w:rsidRDefault="003878CE" w:rsidP="003878CE">
      <w:pPr>
        <w:pStyle w:val="Textonotapie"/>
        <w:snapToGrid w:val="0"/>
        <w:ind w:firstLine="708"/>
        <w:contextualSpacing/>
        <w:jc w:val="both"/>
        <w:rPr>
          <w:rFonts w:ascii="Verdana" w:hAnsi="Verdana" w:cs="Arial"/>
          <w:sz w:val="14"/>
          <w:szCs w:val="14"/>
        </w:rPr>
      </w:pPr>
    </w:p>
  </w:footnote>
  <w:footnote w:id="15">
    <w:p w14:paraId="7C268090" w14:textId="77777777" w:rsidR="003878CE" w:rsidRPr="00237249" w:rsidRDefault="003878CE" w:rsidP="003878CE">
      <w:pPr>
        <w:pStyle w:val="Textonotapie"/>
        <w:snapToGrid w:val="0"/>
        <w:ind w:firstLine="709"/>
        <w:contextualSpacing/>
        <w:jc w:val="both"/>
        <w:rPr>
          <w:rFonts w:ascii="Verdana" w:hAnsi="Verdana" w:cs="Arial"/>
          <w:color w:val="000000" w:themeColor="text1"/>
          <w:sz w:val="14"/>
          <w:szCs w:val="14"/>
        </w:rPr>
      </w:pPr>
      <w:r w:rsidRPr="00237249">
        <w:rPr>
          <w:rStyle w:val="Refdenotaalpie"/>
          <w:rFonts w:ascii="Verdana" w:hAnsi="Verdana" w:cs="Arial"/>
          <w:color w:val="000000" w:themeColor="text1"/>
          <w:sz w:val="14"/>
          <w:szCs w:val="14"/>
        </w:rPr>
        <w:footnoteRef/>
      </w:r>
      <w:r w:rsidRPr="00237249">
        <w:rPr>
          <w:rFonts w:ascii="Verdana" w:hAnsi="Verdana" w:cs="Arial"/>
          <w:color w:val="000000" w:themeColor="text1"/>
          <w:sz w:val="14"/>
          <w:szCs w:val="14"/>
        </w:rPr>
        <w:t xml:space="preserve"> ORDÓÑEZ ORDÓÑEZ, Andrés E. Seguro de cumplimiento de los contratos estatales en Colombia. Bogotá: Universidad Externado de Colombia, 2011. p. 44.</w:t>
      </w:r>
    </w:p>
  </w:footnote>
  <w:footnote w:id="16">
    <w:p w14:paraId="6C1F0C45" w14:textId="77777777" w:rsidR="003878CE" w:rsidRPr="00237249" w:rsidRDefault="003878CE" w:rsidP="003878CE">
      <w:pPr>
        <w:pStyle w:val="Textonotapie"/>
        <w:ind w:firstLine="708"/>
        <w:jc w:val="both"/>
        <w:rPr>
          <w:rFonts w:ascii="Verdana" w:hAnsi="Verdana"/>
          <w:sz w:val="14"/>
          <w:szCs w:val="14"/>
          <w:lang w:val="es-CO"/>
        </w:rPr>
      </w:pPr>
      <w:r w:rsidRPr="00237249">
        <w:rPr>
          <w:rStyle w:val="Refdenotaalpie"/>
          <w:rFonts w:ascii="Verdana" w:hAnsi="Verdana"/>
          <w:sz w:val="14"/>
          <w:szCs w:val="14"/>
        </w:rPr>
        <w:footnoteRef/>
      </w:r>
      <w:r w:rsidRPr="00237249">
        <w:rPr>
          <w:rFonts w:ascii="Verdana" w:hAnsi="Verdana"/>
          <w:sz w:val="14"/>
          <w:szCs w:val="14"/>
        </w:rPr>
        <w:t xml:space="preserve"> “</w:t>
      </w:r>
      <w:r w:rsidRPr="00237249">
        <w:rPr>
          <w:rFonts w:ascii="Verdana" w:hAnsi="Verdana"/>
          <w:bCs/>
          <w:sz w:val="14"/>
          <w:szCs w:val="14"/>
          <w:lang w:val="es-CO"/>
        </w:rPr>
        <w:t>Artículo 2.2.1.2.3.1.7. </w:t>
      </w:r>
      <w:r w:rsidRPr="00237249">
        <w:rPr>
          <w:rFonts w:ascii="Verdana" w:hAnsi="Verdana"/>
          <w:bCs/>
          <w:i/>
          <w:iCs/>
          <w:sz w:val="14"/>
          <w:szCs w:val="14"/>
          <w:lang w:val="es-CO"/>
        </w:rPr>
        <w:t>Garantía de cumplimiento.</w:t>
      </w:r>
      <w:r w:rsidRPr="00237249">
        <w:rPr>
          <w:rFonts w:ascii="Verdana" w:hAnsi="Verdana"/>
          <w:i/>
          <w:iCs/>
          <w:sz w:val="14"/>
          <w:szCs w:val="14"/>
          <w:lang w:val="es-CO"/>
        </w:rPr>
        <w:t> </w:t>
      </w:r>
      <w:r w:rsidRPr="00237249">
        <w:rPr>
          <w:rFonts w:ascii="Verdana" w:hAnsi="Verdana"/>
          <w:sz w:val="14"/>
          <w:szCs w:val="14"/>
          <w:lang w:val="es-CO"/>
        </w:rPr>
        <w:t>La garantía de cumplimiento del contrato debe cubrir:</w:t>
      </w:r>
    </w:p>
    <w:p w14:paraId="7E26ABEC" w14:textId="77777777" w:rsidR="003878CE" w:rsidRPr="00237249" w:rsidRDefault="003878CE" w:rsidP="003878CE">
      <w:pPr>
        <w:pStyle w:val="Textonotapie"/>
        <w:ind w:firstLine="708"/>
        <w:jc w:val="both"/>
        <w:rPr>
          <w:rFonts w:ascii="Verdana" w:hAnsi="Verdana"/>
          <w:sz w:val="14"/>
          <w:szCs w:val="14"/>
          <w:lang w:val="es-CO"/>
        </w:rPr>
      </w:pPr>
      <w:r w:rsidRPr="00237249">
        <w:rPr>
          <w:rFonts w:ascii="Verdana" w:hAnsi="Verdana"/>
          <w:sz w:val="14"/>
          <w:szCs w:val="14"/>
          <w:lang w:val="es-CO"/>
        </w:rPr>
        <w:t>[...]</w:t>
      </w:r>
    </w:p>
    <w:p w14:paraId="2C9E7C7D" w14:textId="77777777" w:rsidR="003878CE" w:rsidRPr="00237249" w:rsidRDefault="003878CE" w:rsidP="003878CE">
      <w:pPr>
        <w:pStyle w:val="Textonotapie"/>
        <w:ind w:firstLine="708"/>
        <w:jc w:val="both"/>
        <w:rPr>
          <w:rFonts w:ascii="Verdana" w:hAnsi="Verdana"/>
          <w:sz w:val="14"/>
          <w:szCs w:val="14"/>
          <w:lang w:val="es-CO"/>
        </w:rPr>
      </w:pPr>
      <w:r w:rsidRPr="00237249">
        <w:rPr>
          <w:rFonts w:ascii="Verdana" w:hAnsi="Verdana"/>
          <w:sz w:val="14"/>
          <w:szCs w:val="14"/>
          <w:lang w:val="es-CO"/>
        </w:rPr>
        <w:t>3.    Cumplimiento del contrato. Este amparo cubre a la Entidad Estatal de los perjuicios derivados de:</w:t>
      </w:r>
    </w:p>
    <w:p w14:paraId="571A95B6" w14:textId="77777777" w:rsidR="003878CE" w:rsidRPr="00237249" w:rsidRDefault="003878CE" w:rsidP="003878CE">
      <w:pPr>
        <w:pStyle w:val="Textonotapie"/>
        <w:ind w:firstLine="708"/>
        <w:jc w:val="both"/>
        <w:rPr>
          <w:rFonts w:ascii="Verdana" w:hAnsi="Verdana"/>
          <w:sz w:val="14"/>
          <w:szCs w:val="14"/>
          <w:lang w:val="es-CO"/>
        </w:rPr>
      </w:pPr>
      <w:r w:rsidRPr="00237249">
        <w:rPr>
          <w:rFonts w:ascii="Verdana" w:hAnsi="Verdana"/>
          <w:sz w:val="14"/>
          <w:szCs w:val="14"/>
          <w:lang w:val="es-CO"/>
        </w:rPr>
        <w:t>3.1.   El incumplimiento total o parcial del contrato, cuando el incumplimiento es imputable al contratista;</w:t>
      </w:r>
    </w:p>
    <w:p w14:paraId="31EE39D7" w14:textId="77777777" w:rsidR="003878CE" w:rsidRPr="00237249" w:rsidRDefault="003878CE" w:rsidP="003878CE">
      <w:pPr>
        <w:pStyle w:val="Textonotapie"/>
        <w:ind w:firstLine="708"/>
        <w:jc w:val="both"/>
        <w:rPr>
          <w:rFonts w:ascii="Verdana" w:hAnsi="Verdana"/>
          <w:sz w:val="14"/>
          <w:szCs w:val="14"/>
          <w:lang w:val="es-CO"/>
        </w:rPr>
      </w:pPr>
      <w:r w:rsidRPr="00237249">
        <w:rPr>
          <w:rFonts w:ascii="Verdana" w:hAnsi="Verdana"/>
          <w:sz w:val="14"/>
          <w:szCs w:val="14"/>
          <w:lang w:val="es-CO"/>
        </w:rPr>
        <w:t>3.2.   El cumplimiento tardío o defectuoso del contrato, cuando el incumplimiento es imputable al contratista;</w:t>
      </w:r>
    </w:p>
    <w:p w14:paraId="1B2DB4F7" w14:textId="77777777" w:rsidR="003878CE" w:rsidRPr="00237249" w:rsidRDefault="003878CE" w:rsidP="003878CE">
      <w:pPr>
        <w:pStyle w:val="Textonotapie"/>
        <w:ind w:firstLine="708"/>
        <w:jc w:val="both"/>
        <w:rPr>
          <w:rFonts w:ascii="Verdana" w:hAnsi="Verdana"/>
          <w:sz w:val="14"/>
          <w:szCs w:val="14"/>
          <w:lang w:val="es-CO"/>
        </w:rPr>
      </w:pPr>
      <w:r w:rsidRPr="00237249">
        <w:rPr>
          <w:rFonts w:ascii="Verdana" w:hAnsi="Verdana"/>
          <w:sz w:val="14"/>
          <w:szCs w:val="14"/>
          <w:lang w:val="es-CO"/>
        </w:rPr>
        <w:t>3.3.   Los daños imputables al contratista por entregas parciales de la obra, cuando el contrato no prevé entregas parciales; y</w:t>
      </w:r>
    </w:p>
    <w:p w14:paraId="438422A0" w14:textId="77777777" w:rsidR="003878CE" w:rsidRPr="00237249" w:rsidRDefault="003878CE" w:rsidP="003878CE">
      <w:pPr>
        <w:pStyle w:val="Textonotapie"/>
        <w:ind w:firstLine="708"/>
        <w:jc w:val="both"/>
        <w:rPr>
          <w:rFonts w:ascii="Verdana" w:hAnsi="Verdana"/>
          <w:sz w:val="14"/>
          <w:szCs w:val="14"/>
          <w:lang w:val="es-CO"/>
        </w:rPr>
      </w:pPr>
      <w:r w:rsidRPr="00237249">
        <w:rPr>
          <w:rFonts w:ascii="Verdana" w:hAnsi="Verdana"/>
          <w:sz w:val="14"/>
          <w:szCs w:val="14"/>
          <w:lang w:val="es-CO"/>
        </w:rPr>
        <w:t>3.4.   El pago del valor de las multas y de la cláusula penal pecuniaria […]”.</w:t>
      </w:r>
    </w:p>
    <w:p w14:paraId="3F31251F" w14:textId="77777777" w:rsidR="003878CE" w:rsidRPr="00237249" w:rsidRDefault="003878CE" w:rsidP="003878CE">
      <w:pPr>
        <w:pStyle w:val="Textonotapie"/>
        <w:ind w:firstLine="708"/>
        <w:jc w:val="both"/>
        <w:rPr>
          <w:sz w:val="14"/>
          <w:szCs w:val="14"/>
          <w:lang w:val="es-CO"/>
        </w:rPr>
      </w:pPr>
    </w:p>
  </w:footnote>
  <w:footnote w:id="17">
    <w:p w14:paraId="5B69FDA9" w14:textId="77777777" w:rsidR="003878CE" w:rsidRPr="00237249" w:rsidRDefault="003878CE" w:rsidP="003878CE">
      <w:pPr>
        <w:pStyle w:val="Textonotapie"/>
        <w:ind w:firstLine="708"/>
        <w:jc w:val="both"/>
        <w:rPr>
          <w:rFonts w:ascii="Verdana" w:hAnsi="Verdana"/>
          <w:sz w:val="14"/>
          <w:szCs w:val="14"/>
        </w:rPr>
      </w:pPr>
      <w:r w:rsidRPr="00237249">
        <w:rPr>
          <w:rFonts w:ascii="Verdana" w:hAnsi="Verdana"/>
          <w:sz w:val="14"/>
          <w:szCs w:val="14"/>
          <w:vertAlign w:val="superscript"/>
        </w:rPr>
        <w:footnoteRef/>
      </w:r>
      <w:r w:rsidRPr="00237249">
        <w:rPr>
          <w:rFonts w:ascii="Verdana" w:hAnsi="Verdana"/>
          <w:sz w:val="14"/>
          <w:szCs w:val="14"/>
        </w:rPr>
        <w:t xml:space="preserve"> “</w:t>
      </w:r>
      <w:r w:rsidRPr="00237249">
        <w:rPr>
          <w:rFonts w:ascii="Verdana" w:hAnsi="Verdana"/>
          <w:bCs/>
          <w:sz w:val="14"/>
          <w:szCs w:val="14"/>
        </w:rPr>
        <w:t>Artículo. 2.2.1.2.3.1.12.</w:t>
      </w:r>
      <w:r w:rsidRPr="00237249">
        <w:rPr>
          <w:rFonts w:ascii="Verdana" w:hAnsi="Verdana"/>
          <w:b/>
          <w:bCs/>
          <w:sz w:val="14"/>
          <w:szCs w:val="14"/>
        </w:rPr>
        <w:t> </w:t>
      </w:r>
      <w:r w:rsidRPr="00237249">
        <w:rPr>
          <w:rFonts w:ascii="Verdana" w:hAnsi="Verdana"/>
          <w:i/>
          <w:iCs/>
          <w:sz w:val="14"/>
          <w:szCs w:val="14"/>
        </w:rPr>
        <w:t>Suficiencia de la garantía de cumplimiento. </w:t>
      </w:r>
      <w:r w:rsidRPr="00237249">
        <w:rPr>
          <w:rFonts w:ascii="Verdana" w:hAnsi="Verdana"/>
          <w:sz w:val="14"/>
          <w:szCs w:val="14"/>
        </w:rPr>
        <w:t>La garantía de cumplimiento del contrato debe tener una vigencia mínima hasta la liquidación del contrato. El valor de esta garantía debe ser de por lo menos el diez por ciento (10%) del valor del contrato a menos que el valor del contrato sea superior a un millón (1.000.000) de SMMLV, caso en el cual la Entidad Estatal aplicará las siguientes reglas:</w:t>
      </w:r>
    </w:p>
    <w:p w14:paraId="0C352FB6" w14:textId="77777777" w:rsidR="003878CE" w:rsidRPr="00237249" w:rsidRDefault="003878CE" w:rsidP="003878CE">
      <w:pPr>
        <w:pStyle w:val="Textonotapie"/>
        <w:ind w:firstLine="708"/>
        <w:jc w:val="both"/>
        <w:rPr>
          <w:rFonts w:ascii="Verdana" w:hAnsi="Verdana"/>
          <w:sz w:val="14"/>
          <w:szCs w:val="14"/>
        </w:rPr>
      </w:pPr>
      <w:r w:rsidRPr="00237249">
        <w:rPr>
          <w:rFonts w:ascii="Verdana" w:hAnsi="Verdana"/>
          <w:sz w:val="14"/>
          <w:szCs w:val="14"/>
        </w:rPr>
        <w:t>1. Si el valor del contrato es superior a un millón (1.000.000) de SMMLV y hasta cinco millones (5.000.000) de SMMLV, la Entidad Estatal puede aceptar garantías que cubran al menos el dos punto cinco por ciento (2,5%) del valor del contrato.</w:t>
      </w:r>
    </w:p>
    <w:p w14:paraId="6F74217F" w14:textId="77777777" w:rsidR="003878CE" w:rsidRPr="00237249" w:rsidRDefault="003878CE" w:rsidP="003878CE">
      <w:pPr>
        <w:pStyle w:val="Textonotapie"/>
        <w:ind w:firstLine="708"/>
        <w:jc w:val="both"/>
        <w:rPr>
          <w:rFonts w:ascii="Verdana" w:hAnsi="Verdana"/>
          <w:sz w:val="14"/>
          <w:szCs w:val="14"/>
        </w:rPr>
      </w:pPr>
      <w:r w:rsidRPr="00237249">
        <w:rPr>
          <w:rFonts w:ascii="Verdana" w:hAnsi="Verdana"/>
          <w:sz w:val="14"/>
          <w:szCs w:val="14"/>
        </w:rPr>
        <w:t>2. Si el valor del contrato es superior a cinco millones (5.000.000) de SMMLV y hasta diez millones (10.000.000) de SMMLV, la Entidad Estatal puede aceptar garantías que cubran al menos el uno por ciento (1%) del valor del contrato.</w:t>
      </w:r>
    </w:p>
    <w:p w14:paraId="5535F0CF" w14:textId="77777777" w:rsidR="003878CE" w:rsidRPr="00237249" w:rsidRDefault="003878CE" w:rsidP="003878CE">
      <w:pPr>
        <w:pStyle w:val="Textonotapie"/>
        <w:ind w:firstLine="708"/>
        <w:jc w:val="both"/>
        <w:rPr>
          <w:rFonts w:ascii="Verdana" w:hAnsi="Verdana"/>
          <w:sz w:val="14"/>
          <w:szCs w:val="14"/>
        </w:rPr>
      </w:pPr>
      <w:r w:rsidRPr="00237249">
        <w:rPr>
          <w:rFonts w:ascii="Verdana" w:hAnsi="Verdana"/>
          <w:sz w:val="14"/>
          <w:szCs w:val="14"/>
        </w:rPr>
        <w:t>3. Si el valor del contrato es superior a diez millones (10.000.000) de SMMLV, la Entidad Estatal puede aceptar garantías que cubran al menos el cero punto cinco por ciento (0,5%) del valor del contrato.</w:t>
      </w:r>
    </w:p>
    <w:p w14:paraId="11640FCA" w14:textId="77777777" w:rsidR="003878CE" w:rsidRPr="00237249" w:rsidRDefault="003878CE" w:rsidP="003878CE">
      <w:pPr>
        <w:pStyle w:val="Textonotapie"/>
        <w:ind w:firstLine="708"/>
        <w:jc w:val="both"/>
        <w:rPr>
          <w:rFonts w:ascii="Bookman Old Style" w:hAnsi="Bookman Old Style"/>
          <w:sz w:val="14"/>
          <w:szCs w:val="14"/>
        </w:rPr>
      </w:pPr>
      <w:r w:rsidRPr="00237249">
        <w:rPr>
          <w:rFonts w:ascii="Verdana" w:hAnsi="Verdana"/>
          <w:sz w:val="14"/>
          <w:szCs w:val="14"/>
        </w:rPr>
        <w:t>4. Colombia Compra Eficiente debe determinar el valor de la garantía única de cum</w:t>
      </w:r>
      <w:r w:rsidRPr="00237249">
        <w:rPr>
          <w:rFonts w:ascii="Verdana" w:hAnsi="Verdana"/>
          <w:sz w:val="14"/>
          <w:szCs w:val="14"/>
        </w:rPr>
        <w:softHyphen/>
        <w:t>plimiento del Acuerdo Marco de Precios de acuerdo con el objeto, el valor, la naturaleza y las obligaciones contenidas en este”.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5F4D03" w14:textId="0903BF04" w:rsidR="003878CE" w:rsidRDefault="003878CE" w:rsidP="00844AE9">
    <w:pPr>
      <w:pStyle w:val="Encabezado"/>
      <w:spacing w:line="120" w:lineRule="auto"/>
    </w:pPr>
    <w:r>
      <w:rPr>
        <w:rFonts w:ascii="Geomanist Bold" w:hAnsi="Geomanist Bold"/>
        <w:b/>
        <w:bCs/>
        <w:noProof/>
        <w:color w:val="002060"/>
        <w:sz w:val="24"/>
        <w:szCs w:val="24"/>
        <w:lang w:val="en-US"/>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lang w:val="en-US"/>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3878CE" w:rsidRDefault="003878CE">
    <w:pPr>
      <w:pStyle w:val="Encabezado"/>
    </w:pPr>
  </w:p>
  <w:p w14:paraId="5E18350A" w14:textId="705F7B76" w:rsidR="003878CE" w:rsidRPr="004A305D" w:rsidRDefault="003878CE" w:rsidP="00B01B1A">
    <w:pPr>
      <w:spacing w:after="0" w:line="120" w:lineRule="auto"/>
      <w:rPr>
        <w:rFonts w:ascii="Century Gothic" w:eastAsia="Geo" w:hAnsi="Century Gothic" w:cs="Geo"/>
        <w:sz w:val="16"/>
        <w:szCs w:val="16"/>
        <w:lang w:eastAsia="es-CO"/>
      </w:rPr>
    </w:pPr>
  </w:p>
  <w:p w14:paraId="211B7F5D" w14:textId="77777777" w:rsidR="003878CE" w:rsidRDefault="003878CE" w:rsidP="00844AE9">
    <w:pPr>
      <w:spacing w:after="0" w:line="240" w:lineRule="auto"/>
      <w:rPr>
        <w:rFonts w:ascii="Verdana" w:hAnsi="Verdana"/>
        <w:sz w:val="24"/>
        <w:szCs w:val="24"/>
      </w:rPr>
    </w:pPr>
  </w:p>
  <w:p w14:paraId="5A0054B1" w14:textId="77777777" w:rsidR="003878CE" w:rsidRPr="00C925AC" w:rsidRDefault="003878CE" w:rsidP="00844AE9">
    <w:pPr>
      <w:spacing w:after="0" w:line="240" w:lineRule="auto"/>
      <w:rPr>
        <w:rFonts w:ascii="Verdana" w:hAnsi="Verdana"/>
        <w:sz w:val="24"/>
        <w:szCs w:val="24"/>
      </w:rPr>
    </w:pPr>
  </w:p>
  <w:p w14:paraId="1FD1C243" w14:textId="37C5500A" w:rsidR="003878CE" w:rsidRPr="00C925AC" w:rsidRDefault="003878CE"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9" type="#_x0000_t75" style="width:11.45pt;height:11.45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D5425A2"/>
    <w:multiLevelType w:val="hybridMultilevel"/>
    <w:tmpl w:val="405C6ADC"/>
    <w:lvl w:ilvl="0" w:tplc="E4762024">
      <w:start w:val="1"/>
      <w:numFmt w:val="upperRoman"/>
      <w:lvlText w:val="%1."/>
      <w:lvlJc w:val="left"/>
      <w:pPr>
        <w:ind w:left="1080" w:hanging="720"/>
      </w:pPr>
      <w:rPr>
        <w:rFonts w:hint="default"/>
        <w:lang w:val="es-C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48471E70"/>
    <w:multiLevelType w:val="multilevel"/>
    <w:tmpl w:val="5A4A1C2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11866AC"/>
    <w:multiLevelType w:val="hybridMultilevel"/>
    <w:tmpl w:val="3E5CC99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756A231F"/>
    <w:multiLevelType w:val="hybridMultilevel"/>
    <w:tmpl w:val="42E84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4"/>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14"/>
  </w:num>
  <w:num w:numId="7">
    <w:abstractNumId w:val="5"/>
  </w:num>
  <w:num w:numId="8">
    <w:abstractNumId w:val="13"/>
  </w:num>
  <w:num w:numId="9">
    <w:abstractNumId w:val="7"/>
  </w:num>
  <w:num w:numId="10">
    <w:abstractNumId w:val="12"/>
  </w:num>
  <w:num w:numId="11">
    <w:abstractNumId w:val="8"/>
  </w:num>
  <w:num w:numId="12">
    <w:abstractNumId w:val="0"/>
  </w:num>
  <w:num w:numId="13">
    <w:abstractNumId w:val="2"/>
  </w:num>
  <w:num w:numId="14">
    <w:abstractNumId w:val="15"/>
  </w:num>
  <w:num w:numId="15">
    <w:abstractNumId w:val="11"/>
  </w:num>
  <w:num w:numId="16">
    <w:abstractNumId w:val="3"/>
  </w:num>
  <w:num w:numId="17">
    <w:abstractNumId w:val="9"/>
  </w:num>
  <w:num w:numId="18">
    <w:abstractNumId w:val="16"/>
  </w:num>
  <w:num w:numId="19">
    <w:abstractNumId w:val="17"/>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2"/>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1847"/>
    <w:rsid w:val="00003830"/>
    <w:rsid w:val="00016F78"/>
    <w:rsid w:val="00035DF5"/>
    <w:rsid w:val="00037B78"/>
    <w:rsid w:val="00046945"/>
    <w:rsid w:val="00047EC5"/>
    <w:rsid w:val="00061B2A"/>
    <w:rsid w:val="00082362"/>
    <w:rsid w:val="000846BF"/>
    <w:rsid w:val="00097627"/>
    <w:rsid w:val="000A683E"/>
    <w:rsid w:val="000B19B9"/>
    <w:rsid w:val="000B2F1D"/>
    <w:rsid w:val="000D0334"/>
    <w:rsid w:val="000D5DA7"/>
    <w:rsid w:val="000F6486"/>
    <w:rsid w:val="00103798"/>
    <w:rsid w:val="00116940"/>
    <w:rsid w:val="00117544"/>
    <w:rsid w:val="00125105"/>
    <w:rsid w:val="00126B92"/>
    <w:rsid w:val="00127233"/>
    <w:rsid w:val="001357B2"/>
    <w:rsid w:val="00136941"/>
    <w:rsid w:val="0015699B"/>
    <w:rsid w:val="001A33BF"/>
    <w:rsid w:val="001A61AD"/>
    <w:rsid w:val="001B3403"/>
    <w:rsid w:val="001E4177"/>
    <w:rsid w:val="001F0B24"/>
    <w:rsid w:val="001F7DC6"/>
    <w:rsid w:val="002044A3"/>
    <w:rsid w:val="00204A1B"/>
    <w:rsid w:val="0022400B"/>
    <w:rsid w:val="002421BB"/>
    <w:rsid w:val="00256675"/>
    <w:rsid w:val="0025796E"/>
    <w:rsid w:val="002707A2"/>
    <w:rsid w:val="002761D4"/>
    <w:rsid w:val="00281AB8"/>
    <w:rsid w:val="0029054D"/>
    <w:rsid w:val="00294040"/>
    <w:rsid w:val="002951A0"/>
    <w:rsid w:val="002962BC"/>
    <w:rsid w:val="002A093D"/>
    <w:rsid w:val="002A0DD0"/>
    <w:rsid w:val="002A49AC"/>
    <w:rsid w:val="002A64FD"/>
    <w:rsid w:val="002B0A65"/>
    <w:rsid w:val="002B1EF4"/>
    <w:rsid w:val="002B53CE"/>
    <w:rsid w:val="002B72B5"/>
    <w:rsid w:val="002B730F"/>
    <w:rsid w:val="002C7A84"/>
    <w:rsid w:val="002C7CFC"/>
    <w:rsid w:val="002E2BF8"/>
    <w:rsid w:val="002E4FD9"/>
    <w:rsid w:val="002E6104"/>
    <w:rsid w:val="002F4390"/>
    <w:rsid w:val="002F4750"/>
    <w:rsid w:val="002F6044"/>
    <w:rsid w:val="0030657A"/>
    <w:rsid w:val="00322A85"/>
    <w:rsid w:val="00324168"/>
    <w:rsid w:val="00330834"/>
    <w:rsid w:val="00331E14"/>
    <w:rsid w:val="00334489"/>
    <w:rsid w:val="003448F4"/>
    <w:rsid w:val="003504CF"/>
    <w:rsid w:val="0037015E"/>
    <w:rsid w:val="00374F5E"/>
    <w:rsid w:val="00377E3E"/>
    <w:rsid w:val="003878CE"/>
    <w:rsid w:val="00397E8F"/>
    <w:rsid w:val="003A779E"/>
    <w:rsid w:val="003C5A95"/>
    <w:rsid w:val="003D0F4D"/>
    <w:rsid w:val="003D33D6"/>
    <w:rsid w:val="003D5B0D"/>
    <w:rsid w:val="003E0499"/>
    <w:rsid w:val="003E1AFE"/>
    <w:rsid w:val="003E348A"/>
    <w:rsid w:val="003E4F80"/>
    <w:rsid w:val="003E6439"/>
    <w:rsid w:val="003F3941"/>
    <w:rsid w:val="00406575"/>
    <w:rsid w:val="0041465D"/>
    <w:rsid w:val="00414C74"/>
    <w:rsid w:val="0042722E"/>
    <w:rsid w:val="00441434"/>
    <w:rsid w:val="004427A2"/>
    <w:rsid w:val="004444AC"/>
    <w:rsid w:val="0044528D"/>
    <w:rsid w:val="00445530"/>
    <w:rsid w:val="00457DB0"/>
    <w:rsid w:val="00466E39"/>
    <w:rsid w:val="00482B83"/>
    <w:rsid w:val="004874D3"/>
    <w:rsid w:val="004A1847"/>
    <w:rsid w:val="004A305D"/>
    <w:rsid w:val="004B4E88"/>
    <w:rsid w:val="004C3055"/>
    <w:rsid w:val="004C33E4"/>
    <w:rsid w:val="004D62C6"/>
    <w:rsid w:val="004F21C4"/>
    <w:rsid w:val="004F5C2E"/>
    <w:rsid w:val="004F685F"/>
    <w:rsid w:val="00500525"/>
    <w:rsid w:val="00503FCD"/>
    <w:rsid w:val="00525E40"/>
    <w:rsid w:val="00530A1F"/>
    <w:rsid w:val="005566E8"/>
    <w:rsid w:val="005637FA"/>
    <w:rsid w:val="00574867"/>
    <w:rsid w:val="005773C9"/>
    <w:rsid w:val="00591460"/>
    <w:rsid w:val="005A65E0"/>
    <w:rsid w:val="005B7638"/>
    <w:rsid w:val="005C14A7"/>
    <w:rsid w:val="005C3777"/>
    <w:rsid w:val="005C5CDC"/>
    <w:rsid w:val="005D476C"/>
    <w:rsid w:val="006200BF"/>
    <w:rsid w:val="006219F8"/>
    <w:rsid w:val="006302F7"/>
    <w:rsid w:val="0063475B"/>
    <w:rsid w:val="006420BD"/>
    <w:rsid w:val="00646B9F"/>
    <w:rsid w:val="00651163"/>
    <w:rsid w:val="00665D70"/>
    <w:rsid w:val="006745D3"/>
    <w:rsid w:val="006827DE"/>
    <w:rsid w:val="00683566"/>
    <w:rsid w:val="006900D9"/>
    <w:rsid w:val="0069331C"/>
    <w:rsid w:val="00694B36"/>
    <w:rsid w:val="006C75BB"/>
    <w:rsid w:val="00704572"/>
    <w:rsid w:val="00706C16"/>
    <w:rsid w:val="00731BB1"/>
    <w:rsid w:val="007340C3"/>
    <w:rsid w:val="0075235A"/>
    <w:rsid w:val="0075262A"/>
    <w:rsid w:val="00756841"/>
    <w:rsid w:val="0076175D"/>
    <w:rsid w:val="007649AB"/>
    <w:rsid w:val="0076755F"/>
    <w:rsid w:val="00771D0C"/>
    <w:rsid w:val="007833AC"/>
    <w:rsid w:val="00783C9E"/>
    <w:rsid w:val="007A1830"/>
    <w:rsid w:val="007A788B"/>
    <w:rsid w:val="007B268C"/>
    <w:rsid w:val="007B2B9E"/>
    <w:rsid w:val="007B7171"/>
    <w:rsid w:val="007C0C0F"/>
    <w:rsid w:val="007C3DC2"/>
    <w:rsid w:val="007D5B3F"/>
    <w:rsid w:val="007D61DB"/>
    <w:rsid w:val="007E5497"/>
    <w:rsid w:val="007F2B3F"/>
    <w:rsid w:val="00804BDA"/>
    <w:rsid w:val="00806F5F"/>
    <w:rsid w:val="0081503F"/>
    <w:rsid w:val="00820278"/>
    <w:rsid w:val="008258C9"/>
    <w:rsid w:val="008306C4"/>
    <w:rsid w:val="0083378B"/>
    <w:rsid w:val="00844AE9"/>
    <w:rsid w:val="008452AE"/>
    <w:rsid w:val="00867F95"/>
    <w:rsid w:val="00881D12"/>
    <w:rsid w:val="008843B6"/>
    <w:rsid w:val="00891928"/>
    <w:rsid w:val="008A446D"/>
    <w:rsid w:val="008B1BD7"/>
    <w:rsid w:val="008B25F1"/>
    <w:rsid w:val="008B76C7"/>
    <w:rsid w:val="008C087B"/>
    <w:rsid w:val="008D180B"/>
    <w:rsid w:val="008D25F6"/>
    <w:rsid w:val="008F0EA7"/>
    <w:rsid w:val="008F1B4A"/>
    <w:rsid w:val="008F3DCB"/>
    <w:rsid w:val="008F7373"/>
    <w:rsid w:val="00915BD4"/>
    <w:rsid w:val="00922031"/>
    <w:rsid w:val="00923EEF"/>
    <w:rsid w:val="00926D8E"/>
    <w:rsid w:val="009419F9"/>
    <w:rsid w:val="00943080"/>
    <w:rsid w:val="0095685E"/>
    <w:rsid w:val="00957C34"/>
    <w:rsid w:val="00961B09"/>
    <w:rsid w:val="00965334"/>
    <w:rsid w:val="0097093E"/>
    <w:rsid w:val="009721AA"/>
    <w:rsid w:val="0098174A"/>
    <w:rsid w:val="009877B5"/>
    <w:rsid w:val="009A0DFA"/>
    <w:rsid w:val="009A3571"/>
    <w:rsid w:val="009A74B4"/>
    <w:rsid w:val="009B2D26"/>
    <w:rsid w:val="009B4089"/>
    <w:rsid w:val="009C1EC5"/>
    <w:rsid w:val="009C5155"/>
    <w:rsid w:val="009C60F2"/>
    <w:rsid w:val="009C6AE3"/>
    <w:rsid w:val="009C71FA"/>
    <w:rsid w:val="009C72E7"/>
    <w:rsid w:val="009C7F7E"/>
    <w:rsid w:val="009D3058"/>
    <w:rsid w:val="009F3A13"/>
    <w:rsid w:val="00A122D3"/>
    <w:rsid w:val="00A14468"/>
    <w:rsid w:val="00A17F13"/>
    <w:rsid w:val="00A20739"/>
    <w:rsid w:val="00A23AF9"/>
    <w:rsid w:val="00A33C78"/>
    <w:rsid w:val="00A52377"/>
    <w:rsid w:val="00A77865"/>
    <w:rsid w:val="00AB0ADB"/>
    <w:rsid w:val="00AC04AA"/>
    <w:rsid w:val="00AC78D9"/>
    <w:rsid w:val="00AE444D"/>
    <w:rsid w:val="00B00C0E"/>
    <w:rsid w:val="00B01B1A"/>
    <w:rsid w:val="00B06FEE"/>
    <w:rsid w:val="00B16B6B"/>
    <w:rsid w:val="00B3286D"/>
    <w:rsid w:val="00B417F6"/>
    <w:rsid w:val="00B44A47"/>
    <w:rsid w:val="00B63408"/>
    <w:rsid w:val="00B66451"/>
    <w:rsid w:val="00B66EBC"/>
    <w:rsid w:val="00B72CD3"/>
    <w:rsid w:val="00B72FFF"/>
    <w:rsid w:val="00B90BEF"/>
    <w:rsid w:val="00BC3D36"/>
    <w:rsid w:val="00BD54A6"/>
    <w:rsid w:val="00BD7F72"/>
    <w:rsid w:val="00BF535D"/>
    <w:rsid w:val="00BF6E49"/>
    <w:rsid w:val="00BF7425"/>
    <w:rsid w:val="00C04FB3"/>
    <w:rsid w:val="00C11D8B"/>
    <w:rsid w:val="00C167F4"/>
    <w:rsid w:val="00C330EB"/>
    <w:rsid w:val="00C50D69"/>
    <w:rsid w:val="00C5365C"/>
    <w:rsid w:val="00C754BE"/>
    <w:rsid w:val="00C76B1C"/>
    <w:rsid w:val="00C925AC"/>
    <w:rsid w:val="00CB5721"/>
    <w:rsid w:val="00CB6357"/>
    <w:rsid w:val="00CC1B26"/>
    <w:rsid w:val="00CD3186"/>
    <w:rsid w:val="00D11085"/>
    <w:rsid w:val="00D361FD"/>
    <w:rsid w:val="00D423A2"/>
    <w:rsid w:val="00D44E26"/>
    <w:rsid w:val="00D51245"/>
    <w:rsid w:val="00D520D8"/>
    <w:rsid w:val="00D532F2"/>
    <w:rsid w:val="00D55855"/>
    <w:rsid w:val="00D56C02"/>
    <w:rsid w:val="00D57A0A"/>
    <w:rsid w:val="00D62B39"/>
    <w:rsid w:val="00D63AC2"/>
    <w:rsid w:val="00D7383B"/>
    <w:rsid w:val="00D7788A"/>
    <w:rsid w:val="00D77ED5"/>
    <w:rsid w:val="00D85536"/>
    <w:rsid w:val="00DA231B"/>
    <w:rsid w:val="00DB442D"/>
    <w:rsid w:val="00DC39FC"/>
    <w:rsid w:val="00DE2682"/>
    <w:rsid w:val="00DF2A39"/>
    <w:rsid w:val="00DF5254"/>
    <w:rsid w:val="00E02524"/>
    <w:rsid w:val="00E16408"/>
    <w:rsid w:val="00E20894"/>
    <w:rsid w:val="00E245AB"/>
    <w:rsid w:val="00E2764C"/>
    <w:rsid w:val="00E27F2E"/>
    <w:rsid w:val="00E50AFE"/>
    <w:rsid w:val="00E65959"/>
    <w:rsid w:val="00E70502"/>
    <w:rsid w:val="00E75C92"/>
    <w:rsid w:val="00E771DC"/>
    <w:rsid w:val="00E8505A"/>
    <w:rsid w:val="00E8772A"/>
    <w:rsid w:val="00E90F6B"/>
    <w:rsid w:val="00E92C27"/>
    <w:rsid w:val="00E960A7"/>
    <w:rsid w:val="00EA0E3D"/>
    <w:rsid w:val="00EA2550"/>
    <w:rsid w:val="00EB6668"/>
    <w:rsid w:val="00EC195D"/>
    <w:rsid w:val="00EC38A7"/>
    <w:rsid w:val="00EC680E"/>
    <w:rsid w:val="00EE1AA8"/>
    <w:rsid w:val="00EE7B18"/>
    <w:rsid w:val="00F000D3"/>
    <w:rsid w:val="00F11799"/>
    <w:rsid w:val="00F23FEA"/>
    <w:rsid w:val="00F27984"/>
    <w:rsid w:val="00F27B7B"/>
    <w:rsid w:val="00F31EDC"/>
    <w:rsid w:val="00F462B3"/>
    <w:rsid w:val="00F54E0C"/>
    <w:rsid w:val="00F5664F"/>
    <w:rsid w:val="00F666C4"/>
    <w:rsid w:val="00F76AFC"/>
    <w:rsid w:val="00F8569A"/>
    <w:rsid w:val="00F93BFD"/>
    <w:rsid w:val="00FA47C0"/>
    <w:rsid w:val="00FB0B6D"/>
    <w:rsid w:val="00FB5DD1"/>
    <w:rsid w:val="00FC1576"/>
    <w:rsid w:val="00FC2B5D"/>
    <w:rsid w:val="00FC67AA"/>
    <w:rsid w:val="00FD0452"/>
    <w:rsid w:val="00FE6088"/>
    <w:rsid w:val="00FF1449"/>
    <w:rsid w:val="00FF7963"/>
    <w:rsid w:val="09908A09"/>
    <w:rsid w:val="19A2EC2C"/>
    <w:rsid w:val="2859CA1B"/>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78CE"/>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customStyle="1" w:styleId="UnresolvedMention">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7A1830"/>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7A1830"/>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504CF"/>
    <w:rPr>
      <w:rFonts w:ascii="Geomanist Light" w:hAnsi="Geomanist Light"/>
      <w:lang w:val="es-ES"/>
    </w:rPr>
  </w:style>
  <w:style w:type="character" w:styleId="Textoennegrita">
    <w:name w:val="Strong"/>
    <w:basedOn w:val="Fuentedeprrafopredeter"/>
    <w:uiPriority w:val="22"/>
    <w:qFormat/>
    <w:rsid w:val="003E348A"/>
    <w:rPr>
      <w:b/>
      <w:bCs/>
    </w:rPr>
  </w:style>
  <w:style w:type="character" w:customStyle="1" w:styleId="NormalWebCar">
    <w:name w:val="Normal (Web) Car"/>
    <w:link w:val="NormalWeb"/>
    <w:uiPriority w:val="99"/>
    <w:locked/>
    <w:rsid w:val="003E348A"/>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99"/>
    <w:semiHidden/>
    <w:unhideWhenUsed/>
    <w:rsid w:val="0083378B"/>
    <w:pPr>
      <w:spacing w:after="120"/>
    </w:pPr>
  </w:style>
  <w:style w:type="character" w:customStyle="1" w:styleId="TextoindependienteCar">
    <w:name w:val="Texto independiente Car"/>
    <w:basedOn w:val="Fuentedeprrafopredeter"/>
    <w:link w:val="Textoindependiente"/>
    <w:uiPriority w:val="99"/>
    <w:semiHidden/>
    <w:rsid w:val="0083378B"/>
  </w:style>
  <w:style w:type="paragraph" w:styleId="Sinespaciado">
    <w:name w:val="No Spacing"/>
    <w:uiPriority w:val="1"/>
    <w:qFormat/>
    <w:rsid w:val="004F5C2E"/>
    <w:pPr>
      <w:spacing w:after="0" w:line="240" w:lineRule="auto"/>
    </w:pPr>
  </w:style>
  <w:style w:type="character" w:styleId="Refdecomentario">
    <w:name w:val="annotation reference"/>
    <w:basedOn w:val="Fuentedeprrafopredeter"/>
    <w:qFormat/>
    <w:rsid w:val="00E960A7"/>
    <w:rPr>
      <w:rFonts w:ascii="Verdana" w:hAnsi="Verdana"/>
      <w:sz w:val="16"/>
      <w:szCs w:val="16"/>
    </w:rPr>
  </w:style>
  <w:style w:type="paragraph" w:styleId="Textocomentario">
    <w:name w:val="annotation text"/>
    <w:basedOn w:val="Normal"/>
    <w:link w:val="TextocomentarioCar"/>
    <w:rsid w:val="00E960A7"/>
    <w:pPr>
      <w:spacing w:after="0" w:line="240" w:lineRule="auto"/>
    </w:pPr>
    <w:rPr>
      <w:rFonts w:ascii="Times New Roman" w:eastAsia="Times New Roman" w:hAnsi="Times New Roman" w:cs="Times New Roman"/>
      <w:sz w:val="20"/>
      <w:szCs w:val="20"/>
      <w:lang w:eastAsia="es-ES"/>
    </w:rPr>
  </w:style>
  <w:style w:type="character" w:customStyle="1" w:styleId="TextocomentarioCar">
    <w:name w:val="Texto comentario Car"/>
    <w:basedOn w:val="Fuentedeprrafopredeter"/>
    <w:link w:val="Textocomentario"/>
    <w:rsid w:val="00E960A7"/>
    <w:rPr>
      <w:rFonts w:ascii="Times New Roman" w:eastAsia="Times New Roman" w:hAnsi="Times New Roman" w:cs="Times New Roman"/>
      <w:sz w:val="20"/>
      <w:szCs w:val="20"/>
      <w:lang w:eastAsia="es-ES"/>
    </w:rPr>
  </w:style>
  <w:style w:type="paragraph" w:styleId="Textodeglobo">
    <w:name w:val="Balloon Text"/>
    <w:basedOn w:val="Normal"/>
    <w:link w:val="TextodegloboCar"/>
    <w:uiPriority w:val="99"/>
    <w:semiHidden/>
    <w:unhideWhenUsed/>
    <w:rsid w:val="00E960A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960A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575626709">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archivos/manual/guia-para-la-contratacion-con-entidades-sin-animo-de-lucro-y-de-reconocida-idoneidad"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fernandog213@hotmail.com"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s://relatoria.colombiacompra.gov.co/busqueda/concepto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manuales-guias-y-pliegos-tipo/manuales-y-guia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manuales-guias-y-pliegos-tipo/manuales-y-gui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63988146-F2A0-4C58-AA49-CB90CF87E950}"/>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f802891c-ec6d-4a7d-9065-8c7796b72d37"/>
    <ds:schemaRef ds:uri="43a3329e-f091-4e15-9abe-66bee8419108"/>
  </ds:schemaRefs>
</ds:datastoreItem>
</file>

<file path=customXml/itemProps4.xml><?xml version="1.0" encoding="utf-8"?>
<ds:datastoreItem xmlns:ds="http://schemas.openxmlformats.org/officeDocument/2006/customXml" ds:itemID="{28E16D8D-271D-4D25-8DF7-62EB98AF3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23</Pages>
  <Words>7447</Words>
  <Characters>42450</Characters>
  <Application>Microsoft Office Word</Application>
  <DocSecurity>0</DocSecurity>
  <Lines>353</Lines>
  <Paragraphs>99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José Luis S</cp:lastModifiedBy>
  <cp:revision>3</cp:revision>
  <cp:lastPrinted>2023-01-10T21:18:00Z</cp:lastPrinted>
  <dcterms:created xsi:type="dcterms:W3CDTF">2025-12-22T17:09:00Z</dcterms:created>
  <dcterms:modified xsi:type="dcterms:W3CDTF">2025-12-23T03:12:00Z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