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4DD644" w14:textId="18F7456D" w:rsidR="00AC14A6" w:rsidRDefault="00F23114" w:rsidP="00F23114">
      <w:pPr>
        <w:spacing w:after="0" w:line="240" w:lineRule="auto"/>
        <w:jc w:val="both"/>
        <w:rPr>
          <w:rFonts w:ascii="Verdana" w:hAnsi="Verdana" w:cs="Arial"/>
          <w:b/>
          <w:color w:val="000000" w:themeColor="text1"/>
          <w:lang w:val="es-ES_tradnl"/>
        </w:rPr>
      </w:pPr>
      <w:bookmarkStart w:id="0" w:name="_Hlk181166130"/>
      <w:bookmarkStart w:id="1" w:name="_Hlk209714638"/>
      <w:r w:rsidRPr="00F23114">
        <w:rPr>
          <w:rFonts w:ascii="Verdana" w:hAnsi="Verdana" w:cs="Arial"/>
          <w:b/>
          <w:color w:val="000000" w:themeColor="text1"/>
          <w:lang w:val="es-ES_tradnl"/>
        </w:rPr>
        <w:t>LEY DE GARANTÍAS ELECTORALES ‒ Finalidad</w:t>
      </w:r>
    </w:p>
    <w:p w14:paraId="5B418E91" w14:textId="77777777" w:rsidR="00F23114" w:rsidRPr="00F23114" w:rsidRDefault="00F23114" w:rsidP="00F23114">
      <w:pPr>
        <w:spacing w:after="0" w:line="240" w:lineRule="auto"/>
        <w:jc w:val="both"/>
        <w:rPr>
          <w:rFonts w:ascii="Verdana" w:hAnsi="Verdana"/>
          <w:b/>
        </w:rPr>
      </w:pPr>
    </w:p>
    <w:bookmarkEnd w:id="0"/>
    <w:p w14:paraId="36F94B06" w14:textId="7FD50F99" w:rsidR="00F23114" w:rsidRPr="00F23114" w:rsidRDefault="00F23114" w:rsidP="00F23114">
      <w:pPr>
        <w:jc w:val="both"/>
        <w:rPr>
          <w:rFonts w:ascii="Verdana" w:eastAsia="Geomanist Light" w:hAnsi="Verdana" w:cs="Arial"/>
          <w:color w:val="000000" w:themeColor="text1"/>
          <w:sz w:val="20"/>
          <w:szCs w:val="20"/>
          <w:lang w:val="es-MX"/>
        </w:rPr>
      </w:pPr>
      <w:r w:rsidRPr="00F23114">
        <w:rPr>
          <w:rFonts w:ascii="Verdana" w:eastAsia="Times New Roman" w:hAnsi="Verdana" w:cs="Arial"/>
          <w:sz w:val="20"/>
          <w:szCs w:val="20"/>
          <w:lang w:val="es-MX" w:eastAsia="es-CO"/>
        </w:rPr>
        <w:t>[…] Para empezar, 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 En esta medida, introduce limitaciones para realizar nombramientos, postulaciones, contrataciones o cualquier otro tipo de actividad que implique destinación de recursos públicos bajo el devenir propio de las Entidades Estatales.</w:t>
      </w:r>
    </w:p>
    <w:p w14:paraId="6FBB1DD9" w14:textId="77777777" w:rsidR="00F23114" w:rsidRPr="00F23114" w:rsidRDefault="00F23114" w:rsidP="00F23114">
      <w:pPr>
        <w:jc w:val="both"/>
        <w:rPr>
          <w:rFonts w:ascii="Verdana" w:hAnsi="Verdana" w:cs="Arial"/>
          <w:b/>
          <w:color w:val="000000" w:themeColor="text1"/>
          <w:lang w:val="es-ES_tradnl"/>
        </w:rPr>
      </w:pPr>
      <w:r w:rsidRPr="00F23114">
        <w:rPr>
          <w:rFonts w:ascii="Verdana" w:hAnsi="Verdana" w:cs="Arial"/>
          <w:b/>
          <w:color w:val="000000" w:themeColor="text1"/>
          <w:lang w:val="es-ES_tradnl"/>
        </w:rPr>
        <w:t>LEY DE GARANTÍAS ELECTORALES ‒ Tipos de restricciones – Sociedades de economía mixta</w:t>
      </w:r>
    </w:p>
    <w:p w14:paraId="12245D29" w14:textId="77777777" w:rsidR="00F23114" w:rsidRPr="00F23114" w:rsidRDefault="00F23114" w:rsidP="00F23114">
      <w:pPr>
        <w:spacing w:after="120" w:line="276" w:lineRule="auto"/>
        <w:jc w:val="both"/>
        <w:rPr>
          <w:rFonts w:ascii="Verdana" w:eastAsia="Times New Roman" w:hAnsi="Verdana" w:cs="Open Sans"/>
          <w:sz w:val="20"/>
          <w:szCs w:val="20"/>
          <w:lang w:eastAsia="es-CO"/>
        </w:rPr>
      </w:pPr>
      <w:r w:rsidRPr="00F23114">
        <w:rPr>
          <w:rFonts w:ascii="Verdana" w:eastAsia="Times New Roman" w:hAnsi="Verdana" w:cs="Open Sans"/>
          <w:sz w:val="20"/>
          <w:szCs w:val="20"/>
          <w:lang w:eastAsia="es-CO"/>
        </w:rPr>
        <w:t xml:space="preserve">El artículo 33 de la Ley 996 de 2205 prohíbe la contratación directa por parte de todos los Entes Estatales durante los cuatro (4) meses anteriores a las elecciones presidenciales y dispone las excepciones a dicha prohibición. Así, su ámbito de prohibición está delimitado por la expresión “queda prohibida la contratación directa” y para los efectos de la Ley de Garantías Electorales y, en particular, para la prohibición o restricción temporal contenida en su artículo 33, “contratación directa” se refiere a cualquier sistema de selección o procedimiento de contratación utilizado por las entidades estatales que no incluya la convocatoria pública en alguna de sus etapas, ni permita la participación de una pluralidad de oferentes. </w:t>
      </w:r>
    </w:p>
    <w:p w14:paraId="1816B9F3" w14:textId="77777777" w:rsidR="00F23114" w:rsidRPr="00F23114" w:rsidRDefault="00F23114" w:rsidP="00F23114">
      <w:pPr>
        <w:spacing w:after="120" w:line="276" w:lineRule="auto"/>
        <w:jc w:val="both"/>
        <w:rPr>
          <w:rFonts w:ascii="Verdana" w:hAnsi="Verdana"/>
          <w:sz w:val="20"/>
          <w:szCs w:val="20"/>
        </w:rPr>
      </w:pPr>
      <w:r w:rsidRPr="00F23114">
        <w:rPr>
          <w:rFonts w:ascii="Verdana" w:eastAsia="Times New Roman" w:hAnsi="Verdana" w:cs="Open Sans"/>
          <w:sz w:val="20"/>
          <w:szCs w:val="20"/>
          <w:lang w:eastAsia="es-CO"/>
        </w:rPr>
        <w:t xml:space="preserve">Por su parte, </w:t>
      </w:r>
      <w:r w:rsidRPr="00F23114">
        <w:rPr>
          <w:rFonts w:ascii="Verdana" w:hAnsi="Verdana"/>
          <w:sz w:val="20"/>
          <w:szCs w:val="20"/>
        </w:rPr>
        <w:t xml:space="preserve">los destinatarios de la prohibición están expresamente señalados como “todos los entes del Estado”, expresión que contempla a los diferentes organismos o entidades autorizadas por la ley para suscribir contratos. En efecto, tal como lo ha sostenido el Consejo de Estado, el vocablo “todos” utilizado por el legislador comprende 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 </w:t>
      </w:r>
    </w:p>
    <w:p w14:paraId="3AE860C4" w14:textId="77777777" w:rsidR="00F23114" w:rsidRPr="00F23114" w:rsidRDefault="00F23114" w:rsidP="00F23114">
      <w:pPr>
        <w:spacing w:after="120" w:line="276" w:lineRule="auto"/>
        <w:jc w:val="both"/>
        <w:rPr>
          <w:rFonts w:ascii="Verdana" w:eastAsia="Times New Roman" w:hAnsi="Verdana" w:cs="Arial"/>
          <w:sz w:val="20"/>
          <w:szCs w:val="20"/>
          <w:lang w:val="es-ES"/>
        </w:rPr>
      </w:pPr>
      <w:r w:rsidRPr="00F23114">
        <w:rPr>
          <w:rFonts w:ascii="Verdana" w:eastAsia="Times New Roman" w:hAnsi="Verdana" w:cs="Arial"/>
          <w:sz w:val="20"/>
          <w:szCs w:val="20"/>
          <w:lang w:val="es-ES"/>
        </w:rPr>
        <w:t>En consecuencia, las restricciones a la contratación contenidas en la Ley de Garantías Electorales son aplicables a entidades descentralizadas como las sociedades de economía mixta. Por lo tanto, la celebración de cualquier contrato de forma directa, esto es, sin que exista un proceso abierto y competitivo, también se encuentra restringida para este tipo de entidades, sin perjuicio de las excepciones expresamente previstas en el inciso final del artículo 33 de dicha norma.</w:t>
      </w:r>
    </w:p>
    <w:p w14:paraId="662AC688" w14:textId="77777777" w:rsidR="00F23114" w:rsidRPr="00F23114" w:rsidRDefault="00F23114" w:rsidP="00AC14A6">
      <w:pPr>
        <w:rPr>
          <w:rFonts w:ascii="Verdana" w:eastAsia="Geomanist Light" w:hAnsi="Verdana" w:cs="Arial"/>
          <w:color w:val="000000" w:themeColor="text1"/>
          <w:lang w:val="es-ES"/>
        </w:rPr>
      </w:pPr>
    </w:p>
    <w:p w14:paraId="6C2C765B" w14:textId="77777777" w:rsidR="00F23114" w:rsidRDefault="00F23114" w:rsidP="00AC14A6">
      <w:pPr>
        <w:rPr>
          <w:rFonts w:ascii="Verdana" w:eastAsia="Geomanist Light" w:hAnsi="Verdana" w:cs="Arial"/>
          <w:color w:val="000000" w:themeColor="text1"/>
          <w:lang w:val="es-MX"/>
        </w:rPr>
      </w:pPr>
    </w:p>
    <w:p w14:paraId="72F2CEC3" w14:textId="47796BD4" w:rsidR="00AC14A6" w:rsidRPr="00D30EFC" w:rsidRDefault="00AC14A6" w:rsidP="00AC14A6">
      <w:pPr>
        <w:rPr>
          <w:rFonts w:ascii="Verdana" w:eastAsia="Geomanist Light" w:hAnsi="Verdana" w:cs="Arial"/>
          <w:color w:val="201F1E"/>
          <w:lang w:val="es-MX"/>
        </w:rPr>
      </w:pPr>
      <w:r w:rsidRPr="00E959BB">
        <w:rPr>
          <w:rFonts w:ascii="Verdana" w:eastAsia="Geomanist Light" w:hAnsi="Verdana" w:cs="Arial"/>
          <w:color w:val="000000" w:themeColor="text1"/>
          <w:lang w:val="es-MX"/>
        </w:rPr>
        <w:lastRenderedPageBreak/>
        <w:t>Bogotá D.C., </w:t>
      </w:r>
      <w:r w:rsidR="00F23114">
        <w:rPr>
          <w:rFonts w:ascii="Verdana" w:eastAsia="Geomanist Light" w:hAnsi="Verdana" w:cs="Arial"/>
          <w:color w:val="201F1E"/>
          <w:lang w:val="es-MX"/>
        </w:rPr>
        <w:t>19</w:t>
      </w:r>
      <w:r w:rsidRPr="00E959BB">
        <w:rPr>
          <w:rFonts w:ascii="Verdana" w:eastAsia="Geomanist Light" w:hAnsi="Verdana" w:cs="Arial"/>
          <w:color w:val="201F1E"/>
          <w:lang w:val="es-MX"/>
        </w:rPr>
        <w:t xml:space="preserve"> de </w:t>
      </w:r>
      <w:r w:rsidR="00F23114">
        <w:rPr>
          <w:rFonts w:ascii="Verdana" w:eastAsia="Geomanist Light" w:hAnsi="Verdana" w:cs="Arial"/>
          <w:color w:val="201F1E"/>
          <w:lang w:val="es-MX"/>
        </w:rPr>
        <w:t>marzo</w:t>
      </w:r>
      <w:r w:rsidRPr="00E959BB">
        <w:rPr>
          <w:rFonts w:ascii="Verdana" w:eastAsia="Geomanist Light" w:hAnsi="Verdana" w:cs="Arial"/>
          <w:color w:val="201F1E"/>
          <w:lang w:val="es-MX"/>
        </w:rPr>
        <w:t xml:space="preserve"> de </w:t>
      </w:r>
      <w:r w:rsidR="00F23114">
        <w:rPr>
          <w:rFonts w:ascii="Verdana" w:eastAsia="Geomanist Light" w:hAnsi="Verdana" w:cs="Arial"/>
          <w:color w:val="201F1E"/>
          <w:lang w:val="es-MX"/>
        </w:rPr>
        <w:t>2026</w:t>
      </w:r>
    </w:p>
    <w:p w14:paraId="43EFFE03" w14:textId="5915CC23" w:rsidR="00A64017" w:rsidRPr="00AC14A6" w:rsidRDefault="00A35FB0" w:rsidP="00103B90">
      <w:pPr>
        <w:spacing w:after="0" w:line="240" w:lineRule="auto"/>
        <w:rPr>
          <w:rFonts w:ascii="Verdana" w:hAnsi="Verdana"/>
          <w:lang w:val="es-MX"/>
        </w:rPr>
      </w:pPr>
      <w:r w:rsidRPr="00A35FB0">
        <w:rPr>
          <w:rFonts w:ascii="Verdana" w:eastAsia="Calibri" w:hAnsi="Verdana" w:cs="Arial"/>
          <w:b/>
          <w:bCs/>
          <w:lang w:eastAsia="es-ES"/>
        </w:rPr>
        <w:drawing>
          <wp:anchor distT="0" distB="0" distL="114300" distR="114300" simplePos="0" relativeHeight="251658240" behindDoc="0" locked="0" layoutInCell="1" allowOverlap="1" wp14:anchorId="363E88FE" wp14:editId="34453A7A">
            <wp:simplePos x="0" y="0"/>
            <wp:positionH relativeFrom="margin">
              <wp:align>right</wp:align>
            </wp:positionH>
            <wp:positionV relativeFrom="paragraph">
              <wp:posOffset>25400</wp:posOffset>
            </wp:positionV>
            <wp:extent cx="3076575" cy="809625"/>
            <wp:effectExtent l="0" t="0" r="9525" b="9525"/>
            <wp:wrapSquare wrapText="bothSides"/>
            <wp:docPr id="13218552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1855261" name=""/>
                    <pic:cNvPicPr/>
                  </pic:nvPicPr>
                  <pic:blipFill>
                    <a:blip r:embed="rId11">
                      <a:extLst>
                        <a:ext uri="{28A0092B-C50C-407E-A947-70E740481C1C}">
                          <a14:useLocalDpi xmlns:a14="http://schemas.microsoft.com/office/drawing/2010/main" val="0"/>
                        </a:ext>
                      </a:extLst>
                    </a:blip>
                    <a:stretch>
                      <a:fillRect/>
                    </a:stretch>
                  </pic:blipFill>
                  <pic:spPr>
                    <a:xfrm>
                      <a:off x="0" y="0"/>
                      <a:ext cx="3076575" cy="809625"/>
                    </a:xfrm>
                    <a:prstGeom prst="rect">
                      <a:avLst/>
                    </a:prstGeom>
                  </pic:spPr>
                </pic:pic>
              </a:graphicData>
            </a:graphic>
          </wp:anchor>
        </w:drawing>
      </w:r>
    </w:p>
    <w:p w14:paraId="6EF9D4E0" w14:textId="6D0D9150" w:rsidR="00A64017" w:rsidRPr="00631045" w:rsidRDefault="00A64017" w:rsidP="00A64017">
      <w:pPr>
        <w:spacing w:after="0" w:line="240" w:lineRule="auto"/>
        <w:jc w:val="both"/>
        <w:rPr>
          <w:rFonts w:ascii="Verdana" w:eastAsia="Calibri" w:hAnsi="Verdana" w:cs="Arial"/>
          <w:lang w:eastAsia="es-ES"/>
        </w:rPr>
      </w:pPr>
      <w:r w:rsidRPr="00631045">
        <w:rPr>
          <w:rFonts w:ascii="Verdana" w:eastAsia="Calibri" w:hAnsi="Verdana" w:cs="Arial"/>
          <w:lang w:eastAsia="es-ES"/>
        </w:rPr>
        <w:t>Señor</w:t>
      </w:r>
      <w:r w:rsidR="00D51C81">
        <w:rPr>
          <w:rFonts w:ascii="Verdana" w:eastAsia="Calibri" w:hAnsi="Verdana" w:cs="Arial"/>
          <w:lang w:eastAsia="es-ES"/>
        </w:rPr>
        <w:t>a</w:t>
      </w:r>
      <w:r w:rsidRPr="00631045">
        <w:rPr>
          <w:rFonts w:ascii="Verdana" w:eastAsia="Calibri" w:hAnsi="Verdana" w:cs="Arial"/>
          <w:lang w:eastAsia="es-ES"/>
        </w:rPr>
        <w:tab/>
      </w:r>
    </w:p>
    <w:p w14:paraId="42431824" w14:textId="03546E3D" w:rsidR="00457B5F" w:rsidRPr="00235C0B" w:rsidRDefault="00235C0B" w:rsidP="00A64017">
      <w:pPr>
        <w:spacing w:after="0" w:line="240" w:lineRule="auto"/>
        <w:rPr>
          <w:rFonts w:ascii="Verdana" w:eastAsia="Calibri" w:hAnsi="Verdana" w:cs="Arial"/>
          <w:b/>
          <w:bCs/>
          <w:lang w:eastAsia="es-ES"/>
        </w:rPr>
      </w:pPr>
      <w:r w:rsidRPr="00235C0B">
        <w:rPr>
          <w:rFonts w:ascii="Verdana" w:eastAsia="Calibri" w:hAnsi="Verdana" w:cs="Arial"/>
          <w:b/>
          <w:bCs/>
          <w:lang w:eastAsia="es-ES"/>
        </w:rPr>
        <w:t>Luisa Briascos</w:t>
      </w:r>
      <w:r w:rsidR="00A35FB0" w:rsidRPr="00A35FB0">
        <w:rPr>
          <w:noProof/>
        </w:rPr>
        <w:t xml:space="preserve"> </w:t>
      </w:r>
    </w:p>
    <w:p w14:paraId="1FD85336" w14:textId="4E030212" w:rsidR="00A64017" w:rsidRPr="00235C0B" w:rsidRDefault="00235C0B" w:rsidP="00A64017">
      <w:pPr>
        <w:spacing w:after="0" w:line="240" w:lineRule="auto"/>
        <w:rPr>
          <w:rFonts w:ascii="Verdana" w:hAnsi="Verdana"/>
        </w:rPr>
      </w:pPr>
      <w:hyperlink r:id="rId12" w:history="1">
        <w:r w:rsidRPr="00235C0B">
          <w:rPr>
            <w:rStyle w:val="Hipervnculo"/>
            <w:rFonts w:ascii="Verdana" w:hAnsi="Verdana"/>
          </w:rPr>
          <w:t>luisabriascos@gmail.com</w:t>
        </w:r>
      </w:hyperlink>
      <w:r w:rsidRPr="00235C0B">
        <w:rPr>
          <w:rFonts w:ascii="Verdana" w:hAnsi="Verdana"/>
        </w:rPr>
        <w:t xml:space="preserve">; </w:t>
      </w:r>
    </w:p>
    <w:p w14:paraId="2C7B6D66" w14:textId="1AF8F67C" w:rsidR="00A64017" w:rsidRDefault="00D51C81" w:rsidP="00A64017">
      <w:pPr>
        <w:spacing w:after="0" w:line="240" w:lineRule="auto"/>
        <w:rPr>
          <w:rFonts w:ascii="Verdana" w:hAnsi="Verdana"/>
        </w:rPr>
      </w:pPr>
      <w:r>
        <w:rPr>
          <w:rFonts w:ascii="Verdana" w:hAnsi="Verdana"/>
        </w:rPr>
        <w:t>Ciudad</w:t>
      </w:r>
    </w:p>
    <w:p w14:paraId="42CD973F" w14:textId="77777777" w:rsidR="00457B5F" w:rsidRPr="00FE3DEC" w:rsidRDefault="00457B5F" w:rsidP="00A64017">
      <w:pPr>
        <w:spacing w:after="0" w:line="240" w:lineRule="auto"/>
        <w:rPr>
          <w:rFonts w:ascii="Verdana" w:eastAsia="Calibri" w:hAnsi="Verdana" w:cs="Arial"/>
          <w:color w:val="000000"/>
          <w:lang w:val="es-ES_tradnl" w:eastAsia="es-ES_tradnl"/>
        </w:rPr>
      </w:pPr>
    </w:p>
    <w:tbl>
      <w:tblPr>
        <w:tblStyle w:val="Tablaconcuadrcula"/>
        <w:tblW w:w="8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295"/>
        <w:gridCol w:w="6162"/>
        <w:gridCol w:w="319"/>
      </w:tblGrid>
      <w:tr w:rsidR="00A64017" w:rsidRPr="00593A5F" w14:paraId="01D86018" w14:textId="77777777" w:rsidTr="00A15B1F">
        <w:trPr>
          <w:trHeight w:val="273"/>
        </w:trPr>
        <w:tc>
          <w:tcPr>
            <w:tcW w:w="2295" w:type="dxa"/>
          </w:tcPr>
          <w:p w14:paraId="1620BC45" w14:textId="77777777" w:rsidR="00A64017" w:rsidRPr="00E5644F" w:rsidRDefault="00A64017" w:rsidP="00A15B1F">
            <w:pPr>
              <w:jc w:val="both"/>
              <w:rPr>
                <w:rFonts w:ascii="Verdana" w:eastAsia="Calibri" w:hAnsi="Verdana" w:cs="Arial"/>
                <w:b/>
                <w:bCs/>
                <w:color w:val="7030A0"/>
                <w:lang w:val="es-ES_tradnl" w:eastAsia="es-ES_tradnl"/>
              </w:rPr>
            </w:pPr>
          </w:p>
        </w:tc>
        <w:tc>
          <w:tcPr>
            <w:tcW w:w="6481" w:type="dxa"/>
            <w:gridSpan w:val="2"/>
          </w:tcPr>
          <w:p w14:paraId="00E37139" w14:textId="57890F9F" w:rsidR="00A64017" w:rsidRPr="001773DA" w:rsidRDefault="00A64017" w:rsidP="00A15B1F">
            <w:pPr>
              <w:jc w:val="both"/>
              <w:rPr>
                <w:rFonts w:ascii="Verdana" w:eastAsia="Calibri" w:hAnsi="Verdana" w:cs="Arial"/>
                <w:b/>
                <w:bCs/>
                <w:lang w:val="es-ES" w:eastAsia="es-ES"/>
              </w:rPr>
            </w:pPr>
            <w:r w:rsidRPr="001773DA">
              <w:rPr>
                <w:rFonts w:ascii="Verdana" w:eastAsia="Calibri" w:hAnsi="Verdana" w:cs="Arial"/>
                <w:b/>
                <w:bCs/>
                <w:lang w:val="es-ES" w:eastAsia="es-ES"/>
              </w:rPr>
              <w:t>Concepto C-</w:t>
            </w:r>
            <w:r w:rsidR="00D51C81">
              <w:rPr>
                <w:rFonts w:ascii="Verdana" w:eastAsia="Calibri" w:hAnsi="Verdana" w:cs="Arial"/>
                <w:b/>
                <w:bCs/>
                <w:lang w:val="es-ES" w:eastAsia="es-ES"/>
              </w:rPr>
              <w:t>181</w:t>
            </w:r>
            <w:r w:rsidRPr="001773DA">
              <w:rPr>
                <w:rFonts w:ascii="Verdana" w:eastAsia="Calibri" w:hAnsi="Verdana" w:cs="Arial"/>
                <w:b/>
                <w:bCs/>
                <w:lang w:val="es-ES" w:eastAsia="es-ES"/>
              </w:rPr>
              <w:t xml:space="preserve"> de 202</w:t>
            </w:r>
            <w:r w:rsidR="00D51C81">
              <w:rPr>
                <w:rFonts w:ascii="Verdana" w:eastAsia="Calibri" w:hAnsi="Verdana" w:cs="Arial"/>
                <w:b/>
                <w:bCs/>
                <w:lang w:val="es-ES" w:eastAsia="es-ES"/>
              </w:rPr>
              <w:t>6</w:t>
            </w:r>
          </w:p>
          <w:p w14:paraId="307B3621" w14:textId="77777777" w:rsidR="00A64017" w:rsidRPr="001773DA" w:rsidRDefault="00A64017" w:rsidP="00A15B1F">
            <w:pPr>
              <w:jc w:val="both"/>
              <w:rPr>
                <w:rFonts w:ascii="Verdana" w:eastAsia="Calibri" w:hAnsi="Verdana" w:cs="Arial"/>
                <w:b/>
                <w:bCs/>
                <w:color w:val="7030A0"/>
                <w:lang w:val="es-ES" w:eastAsia="es-ES"/>
              </w:rPr>
            </w:pPr>
          </w:p>
        </w:tc>
      </w:tr>
      <w:tr w:rsidR="00A64017" w:rsidRPr="00280D79" w14:paraId="0E48C791" w14:textId="77777777" w:rsidTr="00457B5F">
        <w:trPr>
          <w:trHeight w:val="1086"/>
        </w:trPr>
        <w:tc>
          <w:tcPr>
            <w:tcW w:w="2295" w:type="dxa"/>
          </w:tcPr>
          <w:p w14:paraId="64EB1800" w14:textId="77777777" w:rsidR="00A64017" w:rsidRPr="00593A5F" w:rsidRDefault="00A64017" w:rsidP="00A15B1F">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481" w:type="dxa"/>
            <w:gridSpan w:val="2"/>
          </w:tcPr>
          <w:p w14:paraId="7E612156" w14:textId="77777777" w:rsidR="00501AFD" w:rsidRDefault="00501AFD" w:rsidP="00501AFD">
            <w:pPr>
              <w:jc w:val="both"/>
              <w:rPr>
                <w:rFonts w:ascii="Verdana" w:hAnsi="Verdana" w:cs="Arial"/>
                <w:bCs/>
                <w:color w:val="000000" w:themeColor="text1"/>
                <w:lang w:val="es-ES_tradnl"/>
              </w:rPr>
            </w:pPr>
            <w:r w:rsidRPr="00C53B42">
              <w:rPr>
                <w:rFonts w:ascii="Verdana" w:hAnsi="Verdana" w:cs="Arial"/>
                <w:bCs/>
                <w:color w:val="000000" w:themeColor="text1"/>
                <w:lang w:val="es-ES_tradnl"/>
              </w:rPr>
              <w:t xml:space="preserve">LEY DE GARANTÍAS ELECTORALES ‒ Finalidad / LEY DE GARANTÍAS ELECTORALES </w:t>
            </w:r>
            <w:r w:rsidRPr="001D2E34">
              <w:rPr>
                <w:rFonts w:ascii="Verdana" w:hAnsi="Verdana" w:cs="Arial"/>
                <w:bCs/>
                <w:color w:val="000000" w:themeColor="text1"/>
                <w:lang w:val="es-ES_tradnl"/>
              </w:rPr>
              <w:t>‒ Tipos de restricciones – Sociedades de economía mixta</w:t>
            </w:r>
          </w:p>
          <w:p w14:paraId="2A049EB1" w14:textId="306228BF" w:rsidR="00C91AF4" w:rsidRPr="001773DA" w:rsidRDefault="00C91AF4" w:rsidP="00146287">
            <w:pPr>
              <w:jc w:val="both"/>
              <w:rPr>
                <w:rFonts w:ascii="Verdana" w:eastAsia="Calibri" w:hAnsi="Verdana" w:cs="Arial"/>
                <w:b/>
                <w:lang w:val="es-ES" w:eastAsia="es-ES"/>
              </w:rPr>
            </w:pPr>
          </w:p>
        </w:tc>
      </w:tr>
      <w:tr w:rsidR="00A64017" w:rsidRPr="00593A5F" w14:paraId="36BB2E28" w14:textId="77777777" w:rsidTr="00A15B1F">
        <w:trPr>
          <w:trHeight w:val="545"/>
        </w:trPr>
        <w:tc>
          <w:tcPr>
            <w:tcW w:w="2295" w:type="dxa"/>
          </w:tcPr>
          <w:p w14:paraId="191CC24C" w14:textId="77777777" w:rsidR="00A64017" w:rsidRPr="006730E9" w:rsidRDefault="00A64017" w:rsidP="00A15B1F">
            <w:pPr>
              <w:jc w:val="both"/>
              <w:rPr>
                <w:rFonts w:ascii="Verdana" w:eastAsia="Calibri" w:hAnsi="Verdana" w:cs="Arial"/>
                <w:b/>
                <w:lang w:val="es-ES_tradnl" w:eastAsia="es-ES_tradnl"/>
              </w:rPr>
            </w:pPr>
            <w:r w:rsidRPr="006730E9">
              <w:rPr>
                <w:rFonts w:ascii="Verdana" w:eastAsia="Calibri" w:hAnsi="Verdana" w:cs="Arial"/>
                <w:b/>
                <w:lang w:val="es-ES_tradnl" w:eastAsia="es-ES_tradnl"/>
              </w:rPr>
              <w:t>Radicación:</w:t>
            </w:r>
            <w:r w:rsidRPr="006730E9">
              <w:rPr>
                <w:rFonts w:ascii="Verdana" w:eastAsia="Calibri" w:hAnsi="Verdana" w:cs="Arial"/>
                <w:lang w:val="es-ES_tradnl" w:eastAsia="es-ES_tradnl"/>
              </w:rPr>
              <w:t xml:space="preserve">               </w:t>
            </w:r>
          </w:p>
        </w:tc>
        <w:tc>
          <w:tcPr>
            <w:tcW w:w="6481" w:type="dxa"/>
            <w:gridSpan w:val="2"/>
          </w:tcPr>
          <w:p w14:paraId="7F568F0F" w14:textId="23488E24" w:rsidR="00A64017" w:rsidRPr="006730E9" w:rsidRDefault="00A64017" w:rsidP="00A15B1F">
            <w:pPr>
              <w:jc w:val="both"/>
              <w:rPr>
                <w:rFonts w:ascii="Verdana" w:eastAsia="Calibri" w:hAnsi="Verdana" w:cs="Arial"/>
                <w:lang w:val="es-ES_tradnl" w:eastAsia="es-ES_tradnl"/>
              </w:rPr>
            </w:pPr>
            <w:r w:rsidRPr="007121A5">
              <w:rPr>
                <w:rFonts w:ascii="Verdana" w:eastAsia="Calibri" w:hAnsi="Verdana" w:cs="Arial"/>
                <w:lang w:val="es-ES_tradnl" w:eastAsia="es-ES_tradnl"/>
              </w:rPr>
              <w:t xml:space="preserve">Respuesta a consulta con radicado No. </w:t>
            </w:r>
            <w:r w:rsidR="00D51C81" w:rsidRPr="00D51C81">
              <w:rPr>
                <w:rFonts w:ascii="Verdana" w:eastAsia="Calibri" w:hAnsi="Verdana" w:cs="Arial"/>
                <w:lang w:val="es-ES_tradnl" w:eastAsia="es-ES_tradnl"/>
              </w:rPr>
              <w:t>1_2026_02_09_001578</w:t>
            </w:r>
          </w:p>
        </w:tc>
      </w:tr>
      <w:tr w:rsidR="00A64017" w:rsidRPr="00DB23D2" w14:paraId="384FAB6D" w14:textId="77777777" w:rsidTr="00A15B1F">
        <w:trPr>
          <w:gridAfter w:val="1"/>
          <w:wAfter w:w="319" w:type="dxa"/>
          <w:trHeight w:val="242"/>
        </w:trPr>
        <w:tc>
          <w:tcPr>
            <w:tcW w:w="8457" w:type="dxa"/>
            <w:gridSpan w:val="2"/>
          </w:tcPr>
          <w:p w14:paraId="45E68A2D" w14:textId="77777777" w:rsidR="00A64017" w:rsidRPr="00DB23D2" w:rsidRDefault="00A64017" w:rsidP="00103B90">
            <w:pPr>
              <w:spacing w:line="276" w:lineRule="auto"/>
              <w:jc w:val="both"/>
              <w:rPr>
                <w:rFonts w:ascii="Verdana" w:eastAsia="Calibri" w:hAnsi="Verdana" w:cs="Arial"/>
                <w:lang w:val="es-ES_tradnl" w:eastAsia="es-ES"/>
              </w:rPr>
            </w:pPr>
          </w:p>
        </w:tc>
      </w:tr>
    </w:tbl>
    <w:p w14:paraId="63704E96" w14:textId="22FE333F" w:rsidR="00A64017" w:rsidRPr="006730E9" w:rsidRDefault="001773DA" w:rsidP="00A64017">
      <w:pPr>
        <w:spacing w:after="0" w:line="276" w:lineRule="auto"/>
        <w:jc w:val="both"/>
        <w:rPr>
          <w:rFonts w:ascii="Verdana" w:eastAsia="Calibri" w:hAnsi="Verdana" w:cs="Arial"/>
          <w:lang w:val="es-ES" w:eastAsia="es-ES"/>
        </w:rPr>
      </w:pPr>
      <w:r w:rsidRPr="006730E9">
        <w:rPr>
          <w:rFonts w:ascii="Verdana" w:eastAsia="Calibri" w:hAnsi="Verdana" w:cs="Arial"/>
          <w:lang w:val="es-ES" w:eastAsia="es-ES"/>
        </w:rPr>
        <w:t>Estimad</w:t>
      </w:r>
      <w:r w:rsidR="00457B5F">
        <w:rPr>
          <w:rFonts w:ascii="Verdana" w:eastAsia="Calibri" w:hAnsi="Verdana" w:cs="Arial"/>
          <w:lang w:val="es-ES" w:eastAsia="es-ES"/>
        </w:rPr>
        <w:t>a</w:t>
      </w:r>
      <w:r>
        <w:rPr>
          <w:rFonts w:ascii="Verdana" w:eastAsia="Calibri" w:hAnsi="Verdana" w:cs="Arial"/>
          <w:lang w:val="es-ES" w:eastAsia="es-ES"/>
        </w:rPr>
        <w:t xml:space="preserve"> señor</w:t>
      </w:r>
      <w:r w:rsidR="00457B5F">
        <w:rPr>
          <w:rFonts w:ascii="Verdana" w:eastAsia="Calibri" w:hAnsi="Verdana" w:cs="Arial"/>
          <w:lang w:val="es-ES" w:eastAsia="es-ES"/>
        </w:rPr>
        <w:t>a</w:t>
      </w:r>
      <w:r w:rsidR="00A64017">
        <w:rPr>
          <w:rFonts w:ascii="Verdana" w:eastAsia="Calibri" w:hAnsi="Verdana" w:cs="Arial"/>
          <w:lang w:val="es-ES" w:eastAsia="es-ES"/>
        </w:rPr>
        <w:t xml:space="preserve"> </w:t>
      </w:r>
      <w:proofErr w:type="spellStart"/>
      <w:r w:rsidR="00D51C81">
        <w:rPr>
          <w:rFonts w:ascii="Verdana" w:eastAsia="Calibri" w:hAnsi="Verdana" w:cs="Arial"/>
          <w:lang w:val="es-ES" w:eastAsia="es-ES"/>
        </w:rPr>
        <w:t>Briascos</w:t>
      </w:r>
      <w:proofErr w:type="spellEnd"/>
      <w:r w:rsidR="00A64017">
        <w:rPr>
          <w:rFonts w:ascii="Verdana" w:eastAsia="Calibri" w:hAnsi="Verdana" w:cs="Arial"/>
          <w:lang w:val="es-ES" w:eastAsia="es-ES"/>
        </w:rPr>
        <w:t>;</w:t>
      </w:r>
    </w:p>
    <w:p w14:paraId="6683B019" w14:textId="77777777" w:rsidR="00A64017" w:rsidRDefault="00A64017" w:rsidP="00A64017">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6507A697" w14:textId="6F67172C" w:rsidR="00A64017" w:rsidRPr="006730E9" w:rsidRDefault="00A64017" w:rsidP="00A64017">
      <w:pPr>
        <w:spacing w:after="0" w:line="276" w:lineRule="auto"/>
        <w:jc w:val="both"/>
        <w:rPr>
          <w:rFonts w:ascii="Verdana" w:eastAsia="Calibri" w:hAnsi="Verdana" w:cs="Arial"/>
          <w:lang w:val="es-ES" w:eastAsia="es-ES"/>
        </w:rPr>
      </w:pPr>
      <w:r w:rsidRPr="006730E9">
        <w:rPr>
          <w:rFonts w:ascii="Verdana" w:eastAsia="Calibri" w:hAnsi="Verdana" w:cs="Arial"/>
          <w:lang w:val="es-ES" w:eastAsia="es-ES"/>
        </w:rPr>
        <w:t>En ejercicio de la competencia otorgada por los artículos 3, numeral 5º, y 11, numeral 8º, del Decreto Ley 4170 de 2011,</w:t>
      </w:r>
      <w:r w:rsidRPr="006730E9">
        <w:rPr>
          <w:rFonts w:ascii="Verdana" w:eastAsia="Arial MT" w:hAnsi="Verdana" w:cs="Arial MT"/>
          <w:lang w:val="es-ES" w:eastAsia="es-ES"/>
        </w:rPr>
        <w:t xml:space="preserve"> </w:t>
      </w:r>
      <w:r w:rsidRPr="006730E9">
        <w:rPr>
          <w:rFonts w:ascii="Verdana" w:hAnsi="Verdana" w:cs="Arial"/>
        </w:rPr>
        <w:t xml:space="preserve">así como lo establecido en el artículo 4 de la Resolución 1707 de 2018 expedida por esta Entidad, </w:t>
      </w:r>
      <w:r w:rsidRPr="006730E9">
        <w:rPr>
          <w:rFonts w:ascii="Verdana" w:eastAsia="Calibri" w:hAnsi="Verdana" w:cs="Arial"/>
          <w:lang w:val="es-ES" w:eastAsia="es-ES"/>
        </w:rPr>
        <w:t>la Agencia Nacional de Contratación Pública – Colombia Compra Eficiente– responde su solicitud</w:t>
      </w:r>
      <w:r>
        <w:rPr>
          <w:rFonts w:ascii="Verdana" w:eastAsia="Calibri" w:hAnsi="Verdana" w:cs="Arial"/>
          <w:lang w:val="es-ES" w:eastAsia="es-ES"/>
        </w:rPr>
        <w:t xml:space="preserve"> radicada </w:t>
      </w:r>
      <w:r w:rsidR="0057166B">
        <w:rPr>
          <w:rFonts w:ascii="Verdana" w:eastAsia="Calibri" w:hAnsi="Verdana" w:cs="Arial"/>
          <w:lang w:val="es-ES" w:eastAsia="es-ES"/>
        </w:rPr>
        <w:t xml:space="preserve">en esta entidad </w:t>
      </w:r>
      <w:r w:rsidRPr="00E5644F">
        <w:rPr>
          <w:rFonts w:ascii="Verdana" w:eastAsia="Calibri" w:hAnsi="Verdana" w:cs="Arial"/>
          <w:lang w:val="es-ES" w:eastAsia="es-ES"/>
        </w:rPr>
        <w:t xml:space="preserve">el </w:t>
      </w:r>
      <w:r w:rsidR="00D51C81">
        <w:rPr>
          <w:rFonts w:ascii="Verdana" w:eastAsia="Calibri" w:hAnsi="Verdana" w:cs="Arial"/>
          <w:lang w:val="es-ES" w:eastAsia="es-ES"/>
        </w:rPr>
        <w:t>09</w:t>
      </w:r>
      <w:r w:rsidR="00CA01D8" w:rsidRPr="00E72E05">
        <w:rPr>
          <w:rFonts w:ascii="Verdana" w:eastAsia="Calibri" w:hAnsi="Verdana" w:cs="Arial"/>
          <w:lang w:val="es-ES" w:eastAsia="es-ES"/>
        </w:rPr>
        <w:t xml:space="preserve"> </w:t>
      </w:r>
      <w:r w:rsidRPr="00E72E05">
        <w:rPr>
          <w:rFonts w:ascii="Verdana" w:eastAsia="Calibri" w:hAnsi="Verdana" w:cs="Arial"/>
          <w:lang w:val="es-ES" w:eastAsia="es-ES"/>
        </w:rPr>
        <w:t xml:space="preserve">de </w:t>
      </w:r>
      <w:r w:rsidR="00D51C81">
        <w:rPr>
          <w:rFonts w:ascii="Verdana" w:eastAsia="Calibri" w:hAnsi="Verdana" w:cs="Arial"/>
          <w:lang w:val="es-ES" w:eastAsia="es-ES"/>
        </w:rPr>
        <w:t>febrero</w:t>
      </w:r>
      <w:r w:rsidRPr="00E72E05">
        <w:rPr>
          <w:rFonts w:ascii="Verdana" w:eastAsia="Calibri" w:hAnsi="Verdana" w:cs="Arial"/>
          <w:lang w:val="es-ES" w:eastAsia="es-ES"/>
        </w:rPr>
        <w:t xml:space="preserve"> de</w:t>
      </w:r>
      <w:r w:rsidR="00ED46C7" w:rsidRPr="00E72E05">
        <w:rPr>
          <w:rFonts w:ascii="Verdana" w:eastAsia="Calibri" w:hAnsi="Verdana" w:cs="Arial"/>
          <w:lang w:val="es-ES" w:eastAsia="es-ES"/>
        </w:rPr>
        <w:t xml:space="preserve"> </w:t>
      </w:r>
      <w:r w:rsidRPr="00E72E05">
        <w:rPr>
          <w:rFonts w:ascii="Verdana" w:eastAsia="Calibri" w:hAnsi="Verdana" w:cs="Arial"/>
          <w:lang w:val="es-ES" w:eastAsia="es-ES"/>
        </w:rPr>
        <w:t>202</w:t>
      </w:r>
      <w:r w:rsidR="00D51C81">
        <w:rPr>
          <w:rFonts w:ascii="Verdana" w:eastAsia="Calibri" w:hAnsi="Verdana" w:cs="Arial"/>
          <w:lang w:val="es-ES" w:eastAsia="es-ES"/>
        </w:rPr>
        <w:t>6</w:t>
      </w:r>
      <w:r w:rsidRPr="00E5644F">
        <w:rPr>
          <w:rFonts w:ascii="Verdana" w:eastAsia="Calibri" w:hAnsi="Verdana" w:cs="Arial"/>
          <w:lang w:val="es-ES" w:eastAsia="es-ES"/>
        </w:rPr>
        <w:t>, en</w:t>
      </w:r>
      <w:r w:rsidRPr="006730E9">
        <w:rPr>
          <w:rFonts w:ascii="Verdana" w:eastAsia="Calibri" w:hAnsi="Verdana" w:cs="Arial"/>
          <w:lang w:val="es-ES" w:eastAsia="es-ES"/>
        </w:rPr>
        <w:t xml:space="preserve"> la cual manifiesta lo siguiente: </w:t>
      </w:r>
    </w:p>
    <w:p w14:paraId="718EE431" w14:textId="77777777" w:rsidR="00A64017" w:rsidRPr="001773DA" w:rsidRDefault="00A64017" w:rsidP="00103B90">
      <w:pPr>
        <w:spacing w:after="0" w:line="276" w:lineRule="auto"/>
        <w:ind w:left="709" w:right="474"/>
        <w:jc w:val="both"/>
        <w:rPr>
          <w:rFonts w:ascii="Verdana" w:hAnsi="Verdana" w:cs="Arial"/>
          <w:i/>
          <w:iCs/>
          <w:sz w:val="20"/>
          <w:szCs w:val="20"/>
          <w:shd w:val="clear" w:color="auto" w:fill="FFFFFF"/>
        </w:rPr>
      </w:pPr>
      <w:bookmarkStart w:id="2" w:name="_Hlk95313578"/>
    </w:p>
    <w:bookmarkEnd w:id="2"/>
    <w:p w14:paraId="10F260FF" w14:textId="47C3AD13" w:rsidR="00D51C81" w:rsidRPr="00D51C81" w:rsidRDefault="00A64017" w:rsidP="00D51C81">
      <w:pPr>
        <w:tabs>
          <w:tab w:val="left" w:pos="142"/>
          <w:tab w:val="left" w:pos="567"/>
        </w:tabs>
        <w:spacing w:after="0" w:line="240" w:lineRule="auto"/>
        <w:ind w:left="709" w:right="709"/>
        <w:jc w:val="both"/>
        <w:rPr>
          <w:rFonts w:ascii="Verdana" w:eastAsia="Century Gothic" w:hAnsi="Verdana" w:cs="Century Gothic"/>
          <w:i/>
          <w:iCs/>
          <w:sz w:val="20"/>
          <w:szCs w:val="20"/>
        </w:rPr>
      </w:pPr>
      <w:r w:rsidRPr="001773DA">
        <w:rPr>
          <w:rFonts w:ascii="Verdana" w:eastAsia="Century Gothic" w:hAnsi="Verdana" w:cs="Century Gothic"/>
          <w:i/>
          <w:iCs/>
          <w:sz w:val="20"/>
          <w:szCs w:val="20"/>
        </w:rPr>
        <w:t xml:space="preserve">“(…) </w:t>
      </w:r>
      <w:r w:rsidR="00D51C81" w:rsidRPr="00D51C81">
        <w:rPr>
          <w:rFonts w:ascii="Verdana" w:eastAsia="Century Gothic" w:hAnsi="Verdana" w:cs="Century Gothic"/>
          <w:i/>
          <w:iCs/>
          <w:sz w:val="20"/>
          <w:szCs w:val="20"/>
        </w:rPr>
        <w:t>En aplicación de la ley 996 de 2005, ley de Garantías y en concordancia con la</w:t>
      </w:r>
      <w:r w:rsidR="00D51C81">
        <w:rPr>
          <w:rFonts w:ascii="Verdana" w:eastAsia="Century Gothic" w:hAnsi="Verdana" w:cs="Century Gothic"/>
          <w:i/>
          <w:iCs/>
          <w:sz w:val="20"/>
          <w:szCs w:val="20"/>
        </w:rPr>
        <w:t xml:space="preserve"> </w:t>
      </w:r>
      <w:r w:rsidR="00D51C81" w:rsidRPr="00D51C81">
        <w:rPr>
          <w:rFonts w:ascii="Verdana" w:eastAsia="Century Gothic" w:hAnsi="Verdana" w:cs="Century Gothic"/>
          <w:i/>
          <w:iCs/>
          <w:sz w:val="20"/>
          <w:szCs w:val="20"/>
        </w:rPr>
        <w:t>circular 006 de 2025 de Colombia Compra Eficiente, las Sociedades de Economía</w:t>
      </w:r>
      <w:r w:rsidR="00D51C81">
        <w:rPr>
          <w:rFonts w:ascii="Verdana" w:eastAsia="Century Gothic" w:hAnsi="Verdana" w:cs="Century Gothic"/>
          <w:i/>
          <w:iCs/>
          <w:sz w:val="20"/>
          <w:szCs w:val="20"/>
        </w:rPr>
        <w:t xml:space="preserve"> </w:t>
      </w:r>
      <w:r w:rsidR="00D51C81" w:rsidRPr="00D51C81">
        <w:rPr>
          <w:rFonts w:ascii="Verdana" w:eastAsia="Century Gothic" w:hAnsi="Verdana" w:cs="Century Gothic"/>
          <w:i/>
          <w:iCs/>
          <w:sz w:val="20"/>
          <w:szCs w:val="20"/>
        </w:rPr>
        <w:t>Mixta en cuyo capital público es del 87% y el restante 12% privado, con autonomía</w:t>
      </w:r>
      <w:r w:rsidR="00D51C81">
        <w:rPr>
          <w:rFonts w:ascii="Verdana" w:eastAsia="Century Gothic" w:hAnsi="Verdana" w:cs="Century Gothic"/>
          <w:i/>
          <w:iCs/>
          <w:sz w:val="20"/>
          <w:szCs w:val="20"/>
        </w:rPr>
        <w:t xml:space="preserve"> </w:t>
      </w:r>
      <w:r w:rsidR="00D51C81" w:rsidRPr="00D51C81">
        <w:rPr>
          <w:rFonts w:ascii="Verdana" w:eastAsia="Century Gothic" w:hAnsi="Verdana" w:cs="Century Gothic"/>
          <w:i/>
          <w:iCs/>
          <w:sz w:val="20"/>
          <w:szCs w:val="20"/>
        </w:rPr>
        <w:t>administrativa, regida por el derecho privado y por estatutos de la sociedad, ¿la</w:t>
      </w:r>
      <w:r w:rsidR="00D51C81">
        <w:rPr>
          <w:rFonts w:ascii="Verdana" w:eastAsia="Century Gothic" w:hAnsi="Verdana" w:cs="Century Gothic"/>
          <w:i/>
          <w:iCs/>
          <w:sz w:val="20"/>
          <w:szCs w:val="20"/>
        </w:rPr>
        <w:t xml:space="preserve"> </w:t>
      </w:r>
      <w:r w:rsidR="00D51C81" w:rsidRPr="00D51C81">
        <w:rPr>
          <w:rFonts w:ascii="Verdana" w:eastAsia="Century Gothic" w:hAnsi="Verdana" w:cs="Century Gothic"/>
          <w:i/>
          <w:iCs/>
          <w:sz w:val="20"/>
          <w:szCs w:val="20"/>
        </w:rPr>
        <w:t>restricción de contratación directa aplica para sociedades de economía mixta</w:t>
      </w:r>
      <w:r w:rsidR="00D51C81">
        <w:rPr>
          <w:rFonts w:ascii="Verdana" w:eastAsia="Century Gothic" w:hAnsi="Verdana" w:cs="Century Gothic"/>
          <w:i/>
          <w:iCs/>
          <w:sz w:val="20"/>
          <w:szCs w:val="20"/>
        </w:rPr>
        <w:t xml:space="preserve"> </w:t>
      </w:r>
      <w:r w:rsidR="00D51C81" w:rsidRPr="00D51C81">
        <w:rPr>
          <w:rFonts w:ascii="Verdana" w:eastAsia="Century Gothic" w:hAnsi="Verdana" w:cs="Century Gothic"/>
          <w:i/>
          <w:iCs/>
          <w:sz w:val="20"/>
          <w:szCs w:val="20"/>
        </w:rPr>
        <w:t xml:space="preserve">teniendo en cuenta su naturaleza y </w:t>
      </w:r>
      <w:proofErr w:type="gramStart"/>
      <w:r w:rsidR="00D51C81" w:rsidRPr="00D51C81">
        <w:rPr>
          <w:rFonts w:ascii="Verdana" w:eastAsia="Century Gothic" w:hAnsi="Verdana" w:cs="Century Gothic"/>
          <w:i/>
          <w:iCs/>
          <w:sz w:val="20"/>
          <w:szCs w:val="20"/>
        </w:rPr>
        <w:t>conformación ?</w:t>
      </w:r>
      <w:proofErr w:type="gramEnd"/>
      <w:r w:rsidR="00D51C81" w:rsidRPr="00D51C81">
        <w:rPr>
          <w:rFonts w:ascii="Verdana" w:eastAsia="Century Gothic" w:hAnsi="Verdana" w:cs="Century Gothic"/>
          <w:i/>
          <w:iCs/>
          <w:sz w:val="20"/>
          <w:szCs w:val="20"/>
        </w:rPr>
        <w:t xml:space="preserve"> según la circular 006 de 2025 y</w:t>
      </w:r>
    </w:p>
    <w:p w14:paraId="2CDDC996" w14:textId="3252AAF0" w:rsidR="00A64017" w:rsidRPr="00B350FE" w:rsidRDefault="00D51C81" w:rsidP="00D51C81">
      <w:pPr>
        <w:tabs>
          <w:tab w:val="left" w:pos="142"/>
          <w:tab w:val="left" w:pos="567"/>
        </w:tabs>
        <w:spacing w:after="0" w:line="240" w:lineRule="auto"/>
        <w:ind w:left="709" w:right="709"/>
        <w:jc w:val="both"/>
        <w:rPr>
          <w:rFonts w:ascii="Verdana" w:eastAsia="Century Gothic" w:hAnsi="Verdana" w:cs="Century Gothic"/>
          <w:i/>
          <w:iCs/>
          <w:sz w:val="20"/>
          <w:szCs w:val="20"/>
        </w:rPr>
      </w:pPr>
      <w:r w:rsidRPr="00D51C81">
        <w:rPr>
          <w:rFonts w:ascii="Verdana" w:eastAsia="Century Gothic" w:hAnsi="Verdana" w:cs="Century Gothic"/>
          <w:i/>
          <w:iCs/>
          <w:sz w:val="20"/>
          <w:szCs w:val="20"/>
        </w:rPr>
        <w:t>la ley 996 de 2005 o si puede adelantar la Sociedad esta contratación directa</w:t>
      </w:r>
      <w:r>
        <w:rPr>
          <w:rFonts w:ascii="Verdana" w:eastAsia="Century Gothic" w:hAnsi="Verdana" w:cs="Century Gothic"/>
          <w:i/>
          <w:iCs/>
          <w:sz w:val="20"/>
          <w:szCs w:val="20"/>
        </w:rPr>
        <w:t xml:space="preserve">. </w:t>
      </w:r>
      <w:r w:rsidR="00A64017" w:rsidRPr="00B350FE">
        <w:rPr>
          <w:rFonts w:ascii="Verdana" w:eastAsia="Century Gothic" w:hAnsi="Verdana" w:cs="Century Gothic"/>
          <w:i/>
          <w:iCs/>
          <w:sz w:val="20"/>
          <w:szCs w:val="20"/>
        </w:rPr>
        <w:t xml:space="preserve">(…)”. </w:t>
      </w:r>
    </w:p>
    <w:p w14:paraId="5C2F274F" w14:textId="77777777" w:rsidR="008B5BD4" w:rsidRDefault="008B5BD4" w:rsidP="00103B90">
      <w:pPr>
        <w:spacing w:after="0" w:line="276" w:lineRule="auto"/>
        <w:ind w:firstLine="709"/>
        <w:jc w:val="both"/>
        <w:rPr>
          <w:rFonts w:ascii="Verdana" w:eastAsia="Calibri" w:hAnsi="Verdana" w:cs="Arial"/>
          <w:lang w:val="es-ES" w:eastAsia="es-ES"/>
        </w:rPr>
      </w:pPr>
    </w:p>
    <w:p w14:paraId="538B555C" w14:textId="2C99F5BA" w:rsidR="00A64017" w:rsidRPr="00AA3B9F" w:rsidRDefault="00A64017" w:rsidP="00A64017">
      <w:pPr>
        <w:spacing w:after="120" w:line="276" w:lineRule="auto"/>
        <w:ind w:firstLine="709"/>
        <w:jc w:val="both"/>
        <w:rPr>
          <w:rFonts w:ascii="Verdana" w:eastAsia="Calibri" w:hAnsi="Verdana" w:cs="Arial"/>
          <w:lang w:val="es-ES_tradnl" w:eastAsia="es-ES_tradnl"/>
        </w:rPr>
      </w:pPr>
      <w:r w:rsidRPr="00AA3B9F">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w:t>
      </w:r>
      <w:r w:rsidR="008B5BD4">
        <w:rPr>
          <w:rFonts w:ascii="Verdana" w:eastAsia="Calibri" w:hAnsi="Verdana" w:cs="Arial"/>
          <w:lang w:val="es-ES" w:eastAsia="es-ES"/>
        </w:rPr>
        <w:t>la Agencia Nacional de Contratación Pública –</w:t>
      </w:r>
      <w:r w:rsidRPr="00AA3B9F">
        <w:rPr>
          <w:rFonts w:ascii="Verdana" w:eastAsia="Calibri" w:hAnsi="Verdana" w:cs="Arial"/>
          <w:lang w:val="es-ES" w:eastAsia="es-ES"/>
        </w:rPr>
        <w:t xml:space="preserve"> Colombia Compra Eficiente como una autoridad para solucionar problemas </w:t>
      </w:r>
      <w:r w:rsidRPr="00AA3B9F">
        <w:rPr>
          <w:rFonts w:ascii="Verdana" w:eastAsia="Calibri" w:hAnsi="Verdana" w:cs="Arial"/>
          <w:lang w:val="es-ES" w:eastAsia="es-ES"/>
        </w:rPr>
        <w:lastRenderedPageBreak/>
        <w:t xml:space="preserve">jurídicos particulares de todos los partícipes del sistema de compra pública. La competencia de esta entidad se fija con límites claros, con el objeto de evitar que la Agencia actúe como una instancia de validación de las actuaciones de las </w:t>
      </w:r>
      <w:r>
        <w:rPr>
          <w:rFonts w:ascii="Verdana" w:eastAsia="Calibri" w:hAnsi="Verdana" w:cs="Arial"/>
          <w:lang w:val="es-ES" w:eastAsia="es-ES"/>
        </w:rPr>
        <w:t>E</w:t>
      </w:r>
      <w:r w:rsidRPr="00AA3B9F">
        <w:rPr>
          <w:rFonts w:ascii="Verdana" w:eastAsia="Calibri" w:hAnsi="Verdana" w:cs="Arial"/>
          <w:lang w:val="es-ES" w:eastAsia="es-ES"/>
        </w:rPr>
        <w:t xml:space="preserve">ntidades </w:t>
      </w:r>
      <w:r>
        <w:rPr>
          <w:rFonts w:ascii="Verdana" w:eastAsia="Calibri" w:hAnsi="Verdana" w:cs="Arial"/>
          <w:lang w:val="es-ES" w:eastAsia="es-ES"/>
        </w:rPr>
        <w:t xml:space="preserve">Estatales </w:t>
      </w:r>
      <w:r w:rsidRPr="00AA3B9F">
        <w:rPr>
          <w:rFonts w:ascii="Verdana" w:eastAsia="Calibri" w:hAnsi="Verdana" w:cs="Arial"/>
          <w:lang w:val="es-ES" w:eastAsia="es-ES"/>
        </w:rPr>
        <w:t>o de los demás participantes de la contratación pública. Esta competencia de interpretación de normas generales, por definición, no puede extenderse a la resolución de controversias, ni a brindar asesorías sobre casos puntuales.</w:t>
      </w:r>
    </w:p>
    <w:p w14:paraId="23568A68" w14:textId="32B98A9D" w:rsidR="00A64017" w:rsidRPr="00AA3B9F" w:rsidRDefault="00A64017" w:rsidP="00A64017">
      <w:pPr>
        <w:spacing w:after="0" w:line="276" w:lineRule="auto"/>
        <w:ind w:firstLine="709"/>
        <w:jc w:val="both"/>
        <w:rPr>
          <w:rFonts w:ascii="Verdana" w:eastAsia="Calibri" w:hAnsi="Verdana" w:cs="Arial"/>
          <w:lang w:val="es-ES" w:eastAsia="es-ES"/>
        </w:rPr>
      </w:pPr>
      <w:r w:rsidRPr="00AA3B9F">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w:t>
      </w:r>
      <w:r w:rsidR="008B5BD4">
        <w:rPr>
          <w:rFonts w:ascii="Verdana" w:eastAsia="Calibri" w:hAnsi="Verdana" w:cs="Arial"/>
          <w:lang w:val="es-ES" w:eastAsia="es-ES"/>
        </w:rPr>
        <w:t>señala</w:t>
      </w:r>
      <w:r w:rsidR="008B5BD4" w:rsidRPr="00AA3B9F">
        <w:rPr>
          <w:rFonts w:ascii="Verdana" w:eastAsia="Calibri" w:hAnsi="Verdana" w:cs="Arial"/>
          <w:lang w:val="es-ES" w:eastAsia="es-ES"/>
        </w:rPr>
        <w:t xml:space="preserve">ndo </w:t>
      </w:r>
      <w:r w:rsidRPr="00AA3B9F">
        <w:rPr>
          <w:rFonts w:ascii="Verdana" w:eastAsia="Calibri" w:hAnsi="Verdana" w:cs="Arial"/>
          <w:lang w:val="es-ES" w:eastAsia="es-ES"/>
        </w:rPr>
        <w:t>unas consideraciones sobre las normas generales</w:t>
      </w:r>
      <w:r>
        <w:rPr>
          <w:rFonts w:ascii="Verdana" w:eastAsia="Calibri" w:hAnsi="Verdana" w:cs="Arial"/>
          <w:lang w:val="es-ES" w:eastAsia="es-ES"/>
        </w:rPr>
        <w:t xml:space="preserve"> que rigen el Sistema de Compras y Contratación Pública</w:t>
      </w:r>
      <w:r w:rsidRPr="00AA3B9F">
        <w:rPr>
          <w:rFonts w:ascii="Verdana" w:eastAsia="Calibri" w:hAnsi="Verdana" w:cs="Arial"/>
          <w:lang w:val="es-ES" w:eastAsia="es-ES"/>
        </w:rPr>
        <w:t xml:space="preserve"> relacionadas con los problemas jurídicos de su consulta.</w:t>
      </w:r>
      <w:r w:rsidRPr="00E21BD1">
        <w:t xml:space="preserve"> </w:t>
      </w:r>
    </w:p>
    <w:p w14:paraId="4A088568" w14:textId="77777777" w:rsidR="00A64017" w:rsidRDefault="00A64017" w:rsidP="00A64017">
      <w:pPr>
        <w:pStyle w:val="Prrafodelista"/>
        <w:tabs>
          <w:tab w:val="left" w:pos="142"/>
          <w:tab w:val="left" w:pos="284"/>
        </w:tabs>
        <w:spacing w:after="0" w:line="240" w:lineRule="auto"/>
        <w:ind w:left="425" w:right="1185"/>
        <w:jc w:val="both"/>
        <w:rPr>
          <w:rFonts w:ascii="Verdana" w:eastAsia="Century Gothic" w:hAnsi="Verdana" w:cs="Century Gothic"/>
          <w:i/>
          <w:iCs/>
          <w:lang w:val="es-CO"/>
        </w:rPr>
      </w:pPr>
    </w:p>
    <w:p w14:paraId="43F2C784" w14:textId="77777777" w:rsidR="00A64017" w:rsidRDefault="00A64017" w:rsidP="00A64017">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w:t>
      </w:r>
      <w:r>
        <w:rPr>
          <w:rFonts w:ascii="Verdana" w:eastAsia="Century Gothic" w:hAnsi="Verdana" w:cs="Century Gothic"/>
          <w:b/>
          <w:bCs/>
        </w:rPr>
        <w:t xml:space="preserve"> jurídico </w:t>
      </w:r>
      <w:r w:rsidRPr="00593A5F">
        <w:rPr>
          <w:rFonts w:ascii="Verdana" w:eastAsia="Century Gothic" w:hAnsi="Verdana" w:cs="Century Gothic"/>
          <w:b/>
          <w:bCs/>
        </w:rPr>
        <w:t>planteado:</w:t>
      </w:r>
    </w:p>
    <w:p w14:paraId="5A923AA7" w14:textId="77777777" w:rsidR="00A64017" w:rsidRDefault="00A64017" w:rsidP="00A64017">
      <w:pPr>
        <w:pStyle w:val="Prrafodelista"/>
        <w:tabs>
          <w:tab w:val="left" w:pos="142"/>
          <w:tab w:val="left" w:pos="284"/>
        </w:tabs>
        <w:spacing w:after="0" w:line="276" w:lineRule="auto"/>
        <w:ind w:left="0"/>
        <w:jc w:val="both"/>
        <w:rPr>
          <w:rFonts w:ascii="Verdana" w:eastAsia="Century Gothic" w:hAnsi="Verdana" w:cs="Century Gothic"/>
          <w:b/>
          <w:bCs/>
        </w:rPr>
      </w:pPr>
    </w:p>
    <w:p w14:paraId="618CE816" w14:textId="29D834CD" w:rsidR="00ED46C7" w:rsidRDefault="00A64017" w:rsidP="001773DA">
      <w:pPr>
        <w:spacing w:after="0" w:line="276" w:lineRule="auto"/>
        <w:jc w:val="both"/>
        <w:rPr>
          <w:rFonts w:ascii="Verdana" w:eastAsia="Century Gothic" w:hAnsi="Verdana" w:cs="Century Gothic"/>
        </w:rPr>
      </w:pPr>
      <w:r w:rsidRPr="00E21BD1">
        <w:rPr>
          <w:rFonts w:ascii="Verdana" w:eastAsia="Calibri" w:hAnsi="Verdana" w:cs="Arial"/>
          <w:lang w:eastAsia="es-ES"/>
        </w:rPr>
        <w:t xml:space="preserve">De acuerdo con el contenido de su solicitud, esta Agencia resolverá </w:t>
      </w:r>
      <w:r w:rsidR="00E72E05">
        <w:rPr>
          <w:rFonts w:ascii="Verdana" w:eastAsia="Calibri" w:hAnsi="Verdana" w:cs="Arial"/>
          <w:lang w:eastAsia="es-ES"/>
        </w:rPr>
        <w:t>el</w:t>
      </w:r>
      <w:r w:rsidR="00D3590B">
        <w:rPr>
          <w:rFonts w:ascii="Verdana" w:eastAsia="Calibri" w:hAnsi="Verdana" w:cs="Arial"/>
          <w:lang w:eastAsia="es-ES"/>
        </w:rPr>
        <w:t xml:space="preserve"> </w:t>
      </w:r>
      <w:r w:rsidR="002C1AD5" w:rsidRPr="00E21BD1">
        <w:rPr>
          <w:rFonts w:ascii="Verdana" w:eastAsia="Calibri" w:hAnsi="Verdana" w:cs="Arial"/>
          <w:lang w:eastAsia="es-ES"/>
        </w:rPr>
        <w:t>siguiente problema jurídico</w:t>
      </w:r>
      <w:r w:rsidRPr="00E21BD1">
        <w:rPr>
          <w:rFonts w:ascii="Verdana" w:eastAsia="Calibri" w:hAnsi="Verdana" w:cs="Arial"/>
          <w:lang w:eastAsia="es-ES"/>
        </w:rPr>
        <w:t>:</w:t>
      </w:r>
      <w:bookmarkStart w:id="3" w:name="_Hlk196737317"/>
      <w:r w:rsidR="00C5014F">
        <w:rPr>
          <w:rFonts w:ascii="Verdana" w:eastAsia="Calibri" w:hAnsi="Verdana" w:cs="Arial"/>
          <w:lang w:eastAsia="es-ES"/>
        </w:rPr>
        <w:t xml:space="preserve"> </w:t>
      </w:r>
      <w:r w:rsidR="00501AFD" w:rsidRPr="005649AA">
        <w:rPr>
          <w:rFonts w:ascii="Verdana" w:eastAsia="Century Gothic" w:hAnsi="Verdana" w:cs="Century Gothic"/>
        </w:rPr>
        <w:t xml:space="preserve">¿Las restricciones contenidas en la Ley de Garantías Electorales en materia de </w:t>
      </w:r>
      <w:r w:rsidR="00501AFD">
        <w:rPr>
          <w:rFonts w:ascii="Verdana" w:eastAsia="Century Gothic" w:hAnsi="Verdana" w:cs="Century Gothic"/>
        </w:rPr>
        <w:t xml:space="preserve">contratación directa y celebración de convenios </w:t>
      </w:r>
      <w:r w:rsidR="00501AFD" w:rsidRPr="005649AA">
        <w:rPr>
          <w:rFonts w:ascii="Verdana" w:eastAsia="Century Gothic" w:hAnsi="Verdana" w:cs="Century Gothic"/>
        </w:rPr>
        <w:t xml:space="preserve">son aplicables a </w:t>
      </w:r>
      <w:r w:rsidR="00501AFD">
        <w:rPr>
          <w:rFonts w:ascii="Verdana" w:eastAsia="Century Gothic" w:hAnsi="Verdana" w:cs="Century Gothic"/>
        </w:rPr>
        <w:t>una sociedad de economía mixta</w:t>
      </w:r>
      <w:r w:rsidR="00501AFD" w:rsidRPr="005649AA">
        <w:rPr>
          <w:rFonts w:ascii="Verdana" w:eastAsia="Century Gothic" w:hAnsi="Verdana" w:cs="Century Gothic"/>
        </w:rPr>
        <w:t>?</w:t>
      </w:r>
      <w:r w:rsidR="00457B5F">
        <w:rPr>
          <w:rFonts w:ascii="Verdana" w:eastAsia="Calibri" w:hAnsi="Verdana" w:cs="Arial"/>
          <w:lang w:eastAsia="es-ES"/>
        </w:rPr>
        <w:t xml:space="preserve">  </w:t>
      </w:r>
      <w:r w:rsidR="00E72E05">
        <w:rPr>
          <w:rFonts w:ascii="Verdana" w:eastAsia="Century Gothic" w:hAnsi="Verdana" w:cs="Century Gothic"/>
        </w:rPr>
        <w:t xml:space="preserve">    </w:t>
      </w:r>
    </w:p>
    <w:p w14:paraId="7A300FA6" w14:textId="77777777" w:rsidR="002E4C8F" w:rsidRPr="001773DA" w:rsidRDefault="002E4C8F" w:rsidP="001773DA">
      <w:pPr>
        <w:spacing w:after="0" w:line="276" w:lineRule="auto"/>
        <w:jc w:val="both"/>
        <w:rPr>
          <w:rFonts w:ascii="Verdana" w:eastAsia="Century Gothic" w:hAnsi="Verdana" w:cs="Century Gothic"/>
        </w:rPr>
      </w:pPr>
    </w:p>
    <w:bookmarkEnd w:id="3"/>
    <w:p w14:paraId="5A5F1798" w14:textId="77777777" w:rsidR="00A64017" w:rsidRDefault="00A64017" w:rsidP="00A64017">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0D191623" w14:textId="77777777" w:rsidR="00A64017" w:rsidRPr="00593A5F" w:rsidRDefault="00A64017" w:rsidP="00A64017">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A64017" w:rsidRPr="00593A5F" w14:paraId="1ED9E821" w14:textId="77777777" w:rsidTr="00F96FA7">
        <w:trPr>
          <w:trHeight w:val="70"/>
        </w:trPr>
        <w:tc>
          <w:tcPr>
            <w:tcW w:w="8828" w:type="dxa"/>
          </w:tcPr>
          <w:p w14:paraId="4D5B76C4" w14:textId="07B0769F" w:rsidR="00501AFD" w:rsidRDefault="009C3869" w:rsidP="00501AFD">
            <w:pPr>
              <w:spacing w:after="120" w:line="276" w:lineRule="auto"/>
              <w:jc w:val="both"/>
              <w:rPr>
                <w:rFonts w:ascii="Verdana" w:eastAsia="Times New Roman" w:hAnsi="Verdana" w:cs="Open Sans"/>
                <w:lang w:eastAsia="es-CO"/>
              </w:rPr>
            </w:pPr>
            <w:r>
              <w:rPr>
                <w:rFonts w:ascii="Verdana" w:eastAsia="Calibri" w:hAnsi="Verdana" w:cs="Arial"/>
                <w:lang w:val="es-ES_tradnl" w:eastAsia="es-ES"/>
              </w:rPr>
              <w:t xml:space="preserve">    </w:t>
            </w:r>
            <w:r w:rsidR="000F551E">
              <w:rPr>
                <w:rFonts w:ascii="Verdana" w:eastAsia="Calibri" w:hAnsi="Verdana" w:cs="Arial"/>
                <w:lang w:val="es-ES_tradnl" w:eastAsia="es-ES"/>
              </w:rPr>
              <w:t xml:space="preserve"> </w:t>
            </w:r>
            <w:r w:rsidR="006C5AFB">
              <w:rPr>
                <w:rFonts w:ascii="Verdana" w:eastAsia="Calibri" w:hAnsi="Verdana" w:cs="Arial"/>
                <w:lang w:val="es-ES_tradnl" w:eastAsia="es-ES"/>
              </w:rPr>
              <w:t xml:space="preserve">  </w:t>
            </w:r>
            <w:r w:rsidR="000F551E">
              <w:rPr>
                <w:rFonts w:ascii="Verdana" w:eastAsia="Calibri" w:hAnsi="Verdana" w:cs="Arial"/>
                <w:lang w:val="es-ES_tradnl" w:eastAsia="es-ES"/>
              </w:rPr>
              <w:t xml:space="preserve"> </w:t>
            </w:r>
            <w:r w:rsidR="00501AFD">
              <w:rPr>
                <w:rFonts w:ascii="Verdana" w:eastAsia="Times New Roman" w:hAnsi="Verdana" w:cs="Open Sans"/>
                <w:lang w:eastAsia="es-CO"/>
              </w:rPr>
              <w:t xml:space="preserve">En relación con las prohibiciones consagradas en la Ley de Garantías Electorales en materia de contratación estatal debe señalarse que: </w:t>
            </w:r>
          </w:p>
          <w:p w14:paraId="48E82368" w14:textId="38AC6902" w:rsidR="00501AFD" w:rsidRDefault="00501AFD" w:rsidP="00501AFD">
            <w:pPr>
              <w:spacing w:after="120" w:line="276" w:lineRule="auto"/>
              <w:jc w:val="both"/>
              <w:rPr>
                <w:rFonts w:ascii="Verdana" w:eastAsia="Times New Roman" w:hAnsi="Verdana" w:cs="Open Sans"/>
                <w:lang w:eastAsia="es-CO"/>
              </w:rPr>
            </w:pPr>
            <w:r>
              <w:rPr>
                <w:rFonts w:ascii="Verdana" w:eastAsia="Times New Roman" w:hAnsi="Verdana" w:cs="Open Sans"/>
                <w:lang w:eastAsia="es-CO"/>
              </w:rPr>
              <w:t xml:space="preserve">         </w:t>
            </w:r>
            <w:r w:rsidRPr="00DE5508">
              <w:rPr>
                <w:rFonts w:ascii="Verdana" w:eastAsia="Times New Roman" w:hAnsi="Verdana" w:cs="Open Sans"/>
                <w:lang w:eastAsia="es-CO"/>
              </w:rPr>
              <w:t xml:space="preserve">El artículo 33 de la Ley 996 de 2205 prohíbe la contratación directa por parte de todos los Entes Estatales durante los cuatro </w:t>
            </w:r>
            <w:r>
              <w:rPr>
                <w:rFonts w:ascii="Verdana" w:eastAsia="Times New Roman" w:hAnsi="Verdana" w:cs="Open Sans"/>
                <w:lang w:eastAsia="es-CO"/>
              </w:rPr>
              <w:t>(4)</w:t>
            </w:r>
            <w:r w:rsidRPr="00DE5508">
              <w:rPr>
                <w:rFonts w:ascii="Verdana" w:eastAsia="Times New Roman" w:hAnsi="Verdana" w:cs="Open Sans"/>
                <w:lang w:eastAsia="es-CO"/>
              </w:rPr>
              <w:t xml:space="preserve"> meses anteriores a las elecciones presidenciales y dispone las excepciones a dicha prohibición. Así, su ámbito de prohibición está delimitado por la expresión “queda prohibida la contratación directa” y para los efectos de la Ley de Garantías Electorales y, en particular, para la prohibición o restricción temporal contenida en su artículo 33, “contratación directa” </w:t>
            </w:r>
            <w:r w:rsidRPr="485EFC16">
              <w:rPr>
                <w:rFonts w:ascii="Verdana" w:eastAsia="Times New Roman" w:hAnsi="Verdana" w:cs="Open Sans"/>
                <w:lang w:eastAsia="es-CO"/>
              </w:rPr>
              <w:t>se refiere a</w:t>
            </w:r>
            <w:r w:rsidRPr="00DE5508">
              <w:rPr>
                <w:rFonts w:ascii="Verdana" w:eastAsia="Times New Roman" w:hAnsi="Verdana" w:cs="Open Sans"/>
                <w:lang w:eastAsia="es-CO"/>
              </w:rPr>
              <w:t xml:space="preserve"> cualquier sistema de selección o procedimiento de contratación utilizado por las entidades estatales que no incluya la convocatoria pública en alguna de sus etapas, ni permita la participación de una pluralidad de oferentes. </w:t>
            </w:r>
          </w:p>
          <w:p w14:paraId="0CA31D55" w14:textId="77777777" w:rsidR="00501AFD" w:rsidRDefault="00501AFD" w:rsidP="00501AFD">
            <w:pPr>
              <w:spacing w:after="120" w:line="276" w:lineRule="auto"/>
              <w:ind w:firstLine="709"/>
              <w:jc w:val="both"/>
              <w:rPr>
                <w:rFonts w:ascii="Verdana" w:hAnsi="Verdana"/>
              </w:rPr>
            </w:pPr>
            <w:r>
              <w:rPr>
                <w:rFonts w:ascii="Verdana" w:eastAsia="Times New Roman" w:hAnsi="Verdana" w:cs="Open Sans"/>
                <w:lang w:eastAsia="es-CO"/>
              </w:rPr>
              <w:t>Por s</w:t>
            </w:r>
            <w:r w:rsidRPr="00D44FF2">
              <w:rPr>
                <w:rFonts w:ascii="Verdana" w:eastAsia="Times New Roman" w:hAnsi="Verdana" w:cs="Open Sans"/>
                <w:lang w:eastAsia="es-CO"/>
              </w:rPr>
              <w:t xml:space="preserve">u parte, </w:t>
            </w:r>
            <w:r w:rsidRPr="00D44FF2">
              <w:rPr>
                <w:rFonts w:ascii="Verdana" w:hAnsi="Verdana"/>
              </w:rPr>
              <w:t xml:space="preserve">los destinatarios de la prohibición están expresamente señalados como </w:t>
            </w:r>
            <w:r>
              <w:rPr>
                <w:rFonts w:ascii="Verdana" w:hAnsi="Verdana"/>
              </w:rPr>
              <w:t>“</w:t>
            </w:r>
            <w:r w:rsidRPr="00D44FF2">
              <w:rPr>
                <w:rFonts w:ascii="Verdana" w:hAnsi="Verdana"/>
              </w:rPr>
              <w:t>todos los entes del Estado</w:t>
            </w:r>
            <w:r>
              <w:rPr>
                <w:rFonts w:ascii="Verdana" w:hAnsi="Verdana"/>
              </w:rPr>
              <w:t>”</w:t>
            </w:r>
            <w:r w:rsidRPr="00D44FF2">
              <w:rPr>
                <w:rFonts w:ascii="Verdana" w:hAnsi="Verdana"/>
              </w:rPr>
              <w:t xml:space="preserve">, expresión que contempla a los </w:t>
            </w:r>
            <w:r w:rsidRPr="00D44FF2">
              <w:rPr>
                <w:rFonts w:ascii="Verdana" w:hAnsi="Verdana"/>
              </w:rPr>
              <w:lastRenderedPageBreak/>
              <w:t xml:space="preserve">diferentes organismos o entidades autorizadas por la ley para suscribir contratos. En efecto, tal como lo ha sostenido el Consejo de Estado, el vocablo </w:t>
            </w:r>
            <w:r>
              <w:rPr>
                <w:rFonts w:ascii="Verdana" w:hAnsi="Verdana"/>
              </w:rPr>
              <w:t>“</w:t>
            </w:r>
            <w:r w:rsidRPr="00D44FF2">
              <w:rPr>
                <w:rFonts w:ascii="Verdana" w:hAnsi="Verdana"/>
              </w:rPr>
              <w:t>todos</w:t>
            </w:r>
            <w:r>
              <w:rPr>
                <w:rFonts w:ascii="Verdana" w:hAnsi="Verdana"/>
              </w:rPr>
              <w:t>”</w:t>
            </w:r>
            <w:r w:rsidRPr="00D44FF2">
              <w:rPr>
                <w:rFonts w:ascii="Verdana" w:hAnsi="Verdana"/>
              </w:rPr>
              <w:t xml:space="preserve"> utilizado por el legislador comprende 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w:t>
            </w:r>
            <w:r>
              <w:rPr>
                <w:rFonts w:ascii="Verdana" w:hAnsi="Verdana"/>
              </w:rPr>
              <w:t xml:space="preserve"> </w:t>
            </w:r>
          </w:p>
          <w:p w14:paraId="68A90378" w14:textId="77777777" w:rsidR="00501AFD" w:rsidRPr="00C40D52" w:rsidRDefault="00501AFD" w:rsidP="00501AFD">
            <w:pPr>
              <w:spacing w:after="120" w:line="276" w:lineRule="auto"/>
              <w:ind w:firstLine="709"/>
              <w:jc w:val="both"/>
              <w:rPr>
                <w:rFonts w:ascii="Verdana" w:eastAsia="Times New Roman" w:hAnsi="Verdana" w:cs="Arial"/>
                <w:lang w:val="es-ES"/>
              </w:rPr>
            </w:pPr>
            <w:r w:rsidRPr="00C40D52">
              <w:rPr>
                <w:rFonts w:ascii="Verdana" w:eastAsia="Times New Roman" w:hAnsi="Verdana" w:cs="Arial"/>
                <w:lang w:val="es-ES"/>
              </w:rPr>
              <w:t>En consecuencia, las restricciones a la contratación contenidas en la Ley de Garantías Electorales son aplicables a entidades descentralizadas como las sociedades de economía mixta. Por lo tanto, la celebración de cualquier contrato de forma directa, esto es, sin que exista un proceso abierto y competitivo, también se encuentra restringida para este tipo de entidades, sin perjuicio de las excepciones expresamente previstas en el inciso final del artículo 33 de dicha norma.</w:t>
            </w:r>
          </w:p>
          <w:p w14:paraId="36F6F846" w14:textId="77777777" w:rsidR="00501AFD" w:rsidRPr="00DE5508" w:rsidRDefault="00501AFD" w:rsidP="00501AFD">
            <w:pPr>
              <w:pStyle w:val="Prrafodelista"/>
              <w:spacing w:after="120" w:line="276" w:lineRule="auto"/>
              <w:ind w:left="0" w:firstLine="709"/>
              <w:contextualSpacing w:val="0"/>
              <w:jc w:val="both"/>
              <w:rPr>
                <w:rFonts w:ascii="Verdana" w:eastAsia="Times New Roman" w:hAnsi="Verdana" w:cs="Arial"/>
                <w:lang w:val="es-MX" w:eastAsia="es-CO"/>
              </w:rPr>
            </w:pPr>
            <w:r>
              <w:rPr>
                <w:rFonts w:ascii="Verdana" w:hAnsi="Verdana" w:cs="BCDHEE+Verdana"/>
                <w:color w:val="000000"/>
                <w:lang w:val="es-CO"/>
              </w:rPr>
              <w:t>En ese sentido, debe señalarse que, p</w:t>
            </w:r>
            <w:r w:rsidRPr="00DE5508">
              <w:rPr>
                <w:rFonts w:ascii="Verdana" w:hAnsi="Verdana" w:cs="BCDHEE+Verdana"/>
                <w:color w:val="000000"/>
                <w:lang w:val="es-CO"/>
              </w:rPr>
              <w:t xml:space="preserve">ara las elecciones presidenciales, el Consejo Nacional Electoral mediante Resolución No. 2580 del 5 de marzo de 2025 fijó el calendario electoral para las elecciones de Presidente y Vicepresidente de la República en primera vuelta que se celebrarán el 31 de mayo de 2026, por lo que las restricciones a aplicar son las del artículo 33 de la Ley 996 de 2005 que dispone que dentro de los </w:t>
            </w:r>
            <w:r>
              <w:rPr>
                <w:rFonts w:ascii="Verdana" w:hAnsi="Verdana" w:cs="BCDHEE+Verdana"/>
                <w:color w:val="000000"/>
                <w:lang w:val="es-CO"/>
              </w:rPr>
              <w:t>cuatro (</w:t>
            </w:r>
            <w:r w:rsidRPr="00DE5508">
              <w:rPr>
                <w:rFonts w:ascii="Verdana" w:hAnsi="Verdana" w:cs="BCDHEE+Verdana"/>
                <w:color w:val="000000"/>
                <w:lang w:val="es-CO"/>
              </w:rPr>
              <w:t>4</w:t>
            </w:r>
            <w:r>
              <w:rPr>
                <w:rFonts w:ascii="Verdana" w:hAnsi="Verdana" w:cs="BCDHEE+Verdana"/>
                <w:color w:val="000000"/>
                <w:lang w:val="es-CO"/>
              </w:rPr>
              <w:t>)</w:t>
            </w:r>
            <w:r w:rsidRPr="00DE5508">
              <w:rPr>
                <w:rFonts w:ascii="Verdana" w:hAnsi="Verdana" w:cs="BCDHEE+Verdana"/>
                <w:color w:val="000000"/>
                <w:lang w:val="es-CO"/>
              </w:rPr>
              <w:t xml:space="preserve"> meses anteriores a la elección presidencial, es decir desde el 31 de enero de 2026 y hasta el momento de la celebración de la segunda vuelta, si fuere el caso, queda prohibida la contratación directa por parte de todos los entes del Estado</w:t>
            </w:r>
            <w:r>
              <w:rPr>
                <w:rFonts w:ascii="Verdana" w:hAnsi="Verdana" w:cs="BCDHEE+Verdana"/>
                <w:color w:val="000000"/>
                <w:lang w:val="es-CO"/>
              </w:rPr>
              <w:t>.</w:t>
            </w:r>
          </w:p>
          <w:p w14:paraId="3B9F5B90" w14:textId="77777777" w:rsidR="00501AFD" w:rsidRDefault="00501AFD" w:rsidP="00501AFD">
            <w:pPr>
              <w:spacing w:after="120" w:line="276" w:lineRule="auto"/>
              <w:ind w:firstLine="709"/>
              <w:jc w:val="both"/>
              <w:rPr>
                <w:rFonts w:ascii="Verdana" w:eastAsia="Arial" w:hAnsi="Verdana" w:cs="Arial"/>
                <w:color w:val="000000"/>
              </w:rPr>
            </w:pPr>
            <w:r>
              <w:rPr>
                <w:rFonts w:ascii="Verdana" w:hAnsi="Verdana" w:cs="BCDHEE+Verdana"/>
                <w:color w:val="000000"/>
              </w:rPr>
              <w:t xml:space="preserve">Por otro lado, el parágrafo del artículo 38 de la Ley 996 de 2005 </w:t>
            </w:r>
            <w:r w:rsidRPr="00DE5508">
              <w:rPr>
                <w:rFonts w:ascii="Verdana" w:hAnsi="Verdana" w:cs="BCDHEE+Verdana"/>
                <w:color w:val="000000"/>
              </w:rPr>
              <w:t xml:space="preserve">prohíbe a los gobernadores, alcaldes municipales o distritales, secretarios, gerentes y directores de entidades descentralizadas del orden municipal, departamental o distrital </w:t>
            </w:r>
            <w:r w:rsidRPr="007A3B8C">
              <w:rPr>
                <w:rFonts w:ascii="Verdana" w:eastAsia="Arial" w:hAnsi="Verdana" w:cs="Arial"/>
                <w:color w:val="000000"/>
              </w:rPr>
              <w:t xml:space="preserve">“[…] celebrar </w:t>
            </w:r>
            <w:r w:rsidRPr="00122AC1">
              <w:rPr>
                <w:rFonts w:ascii="Verdana" w:eastAsia="Arial" w:hAnsi="Verdana" w:cs="Arial"/>
                <w:i/>
                <w:color w:val="000000"/>
              </w:rPr>
              <w:t xml:space="preserve">convenios interadministrativos </w:t>
            </w:r>
            <w:r w:rsidRPr="007A3B8C">
              <w:rPr>
                <w:rFonts w:ascii="Verdana" w:eastAsia="Arial" w:hAnsi="Verdana" w:cs="Arial"/>
                <w:color w:val="000000"/>
              </w:rPr>
              <w:t>para la ejecución de recursos públicos, ni participar, promover y destinar recursos públicos de las entidades a su cargo, como tampoco de las que participen como miembros de sus juntas directivas, en o para reuniones de carácter proselitista”.</w:t>
            </w:r>
            <w:r>
              <w:rPr>
                <w:rFonts w:ascii="Verdana" w:eastAsia="Arial" w:hAnsi="Verdana" w:cs="Arial"/>
                <w:color w:val="000000"/>
              </w:rPr>
              <w:t xml:space="preserve"> </w:t>
            </w:r>
          </w:p>
          <w:p w14:paraId="6B887DC0" w14:textId="77777777" w:rsidR="00501AFD" w:rsidRPr="00F2587B" w:rsidRDefault="00501AFD" w:rsidP="00501AFD">
            <w:pPr>
              <w:spacing w:after="120" w:line="276" w:lineRule="auto"/>
              <w:ind w:firstLine="709"/>
              <w:jc w:val="both"/>
              <w:rPr>
                <w:rFonts w:ascii="Verdana" w:eastAsia="Arial" w:hAnsi="Verdana" w:cs="Arial"/>
                <w:color w:val="000000"/>
              </w:rPr>
            </w:pPr>
            <w:r>
              <w:rPr>
                <w:rFonts w:ascii="Verdana" w:hAnsi="Verdana" w:cs="BCDHEE+Verdana"/>
                <w:color w:val="000000"/>
              </w:rPr>
              <w:t>P</w:t>
            </w:r>
            <w:r w:rsidRPr="00DE5508">
              <w:rPr>
                <w:rFonts w:ascii="Verdana" w:hAnsi="Verdana" w:cs="BCDHEE+Verdana"/>
                <w:color w:val="000000"/>
              </w:rPr>
              <w:t>ara las elecciones al Congreso de la República que serán el 8 de marzo de 2026,</w:t>
            </w:r>
            <w:r>
              <w:rPr>
                <w:rFonts w:ascii="Verdana" w:hAnsi="Verdana" w:cs="BCDHEE+Verdana"/>
                <w:color w:val="000000"/>
              </w:rPr>
              <w:t xml:space="preserve"> según calendario electoral fijado por </w:t>
            </w:r>
            <w:r w:rsidRPr="00DE5508">
              <w:rPr>
                <w:rFonts w:ascii="Verdana" w:hAnsi="Verdana" w:cs="BCDHEE+Verdana"/>
                <w:color w:val="000000"/>
              </w:rPr>
              <w:t>el Consejo Nacional Electoral mediante Resolución No. 2581 del 5 de marzo de 2025, de acuerdo con el artículo 38 de la Ley 996 de 2005,</w:t>
            </w:r>
            <w:r>
              <w:rPr>
                <w:rFonts w:ascii="Verdana" w:hAnsi="Verdana" w:cs="BCDHEE+Verdana"/>
                <w:color w:val="000000"/>
              </w:rPr>
              <w:t xml:space="preserve"> Por lo cual la anterior restricción </w:t>
            </w:r>
            <w:r w:rsidRPr="00DE5508">
              <w:rPr>
                <w:rFonts w:ascii="Verdana" w:hAnsi="Verdana" w:cs="BCDHEE+Verdana"/>
                <w:color w:val="000000"/>
              </w:rPr>
              <w:t>inici</w:t>
            </w:r>
            <w:r>
              <w:rPr>
                <w:rFonts w:ascii="Verdana" w:hAnsi="Verdana" w:cs="BCDHEE+Verdana"/>
                <w:color w:val="000000"/>
              </w:rPr>
              <w:t>ó</w:t>
            </w:r>
            <w:r w:rsidRPr="00DE5508">
              <w:rPr>
                <w:rFonts w:ascii="Verdana" w:hAnsi="Verdana" w:cs="BCDHEE+Verdana"/>
                <w:color w:val="000000"/>
              </w:rPr>
              <w:t xml:space="preserve"> el 8 </w:t>
            </w:r>
            <w:r w:rsidRPr="00DE5508">
              <w:rPr>
                <w:rFonts w:ascii="Verdana" w:hAnsi="Verdana" w:cs="BCDHEE+Verdana"/>
                <w:color w:val="000000"/>
              </w:rPr>
              <w:lastRenderedPageBreak/>
              <w:t xml:space="preserve">de noviembre de 2025, es decir, </w:t>
            </w:r>
            <w:r>
              <w:rPr>
                <w:rFonts w:ascii="Verdana" w:hAnsi="Verdana" w:cs="BCDHEE+Verdana"/>
                <w:color w:val="000000"/>
              </w:rPr>
              <w:t>cuatro</w:t>
            </w:r>
            <w:r w:rsidRPr="00DE5508">
              <w:rPr>
                <w:rFonts w:ascii="Verdana" w:hAnsi="Verdana" w:cs="BCDHEE+Verdana"/>
                <w:color w:val="000000"/>
              </w:rPr>
              <w:t xml:space="preserve"> </w:t>
            </w:r>
            <w:r>
              <w:rPr>
                <w:rFonts w:ascii="Verdana" w:hAnsi="Verdana" w:cs="BCDHEE+Verdana"/>
                <w:color w:val="000000"/>
              </w:rPr>
              <w:t>(</w:t>
            </w:r>
            <w:r w:rsidRPr="00DE5508">
              <w:rPr>
                <w:rFonts w:ascii="Verdana" w:hAnsi="Verdana" w:cs="BCDHEE+Verdana"/>
                <w:color w:val="000000"/>
              </w:rPr>
              <w:t>4</w:t>
            </w:r>
            <w:r>
              <w:rPr>
                <w:rFonts w:ascii="Verdana" w:hAnsi="Verdana" w:cs="BCDHEE+Verdana"/>
                <w:color w:val="000000"/>
              </w:rPr>
              <w:t>)</w:t>
            </w:r>
            <w:r w:rsidRPr="00DE5508">
              <w:rPr>
                <w:rFonts w:ascii="Verdana" w:hAnsi="Verdana" w:cs="BCDHEE+Verdana"/>
                <w:color w:val="000000"/>
              </w:rPr>
              <w:t xml:space="preserve"> meses antes de la fecha de las elecciones</w:t>
            </w:r>
            <w:r>
              <w:rPr>
                <w:rFonts w:ascii="Verdana" w:hAnsi="Verdana" w:cs="BCDHEE+Verdana"/>
                <w:color w:val="000000"/>
              </w:rPr>
              <w:t>.</w:t>
            </w:r>
          </w:p>
          <w:p w14:paraId="6E4D11CD" w14:textId="77777777" w:rsidR="00501AFD" w:rsidRPr="00775AB1" w:rsidRDefault="00501AFD" w:rsidP="00501AFD">
            <w:pPr>
              <w:spacing w:after="120" w:line="276" w:lineRule="auto"/>
              <w:ind w:firstLine="709"/>
              <w:jc w:val="both"/>
              <w:rPr>
                <w:rFonts w:ascii="Verdana" w:eastAsia="Times New Roman" w:hAnsi="Verdana" w:cs="Arial"/>
                <w:lang w:val="es-MX" w:eastAsia="es-CO"/>
              </w:rPr>
            </w:pPr>
            <w:r>
              <w:rPr>
                <w:rFonts w:ascii="Verdana" w:hAnsi="Verdana" w:cs="BCDHEE+Verdana"/>
                <w:color w:val="000000"/>
              </w:rPr>
              <w:t xml:space="preserve"> Por lo que, </w:t>
            </w:r>
            <w:proofErr w:type="spellStart"/>
            <w:r w:rsidRPr="00E2397D">
              <w:rPr>
                <w:rFonts w:ascii="Verdana" w:eastAsia="Times New Roman" w:hAnsi="Verdana" w:cs="Arial"/>
                <w:lang w:val="es-MX" w:eastAsia="es-CO"/>
              </w:rPr>
              <w:t>si</w:t>
            </w:r>
            <w:proofErr w:type="spellEnd"/>
            <w:r w:rsidRPr="00E2397D">
              <w:rPr>
                <w:rFonts w:ascii="Verdana" w:eastAsia="Times New Roman" w:hAnsi="Verdana" w:cs="Arial"/>
                <w:lang w:val="es-MX" w:eastAsia="es-CO"/>
              </w:rPr>
              <w:t xml:space="preserve"> una o ambas partes de la relación contractual es una entidad de aquellas descritas en el parágrafo </w:t>
            </w:r>
            <w:r w:rsidRPr="00E2397D">
              <w:rPr>
                <w:rFonts w:ascii="Verdana" w:eastAsia="Times New Roman" w:hAnsi="Verdana" w:cs="Arial"/>
                <w:i/>
                <w:lang w:val="es-MX" w:eastAsia="es-CO"/>
              </w:rPr>
              <w:t>ibidem</w:t>
            </w:r>
            <w:r w:rsidRPr="00E2397D">
              <w:rPr>
                <w:rFonts w:ascii="Verdana" w:eastAsia="Times New Roman" w:hAnsi="Verdana" w:cs="Arial"/>
                <w:lang w:val="es-MX" w:eastAsia="es-CO"/>
              </w:rPr>
              <w:t>,</w:t>
            </w:r>
            <w:r>
              <w:rPr>
                <w:rFonts w:ascii="Verdana" w:eastAsia="Times New Roman" w:hAnsi="Verdana" w:cs="Arial"/>
                <w:lang w:val="es-MX" w:eastAsia="es-CO"/>
              </w:rPr>
              <w:t xml:space="preserve"> </w:t>
            </w:r>
            <w:r w:rsidRPr="00E2397D">
              <w:rPr>
                <w:rFonts w:ascii="Verdana" w:eastAsia="Times New Roman" w:hAnsi="Verdana" w:cs="Arial"/>
                <w:lang w:val="es-MX" w:eastAsia="es-CO"/>
              </w:rPr>
              <w:t xml:space="preserve">no podrá celebrar </w:t>
            </w:r>
            <w:r w:rsidRPr="00E2397D">
              <w:rPr>
                <w:rFonts w:ascii="Verdana" w:eastAsia="Times New Roman" w:hAnsi="Verdana" w:cs="Arial"/>
                <w:i/>
                <w:iCs/>
                <w:lang w:val="es-MX" w:eastAsia="es-CO"/>
              </w:rPr>
              <w:t>convenios</w:t>
            </w:r>
            <w:r>
              <w:rPr>
                <w:rFonts w:ascii="Verdana" w:eastAsia="Times New Roman" w:hAnsi="Verdana" w:cs="Arial"/>
                <w:i/>
                <w:iCs/>
                <w:lang w:val="es-MX" w:eastAsia="es-CO"/>
              </w:rPr>
              <w:t xml:space="preserve"> interadministrativos</w:t>
            </w:r>
            <w:r w:rsidRPr="00E2397D">
              <w:rPr>
                <w:rFonts w:ascii="Verdana" w:eastAsia="Times New Roman" w:hAnsi="Verdana" w:cs="Arial"/>
                <w:lang w:val="es-MX" w:eastAsia="es-CO"/>
              </w:rPr>
              <w:t xml:space="preserve"> durante la aplicación de la Ley de Garantías Electorales, toda vez que la citada disposición hace referencia a dicha tipología contractual sin que el legislador hubiere contemplado un efecto extensivo a otra tipología. </w:t>
            </w:r>
          </w:p>
          <w:p w14:paraId="2CEAFDEC" w14:textId="3565DB25" w:rsidR="00554AFE" w:rsidRDefault="00501AFD" w:rsidP="00501AFD">
            <w:pPr>
              <w:spacing w:before="120" w:line="276" w:lineRule="auto"/>
              <w:jc w:val="both"/>
              <w:rPr>
                <w:rFonts w:ascii="Verdana" w:eastAsia="Calibri" w:hAnsi="Verdana" w:cs="Arial"/>
              </w:rPr>
            </w:pPr>
            <w:r>
              <w:rPr>
                <w:rFonts w:ascii="Verdana" w:hAnsi="Verdana"/>
              </w:rPr>
              <w:t xml:space="preserve">          </w:t>
            </w:r>
            <w:r w:rsidRPr="00DE5508">
              <w:rPr>
                <w:rFonts w:ascii="Verdana" w:hAnsi="Verdana"/>
              </w:rPr>
              <w:t>Dentro de este marco, corresponde a cada entidad pública, en ejercicio de su competencia y previa valoración de los elementos fácticos y jurídicos, así como de las disposiciones legales mencionadas, determinar su gestión contractual durante la aplicación de las restricciones de la Ley de Garantías Electorales.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r w:rsidR="00354075" w:rsidRPr="00547323">
              <w:rPr>
                <w:rFonts w:ascii="Verdana" w:eastAsia="Calibri" w:hAnsi="Verdana" w:cs="Arial"/>
              </w:rPr>
              <w:t xml:space="preserve"> </w:t>
            </w:r>
          </w:p>
          <w:p w14:paraId="0DC9D726" w14:textId="77777777" w:rsidR="009F1C22" w:rsidRPr="00B87FBD" w:rsidRDefault="009F1C22" w:rsidP="009F1C22">
            <w:pPr>
              <w:spacing w:line="276" w:lineRule="auto"/>
              <w:jc w:val="both"/>
              <w:rPr>
                <w:rFonts w:ascii="Verdana" w:hAnsi="Verdana" w:cs="Arial"/>
              </w:rPr>
            </w:pPr>
          </w:p>
          <w:p w14:paraId="4FED5380" w14:textId="7CC0D693" w:rsidR="00A64017" w:rsidRPr="00C71956" w:rsidRDefault="00274CA6" w:rsidP="0043740D">
            <w:pPr>
              <w:spacing w:after="120" w:line="276" w:lineRule="auto"/>
              <w:jc w:val="both"/>
              <w:rPr>
                <w:rFonts w:ascii="Verdana" w:eastAsia="Aptos" w:hAnsi="Verdana" w:cs="Arial"/>
                <w:shd w:val="clear" w:color="auto" w:fill="FFFFFF"/>
              </w:rPr>
            </w:pPr>
            <w:r>
              <w:rPr>
                <w:rFonts w:ascii="Verdana" w:eastAsia="Arial MT" w:hAnsi="Verdana" w:cs="Arial"/>
                <w:lang w:eastAsia="es-ES" w:bidi="es-ES"/>
              </w:rPr>
              <w:t xml:space="preserve"> </w:t>
            </w:r>
            <w:r w:rsidR="0043740D">
              <w:rPr>
                <w:rFonts w:ascii="Verdana" w:eastAsia="Arial MT" w:hAnsi="Verdana" w:cs="Arial"/>
                <w:lang w:eastAsia="es-ES" w:bidi="es-ES"/>
              </w:rPr>
              <w:t xml:space="preserve">       </w:t>
            </w:r>
            <w:r w:rsidR="00A64017">
              <w:rPr>
                <w:rFonts w:ascii="Verdana" w:eastAsia="Calibri" w:hAnsi="Verdana" w:cs="Arial"/>
                <w:lang w:eastAsia="es-ES"/>
              </w:rPr>
              <w:t>Finalmente</w:t>
            </w:r>
            <w:r w:rsidR="00A64017">
              <w:rPr>
                <w:rFonts w:ascii="Verdana" w:eastAsia="Calibri" w:hAnsi="Verdana" w:cs="Times New Roman"/>
              </w:rPr>
              <w:t>,</w:t>
            </w:r>
            <w:r w:rsidR="00A64017" w:rsidRPr="00DB4737">
              <w:rPr>
                <w:rFonts w:ascii="Verdana" w:eastAsia="Calibri" w:hAnsi="Verdana" w:cs="Times New Roman"/>
              </w:rPr>
              <w:t xml:space="preserve"> debe advertirse que el análisis en torno </w:t>
            </w:r>
            <w:r w:rsidR="00A64017">
              <w:rPr>
                <w:rFonts w:ascii="Verdana" w:eastAsia="Calibri" w:hAnsi="Verdana" w:cs="Times New Roman"/>
              </w:rPr>
              <w:t>a un proceso de contratación especifico debe</w:t>
            </w:r>
            <w:r w:rsidR="00A64017" w:rsidRPr="0012388D">
              <w:rPr>
                <w:rFonts w:ascii="Verdana" w:eastAsia="Calibri" w:hAnsi="Verdana" w:cs="Times New Roman"/>
              </w:rPr>
              <w:t xml:space="preserve"> ser realizado por quienes tengan interés en ello.</w:t>
            </w:r>
            <w:r w:rsidR="00A64017" w:rsidRPr="00DB4737">
              <w:rPr>
                <w:rFonts w:ascii="Verdana" w:eastAsia="Calibri" w:hAnsi="Verdana" w:cs="Times New Roman"/>
              </w:rPr>
              <w:t xml:space="preserve">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r w:rsidR="00A64017">
              <w:t xml:space="preserve"> </w:t>
            </w:r>
          </w:p>
          <w:p w14:paraId="101394EC" w14:textId="77777777" w:rsidR="00A64017" w:rsidRDefault="00A64017" w:rsidP="00A15B1F">
            <w:pPr>
              <w:spacing w:line="276" w:lineRule="auto"/>
              <w:jc w:val="both"/>
              <w:rPr>
                <w:rFonts w:ascii="Verdana" w:eastAsia="Calibri" w:hAnsi="Verdana" w:cs="Times New Roman"/>
                <w:lang w:val="es-ES"/>
              </w:rPr>
            </w:pPr>
            <w:r>
              <w:rPr>
                <w:rFonts w:ascii="Verdana" w:eastAsia="Calibri" w:hAnsi="Verdana" w:cs="Times New Roman"/>
                <w:lang w:val="es-ES"/>
              </w:rPr>
              <w:t xml:space="preserve">        </w:t>
            </w:r>
            <w:r w:rsidR="00C84124">
              <w:rPr>
                <w:rFonts w:ascii="Verdana" w:eastAsia="Calibri" w:hAnsi="Verdana" w:cs="Times New Roman"/>
                <w:lang w:val="es-ES"/>
              </w:rPr>
              <w:t xml:space="preserve">  </w:t>
            </w:r>
            <w:r w:rsidRPr="00DB4737">
              <w:rPr>
                <w:rFonts w:ascii="Verdana" w:eastAsia="Calibri" w:hAnsi="Verdana" w:cs="Times New Roman"/>
                <w:lang w:val="es-ES"/>
              </w:rPr>
              <w:t>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r>
              <w:rPr>
                <w:rFonts w:ascii="Verdana" w:eastAsia="Calibri" w:hAnsi="Verdana" w:cs="Times New Roman"/>
                <w:lang w:val="es-ES"/>
              </w:rPr>
              <w:t>.</w:t>
            </w:r>
          </w:p>
          <w:p w14:paraId="5EA94571" w14:textId="11FC2CB2" w:rsidR="00A51CB5" w:rsidRPr="00E529C2" w:rsidRDefault="00A51CB5" w:rsidP="00A15B1F">
            <w:pPr>
              <w:spacing w:line="276" w:lineRule="auto"/>
              <w:jc w:val="both"/>
              <w:rPr>
                <w:rFonts w:ascii="Verdana" w:eastAsia="Calibri" w:hAnsi="Verdana" w:cs="Times New Roman"/>
                <w:lang w:val="es-ES"/>
              </w:rPr>
            </w:pPr>
          </w:p>
        </w:tc>
      </w:tr>
      <w:tr w:rsidR="00675FED" w:rsidRPr="00593A5F" w14:paraId="390C137A" w14:textId="77777777" w:rsidTr="00A15B1F">
        <w:tc>
          <w:tcPr>
            <w:tcW w:w="8828" w:type="dxa"/>
          </w:tcPr>
          <w:p w14:paraId="47EF0E80" w14:textId="77777777" w:rsidR="00675FED" w:rsidRDefault="00675FED" w:rsidP="00675FED">
            <w:pPr>
              <w:spacing w:after="120" w:line="276" w:lineRule="auto"/>
              <w:jc w:val="both"/>
              <w:rPr>
                <w:rFonts w:ascii="Verdana" w:eastAsia="Calibri" w:hAnsi="Verdana" w:cs="Arial"/>
                <w:bCs/>
                <w:lang w:eastAsia="es-ES_tradnl"/>
              </w:rPr>
            </w:pPr>
          </w:p>
        </w:tc>
      </w:tr>
    </w:tbl>
    <w:p w14:paraId="5C382394" w14:textId="77777777" w:rsidR="00A64017" w:rsidRDefault="00A64017" w:rsidP="00A64017">
      <w:pPr>
        <w:tabs>
          <w:tab w:val="left" w:pos="142"/>
          <w:tab w:val="left" w:pos="284"/>
        </w:tabs>
        <w:spacing w:after="0" w:line="276" w:lineRule="auto"/>
        <w:jc w:val="both"/>
        <w:rPr>
          <w:rFonts w:ascii="Verdana" w:eastAsia="Century Gothic" w:hAnsi="Verdana" w:cs="Century Gothic"/>
          <w:b/>
          <w:bCs/>
          <w:lang w:val="es-ES"/>
        </w:rPr>
      </w:pPr>
    </w:p>
    <w:p w14:paraId="70B9C5F2" w14:textId="77777777" w:rsidR="00A64017" w:rsidRPr="00593A5F" w:rsidRDefault="00A64017" w:rsidP="00A64017">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21EBC54F" w14:textId="77777777" w:rsidR="00A64017" w:rsidRDefault="00A64017" w:rsidP="00A64017">
      <w:pPr>
        <w:spacing w:after="0" w:line="276" w:lineRule="auto"/>
        <w:ind w:firstLine="708"/>
        <w:jc w:val="both"/>
        <w:rPr>
          <w:rFonts w:ascii="Verdana" w:eastAsia="Calibri" w:hAnsi="Verdana" w:cs="Arial"/>
          <w:color w:val="000000" w:themeColor="text1"/>
        </w:rPr>
      </w:pPr>
    </w:p>
    <w:p w14:paraId="5891F5A9" w14:textId="12D79711" w:rsidR="00501AFD" w:rsidRPr="00C40D52" w:rsidRDefault="00C653EC" w:rsidP="00501AFD">
      <w:pPr>
        <w:autoSpaceDE w:val="0"/>
        <w:autoSpaceDN w:val="0"/>
        <w:adjustRightInd w:val="0"/>
        <w:spacing w:after="120" w:line="276" w:lineRule="auto"/>
        <w:jc w:val="both"/>
        <w:rPr>
          <w:rFonts w:ascii="Verdana" w:hAnsi="Verdana" w:cs="Arial"/>
          <w:lang w:val="es-ES_tradnl"/>
        </w:rPr>
      </w:pPr>
      <w:bookmarkStart w:id="4" w:name="_Hlk108519028"/>
      <w:r>
        <w:rPr>
          <w:rFonts w:ascii="Verdana" w:eastAsia="Calibri" w:hAnsi="Verdana" w:cs="Arial"/>
          <w:color w:val="000000" w:themeColor="text1"/>
        </w:rPr>
        <w:t xml:space="preserve">        </w:t>
      </w:r>
      <w:r w:rsidR="00501AFD" w:rsidRPr="00C40D52">
        <w:rPr>
          <w:rFonts w:ascii="Verdana" w:hAnsi="Verdana" w:cs="Arial"/>
          <w:color w:val="000000" w:themeColor="text1"/>
          <w:lang w:val="es-ES_tradnl"/>
        </w:rPr>
        <w:t>En nuestro ordenamiento jurídico, el</w:t>
      </w:r>
      <w:r w:rsidR="00501AFD" w:rsidRPr="00C40D52">
        <w:rPr>
          <w:rFonts w:ascii="Verdana" w:hAnsi="Verdana" w:cs="Arial"/>
          <w:lang w:val="es-ES_tradnl"/>
        </w:rPr>
        <w:t xml:space="preserve"> artículo 97 de la Ley 489 de 1998 define a las sociedades de economía mixta como organismos autorizados por la ley, constituidos como sociedades comerciales, con aportes de capital público y privado, que desarrollan actividades de naturaleza industrial o comercial conforme a las reglas del derecho privado, salvo las excepciones que consagra la ley.</w:t>
      </w:r>
    </w:p>
    <w:p w14:paraId="728A374C" w14:textId="77777777" w:rsidR="00501AFD" w:rsidRPr="00C40D52" w:rsidRDefault="00501AFD" w:rsidP="00501AFD">
      <w:pPr>
        <w:spacing w:after="120" w:line="276" w:lineRule="auto"/>
        <w:ind w:firstLine="709"/>
        <w:jc w:val="both"/>
        <w:textAlignment w:val="baseline"/>
        <w:rPr>
          <w:rFonts w:ascii="Verdana" w:eastAsia="Times New Roman" w:hAnsi="Verdana" w:cs="Arial"/>
          <w:lang w:val="es-ES" w:eastAsia="es-MX"/>
        </w:rPr>
      </w:pPr>
      <w:r w:rsidRPr="00C40D52">
        <w:rPr>
          <w:rFonts w:ascii="Verdana" w:eastAsia="Times New Roman" w:hAnsi="Verdana" w:cs="Arial"/>
          <w:lang w:val="es-ES" w:eastAsia="es-MX"/>
        </w:rPr>
        <w:t>En este sentido, la misma Ley, en los artículos 38 y 68, clasifica a las sociedades de economía mixta como entidades descentralizadas por servicios, con personería jurídica, autonomía administrativa y patrimonio propio</w:t>
      </w:r>
      <w:r w:rsidRPr="00C40D52">
        <w:rPr>
          <w:rStyle w:val="Refdenotaalpie"/>
          <w:rFonts w:ascii="Verdana" w:eastAsia="Times New Roman" w:hAnsi="Verdana" w:cs="Arial"/>
          <w:lang w:val="es-ES_tradnl" w:eastAsia="es-MX"/>
        </w:rPr>
        <w:footnoteReference w:id="1"/>
      </w:r>
      <w:r w:rsidRPr="00C40D52">
        <w:rPr>
          <w:rFonts w:ascii="Verdana" w:eastAsia="Times New Roman" w:hAnsi="Verdana" w:cs="Arial"/>
          <w:lang w:val="es-ES" w:eastAsia="es-MX"/>
        </w:rPr>
        <w:t>, que pueden ser del orden nacional, departamental o municipal, según su órgano de creación</w:t>
      </w:r>
      <w:r w:rsidRPr="00C40D52">
        <w:rPr>
          <w:rStyle w:val="Refdenotaalpie"/>
          <w:rFonts w:ascii="Verdana" w:eastAsia="Times New Roman" w:hAnsi="Verdana" w:cs="Arial"/>
          <w:lang w:val="es-ES_tradnl" w:eastAsia="es-MX"/>
        </w:rPr>
        <w:footnoteReference w:id="2"/>
      </w:r>
      <w:r w:rsidRPr="00C40D52">
        <w:rPr>
          <w:rFonts w:ascii="Verdana" w:eastAsia="Times New Roman" w:hAnsi="Verdana" w:cs="Arial"/>
          <w:lang w:val="es-ES" w:eastAsia="es-MX"/>
        </w:rPr>
        <w:t xml:space="preserve">. Al respecto, la Corte Constitucional, en sentencias C-736 del 19 de septiembre de 2007, C-118 del 14 de noviembre de 2018 y C-306 del 10 de julio de 2019, ha considerado que las sociedades estudiadas, desde una perspectiva constitucional, se caracterizan por los siguientes aspectos: i) pertenecen a la rama ejecutiva del poder público, como manifestación de la descentralización por servicios. Así mismo, </w:t>
      </w:r>
      <w:proofErr w:type="spellStart"/>
      <w:r w:rsidRPr="00C40D52">
        <w:rPr>
          <w:rFonts w:ascii="Verdana" w:eastAsia="Times New Roman" w:hAnsi="Verdana" w:cs="Arial"/>
          <w:lang w:val="es-ES" w:eastAsia="es-MX"/>
        </w:rPr>
        <w:t>ii</w:t>
      </w:r>
      <w:proofErr w:type="spellEnd"/>
      <w:r w:rsidRPr="00C40D52">
        <w:rPr>
          <w:rFonts w:ascii="Verdana" w:eastAsia="Times New Roman" w:hAnsi="Verdana" w:cs="Arial"/>
          <w:lang w:val="es-ES" w:eastAsia="es-MX"/>
        </w:rPr>
        <w:t xml:space="preserve">) están sujetas al control fiscal, financiero, de gestión y de resultados en cabeza de la Contraloría General de la República. Por otra parte, </w:t>
      </w:r>
      <w:proofErr w:type="spellStart"/>
      <w:r w:rsidRPr="00C40D52">
        <w:rPr>
          <w:rFonts w:ascii="Verdana" w:eastAsia="Times New Roman" w:hAnsi="Verdana" w:cs="Arial"/>
          <w:lang w:val="es-ES" w:eastAsia="es-MX"/>
        </w:rPr>
        <w:t>iii</w:t>
      </w:r>
      <w:proofErr w:type="spellEnd"/>
      <w:r w:rsidRPr="00C40D52">
        <w:rPr>
          <w:rFonts w:ascii="Verdana" w:eastAsia="Times New Roman" w:hAnsi="Verdana" w:cs="Arial"/>
          <w:lang w:val="es-ES" w:eastAsia="es-MX"/>
        </w:rPr>
        <w:t xml:space="preserve">) se someten al control político, que ejerce directamente el Congreso de la República. Además, </w:t>
      </w:r>
      <w:proofErr w:type="spellStart"/>
      <w:r w:rsidRPr="00C40D52">
        <w:rPr>
          <w:rFonts w:ascii="Verdana" w:eastAsia="Times New Roman" w:hAnsi="Verdana" w:cs="Arial"/>
          <w:lang w:val="es-ES" w:eastAsia="es-MX"/>
        </w:rPr>
        <w:t>iv</w:t>
      </w:r>
      <w:proofErr w:type="spellEnd"/>
      <w:r w:rsidRPr="00C40D52">
        <w:rPr>
          <w:rFonts w:ascii="Verdana" w:eastAsia="Times New Roman" w:hAnsi="Verdana" w:cs="Arial"/>
          <w:lang w:val="es-ES" w:eastAsia="es-MX"/>
        </w:rPr>
        <w:t xml:space="preserve">) en el caso de las sociedades de economía mixta del orden nacional, le corresponde al Congreso de la República su creación o autorización mediante ley. En cambio, v) en el caso de los órdenes departamental y municipal, esta misma facultad se les reconoce a las asambleas y concejos. Adicionalmente, vi) a todas las sociedades de economía mixta les son aplicables las inhabilidades para la integración de órganos directivos a que </w:t>
      </w:r>
      <w:r w:rsidRPr="00C40D52">
        <w:rPr>
          <w:rFonts w:ascii="Verdana" w:eastAsia="Times New Roman" w:hAnsi="Verdana" w:cs="Arial"/>
          <w:lang w:val="es-ES" w:eastAsia="es-MX"/>
        </w:rPr>
        <w:lastRenderedPageBreak/>
        <w:t xml:space="preserve">aluden los artículos 180- 3, 292 y 323 de la Constitución Política. A lo anterior debe agregarse que, </w:t>
      </w:r>
      <w:proofErr w:type="spellStart"/>
      <w:r w:rsidRPr="00C40D52">
        <w:rPr>
          <w:rFonts w:ascii="Verdana" w:eastAsia="Times New Roman" w:hAnsi="Verdana" w:cs="Arial"/>
          <w:lang w:val="es-ES" w:eastAsia="es-MX"/>
        </w:rPr>
        <w:t>vii</w:t>
      </w:r>
      <w:proofErr w:type="spellEnd"/>
      <w:r w:rsidRPr="00C40D52">
        <w:rPr>
          <w:rFonts w:ascii="Verdana" w:eastAsia="Times New Roman" w:hAnsi="Verdana" w:cs="Arial"/>
          <w:lang w:val="es-ES" w:eastAsia="es-MX"/>
        </w:rPr>
        <w:t xml:space="preserve">) en materia presupuestal, las sociedades de economía mixta quedan sujetas a las reglas de la ley orgánica del presupuesto. De otro lado, </w:t>
      </w:r>
      <w:proofErr w:type="spellStart"/>
      <w:r w:rsidRPr="00C40D52">
        <w:rPr>
          <w:rFonts w:ascii="Verdana" w:eastAsia="Times New Roman" w:hAnsi="Verdana" w:cs="Arial"/>
          <w:lang w:val="es-ES" w:eastAsia="es-MX"/>
        </w:rPr>
        <w:t>viii</w:t>
      </w:r>
      <w:proofErr w:type="spellEnd"/>
      <w:r w:rsidRPr="00C40D52">
        <w:rPr>
          <w:rFonts w:ascii="Verdana" w:eastAsia="Times New Roman" w:hAnsi="Verdana" w:cs="Arial"/>
          <w:lang w:val="es-ES" w:eastAsia="es-MX"/>
        </w:rPr>
        <w:t xml:space="preserve">) en materia contable, quedan vinculadas a las reglas de contabilidad oficial. Además, </w:t>
      </w:r>
      <w:proofErr w:type="spellStart"/>
      <w:r w:rsidRPr="00C40D52">
        <w:rPr>
          <w:rFonts w:ascii="Verdana" w:eastAsia="Times New Roman" w:hAnsi="Verdana" w:cs="Arial"/>
          <w:lang w:val="es-ES" w:eastAsia="es-MX"/>
        </w:rPr>
        <w:t>ix</w:t>
      </w:r>
      <w:proofErr w:type="spellEnd"/>
      <w:r w:rsidRPr="00C40D52">
        <w:rPr>
          <w:rFonts w:ascii="Verdana" w:eastAsia="Times New Roman" w:hAnsi="Verdana" w:cs="Arial"/>
          <w:lang w:val="es-ES" w:eastAsia="es-MX"/>
        </w:rPr>
        <w:t>) se rigen por el derecho privado, en virtud de la naturaleza de las actividades que desarrollan.  </w:t>
      </w:r>
    </w:p>
    <w:p w14:paraId="3B7855D2" w14:textId="77777777" w:rsidR="00501AFD" w:rsidRPr="00C40D52" w:rsidRDefault="00501AFD" w:rsidP="00501AFD">
      <w:pPr>
        <w:spacing w:after="120" w:line="276" w:lineRule="auto"/>
        <w:ind w:firstLine="709"/>
        <w:jc w:val="both"/>
        <w:textAlignment w:val="baseline"/>
        <w:rPr>
          <w:rFonts w:ascii="Verdana" w:eastAsia="Times New Roman" w:hAnsi="Verdana" w:cs="Arial"/>
          <w:lang w:val="es-ES_tradnl" w:eastAsia="es-MX"/>
        </w:rPr>
      </w:pPr>
      <w:r w:rsidRPr="00C40D52">
        <w:rPr>
          <w:rFonts w:ascii="Verdana" w:eastAsia="Times New Roman" w:hAnsi="Verdana" w:cs="Arial"/>
          <w:lang w:val="es-ES_tradnl" w:eastAsia="es-MX"/>
        </w:rPr>
        <w:t>Sin embargo, este Alto Tribunal, en sentencia C-529 del 12 de julio de 2006, hizo énfasis en que, a pesar del sometimiento al régimen jurídico de derecho privado para el desarrollo de sus actividades, las sociedades de economía mixta no pierden su carácter de expresión organizacional de la actividad estatal</w:t>
      </w:r>
      <w:r w:rsidRPr="00C40D52">
        <w:rPr>
          <w:rStyle w:val="Refdenotaalpie"/>
          <w:rFonts w:ascii="Verdana" w:eastAsia="Times New Roman" w:hAnsi="Verdana" w:cs="Arial"/>
          <w:lang w:val="es-ES_tradnl" w:eastAsia="es-MX"/>
        </w:rPr>
        <w:footnoteReference w:id="3"/>
      </w:r>
      <w:r w:rsidRPr="00C40D52">
        <w:rPr>
          <w:rFonts w:ascii="Verdana" w:eastAsia="Times New Roman" w:hAnsi="Verdana" w:cs="Arial"/>
          <w:lang w:val="es-ES_tradnl" w:eastAsia="es-MX"/>
        </w:rPr>
        <w:t>, más precisamente de la función administrativa</w:t>
      </w:r>
      <w:r w:rsidRPr="00C40D52">
        <w:rPr>
          <w:rStyle w:val="Refdenotaalpie"/>
          <w:rFonts w:ascii="Verdana" w:eastAsia="Times New Roman" w:hAnsi="Verdana" w:cs="Arial"/>
          <w:lang w:val="es-ES_tradnl" w:eastAsia="es-MX"/>
        </w:rPr>
        <w:footnoteReference w:id="4"/>
      </w:r>
      <w:r w:rsidRPr="00C40D52">
        <w:rPr>
          <w:rFonts w:ascii="Verdana" w:eastAsia="Times New Roman" w:hAnsi="Verdana" w:cs="Arial"/>
          <w:lang w:val="es-ES_tradnl" w:eastAsia="es-MX"/>
        </w:rPr>
        <w:t>, en virtud del aporte público en la constitución del capital social y la consiguiente pertenencia a la administración pública, en la condición de entidades descentralizadas.</w:t>
      </w:r>
    </w:p>
    <w:p w14:paraId="128132D5" w14:textId="77777777" w:rsidR="00501AFD" w:rsidRPr="00C40D52" w:rsidRDefault="00501AFD" w:rsidP="00501AFD">
      <w:pPr>
        <w:spacing w:after="0" w:line="276" w:lineRule="auto"/>
        <w:ind w:firstLine="709"/>
        <w:jc w:val="both"/>
        <w:textAlignment w:val="baseline"/>
        <w:rPr>
          <w:rFonts w:ascii="Verdana" w:eastAsia="Times New Roman" w:hAnsi="Verdana" w:cs="Arial"/>
          <w:lang w:val="es-ES" w:eastAsia="es-MX"/>
        </w:rPr>
      </w:pPr>
      <w:r w:rsidRPr="00C40D52">
        <w:rPr>
          <w:rFonts w:ascii="Verdana" w:eastAsia="Times New Roman" w:hAnsi="Verdana" w:cs="Arial"/>
          <w:lang w:val="es-ES" w:eastAsia="es-MX"/>
        </w:rPr>
        <w:t>Así las cosas, resulta importante resaltar que, en nuestro ordenamiento jurídico, las sociedades de economía mixta están sometidas a un régimen jurídico compuesto por un conjunto normativo de derecho público y de derecho privado</w:t>
      </w:r>
      <w:r>
        <w:rPr>
          <w:rFonts w:ascii="Verdana" w:eastAsia="Times New Roman" w:hAnsi="Verdana" w:cs="Arial"/>
          <w:lang w:val="es-ES" w:eastAsia="es-MX"/>
        </w:rPr>
        <w:t>. E</w:t>
      </w:r>
      <w:r w:rsidRPr="00C40D52">
        <w:rPr>
          <w:rFonts w:ascii="Verdana" w:eastAsia="Times New Roman" w:hAnsi="Verdana" w:cs="Arial"/>
          <w:lang w:val="es-ES" w:eastAsia="es-MX"/>
        </w:rPr>
        <w:t xml:space="preserve">l primero, derivado directamente de la Constitución Política y referido a aspectos como su creación, autorización, organización y funcionamiento internos. Y el segundo destinado a regir el desarrollo de la actividad económica de cada sociedad. Ahora bien, también resulta importante señalar que el artículo 14 de la Ley 1150 de 2007 –modificado por el artículo 93 de la Ley 1474 de 2011– establece el régimen contractual de las sociedades de economía mixta, en las que el Estado tenga participación superior al cincuenta por ciento, señalando que: </w:t>
      </w:r>
    </w:p>
    <w:p w14:paraId="0187CB2E" w14:textId="77777777" w:rsidR="00501AFD" w:rsidRPr="00C40D52" w:rsidRDefault="00501AFD" w:rsidP="00501AFD">
      <w:pPr>
        <w:spacing w:after="0" w:line="276" w:lineRule="auto"/>
        <w:ind w:firstLine="709"/>
        <w:jc w:val="both"/>
        <w:textAlignment w:val="baseline"/>
        <w:rPr>
          <w:rFonts w:ascii="Verdana" w:eastAsia="Times New Roman" w:hAnsi="Verdana" w:cs="Arial"/>
          <w:lang w:val="es-ES_tradnl" w:eastAsia="es-MX"/>
        </w:rPr>
      </w:pPr>
    </w:p>
    <w:p w14:paraId="518A6738" w14:textId="77777777" w:rsidR="00501AFD" w:rsidRPr="00C40D52" w:rsidRDefault="00501AFD" w:rsidP="00501AFD">
      <w:pPr>
        <w:spacing w:after="0" w:line="240" w:lineRule="auto"/>
        <w:ind w:left="709" w:right="709"/>
        <w:jc w:val="both"/>
        <w:textAlignment w:val="baseline"/>
        <w:rPr>
          <w:rFonts w:ascii="Verdana" w:eastAsia="Times New Roman" w:hAnsi="Verdana" w:cs="Arial"/>
          <w:sz w:val="20"/>
          <w:szCs w:val="20"/>
          <w:lang w:val="es-ES_tradnl" w:eastAsia="es-MX"/>
        </w:rPr>
      </w:pPr>
      <w:r w:rsidRPr="00C40D52">
        <w:rPr>
          <w:rFonts w:ascii="Verdana" w:eastAsia="Times New Roman" w:hAnsi="Verdana" w:cs="Arial"/>
          <w:sz w:val="20"/>
          <w:szCs w:val="20"/>
          <w:lang w:val="es-ES_tradnl" w:eastAsia="es-MX"/>
        </w:rPr>
        <w:lastRenderedPageBreak/>
        <w:t>Artículo 14. DEL RÉGIMEN CONTRACTUAL DE LAS EMPRESAS INDUSTRIALES Y COMERCIALES DEL ESTADO, LAS SOCIEDADES DE ECONOMÍA MIXTA, SUS FILIALES Y EMPRESAS CON PARTICIPACIÓN MAYORITARIA DEL ESTADO. &lt;Artículo modificado por el artículo 93 de la Ley 1474 de 2011. El nuevo texto es el siguiente:&gt; Las Empresas Industriales y Comerciales del Estado, las Sociedades de Economía Mixta en las que el Estado tenga participación superior al cincuenta por ciento (50%), sus filiales y las Sociedades entre Entidades Públicas con participación mayoritaria del Estado superior al cincuenta por ciento (50%), estarán sometidas al Estatuto General de Contratación de la Administración Pública, con excepción de aquellas que desarrollen actividades comerciales en competencia con el sector privado y/o público, nacional o internacional o en mercados regulados, caso en el cual se regirán por las disposiciones legales y reglamentarias aplicables a sus actividades económicas y comerciales, sin perjuicio de lo previsto en el artículo 13 de la presente ley. Se exceptúan los contratos de ciencia y tecnología, que se regirán por la Ley 29 de 1990 y las disposiciones normativas existentes.</w:t>
      </w:r>
    </w:p>
    <w:p w14:paraId="45A6C26F" w14:textId="77777777" w:rsidR="00501AFD" w:rsidRPr="00122AC1" w:rsidRDefault="00501AFD" w:rsidP="00501AFD">
      <w:pPr>
        <w:spacing w:after="0" w:line="240" w:lineRule="auto"/>
        <w:ind w:left="709" w:right="709" w:firstLine="709"/>
        <w:jc w:val="both"/>
        <w:textAlignment w:val="baseline"/>
        <w:rPr>
          <w:rFonts w:ascii="Verdana" w:eastAsia="Times New Roman" w:hAnsi="Verdana" w:cs="Arial"/>
          <w:lang w:val="es-ES_tradnl" w:eastAsia="es-MX"/>
        </w:rPr>
      </w:pPr>
    </w:p>
    <w:p w14:paraId="297E01A1" w14:textId="77777777" w:rsidR="00501AFD" w:rsidRDefault="00501AFD" w:rsidP="00501AFD">
      <w:pPr>
        <w:spacing w:after="120" w:line="276" w:lineRule="auto"/>
        <w:ind w:firstLine="708"/>
        <w:jc w:val="both"/>
        <w:textAlignment w:val="baseline"/>
        <w:rPr>
          <w:rFonts w:ascii="Verdana" w:eastAsia="Times New Roman" w:hAnsi="Verdana" w:cs="Arial"/>
          <w:lang w:val="es-MX" w:eastAsia="es-CO"/>
        </w:rPr>
      </w:pPr>
      <w:r w:rsidRPr="00C40D52">
        <w:rPr>
          <w:rFonts w:ascii="Verdana" w:eastAsia="Times New Roman" w:hAnsi="Verdana" w:cs="Arial"/>
          <w:lang w:val="es-ES" w:eastAsia="es-MX"/>
        </w:rPr>
        <w:t>Teniendo en cuenta el contexto anterior,</w:t>
      </w:r>
      <w:r>
        <w:rPr>
          <w:rFonts w:ascii="Verdana" w:eastAsia="Times New Roman" w:hAnsi="Verdana" w:cs="Arial"/>
          <w:lang w:val="es-ES" w:eastAsia="es-MX"/>
        </w:rPr>
        <w:t xml:space="preserve"> </w:t>
      </w:r>
      <w:r w:rsidRPr="00C40D52">
        <w:rPr>
          <w:rFonts w:ascii="Verdana" w:eastAsia="Times New Roman" w:hAnsi="Verdana" w:cs="Arial"/>
          <w:lang w:val="es-ES" w:eastAsia="es-MX"/>
        </w:rPr>
        <w:t xml:space="preserve">atendiendo a que </w:t>
      </w:r>
      <w:r>
        <w:rPr>
          <w:rFonts w:ascii="Verdana" w:eastAsia="Times New Roman" w:hAnsi="Verdana" w:cs="Arial"/>
          <w:lang w:val="es-ES" w:eastAsia="es-MX"/>
        </w:rPr>
        <w:t>la consulta</w:t>
      </w:r>
      <w:r w:rsidRPr="00C40D52">
        <w:rPr>
          <w:rFonts w:ascii="Verdana" w:eastAsia="Times New Roman" w:hAnsi="Verdana" w:cs="Arial"/>
          <w:lang w:val="es-ES" w:eastAsia="es-MX"/>
        </w:rPr>
        <w:t xml:space="preserve"> está relacionada con el alcance de las prohibiciones en materia contractual establecidas en la </w:t>
      </w:r>
      <w:r>
        <w:rPr>
          <w:rFonts w:ascii="Verdana" w:eastAsia="Times New Roman" w:hAnsi="Verdana" w:cs="Arial"/>
          <w:lang w:val="es-ES" w:eastAsia="es-MX"/>
        </w:rPr>
        <w:t>L</w:t>
      </w:r>
      <w:r w:rsidRPr="00C40D52">
        <w:rPr>
          <w:rFonts w:ascii="Verdana" w:eastAsia="Times New Roman" w:hAnsi="Verdana" w:cs="Arial"/>
          <w:lang w:val="es-ES" w:eastAsia="es-MX"/>
        </w:rPr>
        <w:t xml:space="preserve">ey 996 de 2005 –Ley de Garantías Electorales–, a </w:t>
      </w:r>
      <w:r w:rsidRPr="23D8F5BD">
        <w:rPr>
          <w:rFonts w:ascii="Verdana" w:eastAsia="Times New Roman" w:hAnsi="Verdana" w:cs="Arial"/>
          <w:lang w:val="es-ES" w:eastAsia="es-MX"/>
        </w:rPr>
        <w:t>continuación,</w:t>
      </w:r>
      <w:r w:rsidRPr="00C40D52">
        <w:rPr>
          <w:rFonts w:ascii="Verdana" w:eastAsia="Times New Roman" w:hAnsi="Verdana" w:cs="Arial"/>
          <w:lang w:val="es-ES" w:eastAsia="es-MX"/>
        </w:rPr>
        <w:t xml:space="preserve"> se analizará el alcance de las restricciones establecidas en el artículo 33 y el parágrafo del artículo 38. </w:t>
      </w:r>
    </w:p>
    <w:p w14:paraId="62114724" w14:textId="77777777" w:rsidR="00501AFD" w:rsidRDefault="00501AFD" w:rsidP="00501AFD">
      <w:pPr>
        <w:tabs>
          <w:tab w:val="left" w:pos="426"/>
        </w:tabs>
        <w:spacing w:after="120" w:line="276" w:lineRule="auto"/>
        <w:jc w:val="both"/>
        <w:rPr>
          <w:rFonts w:ascii="Verdana" w:eastAsia="Calibri" w:hAnsi="Verdana" w:cs="Arial"/>
          <w:lang w:val="es-ES_tradnl"/>
        </w:rPr>
      </w:pPr>
      <w:r>
        <w:rPr>
          <w:rFonts w:ascii="Verdana" w:eastAsia="Times New Roman" w:hAnsi="Verdana" w:cs="Arial"/>
          <w:lang w:val="es-MX" w:eastAsia="es-CO"/>
        </w:rPr>
        <w:tab/>
      </w:r>
      <w:r>
        <w:rPr>
          <w:rFonts w:ascii="Verdana" w:eastAsia="Times New Roman" w:hAnsi="Verdana" w:cs="Arial"/>
          <w:lang w:val="es-MX" w:eastAsia="es-CO"/>
        </w:rPr>
        <w:tab/>
        <w:t>Para empezar, l</w:t>
      </w:r>
      <w:r w:rsidRPr="00E2397D">
        <w:rPr>
          <w:rFonts w:ascii="Verdana" w:eastAsia="Times New Roman" w:hAnsi="Verdana" w:cs="Arial"/>
          <w:lang w:val="es-MX" w:eastAsia="es-CO"/>
        </w:rPr>
        <w:t>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E2397D">
        <w:rPr>
          <w:rFonts w:ascii="Verdana" w:eastAsia="Times New Roman" w:hAnsi="Verdana" w:cs="Arial"/>
          <w:vertAlign w:val="superscript"/>
          <w:lang w:val="es-MX" w:eastAsia="es-CO"/>
        </w:rPr>
        <w:footnoteReference w:id="5"/>
      </w:r>
      <w:r w:rsidRPr="00E2397D">
        <w:rPr>
          <w:rFonts w:ascii="Verdana" w:eastAsia="Times New Roman" w:hAnsi="Verdana" w:cs="Arial"/>
          <w:lang w:val="es-MX" w:eastAsia="es-CO"/>
        </w:rPr>
        <w:t>. En esta medida, introduce limitaciones para realizar nombramientos, postulaciones, contrataciones o cualquier otro tipo de actividad que implique destinación de recursos públicos bajo el devenir propio de las Entidades Estatales.</w:t>
      </w:r>
      <w:r w:rsidRPr="00E2397D">
        <w:rPr>
          <w:rFonts w:ascii="Verdana" w:eastAsia="Calibri" w:hAnsi="Verdana" w:cs="Arial"/>
          <w:lang w:val="es-ES_tradnl"/>
        </w:rPr>
        <w:t xml:space="preserve"> </w:t>
      </w:r>
    </w:p>
    <w:p w14:paraId="4BE31F1F" w14:textId="77777777" w:rsidR="00501AFD" w:rsidRPr="006B14B5" w:rsidRDefault="00501AFD" w:rsidP="00501AFD">
      <w:pPr>
        <w:tabs>
          <w:tab w:val="left" w:pos="426"/>
        </w:tabs>
        <w:spacing w:after="0" w:line="276" w:lineRule="auto"/>
        <w:ind w:firstLine="709"/>
        <w:jc w:val="both"/>
        <w:rPr>
          <w:rFonts w:ascii="Verdana" w:eastAsia="Calibri" w:hAnsi="Verdana" w:cs="Arial"/>
          <w:lang w:val="es-ES_tradnl"/>
        </w:rPr>
      </w:pPr>
      <w:r w:rsidRPr="00E2397D">
        <w:rPr>
          <w:rFonts w:ascii="Verdana" w:eastAsia="Times New Roman" w:hAnsi="Verdana" w:cs="Arial"/>
          <w:lang w:val="es-MX" w:eastAsia="es-CO"/>
        </w:rPr>
        <w:t>En armonía con lo anterior, la Corte Constitucional ha abordado la definición de la Ley de Garantías Electorales. De esta manera, explica que tiene como propósito:</w:t>
      </w:r>
    </w:p>
    <w:p w14:paraId="632DC971" w14:textId="77777777" w:rsidR="00501AFD" w:rsidRPr="00E2397D" w:rsidRDefault="00501AFD" w:rsidP="00501AFD">
      <w:pPr>
        <w:spacing w:after="0" w:line="276" w:lineRule="auto"/>
        <w:ind w:right="709"/>
        <w:contextualSpacing/>
        <w:jc w:val="both"/>
        <w:rPr>
          <w:rFonts w:ascii="Verdana" w:eastAsia="Times New Roman" w:hAnsi="Verdana" w:cs="Arial"/>
          <w:lang w:val="es-ES" w:eastAsia="es-CO"/>
        </w:rPr>
      </w:pPr>
    </w:p>
    <w:p w14:paraId="6E95E471" w14:textId="77777777" w:rsidR="00501AFD" w:rsidRPr="00E2397D" w:rsidRDefault="00501AFD" w:rsidP="00501AFD">
      <w:pPr>
        <w:spacing w:after="0" w:line="240" w:lineRule="auto"/>
        <w:ind w:left="709" w:right="709"/>
        <w:contextualSpacing/>
        <w:jc w:val="both"/>
        <w:rPr>
          <w:rFonts w:ascii="Verdana" w:eastAsia="Times New Roman" w:hAnsi="Verdana" w:cs="Arial"/>
          <w:sz w:val="20"/>
          <w:szCs w:val="20"/>
          <w:lang w:val="es-MX" w:eastAsia="es-CO"/>
        </w:rPr>
      </w:pPr>
      <w:r w:rsidRPr="00E2397D">
        <w:rPr>
          <w:rFonts w:ascii="Verdana" w:eastAsia="Times New Roman" w:hAnsi="Verdana" w:cs="Arial"/>
          <w:sz w:val="20"/>
          <w:szCs w:val="20"/>
          <w:lang w:val="es-ES" w:eastAsia="es-CO"/>
        </w:rPr>
        <w:t xml:space="preserve">“[…] </w:t>
      </w:r>
      <w:r w:rsidRPr="00E2397D">
        <w:rPr>
          <w:rFonts w:ascii="Verdana" w:eastAsia="Times New Roman" w:hAnsi="Verdana" w:cs="Arial"/>
          <w:sz w:val="20"/>
          <w:szCs w:val="20"/>
          <w:lang w:val="es-MX" w:eastAsia="es-CO"/>
        </w:rPr>
        <w:t>la definición de reglas claras que permitan acceder a los canales de expresión democrática de manera efectiva e igualitaria. El objetivo de una ley de garantías es definir esas reglas.</w:t>
      </w:r>
    </w:p>
    <w:p w14:paraId="0769AE94" w14:textId="77777777" w:rsidR="00501AFD" w:rsidRPr="00E2397D" w:rsidRDefault="00501AFD" w:rsidP="00501AFD">
      <w:pPr>
        <w:spacing w:after="0" w:line="240" w:lineRule="auto"/>
        <w:ind w:left="709" w:right="709"/>
        <w:contextualSpacing/>
        <w:jc w:val="both"/>
        <w:rPr>
          <w:rFonts w:ascii="Verdana" w:eastAsia="Times New Roman" w:hAnsi="Verdana" w:cs="Arial"/>
          <w:sz w:val="20"/>
          <w:szCs w:val="20"/>
          <w:lang w:val="es-MX" w:eastAsia="es-CO"/>
        </w:rPr>
      </w:pPr>
    </w:p>
    <w:p w14:paraId="7C5B0A0D" w14:textId="77777777" w:rsidR="00501AFD" w:rsidRPr="00E2397D" w:rsidRDefault="00501AFD" w:rsidP="00501AFD">
      <w:pPr>
        <w:spacing w:after="0" w:line="240" w:lineRule="auto"/>
        <w:ind w:left="709" w:right="709"/>
        <w:contextualSpacing/>
        <w:jc w:val="both"/>
        <w:rPr>
          <w:rFonts w:ascii="Verdana" w:eastAsia="Times New Roman" w:hAnsi="Verdana" w:cs="Arial"/>
          <w:sz w:val="20"/>
          <w:szCs w:val="20"/>
          <w:lang w:val="es-MX" w:eastAsia="es-CO"/>
        </w:rPr>
      </w:pPr>
      <w:r>
        <w:rPr>
          <w:rFonts w:ascii="Verdana" w:eastAsia="Times New Roman" w:hAnsi="Verdana" w:cs="Arial"/>
          <w:sz w:val="20"/>
          <w:szCs w:val="20"/>
          <w:lang w:val="es-MX" w:eastAsia="es-CO"/>
        </w:rPr>
        <w:t xml:space="preserve">[…] </w:t>
      </w:r>
    </w:p>
    <w:p w14:paraId="4B9D8DF5" w14:textId="77777777" w:rsidR="00501AFD" w:rsidRDefault="00501AFD" w:rsidP="00501AFD">
      <w:pPr>
        <w:spacing w:after="0" w:line="240" w:lineRule="auto"/>
        <w:ind w:left="709" w:right="709"/>
        <w:contextualSpacing/>
        <w:jc w:val="both"/>
        <w:rPr>
          <w:rFonts w:ascii="Verdana" w:eastAsia="Times New Roman" w:hAnsi="Verdana" w:cs="Arial"/>
          <w:sz w:val="20"/>
          <w:szCs w:val="20"/>
          <w:lang w:val="es-MX" w:eastAsia="es-CO"/>
        </w:rPr>
      </w:pPr>
    </w:p>
    <w:p w14:paraId="765BC5F2" w14:textId="77777777" w:rsidR="00501AFD" w:rsidRPr="00E2397D" w:rsidRDefault="00501AFD" w:rsidP="00501AFD">
      <w:pPr>
        <w:spacing w:after="0" w:line="240" w:lineRule="auto"/>
        <w:ind w:left="709" w:right="709"/>
        <w:contextualSpacing/>
        <w:jc w:val="both"/>
        <w:rPr>
          <w:rFonts w:ascii="Verdana" w:eastAsia="Times New Roman" w:hAnsi="Verdana" w:cs="Arial"/>
          <w:sz w:val="20"/>
          <w:szCs w:val="20"/>
          <w:lang w:val="es-MX" w:eastAsia="es-CO"/>
        </w:rPr>
      </w:pPr>
      <w:r w:rsidRPr="00E2397D">
        <w:rPr>
          <w:rFonts w:ascii="Verdana" w:eastAsia="Times New Roman" w:hAnsi="Verdana" w:cs="Arial"/>
          <w:sz w:val="20"/>
          <w:szCs w:val="20"/>
          <w:lang w:val="es-MX"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E2397D">
        <w:rPr>
          <w:rFonts w:ascii="Verdana" w:eastAsia="Calibri" w:hAnsi="Verdana" w:cs="Arial"/>
          <w:sz w:val="20"/>
          <w:szCs w:val="20"/>
          <w:vertAlign w:val="superscript"/>
          <w:lang w:val="es-MX"/>
        </w:rPr>
        <w:footnoteReference w:id="6"/>
      </w:r>
    </w:p>
    <w:p w14:paraId="39C5BBDE" w14:textId="77777777" w:rsidR="00501AFD" w:rsidRPr="00E2397D" w:rsidRDefault="00501AFD" w:rsidP="00501AFD">
      <w:pPr>
        <w:spacing w:after="0" w:line="276" w:lineRule="auto"/>
        <w:ind w:firstLine="709"/>
        <w:jc w:val="both"/>
        <w:rPr>
          <w:rFonts w:ascii="Verdana" w:eastAsia="Times New Roman" w:hAnsi="Verdana" w:cs="Arial"/>
          <w:lang w:val="es-MX" w:eastAsia="es-CO"/>
        </w:rPr>
      </w:pPr>
    </w:p>
    <w:p w14:paraId="71C4FD4D" w14:textId="77777777" w:rsidR="00501AFD" w:rsidRPr="00E2397D" w:rsidRDefault="00501AFD" w:rsidP="00501AFD">
      <w:pPr>
        <w:spacing w:after="0" w:line="276" w:lineRule="auto"/>
        <w:ind w:firstLine="709"/>
        <w:jc w:val="both"/>
        <w:rPr>
          <w:rFonts w:ascii="Verdana" w:eastAsia="Times New Roman" w:hAnsi="Verdana" w:cs="Arial"/>
          <w:lang w:val="es-MX" w:eastAsia="es-CO"/>
        </w:rPr>
      </w:pPr>
      <w:r w:rsidRPr="00E2397D">
        <w:rPr>
          <w:rFonts w:ascii="Verdana" w:eastAsia="Times New Roman" w:hAnsi="Verdana" w:cs="Arial"/>
          <w:lang w:val="es-MX" w:eastAsia="es-CO"/>
        </w:rPr>
        <w:t>En este contexto, la Ley de Garantías Electorales establece el marco jurídico para el desarrollo de las elecciones, procurando condiciones de igualdad y transparencia para los aspirantes. Paralelamente,</w:t>
      </w:r>
      <w:r>
        <w:rPr>
          <w:rFonts w:ascii="Verdana" w:eastAsia="Times New Roman" w:hAnsi="Verdana" w:cs="Arial"/>
          <w:lang w:val="es-MX" w:eastAsia="es-CO"/>
        </w:rPr>
        <w:t xml:space="preserve"> se incluyen restricciones en las actuaciones</w:t>
      </w:r>
      <w:r w:rsidRPr="00E2397D">
        <w:rPr>
          <w:rFonts w:ascii="Verdana" w:eastAsia="Times New Roman" w:hAnsi="Verdana" w:cs="Arial"/>
          <w:lang w:val="es-MX" w:eastAsia="es-CO"/>
        </w:rPr>
        <w:t xml:space="preserve"> de los servidores públicos, evitando interferencias en la contienda electoral, así como la posible desviación de recursos públicos en aspiraciones electorales. Por ello, varias de las disposiciones de la Ley 996 de 2005, al contener normas prohibitivas, no admiten una interpretación amplia, sino que deben interpretarse restrictivamente. En efecto, la Sala de Consulta y Servicio Civil del Consejo de Estado, pre</w:t>
      </w:r>
      <w:r>
        <w:rPr>
          <w:rFonts w:ascii="Verdana" w:eastAsia="Times New Roman" w:hAnsi="Verdana" w:cs="Arial"/>
          <w:lang w:val="es-MX" w:eastAsia="es-CO"/>
        </w:rPr>
        <w:t>cisó</w:t>
      </w:r>
      <w:r w:rsidRPr="00E2397D">
        <w:rPr>
          <w:rFonts w:ascii="Verdana" w:eastAsia="Times New Roman" w:hAnsi="Verdana" w:cs="Arial"/>
          <w:lang w:val="es-MX" w:eastAsia="es-CO"/>
        </w:rPr>
        <w:t>:</w:t>
      </w:r>
    </w:p>
    <w:p w14:paraId="2D366205" w14:textId="77777777" w:rsidR="00501AFD" w:rsidRPr="00886C02" w:rsidRDefault="00501AFD" w:rsidP="00501AFD">
      <w:pPr>
        <w:spacing w:after="0" w:line="276" w:lineRule="auto"/>
        <w:ind w:firstLine="709"/>
        <w:jc w:val="both"/>
        <w:rPr>
          <w:rFonts w:ascii="Verdana" w:eastAsia="Times New Roman" w:hAnsi="Verdana" w:cs="Arial"/>
          <w:lang w:val="es-MX" w:eastAsia="es-CO"/>
        </w:rPr>
      </w:pPr>
    </w:p>
    <w:p w14:paraId="1A5B14CA" w14:textId="77777777" w:rsidR="00501AFD" w:rsidRPr="00E2397D" w:rsidRDefault="00501AFD" w:rsidP="00501AFD">
      <w:pPr>
        <w:spacing w:after="0" w:line="240" w:lineRule="auto"/>
        <w:ind w:left="709" w:right="709"/>
        <w:contextualSpacing/>
        <w:jc w:val="both"/>
        <w:rPr>
          <w:rFonts w:ascii="Verdana" w:eastAsia="Times New Roman" w:hAnsi="Verdana" w:cs="Arial"/>
          <w:sz w:val="20"/>
          <w:szCs w:val="20"/>
          <w:lang w:val="es-MX" w:eastAsia="es-CO"/>
        </w:rPr>
      </w:pPr>
      <w:r w:rsidRPr="00E2397D">
        <w:rPr>
          <w:rFonts w:ascii="Verdana" w:eastAsia="Times New Roman" w:hAnsi="Verdana" w:cs="Arial"/>
          <w:sz w:val="20"/>
          <w:szCs w:val="20"/>
          <w:lang w:val="es-MX" w:eastAsia="es-CO"/>
        </w:rPr>
        <w:t xml:space="preserve">“No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w:t>
      </w:r>
      <w:proofErr w:type="spellStart"/>
      <w:r w:rsidRPr="00E2397D">
        <w:rPr>
          <w:rFonts w:ascii="Verdana" w:eastAsia="Times New Roman" w:hAnsi="Verdana" w:cs="Arial"/>
          <w:sz w:val="20"/>
          <w:szCs w:val="20"/>
          <w:lang w:val="es-MX" w:eastAsia="es-CO"/>
        </w:rPr>
        <w:t>legis</w:t>
      </w:r>
      <w:proofErr w:type="spellEnd"/>
      <w:r w:rsidRPr="00E2397D">
        <w:rPr>
          <w:rFonts w:ascii="Verdana" w:eastAsia="Times New Roman" w:hAnsi="Verdana" w:cs="Arial"/>
          <w:sz w:val="20"/>
          <w:szCs w:val="20"/>
          <w:lang w:val="es-MX" w:eastAsia="es-CO"/>
        </w:rPr>
        <w:t xml:space="preserve">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33393AFD" w14:textId="77777777" w:rsidR="00501AFD" w:rsidRPr="00E2397D" w:rsidRDefault="00501AFD" w:rsidP="00501AFD">
      <w:pPr>
        <w:spacing w:after="0" w:line="240" w:lineRule="auto"/>
        <w:ind w:right="709"/>
        <w:contextualSpacing/>
        <w:jc w:val="both"/>
        <w:rPr>
          <w:rFonts w:ascii="Verdana" w:eastAsia="Times New Roman" w:hAnsi="Verdana" w:cs="Arial"/>
          <w:lang w:val="es-MX" w:eastAsia="es-CO"/>
        </w:rPr>
      </w:pPr>
    </w:p>
    <w:p w14:paraId="3598B8D4" w14:textId="77777777" w:rsidR="00501AFD" w:rsidRPr="00E2397D" w:rsidRDefault="00501AFD" w:rsidP="00501AFD">
      <w:pPr>
        <w:spacing w:after="0" w:line="240" w:lineRule="auto"/>
        <w:ind w:left="709" w:right="709"/>
        <w:contextualSpacing/>
        <w:jc w:val="both"/>
        <w:rPr>
          <w:rFonts w:ascii="Verdana" w:eastAsia="Times New Roman" w:hAnsi="Verdana" w:cs="Arial"/>
          <w:sz w:val="20"/>
          <w:szCs w:val="20"/>
          <w:lang w:val="es-MX" w:eastAsia="es-CO"/>
        </w:rPr>
      </w:pPr>
      <w:r w:rsidRPr="00E2397D">
        <w:rPr>
          <w:rFonts w:ascii="Verdana" w:eastAsia="Times New Roman" w:hAnsi="Verdana" w:cs="Arial"/>
          <w:sz w:val="20"/>
          <w:szCs w:val="20"/>
          <w:lang w:val="es-MX" w:eastAsia="es-CO"/>
        </w:rPr>
        <w:t>La jurisprudencia de la Corte Constitucional</w:t>
      </w:r>
      <w:r w:rsidRPr="00E2397D">
        <w:rPr>
          <w:rFonts w:ascii="Verdana" w:eastAsia="Times New Roman" w:hAnsi="Verdana" w:cs="Arial"/>
          <w:sz w:val="20"/>
          <w:szCs w:val="20"/>
          <w:vertAlign w:val="superscript"/>
          <w:lang w:val="es-MX" w:eastAsia="es-CO"/>
        </w:rPr>
        <w:footnoteReference w:id="7"/>
      </w:r>
      <w:r w:rsidRPr="00E2397D">
        <w:rPr>
          <w:rFonts w:ascii="Verdana" w:eastAsia="Times New Roman" w:hAnsi="Verdana" w:cs="Arial"/>
          <w:sz w:val="20"/>
          <w:szCs w:val="20"/>
          <w:lang w:val="es-MX" w:eastAsia="es-CO"/>
        </w:rPr>
        <w:t> y del Consejo de Estado</w:t>
      </w:r>
      <w:r w:rsidRPr="00E2397D">
        <w:rPr>
          <w:rFonts w:ascii="Verdana" w:eastAsia="Times New Roman" w:hAnsi="Verdana" w:cs="Arial"/>
          <w:sz w:val="20"/>
          <w:szCs w:val="20"/>
          <w:vertAlign w:val="superscript"/>
          <w:lang w:val="es-MX" w:eastAsia="es-CO"/>
        </w:rPr>
        <w:footnoteReference w:id="8"/>
      </w:r>
      <w:r w:rsidRPr="00E2397D">
        <w:rPr>
          <w:rFonts w:ascii="Verdana" w:eastAsia="Times New Roman" w:hAnsi="Verdana" w:cs="Arial"/>
          <w:sz w:val="20"/>
          <w:szCs w:val="20"/>
          <w:lang w:val="es-MX" w:eastAsia="es-CO"/>
        </w:rPr>
        <w:t xml:space="preserve">, coinciden en que las normas que establecen prohibiciones deben estar de manera explícita en la Constitución o en la ley y no podrán ser excesivas </w:t>
      </w:r>
      <w:r w:rsidRPr="00E2397D">
        <w:rPr>
          <w:rFonts w:ascii="Verdana" w:eastAsia="Times New Roman" w:hAnsi="Verdana" w:cs="Arial"/>
          <w:sz w:val="20"/>
          <w:szCs w:val="20"/>
          <w:lang w:val="es-MX" w:eastAsia="es-CO"/>
        </w:rPr>
        <w:lastRenderedPageBreak/>
        <w:t>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E2397D">
        <w:rPr>
          <w:rFonts w:ascii="Verdana" w:eastAsia="Times New Roman" w:hAnsi="Verdana" w:cs="Arial"/>
          <w:sz w:val="20"/>
          <w:szCs w:val="20"/>
          <w:vertAlign w:val="superscript"/>
          <w:lang w:val="es-MX" w:eastAsia="es-CO"/>
        </w:rPr>
        <w:footnoteReference w:id="9"/>
      </w:r>
      <w:r w:rsidRPr="00E2397D">
        <w:rPr>
          <w:rFonts w:ascii="Verdana" w:eastAsia="Times New Roman" w:hAnsi="Verdana" w:cs="Arial"/>
          <w:sz w:val="20"/>
          <w:szCs w:val="20"/>
          <w:lang w:val="es-MX" w:eastAsia="es-CO"/>
        </w:rPr>
        <w:t>.</w:t>
      </w:r>
    </w:p>
    <w:p w14:paraId="3EF76A58" w14:textId="77777777" w:rsidR="00501AFD" w:rsidRPr="00E2397D" w:rsidRDefault="00501AFD" w:rsidP="00501AFD">
      <w:pPr>
        <w:spacing w:after="0" w:line="276" w:lineRule="auto"/>
        <w:jc w:val="both"/>
        <w:rPr>
          <w:rFonts w:ascii="Verdana" w:eastAsia="Calibri" w:hAnsi="Verdana" w:cs="Arial"/>
          <w:bCs/>
          <w:lang w:val="es-ES_tradnl"/>
        </w:rPr>
      </w:pPr>
    </w:p>
    <w:p w14:paraId="34B776D4" w14:textId="77777777" w:rsidR="00501AFD" w:rsidRPr="00B3605D" w:rsidRDefault="00501AFD" w:rsidP="00501AFD">
      <w:pPr>
        <w:spacing w:after="120" w:line="276" w:lineRule="auto"/>
        <w:ind w:firstLine="709"/>
        <w:jc w:val="both"/>
        <w:rPr>
          <w:rFonts w:ascii="Verdana" w:eastAsia="Arial" w:hAnsi="Verdana" w:cs="Arial"/>
          <w:lang w:val="es-ES" w:eastAsia="es-ES" w:bidi="es-ES"/>
        </w:rPr>
      </w:pPr>
      <w:r w:rsidRPr="00B3605D">
        <w:rPr>
          <w:rFonts w:ascii="Verdana" w:eastAsia="Times New Roman" w:hAnsi="Verdana" w:cs="Arial"/>
          <w:lang w:val="es-MX" w:eastAsia="es-CO"/>
        </w:rPr>
        <w:t>De</w:t>
      </w:r>
      <w:r w:rsidRPr="00B3605D">
        <w:rPr>
          <w:rFonts w:ascii="Verdana" w:eastAsia="Arial" w:hAnsi="Verdana" w:cs="Arial"/>
          <w:lang w:val="es-ES" w:eastAsia="es-ES" w:bidi="es-ES"/>
        </w:rPr>
        <w:t xml:space="preserve"> conformidad con lo anterior, la Ley de Garantías Electorales estableció una serie de regulaciones y prohibiciones dirigidas a los servidores públicos.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w:t>
      </w:r>
    </w:p>
    <w:p w14:paraId="7D567A14" w14:textId="77777777" w:rsidR="00501AFD" w:rsidRDefault="00501AFD" w:rsidP="00501AFD">
      <w:pPr>
        <w:spacing w:after="0" w:line="276" w:lineRule="auto"/>
        <w:ind w:firstLine="709"/>
        <w:jc w:val="both"/>
        <w:rPr>
          <w:rFonts w:ascii="Verdana" w:eastAsia="Arial" w:hAnsi="Verdana" w:cs="Arial"/>
          <w:lang w:val="es-ES" w:eastAsia="es-ES" w:bidi="es-ES"/>
        </w:rPr>
      </w:pPr>
      <w:r w:rsidRPr="00B3605D">
        <w:rPr>
          <w:rFonts w:ascii="Verdana" w:eastAsia="Calibri" w:hAnsi="Verdana" w:cs="Arial"/>
          <w:lang w:val="es-ES"/>
        </w:rPr>
        <w:t xml:space="preserve">Las restricciones consagradas en la mencionada Ley se dirigen a dos tipos de campañas electorales: </w:t>
      </w:r>
      <w:r w:rsidRPr="00B3605D">
        <w:rPr>
          <w:rFonts w:ascii="Verdana" w:eastAsia="Arial" w:hAnsi="Verdana" w:cs="Arial"/>
          <w:lang w:val="es-ES" w:eastAsia="es-ES" w:bidi="es-ES"/>
        </w:rPr>
        <w:t>las presidenciales y las demás que se adelanten para la elección de los demás cargos de elección popular, tanto a nivel nacional como territorial:</w:t>
      </w:r>
    </w:p>
    <w:p w14:paraId="79965403" w14:textId="77777777" w:rsidR="00501AFD" w:rsidRDefault="00501AFD" w:rsidP="00501AFD">
      <w:pPr>
        <w:spacing w:after="0" w:line="240" w:lineRule="auto"/>
        <w:ind w:firstLine="709"/>
        <w:jc w:val="both"/>
        <w:rPr>
          <w:rFonts w:ascii="Verdana" w:eastAsia="Arial" w:hAnsi="Verdana" w:cs="Arial"/>
          <w:lang w:val="es-ES" w:eastAsia="es-ES" w:bidi="es-ES"/>
        </w:rPr>
      </w:pPr>
    </w:p>
    <w:p w14:paraId="1721F5F2" w14:textId="77777777" w:rsidR="00501AFD" w:rsidRPr="00F2587B" w:rsidRDefault="00501AFD" w:rsidP="00501AFD">
      <w:pPr>
        <w:pStyle w:val="Prrafodelista"/>
        <w:numPr>
          <w:ilvl w:val="0"/>
          <w:numId w:val="28"/>
        </w:numPr>
        <w:spacing w:after="0" w:line="240" w:lineRule="auto"/>
        <w:contextualSpacing w:val="0"/>
        <w:jc w:val="both"/>
        <w:rPr>
          <w:rFonts w:ascii="Verdana" w:eastAsia="Arial" w:hAnsi="Verdana" w:cs="Arial"/>
          <w:i/>
          <w:lang w:eastAsia="es-ES" w:bidi="es-ES"/>
        </w:rPr>
      </w:pPr>
      <w:r w:rsidRPr="00F2587B">
        <w:rPr>
          <w:rFonts w:ascii="Verdana" w:eastAsia="Arial" w:hAnsi="Verdana" w:cs="Arial"/>
          <w:i/>
          <w:lang w:eastAsia="es-ES" w:bidi="es-ES"/>
        </w:rPr>
        <w:t xml:space="preserve">Restricciones </w:t>
      </w:r>
      <w:r>
        <w:rPr>
          <w:rFonts w:ascii="Verdana" w:eastAsia="Arial" w:hAnsi="Verdana" w:cs="Arial"/>
          <w:i/>
          <w:lang w:eastAsia="es-ES" w:bidi="es-ES"/>
        </w:rPr>
        <w:t>frente a</w:t>
      </w:r>
      <w:r w:rsidRPr="00F2587B">
        <w:rPr>
          <w:rFonts w:ascii="Verdana" w:eastAsia="Arial" w:hAnsi="Verdana" w:cs="Arial"/>
          <w:i/>
          <w:lang w:eastAsia="es-ES" w:bidi="es-ES"/>
        </w:rPr>
        <w:t xml:space="preserve"> elecciones presidenciales </w:t>
      </w:r>
    </w:p>
    <w:p w14:paraId="0CE50C53" w14:textId="77777777" w:rsidR="00501AFD" w:rsidRPr="00A545DE" w:rsidRDefault="00501AFD" w:rsidP="00501AFD">
      <w:pPr>
        <w:pStyle w:val="Prrafodelista"/>
        <w:spacing w:after="0" w:line="240" w:lineRule="auto"/>
        <w:ind w:left="1080"/>
        <w:contextualSpacing w:val="0"/>
        <w:jc w:val="both"/>
        <w:rPr>
          <w:rFonts w:ascii="Verdana" w:eastAsia="Arial" w:hAnsi="Verdana" w:cs="Arial"/>
          <w:lang w:eastAsia="es-ES" w:bidi="es-ES"/>
        </w:rPr>
      </w:pPr>
    </w:p>
    <w:p w14:paraId="4A168399" w14:textId="77777777" w:rsidR="00501AFD" w:rsidRPr="00FC54ED" w:rsidRDefault="00501AFD" w:rsidP="00501AFD">
      <w:pPr>
        <w:spacing w:after="0" w:line="240" w:lineRule="auto"/>
        <w:ind w:left="709" w:right="703"/>
        <w:jc w:val="both"/>
        <w:rPr>
          <w:rFonts w:ascii="Verdana" w:eastAsia="Times New Roman" w:hAnsi="Verdana" w:cs="Open Sans"/>
          <w:sz w:val="20"/>
          <w:szCs w:val="20"/>
          <w:lang w:eastAsia="es-CO"/>
        </w:rPr>
      </w:pPr>
      <w:bookmarkStart w:id="5" w:name="33"/>
      <w:r>
        <w:rPr>
          <w:rFonts w:ascii="Verdana" w:eastAsia="Times New Roman" w:hAnsi="Verdana" w:cs="Open Sans"/>
          <w:b/>
          <w:bCs/>
          <w:sz w:val="20"/>
          <w:szCs w:val="20"/>
          <w:lang w:eastAsia="es-CO"/>
        </w:rPr>
        <w:t>“</w:t>
      </w:r>
      <w:r w:rsidRPr="00FC54ED">
        <w:rPr>
          <w:rFonts w:ascii="Verdana" w:eastAsia="Times New Roman" w:hAnsi="Verdana" w:cs="Open Sans"/>
          <w:b/>
          <w:bCs/>
          <w:sz w:val="20"/>
          <w:szCs w:val="20"/>
          <w:lang w:eastAsia="es-CO"/>
        </w:rPr>
        <w:t>ARTÍCULO 33. RESTRICCIONES A LA CONTRATACIÓN PÚBLICA.</w:t>
      </w:r>
      <w:bookmarkEnd w:id="5"/>
      <w:r w:rsidRPr="00FC54ED">
        <w:rPr>
          <w:rFonts w:ascii="Verdana" w:eastAsia="Times New Roman" w:hAnsi="Verdana" w:cs="Open Sans"/>
          <w:sz w:val="20"/>
          <w:szCs w:val="20"/>
          <w:lang w:eastAsia="es-CO"/>
        </w:rPr>
        <w:t>  Durante los cuatro (4) meses anteriores a la elección presidencial y hasta la realización de la elección en la segunda vuelta, si fuere el caso, queda prohibida la contratación directa por parte de todos los entes del Estado.</w:t>
      </w:r>
    </w:p>
    <w:p w14:paraId="5CC36E4E" w14:textId="77777777" w:rsidR="00501AFD" w:rsidRPr="00FC54ED" w:rsidRDefault="00501AFD" w:rsidP="00501AFD">
      <w:pPr>
        <w:spacing w:after="0" w:line="240" w:lineRule="auto"/>
        <w:ind w:left="709" w:right="703"/>
        <w:jc w:val="both"/>
        <w:rPr>
          <w:rFonts w:ascii="Verdana" w:eastAsia="Times New Roman" w:hAnsi="Verdana" w:cs="Open Sans"/>
          <w:sz w:val="20"/>
          <w:szCs w:val="20"/>
          <w:lang w:eastAsia="es-CO"/>
        </w:rPr>
      </w:pPr>
    </w:p>
    <w:p w14:paraId="506B8B7D" w14:textId="77777777" w:rsidR="00501AFD" w:rsidRPr="00B3605D" w:rsidRDefault="00501AFD" w:rsidP="00501AFD">
      <w:pPr>
        <w:spacing w:after="0" w:line="240" w:lineRule="auto"/>
        <w:ind w:left="709" w:right="703"/>
        <w:jc w:val="both"/>
        <w:rPr>
          <w:rFonts w:ascii="Verdana" w:eastAsia="Times New Roman" w:hAnsi="Verdana" w:cs="Open Sans"/>
          <w:sz w:val="20"/>
          <w:szCs w:val="20"/>
          <w:lang w:eastAsia="es-CO"/>
        </w:rPr>
      </w:pPr>
      <w:r w:rsidRPr="00FC54ED">
        <w:rPr>
          <w:rFonts w:ascii="Verdana" w:eastAsia="Times New Roman" w:hAnsi="Verdana" w:cs="Open Sans"/>
          <w:sz w:val="20"/>
          <w:szCs w:val="20"/>
          <w:lang w:eastAsia="es-CO"/>
        </w:rPr>
        <w:t>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Pr>
          <w:rFonts w:ascii="Verdana" w:eastAsia="Times New Roman" w:hAnsi="Verdana" w:cs="Open Sans"/>
          <w:sz w:val="20"/>
          <w:szCs w:val="20"/>
          <w:lang w:eastAsia="es-CO"/>
        </w:rPr>
        <w:t>”</w:t>
      </w:r>
      <w:r w:rsidRPr="00FC54ED">
        <w:rPr>
          <w:rFonts w:ascii="Verdana" w:eastAsia="Times New Roman" w:hAnsi="Verdana" w:cs="Open Sans"/>
          <w:sz w:val="20"/>
          <w:szCs w:val="20"/>
          <w:lang w:eastAsia="es-CO"/>
        </w:rPr>
        <w:t>.</w:t>
      </w:r>
    </w:p>
    <w:p w14:paraId="48D31C7E" w14:textId="77777777" w:rsidR="00501AFD" w:rsidRDefault="00501AFD" w:rsidP="00501AFD">
      <w:pPr>
        <w:spacing w:after="0" w:line="276" w:lineRule="auto"/>
        <w:ind w:right="618" w:firstLine="708"/>
        <w:jc w:val="both"/>
        <w:rPr>
          <w:rFonts w:ascii="Verdana" w:eastAsia="Times New Roman" w:hAnsi="Verdana" w:cs="Open Sans"/>
          <w:lang w:eastAsia="es-CO"/>
        </w:rPr>
      </w:pPr>
    </w:p>
    <w:p w14:paraId="65F8DEB2" w14:textId="2C345DC8" w:rsidR="00501AFD" w:rsidRDefault="00501AFD" w:rsidP="00501AFD">
      <w:pPr>
        <w:spacing w:after="120" w:line="276" w:lineRule="auto"/>
        <w:ind w:firstLine="709"/>
        <w:jc w:val="both"/>
        <w:rPr>
          <w:rFonts w:ascii="Verdana" w:eastAsia="Times New Roman" w:hAnsi="Verdana" w:cs="Open Sans"/>
          <w:lang w:eastAsia="es-CO"/>
        </w:rPr>
      </w:pPr>
      <w:r w:rsidRPr="00B3605D">
        <w:rPr>
          <w:rFonts w:ascii="Verdana" w:eastAsia="Times New Roman" w:hAnsi="Verdana" w:cs="Open Sans"/>
          <w:lang w:eastAsia="es-CO"/>
        </w:rPr>
        <w:t>Como se puede observar, el artículo 33 de la Ley 996 de 2</w:t>
      </w:r>
      <w:r w:rsidR="009B7352">
        <w:rPr>
          <w:rFonts w:ascii="Verdana" w:eastAsia="Times New Roman" w:hAnsi="Verdana" w:cs="Open Sans"/>
          <w:lang w:eastAsia="es-CO"/>
        </w:rPr>
        <w:t>0</w:t>
      </w:r>
      <w:r w:rsidRPr="00B3605D">
        <w:rPr>
          <w:rFonts w:ascii="Verdana" w:eastAsia="Times New Roman" w:hAnsi="Verdana" w:cs="Open Sans"/>
          <w:lang w:eastAsia="es-CO"/>
        </w:rPr>
        <w:t xml:space="preserve">05 prohíbe la contratación directa por parte de todos los entes estatales durante los cuatro </w:t>
      </w:r>
      <w:r>
        <w:rPr>
          <w:rFonts w:ascii="Verdana" w:eastAsia="Times New Roman" w:hAnsi="Verdana" w:cs="Open Sans"/>
          <w:lang w:eastAsia="es-CO"/>
        </w:rPr>
        <w:t>(4)</w:t>
      </w:r>
      <w:r w:rsidRPr="00B3605D">
        <w:rPr>
          <w:rFonts w:ascii="Verdana" w:eastAsia="Times New Roman" w:hAnsi="Verdana" w:cs="Open Sans"/>
          <w:lang w:eastAsia="es-CO"/>
        </w:rPr>
        <w:t xml:space="preserve"> meses anteriores a las elecciones presidenciales y dispone las excepciones a dicha prohibición. </w:t>
      </w:r>
      <w:r>
        <w:rPr>
          <w:rFonts w:ascii="Verdana" w:eastAsia="Times New Roman" w:hAnsi="Verdana" w:cs="Open Sans"/>
          <w:lang w:eastAsia="es-CO"/>
        </w:rPr>
        <w:t xml:space="preserve">Así, su ámbito de prohibición está delimitado por la expresión </w:t>
      </w:r>
      <w:r>
        <w:rPr>
          <w:rFonts w:ascii="Verdana" w:eastAsia="Times New Roman" w:hAnsi="Verdana" w:cs="Open Sans"/>
          <w:lang w:eastAsia="es-CO"/>
        </w:rPr>
        <w:lastRenderedPageBreak/>
        <w:t>“</w:t>
      </w:r>
      <w:r w:rsidRPr="006A640E">
        <w:rPr>
          <w:rFonts w:ascii="Verdana" w:eastAsia="Times New Roman" w:hAnsi="Verdana" w:cs="Open Sans"/>
          <w:lang w:eastAsia="es-CO"/>
        </w:rPr>
        <w:t>queda prohibida la contratación directa</w:t>
      </w:r>
      <w:r>
        <w:rPr>
          <w:rFonts w:ascii="Verdana" w:eastAsia="Times New Roman" w:hAnsi="Verdana" w:cs="Open Sans"/>
          <w:lang w:eastAsia="es-CO"/>
        </w:rPr>
        <w:t xml:space="preserve">” y </w:t>
      </w:r>
      <w:r w:rsidRPr="006A640E">
        <w:rPr>
          <w:rFonts w:ascii="Verdana" w:eastAsia="Times New Roman" w:hAnsi="Verdana" w:cs="Open Sans"/>
          <w:lang w:eastAsia="es-CO"/>
        </w:rPr>
        <w:t>para los efectos de la Ley de Garantías</w:t>
      </w:r>
      <w:r>
        <w:rPr>
          <w:rFonts w:ascii="Verdana" w:eastAsia="Times New Roman" w:hAnsi="Verdana" w:cs="Open Sans"/>
          <w:lang w:eastAsia="es-CO"/>
        </w:rPr>
        <w:t xml:space="preserve"> </w:t>
      </w:r>
      <w:r w:rsidRPr="006A640E">
        <w:rPr>
          <w:rFonts w:ascii="Verdana" w:eastAsia="Times New Roman" w:hAnsi="Verdana" w:cs="Open Sans"/>
          <w:lang w:eastAsia="es-CO"/>
        </w:rPr>
        <w:t>Electorales y, en particular, para la prohibición o restricción temporal contenida en su</w:t>
      </w:r>
      <w:r>
        <w:rPr>
          <w:rFonts w:ascii="Verdana" w:eastAsia="Times New Roman" w:hAnsi="Verdana" w:cs="Open Sans"/>
          <w:lang w:eastAsia="es-CO"/>
        </w:rPr>
        <w:t xml:space="preserve"> </w:t>
      </w:r>
      <w:r w:rsidRPr="006A640E">
        <w:rPr>
          <w:rFonts w:ascii="Verdana" w:eastAsia="Times New Roman" w:hAnsi="Verdana" w:cs="Open Sans"/>
          <w:lang w:eastAsia="es-CO"/>
        </w:rPr>
        <w:t xml:space="preserve">artículo 33, </w:t>
      </w:r>
      <w:r>
        <w:rPr>
          <w:rFonts w:ascii="Verdana" w:eastAsia="Times New Roman" w:hAnsi="Verdana" w:cs="Open Sans"/>
          <w:lang w:eastAsia="es-CO"/>
        </w:rPr>
        <w:t>“</w:t>
      </w:r>
      <w:r w:rsidRPr="006A640E">
        <w:rPr>
          <w:rFonts w:ascii="Verdana" w:eastAsia="Times New Roman" w:hAnsi="Verdana" w:cs="Open Sans"/>
          <w:lang w:eastAsia="es-CO"/>
        </w:rPr>
        <w:t>contratación directa</w:t>
      </w:r>
      <w:r>
        <w:rPr>
          <w:rFonts w:ascii="Verdana" w:eastAsia="Times New Roman" w:hAnsi="Verdana" w:cs="Open Sans"/>
          <w:lang w:eastAsia="es-CO"/>
        </w:rPr>
        <w:t>”</w:t>
      </w:r>
      <w:r w:rsidRPr="006A640E">
        <w:rPr>
          <w:rFonts w:ascii="Verdana" w:eastAsia="Times New Roman" w:hAnsi="Verdana" w:cs="Open Sans"/>
          <w:lang w:eastAsia="es-CO"/>
        </w:rPr>
        <w:t xml:space="preserve"> es cualquier sistema de selección o procedimiento</w:t>
      </w:r>
      <w:r>
        <w:rPr>
          <w:rFonts w:ascii="Verdana" w:eastAsia="Times New Roman" w:hAnsi="Verdana" w:cs="Open Sans"/>
          <w:lang w:eastAsia="es-CO"/>
        </w:rPr>
        <w:t xml:space="preserve"> </w:t>
      </w:r>
      <w:r w:rsidRPr="006A640E">
        <w:rPr>
          <w:rFonts w:ascii="Verdana" w:eastAsia="Times New Roman" w:hAnsi="Verdana" w:cs="Open Sans"/>
          <w:lang w:eastAsia="es-CO"/>
        </w:rPr>
        <w:t>de contratación utilizado por las entidades estatales que no incluya la convocatoria</w:t>
      </w:r>
      <w:r>
        <w:rPr>
          <w:rFonts w:ascii="Verdana" w:eastAsia="Times New Roman" w:hAnsi="Verdana" w:cs="Open Sans"/>
          <w:lang w:eastAsia="es-CO"/>
        </w:rPr>
        <w:t xml:space="preserve"> </w:t>
      </w:r>
      <w:r w:rsidRPr="006A640E">
        <w:rPr>
          <w:rFonts w:ascii="Verdana" w:eastAsia="Times New Roman" w:hAnsi="Verdana" w:cs="Open Sans"/>
          <w:lang w:eastAsia="es-CO"/>
        </w:rPr>
        <w:t>pública en alguna de sus etapas, ni permita la participación de una pluralidad de</w:t>
      </w:r>
      <w:r>
        <w:rPr>
          <w:rFonts w:ascii="Verdana" w:eastAsia="Times New Roman" w:hAnsi="Verdana" w:cs="Open Sans"/>
          <w:lang w:eastAsia="es-CO"/>
        </w:rPr>
        <w:t xml:space="preserve"> </w:t>
      </w:r>
      <w:r w:rsidRPr="006A640E">
        <w:rPr>
          <w:rFonts w:ascii="Verdana" w:eastAsia="Times New Roman" w:hAnsi="Verdana" w:cs="Open Sans"/>
          <w:lang w:eastAsia="es-CO"/>
        </w:rPr>
        <w:t>oferentes</w:t>
      </w:r>
      <w:r>
        <w:rPr>
          <w:rStyle w:val="Refdenotaalpie"/>
          <w:rFonts w:ascii="Verdana" w:eastAsia="Times New Roman" w:hAnsi="Verdana" w:cs="Open Sans"/>
          <w:lang w:eastAsia="es-CO"/>
        </w:rPr>
        <w:footnoteReference w:id="10"/>
      </w:r>
      <w:r>
        <w:rPr>
          <w:rFonts w:ascii="Verdana" w:eastAsia="Times New Roman" w:hAnsi="Verdana" w:cs="Open Sans"/>
          <w:lang w:eastAsia="es-CO"/>
        </w:rPr>
        <w:t>.</w:t>
      </w:r>
    </w:p>
    <w:p w14:paraId="17843319" w14:textId="77777777" w:rsidR="00501AFD" w:rsidRDefault="00501AFD" w:rsidP="00501AFD">
      <w:pPr>
        <w:spacing w:after="120" w:line="276" w:lineRule="auto"/>
        <w:ind w:firstLine="709"/>
        <w:jc w:val="both"/>
        <w:rPr>
          <w:rFonts w:ascii="Verdana" w:eastAsia="Times New Roman" w:hAnsi="Verdana" w:cs="Open Sans"/>
          <w:lang w:eastAsia="es-CO"/>
        </w:rPr>
      </w:pPr>
      <w:r w:rsidRPr="00A545DE">
        <w:rPr>
          <w:rFonts w:ascii="Verdana" w:eastAsia="Times New Roman" w:hAnsi="Verdana" w:cs="Open Sans"/>
          <w:lang w:eastAsia="es-CO"/>
        </w:rPr>
        <w:t>De lo anterior se desprende que la restricción aplica, sin perjuicio de las excepciones establecidas en la misma ley, para celebrar cualquier contrato de</w:t>
      </w:r>
      <w:r w:rsidRPr="006A640E">
        <w:rPr>
          <w:rFonts w:ascii="Verdana" w:eastAsia="Times New Roman" w:hAnsi="Verdana" w:cs="Open Sans"/>
          <w:lang w:eastAsia="es-CO"/>
        </w:rPr>
        <w:t xml:space="preserve"> forma</w:t>
      </w:r>
      <w:r>
        <w:rPr>
          <w:rFonts w:ascii="Verdana" w:eastAsia="Times New Roman" w:hAnsi="Verdana" w:cs="Open Sans"/>
          <w:lang w:eastAsia="es-CO"/>
        </w:rPr>
        <w:t xml:space="preserve"> </w:t>
      </w:r>
      <w:r w:rsidRPr="006A640E">
        <w:rPr>
          <w:rFonts w:ascii="Verdana" w:eastAsia="Times New Roman" w:hAnsi="Verdana" w:cs="Open Sans"/>
          <w:lang w:eastAsia="es-CO"/>
        </w:rPr>
        <w:t>directa</w:t>
      </w:r>
      <w:r>
        <w:rPr>
          <w:rFonts w:ascii="Verdana" w:eastAsia="Times New Roman" w:hAnsi="Verdana" w:cs="Open Sans"/>
          <w:lang w:eastAsia="es-CO"/>
        </w:rPr>
        <w:t xml:space="preserve">, esto es, </w:t>
      </w:r>
      <w:r w:rsidRPr="006A640E">
        <w:rPr>
          <w:rFonts w:ascii="Verdana" w:eastAsia="Times New Roman" w:hAnsi="Verdana" w:cs="Open Sans"/>
          <w:lang w:eastAsia="es-CO"/>
        </w:rPr>
        <w:t>sin que exista un proceso abierto y competitivo. Por tanto, no son</w:t>
      </w:r>
      <w:r>
        <w:rPr>
          <w:rFonts w:ascii="Verdana" w:eastAsia="Times New Roman" w:hAnsi="Verdana" w:cs="Open Sans"/>
          <w:lang w:eastAsia="es-CO"/>
        </w:rPr>
        <w:t xml:space="preserve"> </w:t>
      </w:r>
      <w:r w:rsidRPr="006A640E">
        <w:rPr>
          <w:rFonts w:ascii="Verdana" w:eastAsia="Times New Roman" w:hAnsi="Verdana" w:cs="Open Sans"/>
          <w:lang w:eastAsia="es-CO"/>
        </w:rPr>
        <w:t>materia de la prohibición las demás modalidades de selección previstas en la Ley</w:t>
      </w:r>
      <w:r>
        <w:rPr>
          <w:rFonts w:ascii="Verdana" w:eastAsia="Times New Roman" w:hAnsi="Verdana" w:cs="Open Sans"/>
          <w:lang w:eastAsia="es-CO"/>
        </w:rPr>
        <w:t xml:space="preserve"> </w:t>
      </w:r>
      <w:r w:rsidRPr="006A640E">
        <w:rPr>
          <w:rFonts w:ascii="Verdana" w:eastAsia="Times New Roman" w:hAnsi="Verdana" w:cs="Open Sans"/>
          <w:lang w:eastAsia="es-CO"/>
        </w:rPr>
        <w:t>1150 de 2007, es decir, la licitación pública, el concurso de méritos, la selección</w:t>
      </w:r>
      <w:r>
        <w:rPr>
          <w:rFonts w:ascii="Verdana" w:eastAsia="Times New Roman" w:hAnsi="Verdana" w:cs="Open Sans"/>
          <w:lang w:eastAsia="es-CO"/>
        </w:rPr>
        <w:t xml:space="preserve"> </w:t>
      </w:r>
      <w:r w:rsidRPr="006A640E">
        <w:rPr>
          <w:rFonts w:ascii="Verdana" w:eastAsia="Times New Roman" w:hAnsi="Verdana" w:cs="Open Sans"/>
          <w:lang w:eastAsia="es-CO"/>
        </w:rPr>
        <w:t>abreviada y la contratación de mínima cuantía, razón por la cual en el período</w:t>
      </w:r>
      <w:r>
        <w:rPr>
          <w:rFonts w:ascii="Verdana" w:eastAsia="Times New Roman" w:hAnsi="Verdana" w:cs="Open Sans"/>
          <w:lang w:eastAsia="es-CO"/>
        </w:rPr>
        <w:t xml:space="preserve"> </w:t>
      </w:r>
      <w:r w:rsidRPr="006A640E">
        <w:rPr>
          <w:rFonts w:ascii="Verdana" w:eastAsia="Times New Roman" w:hAnsi="Verdana" w:cs="Open Sans"/>
          <w:lang w:eastAsia="es-CO"/>
        </w:rPr>
        <w:t>preelectoral de que trata la disposición las entidades públicas pueden seguir</w:t>
      </w:r>
      <w:r>
        <w:rPr>
          <w:rFonts w:ascii="Verdana" w:eastAsia="Times New Roman" w:hAnsi="Verdana" w:cs="Open Sans"/>
          <w:lang w:eastAsia="es-CO"/>
        </w:rPr>
        <w:t xml:space="preserve"> </w:t>
      </w:r>
      <w:r w:rsidRPr="006A640E">
        <w:rPr>
          <w:rFonts w:ascii="Verdana" w:eastAsia="Times New Roman" w:hAnsi="Verdana" w:cs="Open Sans"/>
          <w:lang w:eastAsia="es-CO"/>
        </w:rPr>
        <w:t>contratando bajo estos sistemas.</w:t>
      </w:r>
    </w:p>
    <w:p w14:paraId="45A91728" w14:textId="77777777" w:rsidR="00501AFD" w:rsidRDefault="00501AFD" w:rsidP="00501AFD">
      <w:pPr>
        <w:spacing w:after="120" w:line="276" w:lineRule="auto"/>
        <w:ind w:firstLine="709"/>
        <w:jc w:val="both"/>
        <w:rPr>
          <w:rFonts w:ascii="Verdana" w:hAnsi="Verdana"/>
          <w:iCs/>
        </w:rPr>
      </w:pPr>
      <w:r>
        <w:rPr>
          <w:rFonts w:ascii="Verdana" w:eastAsia="Times New Roman" w:hAnsi="Verdana" w:cs="Open Sans"/>
          <w:lang w:eastAsia="es-CO"/>
        </w:rPr>
        <w:t>Ahora bien</w:t>
      </w:r>
      <w:r w:rsidRPr="006A640E">
        <w:rPr>
          <w:rFonts w:ascii="Verdana" w:hAnsi="Verdana"/>
        </w:rPr>
        <w:t>,</w:t>
      </w:r>
      <w:r>
        <w:rPr>
          <w:rFonts w:ascii="Verdana" w:hAnsi="Verdana"/>
        </w:rPr>
        <w:t xml:space="preserve"> el ordenamiento jurídico contempla una serie de</w:t>
      </w:r>
      <w:r w:rsidRPr="006A640E">
        <w:rPr>
          <w:rFonts w:ascii="Verdana" w:hAnsi="Verdana"/>
        </w:rPr>
        <w:t xml:space="preserve"> excepciones a la restricción </w:t>
      </w:r>
      <w:r>
        <w:rPr>
          <w:rFonts w:ascii="Verdana" w:hAnsi="Verdana"/>
        </w:rPr>
        <w:t>de contratación directa</w:t>
      </w:r>
      <w:r w:rsidRPr="006A640E">
        <w:rPr>
          <w:rFonts w:ascii="Verdana" w:hAnsi="Verdana"/>
        </w:rPr>
        <w:t xml:space="preserve"> prevista en la Ley de Garantías</w:t>
      </w:r>
      <w:r>
        <w:rPr>
          <w:rFonts w:ascii="Verdana" w:hAnsi="Verdana"/>
        </w:rPr>
        <w:t xml:space="preserve"> Electorales</w:t>
      </w:r>
      <w:r w:rsidRPr="006A640E">
        <w:rPr>
          <w:rFonts w:ascii="Verdana" w:hAnsi="Verdana"/>
        </w:rPr>
        <w:t>, con fundamento en las cuales podrán las entidades públicas adelantar procedimientos de selección directa en períodos previos a la contienda electoral por la Presidencia</w:t>
      </w:r>
      <w:r>
        <w:rPr>
          <w:rFonts w:ascii="Verdana" w:hAnsi="Verdana"/>
        </w:rPr>
        <w:t>. Estas excepciones</w:t>
      </w:r>
      <w:r w:rsidRPr="006A640E">
        <w:rPr>
          <w:rFonts w:ascii="Verdana" w:hAnsi="Verdana"/>
        </w:rPr>
        <w:t xml:space="preserve"> se encuentran consagradas de manera taxativa en el inciso final del citado artículo 33 de la Ley 996 de 2005 en lo referente a: i) la defensa y seguridad del Estado; </w:t>
      </w:r>
      <w:proofErr w:type="spellStart"/>
      <w:r w:rsidRPr="006A640E">
        <w:rPr>
          <w:rFonts w:ascii="Verdana" w:hAnsi="Verdana"/>
        </w:rPr>
        <w:t>ii</w:t>
      </w:r>
      <w:proofErr w:type="spellEnd"/>
      <w:r w:rsidRPr="006A640E">
        <w:rPr>
          <w:rFonts w:ascii="Verdana" w:hAnsi="Verdana"/>
        </w:rPr>
        <w:t xml:space="preserve">) los contratos de crédito público; </w:t>
      </w:r>
      <w:proofErr w:type="spellStart"/>
      <w:r w:rsidRPr="006A640E">
        <w:rPr>
          <w:rFonts w:ascii="Verdana" w:hAnsi="Verdana"/>
        </w:rPr>
        <w:t>iii</w:t>
      </w:r>
      <w:proofErr w:type="spellEnd"/>
      <w:r w:rsidRPr="006A640E">
        <w:rPr>
          <w:rFonts w:ascii="Verdana" w:hAnsi="Verdana"/>
        </w:rPr>
        <w:t xml:space="preserve">) los requeridos para cubrir las emergencias educativas, sanitarias y desastres; </w:t>
      </w:r>
      <w:proofErr w:type="spellStart"/>
      <w:r w:rsidRPr="006A640E">
        <w:rPr>
          <w:rFonts w:ascii="Verdana" w:hAnsi="Verdana"/>
        </w:rPr>
        <w:t>iv</w:t>
      </w:r>
      <w:proofErr w:type="spellEnd"/>
      <w:r w:rsidRPr="006A640E">
        <w:rPr>
          <w:rFonts w:ascii="Verdana" w:hAnsi="Verdana"/>
        </w:rPr>
        <w:t xml:space="preserve">) los utilizados para la reconstrucción de vías, puentes, carreteras, infraestructura energética y de comunicaciones, en caso de que hayan sido objeto de atentados, acciones terroristas, desastres naturales o casos de fuerza mayor; y, v) </w:t>
      </w:r>
      <w:r w:rsidRPr="005A1342">
        <w:rPr>
          <w:rFonts w:ascii="Verdana" w:hAnsi="Verdana"/>
          <w:iCs/>
        </w:rPr>
        <w:t>los que deban realizar las entidades sanitarias y hospitalarias.</w:t>
      </w:r>
    </w:p>
    <w:p w14:paraId="02EA218B" w14:textId="77777777" w:rsidR="00501AFD" w:rsidRDefault="00501AFD" w:rsidP="00501AFD">
      <w:pPr>
        <w:spacing w:after="120" w:line="276" w:lineRule="auto"/>
        <w:ind w:firstLine="709"/>
        <w:jc w:val="both"/>
        <w:rPr>
          <w:rFonts w:ascii="Verdana" w:hAnsi="Verdana"/>
        </w:rPr>
      </w:pPr>
      <w:r>
        <w:rPr>
          <w:rFonts w:ascii="Verdana" w:eastAsia="Times New Roman" w:hAnsi="Verdana" w:cs="Open Sans"/>
          <w:lang w:eastAsia="es-CO"/>
        </w:rPr>
        <w:t>Por s</w:t>
      </w:r>
      <w:r w:rsidRPr="00D44FF2">
        <w:rPr>
          <w:rFonts w:ascii="Verdana" w:eastAsia="Times New Roman" w:hAnsi="Verdana" w:cs="Open Sans"/>
          <w:lang w:eastAsia="es-CO"/>
        </w:rPr>
        <w:t xml:space="preserve">u parte, </w:t>
      </w:r>
      <w:r w:rsidRPr="00D44FF2">
        <w:rPr>
          <w:rFonts w:ascii="Verdana" w:hAnsi="Verdana"/>
        </w:rPr>
        <w:t xml:space="preserve">los destinatarios de la prohibición están expresamente señalados como </w:t>
      </w:r>
      <w:r>
        <w:rPr>
          <w:rFonts w:ascii="Verdana" w:hAnsi="Verdana"/>
        </w:rPr>
        <w:t>“</w:t>
      </w:r>
      <w:r w:rsidRPr="00D44FF2">
        <w:rPr>
          <w:rFonts w:ascii="Verdana" w:hAnsi="Verdana"/>
        </w:rPr>
        <w:t>todos los entes del Estado</w:t>
      </w:r>
      <w:r>
        <w:rPr>
          <w:rFonts w:ascii="Verdana" w:hAnsi="Verdana"/>
        </w:rPr>
        <w:t>”</w:t>
      </w:r>
      <w:r w:rsidRPr="00D44FF2">
        <w:rPr>
          <w:rFonts w:ascii="Verdana" w:hAnsi="Verdana"/>
        </w:rPr>
        <w:t xml:space="preserve">, expresión que contempla a los diferentes organismos o entidades autorizadas por la ley para suscribir contratos. En efecto, tal como lo ha sostenido el Consejo de Estado, el vocablo </w:t>
      </w:r>
      <w:r>
        <w:rPr>
          <w:rFonts w:ascii="Verdana" w:hAnsi="Verdana"/>
        </w:rPr>
        <w:t>“</w:t>
      </w:r>
      <w:r w:rsidRPr="00D44FF2">
        <w:rPr>
          <w:rFonts w:ascii="Verdana" w:hAnsi="Verdana"/>
        </w:rPr>
        <w:t>todos</w:t>
      </w:r>
      <w:r>
        <w:rPr>
          <w:rFonts w:ascii="Verdana" w:hAnsi="Verdana"/>
        </w:rPr>
        <w:t>”</w:t>
      </w:r>
      <w:r w:rsidRPr="00D44FF2">
        <w:rPr>
          <w:rFonts w:ascii="Verdana" w:hAnsi="Verdana"/>
        </w:rPr>
        <w:t xml:space="preserve"> utilizado por el legislador comprende a la totalidad de los entes del Estado, sin distinción del régimen jurídico, forma de organización o naturaleza, su pertenencia a una u otra rama del poder público o su autonomía, e incluso si las entidades estatales tienen régimen especial de contratación y están </w:t>
      </w:r>
      <w:r w:rsidRPr="00D44FF2">
        <w:rPr>
          <w:rFonts w:ascii="Verdana" w:hAnsi="Verdana"/>
        </w:rPr>
        <w:lastRenderedPageBreak/>
        <w:t>exceptuadas del ámbito de aplicación del Estatuto General de Contratación de la Administración Pública.</w:t>
      </w:r>
      <w:r>
        <w:rPr>
          <w:rFonts w:ascii="Verdana" w:hAnsi="Verdana"/>
        </w:rPr>
        <w:t xml:space="preserve"> </w:t>
      </w:r>
    </w:p>
    <w:p w14:paraId="6B1573F6" w14:textId="77777777" w:rsidR="00501AFD" w:rsidRDefault="00501AFD" w:rsidP="00501AFD">
      <w:pPr>
        <w:spacing w:after="0" w:line="276" w:lineRule="auto"/>
        <w:ind w:firstLine="709"/>
        <w:jc w:val="both"/>
        <w:rPr>
          <w:rFonts w:ascii="Verdana" w:eastAsia="Times New Roman" w:hAnsi="Verdana" w:cs="Arial"/>
          <w:lang w:val="es-ES"/>
        </w:rPr>
      </w:pPr>
      <w:r w:rsidRPr="00C40D52">
        <w:rPr>
          <w:rFonts w:ascii="Verdana" w:eastAsia="Times New Roman" w:hAnsi="Verdana" w:cs="Arial"/>
          <w:lang w:val="es-ES"/>
        </w:rPr>
        <w:t xml:space="preserve">En consecuencia, las restricciones a la contratación </w:t>
      </w:r>
      <w:r>
        <w:rPr>
          <w:rFonts w:ascii="Verdana" w:eastAsia="Times New Roman" w:hAnsi="Verdana" w:cs="Arial"/>
          <w:lang w:val="es-ES"/>
        </w:rPr>
        <w:t xml:space="preserve">directa </w:t>
      </w:r>
      <w:r w:rsidRPr="00C40D52">
        <w:rPr>
          <w:rFonts w:ascii="Verdana" w:eastAsia="Times New Roman" w:hAnsi="Verdana" w:cs="Arial"/>
          <w:lang w:val="es-ES"/>
        </w:rPr>
        <w:t>contenidas en la Ley de Garantías Electorales son aplicables a entidades descentralizadas como las sociedades de economía mixta</w:t>
      </w:r>
      <w:r>
        <w:rPr>
          <w:rFonts w:ascii="Verdana" w:eastAsia="Times New Roman" w:hAnsi="Verdana" w:cs="Arial"/>
          <w:lang w:val="es-ES"/>
        </w:rPr>
        <w:t>, a las que hace referencia en su consulta</w:t>
      </w:r>
      <w:r w:rsidRPr="00C40D52">
        <w:rPr>
          <w:rFonts w:ascii="Verdana" w:eastAsia="Times New Roman" w:hAnsi="Verdana" w:cs="Arial"/>
          <w:lang w:val="es-ES"/>
        </w:rPr>
        <w:t>. Por lo tanto, la celebración de cualquier contrato de forma directa, esto es, sin que exista un proceso abierto y competitivo, también se encuentra restringida para este tipo de entidades, sin perjuicio de las excepciones expresamente previstas en el inciso final del artículo 33 de dicha norma.</w:t>
      </w:r>
    </w:p>
    <w:p w14:paraId="310E937D" w14:textId="77777777" w:rsidR="00501AFD" w:rsidRPr="005A1342" w:rsidRDefault="00501AFD" w:rsidP="00501AFD">
      <w:pPr>
        <w:spacing w:after="0" w:line="276" w:lineRule="auto"/>
        <w:ind w:firstLine="709"/>
        <w:jc w:val="both"/>
        <w:rPr>
          <w:rFonts w:ascii="Verdana" w:hAnsi="Verdana"/>
          <w:iCs/>
        </w:rPr>
      </w:pPr>
    </w:p>
    <w:p w14:paraId="173CFB34" w14:textId="77777777" w:rsidR="00501AFD" w:rsidRPr="00F2587B" w:rsidRDefault="00501AFD" w:rsidP="00501AFD">
      <w:pPr>
        <w:pStyle w:val="Prrafodelista"/>
        <w:numPr>
          <w:ilvl w:val="0"/>
          <w:numId w:val="28"/>
        </w:numPr>
        <w:spacing w:after="0" w:line="276" w:lineRule="auto"/>
        <w:contextualSpacing w:val="0"/>
        <w:jc w:val="both"/>
        <w:rPr>
          <w:rFonts w:ascii="Verdana" w:eastAsia="Times New Roman" w:hAnsi="Verdana" w:cs="Open Sans"/>
          <w:i/>
          <w:lang w:eastAsia="es-CO"/>
        </w:rPr>
      </w:pPr>
      <w:r w:rsidRPr="00F2587B">
        <w:rPr>
          <w:rFonts w:ascii="Verdana" w:eastAsia="Times New Roman" w:hAnsi="Verdana" w:cs="Open Sans"/>
          <w:i/>
          <w:lang w:eastAsia="es-CO"/>
        </w:rPr>
        <w:t xml:space="preserve">Restricciones </w:t>
      </w:r>
      <w:r>
        <w:rPr>
          <w:rFonts w:ascii="Verdana" w:eastAsia="Times New Roman" w:hAnsi="Verdana" w:cs="Open Sans"/>
          <w:i/>
          <w:lang w:eastAsia="es-CO"/>
        </w:rPr>
        <w:t>frente a las</w:t>
      </w:r>
      <w:r w:rsidRPr="00F2587B">
        <w:rPr>
          <w:rFonts w:ascii="Verdana" w:eastAsia="Times New Roman" w:hAnsi="Verdana" w:cs="Open Sans"/>
          <w:i/>
          <w:lang w:eastAsia="es-CO"/>
        </w:rPr>
        <w:t xml:space="preserve"> demás elecciones </w:t>
      </w:r>
    </w:p>
    <w:p w14:paraId="197DB6BC" w14:textId="77777777" w:rsidR="00501AFD" w:rsidRDefault="00501AFD" w:rsidP="00501AFD">
      <w:pPr>
        <w:spacing w:after="0" w:line="276" w:lineRule="auto"/>
        <w:jc w:val="both"/>
        <w:rPr>
          <w:rFonts w:ascii="Verdana" w:eastAsia="Times New Roman" w:hAnsi="Verdana" w:cs="Open Sans"/>
          <w:lang w:eastAsia="es-CO"/>
        </w:rPr>
      </w:pPr>
    </w:p>
    <w:p w14:paraId="06D810A9" w14:textId="77777777" w:rsidR="00501AFD" w:rsidRPr="00D61E29" w:rsidRDefault="00501AFD" w:rsidP="00501AFD">
      <w:pPr>
        <w:spacing w:after="0" w:line="276" w:lineRule="auto"/>
        <w:jc w:val="both"/>
        <w:rPr>
          <w:rFonts w:ascii="Verdana" w:eastAsia="Times New Roman" w:hAnsi="Verdana" w:cs="Open Sans"/>
          <w:lang w:eastAsia="es-CO"/>
        </w:rPr>
      </w:pPr>
      <w:r w:rsidRPr="00D61E29">
        <w:rPr>
          <w:rFonts w:ascii="Verdana" w:eastAsia="Times New Roman" w:hAnsi="Verdana" w:cs="Open Sans"/>
          <w:lang w:eastAsia="es-CO"/>
        </w:rPr>
        <w:t xml:space="preserve">Adicionalmente, el parágrafo del artículo 38 </w:t>
      </w:r>
      <w:r w:rsidRPr="00D61E29">
        <w:rPr>
          <w:rFonts w:ascii="Verdana" w:eastAsia="Calibri" w:hAnsi="Verdana" w:cs="Arial"/>
        </w:rPr>
        <w:t>prevé una restricción, aplicable respecto de cualquier tipo de contienda electoral, como sigue:</w:t>
      </w:r>
    </w:p>
    <w:p w14:paraId="2A03C603" w14:textId="77777777" w:rsidR="00501AFD" w:rsidRDefault="00501AFD" w:rsidP="00501AFD">
      <w:pPr>
        <w:pStyle w:val="NormalWeb"/>
        <w:spacing w:before="0" w:beforeAutospacing="0" w:after="0" w:afterAutospacing="0" w:line="276" w:lineRule="auto"/>
        <w:ind w:left="709" w:right="616"/>
        <w:jc w:val="both"/>
        <w:rPr>
          <w:rStyle w:val="baj"/>
          <w:rFonts w:ascii="Verdana" w:eastAsiaTheme="minorHAnsi" w:hAnsi="Verdana" w:cs="Open Sans"/>
          <w:b/>
          <w:sz w:val="20"/>
          <w:szCs w:val="20"/>
          <w:lang w:eastAsia="en-US"/>
        </w:rPr>
      </w:pPr>
    </w:p>
    <w:p w14:paraId="6DD037C8" w14:textId="77777777" w:rsidR="00501AFD" w:rsidRPr="00D61E29" w:rsidRDefault="00501AFD" w:rsidP="00501AFD">
      <w:pPr>
        <w:pStyle w:val="NormalWeb"/>
        <w:spacing w:before="0" w:beforeAutospacing="0" w:after="0" w:afterAutospacing="0"/>
        <w:ind w:left="709" w:right="709"/>
        <w:jc w:val="both"/>
        <w:rPr>
          <w:rFonts w:ascii="Verdana" w:hAnsi="Verdana" w:cs="Open Sans"/>
          <w:sz w:val="20"/>
          <w:szCs w:val="20"/>
        </w:rPr>
      </w:pPr>
      <w:r>
        <w:rPr>
          <w:rStyle w:val="baj"/>
          <w:rFonts w:ascii="Verdana" w:hAnsi="Verdana" w:cs="Open Sans"/>
          <w:b/>
          <w:bCs/>
          <w:sz w:val="20"/>
          <w:szCs w:val="20"/>
        </w:rPr>
        <w:t>“</w:t>
      </w:r>
      <w:r w:rsidRPr="00D61E29">
        <w:rPr>
          <w:rStyle w:val="baj"/>
          <w:rFonts w:ascii="Verdana" w:hAnsi="Verdana" w:cs="Open Sans"/>
          <w:b/>
          <w:bCs/>
          <w:sz w:val="20"/>
          <w:szCs w:val="20"/>
        </w:rPr>
        <w:t>PARÁGRAFO.</w:t>
      </w:r>
      <w:r w:rsidRPr="00D61E29">
        <w:rPr>
          <w:rFonts w:ascii="Verdana" w:hAnsi="Verdana" w:cs="Open Sans"/>
          <w:sz w:val="20"/>
          <w:szCs w:val="20"/>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p>
    <w:p w14:paraId="67F8D390" w14:textId="77777777" w:rsidR="00501AFD" w:rsidRPr="00D61E29" w:rsidRDefault="00501AFD" w:rsidP="00501AFD">
      <w:pPr>
        <w:pStyle w:val="NormalWeb"/>
        <w:spacing w:before="0" w:beforeAutospacing="0" w:after="0" w:afterAutospacing="0"/>
        <w:ind w:left="709" w:right="709"/>
        <w:jc w:val="both"/>
        <w:rPr>
          <w:rFonts w:ascii="Verdana" w:hAnsi="Verdana" w:cs="Open Sans"/>
          <w:sz w:val="20"/>
          <w:szCs w:val="20"/>
        </w:rPr>
      </w:pPr>
    </w:p>
    <w:p w14:paraId="4FD92855" w14:textId="77777777" w:rsidR="00501AFD" w:rsidRPr="00D61E29" w:rsidRDefault="00501AFD" w:rsidP="00501AFD">
      <w:pPr>
        <w:pStyle w:val="NormalWeb"/>
        <w:spacing w:before="0" w:beforeAutospacing="0" w:after="0" w:afterAutospacing="0"/>
        <w:ind w:left="709" w:right="709"/>
        <w:jc w:val="both"/>
        <w:rPr>
          <w:rFonts w:ascii="Verdana" w:hAnsi="Verdana" w:cs="Open Sans"/>
          <w:sz w:val="20"/>
          <w:szCs w:val="20"/>
        </w:rPr>
      </w:pPr>
      <w:r w:rsidRPr="00D61E29">
        <w:rPr>
          <w:rFonts w:ascii="Verdana" w:hAnsi="Verdana" w:cs="Open Sans"/>
          <w:sz w:val="20"/>
          <w:szCs w:val="20"/>
        </w:rPr>
        <w:t xml:space="preserve">Tampoco podrán inaugurar obras públicas o </w:t>
      </w:r>
      <w:proofErr w:type="gramStart"/>
      <w:r w:rsidRPr="00D61E29">
        <w:rPr>
          <w:rFonts w:ascii="Verdana" w:hAnsi="Verdana" w:cs="Open Sans"/>
          <w:sz w:val="20"/>
          <w:szCs w:val="20"/>
        </w:rPr>
        <w:t>dar inicio a</w:t>
      </w:r>
      <w:proofErr w:type="gramEnd"/>
      <w:r w:rsidRPr="00D61E29">
        <w:rPr>
          <w:rFonts w:ascii="Verdana" w:hAnsi="Verdana" w:cs="Open Sans"/>
          <w:sz w:val="20"/>
          <w:szCs w:val="20"/>
        </w:rPr>
        <w:t xml:space="preserve"> programas de carácter social en reuniones o eventos en los que participen candidatos a la Presidencia y Vicepresidencia de la República, el Congreso de la República, gobernaciones departamentales, asambleas departamentales, alcaldías y concejos municipales o distritales. Tampoco podrán hacerlo cuando participen voceros de los candidatos.</w:t>
      </w:r>
    </w:p>
    <w:p w14:paraId="58ED29BB" w14:textId="77777777" w:rsidR="00501AFD" w:rsidRDefault="00501AFD" w:rsidP="00501AFD">
      <w:pPr>
        <w:pStyle w:val="NormalWeb"/>
        <w:spacing w:before="0" w:beforeAutospacing="0" w:after="0" w:afterAutospacing="0"/>
        <w:ind w:left="709" w:right="709"/>
        <w:jc w:val="both"/>
        <w:rPr>
          <w:rFonts w:ascii="Verdana" w:hAnsi="Verdana" w:cs="Open Sans"/>
          <w:sz w:val="20"/>
          <w:szCs w:val="20"/>
        </w:rPr>
      </w:pPr>
    </w:p>
    <w:p w14:paraId="1D66D782" w14:textId="77777777" w:rsidR="00501AFD" w:rsidRPr="00D61E29" w:rsidRDefault="00501AFD" w:rsidP="00501AFD">
      <w:pPr>
        <w:pStyle w:val="NormalWeb"/>
        <w:spacing w:before="0" w:beforeAutospacing="0" w:after="0" w:afterAutospacing="0"/>
        <w:ind w:left="709" w:right="709"/>
        <w:jc w:val="both"/>
        <w:rPr>
          <w:rFonts w:ascii="Verdana" w:hAnsi="Verdana" w:cs="Open Sans"/>
          <w:sz w:val="20"/>
          <w:szCs w:val="20"/>
        </w:rPr>
      </w:pPr>
      <w:r w:rsidRPr="00D61E29">
        <w:rPr>
          <w:rFonts w:ascii="Verdana" w:hAnsi="Verdana" w:cs="Open Sans"/>
          <w:sz w:val="20"/>
          <w:szCs w:val="20"/>
        </w:rPr>
        <w:t>No podrán autorizar la utilización de inmuebles o bienes muebles de carácter público para actividades proselitistas, ni para facilitar el alojamiento, ni el transporte de electores de candidatos a cargos de elección popular. Tampoco podrán hacerlo cuando participen voceros de los candidatos.</w:t>
      </w:r>
    </w:p>
    <w:p w14:paraId="0D665146" w14:textId="77777777" w:rsidR="00501AFD" w:rsidRDefault="00501AFD" w:rsidP="00501AFD">
      <w:pPr>
        <w:pStyle w:val="NormalWeb"/>
        <w:spacing w:before="0" w:beforeAutospacing="0" w:after="0" w:afterAutospacing="0"/>
        <w:ind w:left="709" w:right="709"/>
        <w:jc w:val="both"/>
        <w:rPr>
          <w:rFonts w:ascii="Verdana" w:hAnsi="Verdana" w:cs="Open Sans"/>
          <w:sz w:val="20"/>
          <w:szCs w:val="20"/>
        </w:rPr>
      </w:pPr>
    </w:p>
    <w:p w14:paraId="2948A301" w14:textId="77777777" w:rsidR="00501AFD" w:rsidRPr="00D61E29" w:rsidRDefault="00501AFD" w:rsidP="00501AFD">
      <w:pPr>
        <w:pStyle w:val="NormalWeb"/>
        <w:spacing w:before="0" w:beforeAutospacing="0" w:after="0" w:afterAutospacing="0"/>
        <w:ind w:left="709" w:right="709"/>
        <w:jc w:val="both"/>
        <w:rPr>
          <w:rFonts w:ascii="Verdana" w:hAnsi="Verdana" w:cs="Open Sans"/>
          <w:sz w:val="20"/>
          <w:szCs w:val="20"/>
        </w:rPr>
      </w:pPr>
      <w:r w:rsidRPr="00D61E29">
        <w:rPr>
          <w:rFonts w:ascii="Verdana" w:hAnsi="Verdana" w:cs="Open Sans"/>
          <w:sz w:val="20"/>
          <w:szCs w:val="20"/>
        </w:rPr>
        <w:t>La nómina del respectivo ente territorial o entidad no se podrá modificar dentro de los cuatro (4) meses anteriores a las elecciones a cargos de elección popular, salvo que se trate de provisión de cargos por faltas definitivas, con ocasión de muerte o renuncia irrevocable del cargo correspondiente debidamente aceptada, y en los casos de aplicación de las normas de carrera administrativa</w:t>
      </w:r>
      <w:r>
        <w:rPr>
          <w:rFonts w:ascii="Verdana" w:hAnsi="Verdana" w:cs="Open Sans"/>
          <w:sz w:val="20"/>
          <w:szCs w:val="20"/>
        </w:rPr>
        <w:t>”</w:t>
      </w:r>
      <w:r w:rsidRPr="00D61E29">
        <w:rPr>
          <w:rFonts w:ascii="Verdana" w:hAnsi="Verdana" w:cs="Open Sans"/>
          <w:sz w:val="20"/>
          <w:szCs w:val="20"/>
        </w:rPr>
        <w:t>.</w:t>
      </w:r>
    </w:p>
    <w:p w14:paraId="62A21628" w14:textId="77777777" w:rsidR="00501AFD" w:rsidRDefault="00501AFD" w:rsidP="00501AFD">
      <w:pPr>
        <w:widowControl w:val="0"/>
        <w:autoSpaceDE w:val="0"/>
        <w:autoSpaceDN w:val="0"/>
        <w:spacing w:after="0" w:line="276" w:lineRule="auto"/>
        <w:ind w:right="113"/>
        <w:contextualSpacing/>
        <w:jc w:val="both"/>
      </w:pPr>
    </w:p>
    <w:p w14:paraId="7F38F097" w14:textId="77777777" w:rsidR="00501AFD" w:rsidRPr="00775AB1" w:rsidRDefault="00501AFD" w:rsidP="00501AFD">
      <w:pPr>
        <w:spacing w:after="120" w:line="276" w:lineRule="auto"/>
        <w:ind w:firstLine="709"/>
        <w:jc w:val="both"/>
        <w:rPr>
          <w:rFonts w:ascii="Verdana" w:eastAsia="Times New Roman" w:hAnsi="Verdana" w:cs="Arial"/>
          <w:lang w:val="es-MX" w:eastAsia="es-CO"/>
        </w:rPr>
      </w:pPr>
      <w:r w:rsidRPr="00E2397D">
        <w:rPr>
          <w:rFonts w:ascii="Verdana" w:eastAsia="Arial" w:hAnsi="Verdana" w:cs="Arial"/>
          <w:lang w:val="es-MX" w:eastAsia="es-ES" w:bidi="es-ES"/>
        </w:rPr>
        <w:lastRenderedPageBreak/>
        <w:t>De esta manera, s</w:t>
      </w:r>
      <w:proofErr w:type="spellStart"/>
      <w:r w:rsidRPr="00E2397D">
        <w:rPr>
          <w:rFonts w:ascii="Verdana" w:eastAsia="Times New Roman" w:hAnsi="Verdana" w:cs="Arial"/>
          <w:lang w:eastAsia="es-CO"/>
        </w:rPr>
        <w:t>e</w:t>
      </w:r>
      <w:proofErr w:type="spellEnd"/>
      <w:r w:rsidRPr="00E2397D">
        <w:rPr>
          <w:rFonts w:ascii="Verdana" w:eastAsia="Times New Roman" w:hAnsi="Verdana" w:cs="Arial"/>
          <w:lang w:eastAsia="es-CO"/>
        </w:rPr>
        <w:t xml:space="preserve"> observa entonces </w:t>
      </w:r>
      <w:bookmarkStart w:id="6" w:name="_Hlk207205098"/>
      <w:r w:rsidRPr="00E2397D">
        <w:rPr>
          <w:rFonts w:ascii="Verdana" w:eastAsia="Times New Roman" w:hAnsi="Verdana" w:cs="Arial"/>
          <w:lang w:eastAsia="es-CO"/>
        </w:rPr>
        <w:t xml:space="preserve">que </w:t>
      </w:r>
      <w:r w:rsidRPr="00E2397D">
        <w:rPr>
          <w:rFonts w:ascii="Verdana" w:eastAsia="Times New Roman" w:hAnsi="Verdana" w:cs="Arial"/>
          <w:lang w:val="es-MX" w:eastAsia="es-CO"/>
        </w:rPr>
        <w:t xml:space="preserve">el parágrafo del artículo 38 de la Ley 996 de 2005 prohíbe a los </w:t>
      </w:r>
      <w:proofErr w:type="gramStart"/>
      <w:r w:rsidRPr="00E2397D">
        <w:rPr>
          <w:rFonts w:ascii="Verdana" w:eastAsia="Times New Roman" w:hAnsi="Verdana" w:cs="Arial"/>
          <w:lang w:val="es-MX" w:eastAsia="es-CO"/>
        </w:rPr>
        <w:t>Alcaldes</w:t>
      </w:r>
      <w:proofErr w:type="gramEnd"/>
      <w:r w:rsidRPr="00E2397D">
        <w:rPr>
          <w:rFonts w:ascii="Verdana" w:eastAsia="Times New Roman" w:hAnsi="Verdana" w:cs="Arial"/>
          <w:lang w:val="es-MX" w:eastAsia="es-CO"/>
        </w:rPr>
        <w:t xml:space="preserve">, Gobernadores, </w:t>
      </w:r>
      <w:proofErr w:type="gramStart"/>
      <w:r w:rsidRPr="00E2397D">
        <w:rPr>
          <w:rFonts w:ascii="Verdana" w:eastAsia="Times New Roman" w:hAnsi="Verdana" w:cs="Arial"/>
          <w:lang w:val="es-MX" w:eastAsia="es-CO"/>
        </w:rPr>
        <w:t>Secretarios</w:t>
      </w:r>
      <w:proofErr w:type="gramEnd"/>
      <w:r w:rsidRPr="00E2397D">
        <w:rPr>
          <w:rFonts w:ascii="Verdana" w:eastAsia="Times New Roman" w:hAnsi="Verdana" w:cs="Arial"/>
          <w:lang w:val="es-MX" w:eastAsia="es-CO"/>
        </w:rPr>
        <w:t xml:space="preserve">, Gerentes y </w:t>
      </w:r>
      <w:proofErr w:type="gramStart"/>
      <w:r w:rsidRPr="00E2397D">
        <w:rPr>
          <w:rFonts w:ascii="Verdana" w:eastAsia="Times New Roman" w:hAnsi="Verdana" w:cs="Arial"/>
          <w:lang w:val="es-MX" w:eastAsia="es-CO"/>
        </w:rPr>
        <w:t>Directores</w:t>
      </w:r>
      <w:proofErr w:type="gramEnd"/>
      <w:r w:rsidRPr="00E2397D">
        <w:rPr>
          <w:rFonts w:ascii="Verdana" w:eastAsia="Times New Roman" w:hAnsi="Verdana" w:cs="Arial"/>
          <w:lang w:val="es-MX" w:eastAsia="es-CO"/>
        </w:rPr>
        <w:t xml:space="preserve"> de las entidades </w:t>
      </w:r>
      <w:r>
        <w:rPr>
          <w:rFonts w:ascii="Verdana" w:eastAsia="Times New Roman" w:hAnsi="Verdana" w:cs="Arial"/>
          <w:lang w:val="es-MX" w:eastAsia="es-CO"/>
        </w:rPr>
        <w:t xml:space="preserve">descentralizadas </w:t>
      </w:r>
      <w:r w:rsidRPr="00E2397D">
        <w:rPr>
          <w:rFonts w:ascii="Verdana" w:eastAsia="Times New Roman" w:hAnsi="Verdana" w:cs="Arial"/>
          <w:lang w:val="es-MX" w:eastAsia="es-CO"/>
        </w:rPr>
        <w:t xml:space="preserve">del orden municipal, departamental o distrital celebrar </w:t>
      </w:r>
      <w:r w:rsidRPr="00E2397D">
        <w:rPr>
          <w:rFonts w:ascii="Verdana" w:eastAsia="Times New Roman" w:hAnsi="Verdana" w:cs="Arial"/>
          <w:i/>
          <w:iCs/>
          <w:lang w:val="es-MX" w:eastAsia="es-CO"/>
        </w:rPr>
        <w:t>convenios interadministrativos</w:t>
      </w:r>
      <w:r w:rsidRPr="00E2397D">
        <w:rPr>
          <w:rFonts w:ascii="Verdana" w:eastAsia="Times New Roman" w:hAnsi="Verdana" w:cs="Arial"/>
          <w:lang w:val="es-MX" w:eastAsia="es-CO"/>
        </w:rPr>
        <w:t xml:space="preserve"> para la ejecución de recursos públicos. En este sentido, si una o ambas partes de la relación contractual es una entidad de aquellas descritas en el parágrafo </w:t>
      </w:r>
      <w:r w:rsidRPr="00E2397D">
        <w:rPr>
          <w:rFonts w:ascii="Verdana" w:eastAsia="Times New Roman" w:hAnsi="Verdana" w:cs="Arial"/>
          <w:i/>
          <w:lang w:val="es-MX" w:eastAsia="es-CO"/>
        </w:rPr>
        <w:t>ibidem</w:t>
      </w:r>
      <w:r w:rsidRPr="00E2397D">
        <w:rPr>
          <w:rFonts w:ascii="Verdana" w:eastAsia="Times New Roman" w:hAnsi="Verdana" w:cs="Arial"/>
          <w:lang w:val="es-MX" w:eastAsia="es-CO"/>
        </w:rPr>
        <w:t>,</w:t>
      </w:r>
      <w:r>
        <w:rPr>
          <w:rFonts w:ascii="Verdana" w:eastAsia="Times New Roman" w:hAnsi="Verdana" w:cs="Arial"/>
          <w:lang w:val="es-MX" w:eastAsia="es-CO"/>
        </w:rPr>
        <w:t xml:space="preserve"> </w:t>
      </w:r>
      <w:r w:rsidRPr="00E2397D">
        <w:rPr>
          <w:rFonts w:ascii="Verdana" w:eastAsia="Times New Roman" w:hAnsi="Verdana" w:cs="Arial"/>
          <w:lang w:val="es-MX" w:eastAsia="es-CO"/>
        </w:rPr>
        <w:t xml:space="preserve">no podrá celebrar tales </w:t>
      </w:r>
      <w:r w:rsidRPr="00E2397D">
        <w:rPr>
          <w:rFonts w:ascii="Verdana" w:eastAsia="Times New Roman" w:hAnsi="Verdana" w:cs="Arial"/>
          <w:i/>
          <w:iCs/>
          <w:lang w:val="es-MX" w:eastAsia="es-CO"/>
        </w:rPr>
        <w:t>convenios</w:t>
      </w:r>
      <w:r w:rsidRPr="00E2397D">
        <w:rPr>
          <w:rFonts w:ascii="Verdana" w:eastAsia="Times New Roman" w:hAnsi="Verdana" w:cs="Arial"/>
          <w:lang w:val="es-MX" w:eastAsia="es-CO"/>
        </w:rPr>
        <w:t xml:space="preserve"> durante la aplicación de la Ley de Garantías Electorales, toda vez que la citada disposición hace referencia a dicha tipología contractual sin que el legislador hubiere contemplado un efecto extensivo a otra tipología. </w:t>
      </w:r>
      <w:bookmarkEnd w:id="6"/>
    </w:p>
    <w:p w14:paraId="4672DEEB" w14:textId="77777777" w:rsidR="00501AFD" w:rsidRPr="00D61E29" w:rsidRDefault="00501AFD" w:rsidP="00501AFD">
      <w:pPr>
        <w:widowControl w:val="0"/>
        <w:autoSpaceDE w:val="0"/>
        <w:autoSpaceDN w:val="0"/>
        <w:spacing w:after="0" w:line="276" w:lineRule="auto"/>
        <w:ind w:firstLine="708"/>
        <w:contextualSpacing/>
        <w:jc w:val="both"/>
        <w:rPr>
          <w:rFonts w:ascii="Verdana" w:eastAsia="Arial" w:hAnsi="Verdana" w:cs="Arial"/>
          <w:lang w:val="es-ES" w:eastAsia="es-ES" w:bidi="es-ES"/>
        </w:rPr>
      </w:pPr>
      <w:r w:rsidRPr="00D61E29">
        <w:rPr>
          <w:rFonts w:ascii="Verdana" w:eastAsia="Arial" w:hAnsi="Verdana" w:cs="Arial"/>
          <w:lang w:val="es-ES" w:eastAsia="es-ES" w:bidi="es-ES"/>
        </w:rPr>
        <w:t>La Sala de Consulta y Servicio Civil del Consejo de Estado ha aclarado la distinción en la aplicación de las prohibiciones de la Ley 996 de 2005, dependiendo del tipo de elección que se trate. Al respecto, considera:</w:t>
      </w:r>
    </w:p>
    <w:p w14:paraId="3FDEC632" w14:textId="77777777" w:rsidR="00501AFD" w:rsidRPr="00D61E29" w:rsidRDefault="00501AFD" w:rsidP="00501AFD">
      <w:pPr>
        <w:widowControl w:val="0"/>
        <w:autoSpaceDE w:val="0"/>
        <w:autoSpaceDN w:val="0"/>
        <w:spacing w:after="0" w:line="240" w:lineRule="auto"/>
        <w:ind w:left="805" w:right="812"/>
        <w:contextualSpacing/>
        <w:jc w:val="both"/>
        <w:rPr>
          <w:rFonts w:ascii="Verdana" w:eastAsia="Arial" w:hAnsi="Verdana" w:cs="Arial"/>
          <w:lang w:val="es-ES" w:eastAsia="es-ES" w:bidi="es-ES"/>
        </w:rPr>
      </w:pPr>
    </w:p>
    <w:p w14:paraId="60664A6C" w14:textId="77777777" w:rsidR="00501AFD" w:rsidRPr="00D61E29" w:rsidRDefault="00501AFD" w:rsidP="00501AFD">
      <w:pPr>
        <w:widowControl w:val="0"/>
        <w:autoSpaceDE w:val="0"/>
        <w:autoSpaceDN w:val="0"/>
        <w:spacing w:after="0" w:line="240" w:lineRule="auto"/>
        <w:ind w:left="709" w:right="709"/>
        <w:jc w:val="both"/>
        <w:rPr>
          <w:rFonts w:ascii="Verdana" w:eastAsia="Arial" w:hAnsi="Verdana" w:cs="Arial"/>
          <w:sz w:val="20"/>
          <w:szCs w:val="20"/>
          <w:lang w:eastAsia="es-ES" w:bidi="es-ES"/>
        </w:rPr>
      </w:pPr>
      <w:r w:rsidRPr="00D61E29">
        <w:rPr>
          <w:rFonts w:ascii="Verdana" w:eastAsia="Arial" w:hAnsi="Verdana" w:cs="Arial"/>
          <w:sz w:val="20"/>
          <w:szCs w:val="20"/>
          <w:lang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se integran parcialmente, lo que permite concluir que en periodo preelectoral para elección de Presidente de la República, a todos los entes del Estado, incluidos los territoriales, se aplican las restricciones de los artículos 32 y 33 con sus excepciones, así como las del parágrafo del artículo 38. En cambio, para elecciones en general, excluyendo las correspondientes a </w:t>
      </w:r>
      <w:proofErr w:type="gramStart"/>
      <w:r w:rsidRPr="00D61E29">
        <w:rPr>
          <w:rFonts w:ascii="Verdana" w:eastAsia="Arial" w:hAnsi="Verdana" w:cs="Arial"/>
          <w:sz w:val="20"/>
          <w:szCs w:val="20"/>
          <w:lang w:eastAsia="es-ES" w:bidi="es-ES"/>
        </w:rPr>
        <w:t>Presidente</w:t>
      </w:r>
      <w:proofErr w:type="gramEnd"/>
      <w:r w:rsidRPr="00D61E29">
        <w:rPr>
          <w:rFonts w:ascii="Verdana" w:eastAsia="Arial" w:hAnsi="Verdana" w:cs="Arial"/>
          <w:sz w:val="20"/>
          <w:szCs w:val="20"/>
          <w:lang w:eastAsia="es-ES" w:bidi="es-ES"/>
        </w:rPr>
        <w:t xml:space="preserve"> de la República, a las autoridades territoriales allí mencionadas sólo se aplican las restricciones contenidas en el parágrafo del artículo 38”.</w:t>
      </w:r>
      <w:r w:rsidRPr="00D61E29">
        <w:rPr>
          <w:rFonts w:ascii="Verdana" w:eastAsia="Arial" w:hAnsi="Verdana" w:cs="Arial"/>
          <w:sz w:val="20"/>
          <w:szCs w:val="20"/>
          <w:vertAlign w:val="superscript"/>
          <w:lang w:eastAsia="es-ES" w:bidi="es-ES"/>
        </w:rPr>
        <w:footnoteReference w:id="11"/>
      </w:r>
    </w:p>
    <w:p w14:paraId="4F41FE67" w14:textId="77777777" w:rsidR="00501AFD" w:rsidRPr="00D61E29" w:rsidRDefault="00501AFD" w:rsidP="00501AFD">
      <w:pPr>
        <w:widowControl w:val="0"/>
        <w:autoSpaceDE w:val="0"/>
        <w:autoSpaceDN w:val="0"/>
        <w:spacing w:after="0" w:line="276" w:lineRule="auto"/>
        <w:ind w:left="709" w:right="709"/>
        <w:jc w:val="both"/>
        <w:rPr>
          <w:rFonts w:ascii="Verdana" w:eastAsia="Arial" w:hAnsi="Verdana" w:cs="Arial"/>
          <w:sz w:val="20"/>
          <w:szCs w:val="20"/>
          <w:lang w:eastAsia="es-ES" w:bidi="es-ES"/>
        </w:rPr>
      </w:pPr>
    </w:p>
    <w:p w14:paraId="31C9A836" w14:textId="77777777" w:rsidR="00501AFD" w:rsidRPr="00947721" w:rsidRDefault="00501AFD" w:rsidP="00501AFD">
      <w:pPr>
        <w:autoSpaceDE w:val="0"/>
        <w:autoSpaceDN w:val="0"/>
        <w:adjustRightInd w:val="0"/>
        <w:spacing w:after="120" w:line="276" w:lineRule="auto"/>
        <w:ind w:firstLine="708"/>
        <w:jc w:val="both"/>
        <w:rPr>
          <w:rFonts w:ascii="Verdana" w:hAnsi="Verdana" w:cs="BCDHEE+Verdana"/>
          <w:color w:val="000000"/>
        </w:rPr>
      </w:pPr>
      <w:r w:rsidRPr="00947721">
        <w:rPr>
          <w:rFonts w:ascii="Verdana" w:hAnsi="Verdana" w:cs="BCDHEE+Verdana"/>
          <w:color w:val="000000"/>
        </w:rPr>
        <w:t xml:space="preserve">Finalmente, sobre las fechas en que aplica la Ley de </w:t>
      </w:r>
      <w:r>
        <w:rPr>
          <w:rFonts w:ascii="Verdana" w:hAnsi="Verdana" w:cs="BCDHEE+Verdana"/>
          <w:color w:val="000000"/>
        </w:rPr>
        <w:t>G</w:t>
      </w:r>
      <w:r w:rsidRPr="00F44D6F">
        <w:rPr>
          <w:rFonts w:ascii="Verdana" w:hAnsi="Verdana" w:cs="BCDHEE+Verdana"/>
          <w:color w:val="000000"/>
        </w:rPr>
        <w:t>arantías</w:t>
      </w:r>
      <w:r>
        <w:rPr>
          <w:rFonts w:ascii="Verdana" w:hAnsi="Verdana" w:cs="BCDHEE+Verdana"/>
          <w:color w:val="000000"/>
        </w:rPr>
        <w:t xml:space="preserve"> Electorales</w:t>
      </w:r>
      <w:r w:rsidRPr="00947721">
        <w:rPr>
          <w:rFonts w:ascii="Verdana" w:hAnsi="Verdana" w:cs="BCDHEE+Verdana"/>
          <w:color w:val="000000"/>
        </w:rPr>
        <w:t>, se debe tener en cuenta que el Consejo Nacional Electoral mediante Resolución No. 2581 del 5 de marzo de 2025 fijó el calendario electoral para las elecciones al Congreso de la República que serán el 8 de marzo de 2026</w:t>
      </w:r>
      <w:r>
        <w:rPr>
          <w:rFonts w:ascii="Verdana" w:hAnsi="Verdana" w:cs="BCDHEE+Verdana"/>
          <w:color w:val="000000"/>
        </w:rPr>
        <w:t>. E</w:t>
      </w:r>
      <w:r w:rsidRPr="00947721">
        <w:rPr>
          <w:rFonts w:ascii="Verdana" w:hAnsi="Verdana" w:cs="BCDHEE+Verdana"/>
          <w:color w:val="000000"/>
        </w:rPr>
        <w:t>n esa medida, de acuerdo con el artículo 38 de la Ley 996 de 2005, la restricción inici</w:t>
      </w:r>
      <w:r>
        <w:rPr>
          <w:rFonts w:ascii="Verdana" w:hAnsi="Verdana" w:cs="BCDHEE+Verdana"/>
          <w:color w:val="000000"/>
        </w:rPr>
        <w:t>ó</w:t>
      </w:r>
      <w:r w:rsidRPr="00947721">
        <w:rPr>
          <w:rFonts w:ascii="Verdana" w:hAnsi="Verdana" w:cs="BCDHEE+Verdana"/>
          <w:color w:val="000000"/>
        </w:rPr>
        <w:t xml:space="preserve"> el 8 de noviembre de 2025, es decir, </w:t>
      </w:r>
      <w:r>
        <w:rPr>
          <w:rFonts w:ascii="Verdana" w:hAnsi="Verdana" w:cs="BCDHEE+Verdana"/>
          <w:color w:val="000000"/>
        </w:rPr>
        <w:t>cuatro (</w:t>
      </w:r>
      <w:r w:rsidRPr="00947721">
        <w:rPr>
          <w:rFonts w:ascii="Verdana" w:hAnsi="Verdana" w:cs="BCDHEE+Verdana"/>
          <w:color w:val="000000"/>
        </w:rPr>
        <w:t>4</w:t>
      </w:r>
      <w:r>
        <w:rPr>
          <w:rFonts w:ascii="Verdana" w:hAnsi="Verdana" w:cs="BCDHEE+Verdana"/>
          <w:color w:val="000000"/>
        </w:rPr>
        <w:t>)</w:t>
      </w:r>
      <w:r w:rsidRPr="00947721">
        <w:rPr>
          <w:rFonts w:ascii="Verdana" w:hAnsi="Verdana" w:cs="BCDHEE+Verdana"/>
          <w:color w:val="000000"/>
        </w:rPr>
        <w:t xml:space="preserve"> meses antes de la fecha de las elecciones, y las restricciones que se aplican son que prohíbe a los gobernadores, alcaldes municipales o distritales, secretarios, gerentes y directores de entidades </w:t>
      </w:r>
      <w:r w:rsidRPr="00947721">
        <w:rPr>
          <w:rFonts w:ascii="Verdana" w:hAnsi="Verdana" w:cs="BCDHEE+Verdana"/>
          <w:color w:val="000000"/>
        </w:rPr>
        <w:lastRenderedPageBreak/>
        <w:t xml:space="preserve">descentralizadas del orden municipal, departamental o distrital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 </w:t>
      </w:r>
    </w:p>
    <w:p w14:paraId="2046DD96" w14:textId="77777777" w:rsidR="00501AFD" w:rsidRPr="005D7599" w:rsidRDefault="00501AFD" w:rsidP="00501AFD">
      <w:pPr>
        <w:spacing w:after="120" w:line="276" w:lineRule="auto"/>
        <w:ind w:firstLine="708"/>
        <w:jc w:val="both"/>
        <w:rPr>
          <w:rFonts w:ascii="Verdana" w:eastAsia="Times New Roman" w:hAnsi="Verdana" w:cs="Arial"/>
          <w:bCs/>
          <w:lang w:val="es-ES" w:eastAsia="es-CO"/>
        </w:rPr>
      </w:pPr>
      <w:r w:rsidRPr="00DE5508">
        <w:rPr>
          <w:rFonts w:ascii="Verdana" w:hAnsi="Verdana" w:cs="BCDHEE+Verdana"/>
          <w:color w:val="000000"/>
        </w:rPr>
        <w:t xml:space="preserve">Para las elecciones presidenciales, el Consejo Nacional Electoral mediante Resolución No. 2580 del 5 de marzo de 2025 fijó el calendario electoral para las elecciones de Presidente y Vicepresidente de la República en primera vuelta que se celebrarán el 31 de mayo de 2026, por lo que las restricciones a aplicar son las del artículo 33 de la Ley 996 de 2005 que dispone que dentro de los </w:t>
      </w:r>
      <w:r>
        <w:rPr>
          <w:rFonts w:ascii="Verdana" w:hAnsi="Verdana" w:cs="BCDHEE+Verdana"/>
          <w:color w:val="000000"/>
        </w:rPr>
        <w:t>cuatro (</w:t>
      </w:r>
      <w:r w:rsidRPr="00DE5508">
        <w:rPr>
          <w:rFonts w:ascii="Verdana" w:hAnsi="Verdana" w:cs="BCDHEE+Verdana"/>
          <w:color w:val="000000"/>
        </w:rPr>
        <w:t>4</w:t>
      </w:r>
      <w:r>
        <w:rPr>
          <w:rFonts w:ascii="Verdana" w:hAnsi="Verdana" w:cs="BCDHEE+Verdana"/>
          <w:color w:val="000000"/>
        </w:rPr>
        <w:t>)</w:t>
      </w:r>
      <w:r w:rsidRPr="00DE5508">
        <w:rPr>
          <w:rFonts w:ascii="Verdana" w:hAnsi="Verdana" w:cs="BCDHEE+Verdana"/>
          <w:color w:val="000000"/>
        </w:rPr>
        <w:t xml:space="preserve"> meses anteriores a la elección presidencial, es decir desde el 31 de enero de 2026 y hasta el momento de la celebración de la segunda vuelta, si fuere el caso, queda prohibida la contratación directa por parte de todos los entes del Estado</w:t>
      </w:r>
      <w:r w:rsidRPr="00122AC1">
        <w:rPr>
          <w:rFonts w:ascii="Verdana" w:hAnsi="Verdana" w:cs="BCDHEE+Verdana"/>
          <w:color w:val="000000"/>
        </w:rPr>
        <w:t>.</w:t>
      </w:r>
    </w:p>
    <w:p w14:paraId="59AF7F49" w14:textId="77777777" w:rsidR="00501AFD" w:rsidRPr="00E61635" w:rsidRDefault="00501AFD" w:rsidP="00501AFD">
      <w:pPr>
        <w:widowControl w:val="0"/>
        <w:autoSpaceDE w:val="0"/>
        <w:autoSpaceDN w:val="0"/>
        <w:spacing w:after="0" w:line="276" w:lineRule="auto"/>
        <w:ind w:right="176" w:firstLine="708"/>
        <w:jc w:val="both"/>
        <w:rPr>
          <w:rFonts w:ascii="Verdana" w:hAnsi="Verdana"/>
        </w:rPr>
      </w:pPr>
      <w:r w:rsidRPr="00E61635">
        <w:rPr>
          <w:rFonts w:ascii="Verdana" w:hAnsi="Verdana"/>
        </w:rPr>
        <w:t xml:space="preserve">Dentro de este marco, corresponde a cada </w:t>
      </w:r>
      <w:r w:rsidRPr="005F3B31">
        <w:rPr>
          <w:rFonts w:ascii="Verdana" w:hAnsi="Verdana"/>
        </w:rPr>
        <w:t>entidad pública</w:t>
      </w:r>
      <w:r w:rsidRPr="00E61635">
        <w:rPr>
          <w:rFonts w:ascii="Verdana" w:hAnsi="Verdana"/>
        </w:rPr>
        <w:t>, en ejercicio de su competencia y previa valoración de los elementos fácticos y jurídicos, así como de las disposiciones legales mencionadas,</w:t>
      </w:r>
      <w:r>
        <w:rPr>
          <w:rFonts w:ascii="Verdana" w:hAnsi="Verdana"/>
        </w:rPr>
        <w:t xml:space="preserve"> determinar su gestión contractual durante la aplicación de las restricciones de la Ley de Garantías Electorales. </w:t>
      </w:r>
      <w:r w:rsidRPr="00E61635">
        <w:rPr>
          <w:rFonts w:ascii="Verdana" w:hAnsi="Verdana"/>
        </w:rPr>
        <w:t>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1E50A62F" w14:textId="3CB2EB69" w:rsidR="00837922" w:rsidRDefault="00837922" w:rsidP="00457B5F">
      <w:pPr>
        <w:spacing w:after="120" w:line="276" w:lineRule="auto"/>
        <w:jc w:val="both"/>
        <w:rPr>
          <w:rFonts w:ascii="Verdana" w:eastAsia="Calibri" w:hAnsi="Verdana" w:cs="Arial"/>
        </w:rPr>
      </w:pPr>
    </w:p>
    <w:bookmarkEnd w:id="4"/>
    <w:p w14:paraId="1569DA98" w14:textId="7605A3D6" w:rsidR="00A64017" w:rsidRPr="004F7B86" w:rsidRDefault="00A64017" w:rsidP="00103B90">
      <w:pPr>
        <w:spacing w:after="120" w:line="276" w:lineRule="auto"/>
        <w:ind w:firstLine="708"/>
        <w:jc w:val="both"/>
        <w:rPr>
          <w:rFonts w:ascii="Verdana" w:eastAsia="Calibri" w:hAnsi="Verdana" w:cs="Arial"/>
          <w:lang w:eastAsia="es-ES_tradnl"/>
        </w:rPr>
      </w:pPr>
      <w:r w:rsidRPr="00B00396">
        <w:rPr>
          <w:rFonts w:ascii="Verdana" w:eastAsia="Calibri" w:hAnsi="Verdana" w:cs="Times New Roman"/>
          <w:lang w:val="es-ES"/>
        </w:rPr>
        <w:t xml:space="preserve">Finalmente debe advertirse, que el análisis para </w:t>
      </w:r>
      <w:r w:rsidRPr="00DB4737">
        <w:rPr>
          <w:rFonts w:ascii="Verdana" w:eastAsia="Calibri" w:hAnsi="Verdana" w:cs="Times New Roman"/>
          <w:lang w:val="es-ES"/>
        </w:rPr>
        <w:t xml:space="preserve">resolver problemas específicos en torno </w:t>
      </w:r>
      <w:r>
        <w:rPr>
          <w:rFonts w:ascii="Verdana" w:eastAsia="Calibri" w:hAnsi="Verdana" w:cs="Times New Roman"/>
          <w:lang w:val="es-ES"/>
        </w:rPr>
        <w:t>a los procesos de contratación</w:t>
      </w:r>
      <w:r w:rsidRPr="002B5057">
        <w:rPr>
          <w:rFonts w:ascii="Verdana" w:eastAsia="Calibri" w:hAnsi="Verdana" w:cs="Times New Roman"/>
          <w:lang w:val="es-ES"/>
        </w:rPr>
        <w:t xml:space="preserve"> debe ser realizado por quienes tengan interés en ello.</w:t>
      </w:r>
      <w:r w:rsidRPr="00B00396">
        <w:rPr>
          <w:rFonts w:ascii="Verdana" w:eastAsia="Calibri" w:hAnsi="Verdana" w:cs="Times New Roman"/>
          <w:lang w:val="es-ES"/>
        </w:rPr>
        <w:t xml:space="preserve"> De esta forma, las afirmaciones aquí realizadas</w:t>
      </w:r>
      <w:r w:rsidRPr="00DB4737">
        <w:rPr>
          <w:rFonts w:ascii="Verdana" w:eastAsia="Calibri" w:hAnsi="Verdana" w:cs="Times New Roman"/>
          <w:lang w:val="es-ES"/>
        </w:rPr>
        <w:t xml:space="preserve">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p>
    <w:p w14:paraId="5746398F" w14:textId="77777777" w:rsidR="00A64017" w:rsidRDefault="00A64017" w:rsidP="008E2432">
      <w:pPr>
        <w:spacing w:after="0" w:line="276" w:lineRule="auto"/>
        <w:ind w:firstLine="708"/>
        <w:jc w:val="both"/>
        <w:rPr>
          <w:rFonts w:ascii="Verdana" w:eastAsia="Calibri" w:hAnsi="Verdana" w:cs="Times New Roman"/>
          <w:lang w:val="es-ES"/>
        </w:rPr>
      </w:pPr>
      <w:r w:rsidRPr="00DB4737">
        <w:rPr>
          <w:rFonts w:ascii="Verdana" w:eastAsia="Calibri" w:hAnsi="Verdana" w:cs="Times New Roman"/>
          <w:lang w:val="es-ES"/>
        </w:rPr>
        <w:t xml:space="preserve">En ese sentido, al tratarse de un análisis que debe realizarse en un procedimiento contractual específico, esta Agencia no puede definir un criterio universal y absoluto por vía consultiva, sino que brinda elementos de carácter </w:t>
      </w:r>
      <w:r w:rsidRPr="00DB4737">
        <w:rPr>
          <w:rFonts w:ascii="Verdana" w:eastAsia="Calibri" w:hAnsi="Verdana" w:cs="Times New Roman"/>
          <w:lang w:val="es-ES"/>
        </w:rPr>
        <w:lastRenderedPageBreak/>
        <w:t>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r>
        <w:rPr>
          <w:rFonts w:ascii="Verdana" w:eastAsia="Calibri" w:hAnsi="Verdana" w:cs="Times New Roman"/>
          <w:lang w:val="es-ES"/>
        </w:rPr>
        <w:t>.</w:t>
      </w:r>
    </w:p>
    <w:p w14:paraId="414553D3" w14:textId="77777777" w:rsidR="00A97349" w:rsidRPr="008E2432" w:rsidRDefault="00A97349" w:rsidP="00103B90">
      <w:pPr>
        <w:spacing w:after="0" w:line="276" w:lineRule="auto"/>
        <w:ind w:firstLine="708"/>
        <w:jc w:val="both"/>
        <w:rPr>
          <w:rFonts w:ascii="Verdana" w:eastAsia="Calibri" w:hAnsi="Verdana" w:cs="Times New Roman"/>
          <w:lang w:val="es-ES"/>
        </w:rPr>
      </w:pPr>
    </w:p>
    <w:p w14:paraId="3C1B09FA" w14:textId="77777777" w:rsidR="00A64017" w:rsidRPr="0060676F" w:rsidRDefault="00A64017" w:rsidP="00103B90">
      <w:pPr>
        <w:pStyle w:val="Prrafodelista"/>
        <w:numPr>
          <w:ilvl w:val="0"/>
          <w:numId w:val="16"/>
        </w:numPr>
        <w:spacing w:after="0" w:line="276" w:lineRule="auto"/>
        <w:ind w:left="284"/>
        <w:jc w:val="both"/>
        <w:rPr>
          <w:rFonts w:ascii="Verdana" w:eastAsia="Century Gothic" w:hAnsi="Verdana" w:cs="Century Gothic"/>
          <w:b/>
          <w:bCs/>
        </w:rPr>
      </w:pPr>
      <w:r w:rsidRPr="0060676F">
        <w:rPr>
          <w:rFonts w:ascii="Verdana" w:eastAsia="Century Gothic" w:hAnsi="Verdana" w:cs="Century Gothic"/>
          <w:b/>
          <w:bCs/>
        </w:rPr>
        <w:t>Referencias normativas, jurisprudenciales y otras fuentes:</w:t>
      </w:r>
    </w:p>
    <w:p w14:paraId="745A8C4A" w14:textId="77777777" w:rsidR="00A64017" w:rsidRPr="00593A5F" w:rsidRDefault="00A64017" w:rsidP="00A64017">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A64017" w:rsidRPr="00593A5F" w14:paraId="1DC30723" w14:textId="77777777" w:rsidTr="00A15B1F">
        <w:trPr>
          <w:trHeight w:val="870"/>
        </w:trPr>
        <w:tc>
          <w:tcPr>
            <w:tcW w:w="8647" w:type="dxa"/>
          </w:tcPr>
          <w:p w14:paraId="5B84ED99" w14:textId="77777777" w:rsidR="00501AFD" w:rsidRPr="001D2E34" w:rsidRDefault="00501AFD" w:rsidP="00501AFD">
            <w:pPr>
              <w:widowControl w:val="0"/>
              <w:numPr>
                <w:ilvl w:val="0"/>
                <w:numId w:val="17"/>
              </w:numPr>
              <w:autoSpaceDE w:val="0"/>
              <w:autoSpaceDN w:val="0"/>
              <w:spacing w:after="120" w:line="276" w:lineRule="auto"/>
              <w:jc w:val="both"/>
              <w:rPr>
                <w:rFonts w:ascii="Verdana" w:eastAsia="Arial MT" w:hAnsi="Verdana" w:cs="Arial"/>
                <w:lang w:val="es-ES" w:eastAsia="es-ES" w:bidi="es-ES"/>
              </w:rPr>
            </w:pPr>
            <w:r>
              <w:rPr>
                <w:rFonts w:ascii="Verdana" w:eastAsia="Arial MT" w:hAnsi="Verdana" w:cs="Arial"/>
                <w:lang w:val="es-ES" w:eastAsia="es-ES" w:bidi="es-ES"/>
              </w:rPr>
              <w:t>Ley 489 de 1998: artículo 97.</w:t>
            </w:r>
          </w:p>
          <w:p w14:paraId="159BFD7F" w14:textId="77777777" w:rsidR="00501AFD" w:rsidRPr="00B3605D" w:rsidRDefault="00501AFD" w:rsidP="00501AFD">
            <w:pPr>
              <w:widowControl w:val="0"/>
              <w:numPr>
                <w:ilvl w:val="0"/>
                <w:numId w:val="17"/>
              </w:numPr>
              <w:autoSpaceDE w:val="0"/>
              <w:autoSpaceDN w:val="0"/>
              <w:spacing w:after="120" w:line="276" w:lineRule="auto"/>
              <w:jc w:val="both"/>
              <w:rPr>
                <w:rFonts w:ascii="Verdana" w:eastAsia="Arial MT" w:hAnsi="Verdana" w:cs="Arial"/>
                <w:lang w:val="es-ES" w:eastAsia="es-ES" w:bidi="es-ES"/>
              </w:rPr>
            </w:pPr>
            <w:r w:rsidRPr="00DF1048">
              <w:rPr>
                <w:rFonts w:ascii="Verdana" w:eastAsia="Arial MT" w:hAnsi="Verdana" w:cs="Arial"/>
                <w:bCs/>
                <w:lang w:val="es-ES" w:eastAsia="es-ES" w:bidi="es-ES"/>
              </w:rPr>
              <w:t>Ley 996 de 2005: artículos 33 y 38 parágrafo.</w:t>
            </w:r>
          </w:p>
          <w:p w14:paraId="1C58AEBB" w14:textId="77777777" w:rsidR="00501AFD" w:rsidRPr="00274DBA" w:rsidRDefault="00501AFD" w:rsidP="00501AFD">
            <w:pPr>
              <w:widowControl w:val="0"/>
              <w:numPr>
                <w:ilvl w:val="0"/>
                <w:numId w:val="17"/>
              </w:numPr>
              <w:autoSpaceDE w:val="0"/>
              <w:autoSpaceDN w:val="0"/>
              <w:spacing w:after="120" w:line="276" w:lineRule="auto"/>
              <w:jc w:val="both"/>
              <w:rPr>
                <w:rFonts w:ascii="Verdana" w:eastAsia="Calibri" w:hAnsi="Verdana" w:cs="Arial"/>
                <w:lang w:val="es-ES"/>
              </w:rPr>
            </w:pPr>
            <w:r w:rsidRPr="00274DBA">
              <w:rPr>
                <w:rFonts w:ascii="Verdana" w:eastAsia="Calibri" w:hAnsi="Verdana" w:cs="Arial"/>
                <w:lang w:val="pt-BR"/>
              </w:rPr>
              <w:t xml:space="preserve">Corte Constitucional. Sentencia C -1153 de 2005. </w:t>
            </w:r>
            <w:r w:rsidRPr="00274DBA">
              <w:rPr>
                <w:rFonts w:ascii="Verdana" w:eastAsia="Calibri" w:hAnsi="Verdana" w:cs="Arial"/>
                <w:lang w:val="es-ES"/>
              </w:rPr>
              <w:t xml:space="preserve">M.P. Marco Gerardo Monroy Cabra. </w:t>
            </w:r>
          </w:p>
          <w:p w14:paraId="1133FB40" w14:textId="77777777" w:rsidR="00501AFD" w:rsidRDefault="00501AFD" w:rsidP="00501AFD">
            <w:pPr>
              <w:widowControl w:val="0"/>
              <w:numPr>
                <w:ilvl w:val="0"/>
                <w:numId w:val="17"/>
              </w:numPr>
              <w:autoSpaceDE w:val="0"/>
              <w:autoSpaceDN w:val="0"/>
              <w:spacing w:after="120" w:line="276" w:lineRule="auto"/>
              <w:jc w:val="both"/>
              <w:rPr>
                <w:rFonts w:ascii="Verdana" w:eastAsia="Arial MT" w:hAnsi="Verdana" w:cs="Arial"/>
                <w:lang w:val="es-ES" w:eastAsia="es-ES" w:bidi="es-ES"/>
              </w:rPr>
            </w:pPr>
            <w:r w:rsidRPr="00B3605D">
              <w:rPr>
                <w:rFonts w:ascii="Verdana" w:eastAsia="Arial MT" w:hAnsi="Verdana" w:cs="Arial"/>
                <w:lang w:val="es-ES" w:eastAsia="es-ES" w:bidi="es-ES"/>
              </w:rPr>
              <w:t xml:space="preserve">Consejo de Estado, Sala de Consulta y Servicio Civil de fecha 24 de julio de 2013, Rad. 2166, C. P. Álvaro Namén Vargas.  </w:t>
            </w:r>
          </w:p>
          <w:p w14:paraId="661DFEE4" w14:textId="123A8C63" w:rsidR="00457B5F" w:rsidRPr="000B3E8C" w:rsidRDefault="00501AFD" w:rsidP="00501AFD">
            <w:pPr>
              <w:pStyle w:val="Prrafodelista"/>
              <w:widowControl w:val="0"/>
              <w:numPr>
                <w:ilvl w:val="0"/>
                <w:numId w:val="17"/>
              </w:numPr>
              <w:autoSpaceDE w:val="0"/>
              <w:autoSpaceDN w:val="0"/>
              <w:spacing w:line="276" w:lineRule="auto"/>
              <w:contextualSpacing w:val="0"/>
              <w:jc w:val="both"/>
              <w:rPr>
                <w:rFonts w:ascii="Verdana" w:eastAsia="Calibri" w:hAnsi="Verdana" w:cs="Arial"/>
                <w:color w:val="000000" w:themeColor="text1"/>
              </w:rPr>
            </w:pPr>
            <w:r w:rsidRPr="0060146E">
              <w:rPr>
                <w:rFonts w:ascii="Verdana" w:hAnsi="Verdana"/>
              </w:rPr>
              <w:t xml:space="preserve">Consejo de Estado. Sala de Consulta y Servicio Civil. Concepto del 12 de junio de 2018. </w:t>
            </w:r>
            <w:proofErr w:type="spellStart"/>
            <w:r w:rsidRPr="0060146E">
              <w:rPr>
                <w:rFonts w:ascii="Verdana" w:hAnsi="Verdana"/>
              </w:rPr>
              <w:t>Exp</w:t>
            </w:r>
            <w:proofErr w:type="spellEnd"/>
            <w:r w:rsidRPr="0060146E">
              <w:rPr>
                <w:rFonts w:ascii="Verdana" w:hAnsi="Verdana"/>
              </w:rPr>
              <w:t>. 2371. C.P. Oscar Darío Amaya Navas</w:t>
            </w:r>
            <w:r>
              <w:rPr>
                <w:rFonts w:ascii="Verdana" w:eastAsia="Calibri" w:hAnsi="Verdana" w:cs="Arial"/>
              </w:rPr>
              <w:t>.</w:t>
            </w:r>
          </w:p>
          <w:p w14:paraId="60CC6EC9" w14:textId="3BFFB46A" w:rsidR="00A64017" w:rsidRPr="00332677" w:rsidRDefault="00A64017" w:rsidP="00EA228B">
            <w:pPr>
              <w:pStyle w:val="Prrafodelista"/>
              <w:widowControl w:val="0"/>
              <w:autoSpaceDE w:val="0"/>
              <w:autoSpaceDN w:val="0"/>
              <w:jc w:val="both"/>
              <w:rPr>
                <w:rFonts w:ascii="Verdana" w:hAnsi="Verdana" w:cs="Arial"/>
              </w:rPr>
            </w:pPr>
          </w:p>
        </w:tc>
      </w:tr>
    </w:tbl>
    <w:p w14:paraId="5DF595B1" w14:textId="77777777" w:rsidR="00A64017" w:rsidRDefault="00A64017" w:rsidP="00A64017">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317C882F" w14:textId="77777777" w:rsidR="00A64017" w:rsidRDefault="00A64017" w:rsidP="00A64017">
      <w:pPr>
        <w:pStyle w:val="Prrafodelista"/>
        <w:numPr>
          <w:ilvl w:val="0"/>
          <w:numId w:val="16"/>
        </w:numPr>
        <w:tabs>
          <w:tab w:val="left" w:pos="142"/>
          <w:tab w:val="left" w:pos="284"/>
        </w:tabs>
        <w:spacing w:after="0" w:line="276" w:lineRule="auto"/>
        <w:ind w:left="284"/>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11814799" w14:textId="77777777" w:rsidR="00A64017" w:rsidRPr="00593A5F" w:rsidRDefault="00A64017" w:rsidP="00A64017">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27A467DD" w14:textId="0577D44E" w:rsidR="00A64017" w:rsidRPr="002A22D8" w:rsidRDefault="00501AFD" w:rsidP="00A64017">
      <w:pPr>
        <w:widowControl w:val="0"/>
        <w:autoSpaceDE w:val="0"/>
        <w:autoSpaceDN w:val="0"/>
        <w:spacing w:after="0" w:line="276" w:lineRule="auto"/>
        <w:jc w:val="both"/>
        <w:rPr>
          <w:rFonts w:ascii="Verdana" w:hAnsi="Verdana" w:cs="Arial"/>
          <w:bCs/>
          <w:shd w:val="clear" w:color="auto" w:fill="FFFFFF"/>
        </w:rPr>
      </w:pPr>
      <w:r>
        <w:rPr>
          <w:rStyle w:val="normaltextrun"/>
          <w:rFonts w:ascii="Verdana" w:hAnsi="Verdana" w:cs="Arial"/>
          <w:shd w:val="clear" w:color="auto" w:fill="FFFFFF"/>
          <w:lang w:val="es-ES"/>
        </w:rPr>
        <w:t>Sobre la aplicación de la Ley de Garantías Electorales</w:t>
      </w:r>
      <w:r w:rsidRPr="00AD7D4E">
        <w:rPr>
          <w:rStyle w:val="normaltextrun"/>
          <w:rFonts w:ascii="Verdana" w:hAnsi="Verdana" w:cs="Arial"/>
          <w:shd w:val="clear" w:color="auto" w:fill="FFFFFF"/>
          <w:lang w:val="es-ES"/>
        </w:rPr>
        <w:t>, esta Subdirección se ha pronunciado en los conceptos</w:t>
      </w:r>
      <w:r>
        <w:rPr>
          <w:rStyle w:val="normaltextrun"/>
          <w:rFonts w:ascii="Verdana" w:hAnsi="Verdana" w:cs="Arial"/>
          <w:shd w:val="clear" w:color="auto" w:fill="FFFFFF"/>
          <w:lang w:val="es-ES"/>
        </w:rPr>
        <w:t xml:space="preserve"> </w:t>
      </w:r>
      <w:r w:rsidRPr="00CF7C16">
        <w:rPr>
          <w:rFonts w:ascii="Verdana" w:hAnsi="Verdana" w:cs="Arial"/>
          <w:shd w:val="clear" w:color="auto" w:fill="FFFFFF"/>
          <w:lang w:val="es-ES"/>
        </w:rPr>
        <w:t xml:space="preserve">C-636 del 16 de noviembre de 2021, 681 del 7 de diciembre de 2021, C-686 del 21 de diciembre de 2021, </w:t>
      </w:r>
      <w:r>
        <w:rPr>
          <w:rFonts w:ascii="Verdana" w:hAnsi="Verdana" w:cs="Arial"/>
          <w:shd w:val="clear" w:color="auto" w:fill="FFFFFF"/>
          <w:lang w:val="es-ES"/>
        </w:rPr>
        <w:t xml:space="preserve">C-1179 del 8 de abril de 2022, </w:t>
      </w:r>
      <w:r w:rsidRPr="00CF7C16">
        <w:rPr>
          <w:rFonts w:ascii="Verdana" w:hAnsi="Verdana" w:cs="Arial"/>
          <w:shd w:val="clear" w:color="auto" w:fill="FFFFFF"/>
          <w:lang w:val="es-ES"/>
        </w:rPr>
        <w:t xml:space="preserve">C-697 del 3 de enero de 2022, </w:t>
      </w:r>
      <w:r>
        <w:rPr>
          <w:rStyle w:val="normaltextrun"/>
          <w:rFonts w:ascii="Verdana" w:hAnsi="Verdana" w:cs="Arial"/>
          <w:shd w:val="clear" w:color="auto" w:fill="FFFFFF"/>
          <w:lang w:val="es-ES"/>
        </w:rPr>
        <w:t xml:space="preserve">C-329 del 24 de mayo de 2022, </w:t>
      </w:r>
      <w:r w:rsidRPr="00CF7C16">
        <w:rPr>
          <w:rFonts w:ascii="Verdana" w:hAnsi="Verdana" w:cs="Arial"/>
          <w:shd w:val="clear" w:color="auto" w:fill="FFFFFF"/>
          <w:lang w:val="es-ES"/>
        </w:rPr>
        <w:t>C-180 del 21 de marzo de 2025, C-317 del 25 de abril de 2025, C-510 del 4 de junio de 2025,</w:t>
      </w:r>
      <w:r>
        <w:rPr>
          <w:rFonts w:ascii="Verdana" w:hAnsi="Verdana" w:cs="Arial"/>
          <w:shd w:val="clear" w:color="auto" w:fill="FFFFFF"/>
          <w:lang w:val="es-ES"/>
        </w:rPr>
        <w:t xml:space="preserve"> C-856 del 11 de agosto de 2025</w:t>
      </w:r>
      <w:r>
        <w:rPr>
          <w:rFonts w:ascii="Verdana" w:eastAsia="Calibri" w:hAnsi="Verdana" w:cs="Arial"/>
          <w:lang w:val="es-ES_tradnl" w:eastAsia="es-ES_tradnl"/>
        </w:rPr>
        <w:t xml:space="preserve"> y C-1560 del 04 de diciembre de 2025,</w:t>
      </w:r>
      <w:r w:rsidR="00024134" w:rsidRPr="00B60BC4">
        <w:rPr>
          <w:rFonts w:ascii="Verdana" w:eastAsia="Calibri" w:hAnsi="Verdana" w:cs="Arial"/>
          <w:lang w:val="es-ES_tradnl" w:eastAsia="es-ES_tradnl"/>
        </w:rPr>
        <w:t xml:space="preserve"> entre otros</w:t>
      </w:r>
      <w:r w:rsidR="0052066E" w:rsidRPr="00024134">
        <w:rPr>
          <w:rStyle w:val="normaltextrun"/>
          <w:rFonts w:ascii="Verdana" w:hAnsi="Verdana" w:cs="Arial"/>
          <w:shd w:val="clear" w:color="auto" w:fill="FFFFFF"/>
          <w:lang w:val="es-ES"/>
        </w:rPr>
        <w:t xml:space="preserve">. </w:t>
      </w:r>
      <w:r w:rsidR="00A64017" w:rsidRPr="00024134">
        <w:rPr>
          <w:rFonts w:ascii="Verdana" w:eastAsia="Calibri" w:hAnsi="Verdana" w:cs="Times New Roman"/>
        </w:rPr>
        <w:t>Estos se encuentran</w:t>
      </w:r>
      <w:r w:rsidR="00A64017" w:rsidRPr="00185EE9">
        <w:rPr>
          <w:rFonts w:ascii="Verdana" w:eastAsia="Calibri" w:hAnsi="Verdana" w:cs="Times New Roman"/>
        </w:rPr>
        <w:t xml:space="preserve">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6931545C" w14:textId="77777777" w:rsidR="00A64017" w:rsidRPr="0065720B" w:rsidRDefault="00A64017" w:rsidP="00A64017">
      <w:pPr>
        <w:widowControl w:val="0"/>
        <w:autoSpaceDE w:val="0"/>
        <w:autoSpaceDN w:val="0"/>
        <w:spacing w:after="0" w:line="276" w:lineRule="auto"/>
        <w:jc w:val="both"/>
        <w:rPr>
          <w:rStyle w:val="normaltextrun"/>
          <w:rFonts w:ascii="Verdana" w:eastAsia="Calibri" w:hAnsi="Verdana" w:cs="Arial"/>
          <w:lang w:val="es-ES_tradnl" w:eastAsia="en-GB"/>
        </w:rPr>
      </w:pPr>
      <w:hyperlink r:id="rId13" w:history="1">
        <w:r w:rsidRPr="00191357">
          <w:rPr>
            <w:rStyle w:val="Hipervnculo"/>
            <w:rFonts w:ascii="Verdana" w:eastAsia="Calibri" w:hAnsi="Verdana" w:cs="Times New Roman"/>
            <w:lang w:val="es-ES"/>
          </w:rPr>
          <w:t>https://relatoria.colombiacompra.gov.co/busqueda/conceptos</w:t>
        </w:r>
      </w:hyperlink>
      <w:r w:rsidRPr="00185EE9">
        <w:rPr>
          <w:rFonts w:ascii="Verdana" w:eastAsia="Calibri" w:hAnsi="Verdana" w:cs="Times New Roman"/>
        </w:rPr>
        <w:t>.</w:t>
      </w:r>
    </w:p>
    <w:p w14:paraId="247E4DC7" w14:textId="77777777" w:rsidR="00A64017" w:rsidRPr="00505CD6" w:rsidRDefault="00A64017" w:rsidP="00A64017">
      <w:pPr>
        <w:widowControl w:val="0"/>
        <w:autoSpaceDE w:val="0"/>
        <w:autoSpaceDN w:val="0"/>
        <w:spacing w:after="0" w:line="276" w:lineRule="auto"/>
        <w:jc w:val="both"/>
        <w:rPr>
          <w:rFonts w:ascii="Verdana" w:hAnsi="Verdana" w:cs="Arial"/>
          <w:color w:val="000000" w:themeColor="text1"/>
          <w:shd w:val="clear" w:color="auto" w:fill="FFFFFF"/>
        </w:rPr>
      </w:pPr>
    </w:p>
    <w:p w14:paraId="1C7A848A" w14:textId="77777777" w:rsidR="00A64017" w:rsidRPr="00103B90" w:rsidRDefault="00A64017" w:rsidP="00A64017">
      <w:pPr>
        <w:widowControl w:val="0"/>
        <w:autoSpaceDE w:val="0"/>
        <w:autoSpaceDN w:val="0"/>
        <w:spacing w:after="0" w:line="276" w:lineRule="auto"/>
        <w:jc w:val="both"/>
        <w:rPr>
          <w:rFonts w:ascii="Verdana" w:hAnsi="Verdana"/>
        </w:rPr>
      </w:pPr>
      <w:r w:rsidRPr="00505CD6">
        <w:rPr>
          <w:rFonts w:ascii="Verdana" w:hAnsi="Verdana" w:cs="Arial"/>
          <w:color w:val="000000" w:themeColor="text1"/>
          <w:shd w:val="clear" w:color="auto" w:fill="FFFFFF"/>
        </w:rPr>
        <w:t>También, te contamos que ya publicamos </w:t>
      </w:r>
      <w:r w:rsidRPr="00A4324A">
        <w:rPr>
          <w:rFonts w:ascii="Verdana" w:hAnsi="Verdana" w:cs="Arial"/>
          <w:color w:val="000000" w:themeColor="text1"/>
          <w:shd w:val="clear" w:color="auto" w:fill="FFFFFF"/>
        </w:rPr>
        <w:t xml:space="preserve">la nueva </w:t>
      </w:r>
      <w:r w:rsidRPr="00505CD6">
        <w:rPr>
          <w:rFonts w:ascii="Verdana" w:hAnsi="Verdana" w:cs="Arial"/>
          <w:b/>
          <w:bCs/>
          <w:color w:val="000000" w:themeColor="text1"/>
          <w:shd w:val="clear" w:color="auto" w:fill="FFFFFF"/>
        </w:rPr>
        <w:t>Guía de Contratación Pública Sostenible y Socialmente Responsable</w:t>
      </w:r>
      <w:r w:rsidRPr="00505CD6">
        <w:rPr>
          <w:rFonts w:ascii="Verdana" w:hAnsi="Verdana" w:cs="Arial"/>
          <w:color w:val="000000" w:themeColor="text1"/>
          <w:shd w:val="clear" w:color="auto" w:fill="FFFFFF"/>
        </w:rPr>
        <w:t xml:space="preserve">. Esta guía es un instrumento clave para integrar buenas prácticas en la contratación estatal, promoviendo los Objetivos de Desarrollo Sostenible (ODS) a través de criterios y obligaciones </w:t>
      </w:r>
      <w:r w:rsidRPr="00505CD6">
        <w:rPr>
          <w:rFonts w:ascii="Verdana" w:hAnsi="Verdana" w:cs="Arial"/>
          <w:color w:val="000000" w:themeColor="text1"/>
          <w:shd w:val="clear" w:color="auto" w:fill="FFFFFF"/>
        </w:rPr>
        <w:lastRenderedPageBreak/>
        <w:t>ambientales y sociales en todas las etapas del proceso. Puede consultar la guía en el siguiente enlace: </w:t>
      </w:r>
      <w:hyperlink r:id="rId14" w:tgtFrame="_blank" w:tooltip="Dirección URL original: https://www.colombiacompra.gov.co/manuales-guias-y-pliegos-tipo/manuales-y-guias/guia-de-contratacion-publica-sostenible-y-socialmente. Haga clic o pulse si confía en este vínculo." w:history="1">
        <w:r w:rsidRPr="00505CD6">
          <w:rPr>
            <w:rFonts w:ascii="Verdana" w:hAnsi="Verdana" w:cs="Arial"/>
            <w:color w:val="0563C1" w:themeColor="hyperlink"/>
            <w:u w:val="single"/>
            <w:shd w:val="clear" w:color="auto" w:fill="FFFFFF"/>
          </w:rPr>
          <w:t>Guía de Contratación Pública Sostenible y Socialmente Responsable | Colombia Compra Eficiente | Agencia Nacional de Contratación Pública</w:t>
        </w:r>
      </w:hyperlink>
      <w:r w:rsidRPr="00103B90">
        <w:rPr>
          <w:rFonts w:ascii="Verdana" w:hAnsi="Verdana"/>
        </w:rPr>
        <w:t>.</w:t>
      </w:r>
    </w:p>
    <w:p w14:paraId="233B7348" w14:textId="77777777" w:rsidR="00A64017" w:rsidRPr="00103B90" w:rsidRDefault="00A64017" w:rsidP="00A64017">
      <w:pPr>
        <w:widowControl w:val="0"/>
        <w:autoSpaceDE w:val="0"/>
        <w:autoSpaceDN w:val="0"/>
        <w:spacing w:after="0" w:line="276" w:lineRule="auto"/>
        <w:jc w:val="both"/>
        <w:rPr>
          <w:rFonts w:ascii="Verdana" w:hAnsi="Verdana"/>
        </w:rPr>
      </w:pPr>
    </w:p>
    <w:p w14:paraId="3AC26022" w14:textId="77777777" w:rsidR="00A64017" w:rsidRPr="00505CD6" w:rsidRDefault="00A64017" w:rsidP="00A64017">
      <w:pPr>
        <w:widowControl w:val="0"/>
        <w:autoSpaceDE w:val="0"/>
        <w:autoSpaceDN w:val="0"/>
        <w:spacing w:after="0" w:line="276" w:lineRule="auto"/>
        <w:jc w:val="both"/>
        <w:rPr>
          <w:rFonts w:ascii="Verdana" w:hAnsi="Verdana" w:cs="Arial"/>
          <w:lang w:val="es-ES_tradnl"/>
        </w:rPr>
      </w:pPr>
      <w:r w:rsidRPr="00505CD6">
        <w:rPr>
          <w:rFonts w:ascii="Verdana" w:hAnsi="Verdana" w:cs="Arial"/>
        </w:rPr>
        <w:t xml:space="preserve">Este concepto tiene el alcance previsto en el artículo 28 del Código de Procedimiento Administrativo y de lo Contencioso Administrativo </w:t>
      </w:r>
      <w:r w:rsidRPr="00505CD6">
        <w:rPr>
          <w:rFonts w:ascii="Verdana" w:hAnsi="Verdana" w:cs="Arial"/>
          <w:lang w:val="es-ES_tradnl"/>
        </w:rPr>
        <w:t>y las expresiones aquí utilizadas con mayúscula inicial deben ser entendidas con el significado que les otorga el artículo 2.2.1.1.1.3.1. del Decreto 1082 de 2015.</w:t>
      </w:r>
    </w:p>
    <w:p w14:paraId="4DEEBD0F" w14:textId="77777777" w:rsidR="00A64017" w:rsidRPr="00505CD6" w:rsidRDefault="00A64017" w:rsidP="00A64017">
      <w:pPr>
        <w:widowControl w:val="0"/>
        <w:autoSpaceDE w:val="0"/>
        <w:autoSpaceDN w:val="0"/>
        <w:spacing w:after="0" w:line="276" w:lineRule="auto"/>
        <w:jc w:val="both"/>
        <w:rPr>
          <w:rFonts w:ascii="Verdana" w:hAnsi="Verdana" w:cs="Arial"/>
        </w:rPr>
      </w:pPr>
    </w:p>
    <w:p w14:paraId="58604560" w14:textId="06BDD46E" w:rsidR="00A64017" w:rsidRDefault="00A64017" w:rsidP="00A51CB5">
      <w:pPr>
        <w:spacing w:after="0" w:line="276" w:lineRule="auto"/>
        <w:jc w:val="both"/>
        <w:rPr>
          <w:noProof/>
        </w:rPr>
      </w:pPr>
      <w:r w:rsidRPr="00505CD6">
        <w:rPr>
          <w:rFonts w:ascii="Verdana" w:eastAsia="Times New Roman" w:hAnsi="Verdana" w:cs="Arial"/>
          <w:lang w:eastAsia="es-CO"/>
        </w:rPr>
        <w:t>Atentamente,</w:t>
      </w:r>
      <w:r w:rsidRPr="00505CD6">
        <w:rPr>
          <w:rFonts w:ascii="Verdana" w:hAnsi="Verdana" w:cs="Arial"/>
          <w:lang w:eastAsia="es-CO"/>
        </w:rPr>
        <w:t xml:space="preserve"> </w:t>
      </w:r>
    </w:p>
    <w:p w14:paraId="03E0E264" w14:textId="661F3216" w:rsidR="00457B5F" w:rsidRDefault="00457B5F" w:rsidP="00A64017">
      <w:pPr>
        <w:spacing w:line="276" w:lineRule="auto"/>
        <w:jc w:val="center"/>
        <w:rPr>
          <w:noProof/>
        </w:rPr>
      </w:pPr>
    </w:p>
    <w:p w14:paraId="7869AA0E" w14:textId="6BE7A552" w:rsidR="00921A6F" w:rsidRDefault="00F23114" w:rsidP="009B7352">
      <w:pPr>
        <w:spacing w:line="276" w:lineRule="auto"/>
        <w:jc w:val="center"/>
        <w:rPr>
          <w:noProof/>
        </w:rPr>
      </w:pPr>
      <w:r w:rsidRPr="002C3AD6">
        <w:rPr>
          <w:rFonts w:ascii="Century Gothic" w:hAnsi="Century Gothic"/>
          <w:noProof/>
        </w:rPr>
        <w:drawing>
          <wp:inline distT="0" distB="0" distL="0" distR="0" wp14:anchorId="04415C7B" wp14:editId="5A858F35">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5"/>
                    <a:stretch>
                      <a:fillRect/>
                    </a:stretch>
                  </pic:blipFill>
                  <pic:spPr>
                    <a:xfrm>
                      <a:off x="0" y="0"/>
                      <a:ext cx="3772426" cy="1400370"/>
                    </a:xfrm>
                    <a:prstGeom prst="rect">
                      <a:avLst/>
                    </a:prstGeom>
                  </pic:spPr>
                </pic:pic>
              </a:graphicData>
            </a:graphic>
          </wp:inline>
        </w:drawing>
      </w:r>
    </w:p>
    <w:p w14:paraId="0E47344A" w14:textId="77777777" w:rsidR="00921A6F" w:rsidRDefault="00921A6F" w:rsidP="00A64017">
      <w:pPr>
        <w:spacing w:line="276" w:lineRule="auto"/>
        <w:jc w:val="center"/>
        <w:rPr>
          <w:noProof/>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A64017" w:rsidRPr="00593A5F" w14:paraId="2074F15F" w14:textId="77777777" w:rsidTr="00A15B1F">
        <w:trPr>
          <w:trHeight w:val="315"/>
        </w:trPr>
        <w:tc>
          <w:tcPr>
            <w:tcW w:w="893" w:type="dxa"/>
            <w:vAlign w:val="center"/>
            <w:hideMark/>
          </w:tcPr>
          <w:p w14:paraId="7378D4C0" w14:textId="77777777" w:rsidR="00A64017" w:rsidRPr="003751C7" w:rsidRDefault="00A64017" w:rsidP="00A15B1F">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7D86B379" w14:textId="58930AF1" w:rsidR="00A64017" w:rsidRPr="007911EE" w:rsidRDefault="009B7352" w:rsidP="00A15B1F">
            <w:pPr>
              <w:contextualSpacing/>
              <w:rPr>
                <w:rFonts w:ascii="Verdana" w:hAnsi="Verdana"/>
                <w:sz w:val="16"/>
                <w:szCs w:val="16"/>
              </w:rPr>
            </w:pPr>
            <w:r>
              <w:rPr>
                <w:rFonts w:ascii="Verdana" w:hAnsi="Verdana"/>
                <w:sz w:val="16"/>
                <w:szCs w:val="16"/>
              </w:rPr>
              <w:t>Richard Andrés Montenegro Siefken</w:t>
            </w:r>
          </w:p>
          <w:p w14:paraId="33A01C93" w14:textId="77777777" w:rsidR="00A64017" w:rsidRPr="007911EE" w:rsidRDefault="00A64017" w:rsidP="00A15B1F">
            <w:pPr>
              <w:contextualSpacing/>
              <w:rPr>
                <w:rFonts w:ascii="Verdana" w:eastAsia="Arial" w:hAnsi="Verdana" w:cs="Arial"/>
                <w:sz w:val="16"/>
                <w:szCs w:val="16"/>
              </w:rPr>
            </w:pPr>
            <w:r w:rsidRPr="007911EE">
              <w:rPr>
                <w:rFonts w:ascii="Verdana" w:hAnsi="Verdana"/>
                <w:sz w:val="16"/>
                <w:szCs w:val="16"/>
              </w:rPr>
              <w:t>Contratista de la Subdirección de Gestión Contractual</w:t>
            </w:r>
          </w:p>
        </w:tc>
      </w:tr>
      <w:tr w:rsidR="00A64017" w:rsidRPr="00593A5F" w14:paraId="2D3F1B0D" w14:textId="77777777" w:rsidTr="00A15B1F">
        <w:trPr>
          <w:trHeight w:val="330"/>
        </w:trPr>
        <w:tc>
          <w:tcPr>
            <w:tcW w:w="893" w:type="dxa"/>
            <w:vAlign w:val="center"/>
            <w:hideMark/>
          </w:tcPr>
          <w:p w14:paraId="415C854E" w14:textId="77777777" w:rsidR="00A64017" w:rsidRPr="003751C7" w:rsidRDefault="00A64017" w:rsidP="00A15B1F">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36BE894C" w14:textId="13527308" w:rsidR="001773DA" w:rsidRDefault="009B7352" w:rsidP="00A15B1F">
            <w:pPr>
              <w:spacing w:line="276" w:lineRule="auto"/>
              <w:contextualSpacing/>
              <w:jc w:val="both"/>
              <w:rPr>
                <w:rFonts w:ascii="Verdana" w:hAnsi="Verdana"/>
                <w:sz w:val="16"/>
                <w:szCs w:val="16"/>
              </w:rPr>
            </w:pPr>
            <w:r>
              <w:rPr>
                <w:rFonts w:ascii="Verdana" w:hAnsi="Verdana"/>
                <w:sz w:val="16"/>
                <w:szCs w:val="16"/>
              </w:rPr>
              <w:t>Juan David Cardenas Cabezas</w:t>
            </w:r>
          </w:p>
          <w:p w14:paraId="72046261" w14:textId="1CB3BF4C" w:rsidR="00A64017" w:rsidRPr="007911EE" w:rsidRDefault="00A64017" w:rsidP="00A15B1F">
            <w:pPr>
              <w:spacing w:line="276" w:lineRule="auto"/>
              <w:contextualSpacing/>
              <w:jc w:val="both"/>
              <w:rPr>
                <w:rFonts w:ascii="Verdana" w:hAnsi="Verdana" w:cstheme="minorHAnsi"/>
                <w:sz w:val="16"/>
                <w:szCs w:val="16"/>
              </w:rPr>
            </w:pPr>
            <w:r>
              <w:rPr>
                <w:rStyle w:val="normaltextrun"/>
                <w:rFonts w:ascii="Verdana" w:eastAsia="Arial" w:hAnsi="Verdana"/>
                <w:sz w:val="16"/>
                <w:szCs w:val="16"/>
              </w:rPr>
              <w:t xml:space="preserve">Contratista </w:t>
            </w:r>
            <w:r w:rsidRPr="00CD7324">
              <w:rPr>
                <w:rStyle w:val="normaltextrun"/>
                <w:rFonts w:ascii="Verdana" w:eastAsia="Arial" w:hAnsi="Verdana"/>
                <w:sz w:val="16"/>
                <w:szCs w:val="16"/>
              </w:rPr>
              <w:t>de la</w:t>
            </w:r>
            <w:r w:rsidRPr="007911EE">
              <w:rPr>
                <w:rStyle w:val="normaltextrun"/>
                <w:rFonts w:ascii="Verdana" w:eastAsia="Arial" w:hAnsi="Verdana" w:cs="Arial"/>
                <w:sz w:val="16"/>
                <w:szCs w:val="16"/>
              </w:rPr>
              <w:t xml:space="preserve"> Subdirección de Gestión Contractual</w:t>
            </w:r>
          </w:p>
        </w:tc>
      </w:tr>
      <w:tr w:rsidR="00A64017" w:rsidRPr="00593A5F" w14:paraId="53B0CBD3" w14:textId="77777777" w:rsidTr="00A15B1F">
        <w:trPr>
          <w:trHeight w:val="330"/>
        </w:trPr>
        <w:tc>
          <w:tcPr>
            <w:tcW w:w="893" w:type="dxa"/>
            <w:vAlign w:val="center"/>
          </w:tcPr>
          <w:p w14:paraId="68FD8648" w14:textId="77777777" w:rsidR="00A64017" w:rsidRPr="003751C7" w:rsidRDefault="00A64017" w:rsidP="00A15B1F">
            <w:pPr>
              <w:contextualSpacing/>
              <w:rPr>
                <w:rFonts w:ascii="Verdana" w:hAnsi="Verdana" w:cs="Arial"/>
                <w:sz w:val="16"/>
                <w:szCs w:val="16"/>
                <w:lang w:val="es-ES" w:eastAsia="es-ES"/>
              </w:rPr>
            </w:pPr>
            <w:r w:rsidRPr="00EB1CF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611559B6" w14:textId="77777777" w:rsidR="00A64017" w:rsidRDefault="00A64017" w:rsidP="00A15B1F">
            <w:pPr>
              <w:spacing w:line="276" w:lineRule="auto"/>
              <w:contextualSpacing/>
              <w:jc w:val="both"/>
              <w:rPr>
                <w:rFonts w:ascii="Verdana" w:hAnsi="Verdana"/>
                <w:sz w:val="16"/>
                <w:szCs w:val="16"/>
              </w:rPr>
            </w:pPr>
            <w:r>
              <w:rPr>
                <w:rFonts w:ascii="Verdana" w:hAnsi="Verdana"/>
                <w:sz w:val="16"/>
                <w:szCs w:val="16"/>
              </w:rPr>
              <w:t xml:space="preserve">Carolina Quintero Gacharna </w:t>
            </w:r>
          </w:p>
          <w:p w14:paraId="0B1F87FE" w14:textId="7E0E60C3" w:rsidR="00A64017" w:rsidRDefault="00A64017" w:rsidP="00A15B1F">
            <w:pPr>
              <w:spacing w:line="276" w:lineRule="auto"/>
              <w:contextualSpacing/>
              <w:jc w:val="both"/>
              <w:rPr>
                <w:rFonts w:ascii="Verdana" w:hAnsi="Verdana"/>
                <w:sz w:val="16"/>
                <w:szCs w:val="16"/>
              </w:rPr>
            </w:pPr>
            <w:r w:rsidRPr="00EB1CF7">
              <w:rPr>
                <w:rFonts w:ascii="Verdana" w:eastAsia="Calibri" w:hAnsi="Verdana" w:cs="Arial"/>
                <w:sz w:val="16"/>
                <w:szCs w:val="16"/>
                <w:lang w:eastAsia="es-ES"/>
              </w:rPr>
              <w:t>Subdirectora</w:t>
            </w:r>
            <w:r w:rsidRPr="00EB1CF7">
              <w:rPr>
                <w:rFonts w:ascii="Verdana" w:eastAsia="Calibri" w:hAnsi="Verdana" w:cs="Arial"/>
                <w:sz w:val="16"/>
                <w:szCs w:val="16"/>
                <w:lang w:val="pt-BR" w:eastAsia="es-ES"/>
              </w:rPr>
              <w:t xml:space="preserve"> de Gestión Contratual </w:t>
            </w:r>
            <w:r w:rsidR="008E2432">
              <w:rPr>
                <w:rFonts w:ascii="Verdana" w:eastAsia="Calibri" w:hAnsi="Verdana" w:cs="Arial"/>
                <w:sz w:val="16"/>
                <w:szCs w:val="16"/>
                <w:lang w:val="pt-BR" w:eastAsia="es-ES"/>
              </w:rPr>
              <w:t xml:space="preserve">- </w:t>
            </w:r>
            <w:r w:rsidRPr="00EB1CF7">
              <w:rPr>
                <w:rFonts w:ascii="Verdana" w:eastAsia="Calibri" w:hAnsi="Verdana" w:cs="Arial"/>
                <w:sz w:val="16"/>
                <w:szCs w:val="16"/>
                <w:lang w:val="pt-BR" w:eastAsia="es-ES"/>
              </w:rPr>
              <w:t>ANCP – CCE</w:t>
            </w:r>
          </w:p>
        </w:tc>
      </w:tr>
      <w:bookmarkEnd w:id="1"/>
    </w:tbl>
    <w:p w14:paraId="4C6F1CF3" w14:textId="644B0C8E" w:rsidR="00F30C63" w:rsidRPr="00F30C63" w:rsidRDefault="00F30C63" w:rsidP="00A51CB5"/>
    <w:sectPr w:rsidR="00F30C63" w:rsidRPr="00F30C63" w:rsidSect="007C0C0F">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ED9F94" w14:textId="77777777" w:rsidR="00EE5E6E" w:rsidRDefault="00EE5E6E" w:rsidP="004A1847">
      <w:pPr>
        <w:spacing w:after="0" w:line="240" w:lineRule="auto"/>
      </w:pPr>
      <w:r>
        <w:separator/>
      </w:r>
    </w:p>
  </w:endnote>
  <w:endnote w:type="continuationSeparator" w:id="0">
    <w:p w14:paraId="4830CF4A" w14:textId="77777777" w:rsidR="00EE5E6E" w:rsidRDefault="00EE5E6E"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Open Sans">
    <w:charset w:val="00"/>
    <w:family w:val="swiss"/>
    <w:pitch w:val="variable"/>
    <w:sig w:usb0="E00002EF" w:usb1="4000205B" w:usb2="00000028"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BCDHEE+Verdana">
    <w:altName w:val="Verdana"/>
    <w:charset w:val="00"/>
    <w:family w:val="swiss"/>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C6A862" w14:textId="77777777" w:rsidR="00EE5E6E" w:rsidRDefault="00EE5E6E" w:rsidP="004A1847">
      <w:pPr>
        <w:spacing w:after="0" w:line="240" w:lineRule="auto"/>
      </w:pPr>
      <w:r>
        <w:separator/>
      </w:r>
    </w:p>
  </w:footnote>
  <w:footnote w:type="continuationSeparator" w:id="0">
    <w:p w14:paraId="30445F6D" w14:textId="77777777" w:rsidR="00EE5E6E" w:rsidRDefault="00EE5E6E" w:rsidP="004A1847">
      <w:pPr>
        <w:spacing w:after="0" w:line="240" w:lineRule="auto"/>
      </w:pPr>
      <w:r>
        <w:continuationSeparator/>
      </w:r>
    </w:p>
  </w:footnote>
  <w:footnote w:id="1">
    <w:p w14:paraId="36FDF775" w14:textId="77777777" w:rsidR="00501AFD" w:rsidRPr="006A0190" w:rsidRDefault="00501AFD" w:rsidP="00501AFD">
      <w:pPr>
        <w:pStyle w:val="paragraph"/>
        <w:spacing w:before="0" w:beforeAutospacing="0" w:after="0" w:afterAutospacing="0"/>
        <w:ind w:firstLine="709"/>
        <w:jc w:val="both"/>
        <w:textAlignment w:val="baseline"/>
        <w:rPr>
          <w:rFonts w:ascii="Arial" w:hAnsi="Arial" w:cs="Arial"/>
          <w:color w:val="000000" w:themeColor="text1"/>
          <w:sz w:val="19"/>
          <w:szCs w:val="19"/>
        </w:rPr>
      </w:pPr>
      <w:r w:rsidRPr="006A0190">
        <w:rPr>
          <w:rStyle w:val="Refdenotaalpie"/>
          <w:rFonts w:ascii="Arial" w:hAnsi="Arial" w:cs="Arial"/>
          <w:color w:val="000000" w:themeColor="text1"/>
          <w:sz w:val="19"/>
          <w:szCs w:val="19"/>
        </w:rPr>
        <w:footnoteRef/>
      </w:r>
      <w:r w:rsidRPr="006A0190">
        <w:rPr>
          <w:rFonts w:ascii="Arial" w:hAnsi="Arial" w:cs="Arial"/>
          <w:color w:val="000000" w:themeColor="text1"/>
          <w:sz w:val="19"/>
          <w:szCs w:val="19"/>
        </w:rPr>
        <w:t xml:space="preserve"> </w:t>
      </w:r>
      <w:r w:rsidRPr="006A0190">
        <w:rPr>
          <w:rFonts w:ascii="Arial" w:hAnsi="Arial" w:cs="Arial"/>
          <w:color w:val="000000" w:themeColor="text1"/>
          <w:sz w:val="19"/>
          <w:szCs w:val="19"/>
          <w:lang w:val="es-ES"/>
        </w:rPr>
        <w:t>Ley 489 de 1998, artículo 38, numeral 2, literal f, y artículo 68, numeral 2: «Son entidades descentralizadas del orden nacional, los establecimientos públicos, las empresas industriales y comerciales del Estado, las sociedades públicas y las sociedades de economía mixta, las superintendencias y las unidades administrativas especiales con personería jurídica, las empresas sociales del Estado, las empresas oficiales de servicios públicos y las demás entidades creadas por la ley o con su autorización, cuyo objeto principal sea el ejercicio de funciones administrativas, la prestación de servicios públicos o la realización de actividades industriales o comerciales con personería jurídica, autonomía administrativa y patrimonio propio. Como órganos del Estado aun cuando gozan de autonomía administrativa están sujetas al control político y a la suprema dirección del órgano de la administración al cual están adscritas».</w:t>
      </w:r>
      <w:r w:rsidRPr="006A0190">
        <w:rPr>
          <w:rFonts w:ascii="Arial" w:hAnsi="Arial" w:cs="Arial"/>
          <w:color w:val="000000" w:themeColor="text1"/>
          <w:sz w:val="19"/>
          <w:szCs w:val="19"/>
        </w:rPr>
        <w:t>  </w:t>
      </w:r>
    </w:p>
  </w:footnote>
  <w:footnote w:id="2">
    <w:p w14:paraId="480B14F3" w14:textId="77777777" w:rsidR="00501AFD" w:rsidRPr="006A0190" w:rsidRDefault="00501AFD" w:rsidP="00501AFD">
      <w:pPr>
        <w:spacing w:after="0" w:line="240" w:lineRule="auto"/>
        <w:ind w:firstLine="709"/>
        <w:jc w:val="both"/>
        <w:rPr>
          <w:lang w:val="es-ES"/>
        </w:rPr>
      </w:pPr>
      <w:r w:rsidRPr="006A0190">
        <w:rPr>
          <w:rFonts w:ascii="Arial" w:eastAsia="Times New Roman" w:hAnsi="Arial" w:cs="Arial"/>
          <w:color w:val="000000" w:themeColor="text1"/>
          <w:sz w:val="19"/>
          <w:szCs w:val="19"/>
          <w:lang w:val="es-ES" w:eastAsia="es-MX"/>
        </w:rPr>
        <w:t xml:space="preserve"> </w:t>
      </w:r>
      <w:r w:rsidRPr="006A0190">
        <w:rPr>
          <w:rStyle w:val="Refdenotaalpie"/>
          <w:rFonts w:ascii="Arial" w:hAnsi="Arial" w:cs="Arial"/>
          <w:color w:val="000000" w:themeColor="text1"/>
          <w:sz w:val="19"/>
          <w:szCs w:val="19"/>
        </w:rPr>
        <w:footnoteRef/>
      </w:r>
      <w:r w:rsidRPr="006A0190">
        <w:rPr>
          <w:rFonts w:ascii="Arial" w:eastAsia="Times New Roman" w:hAnsi="Arial" w:cs="Arial"/>
          <w:color w:val="000000" w:themeColor="text1"/>
          <w:sz w:val="19"/>
          <w:szCs w:val="19"/>
          <w:lang w:val="es-ES" w:eastAsia="es-MX"/>
        </w:rPr>
        <w:t xml:space="preserve"> Así lo establece la Constitución Política, en el artículo 150, numeral 7, así como en el artículo 300, numeral 7 y en el artículo 313, numeral 6.</w:t>
      </w:r>
    </w:p>
  </w:footnote>
  <w:footnote w:id="3">
    <w:p w14:paraId="6C2F991F" w14:textId="77777777" w:rsidR="00501AFD" w:rsidRPr="006A0190" w:rsidRDefault="00501AFD" w:rsidP="00501AFD">
      <w:pPr>
        <w:pStyle w:val="Textonotapie"/>
        <w:ind w:firstLine="709"/>
        <w:rPr>
          <w:rFonts w:ascii="Arial" w:hAnsi="Arial" w:cs="Arial"/>
          <w:sz w:val="19"/>
          <w:szCs w:val="19"/>
        </w:rPr>
      </w:pPr>
      <w:r w:rsidRPr="006A0190">
        <w:rPr>
          <w:rStyle w:val="Refdenotaalpie"/>
          <w:rFonts w:ascii="Arial" w:hAnsi="Arial" w:cs="Arial"/>
          <w:sz w:val="19"/>
          <w:szCs w:val="19"/>
        </w:rPr>
        <w:footnoteRef/>
      </w:r>
      <w:r w:rsidRPr="006A0190">
        <w:rPr>
          <w:rFonts w:ascii="Arial" w:hAnsi="Arial" w:cs="Arial"/>
          <w:sz w:val="19"/>
          <w:szCs w:val="19"/>
        </w:rPr>
        <w:t xml:space="preserve"> Las sociedades de economía mixta son una clara manifestación organizacional de la función administrativa. Al respecto, la doctrina colombiana ha considerado que «la organización debe ocupar un lugar central en el estudio del derecho administrativo, sobre todo si se tiene en cuenta que lo estructural es consustancial a la actividad administrativa. De hecho, podemos afirmar que se trata de una verdadera dialéctica en la que se presenta una relación de medio a fin, ya que su objeto es precisamente el diseño y puesta en funcionamiento de las maneras o formas de gestión de potestades, atribuciones y competencias administrativas» (RINCÓN CÓRDOBA, Jorge Iván. Teoría de la organización administrativa en Colombia, Bogotá: Universidad Externado de Colombia, 2019, pp. 31-32). </w:t>
      </w:r>
    </w:p>
    <w:p w14:paraId="79123B36" w14:textId="77777777" w:rsidR="00501AFD" w:rsidRPr="006A0190" w:rsidRDefault="00501AFD" w:rsidP="00501AFD">
      <w:pPr>
        <w:pStyle w:val="Textonotapie"/>
        <w:ind w:firstLine="709"/>
        <w:rPr>
          <w:rFonts w:ascii="Arial" w:hAnsi="Arial" w:cs="Arial"/>
          <w:sz w:val="19"/>
          <w:szCs w:val="19"/>
        </w:rPr>
      </w:pPr>
    </w:p>
  </w:footnote>
  <w:footnote w:id="4">
    <w:p w14:paraId="4B7677AF" w14:textId="77777777" w:rsidR="00501AFD" w:rsidRPr="006A0190" w:rsidRDefault="00501AFD" w:rsidP="00501AFD">
      <w:pPr>
        <w:pStyle w:val="Textonotapie"/>
        <w:ind w:firstLine="709"/>
        <w:rPr>
          <w:rFonts w:ascii="Arial" w:hAnsi="Arial" w:cs="Arial"/>
          <w:sz w:val="19"/>
          <w:szCs w:val="19"/>
          <w:lang w:val="es-CO"/>
        </w:rPr>
      </w:pPr>
      <w:r w:rsidRPr="006A0190">
        <w:rPr>
          <w:rStyle w:val="Refdenotaalpie"/>
          <w:rFonts w:ascii="Arial" w:hAnsi="Arial" w:cs="Arial"/>
          <w:sz w:val="19"/>
          <w:szCs w:val="19"/>
        </w:rPr>
        <w:footnoteRef/>
      </w:r>
      <w:r w:rsidRPr="006A0190">
        <w:rPr>
          <w:rFonts w:ascii="Arial" w:hAnsi="Arial" w:cs="Arial"/>
          <w:sz w:val="19"/>
          <w:szCs w:val="19"/>
        </w:rPr>
        <w:t xml:space="preserve"> «Una función administrativa entendida entonces, como un conjunto de actividades particulares, disimiles entre sí, pero diversas de aquellas generales de Estado y particulares propias de la función judicial y legislativa, que dan desarrollo directo a las finalidades del estado, consagradas de manera positiva en la Constitución Política, que pueden ser desarrolladas por distintos sujetos de derecho, habilitados para ello, con el respeto y cumplimiento del ordenamiento jurídico superior» (MONTAÑA PLATA, Alberto. Fundamentos de derecho administrativo. Bogotá: Universidad Externado de Colombia, 2010, p. 124).</w:t>
      </w:r>
    </w:p>
  </w:footnote>
  <w:footnote w:id="5">
    <w:p w14:paraId="1ADA522A" w14:textId="77777777" w:rsidR="00501AFD" w:rsidRPr="00C05384" w:rsidRDefault="00501AFD" w:rsidP="00501AFD">
      <w:pPr>
        <w:pStyle w:val="Textonotapie"/>
        <w:contextualSpacing/>
        <w:jc w:val="both"/>
        <w:rPr>
          <w:rFonts w:ascii="Verdana" w:hAnsi="Verdana" w:cs="Arial"/>
          <w:sz w:val="16"/>
          <w:szCs w:val="16"/>
        </w:rPr>
      </w:pPr>
      <w:r>
        <w:rPr>
          <w:rFonts w:ascii="Verdana" w:hAnsi="Verdana" w:cs="Arial"/>
          <w:sz w:val="16"/>
          <w:szCs w:val="16"/>
        </w:rPr>
        <w:tab/>
      </w:r>
      <w:r w:rsidRPr="00C05384">
        <w:rPr>
          <w:rStyle w:val="Refdenotaalpie"/>
          <w:rFonts w:ascii="Verdana" w:hAnsi="Verdana" w:cs="Arial"/>
          <w:sz w:val="16"/>
          <w:szCs w:val="16"/>
        </w:rPr>
        <w:footnoteRef/>
      </w:r>
      <w:r w:rsidRPr="00C05384">
        <w:rPr>
          <w:rFonts w:ascii="Verdana" w:hAnsi="Verdana" w:cs="Arial"/>
          <w:sz w:val="16"/>
          <w:szCs w:val="16"/>
        </w:rPr>
        <w:t xml:space="preserve"> Gaceta del Congreso de la República No. 71 del 2005.</w:t>
      </w:r>
    </w:p>
  </w:footnote>
  <w:footnote w:id="6">
    <w:p w14:paraId="448EC3B7" w14:textId="77777777" w:rsidR="00501AFD" w:rsidRPr="00C05384" w:rsidRDefault="00501AFD" w:rsidP="00501AFD">
      <w:pPr>
        <w:pStyle w:val="Textonotapie"/>
        <w:ind w:firstLine="709"/>
        <w:contextualSpacing/>
        <w:jc w:val="both"/>
        <w:rPr>
          <w:rFonts w:ascii="Verdana" w:hAnsi="Verdana" w:cs="Arial"/>
          <w:sz w:val="16"/>
          <w:szCs w:val="16"/>
          <w:lang w:val="pt-BR"/>
        </w:rPr>
      </w:pPr>
      <w:r w:rsidRPr="00C05384">
        <w:rPr>
          <w:rStyle w:val="Refdenotaalpie"/>
          <w:rFonts w:ascii="Verdana" w:hAnsi="Verdana" w:cs="Arial"/>
          <w:sz w:val="16"/>
          <w:szCs w:val="16"/>
        </w:rPr>
        <w:footnoteRef/>
      </w:r>
      <w:r w:rsidRPr="00C05384">
        <w:rPr>
          <w:rFonts w:ascii="Verdana" w:hAnsi="Verdana" w:cs="Arial"/>
          <w:sz w:val="16"/>
          <w:szCs w:val="16"/>
          <w:lang w:val="pt-BR"/>
        </w:rPr>
        <w:t xml:space="preserve"> Corte Constitucional, Sentencia C- 1153 de 2005, M.P. Marco Gerardo </w:t>
      </w:r>
      <w:proofErr w:type="spellStart"/>
      <w:r w:rsidRPr="00C05384">
        <w:rPr>
          <w:rFonts w:ascii="Verdana" w:hAnsi="Verdana" w:cs="Arial"/>
          <w:sz w:val="16"/>
          <w:szCs w:val="16"/>
          <w:lang w:val="pt-BR"/>
        </w:rPr>
        <w:t>Monroy</w:t>
      </w:r>
      <w:proofErr w:type="spellEnd"/>
      <w:r w:rsidRPr="00C05384">
        <w:rPr>
          <w:rFonts w:ascii="Verdana" w:hAnsi="Verdana" w:cs="Arial"/>
          <w:sz w:val="16"/>
          <w:szCs w:val="16"/>
          <w:lang w:val="pt-BR"/>
        </w:rPr>
        <w:t xml:space="preserve"> Cabra.</w:t>
      </w:r>
    </w:p>
  </w:footnote>
  <w:footnote w:id="7">
    <w:p w14:paraId="33F70EA2" w14:textId="77777777" w:rsidR="00501AFD" w:rsidRPr="00C05384" w:rsidRDefault="00501AFD" w:rsidP="00501AFD">
      <w:pPr>
        <w:pStyle w:val="Textonotapie"/>
        <w:ind w:firstLine="709"/>
        <w:contextualSpacing/>
        <w:jc w:val="both"/>
        <w:rPr>
          <w:rFonts w:ascii="Verdana" w:hAnsi="Verdana" w:cs="Arial"/>
          <w:sz w:val="16"/>
          <w:szCs w:val="16"/>
          <w:lang w:val="pt-BR"/>
        </w:rPr>
      </w:pPr>
      <w:r w:rsidRPr="00C05384">
        <w:rPr>
          <w:rStyle w:val="Refdenotaalpie"/>
          <w:rFonts w:ascii="Verdana" w:hAnsi="Verdana" w:cs="Arial"/>
          <w:sz w:val="16"/>
          <w:szCs w:val="16"/>
        </w:rPr>
        <w:footnoteRef/>
      </w:r>
      <w:r w:rsidRPr="00C05384">
        <w:rPr>
          <w:rFonts w:ascii="Verdana" w:hAnsi="Verdana" w:cs="Arial"/>
          <w:sz w:val="16"/>
          <w:szCs w:val="16"/>
          <w:lang w:val="pt-BR"/>
        </w:rPr>
        <w:t xml:space="preserve"> Corte Constitucional. Sentencias: C-233 de 4 de abril de 2002, expediente: D-3704; C-551 de 9 de </w:t>
      </w:r>
      <w:proofErr w:type="spellStart"/>
      <w:r w:rsidRPr="00C05384">
        <w:rPr>
          <w:rFonts w:ascii="Verdana" w:hAnsi="Verdana" w:cs="Arial"/>
          <w:sz w:val="16"/>
          <w:szCs w:val="16"/>
          <w:lang w:val="pt-BR"/>
        </w:rPr>
        <w:t>julio</w:t>
      </w:r>
      <w:proofErr w:type="spellEnd"/>
      <w:r w:rsidRPr="00C05384">
        <w:rPr>
          <w:rFonts w:ascii="Verdana" w:hAnsi="Verdana" w:cs="Arial"/>
          <w:sz w:val="16"/>
          <w:szCs w:val="16"/>
          <w:lang w:val="pt-BR"/>
        </w:rPr>
        <w:t xml:space="preserve"> de 2003, expediente: CRF-001 de 9 de </w:t>
      </w:r>
      <w:proofErr w:type="spellStart"/>
      <w:r w:rsidRPr="00C05384">
        <w:rPr>
          <w:rFonts w:ascii="Verdana" w:hAnsi="Verdana" w:cs="Arial"/>
          <w:sz w:val="16"/>
          <w:szCs w:val="16"/>
          <w:lang w:val="pt-BR"/>
        </w:rPr>
        <w:t>julio</w:t>
      </w:r>
      <w:proofErr w:type="spellEnd"/>
      <w:r w:rsidRPr="00C05384">
        <w:rPr>
          <w:rFonts w:ascii="Verdana" w:hAnsi="Verdana" w:cs="Arial"/>
          <w:sz w:val="16"/>
          <w:szCs w:val="16"/>
          <w:lang w:val="pt-BR"/>
        </w:rPr>
        <w:t xml:space="preserve"> de 2003; C-652 de 5 de agosto de 2003, expediente: D-4330; C-353 de 20 de </w:t>
      </w:r>
      <w:proofErr w:type="spellStart"/>
      <w:r w:rsidRPr="00C05384">
        <w:rPr>
          <w:rFonts w:ascii="Verdana" w:hAnsi="Verdana" w:cs="Arial"/>
          <w:sz w:val="16"/>
          <w:szCs w:val="16"/>
          <w:lang w:val="pt-BR"/>
        </w:rPr>
        <w:t>mayo</w:t>
      </w:r>
      <w:proofErr w:type="spellEnd"/>
      <w:r w:rsidRPr="00C05384">
        <w:rPr>
          <w:rFonts w:ascii="Verdana" w:hAnsi="Verdana" w:cs="Arial"/>
          <w:sz w:val="16"/>
          <w:szCs w:val="16"/>
          <w:lang w:val="pt-BR"/>
        </w:rPr>
        <w:t xml:space="preserve"> de 2009, expediente: D-7518, C-541 de 30 de </w:t>
      </w:r>
      <w:proofErr w:type="spellStart"/>
      <w:r w:rsidRPr="00C05384">
        <w:rPr>
          <w:rFonts w:ascii="Verdana" w:hAnsi="Verdana" w:cs="Arial"/>
          <w:sz w:val="16"/>
          <w:szCs w:val="16"/>
          <w:lang w:val="pt-BR"/>
        </w:rPr>
        <w:t>junio</w:t>
      </w:r>
      <w:proofErr w:type="spellEnd"/>
      <w:r w:rsidRPr="00C05384">
        <w:rPr>
          <w:rFonts w:ascii="Verdana" w:hAnsi="Verdana" w:cs="Arial"/>
          <w:sz w:val="16"/>
          <w:szCs w:val="16"/>
          <w:lang w:val="pt-BR"/>
        </w:rPr>
        <w:t xml:space="preserve"> de 2010, expediente: DD7966; entre </w:t>
      </w:r>
      <w:proofErr w:type="spellStart"/>
      <w:r w:rsidRPr="00C05384">
        <w:rPr>
          <w:rFonts w:ascii="Verdana" w:hAnsi="Verdana" w:cs="Arial"/>
          <w:sz w:val="16"/>
          <w:szCs w:val="16"/>
          <w:lang w:val="pt-BR"/>
        </w:rPr>
        <w:t>otras</w:t>
      </w:r>
      <w:proofErr w:type="spellEnd"/>
      <w:r w:rsidRPr="00C05384">
        <w:rPr>
          <w:rFonts w:ascii="Verdana" w:hAnsi="Verdana" w:cs="Arial"/>
          <w:sz w:val="16"/>
          <w:szCs w:val="16"/>
          <w:lang w:val="pt-BR"/>
        </w:rPr>
        <w:t>.</w:t>
      </w:r>
    </w:p>
  </w:footnote>
  <w:footnote w:id="8">
    <w:p w14:paraId="27F93DD0" w14:textId="77777777" w:rsidR="00501AFD" w:rsidRPr="00C05384" w:rsidRDefault="00501AFD" w:rsidP="00501AFD">
      <w:pPr>
        <w:pStyle w:val="Textonotapie"/>
        <w:ind w:firstLine="709"/>
        <w:contextualSpacing/>
        <w:jc w:val="both"/>
        <w:rPr>
          <w:rFonts w:ascii="Verdana" w:hAnsi="Verdana" w:cs="Arial"/>
          <w:sz w:val="16"/>
          <w:szCs w:val="16"/>
          <w:lang w:val="es-CO"/>
        </w:rPr>
      </w:pPr>
      <w:r w:rsidRPr="00C05384">
        <w:rPr>
          <w:rStyle w:val="Refdenotaalpie"/>
          <w:rFonts w:ascii="Verdana" w:hAnsi="Verdana" w:cs="Arial"/>
          <w:sz w:val="16"/>
          <w:szCs w:val="16"/>
        </w:rPr>
        <w:footnoteRef/>
      </w:r>
      <w:r w:rsidRPr="00C05384">
        <w:rPr>
          <w:rFonts w:ascii="Verdana" w:hAnsi="Verdana" w:cs="Arial"/>
          <w:sz w:val="16"/>
          <w:szCs w:val="16"/>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footnote>
  <w:footnote w:id="9">
    <w:p w14:paraId="1FC509B0" w14:textId="77777777" w:rsidR="00501AFD" w:rsidRPr="00C05384" w:rsidRDefault="00501AFD" w:rsidP="00501AFD">
      <w:pPr>
        <w:pStyle w:val="Textonotapie"/>
        <w:ind w:firstLine="709"/>
        <w:contextualSpacing/>
        <w:jc w:val="both"/>
        <w:rPr>
          <w:rFonts w:ascii="Verdana" w:hAnsi="Verdana" w:cs="Arial"/>
          <w:sz w:val="16"/>
          <w:szCs w:val="16"/>
        </w:rPr>
      </w:pPr>
      <w:r w:rsidRPr="00C05384">
        <w:rPr>
          <w:rStyle w:val="Refdenotaalpie"/>
          <w:rFonts w:ascii="Verdana" w:hAnsi="Verdana" w:cs="Arial"/>
          <w:sz w:val="16"/>
          <w:szCs w:val="16"/>
        </w:rPr>
        <w:footnoteRef/>
      </w:r>
      <w:r w:rsidRPr="00C05384">
        <w:rPr>
          <w:rFonts w:ascii="Verdana" w:hAnsi="Verdana" w:cs="Arial"/>
          <w:sz w:val="16"/>
          <w:szCs w:val="16"/>
        </w:rPr>
        <w:t xml:space="preserve"> Consejo de Estado, Sala de Consulta y Servicio Civil de fecha 24 de julio de 2013, Rad. 2166, C. P. Álvaro Namén Vargas.  </w:t>
      </w:r>
    </w:p>
  </w:footnote>
  <w:footnote w:id="10">
    <w:p w14:paraId="65117675" w14:textId="77777777" w:rsidR="00501AFD" w:rsidRPr="00C05384" w:rsidRDefault="00501AFD" w:rsidP="00501AFD">
      <w:pPr>
        <w:pStyle w:val="Textonotapie"/>
        <w:ind w:firstLine="709"/>
        <w:contextualSpacing/>
        <w:jc w:val="both"/>
        <w:rPr>
          <w:rFonts w:ascii="Verdana" w:hAnsi="Verdana"/>
          <w:sz w:val="16"/>
          <w:szCs w:val="16"/>
          <w:lang w:val="es-ES"/>
        </w:rPr>
      </w:pPr>
      <w:r w:rsidRPr="00C05384">
        <w:rPr>
          <w:rStyle w:val="Refdenotaalpie"/>
          <w:rFonts w:ascii="Verdana" w:hAnsi="Verdana"/>
          <w:sz w:val="16"/>
          <w:szCs w:val="16"/>
        </w:rPr>
        <w:footnoteRef/>
      </w:r>
      <w:r w:rsidRPr="00C05384">
        <w:rPr>
          <w:rFonts w:ascii="Verdana" w:hAnsi="Verdana"/>
          <w:sz w:val="16"/>
          <w:szCs w:val="16"/>
        </w:rPr>
        <w:t xml:space="preserve"> Consejo de Estado. Sala de Consulta y Servicio Civil. Concepto del 08 de mayo de 2018. </w:t>
      </w:r>
      <w:proofErr w:type="spellStart"/>
      <w:r w:rsidRPr="00C05384">
        <w:rPr>
          <w:rFonts w:ascii="Verdana" w:hAnsi="Verdana"/>
          <w:sz w:val="16"/>
          <w:szCs w:val="16"/>
        </w:rPr>
        <w:t>Exp</w:t>
      </w:r>
      <w:proofErr w:type="spellEnd"/>
      <w:r w:rsidRPr="00C05384">
        <w:rPr>
          <w:rFonts w:ascii="Verdana" w:hAnsi="Verdana"/>
          <w:sz w:val="16"/>
          <w:szCs w:val="16"/>
        </w:rPr>
        <w:t>. 2.382. C.P. Álvaro Namén Vargas.</w:t>
      </w:r>
    </w:p>
  </w:footnote>
  <w:footnote w:id="11">
    <w:p w14:paraId="69FA5851" w14:textId="77777777" w:rsidR="00501AFD" w:rsidRPr="00C05384" w:rsidRDefault="00501AFD" w:rsidP="00501AFD">
      <w:pPr>
        <w:spacing w:after="0" w:line="240" w:lineRule="auto"/>
        <w:ind w:left="100" w:right="244" w:firstLine="709"/>
        <w:contextualSpacing/>
        <w:jc w:val="both"/>
        <w:rPr>
          <w:rFonts w:ascii="Verdana" w:hAnsi="Verdana" w:cs="Arial"/>
          <w:sz w:val="16"/>
          <w:szCs w:val="16"/>
          <w:lang w:val="es-ES"/>
        </w:rPr>
      </w:pPr>
      <w:r w:rsidRPr="00C05384">
        <w:rPr>
          <w:rStyle w:val="Refdenotaalpie"/>
          <w:rFonts w:ascii="Verdana" w:hAnsi="Verdana" w:cs="Arial"/>
          <w:sz w:val="16"/>
          <w:szCs w:val="16"/>
        </w:rPr>
        <w:footnoteRef/>
      </w:r>
      <w:r w:rsidRPr="00C05384">
        <w:rPr>
          <w:rFonts w:ascii="Verdana" w:hAnsi="Verdana" w:cs="Arial"/>
          <w:sz w:val="16"/>
          <w:szCs w:val="16"/>
        </w:rPr>
        <w:t xml:space="preserve"> Consejo de Estado. Sala de Consulta y Servicio Civil. Concepto del 17 de febrero de 2015. C.P. William Zambrano Cetina. Radicación No. 11001-03-06-000-2015-00164-00(2269).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4pt;height:11.4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C1C4BDA"/>
    <w:multiLevelType w:val="hybridMultilevel"/>
    <w:tmpl w:val="5C2C9860"/>
    <w:lvl w:ilvl="0" w:tplc="9DB47134">
      <w:start w:val="1"/>
      <w:numFmt w:val="lowerRoman"/>
      <w:lvlText w:val="%1."/>
      <w:lvlJc w:val="left"/>
      <w:pPr>
        <w:ind w:left="1500" w:hanging="720"/>
      </w:pPr>
      <w:rPr>
        <w:rFonts w:hint="default"/>
      </w:rPr>
    </w:lvl>
    <w:lvl w:ilvl="1" w:tplc="240A0019" w:tentative="1">
      <w:start w:val="1"/>
      <w:numFmt w:val="lowerLetter"/>
      <w:lvlText w:val="%2."/>
      <w:lvlJc w:val="left"/>
      <w:pPr>
        <w:ind w:left="1860" w:hanging="360"/>
      </w:pPr>
    </w:lvl>
    <w:lvl w:ilvl="2" w:tplc="240A001B" w:tentative="1">
      <w:start w:val="1"/>
      <w:numFmt w:val="lowerRoman"/>
      <w:lvlText w:val="%3."/>
      <w:lvlJc w:val="right"/>
      <w:pPr>
        <w:ind w:left="2580" w:hanging="180"/>
      </w:pPr>
    </w:lvl>
    <w:lvl w:ilvl="3" w:tplc="240A000F" w:tentative="1">
      <w:start w:val="1"/>
      <w:numFmt w:val="decimal"/>
      <w:lvlText w:val="%4."/>
      <w:lvlJc w:val="left"/>
      <w:pPr>
        <w:ind w:left="3300" w:hanging="360"/>
      </w:pPr>
    </w:lvl>
    <w:lvl w:ilvl="4" w:tplc="240A0019" w:tentative="1">
      <w:start w:val="1"/>
      <w:numFmt w:val="lowerLetter"/>
      <w:lvlText w:val="%5."/>
      <w:lvlJc w:val="left"/>
      <w:pPr>
        <w:ind w:left="4020" w:hanging="360"/>
      </w:pPr>
    </w:lvl>
    <w:lvl w:ilvl="5" w:tplc="240A001B" w:tentative="1">
      <w:start w:val="1"/>
      <w:numFmt w:val="lowerRoman"/>
      <w:lvlText w:val="%6."/>
      <w:lvlJc w:val="right"/>
      <w:pPr>
        <w:ind w:left="4740" w:hanging="180"/>
      </w:pPr>
    </w:lvl>
    <w:lvl w:ilvl="6" w:tplc="240A000F" w:tentative="1">
      <w:start w:val="1"/>
      <w:numFmt w:val="decimal"/>
      <w:lvlText w:val="%7."/>
      <w:lvlJc w:val="left"/>
      <w:pPr>
        <w:ind w:left="5460" w:hanging="360"/>
      </w:pPr>
    </w:lvl>
    <w:lvl w:ilvl="7" w:tplc="240A0019" w:tentative="1">
      <w:start w:val="1"/>
      <w:numFmt w:val="lowerLetter"/>
      <w:lvlText w:val="%8."/>
      <w:lvlJc w:val="left"/>
      <w:pPr>
        <w:ind w:left="6180" w:hanging="360"/>
      </w:pPr>
    </w:lvl>
    <w:lvl w:ilvl="8" w:tplc="240A001B" w:tentative="1">
      <w:start w:val="1"/>
      <w:numFmt w:val="lowerRoman"/>
      <w:lvlText w:val="%9."/>
      <w:lvlJc w:val="right"/>
      <w:pPr>
        <w:ind w:left="6900" w:hanging="180"/>
      </w:pPr>
    </w:lvl>
  </w:abstractNum>
  <w:abstractNum w:abstractNumId="4" w15:restartNumberingAfterBreak="0">
    <w:nsid w:val="0D8D0CA4"/>
    <w:multiLevelType w:val="hybridMultilevel"/>
    <w:tmpl w:val="BE9AA63E"/>
    <w:lvl w:ilvl="0" w:tplc="5C964C40">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117A1800"/>
    <w:multiLevelType w:val="hybridMultilevel"/>
    <w:tmpl w:val="9C3292A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6" w15:restartNumberingAfterBreak="0">
    <w:nsid w:val="14AE0652"/>
    <w:multiLevelType w:val="hybridMultilevel"/>
    <w:tmpl w:val="CD6656B8"/>
    <w:lvl w:ilvl="0" w:tplc="C21EA718">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1AC70AA2"/>
    <w:multiLevelType w:val="hybridMultilevel"/>
    <w:tmpl w:val="23AE4D7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34DA50AD"/>
    <w:multiLevelType w:val="hybridMultilevel"/>
    <w:tmpl w:val="88361A2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6" w15:restartNumberingAfterBreak="0">
    <w:nsid w:val="46AE4259"/>
    <w:multiLevelType w:val="hybridMultilevel"/>
    <w:tmpl w:val="87BCDB0A"/>
    <w:lvl w:ilvl="0" w:tplc="DFE0476C">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513A68DC"/>
    <w:multiLevelType w:val="hybridMultilevel"/>
    <w:tmpl w:val="1B4C7434"/>
    <w:lvl w:ilvl="0" w:tplc="781E9986">
      <w:start w:val="1"/>
      <w:numFmt w:val="lowerRoman"/>
      <w:lvlText w:val="%1."/>
      <w:lvlJc w:val="left"/>
      <w:pPr>
        <w:ind w:left="1185" w:hanging="720"/>
      </w:pPr>
      <w:rPr>
        <w:rFonts w:hint="default"/>
      </w:rPr>
    </w:lvl>
    <w:lvl w:ilvl="1" w:tplc="240A0019" w:tentative="1">
      <w:start w:val="1"/>
      <w:numFmt w:val="lowerLetter"/>
      <w:lvlText w:val="%2."/>
      <w:lvlJc w:val="left"/>
      <w:pPr>
        <w:ind w:left="1545" w:hanging="360"/>
      </w:pPr>
    </w:lvl>
    <w:lvl w:ilvl="2" w:tplc="240A001B" w:tentative="1">
      <w:start w:val="1"/>
      <w:numFmt w:val="lowerRoman"/>
      <w:lvlText w:val="%3."/>
      <w:lvlJc w:val="right"/>
      <w:pPr>
        <w:ind w:left="2265" w:hanging="180"/>
      </w:pPr>
    </w:lvl>
    <w:lvl w:ilvl="3" w:tplc="240A000F" w:tentative="1">
      <w:start w:val="1"/>
      <w:numFmt w:val="decimal"/>
      <w:lvlText w:val="%4."/>
      <w:lvlJc w:val="left"/>
      <w:pPr>
        <w:ind w:left="2985" w:hanging="360"/>
      </w:pPr>
    </w:lvl>
    <w:lvl w:ilvl="4" w:tplc="240A0019" w:tentative="1">
      <w:start w:val="1"/>
      <w:numFmt w:val="lowerLetter"/>
      <w:lvlText w:val="%5."/>
      <w:lvlJc w:val="left"/>
      <w:pPr>
        <w:ind w:left="3705" w:hanging="360"/>
      </w:pPr>
    </w:lvl>
    <w:lvl w:ilvl="5" w:tplc="240A001B" w:tentative="1">
      <w:start w:val="1"/>
      <w:numFmt w:val="lowerRoman"/>
      <w:lvlText w:val="%6."/>
      <w:lvlJc w:val="right"/>
      <w:pPr>
        <w:ind w:left="4425" w:hanging="180"/>
      </w:pPr>
    </w:lvl>
    <w:lvl w:ilvl="6" w:tplc="240A000F" w:tentative="1">
      <w:start w:val="1"/>
      <w:numFmt w:val="decimal"/>
      <w:lvlText w:val="%7."/>
      <w:lvlJc w:val="left"/>
      <w:pPr>
        <w:ind w:left="5145" w:hanging="360"/>
      </w:pPr>
    </w:lvl>
    <w:lvl w:ilvl="7" w:tplc="240A0019" w:tentative="1">
      <w:start w:val="1"/>
      <w:numFmt w:val="lowerLetter"/>
      <w:lvlText w:val="%8."/>
      <w:lvlJc w:val="left"/>
      <w:pPr>
        <w:ind w:left="5865" w:hanging="360"/>
      </w:pPr>
    </w:lvl>
    <w:lvl w:ilvl="8" w:tplc="240A001B" w:tentative="1">
      <w:start w:val="1"/>
      <w:numFmt w:val="lowerRoman"/>
      <w:lvlText w:val="%9."/>
      <w:lvlJc w:val="right"/>
      <w:pPr>
        <w:ind w:left="6585" w:hanging="180"/>
      </w:pPr>
    </w:lvl>
  </w:abstractNum>
  <w:abstractNum w:abstractNumId="18"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9" w15:restartNumberingAfterBreak="0">
    <w:nsid w:val="66A21AA3"/>
    <w:multiLevelType w:val="hybridMultilevel"/>
    <w:tmpl w:val="3A24D61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689A233D"/>
    <w:multiLevelType w:val="hybridMultilevel"/>
    <w:tmpl w:val="1CDC8BE8"/>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21" w15:restartNumberingAfterBreak="0">
    <w:nsid w:val="692D2CE8"/>
    <w:multiLevelType w:val="hybridMultilevel"/>
    <w:tmpl w:val="6B809EC6"/>
    <w:lvl w:ilvl="0" w:tplc="6324F388">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11"/>
  </w:num>
  <w:num w:numId="2" w16cid:durableId="19822139">
    <w:abstractNumId w:val="2"/>
  </w:num>
  <w:num w:numId="3" w16cid:durableId="876742304">
    <w:abstractNumId w:val="9"/>
  </w:num>
  <w:num w:numId="4" w16cid:durableId="24518640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24"/>
  </w:num>
  <w:num w:numId="7" w16cid:durableId="1946422806">
    <w:abstractNumId w:val="10"/>
  </w:num>
  <w:num w:numId="8" w16cid:durableId="152644682">
    <w:abstractNumId w:val="23"/>
  </w:num>
  <w:num w:numId="9" w16cid:durableId="1317221377">
    <w:abstractNumId w:val="13"/>
  </w:num>
  <w:num w:numId="10" w16cid:durableId="1471245386">
    <w:abstractNumId w:val="22"/>
  </w:num>
  <w:num w:numId="11" w16cid:durableId="289172385">
    <w:abstractNumId w:val="14"/>
  </w:num>
  <w:num w:numId="12" w16cid:durableId="1470781324">
    <w:abstractNumId w:val="1"/>
  </w:num>
  <w:num w:numId="13" w16cid:durableId="1512908409">
    <w:abstractNumId w:val="8"/>
  </w:num>
  <w:num w:numId="14" w16cid:durableId="895897244">
    <w:abstractNumId w:val="25"/>
  </w:num>
  <w:num w:numId="15" w16cid:durableId="390349800">
    <w:abstractNumId w:val="18"/>
  </w:num>
  <w:num w:numId="16" w16cid:durableId="1380713882">
    <w:abstractNumId w:val="0"/>
  </w:num>
  <w:num w:numId="17" w16cid:durableId="691802391">
    <w:abstractNumId w:val="15"/>
  </w:num>
  <w:num w:numId="18" w16cid:durableId="1290623316">
    <w:abstractNumId w:val="5"/>
  </w:num>
  <w:num w:numId="19" w16cid:durableId="562327327">
    <w:abstractNumId w:val="12"/>
  </w:num>
  <w:num w:numId="20" w16cid:durableId="1203205605">
    <w:abstractNumId w:val="7"/>
  </w:num>
  <w:num w:numId="21" w16cid:durableId="878511277">
    <w:abstractNumId w:val="19"/>
  </w:num>
  <w:num w:numId="22" w16cid:durableId="1469083389">
    <w:abstractNumId w:val="4"/>
  </w:num>
  <w:num w:numId="23" w16cid:durableId="1082021154">
    <w:abstractNumId w:val="3"/>
  </w:num>
  <w:num w:numId="24" w16cid:durableId="2118594490">
    <w:abstractNumId w:val="21"/>
  </w:num>
  <w:num w:numId="25" w16cid:durableId="915241207">
    <w:abstractNumId w:val="6"/>
  </w:num>
  <w:num w:numId="26" w16cid:durableId="299651578">
    <w:abstractNumId w:val="17"/>
  </w:num>
  <w:num w:numId="27" w16cid:durableId="24986934">
    <w:abstractNumId w:val="20"/>
  </w:num>
  <w:num w:numId="28" w16cid:durableId="10015095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0EC5"/>
    <w:rsid w:val="00016F78"/>
    <w:rsid w:val="00024134"/>
    <w:rsid w:val="00024715"/>
    <w:rsid w:val="00031E96"/>
    <w:rsid w:val="00032396"/>
    <w:rsid w:val="00040C7A"/>
    <w:rsid w:val="00046945"/>
    <w:rsid w:val="00046C11"/>
    <w:rsid w:val="00055DA3"/>
    <w:rsid w:val="00061B2A"/>
    <w:rsid w:val="00080D65"/>
    <w:rsid w:val="00082362"/>
    <w:rsid w:val="0008627A"/>
    <w:rsid w:val="000A683E"/>
    <w:rsid w:val="000B19B9"/>
    <w:rsid w:val="000B4FA5"/>
    <w:rsid w:val="000B5583"/>
    <w:rsid w:val="000B6B58"/>
    <w:rsid w:val="000C00C5"/>
    <w:rsid w:val="000D0334"/>
    <w:rsid w:val="000D4E83"/>
    <w:rsid w:val="000E0A8C"/>
    <w:rsid w:val="000F0F17"/>
    <w:rsid w:val="000F2222"/>
    <w:rsid w:val="000F551E"/>
    <w:rsid w:val="000F6486"/>
    <w:rsid w:val="00103B90"/>
    <w:rsid w:val="00112C6F"/>
    <w:rsid w:val="00124BB0"/>
    <w:rsid w:val="00125105"/>
    <w:rsid w:val="00127233"/>
    <w:rsid w:val="0013630D"/>
    <w:rsid w:val="00140EB5"/>
    <w:rsid w:val="00146287"/>
    <w:rsid w:val="001511A0"/>
    <w:rsid w:val="001773DA"/>
    <w:rsid w:val="00194937"/>
    <w:rsid w:val="001A4F0D"/>
    <w:rsid w:val="001B322D"/>
    <w:rsid w:val="001D1756"/>
    <w:rsid w:val="001E4177"/>
    <w:rsid w:val="001F663F"/>
    <w:rsid w:val="001F7DC6"/>
    <w:rsid w:val="00203306"/>
    <w:rsid w:val="00203E0B"/>
    <w:rsid w:val="00205479"/>
    <w:rsid w:val="00215206"/>
    <w:rsid w:val="002316DB"/>
    <w:rsid w:val="00235C0B"/>
    <w:rsid w:val="00235E53"/>
    <w:rsid w:val="002371DC"/>
    <w:rsid w:val="00240FC9"/>
    <w:rsid w:val="002421BB"/>
    <w:rsid w:val="00242FED"/>
    <w:rsid w:val="00247379"/>
    <w:rsid w:val="00252DA4"/>
    <w:rsid w:val="0025796E"/>
    <w:rsid w:val="002707A2"/>
    <w:rsid w:val="00274CA6"/>
    <w:rsid w:val="002951A0"/>
    <w:rsid w:val="002962BC"/>
    <w:rsid w:val="002A093D"/>
    <w:rsid w:val="002A0DD0"/>
    <w:rsid w:val="002A128A"/>
    <w:rsid w:val="002A22D8"/>
    <w:rsid w:val="002A49AC"/>
    <w:rsid w:val="002A64FD"/>
    <w:rsid w:val="002A7DD8"/>
    <w:rsid w:val="002C0393"/>
    <w:rsid w:val="002C1AD5"/>
    <w:rsid w:val="002C7A84"/>
    <w:rsid w:val="002E4C8F"/>
    <w:rsid w:val="002E4FD9"/>
    <w:rsid w:val="00302C65"/>
    <w:rsid w:val="00310DA4"/>
    <w:rsid w:val="00322A85"/>
    <w:rsid w:val="00323054"/>
    <w:rsid w:val="00324168"/>
    <w:rsid w:val="00324E0B"/>
    <w:rsid w:val="00331CD0"/>
    <w:rsid w:val="00342217"/>
    <w:rsid w:val="003448F4"/>
    <w:rsid w:val="00354075"/>
    <w:rsid w:val="00361698"/>
    <w:rsid w:val="003639A5"/>
    <w:rsid w:val="00374F5E"/>
    <w:rsid w:val="00376AF4"/>
    <w:rsid w:val="00377E3E"/>
    <w:rsid w:val="00380918"/>
    <w:rsid w:val="003A2E2D"/>
    <w:rsid w:val="003A779E"/>
    <w:rsid w:val="003D0F4D"/>
    <w:rsid w:val="003D5B0D"/>
    <w:rsid w:val="003E0499"/>
    <w:rsid w:val="003E2F6B"/>
    <w:rsid w:val="003F0A78"/>
    <w:rsid w:val="003F3941"/>
    <w:rsid w:val="00406575"/>
    <w:rsid w:val="004138FA"/>
    <w:rsid w:val="00414C74"/>
    <w:rsid w:val="004200BD"/>
    <w:rsid w:val="0042722E"/>
    <w:rsid w:val="004321FF"/>
    <w:rsid w:val="0043740D"/>
    <w:rsid w:val="0044528D"/>
    <w:rsid w:val="00457B5F"/>
    <w:rsid w:val="00487F18"/>
    <w:rsid w:val="0049089A"/>
    <w:rsid w:val="00493AF3"/>
    <w:rsid w:val="004A1847"/>
    <w:rsid w:val="004A305D"/>
    <w:rsid w:val="004B50C2"/>
    <w:rsid w:val="004C63BA"/>
    <w:rsid w:val="004D2AAA"/>
    <w:rsid w:val="004F21C4"/>
    <w:rsid w:val="004F685F"/>
    <w:rsid w:val="00500848"/>
    <w:rsid w:val="00501AFD"/>
    <w:rsid w:val="0052066E"/>
    <w:rsid w:val="005264E2"/>
    <w:rsid w:val="005448DE"/>
    <w:rsid w:val="00554AFE"/>
    <w:rsid w:val="005566E8"/>
    <w:rsid w:val="00567040"/>
    <w:rsid w:val="0057166B"/>
    <w:rsid w:val="00574867"/>
    <w:rsid w:val="005806A6"/>
    <w:rsid w:val="00591460"/>
    <w:rsid w:val="005940BC"/>
    <w:rsid w:val="005B3816"/>
    <w:rsid w:val="005B3FB2"/>
    <w:rsid w:val="005B65F1"/>
    <w:rsid w:val="005C3777"/>
    <w:rsid w:val="005C5CDC"/>
    <w:rsid w:val="005C7DAB"/>
    <w:rsid w:val="005D476C"/>
    <w:rsid w:val="0061329B"/>
    <w:rsid w:val="006219F8"/>
    <w:rsid w:val="00627B9E"/>
    <w:rsid w:val="00631045"/>
    <w:rsid w:val="00637BBF"/>
    <w:rsid w:val="00644876"/>
    <w:rsid w:val="00665D70"/>
    <w:rsid w:val="00675FED"/>
    <w:rsid w:val="0068074B"/>
    <w:rsid w:val="006900D9"/>
    <w:rsid w:val="006905C0"/>
    <w:rsid w:val="006B2C02"/>
    <w:rsid w:val="006B4B9E"/>
    <w:rsid w:val="006C1E78"/>
    <w:rsid w:val="006C4D38"/>
    <w:rsid w:val="006C5AFB"/>
    <w:rsid w:val="006D7121"/>
    <w:rsid w:val="00706C16"/>
    <w:rsid w:val="0072552A"/>
    <w:rsid w:val="0073141C"/>
    <w:rsid w:val="00740D46"/>
    <w:rsid w:val="00756841"/>
    <w:rsid w:val="00763E4A"/>
    <w:rsid w:val="007649AB"/>
    <w:rsid w:val="00771D0C"/>
    <w:rsid w:val="007733E9"/>
    <w:rsid w:val="00782CD7"/>
    <w:rsid w:val="007833AC"/>
    <w:rsid w:val="00783E27"/>
    <w:rsid w:val="007B1700"/>
    <w:rsid w:val="007B268C"/>
    <w:rsid w:val="007B7171"/>
    <w:rsid w:val="007C0C0F"/>
    <w:rsid w:val="007C3DC2"/>
    <w:rsid w:val="007E5497"/>
    <w:rsid w:val="007F7470"/>
    <w:rsid w:val="00806F5F"/>
    <w:rsid w:val="00820278"/>
    <w:rsid w:val="00826A46"/>
    <w:rsid w:val="00836334"/>
    <w:rsid w:val="00837922"/>
    <w:rsid w:val="00847C37"/>
    <w:rsid w:val="00853C28"/>
    <w:rsid w:val="00862660"/>
    <w:rsid w:val="00867F95"/>
    <w:rsid w:val="008843B6"/>
    <w:rsid w:val="00891928"/>
    <w:rsid w:val="008943C1"/>
    <w:rsid w:val="008A30DF"/>
    <w:rsid w:val="008A446D"/>
    <w:rsid w:val="008B22D4"/>
    <w:rsid w:val="008B5BD4"/>
    <w:rsid w:val="008B7BF9"/>
    <w:rsid w:val="008C5ABE"/>
    <w:rsid w:val="008D180B"/>
    <w:rsid w:val="008E2432"/>
    <w:rsid w:val="008F0EA7"/>
    <w:rsid w:val="00916515"/>
    <w:rsid w:val="00921A6F"/>
    <w:rsid w:val="00923EEF"/>
    <w:rsid w:val="00927EF1"/>
    <w:rsid w:val="0093441F"/>
    <w:rsid w:val="009419F9"/>
    <w:rsid w:val="009552F8"/>
    <w:rsid w:val="0095685E"/>
    <w:rsid w:val="00961B09"/>
    <w:rsid w:val="00964DAB"/>
    <w:rsid w:val="00965334"/>
    <w:rsid w:val="00967B5B"/>
    <w:rsid w:val="0097093E"/>
    <w:rsid w:val="00986AC5"/>
    <w:rsid w:val="009A0DFA"/>
    <w:rsid w:val="009A2609"/>
    <w:rsid w:val="009B2D26"/>
    <w:rsid w:val="009B7352"/>
    <w:rsid w:val="009C3869"/>
    <w:rsid w:val="009C71FA"/>
    <w:rsid w:val="009C72E7"/>
    <w:rsid w:val="009D0270"/>
    <w:rsid w:val="009D3058"/>
    <w:rsid w:val="009E7558"/>
    <w:rsid w:val="009F1C22"/>
    <w:rsid w:val="009F3A13"/>
    <w:rsid w:val="00A122D3"/>
    <w:rsid w:val="00A13077"/>
    <w:rsid w:val="00A17C33"/>
    <w:rsid w:val="00A17F13"/>
    <w:rsid w:val="00A20739"/>
    <w:rsid w:val="00A24C35"/>
    <w:rsid w:val="00A33C78"/>
    <w:rsid w:val="00A35FB0"/>
    <w:rsid w:val="00A51CB5"/>
    <w:rsid w:val="00A52834"/>
    <w:rsid w:val="00A64017"/>
    <w:rsid w:val="00A800B4"/>
    <w:rsid w:val="00A81AFE"/>
    <w:rsid w:val="00A97349"/>
    <w:rsid w:val="00AA1AB8"/>
    <w:rsid w:val="00AB0ADB"/>
    <w:rsid w:val="00AC14A6"/>
    <w:rsid w:val="00AC19F6"/>
    <w:rsid w:val="00AD1D1F"/>
    <w:rsid w:val="00B01B1A"/>
    <w:rsid w:val="00B023E1"/>
    <w:rsid w:val="00B0429C"/>
    <w:rsid w:val="00B23BA1"/>
    <w:rsid w:val="00B2560E"/>
    <w:rsid w:val="00B350FE"/>
    <w:rsid w:val="00B403F3"/>
    <w:rsid w:val="00B41E30"/>
    <w:rsid w:val="00B45CE8"/>
    <w:rsid w:val="00B54B1C"/>
    <w:rsid w:val="00B64A83"/>
    <w:rsid w:val="00B66319"/>
    <w:rsid w:val="00B66B46"/>
    <w:rsid w:val="00B70BDA"/>
    <w:rsid w:val="00B72CD3"/>
    <w:rsid w:val="00B72FFF"/>
    <w:rsid w:val="00B74C13"/>
    <w:rsid w:val="00B84C3E"/>
    <w:rsid w:val="00B87FBD"/>
    <w:rsid w:val="00B90497"/>
    <w:rsid w:val="00BA7AA4"/>
    <w:rsid w:val="00BB5A06"/>
    <w:rsid w:val="00BC3D36"/>
    <w:rsid w:val="00BD7F72"/>
    <w:rsid w:val="00BE36F8"/>
    <w:rsid w:val="00C04FB3"/>
    <w:rsid w:val="00C203C3"/>
    <w:rsid w:val="00C241FC"/>
    <w:rsid w:val="00C273C3"/>
    <w:rsid w:val="00C314FE"/>
    <w:rsid w:val="00C330EB"/>
    <w:rsid w:val="00C41061"/>
    <w:rsid w:val="00C5014F"/>
    <w:rsid w:val="00C63058"/>
    <w:rsid w:val="00C653EC"/>
    <w:rsid w:val="00C754BE"/>
    <w:rsid w:val="00C76B1C"/>
    <w:rsid w:val="00C76C5B"/>
    <w:rsid w:val="00C84124"/>
    <w:rsid w:val="00C8467B"/>
    <w:rsid w:val="00C90C14"/>
    <w:rsid w:val="00C91AF4"/>
    <w:rsid w:val="00C9219A"/>
    <w:rsid w:val="00CA01D8"/>
    <w:rsid w:val="00CB1A91"/>
    <w:rsid w:val="00CB6357"/>
    <w:rsid w:val="00CC08E9"/>
    <w:rsid w:val="00CC1B26"/>
    <w:rsid w:val="00CC5B40"/>
    <w:rsid w:val="00CE429E"/>
    <w:rsid w:val="00CE58F3"/>
    <w:rsid w:val="00D3590B"/>
    <w:rsid w:val="00D423A2"/>
    <w:rsid w:val="00D51C81"/>
    <w:rsid w:val="00D520D8"/>
    <w:rsid w:val="00D57E44"/>
    <w:rsid w:val="00D63AC2"/>
    <w:rsid w:val="00D7383B"/>
    <w:rsid w:val="00D73921"/>
    <w:rsid w:val="00D75DA2"/>
    <w:rsid w:val="00DA231B"/>
    <w:rsid w:val="00DC39FC"/>
    <w:rsid w:val="00DF5254"/>
    <w:rsid w:val="00E10F5E"/>
    <w:rsid w:val="00E16408"/>
    <w:rsid w:val="00E20894"/>
    <w:rsid w:val="00E245AB"/>
    <w:rsid w:val="00E25A6A"/>
    <w:rsid w:val="00E2764C"/>
    <w:rsid w:val="00E27F2E"/>
    <w:rsid w:val="00E34BD8"/>
    <w:rsid w:val="00E5014D"/>
    <w:rsid w:val="00E50AFE"/>
    <w:rsid w:val="00E72E05"/>
    <w:rsid w:val="00E75C92"/>
    <w:rsid w:val="00E771DC"/>
    <w:rsid w:val="00E8182D"/>
    <w:rsid w:val="00E82223"/>
    <w:rsid w:val="00E8772A"/>
    <w:rsid w:val="00E90F6B"/>
    <w:rsid w:val="00E92C27"/>
    <w:rsid w:val="00EA0E3D"/>
    <w:rsid w:val="00EA228B"/>
    <w:rsid w:val="00EA70F7"/>
    <w:rsid w:val="00EC197C"/>
    <w:rsid w:val="00EC38A7"/>
    <w:rsid w:val="00EC5C8D"/>
    <w:rsid w:val="00ED46C7"/>
    <w:rsid w:val="00ED706A"/>
    <w:rsid w:val="00ED7384"/>
    <w:rsid w:val="00EE0E6D"/>
    <w:rsid w:val="00EE1AA8"/>
    <w:rsid w:val="00EE5E6E"/>
    <w:rsid w:val="00EF736C"/>
    <w:rsid w:val="00F13A99"/>
    <w:rsid w:val="00F23114"/>
    <w:rsid w:val="00F30C63"/>
    <w:rsid w:val="00F31EDC"/>
    <w:rsid w:val="00F462B3"/>
    <w:rsid w:val="00F5664F"/>
    <w:rsid w:val="00F572DF"/>
    <w:rsid w:val="00F666C4"/>
    <w:rsid w:val="00F76AFC"/>
    <w:rsid w:val="00F96FA7"/>
    <w:rsid w:val="00FA0AFB"/>
    <w:rsid w:val="00FA3CFE"/>
    <w:rsid w:val="00FA47C0"/>
    <w:rsid w:val="00FB5DD1"/>
    <w:rsid w:val="00FC13EB"/>
    <w:rsid w:val="00FC2B5D"/>
    <w:rsid w:val="00FC6FA1"/>
    <w:rsid w:val="00FF1449"/>
    <w:rsid w:val="165E9519"/>
    <w:rsid w:val="382536D9"/>
    <w:rsid w:val="6EFDAB80"/>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5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E8182D"/>
    <w:rPr>
      <w:rFonts w:ascii="Geomanist Light" w:hAnsi="Geomanist Light"/>
      <w:lang w:val="es-ES"/>
    </w:rPr>
  </w:style>
  <w:style w:type="paragraph" w:customStyle="1" w:styleId="Appelnotedebasde">
    <w:name w:val="Appel note de bas de..."/>
    <w:basedOn w:val="Normal"/>
    <w:link w:val="Refdenotaalpie"/>
    <w:uiPriority w:val="99"/>
    <w:rsid w:val="00E8182D"/>
    <w:pPr>
      <w:spacing w:line="240" w:lineRule="exact"/>
    </w:pPr>
    <w:rPr>
      <w:vertAlign w:val="superscript"/>
    </w:rPr>
  </w:style>
  <w:style w:type="character" w:styleId="Refdecomentario">
    <w:name w:val="annotation reference"/>
    <w:basedOn w:val="Fuentedeprrafopredeter"/>
    <w:uiPriority w:val="99"/>
    <w:semiHidden/>
    <w:unhideWhenUsed/>
    <w:rsid w:val="00BA7AA4"/>
    <w:rPr>
      <w:sz w:val="16"/>
      <w:szCs w:val="16"/>
    </w:rPr>
  </w:style>
  <w:style w:type="paragraph" w:styleId="Textocomentario">
    <w:name w:val="annotation text"/>
    <w:basedOn w:val="Normal"/>
    <w:link w:val="TextocomentarioCar"/>
    <w:uiPriority w:val="99"/>
    <w:unhideWhenUsed/>
    <w:rsid w:val="00BA7AA4"/>
    <w:pPr>
      <w:spacing w:line="240" w:lineRule="auto"/>
    </w:pPr>
    <w:rPr>
      <w:sz w:val="20"/>
      <w:szCs w:val="20"/>
    </w:rPr>
  </w:style>
  <w:style w:type="character" w:customStyle="1" w:styleId="TextocomentarioCar">
    <w:name w:val="Texto comentario Car"/>
    <w:basedOn w:val="Fuentedeprrafopredeter"/>
    <w:link w:val="Textocomentario"/>
    <w:uiPriority w:val="99"/>
    <w:rsid w:val="00BA7AA4"/>
    <w:rPr>
      <w:sz w:val="20"/>
      <w:szCs w:val="20"/>
    </w:rPr>
  </w:style>
  <w:style w:type="paragraph" w:styleId="Asuntodelcomentario">
    <w:name w:val="annotation subject"/>
    <w:basedOn w:val="Textocomentario"/>
    <w:next w:val="Textocomentario"/>
    <w:link w:val="AsuntodelcomentarioCar"/>
    <w:uiPriority w:val="99"/>
    <w:semiHidden/>
    <w:unhideWhenUsed/>
    <w:rsid w:val="00BA7AA4"/>
    <w:rPr>
      <w:b/>
      <w:bCs/>
    </w:rPr>
  </w:style>
  <w:style w:type="character" w:customStyle="1" w:styleId="AsuntodelcomentarioCar">
    <w:name w:val="Asunto del comentario Car"/>
    <w:basedOn w:val="TextocomentarioCar"/>
    <w:link w:val="Asuntodelcomentario"/>
    <w:uiPriority w:val="99"/>
    <w:semiHidden/>
    <w:rsid w:val="00BA7AA4"/>
    <w:rPr>
      <w:b/>
      <w:bCs/>
      <w:sz w:val="20"/>
      <w:szCs w:val="20"/>
    </w:rPr>
  </w:style>
  <w:style w:type="paragraph" w:styleId="Textoindependiente">
    <w:name w:val="Body Text"/>
    <w:basedOn w:val="Normal"/>
    <w:link w:val="TextoindependienteCar"/>
    <w:uiPriority w:val="1"/>
    <w:qFormat/>
    <w:rsid w:val="00CE429E"/>
    <w:pPr>
      <w:widowControl w:val="0"/>
      <w:autoSpaceDE w:val="0"/>
      <w:autoSpaceDN w:val="0"/>
      <w:spacing w:after="0" w:line="240" w:lineRule="auto"/>
    </w:pPr>
    <w:rPr>
      <w:rFonts w:ascii="Arial" w:eastAsia="Arial" w:hAnsi="Arial" w:cs="Arial"/>
      <w:lang w:val="es-ES"/>
    </w:rPr>
  </w:style>
  <w:style w:type="character" w:customStyle="1" w:styleId="TextoindependienteCar">
    <w:name w:val="Texto independiente Car"/>
    <w:basedOn w:val="Fuentedeprrafopredeter"/>
    <w:link w:val="Textoindependiente"/>
    <w:uiPriority w:val="1"/>
    <w:rsid w:val="00CE429E"/>
    <w:rPr>
      <w:rFonts w:ascii="Arial" w:eastAsia="Arial" w:hAnsi="Arial" w:cs="Arial"/>
      <w:lang w:val="es-ES"/>
    </w:rPr>
  </w:style>
  <w:style w:type="character" w:styleId="Fuerte">
    <w:name w:val="Strong"/>
    <w:basedOn w:val="Fuentedeprrafopredeter"/>
    <w:uiPriority w:val="22"/>
    <w:qFormat/>
    <w:rsid w:val="001D1756"/>
    <w:rPr>
      <w:b/>
      <w:bCs/>
    </w:rPr>
  </w:style>
  <w:style w:type="paragraph" w:styleId="Sinespaciado">
    <w:name w:val="No Spacing"/>
    <w:aliases w:val="No Indent"/>
    <w:uiPriority w:val="1"/>
    <w:qFormat/>
    <w:rsid w:val="00C653EC"/>
    <w:pPr>
      <w:spacing w:after="0" w:line="240" w:lineRule="auto"/>
    </w:pPr>
    <w:rPr>
      <w:sz w:val="24"/>
      <w:lang w:val="es-MX"/>
    </w:rPr>
  </w:style>
  <w:style w:type="table" w:customStyle="1" w:styleId="Tablaconcuadrcula10">
    <w:name w:val="Tabla con cuadrícula10"/>
    <w:basedOn w:val="Tablanormal"/>
    <w:next w:val="Tablaconcuadrcula"/>
    <w:uiPriority w:val="59"/>
    <w:rsid w:val="00B87F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ar">
    <w:name w:val="Normal (Web) Car"/>
    <w:link w:val="NormalWeb"/>
    <w:uiPriority w:val="99"/>
    <w:rsid w:val="000B6B58"/>
    <w:rPr>
      <w:rFonts w:ascii="Times New Roman" w:eastAsia="Times New Roman" w:hAnsi="Times New Roman" w:cs="Times New Roman"/>
      <w:sz w:val="24"/>
      <w:szCs w:val="24"/>
      <w:lang w:eastAsia="es-CO"/>
    </w:rPr>
  </w:style>
  <w:style w:type="character" w:customStyle="1" w:styleId="baj">
    <w:name w:val="b_aj"/>
    <w:basedOn w:val="Fuentedeprrafopredeter"/>
    <w:rsid w:val="00501A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luisabriascos@gmail.com"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www.colombiacompra.gov.co%2Fmanuales-guias-y-pliegos-tipo%2Fmanuales-y-guias%2Fguia-de-contratacion-publica-sostenible-y-socialmente&amp;data=05%7C02%7Ctatiana.baquero%40colombiacompra.gov.co%7Cb18b651bca3a4eb8eab008dd269b400d%7C7b09041e245149d08cb179d5e3d8c1be%7C0%7C0%7C638709170413433972%7CUnknown%7CTWFpbGZsb3d8eyJFbXB0eU1hcGkiOnRydWUsIlYiOiIwLjAuMDAwMCIsIlAiOiJXaW4zMiIsIkFOIjoiTWFpbCIsIldUIjoyfQ%3D%3D%7C0%7C%7C%7C&amp;sdata=KcIZjNQCyhSYqCBJKaUzRmkm%2F%2BX5KfyJ0BFpHPOyyuQ%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10BDF07-09C2-420D-A32A-B206C5121617}">
  <ds:schemaRefs>
    <ds:schemaRef ds:uri="http://schemas.openxmlformats.org/officeDocument/2006/bibliography"/>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4.xml><?xml version="1.0" encoding="utf-8"?>
<ds:datastoreItem xmlns:ds="http://schemas.openxmlformats.org/officeDocument/2006/customXml" ds:itemID="{85FBE7CC-19EC-4434-8E5F-FEA8057883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16</Pages>
  <Words>5692</Words>
  <Characters>31137</Characters>
  <Application>Microsoft Office Word</Application>
  <DocSecurity>0</DocSecurity>
  <Lines>598</Lines>
  <Paragraphs>116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4</cp:revision>
  <cp:lastPrinted>2023-01-10T21:18:00Z</cp:lastPrinted>
  <dcterms:created xsi:type="dcterms:W3CDTF">2026-03-24T00:45:00Z</dcterms:created>
  <dcterms:modified xsi:type="dcterms:W3CDTF">2026-03-25T01:51:00Z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