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5ECA3D" w14:textId="77777777" w:rsidR="003E157B" w:rsidRPr="00642EA6" w:rsidRDefault="003E157B" w:rsidP="003E157B">
      <w:pPr>
        <w:spacing w:after="0" w:line="240" w:lineRule="auto"/>
        <w:jc w:val="both"/>
        <w:rPr>
          <w:rFonts w:ascii="Verdana" w:eastAsia="Aptos" w:hAnsi="Verdana" w:cs="Times New Roman"/>
          <w:b/>
          <w:bCs/>
          <w:kern w:val="2"/>
          <w14:ligatures w14:val="standardContextual"/>
        </w:rPr>
      </w:pPr>
      <w:r w:rsidRPr="00642EA6">
        <w:rPr>
          <w:rFonts w:ascii="Verdana" w:eastAsia="Aptos" w:hAnsi="Verdana" w:cs="Times New Roman"/>
          <w:b/>
          <w:bCs/>
          <w:kern w:val="2"/>
          <w14:ligatures w14:val="standardContextual"/>
        </w:rPr>
        <w:t>ENTIDADES CON RÉGIMEN ESPECIAL DE CONTRATACIÓN – Deber de publicidad – SECOP II – Actividad contractual – Recursos públicos</w:t>
      </w:r>
    </w:p>
    <w:p w14:paraId="25817522" w14:textId="77777777" w:rsidR="003E157B" w:rsidRPr="00642EA6" w:rsidRDefault="003E157B" w:rsidP="003E157B">
      <w:pPr>
        <w:spacing w:after="0" w:line="278" w:lineRule="auto"/>
        <w:jc w:val="both"/>
        <w:rPr>
          <w:rFonts w:ascii="Verdana" w:eastAsia="Aptos" w:hAnsi="Verdana" w:cs="Times New Roman"/>
          <w:b/>
          <w:bCs/>
          <w:kern w:val="2"/>
          <w14:ligatures w14:val="standardContextual"/>
        </w:rPr>
      </w:pPr>
    </w:p>
    <w:p w14:paraId="72774D33" w14:textId="77777777" w:rsidR="003E157B" w:rsidRPr="00642EA6" w:rsidRDefault="003E157B" w:rsidP="003E157B">
      <w:pPr>
        <w:spacing w:after="0" w:line="240" w:lineRule="auto"/>
        <w:jc w:val="both"/>
        <w:rPr>
          <w:rFonts w:ascii="Verdana" w:eastAsia="Aptos" w:hAnsi="Verdana" w:cs="Times New Roman"/>
          <w:kern w:val="2"/>
          <w:sz w:val="20"/>
          <w:szCs w:val="20"/>
          <w14:ligatures w14:val="standardContextual"/>
        </w:rPr>
      </w:pPr>
      <w:r w:rsidRPr="00642EA6">
        <w:rPr>
          <w:rFonts w:ascii="Verdana" w:eastAsia="Aptos" w:hAnsi="Verdana" w:cs="Times New Roman"/>
          <w:kern w:val="2"/>
          <w:sz w:val="20"/>
          <w:szCs w:val="20"/>
          <w14:ligatures w14:val="standardContextual"/>
        </w:rPr>
        <w:t>[…] las Entidades Estatales, conforme al artículo 2.2.1.1.1.7.1 del Decreto 1082 de 2015, tienen la obligación de publicar en el SECOP “[…] los Documentos del Proceso y los actos administrativos del Proceso de Contratación, dentro de los tres (3) días siguientes a su expedición […]”. Sin embargo, en lo referente a las Entidades exceptuadas del EGCAP, es decir aquellas que se rigen por disposiciones especiales y el derecho privado, debe señalarse que en virtud de lo dispuesto en el artículo 53 de la Ley 2195 de 2022, mediante el cual se adiciona el artículo 13 a la Ley 1150 de 2007, asigna a dichas entidades la obligación de publicar los documentos relacionados con su actividad contractual en el SECOP II o la plataforma transaccional que haga sus veces.</w:t>
      </w:r>
    </w:p>
    <w:p w14:paraId="65D9920A" w14:textId="77777777" w:rsidR="003E157B" w:rsidRPr="00642EA6" w:rsidRDefault="003E157B" w:rsidP="003E157B">
      <w:pPr>
        <w:spacing w:after="0" w:line="278" w:lineRule="auto"/>
        <w:jc w:val="both"/>
        <w:rPr>
          <w:rFonts w:ascii="Verdana" w:eastAsia="Aptos" w:hAnsi="Verdana" w:cs="Times New Roman"/>
          <w:kern w:val="2"/>
          <w:sz w:val="20"/>
          <w:szCs w:val="20"/>
          <w14:ligatures w14:val="standardContextual"/>
        </w:rPr>
      </w:pPr>
      <w:r w:rsidRPr="00642EA6">
        <w:rPr>
          <w:rFonts w:ascii="Verdana" w:eastAsia="Aptos" w:hAnsi="Verdana" w:cs="Times New Roman"/>
          <w:kern w:val="2"/>
          <w:sz w:val="20"/>
          <w:szCs w:val="20"/>
          <w14:ligatures w14:val="standardContextual"/>
        </w:rPr>
        <w:t>[…]</w:t>
      </w:r>
    </w:p>
    <w:p w14:paraId="66C474DA" w14:textId="77777777" w:rsidR="003E157B" w:rsidRPr="00642EA6" w:rsidRDefault="003E157B" w:rsidP="003E157B">
      <w:pPr>
        <w:spacing w:after="0" w:line="240" w:lineRule="auto"/>
        <w:jc w:val="both"/>
        <w:rPr>
          <w:rFonts w:ascii="Verdana" w:eastAsia="Aptos" w:hAnsi="Verdana" w:cs="Times New Roman"/>
          <w:kern w:val="2"/>
          <w:sz w:val="20"/>
          <w:szCs w:val="20"/>
          <w14:ligatures w14:val="standardContextual"/>
        </w:rPr>
      </w:pPr>
      <w:r w:rsidRPr="00642EA6">
        <w:rPr>
          <w:rFonts w:ascii="Verdana" w:eastAsia="Aptos" w:hAnsi="Verdana" w:cs="Times New Roman"/>
          <w:kern w:val="2"/>
          <w:sz w:val="20"/>
          <w:szCs w:val="20"/>
          <w14:ligatures w14:val="standardContextual"/>
        </w:rPr>
        <w:t>[…]debe entenderse que la contratación a la que se refiere el artículo 53 de la Ley 2195 de 2024, es aquella realizada con recursos públicos, cuya información es la que debe publicarse en el SECOP II, acorde con la interpretación sistemática que permite armonizar la referida norma con todo el contexto normativo que establece que en dicha plataforma se debe publicar sólo la información relativa a la actividad contractual con dineros públicos. Así las cosas, la Agencia Nacional de Contratación Pública – Colombia Compra Eficiente considera que la modificación introducida por el artículo 53 de la Ley 2195 de 2022 no afecta la interpretación adoptada hasta el momento, en el sentido de que la publicación de la información oficial de la contratación en el SECOP II debe realizarse si los negocios jurídicos adelantados fueron financiados con recursos públicos.</w:t>
      </w:r>
    </w:p>
    <w:p w14:paraId="19C3CCA1" w14:textId="77777777" w:rsidR="003E157B" w:rsidRPr="00501236" w:rsidRDefault="003E157B" w:rsidP="003E157B">
      <w:pPr>
        <w:spacing w:after="0" w:line="240" w:lineRule="auto"/>
        <w:jc w:val="both"/>
        <w:rPr>
          <w:rFonts w:ascii="Verdana" w:eastAsia="Calibri" w:hAnsi="Verdana" w:cs="Arial"/>
          <w:sz w:val="20"/>
          <w:szCs w:val="20"/>
        </w:rPr>
      </w:pPr>
    </w:p>
    <w:p w14:paraId="74FD8CE1" w14:textId="77777777" w:rsidR="00616168" w:rsidRDefault="00616168" w:rsidP="00616168">
      <w:pPr>
        <w:spacing w:after="0" w:line="240" w:lineRule="auto"/>
        <w:jc w:val="both"/>
        <w:rPr>
          <w:rFonts w:ascii="Verdana" w:eastAsia="Calibri" w:hAnsi="Verdana" w:cs="Arial"/>
          <w:lang w:val="es-ES" w:eastAsia="es-ES"/>
        </w:rPr>
      </w:pPr>
    </w:p>
    <w:p w14:paraId="37758E60" w14:textId="77777777" w:rsidR="00E31648" w:rsidRDefault="00E31648" w:rsidP="00E6227E">
      <w:pPr>
        <w:spacing w:after="0" w:line="240" w:lineRule="auto"/>
        <w:rPr>
          <w:lang w:val="es-ES"/>
        </w:rPr>
      </w:pPr>
    </w:p>
    <w:p w14:paraId="4254937A" w14:textId="77777777" w:rsidR="00E31648" w:rsidRDefault="00E31648" w:rsidP="00E6227E">
      <w:pPr>
        <w:spacing w:after="0" w:line="240" w:lineRule="auto"/>
        <w:rPr>
          <w:lang w:val="es-ES"/>
        </w:rPr>
      </w:pPr>
    </w:p>
    <w:p w14:paraId="46375D3F" w14:textId="77777777" w:rsidR="00E31648" w:rsidRDefault="00E31648" w:rsidP="00E6227E">
      <w:pPr>
        <w:spacing w:after="0" w:line="240" w:lineRule="auto"/>
        <w:rPr>
          <w:lang w:val="es-ES"/>
        </w:rPr>
      </w:pPr>
    </w:p>
    <w:p w14:paraId="63DA0C5D" w14:textId="77777777" w:rsidR="003E157B" w:rsidRDefault="003E157B" w:rsidP="00E6227E">
      <w:pPr>
        <w:spacing w:after="0" w:line="240" w:lineRule="auto"/>
        <w:rPr>
          <w:lang w:val="es-ES"/>
        </w:rPr>
      </w:pPr>
    </w:p>
    <w:p w14:paraId="46239600" w14:textId="77777777" w:rsidR="003E157B" w:rsidRDefault="003E157B" w:rsidP="00E6227E">
      <w:pPr>
        <w:spacing w:after="0" w:line="240" w:lineRule="auto"/>
        <w:rPr>
          <w:lang w:val="es-ES"/>
        </w:rPr>
      </w:pPr>
    </w:p>
    <w:p w14:paraId="175DF48F" w14:textId="77777777" w:rsidR="003E157B" w:rsidRDefault="003E157B" w:rsidP="00E6227E">
      <w:pPr>
        <w:spacing w:after="0" w:line="240" w:lineRule="auto"/>
        <w:rPr>
          <w:lang w:val="es-ES"/>
        </w:rPr>
      </w:pPr>
    </w:p>
    <w:p w14:paraId="49DBB210" w14:textId="77777777" w:rsidR="003E157B" w:rsidRDefault="003E157B" w:rsidP="00E6227E">
      <w:pPr>
        <w:spacing w:after="0" w:line="240" w:lineRule="auto"/>
        <w:rPr>
          <w:lang w:val="es-ES"/>
        </w:rPr>
      </w:pPr>
    </w:p>
    <w:p w14:paraId="2FFB4877" w14:textId="77777777" w:rsidR="003E157B" w:rsidRDefault="003E157B" w:rsidP="00E6227E">
      <w:pPr>
        <w:spacing w:after="0" w:line="240" w:lineRule="auto"/>
        <w:rPr>
          <w:lang w:val="es-ES"/>
        </w:rPr>
      </w:pPr>
    </w:p>
    <w:p w14:paraId="6730526C" w14:textId="77777777" w:rsidR="003E157B" w:rsidRDefault="003E157B" w:rsidP="00E6227E">
      <w:pPr>
        <w:spacing w:after="0" w:line="240" w:lineRule="auto"/>
        <w:rPr>
          <w:lang w:val="es-ES"/>
        </w:rPr>
      </w:pPr>
    </w:p>
    <w:p w14:paraId="26746EA8" w14:textId="77777777" w:rsidR="003E157B" w:rsidRDefault="003E157B" w:rsidP="00E6227E">
      <w:pPr>
        <w:spacing w:after="0" w:line="240" w:lineRule="auto"/>
        <w:rPr>
          <w:lang w:val="es-ES"/>
        </w:rPr>
      </w:pPr>
    </w:p>
    <w:p w14:paraId="556BC9B8" w14:textId="77777777" w:rsidR="003E157B" w:rsidRDefault="003E157B" w:rsidP="00E6227E">
      <w:pPr>
        <w:spacing w:after="0" w:line="240" w:lineRule="auto"/>
        <w:rPr>
          <w:lang w:val="es-ES"/>
        </w:rPr>
      </w:pPr>
    </w:p>
    <w:p w14:paraId="1403E256" w14:textId="77777777" w:rsidR="003E157B" w:rsidRDefault="003E157B" w:rsidP="00E6227E">
      <w:pPr>
        <w:spacing w:after="0" w:line="240" w:lineRule="auto"/>
        <w:rPr>
          <w:lang w:val="es-ES"/>
        </w:rPr>
      </w:pPr>
    </w:p>
    <w:p w14:paraId="74BABC33" w14:textId="77777777" w:rsidR="003E157B" w:rsidRDefault="003E157B" w:rsidP="00E6227E">
      <w:pPr>
        <w:spacing w:after="0" w:line="240" w:lineRule="auto"/>
        <w:rPr>
          <w:lang w:val="es-ES"/>
        </w:rPr>
      </w:pPr>
    </w:p>
    <w:p w14:paraId="483F1521" w14:textId="77777777" w:rsidR="003E157B" w:rsidRDefault="003E157B" w:rsidP="00E6227E">
      <w:pPr>
        <w:spacing w:after="0" w:line="240" w:lineRule="auto"/>
        <w:rPr>
          <w:lang w:val="es-ES"/>
        </w:rPr>
      </w:pPr>
    </w:p>
    <w:p w14:paraId="0DC4DC0F" w14:textId="77777777" w:rsidR="003E157B" w:rsidRDefault="003E157B" w:rsidP="00E6227E">
      <w:pPr>
        <w:spacing w:after="0" w:line="240" w:lineRule="auto"/>
        <w:rPr>
          <w:lang w:val="es-ES"/>
        </w:rPr>
      </w:pPr>
    </w:p>
    <w:p w14:paraId="729DCF39" w14:textId="77777777" w:rsidR="003E157B" w:rsidRDefault="003E157B" w:rsidP="00E6227E">
      <w:pPr>
        <w:spacing w:after="0" w:line="240" w:lineRule="auto"/>
        <w:rPr>
          <w:lang w:val="es-ES"/>
        </w:rPr>
      </w:pPr>
    </w:p>
    <w:p w14:paraId="2794DEC4" w14:textId="77777777" w:rsidR="00E31648" w:rsidRDefault="00E31648" w:rsidP="00E6227E">
      <w:pPr>
        <w:spacing w:after="0" w:line="240" w:lineRule="auto"/>
        <w:rPr>
          <w:lang w:val="es-ES"/>
        </w:rPr>
      </w:pPr>
    </w:p>
    <w:p w14:paraId="5AA3A62D" w14:textId="77777777" w:rsidR="00E31648" w:rsidRDefault="00E31648" w:rsidP="00E6227E">
      <w:pPr>
        <w:spacing w:after="0" w:line="240" w:lineRule="auto"/>
        <w:rPr>
          <w:lang w:val="es-ES"/>
        </w:rPr>
      </w:pPr>
    </w:p>
    <w:p w14:paraId="32F54CC5" w14:textId="77777777" w:rsidR="00E31648" w:rsidRDefault="00E31648" w:rsidP="00E6227E">
      <w:pPr>
        <w:spacing w:after="0" w:line="240" w:lineRule="auto"/>
        <w:rPr>
          <w:lang w:val="es-ES"/>
        </w:rPr>
      </w:pPr>
    </w:p>
    <w:p w14:paraId="122D4385" w14:textId="77777777" w:rsidR="00E31648" w:rsidRDefault="00E31648" w:rsidP="00E6227E">
      <w:pPr>
        <w:spacing w:after="0" w:line="240" w:lineRule="auto"/>
        <w:rPr>
          <w:lang w:val="es-ES"/>
        </w:rPr>
      </w:pPr>
    </w:p>
    <w:p w14:paraId="49508F0D" w14:textId="1993BD73" w:rsidR="005B261C" w:rsidRPr="00E31648" w:rsidRDefault="00C562D4" w:rsidP="00E6227E">
      <w:pPr>
        <w:spacing w:after="0" w:line="240" w:lineRule="auto"/>
      </w:pPr>
      <w:r w:rsidRPr="00C562D4">
        <w:rPr>
          <w:rFonts w:ascii="Verdana" w:eastAsia="Calibri" w:hAnsi="Verdana" w:cs="Arial"/>
          <w:color w:val="000000" w:themeColor="text1"/>
        </w:rPr>
        <w:t xml:space="preserve">Bogotá D.C., </w:t>
      </w:r>
      <w:r w:rsidR="00096CB6">
        <w:rPr>
          <w:rFonts w:ascii="Verdana" w:eastAsia="Calibri" w:hAnsi="Verdana" w:cs="Arial"/>
          <w:color w:val="000000" w:themeColor="text1"/>
        </w:rPr>
        <w:t>3</w:t>
      </w:r>
      <w:r w:rsidR="001E4D2C">
        <w:rPr>
          <w:rFonts w:ascii="Verdana" w:eastAsia="Calibri" w:hAnsi="Verdana" w:cs="Arial"/>
          <w:color w:val="000000" w:themeColor="text1"/>
        </w:rPr>
        <w:t>1</w:t>
      </w:r>
      <w:r w:rsidRPr="00C562D4">
        <w:rPr>
          <w:rFonts w:ascii="Verdana" w:eastAsia="Calibri" w:hAnsi="Verdana" w:cs="Arial"/>
          <w:color w:val="000000" w:themeColor="text1"/>
        </w:rPr>
        <w:t xml:space="preserve"> de </w:t>
      </w:r>
      <w:r w:rsidR="00096CB6">
        <w:rPr>
          <w:rFonts w:ascii="Verdana" w:eastAsia="Calibri" w:hAnsi="Verdana" w:cs="Arial"/>
          <w:color w:val="000000" w:themeColor="text1"/>
        </w:rPr>
        <w:t>diciembre</w:t>
      </w:r>
      <w:r w:rsidRPr="00C562D4">
        <w:rPr>
          <w:rFonts w:ascii="Verdana" w:eastAsia="Calibri" w:hAnsi="Verdana" w:cs="Arial"/>
          <w:color w:val="000000" w:themeColor="text1"/>
        </w:rPr>
        <w:t xml:space="preserve"> de 2025</w:t>
      </w:r>
    </w:p>
    <w:p w14:paraId="328CC329" w14:textId="63903BC0" w:rsidR="005B261C" w:rsidRDefault="00B532AE" w:rsidP="00B532AE">
      <w:pPr>
        <w:spacing w:after="0" w:line="240" w:lineRule="auto"/>
        <w:ind w:left="5103"/>
        <w:jc w:val="both"/>
        <w:rPr>
          <w:rFonts w:ascii="Verdana" w:eastAsia="Calibri" w:hAnsi="Verdana" w:cs="Arial"/>
          <w:color w:val="000000" w:themeColor="text1"/>
          <w:lang w:val="es-ES"/>
        </w:rPr>
      </w:pPr>
      <w:r>
        <w:rPr>
          <w:rFonts w:ascii="Verdana" w:eastAsia="Calibri" w:hAnsi="Verdana" w:cs="Arial"/>
          <w:noProof/>
          <w:color w:val="000000" w:themeColor="text1"/>
          <w:lang w:val="es-ES"/>
        </w:rPr>
        <w:drawing>
          <wp:inline distT="0" distB="0" distL="0" distR="0" wp14:anchorId="2F512D50" wp14:editId="58441381">
            <wp:extent cx="3048000" cy="97790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1">
                      <a:extLst>
                        <a:ext uri="{28A0092B-C50C-407E-A947-70E740481C1C}">
                          <a14:useLocalDpi xmlns:a14="http://schemas.microsoft.com/office/drawing/2010/main" val="0"/>
                        </a:ext>
                      </a:extLst>
                    </a:blip>
                    <a:stretch>
                      <a:fillRect/>
                    </a:stretch>
                  </pic:blipFill>
                  <pic:spPr>
                    <a:xfrm>
                      <a:off x="0" y="0"/>
                      <a:ext cx="3048000" cy="977900"/>
                    </a:xfrm>
                    <a:prstGeom prst="rect">
                      <a:avLst/>
                    </a:prstGeom>
                  </pic:spPr>
                </pic:pic>
              </a:graphicData>
            </a:graphic>
          </wp:inline>
        </w:drawing>
      </w:r>
    </w:p>
    <w:p w14:paraId="5D27C2C6" w14:textId="574DD757" w:rsidR="005B261C" w:rsidRPr="00115E3D" w:rsidRDefault="005B261C" w:rsidP="005B261C">
      <w:pPr>
        <w:spacing w:after="0" w:line="240" w:lineRule="auto"/>
        <w:jc w:val="both"/>
        <w:rPr>
          <w:rFonts w:ascii="Verdana" w:eastAsia="Calibri" w:hAnsi="Verdana" w:cs="Arial"/>
          <w:color w:val="000000" w:themeColor="text1"/>
          <w:lang w:val="es-ES"/>
        </w:rPr>
      </w:pPr>
    </w:p>
    <w:p w14:paraId="59681FB0" w14:textId="77777777" w:rsidR="005B261C" w:rsidRPr="00115E3D" w:rsidRDefault="005B261C" w:rsidP="005B261C">
      <w:pPr>
        <w:spacing w:after="0" w:line="240" w:lineRule="auto"/>
        <w:jc w:val="both"/>
        <w:rPr>
          <w:rFonts w:ascii="Verdana" w:eastAsia="Calibri" w:hAnsi="Verdana" w:cs="Arial"/>
          <w:color w:val="000000" w:themeColor="text1"/>
          <w:lang w:val="es-ES" w:eastAsia="es-ES"/>
        </w:rPr>
      </w:pPr>
      <w:r w:rsidRPr="00115E3D">
        <w:rPr>
          <w:rFonts w:ascii="Verdana" w:eastAsia="Calibri" w:hAnsi="Verdana" w:cs="Arial"/>
          <w:color w:val="000000" w:themeColor="text1"/>
          <w:lang w:val="es-ES" w:eastAsia="es-ES"/>
        </w:rPr>
        <w:t>Señor</w:t>
      </w:r>
    </w:p>
    <w:p w14:paraId="709C71AA" w14:textId="77777777" w:rsidR="007E403E" w:rsidRDefault="007E403E" w:rsidP="005B261C">
      <w:pPr>
        <w:spacing w:after="0" w:line="240" w:lineRule="auto"/>
        <w:rPr>
          <w:rFonts w:ascii="Verdana" w:eastAsia="Calibri" w:hAnsi="Verdana" w:cs="Arial"/>
          <w:b/>
          <w:bCs/>
          <w:color w:val="000000" w:themeColor="text1"/>
          <w:lang w:eastAsia="es-ES"/>
        </w:rPr>
      </w:pPr>
      <w:r w:rsidRPr="007E403E">
        <w:rPr>
          <w:rFonts w:ascii="Verdana" w:eastAsia="Calibri" w:hAnsi="Verdana" w:cs="Arial"/>
          <w:b/>
          <w:bCs/>
          <w:color w:val="000000" w:themeColor="text1"/>
          <w:lang w:eastAsia="es-ES"/>
        </w:rPr>
        <w:t>MAIRA ALEJANDRA LÓPEZ CAÑAVERAL</w:t>
      </w:r>
    </w:p>
    <w:p w14:paraId="402A1141" w14:textId="03023132" w:rsidR="007E403E" w:rsidRDefault="00000000" w:rsidP="005B261C">
      <w:pPr>
        <w:spacing w:after="0" w:line="240" w:lineRule="auto"/>
        <w:rPr>
          <w:rFonts w:ascii="Verdana" w:hAnsi="Verdana"/>
        </w:rPr>
      </w:pPr>
      <w:hyperlink r:id="rId12" w:history="1">
        <w:r w:rsidR="007E403E" w:rsidRPr="00703C22">
          <w:rPr>
            <w:rStyle w:val="Hipervnculo"/>
            <w:rFonts w:ascii="Verdana" w:hAnsi="Verdana"/>
          </w:rPr>
          <w:t>mairalejandralc@gmail.com</w:t>
        </w:r>
      </w:hyperlink>
    </w:p>
    <w:p w14:paraId="5D6398D3" w14:textId="280099E5" w:rsidR="005B261C" w:rsidRPr="00CB7ABE" w:rsidRDefault="007E403E" w:rsidP="005B261C">
      <w:pPr>
        <w:spacing w:after="0" w:line="240" w:lineRule="auto"/>
        <w:rPr>
          <w:rFonts w:ascii="Verdana" w:eastAsia="Calibri" w:hAnsi="Verdana" w:cs="Arial"/>
          <w:b/>
          <w:bCs/>
          <w:color w:val="000000" w:themeColor="text1"/>
          <w:lang w:eastAsia="es-ES"/>
        </w:rPr>
      </w:pPr>
      <w:r>
        <w:rPr>
          <w:rFonts w:ascii="Verdana" w:eastAsia="Calibri" w:hAnsi="Verdana" w:cs="Arial"/>
          <w:color w:val="000000" w:themeColor="text1"/>
          <w:lang w:eastAsia="es-ES"/>
        </w:rPr>
        <w:t>Itagüí (Antioquia)</w:t>
      </w:r>
    </w:p>
    <w:p w14:paraId="50EAC4DF" w14:textId="77777777" w:rsidR="005B261C" w:rsidRPr="00CB7ABE" w:rsidRDefault="005B261C" w:rsidP="005B261C">
      <w:pPr>
        <w:spacing w:after="0" w:line="240" w:lineRule="auto"/>
        <w:rPr>
          <w:rFonts w:ascii="Verdana" w:eastAsia="Calibri" w:hAnsi="Verdana" w:cs="Arial"/>
          <w:b/>
          <w:bCs/>
          <w:color w:val="000000" w:themeColor="text1"/>
          <w:lang w:eastAsia="es-ES_tradnl"/>
        </w:rPr>
      </w:pPr>
    </w:p>
    <w:tbl>
      <w:tblPr>
        <w:tblStyle w:val="Tablaconcuadrcula"/>
        <w:tblW w:w="8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270"/>
        <w:gridCol w:w="6547"/>
      </w:tblGrid>
      <w:tr w:rsidR="005B261C" w:rsidRPr="00115E3D" w14:paraId="4695EBEF" w14:textId="77777777" w:rsidTr="00136DDB">
        <w:trPr>
          <w:trHeight w:val="615"/>
        </w:trPr>
        <w:tc>
          <w:tcPr>
            <w:tcW w:w="2270" w:type="dxa"/>
          </w:tcPr>
          <w:p w14:paraId="7138A810" w14:textId="77777777" w:rsidR="005B261C" w:rsidRPr="00CB7ABE" w:rsidRDefault="005B261C" w:rsidP="006F1A38">
            <w:pPr>
              <w:jc w:val="both"/>
              <w:rPr>
                <w:rFonts w:ascii="Verdana" w:eastAsia="Calibri" w:hAnsi="Verdana" w:cs="Arial"/>
                <w:b/>
                <w:bCs/>
                <w:color w:val="000000" w:themeColor="text1"/>
                <w:lang w:eastAsia="es-ES_tradnl"/>
              </w:rPr>
            </w:pPr>
          </w:p>
        </w:tc>
        <w:tc>
          <w:tcPr>
            <w:tcW w:w="6547" w:type="dxa"/>
          </w:tcPr>
          <w:p w14:paraId="25945537" w14:textId="2F86885E" w:rsidR="005B261C" w:rsidRPr="00115E3D" w:rsidRDefault="005B261C" w:rsidP="006F1A38">
            <w:pPr>
              <w:jc w:val="both"/>
              <w:rPr>
                <w:rFonts w:ascii="Verdana" w:eastAsia="Calibri" w:hAnsi="Verdana" w:cs="Arial"/>
                <w:b/>
                <w:bCs/>
                <w:color w:val="000000" w:themeColor="text1"/>
                <w:lang w:val="es-ES" w:eastAsia="es-ES"/>
              </w:rPr>
            </w:pPr>
            <w:r w:rsidRPr="00115E3D">
              <w:rPr>
                <w:rFonts w:ascii="Verdana" w:eastAsia="Calibri" w:hAnsi="Verdana" w:cs="Arial"/>
                <w:b/>
                <w:bCs/>
                <w:color w:val="000000" w:themeColor="text1"/>
                <w:lang w:val="es-ES" w:eastAsia="es-ES"/>
              </w:rPr>
              <w:t xml:space="preserve">Concepto C- </w:t>
            </w:r>
            <w:r w:rsidR="00096CB6">
              <w:rPr>
                <w:rFonts w:ascii="Verdana" w:eastAsia="Calibri" w:hAnsi="Verdana" w:cs="Arial"/>
                <w:b/>
                <w:bCs/>
                <w:color w:val="000000" w:themeColor="text1"/>
                <w:lang w:val="es-ES" w:eastAsia="es-ES"/>
              </w:rPr>
              <w:t>1</w:t>
            </w:r>
            <w:r w:rsidR="007E403E">
              <w:rPr>
                <w:rFonts w:ascii="Verdana" w:eastAsia="Calibri" w:hAnsi="Verdana" w:cs="Arial"/>
                <w:b/>
                <w:bCs/>
                <w:color w:val="000000" w:themeColor="text1"/>
                <w:lang w:val="es-ES" w:eastAsia="es-ES"/>
              </w:rPr>
              <w:t xml:space="preserve">811 </w:t>
            </w:r>
            <w:r w:rsidRPr="00115E3D">
              <w:rPr>
                <w:rFonts w:ascii="Verdana" w:eastAsia="Calibri" w:hAnsi="Verdana" w:cs="Arial"/>
                <w:b/>
                <w:bCs/>
                <w:color w:val="000000" w:themeColor="text1"/>
                <w:lang w:val="es-ES" w:eastAsia="es-ES"/>
              </w:rPr>
              <w:t>de 202</w:t>
            </w:r>
            <w:r>
              <w:rPr>
                <w:rFonts w:ascii="Verdana" w:eastAsia="Calibri" w:hAnsi="Verdana" w:cs="Arial"/>
                <w:b/>
                <w:bCs/>
                <w:color w:val="000000" w:themeColor="text1"/>
                <w:lang w:val="es-ES" w:eastAsia="es-ES"/>
              </w:rPr>
              <w:t>5</w:t>
            </w:r>
          </w:p>
        </w:tc>
      </w:tr>
      <w:tr w:rsidR="005B261C" w:rsidRPr="007E403E" w14:paraId="5710482D" w14:textId="77777777" w:rsidTr="00B14DA5">
        <w:trPr>
          <w:trHeight w:val="1071"/>
        </w:trPr>
        <w:tc>
          <w:tcPr>
            <w:tcW w:w="2270" w:type="dxa"/>
          </w:tcPr>
          <w:p w14:paraId="0088F836" w14:textId="77777777" w:rsidR="005B261C" w:rsidRPr="00115E3D" w:rsidRDefault="005B261C" w:rsidP="006F1A38">
            <w:pPr>
              <w:jc w:val="both"/>
              <w:rPr>
                <w:rFonts w:ascii="Verdana" w:eastAsia="Calibri" w:hAnsi="Verdana" w:cs="Arial"/>
                <w:color w:val="000000" w:themeColor="text1"/>
                <w:lang w:val="es-ES_tradnl" w:eastAsia="es-ES_tradnl"/>
              </w:rPr>
            </w:pPr>
            <w:r w:rsidRPr="00115E3D">
              <w:rPr>
                <w:rFonts w:ascii="Verdana" w:eastAsia="Calibri" w:hAnsi="Verdana" w:cs="Arial"/>
                <w:b/>
                <w:color w:val="000000" w:themeColor="text1"/>
                <w:lang w:val="es-ES_tradnl" w:eastAsia="es-ES_tradnl"/>
              </w:rPr>
              <w:t>Temas:</w:t>
            </w:r>
            <w:r w:rsidRPr="00115E3D">
              <w:rPr>
                <w:rFonts w:ascii="Verdana" w:eastAsia="Calibri" w:hAnsi="Verdana" w:cs="Arial"/>
                <w:color w:val="000000" w:themeColor="text1"/>
                <w:lang w:val="es-ES_tradnl" w:eastAsia="es-ES_tradnl"/>
              </w:rPr>
              <w:t xml:space="preserve">                   </w:t>
            </w:r>
          </w:p>
        </w:tc>
        <w:tc>
          <w:tcPr>
            <w:tcW w:w="6547" w:type="dxa"/>
          </w:tcPr>
          <w:p w14:paraId="174F44D4" w14:textId="6A3DD13F" w:rsidR="00DE2467" w:rsidRPr="007E403E" w:rsidRDefault="003E157B" w:rsidP="006F1A38">
            <w:pPr>
              <w:spacing w:line="276" w:lineRule="auto"/>
              <w:jc w:val="both"/>
              <w:rPr>
                <w:rFonts w:ascii="Verdana" w:eastAsia="Calibri" w:hAnsi="Verdana" w:cs="Arial"/>
                <w:color w:val="000000" w:themeColor="text1"/>
                <w:highlight w:val="yellow"/>
                <w:lang w:val="es-ES" w:eastAsia="es-ES"/>
              </w:rPr>
            </w:pPr>
            <w:r w:rsidRPr="00501236">
              <w:rPr>
                <w:rFonts w:ascii="Verdana" w:eastAsia="Calibri" w:hAnsi="Verdana" w:cs="Arial"/>
                <w:lang w:val="es-ES" w:eastAsia="es-ES"/>
              </w:rPr>
              <w:t>ENTIDADES CON RÉGIMEN ESPECIAL DE CONTRATACIÓN – Deber de publicidad – SECOP II – Actividad contractual – Recursos públicos</w:t>
            </w:r>
            <w:r w:rsidRPr="007E403E">
              <w:rPr>
                <w:rFonts w:ascii="Verdana" w:eastAsia="Calibri" w:hAnsi="Verdana" w:cs="Arial"/>
                <w:color w:val="000000" w:themeColor="text1"/>
                <w:highlight w:val="yellow"/>
                <w:lang w:val="es-ES" w:eastAsia="es-ES"/>
              </w:rPr>
              <w:t xml:space="preserve"> </w:t>
            </w:r>
          </w:p>
        </w:tc>
      </w:tr>
      <w:tr w:rsidR="005B261C" w:rsidRPr="00115E3D" w14:paraId="2F32F98A" w14:textId="77777777" w:rsidTr="00B14DA5">
        <w:trPr>
          <w:trHeight w:val="653"/>
        </w:trPr>
        <w:tc>
          <w:tcPr>
            <w:tcW w:w="2270" w:type="dxa"/>
          </w:tcPr>
          <w:p w14:paraId="26ADCFA9" w14:textId="43D11C53" w:rsidR="005B261C" w:rsidRPr="00CB7ABE" w:rsidRDefault="005B261C" w:rsidP="006F1A38">
            <w:pPr>
              <w:jc w:val="both"/>
              <w:rPr>
                <w:rFonts w:ascii="Verdana" w:eastAsia="Calibri" w:hAnsi="Verdana" w:cs="Arial"/>
                <w:b/>
                <w:color w:val="000000" w:themeColor="text1"/>
                <w:lang w:val="es-ES_tradnl" w:eastAsia="es-ES_tradnl"/>
              </w:rPr>
            </w:pPr>
            <w:r w:rsidRPr="00CB7ABE">
              <w:rPr>
                <w:rFonts w:ascii="Verdana" w:eastAsia="Calibri" w:hAnsi="Verdana" w:cs="Arial"/>
                <w:b/>
                <w:color w:val="000000" w:themeColor="text1"/>
                <w:lang w:val="es-ES_tradnl" w:eastAsia="es-ES_tradnl"/>
              </w:rPr>
              <w:t>Radicación:</w:t>
            </w:r>
            <w:r w:rsidRPr="00CB7ABE">
              <w:rPr>
                <w:rFonts w:ascii="Verdana" w:eastAsia="Calibri" w:hAnsi="Verdana" w:cs="Arial"/>
                <w:color w:val="000000" w:themeColor="text1"/>
                <w:lang w:val="es-ES_tradnl" w:eastAsia="es-ES_tradnl"/>
              </w:rPr>
              <w:t xml:space="preserve">           </w:t>
            </w:r>
          </w:p>
        </w:tc>
        <w:tc>
          <w:tcPr>
            <w:tcW w:w="6547" w:type="dxa"/>
          </w:tcPr>
          <w:p w14:paraId="42BEDD0C" w14:textId="33398D95" w:rsidR="005B261C" w:rsidRPr="00CB7ABE" w:rsidRDefault="005B261C" w:rsidP="00DA4396">
            <w:pPr>
              <w:ind w:right="1"/>
              <w:jc w:val="both"/>
              <w:rPr>
                <w:rFonts w:ascii="Verdana" w:hAnsi="Verdana"/>
                <w:color w:val="000000"/>
              </w:rPr>
            </w:pPr>
            <w:r w:rsidRPr="00CB7ABE">
              <w:rPr>
                <w:rFonts w:ascii="Verdana" w:eastAsia="Calibri" w:hAnsi="Verdana" w:cs="Arial"/>
                <w:color w:val="000000" w:themeColor="text1"/>
                <w:lang w:val="es-ES_tradnl" w:eastAsia="es-ES_tradnl"/>
              </w:rPr>
              <w:t>Respuesta a consulta con radicado</w:t>
            </w:r>
            <w:r w:rsidR="00DA4396">
              <w:rPr>
                <w:rFonts w:ascii="Verdana" w:eastAsia="Calibri" w:hAnsi="Verdana" w:cs="Arial"/>
                <w:color w:val="000000" w:themeColor="text1"/>
                <w:lang w:val="es-ES_tradnl" w:eastAsia="es-ES_tradnl"/>
              </w:rPr>
              <w:t xml:space="preserve"> </w:t>
            </w:r>
            <w:proofErr w:type="spellStart"/>
            <w:r w:rsidR="00B14DA5">
              <w:rPr>
                <w:rFonts w:ascii="Verdana" w:eastAsia="Calibri" w:hAnsi="Verdana" w:cs="Arial"/>
                <w:color w:val="000000" w:themeColor="text1"/>
                <w:lang w:val="es-ES_tradnl" w:eastAsia="es-ES_tradnl"/>
              </w:rPr>
              <w:t>Nº</w:t>
            </w:r>
            <w:proofErr w:type="spellEnd"/>
            <w:r w:rsidR="00DA4396">
              <w:rPr>
                <w:rFonts w:ascii="Verdana" w:eastAsia="Calibri" w:hAnsi="Verdana" w:cs="Arial"/>
                <w:color w:val="000000" w:themeColor="text1"/>
                <w:lang w:val="es-ES_tradnl" w:eastAsia="es-ES_tradnl"/>
              </w:rPr>
              <w:t xml:space="preserve"> </w:t>
            </w:r>
            <w:r w:rsidR="007E403E" w:rsidRPr="007E403E">
              <w:rPr>
                <w:rFonts w:ascii="Verdana" w:hAnsi="Verdana"/>
                <w:color w:val="000000"/>
              </w:rPr>
              <w:t>1_2025_12_10_013874</w:t>
            </w:r>
          </w:p>
        </w:tc>
      </w:tr>
    </w:tbl>
    <w:p w14:paraId="676D17D4" w14:textId="77777777" w:rsidR="005B261C" w:rsidRPr="00115E3D" w:rsidRDefault="005B261C" w:rsidP="005B261C">
      <w:pPr>
        <w:spacing w:after="0" w:line="240" w:lineRule="auto"/>
        <w:jc w:val="both"/>
        <w:rPr>
          <w:rFonts w:ascii="Verdana" w:eastAsia="Calibri" w:hAnsi="Verdana" w:cs="Arial"/>
          <w:color w:val="000000" w:themeColor="text1"/>
          <w:lang w:val="es-ES_tradnl" w:eastAsia="es-ES_tradnl"/>
        </w:rPr>
      </w:pPr>
    </w:p>
    <w:p w14:paraId="5F37FB94" w14:textId="3091B0E3" w:rsidR="005B261C" w:rsidRPr="00115E3D" w:rsidRDefault="005B261C" w:rsidP="005B261C">
      <w:pPr>
        <w:spacing w:after="0" w:line="276" w:lineRule="auto"/>
        <w:jc w:val="both"/>
        <w:rPr>
          <w:rFonts w:ascii="Verdana" w:eastAsia="Calibri" w:hAnsi="Verdana" w:cs="Arial"/>
          <w:color w:val="000000" w:themeColor="text1"/>
          <w:lang w:val="es-ES" w:eastAsia="es-ES"/>
        </w:rPr>
      </w:pPr>
      <w:r w:rsidRPr="00115E3D">
        <w:rPr>
          <w:rFonts w:ascii="Verdana" w:eastAsia="Calibri" w:hAnsi="Verdana" w:cs="Arial"/>
          <w:color w:val="000000" w:themeColor="text1"/>
          <w:lang w:val="es-ES" w:eastAsia="es-ES"/>
        </w:rPr>
        <w:t>Estimad</w:t>
      </w:r>
      <w:r w:rsidR="001E4D2C">
        <w:rPr>
          <w:rFonts w:ascii="Verdana" w:eastAsia="Calibri" w:hAnsi="Verdana" w:cs="Arial"/>
          <w:color w:val="000000" w:themeColor="text1"/>
          <w:lang w:val="es-ES" w:eastAsia="es-ES"/>
        </w:rPr>
        <w:t>a</w:t>
      </w:r>
      <w:r w:rsidRPr="00115E3D">
        <w:rPr>
          <w:rFonts w:ascii="Verdana" w:eastAsia="Calibri" w:hAnsi="Verdana" w:cs="Arial"/>
          <w:color w:val="000000" w:themeColor="text1"/>
          <w:lang w:val="es-ES" w:eastAsia="es-ES"/>
        </w:rPr>
        <w:t xml:space="preserve"> señor</w:t>
      </w:r>
      <w:r w:rsidR="001E4D2C">
        <w:rPr>
          <w:rFonts w:ascii="Verdana" w:eastAsia="Calibri" w:hAnsi="Verdana" w:cs="Arial"/>
          <w:color w:val="000000" w:themeColor="text1"/>
          <w:lang w:val="es-ES" w:eastAsia="es-ES"/>
        </w:rPr>
        <w:t>a</w:t>
      </w:r>
      <w:r>
        <w:rPr>
          <w:rFonts w:ascii="Verdana" w:eastAsia="Calibri" w:hAnsi="Verdana" w:cs="Arial"/>
          <w:color w:val="000000" w:themeColor="text1"/>
          <w:lang w:val="es-ES" w:eastAsia="es-ES"/>
        </w:rPr>
        <w:t xml:space="preserve"> </w:t>
      </w:r>
      <w:r w:rsidR="007E403E" w:rsidRPr="007E403E">
        <w:rPr>
          <w:rFonts w:ascii="Verdana" w:eastAsia="Calibri" w:hAnsi="Verdana" w:cs="Arial"/>
          <w:color w:val="000000" w:themeColor="text1"/>
          <w:lang w:val="es-ES" w:eastAsia="es-ES"/>
        </w:rPr>
        <w:t>López</w:t>
      </w:r>
      <w:r w:rsidR="001E4D2C">
        <w:rPr>
          <w:rFonts w:ascii="Verdana" w:eastAsia="Calibri" w:hAnsi="Verdana" w:cs="Arial"/>
          <w:color w:val="000000" w:themeColor="text1"/>
          <w:lang w:val="es-ES" w:eastAsia="es-ES"/>
        </w:rPr>
        <w:t>;</w:t>
      </w:r>
    </w:p>
    <w:p w14:paraId="01BB3543" w14:textId="77777777" w:rsidR="005B261C" w:rsidRPr="00115E3D" w:rsidRDefault="005B261C" w:rsidP="005B261C">
      <w:pPr>
        <w:tabs>
          <w:tab w:val="left" w:pos="3768"/>
        </w:tabs>
        <w:spacing w:after="0" w:line="276" w:lineRule="auto"/>
        <w:jc w:val="both"/>
        <w:rPr>
          <w:rFonts w:ascii="Verdana" w:eastAsia="Calibri" w:hAnsi="Verdana" w:cs="Arial"/>
          <w:color w:val="000000" w:themeColor="text1"/>
          <w:lang w:val="es-ES" w:eastAsia="es-ES"/>
        </w:rPr>
      </w:pPr>
      <w:r w:rsidRPr="00115E3D">
        <w:rPr>
          <w:rFonts w:ascii="Verdana" w:eastAsia="Calibri" w:hAnsi="Verdana" w:cs="Arial"/>
          <w:color w:val="000000" w:themeColor="text1"/>
          <w:lang w:val="es-ES" w:eastAsia="es-ES"/>
        </w:rPr>
        <w:tab/>
      </w:r>
    </w:p>
    <w:p w14:paraId="05F6EC50" w14:textId="5FD25B63" w:rsidR="005B261C" w:rsidRPr="00115E3D" w:rsidRDefault="005B261C" w:rsidP="005B261C">
      <w:pPr>
        <w:spacing w:after="0" w:line="276" w:lineRule="auto"/>
        <w:jc w:val="both"/>
        <w:rPr>
          <w:rFonts w:ascii="Verdana" w:eastAsia="Calibri" w:hAnsi="Verdana" w:cs="Arial"/>
          <w:color w:val="000000" w:themeColor="text1"/>
          <w:lang w:val="es-ES" w:eastAsia="es-ES"/>
        </w:rPr>
      </w:pPr>
      <w:r w:rsidRPr="00115E3D">
        <w:rPr>
          <w:rFonts w:ascii="Verdana" w:eastAsia="Calibri" w:hAnsi="Verdana" w:cs="Arial"/>
          <w:color w:val="000000" w:themeColor="text1"/>
          <w:lang w:val="es-ES" w:eastAsia="es-ES"/>
        </w:rPr>
        <w:t>En ejercicio de la competencia otorgada por los artículos 3, numeral 5º, y 11, numeral 8º, del Decreto Ley 4170 de 2011,</w:t>
      </w:r>
      <w:r w:rsidRPr="00115E3D">
        <w:rPr>
          <w:rFonts w:ascii="Verdana" w:eastAsia="Arial MT" w:hAnsi="Verdana" w:cs="Arial MT"/>
          <w:color w:val="000000" w:themeColor="text1"/>
          <w:lang w:val="es-ES" w:eastAsia="es-ES"/>
        </w:rPr>
        <w:t xml:space="preserve"> </w:t>
      </w:r>
      <w:r w:rsidRPr="00115E3D">
        <w:rPr>
          <w:rFonts w:ascii="Verdana" w:hAnsi="Verdana" w:cs="Arial"/>
          <w:color w:val="000000" w:themeColor="text1"/>
        </w:rPr>
        <w:t xml:space="preserve">así como lo establecido en el artículo 4 de la Resolución 1707 de 2018 expedida por esta Entidad, </w:t>
      </w:r>
      <w:r w:rsidRPr="00115E3D">
        <w:rPr>
          <w:rFonts w:ascii="Verdana" w:eastAsia="Calibri" w:hAnsi="Verdana" w:cs="Arial"/>
          <w:color w:val="000000" w:themeColor="text1"/>
          <w:lang w:val="es-ES" w:eastAsia="es-ES"/>
        </w:rPr>
        <w:t xml:space="preserve">la Agencia Nacional de Contratación Pública – Colombia Compra Eficiente– responde su solicitud </w:t>
      </w:r>
      <w:r w:rsidR="00096CB6">
        <w:rPr>
          <w:rFonts w:ascii="Verdana" w:eastAsia="Calibri" w:hAnsi="Verdana" w:cs="Arial"/>
          <w:color w:val="000000" w:themeColor="text1"/>
          <w:lang w:val="es-ES" w:eastAsia="es-ES"/>
        </w:rPr>
        <w:t xml:space="preserve">radicada en esta entidad el </w:t>
      </w:r>
      <w:r w:rsidR="001E4D2C">
        <w:rPr>
          <w:rFonts w:ascii="Verdana" w:eastAsia="Calibri" w:hAnsi="Verdana" w:cs="Arial"/>
          <w:color w:val="000000" w:themeColor="text1"/>
          <w:lang w:val="es-ES" w:eastAsia="es-ES"/>
        </w:rPr>
        <w:t>04</w:t>
      </w:r>
      <w:r w:rsidR="00096CB6">
        <w:rPr>
          <w:rFonts w:ascii="Verdana" w:eastAsia="Calibri" w:hAnsi="Verdana" w:cs="Arial"/>
          <w:color w:val="000000" w:themeColor="text1"/>
          <w:lang w:val="es-ES" w:eastAsia="es-ES"/>
        </w:rPr>
        <w:t xml:space="preserve"> de </w:t>
      </w:r>
      <w:r w:rsidR="001E4D2C">
        <w:rPr>
          <w:rFonts w:ascii="Verdana" w:eastAsia="Calibri" w:hAnsi="Verdana" w:cs="Arial"/>
          <w:color w:val="000000" w:themeColor="text1"/>
          <w:lang w:val="es-ES" w:eastAsia="es-ES"/>
        </w:rPr>
        <w:t>diciembre</w:t>
      </w:r>
      <w:r w:rsidRPr="00115E3D">
        <w:rPr>
          <w:rFonts w:ascii="Verdana" w:eastAsia="Calibri" w:hAnsi="Verdana" w:cs="Arial"/>
          <w:color w:val="000000" w:themeColor="text1"/>
          <w:lang w:val="es-ES" w:eastAsia="es-ES"/>
        </w:rPr>
        <w:t xml:space="preserve"> de 20</w:t>
      </w:r>
      <w:r>
        <w:rPr>
          <w:rFonts w:ascii="Verdana" w:eastAsia="Calibri" w:hAnsi="Verdana" w:cs="Arial"/>
          <w:color w:val="000000" w:themeColor="text1"/>
          <w:lang w:val="es-ES" w:eastAsia="es-ES"/>
        </w:rPr>
        <w:t>25</w:t>
      </w:r>
      <w:r w:rsidRPr="00115E3D">
        <w:rPr>
          <w:rFonts w:ascii="Verdana" w:eastAsia="Calibri" w:hAnsi="Verdana" w:cs="Arial"/>
          <w:color w:val="000000" w:themeColor="text1"/>
          <w:lang w:val="es-ES" w:eastAsia="es-ES"/>
        </w:rPr>
        <w:t xml:space="preserve">, en la cual manifiesta lo siguiente: </w:t>
      </w:r>
    </w:p>
    <w:p w14:paraId="3200577B" w14:textId="77777777" w:rsidR="0099297C" w:rsidRDefault="0099297C" w:rsidP="00096CB6">
      <w:pPr>
        <w:spacing w:after="0" w:line="240" w:lineRule="auto"/>
        <w:ind w:left="709" w:right="709"/>
        <w:jc w:val="both"/>
        <w:rPr>
          <w:rFonts w:ascii="Verdana" w:eastAsia="Century Gothic" w:hAnsi="Verdana" w:cs="Century Gothic"/>
          <w:i/>
          <w:iCs/>
          <w:color w:val="000000" w:themeColor="text1"/>
          <w:sz w:val="20"/>
          <w:szCs w:val="20"/>
          <w:lang w:val="es-ES"/>
        </w:rPr>
      </w:pPr>
      <w:bookmarkStart w:id="0" w:name="_Hlk95313578"/>
    </w:p>
    <w:bookmarkEnd w:id="0"/>
    <w:p w14:paraId="2BE1D7F9" w14:textId="78A3FFB6" w:rsidR="005B261C" w:rsidRDefault="001E4D2C" w:rsidP="001E4D2C">
      <w:pPr>
        <w:spacing w:after="0" w:line="240" w:lineRule="auto"/>
        <w:ind w:left="709" w:right="709"/>
        <w:jc w:val="both"/>
        <w:rPr>
          <w:rFonts w:ascii="Verdana" w:eastAsia="Century Gothic" w:hAnsi="Verdana" w:cs="Century Gothic"/>
          <w:i/>
          <w:iCs/>
          <w:color w:val="000000" w:themeColor="text1"/>
          <w:sz w:val="20"/>
          <w:szCs w:val="20"/>
          <w:lang w:val="es-ES"/>
        </w:rPr>
      </w:pPr>
      <w:r>
        <w:rPr>
          <w:rFonts w:ascii="Verdana" w:eastAsia="Century Gothic" w:hAnsi="Verdana" w:cs="Century Gothic"/>
          <w:i/>
          <w:iCs/>
          <w:color w:val="000000" w:themeColor="text1"/>
          <w:sz w:val="20"/>
          <w:szCs w:val="20"/>
          <w:lang w:val="es-ES"/>
        </w:rPr>
        <w:t>“</w:t>
      </w:r>
    </w:p>
    <w:p w14:paraId="358C201E" w14:textId="77777777" w:rsidR="007E403E" w:rsidRDefault="007E403E" w:rsidP="007E403E">
      <w:pPr>
        <w:spacing w:after="0" w:line="240" w:lineRule="auto"/>
        <w:ind w:left="709" w:right="709"/>
        <w:jc w:val="both"/>
        <w:rPr>
          <w:rFonts w:ascii="Verdana" w:eastAsia="Century Gothic" w:hAnsi="Verdana" w:cs="Century Gothic"/>
          <w:i/>
          <w:iCs/>
          <w:color w:val="000000" w:themeColor="text1"/>
          <w:sz w:val="20"/>
          <w:szCs w:val="20"/>
        </w:rPr>
      </w:pPr>
      <w:r w:rsidRPr="007E403E">
        <w:rPr>
          <w:rFonts w:ascii="Verdana" w:eastAsia="Century Gothic" w:hAnsi="Verdana" w:cs="Century Gothic"/>
          <w:i/>
          <w:iCs/>
          <w:color w:val="000000" w:themeColor="text1"/>
          <w:sz w:val="20"/>
          <w:szCs w:val="20"/>
        </w:rPr>
        <w:t>Respetados señores de CCE: En atención a las facultades de orientación normativa</w:t>
      </w:r>
      <w:r>
        <w:rPr>
          <w:rFonts w:ascii="Verdana" w:eastAsia="Century Gothic" w:hAnsi="Verdana" w:cs="Century Gothic"/>
          <w:i/>
          <w:iCs/>
          <w:color w:val="000000" w:themeColor="text1"/>
          <w:sz w:val="20"/>
          <w:szCs w:val="20"/>
        </w:rPr>
        <w:t xml:space="preserve"> </w:t>
      </w:r>
      <w:r w:rsidRPr="007E403E">
        <w:rPr>
          <w:rFonts w:ascii="Verdana" w:eastAsia="Century Gothic" w:hAnsi="Verdana" w:cs="Century Gothic"/>
          <w:i/>
          <w:iCs/>
          <w:color w:val="000000" w:themeColor="text1"/>
          <w:sz w:val="20"/>
          <w:szCs w:val="20"/>
        </w:rPr>
        <w:t>y técnica en materia de contratación estatal atribuidas a esa Agencia Nacional de</w:t>
      </w:r>
      <w:r>
        <w:rPr>
          <w:rFonts w:ascii="Verdana" w:eastAsia="Century Gothic" w:hAnsi="Verdana" w:cs="Century Gothic"/>
          <w:i/>
          <w:iCs/>
          <w:color w:val="000000" w:themeColor="text1"/>
          <w:sz w:val="20"/>
          <w:szCs w:val="20"/>
        </w:rPr>
        <w:t xml:space="preserve"> </w:t>
      </w:r>
      <w:r w:rsidRPr="007E403E">
        <w:rPr>
          <w:rFonts w:ascii="Verdana" w:eastAsia="Century Gothic" w:hAnsi="Verdana" w:cs="Century Gothic"/>
          <w:i/>
          <w:iCs/>
          <w:color w:val="000000" w:themeColor="text1"/>
          <w:sz w:val="20"/>
          <w:szCs w:val="20"/>
        </w:rPr>
        <w:t>Contratación Pública, y considerando la importancia de garantizar la correcta</w:t>
      </w:r>
      <w:r>
        <w:rPr>
          <w:rFonts w:ascii="Verdana" w:eastAsia="Century Gothic" w:hAnsi="Verdana" w:cs="Century Gothic"/>
          <w:i/>
          <w:iCs/>
          <w:color w:val="000000" w:themeColor="text1"/>
          <w:sz w:val="20"/>
          <w:szCs w:val="20"/>
        </w:rPr>
        <w:t xml:space="preserve"> </w:t>
      </w:r>
      <w:r w:rsidRPr="007E403E">
        <w:rPr>
          <w:rFonts w:ascii="Verdana" w:eastAsia="Century Gothic" w:hAnsi="Verdana" w:cs="Century Gothic"/>
          <w:i/>
          <w:iCs/>
          <w:color w:val="000000" w:themeColor="text1"/>
          <w:sz w:val="20"/>
          <w:szCs w:val="20"/>
        </w:rPr>
        <w:t>implementación de los lineamientos establecidos en la Ley 2195 de 2022, me</w:t>
      </w:r>
      <w:r>
        <w:rPr>
          <w:rFonts w:ascii="Verdana" w:eastAsia="Century Gothic" w:hAnsi="Verdana" w:cs="Century Gothic"/>
          <w:i/>
          <w:iCs/>
          <w:color w:val="000000" w:themeColor="text1"/>
          <w:sz w:val="20"/>
          <w:szCs w:val="20"/>
        </w:rPr>
        <w:t xml:space="preserve"> </w:t>
      </w:r>
      <w:r w:rsidRPr="007E403E">
        <w:rPr>
          <w:rFonts w:ascii="Verdana" w:eastAsia="Century Gothic" w:hAnsi="Verdana" w:cs="Century Gothic"/>
          <w:i/>
          <w:iCs/>
          <w:color w:val="000000" w:themeColor="text1"/>
          <w:sz w:val="20"/>
          <w:szCs w:val="20"/>
        </w:rPr>
        <w:t>permito elevar la siguiente consulta jurídica, con el fin de obtener un criterio</w:t>
      </w:r>
      <w:r>
        <w:rPr>
          <w:rFonts w:ascii="Verdana" w:eastAsia="Century Gothic" w:hAnsi="Verdana" w:cs="Century Gothic"/>
          <w:i/>
          <w:iCs/>
          <w:color w:val="000000" w:themeColor="text1"/>
          <w:sz w:val="20"/>
          <w:szCs w:val="20"/>
        </w:rPr>
        <w:t xml:space="preserve"> </w:t>
      </w:r>
      <w:r w:rsidRPr="007E403E">
        <w:rPr>
          <w:rFonts w:ascii="Verdana" w:eastAsia="Century Gothic" w:hAnsi="Verdana" w:cs="Century Gothic"/>
          <w:i/>
          <w:iCs/>
          <w:color w:val="000000" w:themeColor="text1"/>
          <w:sz w:val="20"/>
          <w:szCs w:val="20"/>
        </w:rPr>
        <w:t>institucional que oriente las decisiones operativas y procedimentales de la ESU en</w:t>
      </w:r>
      <w:r>
        <w:rPr>
          <w:rFonts w:ascii="Verdana" w:eastAsia="Century Gothic" w:hAnsi="Verdana" w:cs="Century Gothic"/>
          <w:i/>
          <w:iCs/>
          <w:color w:val="000000" w:themeColor="text1"/>
          <w:sz w:val="20"/>
          <w:szCs w:val="20"/>
        </w:rPr>
        <w:t xml:space="preserve"> </w:t>
      </w:r>
      <w:r w:rsidRPr="007E403E">
        <w:rPr>
          <w:rFonts w:ascii="Verdana" w:eastAsia="Century Gothic" w:hAnsi="Verdana" w:cs="Century Gothic"/>
          <w:i/>
          <w:iCs/>
          <w:color w:val="000000" w:themeColor="text1"/>
          <w:sz w:val="20"/>
          <w:szCs w:val="20"/>
        </w:rPr>
        <w:t>la adopción del SECOP II, para determinar si ¿Es jurídicamente viable que una</w:t>
      </w:r>
      <w:r>
        <w:rPr>
          <w:rFonts w:ascii="Verdana" w:eastAsia="Century Gothic" w:hAnsi="Verdana" w:cs="Century Gothic"/>
          <w:i/>
          <w:iCs/>
          <w:color w:val="000000" w:themeColor="text1"/>
          <w:sz w:val="20"/>
          <w:szCs w:val="20"/>
        </w:rPr>
        <w:t xml:space="preserve"> </w:t>
      </w:r>
      <w:r w:rsidRPr="007E403E">
        <w:rPr>
          <w:rFonts w:ascii="Verdana" w:eastAsia="Century Gothic" w:hAnsi="Verdana" w:cs="Century Gothic"/>
          <w:i/>
          <w:iCs/>
          <w:color w:val="000000" w:themeColor="text1"/>
          <w:sz w:val="20"/>
          <w:szCs w:val="20"/>
        </w:rPr>
        <w:t>entidad pública de régimen especial firme el contrato inicial mediante contrato</w:t>
      </w:r>
      <w:r>
        <w:rPr>
          <w:rFonts w:ascii="Verdana" w:eastAsia="Century Gothic" w:hAnsi="Verdana" w:cs="Century Gothic"/>
          <w:i/>
          <w:iCs/>
          <w:color w:val="000000" w:themeColor="text1"/>
          <w:sz w:val="20"/>
          <w:szCs w:val="20"/>
        </w:rPr>
        <w:t xml:space="preserve"> </w:t>
      </w:r>
      <w:r w:rsidRPr="007E403E">
        <w:rPr>
          <w:rFonts w:ascii="Verdana" w:eastAsia="Century Gothic" w:hAnsi="Verdana" w:cs="Century Gothic"/>
          <w:i/>
          <w:iCs/>
          <w:color w:val="000000" w:themeColor="text1"/>
          <w:sz w:val="20"/>
          <w:szCs w:val="20"/>
        </w:rPr>
        <w:t xml:space="preserve">electrónico en el SECOP </w:t>
      </w:r>
      <w:r w:rsidRPr="007E403E">
        <w:rPr>
          <w:rFonts w:ascii="Verdana" w:eastAsia="Century Gothic" w:hAnsi="Verdana" w:cs="Century Gothic"/>
          <w:i/>
          <w:iCs/>
          <w:color w:val="000000" w:themeColor="text1"/>
          <w:sz w:val="20"/>
          <w:szCs w:val="20"/>
        </w:rPr>
        <w:lastRenderedPageBreak/>
        <w:t>II, y suscriba las modificaciones contractuales por fuera de</w:t>
      </w:r>
      <w:r>
        <w:rPr>
          <w:rFonts w:ascii="Verdana" w:eastAsia="Century Gothic" w:hAnsi="Verdana" w:cs="Century Gothic"/>
          <w:i/>
          <w:iCs/>
          <w:color w:val="000000" w:themeColor="text1"/>
          <w:sz w:val="20"/>
          <w:szCs w:val="20"/>
        </w:rPr>
        <w:t xml:space="preserve"> </w:t>
      </w:r>
      <w:r w:rsidRPr="007E403E">
        <w:rPr>
          <w:rFonts w:ascii="Verdana" w:eastAsia="Century Gothic" w:hAnsi="Verdana" w:cs="Century Gothic"/>
          <w:i/>
          <w:iCs/>
          <w:color w:val="000000" w:themeColor="text1"/>
          <w:sz w:val="20"/>
          <w:szCs w:val="20"/>
        </w:rPr>
        <w:t>la plataforma — con firma manuscrita o digital externa — siempre que estas</w:t>
      </w:r>
      <w:r>
        <w:rPr>
          <w:rFonts w:ascii="Verdana" w:eastAsia="Century Gothic" w:hAnsi="Verdana" w:cs="Century Gothic"/>
          <w:i/>
          <w:iCs/>
          <w:color w:val="000000" w:themeColor="text1"/>
          <w:sz w:val="20"/>
          <w:szCs w:val="20"/>
        </w:rPr>
        <w:t xml:space="preserve"> </w:t>
      </w:r>
      <w:r w:rsidRPr="007E403E">
        <w:rPr>
          <w:rFonts w:ascii="Verdana" w:eastAsia="Century Gothic" w:hAnsi="Verdana" w:cs="Century Gothic"/>
          <w:i/>
          <w:iCs/>
          <w:color w:val="000000" w:themeColor="text1"/>
          <w:sz w:val="20"/>
          <w:szCs w:val="20"/>
        </w:rPr>
        <w:t>modificaciones se publiquen en el módulo de ejecución para dar cumplimiento al</w:t>
      </w:r>
      <w:r>
        <w:rPr>
          <w:rFonts w:ascii="Verdana" w:eastAsia="Century Gothic" w:hAnsi="Verdana" w:cs="Century Gothic"/>
          <w:i/>
          <w:iCs/>
          <w:color w:val="000000" w:themeColor="text1"/>
          <w:sz w:val="20"/>
          <w:szCs w:val="20"/>
        </w:rPr>
        <w:t xml:space="preserve"> </w:t>
      </w:r>
      <w:r w:rsidRPr="007E403E">
        <w:rPr>
          <w:rFonts w:ascii="Verdana" w:eastAsia="Century Gothic" w:hAnsi="Verdana" w:cs="Century Gothic"/>
          <w:i/>
          <w:iCs/>
          <w:color w:val="000000" w:themeColor="text1"/>
          <w:sz w:val="20"/>
          <w:szCs w:val="20"/>
        </w:rPr>
        <w:t>principio de publicidad establecido en el artículo 53 de la Ley 2195 de 2022? Se</w:t>
      </w:r>
      <w:r>
        <w:rPr>
          <w:rFonts w:ascii="Verdana" w:eastAsia="Century Gothic" w:hAnsi="Verdana" w:cs="Century Gothic"/>
          <w:i/>
          <w:iCs/>
          <w:color w:val="000000" w:themeColor="text1"/>
          <w:sz w:val="20"/>
          <w:szCs w:val="20"/>
        </w:rPr>
        <w:t xml:space="preserve"> </w:t>
      </w:r>
      <w:r w:rsidRPr="007E403E">
        <w:rPr>
          <w:rFonts w:ascii="Verdana" w:eastAsia="Century Gothic" w:hAnsi="Verdana" w:cs="Century Gothic"/>
          <w:i/>
          <w:iCs/>
          <w:color w:val="000000" w:themeColor="text1"/>
          <w:sz w:val="20"/>
          <w:szCs w:val="20"/>
        </w:rPr>
        <w:t>adjunta Comunicado, Mil gracias!</w:t>
      </w:r>
      <w:r>
        <w:rPr>
          <w:rFonts w:ascii="Verdana" w:eastAsia="Century Gothic" w:hAnsi="Verdana" w:cs="Century Gothic"/>
          <w:i/>
          <w:iCs/>
          <w:color w:val="000000" w:themeColor="text1"/>
          <w:sz w:val="20"/>
          <w:szCs w:val="20"/>
        </w:rPr>
        <w:t>"</w:t>
      </w:r>
    </w:p>
    <w:p w14:paraId="059A9D4E" w14:textId="12B49A32" w:rsidR="005B261C" w:rsidRDefault="005B261C" w:rsidP="00131F6C">
      <w:pPr>
        <w:spacing w:after="0" w:line="276" w:lineRule="auto"/>
        <w:ind w:right="51" w:firstLine="709"/>
        <w:jc w:val="both"/>
        <w:rPr>
          <w:rFonts w:ascii="Verdana" w:eastAsia="Calibri" w:hAnsi="Verdana" w:cs="Arial"/>
          <w:color w:val="000000" w:themeColor="text1"/>
          <w:szCs w:val="24"/>
          <w:lang w:val="es-ES_tradnl" w:eastAsia="es-ES_tradnl"/>
        </w:rPr>
      </w:pPr>
      <w:r w:rsidRPr="00115E3D">
        <w:rPr>
          <w:rFonts w:ascii="Verdana" w:eastAsia="Calibri" w:hAnsi="Verdana" w:cs="Arial"/>
          <w:color w:val="000000" w:themeColor="text1"/>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115E3D">
        <w:rPr>
          <w:rFonts w:ascii="Verdana" w:eastAsia="Calibri" w:hAnsi="Verdana" w:cs="Arial"/>
          <w:color w:val="000000" w:themeColor="text1"/>
          <w:szCs w:val="24"/>
          <w:lang w:val="es-ES_tradnl" w:eastAsia="es-ES_tradnl"/>
        </w:rPr>
        <w:tab/>
      </w:r>
    </w:p>
    <w:p w14:paraId="640807FA" w14:textId="77777777" w:rsidR="007E403E" w:rsidRPr="00115E3D" w:rsidRDefault="007E403E" w:rsidP="007E403E">
      <w:pPr>
        <w:spacing w:after="0" w:line="240" w:lineRule="auto"/>
        <w:ind w:right="49"/>
        <w:jc w:val="both"/>
        <w:rPr>
          <w:rFonts w:ascii="Verdana" w:eastAsia="Calibri" w:hAnsi="Verdana" w:cs="Arial"/>
          <w:color w:val="000000" w:themeColor="text1"/>
          <w:szCs w:val="24"/>
          <w:lang w:val="es-ES_tradnl" w:eastAsia="es-ES_tradnl"/>
        </w:rPr>
      </w:pPr>
    </w:p>
    <w:p w14:paraId="17917103" w14:textId="610BBADD" w:rsidR="005B261C" w:rsidRPr="00115E3D" w:rsidRDefault="005B261C" w:rsidP="005B261C">
      <w:pPr>
        <w:spacing w:after="0" w:line="276" w:lineRule="auto"/>
        <w:ind w:firstLine="709"/>
        <w:jc w:val="both"/>
        <w:rPr>
          <w:rFonts w:ascii="Verdana" w:eastAsia="Calibri" w:hAnsi="Verdana" w:cs="Arial"/>
          <w:color w:val="000000" w:themeColor="text1"/>
          <w:lang w:val="es-ES" w:eastAsia="es-ES"/>
        </w:rPr>
      </w:pPr>
      <w:r w:rsidRPr="00115E3D">
        <w:rPr>
          <w:rFonts w:ascii="Verdana" w:eastAsia="Calibri" w:hAnsi="Verdana" w:cs="Arial"/>
          <w:color w:val="000000" w:themeColor="text1"/>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w:t>
      </w:r>
      <w:r w:rsidR="009E7E8C">
        <w:rPr>
          <w:rFonts w:ascii="Verdana" w:eastAsia="Calibri" w:hAnsi="Verdana" w:cs="Arial"/>
          <w:color w:val="000000" w:themeColor="text1"/>
          <w:lang w:val="es-ES" w:eastAsia="es-ES"/>
        </w:rPr>
        <w:t xml:space="preserve"> </w:t>
      </w:r>
      <w:r w:rsidRPr="00115E3D">
        <w:rPr>
          <w:rFonts w:ascii="Verdana" w:eastAsia="Calibri" w:hAnsi="Verdana" w:cs="Arial"/>
          <w:color w:val="000000" w:themeColor="text1"/>
          <w:lang w:val="es-ES" w:eastAsia="es-ES"/>
        </w:rPr>
        <w:t xml:space="preserve">jurídico de su consulta. </w:t>
      </w:r>
    </w:p>
    <w:p w14:paraId="41A931FE" w14:textId="77777777" w:rsidR="005B261C" w:rsidRPr="00115E3D" w:rsidRDefault="005B261C" w:rsidP="005B261C">
      <w:pPr>
        <w:spacing w:after="0" w:line="276" w:lineRule="auto"/>
        <w:ind w:firstLine="709"/>
        <w:jc w:val="both"/>
        <w:rPr>
          <w:rFonts w:ascii="Verdana" w:eastAsia="Calibri" w:hAnsi="Verdana" w:cs="Arial"/>
          <w:color w:val="000000" w:themeColor="text1"/>
          <w:lang w:val="es-ES" w:eastAsia="es-ES"/>
        </w:rPr>
      </w:pPr>
    </w:p>
    <w:p w14:paraId="12EFB611" w14:textId="77777777" w:rsidR="005B261C" w:rsidRPr="00115E3D" w:rsidRDefault="005B261C" w:rsidP="005B261C">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color w:val="000000" w:themeColor="text1"/>
        </w:rPr>
      </w:pPr>
      <w:r w:rsidRPr="00115E3D">
        <w:rPr>
          <w:rFonts w:ascii="Verdana" w:eastAsia="Century Gothic" w:hAnsi="Verdana" w:cs="Century Gothic"/>
          <w:b/>
          <w:bCs/>
          <w:color w:val="000000" w:themeColor="text1"/>
        </w:rPr>
        <w:t>Problema planteado:</w:t>
      </w:r>
    </w:p>
    <w:p w14:paraId="11286705" w14:textId="77777777" w:rsidR="005B261C" w:rsidRPr="00115E3D" w:rsidRDefault="005B261C" w:rsidP="005B261C">
      <w:pPr>
        <w:tabs>
          <w:tab w:val="left" w:pos="426"/>
        </w:tabs>
        <w:spacing w:after="0" w:line="276" w:lineRule="auto"/>
        <w:jc w:val="both"/>
        <w:rPr>
          <w:rFonts w:ascii="Verdana" w:eastAsia="Century Gothic" w:hAnsi="Verdana" w:cs="Century Gothic"/>
          <w:color w:val="000000" w:themeColor="text1"/>
          <w:lang w:val="es-ES"/>
        </w:rPr>
      </w:pPr>
    </w:p>
    <w:p w14:paraId="16661856" w14:textId="06471066" w:rsidR="00131F6C" w:rsidRDefault="005B261C" w:rsidP="0029110A">
      <w:pPr>
        <w:spacing w:after="0" w:line="276" w:lineRule="auto"/>
        <w:jc w:val="both"/>
        <w:rPr>
          <w:rFonts w:ascii="Verdana" w:eastAsia="Century Gothic" w:hAnsi="Verdana" w:cs="Century Gothic"/>
          <w:i/>
          <w:iCs/>
        </w:rPr>
      </w:pPr>
      <w:r w:rsidRPr="00115E3D">
        <w:rPr>
          <w:rFonts w:ascii="Verdana" w:eastAsia="Century Gothic" w:hAnsi="Verdana" w:cs="Century Gothic"/>
          <w:color w:val="000000" w:themeColor="text1"/>
        </w:rPr>
        <w:t xml:space="preserve">De acuerdo con el contenido de su solicitud, esta Agencia resolverá el </w:t>
      </w:r>
      <w:r w:rsidR="009E7E8C" w:rsidRPr="00115E3D">
        <w:rPr>
          <w:rFonts w:ascii="Verdana" w:eastAsia="Century Gothic" w:hAnsi="Verdana" w:cs="Century Gothic"/>
          <w:color w:val="000000" w:themeColor="text1"/>
        </w:rPr>
        <w:t>siguiente problema</w:t>
      </w:r>
      <w:r w:rsidRPr="00115E3D">
        <w:rPr>
          <w:rFonts w:ascii="Verdana" w:eastAsia="Century Gothic" w:hAnsi="Verdana" w:cs="Century Gothic"/>
          <w:color w:val="000000" w:themeColor="text1"/>
        </w:rPr>
        <w:t xml:space="preserve"> jurídico:</w:t>
      </w:r>
      <w:r w:rsidR="00946693" w:rsidRPr="00946693">
        <w:t xml:space="preserve"> </w:t>
      </w:r>
      <w:r w:rsidR="00946693" w:rsidRPr="00946693">
        <w:rPr>
          <w:rFonts w:ascii="Verdana" w:eastAsia="Century Gothic" w:hAnsi="Verdana" w:cs="Century Gothic"/>
          <w:color w:val="000000" w:themeColor="text1"/>
        </w:rPr>
        <w:t xml:space="preserve">¿Puede una entidad pública con régimen especial celebrar el contrato en el SECOP II y suscribir sus modificaciones por fuera de la plataforma, siempre que estas se publiquen </w:t>
      </w:r>
      <w:r w:rsidR="00946693">
        <w:rPr>
          <w:rFonts w:ascii="Verdana" w:eastAsia="Century Gothic" w:hAnsi="Verdana" w:cs="Century Gothic"/>
          <w:color w:val="000000" w:themeColor="text1"/>
        </w:rPr>
        <w:t>posteriormente en la misma</w:t>
      </w:r>
      <w:r w:rsidR="00946693" w:rsidRPr="00946693">
        <w:rPr>
          <w:rFonts w:ascii="Verdana" w:eastAsia="Century Gothic" w:hAnsi="Verdana" w:cs="Century Gothic"/>
          <w:color w:val="000000" w:themeColor="text1"/>
        </w:rPr>
        <w:t>?</w:t>
      </w:r>
    </w:p>
    <w:p w14:paraId="08390F5A" w14:textId="77777777" w:rsidR="00606398" w:rsidRDefault="00606398" w:rsidP="0029110A">
      <w:pPr>
        <w:spacing w:after="0" w:line="276" w:lineRule="auto"/>
        <w:jc w:val="both"/>
        <w:rPr>
          <w:rFonts w:ascii="Verdana" w:eastAsia="Century Gothic" w:hAnsi="Verdana" w:cs="Century Gothic"/>
          <w:color w:val="000000" w:themeColor="text1"/>
        </w:rPr>
      </w:pPr>
    </w:p>
    <w:p w14:paraId="5609B135" w14:textId="77777777" w:rsidR="005B261C" w:rsidRPr="00115E3D" w:rsidRDefault="005B261C" w:rsidP="005B261C">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115E3D">
        <w:rPr>
          <w:rFonts w:ascii="Verdana" w:eastAsia="Century Gothic" w:hAnsi="Verdana" w:cs="Century Gothic"/>
          <w:b/>
          <w:bCs/>
          <w:color w:val="000000" w:themeColor="text1"/>
        </w:rPr>
        <w:t>Respuesta:</w:t>
      </w:r>
    </w:p>
    <w:p w14:paraId="4CE01E29" w14:textId="77777777" w:rsidR="005B261C" w:rsidRPr="00115E3D" w:rsidRDefault="005B261C" w:rsidP="005B261C">
      <w:pPr>
        <w:tabs>
          <w:tab w:val="left" w:pos="142"/>
          <w:tab w:val="left" w:pos="284"/>
        </w:tabs>
        <w:spacing w:after="0" w:line="276" w:lineRule="auto"/>
        <w:jc w:val="both"/>
        <w:rPr>
          <w:rFonts w:ascii="Verdana" w:eastAsia="Century Gothic" w:hAnsi="Verdana" w:cs="Century Gothic"/>
          <w:b/>
          <w:bCs/>
          <w:color w:val="000000" w:themeColor="text1"/>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5B261C" w:rsidRPr="00115E3D" w14:paraId="704DD47E" w14:textId="77777777" w:rsidTr="006D0D53">
        <w:trPr>
          <w:trHeight w:val="774"/>
        </w:trPr>
        <w:tc>
          <w:tcPr>
            <w:tcW w:w="8828" w:type="dxa"/>
          </w:tcPr>
          <w:p w14:paraId="2FB265A7" w14:textId="66B72E9C" w:rsidR="00946693" w:rsidRPr="00946693" w:rsidRDefault="009E7E8C" w:rsidP="00946693">
            <w:pPr>
              <w:spacing w:line="276" w:lineRule="auto"/>
              <w:jc w:val="both"/>
              <w:rPr>
                <w:rFonts w:ascii="Verdana" w:eastAsia="Calibri" w:hAnsi="Verdana" w:cs="Arial"/>
              </w:rPr>
            </w:pPr>
            <w:r>
              <w:rPr>
                <w:rFonts w:ascii="Verdana" w:eastAsia="Calibri" w:hAnsi="Verdana" w:cs="Arial"/>
              </w:rPr>
              <w:t xml:space="preserve"> </w:t>
            </w:r>
            <w:r w:rsidR="00956B73">
              <w:rPr>
                <w:rFonts w:ascii="Verdana" w:eastAsia="Calibri" w:hAnsi="Verdana" w:cs="Arial"/>
              </w:rPr>
              <w:t xml:space="preserve">      </w:t>
            </w:r>
            <w:r w:rsidR="006D0D53">
              <w:rPr>
                <w:rFonts w:ascii="Verdana" w:eastAsia="Calibri" w:hAnsi="Verdana" w:cs="Arial"/>
              </w:rPr>
              <w:t xml:space="preserve">   </w:t>
            </w:r>
            <w:r w:rsidR="00946693" w:rsidRPr="00946693">
              <w:rPr>
                <w:rFonts w:ascii="Verdana" w:eastAsia="Calibri" w:hAnsi="Verdana" w:cs="Arial"/>
              </w:rPr>
              <w:t xml:space="preserve">De conformidad con el artículo 13 de la Ley 1150 de 2007, modificado por el artículo 53 de la Ley 2195 de 2022, las entidades de régimen especial se encuentran obligadas a realizar la publicación de la actividad contractual que se financie con recursos públicos a través del SECOP II. Este mandato </w:t>
            </w:r>
            <w:r w:rsidR="00946693" w:rsidRPr="00946693">
              <w:rPr>
                <w:rFonts w:ascii="Verdana" w:eastAsia="Calibri" w:hAnsi="Verdana" w:cs="Arial"/>
              </w:rPr>
              <w:lastRenderedPageBreak/>
              <w:t xml:space="preserve">legal busca garantizar la transparencia y el acceso a la información pública, obligando a estas entidades a cargar todos los documentos de su gestión, desde la etapa precontractual hasta la </w:t>
            </w:r>
            <w:proofErr w:type="spellStart"/>
            <w:r w:rsidR="00946693" w:rsidRPr="00946693">
              <w:rPr>
                <w:rFonts w:ascii="Verdana" w:eastAsia="Calibri" w:hAnsi="Verdana" w:cs="Arial"/>
              </w:rPr>
              <w:t>postcontractual</w:t>
            </w:r>
            <w:proofErr w:type="spellEnd"/>
            <w:r w:rsidR="00946693" w:rsidRPr="00946693">
              <w:rPr>
                <w:rFonts w:ascii="Verdana" w:eastAsia="Calibri" w:hAnsi="Verdana" w:cs="Arial"/>
              </w:rPr>
              <w:t>, sin que sea válido el uso exclusivo de portales propios.</w:t>
            </w:r>
          </w:p>
          <w:p w14:paraId="16B71D14" w14:textId="0B212139" w:rsidR="00946693" w:rsidRPr="00946693" w:rsidRDefault="00946693" w:rsidP="00946693">
            <w:pPr>
              <w:spacing w:line="276" w:lineRule="auto"/>
              <w:jc w:val="both"/>
              <w:rPr>
                <w:rFonts w:ascii="Verdana" w:eastAsia="Calibri" w:hAnsi="Verdana" w:cs="Arial"/>
              </w:rPr>
            </w:pPr>
            <w:r>
              <w:rPr>
                <w:rFonts w:ascii="Verdana" w:eastAsia="Calibri" w:hAnsi="Verdana" w:cs="Arial"/>
              </w:rPr>
              <w:t xml:space="preserve">            Ahora bien, en atención al problema jurídico planteado </w:t>
            </w:r>
            <w:r w:rsidRPr="00946693">
              <w:rPr>
                <w:rFonts w:ascii="Verdana" w:eastAsia="Calibri" w:hAnsi="Verdana" w:cs="Arial"/>
              </w:rPr>
              <w:t>y en concordancia con la Circular Externa de Colombia Compra Eficiente del 23 de agosto de 2024</w:t>
            </w:r>
            <w:r>
              <w:rPr>
                <w:rStyle w:val="Refdenotaalpie"/>
                <w:rFonts w:ascii="Verdana" w:eastAsia="Calibri" w:hAnsi="Verdana" w:cs="Arial"/>
              </w:rPr>
              <w:footnoteReference w:id="2"/>
            </w:r>
            <w:r w:rsidR="00B30302">
              <w:rPr>
                <w:rFonts w:ascii="Verdana" w:eastAsia="Calibri" w:hAnsi="Verdana" w:cs="Arial"/>
              </w:rPr>
              <w:t xml:space="preserve"> y el concepto C-402 del 07 de mayo de 2025 expedido por esta Subdirección Contractual</w:t>
            </w:r>
            <w:r w:rsidRPr="00946693">
              <w:rPr>
                <w:rFonts w:ascii="Verdana" w:eastAsia="Calibri" w:hAnsi="Verdana" w:cs="Arial"/>
              </w:rPr>
              <w:t>, es jurídicamente viable que una entidad de régimen especial suscriba modificaciones o adendas fuera de la plataforma (mediante firma manuscrita o digital externa), siempre que estas se publiquen en el SECOP II dentro de los tres (3) días siguientes a su expedición. Esta posibilidad de "firma externa" es una de las opciones de cumplimiento validadas por el ente rector, permitiendo que la validez del acuerdo se sustente en la autonomía de la voluntad</w:t>
            </w:r>
            <w:r w:rsidR="00420D97">
              <w:rPr>
                <w:rFonts w:ascii="Verdana" w:eastAsia="Calibri" w:hAnsi="Verdana" w:cs="Arial"/>
              </w:rPr>
              <w:t>.</w:t>
            </w:r>
          </w:p>
          <w:p w14:paraId="09E343B0" w14:textId="77777777" w:rsidR="00946693" w:rsidRPr="00946693" w:rsidRDefault="00946693" w:rsidP="00946693">
            <w:pPr>
              <w:spacing w:line="276" w:lineRule="auto"/>
              <w:jc w:val="both"/>
              <w:rPr>
                <w:rFonts w:ascii="Verdana" w:eastAsia="Calibri" w:hAnsi="Verdana" w:cs="Arial"/>
              </w:rPr>
            </w:pPr>
          </w:p>
          <w:p w14:paraId="31AC2A83" w14:textId="4292BBA7" w:rsidR="006D0D53" w:rsidRDefault="006D0D53" w:rsidP="00946693">
            <w:pPr>
              <w:spacing w:line="276" w:lineRule="auto"/>
              <w:jc w:val="both"/>
              <w:rPr>
                <w:rFonts w:ascii="Verdana" w:eastAsia="Calibri" w:hAnsi="Verdana" w:cs="Arial"/>
              </w:rPr>
            </w:pPr>
            <w:r>
              <w:rPr>
                <w:rFonts w:ascii="Verdana" w:eastAsia="Calibri" w:hAnsi="Verdana" w:cs="Arial"/>
              </w:rPr>
              <w:t xml:space="preserve">             Así las cosas</w:t>
            </w:r>
            <w:r w:rsidR="00946693" w:rsidRPr="00946693">
              <w:rPr>
                <w:rFonts w:ascii="Verdana" w:eastAsia="Calibri" w:hAnsi="Verdana" w:cs="Arial"/>
              </w:rPr>
              <w:t>, la entidad puede perfeccionar el contrato inicial de forma electrónica y realizar sus modificaciones de forma externa, siempre que no se rompa el deber de publicidad. Al cargar el documento escaneado en el módulo de ejecución dentro del término legal, se satisface la exigencia de la Ley 2195 de 2022, manteniendo la integridad del expediente electrónico y cumpliendo con el principio de juridicidad que rige la contratación pública en Colombia.</w:t>
            </w:r>
          </w:p>
          <w:p w14:paraId="4134385F" w14:textId="77777777" w:rsidR="006D0D53" w:rsidRDefault="006D0D53" w:rsidP="00946693">
            <w:pPr>
              <w:spacing w:line="276" w:lineRule="auto"/>
              <w:jc w:val="both"/>
              <w:rPr>
                <w:rFonts w:ascii="Verdana" w:eastAsia="Calibri" w:hAnsi="Verdana" w:cs="Arial"/>
              </w:rPr>
            </w:pPr>
          </w:p>
          <w:p w14:paraId="7DB60515" w14:textId="21DF641E" w:rsidR="006D0D53" w:rsidRDefault="006D0D53" w:rsidP="00946693">
            <w:pPr>
              <w:spacing w:line="276" w:lineRule="auto"/>
              <w:jc w:val="both"/>
              <w:rPr>
                <w:rFonts w:ascii="Verdana" w:eastAsia="Calibri" w:hAnsi="Verdana" w:cs="Arial"/>
              </w:rPr>
            </w:pPr>
            <w:r>
              <w:rPr>
                <w:rFonts w:ascii="Verdana" w:eastAsia="Calibri" w:hAnsi="Verdana" w:cs="Arial"/>
              </w:rPr>
              <w:t xml:space="preserve">         De igual manera</w:t>
            </w:r>
            <w:r w:rsidRPr="006D0D53">
              <w:rPr>
                <w:rFonts w:ascii="Verdana" w:eastAsia="Calibri" w:hAnsi="Verdana" w:cs="Arial"/>
              </w:rPr>
              <w:t xml:space="preserve"> se recomienda la consulta detallada de la Circular Externa No. 002 de 2024, expedida por la Agencia Nacional de Contratación Pública – Colombia Compra Eficiente. Este documento técnico es el instrumento vigente que imparte las directrices definitivas sobre los términos, condiciones y opciones de cumplimiento para la publicación de la información en el SECOP II, permitiendo a las entidades de régimen especial armonizar sus procedimientos internos con las exigencias de transparencia y los plazos legales de reporte.</w:t>
            </w:r>
          </w:p>
          <w:p w14:paraId="51FF6FB7" w14:textId="5D8425D4" w:rsidR="00517B15" w:rsidRPr="000E7DFD" w:rsidRDefault="00985FAD" w:rsidP="00946693">
            <w:pPr>
              <w:spacing w:line="276" w:lineRule="auto"/>
              <w:jc w:val="both"/>
              <w:rPr>
                <w:rFonts w:ascii="Verdana" w:eastAsia="Calibri" w:hAnsi="Verdana" w:cs="Arial"/>
              </w:rPr>
            </w:pPr>
            <w:r>
              <w:rPr>
                <w:rFonts w:ascii="Verdana" w:eastAsia="Calibri" w:hAnsi="Verdana" w:cs="Arial"/>
              </w:rPr>
              <w:t xml:space="preserve"> </w:t>
            </w:r>
          </w:p>
          <w:p w14:paraId="6B3A7047" w14:textId="508AB234" w:rsidR="0029110A" w:rsidRDefault="0099297C" w:rsidP="0029110A">
            <w:pPr>
              <w:spacing w:line="276" w:lineRule="auto"/>
              <w:contextualSpacing/>
              <w:jc w:val="both"/>
            </w:pPr>
            <w:r>
              <w:rPr>
                <w:rFonts w:ascii="Verdana" w:eastAsia="Calibri" w:hAnsi="Verdana" w:cs="Arial"/>
                <w:bCs/>
                <w:color w:val="000000" w:themeColor="text1"/>
              </w:rPr>
              <w:t xml:space="preserve">          Finalmente</w:t>
            </w:r>
            <w:r>
              <w:rPr>
                <w:rFonts w:ascii="Verdana" w:eastAsia="Calibri" w:hAnsi="Verdana" w:cs="Times New Roman"/>
                <w:lang w:val="es-ES"/>
              </w:rPr>
              <w:t>,</w:t>
            </w:r>
            <w:r w:rsidRPr="00DB4737">
              <w:rPr>
                <w:rFonts w:ascii="Verdana" w:eastAsia="Calibri" w:hAnsi="Verdana" w:cs="Times New Roman"/>
                <w:lang w:val="es-ES"/>
              </w:rPr>
              <w:t xml:space="preserve"> debe advertirse que el análisis en torno </w:t>
            </w:r>
            <w:r>
              <w:rPr>
                <w:rFonts w:ascii="Verdana" w:eastAsia="Calibri" w:hAnsi="Verdana" w:cs="Times New Roman"/>
                <w:lang w:val="es-ES"/>
              </w:rPr>
              <w:t>a un proceso de contratación especifico debe</w:t>
            </w:r>
            <w:r w:rsidRPr="0012388D">
              <w:rPr>
                <w:rFonts w:ascii="Verdana" w:eastAsia="Calibri" w:hAnsi="Verdana" w:cs="Times New Roman"/>
                <w:lang w:val="es-ES"/>
              </w:rPr>
              <w:t xml:space="preserve"> ser realizado por quienes tengan interés en ello.</w:t>
            </w:r>
            <w:r w:rsidRPr="00DB4737">
              <w:rPr>
                <w:rFonts w:ascii="Verdana" w:eastAsia="Calibri" w:hAnsi="Verdana" w:cs="Times New Roman"/>
                <w:lang w:val="es-ES"/>
              </w:rPr>
              <w:t xml:space="preserve"> De esta forma, las afirmaciones aquí realizadas no pueden ser interpretadas </w:t>
            </w:r>
            <w:r w:rsidRPr="00DB4737">
              <w:rPr>
                <w:rFonts w:ascii="Verdana" w:eastAsia="Calibri" w:hAnsi="Verdana" w:cs="Times New Roman"/>
                <w:lang w:val="es-ES"/>
              </w:rPr>
              <w:lastRenderedPageBreak/>
              <w:t>como juicios de valor sobre circunstancias concretas relacionadas con los hechos que motivan la consulta. Por lo anterior, previo concepto de sus asesores, la solución de situaciones particulares corresponderá a los interesados de adoptar la decisión y, en caso de conflicto, a las autoridades judiciales, fiscales y disciplinarias.</w:t>
            </w:r>
            <w:r>
              <w:t xml:space="preserve"> </w:t>
            </w:r>
          </w:p>
          <w:p w14:paraId="4013525A" w14:textId="77777777" w:rsidR="008340AE" w:rsidRDefault="008340AE" w:rsidP="0029110A">
            <w:pPr>
              <w:spacing w:line="276" w:lineRule="auto"/>
              <w:contextualSpacing/>
              <w:jc w:val="both"/>
              <w:rPr>
                <w:rFonts w:ascii="Verdana" w:eastAsia="Calibri" w:hAnsi="Verdana" w:cs="Times New Roman"/>
                <w:lang w:val="es-ES"/>
              </w:rPr>
            </w:pPr>
          </w:p>
          <w:p w14:paraId="79C0B0DC" w14:textId="0C0A3ADE" w:rsidR="00E626B5" w:rsidRPr="0029110A" w:rsidRDefault="008340AE" w:rsidP="00956B73">
            <w:pPr>
              <w:spacing w:line="276" w:lineRule="auto"/>
              <w:contextualSpacing/>
              <w:jc w:val="both"/>
              <w:rPr>
                <w:rFonts w:ascii="Verdana" w:eastAsia="Calibri" w:hAnsi="Verdana" w:cs="Times New Roman"/>
                <w:lang w:val="es-ES"/>
              </w:rPr>
            </w:pPr>
            <w:r>
              <w:rPr>
                <w:rFonts w:ascii="Verdana" w:eastAsia="Calibri" w:hAnsi="Verdana" w:cs="Times New Roman"/>
                <w:lang w:val="es-ES"/>
              </w:rPr>
              <w:t xml:space="preserve">            </w:t>
            </w:r>
            <w:proofErr w:type="spellStart"/>
            <w:r w:rsidR="0099297C">
              <w:rPr>
                <w:rFonts w:ascii="Verdana" w:eastAsia="Calibri" w:hAnsi="Verdana" w:cs="Times New Roman"/>
                <w:lang w:val="es-ES"/>
              </w:rPr>
              <w:t>Asi</w:t>
            </w:r>
            <w:proofErr w:type="spellEnd"/>
            <w:r w:rsidR="0099297C">
              <w:rPr>
                <w:rFonts w:ascii="Verdana" w:eastAsia="Calibri" w:hAnsi="Verdana" w:cs="Times New Roman"/>
                <w:lang w:val="es-ES"/>
              </w:rPr>
              <w:t xml:space="preserve"> las cosas</w:t>
            </w:r>
            <w:r w:rsidR="0099297C" w:rsidRPr="00DB4737">
              <w:rPr>
                <w:rFonts w:ascii="Verdana" w:eastAsia="Calibri" w:hAnsi="Verdana" w:cs="Times New Roman"/>
                <w:lang w:val="es-ES"/>
              </w:rPr>
              <w:t>,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w:t>
            </w:r>
            <w:r w:rsidR="006D0D53">
              <w:rPr>
                <w:rFonts w:ascii="Verdana" w:eastAsia="Calibri" w:hAnsi="Verdana" w:cs="Times New Roman"/>
                <w:lang w:val="es-ES"/>
              </w:rPr>
              <w:t>s</w:t>
            </w:r>
            <w:r w:rsidR="0099297C" w:rsidRPr="00DB4737">
              <w:rPr>
                <w:rFonts w:ascii="Verdana" w:eastAsia="Calibri" w:hAnsi="Verdana" w:cs="Times New Roman"/>
                <w:lang w:val="es-ES"/>
              </w:rPr>
              <w:t>.</w:t>
            </w:r>
          </w:p>
        </w:tc>
      </w:tr>
    </w:tbl>
    <w:p w14:paraId="74DDC741" w14:textId="77777777" w:rsidR="005B261C" w:rsidRPr="00115E3D" w:rsidRDefault="005B261C" w:rsidP="005B261C">
      <w:pPr>
        <w:tabs>
          <w:tab w:val="left" w:pos="142"/>
          <w:tab w:val="left" w:pos="284"/>
        </w:tabs>
        <w:spacing w:after="0" w:line="276" w:lineRule="auto"/>
        <w:jc w:val="both"/>
        <w:rPr>
          <w:rFonts w:ascii="Verdana" w:eastAsia="Century Gothic" w:hAnsi="Verdana" w:cs="Century Gothic"/>
          <w:b/>
          <w:bCs/>
          <w:color w:val="000000" w:themeColor="text1"/>
          <w:lang w:val="es-ES"/>
        </w:rPr>
      </w:pPr>
    </w:p>
    <w:p w14:paraId="7B31EE96" w14:textId="77777777" w:rsidR="005B261C" w:rsidRPr="00115E3D" w:rsidRDefault="005B261C" w:rsidP="005B261C">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115E3D">
        <w:rPr>
          <w:rFonts w:ascii="Verdana" w:eastAsia="Century Gothic" w:hAnsi="Verdana" w:cs="Century Gothic"/>
          <w:b/>
          <w:bCs/>
          <w:color w:val="000000" w:themeColor="text1"/>
        </w:rPr>
        <w:t>Razones de la respuesta:</w:t>
      </w:r>
    </w:p>
    <w:p w14:paraId="6FF07D32" w14:textId="77777777" w:rsidR="00956B73" w:rsidRDefault="00956B73" w:rsidP="00956B73">
      <w:pPr>
        <w:spacing w:after="0" w:line="276" w:lineRule="auto"/>
        <w:jc w:val="both"/>
        <w:rPr>
          <w:rFonts w:ascii="Verdana" w:eastAsia="Calibri" w:hAnsi="Verdana" w:cs="Arial"/>
          <w:lang w:val="es-ES"/>
        </w:rPr>
      </w:pPr>
    </w:p>
    <w:p w14:paraId="3B2D34EE" w14:textId="41716AB2" w:rsidR="00D92AFD" w:rsidRPr="00642EA6" w:rsidRDefault="00956B73" w:rsidP="00D92AFD">
      <w:pPr>
        <w:spacing w:after="0" w:line="276" w:lineRule="auto"/>
        <w:jc w:val="both"/>
        <w:rPr>
          <w:rFonts w:ascii="Verdana" w:eastAsia="Calibri" w:hAnsi="Verdana" w:cs="Arial"/>
          <w:shd w:val="clear" w:color="auto" w:fill="FFFFFF"/>
        </w:rPr>
      </w:pPr>
      <w:r>
        <w:rPr>
          <w:rFonts w:ascii="Verdana" w:hAnsi="Verdana" w:cs="Arial"/>
          <w:bCs/>
          <w:lang w:eastAsia="es-CO"/>
        </w:rPr>
        <w:tab/>
      </w:r>
      <w:r w:rsidR="00D92AFD">
        <w:rPr>
          <w:rFonts w:ascii="Verdana" w:eastAsia="Aptos" w:hAnsi="Verdana" w:cs="Arial"/>
          <w:bCs/>
        </w:rPr>
        <w:t>E</w:t>
      </w:r>
      <w:r w:rsidR="00D92AFD" w:rsidRPr="00642EA6">
        <w:rPr>
          <w:rFonts w:ascii="Verdana" w:eastAsia="Aptos" w:hAnsi="Verdana" w:cs="Arial"/>
          <w:bCs/>
        </w:rPr>
        <w:t xml:space="preserve">s preciso indicar que </w:t>
      </w:r>
      <w:r w:rsidR="00D92AFD" w:rsidRPr="00642EA6">
        <w:rPr>
          <w:rFonts w:ascii="Verdana" w:eastAsia="Calibri" w:hAnsi="Verdana" w:cs="Arial"/>
          <w:shd w:val="clear" w:color="auto" w:fill="FFFFFF"/>
        </w:rPr>
        <w:t xml:space="preserve">el principio de publicidad impone a las autoridades administrativas el deber de dar a conocer sus actos, contratos y decisiones para que se divulguen y eventualmente se controlen. Por ello, en la contratación estatal, el literal c) del artículo 3 de la Ley 1150 de 2007 establece el Sistema Electrónico para la Contratación Pública, en adelante SECOP, como un mecanismo que “contará con la información oficial de la contratación </w:t>
      </w:r>
      <w:r w:rsidR="00D92AFD" w:rsidRPr="00642EA6">
        <w:rPr>
          <w:rFonts w:ascii="Verdana" w:eastAsia="Calibri" w:hAnsi="Verdana" w:cs="Arial"/>
          <w:i/>
          <w:iCs/>
          <w:u w:val="single"/>
          <w:shd w:val="clear" w:color="auto" w:fill="FFFFFF"/>
        </w:rPr>
        <w:t>realizada con dineros públicos</w:t>
      </w:r>
      <w:r w:rsidR="00D92AFD" w:rsidRPr="00642EA6">
        <w:rPr>
          <w:rFonts w:ascii="Verdana" w:eastAsia="Calibri" w:hAnsi="Verdana" w:cs="Arial"/>
          <w:shd w:val="clear" w:color="auto" w:fill="FFFFFF"/>
        </w:rPr>
        <w:t>, para lo cual establecerá los patrones a que haya lugar y se encargará de su difusión a través de canales electrónicos</w:t>
      </w:r>
      <w:r w:rsidR="00D92AFD">
        <w:rPr>
          <w:rFonts w:ascii="Verdana" w:eastAsia="Calibri" w:hAnsi="Verdana" w:cs="Arial"/>
          <w:shd w:val="clear" w:color="auto" w:fill="FFFFFF"/>
        </w:rPr>
        <w:t>”</w:t>
      </w:r>
      <w:r w:rsidR="00D92AFD" w:rsidRPr="00642EA6">
        <w:rPr>
          <w:rFonts w:ascii="Aptos" w:eastAsia="Aptos" w:hAnsi="Aptos" w:cs="Times New Roman"/>
          <w:color w:val="000000"/>
          <w:vertAlign w:val="superscript"/>
          <w:lang w:val="es-ES_tradnl"/>
        </w:rPr>
        <w:footnoteReference w:id="3"/>
      </w:r>
      <w:r w:rsidR="00D92AFD" w:rsidRPr="00642EA6">
        <w:rPr>
          <w:rFonts w:ascii="Verdana" w:eastAsia="Calibri" w:hAnsi="Verdana" w:cs="Arial"/>
          <w:color w:val="000000"/>
          <w:lang w:val="es-ES_tradnl"/>
        </w:rPr>
        <w:t>. [Énfasis fuera de texto]</w:t>
      </w:r>
    </w:p>
    <w:p w14:paraId="5054690C" w14:textId="77777777" w:rsidR="00D92AFD" w:rsidRPr="00642EA6" w:rsidRDefault="00D92AFD" w:rsidP="00D92AFD">
      <w:pPr>
        <w:spacing w:before="120" w:after="120" w:line="276" w:lineRule="auto"/>
        <w:ind w:firstLine="709"/>
        <w:jc w:val="both"/>
        <w:rPr>
          <w:rFonts w:ascii="Verdana" w:eastAsia="Calibri" w:hAnsi="Verdana" w:cs="Arial"/>
          <w:color w:val="000000"/>
          <w:lang w:val="es-ES_tradnl"/>
        </w:rPr>
      </w:pPr>
      <w:r w:rsidRPr="00642EA6">
        <w:rPr>
          <w:rFonts w:ascii="Verdana" w:eastAsia="Calibri" w:hAnsi="Verdana" w:cs="Arial"/>
          <w:shd w:val="clear" w:color="auto" w:fill="FFFFFF"/>
        </w:rPr>
        <w:lastRenderedPageBreak/>
        <w:t>En ese sentido, la Ley 1712 de 2014 –ley estatutaria que regula la transparencia y el derecho de acceso a la información y a los documentos públicos–; identifica como principios que orientan el derecho de acceso a la información pública, el</w:t>
      </w:r>
      <w:r w:rsidRPr="00642EA6">
        <w:rPr>
          <w:rFonts w:ascii="Verdana" w:eastAsia="Calibri" w:hAnsi="Verdana" w:cs="Arial"/>
          <w:color w:val="000000"/>
          <w:lang w:val="es-ES_tradnl"/>
        </w:rPr>
        <w:t xml:space="preserve"> de máxima publicidad, transparencia en la información y buena fe. El principio de máxima publicidad establece que “toda información en posesión, bajo control o custodia de un sujeto obligado es pública y no podrá ser reservada o limitada sino por disposición constitucional o legal”</w:t>
      </w:r>
      <w:r w:rsidRPr="00642EA6">
        <w:rPr>
          <w:rFonts w:ascii="Aptos" w:eastAsia="Aptos" w:hAnsi="Aptos" w:cs="Times New Roman"/>
          <w:color w:val="000000"/>
          <w:vertAlign w:val="superscript"/>
          <w:lang w:val="es-ES_tradnl"/>
        </w:rPr>
        <w:footnoteReference w:id="4"/>
      </w:r>
      <w:r w:rsidRPr="00642EA6">
        <w:rPr>
          <w:rFonts w:ascii="Verdana" w:eastAsia="Calibri" w:hAnsi="Verdana" w:cs="Arial"/>
          <w:color w:val="000000"/>
          <w:lang w:val="es-ES_tradnl"/>
        </w:rPr>
        <w:t>. El principio de transparencia en la información alude al deber de los sujetos de proporcionar y facilitar el acceso a la misma en los términos más amplios posibles, y a través de los medios y procedimientos legales. La Ley estatutaria citada establece, en el literal e) del artículo 9, que los sujetos obligados, que son todas las entidades públicas</w:t>
      </w:r>
      <w:r w:rsidRPr="00642EA6">
        <w:rPr>
          <w:rFonts w:ascii="Aptos" w:eastAsia="Aptos" w:hAnsi="Aptos" w:cs="Times New Roman"/>
          <w:color w:val="000000"/>
          <w:vertAlign w:val="superscript"/>
          <w:lang w:val="es-ES_tradnl"/>
        </w:rPr>
        <w:footnoteReference w:id="5"/>
      </w:r>
      <w:r w:rsidRPr="00642EA6">
        <w:rPr>
          <w:rFonts w:ascii="Verdana" w:eastAsia="Calibri" w:hAnsi="Verdana" w:cs="Arial"/>
          <w:color w:val="000000"/>
          <w:lang w:val="es-ES_tradnl"/>
        </w:rPr>
        <w:t>, deben publicar la información relativa a su contratación. Esta obligación fue desarrollada por el Decreto Único Reglamentario 1082 de 2015</w:t>
      </w:r>
      <w:r w:rsidRPr="00642EA6">
        <w:rPr>
          <w:rFonts w:ascii="Aptos" w:eastAsia="Aptos" w:hAnsi="Aptos" w:cs="Times New Roman"/>
          <w:color w:val="000000"/>
          <w:vertAlign w:val="superscript"/>
          <w:lang w:val="es-ES_tradnl"/>
        </w:rPr>
        <w:footnoteReference w:id="6"/>
      </w:r>
      <w:r w:rsidRPr="00642EA6">
        <w:rPr>
          <w:rFonts w:ascii="Verdana" w:eastAsia="Calibri" w:hAnsi="Verdana" w:cs="Arial"/>
          <w:color w:val="000000"/>
          <w:lang w:val="es-ES_tradnl"/>
        </w:rPr>
        <w:t>, el cual dispuso que la publicación de la información contractual de los sujetos obligados, que contratan con cargo a recursos públicos, debe hacerse en el SECOP.</w:t>
      </w:r>
    </w:p>
    <w:p w14:paraId="514EE25A" w14:textId="77777777" w:rsidR="00D92AFD" w:rsidRPr="00642EA6" w:rsidRDefault="00D92AFD" w:rsidP="00D92AFD">
      <w:pPr>
        <w:spacing w:before="120" w:after="0" w:line="276" w:lineRule="auto"/>
        <w:ind w:firstLine="708"/>
        <w:contextualSpacing/>
        <w:jc w:val="both"/>
        <w:rPr>
          <w:rFonts w:ascii="Verdana" w:eastAsia="Times New Roman" w:hAnsi="Verdana" w:cs="Arial"/>
          <w:color w:val="000000"/>
          <w:szCs w:val="24"/>
          <w:lang w:val="es-ES_tradnl" w:eastAsia="es-ES_tradnl"/>
        </w:rPr>
      </w:pPr>
      <w:r w:rsidRPr="00642EA6">
        <w:rPr>
          <w:rFonts w:ascii="Verdana" w:eastAsia="Times New Roman" w:hAnsi="Verdana" w:cs="Arial"/>
          <w:color w:val="000000"/>
          <w:szCs w:val="24"/>
          <w:lang w:val="es-ES_tradnl" w:eastAsia="es-ES_tradnl"/>
        </w:rPr>
        <w:t xml:space="preserve">Asimismo, de acuerdo con el literal g) del artículo 11 de la misma ley, todos los destinatarios de la ley de transparencia deben garantizar la publicidad de “sus procedimientos, lineamientos, políticas en materia de adquisiciones y compras, así como todos los datos de adjudicación y ejecución de contratos, incluidos concursos y licitaciones”, y esta información también debe estar en el SECOP. </w:t>
      </w:r>
      <w:r w:rsidRPr="00642EA6">
        <w:rPr>
          <w:rFonts w:ascii="Verdana" w:eastAsia="Calibri" w:hAnsi="Verdana" w:cs="Arial"/>
          <w:color w:val="000000"/>
          <w:szCs w:val="24"/>
          <w:lang w:val="es-ES_tradnl" w:eastAsia="es-ES_tradnl"/>
        </w:rPr>
        <w:t xml:space="preserve">El derecho de acceso a la información pública o de interés público permite a toda persona, sin necesidad de acreditar calidad, interés o condición </w:t>
      </w:r>
      <w:r w:rsidRPr="00642EA6">
        <w:rPr>
          <w:rFonts w:ascii="Verdana" w:eastAsia="Calibri" w:hAnsi="Verdana" w:cs="Arial"/>
          <w:color w:val="000000"/>
          <w:szCs w:val="24"/>
          <w:lang w:val="es-ES_tradnl" w:eastAsia="es-ES_tradnl"/>
        </w:rPr>
        <w:lastRenderedPageBreak/>
        <w:t>particular, conocer la existencia de información pública, acceder a la misma y difundirla o publicarla, según su interés</w:t>
      </w:r>
      <w:r w:rsidRPr="00642EA6">
        <w:rPr>
          <w:rFonts w:ascii="Aptos" w:eastAsia="Calibri" w:hAnsi="Aptos" w:cs="Times New Roman"/>
          <w:vertAlign w:val="superscript"/>
          <w:lang w:val="es-ES_tradnl" w:eastAsia="es-ES_tradnl"/>
        </w:rPr>
        <w:footnoteReference w:id="7"/>
      </w:r>
      <w:r w:rsidRPr="00642EA6">
        <w:rPr>
          <w:rFonts w:ascii="Verdana" w:eastAsia="Calibri" w:hAnsi="Verdana" w:cs="Arial"/>
          <w:color w:val="000000"/>
          <w:szCs w:val="24"/>
          <w:lang w:val="es-ES_tradnl" w:eastAsia="es-ES_tradnl"/>
        </w:rPr>
        <w:t>.</w:t>
      </w:r>
    </w:p>
    <w:p w14:paraId="5A4E6D3C" w14:textId="77777777" w:rsidR="00D92AFD" w:rsidRPr="00642EA6" w:rsidRDefault="00D92AFD" w:rsidP="00D92AFD">
      <w:pPr>
        <w:tabs>
          <w:tab w:val="left" w:pos="709"/>
        </w:tabs>
        <w:spacing w:before="120" w:after="120" w:line="276" w:lineRule="auto"/>
        <w:jc w:val="both"/>
        <w:rPr>
          <w:rFonts w:ascii="Verdana" w:eastAsia="Calibri" w:hAnsi="Verdana" w:cs="Arial"/>
          <w:shd w:val="clear" w:color="auto" w:fill="FFFFFF"/>
        </w:rPr>
      </w:pPr>
      <w:r>
        <w:rPr>
          <w:rFonts w:ascii="Verdana" w:eastAsia="Calibri" w:hAnsi="Verdana" w:cs="Arial"/>
          <w:shd w:val="clear" w:color="auto" w:fill="FFFFFF"/>
        </w:rPr>
        <w:tab/>
      </w:r>
      <w:r w:rsidRPr="00642EA6">
        <w:rPr>
          <w:rFonts w:ascii="Verdana" w:eastAsia="Calibri" w:hAnsi="Verdana" w:cs="Arial"/>
          <w:shd w:val="clear" w:color="auto" w:fill="FFFFFF"/>
        </w:rPr>
        <w:t>En ese contexto, las Entidades Estatales, conforme al artículo 2.2.1.1.1.7.1 del Decreto 1082 de 2015, tienen la obligación de publicar en el SECOP “[…] los Documentos del Proceso y los actos administrativos del Proceso de Contratación, dentro de los tres (3) días siguientes a su expedición […]”. Sin embargo, en lo referente a las Entidades exceptuadas del EGCAP, es decir aquellas que se rigen por disposiciones especiales y el derecho privado, debe señalarse que en virtud de lo dispuesto en el artículo 53 de la Ley 2195 de 2022</w:t>
      </w:r>
      <w:r w:rsidRPr="00642EA6">
        <w:rPr>
          <w:rFonts w:ascii="Aptos" w:eastAsia="Aptos" w:hAnsi="Aptos" w:cs="Times New Roman"/>
          <w:shd w:val="clear" w:color="auto" w:fill="FFFFFF"/>
          <w:vertAlign w:val="superscript"/>
        </w:rPr>
        <w:footnoteReference w:id="8"/>
      </w:r>
      <w:r w:rsidRPr="00642EA6">
        <w:rPr>
          <w:rFonts w:ascii="Verdana" w:eastAsia="Calibri" w:hAnsi="Verdana" w:cs="Arial"/>
          <w:shd w:val="clear" w:color="auto" w:fill="FFFFFF"/>
        </w:rPr>
        <w:t>, mediante el cual se adiciona el artículo 13 a la Ley 1150 de 2007, asigna a dichas entidades la obligación de publicar los documentos relacionados con su actividad contractual en el SECOP II o la plataforma transaccional que haga sus veces.</w:t>
      </w:r>
    </w:p>
    <w:p w14:paraId="0DC18F23" w14:textId="77777777" w:rsidR="00D92AFD" w:rsidRPr="00642EA6" w:rsidRDefault="00D92AFD" w:rsidP="00D92AFD">
      <w:pPr>
        <w:spacing w:after="120" w:line="276" w:lineRule="auto"/>
        <w:ind w:firstLine="709"/>
        <w:jc w:val="both"/>
        <w:rPr>
          <w:rFonts w:ascii="Verdana" w:eastAsia="Calibri" w:hAnsi="Verdana" w:cs="Arial"/>
          <w:bCs/>
          <w:lang w:val="es-MX"/>
        </w:rPr>
      </w:pPr>
      <w:r w:rsidRPr="00642EA6">
        <w:rPr>
          <w:rFonts w:ascii="Verdana" w:eastAsia="Calibri" w:hAnsi="Verdana" w:cs="Arial"/>
          <w:bCs/>
          <w:lang w:val="es-MX"/>
        </w:rPr>
        <w:t>En ese orden, y atendiendo al objeto de la consulta, debe analizarse el alcance de esta obligación para determinar si esta aplica a toda la actividad contractual desarrollada por este tipo de entidades. De esta forma, se tiene que e</w:t>
      </w:r>
      <w:r w:rsidRPr="00642EA6">
        <w:rPr>
          <w:rFonts w:ascii="Verdana" w:eastAsia="Calibri" w:hAnsi="Verdana" w:cs="Arial"/>
          <w:lang w:val="es-ES_tradnl" w:eastAsia="es-ES_tradnl"/>
        </w:rPr>
        <w:t xml:space="preserve">l artículo 53 de la Ley 2195 de 2022 dispone que las entidades con regímenes especiales “deberán publicar los documentos relacionados con su actividad contractual en el Sistema Electrónico para la Contratación Pública (SECOP II) o la plataforma transaccional que haga sus veces”. Como puede observarse, la disposición objeto de estudio no señala de forma expresa si el deber de las entidades exceptuadas de publicar todos los documentos relacionados con su actividad contractual aplica para todos los contratos que se celebren o si, por el </w:t>
      </w:r>
      <w:r w:rsidRPr="00642EA6">
        <w:rPr>
          <w:rFonts w:ascii="Verdana" w:eastAsia="Calibri" w:hAnsi="Verdana" w:cs="Arial"/>
          <w:lang w:val="es-ES_tradnl" w:eastAsia="es-ES_tradnl"/>
        </w:rPr>
        <w:lastRenderedPageBreak/>
        <w:t>contrario, esta obligación sólo se impone respecto de aquellos contratos cuya fuente de financiación proviene de recursos públicos.</w:t>
      </w:r>
    </w:p>
    <w:p w14:paraId="559CDA40" w14:textId="77777777" w:rsidR="00D92AFD" w:rsidRPr="00642EA6" w:rsidRDefault="00D92AFD" w:rsidP="00D92AFD">
      <w:pPr>
        <w:tabs>
          <w:tab w:val="left" w:pos="0"/>
        </w:tabs>
        <w:spacing w:before="120" w:after="120" w:line="276" w:lineRule="auto"/>
        <w:jc w:val="both"/>
        <w:rPr>
          <w:rFonts w:ascii="Verdana" w:eastAsia="Calibri" w:hAnsi="Verdana" w:cs="Arial"/>
          <w:lang w:val="es-ES_tradnl" w:eastAsia="es-ES_tradnl"/>
        </w:rPr>
      </w:pPr>
      <w:r>
        <w:rPr>
          <w:rFonts w:ascii="Verdana" w:eastAsia="Calibri" w:hAnsi="Verdana" w:cs="Arial"/>
          <w:lang w:val="es-ES_tradnl" w:eastAsia="es-ES_tradnl"/>
        </w:rPr>
        <w:tab/>
      </w:r>
      <w:r w:rsidRPr="00642EA6">
        <w:rPr>
          <w:rFonts w:ascii="Verdana" w:eastAsia="Calibri" w:hAnsi="Verdana" w:cs="Arial"/>
          <w:lang w:val="es-ES_tradnl" w:eastAsia="es-ES_tradnl"/>
        </w:rPr>
        <w:t xml:space="preserve">De la lectura del artículo antes citado se pueden extraer al menos dos (2) posturas contrapuestas relacionadas con la interpretación que se realice de la norma. En primer lugar, una interpretación </w:t>
      </w:r>
      <w:r w:rsidRPr="00642EA6">
        <w:rPr>
          <w:rFonts w:ascii="Verdana" w:eastAsia="Calibri" w:hAnsi="Verdana" w:cs="Arial"/>
          <w:i/>
          <w:iCs/>
          <w:lang w:val="es-ES_tradnl" w:eastAsia="es-ES_tradnl"/>
        </w:rPr>
        <w:t xml:space="preserve">exegética </w:t>
      </w:r>
      <w:r w:rsidRPr="00642EA6">
        <w:rPr>
          <w:rFonts w:ascii="Verdana" w:eastAsia="Calibri" w:hAnsi="Verdana" w:cs="Arial"/>
          <w:lang w:val="es-ES_tradnl" w:eastAsia="es-ES_tradnl"/>
        </w:rPr>
        <w:t xml:space="preserve">de la disposición plantearía que, dado que el artículo 53 no señala que la obligación de publicar en el SECOP II recae solamente sobre la contratación que se realice con dineros públicos, se entiende que esta aplica para toda la actividad contractual que ejecute la entidad, indistintamente del origen de los recursos. En segundo lugar, una interpretación </w:t>
      </w:r>
      <w:r w:rsidRPr="00642EA6">
        <w:rPr>
          <w:rFonts w:ascii="Verdana" w:eastAsia="Calibri" w:hAnsi="Verdana" w:cs="Arial"/>
          <w:i/>
          <w:iCs/>
          <w:lang w:val="es-ES_tradnl" w:eastAsia="es-ES_tradnl"/>
        </w:rPr>
        <w:t xml:space="preserve">sistemática </w:t>
      </w:r>
      <w:r w:rsidRPr="00642EA6">
        <w:rPr>
          <w:rFonts w:ascii="Verdana" w:eastAsia="Calibri" w:hAnsi="Verdana" w:cs="Arial"/>
          <w:lang w:val="es-ES_tradnl" w:eastAsia="es-ES_tradnl"/>
        </w:rPr>
        <w:t xml:space="preserve">de la norma concluiría que el artículo 53, al modificar una disposición de la Ley 1150 de 2007, debe armonizarse con todo el cuerpo normativo consagrado en dicha ley y, dado que este se refiere a la contratación que se realiza con </w:t>
      </w:r>
      <w:r w:rsidRPr="00642EA6">
        <w:rPr>
          <w:rFonts w:ascii="Verdana" w:eastAsia="Calibri" w:hAnsi="Verdana" w:cs="Arial"/>
          <w:i/>
          <w:iCs/>
          <w:lang w:val="es-ES_tradnl" w:eastAsia="es-ES_tradnl"/>
        </w:rPr>
        <w:t xml:space="preserve">dineros públicos, </w:t>
      </w:r>
      <w:r w:rsidRPr="00642EA6">
        <w:rPr>
          <w:rFonts w:ascii="Verdana" w:eastAsia="Calibri" w:hAnsi="Verdana" w:cs="Arial"/>
          <w:lang w:val="es-ES_tradnl" w:eastAsia="es-ES_tradnl"/>
        </w:rPr>
        <w:t>esto también debe extenderse a la obligación de publicar los documentos en el SECOP II en cabeza de las entidades con regímenes exceptuados. En otras palabras, el deber consagrado en el artículo 53 de la Ley 2195 de 2022 debe armonizarse con el conjunto de normas que delimitan el deber de publicar en el SECOP II sólo la información relacionada con al activad contractual efectuada con recursos públicos.</w:t>
      </w:r>
    </w:p>
    <w:p w14:paraId="7D6DAD5A" w14:textId="77777777" w:rsidR="00D92AFD" w:rsidRPr="00642EA6" w:rsidRDefault="00D92AFD" w:rsidP="00D92AFD">
      <w:pPr>
        <w:spacing w:before="120" w:after="120" w:line="276" w:lineRule="auto"/>
        <w:ind w:firstLine="709"/>
        <w:jc w:val="both"/>
        <w:rPr>
          <w:rFonts w:ascii="Verdana" w:eastAsia="Calibri" w:hAnsi="Verdana" w:cs="Arial"/>
          <w:lang w:val="es-ES" w:eastAsia="es-ES"/>
        </w:rPr>
      </w:pPr>
      <w:r w:rsidRPr="4E3C208C">
        <w:rPr>
          <w:rFonts w:ascii="Verdana" w:eastAsia="Calibri" w:hAnsi="Verdana" w:cs="Arial"/>
          <w:lang w:val="es-ES" w:eastAsia="es-ES"/>
        </w:rPr>
        <w:t xml:space="preserve">Esta Agencia considera que, la obligación de publicar en el SECOP II todos los documentos relacionados con la actividad contractual de las entidades con regímenes especiales contenida en el artículo 53 de la Ley 2195 de 2022 debe interpretarse de forma sistemática con los preceptos que existen sobre la materia, como, entre otros, los siguientes enunciados normativos: i) los artículos 74 y 209 de la Constitución, </w:t>
      </w:r>
      <w:proofErr w:type="spellStart"/>
      <w:r w:rsidRPr="4E3C208C">
        <w:rPr>
          <w:rFonts w:ascii="Verdana" w:eastAsia="Calibri" w:hAnsi="Verdana" w:cs="Arial"/>
          <w:lang w:val="es-ES" w:eastAsia="es-ES"/>
        </w:rPr>
        <w:t>ii</w:t>
      </w:r>
      <w:proofErr w:type="spellEnd"/>
      <w:r w:rsidRPr="4E3C208C">
        <w:rPr>
          <w:rFonts w:ascii="Verdana" w:eastAsia="Calibri" w:hAnsi="Verdana" w:cs="Arial"/>
          <w:lang w:val="es-ES" w:eastAsia="es-ES"/>
        </w:rPr>
        <w:t xml:space="preserve">) el artículo 3, literal c) de la Ley 1150 de 2007, </w:t>
      </w:r>
      <w:proofErr w:type="spellStart"/>
      <w:r w:rsidRPr="4E3C208C">
        <w:rPr>
          <w:rFonts w:ascii="Verdana" w:eastAsia="Calibri" w:hAnsi="Verdana" w:cs="Arial"/>
          <w:lang w:val="es-ES" w:eastAsia="es-ES"/>
        </w:rPr>
        <w:t>iii</w:t>
      </w:r>
      <w:proofErr w:type="spellEnd"/>
      <w:r w:rsidRPr="4E3C208C">
        <w:rPr>
          <w:rFonts w:ascii="Verdana" w:eastAsia="Calibri" w:hAnsi="Verdana" w:cs="Arial"/>
          <w:lang w:val="es-ES" w:eastAsia="es-ES"/>
        </w:rPr>
        <w:t xml:space="preserve">) los artículos 3, 9, literal e) y 11, literal g), de la Ley 1712 de 2014, y </w:t>
      </w:r>
      <w:proofErr w:type="spellStart"/>
      <w:r w:rsidRPr="4E3C208C">
        <w:rPr>
          <w:rFonts w:ascii="Verdana" w:eastAsia="Calibri" w:hAnsi="Verdana" w:cs="Arial"/>
          <w:lang w:val="es-ES" w:eastAsia="es-ES"/>
        </w:rPr>
        <w:t>iv</w:t>
      </w:r>
      <w:proofErr w:type="spellEnd"/>
      <w:r w:rsidRPr="4E3C208C">
        <w:rPr>
          <w:rFonts w:ascii="Verdana" w:eastAsia="Calibri" w:hAnsi="Verdana" w:cs="Arial"/>
          <w:lang w:val="es-ES" w:eastAsia="es-ES"/>
        </w:rPr>
        <w:t>) los artículos 7 al 10 del Decreto 103 de 2015 –compilado en los artículos 2.1.1.1.1. al 2.1.1.6.1. del Decreto 1081 de 2015–.</w:t>
      </w:r>
    </w:p>
    <w:p w14:paraId="73A0494F" w14:textId="77777777" w:rsidR="00D92AFD" w:rsidRPr="00642EA6" w:rsidRDefault="00D92AFD" w:rsidP="00D92AFD">
      <w:pPr>
        <w:spacing w:before="120" w:after="120" w:line="276" w:lineRule="auto"/>
        <w:ind w:firstLine="709"/>
        <w:jc w:val="both"/>
        <w:rPr>
          <w:rFonts w:ascii="Verdana" w:eastAsia="Calibri" w:hAnsi="Verdana" w:cs="Arial"/>
          <w:shd w:val="clear" w:color="auto" w:fill="FFFFFF"/>
          <w:lang w:val="es-ES"/>
        </w:rPr>
      </w:pPr>
      <w:r w:rsidRPr="00642EA6">
        <w:rPr>
          <w:rFonts w:ascii="Verdana" w:eastAsia="Calibri" w:hAnsi="Verdana" w:cs="Arial"/>
          <w:noProof/>
          <w:lang w:val="es-ES_tradnl"/>
        </w:rPr>
        <w:t xml:space="preserve">Así las cosas, dado que el artículo 53 de la Ley 2195 de 2022 complementó las disposiciones ya establecidas en la Ley 1150 de 2007, la lectura que se haga de dicho artículo debe efectuarse de forma </w:t>
      </w:r>
      <w:r w:rsidRPr="00642EA6">
        <w:rPr>
          <w:rFonts w:ascii="Verdana" w:eastAsia="Calibri" w:hAnsi="Verdana" w:cs="Arial"/>
          <w:i/>
          <w:iCs/>
          <w:noProof/>
          <w:lang w:val="es-ES_tradnl"/>
        </w:rPr>
        <w:t xml:space="preserve">sistemática. </w:t>
      </w:r>
      <w:r w:rsidRPr="00642EA6">
        <w:rPr>
          <w:rFonts w:ascii="Verdana" w:eastAsia="Calibri" w:hAnsi="Verdana" w:cs="Arial"/>
          <w:noProof/>
          <w:lang w:val="es-ES_tradnl"/>
        </w:rPr>
        <w:t xml:space="preserve">En ese sentido, debe señalarse que la </w:t>
      </w:r>
      <w:r w:rsidRPr="00642EA6">
        <w:rPr>
          <w:rFonts w:ascii="Verdana" w:eastAsia="Calibri" w:hAnsi="Verdana" w:cs="Arial"/>
          <w:lang w:val="es-ES_tradnl" w:eastAsia="es-CO"/>
        </w:rPr>
        <w:t xml:space="preserve">contratación con cargo a recursos públicos es un concepto al que alude expresamente la Ley 1150 de 2007, incluso desde el mismo título, pues este indica que dicha ley es </w:t>
      </w:r>
      <w:r w:rsidRPr="00642EA6">
        <w:rPr>
          <w:rFonts w:ascii="Verdana" w:eastAsia="Calibri" w:hAnsi="Verdana" w:cs="Arial"/>
          <w:lang w:val="es-ES_tradnl"/>
        </w:rPr>
        <w:t>“</w:t>
      </w:r>
      <w:r w:rsidRPr="00642EA6">
        <w:rPr>
          <w:rFonts w:ascii="Verdana" w:eastAsia="Calibri" w:hAnsi="Verdana" w:cs="Arial"/>
        </w:rPr>
        <w:t>Por medio de la cual se introducen medidas para la eficiencia y la transparencia en la Ley </w:t>
      </w:r>
      <w:hyperlink r:id="rId13" w:anchor="1" w:history="1">
        <w:r w:rsidRPr="00642EA6">
          <w:rPr>
            <w:rFonts w:ascii="Verdana" w:eastAsia="Calibri" w:hAnsi="Verdana" w:cs="Arial"/>
          </w:rPr>
          <w:t>80</w:t>
        </w:r>
      </w:hyperlink>
      <w:r w:rsidRPr="00642EA6">
        <w:rPr>
          <w:rFonts w:ascii="Verdana" w:eastAsia="Calibri" w:hAnsi="Verdana" w:cs="Arial"/>
        </w:rPr>
        <w:t> de 1993 y se dictan otras disposiciones generales sobre la contratación con Recursos Públicos</w:t>
      </w:r>
      <w:r w:rsidRPr="00642EA6">
        <w:rPr>
          <w:rFonts w:ascii="Verdana" w:eastAsia="Calibri" w:hAnsi="Verdana" w:cs="Arial"/>
          <w:lang w:val="es-ES_tradnl"/>
        </w:rPr>
        <w:t>”</w:t>
      </w:r>
      <w:r w:rsidRPr="00642EA6">
        <w:rPr>
          <w:rFonts w:ascii="Verdana" w:eastAsia="Calibri" w:hAnsi="Verdana" w:cs="Arial"/>
        </w:rPr>
        <w:t>.</w:t>
      </w:r>
      <w:r w:rsidRPr="00642EA6">
        <w:rPr>
          <w:rFonts w:ascii="Verdana" w:eastAsia="Calibri" w:hAnsi="Verdana" w:cs="Arial"/>
          <w:lang w:val="es-ES_tradnl" w:eastAsia="es-CO"/>
        </w:rPr>
        <w:t xml:space="preserve"> Asimismo, la terminología contratación con cargo recursos públicos</w:t>
      </w:r>
      <w:r w:rsidRPr="00642EA6">
        <w:rPr>
          <w:rFonts w:ascii="Verdana" w:eastAsia="Calibri" w:hAnsi="Verdana" w:cs="Arial"/>
          <w:i/>
          <w:iCs/>
          <w:lang w:val="es-ES_tradnl" w:eastAsia="es-CO"/>
        </w:rPr>
        <w:t xml:space="preserve"> </w:t>
      </w:r>
      <w:r w:rsidRPr="00642EA6">
        <w:rPr>
          <w:rFonts w:ascii="Verdana" w:eastAsia="Calibri" w:hAnsi="Verdana" w:cs="Arial"/>
          <w:lang w:val="es-ES_tradnl" w:eastAsia="es-CO"/>
        </w:rPr>
        <w:t xml:space="preserve">se encuentra en el </w:t>
      </w:r>
      <w:r w:rsidRPr="00642EA6">
        <w:rPr>
          <w:rFonts w:ascii="Verdana" w:eastAsia="Calibri" w:hAnsi="Verdana" w:cs="Arial"/>
          <w:lang w:val="es-ES_tradnl" w:eastAsia="es-CO"/>
        </w:rPr>
        <w:lastRenderedPageBreak/>
        <w:t>artículo primero, al definir el ámbito de aplicación de sus disposiciones</w:t>
      </w:r>
      <w:r w:rsidRPr="00642EA6">
        <w:rPr>
          <w:rFonts w:ascii="Aptos" w:eastAsia="Aptos" w:hAnsi="Aptos" w:cs="Times New Roman"/>
          <w:vertAlign w:val="superscript"/>
          <w:lang w:val="es-ES_tradnl" w:eastAsia="es-CO"/>
        </w:rPr>
        <w:footnoteReference w:id="9"/>
      </w:r>
      <w:r w:rsidRPr="00642EA6">
        <w:rPr>
          <w:rFonts w:ascii="Verdana" w:eastAsia="Calibri" w:hAnsi="Verdana" w:cs="Arial"/>
          <w:lang w:val="es-ES_tradnl" w:eastAsia="es-CO"/>
        </w:rPr>
        <w:t xml:space="preserve"> y en el literal c) del artículo 3 –del que surge el deber de publicar en el SECOP–, que expresamente </w:t>
      </w:r>
      <w:r w:rsidRPr="00642EA6">
        <w:rPr>
          <w:rFonts w:ascii="Verdana" w:eastAsia="Calibri" w:hAnsi="Verdana" w:cs="Arial"/>
          <w:shd w:val="clear" w:color="auto" w:fill="FFFFFF"/>
          <w:lang w:val="es-ES"/>
        </w:rPr>
        <w:t xml:space="preserve">establece que ese aparte del artículo se aplica a la “contratación realizada con dineros públicos”. </w:t>
      </w:r>
      <w:r w:rsidRPr="00642EA6">
        <w:rPr>
          <w:rFonts w:ascii="Verdana" w:eastAsia="Calibri" w:hAnsi="Verdana" w:cs="Arial"/>
          <w:shd w:val="clear" w:color="auto" w:fill="FFFFFF"/>
        </w:rPr>
        <w:t>Esta interpretación concuerda con el ámbito al que se encuentran destinadas las disposiciones del Título II de dicha norma, titulado “DISPOSICIONES GENERALES PARA LA CONTRATACION CON RECURSOS PUBLICOS”, en el cual se ubica el artículo 13 que fue modificado por el artículo 53 de la Ley 2195 de 2022.</w:t>
      </w:r>
    </w:p>
    <w:p w14:paraId="67294007" w14:textId="77777777" w:rsidR="00D92AFD" w:rsidRPr="00642EA6" w:rsidRDefault="00D92AFD" w:rsidP="00D92AFD">
      <w:pPr>
        <w:spacing w:after="0" w:line="276" w:lineRule="auto"/>
        <w:ind w:firstLine="708"/>
        <w:contextualSpacing/>
        <w:jc w:val="both"/>
        <w:rPr>
          <w:rFonts w:ascii="Verdana" w:eastAsia="Calibri" w:hAnsi="Verdana" w:cs="Arial"/>
        </w:rPr>
      </w:pPr>
      <w:r w:rsidRPr="00642EA6">
        <w:rPr>
          <w:rFonts w:ascii="Verdana" w:eastAsia="Calibri" w:hAnsi="Verdana" w:cs="Arial"/>
          <w:lang w:val="es-ES_tradnl" w:eastAsia="es-CO"/>
        </w:rPr>
        <w:t xml:space="preserve">Por otro lado, </w:t>
      </w:r>
      <w:r w:rsidRPr="00642EA6">
        <w:rPr>
          <w:rFonts w:ascii="Verdana" w:eastAsia="Calibri" w:hAnsi="Verdana" w:cs="Arial"/>
        </w:rPr>
        <w:t xml:space="preserve">el Decreto 103 de 2015, mediante el cual se reglamentó la Ley 1712 de 2014, y que fue compilado </w:t>
      </w:r>
      <w:r w:rsidRPr="00642EA6">
        <w:rPr>
          <w:rFonts w:ascii="Verdana" w:eastAsia="Calibri" w:hAnsi="Verdana" w:cs="Arial"/>
          <w:shd w:val="clear" w:color="auto" w:fill="FFFFFF"/>
        </w:rPr>
        <w:t xml:space="preserve">en los artículos 2.1.1.1.1. al 2.1.1.6.1. del Decreto 1081 de 2015–.  </w:t>
      </w:r>
      <w:r w:rsidRPr="00642EA6">
        <w:rPr>
          <w:rFonts w:ascii="Verdana" w:eastAsia="Calibri" w:hAnsi="Verdana" w:cs="Arial"/>
        </w:rPr>
        <w:t>señala:</w:t>
      </w:r>
    </w:p>
    <w:p w14:paraId="348A2EC6" w14:textId="77777777" w:rsidR="00D92AFD" w:rsidRPr="00642EA6" w:rsidRDefault="00D92AFD" w:rsidP="00D92AFD">
      <w:pPr>
        <w:spacing w:after="0" w:line="276" w:lineRule="auto"/>
        <w:ind w:firstLine="784"/>
        <w:contextualSpacing/>
        <w:jc w:val="both"/>
        <w:rPr>
          <w:rFonts w:ascii="Verdana" w:eastAsia="Calibri" w:hAnsi="Verdana" w:cs="Arial"/>
        </w:rPr>
      </w:pPr>
    </w:p>
    <w:p w14:paraId="343140CA" w14:textId="77777777" w:rsidR="00D92AFD" w:rsidRPr="00642EA6" w:rsidRDefault="00D92AFD" w:rsidP="00D92AFD">
      <w:pPr>
        <w:spacing w:after="0" w:line="240" w:lineRule="auto"/>
        <w:ind w:left="709" w:right="709"/>
        <w:jc w:val="both"/>
        <w:rPr>
          <w:rFonts w:ascii="Verdana" w:eastAsia="Times New Roman" w:hAnsi="Verdana" w:cs="Arial"/>
          <w:sz w:val="21"/>
          <w:szCs w:val="21"/>
          <w:lang w:eastAsia="es-CO"/>
        </w:rPr>
      </w:pPr>
      <w:r w:rsidRPr="00642EA6">
        <w:rPr>
          <w:rFonts w:ascii="Verdana" w:eastAsia="Times New Roman" w:hAnsi="Verdana" w:cs="Arial"/>
          <w:sz w:val="21"/>
          <w:szCs w:val="21"/>
          <w:lang w:eastAsia="es-CO"/>
        </w:rPr>
        <w:t>“Artículo 7°.</w:t>
      </w:r>
      <w:r w:rsidRPr="00642EA6">
        <w:rPr>
          <w:rFonts w:ascii="Verdana" w:eastAsia="Times New Roman" w:hAnsi="Verdana" w:cs="Arial"/>
          <w:i/>
          <w:iCs/>
          <w:sz w:val="21"/>
          <w:szCs w:val="21"/>
          <w:lang w:eastAsia="es-CO"/>
        </w:rPr>
        <w:t xml:space="preserve"> Publicación de la información contractual. </w:t>
      </w:r>
      <w:r w:rsidRPr="00642EA6">
        <w:rPr>
          <w:rFonts w:ascii="Verdana" w:eastAsia="Times New Roman" w:hAnsi="Verdana" w:cs="Arial"/>
          <w:sz w:val="21"/>
          <w:szCs w:val="21"/>
          <w:lang w:eastAsia="es-CO"/>
        </w:rPr>
        <w:t xml:space="preserve">De conformidad con el literal (c) del artículo 3° de la Ley 1150 de 2007, el sistema de información del Estado en el cual los sujetos obligados que contratan </w:t>
      </w:r>
      <w:r w:rsidRPr="00642EA6">
        <w:rPr>
          <w:rFonts w:ascii="Verdana" w:eastAsia="Times New Roman" w:hAnsi="Verdana" w:cs="Arial"/>
          <w:i/>
          <w:iCs/>
          <w:sz w:val="21"/>
          <w:szCs w:val="21"/>
          <w:lang w:eastAsia="es-CO"/>
        </w:rPr>
        <w:t>con cargo a recursos públicos</w:t>
      </w:r>
      <w:r w:rsidRPr="00642EA6">
        <w:rPr>
          <w:rFonts w:ascii="Verdana" w:eastAsia="Times New Roman" w:hAnsi="Verdana" w:cs="Arial"/>
          <w:sz w:val="21"/>
          <w:szCs w:val="21"/>
          <w:lang w:eastAsia="es-CO"/>
        </w:rPr>
        <w:t xml:space="preserve"> deben cumplir la obligación de publicar la información de su gestión contractual es el Sistema Electrónico para la Contratación Pública (</w:t>
      </w:r>
      <w:proofErr w:type="spellStart"/>
      <w:r w:rsidRPr="00642EA6">
        <w:rPr>
          <w:rFonts w:ascii="Verdana" w:eastAsia="Times New Roman" w:hAnsi="Verdana" w:cs="Arial"/>
          <w:sz w:val="21"/>
          <w:szCs w:val="21"/>
          <w:lang w:eastAsia="es-CO"/>
        </w:rPr>
        <w:t>Secop</w:t>
      </w:r>
      <w:proofErr w:type="spellEnd"/>
      <w:r w:rsidRPr="00642EA6">
        <w:rPr>
          <w:rFonts w:ascii="Verdana" w:eastAsia="Times New Roman" w:hAnsi="Verdana" w:cs="Arial"/>
          <w:sz w:val="21"/>
          <w:szCs w:val="21"/>
          <w:lang w:eastAsia="es-CO"/>
        </w:rPr>
        <w:t>). </w:t>
      </w:r>
    </w:p>
    <w:p w14:paraId="608F5D92" w14:textId="77777777" w:rsidR="00D92AFD" w:rsidRPr="00642EA6" w:rsidRDefault="00D92AFD" w:rsidP="00D92AFD">
      <w:pPr>
        <w:spacing w:before="120" w:after="0" w:line="240" w:lineRule="auto"/>
        <w:ind w:left="709" w:right="709"/>
        <w:jc w:val="both"/>
        <w:rPr>
          <w:rFonts w:ascii="Verdana" w:eastAsia="Times New Roman" w:hAnsi="Verdana" w:cs="Arial"/>
          <w:sz w:val="21"/>
          <w:szCs w:val="21"/>
          <w:lang w:eastAsia="es-CO"/>
        </w:rPr>
      </w:pPr>
      <w:r w:rsidRPr="00642EA6">
        <w:rPr>
          <w:rFonts w:ascii="Verdana" w:eastAsia="Times New Roman" w:hAnsi="Verdana" w:cs="Arial"/>
          <w:sz w:val="21"/>
          <w:szCs w:val="21"/>
          <w:lang w:eastAsia="es-CO"/>
        </w:rPr>
        <w:t xml:space="preserve">Los sujetos obligados que contratan </w:t>
      </w:r>
      <w:r w:rsidRPr="00642EA6">
        <w:rPr>
          <w:rFonts w:ascii="Verdana" w:eastAsia="Times New Roman" w:hAnsi="Verdana" w:cs="Arial"/>
          <w:i/>
          <w:iCs/>
          <w:sz w:val="21"/>
          <w:szCs w:val="21"/>
          <w:lang w:eastAsia="es-CO"/>
        </w:rPr>
        <w:t>con cargo a recursos públicos</w:t>
      </w:r>
      <w:r w:rsidRPr="00642EA6">
        <w:rPr>
          <w:rFonts w:ascii="Verdana" w:eastAsia="Times New Roman" w:hAnsi="Verdana" w:cs="Arial"/>
          <w:sz w:val="21"/>
          <w:szCs w:val="21"/>
          <w:lang w:eastAsia="es-CO"/>
        </w:rPr>
        <w:t xml:space="preserve"> deben publicar la información de su gestión contractual en el plazo previsto en el artículo 19 del Decreto 1510 de 2013, o el que lo modifique, sustituya o adicione. </w:t>
      </w:r>
    </w:p>
    <w:p w14:paraId="7705A239" w14:textId="77777777" w:rsidR="00D92AFD" w:rsidRPr="00642EA6" w:rsidRDefault="00D92AFD" w:rsidP="00D92AFD">
      <w:pPr>
        <w:spacing w:before="120" w:after="0" w:line="240" w:lineRule="auto"/>
        <w:ind w:left="709" w:right="709"/>
        <w:jc w:val="both"/>
        <w:rPr>
          <w:rFonts w:ascii="Verdana" w:eastAsia="Times New Roman" w:hAnsi="Verdana" w:cs="Arial"/>
          <w:sz w:val="21"/>
          <w:szCs w:val="21"/>
          <w:lang w:eastAsia="es-CO"/>
        </w:rPr>
      </w:pPr>
      <w:r w:rsidRPr="00642EA6">
        <w:rPr>
          <w:rFonts w:ascii="Verdana" w:eastAsia="Times New Roman" w:hAnsi="Verdana" w:cs="Arial"/>
          <w:sz w:val="21"/>
          <w:szCs w:val="21"/>
          <w:lang w:eastAsia="es-CO"/>
        </w:rPr>
        <w:t>Los sujetos obligados que contratan con recursos públicos y recursos privados, deben publicar la información de su gestión contractual con cargo a recursos públicos en el Sistema Electrónico para la Contratación Pública (</w:t>
      </w:r>
      <w:proofErr w:type="spellStart"/>
      <w:r w:rsidRPr="00642EA6">
        <w:rPr>
          <w:rFonts w:ascii="Verdana" w:eastAsia="Times New Roman" w:hAnsi="Verdana" w:cs="Arial"/>
          <w:sz w:val="21"/>
          <w:szCs w:val="21"/>
          <w:lang w:eastAsia="es-CO"/>
        </w:rPr>
        <w:t>Secop</w:t>
      </w:r>
      <w:proofErr w:type="spellEnd"/>
      <w:r w:rsidRPr="00642EA6">
        <w:rPr>
          <w:rFonts w:ascii="Verdana" w:eastAsia="Times New Roman" w:hAnsi="Verdana" w:cs="Arial"/>
          <w:sz w:val="21"/>
          <w:szCs w:val="21"/>
          <w:lang w:eastAsia="es-CO"/>
        </w:rPr>
        <w:t>)”. [Énfasis fuera del texto original]</w:t>
      </w:r>
    </w:p>
    <w:p w14:paraId="2E2D4C09" w14:textId="77777777" w:rsidR="00D92AFD" w:rsidRPr="00642EA6" w:rsidRDefault="00D92AFD" w:rsidP="00D92AFD">
      <w:pPr>
        <w:spacing w:after="0" w:line="276" w:lineRule="auto"/>
        <w:ind w:left="709" w:right="709" w:firstLine="150"/>
        <w:contextualSpacing/>
        <w:jc w:val="both"/>
        <w:rPr>
          <w:rFonts w:ascii="Verdana" w:eastAsia="Times New Roman" w:hAnsi="Verdana" w:cs="Arial"/>
          <w:lang w:eastAsia="es-CO"/>
        </w:rPr>
      </w:pPr>
    </w:p>
    <w:p w14:paraId="1ACABB55" w14:textId="77777777" w:rsidR="00D92AFD" w:rsidRPr="00642EA6" w:rsidRDefault="00D92AFD" w:rsidP="00D92AFD">
      <w:pPr>
        <w:spacing w:before="120" w:after="120" w:line="276" w:lineRule="auto"/>
        <w:ind w:firstLine="709"/>
        <w:jc w:val="both"/>
        <w:rPr>
          <w:rFonts w:ascii="Verdana" w:eastAsia="Calibri" w:hAnsi="Verdana" w:cs="Arial"/>
          <w:lang w:val="es-ES_tradnl" w:eastAsia="es-ES_tradnl"/>
        </w:rPr>
      </w:pPr>
      <w:bookmarkStart w:id="1" w:name="_Hlk110869205"/>
      <w:r w:rsidRPr="00642EA6">
        <w:rPr>
          <w:rFonts w:ascii="Verdana" w:eastAsia="Calibri" w:hAnsi="Verdana" w:cs="Arial"/>
          <w:lang w:val="es-ES_tradnl" w:eastAsia="es-ES_tradnl"/>
        </w:rPr>
        <w:t xml:space="preserve">De las normas antes citadas es posible establecer que la obligación de publicar la actividad contractual siempre ha estado encaminada a que se publique aquella información relacionada con la ejecución de dineros públicos. Por tal razón, puede concluirse, a la luz de las disposiciones que regulan la materia, que el artículo 53 de la Ley 2195 de 2022 –al ampliar la obligación de las entidades con regímenes especiales de publicar su actividad contractual en </w:t>
      </w:r>
      <w:r w:rsidRPr="00642EA6">
        <w:rPr>
          <w:rFonts w:ascii="Verdana" w:eastAsia="Calibri" w:hAnsi="Verdana" w:cs="Arial"/>
          <w:lang w:val="es-ES_tradnl" w:eastAsia="es-ES_tradnl"/>
        </w:rPr>
        <w:lastRenderedPageBreak/>
        <w:t xml:space="preserve">el SECOP II– se refiere a aquella actividad contractual cuya fuente de financiación </w:t>
      </w:r>
      <w:r w:rsidRPr="00E325A0">
        <w:rPr>
          <w:rFonts w:ascii="Verdana" w:eastAsia="Calibri" w:hAnsi="Verdana" w:cs="Arial"/>
          <w:shd w:val="clear" w:color="auto" w:fill="FFFFFF"/>
        </w:rPr>
        <w:t>provenga</w:t>
      </w:r>
      <w:r w:rsidRPr="00642EA6">
        <w:rPr>
          <w:rFonts w:ascii="Verdana" w:eastAsia="Calibri" w:hAnsi="Verdana" w:cs="Arial"/>
          <w:lang w:val="es-ES_tradnl" w:eastAsia="es-ES_tradnl"/>
        </w:rPr>
        <w:t xml:space="preserve"> de recursos públicos. </w:t>
      </w:r>
    </w:p>
    <w:bookmarkEnd w:id="1"/>
    <w:p w14:paraId="6E8158FC" w14:textId="77777777" w:rsidR="00D92AFD" w:rsidRPr="00642EA6" w:rsidRDefault="00D92AFD" w:rsidP="00D92AFD">
      <w:pPr>
        <w:spacing w:after="120" w:line="276" w:lineRule="auto"/>
        <w:ind w:firstLine="708"/>
        <w:contextualSpacing/>
        <w:jc w:val="both"/>
        <w:rPr>
          <w:rFonts w:ascii="Verdana" w:eastAsia="Calibri" w:hAnsi="Verdana" w:cs="Arial"/>
          <w:lang w:val="es-ES"/>
        </w:rPr>
      </w:pPr>
      <w:r w:rsidRPr="00642EA6">
        <w:rPr>
          <w:rFonts w:ascii="Verdana" w:eastAsia="Calibri" w:hAnsi="Verdana" w:cs="Arial"/>
          <w:shd w:val="clear" w:color="auto" w:fill="FFFFFF"/>
          <w:lang w:val="es-ES"/>
        </w:rPr>
        <w:t xml:space="preserve">En consonancia con la interpretación antes expuesta, </w:t>
      </w:r>
      <w:r w:rsidRPr="00642EA6">
        <w:rPr>
          <w:rFonts w:ascii="Verdana" w:eastAsia="Calibri" w:hAnsi="Verdana" w:cs="Arial"/>
          <w:lang w:val="es-ES"/>
        </w:rPr>
        <w:t>la Circular 002 del 23 de agosto de 2024</w:t>
      </w:r>
      <w:r w:rsidRPr="00642EA6">
        <w:rPr>
          <w:rFonts w:ascii="Aptos" w:eastAsia="Aptos" w:hAnsi="Aptos" w:cs="Times New Roman"/>
          <w:vertAlign w:val="superscript"/>
          <w:lang w:val="es-ES"/>
        </w:rPr>
        <w:footnoteReference w:id="10"/>
      </w:r>
      <w:r w:rsidRPr="00642EA6">
        <w:rPr>
          <w:rFonts w:ascii="Verdana" w:eastAsia="Calibri" w:hAnsi="Verdana" w:cs="Arial"/>
          <w:lang w:val="es-ES"/>
        </w:rPr>
        <w:t>, expedida por la Agencia Nacional de Contratación Pública – Colombia Compra Eficiente, a través de la cual se dictan lineamientos para la aplicación del artículo 53 de la Ley 2195 de 2022, en el literal d) –denominado “Procedencia de los recursos como punto de partida para la publicación en el SECOP II”–, señala:</w:t>
      </w:r>
    </w:p>
    <w:p w14:paraId="733FA2B8" w14:textId="77777777" w:rsidR="00D92AFD" w:rsidRPr="00784503" w:rsidRDefault="00D92AFD" w:rsidP="00D92AFD">
      <w:pPr>
        <w:spacing w:after="0" w:line="276" w:lineRule="auto"/>
        <w:ind w:left="709" w:right="709"/>
        <w:jc w:val="both"/>
        <w:rPr>
          <w:rFonts w:ascii="Verdana" w:eastAsia="Calibri" w:hAnsi="Verdana" w:cs="Arial"/>
          <w:sz w:val="20"/>
          <w:szCs w:val="20"/>
          <w:lang w:val="es-ES_tradnl" w:eastAsia="es-ES_tradnl"/>
        </w:rPr>
      </w:pPr>
    </w:p>
    <w:p w14:paraId="6B5271B0" w14:textId="77777777" w:rsidR="00D92AFD" w:rsidRPr="00784503" w:rsidRDefault="00D92AFD" w:rsidP="00D92AFD">
      <w:pPr>
        <w:spacing w:after="0" w:line="240" w:lineRule="auto"/>
        <w:ind w:left="709" w:right="709"/>
        <w:jc w:val="both"/>
        <w:rPr>
          <w:rFonts w:ascii="Verdana" w:eastAsia="Calibri" w:hAnsi="Verdana" w:cs="Arial"/>
          <w:sz w:val="20"/>
          <w:szCs w:val="20"/>
          <w:lang w:val="es-ES" w:eastAsia="es-ES"/>
        </w:rPr>
      </w:pPr>
      <w:r w:rsidRPr="00784503">
        <w:rPr>
          <w:rFonts w:ascii="Verdana" w:eastAsia="Calibri" w:hAnsi="Verdana" w:cs="Arial"/>
          <w:sz w:val="20"/>
          <w:szCs w:val="20"/>
          <w:lang w:val="es-ES" w:eastAsia="es-ES"/>
        </w:rPr>
        <w:t xml:space="preserve">“La obligación de publicar la actividad contractual siempre ha estado encaminada a que se publique aquella información relacionada con la ejecución de los dineros públicos. Por tal razón, puede concluirse, a la luz de las disposiciones que regulan la materia, que </w:t>
      </w:r>
      <w:proofErr w:type="spellStart"/>
      <w:r w:rsidRPr="00784503">
        <w:rPr>
          <w:rFonts w:ascii="Verdana" w:eastAsia="Calibri" w:hAnsi="Verdana" w:cs="Arial"/>
          <w:sz w:val="20"/>
          <w:szCs w:val="20"/>
          <w:lang w:val="es-ES" w:eastAsia="es-ES"/>
        </w:rPr>
        <w:t>e</w:t>
      </w:r>
      <w:proofErr w:type="spellEnd"/>
      <w:r w:rsidRPr="00784503">
        <w:rPr>
          <w:rFonts w:ascii="Verdana" w:eastAsia="Calibri" w:hAnsi="Verdana" w:cs="Arial"/>
          <w:sz w:val="20"/>
          <w:szCs w:val="20"/>
          <w:lang w:val="es-ES" w:eastAsia="es-ES"/>
        </w:rPr>
        <w:t xml:space="preserve"> el artículo 53 -al ampliar la obligación de las entidades con regímenes especiales de publicar su actividad contractual en el SECOP II- se refiere a aquella actividad contractual cuya fuente de financiación provenga de recursos públicos […]”</w:t>
      </w:r>
    </w:p>
    <w:p w14:paraId="54E06F16" w14:textId="77777777" w:rsidR="00D92AFD" w:rsidRPr="00642EA6" w:rsidRDefault="00D92AFD" w:rsidP="00D92AFD">
      <w:pPr>
        <w:spacing w:after="0" w:line="276" w:lineRule="auto"/>
        <w:ind w:firstLine="709"/>
        <w:contextualSpacing/>
        <w:jc w:val="both"/>
        <w:rPr>
          <w:rFonts w:ascii="Verdana" w:eastAsia="Calibri" w:hAnsi="Verdana" w:cs="Arial"/>
          <w:lang w:val="es-ES_tradnl" w:eastAsia="es-ES_tradnl"/>
        </w:rPr>
      </w:pPr>
    </w:p>
    <w:p w14:paraId="41128C76" w14:textId="77777777" w:rsidR="00D92AFD" w:rsidRPr="00642EA6" w:rsidRDefault="00D92AFD" w:rsidP="00D92AFD">
      <w:pPr>
        <w:spacing w:after="120" w:line="276" w:lineRule="auto"/>
        <w:ind w:firstLine="709"/>
        <w:jc w:val="both"/>
        <w:rPr>
          <w:rFonts w:ascii="Verdana" w:eastAsia="Calibri" w:hAnsi="Verdana" w:cs="Arial"/>
          <w:shd w:val="clear" w:color="auto" w:fill="FFFFFF"/>
        </w:rPr>
      </w:pPr>
      <w:r w:rsidRPr="00642EA6">
        <w:rPr>
          <w:rFonts w:ascii="Verdana" w:eastAsia="Calibri" w:hAnsi="Verdana" w:cs="Arial"/>
          <w:lang w:val="es-ES"/>
        </w:rPr>
        <w:t xml:space="preserve">De conformidad con lo anterior, debe entenderse que la contratación a la que se refiere el artículo 53 de la Ley 2195 de 2024, es aquella realizada con recursos públicos, cuya información es la que debe publicarse en el SECOP II, acorde con la interpretación sistemática que permite armonizar la referida norma con todo el contexto normativo que establece que en dicha plataforma se debe publicar sólo la información relativa a la actividad contractual </w:t>
      </w:r>
      <w:r>
        <w:rPr>
          <w:rFonts w:ascii="Verdana" w:eastAsia="Calibri" w:hAnsi="Verdana" w:cs="Arial"/>
          <w:lang w:val="es-ES"/>
        </w:rPr>
        <w:t>financiada</w:t>
      </w:r>
      <w:r w:rsidRPr="00642EA6">
        <w:rPr>
          <w:rFonts w:ascii="Verdana" w:eastAsia="Calibri" w:hAnsi="Verdana" w:cs="Arial"/>
          <w:lang w:val="es-ES"/>
        </w:rPr>
        <w:t xml:space="preserve"> dineros públicos. </w:t>
      </w:r>
      <w:r>
        <w:rPr>
          <w:rFonts w:ascii="Verdana" w:eastAsia="Calibri" w:hAnsi="Verdana" w:cs="Arial"/>
          <w:shd w:val="clear" w:color="auto" w:fill="FFFFFF"/>
        </w:rPr>
        <w:t>En consideración a esto, resulta claro que la obligatoriedad de publicar la actividad contractual establecida en el artículo 13 de la Ley 1150 de 2007, adicionado por el artículo 53 de la Ley 2195 de 2022, se refiere a la contratación financiada con recursos públicos, deviniendo en potestativa la publicación de la contratación</w:t>
      </w:r>
      <w:r w:rsidRPr="00642EA6">
        <w:rPr>
          <w:rFonts w:ascii="Verdana" w:eastAsia="Calibri" w:hAnsi="Verdana" w:cs="Arial"/>
          <w:shd w:val="clear" w:color="auto" w:fill="FFFFFF"/>
        </w:rPr>
        <w:t xml:space="preserve"> </w:t>
      </w:r>
      <w:r>
        <w:rPr>
          <w:rFonts w:ascii="Verdana" w:eastAsia="Calibri" w:hAnsi="Verdana" w:cs="Arial"/>
          <w:shd w:val="clear" w:color="auto" w:fill="FFFFFF"/>
          <w:lang w:val="es-ES"/>
        </w:rPr>
        <w:t xml:space="preserve">desarrollada con otro tipo de recursos. </w:t>
      </w:r>
    </w:p>
    <w:p w14:paraId="33D38649" w14:textId="77777777" w:rsidR="00984D71" w:rsidRDefault="00D92AFD" w:rsidP="00984D71">
      <w:pPr>
        <w:tabs>
          <w:tab w:val="left" w:pos="709"/>
        </w:tabs>
        <w:spacing w:before="120" w:after="120" w:line="276" w:lineRule="auto"/>
        <w:contextualSpacing/>
        <w:jc w:val="both"/>
        <w:rPr>
          <w:rFonts w:ascii="Verdana" w:eastAsia="Aptos" w:hAnsi="Verdana" w:cs="Arial"/>
          <w:shd w:val="clear" w:color="auto" w:fill="FFFFFF"/>
        </w:rPr>
      </w:pPr>
      <w:r>
        <w:rPr>
          <w:rFonts w:ascii="Verdana" w:eastAsia="Aptos" w:hAnsi="Verdana" w:cs="Arial"/>
          <w:shd w:val="clear" w:color="auto" w:fill="FFFFFF"/>
        </w:rPr>
        <w:tab/>
        <w:t>En todo caso</w:t>
      </w:r>
      <w:r w:rsidRPr="00642EA6">
        <w:rPr>
          <w:rFonts w:ascii="Verdana" w:eastAsia="Aptos" w:hAnsi="Verdana" w:cs="Arial"/>
          <w:shd w:val="clear" w:color="auto" w:fill="FFFFFF"/>
        </w:rPr>
        <w:t xml:space="preserve">, corresponde a </w:t>
      </w:r>
      <w:r>
        <w:rPr>
          <w:rFonts w:ascii="Verdana" w:eastAsia="Aptos" w:hAnsi="Verdana" w:cs="Arial"/>
          <w:shd w:val="clear" w:color="auto" w:fill="FFFFFF"/>
        </w:rPr>
        <w:t xml:space="preserve">cada </w:t>
      </w:r>
      <w:r w:rsidRPr="00642EA6">
        <w:rPr>
          <w:rFonts w:ascii="Verdana" w:eastAsia="Aptos" w:hAnsi="Verdana" w:cs="Arial"/>
          <w:shd w:val="clear" w:color="auto" w:fill="FFFFFF"/>
        </w:rPr>
        <w:t xml:space="preserve">entidad de régimen especial de contratación dar cumplimiento al deber </w:t>
      </w:r>
      <w:r>
        <w:rPr>
          <w:rFonts w:ascii="Verdana" w:eastAsia="Aptos" w:hAnsi="Verdana" w:cs="Arial"/>
          <w:shd w:val="clear" w:color="auto" w:fill="FFFFFF"/>
        </w:rPr>
        <w:t xml:space="preserve">de publicación </w:t>
      </w:r>
      <w:r w:rsidRPr="00642EA6">
        <w:rPr>
          <w:rFonts w:ascii="Verdana" w:eastAsia="Aptos" w:hAnsi="Verdana" w:cs="Arial"/>
          <w:shd w:val="clear" w:color="auto" w:fill="FFFFFF"/>
        </w:rPr>
        <w:t>que les asiste</w:t>
      </w:r>
      <w:r>
        <w:rPr>
          <w:rFonts w:ascii="Verdana" w:eastAsia="Aptos" w:hAnsi="Verdana" w:cs="Arial"/>
          <w:shd w:val="clear" w:color="auto" w:fill="FFFFFF"/>
        </w:rPr>
        <w:t xml:space="preserve"> en relación con su actividad contractual</w:t>
      </w:r>
      <w:r w:rsidRPr="00642EA6">
        <w:rPr>
          <w:rFonts w:ascii="Verdana" w:eastAsia="Aptos" w:hAnsi="Verdana" w:cs="Arial"/>
          <w:shd w:val="clear" w:color="auto" w:fill="FFFFFF"/>
        </w:rPr>
        <w:t xml:space="preserve"> </w:t>
      </w:r>
      <w:r>
        <w:rPr>
          <w:rFonts w:ascii="Verdana" w:eastAsia="Aptos" w:hAnsi="Verdana" w:cs="Arial"/>
          <w:shd w:val="clear" w:color="auto" w:fill="FFFFFF"/>
        </w:rPr>
        <w:t xml:space="preserve">en cumplimiento del </w:t>
      </w:r>
      <w:r w:rsidRPr="00642EA6">
        <w:rPr>
          <w:rFonts w:ascii="Verdana" w:eastAsia="Aptos" w:hAnsi="Verdana" w:cs="Arial"/>
          <w:shd w:val="clear" w:color="auto" w:fill="FFFFFF"/>
        </w:rPr>
        <w:t xml:space="preserve">artículo 53 de la Ley 2195 de 2022. </w:t>
      </w:r>
    </w:p>
    <w:p w14:paraId="4CAC7666" w14:textId="77777777" w:rsidR="00984D71" w:rsidRDefault="00984D71" w:rsidP="00984D71">
      <w:pPr>
        <w:tabs>
          <w:tab w:val="left" w:pos="709"/>
        </w:tabs>
        <w:spacing w:before="120" w:after="120" w:line="276" w:lineRule="auto"/>
        <w:contextualSpacing/>
        <w:jc w:val="both"/>
        <w:rPr>
          <w:rFonts w:ascii="Verdana" w:eastAsia="Aptos" w:hAnsi="Verdana" w:cs="Arial"/>
          <w:shd w:val="clear" w:color="auto" w:fill="FFFFFF"/>
        </w:rPr>
      </w:pPr>
    </w:p>
    <w:p w14:paraId="1A6592AF" w14:textId="77777777" w:rsidR="00984D71" w:rsidRDefault="00984D71" w:rsidP="00984D71">
      <w:pPr>
        <w:tabs>
          <w:tab w:val="left" w:pos="709"/>
        </w:tabs>
        <w:spacing w:before="120" w:after="120" w:line="276" w:lineRule="auto"/>
        <w:contextualSpacing/>
        <w:jc w:val="both"/>
        <w:rPr>
          <w:rFonts w:ascii="Verdana" w:eastAsia="Aptos" w:hAnsi="Verdana" w:cs="Arial"/>
          <w:shd w:val="clear" w:color="auto" w:fill="FFFFFF"/>
        </w:rPr>
      </w:pPr>
      <w:r>
        <w:rPr>
          <w:rFonts w:ascii="Verdana" w:eastAsia="Aptos" w:hAnsi="Verdana" w:cs="Arial"/>
          <w:shd w:val="clear" w:color="auto" w:fill="FFFFFF"/>
        </w:rPr>
        <w:lastRenderedPageBreak/>
        <w:t xml:space="preserve">        </w:t>
      </w:r>
      <w:r>
        <w:rPr>
          <w:rFonts w:ascii="Verdana" w:eastAsia="Calibri" w:hAnsi="Verdana" w:cs="Arial"/>
        </w:rPr>
        <w:t>De igual manera</w:t>
      </w:r>
      <w:r w:rsidRPr="006D0D53">
        <w:rPr>
          <w:rFonts w:ascii="Verdana" w:eastAsia="Calibri" w:hAnsi="Verdana" w:cs="Arial"/>
        </w:rPr>
        <w:t xml:space="preserve"> se recomienda la consulta detallada de la Circular Externa No. 002 de 2024, expedida por la Agencia Nacional de Contratación Pública – Colombia Compra Eficiente. Este documento técnico es el instrumento vigente que imparte las directrices definitivas sobre los términos, condiciones y opciones de cumplimiento para la publicación de la información en el SECOP II, permitiendo a las entidades de régimen especial armonizar sus procedimientos internos con las exigencias de transparencia y los plazos legales de reporte.</w:t>
      </w:r>
    </w:p>
    <w:p w14:paraId="675A17D2" w14:textId="77777777" w:rsidR="00984D71" w:rsidRDefault="00984D71" w:rsidP="00984D71">
      <w:pPr>
        <w:tabs>
          <w:tab w:val="left" w:pos="709"/>
        </w:tabs>
        <w:spacing w:before="120" w:after="120" w:line="276" w:lineRule="auto"/>
        <w:contextualSpacing/>
        <w:jc w:val="both"/>
        <w:rPr>
          <w:rFonts w:ascii="Verdana" w:eastAsia="Aptos" w:hAnsi="Verdana" w:cs="Arial"/>
          <w:shd w:val="clear" w:color="auto" w:fill="FFFFFF"/>
        </w:rPr>
      </w:pPr>
    </w:p>
    <w:p w14:paraId="1524EBE8" w14:textId="0650B1A1" w:rsidR="00956B73" w:rsidRDefault="00984D71" w:rsidP="00984D71">
      <w:pPr>
        <w:tabs>
          <w:tab w:val="left" w:pos="709"/>
        </w:tabs>
        <w:spacing w:before="120" w:after="120" w:line="276" w:lineRule="auto"/>
        <w:contextualSpacing/>
        <w:jc w:val="both"/>
      </w:pPr>
      <w:r>
        <w:rPr>
          <w:rFonts w:ascii="Verdana" w:eastAsia="Aptos" w:hAnsi="Verdana" w:cs="Arial"/>
          <w:shd w:val="clear" w:color="auto" w:fill="FFFFFF"/>
        </w:rPr>
        <w:tab/>
      </w:r>
      <w:r w:rsidR="0099297C">
        <w:rPr>
          <w:rFonts w:ascii="Verdana" w:eastAsia="Calibri" w:hAnsi="Verdana" w:cs="Arial"/>
          <w:bCs/>
          <w:color w:val="000000" w:themeColor="text1"/>
        </w:rPr>
        <w:t>Finalmente</w:t>
      </w:r>
      <w:r w:rsidR="0099297C">
        <w:rPr>
          <w:rFonts w:ascii="Verdana" w:eastAsia="Calibri" w:hAnsi="Verdana" w:cs="Times New Roman"/>
          <w:lang w:val="es-ES"/>
        </w:rPr>
        <w:t>,</w:t>
      </w:r>
      <w:r w:rsidR="0099297C" w:rsidRPr="00DB4737">
        <w:rPr>
          <w:rFonts w:ascii="Verdana" w:eastAsia="Calibri" w:hAnsi="Verdana" w:cs="Times New Roman"/>
          <w:lang w:val="es-ES"/>
        </w:rPr>
        <w:t xml:space="preserve"> debe advertirse que el análisis en torno </w:t>
      </w:r>
      <w:r w:rsidR="0099297C">
        <w:rPr>
          <w:rFonts w:ascii="Verdana" w:eastAsia="Calibri" w:hAnsi="Verdana" w:cs="Times New Roman"/>
          <w:lang w:val="es-ES"/>
        </w:rPr>
        <w:t>a un proceso de contratación especifico debe</w:t>
      </w:r>
      <w:r w:rsidR="0099297C" w:rsidRPr="0012388D">
        <w:rPr>
          <w:rFonts w:ascii="Verdana" w:eastAsia="Calibri" w:hAnsi="Verdana" w:cs="Times New Roman"/>
          <w:lang w:val="es-ES"/>
        </w:rPr>
        <w:t xml:space="preserve"> ser realizado por quienes tengan interés en ello.</w:t>
      </w:r>
      <w:r w:rsidR="0099297C" w:rsidRPr="00DB4737">
        <w:rPr>
          <w:rFonts w:ascii="Verdana" w:eastAsia="Calibri" w:hAnsi="Verdana" w:cs="Times New Roman"/>
          <w:lang w:val="es-ES"/>
        </w:rPr>
        <w:t xml:space="preserve"> De esta forma, las afirmaciones aquí realizadas no pueden ser interpretadas como juicios de valor sobre circunstancias concretas relacionadas con los hechos que motivan la consulta. Por lo anterior, previo concepto de sus asesores, la solución de situaciones particulares corresponderá a los interesados de adoptar la decisión y, en caso de conflicto, a las autoridades judiciales, fiscales y disciplinarias.</w:t>
      </w:r>
      <w:r w:rsidR="0099297C">
        <w:t xml:space="preserve"> </w:t>
      </w:r>
    </w:p>
    <w:p w14:paraId="041DAA3A" w14:textId="77777777" w:rsidR="00984D71" w:rsidRPr="00984D71" w:rsidRDefault="00984D71" w:rsidP="00984D71">
      <w:pPr>
        <w:tabs>
          <w:tab w:val="left" w:pos="709"/>
        </w:tabs>
        <w:spacing w:before="120" w:after="120" w:line="276" w:lineRule="auto"/>
        <w:contextualSpacing/>
        <w:jc w:val="both"/>
        <w:rPr>
          <w:rFonts w:ascii="Verdana" w:eastAsia="Aptos" w:hAnsi="Verdana" w:cs="Arial"/>
          <w:shd w:val="clear" w:color="auto" w:fill="FFFFFF"/>
        </w:rPr>
      </w:pPr>
    </w:p>
    <w:p w14:paraId="6F049E82" w14:textId="447ADA47" w:rsidR="0099297C" w:rsidRPr="00956B73" w:rsidRDefault="00956B73" w:rsidP="0099297C">
      <w:pPr>
        <w:tabs>
          <w:tab w:val="left" w:pos="426"/>
        </w:tabs>
        <w:spacing w:after="120" w:line="276" w:lineRule="auto"/>
        <w:jc w:val="both"/>
        <w:rPr>
          <w:rFonts w:ascii="Verdana" w:hAnsi="Verdana" w:cs="Arial"/>
          <w:bCs/>
          <w:lang w:eastAsia="es-CO"/>
        </w:rPr>
      </w:pPr>
      <w:r>
        <w:rPr>
          <w:rFonts w:ascii="Verdana" w:hAnsi="Verdana" w:cs="Arial"/>
          <w:bCs/>
          <w:lang w:eastAsia="es-CO"/>
        </w:rPr>
        <w:tab/>
      </w:r>
      <w:proofErr w:type="spellStart"/>
      <w:r w:rsidR="0099297C">
        <w:rPr>
          <w:rFonts w:ascii="Verdana" w:eastAsia="Calibri" w:hAnsi="Verdana" w:cs="Times New Roman"/>
          <w:lang w:val="es-ES"/>
        </w:rPr>
        <w:t>Asi</w:t>
      </w:r>
      <w:proofErr w:type="spellEnd"/>
      <w:r w:rsidR="0099297C">
        <w:rPr>
          <w:rFonts w:ascii="Verdana" w:eastAsia="Calibri" w:hAnsi="Verdana" w:cs="Times New Roman"/>
          <w:lang w:val="es-ES"/>
        </w:rPr>
        <w:t xml:space="preserve"> las cosas</w:t>
      </w:r>
      <w:r w:rsidR="0099297C" w:rsidRPr="00DB4737">
        <w:rPr>
          <w:rFonts w:ascii="Verdana" w:eastAsia="Calibri" w:hAnsi="Verdana" w:cs="Times New Roman"/>
          <w:lang w:val="es-ES"/>
        </w:rPr>
        <w:t>,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p>
    <w:p w14:paraId="47A3FD9A" w14:textId="77777777" w:rsidR="00AB5151" w:rsidRPr="005A6C33" w:rsidRDefault="00AB5151" w:rsidP="005B261C">
      <w:pPr>
        <w:widowControl w:val="0"/>
        <w:autoSpaceDE w:val="0"/>
        <w:autoSpaceDN w:val="0"/>
        <w:spacing w:after="0" w:line="276" w:lineRule="auto"/>
        <w:jc w:val="both"/>
        <w:rPr>
          <w:rFonts w:ascii="Verdana" w:hAnsi="Verdana" w:cs="Arial"/>
          <w:color w:val="000000" w:themeColor="text1"/>
        </w:rPr>
      </w:pPr>
    </w:p>
    <w:p w14:paraId="1338AC91" w14:textId="77777777" w:rsidR="005B261C" w:rsidRPr="00115E3D" w:rsidRDefault="005B261C" w:rsidP="005B261C">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115E3D">
        <w:rPr>
          <w:rFonts w:ascii="Verdana" w:eastAsia="Century Gothic" w:hAnsi="Verdana" w:cs="Century Gothic"/>
          <w:b/>
          <w:bCs/>
          <w:color w:val="000000" w:themeColor="text1"/>
        </w:rPr>
        <w:t>Referencias normativas, jurisprudenciales y otras fuentes:</w:t>
      </w:r>
    </w:p>
    <w:p w14:paraId="0040ED14" w14:textId="77777777" w:rsidR="005B261C" w:rsidRPr="00115E3D" w:rsidRDefault="005B261C" w:rsidP="005B261C">
      <w:pPr>
        <w:widowControl w:val="0"/>
        <w:autoSpaceDE w:val="0"/>
        <w:autoSpaceDN w:val="0"/>
        <w:spacing w:after="0" w:line="276" w:lineRule="auto"/>
        <w:jc w:val="both"/>
        <w:rPr>
          <w:rFonts w:ascii="Verdana" w:hAnsi="Verdana" w:cs="Arial"/>
          <w:color w:val="000000" w:themeColor="text1"/>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5B261C" w:rsidRPr="00115E3D" w14:paraId="0BF4D7F6" w14:textId="77777777" w:rsidTr="008D7291">
        <w:trPr>
          <w:trHeight w:val="335"/>
        </w:trPr>
        <w:tc>
          <w:tcPr>
            <w:tcW w:w="8647" w:type="dxa"/>
          </w:tcPr>
          <w:p w14:paraId="475B8213" w14:textId="77777777" w:rsidR="00984D71" w:rsidRPr="00642EA6" w:rsidRDefault="00984D71" w:rsidP="00984D71">
            <w:pPr>
              <w:widowControl w:val="0"/>
              <w:numPr>
                <w:ilvl w:val="0"/>
                <w:numId w:val="18"/>
              </w:numPr>
              <w:autoSpaceDE w:val="0"/>
              <w:autoSpaceDN w:val="0"/>
              <w:spacing w:after="120" w:line="276" w:lineRule="auto"/>
              <w:contextualSpacing/>
              <w:jc w:val="both"/>
              <w:rPr>
                <w:rFonts w:ascii="Verdana" w:eastAsia="Calibri" w:hAnsi="Verdana" w:cs="Arial"/>
                <w:lang w:val="es-ES"/>
              </w:rPr>
            </w:pPr>
            <w:r w:rsidRPr="00642EA6">
              <w:rPr>
                <w:rFonts w:ascii="Verdana" w:eastAsia="Calibri" w:hAnsi="Verdana" w:cs="Arial"/>
                <w:lang w:val="es-ES"/>
              </w:rPr>
              <w:t>Ley 1150 de 2007. Artículo 13, literal c); Artículo 14</w:t>
            </w:r>
          </w:p>
          <w:p w14:paraId="1C99FC8E" w14:textId="77777777" w:rsidR="00984D71" w:rsidRPr="00642EA6" w:rsidRDefault="00984D71" w:rsidP="00984D71">
            <w:pPr>
              <w:widowControl w:val="0"/>
              <w:numPr>
                <w:ilvl w:val="0"/>
                <w:numId w:val="18"/>
              </w:numPr>
              <w:autoSpaceDE w:val="0"/>
              <w:autoSpaceDN w:val="0"/>
              <w:spacing w:after="120" w:line="276" w:lineRule="auto"/>
              <w:contextualSpacing/>
              <w:jc w:val="both"/>
              <w:rPr>
                <w:rFonts w:ascii="Verdana" w:eastAsia="Calibri" w:hAnsi="Verdana" w:cs="Arial"/>
                <w:lang w:val="es-ES"/>
              </w:rPr>
            </w:pPr>
            <w:r w:rsidRPr="00642EA6">
              <w:rPr>
                <w:rFonts w:ascii="Verdana" w:eastAsia="Calibri" w:hAnsi="Verdana" w:cs="Arial"/>
                <w:lang w:val="es-ES"/>
              </w:rPr>
              <w:t>Ley 1712 de 2014. Artículo 2; Artículo 9; Artículo 11, literal g)</w:t>
            </w:r>
          </w:p>
          <w:p w14:paraId="5A7A8B68" w14:textId="77777777" w:rsidR="00984D71" w:rsidRPr="00642EA6" w:rsidRDefault="00984D71" w:rsidP="00984D71">
            <w:pPr>
              <w:widowControl w:val="0"/>
              <w:numPr>
                <w:ilvl w:val="0"/>
                <w:numId w:val="18"/>
              </w:numPr>
              <w:autoSpaceDE w:val="0"/>
              <w:autoSpaceDN w:val="0"/>
              <w:spacing w:after="120" w:line="276" w:lineRule="auto"/>
              <w:contextualSpacing/>
              <w:jc w:val="both"/>
              <w:rPr>
                <w:rFonts w:ascii="Verdana" w:eastAsia="Calibri" w:hAnsi="Verdana" w:cs="Arial"/>
                <w:lang w:val="es-ES"/>
              </w:rPr>
            </w:pPr>
            <w:r w:rsidRPr="00642EA6">
              <w:rPr>
                <w:rFonts w:ascii="Verdana" w:eastAsia="Calibri" w:hAnsi="Verdana" w:cs="Arial"/>
                <w:lang w:val="es-ES"/>
              </w:rPr>
              <w:t>Ley 2195 de 2022. Artículo 53</w:t>
            </w:r>
          </w:p>
          <w:p w14:paraId="2A42FAFC" w14:textId="77777777" w:rsidR="00984D71" w:rsidRPr="00642EA6" w:rsidRDefault="00984D71" w:rsidP="00984D71">
            <w:pPr>
              <w:widowControl w:val="0"/>
              <w:numPr>
                <w:ilvl w:val="0"/>
                <w:numId w:val="18"/>
              </w:numPr>
              <w:autoSpaceDE w:val="0"/>
              <w:autoSpaceDN w:val="0"/>
              <w:spacing w:after="120" w:line="276" w:lineRule="auto"/>
              <w:contextualSpacing/>
              <w:jc w:val="both"/>
              <w:rPr>
                <w:rFonts w:ascii="Verdana" w:eastAsia="Calibri" w:hAnsi="Verdana" w:cs="Arial"/>
                <w:lang w:val="es-ES"/>
              </w:rPr>
            </w:pPr>
            <w:r w:rsidRPr="00642EA6">
              <w:rPr>
                <w:rFonts w:ascii="Verdana" w:eastAsia="Calibri" w:hAnsi="Verdana" w:cs="Arial"/>
                <w:lang w:val="es-ES"/>
              </w:rPr>
              <w:t xml:space="preserve">Decreto 1082 de 2015. Artículo </w:t>
            </w:r>
            <w:r w:rsidRPr="00642EA6">
              <w:rPr>
                <w:rFonts w:ascii="Verdana" w:eastAsia="Aptos" w:hAnsi="Verdana" w:cs="Arial"/>
                <w:color w:val="000000"/>
                <w:shd w:val="clear" w:color="auto" w:fill="FFFFFF"/>
              </w:rPr>
              <w:t>2.2.1.1.1.7.1</w:t>
            </w:r>
          </w:p>
          <w:p w14:paraId="66A36618" w14:textId="77777777" w:rsidR="00984D71" w:rsidRPr="00642EA6" w:rsidRDefault="00984D71" w:rsidP="00984D71">
            <w:pPr>
              <w:widowControl w:val="0"/>
              <w:numPr>
                <w:ilvl w:val="0"/>
                <w:numId w:val="18"/>
              </w:numPr>
              <w:autoSpaceDE w:val="0"/>
              <w:autoSpaceDN w:val="0"/>
              <w:spacing w:line="276" w:lineRule="auto"/>
              <w:contextualSpacing/>
              <w:jc w:val="both"/>
              <w:rPr>
                <w:rFonts w:ascii="Verdana" w:eastAsia="Aptos" w:hAnsi="Verdana" w:cs="Arial"/>
              </w:rPr>
            </w:pPr>
            <w:r w:rsidRPr="00642EA6">
              <w:rPr>
                <w:rFonts w:ascii="Verdana" w:eastAsia="Calibri" w:hAnsi="Verdana" w:cs="Arial"/>
                <w:lang w:val="es-ES"/>
              </w:rPr>
              <w:t xml:space="preserve">Circular Externa Única, disponible </w:t>
            </w:r>
            <w:hyperlink r:id="rId14" w:history="1">
              <w:r w:rsidRPr="00642EA6">
                <w:rPr>
                  <w:rFonts w:ascii="Verdana" w:eastAsia="Calibri" w:hAnsi="Verdana" w:cs="Arial"/>
                  <w:color w:val="467886"/>
                  <w:u w:val="single"/>
                  <w:lang w:val="es-ES"/>
                </w:rPr>
                <w:t>aquí</w:t>
              </w:r>
            </w:hyperlink>
          </w:p>
          <w:p w14:paraId="58929F44" w14:textId="25908AAD" w:rsidR="005B261C" w:rsidRPr="00D81159" w:rsidRDefault="00984D71" w:rsidP="00984D71">
            <w:pPr>
              <w:pStyle w:val="Prrafodelista"/>
              <w:widowControl w:val="0"/>
              <w:autoSpaceDE w:val="0"/>
              <w:autoSpaceDN w:val="0"/>
              <w:contextualSpacing w:val="0"/>
              <w:jc w:val="both"/>
              <w:rPr>
                <w:rFonts w:ascii="Verdana" w:hAnsi="Verdana" w:cs="Arial"/>
              </w:rPr>
            </w:pPr>
            <w:r w:rsidRPr="00642EA6">
              <w:rPr>
                <w:rFonts w:ascii="Verdana" w:eastAsia="Calibri" w:hAnsi="Verdana" w:cs="Arial"/>
              </w:rPr>
              <w:t xml:space="preserve">Circular Externa No. 002 del 23 de agosto de 2024, disponible </w:t>
            </w:r>
            <w:hyperlink r:id="rId15" w:history="1">
              <w:r w:rsidRPr="00642EA6">
                <w:rPr>
                  <w:rFonts w:ascii="Verdana" w:eastAsia="Calibri" w:hAnsi="Verdana" w:cs="Arial"/>
                  <w:color w:val="467886"/>
                  <w:u w:val="single"/>
                </w:rPr>
                <w:t>aquí</w:t>
              </w:r>
            </w:hyperlink>
          </w:p>
        </w:tc>
      </w:tr>
    </w:tbl>
    <w:p w14:paraId="4B0DAD31" w14:textId="77777777" w:rsidR="005B261C" w:rsidRPr="00115E3D" w:rsidRDefault="005B261C" w:rsidP="005B261C">
      <w:pPr>
        <w:widowControl w:val="0"/>
        <w:autoSpaceDE w:val="0"/>
        <w:autoSpaceDN w:val="0"/>
        <w:spacing w:after="0" w:line="276" w:lineRule="auto"/>
        <w:jc w:val="both"/>
        <w:rPr>
          <w:rFonts w:ascii="Verdana" w:hAnsi="Verdana" w:cs="Arial"/>
          <w:color w:val="000000" w:themeColor="text1"/>
        </w:rPr>
      </w:pPr>
    </w:p>
    <w:p w14:paraId="66BA0CD0" w14:textId="77777777" w:rsidR="005B261C" w:rsidRPr="00115E3D" w:rsidRDefault="005B261C" w:rsidP="005B261C">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115E3D">
        <w:rPr>
          <w:rFonts w:ascii="Verdana" w:eastAsia="Century Gothic" w:hAnsi="Verdana" w:cs="Century Gothic"/>
          <w:b/>
          <w:bCs/>
          <w:color w:val="000000" w:themeColor="text1"/>
        </w:rPr>
        <w:t>Doctrina de la Agencia Nacional de Contratación Pública:</w:t>
      </w:r>
    </w:p>
    <w:p w14:paraId="0A8A6381" w14:textId="77777777" w:rsidR="005B261C" w:rsidRPr="00115E3D" w:rsidRDefault="005B261C" w:rsidP="005B261C">
      <w:pPr>
        <w:widowControl w:val="0"/>
        <w:autoSpaceDE w:val="0"/>
        <w:autoSpaceDN w:val="0"/>
        <w:spacing w:after="0" w:line="276" w:lineRule="auto"/>
        <w:jc w:val="both"/>
        <w:rPr>
          <w:rFonts w:ascii="Verdana" w:hAnsi="Verdana" w:cs="Arial"/>
          <w:color w:val="000000" w:themeColor="text1"/>
        </w:rPr>
      </w:pPr>
    </w:p>
    <w:p w14:paraId="7A17FA77" w14:textId="41D3A2DE" w:rsidR="005B261C" w:rsidRPr="00AB5151" w:rsidRDefault="000D6575" w:rsidP="005B261C">
      <w:pPr>
        <w:widowControl w:val="0"/>
        <w:autoSpaceDE w:val="0"/>
        <w:autoSpaceDN w:val="0"/>
        <w:spacing w:after="0" w:line="276" w:lineRule="auto"/>
        <w:jc w:val="both"/>
        <w:rPr>
          <w:rStyle w:val="normaltextrun"/>
          <w:rFonts w:ascii="Verdana" w:hAnsi="Verdana" w:cs="Arial"/>
          <w:shd w:val="clear" w:color="auto" w:fill="FFFFFF"/>
          <w:lang w:val="es-ES"/>
        </w:rPr>
      </w:pPr>
      <w:r>
        <w:rPr>
          <w:rFonts w:ascii="Verdana" w:eastAsia="Calibri" w:hAnsi="Verdana" w:cs="Arial"/>
          <w:lang w:eastAsia="es-MX"/>
        </w:rPr>
        <w:lastRenderedPageBreak/>
        <w:t>S</w:t>
      </w:r>
      <w:r w:rsidRPr="00642EA6">
        <w:rPr>
          <w:rFonts w:ascii="Verdana" w:eastAsia="Calibri" w:hAnsi="Verdana" w:cs="Arial"/>
          <w:lang w:val="es-ES_tradnl" w:eastAsia="es-MX"/>
        </w:rPr>
        <w:t>obre la interpretación del artículo 53 de la Ley 2195 de 2022</w:t>
      </w:r>
      <w:r>
        <w:rPr>
          <w:rStyle w:val="normaltextrun"/>
          <w:rFonts w:ascii="Verdana" w:hAnsi="Verdana" w:cs="Arial"/>
          <w:shd w:val="clear" w:color="auto" w:fill="FFFFFF"/>
          <w:lang w:val="es-ES"/>
        </w:rPr>
        <w:t xml:space="preserve"> </w:t>
      </w:r>
      <w:r w:rsidRPr="007C1C94">
        <w:rPr>
          <w:rStyle w:val="normaltextrun"/>
          <w:rFonts w:ascii="Verdana" w:hAnsi="Verdana" w:cs="Arial"/>
          <w:shd w:val="clear" w:color="auto" w:fill="FFFFFF"/>
          <w:lang w:val="es-ES"/>
        </w:rPr>
        <w:t>se pronunció esta Subdirección en los conceptos</w:t>
      </w:r>
      <w:r w:rsidRPr="007C1C94">
        <w:rPr>
          <w:rStyle w:val="normaltextrun"/>
          <w:rFonts w:ascii="Verdana" w:hAnsi="Verdana" w:cs="Calibri"/>
          <w:shd w:val="clear" w:color="auto" w:fill="FFFFFF"/>
        </w:rPr>
        <w:t xml:space="preserve"> </w:t>
      </w:r>
      <w:r w:rsidRPr="00642EA6">
        <w:rPr>
          <w:rFonts w:ascii="Verdana" w:eastAsia="Calibri" w:hAnsi="Verdana" w:cs="Arial"/>
          <w:lang w:val="es-ES_tradnl" w:eastAsia="es-MX"/>
        </w:rPr>
        <w:t>C-049 del 7 de marzo de 2022, C-120 del 22 de marzo de 2022, C-124 del 22 de marzo de 2022, C-132 del 28 de marzo de 2022, C-337 del 25 de mayo de 2022, C-348 del 13 de junio de 2022, C-480 del 18 de julio de 2022, C- 544 del 29 de agosto de 2022, C-555 del 6 de septiembre de 2022, C- 821 de 29 de noviembre de 2022</w:t>
      </w:r>
      <w:r>
        <w:rPr>
          <w:rFonts w:ascii="Verdana" w:eastAsia="Calibri" w:hAnsi="Verdana" w:cs="Arial"/>
          <w:lang w:val="es-ES_tradnl" w:eastAsia="es-MX"/>
        </w:rPr>
        <w:t>,</w:t>
      </w:r>
      <w:r w:rsidRPr="00642EA6">
        <w:rPr>
          <w:rFonts w:ascii="Verdana" w:eastAsia="Calibri" w:hAnsi="Verdana" w:cs="Arial"/>
          <w:lang w:val="es-ES_tradnl" w:eastAsia="es-MX"/>
        </w:rPr>
        <w:t xml:space="preserve"> C-071 del 28 de marzo de 2023</w:t>
      </w:r>
      <w:r w:rsidRPr="00642EA6">
        <w:rPr>
          <w:rFonts w:ascii="Verdana" w:eastAsia="Aptos" w:hAnsi="Verdana" w:cs="Arial"/>
          <w:shd w:val="clear" w:color="auto" w:fill="FFFFFF"/>
          <w:lang w:val="es-ES"/>
        </w:rPr>
        <w:t>,</w:t>
      </w:r>
      <w:r>
        <w:rPr>
          <w:rFonts w:ascii="Verdana" w:eastAsia="Aptos" w:hAnsi="Verdana" w:cs="Arial"/>
          <w:shd w:val="clear" w:color="auto" w:fill="FFFFFF"/>
          <w:lang w:val="es-ES"/>
        </w:rPr>
        <w:t xml:space="preserve"> </w:t>
      </w:r>
      <w:r>
        <w:rPr>
          <w:rFonts w:ascii="Verdana" w:eastAsia="Aptos" w:hAnsi="Verdana" w:cs="Arial"/>
          <w:shd w:val="clear" w:color="auto" w:fill="FFFFFF"/>
          <w:lang w:val="es-ES"/>
        </w:rPr>
        <w:br/>
        <w:t>C-540 del 7 de octubre de 2024, C-710 del 20 de noviembre de 2024, C-058 del 24 de febrero de 2025</w:t>
      </w:r>
      <w:r w:rsidR="00B30302">
        <w:rPr>
          <w:rFonts w:ascii="Verdana" w:eastAsia="Aptos" w:hAnsi="Verdana" w:cs="Arial"/>
          <w:shd w:val="clear" w:color="auto" w:fill="FFFFFF"/>
          <w:lang w:val="es-ES"/>
        </w:rPr>
        <w:t xml:space="preserve"> y </w:t>
      </w:r>
      <w:r w:rsidR="00B30302">
        <w:rPr>
          <w:rFonts w:ascii="Verdana" w:eastAsia="Calibri" w:hAnsi="Verdana" w:cs="Arial"/>
        </w:rPr>
        <w:t>C-402 del 07 de mayo de 2025,</w:t>
      </w:r>
      <w:r w:rsidRPr="00642EA6">
        <w:rPr>
          <w:rFonts w:ascii="Verdana" w:eastAsia="Aptos" w:hAnsi="Verdana" w:cs="Arial"/>
          <w:shd w:val="clear" w:color="auto" w:fill="FFFFFF"/>
          <w:lang w:val="es-ES"/>
        </w:rPr>
        <w:t xml:space="preserve"> entre otros</w:t>
      </w:r>
      <w:r w:rsidR="00985FAD">
        <w:rPr>
          <w:rFonts w:ascii="Verdana" w:eastAsia="Calibri" w:hAnsi="Verdana" w:cs="Arial"/>
          <w:shd w:val="clear" w:color="auto" w:fill="FFFFFF"/>
          <w:lang w:val="es-ES"/>
        </w:rPr>
        <w:t xml:space="preserve">. </w:t>
      </w:r>
      <w:r w:rsidR="005B261C" w:rsidRPr="00AB5151">
        <w:rPr>
          <w:rStyle w:val="normaltextrun"/>
          <w:rFonts w:ascii="Verdana" w:hAnsi="Verdana" w:cs="Arial"/>
          <w:shd w:val="clear" w:color="auto" w:fill="FFFFFF"/>
          <w:lang w:val="es-ES"/>
        </w:rPr>
        <w:t>Es</w:t>
      </w:r>
      <w:r w:rsidR="005B261C" w:rsidRPr="00AB5151">
        <w:rPr>
          <w:rFonts w:ascii="Verdana" w:hAnsi="Verdana"/>
        </w:rPr>
        <w:t>tos y otros conceptos se encuentran disponibles para consulta en el Sistema de relatoría de la Agencia, al cual se puede acceder a través del siguiente enlace:</w:t>
      </w:r>
      <w:r w:rsidR="005B261C" w:rsidRPr="00AB5151">
        <w:rPr>
          <w:rStyle w:val="normaltextrun"/>
          <w:rFonts w:ascii="Verdana" w:hAnsi="Verdana" w:cs="Arial"/>
          <w:shd w:val="clear" w:color="auto" w:fill="FFFFFF"/>
          <w:lang w:val="es-ES"/>
        </w:rPr>
        <w:t xml:space="preserve"> </w:t>
      </w:r>
      <w:hyperlink r:id="rId16" w:history="1">
        <w:r w:rsidR="005B261C" w:rsidRPr="00AB5151">
          <w:rPr>
            <w:rStyle w:val="Hipervnculo"/>
            <w:rFonts w:ascii="Verdana" w:hAnsi="Verdana" w:cs="Arial"/>
            <w:shd w:val="clear" w:color="auto" w:fill="FFFFFF"/>
            <w:lang w:val="es-ES"/>
          </w:rPr>
          <w:t>https://relatoria.colombiacompra.gov.co/busqueda/conceptos</w:t>
        </w:r>
      </w:hyperlink>
      <w:r w:rsidR="005B261C" w:rsidRPr="00AB5151">
        <w:rPr>
          <w:rStyle w:val="normaltextrun"/>
          <w:rFonts w:ascii="Verdana" w:hAnsi="Verdana" w:cs="Arial"/>
          <w:shd w:val="clear" w:color="auto" w:fill="FFFFFF"/>
          <w:lang w:val="es-ES"/>
        </w:rPr>
        <w:t xml:space="preserve">. </w:t>
      </w:r>
    </w:p>
    <w:p w14:paraId="1F37605E" w14:textId="77777777" w:rsidR="005B261C" w:rsidRPr="00115E3D" w:rsidRDefault="005B261C" w:rsidP="005B261C">
      <w:pPr>
        <w:widowControl w:val="0"/>
        <w:autoSpaceDE w:val="0"/>
        <w:autoSpaceDN w:val="0"/>
        <w:spacing w:after="0" w:line="276" w:lineRule="auto"/>
        <w:jc w:val="both"/>
        <w:rPr>
          <w:rStyle w:val="normaltextrun"/>
          <w:rFonts w:ascii="Verdana" w:hAnsi="Verdana" w:cs="Arial"/>
          <w:color w:val="000000" w:themeColor="text1"/>
          <w:shd w:val="clear" w:color="auto" w:fill="FFFFFF"/>
          <w:lang w:val="es-ES"/>
        </w:rPr>
      </w:pPr>
      <w:r w:rsidRPr="00115E3D">
        <w:rPr>
          <w:rStyle w:val="normaltextrun"/>
          <w:rFonts w:ascii="Verdana" w:hAnsi="Verdana" w:cs="Arial"/>
          <w:color w:val="000000" w:themeColor="text1"/>
          <w:shd w:val="clear" w:color="auto" w:fill="FFFFFF"/>
          <w:lang w:val="es-ES"/>
        </w:rPr>
        <w:t xml:space="preserve">  </w:t>
      </w:r>
    </w:p>
    <w:p w14:paraId="2A78B2FE" w14:textId="77777777" w:rsidR="005B261C" w:rsidRPr="00115E3D" w:rsidRDefault="005B261C" w:rsidP="005B261C">
      <w:pPr>
        <w:spacing w:after="0" w:line="240" w:lineRule="auto"/>
        <w:jc w:val="both"/>
        <w:rPr>
          <w:rFonts w:ascii="Verdana" w:hAnsi="Verdana"/>
          <w:color w:val="000000" w:themeColor="text1"/>
        </w:rPr>
      </w:pPr>
      <w:r>
        <w:rPr>
          <w:rFonts w:ascii="Verdana" w:hAnsi="Verdana"/>
          <w:color w:val="000000" w:themeColor="text1"/>
        </w:rPr>
        <w:t>L</w:t>
      </w:r>
      <w:r w:rsidRPr="00115E3D">
        <w:rPr>
          <w:rFonts w:ascii="Verdana" w:hAnsi="Verdana"/>
          <w:color w:val="000000" w:themeColor="text1"/>
        </w:rPr>
        <w:t xml:space="preserve">o invitamos a seguirnos en las redes sociales en las cuales se difunde información institucional: </w:t>
      </w:r>
    </w:p>
    <w:p w14:paraId="737780A1" w14:textId="77777777" w:rsidR="005B261C" w:rsidRPr="00115E3D" w:rsidRDefault="005B261C" w:rsidP="005B261C">
      <w:pPr>
        <w:spacing w:after="0" w:line="240" w:lineRule="auto"/>
        <w:jc w:val="both"/>
        <w:rPr>
          <w:rFonts w:ascii="Verdana" w:hAnsi="Verdana"/>
          <w:color w:val="000000" w:themeColor="text1"/>
        </w:rPr>
      </w:pPr>
    </w:p>
    <w:p w14:paraId="4A8E8FD5" w14:textId="77777777" w:rsidR="005B261C" w:rsidRPr="00115E3D" w:rsidRDefault="005B261C" w:rsidP="005B261C">
      <w:pPr>
        <w:spacing w:after="0" w:line="240" w:lineRule="auto"/>
        <w:jc w:val="both"/>
        <w:rPr>
          <w:rFonts w:ascii="Verdana" w:hAnsi="Verdana"/>
          <w:color w:val="000000" w:themeColor="text1"/>
        </w:rPr>
      </w:pPr>
      <w:r w:rsidRPr="00115E3D">
        <w:rPr>
          <w:rFonts w:ascii="Verdana" w:hAnsi="Verdana"/>
          <w:color w:val="000000" w:themeColor="text1"/>
        </w:rPr>
        <w:t xml:space="preserve">Twitter: </w:t>
      </w:r>
      <w:r w:rsidRPr="00115E3D">
        <w:rPr>
          <w:rStyle w:val="Hipervnculo"/>
          <w:rFonts w:ascii="Verdana" w:hAnsi="Verdana"/>
          <w:color w:val="000000" w:themeColor="text1"/>
        </w:rPr>
        <w:t>@colombiacompra</w:t>
      </w:r>
      <w:r w:rsidRPr="00115E3D">
        <w:rPr>
          <w:rFonts w:ascii="Verdana" w:hAnsi="Verdana"/>
          <w:color w:val="000000" w:themeColor="text1"/>
        </w:rPr>
        <w:t xml:space="preserve"> </w:t>
      </w:r>
    </w:p>
    <w:p w14:paraId="5A30B538" w14:textId="77777777" w:rsidR="005B261C" w:rsidRPr="00115E3D" w:rsidRDefault="005B261C" w:rsidP="005B261C">
      <w:pPr>
        <w:spacing w:after="0" w:line="240" w:lineRule="auto"/>
        <w:jc w:val="both"/>
        <w:rPr>
          <w:rFonts w:ascii="Verdana" w:hAnsi="Verdana"/>
          <w:color w:val="000000" w:themeColor="text1"/>
        </w:rPr>
      </w:pPr>
      <w:r w:rsidRPr="00115E3D">
        <w:rPr>
          <w:rFonts w:ascii="Verdana" w:hAnsi="Verdana"/>
          <w:color w:val="000000" w:themeColor="text1"/>
        </w:rPr>
        <w:t xml:space="preserve">Facebook: </w:t>
      </w:r>
      <w:proofErr w:type="spellStart"/>
      <w:r w:rsidRPr="00115E3D">
        <w:rPr>
          <w:rStyle w:val="Hipervnculo"/>
          <w:rFonts w:ascii="Verdana" w:hAnsi="Verdana"/>
          <w:color w:val="000000" w:themeColor="text1"/>
        </w:rPr>
        <w:t>ColombiaCompraEficiente</w:t>
      </w:r>
      <w:proofErr w:type="spellEnd"/>
    </w:p>
    <w:p w14:paraId="19A51331" w14:textId="77777777" w:rsidR="005B261C" w:rsidRPr="00115E3D" w:rsidRDefault="005B261C" w:rsidP="005B261C">
      <w:pPr>
        <w:spacing w:after="0" w:line="240" w:lineRule="auto"/>
        <w:jc w:val="both"/>
        <w:rPr>
          <w:rFonts w:ascii="Verdana" w:hAnsi="Verdana"/>
          <w:color w:val="000000" w:themeColor="text1"/>
        </w:rPr>
      </w:pPr>
      <w:r w:rsidRPr="00115E3D">
        <w:rPr>
          <w:rFonts w:ascii="Verdana" w:hAnsi="Verdana"/>
          <w:color w:val="000000" w:themeColor="text1"/>
        </w:rPr>
        <w:t xml:space="preserve">LinkedIn: </w:t>
      </w:r>
      <w:r w:rsidRPr="00115E3D">
        <w:rPr>
          <w:rStyle w:val="Hipervnculo"/>
          <w:rFonts w:ascii="Verdana" w:hAnsi="Verdana"/>
          <w:color w:val="000000" w:themeColor="text1"/>
        </w:rPr>
        <w:t>Agencia Nacional de Contratación Pública - Colombia Compra Eficiente</w:t>
      </w:r>
      <w:r w:rsidRPr="00115E3D">
        <w:rPr>
          <w:rFonts w:ascii="Verdana" w:hAnsi="Verdana"/>
          <w:color w:val="000000" w:themeColor="text1"/>
        </w:rPr>
        <w:t xml:space="preserve"> Instagram: </w:t>
      </w:r>
      <w:r w:rsidRPr="00115E3D">
        <w:rPr>
          <w:rStyle w:val="Hipervnculo"/>
          <w:rFonts w:ascii="Verdana" w:hAnsi="Verdana"/>
          <w:color w:val="000000" w:themeColor="text1"/>
        </w:rPr>
        <w:t>@colombiacompraeficiente_cce</w:t>
      </w:r>
    </w:p>
    <w:p w14:paraId="6CDDFD37" w14:textId="77777777" w:rsidR="005B261C" w:rsidRPr="00115E3D" w:rsidRDefault="005B261C" w:rsidP="005B261C">
      <w:pPr>
        <w:widowControl w:val="0"/>
        <w:autoSpaceDE w:val="0"/>
        <w:autoSpaceDN w:val="0"/>
        <w:spacing w:after="0" w:line="276" w:lineRule="auto"/>
        <w:jc w:val="both"/>
        <w:rPr>
          <w:rFonts w:ascii="Verdana" w:hAnsi="Verdana" w:cs="Arial"/>
          <w:color w:val="000000" w:themeColor="text1"/>
        </w:rPr>
      </w:pPr>
    </w:p>
    <w:p w14:paraId="1B480C96" w14:textId="77777777" w:rsidR="005B261C" w:rsidRPr="00115E3D" w:rsidRDefault="005B261C" w:rsidP="005B261C">
      <w:pPr>
        <w:widowControl w:val="0"/>
        <w:autoSpaceDE w:val="0"/>
        <w:autoSpaceDN w:val="0"/>
        <w:spacing w:after="0" w:line="276" w:lineRule="auto"/>
        <w:jc w:val="both"/>
        <w:rPr>
          <w:rFonts w:ascii="Verdana" w:hAnsi="Verdana" w:cs="Arial"/>
          <w:color w:val="000000" w:themeColor="text1"/>
          <w:lang w:val="es-ES_tradnl"/>
        </w:rPr>
      </w:pPr>
      <w:r w:rsidRPr="00115E3D">
        <w:rPr>
          <w:rFonts w:ascii="Verdana" w:hAnsi="Verdana" w:cs="Arial"/>
          <w:color w:val="000000" w:themeColor="text1"/>
        </w:rPr>
        <w:t xml:space="preserve">Este concepto tiene el alcance previsto en el artículo 28 del Código de Procedimiento Administrativo y de lo Contencioso Administrativo </w:t>
      </w:r>
      <w:r w:rsidRPr="00115E3D">
        <w:rPr>
          <w:rFonts w:ascii="Verdana" w:hAnsi="Verdana" w:cs="Arial"/>
          <w:color w:val="000000" w:themeColor="text1"/>
          <w:lang w:val="es-ES_tradnl"/>
        </w:rPr>
        <w:t>y las expresiones aquí utilizadas con mayúscula inicial deben ser entendidas con el significado que les otorga el artículo 2.2.1.1.1.3.1. del Decreto 1082 de 2015.</w:t>
      </w:r>
    </w:p>
    <w:p w14:paraId="361795A8" w14:textId="77777777" w:rsidR="005B261C" w:rsidRPr="00115E3D" w:rsidRDefault="005B261C" w:rsidP="005B261C">
      <w:pPr>
        <w:widowControl w:val="0"/>
        <w:autoSpaceDE w:val="0"/>
        <w:autoSpaceDN w:val="0"/>
        <w:spacing w:after="0" w:line="276" w:lineRule="auto"/>
        <w:jc w:val="both"/>
        <w:rPr>
          <w:rFonts w:ascii="Verdana" w:hAnsi="Verdana" w:cs="Arial"/>
          <w:color w:val="000000" w:themeColor="text1"/>
        </w:rPr>
      </w:pPr>
    </w:p>
    <w:p w14:paraId="41D52C97" w14:textId="77777777" w:rsidR="005B261C" w:rsidRPr="00115E3D" w:rsidRDefault="005B261C" w:rsidP="005B261C">
      <w:pPr>
        <w:spacing w:after="0" w:line="240" w:lineRule="auto"/>
        <w:rPr>
          <w:rFonts w:ascii="Verdana" w:hAnsi="Verdana" w:cs="Arial"/>
          <w:color w:val="000000" w:themeColor="text1"/>
          <w:lang w:eastAsia="es-CO"/>
        </w:rPr>
      </w:pPr>
      <w:r w:rsidRPr="00115E3D">
        <w:rPr>
          <w:rFonts w:ascii="Verdana" w:eastAsia="Times New Roman" w:hAnsi="Verdana" w:cs="Arial"/>
          <w:color w:val="000000" w:themeColor="text1"/>
          <w:lang w:eastAsia="es-CO"/>
        </w:rPr>
        <w:t>Atentamente,</w:t>
      </w:r>
      <w:r w:rsidRPr="00115E3D">
        <w:rPr>
          <w:rFonts w:ascii="Verdana" w:hAnsi="Verdana" w:cs="Arial"/>
          <w:color w:val="000000" w:themeColor="text1"/>
          <w:lang w:eastAsia="es-CO"/>
        </w:rPr>
        <w:t xml:space="preserve"> </w:t>
      </w:r>
    </w:p>
    <w:p w14:paraId="57C3358D" w14:textId="46E25768" w:rsidR="00AB5151" w:rsidRDefault="00B532AE" w:rsidP="005B261C">
      <w:pPr>
        <w:spacing w:line="276" w:lineRule="auto"/>
        <w:jc w:val="center"/>
        <w:rPr>
          <w:noProof/>
          <w:color w:val="000000" w:themeColor="text1"/>
          <w:lang w:val="es-ES_tradnl" w:eastAsia="es-CO"/>
        </w:rPr>
      </w:pPr>
      <w:r>
        <w:rPr>
          <w:noProof/>
        </w:rPr>
        <w:drawing>
          <wp:inline distT="0" distB="0" distL="0" distR="0" wp14:anchorId="74401050" wp14:editId="58BEBD9B">
            <wp:extent cx="3964305" cy="1701807"/>
            <wp:effectExtent l="0" t="0" r="0" b="0"/>
            <wp:docPr id="2011480760" name="Imagen 2"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1480760" name="Imagen 2" descr="Texto&#10;&#10;El contenido generado por IA puede ser incorrecto."/>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991192" cy="1713349"/>
                    </a:xfrm>
                    <a:prstGeom prst="rect">
                      <a:avLst/>
                    </a:prstGeom>
                    <a:noFill/>
                    <a:ln>
                      <a:noFill/>
                    </a:ln>
                  </pic:spPr>
                </pic:pic>
              </a:graphicData>
            </a:graphic>
          </wp:inline>
        </w:drawing>
      </w:r>
    </w:p>
    <w:p w14:paraId="34E04CC3" w14:textId="77777777" w:rsidR="00AB5151" w:rsidRDefault="00AB5151" w:rsidP="005B261C">
      <w:pPr>
        <w:spacing w:line="276" w:lineRule="auto"/>
        <w:jc w:val="center"/>
        <w:rPr>
          <w:noProof/>
          <w:color w:val="000000" w:themeColor="text1"/>
          <w:lang w:val="es-ES_tradnl" w:eastAsia="es-CO"/>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5B261C" w:rsidRPr="00115E3D" w14:paraId="62B6198F" w14:textId="77777777" w:rsidTr="006F1A38">
        <w:trPr>
          <w:trHeight w:val="315"/>
        </w:trPr>
        <w:tc>
          <w:tcPr>
            <w:tcW w:w="893" w:type="dxa"/>
            <w:vAlign w:val="center"/>
            <w:hideMark/>
          </w:tcPr>
          <w:p w14:paraId="22558D14" w14:textId="77777777" w:rsidR="005B261C" w:rsidRPr="00115E3D" w:rsidRDefault="005B261C" w:rsidP="006F1A38">
            <w:pPr>
              <w:contextualSpacing/>
              <w:rPr>
                <w:rFonts w:ascii="Verdana" w:hAnsi="Verdana" w:cs="Arial"/>
                <w:color w:val="000000" w:themeColor="text1"/>
                <w:sz w:val="16"/>
                <w:szCs w:val="16"/>
                <w:lang w:val="es-ES" w:eastAsia="es-ES"/>
              </w:rPr>
            </w:pPr>
            <w:r w:rsidRPr="00115E3D">
              <w:rPr>
                <w:rFonts w:ascii="Verdana" w:hAnsi="Verdana" w:cs="Arial"/>
                <w:color w:val="000000" w:themeColor="text1"/>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4711F7BB" w14:textId="474BC748" w:rsidR="005B261C" w:rsidRPr="00115E3D" w:rsidRDefault="00AB5151" w:rsidP="006F1A38">
            <w:pPr>
              <w:contextualSpacing/>
              <w:rPr>
                <w:rFonts w:ascii="Verdana" w:eastAsia="Arial" w:hAnsi="Verdana" w:cs="Arial"/>
                <w:color w:val="000000" w:themeColor="text1"/>
                <w:sz w:val="16"/>
                <w:szCs w:val="16"/>
              </w:rPr>
            </w:pPr>
            <w:r>
              <w:rPr>
                <w:rFonts w:ascii="Verdana" w:eastAsia="Arial" w:hAnsi="Verdana" w:cs="Arial"/>
                <w:color w:val="000000" w:themeColor="text1"/>
                <w:sz w:val="16"/>
                <w:szCs w:val="16"/>
              </w:rPr>
              <w:t>Daniel Eduardo Rojas</w:t>
            </w:r>
            <w:r w:rsidR="005B261C">
              <w:rPr>
                <w:rFonts w:ascii="Verdana" w:eastAsia="Arial" w:hAnsi="Verdana" w:cs="Arial"/>
                <w:color w:val="000000" w:themeColor="text1"/>
                <w:sz w:val="16"/>
                <w:szCs w:val="16"/>
              </w:rPr>
              <w:t xml:space="preserve"> </w:t>
            </w:r>
          </w:p>
          <w:p w14:paraId="17599502" w14:textId="11540CED" w:rsidR="005B261C" w:rsidRPr="00115E3D" w:rsidRDefault="00AB5151" w:rsidP="006F1A38">
            <w:pPr>
              <w:contextualSpacing/>
              <w:rPr>
                <w:rFonts w:ascii="Verdana" w:eastAsia="Arial" w:hAnsi="Verdana" w:cs="Arial"/>
                <w:color w:val="000000" w:themeColor="text1"/>
                <w:sz w:val="16"/>
                <w:szCs w:val="16"/>
              </w:rPr>
            </w:pPr>
            <w:r w:rsidRPr="00AB5151">
              <w:rPr>
                <w:rStyle w:val="normaltextrun"/>
                <w:rFonts w:ascii="Verdana" w:eastAsia="Arial" w:hAnsi="Verdana" w:cs="Times New Roman"/>
                <w:color w:val="000000" w:themeColor="text1"/>
                <w:sz w:val="16"/>
                <w:szCs w:val="16"/>
              </w:rPr>
              <w:t>C</w:t>
            </w:r>
            <w:r w:rsidRPr="00AB5151">
              <w:rPr>
                <w:rStyle w:val="normaltextrun"/>
                <w:rFonts w:ascii="Verdana" w:eastAsia="Arial" w:hAnsi="Verdana" w:cs="Times New Roman"/>
                <w:sz w:val="16"/>
                <w:szCs w:val="16"/>
              </w:rPr>
              <w:t xml:space="preserve">ontratista </w:t>
            </w:r>
            <w:r w:rsidR="005B261C" w:rsidRPr="00115E3D">
              <w:rPr>
                <w:rStyle w:val="normaltextrun"/>
                <w:rFonts w:ascii="Verdana" w:eastAsia="Arial" w:hAnsi="Verdana" w:cs="Arial"/>
                <w:color w:val="000000" w:themeColor="text1"/>
                <w:sz w:val="16"/>
                <w:szCs w:val="16"/>
              </w:rPr>
              <w:t>de la Subdirección de Gestión Contractual</w:t>
            </w:r>
          </w:p>
        </w:tc>
      </w:tr>
      <w:tr w:rsidR="005B261C" w:rsidRPr="00115E3D" w14:paraId="7ACE6661" w14:textId="77777777" w:rsidTr="006F1A38">
        <w:trPr>
          <w:trHeight w:val="330"/>
        </w:trPr>
        <w:tc>
          <w:tcPr>
            <w:tcW w:w="893" w:type="dxa"/>
            <w:vAlign w:val="center"/>
            <w:hideMark/>
          </w:tcPr>
          <w:p w14:paraId="7EFF66C0" w14:textId="77777777" w:rsidR="005B261C" w:rsidRPr="00115E3D" w:rsidRDefault="005B261C" w:rsidP="006F1A38">
            <w:pPr>
              <w:contextualSpacing/>
              <w:rPr>
                <w:rFonts w:ascii="Verdana" w:hAnsi="Verdana" w:cs="Arial"/>
                <w:color w:val="000000" w:themeColor="text1"/>
                <w:sz w:val="16"/>
                <w:szCs w:val="16"/>
                <w:lang w:val="es-ES" w:eastAsia="es-ES"/>
              </w:rPr>
            </w:pPr>
            <w:r w:rsidRPr="00115E3D">
              <w:rPr>
                <w:rFonts w:ascii="Verdana" w:hAnsi="Verdana" w:cs="Arial"/>
                <w:color w:val="000000" w:themeColor="text1"/>
                <w:sz w:val="16"/>
                <w:szCs w:val="16"/>
                <w:lang w:val="es-ES" w:eastAsia="es-ES"/>
              </w:rPr>
              <w:lastRenderedPageBreak/>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2715D1DB" w14:textId="5D690DC0" w:rsidR="005B261C" w:rsidRPr="00B37171" w:rsidRDefault="008A746E" w:rsidP="006F1A38">
            <w:pPr>
              <w:pStyle w:val="paragraph"/>
              <w:spacing w:before="0" w:beforeAutospacing="0" w:after="0" w:afterAutospacing="0"/>
              <w:contextualSpacing/>
              <w:textAlignment w:val="baseline"/>
              <w:rPr>
                <w:rFonts w:ascii="Verdana" w:hAnsi="Verdana" w:cs="Segoe UI"/>
                <w:color w:val="000000" w:themeColor="text1"/>
                <w:sz w:val="16"/>
                <w:szCs w:val="16"/>
              </w:rPr>
            </w:pPr>
            <w:r>
              <w:rPr>
                <w:rFonts w:ascii="Verdana" w:hAnsi="Verdana" w:cs="Segoe UI"/>
                <w:color w:val="000000" w:themeColor="text1"/>
                <w:sz w:val="16"/>
                <w:szCs w:val="16"/>
              </w:rPr>
              <w:t>Juan Carlos González</w:t>
            </w:r>
          </w:p>
          <w:p w14:paraId="0B208D03" w14:textId="77777777" w:rsidR="005B261C" w:rsidRPr="00115E3D" w:rsidRDefault="005B261C" w:rsidP="006F1A38">
            <w:pPr>
              <w:pStyle w:val="paragraph"/>
              <w:spacing w:before="0" w:beforeAutospacing="0" w:after="0" w:afterAutospacing="0"/>
              <w:contextualSpacing/>
              <w:textAlignment w:val="baseline"/>
              <w:rPr>
                <w:rFonts w:ascii="Verdana" w:hAnsi="Verdana" w:cs="Segoe UI"/>
                <w:color w:val="000000" w:themeColor="text1"/>
                <w:sz w:val="16"/>
                <w:szCs w:val="16"/>
              </w:rPr>
            </w:pPr>
            <w:r>
              <w:rPr>
                <w:rStyle w:val="normaltextrun"/>
                <w:rFonts w:ascii="Verdana" w:hAnsi="Verdana" w:cs="Arial"/>
                <w:color w:val="000000" w:themeColor="text1"/>
                <w:sz w:val="16"/>
                <w:szCs w:val="16"/>
                <w:lang w:val="es-ES"/>
              </w:rPr>
              <w:t>Contratista</w:t>
            </w:r>
            <w:r w:rsidRPr="00115E3D">
              <w:rPr>
                <w:rStyle w:val="normaltextrun"/>
                <w:rFonts w:ascii="Verdana" w:hAnsi="Verdana" w:cs="Arial"/>
                <w:color w:val="000000" w:themeColor="text1"/>
                <w:sz w:val="16"/>
                <w:szCs w:val="16"/>
                <w:lang w:val="es-ES"/>
              </w:rPr>
              <w:t xml:space="preserve"> de la Subdirección de Gestión Contractual</w:t>
            </w:r>
            <w:r w:rsidRPr="00115E3D">
              <w:rPr>
                <w:rStyle w:val="eop"/>
                <w:rFonts w:ascii="Verdana" w:hAnsi="Verdana" w:cs="Arial"/>
                <w:color w:val="000000" w:themeColor="text1"/>
                <w:sz w:val="16"/>
                <w:szCs w:val="16"/>
              </w:rPr>
              <w:t> </w:t>
            </w:r>
          </w:p>
        </w:tc>
      </w:tr>
      <w:tr w:rsidR="005B261C" w:rsidRPr="00115E3D" w14:paraId="0756A38D" w14:textId="77777777" w:rsidTr="006F1A38">
        <w:trPr>
          <w:trHeight w:val="300"/>
        </w:trPr>
        <w:tc>
          <w:tcPr>
            <w:tcW w:w="893" w:type="dxa"/>
            <w:vAlign w:val="center"/>
          </w:tcPr>
          <w:p w14:paraId="5B3AA394" w14:textId="77777777" w:rsidR="005B261C" w:rsidRPr="00115E3D" w:rsidRDefault="005B261C" w:rsidP="006F1A38">
            <w:pPr>
              <w:contextualSpacing/>
              <w:rPr>
                <w:rFonts w:ascii="Verdana" w:hAnsi="Verdana" w:cs="Arial"/>
                <w:color w:val="000000" w:themeColor="text1"/>
                <w:sz w:val="16"/>
                <w:szCs w:val="16"/>
                <w:lang w:val="es-ES" w:eastAsia="es-ES"/>
              </w:rPr>
            </w:pPr>
            <w:r w:rsidRPr="00115E3D">
              <w:rPr>
                <w:rFonts w:ascii="Verdana" w:hAnsi="Verdana" w:cs="Arial"/>
                <w:color w:val="000000" w:themeColor="text1"/>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73A246D8" w14:textId="77777777" w:rsidR="005B261C" w:rsidRPr="00115E3D" w:rsidRDefault="005B261C" w:rsidP="006F1A38">
            <w:pPr>
              <w:contextualSpacing/>
              <w:rPr>
                <w:rFonts w:ascii="Verdana" w:eastAsia="Calibri" w:hAnsi="Verdana" w:cs="Arial"/>
                <w:color w:val="000000" w:themeColor="text1"/>
                <w:sz w:val="16"/>
                <w:szCs w:val="16"/>
                <w:lang w:val="pt-BR" w:eastAsia="es-ES"/>
              </w:rPr>
            </w:pPr>
            <w:r w:rsidRPr="00115E3D">
              <w:rPr>
                <w:rFonts w:ascii="Verdana" w:eastAsia="Calibri" w:hAnsi="Verdana" w:cs="Arial"/>
                <w:color w:val="000000" w:themeColor="text1"/>
                <w:sz w:val="16"/>
                <w:szCs w:val="16"/>
                <w:lang w:val="pt-BR" w:eastAsia="es-ES"/>
              </w:rPr>
              <w:t xml:space="preserve">Carolina Quintero </w:t>
            </w:r>
            <w:proofErr w:type="spellStart"/>
            <w:r w:rsidRPr="00115E3D">
              <w:rPr>
                <w:rFonts w:ascii="Verdana" w:eastAsia="Calibri" w:hAnsi="Verdana" w:cs="Arial"/>
                <w:color w:val="000000" w:themeColor="text1"/>
                <w:sz w:val="16"/>
                <w:szCs w:val="16"/>
                <w:lang w:val="pt-BR" w:eastAsia="es-ES"/>
              </w:rPr>
              <w:t>Gacharná</w:t>
            </w:r>
            <w:proofErr w:type="spellEnd"/>
          </w:p>
          <w:p w14:paraId="3384C3C1" w14:textId="77777777" w:rsidR="005B261C" w:rsidRPr="00115E3D" w:rsidRDefault="005B261C" w:rsidP="006F1A38">
            <w:pPr>
              <w:contextualSpacing/>
              <w:rPr>
                <w:rFonts w:ascii="Verdana" w:eastAsia="Calibri" w:hAnsi="Verdana" w:cs="Arial"/>
                <w:color w:val="000000" w:themeColor="text1"/>
                <w:sz w:val="16"/>
                <w:szCs w:val="16"/>
                <w:lang w:val="pt-BR" w:eastAsia="es-ES"/>
              </w:rPr>
            </w:pPr>
            <w:r w:rsidRPr="00115E3D">
              <w:rPr>
                <w:rFonts w:ascii="Verdana" w:eastAsia="Calibri" w:hAnsi="Verdana" w:cs="Arial"/>
                <w:color w:val="000000" w:themeColor="text1"/>
                <w:sz w:val="16"/>
                <w:szCs w:val="16"/>
                <w:lang w:eastAsia="es-ES"/>
              </w:rPr>
              <w:t>Subdirectora</w:t>
            </w:r>
            <w:r w:rsidRPr="00115E3D">
              <w:rPr>
                <w:rFonts w:ascii="Verdana" w:eastAsia="Calibri" w:hAnsi="Verdana" w:cs="Arial"/>
                <w:color w:val="000000" w:themeColor="text1"/>
                <w:sz w:val="16"/>
                <w:szCs w:val="16"/>
                <w:lang w:val="pt-BR" w:eastAsia="es-ES"/>
              </w:rPr>
              <w:t xml:space="preserve"> de Gestión </w:t>
            </w:r>
            <w:proofErr w:type="spellStart"/>
            <w:r w:rsidRPr="00115E3D">
              <w:rPr>
                <w:rFonts w:ascii="Verdana" w:eastAsia="Calibri" w:hAnsi="Verdana" w:cs="Arial"/>
                <w:color w:val="000000" w:themeColor="text1"/>
                <w:sz w:val="16"/>
                <w:szCs w:val="16"/>
                <w:lang w:val="pt-BR" w:eastAsia="es-ES"/>
              </w:rPr>
              <w:t>Contractual</w:t>
            </w:r>
            <w:proofErr w:type="spellEnd"/>
            <w:r w:rsidRPr="00115E3D">
              <w:rPr>
                <w:rFonts w:ascii="Verdana" w:eastAsia="Calibri" w:hAnsi="Verdana" w:cs="Arial"/>
                <w:color w:val="000000" w:themeColor="text1"/>
                <w:sz w:val="16"/>
                <w:szCs w:val="16"/>
                <w:lang w:val="pt-BR" w:eastAsia="es-ES"/>
              </w:rPr>
              <w:t xml:space="preserve"> ANCP – CCE</w:t>
            </w:r>
          </w:p>
        </w:tc>
      </w:tr>
    </w:tbl>
    <w:p w14:paraId="14D47E36" w14:textId="77777777" w:rsidR="005B261C" w:rsidRDefault="005B261C" w:rsidP="005B261C"/>
    <w:p w14:paraId="3900974D" w14:textId="6B82F99B" w:rsidR="003D5B0D" w:rsidRPr="005B261C" w:rsidRDefault="003D5B0D" w:rsidP="005B261C"/>
    <w:sectPr w:rsidR="003D5B0D" w:rsidRPr="005B261C" w:rsidSect="007C0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CF0FD3" w14:textId="77777777" w:rsidR="003061D8" w:rsidRDefault="003061D8" w:rsidP="004A1847">
      <w:pPr>
        <w:spacing w:after="0" w:line="240" w:lineRule="auto"/>
      </w:pPr>
      <w:r>
        <w:separator/>
      </w:r>
    </w:p>
  </w:endnote>
  <w:endnote w:type="continuationSeparator" w:id="0">
    <w:p w14:paraId="38B16774" w14:textId="77777777" w:rsidR="003061D8" w:rsidRDefault="003061D8" w:rsidP="004A1847">
      <w:pPr>
        <w:spacing w:after="0" w:line="240" w:lineRule="auto"/>
      </w:pPr>
      <w:r>
        <w:continuationSeparator/>
      </w:r>
    </w:p>
  </w:endnote>
  <w:endnote w:type="continuationNotice" w:id="1">
    <w:p w14:paraId="4672E64C" w14:textId="77777777" w:rsidR="003061D8" w:rsidRDefault="003061D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Aptos">
    <w:panose1 w:val="020B0004020202020204"/>
    <w:charset w:val="00"/>
    <w:family w:val="swiss"/>
    <w:pitch w:val="variable"/>
    <w:sig w:usb0="20000287" w:usb1="00000003" w:usb2="00000000" w:usb3="00000000" w:csb0="0000019F" w:csb1="00000000"/>
  </w:font>
  <w:font w:name="Arial MT">
    <w:altName w:val="Arial"/>
    <w:panose1 w:val="020B0604020202020204"/>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Arial Nova">
    <w:panose1 w:val="020B0504020202020204"/>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D89EE8" w14:textId="77777777" w:rsidR="003061D8" w:rsidRDefault="003061D8" w:rsidP="004A1847">
      <w:pPr>
        <w:spacing w:after="0" w:line="240" w:lineRule="auto"/>
      </w:pPr>
      <w:r>
        <w:separator/>
      </w:r>
    </w:p>
  </w:footnote>
  <w:footnote w:type="continuationSeparator" w:id="0">
    <w:p w14:paraId="6594B60E" w14:textId="77777777" w:rsidR="003061D8" w:rsidRDefault="003061D8" w:rsidP="004A1847">
      <w:pPr>
        <w:spacing w:after="0" w:line="240" w:lineRule="auto"/>
      </w:pPr>
      <w:r>
        <w:continuationSeparator/>
      </w:r>
    </w:p>
  </w:footnote>
  <w:footnote w:type="continuationNotice" w:id="1">
    <w:p w14:paraId="7EF896C4" w14:textId="77777777" w:rsidR="003061D8" w:rsidRDefault="003061D8">
      <w:pPr>
        <w:spacing w:after="0" w:line="240" w:lineRule="auto"/>
      </w:pPr>
    </w:p>
  </w:footnote>
  <w:footnote w:id="2">
    <w:p w14:paraId="323A45F7" w14:textId="330A966B" w:rsidR="00946693" w:rsidRPr="00946693" w:rsidRDefault="00946693">
      <w:pPr>
        <w:pStyle w:val="Textonotapie"/>
        <w:rPr>
          <w:lang w:val="es-ES"/>
        </w:rPr>
      </w:pPr>
      <w:r>
        <w:rPr>
          <w:rStyle w:val="Refdenotaalpie"/>
        </w:rPr>
        <w:footnoteRef/>
      </w:r>
      <w:r>
        <w:t xml:space="preserve"> </w:t>
      </w:r>
      <w:hyperlink r:id="rId1" w:history="1">
        <w:r w:rsidRPr="00703C22">
          <w:rPr>
            <w:rStyle w:val="Hipervnculo"/>
          </w:rPr>
          <w:t>https://operaciones.colombiacompra.gov.co/sites/cce_public/files/cce_circulares/doc-20240823-wa0021.pdf</w:t>
        </w:r>
      </w:hyperlink>
      <w:r>
        <w:t xml:space="preserve">   </w:t>
      </w:r>
    </w:p>
  </w:footnote>
  <w:footnote w:id="3">
    <w:p w14:paraId="7D9914F5" w14:textId="77777777" w:rsidR="00D92AFD" w:rsidRDefault="00D92AFD" w:rsidP="00D92AFD">
      <w:pPr>
        <w:pStyle w:val="Textonotapie"/>
        <w:ind w:firstLine="709"/>
        <w:jc w:val="both"/>
        <w:rPr>
          <w:rFonts w:ascii="Verdana" w:hAnsi="Verdana" w:cs="Arial"/>
          <w:color w:val="000000"/>
          <w:sz w:val="16"/>
          <w:szCs w:val="16"/>
        </w:rPr>
      </w:pPr>
    </w:p>
    <w:p w14:paraId="74C5F223" w14:textId="77777777" w:rsidR="00D92AFD" w:rsidRPr="005C10BE" w:rsidRDefault="00D92AFD" w:rsidP="00D92AFD">
      <w:pPr>
        <w:pStyle w:val="Textonotapie"/>
        <w:ind w:firstLine="709"/>
        <w:jc w:val="both"/>
        <w:rPr>
          <w:rFonts w:ascii="Verdana" w:hAnsi="Verdana" w:cs="Arial"/>
          <w:color w:val="000000"/>
          <w:sz w:val="16"/>
          <w:szCs w:val="16"/>
        </w:rPr>
      </w:pPr>
      <w:r w:rsidRPr="005C10BE">
        <w:rPr>
          <w:rStyle w:val="Refdenotaalpie"/>
          <w:rFonts w:ascii="Verdana" w:hAnsi="Verdana" w:cs="Arial"/>
          <w:color w:val="000000"/>
          <w:sz w:val="16"/>
          <w:szCs w:val="16"/>
        </w:rPr>
        <w:footnoteRef/>
      </w:r>
      <w:r w:rsidRPr="005C10BE">
        <w:rPr>
          <w:rFonts w:ascii="Verdana" w:hAnsi="Verdana" w:cs="Arial"/>
          <w:color w:val="000000"/>
          <w:sz w:val="16"/>
          <w:szCs w:val="16"/>
        </w:rPr>
        <w:t xml:space="preserve"> </w:t>
      </w:r>
      <w:r w:rsidRPr="005C10BE">
        <w:rPr>
          <w:rFonts w:ascii="Verdana" w:hAnsi="Verdana" w:cs="Arial"/>
          <w:color w:val="000000"/>
          <w:sz w:val="16"/>
          <w:szCs w:val="16"/>
        </w:rPr>
        <w:t>Ley 1150 de 2007: “Artículo 3.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68E721B9" w14:textId="77777777" w:rsidR="00D92AFD" w:rsidRPr="005C10BE" w:rsidRDefault="00D92AFD" w:rsidP="00D92AFD">
      <w:pPr>
        <w:pStyle w:val="Textonotapie"/>
        <w:ind w:firstLine="709"/>
        <w:jc w:val="both"/>
        <w:rPr>
          <w:rFonts w:ascii="Verdana" w:hAnsi="Verdana" w:cs="Arial"/>
          <w:color w:val="000000"/>
          <w:sz w:val="16"/>
          <w:szCs w:val="16"/>
        </w:rPr>
      </w:pPr>
      <w:r w:rsidRPr="005C10BE">
        <w:rPr>
          <w:rFonts w:ascii="Verdana" w:hAnsi="Verdana" w:cs="Arial"/>
          <w:color w:val="000000"/>
          <w:sz w:val="16"/>
          <w:szCs w:val="16"/>
        </w:rPr>
        <w:t>Lo anterior, sin perjuicio de las publicaciones previstas en el numeral 3 del artículo 30 de la Ley 80 de 1993.</w:t>
      </w:r>
    </w:p>
    <w:p w14:paraId="06059D89" w14:textId="77777777" w:rsidR="00D92AFD" w:rsidRPr="005C10BE" w:rsidRDefault="00D92AFD" w:rsidP="00D92AFD">
      <w:pPr>
        <w:pStyle w:val="Textonotapie"/>
        <w:ind w:firstLine="709"/>
        <w:jc w:val="both"/>
        <w:rPr>
          <w:rFonts w:ascii="Verdana" w:hAnsi="Verdana" w:cs="Arial"/>
          <w:color w:val="000000"/>
          <w:sz w:val="16"/>
          <w:szCs w:val="16"/>
        </w:rPr>
      </w:pPr>
      <w:r w:rsidRPr="005C10BE">
        <w:rPr>
          <w:rFonts w:ascii="Verdana" w:hAnsi="Verdana" w:cs="Arial"/>
          <w:color w:val="000000"/>
          <w:sz w:val="16"/>
          <w:szCs w:val="16"/>
        </w:rPr>
        <w:t xml:space="preserve">Con el fin de materializar los objetivos a que se refiere el inciso anterior, el Gobierno Nacional desarrollará el Sistema Electrónico para la Contratación Pública, Secop, el cual: </w:t>
      </w:r>
    </w:p>
    <w:p w14:paraId="207956C1" w14:textId="77777777" w:rsidR="00D92AFD" w:rsidRPr="005C10BE" w:rsidRDefault="00D92AFD" w:rsidP="00D92AFD">
      <w:pPr>
        <w:pStyle w:val="Textonotapie"/>
        <w:ind w:firstLine="709"/>
        <w:jc w:val="both"/>
        <w:rPr>
          <w:rFonts w:ascii="Verdana" w:hAnsi="Verdana" w:cs="Arial"/>
          <w:color w:val="000000"/>
          <w:sz w:val="16"/>
          <w:szCs w:val="16"/>
        </w:rPr>
      </w:pPr>
      <w:r w:rsidRPr="005C10BE">
        <w:rPr>
          <w:rFonts w:ascii="Verdana" w:hAnsi="Verdana" w:cs="Arial"/>
          <w:color w:val="000000"/>
          <w:sz w:val="16"/>
          <w:szCs w:val="16"/>
        </w:rPr>
        <w:t>[…]</w:t>
      </w:r>
    </w:p>
    <w:p w14:paraId="6A01F69D" w14:textId="77777777" w:rsidR="00D92AFD" w:rsidRPr="005C10BE" w:rsidRDefault="00D92AFD" w:rsidP="00D92AFD">
      <w:pPr>
        <w:pStyle w:val="Textonotapie"/>
        <w:ind w:firstLine="709"/>
        <w:jc w:val="both"/>
        <w:rPr>
          <w:rFonts w:ascii="Verdana" w:hAnsi="Verdana" w:cs="Arial"/>
          <w:color w:val="000000"/>
          <w:sz w:val="16"/>
          <w:szCs w:val="16"/>
        </w:rPr>
      </w:pPr>
      <w:r w:rsidRPr="005C10BE">
        <w:rPr>
          <w:rFonts w:ascii="Verdana" w:hAnsi="Verdana" w:cs="Arial"/>
          <w:color w:val="000000"/>
          <w:sz w:val="16"/>
          <w:szCs w:val="16"/>
        </w:rPr>
        <w:t xml:space="preserve">c) Contará con la información oficial de la contratación realizada con dineros públicos, para lo cual establecerá los patrones a que haya lugar y se encargará de su difusión a través de canales electrónico”. </w:t>
      </w:r>
    </w:p>
    <w:p w14:paraId="685ED055" w14:textId="77777777" w:rsidR="00D92AFD" w:rsidRPr="005C10BE" w:rsidRDefault="00D92AFD" w:rsidP="00D92AFD">
      <w:pPr>
        <w:pStyle w:val="Textonotapie"/>
        <w:ind w:firstLine="709"/>
        <w:jc w:val="both"/>
        <w:rPr>
          <w:rFonts w:ascii="Verdana" w:hAnsi="Verdana" w:cs="Arial"/>
          <w:color w:val="000000"/>
          <w:sz w:val="16"/>
          <w:szCs w:val="16"/>
          <w:lang w:val="es-CO"/>
        </w:rPr>
      </w:pPr>
    </w:p>
  </w:footnote>
  <w:footnote w:id="4">
    <w:p w14:paraId="186B2AEB" w14:textId="77777777" w:rsidR="00D92AFD" w:rsidRPr="005C10BE" w:rsidRDefault="00D92AFD" w:rsidP="00D92AFD">
      <w:pPr>
        <w:pStyle w:val="Textonotapie"/>
        <w:ind w:firstLine="709"/>
        <w:jc w:val="both"/>
        <w:rPr>
          <w:rFonts w:ascii="Verdana" w:hAnsi="Verdana" w:cs="Arial"/>
          <w:color w:val="000000"/>
          <w:sz w:val="16"/>
          <w:szCs w:val="16"/>
        </w:rPr>
      </w:pPr>
      <w:r w:rsidRPr="005C10BE">
        <w:rPr>
          <w:rStyle w:val="Refdenotaalpie"/>
          <w:rFonts w:ascii="Verdana" w:hAnsi="Verdana" w:cs="Arial"/>
          <w:color w:val="000000"/>
          <w:sz w:val="16"/>
          <w:szCs w:val="16"/>
        </w:rPr>
        <w:footnoteRef/>
      </w:r>
      <w:r w:rsidRPr="005C10BE">
        <w:rPr>
          <w:rFonts w:ascii="Verdana" w:hAnsi="Verdana" w:cs="Arial"/>
          <w:color w:val="000000"/>
          <w:sz w:val="16"/>
          <w:szCs w:val="16"/>
        </w:rPr>
        <w:t xml:space="preserve"> </w:t>
      </w:r>
      <w:r w:rsidRPr="005C10BE">
        <w:rPr>
          <w:rFonts w:ascii="Verdana" w:hAnsi="Verdana" w:cs="Arial"/>
          <w:color w:val="000000"/>
          <w:sz w:val="16"/>
          <w:szCs w:val="16"/>
        </w:rPr>
        <w:t>Ley 1712 de 2014: “Artículo 2. Toda información en posesión, bajo control o custodia de un sujeto obligado es pública y no podrá ser reservada o limitada sino por disposición constitucional o legal, de conformidad con la presente ley”.</w:t>
      </w:r>
    </w:p>
    <w:p w14:paraId="625A2B46" w14:textId="77777777" w:rsidR="00D92AFD" w:rsidRPr="005C10BE" w:rsidRDefault="00D92AFD" w:rsidP="00D92AFD">
      <w:pPr>
        <w:pStyle w:val="Textonotapie"/>
        <w:ind w:firstLine="709"/>
        <w:jc w:val="both"/>
        <w:rPr>
          <w:rFonts w:ascii="Verdana" w:hAnsi="Verdana" w:cs="Arial"/>
          <w:color w:val="000000"/>
          <w:sz w:val="16"/>
          <w:szCs w:val="16"/>
          <w:lang w:val="es-CO"/>
        </w:rPr>
      </w:pPr>
    </w:p>
  </w:footnote>
  <w:footnote w:id="5">
    <w:p w14:paraId="383AF538" w14:textId="77777777" w:rsidR="00D92AFD" w:rsidRPr="005C10BE" w:rsidRDefault="00D92AFD" w:rsidP="00D92AFD">
      <w:pPr>
        <w:pStyle w:val="Textonotapie"/>
        <w:ind w:firstLine="709"/>
        <w:jc w:val="both"/>
        <w:rPr>
          <w:rFonts w:ascii="Verdana" w:hAnsi="Verdana" w:cs="Arial"/>
          <w:color w:val="000000"/>
          <w:sz w:val="16"/>
          <w:szCs w:val="16"/>
        </w:rPr>
      </w:pPr>
      <w:r w:rsidRPr="005C10BE">
        <w:rPr>
          <w:rStyle w:val="Refdenotaalpie"/>
          <w:rFonts w:ascii="Verdana" w:hAnsi="Verdana" w:cs="Arial"/>
          <w:color w:val="000000"/>
          <w:sz w:val="16"/>
          <w:szCs w:val="16"/>
        </w:rPr>
        <w:footnoteRef/>
      </w:r>
      <w:r w:rsidRPr="005C10BE">
        <w:rPr>
          <w:rFonts w:ascii="Verdana" w:hAnsi="Verdana" w:cs="Arial"/>
          <w:color w:val="000000"/>
          <w:sz w:val="16"/>
          <w:szCs w:val="16"/>
        </w:rPr>
        <w:t xml:space="preserve"> </w:t>
      </w:r>
      <w:r w:rsidRPr="005C10BE">
        <w:rPr>
          <w:rFonts w:ascii="Verdana" w:hAnsi="Verdana" w:cs="Arial"/>
          <w:color w:val="000000"/>
          <w:sz w:val="16"/>
          <w:szCs w:val="16"/>
        </w:rPr>
        <w:t xml:space="preserve">Ley 1712 de 2014: “Artículo 5. Ámbito de aplicación. Las disposiciones de esta ley serán aplicables a las siguientes personas en calidad de sujetos obligados: </w:t>
      </w:r>
    </w:p>
    <w:p w14:paraId="48DE488C" w14:textId="77777777" w:rsidR="00D92AFD" w:rsidRPr="005C10BE" w:rsidRDefault="00D92AFD" w:rsidP="00D92AFD">
      <w:pPr>
        <w:pStyle w:val="Textonotapie"/>
        <w:ind w:firstLine="709"/>
        <w:jc w:val="both"/>
        <w:rPr>
          <w:rFonts w:ascii="Verdana" w:hAnsi="Verdana" w:cs="Arial"/>
          <w:color w:val="000000"/>
          <w:sz w:val="16"/>
          <w:szCs w:val="16"/>
        </w:rPr>
      </w:pPr>
      <w:r w:rsidRPr="005C10BE">
        <w:rPr>
          <w:rFonts w:ascii="Verdana" w:hAnsi="Verdana" w:cs="Arial"/>
          <w:color w:val="000000"/>
          <w:sz w:val="16"/>
          <w:szCs w:val="16"/>
        </w:rPr>
        <w:t>“a) Toda entidad pública, incluyendo las pertenecientes a todas las Ramas del Poder Público, en todos los niveles de la estructura estatal, central o descentralizada por servicios o territorialmente, en los órdenes nacional, departamental, municipal y distrital”.</w:t>
      </w:r>
    </w:p>
    <w:p w14:paraId="12920F95" w14:textId="77777777" w:rsidR="00D92AFD" w:rsidRPr="005C10BE" w:rsidRDefault="00D92AFD" w:rsidP="00D92AFD">
      <w:pPr>
        <w:pStyle w:val="Textonotapie"/>
        <w:ind w:firstLine="709"/>
        <w:jc w:val="both"/>
        <w:rPr>
          <w:rFonts w:ascii="Verdana" w:hAnsi="Verdana" w:cs="Arial"/>
          <w:color w:val="000000"/>
          <w:sz w:val="16"/>
          <w:szCs w:val="16"/>
          <w:lang w:val="es-CO"/>
        </w:rPr>
      </w:pPr>
    </w:p>
  </w:footnote>
  <w:footnote w:id="6">
    <w:p w14:paraId="086C901D" w14:textId="77777777" w:rsidR="00D92AFD" w:rsidRPr="005C10BE" w:rsidRDefault="00D92AFD" w:rsidP="00D92AFD">
      <w:pPr>
        <w:pStyle w:val="Textonotapie"/>
        <w:ind w:firstLine="709"/>
        <w:jc w:val="both"/>
        <w:rPr>
          <w:rFonts w:ascii="Verdana" w:hAnsi="Verdana" w:cs="Arial"/>
          <w:color w:val="000000"/>
          <w:sz w:val="16"/>
          <w:szCs w:val="16"/>
        </w:rPr>
      </w:pPr>
      <w:r w:rsidRPr="005C10BE">
        <w:rPr>
          <w:rFonts w:ascii="Verdana" w:eastAsia="Times New Roman" w:hAnsi="Verdana" w:cs="Arial"/>
          <w:color w:val="000000"/>
          <w:sz w:val="16"/>
          <w:szCs w:val="16"/>
          <w:vertAlign w:val="superscript"/>
          <w:lang w:val="es-ES" w:eastAsia="es-ES"/>
        </w:rPr>
        <w:footnoteRef/>
      </w:r>
      <w:r w:rsidRPr="005C10BE">
        <w:rPr>
          <w:rFonts w:ascii="Verdana" w:eastAsia="Times New Roman" w:hAnsi="Verdana" w:cs="Arial"/>
          <w:color w:val="000000"/>
          <w:sz w:val="16"/>
          <w:szCs w:val="16"/>
          <w:vertAlign w:val="superscript"/>
          <w:lang w:val="es-ES" w:eastAsia="es-ES"/>
        </w:rPr>
        <w:t xml:space="preserve"> </w:t>
      </w:r>
      <w:r w:rsidRPr="005C10BE">
        <w:rPr>
          <w:rFonts w:ascii="Verdana" w:eastAsia="Times New Roman" w:hAnsi="Verdana" w:cs="Arial"/>
          <w:color w:val="000000"/>
          <w:sz w:val="16"/>
          <w:szCs w:val="16"/>
          <w:lang w:val="es-ES" w:eastAsia="es-ES"/>
        </w:rPr>
        <w:t>“</w:t>
      </w:r>
      <w:r w:rsidRPr="005C10BE">
        <w:rPr>
          <w:rFonts w:ascii="Verdana" w:hAnsi="Verdana" w:cs="Arial"/>
          <w:color w:val="000000"/>
          <w:sz w:val="16"/>
          <w:szCs w:val="16"/>
        </w:rPr>
        <w:t xml:space="preserve">Artículo 2.1.1.2.1.7. </w:t>
      </w:r>
      <w:r w:rsidRPr="005C10BE">
        <w:rPr>
          <w:rFonts w:ascii="Verdana" w:hAnsi="Verdana" w:cs="Arial"/>
          <w:color w:val="000000"/>
          <w:sz w:val="16"/>
          <w:szCs w:val="16"/>
        </w:rPr>
        <w:t xml:space="preserve">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w:t>
      </w:r>
    </w:p>
    <w:p w14:paraId="47E158DD" w14:textId="77777777" w:rsidR="00D92AFD" w:rsidRPr="005C10BE" w:rsidRDefault="00D92AFD" w:rsidP="00D92AFD">
      <w:pPr>
        <w:pStyle w:val="Textonotapie"/>
        <w:ind w:firstLine="709"/>
        <w:jc w:val="both"/>
        <w:rPr>
          <w:rFonts w:ascii="Verdana" w:eastAsia="Times New Roman" w:hAnsi="Verdana" w:cs="Arial"/>
          <w:color w:val="000000"/>
          <w:sz w:val="16"/>
          <w:szCs w:val="16"/>
          <w:lang w:val="es-ES" w:eastAsia="es-ES"/>
        </w:rPr>
      </w:pPr>
      <w:r w:rsidRPr="005C10BE">
        <w:rPr>
          <w:rFonts w:ascii="Verdana" w:hAnsi="Verdana" w:cs="Arial"/>
          <w:color w:val="000000"/>
          <w:sz w:val="16"/>
          <w:szCs w:val="16"/>
        </w:rPr>
        <w:t>[…].</w:t>
      </w:r>
    </w:p>
    <w:p w14:paraId="2B1AF632" w14:textId="77777777" w:rsidR="00D92AFD" w:rsidRPr="005C10BE" w:rsidRDefault="00D92AFD" w:rsidP="00D92AFD">
      <w:pPr>
        <w:pStyle w:val="Textonotapie"/>
        <w:ind w:firstLine="709"/>
        <w:jc w:val="both"/>
        <w:rPr>
          <w:rFonts w:ascii="Verdana" w:eastAsia="Times New Roman" w:hAnsi="Verdana" w:cs="Arial"/>
          <w:color w:val="000000"/>
          <w:sz w:val="16"/>
          <w:szCs w:val="16"/>
          <w:lang w:val="es-ES" w:eastAsia="es-ES"/>
        </w:rPr>
      </w:pPr>
      <w:r w:rsidRPr="005C10BE">
        <w:rPr>
          <w:rFonts w:ascii="Verdana" w:eastAsia="Times New Roman" w:hAnsi="Verdana" w:cs="Arial"/>
          <w:color w:val="000000"/>
          <w:sz w:val="16"/>
          <w:szCs w:val="16"/>
          <w:lang w:val="es-ES" w:eastAsia="es-ES"/>
        </w:rPr>
        <w:t>“Los sujetos obligados que contratan con recursos públicos y recursos privados, deben publicar la información de su gestión contractual con cargo a recursos públicos en el Sistema Electrónico para la Contratación Pública [SECOP]”.</w:t>
      </w:r>
    </w:p>
    <w:p w14:paraId="4463A2D2" w14:textId="77777777" w:rsidR="00D92AFD" w:rsidRPr="005C10BE" w:rsidRDefault="00D92AFD" w:rsidP="00D92AFD">
      <w:pPr>
        <w:pStyle w:val="Textonotapie"/>
        <w:ind w:firstLine="709"/>
        <w:jc w:val="both"/>
        <w:rPr>
          <w:rFonts w:ascii="Verdana" w:eastAsia="Times New Roman" w:hAnsi="Verdana" w:cs="Arial"/>
          <w:color w:val="000000"/>
          <w:sz w:val="16"/>
          <w:szCs w:val="16"/>
          <w:lang w:val="es-ES" w:eastAsia="es-ES"/>
        </w:rPr>
      </w:pPr>
    </w:p>
  </w:footnote>
  <w:footnote w:id="7">
    <w:p w14:paraId="3D6A3725" w14:textId="77777777" w:rsidR="00D92AFD" w:rsidRPr="005C10BE" w:rsidRDefault="00D92AFD" w:rsidP="00D92AFD">
      <w:pPr>
        <w:pStyle w:val="Textonotapie"/>
        <w:ind w:firstLine="709"/>
        <w:jc w:val="both"/>
        <w:rPr>
          <w:rFonts w:ascii="Verdana" w:hAnsi="Verdana" w:cs="Arial"/>
          <w:color w:val="000000"/>
          <w:sz w:val="16"/>
          <w:szCs w:val="16"/>
        </w:rPr>
      </w:pPr>
      <w:r w:rsidRPr="005C10BE">
        <w:rPr>
          <w:rStyle w:val="Refdenotaalpie"/>
          <w:rFonts w:ascii="Verdana" w:hAnsi="Verdana" w:cs="Arial"/>
          <w:color w:val="000000"/>
          <w:sz w:val="16"/>
          <w:szCs w:val="16"/>
        </w:rPr>
        <w:footnoteRef/>
      </w:r>
      <w:r w:rsidRPr="005C10BE">
        <w:rPr>
          <w:rFonts w:ascii="Verdana" w:hAnsi="Verdana" w:cs="Arial"/>
          <w:color w:val="000000"/>
          <w:sz w:val="16"/>
          <w:szCs w:val="16"/>
        </w:rPr>
        <w:t xml:space="preserve"> </w:t>
      </w:r>
      <w:r w:rsidRPr="005C10BE">
        <w:rPr>
          <w:rFonts w:ascii="Verdana" w:hAnsi="Verdana" w:cs="Arial"/>
          <w:color w:val="000000"/>
          <w:sz w:val="16"/>
          <w:szCs w:val="16"/>
        </w:rPr>
        <w:t>C</w:t>
      </w:r>
      <w:proofErr w:type="spellStart"/>
      <w:r w:rsidRPr="005C10BE">
        <w:rPr>
          <w:rFonts w:ascii="Verdana" w:eastAsia="Times New Roman" w:hAnsi="Verdana" w:cs="Arial"/>
          <w:color w:val="000000"/>
          <w:sz w:val="16"/>
          <w:szCs w:val="16"/>
          <w:lang w:val="es-ES" w:eastAsia="es-ES"/>
        </w:rPr>
        <w:t>orte</w:t>
      </w:r>
      <w:proofErr w:type="spellEnd"/>
      <w:r w:rsidRPr="005C10BE">
        <w:rPr>
          <w:rFonts w:ascii="Verdana" w:eastAsia="Times New Roman" w:hAnsi="Verdana" w:cs="Arial"/>
          <w:color w:val="000000"/>
          <w:sz w:val="16"/>
          <w:szCs w:val="16"/>
          <w:lang w:val="es-ES" w:eastAsia="es-ES"/>
        </w:rPr>
        <w:t xml:space="preserve"> Constitucional. Sentencia C‒274 de 9 de mayo de 2013. M.P. Mar</w:t>
      </w:r>
      <w:r w:rsidRPr="005C10BE">
        <w:rPr>
          <w:rFonts w:ascii="Verdana" w:eastAsia="Times New Roman" w:hAnsi="Verdana" w:cs="Century Gothic"/>
          <w:color w:val="000000"/>
          <w:sz w:val="16"/>
          <w:szCs w:val="16"/>
          <w:lang w:val="es-ES" w:eastAsia="es-ES"/>
        </w:rPr>
        <w:t>í</w:t>
      </w:r>
      <w:r w:rsidRPr="005C10BE">
        <w:rPr>
          <w:rFonts w:ascii="Verdana" w:eastAsia="Times New Roman" w:hAnsi="Verdana" w:cs="Arial"/>
          <w:color w:val="000000"/>
          <w:sz w:val="16"/>
          <w:szCs w:val="16"/>
          <w:lang w:val="es-ES" w:eastAsia="es-ES"/>
        </w:rPr>
        <w:t xml:space="preserve">a Victoria Calle Correa. </w:t>
      </w:r>
    </w:p>
    <w:p w14:paraId="2ED24CA7" w14:textId="77777777" w:rsidR="00D92AFD" w:rsidRPr="005C10BE" w:rsidRDefault="00D92AFD" w:rsidP="00D92AFD">
      <w:pPr>
        <w:pStyle w:val="Textonotapie"/>
        <w:ind w:firstLine="709"/>
        <w:jc w:val="both"/>
        <w:rPr>
          <w:rFonts w:ascii="Verdana" w:hAnsi="Verdana" w:cs="Arial"/>
          <w:color w:val="000000"/>
          <w:sz w:val="16"/>
          <w:szCs w:val="16"/>
          <w:lang w:val="es-CO"/>
        </w:rPr>
      </w:pPr>
    </w:p>
  </w:footnote>
  <w:footnote w:id="8">
    <w:p w14:paraId="54D35DB6" w14:textId="77777777" w:rsidR="00D92AFD" w:rsidRPr="005C10BE" w:rsidRDefault="00D92AFD" w:rsidP="00D92AFD">
      <w:pPr>
        <w:pStyle w:val="Textonotapie"/>
        <w:ind w:firstLine="708"/>
        <w:jc w:val="both"/>
        <w:rPr>
          <w:rFonts w:ascii="Verdana" w:hAnsi="Verdana"/>
          <w:sz w:val="16"/>
          <w:szCs w:val="16"/>
        </w:rPr>
      </w:pPr>
      <w:r w:rsidRPr="005C10BE">
        <w:rPr>
          <w:rStyle w:val="Refdenotaalpie"/>
          <w:rFonts w:ascii="Verdana" w:hAnsi="Verdana"/>
          <w:sz w:val="16"/>
          <w:szCs w:val="16"/>
        </w:rPr>
        <w:footnoteRef/>
      </w:r>
      <w:r w:rsidRPr="005C10BE">
        <w:rPr>
          <w:rFonts w:ascii="Verdana" w:hAnsi="Verdana"/>
          <w:sz w:val="16"/>
          <w:szCs w:val="16"/>
        </w:rPr>
        <w:t xml:space="preserve"> </w:t>
      </w:r>
      <w:r w:rsidRPr="005C10BE">
        <w:rPr>
          <w:rFonts w:ascii="Verdana" w:hAnsi="Verdana"/>
          <w:sz w:val="16"/>
          <w:szCs w:val="16"/>
        </w:rPr>
        <w:t>Adiciónese los siguientes incisos al artículo 13 de la Ley 1150 de 2007, el cual quedará así:</w:t>
      </w:r>
    </w:p>
    <w:p w14:paraId="4BBEEE0D" w14:textId="77777777" w:rsidR="00D92AFD" w:rsidRPr="005C10BE" w:rsidRDefault="00D92AFD" w:rsidP="00D92AFD">
      <w:pPr>
        <w:pStyle w:val="Textonotapie"/>
        <w:ind w:firstLine="708"/>
        <w:jc w:val="both"/>
        <w:rPr>
          <w:rFonts w:ascii="Verdana" w:hAnsi="Verdana"/>
          <w:sz w:val="16"/>
          <w:szCs w:val="16"/>
        </w:rPr>
      </w:pPr>
    </w:p>
    <w:p w14:paraId="76BF47E1" w14:textId="77777777" w:rsidR="00D92AFD" w:rsidRPr="005C10BE" w:rsidRDefault="00D92AFD" w:rsidP="00D92AFD">
      <w:pPr>
        <w:pStyle w:val="Textonotapie"/>
        <w:ind w:firstLine="708"/>
        <w:jc w:val="both"/>
        <w:rPr>
          <w:rFonts w:ascii="Verdana" w:hAnsi="Verdana"/>
          <w:sz w:val="16"/>
          <w:szCs w:val="16"/>
        </w:rPr>
      </w:pPr>
      <w:r w:rsidRPr="005C10BE">
        <w:rPr>
          <w:rFonts w:ascii="Verdana" w:hAnsi="Verdana"/>
          <w:sz w:val="16"/>
          <w:szCs w:val="16"/>
        </w:rPr>
        <w:t>Artículo 13. PRINCIPIOS GENERALES DE LA ACTIVIDAD CONTRACTUAL PARA ENTIDADES NO SOMETIDAS AL ESTATUTO GENERAL DE CONTRATACIÓN DE LA ADMINISTRACIÓN PÚBLICA. 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209 y 267 de la Constitución Política, respectivamente según sea el caso y estarán sometidas al régimen de inhabilidades e incompatibilidades previsto legalmente para la contratación estatal.</w:t>
      </w:r>
    </w:p>
    <w:p w14:paraId="233576CE" w14:textId="77777777" w:rsidR="00D92AFD" w:rsidRPr="005C10BE" w:rsidRDefault="00D92AFD" w:rsidP="00D92AFD">
      <w:pPr>
        <w:pStyle w:val="Textonotapie"/>
        <w:ind w:firstLine="708"/>
        <w:jc w:val="both"/>
        <w:rPr>
          <w:rFonts w:ascii="Verdana" w:hAnsi="Verdana"/>
          <w:sz w:val="16"/>
          <w:szCs w:val="16"/>
        </w:rPr>
      </w:pPr>
    </w:p>
    <w:p w14:paraId="551B7E3F" w14:textId="77777777" w:rsidR="00D92AFD" w:rsidRPr="005C10BE" w:rsidRDefault="00D92AFD" w:rsidP="00D92AFD">
      <w:pPr>
        <w:pStyle w:val="Textonotapie"/>
        <w:ind w:firstLine="708"/>
        <w:jc w:val="both"/>
        <w:rPr>
          <w:rFonts w:ascii="Verdana" w:hAnsi="Verdana"/>
          <w:sz w:val="16"/>
          <w:szCs w:val="16"/>
        </w:rPr>
      </w:pPr>
      <w:r w:rsidRPr="005C10BE">
        <w:rPr>
          <w:rFonts w:ascii="Verdana" w:hAnsi="Verdana"/>
          <w:sz w:val="16"/>
          <w:szCs w:val="16"/>
        </w:rPr>
        <w:t>En desarrollo de los anteriores principios, deberán publicar los documentos relacionados con su actividad contractual en el Sistema Electrónico para la Contratación Pública –SECOP II– o la plataforma transaccional que haga sus veces. Para los efectos de este artículo, se entiende por actividad contractual los documentos, contratos, actos e información generada por oferentes, contratista, contratante, supervisor o interventor, tanto en la etapa precontractual, como en la contractual y la postcontractual.</w:t>
      </w:r>
    </w:p>
    <w:p w14:paraId="1AC726AF" w14:textId="77777777" w:rsidR="00D92AFD" w:rsidRPr="005C10BE" w:rsidRDefault="00D92AFD" w:rsidP="00D92AFD">
      <w:pPr>
        <w:pStyle w:val="Textonotapie"/>
        <w:ind w:firstLine="708"/>
        <w:jc w:val="both"/>
        <w:rPr>
          <w:rFonts w:ascii="Verdana" w:hAnsi="Verdana"/>
          <w:sz w:val="16"/>
          <w:szCs w:val="16"/>
        </w:rPr>
      </w:pPr>
    </w:p>
    <w:p w14:paraId="6523BB59" w14:textId="77777777" w:rsidR="00D92AFD" w:rsidRPr="005C10BE" w:rsidRDefault="00D92AFD" w:rsidP="00D92AFD">
      <w:pPr>
        <w:pStyle w:val="Textonotapie"/>
        <w:ind w:firstLine="708"/>
        <w:jc w:val="both"/>
        <w:rPr>
          <w:rFonts w:ascii="Verdana" w:hAnsi="Verdana"/>
          <w:sz w:val="16"/>
          <w:szCs w:val="16"/>
          <w:lang w:val="es-CO"/>
        </w:rPr>
      </w:pPr>
      <w:r w:rsidRPr="005C10BE">
        <w:rPr>
          <w:rFonts w:ascii="Verdana" w:hAnsi="Verdana"/>
          <w:sz w:val="16"/>
          <w:szCs w:val="16"/>
        </w:rPr>
        <w:t>A partir de la entrada en vigencia de la presente Ley, se establecerá un periodo de transición de seis (6) meses, para que las entidades den cumplimiento efectivo a lo aquí establecido.</w:t>
      </w:r>
    </w:p>
  </w:footnote>
  <w:footnote w:id="9">
    <w:p w14:paraId="26D732E1" w14:textId="77777777" w:rsidR="00D92AFD" w:rsidRPr="005C10BE" w:rsidRDefault="00D92AFD" w:rsidP="00D92AFD">
      <w:pPr>
        <w:pStyle w:val="Textonotapie"/>
        <w:ind w:firstLine="708"/>
        <w:contextualSpacing/>
        <w:jc w:val="both"/>
        <w:rPr>
          <w:rFonts w:ascii="Verdana" w:hAnsi="Verdana" w:cs="Arial"/>
          <w:sz w:val="16"/>
          <w:szCs w:val="16"/>
        </w:rPr>
      </w:pPr>
    </w:p>
    <w:p w14:paraId="28C7AAA5" w14:textId="77777777" w:rsidR="00D92AFD" w:rsidRPr="005C10BE" w:rsidRDefault="00D92AFD" w:rsidP="00D92AFD">
      <w:pPr>
        <w:pStyle w:val="Textonotapie"/>
        <w:ind w:firstLine="708"/>
        <w:contextualSpacing/>
        <w:jc w:val="both"/>
        <w:rPr>
          <w:rFonts w:ascii="Verdana" w:hAnsi="Verdana" w:cs="Arial"/>
          <w:sz w:val="16"/>
          <w:szCs w:val="16"/>
          <w:lang w:val="es-CO"/>
        </w:rPr>
      </w:pPr>
      <w:r w:rsidRPr="005C10BE">
        <w:rPr>
          <w:rStyle w:val="Refdenotaalpie"/>
          <w:rFonts w:ascii="Verdana" w:hAnsi="Verdana" w:cs="Arial"/>
          <w:sz w:val="16"/>
          <w:szCs w:val="16"/>
        </w:rPr>
        <w:footnoteRef/>
      </w:r>
      <w:r w:rsidRPr="005C10BE">
        <w:rPr>
          <w:rFonts w:ascii="Verdana" w:hAnsi="Verdana" w:cs="Arial"/>
          <w:sz w:val="16"/>
          <w:szCs w:val="16"/>
        </w:rPr>
        <w:t xml:space="preserve"> </w:t>
      </w:r>
      <w:r w:rsidRPr="005C10BE">
        <w:rPr>
          <w:rFonts w:ascii="Verdana" w:hAnsi="Verdana" w:cs="Arial"/>
          <w:sz w:val="16"/>
          <w:szCs w:val="16"/>
        </w:rPr>
        <w:t>Ley 1150 de 2007. “Artículo 1. Objeto. La presente ley tiene por objeto introducir modificaciones en la Ley 80 de 1993, así como dictar otras disposiciones generales aplicables a toda contratación con recursos públicos”.</w:t>
      </w:r>
    </w:p>
  </w:footnote>
  <w:footnote w:id="10">
    <w:p w14:paraId="0EEA4BAB" w14:textId="77777777" w:rsidR="00D92AFD" w:rsidRPr="005C10BE" w:rsidRDefault="00D92AFD" w:rsidP="00D92AFD">
      <w:pPr>
        <w:autoSpaceDE w:val="0"/>
        <w:autoSpaceDN w:val="0"/>
        <w:adjustRightInd w:val="0"/>
        <w:spacing w:after="0" w:line="240" w:lineRule="auto"/>
        <w:ind w:firstLine="708"/>
        <w:contextualSpacing/>
        <w:jc w:val="both"/>
        <w:rPr>
          <w:rFonts w:ascii="Verdana" w:eastAsia="Calibri" w:hAnsi="Verdana" w:cs="Arial"/>
          <w:sz w:val="16"/>
          <w:szCs w:val="16"/>
          <w:lang w:val="es-ES" w:eastAsia="es-ES_tradnl"/>
        </w:rPr>
      </w:pPr>
      <w:r w:rsidRPr="005C10BE">
        <w:rPr>
          <w:rStyle w:val="Refdenotaalpie"/>
          <w:rFonts w:ascii="Verdana" w:hAnsi="Verdana" w:cs="Arial"/>
          <w:sz w:val="16"/>
          <w:szCs w:val="16"/>
        </w:rPr>
        <w:footnoteRef/>
      </w:r>
      <w:r w:rsidRPr="005C10BE">
        <w:rPr>
          <w:rFonts w:ascii="Verdana" w:hAnsi="Verdana" w:cs="Arial"/>
          <w:sz w:val="16"/>
          <w:szCs w:val="16"/>
        </w:rPr>
        <w:t xml:space="preserve"> </w:t>
      </w:r>
      <w:r w:rsidRPr="005C10BE">
        <w:rPr>
          <w:rFonts w:ascii="Verdana" w:hAnsi="Verdana" w:cs="Arial"/>
          <w:sz w:val="16"/>
          <w:szCs w:val="16"/>
        </w:rPr>
        <w:t xml:space="preserve">Disponible en el siguiente enlace: </w:t>
      </w:r>
      <w:hyperlink r:id="rId2" w:history="1">
        <w:r w:rsidRPr="005C10BE">
          <w:rPr>
            <w:rStyle w:val="Hipervnculo"/>
            <w:rFonts w:ascii="Verdana" w:hAnsi="Verdana" w:cs="Arial"/>
            <w:sz w:val="16"/>
            <w:szCs w:val="16"/>
          </w:rPr>
          <w:t>https://www.colombiacompra.gov.co/sites/cce_public/files/cce_circulares/doc-20240823-wa0021.pdf</w:t>
        </w:r>
      </w:hyperlink>
      <w:r w:rsidRPr="005C10BE">
        <w:rPr>
          <w:rFonts w:ascii="Verdana" w:hAnsi="Verdana" w:cs="Arial"/>
          <w:sz w:val="16"/>
          <w:szCs w:val="16"/>
        </w:rPr>
        <w:t xml:space="preserve"> </w:t>
      </w:r>
    </w:p>
    <w:p w14:paraId="4D659CC9" w14:textId="77777777" w:rsidR="00D92AFD" w:rsidRPr="005C10BE" w:rsidRDefault="00D92AFD" w:rsidP="00D92AFD">
      <w:pPr>
        <w:autoSpaceDE w:val="0"/>
        <w:autoSpaceDN w:val="0"/>
        <w:adjustRightInd w:val="0"/>
        <w:spacing w:after="0" w:line="240" w:lineRule="auto"/>
        <w:ind w:firstLine="708"/>
        <w:contextualSpacing/>
        <w:jc w:val="both"/>
        <w:rPr>
          <w:rFonts w:ascii="Verdana" w:eastAsia="Times New Roman" w:hAnsi="Verdana" w:cs="Arial"/>
          <w:sz w:val="16"/>
          <w:szCs w:val="16"/>
          <w:lang w:eastAsia="es-ES_tradnl"/>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6" type="#_x0000_t75" style="width:11.45pt;height:11.45pt;visibility:visible;mso-wrap-style:square" o:bullet="t">
        <v:imagedata r:id="rId1" o:title=""/>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98928FE"/>
    <w:multiLevelType w:val="hybridMultilevel"/>
    <w:tmpl w:val="86F8524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D471CDA"/>
    <w:multiLevelType w:val="hybridMultilevel"/>
    <w:tmpl w:val="FF68D47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E5A21DE"/>
    <w:multiLevelType w:val="multilevel"/>
    <w:tmpl w:val="0A6C4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48779781">
    <w:abstractNumId w:val="7"/>
  </w:num>
  <w:num w:numId="2" w16cid:durableId="19822139">
    <w:abstractNumId w:val="2"/>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5"/>
  </w:num>
  <w:num w:numId="7" w16cid:durableId="1946422806">
    <w:abstractNumId w:val="6"/>
  </w:num>
  <w:num w:numId="8" w16cid:durableId="152644682">
    <w:abstractNumId w:val="13"/>
  </w:num>
  <w:num w:numId="9" w16cid:durableId="1317221377">
    <w:abstractNumId w:val="8"/>
  </w:num>
  <w:num w:numId="10" w16cid:durableId="1471245386">
    <w:abstractNumId w:val="12"/>
  </w:num>
  <w:num w:numId="11" w16cid:durableId="289172385">
    <w:abstractNumId w:val="9"/>
  </w:num>
  <w:num w:numId="12" w16cid:durableId="1470781324">
    <w:abstractNumId w:val="1"/>
  </w:num>
  <w:num w:numId="13" w16cid:durableId="1512908409">
    <w:abstractNumId w:val="3"/>
  </w:num>
  <w:num w:numId="14" w16cid:durableId="895897244">
    <w:abstractNumId w:val="16"/>
  </w:num>
  <w:num w:numId="15" w16cid:durableId="390349800">
    <w:abstractNumId w:val="11"/>
  </w:num>
  <w:num w:numId="16" w16cid:durableId="341274352">
    <w:abstractNumId w:val="0"/>
  </w:num>
  <w:num w:numId="17" w16cid:durableId="1017849859">
    <w:abstractNumId w:val="17"/>
  </w:num>
  <w:num w:numId="18" w16cid:durableId="140847646">
    <w:abstractNumId w:val="10"/>
  </w:num>
  <w:num w:numId="19" w16cid:durableId="671685389">
    <w:abstractNumId w:val="4"/>
  </w:num>
  <w:num w:numId="20" w16cid:durableId="11881069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26E67"/>
    <w:rsid w:val="00046945"/>
    <w:rsid w:val="00061B2A"/>
    <w:rsid w:val="000715F9"/>
    <w:rsid w:val="00071D04"/>
    <w:rsid w:val="00082362"/>
    <w:rsid w:val="00096CB6"/>
    <w:rsid w:val="000A683E"/>
    <w:rsid w:val="000B19B9"/>
    <w:rsid w:val="000C5BB0"/>
    <w:rsid w:val="000D0334"/>
    <w:rsid w:val="000D6575"/>
    <w:rsid w:val="000F6486"/>
    <w:rsid w:val="00125105"/>
    <w:rsid w:val="00127233"/>
    <w:rsid w:val="00131F6C"/>
    <w:rsid w:val="00136DDB"/>
    <w:rsid w:val="001511A0"/>
    <w:rsid w:val="00184FD0"/>
    <w:rsid w:val="001C2B2F"/>
    <w:rsid w:val="001E4177"/>
    <w:rsid w:val="001E4D2C"/>
    <w:rsid w:val="001F3C2F"/>
    <w:rsid w:val="001F7DC6"/>
    <w:rsid w:val="002153FB"/>
    <w:rsid w:val="00236655"/>
    <w:rsid w:val="002421BB"/>
    <w:rsid w:val="00243EB3"/>
    <w:rsid w:val="0025796E"/>
    <w:rsid w:val="00261865"/>
    <w:rsid w:val="002707A2"/>
    <w:rsid w:val="0028627B"/>
    <w:rsid w:val="0029110A"/>
    <w:rsid w:val="002951A0"/>
    <w:rsid w:val="002962BC"/>
    <w:rsid w:val="002A093D"/>
    <w:rsid w:val="002A0DD0"/>
    <w:rsid w:val="002A49AC"/>
    <w:rsid w:val="002A5959"/>
    <w:rsid w:val="002A64FD"/>
    <w:rsid w:val="002C7A84"/>
    <w:rsid w:val="002D7BA3"/>
    <w:rsid w:val="002E4FD9"/>
    <w:rsid w:val="003061D8"/>
    <w:rsid w:val="00322A85"/>
    <w:rsid w:val="00324168"/>
    <w:rsid w:val="003448F4"/>
    <w:rsid w:val="0037185D"/>
    <w:rsid w:val="00374F5E"/>
    <w:rsid w:val="00377E3E"/>
    <w:rsid w:val="00392243"/>
    <w:rsid w:val="003A779E"/>
    <w:rsid w:val="003D0F4D"/>
    <w:rsid w:val="003D5B0D"/>
    <w:rsid w:val="003E0499"/>
    <w:rsid w:val="003E157B"/>
    <w:rsid w:val="003F1356"/>
    <w:rsid w:val="003F3941"/>
    <w:rsid w:val="003F4477"/>
    <w:rsid w:val="00406575"/>
    <w:rsid w:val="0041325A"/>
    <w:rsid w:val="00414C74"/>
    <w:rsid w:val="00420D97"/>
    <w:rsid w:val="0042722E"/>
    <w:rsid w:val="0044528D"/>
    <w:rsid w:val="004A153D"/>
    <w:rsid w:val="004A1847"/>
    <w:rsid w:val="004A305D"/>
    <w:rsid w:val="004B2C42"/>
    <w:rsid w:val="004B4626"/>
    <w:rsid w:val="004B557B"/>
    <w:rsid w:val="004E6EAC"/>
    <w:rsid w:val="004F21C4"/>
    <w:rsid w:val="004F685F"/>
    <w:rsid w:val="00517B15"/>
    <w:rsid w:val="0055236C"/>
    <w:rsid w:val="005566E8"/>
    <w:rsid w:val="00574867"/>
    <w:rsid w:val="00591460"/>
    <w:rsid w:val="00593890"/>
    <w:rsid w:val="005A76EA"/>
    <w:rsid w:val="005B261C"/>
    <w:rsid w:val="005B3816"/>
    <w:rsid w:val="005C3777"/>
    <w:rsid w:val="005C5CDC"/>
    <w:rsid w:val="005D476C"/>
    <w:rsid w:val="005F4E30"/>
    <w:rsid w:val="0060028A"/>
    <w:rsid w:val="00606398"/>
    <w:rsid w:val="00616168"/>
    <w:rsid w:val="006219F8"/>
    <w:rsid w:val="00632FA8"/>
    <w:rsid w:val="00665D70"/>
    <w:rsid w:val="006900D9"/>
    <w:rsid w:val="00692C49"/>
    <w:rsid w:val="006B3F5C"/>
    <w:rsid w:val="006C1950"/>
    <w:rsid w:val="006D0D53"/>
    <w:rsid w:val="00706C16"/>
    <w:rsid w:val="0071184A"/>
    <w:rsid w:val="00713684"/>
    <w:rsid w:val="0071623C"/>
    <w:rsid w:val="007223C5"/>
    <w:rsid w:val="00731199"/>
    <w:rsid w:val="00746725"/>
    <w:rsid w:val="00756841"/>
    <w:rsid w:val="007649AB"/>
    <w:rsid w:val="00771D0C"/>
    <w:rsid w:val="00781AF3"/>
    <w:rsid w:val="007833AC"/>
    <w:rsid w:val="007B268C"/>
    <w:rsid w:val="007B7171"/>
    <w:rsid w:val="007C0C0F"/>
    <w:rsid w:val="007C3DC2"/>
    <w:rsid w:val="007E403E"/>
    <w:rsid w:val="007E5497"/>
    <w:rsid w:val="00806F5F"/>
    <w:rsid w:val="00820278"/>
    <w:rsid w:val="008340AE"/>
    <w:rsid w:val="0084038E"/>
    <w:rsid w:val="0084385E"/>
    <w:rsid w:val="00867F95"/>
    <w:rsid w:val="00870C64"/>
    <w:rsid w:val="008772F9"/>
    <w:rsid w:val="008843B6"/>
    <w:rsid w:val="00891928"/>
    <w:rsid w:val="008A446D"/>
    <w:rsid w:val="008A746E"/>
    <w:rsid w:val="008C0E3B"/>
    <w:rsid w:val="008D180B"/>
    <w:rsid w:val="008D7291"/>
    <w:rsid w:val="008F0EA7"/>
    <w:rsid w:val="008F33B0"/>
    <w:rsid w:val="00923EEF"/>
    <w:rsid w:val="009413B7"/>
    <w:rsid w:val="009419F9"/>
    <w:rsid w:val="00946693"/>
    <w:rsid w:val="0095685E"/>
    <w:rsid w:val="00956B73"/>
    <w:rsid w:val="00961B09"/>
    <w:rsid w:val="00965334"/>
    <w:rsid w:val="0097093E"/>
    <w:rsid w:val="009826BF"/>
    <w:rsid w:val="00984D71"/>
    <w:rsid w:val="00985FAD"/>
    <w:rsid w:val="00986AC5"/>
    <w:rsid w:val="0099297C"/>
    <w:rsid w:val="009A0DFA"/>
    <w:rsid w:val="009B2D26"/>
    <w:rsid w:val="009C71FA"/>
    <w:rsid w:val="009C72E7"/>
    <w:rsid w:val="009D3058"/>
    <w:rsid w:val="009E3429"/>
    <w:rsid w:val="009E51D5"/>
    <w:rsid w:val="009E7E8C"/>
    <w:rsid w:val="009F3A13"/>
    <w:rsid w:val="00A122D3"/>
    <w:rsid w:val="00A17F13"/>
    <w:rsid w:val="00A20739"/>
    <w:rsid w:val="00A33C78"/>
    <w:rsid w:val="00A7517A"/>
    <w:rsid w:val="00AB0ADB"/>
    <w:rsid w:val="00AB493F"/>
    <w:rsid w:val="00AB5151"/>
    <w:rsid w:val="00AB6153"/>
    <w:rsid w:val="00AB717F"/>
    <w:rsid w:val="00AD374D"/>
    <w:rsid w:val="00AD4293"/>
    <w:rsid w:val="00AF71F4"/>
    <w:rsid w:val="00B0078D"/>
    <w:rsid w:val="00B01B1A"/>
    <w:rsid w:val="00B04D1C"/>
    <w:rsid w:val="00B07844"/>
    <w:rsid w:val="00B108F3"/>
    <w:rsid w:val="00B14DA5"/>
    <w:rsid w:val="00B2184C"/>
    <w:rsid w:val="00B30302"/>
    <w:rsid w:val="00B532AE"/>
    <w:rsid w:val="00B66319"/>
    <w:rsid w:val="00B70819"/>
    <w:rsid w:val="00B72CD3"/>
    <w:rsid w:val="00B72FFF"/>
    <w:rsid w:val="00B80F4F"/>
    <w:rsid w:val="00BC3D36"/>
    <w:rsid w:val="00BD7F72"/>
    <w:rsid w:val="00BF508A"/>
    <w:rsid w:val="00C04FB3"/>
    <w:rsid w:val="00C142DA"/>
    <w:rsid w:val="00C14446"/>
    <w:rsid w:val="00C32DF4"/>
    <w:rsid w:val="00C330EB"/>
    <w:rsid w:val="00C41061"/>
    <w:rsid w:val="00C562D4"/>
    <w:rsid w:val="00C754BE"/>
    <w:rsid w:val="00C76123"/>
    <w:rsid w:val="00C76B1C"/>
    <w:rsid w:val="00CB6357"/>
    <w:rsid w:val="00CC1B26"/>
    <w:rsid w:val="00D211A0"/>
    <w:rsid w:val="00D423A2"/>
    <w:rsid w:val="00D520D8"/>
    <w:rsid w:val="00D63AC2"/>
    <w:rsid w:val="00D7383B"/>
    <w:rsid w:val="00D85FC2"/>
    <w:rsid w:val="00D92AFD"/>
    <w:rsid w:val="00D9402A"/>
    <w:rsid w:val="00D968D1"/>
    <w:rsid w:val="00DA231B"/>
    <w:rsid w:val="00DA4396"/>
    <w:rsid w:val="00DC2265"/>
    <w:rsid w:val="00DC39FC"/>
    <w:rsid w:val="00DE2467"/>
    <w:rsid w:val="00DF5254"/>
    <w:rsid w:val="00E103CF"/>
    <w:rsid w:val="00E16408"/>
    <w:rsid w:val="00E20894"/>
    <w:rsid w:val="00E245AB"/>
    <w:rsid w:val="00E2764C"/>
    <w:rsid w:val="00E27F2E"/>
    <w:rsid w:val="00E31648"/>
    <w:rsid w:val="00E50AFE"/>
    <w:rsid w:val="00E51404"/>
    <w:rsid w:val="00E6227E"/>
    <w:rsid w:val="00E626B5"/>
    <w:rsid w:val="00E7385A"/>
    <w:rsid w:val="00E75C92"/>
    <w:rsid w:val="00E771DC"/>
    <w:rsid w:val="00E8772A"/>
    <w:rsid w:val="00E90F6B"/>
    <w:rsid w:val="00E92C27"/>
    <w:rsid w:val="00EA0E3D"/>
    <w:rsid w:val="00EA6460"/>
    <w:rsid w:val="00EC38A7"/>
    <w:rsid w:val="00ED3D0B"/>
    <w:rsid w:val="00ED7384"/>
    <w:rsid w:val="00EE1AA8"/>
    <w:rsid w:val="00EF48BA"/>
    <w:rsid w:val="00F04DA2"/>
    <w:rsid w:val="00F136D9"/>
    <w:rsid w:val="00F16374"/>
    <w:rsid w:val="00F31EDC"/>
    <w:rsid w:val="00F32244"/>
    <w:rsid w:val="00F462B3"/>
    <w:rsid w:val="00F5664F"/>
    <w:rsid w:val="00F65B8A"/>
    <w:rsid w:val="00F666C4"/>
    <w:rsid w:val="00F76AFC"/>
    <w:rsid w:val="00F83081"/>
    <w:rsid w:val="00F943E6"/>
    <w:rsid w:val="00FA47C0"/>
    <w:rsid w:val="00FB2223"/>
    <w:rsid w:val="00FB5DD1"/>
    <w:rsid w:val="00FC056B"/>
    <w:rsid w:val="00FC2B5D"/>
    <w:rsid w:val="00FE001E"/>
    <w:rsid w:val="00FF1449"/>
    <w:rsid w:val="3D38C690"/>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5B261C"/>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5B261C"/>
    <w:rPr>
      <w:rFonts w:ascii="Geomanist Light" w:hAnsi="Geomanist Light"/>
      <w:lang w:val="es-ES"/>
    </w:rPr>
  </w:style>
  <w:style w:type="character" w:customStyle="1" w:styleId="baj">
    <w:name w:val="b_aj"/>
    <w:basedOn w:val="Fuentedeprrafopredeter"/>
    <w:rsid w:val="005B261C"/>
  </w:style>
  <w:style w:type="character" w:styleId="Refdecomentario">
    <w:name w:val="annotation reference"/>
    <w:basedOn w:val="Fuentedeprrafopredeter"/>
    <w:uiPriority w:val="99"/>
    <w:semiHidden/>
    <w:unhideWhenUsed/>
    <w:rsid w:val="0060028A"/>
    <w:rPr>
      <w:sz w:val="16"/>
      <w:szCs w:val="16"/>
    </w:rPr>
  </w:style>
  <w:style w:type="paragraph" w:styleId="Textocomentario">
    <w:name w:val="annotation text"/>
    <w:basedOn w:val="Normal"/>
    <w:link w:val="TextocomentarioCar"/>
    <w:uiPriority w:val="99"/>
    <w:unhideWhenUsed/>
    <w:rsid w:val="0060028A"/>
    <w:pPr>
      <w:spacing w:line="240" w:lineRule="auto"/>
    </w:pPr>
    <w:rPr>
      <w:sz w:val="20"/>
      <w:szCs w:val="20"/>
    </w:rPr>
  </w:style>
  <w:style w:type="character" w:customStyle="1" w:styleId="TextocomentarioCar">
    <w:name w:val="Texto comentario Car"/>
    <w:basedOn w:val="Fuentedeprrafopredeter"/>
    <w:link w:val="Textocomentario"/>
    <w:uiPriority w:val="99"/>
    <w:rsid w:val="0060028A"/>
    <w:rPr>
      <w:sz w:val="20"/>
      <w:szCs w:val="20"/>
    </w:rPr>
  </w:style>
  <w:style w:type="paragraph" w:styleId="Asuntodelcomentario">
    <w:name w:val="annotation subject"/>
    <w:basedOn w:val="Textocomentario"/>
    <w:next w:val="Textocomentario"/>
    <w:link w:val="AsuntodelcomentarioCar"/>
    <w:uiPriority w:val="99"/>
    <w:semiHidden/>
    <w:unhideWhenUsed/>
    <w:rsid w:val="0060028A"/>
    <w:rPr>
      <w:b/>
      <w:bCs/>
    </w:rPr>
  </w:style>
  <w:style w:type="character" w:customStyle="1" w:styleId="AsuntodelcomentarioCar">
    <w:name w:val="Asunto del comentario Car"/>
    <w:basedOn w:val="TextocomentarioCar"/>
    <w:link w:val="Asuntodelcomentario"/>
    <w:uiPriority w:val="99"/>
    <w:semiHidden/>
    <w:rsid w:val="0060028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2993300">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672371003">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secretariasenado.gov.co/senado/basedoc/ley_0080_1993.html"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mairalejandralc@gmail.com" TargetMode="External"/><Relationship Id="rId17" Type="http://schemas.openxmlformats.org/officeDocument/2006/relationships/image" Target="media/image3.jpeg"/><Relationship Id="rId2" Type="http://schemas.openxmlformats.org/officeDocument/2006/relationships/customXml" Target="../customXml/item2.xml"/><Relationship Id="rId16" Type="http://schemas.openxmlformats.org/officeDocument/2006/relationships/hyperlink" Target="https://relatoria.colombiacompra.gov.co/busqueda/conceptos"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yperlink" Target="chrome-extension://efaidnbmnnnibpcajpcglclefindmkaj/https:/colombiacompra.gov.co/sites/cce_public/files/cce_circulares/doc-20240823-wa0021.pdf"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chrome-extension://efaidnbmnnnibpcajpcglclefindmkaj/https:/www.colombiacompra.gov.co/sites/cce_public/files/cce_circulares/circular_externa_unica_version_3_vf49.pdf"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colombiacompra.gov.co/sites/cce_public/files/cce_circulares/doc-20240823-wa0021.pdf" TargetMode="External"/><Relationship Id="rId1" Type="http://schemas.openxmlformats.org/officeDocument/2006/relationships/hyperlink" Target="https://operaciones.colombiacompra.gov.co/sites/cce_public/files/cce_circulares/doc-20240823-wa0021.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563816eff7b27c518f4452e301140c9d">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eb2d2e0593e1272b3512cc9bb12824ba"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E7AC9E9E-64A4-4638-BD23-E9BB0BD2A01E}">
  <ds:schemaRefs>
    <ds:schemaRef ds:uri="http://schemas.openxmlformats.org/officeDocument/2006/bibliography"/>
  </ds:schemaRefs>
</ds:datastoreItem>
</file>

<file path=customXml/itemProps4.xml><?xml version="1.0" encoding="utf-8"?>
<ds:datastoreItem xmlns:ds="http://schemas.openxmlformats.org/officeDocument/2006/customXml" ds:itemID="{DD8298D2-A975-4E34-A4F2-55CFDB373DED}"/>
</file>

<file path=docProps/app.xml><?xml version="1.0" encoding="utf-8"?>
<Properties xmlns="http://schemas.openxmlformats.org/officeDocument/2006/extended-properties" xmlns:vt="http://schemas.openxmlformats.org/officeDocument/2006/docPropsVTypes">
  <Template>Normal.dotm</Template>
  <TotalTime>1</TotalTime>
  <Pages>13</Pages>
  <Words>3611</Words>
  <Characters>20477</Characters>
  <Application>Microsoft Office Word</Application>
  <DocSecurity>0</DocSecurity>
  <Lines>1023</Lines>
  <Paragraphs>394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Daniel Rojas</cp:lastModifiedBy>
  <cp:revision>2</cp:revision>
  <cp:lastPrinted>2023-01-10T21:18:00Z</cp:lastPrinted>
  <dcterms:created xsi:type="dcterms:W3CDTF">2026-01-08T02:36:00Z</dcterms:created>
  <dcterms:modified xsi:type="dcterms:W3CDTF">2026-01-08T02:36:00Z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