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44528D" w:rsidR="00B7412F" w:rsidP="00B7412F" w:rsidRDefault="00B7412F" w14:paraId="40C2A7D8" w14:textId="77777777">
      <w:pPr>
        <w:spacing w:after="0"/>
        <w:rPr>
          <w:rFonts w:ascii="Verdana" w:hAnsi="Verdana"/>
        </w:rPr>
      </w:pPr>
      <w:bookmarkStart w:name="_Hlk143780582" w:id="0"/>
    </w:p>
    <w:p w:rsidRPr="00881D8B" w:rsidR="00B7412F" w:rsidP="00B7412F" w:rsidRDefault="00B7412F" w14:paraId="06ADE33D" w14:textId="77777777">
      <w:pPr>
        <w:spacing w:line="276" w:lineRule="auto"/>
        <w:contextualSpacing/>
        <w:jc w:val="both"/>
        <w:rPr>
          <w:rFonts w:ascii="Verdana" w:hAnsi="Verdana" w:eastAsia="Yu Gothic UI Semibold" w:cs="Arial"/>
          <w:b/>
          <w:bCs/>
          <w:color w:val="000000" w:themeColor="text1"/>
          <w:lang w:val="es-MX"/>
        </w:rPr>
      </w:pPr>
      <w:r w:rsidRPr="00881D8B">
        <w:rPr>
          <w:rFonts w:ascii="Verdana" w:hAnsi="Verdana" w:eastAsia="Yu Gothic UI Semibold" w:cs="Arial"/>
          <w:b/>
          <w:bCs/>
          <w:color w:val="000000" w:themeColor="text1"/>
          <w:lang w:val="es-MX"/>
        </w:rPr>
        <w:t>CONTRATOS DE PRESTACIÓN DE SERVICIOS – Generalidades</w:t>
      </w:r>
    </w:p>
    <w:p w:rsidRPr="00881D8B" w:rsidR="00B7412F" w:rsidP="00B7412F" w:rsidRDefault="00B7412F" w14:paraId="57F33F80" w14:textId="77777777">
      <w:pPr>
        <w:spacing w:line="276" w:lineRule="auto"/>
        <w:contextualSpacing/>
        <w:jc w:val="both"/>
        <w:rPr>
          <w:rFonts w:ascii="Verdana" w:hAnsi="Verdana" w:cs="Arial"/>
          <w:color w:val="000000" w:themeColor="text1"/>
          <w:sz w:val="20"/>
          <w:szCs w:val="20"/>
          <w:lang w:val="es-MX"/>
        </w:rPr>
      </w:pPr>
    </w:p>
    <w:p w:rsidRPr="00881D8B" w:rsidR="00B7412F" w:rsidP="00B7412F" w:rsidRDefault="00B7412F" w14:paraId="29D7EF03" w14:textId="77777777">
      <w:pPr>
        <w:spacing w:line="276" w:lineRule="auto"/>
        <w:contextualSpacing/>
        <w:jc w:val="both"/>
        <w:rPr>
          <w:rFonts w:ascii="Verdana" w:hAnsi="Verdana" w:eastAsia="Yu Gothic UI Semibold" w:cs="Arial"/>
          <w:b/>
          <w:bCs/>
          <w:color w:val="000000" w:themeColor="text1"/>
          <w:sz w:val="20"/>
          <w:szCs w:val="20"/>
          <w:lang w:val="es-MX"/>
        </w:rPr>
      </w:pPr>
      <w:r w:rsidRPr="00881D8B">
        <w:rPr>
          <w:rFonts w:ascii="Verdana" w:hAnsi="Verdana"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881D8B">
        <w:rPr>
          <w:rFonts w:ascii="Verdana" w:hAnsi="Verdana" w:eastAsia="Calibri" w:cs="Arial"/>
          <w:color w:val="000000" w:themeColor="text1"/>
          <w:sz w:val="20"/>
          <w:szCs w:val="20"/>
          <w:lang w:val="es-ES_tradnl"/>
        </w:rPr>
        <w:t xml:space="preserve"> La celebración de dicho contrato debe efectuarse a través de la modalidad de contratación directa.</w:t>
      </w:r>
    </w:p>
    <w:p w:rsidRPr="00881D8B" w:rsidR="00B7412F" w:rsidP="00B7412F" w:rsidRDefault="00B7412F" w14:paraId="5BF913F0" w14:textId="77777777">
      <w:pPr>
        <w:spacing w:after="0" w:line="276" w:lineRule="auto"/>
        <w:jc w:val="both"/>
        <w:rPr>
          <w:rFonts w:ascii="Verdana" w:hAnsi="Verdana" w:eastAsia="Calibri" w:cs="Arial"/>
          <w:lang w:val="es-MX" w:eastAsia="es-ES"/>
        </w:rPr>
      </w:pPr>
    </w:p>
    <w:p w:rsidRPr="00881D8B" w:rsidR="00B7412F" w:rsidP="00B7412F" w:rsidRDefault="00B7412F" w14:paraId="7D7ED3D2" w14:textId="77777777">
      <w:pPr>
        <w:spacing w:line="276" w:lineRule="auto"/>
        <w:contextualSpacing/>
        <w:jc w:val="both"/>
        <w:rPr>
          <w:rFonts w:ascii="Verdana" w:hAnsi="Verdana" w:eastAsia="Yu Gothic UI Semibold" w:cs="Arial"/>
          <w:b/>
          <w:bCs/>
          <w:color w:val="000000" w:themeColor="text1"/>
          <w:lang w:val="es-MX"/>
        </w:rPr>
      </w:pPr>
      <w:r w:rsidRPr="00881D8B">
        <w:rPr>
          <w:rFonts w:ascii="Verdana" w:hAnsi="Verdana" w:eastAsia="Yu Gothic UI Semibold" w:cs="Arial"/>
          <w:b/>
          <w:bCs/>
          <w:color w:val="000000" w:themeColor="text1"/>
          <w:lang w:val="es-MX"/>
        </w:rPr>
        <w:t xml:space="preserve">CONTRATOS DE PRESTACIÓN DE SERVICIOS – Temporalidad </w:t>
      </w:r>
    </w:p>
    <w:p w:rsidRPr="00881D8B" w:rsidR="00B7412F" w:rsidP="00B7412F" w:rsidRDefault="00B7412F" w14:paraId="0591263D" w14:textId="77777777">
      <w:pPr>
        <w:spacing w:line="276" w:lineRule="auto"/>
        <w:contextualSpacing/>
        <w:jc w:val="both"/>
        <w:rPr>
          <w:rFonts w:ascii="Verdana" w:hAnsi="Verdana" w:cs="Arial"/>
          <w:noProof/>
          <w:sz w:val="20"/>
          <w:szCs w:val="20"/>
          <w:lang w:val="es-ES_tradnl"/>
        </w:rPr>
      </w:pPr>
    </w:p>
    <w:p w:rsidRPr="00881D8B" w:rsidR="00B7412F" w:rsidP="00B7412F" w:rsidRDefault="00B7412F" w14:paraId="2C74AAE2" w14:textId="77777777">
      <w:pPr>
        <w:spacing w:line="276" w:lineRule="auto"/>
        <w:contextualSpacing/>
        <w:jc w:val="both"/>
        <w:rPr>
          <w:rFonts w:ascii="Verdana" w:hAnsi="Verdana" w:cs="Arial"/>
          <w:noProof/>
          <w:sz w:val="20"/>
          <w:szCs w:val="20"/>
          <w:lang w:val="es-ES_tradnl"/>
        </w:rPr>
      </w:pPr>
      <w:r w:rsidRPr="00881D8B">
        <w:rPr>
          <w:rFonts w:ascii="Verdana" w:hAnsi="Verdana" w:cs="Arial"/>
          <w:noProof/>
          <w:sz w:val="20"/>
          <w:szCs w:val="20"/>
          <w:lang w:val="es-ES_tradnl"/>
        </w:rPr>
        <w:t>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rsidRPr="00881D8B" w:rsidR="00B7412F" w:rsidP="00B7412F" w:rsidRDefault="00B7412F" w14:paraId="12CC66D6" w14:textId="77777777">
      <w:pPr>
        <w:spacing w:line="276" w:lineRule="auto"/>
        <w:contextualSpacing/>
        <w:jc w:val="both"/>
        <w:rPr>
          <w:rFonts w:ascii="Verdana" w:hAnsi="Verdana" w:eastAsia="Yu Gothic UI Semibold" w:cs="Arial"/>
          <w:b/>
          <w:bCs/>
          <w:color w:val="000000" w:themeColor="text1"/>
          <w:sz w:val="20"/>
          <w:szCs w:val="20"/>
          <w:lang w:val="es-MX"/>
        </w:rPr>
      </w:pPr>
    </w:p>
    <w:p w:rsidRPr="00881D8B" w:rsidR="00B7412F" w:rsidP="00B7412F" w:rsidRDefault="00B7412F" w14:paraId="4691E533" w14:textId="77777777">
      <w:pPr>
        <w:spacing w:line="276" w:lineRule="auto"/>
        <w:contextualSpacing/>
        <w:jc w:val="both"/>
        <w:rPr>
          <w:rFonts w:ascii="Verdana" w:hAnsi="Verdana" w:eastAsia="Yu Gothic UI Semibold" w:cs="Arial"/>
          <w:b/>
          <w:bCs/>
          <w:color w:val="000000" w:themeColor="text1"/>
          <w:lang w:val="es-MX"/>
        </w:rPr>
      </w:pPr>
      <w:r w:rsidRPr="00881D8B">
        <w:rPr>
          <w:rFonts w:ascii="Verdana" w:hAnsi="Verdana" w:eastAsia="Yu Gothic UI Semibold" w:cs="Arial"/>
          <w:b/>
          <w:bCs/>
          <w:color w:val="000000" w:themeColor="text1"/>
          <w:lang w:val="es-MX"/>
        </w:rPr>
        <w:t xml:space="preserve">CONTRATOS DE PRESTACIÓN DE SERVICIOS – Renovación </w:t>
      </w:r>
    </w:p>
    <w:p w:rsidRPr="00881D8B" w:rsidR="00B7412F" w:rsidP="00B7412F" w:rsidRDefault="00B7412F" w14:paraId="6612BDFA" w14:textId="77777777">
      <w:pPr>
        <w:spacing w:line="276" w:lineRule="auto"/>
        <w:contextualSpacing/>
        <w:jc w:val="both"/>
        <w:rPr>
          <w:rFonts w:ascii="Verdana" w:hAnsi="Verdana" w:eastAsia="Yu Gothic UI Semibold" w:cs="Arial"/>
          <w:sz w:val="20"/>
          <w:szCs w:val="20"/>
          <w:shd w:val="clear" w:color="auto" w:fill="FFFFFF"/>
          <w:lang w:val="es-ES_tradnl"/>
        </w:rPr>
      </w:pPr>
    </w:p>
    <w:p w:rsidRPr="00881D8B" w:rsidR="00B7412F" w:rsidP="00B7412F" w:rsidRDefault="00B7412F" w14:paraId="780F0199" w14:textId="77777777">
      <w:pPr>
        <w:tabs>
          <w:tab w:val="left" w:pos="709"/>
        </w:tabs>
        <w:spacing w:line="276" w:lineRule="auto"/>
        <w:contextualSpacing/>
        <w:jc w:val="both"/>
        <w:rPr>
          <w:rFonts w:ascii="Verdana" w:hAnsi="Verdana" w:eastAsia="Arial" w:cs="Arial"/>
          <w:sz w:val="20"/>
          <w:szCs w:val="20"/>
          <w:lang w:val="es-ES"/>
        </w:rPr>
      </w:pPr>
      <w:r w:rsidRPr="00881D8B">
        <w:rPr>
          <w:rFonts w:ascii="Verdana" w:hAnsi="Verdana" w:eastAsia="Arial" w:cs="Arial"/>
          <w:sz w:val="20"/>
          <w:szCs w:val="20"/>
          <w:lang w:val="es-ES"/>
        </w:rPr>
        <w:t>Con base en lo anterior, puede colegirse que la renovación de los contratos estatales se entiende como la suscripción de uno nuevo con características similares al anterior, con un mismo objeto, pero bajo condiciones diferentes atinentes a su valor y plazo.</w:t>
      </w:r>
    </w:p>
    <w:p w:rsidRPr="00881D8B" w:rsidR="00B7412F" w:rsidP="00B7412F" w:rsidRDefault="00B7412F" w14:paraId="72BD4C5B" w14:textId="77777777">
      <w:pPr>
        <w:spacing w:after="0" w:line="276" w:lineRule="auto"/>
        <w:jc w:val="both"/>
        <w:rPr>
          <w:rFonts w:ascii="Verdana" w:hAnsi="Verdana" w:eastAsia="Calibri" w:cs="Arial"/>
          <w:lang w:val="es-ES" w:eastAsia="es-ES"/>
        </w:rPr>
      </w:pPr>
    </w:p>
    <w:p w:rsidRPr="00881D8B" w:rsidR="00B7412F" w:rsidP="00B7412F" w:rsidRDefault="00B7412F" w14:paraId="63272FF9" w14:textId="77777777">
      <w:pPr>
        <w:spacing w:after="0" w:line="276" w:lineRule="auto"/>
        <w:jc w:val="both"/>
        <w:rPr>
          <w:rFonts w:ascii="Verdana" w:hAnsi="Verdana" w:eastAsia="Calibri" w:cs="Arial"/>
          <w:lang w:val="es-ES" w:eastAsia="es-ES"/>
        </w:rPr>
      </w:pPr>
    </w:p>
    <w:p w:rsidRPr="00881D8B" w:rsidR="00B7412F" w:rsidP="00B7412F" w:rsidRDefault="00B7412F" w14:paraId="71685977" w14:textId="77777777">
      <w:pPr>
        <w:spacing w:after="0" w:line="276" w:lineRule="auto"/>
        <w:jc w:val="both"/>
        <w:rPr>
          <w:rFonts w:ascii="Verdana" w:hAnsi="Verdana" w:eastAsia="Calibri" w:cs="Arial"/>
          <w:lang w:val="es-ES" w:eastAsia="es-ES"/>
        </w:rPr>
      </w:pPr>
    </w:p>
    <w:p w:rsidRPr="00881D8B" w:rsidR="00B7412F" w:rsidP="00B7412F" w:rsidRDefault="00B7412F" w14:paraId="4B3D2DA8" w14:textId="77777777">
      <w:pPr>
        <w:spacing w:after="0" w:line="276" w:lineRule="auto"/>
        <w:jc w:val="both"/>
        <w:rPr>
          <w:rFonts w:ascii="Verdana" w:hAnsi="Verdana" w:eastAsia="Calibri" w:cs="Arial"/>
          <w:lang w:val="es-ES" w:eastAsia="es-ES"/>
        </w:rPr>
      </w:pPr>
    </w:p>
    <w:p w:rsidRPr="00881D8B" w:rsidR="00B7412F" w:rsidP="00B7412F" w:rsidRDefault="00B7412F" w14:paraId="050D5097" w14:textId="77777777">
      <w:pPr>
        <w:spacing w:after="0" w:line="276" w:lineRule="auto"/>
        <w:jc w:val="both"/>
        <w:rPr>
          <w:rFonts w:ascii="Verdana" w:hAnsi="Verdana" w:eastAsia="Calibri" w:cs="Arial"/>
          <w:lang w:val="es-ES" w:eastAsia="es-ES"/>
        </w:rPr>
      </w:pPr>
    </w:p>
    <w:p w:rsidR="00B7412F" w:rsidP="00B7412F" w:rsidRDefault="00B7412F" w14:paraId="6AD95A10" w14:textId="77777777">
      <w:pPr>
        <w:spacing w:after="0" w:line="276" w:lineRule="auto"/>
        <w:jc w:val="both"/>
        <w:rPr>
          <w:rFonts w:ascii="Verdana" w:hAnsi="Verdana" w:eastAsia="Calibri" w:cs="Arial"/>
          <w:lang w:val="es-ES" w:eastAsia="es-ES"/>
        </w:rPr>
      </w:pPr>
    </w:p>
    <w:p w:rsidRPr="00881D8B" w:rsidR="00B7412F" w:rsidP="00B7412F" w:rsidRDefault="00B7412F" w14:paraId="2F611445" w14:textId="77777777">
      <w:pPr>
        <w:spacing w:after="0" w:line="276" w:lineRule="auto"/>
        <w:jc w:val="both"/>
        <w:rPr>
          <w:rFonts w:ascii="Verdana" w:hAnsi="Verdana" w:eastAsia="Calibri" w:cs="Arial"/>
          <w:lang w:val="es-ES" w:eastAsia="es-ES"/>
        </w:rPr>
      </w:pPr>
    </w:p>
    <w:p w:rsidR="00B7412F" w:rsidP="00B7412F" w:rsidRDefault="00B7412F" w14:paraId="1183F10B" w14:textId="2AF77321">
      <w:pPr>
        <w:spacing w:after="0"/>
        <w:rPr>
          <w:rFonts w:ascii="Verdana" w:hAnsi="Verdana"/>
        </w:rPr>
      </w:pPr>
      <w:r w:rsidRPr="0044528D">
        <w:rPr>
          <w:rFonts w:ascii="Verdana" w:hAnsi="Verdana"/>
        </w:rPr>
        <w:t xml:space="preserve">Bogotá D.C., </w:t>
      </w:r>
      <w:r>
        <w:rPr>
          <w:rFonts w:ascii="Verdana" w:hAnsi="Verdana"/>
        </w:rPr>
        <w:t xml:space="preserve">22 de julio de 2024 </w:t>
      </w:r>
      <w:r w:rsidRPr="0044528D">
        <w:rPr>
          <w:rFonts w:ascii="Verdana" w:hAnsi="Verdana"/>
        </w:rPr>
        <w:tab/>
      </w:r>
    </w:p>
    <w:p w:rsidR="00660EB5" w:rsidP="00B7412F" w:rsidRDefault="00660EB5" w14:paraId="4B7F852B" w14:textId="77777777">
      <w:pPr>
        <w:spacing w:after="0"/>
        <w:rPr>
          <w:rFonts w:ascii="Verdana" w:hAnsi="Verdana"/>
        </w:rPr>
      </w:pPr>
    </w:p>
    <w:p w:rsidRPr="0044528D" w:rsidR="00660EB5" w:rsidP="00B7412F" w:rsidRDefault="00660EB5" w14:paraId="740C3E20" w14:textId="77777777">
      <w:pPr>
        <w:spacing w:after="0"/>
        <w:rPr>
          <w:rFonts w:ascii="Verdana" w:hAnsi="Verdana"/>
        </w:rPr>
      </w:pPr>
    </w:p>
    <w:p w:rsidRPr="00B7412F" w:rsidR="00B7412F" w:rsidP="00660EB5" w:rsidRDefault="00660EB5" w14:paraId="3A5369AB" w14:textId="1B29DA33">
      <w:pPr>
        <w:tabs>
          <w:tab w:val="left" w:pos="2078"/>
        </w:tabs>
        <w:spacing w:after="0" w:line="276" w:lineRule="auto"/>
        <w:jc w:val="both"/>
        <w:rPr>
          <w:rFonts w:ascii="Verdana" w:hAnsi="Verdana" w:eastAsia="Calibri" w:cs="Arial"/>
          <w:lang w:eastAsia="es-ES"/>
        </w:rPr>
      </w:pPr>
      <w:r>
        <w:rPr>
          <w:rFonts w:ascii="Verdana" w:hAnsi="Verdana" w:eastAsia="Calibri" w:cs="Arial"/>
          <w:lang w:eastAsia="es-ES"/>
        </w:rPr>
        <w:tab/>
      </w:r>
      <w:r w:rsidRPr="00660EB5">
        <w:rPr>
          <w:rFonts w:ascii="Verdana" w:hAnsi="Verdana" w:eastAsia="Calibri" w:cs="Arial"/>
          <w:lang w:eastAsia="es-ES"/>
        </w:rPr>
        <w:drawing>
          <wp:inline distT="0" distB="0" distL="0" distR="0" wp14:anchorId="2FA49997" wp14:editId="4E95EA11">
            <wp:extent cx="4220164" cy="1171739"/>
            <wp:effectExtent l="0" t="0" r="0" b="9525"/>
            <wp:docPr id="122206068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060683" name="Imagen 1" descr="Texto&#10;&#10;Descripción generada automáticamente"/>
                    <pic:cNvPicPr/>
                  </pic:nvPicPr>
                  <pic:blipFill>
                    <a:blip r:embed="rId11"/>
                    <a:stretch>
                      <a:fillRect/>
                    </a:stretch>
                  </pic:blipFill>
                  <pic:spPr>
                    <a:xfrm>
                      <a:off x="0" y="0"/>
                      <a:ext cx="4220164" cy="1171739"/>
                    </a:xfrm>
                    <a:prstGeom prst="rect">
                      <a:avLst/>
                    </a:prstGeom>
                  </pic:spPr>
                </pic:pic>
              </a:graphicData>
            </a:graphic>
          </wp:inline>
        </w:drawing>
      </w:r>
    </w:p>
    <w:p w:rsidR="00B7412F" w:rsidP="00B7412F" w:rsidRDefault="00B7412F" w14:paraId="2D098D5A" w14:textId="77777777">
      <w:pPr>
        <w:spacing w:after="0" w:line="276" w:lineRule="auto"/>
        <w:jc w:val="both"/>
        <w:rPr>
          <w:rFonts w:ascii="Verdana" w:hAnsi="Verdana" w:eastAsia="Calibri" w:cs="Arial"/>
          <w:lang w:val="es-ES" w:eastAsia="es-ES"/>
        </w:rPr>
      </w:pPr>
    </w:p>
    <w:p w:rsidR="00B7412F" w:rsidP="00B7412F" w:rsidRDefault="00B7412F" w14:paraId="6280936E" w14:textId="77777777">
      <w:pPr>
        <w:spacing w:after="0" w:line="276" w:lineRule="auto"/>
        <w:jc w:val="both"/>
        <w:rPr>
          <w:rFonts w:ascii="Verdana" w:hAnsi="Verdana" w:eastAsia="Calibri" w:cs="Arial"/>
          <w:lang w:val="es-ES" w:eastAsia="es-ES"/>
        </w:rPr>
      </w:pPr>
    </w:p>
    <w:p w:rsidRPr="00881D8B" w:rsidR="00B7412F" w:rsidP="00B7412F" w:rsidRDefault="00B7412F" w14:paraId="79A4C5B7" w14:textId="77777777">
      <w:pPr>
        <w:spacing w:after="0" w:line="276" w:lineRule="auto"/>
        <w:jc w:val="both"/>
        <w:rPr>
          <w:rFonts w:ascii="Verdana" w:hAnsi="Verdana" w:eastAsia="Calibri" w:cs="Arial"/>
          <w:lang w:val="es-ES" w:eastAsia="es-ES"/>
        </w:rPr>
      </w:pPr>
      <w:r w:rsidRPr="00881D8B">
        <w:rPr>
          <w:rFonts w:ascii="Verdana" w:hAnsi="Verdana" w:eastAsia="Calibri" w:cs="Arial"/>
          <w:lang w:val="es-ES" w:eastAsia="es-ES"/>
        </w:rPr>
        <w:t>Señor</w:t>
      </w:r>
    </w:p>
    <w:p w:rsidRPr="00881D8B" w:rsidR="00B7412F" w:rsidP="00B7412F" w:rsidRDefault="00B7412F" w14:paraId="4141E6C1" w14:textId="77777777">
      <w:pPr>
        <w:spacing w:after="0" w:line="276" w:lineRule="auto"/>
        <w:rPr>
          <w:rFonts w:ascii="Verdana" w:hAnsi="Verdana" w:eastAsia="Calibri" w:cs="Arial"/>
          <w:b/>
          <w:lang w:val="es-ES" w:eastAsia="es-ES"/>
        </w:rPr>
      </w:pPr>
      <w:r w:rsidRPr="7FEF9B5E">
        <w:rPr>
          <w:rFonts w:ascii="Verdana" w:hAnsi="Verdana" w:eastAsia="Calibri" w:cs="Arial"/>
          <w:b/>
          <w:lang w:val="es-ES" w:eastAsia="es-ES"/>
        </w:rPr>
        <w:t xml:space="preserve">Jhoyner Vergara Jaimes </w:t>
      </w:r>
    </w:p>
    <w:p w:rsidRPr="00881D8B" w:rsidR="00B7412F" w:rsidP="00B7412F" w:rsidRDefault="00B7412F" w14:paraId="183E5BE6" w14:textId="77777777">
      <w:pPr>
        <w:spacing w:after="0" w:line="276" w:lineRule="auto"/>
        <w:rPr>
          <w:rFonts w:ascii="Verdana" w:hAnsi="Verdana" w:eastAsia="Calibri" w:cs="Arial"/>
          <w:bCs/>
          <w:lang w:val="es-ES_tradnl" w:eastAsia="es-ES_tradnl"/>
        </w:rPr>
      </w:pPr>
      <w:r w:rsidRPr="00881D8B">
        <w:rPr>
          <w:rFonts w:ascii="Verdana" w:hAnsi="Verdana" w:eastAsia="Calibri" w:cs="Arial"/>
          <w:bCs/>
          <w:lang w:val="es-ES_tradnl" w:eastAsia="es-ES_tradnl"/>
        </w:rPr>
        <w:t>cerlafsas@gmail.com</w:t>
      </w:r>
    </w:p>
    <w:p w:rsidRPr="00881D8B" w:rsidR="00B7412F" w:rsidP="00B7412F" w:rsidRDefault="00B7412F" w14:paraId="2B583B9B" w14:textId="77777777">
      <w:pPr>
        <w:spacing w:after="0" w:line="276" w:lineRule="auto"/>
        <w:rPr>
          <w:rFonts w:ascii="Verdana" w:hAnsi="Verdana" w:eastAsia="Calibri" w:cs="Arial"/>
          <w:b/>
          <w:bCs/>
          <w:lang w:val="es-ES" w:eastAsia="es-ES"/>
        </w:rPr>
      </w:pPr>
      <w:r w:rsidRPr="00881D8B">
        <w:rPr>
          <w:rFonts w:ascii="Verdana" w:hAnsi="Verdana" w:eastAsia="Calibri" w:cs="Arial"/>
          <w:lang w:val="es-ES" w:eastAsia="es-ES"/>
        </w:rPr>
        <w:t>Aguachica, Cesar</w:t>
      </w:r>
    </w:p>
    <w:p w:rsidRPr="00881D8B" w:rsidR="00B7412F" w:rsidP="00B7412F" w:rsidRDefault="00B7412F" w14:paraId="72F373DC" w14:textId="77777777">
      <w:pPr>
        <w:spacing w:after="0" w:line="276" w:lineRule="auto"/>
        <w:rPr>
          <w:rFonts w:ascii="Verdana" w:hAnsi="Verdana" w:eastAsia="Calibri" w:cs="Arial"/>
          <w:b/>
          <w:bCs/>
          <w:lang w:val="es-ES_tradnl" w:eastAsia="es-ES_tradnl"/>
        </w:rPr>
      </w:pPr>
    </w:p>
    <w:p w:rsidRPr="00881D8B" w:rsidR="00B7412F" w:rsidP="00B7412F" w:rsidRDefault="00B7412F" w14:paraId="00B0B4DD" w14:textId="77777777">
      <w:pPr>
        <w:spacing w:after="0" w:line="276" w:lineRule="auto"/>
        <w:rPr>
          <w:rFonts w:ascii="Verdana" w:hAnsi="Verdana" w:eastAsia="Calibri" w:cs="Arial"/>
          <w:b/>
          <w:bCs/>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881D8B" w:rsidR="00B7412F" w:rsidTr="50B4254E" w14:paraId="0F07EABB" w14:textId="77777777">
        <w:trPr>
          <w:trHeight w:val="884"/>
        </w:trPr>
        <w:tc>
          <w:tcPr>
            <w:tcW w:w="2689" w:type="dxa"/>
            <w:tcMar/>
          </w:tcPr>
          <w:p w:rsidRPr="00881D8B" w:rsidR="00B7412F" w:rsidP="00790675" w:rsidRDefault="00B7412F" w14:paraId="1617322B" w14:textId="77777777">
            <w:pPr>
              <w:spacing w:line="276" w:lineRule="auto"/>
              <w:jc w:val="both"/>
              <w:rPr>
                <w:rFonts w:ascii="Verdana" w:hAnsi="Verdana" w:eastAsia="Calibri" w:cs="Arial"/>
                <w:b/>
                <w:bCs/>
                <w:lang w:val="es-ES_tradnl" w:eastAsia="es-ES_tradnl"/>
              </w:rPr>
            </w:pPr>
          </w:p>
        </w:tc>
        <w:tc>
          <w:tcPr>
            <w:tcW w:w="6100" w:type="dxa"/>
            <w:tcMar/>
          </w:tcPr>
          <w:p w:rsidRPr="00881D8B" w:rsidR="00B7412F" w:rsidP="00790675" w:rsidRDefault="00B7412F" w14:paraId="12EC51B9" w14:textId="13776E74">
            <w:pPr>
              <w:spacing w:line="276" w:lineRule="auto"/>
              <w:jc w:val="both"/>
              <w:rPr>
                <w:rFonts w:ascii="Verdana" w:hAnsi="Verdana" w:eastAsia="Calibri" w:cs="Arial"/>
                <w:b w:val="1"/>
                <w:bCs w:val="1"/>
                <w:lang w:val="es-ES" w:eastAsia="es-ES"/>
              </w:rPr>
            </w:pPr>
            <w:r w:rsidRPr="50B4254E" w:rsidR="00B7412F">
              <w:rPr>
                <w:rFonts w:ascii="Verdana" w:hAnsi="Verdana" w:eastAsia="Calibri" w:cs="Arial"/>
                <w:b w:val="1"/>
                <w:bCs w:val="1"/>
                <w:lang w:val="es-ES" w:eastAsia="es-ES"/>
              </w:rPr>
              <w:t>Concepto C- 1</w:t>
            </w:r>
            <w:r w:rsidRPr="50B4254E" w:rsidR="71463426">
              <w:rPr>
                <w:rFonts w:ascii="Verdana" w:hAnsi="Verdana" w:eastAsia="Calibri" w:cs="Arial"/>
                <w:b w:val="1"/>
                <w:bCs w:val="1"/>
                <w:lang w:val="es-ES" w:eastAsia="es-ES"/>
              </w:rPr>
              <w:t>8</w:t>
            </w:r>
            <w:r w:rsidRPr="50B4254E" w:rsidR="00B7412F">
              <w:rPr>
                <w:rFonts w:ascii="Verdana" w:hAnsi="Verdana" w:eastAsia="Calibri" w:cs="Arial"/>
                <w:b w:val="1"/>
                <w:bCs w:val="1"/>
                <w:lang w:val="es-ES" w:eastAsia="es-ES"/>
              </w:rPr>
              <w:t>2 de 2024</w:t>
            </w:r>
          </w:p>
        </w:tc>
      </w:tr>
      <w:tr w:rsidRPr="00881D8B" w:rsidR="00B7412F" w:rsidTr="50B4254E" w14:paraId="10F37A30" w14:textId="77777777">
        <w:trPr>
          <w:trHeight w:val="884"/>
        </w:trPr>
        <w:tc>
          <w:tcPr>
            <w:tcW w:w="2689" w:type="dxa"/>
            <w:tcMar/>
          </w:tcPr>
          <w:p w:rsidRPr="00881D8B" w:rsidR="00B7412F" w:rsidP="00790675" w:rsidRDefault="00B7412F" w14:paraId="3DC4D2D3" w14:textId="77777777">
            <w:pPr>
              <w:spacing w:line="276" w:lineRule="auto"/>
              <w:jc w:val="both"/>
              <w:rPr>
                <w:rFonts w:ascii="Verdana" w:hAnsi="Verdana" w:eastAsia="Calibri" w:cs="Arial"/>
                <w:lang w:val="es-ES_tradnl" w:eastAsia="es-ES_tradnl"/>
              </w:rPr>
            </w:pPr>
            <w:r w:rsidRPr="00881D8B">
              <w:rPr>
                <w:rFonts w:ascii="Verdana" w:hAnsi="Verdana" w:eastAsia="Calibri" w:cs="Arial"/>
                <w:b/>
                <w:lang w:val="es-ES_tradnl" w:eastAsia="es-ES_tradnl"/>
              </w:rPr>
              <w:t>Temas:</w:t>
            </w:r>
            <w:r w:rsidRPr="00881D8B">
              <w:rPr>
                <w:rFonts w:ascii="Verdana" w:hAnsi="Verdana" w:eastAsia="Calibri" w:cs="Arial"/>
                <w:lang w:val="es-ES_tradnl" w:eastAsia="es-ES_tradnl"/>
              </w:rPr>
              <w:t xml:space="preserve">                   </w:t>
            </w:r>
          </w:p>
        </w:tc>
        <w:tc>
          <w:tcPr>
            <w:tcW w:w="6100" w:type="dxa"/>
            <w:tcMar/>
          </w:tcPr>
          <w:p w:rsidRPr="00881D8B" w:rsidR="00B7412F" w:rsidP="00790675" w:rsidRDefault="00B7412F" w14:paraId="42D8C467" w14:textId="77777777">
            <w:pPr>
              <w:spacing w:line="276" w:lineRule="auto"/>
              <w:jc w:val="both"/>
              <w:rPr>
                <w:rFonts w:ascii="Verdana" w:hAnsi="Verdana" w:cs="Arial"/>
              </w:rPr>
            </w:pPr>
            <w:r w:rsidRPr="00881D8B">
              <w:rPr>
                <w:rFonts w:ascii="Verdana" w:hAnsi="Verdana" w:cs="Arial"/>
              </w:rPr>
              <w:t>CONTRATOS DE PRESTACIÓN DE SERVICIOS – Generalidades / CONTRATOS DE PRESTACIÓN DE SERVICIOS – Temporalidad / CONTRATOS DE PRESTACIÓN DE SERVICIOS – Renovación</w:t>
            </w:r>
          </w:p>
        </w:tc>
      </w:tr>
      <w:tr w:rsidRPr="00881D8B" w:rsidR="00B7412F" w:rsidTr="50B4254E" w14:paraId="32F76594" w14:textId="77777777">
        <w:tc>
          <w:tcPr>
            <w:tcW w:w="2689" w:type="dxa"/>
            <w:tcMar/>
          </w:tcPr>
          <w:p w:rsidRPr="00881D8B" w:rsidR="00B7412F" w:rsidP="00790675" w:rsidRDefault="00B7412F" w14:paraId="67A343F3" w14:textId="77777777">
            <w:pPr>
              <w:spacing w:line="276" w:lineRule="auto"/>
              <w:jc w:val="both"/>
              <w:rPr>
                <w:rFonts w:ascii="Verdana" w:hAnsi="Verdana" w:eastAsia="Calibri" w:cs="Arial"/>
                <w:b/>
                <w:lang w:val="es-ES_tradnl" w:eastAsia="es-ES_tradnl"/>
              </w:rPr>
            </w:pPr>
            <w:r w:rsidRPr="00881D8B">
              <w:rPr>
                <w:rFonts w:ascii="Verdana" w:hAnsi="Verdana" w:eastAsia="Calibri" w:cs="Arial"/>
                <w:b/>
                <w:lang w:val="es-ES_tradnl" w:eastAsia="es-ES_tradnl"/>
              </w:rPr>
              <w:t>Radicación:</w:t>
            </w:r>
            <w:r w:rsidRPr="00881D8B">
              <w:rPr>
                <w:rFonts w:ascii="Verdana" w:hAnsi="Verdana" w:eastAsia="Calibri" w:cs="Arial"/>
                <w:lang w:val="es-ES_tradnl" w:eastAsia="es-ES_tradnl"/>
              </w:rPr>
              <w:t xml:space="preserve">               </w:t>
            </w:r>
          </w:p>
        </w:tc>
        <w:tc>
          <w:tcPr>
            <w:tcW w:w="6100" w:type="dxa"/>
            <w:tcMar/>
          </w:tcPr>
          <w:p w:rsidRPr="00881D8B" w:rsidR="00B7412F" w:rsidP="00790675" w:rsidRDefault="00B7412F" w14:paraId="7D72AA2C" w14:textId="77777777">
            <w:pPr>
              <w:spacing w:line="276" w:lineRule="auto"/>
              <w:jc w:val="both"/>
              <w:rPr>
                <w:rFonts w:ascii="Verdana" w:hAnsi="Verdana" w:cs="Arial"/>
              </w:rPr>
            </w:pPr>
            <w:r w:rsidRPr="00881D8B">
              <w:rPr>
                <w:rFonts w:ascii="Verdana" w:hAnsi="Verdana" w:cs="Arial"/>
              </w:rPr>
              <w:t>Respuesta a consulta con radicados No. P20240618006173</w:t>
            </w:r>
          </w:p>
        </w:tc>
      </w:tr>
    </w:tbl>
    <w:p w:rsidRPr="00881D8B" w:rsidR="00B7412F" w:rsidP="00B7412F" w:rsidRDefault="00B7412F" w14:paraId="5800A187" w14:textId="77777777">
      <w:pPr>
        <w:spacing w:after="0" w:line="276" w:lineRule="auto"/>
        <w:jc w:val="both"/>
        <w:rPr>
          <w:rFonts w:ascii="Verdana" w:hAnsi="Verdana" w:eastAsia="Calibri" w:cs="Arial"/>
          <w:lang w:val="es-ES_tradnl" w:eastAsia="es-ES_tradnl"/>
        </w:rPr>
      </w:pPr>
    </w:p>
    <w:p w:rsidRPr="00881D8B" w:rsidR="00B7412F" w:rsidP="00B7412F" w:rsidRDefault="00B7412F" w14:paraId="2B418BD0" w14:textId="77777777">
      <w:pPr>
        <w:spacing w:after="0" w:line="276" w:lineRule="auto"/>
        <w:jc w:val="both"/>
        <w:rPr>
          <w:rFonts w:ascii="Verdana" w:hAnsi="Verdana" w:eastAsia="Calibri" w:cs="Arial"/>
          <w:lang w:val="es-ES_tradnl" w:eastAsia="es-ES_tradnl"/>
        </w:rPr>
      </w:pPr>
    </w:p>
    <w:p w:rsidRPr="00881D8B" w:rsidR="00B7412F" w:rsidP="00B7412F" w:rsidRDefault="00B7412F" w14:paraId="0C9D8741" w14:textId="77777777">
      <w:pPr>
        <w:spacing w:after="0" w:line="276" w:lineRule="auto"/>
        <w:jc w:val="both"/>
        <w:rPr>
          <w:rFonts w:ascii="Verdana" w:hAnsi="Verdana" w:eastAsia="Calibri" w:cs="Arial"/>
          <w:lang w:val="es-ES" w:eastAsia="es-ES"/>
        </w:rPr>
      </w:pPr>
      <w:r w:rsidRPr="00881D8B">
        <w:rPr>
          <w:rFonts w:ascii="Verdana" w:hAnsi="Verdana" w:eastAsia="Calibri" w:cs="Arial"/>
          <w:lang w:val="es-ES" w:eastAsia="es-ES"/>
        </w:rPr>
        <w:t xml:space="preserve">Estimado señor Vergara: </w:t>
      </w:r>
    </w:p>
    <w:p w:rsidRPr="00881D8B" w:rsidR="00B7412F" w:rsidP="00B7412F" w:rsidRDefault="00B7412F" w14:paraId="125A702E" w14:textId="77777777">
      <w:pPr>
        <w:tabs>
          <w:tab w:val="left" w:pos="3768"/>
        </w:tabs>
        <w:spacing w:after="0" w:line="276" w:lineRule="auto"/>
        <w:jc w:val="both"/>
        <w:rPr>
          <w:rFonts w:ascii="Verdana" w:hAnsi="Verdana" w:eastAsia="Calibri" w:cs="Arial"/>
          <w:lang w:val="es-ES" w:eastAsia="es-ES"/>
        </w:rPr>
      </w:pPr>
      <w:r w:rsidRPr="00881D8B">
        <w:rPr>
          <w:rFonts w:ascii="Verdana" w:hAnsi="Verdana" w:eastAsia="Calibri" w:cs="Arial"/>
          <w:lang w:val="es-ES" w:eastAsia="es-ES"/>
        </w:rPr>
        <w:tab/>
      </w:r>
    </w:p>
    <w:p w:rsidRPr="00881D8B" w:rsidR="00B7412F" w:rsidP="00B7412F" w:rsidRDefault="00B7412F" w14:paraId="328E4497" w14:textId="77777777">
      <w:pPr>
        <w:spacing w:after="0" w:line="276" w:lineRule="auto"/>
        <w:jc w:val="both"/>
        <w:rPr>
          <w:rFonts w:ascii="Verdana" w:hAnsi="Verdana" w:eastAsia="Calibri" w:cs="Arial"/>
          <w:lang w:val="es-ES" w:eastAsia="es-ES"/>
        </w:rPr>
      </w:pPr>
      <w:r w:rsidRPr="00881D8B">
        <w:rPr>
          <w:rFonts w:ascii="Verdana" w:hAnsi="Verdana" w:eastAsia="Calibri" w:cs="Arial"/>
          <w:lang w:val="es-ES" w:eastAsia="es-ES"/>
        </w:rPr>
        <w:t>En ejercicio de la competencia otorgada por los artículos 3, numeral 5º, y 11, numeral 8º, del Decreto Ley 4170 de 2011,</w:t>
      </w:r>
      <w:r w:rsidRPr="00881D8B">
        <w:rPr>
          <w:rFonts w:ascii="Verdana" w:hAnsi="Verdana" w:eastAsia="Arial MT" w:cs="Arial MT"/>
          <w:lang w:val="es-ES" w:eastAsia="es-ES"/>
        </w:rPr>
        <w:t xml:space="preserve"> </w:t>
      </w:r>
      <w:r w:rsidRPr="00881D8B">
        <w:rPr>
          <w:rFonts w:ascii="Verdana" w:hAnsi="Verdana" w:cs="Arial"/>
        </w:rPr>
        <w:t xml:space="preserve">así como lo establecido en el artículo 4 de la Resolución 1707 de 2018 expedida por esta Entidad, </w:t>
      </w:r>
      <w:r w:rsidRPr="00881D8B">
        <w:rPr>
          <w:rFonts w:ascii="Verdana" w:hAnsi="Verdana" w:eastAsia="Calibri" w:cs="Arial"/>
          <w:lang w:val="es-ES" w:eastAsia="es-ES"/>
        </w:rPr>
        <w:t xml:space="preserve">la Agencia Nacional </w:t>
      </w:r>
      <w:r w:rsidRPr="00881D8B">
        <w:rPr>
          <w:rFonts w:ascii="Verdana" w:hAnsi="Verdana" w:eastAsia="Calibri" w:cs="Arial"/>
          <w:lang w:val="es-ES" w:eastAsia="es-ES"/>
        </w:rPr>
        <w:lastRenderedPageBreak/>
        <w:t xml:space="preserve">de Contratación Pública – Colombia Compra Eficiente– responde su solicitud de consulta de fecha 7 de junio de 2024, en la cual manifiesta lo siguiente: </w:t>
      </w:r>
    </w:p>
    <w:p w:rsidRPr="00881D8B" w:rsidR="00B7412F" w:rsidP="00B7412F" w:rsidRDefault="00B7412F" w14:paraId="16EA3152" w14:textId="77777777">
      <w:pPr>
        <w:pStyle w:val="Prrafodelista"/>
        <w:tabs>
          <w:tab w:val="left" w:pos="142"/>
          <w:tab w:val="left" w:pos="284"/>
        </w:tabs>
        <w:spacing w:line="276" w:lineRule="auto"/>
        <w:ind w:left="0"/>
        <w:jc w:val="both"/>
        <w:rPr>
          <w:rFonts w:ascii="Verdana" w:hAnsi="Verdana" w:cs="Arial"/>
        </w:rPr>
      </w:pPr>
    </w:p>
    <w:p w:rsidRPr="00881D8B" w:rsidR="00B7412F" w:rsidP="00B7412F" w:rsidRDefault="00B7412F" w14:paraId="3172CFD0" w14:textId="77777777">
      <w:pPr>
        <w:autoSpaceDE w:val="0"/>
        <w:autoSpaceDN w:val="0"/>
        <w:adjustRightInd w:val="0"/>
        <w:spacing w:after="0" w:line="276" w:lineRule="auto"/>
        <w:ind w:left="709" w:right="709"/>
        <w:jc w:val="both"/>
        <w:rPr>
          <w:rFonts w:ascii="Verdana" w:hAnsi="Verdana" w:cs="Arial"/>
          <w:sz w:val="21"/>
          <w:szCs w:val="21"/>
        </w:rPr>
      </w:pPr>
      <w:bookmarkStart w:name="_Hlk95313578" w:id="1"/>
      <w:r w:rsidRPr="00881D8B">
        <w:rPr>
          <w:rFonts w:ascii="Verdana" w:hAnsi="Verdana" w:cs="Arial"/>
          <w:sz w:val="21"/>
          <w:szCs w:val="21"/>
        </w:rPr>
        <w:t>“</w:t>
      </w:r>
      <w:bookmarkEnd w:id="1"/>
      <w:r w:rsidRPr="00881D8B">
        <w:rPr>
          <w:rFonts w:ascii="Verdana" w:hAnsi="Verdana" w:eastAsia="Calibri" w:cs="Arial"/>
          <w:sz w:val="21"/>
          <w:szCs w:val="21"/>
          <w:lang w:val="es-ES" w:eastAsia="es-ES"/>
        </w:rPr>
        <w:t>una entidad publica que tiene contratistas ejecutando labores que no se pueden ejecutar por personal de planta, que realiza un contrato de prestación de servicios por un periodo supongamos de 4 meses, y por la necesidad del servicio se debe renovar ese contrato con la misma persona, la entidad debe cumplir un periodo de tiempo desde la terminación o liquidación del contrato hasta el nuevo proceso de contratación. o por el contrario puede hacer un nuevo contrato una vez terminado el anterior.” (sic).</w:t>
      </w:r>
    </w:p>
    <w:p w:rsidRPr="00881D8B" w:rsidR="00B7412F" w:rsidP="00B7412F" w:rsidRDefault="00B7412F" w14:paraId="1C9B1ACF" w14:textId="77777777">
      <w:pPr>
        <w:pStyle w:val="Prrafodelista"/>
        <w:tabs>
          <w:tab w:val="left" w:pos="142"/>
          <w:tab w:val="left" w:pos="284"/>
        </w:tabs>
        <w:spacing w:line="276" w:lineRule="auto"/>
        <w:ind w:left="0"/>
        <w:jc w:val="both"/>
        <w:rPr>
          <w:rFonts w:ascii="Verdana" w:hAnsi="Verdana" w:eastAsia="Century Gothic" w:cs="Century Gothic"/>
          <w:b/>
          <w:bCs/>
        </w:rPr>
      </w:pPr>
    </w:p>
    <w:p w:rsidRPr="00881D8B" w:rsidR="00B7412F" w:rsidP="00B7412F" w:rsidRDefault="00B7412F" w14:paraId="05602C2D" w14:textId="77777777">
      <w:pPr>
        <w:spacing w:after="120" w:line="276" w:lineRule="auto"/>
        <w:ind w:firstLine="709"/>
        <w:jc w:val="both"/>
        <w:rPr>
          <w:rFonts w:ascii="Verdana" w:hAnsi="Verdana" w:eastAsia="Calibri" w:cs="Arial"/>
          <w:szCs w:val="24"/>
          <w:lang w:val="es-ES_tradnl" w:eastAsia="es-ES_tradnl"/>
        </w:rPr>
      </w:pPr>
      <w:r w:rsidRPr="00881D8B">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81D8B">
        <w:rPr>
          <w:rFonts w:ascii="Verdana" w:hAnsi="Verdana" w:eastAsia="Calibri" w:cs="Arial"/>
          <w:szCs w:val="24"/>
          <w:lang w:val="es-ES_tradnl" w:eastAsia="es-ES_tradnl"/>
        </w:rPr>
        <w:tab/>
      </w:r>
    </w:p>
    <w:p w:rsidRPr="00881D8B" w:rsidR="00B7412F" w:rsidP="00B7412F" w:rsidRDefault="00B7412F" w14:paraId="558B7DEF" w14:textId="77777777">
      <w:pPr>
        <w:spacing w:after="0" w:line="276" w:lineRule="auto"/>
        <w:ind w:firstLine="709"/>
        <w:jc w:val="both"/>
        <w:rPr>
          <w:rFonts w:ascii="Verdana" w:hAnsi="Verdana" w:eastAsia="Calibri" w:cs="Arial"/>
          <w:lang w:val="es-ES" w:eastAsia="es-ES"/>
        </w:rPr>
      </w:pPr>
      <w:r w:rsidRPr="00881D8B">
        <w:rPr>
          <w:rFonts w:ascii="Verdana" w:hAnsi="Verdana" w:eastAsia="Calibri"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Pr="00881D8B" w:rsidR="00B7412F" w:rsidP="00B7412F" w:rsidRDefault="00B7412F" w14:paraId="636B0D84" w14:textId="77777777">
      <w:pPr>
        <w:spacing w:after="0" w:line="276" w:lineRule="auto"/>
        <w:ind w:firstLine="709"/>
        <w:jc w:val="both"/>
        <w:rPr>
          <w:rFonts w:ascii="Verdana" w:hAnsi="Verdana" w:eastAsia="Calibri" w:cs="Arial"/>
          <w:lang w:val="es-ES" w:eastAsia="es-ES"/>
        </w:rPr>
      </w:pPr>
    </w:p>
    <w:p w:rsidRPr="00881D8B" w:rsidR="00B7412F" w:rsidP="00B7412F" w:rsidRDefault="00B7412F" w14:paraId="1CF27D09" w14:textId="77777777">
      <w:pPr>
        <w:pStyle w:val="Prrafodelista"/>
        <w:numPr>
          <w:ilvl w:val="0"/>
          <w:numId w:val="4"/>
        </w:numPr>
        <w:tabs>
          <w:tab w:val="left" w:pos="142"/>
          <w:tab w:val="left" w:pos="284"/>
        </w:tabs>
        <w:spacing w:after="0" w:line="276" w:lineRule="auto"/>
        <w:ind w:left="0" w:firstLine="0"/>
        <w:jc w:val="both"/>
        <w:rPr>
          <w:rFonts w:ascii="Verdana" w:hAnsi="Verdana" w:eastAsia="Century Gothic" w:cs="Century Gothic"/>
          <w:b/>
          <w:bCs/>
        </w:rPr>
      </w:pPr>
      <w:r w:rsidRPr="00881D8B">
        <w:rPr>
          <w:rFonts w:ascii="Verdana" w:hAnsi="Verdana" w:eastAsia="Century Gothic" w:cs="Century Gothic"/>
          <w:b/>
          <w:bCs/>
        </w:rPr>
        <w:t>Problema planteado:</w:t>
      </w:r>
    </w:p>
    <w:p w:rsidRPr="00881D8B" w:rsidR="00B7412F" w:rsidP="00B7412F" w:rsidRDefault="00B7412F" w14:paraId="1DB39452" w14:textId="77777777">
      <w:pPr>
        <w:tabs>
          <w:tab w:val="left" w:pos="426"/>
        </w:tabs>
        <w:spacing w:after="0" w:line="276" w:lineRule="auto"/>
        <w:jc w:val="both"/>
        <w:rPr>
          <w:rFonts w:ascii="Verdana" w:hAnsi="Verdana" w:eastAsia="Century Gothic" w:cs="Century Gothic"/>
          <w:lang w:val="es-ES"/>
        </w:rPr>
      </w:pPr>
    </w:p>
    <w:p w:rsidRPr="00881D8B" w:rsidR="00B7412F" w:rsidP="00B7412F" w:rsidRDefault="00B7412F" w14:paraId="0D4DBD4C" w14:textId="77777777">
      <w:pPr>
        <w:spacing w:after="0" w:line="276" w:lineRule="auto"/>
        <w:jc w:val="both"/>
        <w:rPr>
          <w:rFonts w:ascii="Verdana" w:hAnsi="Verdana" w:eastAsia="Century Gothic" w:cs="Century Gothic"/>
        </w:rPr>
      </w:pPr>
      <w:r w:rsidRPr="00881D8B">
        <w:rPr>
          <w:rFonts w:ascii="Verdana" w:hAnsi="Verdana" w:eastAsia="Century Gothic" w:cs="Century Gothic"/>
        </w:rPr>
        <w:lastRenderedPageBreak/>
        <w:t xml:space="preserve">De acuerdo con el contenido de su solicitud, esta Agencia resolverá el siguiente problema jurídico: ¿Se puede suscribir un nuevo contrato de prestación de servicios una vez se termine el anterior? </w:t>
      </w:r>
    </w:p>
    <w:p w:rsidRPr="00881D8B" w:rsidR="00B7412F" w:rsidP="00B7412F" w:rsidRDefault="00B7412F" w14:paraId="7A63C63A" w14:textId="77777777">
      <w:pPr>
        <w:spacing w:after="0" w:line="276" w:lineRule="auto"/>
        <w:jc w:val="both"/>
        <w:rPr>
          <w:rFonts w:ascii="Verdana" w:hAnsi="Verdana" w:eastAsia="Calibri" w:cs="Arial"/>
          <w:lang w:val="es-ES"/>
        </w:rPr>
      </w:pPr>
    </w:p>
    <w:p w:rsidRPr="00881D8B" w:rsidR="00B7412F" w:rsidP="00B7412F" w:rsidRDefault="00B7412F" w14:paraId="60B8930F"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881D8B">
        <w:rPr>
          <w:rFonts w:ascii="Verdana" w:hAnsi="Verdana" w:eastAsia="Century Gothic" w:cs="Century Gothic"/>
          <w:b/>
          <w:bCs/>
        </w:rPr>
        <w:t>Respuesta:</w:t>
      </w:r>
    </w:p>
    <w:p w:rsidRPr="00881D8B" w:rsidR="00B7412F" w:rsidP="00B7412F" w:rsidRDefault="00B7412F" w14:paraId="23EE872F"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881D8B" w:rsidR="00B7412F" w:rsidTr="00790675" w14:paraId="6B51F6EA" w14:textId="77777777">
        <w:tc>
          <w:tcPr>
            <w:tcW w:w="8828" w:type="dxa"/>
            <w:shd w:val="clear" w:color="auto" w:fill="auto"/>
          </w:tcPr>
          <w:p w:rsidRPr="00673FF4" w:rsidR="00B7412F" w:rsidP="00790675" w:rsidRDefault="00B7412F" w14:paraId="10C4DCA9" w14:textId="77777777">
            <w:pPr>
              <w:tabs>
                <w:tab w:val="left" w:pos="0"/>
              </w:tabs>
              <w:spacing w:after="120" w:line="276" w:lineRule="auto"/>
              <w:jc w:val="both"/>
              <w:rPr>
                <w:rFonts w:ascii="Verdana" w:hAnsi="Verdana" w:cs="Arial"/>
                <w:color w:val="000000" w:themeColor="text1"/>
                <w:lang w:val="es-ES_tradnl"/>
              </w:rPr>
            </w:pPr>
            <w:r w:rsidRPr="00673FF4">
              <w:rPr>
                <w:rFonts w:ascii="Verdana" w:hAnsi="Verdana" w:cs="Arial"/>
                <w:noProof/>
                <w:lang w:val="es-ES_tradnl"/>
              </w:rPr>
              <w:t xml:space="preserve">Los contratos de prestación de servicios deben ser temporales. Tanto el Consejo de Estado como la Corte Constritucional han señalado que la duración del contrato de prestación de servicios solo puede realizarse por un “término estrictamente indispensable” y </w:t>
            </w:r>
            <w:r w:rsidRPr="00673FF4">
              <w:rPr>
                <w:rFonts w:ascii="Verdana" w:hAnsi="Verdana" w:cs="Arial"/>
                <w:lang w:val="es-MX"/>
              </w:rPr>
              <w:t xml:space="preserve">“no cabe su empleo para la cobertura indefinida de necesidades permanentes o recurrentes de una entidad “. Por otra parte, es importante tener en cuenta que </w:t>
            </w:r>
            <w:r w:rsidRPr="00673FF4">
              <w:rPr>
                <w:rFonts w:ascii="Verdana" w:hAnsi="Verdana" w:eastAsia="Arial" w:cs="Arial"/>
                <w:lang w:val="es-ES"/>
              </w:rPr>
              <w:t>la renovación de los contratos estatales se entiende como la suscripción de uno nuevo con características similares al anterior, con un mismo objeto, pero bajo condiciones diferentes atinentes a su valor y plazo</w:t>
            </w:r>
            <w:r>
              <w:rPr>
                <w:rFonts w:ascii="Verdana" w:hAnsi="Verdana" w:eastAsia="Arial" w:cs="Arial"/>
                <w:lang w:val="es-ES"/>
              </w:rPr>
              <w:t>.</w:t>
            </w:r>
          </w:p>
        </w:tc>
      </w:tr>
    </w:tbl>
    <w:p w:rsidRPr="00881D8B" w:rsidR="00B7412F" w:rsidP="00B7412F" w:rsidRDefault="00B7412F" w14:paraId="427A5FB3" w14:textId="77777777">
      <w:pPr>
        <w:tabs>
          <w:tab w:val="left" w:pos="142"/>
          <w:tab w:val="left" w:pos="284"/>
        </w:tabs>
        <w:spacing w:after="0" w:line="276" w:lineRule="auto"/>
        <w:jc w:val="both"/>
        <w:rPr>
          <w:rFonts w:ascii="Verdana" w:hAnsi="Verdana" w:eastAsia="Century Gothic" w:cs="Century Gothic"/>
          <w:b/>
          <w:bCs/>
          <w:lang w:val="es-ES"/>
        </w:rPr>
      </w:pPr>
    </w:p>
    <w:p w:rsidRPr="00881D8B" w:rsidR="00B7412F" w:rsidP="00B7412F" w:rsidRDefault="00B7412F" w14:paraId="6BB6370F"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881D8B">
        <w:rPr>
          <w:rFonts w:ascii="Verdana" w:hAnsi="Verdana" w:eastAsia="Century Gothic" w:cs="Century Gothic"/>
          <w:b/>
          <w:bCs/>
        </w:rPr>
        <w:t>Razones de la respuesta:</w:t>
      </w:r>
    </w:p>
    <w:p w:rsidRPr="00881D8B" w:rsidR="00B7412F" w:rsidP="00B7412F" w:rsidRDefault="00B7412F" w14:paraId="486B1CE8" w14:textId="77777777">
      <w:pPr>
        <w:spacing w:after="0" w:line="276" w:lineRule="auto"/>
        <w:jc w:val="both"/>
        <w:rPr>
          <w:rFonts w:ascii="Verdana" w:hAnsi="Verdana" w:eastAsia="Calibri" w:cs="Arial"/>
          <w:lang w:val="es-ES"/>
        </w:rPr>
      </w:pPr>
    </w:p>
    <w:p w:rsidRPr="00881D8B" w:rsidR="00B7412F" w:rsidP="00B7412F" w:rsidRDefault="00B7412F" w14:paraId="5040BDD5" w14:textId="77777777">
      <w:pPr>
        <w:spacing w:after="0" w:line="276" w:lineRule="auto"/>
        <w:jc w:val="both"/>
        <w:rPr>
          <w:rFonts w:ascii="Verdana" w:hAnsi="Verdana" w:eastAsia="Calibri" w:cs="Arial"/>
          <w:lang w:val="es-ES"/>
        </w:rPr>
      </w:pPr>
      <w:r w:rsidRPr="00881D8B">
        <w:rPr>
          <w:rFonts w:ascii="Verdana" w:hAnsi="Verdana" w:eastAsia="Calibri" w:cs="Arial"/>
          <w:lang w:val="es-ES"/>
        </w:rPr>
        <w:t xml:space="preserve">Lo anterior se sustenta en las siguientes consideraciones: </w:t>
      </w:r>
    </w:p>
    <w:p w:rsidRPr="00881D8B" w:rsidR="00B7412F" w:rsidP="00B7412F" w:rsidRDefault="00B7412F" w14:paraId="5EBF6E24" w14:textId="77777777">
      <w:pPr>
        <w:spacing w:after="0" w:line="276" w:lineRule="auto"/>
        <w:jc w:val="both"/>
        <w:rPr>
          <w:rFonts w:ascii="Verdana" w:hAnsi="Verdana" w:eastAsia="Calibri" w:cs="Arial"/>
          <w:lang w:val="es-ES"/>
        </w:rPr>
      </w:pPr>
    </w:p>
    <w:p w:rsidRPr="00881D8B" w:rsidR="00B7412F" w:rsidP="00B7412F" w:rsidRDefault="00B7412F" w14:paraId="70F14C24" w14:textId="77777777">
      <w:pPr>
        <w:pStyle w:val="Prrafodelista"/>
        <w:numPr>
          <w:ilvl w:val="0"/>
          <w:numId w:val="11"/>
        </w:numPr>
        <w:tabs>
          <w:tab w:val="left" w:pos="0"/>
        </w:tabs>
        <w:spacing w:line="276" w:lineRule="auto"/>
        <w:jc w:val="both"/>
        <w:rPr>
          <w:rFonts w:ascii="Verdana" w:hAnsi="Verdana" w:eastAsia="Calibri" w:cs="Arial"/>
          <w:color w:val="000000" w:themeColor="text1"/>
          <w:lang w:val="es-ES_tradnl"/>
        </w:rPr>
      </w:pPr>
      <w:r w:rsidRPr="00881D8B">
        <w:rPr>
          <w:rFonts w:ascii="Verdana" w:hAnsi="Verdana" w:cs="Arial"/>
          <w:color w:val="000000" w:themeColor="text1"/>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881D8B">
        <w:rPr>
          <w:rFonts w:ascii="Verdana" w:hAnsi="Verdana" w:eastAsia="Calibri"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rsidRPr="00881D8B" w:rsidR="00B7412F" w:rsidP="00B7412F" w:rsidRDefault="00B7412F" w14:paraId="740304F3" w14:textId="77777777">
      <w:pPr>
        <w:spacing w:line="276" w:lineRule="auto"/>
        <w:ind w:right="709"/>
        <w:contextualSpacing/>
        <w:jc w:val="both"/>
        <w:rPr>
          <w:rFonts w:ascii="Verdana" w:hAnsi="Verdana" w:eastAsia="Calibri" w:cs="Arial"/>
          <w:color w:val="000000" w:themeColor="text1"/>
          <w:lang w:val="es-ES_tradnl"/>
        </w:rPr>
      </w:pPr>
    </w:p>
    <w:p w:rsidRPr="00881D8B" w:rsidR="00B7412F" w:rsidP="00B7412F" w:rsidRDefault="00B7412F" w14:paraId="32E1D27E" w14:textId="77777777">
      <w:pPr>
        <w:spacing w:line="276" w:lineRule="auto"/>
        <w:ind w:left="709" w:right="709"/>
        <w:contextualSpacing/>
        <w:jc w:val="both"/>
        <w:rPr>
          <w:rFonts w:ascii="Verdana" w:hAnsi="Verdana" w:eastAsia="Calibri" w:cs="Arial"/>
          <w:color w:val="000000" w:themeColor="text1"/>
          <w:sz w:val="21"/>
          <w:szCs w:val="21"/>
          <w:lang w:val="es-MX"/>
        </w:rPr>
      </w:pPr>
      <w:r w:rsidRPr="00881D8B">
        <w:rPr>
          <w:rFonts w:ascii="Verdana" w:hAnsi="Verdana" w:eastAsia="Yu Gothic UI Semibold" w:cs="Arial"/>
          <w:iCs/>
          <w:sz w:val="21"/>
          <w:szCs w:val="21"/>
          <w:lang w:eastAsia="es-MX"/>
        </w:rPr>
        <w:lastRenderedPageBreak/>
        <w:t>“</w:t>
      </w:r>
      <w:r w:rsidRPr="00881D8B">
        <w:rPr>
          <w:rFonts w:ascii="Verdana" w:hAnsi="Verdana" w:eastAsia="Calibri" w:cs="Arial"/>
          <w:color w:val="000000" w:themeColor="text1"/>
          <w:sz w:val="21"/>
          <w:szCs w:val="21"/>
          <w:lang w:val="es-MX"/>
        </w:rPr>
        <w:t>La escogencia del contratista se efectuará con arreglo a las modalidades de selección de licitación pública, selección abreviada, concurso de méritos y contratación directa, con base en las siguientes reglas:</w:t>
      </w:r>
    </w:p>
    <w:p w:rsidRPr="00881D8B" w:rsidR="00B7412F" w:rsidP="00B7412F" w:rsidRDefault="00B7412F" w14:paraId="1C54FB20" w14:textId="77777777">
      <w:pPr>
        <w:spacing w:line="276" w:lineRule="auto"/>
        <w:ind w:left="709" w:right="709"/>
        <w:contextualSpacing/>
        <w:jc w:val="both"/>
        <w:rPr>
          <w:rFonts w:ascii="Verdana" w:hAnsi="Verdana" w:eastAsia="Calibri" w:cs="Arial"/>
          <w:color w:val="000000" w:themeColor="text1"/>
          <w:sz w:val="21"/>
          <w:szCs w:val="21"/>
          <w:lang w:val="es-MX"/>
        </w:rPr>
      </w:pPr>
    </w:p>
    <w:p w:rsidRPr="00881D8B" w:rsidR="00B7412F" w:rsidP="00B7412F" w:rsidRDefault="00B7412F" w14:paraId="0332BBD1" w14:textId="77777777">
      <w:pPr>
        <w:spacing w:line="276" w:lineRule="auto"/>
        <w:ind w:left="709" w:right="709"/>
        <w:contextualSpacing/>
        <w:jc w:val="both"/>
        <w:rPr>
          <w:rFonts w:ascii="Verdana" w:hAnsi="Verdana" w:eastAsia="Calibri" w:cs="Arial"/>
          <w:color w:val="000000" w:themeColor="text1"/>
          <w:sz w:val="21"/>
          <w:szCs w:val="21"/>
          <w:lang w:val="es-MX"/>
        </w:rPr>
      </w:pPr>
      <w:r w:rsidRPr="00881D8B">
        <w:rPr>
          <w:rFonts w:ascii="Verdana" w:hAnsi="Verdana" w:eastAsia="Calibri" w:cs="Arial"/>
          <w:color w:val="000000" w:themeColor="text1"/>
          <w:sz w:val="21"/>
          <w:szCs w:val="21"/>
          <w:lang w:val="es-MX"/>
        </w:rPr>
        <w:t>[…]</w:t>
      </w:r>
    </w:p>
    <w:p w:rsidRPr="00881D8B" w:rsidR="00B7412F" w:rsidP="00B7412F" w:rsidRDefault="00B7412F" w14:paraId="4C5BF573" w14:textId="77777777">
      <w:pPr>
        <w:spacing w:line="276" w:lineRule="auto"/>
        <w:ind w:left="709" w:right="709"/>
        <w:contextualSpacing/>
        <w:jc w:val="both"/>
        <w:rPr>
          <w:rFonts w:ascii="Verdana" w:hAnsi="Verdana" w:eastAsia="Calibri" w:cs="Arial"/>
          <w:color w:val="000000" w:themeColor="text1"/>
          <w:sz w:val="21"/>
          <w:szCs w:val="21"/>
          <w:lang w:val="es-MX"/>
        </w:rPr>
      </w:pPr>
    </w:p>
    <w:p w:rsidRPr="00881D8B" w:rsidR="00B7412F" w:rsidP="00B7412F" w:rsidRDefault="00B7412F" w14:paraId="7EE42347" w14:textId="77777777">
      <w:pPr>
        <w:spacing w:line="276" w:lineRule="auto"/>
        <w:ind w:left="709" w:right="709"/>
        <w:contextualSpacing/>
        <w:jc w:val="both"/>
        <w:rPr>
          <w:rFonts w:ascii="Verdana" w:hAnsi="Verdana" w:eastAsia="Calibri" w:cs="Arial"/>
          <w:color w:val="000000" w:themeColor="text1"/>
          <w:sz w:val="21"/>
          <w:szCs w:val="21"/>
          <w:lang w:val="es-MX"/>
        </w:rPr>
      </w:pPr>
      <w:r w:rsidRPr="00881D8B">
        <w:rPr>
          <w:rFonts w:ascii="Verdana" w:hAnsi="Verdana" w:eastAsia="Calibri" w:cs="Arial"/>
          <w:color w:val="000000" w:themeColor="text1"/>
          <w:sz w:val="21"/>
          <w:szCs w:val="21"/>
          <w:lang w:val="es-MX"/>
        </w:rPr>
        <w:t>4. Contratación directa. La modalidad de selección de contratación directa, solamente procederá en los siguientes casos:</w:t>
      </w:r>
    </w:p>
    <w:p w:rsidRPr="00881D8B" w:rsidR="00B7412F" w:rsidP="00B7412F" w:rsidRDefault="00B7412F" w14:paraId="112A5E38" w14:textId="77777777">
      <w:pPr>
        <w:spacing w:line="276" w:lineRule="auto"/>
        <w:ind w:left="709" w:right="709"/>
        <w:contextualSpacing/>
        <w:jc w:val="both"/>
        <w:rPr>
          <w:rFonts w:ascii="Verdana" w:hAnsi="Verdana" w:eastAsia="Calibri" w:cs="Arial"/>
          <w:color w:val="000000" w:themeColor="text1"/>
          <w:sz w:val="21"/>
          <w:szCs w:val="21"/>
          <w:lang w:val="es-MX"/>
        </w:rPr>
      </w:pPr>
    </w:p>
    <w:p w:rsidRPr="00881D8B" w:rsidR="00B7412F" w:rsidP="00B7412F" w:rsidRDefault="00B7412F" w14:paraId="216D54E6" w14:textId="77777777">
      <w:pPr>
        <w:spacing w:line="276" w:lineRule="auto"/>
        <w:ind w:left="709" w:right="709"/>
        <w:contextualSpacing/>
        <w:jc w:val="both"/>
        <w:rPr>
          <w:rFonts w:ascii="Verdana" w:hAnsi="Verdana" w:eastAsia="Calibri" w:cs="Arial"/>
          <w:color w:val="000000" w:themeColor="text1"/>
          <w:sz w:val="21"/>
          <w:szCs w:val="21"/>
          <w:lang w:val="es-MX"/>
        </w:rPr>
      </w:pPr>
      <w:r w:rsidRPr="00881D8B">
        <w:rPr>
          <w:rFonts w:ascii="Verdana" w:hAnsi="Verdana" w:eastAsia="Calibri" w:cs="Arial"/>
          <w:color w:val="000000" w:themeColor="text1"/>
          <w:sz w:val="21"/>
          <w:szCs w:val="21"/>
          <w:lang w:val="es-MX"/>
        </w:rPr>
        <w:t>[…]</w:t>
      </w:r>
    </w:p>
    <w:p w:rsidRPr="00881D8B" w:rsidR="00B7412F" w:rsidP="00B7412F" w:rsidRDefault="00B7412F" w14:paraId="7A5ECB20" w14:textId="77777777">
      <w:pPr>
        <w:spacing w:line="276" w:lineRule="auto"/>
        <w:ind w:left="709" w:right="709"/>
        <w:contextualSpacing/>
        <w:jc w:val="both"/>
        <w:rPr>
          <w:rFonts w:ascii="Verdana" w:hAnsi="Verdana" w:eastAsia="Calibri" w:cs="Arial"/>
          <w:color w:val="000000" w:themeColor="text1"/>
          <w:sz w:val="21"/>
          <w:szCs w:val="21"/>
          <w:lang w:val="es-MX"/>
        </w:rPr>
      </w:pPr>
    </w:p>
    <w:p w:rsidRPr="00881D8B" w:rsidR="00B7412F" w:rsidP="00B7412F" w:rsidRDefault="00B7412F" w14:paraId="21A38715" w14:textId="77777777">
      <w:pPr>
        <w:spacing w:line="276" w:lineRule="auto"/>
        <w:ind w:left="709" w:right="709"/>
        <w:contextualSpacing/>
        <w:jc w:val="both"/>
        <w:rPr>
          <w:rFonts w:ascii="Verdana" w:hAnsi="Verdana" w:eastAsia="Calibri" w:cs="Arial"/>
          <w:color w:val="000000" w:themeColor="text1"/>
          <w:sz w:val="21"/>
          <w:szCs w:val="21"/>
          <w:lang w:val="es-MX"/>
        </w:rPr>
      </w:pPr>
      <w:r w:rsidRPr="00881D8B">
        <w:rPr>
          <w:rFonts w:ascii="Verdana" w:hAnsi="Verdana" w:eastAsia="Calibri" w:cs="Arial"/>
          <w:color w:val="000000" w:themeColor="text1"/>
          <w:sz w:val="21"/>
          <w:szCs w:val="21"/>
          <w:lang w:val="es-MX"/>
        </w:rPr>
        <w:t>h) Para la prestación de servicios profesionales y de apoyo a la gestión, o para la ejecución de trabajos artísticos que sólo puedan encomendarse a determinadas personas naturales</w:t>
      </w:r>
      <w:r w:rsidRPr="00881D8B">
        <w:rPr>
          <w:rFonts w:ascii="Verdana" w:hAnsi="Verdana" w:eastAsia="Yu Gothic UI Semibold" w:cs="Arial"/>
          <w:iCs/>
          <w:sz w:val="21"/>
          <w:szCs w:val="21"/>
          <w:lang w:eastAsia="es-MX"/>
        </w:rPr>
        <w:t>”</w:t>
      </w:r>
      <w:r w:rsidRPr="00881D8B">
        <w:rPr>
          <w:rFonts w:ascii="Verdana" w:hAnsi="Verdana" w:eastAsia="Calibri" w:cs="Arial"/>
          <w:color w:val="000000" w:themeColor="text1"/>
          <w:sz w:val="21"/>
          <w:szCs w:val="21"/>
          <w:lang w:val="es-MX"/>
        </w:rPr>
        <w:t>.</w:t>
      </w:r>
    </w:p>
    <w:p w:rsidRPr="00881D8B" w:rsidR="00B7412F" w:rsidP="00B7412F" w:rsidRDefault="00B7412F" w14:paraId="1981FF3B" w14:textId="77777777">
      <w:pPr>
        <w:tabs>
          <w:tab w:val="left" w:pos="0"/>
        </w:tabs>
        <w:spacing w:line="276" w:lineRule="auto"/>
        <w:contextualSpacing/>
        <w:jc w:val="both"/>
        <w:rPr>
          <w:rFonts w:ascii="Verdana" w:hAnsi="Verdana" w:cs="Arial"/>
          <w:noProof/>
          <w:lang w:val="es-ES_tradnl"/>
        </w:rPr>
      </w:pPr>
      <w:r w:rsidRPr="00881D8B">
        <w:rPr>
          <w:rFonts w:ascii="Verdana" w:hAnsi="Verdana" w:cs="Arial"/>
          <w:noProof/>
          <w:lang w:val="es-ES_tradnl"/>
        </w:rPr>
        <w:tab/>
      </w:r>
    </w:p>
    <w:p w:rsidRPr="00881D8B" w:rsidR="00B7412F" w:rsidP="00B7412F" w:rsidRDefault="00B7412F" w14:paraId="2B2942AB" w14:textId="77777777">
      <w:pPr>
        <w:pStyle w:val="Prrafodelista"/>
        <w:numPr>
          <w:ilvl w:val="0"/>
          <w:numId w:val="11"/>
        </w:numPr>
        <w:tabs>
          <w:tab w:val="left" w:pos="0"/>
        </w:tabs>
        <w:spacing w:line="276" w:lineRule="auto"/>
        <w:jc w:val="both"/>
        <w:rPr>
          <w:rFonts w:ascii="Verdana" w:hAnsi="Verdana" w:cs="Arial"/>
          <w:noProof/>
          <w:lang w:val="es-ES_tradnl"/>
        </w:rPr>
      </w:pPr>
      <w:r w:rsidRPr="00881D8B">
        <w:rPr>
          <w:rFonts w:ascii="Verdana" w:hAnsi="Verdana" w:cs="Arial"/>
          <w:noProof/>
          <w:lang w:val="es-ES_tradnl"/>
        </w:rPr>
        <w:t>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rsidRPr="00881D8B" w:rsidR="00B7412F" w:rsidP="00B7412F" w:rsidRDefault="00B7412F" w14:paraId="68EF517E" w14:textId="77777777">
      <w:pPr>
        <w:tabs>
          <w:tab w:val="left" w:pos="0"/>
        </w:tabs>
        <w:spacing w:line="276" w:lineRule="auto"/>
        <w:contextualSpacing/>
        <w:jc w:val="both"/>
        <w:rPr>
          <w:rFonts w:ascii="Verdana" w:hAnsi="Verdana" w:cs="Arial"/>
          <w:noProof/>
          <w:lang w:val="es-ES_tradnl"/>
        </w:rPr>
      </w:pPr>
    </w:p>
    <w:p w:rsidRPr="00881D8B" w:rsidR="00B7412F" w:rsidP="00B7412F" w:rsidRDefault="00B7412F" w14:paraId="40163187" w14:textId="77777777">
      <w:pPr>
        <w:spacing w:line="276" w:lineRule="auto"/>
        <w:ind w:left="709" w:right="709"/>
        <w:contextualSpacing/>
        <w:jc w:val="both"/>
        <w:rPr>
          <w:rFonts w:ascii="Verdana" w:hAnsi="Verdana" w:cs="Arial"/>
          <w:sz w:val="21"/>
          <w:szCs w:val="21"/>
          <w:lang w:val="es-MX"/>
        </w:rPr>
      </w:pPr>
      <w:r w:rsidRPr="00881D8B">
        <w:rPr>
          <w:rFonts w:ascii="Verdana" w:hAnsi="Verdana" w:eastAsia="Yu Gothic UI Semibold" w:cs="Arial"/>
          <w:iCs/>
          <w:sz w:val="21"/>
          <w:szCs w:val="21"/>
          <w:lang w:eastAsia="es-MX"/>
        </w:rPr>
        <w:t>“</w:t>
      </w:r>
      <w:r w:rsidRPr="00881D8B">
        <w:rPr>
          <w:rFonts w:ascii="Verdana" w:hAnsi="Verdana" w:cs="Arial"/>
          <w:sz w:val="21"/>
          <w:szCs w:val="21"/>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881D8B" w:rsidR="00B7412F" w:rsidP="00B7412F" w:rsidRDefault="00B7412F" w14:paraId="2E76F152" w14:textId="77777777">
      <w:pPr>
        <w:spacing w:line="276" w:lineRule="auto"/>
        <w:ind w:left="709" w:right="709"/>
        <w:contextualSpacing/>
        <w:jc w:val="both"/>
        <w:rPr>
          <w:rFonts w:ascii="Verdana" w:hAnsi="Verdana" w:cs="Arial"/>
          <w:sz w:val="21"/>
          <w:szCs w:val="21"/>
        </w:rPr>
      </w:pPr>
    </w:p>
    <w:p w:rsidRPr="00881D8B" w:rsidR="00B7412F" w:rsidP="00B7412F" w:rsidRDefault="00B7412F" w14:paraId="24149222" w14:textId="77777777">
      <w:pPr>
        <w:spacing w:line="276" w:lineRule="auto"/>
        <w:ind w:left="709" w:right="709"/>
        <w:contextualSpacing/>
        <w:jc w:val="both"/>
        <w:rPr>
          <w:rFonts w:ascii="Verdana" w:hAnsi="Verdana" w:cs="Arial"/>
          <w:sz w:val="21"/>
          <w:szCs w:val="21"/>
          <w:lang w:val="es-MX"/>
        </w:rPr>
      </w:pPr>
      <w:r w:rsidRPr="00881D8B">
        <w:rPr>
          <w:rFonts w:ascii="Verdana" w:hAnsi="Verdana" w:cs="Arial"/>
          <w:sz w:val="21"/>
          <w:szCs w:val="21"/>
          <w:lang w:val="es-MX"/>
        </w:rPr>
        <w:t xml:space="preserve">Los servicios profesionales y de apoyo a la gestión corresponden a aquellos de naturaleza intelectual diferentes a los de consultoría que se derivan del cumplimiento de las funciones de la Entidad Estatal, así </w:t>
      </w:r>
      <w:r w:rsidRPr="00881D8B">
        <w:rPr>
          <w:rFonts w:ascii="Verdana" w:hAnsi="Verdana" w:cs="Arial"/>
          <w:sz w:val="21"/>
          <w:szCs w:val="21"/>
          <w:lang w:val="es-MX"/>
        </w:rPr>
        <w:lastRenderedPageBreak/>
        <w:t>como los relacionados con actividades operativas, logísticas, o asistenciales.</w:t>
      </w:r>
    </w:p>
    <w:p w:rsidRPr="00881D8B" w:rsidR="00B7412F" w:rsidP="00B7412F" w:rsidRDefault="00B7412F" w14:paraId="4436F6CC" w14:textId="77777777">
      <w:pPr>
        <w:spacing w:line="276" w:lineRule="auto"/>
        <w:ind w:left="709" w:right="709"/>
        <w:contextualSpacing/>
        <w:jc w:val="both"/>
        <w:rPr>
          <w:rFonts w:ascii="Verdana" w:hAnsi="Verdana" w:cs="Arial"/>
          <w:sz w:val="21"/>
          <w:szCs w:val="21"/>
          <w:lang w:val="es-MX"/>
        </w:rPr>
      </w:pPr>
    </w:p>
    <w:p w:rsidRPr="00881D8B" w:rsidR="00B7412F" w:rsidP="00B7412F" w:rsidRDefault="00B7412F" w14:paraId="0BA6BECA" w14:textId="77777777">
      <w:pPr>
        <w:spacing w:line="276" w:lineRule="auto"/>
        <w:ind w:left="709" w:right="709"/>
        <w:contextualSpacing/>
        <w:jc w:val="both"/>
        <w:rPr>
          <w:rFonts w:ascii="Verdana" w:hAnsi="Verdana" w:cs="Arial"/>
          <w:sz w:val="21"/>
          <w:szCs w:val="21"/>
          <w:lang w:val="es-MX"/>
        </w:rPr>
      </w:pPr>
      <w:r w:rsidRPr="00881D8B">
        <w:rPr>
          <w:rFonts w:ascii="Verdana" w:hAnsi="Verdana" w:cs="Arial"/>
          <w:sz w:val="21"/>
          <w:szCs w:val="21"/>
          <w:lang w:val="es-MX"/>
        </w:rPr>
        <w:t>La Entidad Estatal, para la contratación de trabajos artísticos que solamente puedan en</w:t>
      </w:r>
      <w:r w:rsidRPr="00881D8B">
        <w:rPr>
          <w:rFonts w:ascii="Verdana" w:hAnsi="Verdana" w:cs="Arial"/>
          <w:sz w:val="21"/>
          <w:szCs w:val="21"/>
          <w:lang w:val="es-MX"/>
        </w:rPr>
        <w:softHyphen/>
        <w:t>comendarse a determinadas personas naturales, debe justificar esta situación en los estudios y documentos previos</w:t>
      </w:r>
      <w:r w:rsidRPr="00881D8B">
        <w:rPr>
          <w:rFonts w:ascii="Verdana" w:hAnsi="Verdana" w:eastAsia="Yu Gothic UI Semibold" w:cs="Arial"/>
          <w:iCs/>
          <w:sz w:val="21"/>
          <w:szCs w:val="21"/>
          <w:lang w:eastAsia="es-MX"/>
        </w:rPr>
        <w:t>”</w:t>
      </w:r>
      <w:r w:rsidRPr="00881D8B">
        <w:rPr>
          <w:rFonts w:ascii="Verdana" w:hAnsi="Verdana" w:cs="Arial"/>
          <w:sz w:val="21"/>
          <w:szCs w:val="21"/>
          <w:lang w:val="es-MX"/>
        </w:rPr>
        <w:t>.</w:t>
      </w:r>
    </w:p>
    <w:p w:rsidRPr="00881D8B" w:rsidR="00B7412F" w:rsidP="00B7412F" w:rsidRDefault="00B7412F" w14:paraId="16F1F439" w14:textId="77777777">
      <w:pPr>
        <w:tabs>
          <w:tab w:val="left" w:pos="0"/>
        </w:tabs>
        <w:spacing w:line="276" w:lineRule="auto"/>
        <w:jc w:val="both"/>
        <w:rPr>
          <w:rFonts w:ascii="Verdana" w:hAnsi="Verdana" w:cs="Arial"/>
          <w:noProof/>
          <w:sz w:val="21"/>
          <w:szCs w:val="21"/>
        </w:rPr>
      </w:pPr>
    </w:p>
    <w:p w:rsidRPr="00881D8B" w:rsidR="00B7412F" w:rsidP="00B7412F" w:rsidRDefault="00B7412F" w14:paraId="5B32E1F5" w14:textId="77777777">
      <w:pPr>
        <w:pStyle w:val="Prrafodelista"/>
        <w:numPr>
          <w:ilvl w:val="0"/>
          <w:numId w:val="11"/>
        </w:numPr>
        <w:tabs>
          <w:tab w:val="left" w:pos="0"/>
        </w:tabs>
        <w:spacing w:after="120" w:line="276" w:lineRule="auto"/>
        <w:jc w:val="both"/>
        <w:rPr>
          <w:rFonts w:ascii="Verdana" w:hAnsi="Verdana" w:cs="Arial"/>
          <w:color w:val="000000" w:themeColor="text1"/>
          <w:lang w:val="es-ES_tradnl"/>
        </w:rPr>
      </w:pPr>
      <w:r w:rsidRPr="00881D8B">
        <w:rPr>
          <w:rFonts w:ascii="Verdana" w:hAnsi="Verdana" w:cs="Arial"/>
          <w:color w:val="000000" w:themeColor="text1"/>
          <w:lang w:val="es-ES_tradnl"/>
        </w:rPr>
        <w:t>A partir de las disposiciones citadas, así como la Sentencia de Unificación Jurisprudencial del 9 de septiembre de 2021, proferida por el Consejo de Estado</w:t>
      </w:r>
      <w:r w:rsidRPr="00881D8B">
        <w:rPr>
          <w:rFonts w:ascii="Verdana" w:hAnsi="Verdana"/>
          <w:bCs/>
          <w:vertAlign w:val="superscript"/>
        </w:rPr>
        <w:footnoteReference w:id="2"/>
      </w:r>
      <w:r w:rsidRPr="00881D8B">
        <w:rPr>
          <w:rFonts w:ascii="Verdana" w:hAnsi="Verdana" w:cs="Arial"/>
          <w:color w:val="000000" w:themeColor="text1"/>
          <w:lang w:val="es-ES_tradnl"/>
        </w:rPr>
        <w:t>, es posible señalar las siguientes características del contrato de prestación de servicios</w:t>
      </w:r>
      <w:r w:rsidRPr="00881D8B">
        <w:rPr>
          <w:rFonts w:ascii="Verdana" w:hAnsi="Verdana" w:cs="Arial"/>
          <w:noProof/>
          <w:lang w:val="es-ES_tradnl"/>
        </w:rPr>
        <w:t>:</w:t>
      </w:r>
    </w:p>
    <w:p w:rsidRPr="00881D8B" w:rsidR="00B7412F" w:rsidP="00B7412F" w:rsidRDefault="00B7412F" w14:paraId="4A135722" w14:textId="77777777">
      <w:pPr>
        <w:pStyle w:val="Prrafodelista"/>
        <w:tabs>
          <w:tab w:val="left" w:pos="0"/>
        </w:tabs>
        <w:spacing w:after="120" w:line="276" w:lineRule="auto"/>
        <w:jc w:val="both"/>
        <w:rPr>
          <w:rFonts w:ascii="Verdana" w:hAnsi="Verdana" w:cs="Arial"/>
          <w:color w:val="000000" w:themeColor="text1"/>
          <w:lang w:val="es-ES_tradnl"/>
        </w:rPr>
      </w:pPr>
    </w:p>
    <w:p w:rsidRPr="00881D8B" w:rsidR="00B7412F" w:rsidP="00B7412F" w:rsidRDefault="00B7412F" w14:paraId="6302991A" w14:textId="77777777">
      <w:pPr>
        <w:pStyle w:val="Prrafodelista"/>
        <w:numPr>
          <w:ilvl w:val="0"/>
          <w:numId w:val="12"/>
        </w:numPr>
        <w:tabs>
          <w:tab w:val="left" w:pos="0"/>
        </w:tabs>
        <w:spacing w:after="120" w:line="276" w:lineRule="auto"/>
        <w:jc w:val="both"/>
        <w:rPr>
          <w:rFonts w:ascii="Verdana" w:hAnsi="Verdana" w:cs="Arial"/>
          <w:noProof/>
          <w:lang w:val="es-ES_tradnl"/>
        </w:rPr>
      </w:pPr>
      <w:r w:rsidRPr="00881D8B">
        <w:rPr>
          <w:rFonts w:ascii="Verdana" w:hAnsi="Verdana" w:cs="Arial"/>
          <w:noProof/>
          <w:lang w:val="es-ES_tradnl"/>
        </w:rPr>
        <w:t>Solo puede celebrarse para realizar “actividades relacionadas con la administración o funcionamiento de la entidad”, es decir, que hagan parte de su giro ordinario o quehacer cotidiano</w:t>
      </w:r>
      <w:r w:rsidRPr="00881D8B">
        <w:rPr>
          <w:rFonts w:ascii="Verdana" w:hAnsi="Verdana"/>
          <w:noProof/>
          <w:vertAlign w:val="superscript"/>
          <w:lang w:val="es-ES_tradnl"/>
        </w:rPr>
        <w:footnoteReference w:id="3"/>
      </w:r>
      <w:r w:rsidRPr="00881D8B">
        <w:rPr>
          <w:rFonts w:ascii="Verdana" w:hAnsi="Verdana" w:cs="Arial"/>
          <w:noProof/>
          <w:lang w:val="es-ES_tradnl"/>
        </w:rPr>
        <w:t>.</w:t>
      </w:r>
    </w:p>
    <w:p w:rsidRPr="00881D8B" w:rsidR="00B7412F" w:rsidP="00B7412F" w:rsidRDefault="00B7412F" w14:paraId="75B86DE8" w14:textId="77777777">
      <w:pPr>
        <w:pStyle w:val="Prrafodelista"/>
        <w:numPr>
          <w:ilvl w:val="0"/>
          <w:numId w:val="12"/>
        </w:numPr>
        <w:tabs>
          <w:tab w:val="left" w:pos="0"/>
        </w:tabs>
        <w:spacing w:after="120" w:line="276" w:lineRule="auto"/>
        <w:jc w:val="both"/>
        <w:rPr>
          <w:rFonts w:ascii="Verdana" w:hAnsi="Verdana" w:cs="Arial"/>
          <w:color w:val="000000" w:themeColor="text1"/>
          <w:lang w:val="es-ES_tradnl"/>
        </w:rPr>
      </w:pPr>
      <w:r w:rsidRPr="00881D8B">
        <w:rPr>
          <w:rFonts w:ascii="Verdana" w:hAnsi="Verdana" w:cs="Arial"/>
          <w:noProof/>
          <w:lang w:val="es-ES_tradnl"/>
        </w:rPr>
        <w:t xml:space="preserve">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rsidRPr="00881D8B" w:rsidR="00B7412F" w:rsidP="00B7412F" w:rsidRDefault="00B7412F" w14:paraId="3F5D59F6" w14:textId="77777777">
      <w:pPr>
        <w:pStyle w:val="Prrafodelista"/>
        <w:numPr>
          <w:ilvl w:val="0"/>
          <w:numId w:val="12"/>
        </w:numPr>
        <w:tabs>
          <w:tab w:val="left" w:pos="0"/>
        </w:tabs>
        <w:spacing w:after="120" w:line="276" w:lineRule="auto"/>
        <w:jc w:val="both"/>
        <w:rPr>
          <w:rFonts w:ascii="Verdana" w:hAnsi="Verdana" w:cs="Arial"/>
          <w:color w:val="000000" w:themeColor="text1"/>
          <w:lang w:val="es-ES_tradnl"/>
        </w:rPr>
      </w:pPr>
      <w:r w:rsidRPr="00881D8B">
        <w:rPr>
          <w:rFonts w:ascii="Verdana" w:hAnsi="Verdana" w:cs="Arial"/>
          <w:noProof/>
          <w:lang w:val="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881D8B">
        <w:rPr>
          <w:rFonts w:ascii="Verdana" w:hAnsi="Verdana" w:cs="Arial"/>
          <w:i/>
          <w:noProof/>
          <w:lang w:val="es-ES_tradnl"/>
        </w:rPr>
        <w:t xml:space="preserve">subordinación </w:t>
      </w:r>
      <w:r w:rsidRPr="00881D8B">
        <w:rPr>
          <w:rFonts w:ascii="Verdana" w:hAnsi="Verdana" w:cs="Arial"/>
          <w:iCs/>
          <w:noProof/>
          <w:lang w:val="es-ES_tradnl"/>
        </w:rPr>
        <w:t>ni</w:t>
      </w:r>
      <w:r w:rsidRPr="00881D8B">
        <w:rPr>
          <w:rFonts w:ascii="Verdana" w:hAnsi="Verdana" w:cs="Arial"/>
          <w:i/>
          <w:noProof/>
          <w:lang w:val="es-ES_tradnl"/>
        </w:rPr>
        <w:t xml:space="preserve"> dependencia</w:t>
      </w:r>
      <w:r w:rsidRPr="00881D8B">
        <w:rPr>
          <w:rFonts w:ascii="Verdana" w:hAnsi="Verdana" w:cs="Arial"/>
          <w:iCs/>
          <w:noProof/>
          <w:lang w:val="es-ES_tradnl"/>
        </w:rPr>
        <w:t>,</w:t>
      </w:r>
      <w:r w:rsidRPr="00881D8B">
        <w:rPr>
          <w:rFonts w:ascii="Verdana" w:hAnsi="Verdana" w:cs="Arial"/>
          <w:noProof/>
          <w:lang w:val="es-ES_tradnl"/>
        </w:rPr>
        <w:t xml:space="preserve"> que es uno de los </w:t>
      </w:r>
      <w:r w:rsidRPr="00881D8B">
        <w:rPr>
          <w:rFonts w:ascii="Verdana" w:hAnsi="Verdana" w:cs="Arial"/>
          <w:noProof/>
          <w:lang w:val="es-ES_tradnl"/>
        </w:rPr>
        <w:lastRenderedPageBreak/>
        <w:t>elementos constitutivos del vínculo laboral</w:t>
      </w:r>
      <w:r w:rsidRPr="00881D8B">
        <w:rPr>
          <w:rFonts w:ascii="Verdana" w:hAnsi="Verdana"/>
          <w:noProof/>
          <w:vertAlign w:val="superscript"/>
          <w:lang w:val="es-ES_tradnl"/>
        </w:rPr>
        <w:footnoteReference w:id="4"/>
      </w:r>
      <w:r w:rsidRPr="00881D8B">
        <w:rPr>
          <w:rFonts w:ascii="Verdana" w:hAnsi="Verdana"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881D8B">
        <w:rPr>
          <w:rFonts w:ascii="Verdana" w:hAnsi="Verdana" w:cs="Arial"/>
          <w:i/>
          <w:noProof/>
          <w:lang w:val="es-ES_tradnl"/>
        </w:rPr>
        <w:t>no pueden</w:t>
      </w:r>
      <w:r w:rsidRPr="00881D8B">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881D8B">
        <w:rPr>
          <w:rFonts w:ascii="Verdana" w:hAnsi="Verdana"/>
          <w:noProof/>
          <w:vertAlign w:val="superscript"/>
          <w:lang w:val="es-ES_tradnl"/>
        </w:rPr>
        <w:footnoteReference w:id="5"/>
      </w:r>
      <w:r w:rsidRPr="00881D8B">
        <w:rPr>
          <w:rFonts w:ascii="Verdana" w:hAnsi="Verdana" w:cs="Arial"/>
          <w:noProof/>
          <w:lang w:val="es-ES_tradnl"/>
        </w:rPr>
        <w:t xml:space="preserve">. </w:t>
      </w:r>
    </w:p>
    <w:p w:rsidRPr="00881D8B" w:rsidR="00B7412F" w:rsidP="00B7412F" w:rsidRDefault="00B7412F" w14:paraId="7B5115CB" w14:textId="77777777">
      <w:pPr>
        <w:pStyle w:val="Prrafodelista"/>
        <w:numPr>
          <w:ilvl w:val="0"/>
          <w:numId w:val="12"/>
        </w:numPr>
        <w:tabs>
          <w:tab w:val="left" w:pos="0"/>
        </w:tabs>
        <w:spacing w:after="120" w:line="276" w:lineRule="auto"/>
        <w:jc w:val="both"/>
        <w:rPr>
          <w:rFonts w:ascii="Verdana" w:hAnsi="Verdana" w:cs="Arial"/>
          <w:color w:val="000000" w:themeColor="text1"/>
          <w:lang w:val="es-ES_tradnl"/>
        </w:rPr>
      </w:pPr>
      <w:r w:rsidRPr="00881D8B">
        <w:rPr>
          <w:rFonts w:ascii="Verdana" w:hAnsi="Verdana" w:cs="Arial"/>
          <w:noProof/>
          <w:lang w:val="es-ES_tradnl"/>
        </w:rPr>
        <w:t xml:space="preserve">Deben ser temporales. La mencionada Sentencia de Unificacion Jurisprudencial del Consejo de Estado, frente a la duración del contrato de prestación de servicios señaló que solo puede </w:t>
      </w:r>
      <w:r w:rsidRPr="00881D8B">
        <w:rPr>
          <w:rFonts w:ascii="Verdana" w:hAnsi="Verdana" w:cs="Arial"/>
          <w:noProof/>
          <w:lang w:val="es-ES_tradnl"/>
        </w:rPr>
        <w:lastRenderedPageBreak/>
        <w:t>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rsidRPr="00881D8B" w:rsidR="00B7412F" w:rsidP="00B7412F" w:rsidRDefault="00B7412F" w14:paraId="70BE0E5F" w14:textId="77777777">
      <w:pPr>
        <w:pStyle w:val="Prrafodelista"/>
        <w:tabs>
          <w:tab w:val="left" w:pos="0"/>
        </w:tabs>
        <w:spacing w:after="120" w:line="276" w:lineRule="auto"/>
        <w:ind w:left="1440"/>
        <w:jc w:val="both"/>
        <w:rPr>
          <w:rFonts w:ascii="Verdana" w:hAnsi="Verdana" w:cs="Arial"/>
          <w:noProof/>
          <w:lang w:val="es-ES_tradnl"/>
        </w:rPr>
      </w:pPr>
    </w:p>
    <w:p w:rsidRPr="00881D8B" w:rsidR="00B7412F" w:rsidP="00B7412F" w:rsidRDefault="00B7412F" w14:paraId="463A35A4" w14:textId="77777777">
      <w:pPr>
        <w:pStyle w:val="Prrafodelista"/>
        <w:tabs>
          <w:tab w:val="left" w:pos="0"/>
        </w:tabs>
        <w:spacing w:after="120" w:line="276" w:lineRule="auto"/>
        <w:ind w:left="1440"/>
        <w:jc w:val="both"/>
        <w:rPr>
          <w:rFonts w:ascii="Verdana" w:hAnsi="Verdana" w:cs="Arial"/>
          <w:noProof/>
          <w:lang w:val="es-ES_tradnl"/>
        </w:rPr>
      </w:pPr>
      <w:r w:rsidRPr="00881D8B">
        <w:rPr>
          <w:rFonts w:ascii="Verdana" w:hAnsi="Verdana" w:cs="Arial"/>
          <w:lang w:val="es-MX"/>
        </w:rPr>
        <w:t xml:space="preserve">De igual manera, señaló que “no cabe su empleo para la cobertura indefinida de necesidades permanentes o recurrentes”. </w:t>
      </w:r>
      <w:r w:rsidRPr="00881D8B">
        <w:rPr>
          <w:rFonts w:ascii="Verdana" w:hAnsi="Verdana" w:cs="Arial"/>
          <w:noProof/>
          <w:lang w:val="es-ES_tradnl"/>
        </w:rPr>
        <w:t>En sentido similar se manifestó la Corte Constitucional en la sentencia C-154 de 1997, expresando que:</w:t>
      </w:r>
    </w:p>
    <w:p w:rsidRPr="00881D8B" w:rsidR="00B7412F" w:rsidP="00B7412F" w:rsidRDefault="00B7412F" w14:paraId="4228BA68" w14:textId="77777777">
      <w:pPr>
        <w:pStyle w:val="Prrafodelista"/>
        <w:tabs>
          <w:tab w:val="left" w:pos="0"/>
        </w:tabs>
        <w:spacing w:after="120" w:line="276" w:lineRule="auto"/>
        <w:ind w:left="1440"/>
        <w:jc w:val="both"/>
        <w:rPr>
          <w:rFonts w:ascii="Verdana" w:hAnsi="Verdana" w:cs="Arial"/>
          <w:noProof/>
          <w:lang w:val="es-ES_tradnl"/>
        </w:rPr>
      </w:pPr>
    </w:p>
    <w:p w:rsidRPr="00881D8B" w:rsidR="00B7412F" w:rsidP="00B7412F" w:rsidRDefault="00B7412F" w14:paraId="2F83FBDA" w14:textId="77777777">
      <w:pPr>
        <w:pStyle w:val="Prrafodelista"/>
        <w:tabs>
          <w:tab w:val="left" w:pos="0"/>
        </w:tabs>
        <w:spacing w:after="120" w:line="276" w:lineRule="auto"/>
        <w:ind w:left="1440"/>
        <w:jc w:val="both"/>
        <w:rPr>
          <w:rFonts w:ascii="Verdana" w:hAnsi="Verdana" w:cs="Arial"/>
          <w:noProof/>
          <w:sz w:val="21"/>
          <w:szCs w:val="21"/>
          <w:lang w:val="es-ES_tradnl"/>
        </w:rPr>
      </w:pPr>
      <w:r w:rsidRPr="00881D8B">
        <w:rPr>
          <w:rFonts w:ascii="Verdana" w:hAnsi="Verdana" w:eastAsia="Yu Gothic UI Semibold" w:cs="Arial"/>
          <w:iCs/>
          <w:sz w:val="21"/>
          <w:szCs w:val="21"/>
          <w:lang w:eastAsia="es-MX"/>
        </w:rPr>
        <w:t>“</w:t>
      </w:r>
      <w:r w:rsidRPr="00881D8B">
        <w:rPr>
          <w:rFonts w:ascii="Verdana" w:hAnsi="Verdana" w:cs="Arial"/>
          <w:noProof/>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881D8B">
        <w:rPr>
          <w:rFonts w:ascii="Verdana" w:hAnsi="Verdana" w:cs="Arial"/>
          <w:noProof/>
          <w:sz w:val="21"/>
          <w:szCs w:val="21"/>
          <w:vertAlign w:val="superscript"/>
          <w:lang w:val="es-ES_tradnl"/>
        </w:rPr>
        <w:footnoteReference w:id="6"/>
      </w:r>
      <w:r w:rsidRPr="00881D8B">
        <w:rPr>
          <w:rFonts w:ascii="Verdana" w:hAnsi="Verdana" w:cs="Arial"/>
          <w:noProof/>
          <w:sz w:val="21"/>
          <w:szCs w:val="21"/>
          <w:lang w:val="es-ES_tradnl"/>
        </w:rPr>
        <w:t>.</w:t>
      </w:r>
    </w:p>
    <w:p w:rsidRPr="00881D8B" w:rsidR="00B7412F" w:rsidP="00B7412F" w:rsidRDefault="00B7412F" w14:paraId="7561AC64" w14:textId="77777777">
      <w:pPr>
        <w:pStyle w:val="Prrafodelista"/>
        <w:tabs>
          <w:tab w:val="left" w:pos="0"/>
        </w:tabs>
        <w:spacing w:after="120" w:line="276" w:lineRule="auto"/>
        <w:ind w:left="1440"/>
        <w:jc w:val="both"/>
        <w:rPr>
          <w:rFonts w:ascii="Verdana" w:hAnsi="Verdana" w:cs="Arial"/>
          <w:noProof/>
          <w:sz w:val="21"/>
          <w:szCs w:val="21"/>
          <w:lang w:val="es-ES_tradnl"/>
        </w:rPr>
      </w:pPr>
    </w:p>
    <w:p w:rsidRPr="00881D8B" w:rsidR="00B7412F" w:rsidP="00B7412F" w:rsidRDefault="00B7412F" w14:paraId="3F1F5C22" w14:textId="77777777">
      <w:pPr>
        <w:pStyle w:val="Prrafodelista"/>
        <w:numPr>
          <w:ilvl w:val="0"/>
          <w:numId w:val="12"/>
        </w:numPr>
        <w:tabs>
          <w:tab w:val="left" w:pos="0"/>
        </w:tabs>
        <w:spacing w:after="120" w:line="276" w:lineRule="auto"/>
        <w:jc w:val="both"/>
        <w:rPr>
          <w:rFonts w:ascii="Verdana" w:hAnsi="Verdana" w:eastAsia="Calibri" w:cs="Arial"/>
          <w:color w:val="000000" w:themeColor="text1"/>
          <w:lang w:val="es-ES_tradnl"/>
        </w:rPr>
      </w:pPr>
      <w:r w:rsidRPr="00881D8B">
        <w:rPr>
          <w:rFonts w:ascii="Verdana" w:hAnsi="Verdana" w:cs="Arial"/>
          <w:noProof/>
          <w:lang w:val="es-ES_tradnl"/>
        </w:rPr>
        <w:t xml:space="preserve">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w:t>
      </w:r>
      <w:r w:rsidRPr="00881D8B">
        <w:rPr>
          <w:rFonts w:ascii="Verdana" w:hAnsi="Verdana" w:cs="Arial"/>
          <w:noProof/>
          <w:lang w:val="es-ES_tradnl"/>
        </w:rPr>
        <w:lastRenderedPageBreak/>
        <w:t>componente intelectual y profesional, el objeto del contrato de consultoría es especial y debe celebrarse, por regla general, mediante un concurso de méritos</w:t>
      </w:r>
      <w:r w:rsidRPr="00881D8B">
        <w:rPr>
          <w:rFonts w:ascii="Verdana" w:hAnsi="Verdana" w:cs="Arial"/>
          <w:noProof/>
          <w:vertAlign w:val="superscript"/>
          <w:lang w:val="es-ES_tradnl"/>
        </w:rPr>
        <w:footnoteReference w:id="7"/>
      </w:r>
      <w:r w:rsidRPr="00881D8B">
        <w:rPr>
          <w:rFonts w:ascii="Verdana" w:hAnsi="Verdana" w:cs="Arial"/>
          <w:noProof/>
          <w:lang w:val="es-ES_tradnl"/>
        </w:rPr>
        <w:t>. Esto también se deriva d</w:t>
      </w:r>
      <w:r w:rsidRPr="00881D8B">
        <w:rPr>
          <w:rFonts w:ascii="Verdana" w:hAnsi="Verdana" w:eastAsia="Calibri"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rsidRPr="00881D8B" w:rsidR="00B7412F" w:rsidP="00B7412F" w:rsidRDefault="00B7412F" w14:paraId="311E5C18" w14:textId="77777777">
      <w:pPr>
        <w:pStyle w:val="Prrafodelista"/>
        <w:numPr>
          <w:ilvl w:val="0"/>
          <w:numId w:val="12"/>
        </w:numPr>
        <w:tabs>
          <w:tab w:val="left" w:pos="0"/>
        </w:tabs>
        <w:spacing w:after="120" w:line="276" w:lineRule="auto"/>
        <w:jc w:val="both"/>
        <w:rPr>
          <w:rFonts w:ascii="Verdana" w:hAnsi="Verdana" w:cs="Arial"/>
          <w:color w:val="000000" w:themeColor="text1"/>
          <w:lang w:val="es-ES_tradnl"/>
        </w:rPr>
      </w:pPr>
      <w:r w:rsidRPr="00881D8B">
        <w:rPr>
          <w:rFonts w:ascii="Verdana" w:hAnsi="Verdana" w:cs="Arial"/>
          <w:noProof/>
          <w:lang w:val="es-ES_tradnl"/>
        </w:rPr>
        <w:t>Para su celebración no se requiere expedir un acto administrativo de justificación de la contratación directa</w:t>
      </w:r>
      <w:r w:rsidRPr="00881D8B">
        <w:rPr>
          <w:rFonts w:ascii="Verdana" w:hAnsi="Verdana" w:cs="Arial"/>
          <w:noProof/>
          <w:vertAlign w:val="superscript"/>
          <w:lang w:val="es-ES_tradnl"/>
        </w:rPr>
        <w:footnoteReference w:id="8"/>
      </w:r>
      <w:r w:rsidRPr="00881D8B">
        <w:rPr>
          <w:rFonts w:ascii="Verdana" w:hAnsi="Verdana" w:cs="Arial"/>
          <w:noProof/>
          <w:lang w:val="es-ES_tradnl"/>
        </w:rPr>
        <w:t>.</w:t>
      </w:r>
    </w:p>
    <w:p w:rsidRPr="00881D8B" w:rsidR="00B7412F" w:rsidP="00B7412F" w:rsidRDefault="00B7412F" w14:paraId="74BFD317" w14:textId="77777777">
      <w:pPr>
        <w:pStyle w:val="Prrafodelista"/>
        <w:numPr>
          <w:ilvl w:val="0"/>
          <w:numId w:val="12"/>
        </w:numPr>
        <w:tabs>
          <w:tab w:val="left" w:pos="0"/>
        </w:tabs>
        <w:spacing w:after="120" w:line="276" w:lineRule="auto"/>
        <w:jc w:val="both"/>
        <w:rPr>
          <w:rFonts w:ascii="Verdana" w:hAnsi="Verdana" w:cs="Arial"/>
          <w:color w:val="000000" w:themeColor="text1"/>
          <w:lang w:val="es-ES_tradnl"/>
        </w:rPr>
      </w:pPr>
      <w:r w:rsidRPr="00881D8B">
        <w:rPr>
          <w:rFonts w:ascii="Verdana" w:hAnsi="Verdana" w:cs="Arial"/>
          <w:noProof/>
          <w:lang w:val="es-ES_tradnl"/>
        </w:rPr>
        <w:t xml:space="preserve">El contrato admite la inclusión de cláusulas excepcionales. En los contratos de prestación de servicios se puede pactar la caducidad, la modificación, interpretación o terminación unilateral, como acuerdos o elementos accidentales, así que para ejercer estas </w:t>
      </w:r>
      <w:r w:rsidRPr="00881D8B">
        <w:rPr>
          <w:rFonts w:ascii="Verdana" w:hAnsi="Verdana" w:cs="Arial"/>
          <w:noProof/>
          <w:lang w:val="es-ES_tradnl"/>
        </w:rPr>
        <w:lastRenderedPageBreak/>
        <w:t>exorbitancias deben incluirse expresamente, porque no se entienden pactadas como cláusula de la naturaleza. Así se infiere del artículo 14, numeral 2º, de la Ley 80 de 1993</w:t>
      </w:r>
      <w:r w:rsidRPr="00881D8B">
        <w:rPr>
          <w:rFonts w:ascii="Verdana" w:hAnsi="Verdana"/>
          <w:noProof/>
          <w:vertAlign w:val="superscript"/>
          <w:lang w:val="es-ES_tradnl"/>
        </w:rPr>
        <w:footnoteReference w:id="9"/>
      </w:r>
      <w:r w:rsidRPr="00881D8B">
        <w:rPr>
          <w:rFonts w:ascii="Verdana" w:hAnsi="Verdana" w:cs="Arial"/>
          <w:noProof/>
          <w:lang w:val="es-ES_tradnl"/>
        </w:rPr>
        <w:t>.</w:t>
      </w:r>
    </w:p>
    <w:p w:rsidRPr="00881D8B" w:rsidR="00B7412F" w:rsidP="00B7412F" w:rsidRDefault="00B7412F" w14:paraId="7E121968" w14:textId="77777777">
      <w:pPr>
        <w:pStyle w:val="Prrafodelista"/>
        <w:numPr>
          <w:ilvl w:val="0"/>
          <w:numId w:val="12"/>
        </w:numPr>
        <w:tabs>
          <w:tab w:val="left" w:pos="0"/>
        </w:tabs>
        <w:spacing w:after="120" w:line="276" w:lineRule="auto"/>
        <w:jc w:val="both"/>
        <w:rPr>
          <w:rFonts w:ascii="Verdana" w:hAnsi="Verdana" w:cs="Arial"/>
          <w:color w:val="000000" w:themeColor="text1"/>
          <w:lang w:val="es-ES_tradnl"/>
        </w:rPr>
      </w:pPr>
      <w:r w:rsidRPr="00881D8B">
        <w:rPr>
          <w:rFonts w:ascii="Verdana" w:hAnsi="Verdana" w:cs="Arial"/>
          <w:noProof/>
          <w:lang w:val="es-ES_tradnl"/>
        </w:rPr>
        <w:t>No es obligatoria la liquidación de estos contratos, como lo establece el artículo 217 del Decreto 019 de 2012, que modificó el artículo 60 de la Ley 80 de 1993</w:t>
      </w:r>
      <w:r w:rsidRPr="00881D8B">
        <w:rPr>
          <w:rFonts w:ascii="Verdana" w:hAnsi="Verdana"/>
          <w:noProof/>
          <w:vertAlign w:val="superscript"/>
          <w:lang w:val="es-ES_tradnl"/>
        </w:rPr>
        <w:footnoteReference w:id="10"/>
      </w:r>
      <w:r w:rsidRPr="00881D8B">
        <w:rPr>
          <w:rFonts w:ascii="Verdana" w:hAnsi="Verdana" w:cs="Arial"/>
          <w:noProof/>
          <w:lang w:val="es-ES_tradnl"/>
        </w:rPr>
        <w:t>.</w:t>
      </w:r>
    </w:p>
    <w:p w:rsidRPr="00881D8B" w:rsidR="00B7412F" w:rsidP="00B7412F" w:rsidRDefault="00B7412F" w14:paraId="176594F5" w14:textId="77777777">
      <w:pPr>
        <w:pStyle w:val="Prrafodelista"/>
        <w:numPr>
          <w:ilvl w:val="0"/>
          <w:numId w:val="12"/>
        </w:numPr>
        <w:tabs>
          <w:tab w:val="left" w:pos="0"/>
        </w:tabs>
        <w:spacing w:after="120" w:line="276" w:lineRule="auto"/>
        <w:jc w:val="both"/>
        <w:rPr>
          <w:rFonts w:ascii="Verdana" w:hAnsi="Verdana" w:cs="Arial"/>
          <w:color w:val="000000" w:themeColor="text1"/>
          <w:lang w:val="es-ES_tradnl"/>
        </w:rPr>
      </w:pPr>
      <w:r w:rsidRPr="00881D8B">
        <w:rPr>
          <w:rFonts w:ascii="Verdana" w:hAnsi="Verdana" w:cs="Arial"/>
          <w:noProof/>
          <w:lang w:val="es-ES_tradnl"/>
        </w:rPr>
        <w:t>Para su celebración el contratista no requiere estar inscrito en el Registro Único de Proponentes –en adelante RUP–, como lo señala el artículo 6 de la Ley 1150 de 2007</w:t>
      </w:r>
      <w:r w:rsidRPr="00881D8B">
        <w:rPr>
          <w:rFonts w:ascii="Verdana" w:hAnsi="Verdana"/>
          <w:noProof/>
          <w:vertAlign w:val="superscript"/>
          <w:lang w:val="es-ES_tradnl"/>
        </w:rPr>
        <w:footnoteReference w:id="11"/>
      </w:r>
      <w:r w:rsidRPr="00881D8B">
        <w:rPr>
          <w:rFonts w:ascii="Verdana" w:hAnsi="Verdana" w:cs="Arial"/>
          <w:noProof/>
          <w:lang w:val="es-ES_tradnl"/>
        </w:rPr>
        <w:t>.</w:t>
      </w:r>
    </w:p>
    <w:p w:rsidRPr="00881D8B" w:rsidR="00B7412F" w:rsidP="00B7412F" w:rsidRDefault="00B7412F" w14:paraId="2F103D51" w14:textId="77777777">
      <w:pPr>
        <w:pStyle w:val="Prrafodelista"/>
        <w:numPr>
          <w:ilvl w:val="0"/>
          <w:numId w:val="12"/>
        </w:numPr>
        <w:tabs>
          <w:tab w:val="left" w:pos="0"/>
        </w:tabs>
        <w:spacing w:after="120" w:line="276" w:lineRule="auto"/>
        <w:jc w:val="both"/>
        <w:rPr>
          <w:rFonts w:ascii="Verdana" w:hAnsi="Verdana" w:cs="Arial"/>
          <w:color w:val="000000" w:themeColor="text1"/>
          <w:lang w:val="es-ES_tradnl"/>
        </w:rPr>
      </w:pPr>
      <w:r w:rsidRPr="00881D8B">
        <w:rPr>
          <w:rFonts w:ascii="Verdana" w:hAnsi="Verdana" w:cs="Arial"/>
          <w:noProof/>
          <w:lang w:val="es-ES_tradnl"/>
        </w:rPr>
        <w:lastRenderedPageBreak/>
        <w:t>No es obligtoria la exigencia de garantías</w:t>
      </w:r>
      <w:r w:rsidRPr="00881D8B">
        <w:rPr>
          <w:rFonts w:ascii="Verdana" w:hAnsi="Verdana"/>
          <w:noProof/>
          <w:vertAlign w:val="superscript"/>
          <w:lang w:val="es-ES_tradnl"/>
        </w:rPr>
        <w:footnoteReference w:id="12"/>
      </w:r>
      <w:r w:rsidRPr="00881D8B">
        <w:rPr>
          <w:rFonts w:ascii="Verdana" w:hAnsi="Verdana" w:cs="Arial"/>
          <w:noProof/>
          <w:lang w:val="es-ES_tradnl"/>
        </w:rPr>
        <w:t>.</w:t>
      </w:r>
    </w:p>
    <w:p w:rsidRPr="00881D8B" w:rsidR="00B7412F" w:rsidP="00B7412F" w:rsidRDefault="00B7412F" w14:paraId="1D0D1CC0" w14:textId="77777777">
      <w:pPr>
        <w:pStyle w:val="Prrafodelista"/>
        <w:numPr>
          <w:ilvl w:val="0"/>
          <w:numId w:val="12"/>
        </w:numPr>
        <w:tabs>
          <w:tab w:val="left" w:pos="0"/>
        </w:tabs>
        <w:spacing w:after="120" w:line="276" w:lineRule="auto"/>
        <w:jc w:val="both"/>
        <w:rPr>
          <w:rFonts w:ascii="Verdana" w:hAnsi="Verdana" w:cs="Arial"/>
          <w:color w:val="000000" w:themeColor="text1"/>
          <w:lang w:val="es-ES_tradnl"/>
        </w:rPr>
      </w:pPr>
      <w:r w:rsidRPr="00881D8B">
        <w:rPr>
          <w:rFonts w:ascii="Verdana" w:hAnsi="Verdana" w:cs="Arial"/>
          <w:noProof/>
          <w:lang w:val="es-ES_tradnl"/>
        </w:rPr>
        <w:t>Como los demás contratos estatales, se trata de un contrato solemne que debe constar por escrito y debe ser publicado en el SECOP.</w:t>
      </w:r>
    </w:p>
    <w:p w:rsidRPr="00881D8B" w:rsidR="00B7412F" w:rsidP="00B7412F" w:rsidRDefault="00B7412F" w14:paraId="1B14C0CD" w14:textId="77777777">
      <w:pPr>
        <w:pStyle w:val="Prrafodelista"/>
        <w:numPr>
          <w:ilvl w:val="0"/>
          <w:numId w:val="12"/>
        </w:numPr>
        <w:tabs>
          <w:tab w:val="left" w:pos="0"/>
        </w:tabs>
        <w:spacing w:after="120" w:line="276" w:lineRule="auto"/>
        <w:jc w:val="both"/>
        <w:rPr>
          <w:rFonts w:ascii="Verdana" w:hAnsi="Verdana" w:cs="Arial"/>
          <w:color w:val="000000" w:themeColor="text1"/>
          <w:lang w:val="es-ES_tradnl"/>
        </w:rPr>
      </w:pPr>
      <w:r w:rsidRPr="00881D8B">
        <w:rPr>
          <w:rFonts w:ascii="Verdana" w:hAnsi="Verdana" w:cs="Arial"/>
          <w:color w:val="000000" w:themeColor="text1"/>
        </w:rPr>
        <w:t>C</w:t>
      </w:r>
      <w:r w:rsidRPr="00881D8B">
        <w:rPr>
          <w:rFonts w:ascii="Verdana" w:hAnsi="Verdana" w:cs="Arial"/>
          <w:color w:val="000000" w:themeColor="text1"/>
          <w:lang w:val="es-MX"/>
        </w:rPr>
        <w:t xml:space="preserve">omo especies del género </w:t>
      </w:r>
      <w:r w:rsidRPr="00881D8B">
        <w:rPr>
          <w:rFonts w:ascii="Verdana" w:hAnsi="Verdana" w:cs="Arial"/>
          <w:i/>
          <w:color w:val="000000" w:themeColor="text1"/>
          <w:lang w:val="es-MX"/>
        </w:rPr>
        <w:t>prestación de servicios,</w:t>
      </w:r>
      <w:r w:rsidRPr="00881D8B">
        <w:rPr>
          <w:rFonts w:ascii="Verdana" w:hAnsi="Verdana" w:cs="Arial"/>
          <w:color w:val="000000" w:themeColor="text1"/>
          <w:lang w:val="es-MX"/>
        </w:rPr>
        <w:t xml:space="preserve"> se incluyen </w:t>
      </w:r>
      <w:r w:rsidRPr="00881D8B">
        <w:rPr>
          <w:rFonts w:ascii="Verdana" w:hAnsi="Verdana" w:cs="Arial"/>
          <w:color w:val="000000" w:themeColor="text1"/>
          <w:lang w:val="es-ES_tradnl"/>
        </w:rPr>
        <w:t xml:space="preserve">los </w:t>
      </w:r>
      <w:r w:rsidRPr="00881D8B">
        <w:rPr>
          <w:rFonts w:ascii="Verdana" w:hAnsi="Verdana" w:cs="Arial"/>
          <w:i/>
          <w:iCs/>
          <w:color w:val="000000" w:themeColor="text1"/>
          <w:lang w:val="es-ES_tradnl"/>
        </w:rPr>
        <w:t>contratos de prestación de servicios profesionales, los contratos de prestación de servicios de apoyo a la gestión</w:t>
      </w:r>
      <w:r w:rsidRPr="00881D8B">
        <w:rPr>
          <w:rFonts w:ascii="Verdana" w:hAnsi="Verdana" w:cs="Arial"/>
          <w:color w:val="000000" w:themeColor="text1"/>
          <w:lang w:val="es-ES_tradnl"/>
        </w:rPr>
        <w:t xml:space="preserve"> y los </w:t>
      </w:r>
      <w:r w:rsidRPr="00881D8B">
        <w:rPr>
          <w:rFonts w:ascii="Verdana" w:hAnsi="Verdana" w:cs="Arial"/>
          <w:i/>
          <w:iCs/>
          <w:color w:val="000000" w:themeColor="text1"/>
          <w:lang w:val="es-ES_tradnl"/>
        </w:rPr>
        <w:t>contratos de prestación de servicios artísticos que solo pueden encomendarse a determinadas personas naturales</w:t>
      </w:r>
      <w:r w:rsidRPr="00881D8B">
        <w:rPr>
          <w:rFonts w:ascii="Verdana" w:hAnsi="Verdana"/>
          <w:vertAlign w:val="superscript"/>
          <w:lang w:val="es-ES_tradnl"/>
        </w:rPr>
        <w:footnoteReference w:id="13"/>
      </w:r>
      <w:r w:rsidRPr="00881D8B">
        <w:rPr>
          <w:rFonts w:ascii="Verdana" w:hAnsi="Verdana" w:cs="Arial"/>
          <w:color w:val="000000" w:themeColor="text1"/>
          <w:lang w:val="es-MX"/>
        </w:rPr>
        <w:t xml:space="preserve">. </w:t>
      </w:r>
      <w:r w:rsidRPr="00881D8B">
        <w:rPr>
          <w:rFonts w:ascii="Verdana" w:hAnsi="Verdana" w:cs="Arial"/>
          <w:color w:val="000000" w:themeColor="text1"/>
          <w:lang w:val="es-ES_tradnl"/>
        </w:rPr>
        <w:t xml:space="preserve">La diferencia entre el contrato de prestación de servicios </w:t>
      </w:r>
      <w:r w:rsidRPr="00881D8B">
        <w:rPr>
          <w:rFonts w:ascii="Verdana" w:hAnsi="Verdana" w:cs="Arial"/>
          <w:i/>
          <w:color w:val="000000" w:themeColor="text1"/>
          <w:lang w:val="es-ES_tradnl"/>
        </w:rPr>
        <w:t>profesionales</w:t>
      </w:r>
      <w:r w:rsidRPr="00881D8B">
        <w:rPr>
          <w:rFonts w:ascii="Verdana" w:hAnsi="Verdana"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rsidRPr="00881D8B" w:rsidR="00B7412F" w:rsidP="00B7412F" w:rsidRDefault="00B7412F" w14:paraId="06354427" w14:textId="77777777">
      <w:pPr>
        <w:pStyle w:val="Prrafodelista"/>
        <w:tabs>
          <w:tab w:val="left" w:pos="0"/>
        </w:tabs>
        <w:spacing w:after="120" w:line="276" w:lineRule="auto"/>
        <w:ind w:left="1440"/>
        <w:jc w:val="both"/>
        <w:rPr>
          <w:rFonts w:ascii="Verdana" w:hAnsi="Verdana" w:cs="Arial"/>
          <w:color w:val="000000" w:themeColor="text1"/>
          <w:lang w:val="es-ES_tradnl"/>
        </w:rPr>
      </w:pPr>
      <w:r w:rsidRPr="00881D8B">
        <w:rPr>
          <w:rFonts w:ascii="Verdana" w:hAnsi="Verdana" w:eastAsia="Yu Gothic UI Semibold" w:cs="Arial"/>
          <w:iCs/>
          <w:sz w:val="21"/>
          <w:szCs w:val="21"/>
          <w:lang w:eastAsia="es-MX"/>
        </w:rPr>
        <w:t>“</w:t>
      </w:r>
      <w:r w:rsidRPr="00881D8B">
        <w:rPr>
          <w:rFonts w:ascii="Verdana" w:hAnsi="Verdana" w:cs="Arial"/>
          <w:color w:val="000000" w:themeColor="text1"/>
          <w:sz w:val="21"/>
          <w:szCs w:val="21"/>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w:t>
      </w:r>
      <w:r w:rsidRPr="00881D8B">
        <w:rPr>
          <w:rFonts w:ascii="Verdana" w:hAnsi="Verdana" w:cs="Arial"/>
          <w:color w:val="000000" w:themeColor="text1"/>
          <w:sz w:val="21"/>
          <w:szCs w:val="21"/>
          <w:lang w:val="es-ES_tradnl"/>
        </w:rPr>
        <w:lastRenderedPageBreak/>
        <w:t>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881D8B">
        <w:rPr>
          <w:rFonts w:ascii="Verdana" w:hAnsi="Verdana" w:cs="Arial"/>
          <w:noProof/>
          <w:sz w:val="21"/>
          <w:szCs w:val="21"/>
          <w:lang w:val="es-ES_tradnl"/>
        </w:rPr>
        <w:t>”</w:t>
      </w:r>
      <w:r w:rsidRPr="00881D8B">
        <w:rPr>
          <w:rFonts w:ascii="Verdana" w:hAnsi="Verdana"/>
          <w:vertAlign w:val="superscript"/>
          <w:lang w:val="es-ES_tradnl"/>
        </w:rPr>
        <w:footnoteReference w:id="14"/>
      </w:r>
      <w:r w:rsidRPr="00881D8B">
        <w:rPr>
          <w:rFonts w:ascii="Verdana" w:hAnsi="Verdana" w:cs="Arial"/>
          <w:color w:val="000000" w:themeColor="text1"/>
          <w:sz w:val="21"/>
          <w:szCs w:val="21"/>
          <w:lang w:val="es-ES_tradnl"/>
        </w:rPr>
        <w:t>.</w:t>
      </w:r>
    </w:p>
    <w:p w:rsidRPr="00881D8B" w:rsidR="00B7412F" w:rsidP="00B7412F" w:rsidRDefault="00B7412F" w14:paraId="4484512D" w14:textId="77777777">
      <w:pPr>
        <w:spacing w:line="276" w:lineRule="auto"/>
        <w:ind w:firstLine="709"/>
        <w:contextualSpacing/>
        <w:jc w:val="both"/>
        <w:rPr>
          <w:rFonts w:ascii="Verdana" w:hAnsi="Verdana" w:cs="Arial"/>
          <w:color w:val="000000" w:themeColor="text1"/>
          <w:lang w:val="es-ES_tradnl"/>
        </w:rPr>
      </w:pPr>
    </w:p>
    <w:p w:rsidRPr="00881D8B" w:rsidR="00B7412F" w:rsidP="00B7412F" w:rsidRDefault="00B7412F" w14:paraId="232B105A" w14:textId="77777777">
      <w:pPr>
        <w:pStyle w:val="Prrafodelista"/>
        <w:numPr>
          <w:ilvl w:val="0"/>
          <w:numId w:val="11"/>
        </w:numPr>
        <w:tabs>
          <w:tab w:val="left" w:pos="709"/>
        </w:tabs>
        <w:spacing w:after="120" w:line="276" w:lineRule="auto"/>
        <w:jc w:val="both"/>
        <w:rPr>
          <w:rFonts w:ascii="Verdana" w:hAnsi="Verdana" w:cs="Arial"/>
          <w:color w:val="000000"/>
          <w:lang w:val="es-MX" w:eastAsia="es-ES"/>
        </w:rPr>
      </w:pPr>
      <w:r w:rsidRPr="00881D8B">
        <w:rPr>
          <w:rFonts w:ascii="Verdana" w:hAnsi="Verdana" w:cs="Arial"/>
          <w:color w:val="000000"/>
          <w:lang w:val="es-MX" w:eastAsia="es-ES"/>
        </w:rPr>
        <w:t xml:space="preserve">El Estatuto General de Contratación para la Administración Pública – EGCAP– no establece una diferencia entre los conceptos de prórroga, adición y renovación de los contratos estatales, por ello resulta necesario recurrir a otras disposiciones y aportes doctrinarios para distinguirlos. Como distinción inicial, se tiene que el concepto </w:t>
      </w:r>
      <w:r w:rsidRPr="00881D8B">
        <w:rPr>
          <w:rFonts w:ascii="Verdana" w:hAnsi="Verdana" w:cs="Arial"/>
          <w:i/>
          <w:color w:val="000000"/>
          <w:lang w:val="es-MX" w:eastAsia="es-ES"/>
        </w:rPr>
        <w:t>prórroga</w:t>
      </w:r>
      <w:r w:rsidRPr="00881D8B">
        <w:rPr>
          <w:rFonts w:ascii="Verdana" w:hAnsi="Verdana" w:cs="Arial"/>
          <w:color w:val="000000"/>
          <w:lang w:val="es-MX" w:eastAsia="es-ES"/>
        </w:rPr>
        <w:t xml:space="preserve"> está particularmente ligado con la modificación ―ampliación― del plazo de los contratos; las </w:t>
      </w:r>
      <w:r w:rsidRPr="00881D8B">
        <w:rPr>
          <w:rFonts w:ascii="Verdana" w:hAnsi="Verdana" w:cs="Arial"/>
          <w:i/>
          <w:color w:val="000000"/>
          <w:lang w:val="es-MX" w:eastAsia="es-ES"/>
        </w:rPr>
        <w:t>adiciones</w:t>
      </w:r>
      <w:r w:rsidRPr="00881D8B">
        <w:rPr>
          <w:rFonts w:ascii="Verdana" w:hAnsi="Verdana" w:cs="Arial"/>
          <w:color w:val="000000"/>
          <w:lang w:val="es-MX" w:eastAsia="es-ES"/>
        </w:rPr>
        <w:t xml:space="preserve"> con el incremento del valor, debido a la inclusión de nuevas obligaciones, sea por la introducción de nuevas actividades o por la ejecución de una mayor cantidad de las pactadas inicialmente; y la </w:t>
      </w:r>
      <w:r w:rsidRPr="00881D8B">
        <w:rPr>
          <w:rFonts w:ascii="Verdana" w:hAnsi="Verdana" w:cs="Arial"/>
          <w:i/>
          <w:color w:val="000000"/>
          <w:lang w:val="es-MX" w:eastAsia="es-ES"/>
        </w:rPr>
        <w:t>renovación</w:t>
      </w:r>
      <w:r w:rsidRPr="00881D8B">
        <w:rPr>
          <w:rFonts w:ascii="Verdana" w:hAnsi="Verdana" w:cs="Arial"/>
          <w:color w:val="000000"/>
          <w:lang w:val="es-MX" w:eastAsia="es-ES"/>
        </w:rPr>
        <w:t xml:space="preserve"> con el nacimiento de un nuevo contrato, con condiciones similares o idénticas al contrato inicial.</w:t>
      </w:r>
    </w:p>
    <w:p w:rsidRPr="00881D8B" w:rsidR="00B7412F" w:rsidP="00B7412F" w:rsidRDefault="00B7412F" w14:paraId="461F20D7" w14:textId="77777777">
      <w:pPr>
        <w:pStyle w:val="Prrafodelista"/>
        <w:tabs>
          <w:tab w:val="left" w:pos="709"/>
        </w:tabs>
        <w:spacing w:after="120" w:line="276" w:lineRule="auto"/>
        <w:jc w:val="both"/>
        <w:rPr>
          <w:rFonts w:ascii="Verdana" w:hAnsi="Verdana" w:cs="Arial"/>
          <w:color w:val="000000"/>
          <w:lang w:val="es-MX" w:eastAsia="es-ES"/>
        </w:rPr>
      </w:pPr>
    </w:p>
    <w:p w:rsidRPr="00881D8B" w:rsidR="00B7412F" w:rsidP="00B7412F" w:rsidRDefault="00B7412F" w14:paraId="333BB145" w14:textId="77777777">
      <w:pPr>
        <w:pStyle w:val="Prrafodelista"/>
        <w:numPr>
          <w:ilvl w:val="0"/>
          <w:numId w:val="11"/>
        </w:numPr>
        <w:tabs>
          <w:tab w:val="left" w:pos="709"/>
        </w:tabs>
        <w:spacing w:after="120" w:line="276" w:lineRule="auto"/>
        <w:jc w:val="both"/>
        <w:rPr>
          <w:rFonts w:ascii="Verdana" w:hAnsi="Verdana" w:eastAsia="Arial" w:cs="Arial"/>
        </w:rPr>
      </w:pPr>
      <w:r w:rsidRPr="00881D8B">
        <w:rPr>
          <w:rFonts w:ascii="Verdana" w:hAnsi="Verdana" w:eastAsia="Arial" w:cs="Arial"/>
        </w:rPr>
        <w:t xml:space="preserve">Estas distinciones guardan relación con el uso común de los conceptos, es decir, no reducido a su significación jurídica. En efecto, el Diccionario de la Lengua Española ―DLE― define la prórroga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adición, el DLE señala que consiste en la acción y efecto de añadir, definiendo añadir como: “1. tr. Agregar, incorporar algo a otra cosa. 2. tr. Aumentar, acrecentar, ampliar”. Como se observa, la adición en relación con los contratos implicaría incorporar nuevas obligaciones, lo que en los contratos </w:t>
      </w:r>
      <w:r w:rsidRPr="00881D8B">
        <w:rPr>
          <w:rFonts w:ascii="Verdana" w:hAnsi="Verdana" w:eastAsia="Arial" w:cs="Arial"/>
        </w:rPr>
        <w:lastRenderedPageBreak/>
        <w:t>estatales aparejaría un incremento en la contraprestación, es decir, en el precio. Finalmente, el diccionario indica que la renovación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rsidRPr="00881D8B" w:rsidR="00B7412F" w:rsidP="00B7412F" w:rsidRDefault="00B7412F" w14:paraId="140C83C1" w14:textId="77777777">
      <w:pPr>
        <w:pStyle w:val="Prrafodelista"/>
        <w:tabs>
          <w:tab w:val="left" w:pos="709"/>
        </w:tabs>
        <w:spacing w:after="120" w:line="276" w:lineRule="auto"/>
        <w:jc w:val="both"/>
        <w:rPr>
          <w:rFonts w:ascii="Verdana" w:hAnsi="Verdana" w:eastAsia="Arial" w:cs="Arial"/>
        </w:rPr>
      </w:pPr>
    </w:p>
    <w:p w:rsidRPr="00881D8B" w:rsidR="00B7412F" w:rsidP="00B7412F" w:rsidRDefault="00B7412F" w14:paraId="3F2734DE" w14:textId="77777777">
      <w:pPr>
        <w:pStyle w:val="Prrafodelista"/>
        <w:numPr>
          <w:ilvl w:val="0"/>
          <w:numId w:val="11"/>
        </w:numPr>
        <w:tabs>
          <w:tab w:val="left" w:pos="709"/>
        </w:tabs>
        <w:spacing w:line="276" w:lineRule="auto"/>
        <w:jc w:val="both"/>
        <w:rPr>
          <w:rFonts w:ascii="Verdana" w:hAnsi="Verdana" w:eastAsia="Arial" w:cs="Arial"/>
        </w:rPr>
      </w:pPr>
      <w:r w:rsidRPr="00881D8B">
        <w:rPr>
          <w:rFonts w:ascii="Verdana" w:hAnsi="Verdana" w:eastAsia="Arial" w:cs="Arial"/>
        </w:rPr>
        <w:t xml:space="preserve">Algunos doctrinantes del contrato estatal se han esforzado en señalar las diferencias entre los conceptos de adición y prórroga, que son comúnmente utilizados en estos contratos; no así en relación con el concepto de renovación, cuya diferencia con la prórroga es desarrollada por la jurisprudencia y la doctrina del derecho privado, en vista de que aquel concepto es propio de los contratos de arrendamiento, concluyendo que la prórroga consiste en extender los efectos de un contrato por un término mayor, es decir, prorrogar el mismo contrato; mientras que la renovación consiste en la celebración de un nuevo contrato, al indicar que “el renovado es uno nuevo”. En efecto, la Corte Suprema de Justicia, en sentencia del 8 de octubre de 1997, Exp. 4.818 (M.P. Pedro Lafont Pianetta), indicó: </w:t>
      </w:r>
    </w:p>
    <w:p w:rsidRPr="00881D8B" w:rsidR="00B7412F" w:rsidP="00B7412F" w:rsidRDefault="00B7412F" w14:paraId="5E23F380" w14:textId="77777777">
      <w:pPr>
        <w:spacing w:line="276" w:lineRule="auto"/>
        <w:jc w:val="both"/>
        <w:rPr>
          <w:rFonts w:ascii="Verdana" w:hAnsi="Verdana" w:cs="Arial"/>
          <w:color w:val="000000"/>
          <w:lang w:val="es-MX" w:eastAsia="es-ES"/>
        </w:rPr>
      </w:pPr>
    </w:p>
    <w:p w:rsidRPr="00881D8B" w:rsidR="00B7412F" w:rsidP="00B7412F" w:rsidRDefault="00B7412F" w14:paraId="244160F3" w14:textId="77777777">
      <w:pPr>
        <w:spacing w:line="276" w:lineRule="auto"/>
        <w:ind w:left="709" w:right="709"/>
        <w:jc w:val="both"/>
        <w:rPr>
          <w:rFonts w:ascii="Verdana" w:hAnsi="Verdana" w:eastAsia="Calibri" w:cs="Arial"/>
          <w:color w:val="000000"/>
          <w:sz w:val="21"/>
          <w:szCs w:val="21"/>
          <w:lang w:val="es-ES"/>
        </w:rPr>
      </w:pPr>
      <w:r w:rsidRPr="00881D8B">
        <w:rPr>
          <w:rFonts w:ascii="Verdana" w:hAnsi="Verdana" w:eastAsia="Yu Gothic UI Semibold" w:cs="Arial"/>
          <w:iCs/>
          <w:sz w:val="21"/>
          <w:szCs w:val="21"/>
          <w:lang w:eastAsia="es-MX"/>
        </w:rPr>
        <w:t>“</w:t>
      </w:r>
      <w:r w:rsidRPr="00881D8B">
        <w:rPr>
          <w:rFonts w:ascii="Verdana" w:hAnsi="Verdana" w:eastAsia="Calibri" w:cs="Arial"/>
          <w:color w:val="000000"/>
          <w:sz w:val="21"/>
          <w:szCs w:val="21"/>
          <w:lang w:val="es-ES"/>
        </w:rPr>
        <w:t xml:space="preserve">El derecho a la </w:t>
      </w:r>
      <w:r w:rsidRPr="00881D8B">
        <w:rPr>
          <w:rFonts w:ascii="Verdana" w:hAnsi="Verdana" w:eastAsia="Calibri" w:cs="Arial"/>
          <w:i/>
          <w:color w:val="000000"/>
          <w:sz w:val="21"/>
          <w:szCs w:val="21"/>
          <w:lang w:val="es-ES"/>
        </w:rPr>
        <w:t>renovación</w:t>
      </w:r>
      <w:r w:rsidRPr="00881D8B">
        <w:rPr>
          <w:rFonts w:ascii="Verdana" w:hAnsi="Verdana" w:eastAsia="Calibri" w:cs="Arial"/>
          <w:color w:val="000000"/>
          <w:sz w:val="21"/>
          <w:szCs w:val="21"/>
          <w:lang w:val="es-ES"/>
        </w:rPr>
        <w:t xml:space="preserve"> del contrato para el </w:t>
      </w:r>
      <w:hyperlink w:history="1" r:id="rId12">
        <w:r w:rsidRPr="00881D8B">
          <w:rPr>
            <w:rFonts w:ascii="Verdana" w:hAnsi="Verdana" w:eastAsia="Calibri" w:cs="Arial"/>
            <w:color w:val="000000"/>
            <w:sz w:val="21"/>
            <w:szCs w:val="21"/>
            <w:lang w:val="es-ES"/>
          </w:rPr>
          <w:t>comerciante</w:t>
        </w:r>
      </w:hyperlink>
      <w:r w:rsidRPr="00881D8B">
        <w:rPr>
          <w:rFonts w:ascii="Verdana" w:hAnsi="Verdana" w:eastAsia="Calibri" w:cs="Arial"/>
          <w:color w:val="000000"/>
          <w:sz w:val="21"/>
          <w:szCs w:val="21"/>
          <w:lang w:val="es-ES"/>
        </w:rPr>
        <w:t xml:space="preserve"> que haya ocupado el inmueble con un mismo establecimiento mercantil por lapso no inferior a dos años consecutivos, derecho este respecto del cual, precisó la Corte en sentencia de su sala Plena proferida el 20 de noviembre de 1971, que no ha de confundirse con la prórroga del contrato, pues </w:t>
      </w:r>
      <w:r w:rsidRPr="00881D8B">
        <w:rPr>
          <w:rFonts w:ascii="Verdana" w:hAnsi="Verdana" w:eastAsia="Calibri" w:cs="Arial"/>
          <w:i/>
          <w:color w:val="000000"/>
          <w:sz w:val="21"/>
          <w:szCs w:val="21"/>
          <w:lang w:val="es-ES"/>
        </w:rPr>
        <w:t xml:space="preserve">el renovado es uno nuevo, que puede acordarse o </w:t>
      </w:r>
      <w:r w:rsidRPr="00881D8B">
        <w:rPr>
          <w:rFonts w:ascii="Verdana" w:hAnsi="Verdana" w:eastAsia="Calibri" w:cs="Arial"/>
          <w:i/>
          <w:color w:val="000000"/>
          <w:sz w:val="21"/>
          <w:szCs w:val="21"/>
          <w:lang w:val="es-ES"/>
        </w:rPr>
        <w:lastRenderedPageBreak/>
        <w:t>celebrarse con sujeción a las circunstancias especialmente en cuanto a </w:t>
      </w:r>
      <w:hyperlink w:history="1" r:id="rId13">
        <w:r w:rsidRPr="00881D8B">
          <w:rPr>
            <w:rFonts w:ascii="Verdana" w:hAnsi="Verdana" w:eastAsia="Calibri" w:cs="Arial"/>
            <w:i/>
            <w:color w:val="000000"/>
            <w:sz w:val="21"/>
            <w:szCs w:val="21"/>
            <w:lang w:val="es-ES"/>
          </w:rPr>
          <w:t>precio</w:t>
        </w:r>
      </w:hyperlink>
      <w:r w:rsidRPr="00881D8B">
        <w:rPr>
          <w:rFonts w:ascii="Verdana" w:hAnsi="Verdana" w:eastAsia="Calibri" w:cs="Arial"/>
          <w:i/>
          <w:color w:val="000000"/>
          <w:sz w:val="21"/>
          <w:szCs w:val="21"/>
          <w:lang w:val="es-ES"/>
        </w:rPr>
        <w:t> y utilización de la cosa arrendada</w:t>
      </w:r>
      <w:r w:rsidRPr="00881D8B">
        <w:rPr>
          <w:rFonts w:ascii="Verdana" w:hAnsi="Verdana" w:cs="Arial"/>
          <w:noProof/>
          <w:sz w:val="21"/>
          <w:szCs w:val="21"/>
          <w:lang w:val="es-ES_tradnl"/>
        </w:rPr>
        <w:t>”</w:t>
      </w:r>
      <w:r w:rsidRPr="00881D8B">
        <w:rPr>
          <w:rFonts w:ascii="Verdana" w:hAnsi="Verdana" w:eastAsia="Calibri" w:cs="Arial"/>
          <w:color w:val="000000"/>
          <w:sz w:val="21"/>
          <w:szCs w:val="21"/>
          <w:vertAlign w:val="superscript"/>
          <w:lang w:val="es-ES"/>
        </w:rPr>
        <w:footnoteReference w:id="15"/>
      </w:r>
      <w:r w:rsidRPr="00881D8B">
        <w:rPr>
          <w:rFonts w:ascii="Verdana" w:hAnsi="Verdana" w:eastAsia="Calibri" w:cs="Arial"/>
          <w:color w:val="000000"/>
          <w:sz w:val="21"/>
          <w:szCs w:val="21"/>
          <w:lang w:val="es-ES"/>
        </w:rPr>
        <w:t>. [Cursiva fuera de texto]</w:t>
      </w:r>
    </w:p>
    <w:p w:rsidRPr="00881D8B" w:rsidR="00B7412F" w:rsidP="00B7412F" w:rsidRDefault="00B7412F" w14:paraId="7B310FE2" w14:textId="77777777">
      <w:pPr>
        <w:tabs>
          <w:tab w:val="left" w:pos="709"/>
        </w:tabs>
        <w:spacing w:line="276" w:lineRule="auto"/>
        <w:jc w:val="both"/>
        <w:rPr>
          <w:rFonts w:ascii="Verdana" w:hAnsi="Verdana" w:eastAsia="Arial" w:cs="Arial"/>
          <w:lang w:val="es-ES"/>
        </w:rPr>
      </w:pPr>
      <w:r w:rsidRPr="00881D8B">
        <w:rPr>
          <w:rFonts w:ascii="Verdana" w:hAnsi="Verdana" w:eastAsia="Arial" w:cs="Arial"/>
          <w:lang w:val="es-ES"/>
        </w:rPr>
        <w:tab/>
      </w:r>
    </w:p>
    <w:p w:rsidRPr="006D702C" w:rsidR="00B7412F" w:rsidP="00B7412F" w:rsidRDefault="00B7412F" w14:paraId="243B477E" w14:textId="77777777">
      <w:pPr>
        <w:pStyle w:val="Prrafodelista"/>
        <w:numPr>
          <w:ilvl w:val="0"/>
          <w:numId w:val="13"/>
        </w:numPr>
        <w:tabs>
          <w:tab w:val="left" w:pos="709"/>
        </w:tabs>
        <w:spacing w:line="276" w:lineRule="auto"/>
        <w:jc w:val="both"/>
        <w:rPr>
          <w:rFonts w:ascii="Verdana" w:hAnsi="Verdana" w:eastAsia="Arial" w:cs="Arial"/>
        </w:rPr>
      </w:pPr>
      <w:r w:rsidRPr="00881D8B">
        <w:rPr>
          <w:rFonts w:ascii="Verdana" w:hAnsi="Verdana" w:eastAsia="Arial" w:cs="Arial"/>
        </w:rPr>
        <w:t xml:space="preserve">Con base en lo anterior, puede colegirse que la renovación de los contratos estatales se entiende como la suscripción de uno nuevo con características similares al anterior, con un mismo objeto, pero bajo condiciones </w:t>
      </w:r>
      <w:r w:rsidRPr="006D702C">
        <w:rPr>
          <w:rFonts w:ascii="Verdana" w:hAnsi="Verdana" w:eastAsia="Arial" w:cs="Arial"/>
        </w:rPr>
        <w:t>diferentes atinentes a su valor y plazo.</w:t>
      </w:r>
    </w:p>
    <w:p w:rsidRPr="006D702C" w:rsidR="00B7412F" w:rsidP="00B7412F" w:rsidRDefault="00B7412F" w14:paraId="11325FF4" w14:textId="77777777">
      <w:pPr>
        <w:spacing w:after="0" w:line="276" w:lineRule="auto"/>
        <w:jc w:val="both"/>
        <w:rPr>
          <w:rFonts w:ascii="Verdana" w:hAnsi="Verdana" w:eastAsia="Calibri" w:cs="Arial"/>
          <w:lang w:val="es-ES"/>
        </w:rPr>
      </w:pPr>
    </w:p>
    <w:p w:rsidRPr="006D702C" w:rsidR="00B7412F" w:rsidP="00B7412F" w:rsidRDefault="00B7412F" w14:paraId="5497C970" w14:textId="77777777">
      <w:pPr>
        <w:widowControl w:val="0"/>
        <w:autoSpaceDE w:val="0"/>
        <w:autoSpaceDN w:val="0"/>
        <w:spacing w:after="0" w:line="276" w:lineRule="auto"/>
        <w:jc w:val="both"/>
        <w:rPr>
          <w:rFonts w:ascii="Verdana" w:hAnsi="Verdana" w:cs="Arial"/>
        </w:rPr>
      </w:pPr>
    </w:p>
    <w:p w:rsidRPr="006D702C" w:rsidR="00B7412F" w:rsidP="00B7412F" w:rsidRDefault="00B7412F" w14:paraId="5E17B78F"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6D702C">
        <w:rPr>
          <w:rFonts w:ascii="Verdana" w:hAnsi="Verdana" w:eastAsia="Century Gothic" w:cs="Century Gothic"/>
          <w:b/>
          <w:bCs/>
        </w:rPr>
        <w:t>Referencias normativas, jurisprudenciales y otras fuentes:</w:t>
      </w:r>
    </w:p>
    <w:p w:rsidRPr="00881D8B" w:rsidR="00B7412F" w:rsidP="00B7412F" w:rsidRDefault="00B7412F" w14:paraId="4EE9DC0A"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881D8B" w:rsidR="00B7412F" w:rsidTr="00790675" w14:paraId="202F1550" w14:textId="77777777">
        <w:trPr>
          <w:trHeight w:val="870"/>
        </w:trPr>
        <w:tc>
          <w:tcPr>
            <w:tcW w:w="8647" w:type="dxa"/>
          </w:tcPr>
          <w:p w:rsidRPr="00881D8B" w:rsidR="00B7412F" w:rsidP="00B7412F" w:rsidRDefault="00B7412F" w14:paraId="7CAB4578" w14:textId="77777777">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881D8B">
              <w:rPr>
                <w:rFonts w:ascii="Verdana" w:hAnsi="Verdana" w:cs="Arial"/>
                <w:color w:val="000000" w:themeColor="text1"/>
                <w:lang w:val="es-MX"/>
              </w:rPr>
              <w:t>Ley 80 de 1993</w:t>
            </w:r>
            <w:r>
              <w:rPr>
                <w:rFonts w:ascii="Verdana" w:hAnsi="Verdana" w:cs="Arial"/>
                <w:color w:val="000000" w:themeColor="text1"/>
                <w:lang w:val="es-MX"/>
              </w:rPr>
              <w:t xml:space="preserve"> </w:t>
            </w:r>
            <w:r w:rsidRPr="00881D8B">
              <w:rPr>
                <w:rFonts w:ascii="Verdana" w:hAnsi="Verdana" w:cs="Arial"/>
                <w:color w:val="000000" w:themeColor="text1"/>
                <w:lang w:val="es-MX"/>
              </w:rPr>
              <w:t>numeral 3 del artículo 32</w:t>
            </w:r>
            <w:r>
              <w:rPr>
                <w:rFonts w:ascii="Verdana" w:hAnsi="Verdana" w:cs="Arial"/>
                <w:color w:val="000000" w:themeColor="text1"/>
                <w:lang w:val="es-MX"/>
              </w:rPr>
              <w:t>, artículo 14 numeral 2</w:t>
            </w:r>
            <w:r w:rsidRPr="00881D8B">
              <w:rPr>
                <w:rFonts w:ascii="Verdana" w:hAnsi="Verdana" w:cs="Arial"/>
                <w:color w:val="000000" w:themeColor="text1"/>
                <w:lang w:val="es-MX"/>
              </w:rPr>
              <w:t>,</w:t>
            </w:r>
            <w:r w:rsidRPr="00881D8B">
              <w:rPr>
                <w:rFonts w:ascii="Verdana" w:hAnsi="Verdana" w:eastAsia="Calibri" w:cs="Arial"/>
                <w:color w:val="000000" w:themeColor="text1"/>
                <w:lang w:val="es-ES_tradnl"/>
              </w:rPr>
              <w:t xml:space="preserve"> Ley 1150 de 2007</w:t>
            </w:r>
            <w:r>
              <w:rPr>
                <w:rFonts w:ascii="Verdana" w:hAnsi="Verdana" w:eastAsia="Calibri" w:cs="Arial"/>
                <w:color w:val="000000" w:themeColor="text1"/>
                <w:lang w:val="es-ES_tradnl"/>
              </w:rPr>
              <w:t xml:space="preserve"> de los </w:t>
            </w:r>
            <w:r w:rsidRPr="00881D8B">
              <w:rPr>
                <w:rFonts w:ascii="Verdana" w:hAnsi="Verdana" w:eastAsia="Calibri" w:cs="Arial"/>
                <w:color w:val="000000" w:themeColor="text1"/>
                <w:lang w:val="es-ES_tradnl"/>
              </w:rPr>
              <w:t>artículo</w:t>
            </w:r>
            <w:r>
              <w:rPr>
                <w:rFonts w:ascii="Verdana" w:hAnsi="Verdana" w:eastAsia="Calibri" w:cs="Arial"/>
                <w:color w:val="000000" w:themeColor="text1"/>
                <w:lang w:val="es-ES_tradnl"/>
              </w:rPr>
              <w:t>s</w:t>
            </w:r>
            <w:r w:rsidRPr="00881D8B">
              <w:rPr>
                <w:rFonts w:ascii="Verdana" w:hAnsi="Verdana" w:eastAsia="Calibri" w:cs="Arial"/>
                <w:color w:val="000000" w:themeColor="text1"/>
                <w:lang w:val="es-ES_tradnl"/>
              </w:rPr>
              <w:t xml:space="preserve"> 2</w:t>
            </w:r>
            <w:r>
              <w:rPr>
                <w:rFonts w:ascii="Verdana" w:hAnsi="Verdana" w:eastAsia="Calibri" w:cs="Arial"/>
                <w:color w:val="000000" w:themeColor="text1"/>
                <w:lang w:val="es-ES_tradnl"/>
              </w:rPr>
              <w:t xml:space="preserve"> y 6,</w:t>
            </w:r>
            <w:r w:rsidRPr="00881D8B">
              <w:rPr>
                <w:rFonts w:ascii="Verdana" w:hAnsi="Verdana" w:eastAsia="Calibri" w:cs="Arial"/>
                <w:color w:val="000000" w:themeColor="text1"/>
                <w:lang w:val="es-ES_tradnl"/>
              </w:rPr>
              <w:t xml:space="preserve"> numeral 4º, literal h), </w:t>
            </w:r>
            <w:r w:rsidRPr="00881D8B">
              <w:rPr>
                <w:rFonts w:ascii="Verdana" w:hAnsi="Verdana" w:cs="Arial"/>
                <w:noProof/>
                <w:lang w:val="es-ES_tradnl"/>
              </w:rPr>
              <w:t>Decreto 1082 de 2015 en el Artículo 2.2.1.2.1.4.9.</w:t>
            </w:r>
            <w:r>
              <w:rPr>
                <w:rFonts w:ascii="Verdana" w:hAnsi="Verdana" w:cs="Arial"/>
                <w:noProof/>
                <w:lang w:val="es-ES_tradnl"/>
              </w:rPr>
              <w:t xml:space="preserve">, </w:t>
            </w:r>
            <w:r w:rsidRPr="00881D8B">
              <w:rPr>
                <w:rFonts w:ascii="Verdana" w:hAnsi="Verdana" w:cs="Arial"/>
                <w:noProof/>
                <w:lang w:val="es-ES_tradnl"/>
              </w:rPr>
              <w:t xml:space="preserve">Decreto 019 de </w:t>
            </w:r>
            <w:r w:rsidRPr="006D702C">
              <w:rPr>
                <w:rFonts w:ascii="Verdana" w:hAnsi="Verdana" w:cs="Arial"/>
                <w:noProof/>
                <w:lang w:val="es-ES_tradnl"/>
              </w:rPr>
              <w:t>2012 artículo</w:t>
            </w:r>
            <w:r w:rsidRPr="00881D8B">
              <w:rPr>
                <w:rFonts w:ascii="Verdana" w:hAnsi="Verdana" w:cs="Arial"/>
                <w:noProof/>
                <w:lang w:val="es-ES_tradnl"/>
              </w:rPr>
              <w:t xml:space="preserve"> 217 </w:t>
            </w:r>
            <w:r>
              <w:rPr>
                <w:rFonts w:ascii="Verdana" w:hAnsi="Verdana" w:cs="Arial"/>
                <w:noProof/>
                <w:lang w:val="es-ES_tradnl"/>
              </w:rPr>
              <w:t>.</w:t>
            </w:r>
            <w:r w:rsidRPr="00881D8B">
              <w:rPr>
                <w:rFonts w:ascii="Verdana" w:hAnsi="Verdana" w:cs="Arial"/>
                <w:noProof/>
                <w:lang w:val="es-ES_tradnl"/>
              </w:rPr>
              <w:t xml:space="preserve"> </w:t>
            </w:r>
          </w:p>
          <w:p w:rsidRPr="00881D8B" w:rsidR="00B7412F" w:rsidP="00B7412F" w:rsidRDefault="00B7412F" w14:paraId="519504A1" w14:textId="77777777">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6D702C">
              <w:rPr>
                <w:rFonts w:ascii="Verdana" w:hAnsi="Verdana" w:cs="Arial"/>
              </w:rPr>
              <w:t>Consejo de Estado. Sección Segunda. Sentencia del 9 de septiembre de 2021. Expediente No. 05001-23-33-000-2013-01143-01(1317-16). M.P. Dra. Sandra Lisset Ibarra Vélez.</w:t>
            </w:r>
          </w:p>
          <w:p w:rsidRPr="00881D8B" w:rsidR="00B7412F" w:rsidP="00B7412F" w:rsidRDefault="00B7412F" w14:paraId="5CDF6E07" w14:textId="77777777">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881D8B">
              <w:rPr>
                <w:rFonts w:ascii="Verdana" w:hAnsi="Verdana" w:cs="Arial"/>
              </w:rPr>
              <w:t xml:space="preserve">Circular Externa Única del 27 de diciembre de 2023. Disponible en: </w:t>
            </w:r>
            <w:hyperlink w:history="1" r:id="rId14">
              <w:r w:rsidRPr="00881D8B">
                <w:rPr>
                  <w:rStyle w:val="Hipervnculo"/>
                  <w:rFonts w:ascii="Verdana" w:hAnsi="Verdana" w:cs="Arial"/>
                </w:rPr>
                <w:t>https://www.colombiacompra.gov.co/sites/cce_public/files/cce_circulares/circular_externa_unica_version_3_vf49.pdf</w:t>
              </w:r>
            </w:hyperlink>
            <w:r w:rsidRPr="00881D8B">
              <w:rPr>
                <w:rFonts w:ascii="Verdana" w:hAnsi="Verdana" w:cs="Arial"/>
              </w:rPr>
              <w:t xml:space="preserve"> </w:t>
            </w:r>
          </w:p>
          <w:p w:rsidRPr="00881D8B" w:rsidR="00B7412F" w:rsidP="00B7412F" w:rsidRDefault="00B7412F" w14:paraId="028CDEB5" w14:textId="77777777">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881D8B">
              <w:rPr>
                <w:rFonts w:ascii="Verdana" w:hAnsi="Verdana" w:cs="Arial"/>
              </w:rPr>
              <w:t xml:space="preserve">Resolución </w:t>
            </w:r>
            <w:r w:rsidRPr="00881D8B">
              <w:rPr>
                <w:rFonts w:ascii="Verdana" w:hAnsi="Verdana" w:eastAsia="Times New Roman" w:cs="Arial"/>
                <w:lang w:val="es-ES_tradnl" w:eastAsia="es-ES"/>
              </w:rPr>
              <w:t xml:space="preserve">219 de 2021 de la Agencia Nacional de Contratación Pública–Colombia Compra Eficiente–. Disponible en: </w:t>
            </w:r>
            <w:hyperlink w:history="1" r:id="rId15">
              <w:r w:rsidRPr="00881D8B">
                <w:rPr>
                  <w:rStyle w:val="Hipervnculo"/>
                  <w:rFonts w:ascii="Verdana" w:hAnsi="Verdana" w:eastAsia="Times New Roman" w:cs="Arial"/>
                  <w:lang w:val="es-ES_tradnl" w:eastAsia="es-ES"/>
                </w:rPr>
                <w:t>https://www.colombiacompra.gov.co/content/04-documentos-tipo-de-licitacion-de-obra-publica-para-proyectos-de-infraestructura-social</w:t>
              </w:r>
            </w:hyperlink>
            <w:r w:rsidRPr="00881D8B">
              <w:rPr>
                <w:rFonts w:ascii="Verdana" w:hAnsi="Verdana" w:eastAsia="Times New Roman" w:cs="Arial"/>
                <w:lang w:val="es-ES_tradnl" w:eastAsia="es-ES"/>
              </w:rPr>
              <w:t xml:space="preserve"> </w:t>
            </w:r>
          </w:p>
          <w:p w:rsidRPr="00881D8B" w:rsidR="00B7412F" w:rsidP="00B7412F" w:rsidRDefault="00B7412F" w14:paraId="71488943" w14:textId="77777777">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881D8B">
              <w:rPr>
                <w:rFonts w:ascii="Verdana" w:hAnsi="Verdana" w:cs="Arial"/>
              </w:rPr>
              <w:t xml:space="preserve">Jurisprudencia del Consejo de Estado. Disponible en: </w:t>
            </w:r>
            <w:hyperlink w:history="1" r:id="rId16">
              <w:r w:rsidRPr="00881D8B">
                <w:rPr>
                  <w:rStyle w:val="Hipervnculo"/>
                  <w:rFonts w:ascii="Verdana" w:hAnsi="Verdana" w:cs="Arial"/>
                </w:rPr>
                <w:t>https://relatoria.colombiacompra.gov.co/providencias-consejo-de-estado/</w:t>
              </w:r>
            </w:hyperlink>
            <w:r w:rsidRPr="00881D8B">
              <w:rPr>
                <w:rFonts w:ascii="Verdana" w:hAnsi="Verdana" w:cs="Arial"/>
              </w:rPr>
              <w:t xml:space="preserve"> </w:t>
            </w:r>
          </w:p>
          <w:p w:rsidRPr="00881D8B" w:rsidR="00B7412F" w:rsidP="00B7412F" w:rsidRDefault="00B7412F" w14:paraId="06C6C270" w14:textId="77777777">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881D8B">
              <w:rPr>
                <w:rFonts w:ascii="Verdana" w:hAnsi="Verdana" w:cs="Arial"/>
              </w:rPr>
              <w:t>Guías y manuales expedidos por la ANCP-CCE. Disponible en:</w:t>
            </w:r>
            <w:r w:rsidRPr="00881D8B">
              <w:rPr>
                <w:rFonts w:ascii="Verdana" w:hAnsi="Verdana"/>
              </w:rPr>
              <w:t xml:space="preserve"> </w:t>
            </w:r>
            <w:hyperlink w:history="1" r:id="rId17">
              <w:r w:rsidRPr="00881D8B">
                <w:rPr>
                  <w:rStyle w:val="Hipervnculo"/>
                  <w:rFonts w:ascii="Verdana" w:hAnsi="Verdana" w:cs="Arial"/>
                </w:rPr>
                <w:t>https://www.colombiacompra.gov.co/manuales-guias-y-pliegos-tipo/manuales-y-guias</w:t>
              </w:r>
            </w:hyperlink>
            <w:r w:rsidRPr="00881D8B">
              <w:rPr>
                <w:rFonts w:ascii="Verdana" w:hAnsi="Verdana" w:cs="Arial"/>
              </w:rPr>
              <w:t xml:space="preserve"> </w:t>
            </w:r>
          </w:p>
          <w:p w:rsidRPr="00881D8B" w:rsidR="00B7412F" w:rsidP="00790675" w:rsidRDefault="00B7412F" w14:paraId="121DE6E2" w14:textId="77777777">
            <w:pPr>
              <w:widowControl w:val="0"/>
              <w:autoSpaceDE w:val="0"/>
              <w:autoSpaceDN w:val="0"/>
              <w:spacing w:after="120" w:line="276" w:lineRule="auto"/>
              <w:ind w:left="360"/>
              <w:jc w:val="both"/>
              <w:rPr>
                <w:rFonts w:ascii="Verdana" w:hAnsi="Verdana" w:cs="Arial"/>
              </w:rPr>
            </w:pPr>
          </w:p>
        </w:tc>
      </w:tr>
    </w:tbl>
    <w:p w:rsidRPr="00881D8B" w:rsidR="00B7412F" w:rsidP="00B7412F" w:rsidRDefault="00B7412F" w14:paraId="49517428" w14:textId="77777777">
      <w:pPr>
        <w:widowControl w:val="0"/>
        <w:autoSpaceDE w:val="0"/>
        <w:autoSpaceDN w:val="0"/>
        <w:spacing w:after="0" w:line="276" w:lineRule="auto"/>
        <w:jc w:val="both"/>
        <w:rPr>
          <w:rFonts w:ascii="Verdana" w:hAnsi="Verdana" w:cs="Arial"/>
        </w:rPr>
      </w:pPr>
    </w:p>
    <w:p w:rsidRPr="00881D8B" w:rsidR="00B7412F" w:rsidP="00B7412F" w:rsidRDefault="00B7412F" w14:paraId="54E1F10E" w14:textId="77777777">
      <w:pPr>
        <w:widowControl w:val="0"/>
        <w:autoSpaceDE w:val="0"/>
        <w:autoSpaceDN w:val="0"/>
        <w:spacing w:after="0" w:line="276" w:lineRule="auto"/>
        <w:jc w:val="both"/>
        <w:rPr>
          <w:rFonts w:ascii="Verdana" w:hAnsi="Verdana" w:cs="Arial"/>
        </w:rPr>
      </w:pPr>
    </w:p>
    <w:p w:rsidRPr="00881D8B" w:rsidR="00B7412F" w:rsidP="00B7412F" w:rsidRDefault="00B7412F" w14:paraId="7AE98DB5" w14:textId="77777777">
      <w:pPr>
        <w:widowControl w:val="0"/>
        <w:autoSpaceDE w:val="0"/>
        <w:autoSpaceDN w:val="0"/>
        <w:spacing w:after="0" w:line="276" w:lineRule="auto"/>
        <w:jc w:val="both"/>
        <w:rPr>
          <w:rFonts w:ascii="Verdana" w:hAnsi="Verdana" w:cs="Arial"/>
        </w:rPr>
      </w:pPr>
    </w:p>
    <w:p w:rsidRPr="00881D8B" w:rsidR="00B7412F" w:rsidP="00B7412F" w:rsidRDefault="00B7412F" w14:paraId="6CEE60F9"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881D8B">
        <w:rPr>
          <w:rFonts w:ascii="Verdana" w:hAnsi="Verdana" w:eastAsia="Century Gothic" w:cs="Century Gothic"/>
          <w:b/>
          <w:bCs/>
        </w:rPr>
        <w:t>Doctrina de la Agencia Nacional de Contratación Pública:</w:t>
      </w:r>
    </w:p>
    <w:p w:rsidRPr="00881D8B" w:rsidR="00B7412F" w:rsidP="00B7412F" w:rsidRDefault="00B7412F" w14:paraId="100B12FE" w14:textId="77777777">
      <w:pPr>
        <w:widowControl w:val="0"/>
        <w:autoSpaceDE w:val="0"/>
        <w:autoSpaceDN w:val="0"/>
        <w:spacing w:after="0" w:line="276" w:lineRule="auto"/>
        <w:jc w:val="both"/>
        <w:rPr>
          <w:rFonts w:ascii="Verdana" w:hAnsi="Verdana" w:cs="Arial"/>
        </w:rPr>
      </w:pPr>
    </w:p>
    <w:p w:rsidRPr="00881D8B" w:rsidR="00B7412F" w:rsidP="00B7412F" w:rsidRDefault="00B7412F" w14:paraId="13E4485B" w14:textId="77777777">
      <w:pPr>
        <w:spacing w:after="120" w:line="276" w:lineRule="auto"/>
        <w:ind w:firstLine="708"/>
        <w:jc w:val="both"/>
        <w:rPr>
          <w:rFonts w:ascii="Verdana" w:hAnsi="Verdana" w:eastAsia="Calibri" w:cs="Arial"/>
          <w:lang w:val="es-ES" w:eastAsia="es-ES"/>
        </w:rPr>
      </w:pPr>
      <w:r w:rsidRPr="00881D8B">
        <w:rPr>
          <w:rFonts w:ascii="Verdana" w:hAnsi="Verdana" w:eastAsia="Yu Gothic UI Semibold" w:cs="Arial"/>
        </w:rPr>
        <w:t xml:space="preserve">La Agencia Nacional de Contratación Pública – Colombia Compra Eficiente </w:t>
      </w:r>
      <w:r w:rsidRPr="00881D8B">
        <w:rPr>
          <w:rFonts w:ascii="Verdana" w:hAnsi="Verdana" w:eastAsia="Calibri" w:cs="Arial"/>
          <w:lang w:val="es-ES" w:eastAsia="es-ES"/>
        </w:rPr>
        <w:t xml:space="preserve">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w:t>
      </w:r>
      <w:r w:rsidRPr="00881D8B">
        <w:rPr>
          <w:rFonts w:ascii="Verdana" w:hAnsi="Verdana" w:eastAsia="Calibri" w:cs="Arial"/>
          <w:lang w:val="es-ES" w:eastAsia="es-ES"/>
        </w:rPr>
        <w:lastRenderedPageBreak/>
        <w:t>C−685 del 18 de diciembre de 2020, C- 004 del 12 de febrero de 2021, C−106 del 7 de abril de 2021, C-181 del  07 de abril de 2022, C-214 del 22 de abril de 2022</w:t>
      </w:r>
      <w:r>
        <w:rPr>
          <w:rFonts w:ascii="Verdana" w:hAnsi="Verdana" w:eastAsia="Calibri" w:cs="Arial"/>
          <w:lang w:val="es-ES" w:eastAsia="es-ES"/>
        </w:rPr>
        <w:t xml:space="preserve">, </w:t>
      </w:r>
      <w:r w:rsidRPr="00881D8B">
        <w:rPr>
          <w:rFonts w:ascii="Verdana" w:hAnsi="Verdana" w:eastAsia="Calibri" w:cs="Arial"/>
          <w:lang w:val="es-ES" w:eastAsia="es-ES"/>
        </w:rPr>
        <w:t>C-491 de 01 de agosto de 2022</w:t>
      </w:r>
      <w:r>
        <w:rPr>
          <w:rFonts w:ascii="Verdana" w:hAnsi="Verdana" w:eastAsia="Calibri" w:cs="Arial"/>
          <w:lang w:val="es-ES" w:eastAsia="es-ES"/>
        </w:rPr>
        <w:t xml:space="preserve"> y 107 de 2024 del 28 de mayo de 2024</w:t>
      </w:r>
      <w:r w:rsidRPr="00881D8B">
        <w:rPr>
          <w:rFonts w:ascii="Verdana" w:hAnsi="Verdana" w:eastAsia="Calibri"/>
          <w:lang w:val="es-ES_tradnl"/>
        </w:rPr>
        <w:t>. Es</w:t>
      </w:r>
      <w:r w:rsidRPr="00881D8B">
        <w:rPr>
          <w:rFonts w:ascii="Verdana" w:hAnsi="Verdana" w:eastAsia="Calibri" w:cs="Arial"/>
          <w:lang w:val="es-ES_tradnl"/>
        </w:rPr>
        <w:t>tos y otros conceptos se encuentran disponibles para consulta en el Sistema de relatoría de la Agencia, al cual se puede acceder a través del siguiente enlace:</w:t>
      </w:r>
      <w:r w:rsidRPr="00881D8B">
        <w:rPr>
          <w:rFonts w:ascii="Verdana" w:hAnsi="Verdana" w:eastAsia="Calibri"/>
          <w:lang w:val="es-ES_tradnl"/>
        </w:rPr>
        <w:t xml:space="preserve"> </w:t>
      </w:r>
    </w:p>
    <w:p w:rsidRPr="00881D8B" w:rsidR="00B7412F" w:rsidP="00B7412F" w:rsidRDefault="00B7412F" w14:paraId="37B899BC" w14:textId="77777777">
      <w:pPr>
        <w:widowControl w:val="0"/>
        <w:autoSpaceDE w:val="0"/>
        <w:autoSpaceDN w:val="0"/>
        <w:spacing w:after="0" w:line="276" w:lineRule="auto"/>
        <w:jc w:val="both"/>
        <w:rPr>
          <w:rFonts w:ascii="Verdana" w:hAnsi="Verdana" w:eastAsia="Calibri"/>
          <w:lang w:val="es-ES_tradnl"/>
        </w:rPr>
      </w:pPr>
    </w:p>
    <w:p w:rsidRPr="00881D8B" w:rsidR="00B7412F" w:rsidP="00B7412F" w:rsidRDefault="00B7412F" w14:paraId="3FEE907F" w14:textId="77777777">
      <w:pPr>
        <w:widowControl w:val="0"/>
        <w:autoSpaceDE w:val="0"/>
        <w:autoSpaceDN w:val="0"/>
        <w:spacing w:after="0" w:line="276" w:lineRule="auto"/>
        <w:jc w:val="both"/>
        <w:rPr>
          <w:rFonts w:ascii="Verdana" w:hAnsi="Verdana" w:eastAsia="Calibri"/>
          <w:lang w:val="es-ES_tradnl"/>
        </w:rPr>
      </w:pPr>
      <w:hyperlink w:history="1" r:id="rId18">
        <w:r w:rsidRPr="00881D8B">
          <w:rPr>
            <w:rStyle w:val="Hipervnculo"/>
            <w:rFonts w:ascii="Verdana" w:hAnsi="Verdana" w:eastAsia="Calibri"/>
            <w:lang w:val="es-ES_tradnl"/>
          </w:rPr>
          <w:t>https://relatoria.colombiacompra.gov.co/busqueda/conceptos</w:t>
        </w:r>
      </w:hyperlink>
      <w:r w:rsidRPr="00881D8B">
        <w:rPr>
          <w:rFonts w:ascii="Verdana" w:hAnsi="Verdana" w:eastAsia="Calibri"/>
          <w:lang w:val="es-ES_tradnl"/>
        </w:rPr>
        <w:t xml:space="preserve">. </w:t>
      </w:r>
    </w:p>
    <w:p w:rsidRPr="00881D8B" w:rsidR="00B7412F" w:rsidP="00B7412F" w:rsidRDefault="00B7412F" w14:paraId="3E2A31C0" w14:textId="77777777">
      <w:pPr>
        <w:widowControl w:val="0"/>
        <w:autoSpaceDE w:val="0"/>
        <w:autoSpaceDN w:val="0"/>
        <w:spacing w:after="0" w:line="276" w:lineRule="auto"/>
        <w:jc w:val="both"/>
        <w:rPr>
          <w:rFonts w:ascii="Verdana" w:hAnsi="Verdana" w:eastAsia="Calibri"/>
          <w:lang w:val="es-ES_tradnl"/>
        </w:rPr>
      </w:pPr>
    </w:p>
    <w:p w:rsidRPr="00881D8B" w:rsidR="00B7412F" w:rsidP="00B7412F" w:rsidRDefault="00B7412F" w14:paraId="73C375E1" w14:textId="77777777">
      <w:pPr>
        <w:widowControl w:val="0"/>
        <w:autoSpaceDE w:val="0"/>
        <w:autoSpaceDN w:val="0"/>
        <w:spacing w:after="0" w:line="276" w:lineRule="auto"/>
        <w:jc w:val="both"/>
        <w:rPr>
          <w:rFonts w:ascii="Verdana" w:hAnsi="Verdana" w:eastAsia="Calibri" w:cs="Arial"/>
          <w:lang w:val="es-ES_tradnl"/>
        </w:rPr>
      </w:pPr>
      <w:r w:rsidRPr="00881D8B">
        <w:rPr>
          <w:rFonts w:ascii="Verdana" w:hAnsi="Verdana" w:eastAsia="Calibri" w:cs="Arial"/>
          <w:lang w:val="es-ES_tradnl"/>
        </w:rPr>
        <w:t xml:space="preserve">También le invitamos a consultar las versiones I y II de 2024 del Boletín de Relatoría de la Subdirección de Gestión Contractual, las cuales puede descargar en la página web de la Agencia: </w:t>
      </w:r>
      <w:hyperlink w:history="1" r:id="rId19">
        <w:r w:rsidRPr="00881D8B">
          <w:rPr>
            <w:rFonts w:ascii="Verdana" w:hAnsi="Verdana" w:eastAsia="Calibri" w:cs="Arial"/>
            <w:lang w:val="es-ES_tradnl"/>
          </w:rPr>
          <w:t>https://www.colombiacompra.gov.co/sala-de-prensa/boletin-digital</w:t>
        </w:r>
      </w:hyperlink>
      <w:r w:rsidRPr="00881D8B">
        <w:rPr>
          <w:rFonts w:ascii="Verdana" w:hAnsi="Verdana" w:eastAsia="Calibri" w:cs="Arial"/>
          <w:lang w:val="es-ES_tradnl"/>
        </w:rPr>
        <w:t xml:space="preserve">      </w:t>
      </w:r>
    </w:p>
    <w:p w:rsidRPr="00881D8B" w:rsidR="00B7412F" w:rsidP="00B7412F" w:rsidRDefault="00B7412F" w14:paraId="2C8E1E7E" w14:textId="77777777">
      <w:pPr>
        <w:widowControl w:val="0"/>
        <w:autoSpaceDE w:val="0"/>
        <w:autoSpaceDN w:val="0"/>
        <w:spacing w:after="0" w:line="276" w:lineRule="auto"/>
        <w:jc w:val="both"/>
        <w:rPr>
          <w:rFonts w:ascii="Verdana" w:hAnsi="Verdana" w:eastAsia="Calibri" w:cs="Arial"/>
          <w:lang w:val="es-ES_tradnl"/>
        </w:rPr>
      </w:pPr>
    </w:p>
    <w:p w:rsidRPr="00881D8B" w:rsidR="00B7412F" w:rsidP="00B7412F" w:rsidRDefault="00B7412F" w14:paraId="63349506" w14:textId="77777777">
      <w:pPr>
        <w:widowControl w:val="0"/>
        <w:autoSpaceDE w:val="0"/>
        <w:autoSpaceDN w:val="0"/>
        <w:spacing w:after="0" w:line="276" w:lineRule="auto"/>
        <w:jc w:val="both"/>
        <w:rPr>
          <w:rFonts w:ascii="Verdana" w:hAnsi="Verdana" w:eastAsia="Calibri" w:cs="Arial"/>
          <w:lang w:val="es-ES"/>
        </w:rPr>
      </w:pPr>
      <w:r w:rsidRPr="7FEF9B5E">
        <w:rPr>
          <w:rFonts w:ascii="Verdana" w:hAnsi="Verdana" w:eastAsia="Calibri" w:cs="Arial"/>
          <w:lang w:val="es-ES"/>
        </w:rPr>
        <w:t xml:space="preserve">También le recomendamos consultar las versiones I y II de 2024 del Boletín de Relatoría de la Subdirección de Gestión Contractual, las cuales puede descargar en la página web de la Agencia: </w:t>
      </w:r>
      <w:hyperlink r:id="rId20">
        <w:r w:rsidRPr="7FEF9B5E">
          <w:rPr>
            <w:rFonts w:ascii="Verdana" w:hAnsi="Verdana" w:eastAsia="Calibri" w:cs="Arial"/>
            <w:lang w:val="es-ES"/>
          </w:rPr>
          <w:t>https://www.colombiacompra.gov.co/sala-de-prensa/boletin-digital</w:t>
        </w:r>
      </w:hyperlink>
      <w:r w:rsidRPr="7FEF9B5E">
        <w:rPr>
          <w:rFonts w:ascii="Verdana" w:hAnsi="Verdana" w:eastAsia="Calibri" w:cs="Arial"/>
          <w:lang w:val="es-ES"/>
        </w:rPr>
        <w:t xml:space="preserve">. Por otro lado, le contamos que ampliamos hasta el 19 de julio de 2024 el periodo para recibir observaciones a los borradores de los próximas versiones de los documentos tipo para la contratación obras públicas de infraestructura de transporte en las modalidades de licitación pública, selección abreviada y mínima cuantía, por lo que le invitamos a realizar sus comentarios a través del siguiente enlace: </w:t>
      </w:r>
      <w:hyperlink r:id="rId21">
        <w:r w:rsidRPr="7FEF9B5E">
          <w:rPr>
            <w:rFonts w:ascii="Verdana" w:hAnsi="Verdana" w:eastAsia="Calibri" w:cs="Arial"/>
            <w:lang w:val="es-ES"/>
          </w:rPr>
          <w:t>https://www.colombiacompra.gov.co/documentos-tipo/documentos-tipo</w:t>
        </w:r>
      </w:hyperlink>
    </w:p>
    <w:p w:rsidRPr="00881D8B" w:rsidR="00B7412F" w:rsidP="00B7412F" w:rsidRDefault="00B7412F" w14:paraId="7345EB6E" w14:textId="77777777">
      <w:pPr>
        <w:widowControl w:val="0"/>
        <w:autoSpaceDE w:val="0"/>
        <w:autoSpaceDN w:val="0"/>
        <w:spacing w:after="0" w:line="276" w:lineRule="auto"/>
        <w:jc w:val="both"/>
        <w:rPr>
          <w:rFonts w:ascii="Verdana" w:hAnsi="Verdana" w:eastAsia="Calibri" w:cs="Arial"/>
          <w:lang w:val="es-ES_tradnl"/>
        </w:rPr>
      </w:pPr>
    </w:p>
    <w:p w:rsidRPr="00881D8B" w:rsidR="00B7412F" w:rsidP="00B7412F" w:rsidRDefault="00B7412F" w14:paraId="5C65DC83" w14:textId="77777777">
      <w:pPr>
        <w:spacing w:after="0" w:line="276" w:lineRule="auto"/>
        <w:jc w:val="both"/>
        <w:rPr>
          <w:rFonts w:ascii="Verdana" w:hAnsi="Verdana" w:eastAsia="Calibri" w:cs="Arial"/>
          <w:lang w:val="es-ES_tradnl"/>
        </w:rPr>
      </w:pPr>
      <w:r w:rsidRPr="00881D8B">
        <w:rPr>
          <w:rFonts w:ascii="Verdana" w:hAnsi="Verdana" w:eastAsia="Calibri" w:cs="Arial"/>
          <w:lang w:val="es-ES_tradnl"/>
        </w:rPr>
        <w:t xml:space="preserve">Por último, lo invitamos a seguirnos en las redes sociales en las cuales se difunde información institucional: </w:t>
      </w:r>
    </w:p>
    <w:p w:rsidRPr="00881D8B" w:rsidR="00B7412F" w:rsidP="00B7412F" w:rsidRDefault="00B7412F" w14:paraId="4AC969AD" w14:textId="77777777">
      <w:pPr>
        <w:spacing w:after="0" w:line="276" w:lineRule="auto"/>
        <w:jc w:val="both"/>
        <w:rPr>
          <w:rFonts w:ascii="Verdana" w:hAnsi="Verdana" w:eastAsia="Calibri" w:cs="Arial"/>
          <w:lang w:val="es-ES_tradnl"/>
        </w:rPr>
      </w:pPr>
    </w:p>
    <w:p w:rsidRPr="00881D8B" w:rsidR="00B7412F" w:rsidP="00B7412F" w:rsidRDefault="00B7412F" w14:paraId="2BE7F4C1" w14:textId="77777777">
      <w:pPr>
        <w:spacing w:after="0" w:line="276" w:lineRule="auto"/>
        <w:jc w:val="both"/>
        <w:rPr>
          <w:rFonts w:ascii="Verdana" w:hAnsi="Verdana" w:eastAsia="Calibri" w:cs="Arial"/>
          <w:lang w:val="es-ES_tradnl"/>
        </w:rPr>
      </w:pPr>
      <w:r w:rsidRPr="00881D8B">
        <w:rPr>
          <w:rFonts w:ascii="Verdana" w:hAnsi="Verdana" w:eastAsia="Calibri" w:cs="Arial"/>
          <w:lang w:val="es-ES_tradnl"/>
        </w:rPr>
        <w:t xml:space="preserve">Twitter: @colombiacompra </w:t>
      </w:r>
    </w:p>
    <w:p w:rsidRPr="00881D8B" w:rsidR="00B7412F" w:rsidP="00B7412F" w:rsidRDefault="00B7412F" w14:paraId="7CA560F5" w14:textId="77777777">
      <w:pPr>
        <w:spacing w:after="0" w:line="276" w:lineRule="auto"/>
        <w:jc w:val="both"/>
        <w:rPr>
          <w:rFonts w:ascii="Verdana" w:hAnsi="Verdana" w:eastAsia="Calibri" w:cs="Arial"/>
          <w:lang w:val="es-ES"/>
        </w:rPr>
      </w:pPr>
      <w:r w:rsidRPr="7FEF9B5E">
        <w:rPr>
          <w:rFonts w:ascii="Verdana" w:hAnsi="Verdana" w:eastAsia="Calibri" w:cs="Arial"/>
          <w:lang w:val="es-ES"/>
        </w:rPr>
        <w:t>Facebook: ColombiaCompraEficiente</w:t>
      </w:r>
    </w:p>
    <w:p w:rsidRPr="00881D8B" w:rsidR="00B7412F" w:rsidP="00B7412F" w:rsidRDefault="00B7412F" w14:paraId="6F8596D4" w14:textId="77777777">
      <w:pPr>
        <w:spacing w:after="0" w:line="276" w:lineRule="auto"/>
        <w:jc w:val="both"/>
        <w:rPr>
          <w:rFonts w:ascii="Verdana" w:hAnsi="Verdana" w:eastAsia="Calibri" w:cs="Arial"/>
          <w:lang w:val="es-ES_tradnl"/>
        </w:rPr>
      </w:pPr>
      <w:r w:rsidRPr="00881D8B">
        <w:rPr>
          <w:rFonts w:ascii="Verdana" w:hAnsi="Verdana" w:eastAsia="Calibri" w:cs="Arial"/>
          <w:lang w:val="es-ES_tradnl"/>
        </w:rPr>
        <w:t>LinkedIn: Agencia Nacional de Contratación Pública - Colombia Compra Eficiente Instagram: @colombiacompraeficiente_cce</w:t>
      </w:r>
    </w:p>
    <w:p w:rsidRPr="00881D8B" w:rsidR="00B7412F" w:rsidP="00B7412F" w:rsidRDefault="00B7412F" w14:paraId="72F83EB8" w14:textId="77777777">
      <w:pPr>
        <w:widowControl w:val="0"/>
        <w:autoSpaceDE w:val="0"/>
        <w:autoSpaceDN w:val="0"/>
        <w:spacing w:after="0" w:line="276" w:lineRule="auto"/>
        <w:jc w:val="both"/>
        <w:rPr>
          <w:rFonts w:ascii="Verdana" w:hAnsi="Verdana" w:eastAsia="Calibri" w:cs="Arial"/>
          <w:lang w:val="es-ES_tradnl"/>
        </w:rPr>
      </w:pPr>
    </w:p>
    <w:p w:rsidR="00B7412F" w:rsidP="00B7412F" w:rsidRDefault="00B7412F" w14:paraId="7996DF59" w14:textId="77777777">
      <w:pPr>
        <w:widowControl w:val="0"/>
        <w:autoSpaceDE w:val="0"/>
        <w:autoSpaceDN w:val="0"/>
        <w:spacing w:after="0" w:line="276" w:lineRule="auto"/>
        <w:jc w:val="both"/>
        <w:rPr>
          <w:rFonts w:ascii="Verdana" w:hAnsi="Verdana" w:eastAsia="Calibri" w:cs="Arial"/>
          <w:lang w:val="es-ES_tradnl"/>
        </w:rPr>
      </w:pPr>
    </w:p>
    <w:p w:rsidR="00B7412F" w:rsidP="00B7412F" w:rsidRDefault="00B7412F" w14:paraId="16863A6B" w14:textId="77777777">
      <w:pPr>
        <w:widowControl w:val="0"/>
        <w:autoSpaceDE w:val="0"/>
        <w:autoSpaceDN w:val="0"/>
        <w:spacing w:after="0" w:line="276" w:lineRule="auto"/>
        <w:jc w:val="both"/>
        <w:rPr>
          <w:rFonts w:ascii="Verdana" w:hAnsi="Verdana" w:eastAsia="Calibri" w:cs="Arial"/>
          <w:lang w:val="es-ES_tradnl"/>
        </w:rPr>
      </w:pPr>
    </w:p>
    <w:p w:rsidR="00B7412F" w:rsidP="00B7412F" w:rsidRDefault="00B7412F" w14:paraId="46F59A83" w14:textId="77777777">
      <w:pPr>
        <w:widowControl w:val="0"/>
        <w:autoSpaceDE w:val="0"/>
        <w:autoSpaceDN w:val="0"/>
        <w:spacing w:after="0" w:line="276" w:lineRule="auto"/>
        <w:jc w:val="both"/>
        <w:rPr>
          <w:rFonts w:ascii="Verdana" w:hAnsi="Verdana" w:eastAsia="Calibri" w:cs="Arial"/>
          <w:lang w:val="es-ES_tradnl"/>
        </w:rPr>
      </w:pPr>
    </w:p>
    <w:p w:rsidR="00B7412F" w:rsidP="00B7412F" w:rsidRDefault="00B7412F" w14:paraId="383540D0" w14:textId="77777777">
      <w:pPr>
        <w:widowControl w:val="0"/>
        <w:autoSpaceDE w:val="0"/>
        <w:autoSpaceDN w:val="0"/>
        <w:spacing w:after="0" w:line="276" w:lineRule="auto"/>
        <w:jc w:val="both"/>
        <w:rPr>
          <w:rFonts w:ascii="Verdana" w:hAnsi="Verdana" w:eastAsia="Calibri" w:cs="Arial"/>
          <w:lang w:val="es-ES_tradnl"/>
        </w:rPr>
      </w:pPr>
    </w:p>
    <w:p w:rsidR="00B7412F" w:rsidP="00B7412F" w:rsidRDefault="00B7412F" w14:paraId="35CA67E0" w14:textId="77777777">
      <w:pPr>
        <w:widowControl w:val="0"/>
        <w:autoSpaceDE w:val="0"/>
        <w:autoSpaceDN w:val="0"/>
        <w:spacing w:after="0" w:line="276" w:lineRule="auto"/>
        <w:jc w:val="both"/>
        <w:rPr>
          <w:rFonts w:ascii="Verdana" w:hAnsi="Verdana" w:eastAsia="Calibri" w:cs="Arial"/>
          <w:lang w:val="es-ES_tradnl"/>
        </w:rPr>
      </w:pPr>
    </w:p>
    <w:p w:rsidR="00B7412F" w:rsidP="00B7412F" w:rsidRDefault="00B7412F" w14:paraId="5EEFAE80" w14:textId="77777777">
      <w:pPr>
        <w:widowControl w:val="0"/>
        <w:autoSpaceDE w:val="0"/>
        <w:autoSpaceDN w:val="0"/>
        <w:spacing w:after="0" w:line="276" w:lineRule="auto"/>
        <w:jc w:val="both"/>
        <w:rPr>
          <w:rFonts w:ascii="Verdana" w:hAnsi="Verdana" w:eastAsia="Calibri" w:cs="Arial"/>
          <w:lang w:val="es-ES_tradnl"/>
        </w:rPr>
      </w:pPr>
    </w:p>
    <w:p w:rsidR="00B7412F" w:rsidP="00B7412F" w:rsidRDefault="00B7412F" w14:paraId="0824CF2D" w14:textId="77777777">
      <w:pPr>
        <w:widowControl w:val="0"/>
        <w:autoSpaceDE w:val="0"/>
        <w:autoSpaceDN w:val="0"/>
        <w:spacing w:after="0" w:line="276" w:lineRule="auto"/>
        <w:jc w:val="both"/>
        <w:rPr>
          <w:rFonts w:ascii="Verdana" w:hAnsi="Verdana" w:eastAsia="Calibri" w:cs="Arial"/>
          <w:lang w:val="es-ES_tradnl"/>
        </w:rPr>
      </w:pPr>
    </w:p>
    <w:p w:rsidR="00B7412F" w:rsidP="00B7412F" w:rsidRDefault="00B7412F" w14:paraId="567147B0" w14:textId="77777777">
      <w:pPr>
        <w:widowControl w:val="0"/>
        <w:autoSpaceDE w:val="0"/>
        <w:autoSpaceDN w:val="0"/>
        <w:spacing w:after="0" w:line="276" w:lineRule="auto"/>
        <w:jc w:val="both"/>
        <w:rPr>
          <w:rFonts w:ascii="Verdana" w:hAnsi="Verdana" w:eastAsia="Calibri" w:cs="Arial"/>
          <w:lang w:val="es-ES_tradnl"/>
        </w:rPr>
      </w:pPr>
    </w:p>
    <w:p w:rsidR="00B7412F" w:rsidP="00B7412F" w:rsidRDefault="00B7412F" w14:paraId="42FA2673" w14:textId="77777777">
      <w:pPr>
        <w:widowControl w:val="0"/>
        <w:autoSpaceDE w:val="0"/>
        <w:autoSpaceDN w:val="0"/>
        <w:spacing w:after="0" w:line="276" w:lineRule="auto"/>
        <w:jc w:val="both"/>
        <w:rPr>
          <w:rFonts w:ascii="Verdana" w:hAnsi="Verdana" w:eastAsia="Calibri" w:cs="Arial"/>
          <w:lang w:val="es-ES_tradnl"/>
        </w:rPr>
      </w:pPr>
    </w:p>
    <w:p w:rsidRPr="00881D8B" w:rsidR="00B7412F" w:rsidP="00B7412F" w:rsidRDefault="00B7412F" w14:paraId="388B14DA" w14:textId="52D7FC62">
      <w:pPr>
        <w:widowControl w:val="0"/>
        <w:autoSpaceDE w:val="0"/>
        <w:autoSpaceDN w:val="0"/>
        <w:spacing w:after="0" w:line="276" w:lineRule="auto"/>
        <w:jc w:val="both"/>
        <w:rPr>
          <w:rFonts w:ascii="Verdana" w:hAnsi="Verdana" w:cs="Arial"/>
          <w:lang w:val="es-ES_tradnl"/>
        </w:rPr>
      </w:pPr>
      <w:r w:rsidRPr="00881D8B">
        <w:rPr>
          <w:rFonts w:ascii="Verdana" w:hAnsi="Verdana" w:eastAsia="Calibri"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881D8B">
        <w:rPr>
          <w:rFonts w:ascii="Verdana" w:hAnsi="Verdana" w:cs="Arial"/>
          <w:lang w:val="es-ES_tradnl"/>
        </w:rPr>
        <w:t>2 de 2015.</w:t>
      </w:r>
    </w:p>
    <w:p w:rsidRPr="00881D8B" w:rsidR="00B7412F" w:rsidP="00B7412F" w:rsidRDefault="00B7412F" w14:paraId="4AABBA59" w14:textId="77777777">
      <w:pPr>
        <w:widowControl w:val="0"/>
        <w:autoSpaceDE w:val="0"/>
        <w:autoSpaceDN w:val="0"/>
        <w:spacing w:after="0" w:line="276" w:lineRule="auto"/>
        <w:jc w:val="both"/>
        <w:rPr>
          <w:rFonts w:ascii="Verdana" w:hAnsi="Verdana" w:cs="Arial"/>
        </w:rPr>
      </w:pPr>
    </w:p>
    <w:p w:rsidR="00B7412F" w:rsidP="00B7412F" w:rsidRDefault="00B7412F" w14:paraId="3918C94A" w14:textId="77777777">
      <w:pPr>
        <w:spacing w:after="0" w:line="276" w:lineRule="auto"/>
        <w:rPr>
          <w:rFonts w:ascii="Verdana" w:hAnsi="Verdana" w:cs="Arial"/>
          <w:lang w:eastAsia="es-CO"/>
        </w:rPr>
      </w:pPr>
      <w:r w:rsidRPr="00881D8B">
        <w:rPr>
          <w:rFonts w:ascii="Verdana" w:hAnsi="Verdana" w:eastAsia="Times New Roman" w:cs="Arial"/>
          <w:lang w:eastAsia="es-CO"/>
        </w:rPr>
        <w:t>Atentamente,</w:t>
      </w:r>
      <w:r w:rsidRPr="00881D8B">
        <w:rPr>
          <w:rFonts w:ascii="Verdana" w:hAnsi="Verdana" w:cs="Arial"/>
          <w:lang w:eastAsia="es-CO"/>
        </w:rPr>
        <w:t xml:space="preserve"> </w:t>
      </w:r>
    </w:p>
    <w:p w:rsidR="00660EB5" w:rsidP="00B7412F" w:rsidRDefault="00660EB5" w14:paraId="127723AD" w14:textId="77777777">
      <w:pPr>
        <w:spacing w:after="0" w:line="276" w:lineRule="auto"/>
        <w:rPr>
          <w:rFonts w:ascii="Verdana" w:hAnsi="Verdana" w:cs="Arial"/>
          <w:lang w:eastAsia="es-CO"/>
        </w:rPr>
      </w:pPr>
    </w:p>
    <w:p w:rsidRPr="00881D8B" w:rsidR="00660EB5" w:rsidP="00660EB5" w:rsidRDefault="00660EB5" w14:paraId="01547DAF" w14:textId="21664651">
      <w:pPr>
        <w:spacing w:after="0" w:line="276" w:lineRule="auto"/>
        <w:jc w:val="center"/>
        <w:rPr>
          <w:rFonts w:ascii="Verdana" w:hAnsi="Verdana" w:cs="Arial"/>
          <w:lang w:eastAsia="es-CO"/>
        </w:rPr>
      </w:pPr>
      <w:r w:rsidRPr="0065791A">
        <w:rPr>
          <w:rFonts w:ascii="Century Gothic" w:hAnsi="Century Gothic"/>
          <w:noProof/>
        </w:rPr>
        <w:drawing>
          <wp:inline distT="0" distB="0" distL="0" distR="0" wp14:anchorId="6BA45D8D" wp14:editId="1BA5E48C">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2"/>
                    <a:stretch>
                      <a:fillRect/>
                    </a:stretch>
                  </pic:blipFill>
                  <pic:spPr>
                    <a:xfrm>
                      <a:off x="0" y="0"/>
                      <a:ext cx="3962953" cy="1867161"/>
                    </a:xfrm>
                    <a:prstGeom prst="rect">
                      <a:avLst/>
                    </a:prstGeom>
                  </pic:spPr>
                </pic:pic>
              </a:graphicData>
            </a:graphic>
          </wp:inline>
        </w:drawing>
      </w:r>
    </w:p>
    <w:p w:rsidRPr="00881D8B" w:rsidR="00B7412F" w:rsidP="00B7412F" w:rsidRDefault="00B7412F" w14:paraId="06EEF760" w14:textId="77777777">
      <w:pPr>
        <w:spacing w:line="276" w:lineRule="auto"/>
        <w:rPr>
          <w:rFonts w:ascii="Verdana" w:hAnsi="Verdana"/>
          <w:noProof/>
          <w:lang w:val="es-ES_tradnl" w:eastAsia="es-CO"/>
        </w:rPr>
      </w:pPr>
    </w:p>
    <w:p w:rsidRPr="00881D8B" w:rsidR="00B7412F" w:rsidP="00B7412F" w:rsidRDefault="00B7412F" w14:paraId="1894C909" w14:textId="68415E0C">
      <w:pPr>
        <w:spacing w:line="276" w:lineRule="auto"/>
        <w:jc w:val="center"/>
        <w:rPr>
          <w:rFonts w:ascii="Verdana" w:hAnsi="Verdana" w:cs="Arial"/>
          <w:lang w:val="es-ES_tradnl" w:eastAsia="es-CO"/>
        </w:rPr>
      </w:pP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881D8B" w:rsidR="00B7412F" w:rsidTr="00790675" w14:paraId="7A910D36" w14:textId="77777777">
        <w:trPr>
          <w:trHeight w:val="315"/>
        </w:trPr>
        <w:tc>
          <w:tcPr>
            <w:tcW w:w="893" w:type="dxa"/>
            <w:vAlign w:val="center"/>
            <w:hideMark/>
          </w:tcPr>
          <w:p w:rsidRPr="00881D8B" w:rsidR="00B7412F" w:rsidP="00790675" w:rsidRDefault="00B7412F" w14:paraId="1EF129BA" w14:textId="77777777">
            <w:pPr>
              <w:spacing w:line="276" w:lineRule="auto"/>
              <w:contextualSpacing/>
              <w:rPr>
                <w:rFonts w:ascii="Verdana" w:hAnsi="Verdana" w:eastAsia="Calibri" w:cs="Arial"/>
                <w:sz w:val="16"/>
                <w:szCs w:val="16"/>
                <w:lang w:val="es-ES_tradnl"/>
              </w:rPr>
            </w:pPr>
            <w:r w:rsidRPr="00881D8B">
              <w:rPr>
                <w:rFonts w:ascii="Verdana" w:hAnsi="Verdana" w:eastAsia="Calibri" w:cs="Arial"/>
                <w:sz w:val="16"/>
                <w:szCs w:val="16"/>
                <w:lang w:val="es-ES_tradnl"/>
              </w:rPr>
              <w:t>Elaboró:</w:t>
            </w:r>
          </w:p>
        </w:tc>
        <w:tc>
          <w:tcPr>
            <w:tcW w:w="5628" w:type="dxa"/>
            <w:tcBorders>
              <w:top w:val="nil"/>
              <w:left w:val="nil"/>
              <w:bottom w:val="dotted" w:color="7F7F7F" w:themeColor="text1" w:themeTint="80" w:sz="4" w:space="0"/>
              <w:right w:val="nil"/>
            </w:tcBorders>
            <w:vAlign w:val="center"/>
            <w:hideMark/>
          </w:tcPr>
          <w:p w:rsidRPr="00881D8B" w:rsidR="00B7412F" w:rsidP="00790675" w:rsidRDefault="00B7412F" w14:paraId="24DA74AD" w14:textId="77777777">
            <w:pPr>
              <w:spacing w:line="276" w:lineRule="auto"/>
              <w:contextualSpacing/>
              <w:rPr>
                <w:rFonts w:ascii="Verdana" w:hAnsi="Verdana" w:eastAsia="Calibri" w:cs="Arial"/>
                <w:sz w:val="16"/>
                <w:szCs w:val="16"/>
                <w:lang w:val="es-ES_tradnl"/>
              </w:rPr>
            </w:pPr>
            <w:r w:rsidRPr="00881D8B">
              <w:rPr>
                <w:rFonts w:ascii="Verdana" w:hAnsi="Verdana" w:eastAsia="Calibri" w:cs="Arial"/>
                <w:sz w:val="16"/>
                <w:szCs w:val="16"/>
                <w:lang w:val="es-ES_tradnl"/>
              </w:rPr>
              <w:t xml:space="preserve">María Valeska Medellín Mora </w:t>
            </w:r>
          </w:p>
          <w:p w:rsidRPr="00881D8B" w:rsidR="00B7412F" w:rsidP="00790675" w:rsidRDefault="00B7412F" w14:paraId="6BBADBD9" w14:textId="77777777">
            <w:pPr>
              <w:spacing w:line="276" w:lineRule="auto"/>
              <w:contextualSpacing/>
              <w:rPr>
                <w:rFonts w:ascii="Verdana" w:hAnsi="Verdana" w:eastAsia="Calibri" w:cs="Arial"/>
                <w:sz w:val="16"/>
                <w:szCs w:val="16"/>
                <w:lang w:val="es-ES_tradnl"/>
              </w:rPr>
            </w:pPr>
            <w:r w:rsidRPr="00881D8B">
              <w:rPr>
                <w:rFonts w:ascii="Verdana" w:hAnsi="Verdana" w:eastAsia="Calibri" w:cs="Arial"/>
                <w:sz w:val="16"/>
                <w:szCs w:val="16"/>
                <w:lang w:val="es-ES_tradnl"/>
              </w:rPr>
              <w:t>Gestor T1-15</w:t>
            </w:r>
            <w:r w:rsidRPr="00881D8B">
              <w:rPr>
                <w:rFonts w:ascii="Verdana" w:hAnsi="Verdana" w:eastAsia="Calibri"/>
                <w:sz w:val="16"/>
                <w:szCs w:val="16"/>
                <w:lang w:val="es-ES_tradnl"/>
              </w:rPr>
              <w:t xml:space="preserve"> de la Subdirección de Gestión Contractual</w:t>
            </w:r>
          </w:p>
        </w:tc>
      </w:tr>
      <w:tr w:rsidRPr="00881D8B" w:rsidR="00B7412F" w:rsidTr="00790675" w14:paraId="008F245D" w14:textId="77777777">
        <w:trPr>
          <w:trHeight w:val="330"/>
        </w:trPr>
        <w:tc>
          <w:tcPr>
            <w:tcW w:w="893" w:type="dxa"/>
            <w:vAlign w:val="center"/>
            <w:hideMark/>
          </w:tcPr>
          <w:p w:rsidRPr="00881D8B" w:rsidR="00B7412F" w:rsidP="00790675" w:rsidRDefault="00B7412F" w14:paraId="29B4DAB6" w14:textId="77777777">
            <w:pPr>
              <w:spacing w:line="276" w:lineRule="auto"/>
              <w:contextualSpacing/>
              <w:rPr>
                <w:rFonts w:ascii="Verdana" w:hAnsi="Verdana" w:eastAsia="Calibri" w:cs="Arial"/>
                <w:sz w:val="16"/>
                <w:szCs w:val="16"/>
                <w:lang w:val="es-ES_tradnl"/>
              </w:rPr>
            </w:pPr>
            <w:r w:rsidRPr="00881D8B">
              <w:rPr>
                <w:rFonts w:ascii="Verdana" w:hAnsi="Verdana" w:eastAsia="Calibri" w:cs="Arial"/>
                <w:sz w:val="16"/>
                <w:szCs w:val="16"/>
                <w:lang w:val="es-ES_tradnl"/>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881D8B" w:rsidR="00B7412F" w:rsidP="00790675" w:rsidRDefault="00B7412F" w14:paraId="1A3748F8" w14:textId="77777777">
            <w:pPr>
              <w:pStyle w:val="paragraph"/>
              <w:spacing w:before="0" w:beforeAutospacing="0" w:after="0" w:afterAutospacing="0" w:line="276" w:lineRule="auto"/>
              <w:contextualSpacing/>
              <w:textAlignment w:val="baseline"/>
              <w:rPr>
                <w:rFonts w:ascii="Verdana" w:hAnsi="Verdana" w:eastAsia="Calibri" w:cs="Arial"/>
                <w:sz w:val="16"/>
                <w:szCs w:val="16"/>
                <w:lang w:val="es-ES_tradnl" w:eastAsia="en-US"/>
              </w:rPr>
            </w:pPr>
            <w:r w:rsidRPr="00881D8B">
              <w:rPr>
                <w:rFonts w:ascii="Verdana" w:hAnsi="Verdana" w:eastAsia="Calibri" w:cs="Arial"/>
                <w:sz w:val="16"/>
                <w:szCs w:val="16"/>
                <w:lang w:val="es-ES_tradnl" w:eastAsia="en-US"/>
              </w:rPr>
              <w:t>Adriana Katerine Lopez Rodriguez</w:t>
            </w:r>
          </w:p>
          <w:p w:rsidRPr="00881D8B" w:rsidR="00B7412F" w:rsidP="00790675" w:rsidRDefault="00B7412F" w14:paraId="55F70532" w14:textId="77777777">
            <w:pPr>
              <w:pStyle w:val="paragraph"/>
              <w:spacing w:before="0" w:beforeAutospacing="0" w:after="0" w:afterAutospacing="0" w:line="276" w:lineRule="auto"/>
              <w:contextualSpacing/>
              <w:textAlignment w:val="baseline"/>
              <w:rPr>
                <w:rFonts w:ascii="Verdana" w:hAnsi="Verdana" w:eastAsia="Calibri" w:cs="Arial"/>
                <w:sz w:val="16"/>
                <w:szCs w:val="16"/>
                <w:lang w:val="es-ES_tradnl" w:eastAsia="en-US"/>
              </w:rPr>
            </w:pPr>
            <w:r w:rsidRPr="00881D8B">
              <w:rPr>
                <w:rFonts w:ascii="Verdana" w:hAnsi="Verdana" w:eastAsia="Calibri"/>
                <w:sz w:val="16"/>
                <w:szCs w:val="16"/>
                <w:lang w:val="es-ES_tradnl" w:eastAsia="en-US"/>
              </w:rPr>
              <w:t>Contratista de la Subdirección de Gestión Contractual </w:t>
            </w:r>
          </w:p>
        </w:tc>
      </w:tr>
      <w:tr w:rsidRPr="00881D8B" w:rsidR="00B7412F" w:rsidTr="00790675" w14:paraId="4E1942BF" w14:textId="77777777">
        <w:trPr>
          <w:trHeight w:val="300"/>
        </w:trPr>
        <w:tc>
          <w:tcPr>
            <w:tcW w:w="893" w:type="dxa"/>
            <w:vAlign w:val="center"/>
          </w:tcPr>
          <w:p w:rsidRPr="00881D8B" w:rsidR="00B7412F" w:rsidP="00790675" w:rsidRDefault="00B7412F" w14:paraId="0E72A50F" w14:textId="77777777">
            <w:pPr>
              <w:spacing w:line="276" w:lineRule="auto"/>
              <w:contextualSpacing/>
              <w:rPr>
                <w:rFonts w:ascii="Verdana" w:hAnsi="Verdana" w:eastAsia="Calibri" w:cs="Arial"/>
                <w:sz w:val="16"/>
                <w:szCs w:val="16"/>
                <w:lang w:val="es-ES_tradnl"/>
              </w:rPr>
            </w:pPr>
            <w:r w:rsidRPr="00881D8B">
              <w:rPr>
                <w:rFonts w:ascii="Verdana" w:hAnsi="Verdana" w:eastAsia="Calibri" w:cs="Arial"/>
                <w:sz w:val="16"/>
                <w:szCs w:val="16"/>
                <w:lang w:val="es-ES_tradnl"/>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881D8B" w:rsidR="00B7412F" w:rsidP="00790675" w:rsidRDefault="00B7412F" w14:paraId="5F32D670" w14:textId="77777777">
            <w:pPr>
              <w:spacing w:line="276" w:lineRule="auto"/>
              <w:contextualSpacing/>
              <w:rPr>
                <w:rFonts w:ascii="Verdana" w:hAnsi="Verdana" w:eastAsia="Calibri" w:cs="Arial"/>
                <w:sz w:val="16"/>
                <w:szCs w:val="16"/>
                <w:lang w:val="es-ES"/>
              </w:rPr>
            </w:pPr>
            <w:r w:rsidRPr="7FEF9B5E">
              <w:rPr>
                <w:rFonts w:ascii="Verdana" w:hAnsi="Verdana" w:eastAsia="Calibri" w:cs="Arial"/>
                <w:sz w:val="16"/>
                <w:szCs w:val="16"/>
                <w:lang w:val="es-ES"/>
              </w:rPr>
              <w:t>Carolina Quintero Gacharná</w:t>
            </w:r>
          </w:p>
          <w:p w:rsidRPr="00881D8B" w:rsidR="00B7412F" w:rsidP="00790675" w:rsidRDefault="00B7412F" w14:paraId="3C596F8D" w14:textId="77777777">
            <w:pPr>
              <w:spacing w:line="276" w:lineRule="auto"/>
              <w:contextualSpacing/>
              <w:rPr>
                <w:rFonts w:ascii="Verdana" w:hAnsi="Verdana" w:eastAsia="Calibri" w:cs="Arial"/>
                <w:sz w:val="16"/>
                <w:szCs w:val="16"/>
                <w:lang w:val="es-ES_tradnl"/>
              </w:rPr>
            </w:pPr>
            <w:r w:rsidRPr="00881D8B">
              <w:rPr>
                <w:rFonts w:ascii="Verdana" w:hAnsi="Verdana" w:eastAsia="Calibri" w:cs="Arial"/>
                <w:sz w:val="16"/>
                <w:szCs w:val="16"/>
                <w:lang w:val="es-ES_tradnl"/>
              </w:rPr>
              <w:t>Subdirectora de Gestión Contractual ANCP – CCE</w:t>
            </w:r>
          </w:p>
        </w:tc>
      </w:tr>
    </w:tbl>
    <w:p w:rsidRPr="00881D8B" w:rsidR="00B7412F" w:rsidP="00B7412F" w:rsidRDefault="00B7412F" w14:paraId="3A228103" w14:textId="77777777">
      <w:pPr>
        <w:spacing w:after="0" w:line="276" w:lineRule="auto"/>
        <w:rPr>
          <w:rFonts w:ascii="Verdana" w:hAnsi="Verdana" w:eastAsia="Times New Roman" w:cs="Arial"/>
          <w:sz w:val="24"/>
          <w:szCs w:val="24"/>
          <w:lang w:eastAsia="es-ES"/>
        </w:rPr>
      </w:pPr>
    </w:p>
    <w:p w:rsidRPr="00881D8B" w:rsidR="00B7412F" w:rsidP="00B7412F" w:rsidRDefault="00B7412F" w14:paraId="58BC31F2" w14:textId="77777777">
      <w:pPr>
        <w:spacing w:line="276" w:lineRule="auto"/>
        <w:rPr>
          <w:rFonts w:ascii="Verdana" w:hAnsi="Verdana"/>
        </w:rPr>
      </w:pPr>
    </w:p>
    <w:p w:rsidRPr="00881D8B" w:rsidR="00B7412F" w:rsidP="00B7412F" w:rsidRDefault="00B7412F" w14:paraId="46D4F34B" w14:textId="77777777">
      <w:pPr>
        <w:spacing w:after="0" w:line="276" w:lineRule="auto"/>
        <w:jc w:val="both"/>
        <w:rPr>
          <w:rFonts w:ascii="Verdana" w:hAnsi="Verdana"/>
        </w:rPr>
      </w:pPr>
    </w:p>
    <w:p w:rsidRPr="00881D8B" w:rsidR="00B7412F" w:rsidP="00B7412F" w:rsidRDefault="00B7412F" w14:paraId="7286710A" w14:textId="77777777">
      <w:pPr>
        <w:spacing w:line="276" w:lineRule="auto"/>
        <w:rPr>
          <w:rFonts w:ascii="Verdana" w:hAnsi="Verdana"/>
        </w:rPr>
      </w:pPr>
    </w:p>
    <w:p w:rsidRPr="0044528D" w:rsidR="00B7412F" w:rsidP="00B7412F" w:rsidRDefault="00B7412F" w14:paraId="2AAB82F2" w14:textId="77777777">
      <w:pPr>
        <w:spacing w:after="0"/>
        <w:rPr>
          <w:rFonts w:ascii="Verdana" w:hAnsi="Verdana"/>
        </w:rPr>
      </w:pPr>
    </w:p>
    <w:bookmarkEnd w:id="0"/>
    <w:p w:rsidRPr="00B7412F" w:rsidR="5D8505AD" w:rsidP="00B7412F" w:rsidRDefault="5D8505AD" w14:paraId="0083C991" w14:textId="5C765C2F"/>
    <w:sectPr w:rsidRPr="00B7412F" w:rsidR="5D8505AD" w:rsidSect="00E45F4B">
      <w:headerReference w:type="default" r:id="rId23"/>
      <w:footerReference w:type="default" r:id="rId24"/>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D7CE0" w:rsidP="00B30448" w:rsidRDefault="003D7CE0" w14:paraId="781F00DA" w14:textId="77777777">
      <w:pPr>
        <w:spacing w:after="0" w:line="240" w:lineRule="auto"/>
      </w:pPr>
      <w:r>
        <w:separator/>
      </w:r>
    </w:p>
  </w:endnote>
  <w:endnote w:type="continuationSeparator" w:id="0">
    <w:p w:rsidR="003D7CE0" w:rsidP="00B30448" w:rsidRDefault="003D7CE0" w14:paraId="72ABF98F" w14:textId="77777777">
      <w:pPr>
        <w:spacing w:after="0" w:line="240" w:lineRule="auto"/>
      </w:pPr>
      <w:r>
        <w:continuationSeparator/>
      </w:r>
    </w:p>
  </w:endnote>
  <w:endnote w:type="continuationNotice" w:id="1">
    <w:p w:rsidR="003D7CE0" w:rsidRDefault="003D7CE0" w14:paraId="57DE56D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49D5" w:rsidP="000849D5" w:rsidRDefault="000849D5" w14:paraId="74A7DACD" w14:textId="77777777">
    <w:pPr>
      <w:spacing w:after="0"/>
      <w:rPr>
        <w:rFonts w:ascii="Verdana" w:hAnsi="Verdana"/>
        <w:b/>
        <w:bCs/>
        <w:sz w:val="20"/>
        <w:szCs w:val="20"/>
      </w:rPr>
    </w:pPr>
  </w:p>
  <w:p w:rsidRPr="00174B77" w:rsidR="000849D5" w:rsidP="000849D5" w:rsidRDefault="000849D5" w14:paraId="6681ECB2"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0849D5" w:rsidP="000849D5" w:rsidRDefault="000849D5" w14:paraId="21625D2E"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0849D5" w:rsidP="000849D5" w:rsidRDefault="000849D5" w14:paraId="559D727E" w14:textId="77777777">
    <w:pPr>
      <w:spacing w:after="0"/>
      <w:jc w:val="both"/>
      <w:rPr>
        <w:rFonts w:ascii="Verdana" w:hAnsi="Verdana"/>
        <w:sz w:val="18"/>
        <w:szCs w:val="18"/>
      </w:rPr>
    </w:pPr>
    <w:r w:rsidRPr="00E41027">
      <w:rPr>
        <w:rFonts w:ascii="Verdana" w:hAnsi="Verdana"/>
        <w:sz w:val="18"/>
        <w:szCs w:val="18"/>
      </w:rPr>
      <w:t>Mesa de servicio: (+57) 601 7456788</w:t>
    </w:r>
  </w:p>
  <w:p w:rsidR="000849D5" w:rsidP="000849D5" w:rsidRDefault="000849D5" w14:paraId="143E423D" w14:textId="77777777">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rsidRPr="007D04B2" w:rsidR="000849D5" w:rsidP="000849D5" w:rsidRDefault="000849D5" w14:paraId="337FD84E" w14:textId="77777777">
    <w:pPr>
      <w:pStyle w:val="Piedepgina"/>
    </w:pPr>
  </w:p>
  <w:p w:rsidRPr="000849D5" w:rsidR="00B30448" w:rsidP="000849D5" w:rsidRDefault="00B30448" w14:paraId="769219E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D7CE0" w:rsidP="00B30448" w:rsidRDefault="003D7CE0" w14:paraId="00A569B1" w14:textId="77777777">
      <w:pPr>
        <w:spacing w:after="0" w:line="240" w:lineRule="auto"/>
      </w:pPr>
      <w:r>
        <w:separator/>
      </w:r>
    </w:p>
  </w:footnote>
  <w:footnote w:type="continuationSeparator" w:id="0">
    <w:p w:rsidR="003D7CE0" w:rsidP="00B30448" w:rsidRDefault="003D7CE0" w14:paraId="40845E24" w14:textId="77777777">
      <w:pPr>
        <w:spacing w:after="0" w:line="240" w:lineRule="auto"/>
      </w:pPr>
      <w:r>
        <w:continuationSeparator/>
      </w:r>
    </w:p>
  </w:footnote>
  <w:footnote w:type="continuationNotice" w:id="1">
    <w:p w:rsidR="003D7CE0" w:rsidRDefault="003D7CE0" w14:paraId="299A7A12" w14:textId="77777777">
      <w:pPr>
        <w:spacing w:after="0" w:line="240" w:lineRule="auto"/>
      </w:pPr>
    </w:p>
  </w:footnote>
  <w:footnote w:id="2">
    <w:p w:rsidRPr="00847D2B" w:rsidR="00B7412F" w:rsidP="00B7412F" w:rsidRDefault="00B7412F" w14:paraId="08DD3AE9" w14:textId="77777777">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Consejo de Estado. Sección Segunda. Sentencia del 9 de septiembre de 2021. Expediente No. 05001-23-33-000-2013-01143-01(1317-16). M.P. Dra. Sandra Lisset Ibarra Vélez.</w:t>
      </w:r>
    </w:p>
    <w:p w:rsidRPr="00847D2B" w:rsidR="00B7412F" w:rsidP="00B7412F" w:rsidRDefault="00B7412F" w14:paraId="2A29A6E8" w14:textId="77777777">
      <w:pPr>
        <w:pStyle w:val="Textonotapie"/>
        <w:ind w:firstLine="708"/>
        <w:contextualSpacing/>
        <w:jc w:val="both"/>
        <w:rPr>
          <w:rFonts w:ascii="Arial" w:hAnsi="Arial" w:cs="Arial"/>
          <w:sz w:val="18"/>
          <w:szCs w:val="18"/>
        </w:rPr>
      </w:pPr>
    </w:p>
  </w:footnote>
  <w:footnote w:id="3">
    <w:p w:rsidRPr="00847D2B" w:rsidR="00B7412F" w:rsidP="00B7412F" w:rsidRDefault="00B7412F" w14:paraId="1AF4D6D8" w14:textId="77777777">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rsidRPr="00847D2B" w:rsidR="00B7412F" w:rsidP="00B7412F" w:rsidRDefault="00B7412F" w14:paraId="3DE2D7AA" w14:textId="77777777">
      <w:pPr>
        <w:pStyle w:val="Textonotapie"/>
        <w:ind w:firstLine="708"/>
        <w:contextualSpacing/>
        <w:jc w:val="both"/>
        <w:rPr>
          <w:rFonts w:ascii="Arial" w:hAnsi="Arial" w:cs="Arial"/>
          <w:sz w:val="18"/>
          <w:szCs w:val="18"/>
          <w:lang w:val="es-ES_tradnl"/>
        </w:rPr>
      </w:pPr>
    </w:p>
  </w:footnote>
  <w:footnote w:id="4">
    <w:p w:rsidRPr="00847D2B" w:rsidR="00B7412F" w:rsidP="00B7412F" w:rsidRDefault="00B7412F" w14:paraId="42785B44" w14:textId="77777777">
      <w:pPr>
        <w:pStyle w:val="Textonotapie"/>
        <w:ind w:firstLine="708"/>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rsidRPr="00847D2B" w:rsidR="00B7412F" w:rsidP="00B7412F" w:rsidRDefault="00B7412F" w14:paraId="1E52169F" w14:textId="77777777">
      <w:pPr>
        <w:pStyle w:val="Textonotapie"/>
        <w:ind w:firstLine="709"/>
        <w:contextualSpacing/>
        <w:jc w:val="both"/>
        <w:rPr>
          <w:rFonts w:ascii="Arial" w:hAnsi="Arial" w:cs="Arial"/>
          <w:sz w:val="18"/>
          <w:szCs w:val="18"/>
          <w:lang w:val="es-ES"/>
        </w:rPr>
      </w:pPr>
    </w:p>
  </w:footnote>
  <w:footnote w:id="5">
    <w:p w:rsidRPr="00847D2B" w:rsidR="00B7412F" w:rsidP="00B7412F" w:rsidRDefault="00B7412F" w14:paraId="4E3AA036" w14:textId="77777777">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847D2B" w:rsidR="00B7412F" w:rsidP="00B7412F" w:rsidRDefault="00B7412F" w14:paraId="3A211846" w14:textId="77777777">
      <w:pPr>
        <w:pStyle w:val="Textonotapie"/>
        <w:ind w:firstLine="709"/>
        <w:contextualSpacing/>
        <w:jc w:val="both"/>
        <w:rPr>
          <w:rFonts w:ascii="Arial" w:hAnsi="Arial" w:cs="Arial"/>
          <w:sz w:val="18"/>
          <w:szCs w:val="18"/>
          <w:lang w:val="es-ES"/>
        </w:rPr>
      </w:pPr>
    </w:p>
    <w:p w:rsidRPr="00847D2B" w:rsidR="00B7412F" w:rsidP="00B7412F" w:rsidRDefault="00B7412F" w14:paraId="22AD1B69"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847D2B" w:rsidR="00B7412F" w:rsidP="00B7412F" w:rsidRDefault="00B7412F" w14:paraId="660146C9" w14:textId="77777777">
      <w:pPr>
        <w:pStyle w:val="Textonotapie"/>
        <w:ind w:firstLine="709"/>
        <w:contextualSpacing/>
        <w:jc w:val="both"/>
        <w:rPr>
          <w:rFonts w:ascii="Arial" w:hAnsi="Arial" w:cs="Arial"/>
          <w:sz w:val="18"/>
          <w:szCs w:val="18"/>
          <w:lang w:val="es-ES"/>
        </w:rPr>
      </w:pPr>
    </w:p>
    <w:p w:rsidRPr="00847D2B" w:rsidR="00B7412F" w:rsidP="00B7412F" w:rsidRDefault="00B7412F" w14:paraId="5A057D56"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El Gobierno nacional reglamentará el mecanismo para realizar la mensualización de que trata el presente artículo.</w:t>
      </w:r>
    </w:p>
    <w:p w:rsidRPr="00847D2B" w:rsidR="00B7412F" w:rsidP="00B7412F" w:rsidRDefault="00B7412F" w14:paraId="1FA630CC" w14:textId="77777777">
      <w:pPr>
        <w:pStyle w:val="Textonotapie"/>
        <w:ind w:firstLine="709"/>
        <w:contextualSpacing/>
        <w:jc w:val="both"/>
        <w:rPr>
          <w:rFonts w:ascii="Arial" w:hAnsi="Arial" w:cs="Arial"/>
          <w:sz w:val="18"/>
          <w:szCs w:val="18"/>
          <w:lang w:val="es-ES"/>
        </w:rPr>
      </w:pPr>
    </w:p>
    <w:p w:rsidRPr="00847D2B" w:rsidR="00B7412F" w:rsidP="00B7412F" w:rsidRDefault="00B7412F" w14:paraId="45AAD2CF" w14:textId="77777777">
      <w:pPr>
        <w:pStyle w:val="Textonotapie"/>
        <w:ind w:firstLine="709"/>
        <w:contextualSpacing/>
        <w:jc w:val="both"/>
        <w:rPr>
          <w:rFonts w:ascii="Arial" w:hAnsi="Arial" w:cs="Arial"/>
          <w:sz w:val="18"/>
          <w:szCs w:val="18"/>
          <w:lang w:val="pt-BR"/>
        </w:rPr>
      </w:pPr>
      <w:r w:rsidRPr="00847D2B">
        <w:rPr>
          <w:rFonts w:ascii="Arial" w:hAnsi="Arial" w:cs="Arial"/>
          <w:sz w:val="18"/>
          <w:szCs w:val="18"/>
          <w:lang w:val="pt-BR"/>
        </w:rPr>
        <w:t>[…]».</w:t>
      </w:r>
    </w:p>
    <w:p w:rsidRPr="00847D2B" w:rsidR="00B7412F" w:rsidP="00B7412F" w:rsidRDefault="00B7412F" w14:paraId="45661ABA" w14:textId="77777777">
      <w:pPr>
        <w:pStyle w:val="Textonotapie"/>
        <w:ind w:firstLine="709"/>
        <w:contextualSpacing/>
        <w:jc w:val="both"/>
        <w:rPr>
          <w:rFonts w:ascii="Arial" w:hAnsi="Arial" w:cs="Arial"/>
          <w:sz w:val="18"/>
          <w:szCs w:val="18"/>
          <w:lang w:val="pt-BR"/>
        </w:rPr>
      </w:pPr>
    </w:p>
  </w:footnote>
  <w:footnote w:id="6">
    <w:p w:rsidRPr="00847D2B" w:rsidR="00B7412F" w:rsidP="00B7412F" w:rsidRDefault="00B7412F" w14:paraId="791C2F01" w14:textId="77777777">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Ibíd.</w:t>
      </w:r>
    </w:p>
    <w:p w:rsidRPr="00847D2B" w:rsidR="00B7412F" w:rsidP="00B7412F" w:rsidRDefault="00B7412F" w14:paraId="4944269C" w14:textId="77777777">
      <w:pPr>
        <w:pStyle w:val="Textonotapie"/>
        <w:ind w:firstLine="709"/>
        <w:contextualSpacing/>
        <w:jc w:val="both"/>
        <w:rPr>
          <w:rFonts w:ascii="Arial" w:hAnsi="Arial" w:cs="Arial"/>
          <w:sz w:val="18"/>
          <w:szCs w:val="18"/>
          <w:lang w:val="es-ES"/>
        </w:rPr>
      </w:pPr>
    </w:p>
  </w:footnote>
  <w:footnote w:id="7">
    <w:p w:rsidRPr="00847D2B" w:rsidR="00B7412F" w:rsidP="00B7412F" w:rsidRDefault="00B7412F" w14:paraId="568A0237" w14:textId="77777777">
      <w:pPr>
        <w:pStyle w:val="Textonotapie"/>
        <w:ind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CONSEJO DE ESTADO. Sección Tercera. Subsección C. Sentencia de Unificación del 2 de diciembre de 2013. Exp. 41.719. C.P. Jaime Orlando Santofimio Gamboa.</w:t>
      </w:r>
      <w:r w:rsidRPr="00847D2B">
        <w:rPr>
          <w:rFonts w:ascii="Arial" w:hAnsi="Arial" w:cs="Arial"/>
          <w:sz w:val="18"/>
          <w:szCs w:val="18"/>
        </w:rPr>
        <w:t xml:space="preserve"> </w:t>
      </w:r>
    </w:p>
    <w:p w:rsidRPr="00847D2B" w:rsidR="00B7412F" w:rsidP="00B7412F" w:rsidRDefault="00B7412F" w14:paraId="0783E621" w14:textId="77777777">
      <w:pPr>
        <w:pStyle w:val="Textonotapie"/>
        <w:ind w:firstLine="709"/>
        <w:contextualSpacing/>
        <w:jc w:val="both"/>
        <w:rPr>
          <w:rFonts w:ascii="Arial" w:hAnsi="Arial" w:cs="Arial"/>
          <w:sz w:val="18"/>
          <w:szCs w:val="18"/>
        </w:rPr>
      </w:pPr>
    </w:p>
    <w:p w:rsidRPr="00847D2B" w:rsidR="00B7412F" w:rsidP="00B7412F" w:rsidRDefault="00B7412F" w14:paraId="6A2033E9"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rsidRPr="00847D2B" w:rsidR="00B7412F" w:rsidP="00B7412F" w:rsidRDefault="00B7412F" w14:paraId="70746D20" w14:textId="77777777">
      <w:pPr>
        <w:pStyle w:val="Textonotapie"/>
        <w:ind w:firstLine="709"/>
        <w:contextualSpacing/>
        <w:jc w:val="both"/>
        <w:rPr>
          <w:rFonts w:ascii="Arial" w:hAnsi="Arial" w:cs="Arial"/>
          <w:sz w:val="18"/>
          <w:szCs w:val="18"/>
          <w:lang w:val="es-ES"/>
        </w:rPr>
      </w:pPr>
    </w:p>
    <w:p w:rsidRPr="00847D2B" w:rsidR="00B7412F" w:rsidP="00B7412F" w:rsidRDefault="00B7412F" w14:paraId="3D8B4BA7"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»Son también contratos de consultoría los que tienen por objeto la interventoría, asesoría, gerencia de obra o de proyectos, dirección, programación y la ejecución de diseños, planos, anteproyectos y proyectos.</w:t>
      </w:r>
    </w:p>
    <w:p w:rsidRPr="00847D2B" w:rsidR="00B7412F" w:rsidP="00B7412F" w:rsidRDefault="00B7412F" w14:paraId="23E21638" w14:textId="77777777">
      <w:pPr>
        <w:pStyle w:val="Textonotapie"/>
        <w:ind w:firstLine="709"/>
        <w:contextualSpacing/>
        <w:jc w:val="both"/>
        <w:rPr>
          <w:rFonts w:ascii="Arial" w:hAnsi="Arial" w:cs="Arial"/>
          <w:sz w:val="18"/>
          <w:szCs w:val="18"/>
          <w:lang w:val="es-ES"/>
        </w:rPr>
      </w:pPr>
    </w:p>
    <w:p w:rsidRPr="00847D2B" w:rsidR="00B7412F" w:rsidP="00B7412F" w:rsidRDefault="00B7412F" w14:paraId="337B1FF0"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»Ninguna orden del interventor de una obra podrá darse verbalmente. Es obligatorio para el interventor entregar por escrito sus órdenes o sugerencias y ellas deben enmarcarse dentro de los términos del respectivo contrato».</w:t>
      </w:r>
    </w:p>
    <w:p w:rsidRPr="00847D2B" w:rsidR="00B7412F" w:rsidP="00B7412F" w:rsidRDefault="00B7412F" w14:paraId="1584F981" w14:textId="77777777">
      <w:pPr>
        <w:pStyle w:val="Textonotapie"/>
        <w:ind w:firstLine="709"/>
        <w:contextualSpacing/>
        <w:jc w:val="both"/>
        <w:rPr>
          <w:rFonts w:ascii="Arial" w:hAnsi="Arial" w:cs="Arial"/>
          <w:sz w:val="18"/>
          <w:szCs w:val="18"/>
          <w:lang w:val="es-ES"/>
        </w:rPr>
      </w:pPr>
    </w:p>
  </w:footnote>
  <w:footnote w:id="8">
    <w:p w:rsidRPr="00847D2B" w:rsidR="00B7412F" w:rsidP="00B7412F" w:rsidRDefault="00B7412F" w14:paraId="29648FFF" w14:textId="77777777">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Así lo dispone el artículo 2.2.1.2.1.4.1. del Decreto 1082 de 2015: «La Entidad Estatal debe señalar en un acto administrativo la justificación para contratar bajo la modalidad de contratación directa, el cual debe contener:</w:t>
      </w:r>
    </w:p>
    <w:p w:rsidRPr="00847D2B" w:rsidR="00B7412F" w:rsidP="00B7412F" w:rsidRDefault="00B7412F" w14:paraId="11F50414" w14:textId="77777777">
      <w:pPr>
        <w:pStyle w:val="Textonotapie"/>
        <w:ind w:firstLine="709"/>
        <w:contextualSpacing/>
        <w:jc w:val="both"/>
        <w:rPr>
          <w:rFonts w:ascii="Arial" w:hAnsi="Arial" w:cs="Arial"/>
          <w:sz w:val="18"/>
          <w:szCs w:val="18"/>
          <w:lang w:val="es-ES"/>
        </w:rPr>
      </w:pPr>
    </w:p>
    <w:p w:rsidRPr="00847D2B" w:rsidR="00B7412F" w:rsidP="00B7412F" w:rsidRDefault="00B7412F" w14:paraId="7FAA2FF4"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»1. La causal que invoca para contratar directamente.</w:t>
      </w:r>
    </w:p>
    <w:p w:rsidRPr="00847D2B" w:rsidR="00B7412F" w:rsidP="00B7412F" w:rsidRDefault="00B7412F" w14:paraId="3EFEA8CA" w14:textId="77777777">
      <w:pPr>
        <w:pStyle w:val="Textonotapie"/>
        <w:ind w:firstLine="709"/>
        <w:contextualSpacing/>
        <w:jc w:val="both"/>
        <w:rPr>
          <w:rFonts w:ascii="Arial" w:hAnsi="Arial" w:cs="Arial"/>
          <w:sz w:val="18"/>
          <w:szCs w:val="18"/>
          <w:lang w:val="es-ES"/>
        </w:rPr>
      </w:pPr>
    </w:p>
    <w:p w:rsidRPr="00847D2B" w:rsidR="00B7412F" w:rsidP="00B7412F" w:rsidRDefault="00B7412F" w14:paraId="4A9E1EAE"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»2. El objeto del contrato.</w:t>
      </w:r>
    </w:p>
    <w:p w:rsidRPr="00847D2B" w:rsidR="00B7412F" w:rsidP="00B7412F" w:rsidRDefault="00B7412F" w14:paraId="2F0BD620" w14:textId="77777777">
      <w:pPr>
        <w:pStyle w:val="Textonotapie"/>
        <w:ind w:firstLine="709"/>
        <w:contextualSpacing/>
        <w:jc w:val="both"/>
        <w:rPr>
          <w:rFonts w:ascii="Arial" w:hAnsi="Arial" w:cs="Arial"/>
          <w:sz w:val="18"/>
          <w:szCs w:val="18"/>
          <w:lang w:val="es-ES"/>
        </w:rPr>
      </w:pPr>
    </w:p>
    <w:p w:rsidRPr="00847D2B" w:rsidR="00B7412F" w:rsidP="00B7412F" w:rsidRDefault="00B7412F" w14:paraId="74224617"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»3. El presupuesto para la contratación y las condiciones que exigirá al contratista.</w:t>
      </w:r>
    </w:p>
    <w:p w:rsidRPr="00847D2B" w:rsidR="00B7412F" w:rsidP="00B7412F" w:rsidRDefault="00B7412F" w14:paraId="61E7D099" w14:textId="77777777">
      <w:pPr>
        <w:pStyle w:val="Textonotapie"/>
        <w:ind w:firstLine="709"/>
        <w:contextualSpacing/>
        <w:jc w:val="both"/>
        <w:rPr>
          <w:rFonts w:ascii="Arial" w:hAnsi="Arial" w:cs="Arial"/>
          <w:sz w:val="18"/>
          <w:szCs w:val="18"/>
          <w:lang w:val="es-ES"/>
        </w:rPr>
      </w:pPr>
    </w:p>
    <w:p w:rsidRPr="00847D2B" w:rsidR="00B7412F" w:rsidP="00B7412F" w:rsidRDefault="00B7412F" w14:paraId="153A5B52"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»4. El lugar en el cual los interesados pueden consultar los estudios y documentos previos.</w:t>
      </w:r>
    </w:p>
    <w:p w:rsidRPr="00847D2B" w:rsidR="00B7412F" w:rsidP="00B7412F" w:rsidRDefault="00B7412F" w14:paraId="7ACE152E" w14:textId="77777777">
      <w:pPr>
        <w:pStyle w:val="Textonotapie"/>
        <w:ind w:firstLine="709"/>
        <w:contextualSpacing/>
        <w:jc w:val="both"/>
        <w:rPr>
          <w:rFonts w:ascii="Arial" w:hAnsi="Arial" w:cs="Arial"/>
          <w:sz w:val="18"/>
          <w:szCs w:val="18"/>
          <w:lang w:val="es-ES"/>
        </w:rPr>
      </w:pPr>
    </w:p>
    <w:p w:rsidRPr="00847D2B" w:rsidR="00B7412F" w:rsidP="00B7412F" w:rsidRDefault="00B7412F" w14:paraId="4F0F6EFC"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9">
    <w:p w:rsidRPr="00847D2B" w:rsidR="00B7412F" w:rsidP="00B7412F" w:rsidRDefault="00B7412F" w14:paraId="1E219B55" w14:textId="77777777">
      <w:pPr>
        <w:pStyle w:val="Textonotapie"/>
        <w:contextualSpacing/>
        <w:jc w:val="both"/>
        <w:rPr>
          <w:rFonts w:ascii="Arial" w:hAnsi="Arial" w:cs="Arial"/>
          <w:sz w:val="18"/>
          <w:szCs w:val="18"/>
        </w:rPr>
      </w:pPr>
    </w:p>
    <w:p w:rsidRPr="00847D2B" w:rsidR="00B7412F" w:rsidP="00B7412F" w:rsidRDefault="00B7412F" w14:paraId="0A50C0EF" w14:textId="77777777">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 xml:space="preserve">La norma expresa: «Art. 14. </w:t>
      </w:r>
      <w:r w:rsidRPr="00847D2B">
        <w:rPr>
          <w:rFonts w:ascii="Arial" w:hAnsi="Arial" w:cs="Arial"/>
          <w:sz w:val="18"/>
          <w:szCs w:val="18"/>
        </w:rPr>
        <w:t>P</w:t>
      </w:r>
      <w:r w:rsidRPr="00847D2B">
        <w:rPr>
          <w:rFonts w:ascii="Arial" w:hAnsi="Arial" w:cs="Arial"/>
          <w:sz w:val="18"/>
          <w:szCs w:val="18"/>
          <w:lang w:val="es-ES"/>
        </w:rPr>
        <w:t>ara el cumplimiento de los fines de la contratación, las entidades estatales al celebrar un contrato:</w:t>
      </w:r>
    </w:p>
    <w:p w:rsidRPr="00847D2B" w:rsidR="00B7412F" w:rsidP="00B7412F" w:rsidRDefault="00B7412F" w14:paraId="57063503" w14:textId="77777777">
      <w:pPr>
        <w:pStyle w:val="Textonotapie"/>
        <w:ind w:firstLine="709"/>
        <w:contextualSpacing/>
        <w:jc w:val="both"/>
        <w:rPr>
          <w:rFonts w:ascii="Arial" w:hAnsi="Arial" w:cs="Arial"/>
          <w:sz w:val="18"/>
          <w:szCs w:val="18"/>
          <w:lang w:val="es-ES"/>
        </w:rPr>
      </w:pPr>
    </w:p>
    <w:p w:rsidRPr="00847D2B" w:rsidR="00B7412F" w:rsidP="00B7412F" w:rsidRDefault="00B7412F" w14:paraId="242CAA07"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w:t>
      </w:r>
    </w:p>
    <w:p w:rsidRPr="00847D2B" w:rsidR="00B7412F" w:rsidP="00B7412F" w:rsidRDefault="00B7412F" w14:paraId="6083A4A2" w14:textId="77777777">
      <w:pPr>
        <w:pStyle w:val="Textonotapie"/>
        <w:ind w:firstLine="709"/>
        <w:contextualSpacing/>
        <w:jc w:val="both"/>
        <w:rPr>
          <w:rFonts w:ascii="Arial" w:hAnsi="Arial" w:cs="Arial"/>
          <w:sz w:val="18"/>
          <w:szCs w:val="18"/>
          <w:lang w:val="es-ES"/>
        </w:rPr>
      </w:pPr>
    </w:p>
    <w:p w:rsidRPr="00847D2B" w:rsidR="00B7412F" w:rsidP="00B7412F" w:rsidRDefault="00B7412F" w14:paraId="354FCFBE"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rsidRPr="00847D2B" w:rsidR="00B7412F" w:rsidP="00B7412F" w:rsidRDefault="00B7412F" w14:paraId="51E16D49" w14:textId="77777777">
      <w:pPr>
        <w:pStyle w:val="Textonotapie"/>
        <w:ind w:firstLine="709"/>
        <w:contextualSpacing/>
        <w:jc w:val="both"/>
        <w:rPr>
          <w:rFonts w:ascii="Arial" w:hAnsi="Arial" w:cs="Arial"/>
          <w:sz w:val="18"/>
          <w:szCs w:val="18"/>
          <w:lang w:val="es-ES"/>
        </w:rPr>
      </w:pPr>
    </w:p>
    <w:p w:rsidRPr="00847D2B" w:rsidR="00B7412F" w:rsidP="00B7412F" w:rsidRDefault="00B7412F" w14:paraId="502A6B60"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Las entidades estatales podrán pactar estas cláusulas en los contratos de suministro y de prestación de servicios.</w:t>
      </w:r>
    </w:p>
    <w:p w:rsidRPr="00847D2B" w:rsidR="00B7412F" w:rsidP="00B7412F" w:rsidRDefault="00B7412F" w14:paraId="06662442" w14:textId="77777777">
      <w:pPr>
        <w:pStyle w:val="Textonotapie"/>
        <w:ind w:firstLine="709"/>
        <w:contextualSpacing/>
        <w:jc w:val="both"/>
        <w:rPr>
          <w:rFonts w:ascii="Arial" w:hAnsi="Arial" w:cs="Arial"/>
          <w:sz w:val="18"/>
          <w:szCs w:val="18"/>
          <w:lang w:val="es-ES"/>
        </w:rPr>
      </w:pPr>
    </w:p>
    <w:p w:rsidRPr="00847D2B" w:rsidR="00B7412F" w:rsidP="00B7412F" w:rsidRDefault="00B7412F" w14:paraId="1789BE69"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w:t>
      </w:r>
    </w:p>
    <w:p w:rsidRPr="00847D2B" w:rsidR="00B7412F" w:rsidP="00B7412F" w:rsidRDefault="00B7412F" w14:paraId="1A5A9218" w14:textId="77777777">
      <w:pPr>
        <w:pStyle w:val="Textonotapie"/>
        <w:ind w:firstLine="709"/>
        <w:contextualSpacing/>
        <w:jc w:val="both"/>
        <w:rPr>
          <w:rFonts w:ascii="Arial" w:hAnsi="Arial" w:cs="Arial"/>
          <w:sz w:val="18"/>
          <w:szCs w:val="18"/>
          <w:lang w:val="es-ES"/>
        </w:rPr>
      </w:pPr>
    </w:p>
  </w:footnote>
  <w:footnote w:id="10">
    <w:p w:rsidRPr="00847D2B" w:rsidR="00B7412F" w:rsidP="00B7412F" w:rsidRDefault="00B7412F" w14:paraId="1FA3754B" w14:textId="77777777">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La norma dispone: «La liquidación a que se refiere el presente artículo no será obligatoria en los contratos de prestación de servicios profesionales y de apoyo a la gestión».</w:t>
      </w:r>
    </w:p>
    <w:p w:rsidRPr="00847D2B" w:rsidR="00B7412F" w:rsidP="00B7412F" w:rsidRDefault="00B7412F" w14:paraId="5CD7782A" w14:textId="77777777">
      <w:pPr>
        <w:pStyle w:val="Textonotapie"/>
        <w:ind w:firstLine="709"/>
        <w:contextualSpacing/>
        <w:jc w:val="both"/>
        <w:rPr>
          <w:rFonts w:ascii="Arial" w:hAnsi="Arial" w:cs="Arial"/>
          <w:sz w:val="18"/>
          <w:szCs w:val="18"/>
          <w:lang w:val="es-ES"/>
        </w:rPr>
      </w:pPr>
    </w:p>
  </w:footnote>
  <w:footnote w:id="11">
    <w:p w:rsidRPr="00847D2B" w:rsidR="00B7412F" w:rsidP="00B7412F" w:rsidRDefault="00B7412F" w14:paraId="5129CCC2" w14:textId="77777777">
      <w:pPr>
        <w:pStyle w:val="Textonotapie"/>
        <w:ind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847D2B" w:rsidR="00B7412F" w:rsidP="00B7412F" w:rsidRDefault="00B7412F" w14:paraId="4BA0FEB9" w14:textId="77777777">
      <w:pPr>
        <w:pStyle w:val="Textonotapie"/>
        <w:ind w:firstLine="709"/>
        <w:contextualSpacing/>
        <w:jc w:val="both"/>
        <w:rPr>
          <w:rFonts w:ascii="Arial" w:hAnsi="Arial" w:cs="Arial"/>
          <w:sz w:val="18"/>
          <w:szCs w:val="18"/>
        </w:rPr>
      </w:pPr>
    </w:p>
    <w:p w:rsidRPr="00847D2B" w:rsidR="00B7412F" w:rsidP="00B7412F" w:rsidRDefault="00B7412F" w14:paraId="7A58EDA6" w14:textId="77777777">
      <w:pPr>
        <w:pStyle w:val="Textonotapie"/>
        <w:ind w:firstLine="709"/>
        <w:contextualSpacing/>
        <w:jc w:val="both"/>
        <w:rPr>
          <w:rFonts w:ascii="Arial" w:hAnsi="Arial" w:cs="Arial"/>
          <w:sz w:val="18"/>
          <w:szCs w:val="18"/>
        </w:rPr>
      </w:pPr>
      <w:r w:rsidRPr="00847D2B">
        <w:rPr>
          <w:rFonts w:ascii="Arial" w:hAnsi="Arial"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847D2B" w:rsidR="00B7412F" w:rsidP="00B7412F" w:rsidRDefault="00B7412F" w14:paraId="40A1EF78" w14:textId="77777777">
      <w:pPr>
        <w:pStyle w:val="Textonotapie"/>
        <w:ind w:firstLine="709"/>
        <w:contextualSpacing/>
        <w:jc w:val="both"/>
        <w:rPr>
          <w:rFonts w:ascii="Arial" w:hAnsi="Arial" w:cs="Arial"/>
          <w:sz w:val="18"/>
          <w:szCs w:val="18"/>
        </w:rPr>
      </w:pPr>
    </w:p>
    <w:p w:rsidRPr="00847D2B" w:rsidR="00B7412F" w:rsidP="00B7412F" w:rsidRDefault="00B7412F" w14:paraId="1F6C934E" w14:textId="77777777">
      <w:pPr>
        <w:pStyle w:val="Textonotapie"/>
        <w:ind w:firstLine="709"/>
        <w:contextualSpacing/>
        <w:jc w:val="both"/>
        <w:rPr>
          <w:rFonts w:ascii="Arial" w:hAnsi="Arial" w:cs="Arial"/>
          <w:sz w:val="18"/>
          <w:szCs w:val="18"/>
        </w:rPr>
      </w:pPr>
      <w:r w:rsidRPr="00847D2B">
        <w:rPr>
          <w:rFonts w:ascii="Arial" w:hAnsi="Arial" w:cs="Arial"/>
          <w:sz w:val="18"/>
          <w:szCs w:val="18"/>
        </w:rPr>
        <w:t>[…]».</w:t>
      </w:r>
    </w:p>
    <w:p w:rsidRPr="00847D2B" w:rsidR="00B7412F" w:rsidP="00B7412F" w:rsidRDefault="00B7412F" w14:paraId="235BE078" w14:textId="77777777">
      <w:pPr>
        <w:pStyle w:val="Textonotapie"/>
        <w:ind w:firstLine="709"/>
        <w:contextualSpacing/>
        <w:jc w:val="both"/>
        <w:rPr>
          <w:rFonts w:ascii="Arial" w:hAnsi="Arial" w:cs="Arial"/>
          <w:sz w:val="18"/>
          <w:szCs w:val="18"/>
          <w:lang w:val="es-ES"/>
        </w:rPr>
      </w:pPr>
    </w:p>
  </w:footnote>
  <w:footnote w:id="12">
    <w:p w:rsidRPr="00847D2B" w:rsidR="00B7412F" w:rsidP="00B7412F" w:rsidRDefault="00B7412F" w14:paraId="16BF19DD" w14:textId="77777777">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rsidRPr="00847D2B" w:rsidR="00B7412F" w:rsidP="00B7412F" w:rsidRDefault="00B7412F" w14:paraId="3C4FE497" w14:textId="77777777">
      <w:pPr>
        <w:pStyle w:val="Textonotapie"/>
        <w:ind w:firstLine="709"/>
        <w:contextualSpacing/>
        <w:jc w:val="both"/>
        <w:rPr>
          <w:rFonts w:ascii="Arial" w:hAnsi="Arial" w:cs="Arial"/>
          <w:sz w:val="18"/>
          <w:szCs w:val="18"/>
          <w:lang w:val="es-ES"/>
        </w:rPr>
      </w:pPr>
    </w:p>
  </w:footnote>
  <w:footnote w:id="13">
    <w:p w:rsidRPr="00847D2B" w:rsidR="00B7412F" w:rsidP="00B7412F" w:rsidRDefault="00B7412F" w14:paraId="60013C43" w14:textId="77777777">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847D2B" w:rsidR="00B7412F" w:rsidP="00B7412F" w:rsidRDefault="00B7412F" w14:paraId="2A71B427" w14:textId="77777777">
      <w:pPr>
        <w:pStyle w:val="Textonotapie"/>
        <w:ind w:firstLine="709"/>
        <w:contextualSpacing/>
        <w:jc w:val="both"/>
        <w:rPr>
          <w:rFonts w:ascii="Arial" w:hAnsi="Arial" w:cs="Arial"/>
          <w:sz w:val="18"/>
          <w:szCs w:val="18"/>
          <w:lang w:val="es-ES"/>
        </w:rPr>
      </w:pPr>
    </w:p>
    <w:p w:rsidRPr="00847D2B" w:rsidR="00B7412F" w:rsidP="00B7412F" w:rsidRDefault="00B7412F" w14:paraId="6718FF87"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Pr="00847D2B" w:rsidR="00B7412F" w:rsidP="00B7412F" w:rsidRDefault="00B7412F" w14:paraId="450FC332" w14:textId="77777777">
      <w:pPr>
        <w:pStyle w:val="Textonotapie"/>
        <w:ind w:firstLine="709"/>
        <w:contextualSpacing/>
        <w:jc w:val="both"/>
        <w:rPr>
          <w:rFonts w:ascii="Arial" w:hAnsi="Arial" w:cs="Arial"/>
          <w:sz w:val="18"/>
          <w:szCs w:val="18"/>
          <w:lang w:val="es-ES"/>
        </w:rPr>
      </w:pPr>
    </w:p>
    <w:p w:rsidRPr="00847D2B" w:rsidR="00B7412F" w:rsidP="00B7412F" w:rsidRDefault="00B7412F" w14:paraId="08C03740" w14:textId="77777777">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»La Entidad Estatal, para la contratación de trabajos artísticos que solamente puedan en</w:t>
      </w:r>
      <w:r w:rsidRPr="00847D2B">
        <w:rPr>
          <w:rFonts w:ascii="Arial" w:hAnsi="Arial" w:cs="Arial"/>
          <w:sz w:val="18"/>
          <w:szCs w:val="18"/>
          <w:lang w:val="es-ES"/>
        </w:rPr>
        <w:softHyphen/>
        <w:t>comendarse a determinadas personas naturales, debe justificar esta situación en los estudios y documentos previos».</w:t>
      </w:r>
    </w:p>
    <w:p w:rsidRPr="00847D2B" w:rsidR="00B7412F" w:rsidP="00B7412F" w:rsidRDefault="00B7412F" w14:paraId="51143CCF" w14:textId="77777777">
      <w:pPr>
        <w:pStyle w:val="Textonotapie"/>
        <w:ind w:firstLine="709"/>
        <w:contextualSpacing/>
        <w:jc w:val="both"/>
        <w:rPr>
          <w:rFonts w:ascii="Arial" w:hAnsi="Arial" w:cs="Arial"/>
          <w:sz w:val="18"/>
          <w:szCs w:val="18"/>
          <w:lang w:val="es-ES"/>
        </w:rPr>
      </w:pPr>
    </w:p>
  </w:footnote>
  <w:footnote w:id="14">
    <w:p w:rsidRPr="00847D2B" w:rsidR="00B7412F" w:rsidP="00B7412F" w:rsidRDefault="00B7412F" w14:paraId="106DB1A3" w14:textId="77777777">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CONSEJO DE ESTADO. Sección Tercera. Subsección C. Sentencia de Unificación del 2 de diciembre de 2013. Exp. 41.719. C.P. Jaime Orlando Santofimio Gamboa.</w:t>
      </w:r>
    </w:p>
    <w:p w:rsidRPr="00847D2B" w:rsidR="00B7412F" w:rsidP="00B7412F" w:rsidRDefault="00B7412F" w14:paraId="5B4464EC" w14:textId="77777777">
      <w:pPr>
        <w:pStyle w:val="Textonotapie"/>
        <w:ind w:firstLine="709"/>
        <w:contextualSpacing/>
        <w:jc w:val="both"/>
        <w:rPr>
          <w:rFonts w:ascii="Arial" w:hAnsi="Arial" w:cs="Arial"/>
          <w:sz w:val="18"/>
          <w:szCs w:val="18"/>
          <w:lang w:val="es-ES"/>
        </w:rPr>
      </w:pPr>
    </w:p>
  </w:footnote>
  <w:footnote w:id="15">
    <w:p w:rsidRPr="00847D2B" w:rsidR="00B7412F" w:rsidP="00B7412F" w:rsidRDefault="00B7412F" w14:paraId="69E0A01A" w14:textId="77777777">
      <w:pPr>
        <w:pStyle w:val="Textonotapie"/>
        <w:ind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En igual sentido se pronunció la Corte Suprema de Justicia. Sala de Casación Civil. En Sentencia del 30 de agosto de 2011, M.P. William Namén Vargas. Rad. 1999-01957: «La renovación no se confunde con la prórroga del contrato, ‘el renovado es uno nuevo’ (Corte Suprema de Justicia, Sala Plena, sentencia de 20 de noviembre de 1971, CXXXVIII, 482 y ss; cas. civ. sentencias de 24 de septiembre de 1985 CLXXX, 431; 31 de octubre de 1994, exp. 3868; 7 de julio de 1998, rad. 10825; 8 de octubre de 1997, exp. 4818; 27 de julio de 2001, exp. 5860; 24 de septiembre de 2001, exp. 5876, 14 de abril de 2008, 2001 00082 01), y el prorrogado el mismo. La prórroga mantiene idéntico el contrato, no se presenta más sino por acuerdo anterior al vencimiento del plazo y lo continúa en las condiciones primarias por un período igual (artículos 218 [1], 520, 829, 1425 [“prorrogado por un período igual”], 1510, 1685, 1686, 1712, 1891C. de Co)». (corchetes y paréntesis propios del original). </w:t>
      </w:r>
    </w:p>
    <w:p w:rsidRPr="00847D2B" w:rsidR="00B7412F" w:rsidP="00B7412F" w:rsidRDefault="00B7412F" w14:paraId="696AF4A3" w14:textId="77777777">
      <w:pPr>
        <w:pStyle w:val="Textonotapie"/>
        <w:ind w:firstLine="709"/>
        <w:contextualSpacing/>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515FB5" w:rsidP="00515FB5" w:rsidRDefault="00515FB5" w14:paraId="72849537" w14:textId="2A6D5254">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rsidR="00515FB5" w:rsidP="00515FB5" w:rsidRDefault="00515FB5" w14:paraId="635D63E7" w14:textId="77777777">
    <w:pPr>
      <w:pStyle w:val="Encabezado"/>
    </w:pPr>
  </w:p>
  <w:p w:rsidR="00515FB5" w:rsidP="00515FB5" w:rsidRDefault="00515FB5" w14:paraId="10CE77C0" w14:textId="77777777">
    <w:pPr>
      <w:pStyle w:val="Encabezado"/>
    </w:pPr>
  </w:p>
  <w:p w:rsidR="00515FB5" w:rsidP="00515FB5" w:rsidRDefault="00515FB5" w14:paraId="5BD4CAA1" w14:textId="77777777">
    <w:pPr>
      <w:pStyle w:val="Encabezado"/>
    </w:pPr>
  </w:p>
  <w:p w:rsidRPr="00AB7B56" w:rsidR="00515FB5" w:rsidP="00515FB5" w:rsidRDefault="00515FB5" w14:paraId="0D6E6014" w14:textId="77777777">
    <w:pPr>
      <w:pStyle w:val="Encabezado"/>
    </w:pPr>
  </w:p>
  <w:p w:rsidRPr="00515FB5" w:rsidR="00B30448" w:rsidP="00515FB5" w:rsidRDefault="00B30448" w14:paraId="68E0C02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hint="default" w:ascii="Arial" w:hAnsi="Arial" w:eastAsia="Arial" w:cs="Arial"/>
        <w:b/>
        <w:bCs/>
        <w:w w:val="100"/>
        <w:sz w:val="22"/>
        <w:szCs w:val="22"/>
        <w:lang w:val="es-ES" w:eastAsia="en-US" w:bidi="ar-SA"/>
      </w:rPr>
    </w:lvl>
    <w:lvl w:ilvl="1">
      <w:start w:val="1"/>
      <w:numFmt w:val="decimal"/>
      <w:lvlText w:val="%1.%2."/>
      <w:lvlJc w:val="left"/>
      <w:pPr>
        <w:ind w:left="529" w:hanging="430"/>
      </w:pPr>
      <w:rPr>
        <w:rFonts w:hint="default" w:ascii="Arial" w:hAnsi="Arial" w:eastAsia="Arial" w:cs="Arial"/>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7" w15:restartNumberingAfterBreak="0">
    <w:nsid w:val="4AA7326E"/>
    <w:multiLevelType w:val="multilevel"/>
    <w:tmpl w:val="5CE2D418"/>
    <w:lvl w:ilvl="0">
      <w:start w:val="1"/>
      <w:numFmt w:val="decimal"/>
      <w:lvlText w:val="%1."/>
      <w:lvlJc w:val="left"/>
      <w:pPr>
        <w:ind w:left="480" w:hanging="360"/>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688" w:hanging="578"/>
      </w:pPr>
      <w:rPr>
        <w:rFonts w:hint="default" w:ascii="Arial" w:hAnsi="Arial" w:eastAsia="Arial" w:cs="Arial"/>
        <w:b/>
        <w:bCs/>
        <w:color w:val="4E4D4D"/>
        <w:spacing w:val="-3"/>
        <w:w w:val="100"/>
        <w:sz w:val="22"/>
        <w:szCs w:val="22"/>
        <w:lang w:val="es-ES" w:eastAsia="en-US" w:bidi="ar-SA"/>
      </w:rPr>
    </w:lvl>
    <w:lvl w:ilvl="2">
      <w:start w:val="1"/>
      <w:numFmt w:val="lowerLetter"/>
      <w:lvlText w:val="%3)"/>
      <w:lvlJc w:val="left"/>
      <w:pPr>
        <w:ind w:left="800" w:hanging="325"/>
      </w:pPr>
      <w:rPr>
        <w:rFonts w:hint="default" w:ascii="Arial" w:hAnsi="Arial" w:eastAsia="Arial" w:cs="Arial"/>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8" w15:restartNumberingAfterBreak="0">
    <w:nsid w:val="54290360"/>
    <w:multiLevelType w:val="hybridMultilevel"/>
    <w:tmpl w:val="35988BE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9" w15:restartNumberingAfterBreak="0">
    <w:nsid w:val="597E7732"/>
    <w:multiLevelType w:val="hybridMultilevel"/>
    <w:tmpl w:val="15583C0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0" w15:restartNumberingAfterBreak="0">
    <w:nsid w:val="5CC8363F"/>
    <w:multiLevelType w:val="hybridMultilevel"/>
    <w:tmpl w:val="BD96C63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1" w15:restartNumberingAfterBreak="0">
    <w:nsid w:val="6E895A2E"/>
    <w:multiLevelType w:val="hybridMultilevel"/>
    <w:tmpl w:val="A52C0E4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2" w15:restartNumberingAfterBreak="0">
    <w:nsid w:val="7825752D"/>
    <w:multiLevelType w:val="hybridMultilevel"/>
    <w:tmpl w:val="E23A8282"/>
    <w:lvl w:ilvl="0" w:tplc="99E6A860">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1290670214">
    <w:abstractNumId w:val="5"/>
  </w:num>
  <w:num w:numId="2" w16cid:durableId="4285022">
    <w:abstractNumId w:val="2"/>
  </w:num>
  <w:num w:numId="3" w16cid:durableId="881983949">
    <w:abstractNumId w:val="3"/>
  </w:num>
  <w:num w:numId="4" w16cid:durableId="341274352">
    <w:abstractNumId w:val="0"/>
  </w:num>
  <w:num w:numId="5" w16cid:durableId="1887524674">
    <w:abstractNumId w:val="7"/>
  </w:num>
  <w:num w:numId="6" w16cid:durableId="1082990391">
    <w:abstractNumId w:val="1"/>
  </w:num>
  <w:num w:numId="7" w16cid:durableId="1492209491">
    <w:abstractNumId w:val="4"/>
  </w:num>
  <w:num w:numId="8" w16cid:durableId="679089576">
    <w:abstractNumId w:val="6"/>
  </w:num>
  <w:num w:numId="9" w16cid:durableId="1995644544">
    <w:abstractNumId w:val="9"/>
  </w:num>
  <w:num w:numId="10" w16cid:durableId="1264656397">
    <w:abstractNumId w:val="8"/>
  </w:num>
  <w:num w:numId="11" w16cid:durableId="736322695">
    <w:abstractNumId w:val="10"/>
  </w:num>
  <w:num w:numId="12" w16cid:durableId="462388624">
    <w:abstractNumId w:val="12"/>
  </w:num>
  <w:num w:numId="13" w16cid:durableId="4619691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1A77"/>
    <w:rsid w:val="0001222D"/>
    <w:rsid w:val="000135EB"/>
    <w:rsid w:val="00015D2B"/>
    <w:rsid w:val="00023823"/>
    <w:rsid w:val="00027907"/>
    <w:rsid w:val="00031584"/>
    <w:rsid w:val="00032A0E"/>
    <w:rsid w:val="00037347"/>
    <w:rsid w:val="00040A35"/>
    <w:rsid w:val="000442CC"/>
    <w:rsid w:val="000556D4"/>
    <w:rsid w:val="000716AB"/>
    <w:rsid w:val="00082E4C"/>
    <w:rsid w:val="000849D5"/>
    <w:rsid w:val="0008528F"/>
    <w:rsid w:val="00090E20"/>
    <w:rsid w:val="000A6E0C"/>
    <w:rsid w:val="000A7A56"/>
    <w:rsid w:val="000B1FF7"/>
    <w:rsid w:val="000B2513"/>
    <w:rsid w:val="000B4024"/>
    <w:rsid w:val="000B5FFE"/>
    <w:rsid w:val="000C3C51"/>
    <w:rsid w:val="000C7262"/>
    <w:rsid w:val="000D2A7F"/>
    <w:rsid w:val="000D49FB"/>
    <w:rsid w:val="000D4FCE"/>
    <w:rsid w:val="000E670C"/>
    <w:rsid w:val="000F2DCB"/>
    <w:rsid w:val="001079A9"/>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B5566"/>
    <w:rsid w:val="001C04FC"/>
    <w:rsid w:val="001C25A3"/>
    <w:rsid w:val="001C5D03"/>
    <w:rsid w:val="001C7771"/>
    <w:rsid w:val="001D62FF"/>
    <w:rsid w:val="001E2B8E"/>
    <w:rsid w:val="001E5CC4"/>
    <w:rsid w:val="001F3F48"/>
    <w:rsid w:val="002000AA"/>
    <w:rsid w:val="00204109"/>
    <w:rsid w:val="0021026D"/>
    <w:rsid w:val="00211E6E"/>
    <w:rsid w:val="00212A46"/>
    <w:rsid w:val="0021401D"/>
    <w:rsid w:val="002146B8"/>
    <w:rsid w:val="00215516"/>
    <w:rsid w:val="00244C79"/>
    <w:rsid w:val="002527C2"/>
    <w:rsid w:val="00270443"/>
    <w:rsid w:val="00270EE2"/>
    <w:rsid w:val="00272972"/>
    <w:rsid w:val="0028252D"/>
    <w:rsid w:val="00285F49"/>
    <w:rsid w:val="00286491"/>
    <w:rsid w:val="002A097D"/>
    <w:rsid w:val="002A0F8D"/>
    <w:rsid w:val="002B6E44"/>
    <w:rsid w:val="002D5318"/>
    <w:rsid w:val="002D580F"/>
    <w:rsid w:val="002E1DB5"/>
    <w:rsid w:val="002F3468"/>
    <w:rsid w:val="002F6CCB"/>
    <w:rsid w:val="00300925"/>
    <w:rsid w:val="0030461E"/>
    <w:rsid w:val="0032756A"/>
    <w:rsid w:val="00334EF8"/>
    <w:rsid w:val="00336408"/>
    <w:rsid w:val="00340DFB"/>
    <w:rsid w:val="0034404F"/>
    <w:rsid w:val="003471E6"/>
    <w:rsid w:val="00356980"/>
    <w:rsid w:val="003639DA"/>
    <w:rsid w:val="00367462"/>
    <w:rsid w:val="00371ECA"/>
    <w:rsid w:val="00372748"/>
    <w:rsid w:val="0037332A"/>
    <w:rsid w:val="0038151A"/>
    <w:rsid w:val="0039082A"/>
    <w:rsid w:val="00390C21"/>
    <w:rsid w:val="003A37BD"/>
    <w:rsid w:val="003B6D94"/>
    <w:rsid w:val="003C0DF9"/>
    <w:rsid w:val="003C4C96"/>
    <w:rsid w:val="003C55E0"/>
    <w:rsid w:val="003D7CE0"/>
    <w:rsid w:val="003E36FF"/>
    <w:rsid w:val="003F519B"/>
    <w:rsid w:val="00404EAA"/>
    <w:rsid w:val="0040544F"/>
    <w:rsid w:val="00406A19"/>
    <w:rsid w:val="0041222D"/>
    <w:rsid w:val="0041483E"/>
    <w:rsid w:val="00415369"/>
    <w:rsid w:val="004221C8"/>
    <w:rsid w:val="00430492"/>
    <w:rsid w:val="00432FFE"/>
    <w:rsid w:val="00437D03"/>
    <w:rsid w:val="0044773D"/>
    <w:rsid w:val="00450BE7"/>
    <w:rsid w:val="0046741E"/>
    <w:rsid w:val="00472CC6"/>
    <w:rsid w:val="0048026E"/>
    <w:rsid w:val="004807A9"/>
    <w:rsid w:val="004813EE"/>
    <w:rsid w:val="00484FBA"/>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07F7"/>
    <w:rsid w:val="0052365C"/>
    <w:rsid w:val="005271EB"/>
    <w:rsid w:val="005426DB"/>
    <w:rsid w:val="0055082B"/>
    <w:rsid w:val="00552503"/>
    <w:rsid w:val="00552B57"/>
    <w:rsid w:val="00557DA1"/>
    <w:rsid w:val="0056322C"/>
    <w:rsid w:val="00586562"/>
    <w:rsid w:val="0058743A"/>
    <w:rsid w:val="005A4DB0"/>
    <w:rsid w:val="005A7B8E"/>
    <w:rsid w:val="005B012B"/>
    <w:rsid w:val="005B0C87"/>
    <w:rsid w:val="005C273B"/>
    <w:rsid w:val="005C4978"/>
    <w:rsid w:val="005D23F6"/>
    <w:rsid w:val="005D2FA8"/>
    <w:rsid w:val="005E2281"/>
    <w:rsid w:val="005E667C"/>
    <w:rsid w:val="005F077C"/>
    <w:rsid w:val="005F50D7"/>
    <w:rsid w:val="005F5F33"/>
    <w:rsid w:val="005F63D0"/>
    <w:rsid w:val="005F7973"/>
    <w:rsid w:val="00606D1F"/>
    <w:rsid w:val="0061690E"/>
    <w:rsid w:val="00627361"/>
    <w:rsid w:val="0063017E"/>
    <w:rsid w:val="00631B28"/>
    <w:rsid w:val="006450EE"/>
    <w:rsid w:val="00645B90"/>
    <w:rsid w:val="00650991"/>
    <w:rsid w:val="006511D7"/>
    <w:rsid w:val="00660EB5"/>
    <w:rsid w:val="00663D75"/>
    <w:rsid w:val="0066531E"/>
    <w:rsid w:val="00670AEF"/>
    <w:rsid w:val="00673FF4"/>
    <w:rsid w:val="00675678"/>
    <w:rsid w:val="00676A8B"/>
    <w:rsid w:val="00677012"/>
    <w:rsid w:val="006825B4"/>
    <w:rsid w:val="00682AF2"/>
    <w:rsid w:val="006864DF"/>
    <w:rsid w:val="006A1D37"/>
    <w:rsid w:val="006A3C8A"/>
    <w:rsid w:val="006A7552"/>
    <w:rsid w:val="006B5953"/>
    <w:rsid w:val="006B7A81"/>
    <w:rsid w:val="006C4BAC"/>
    <w:rsid w:val="006C52F3"/>
    <w:rsid w:val="006D702C"/>
    <w:rsid w:val="006E1F18"/>
    <w:rsid w:val="006E7F37"/>
    <w:rsid w:val="006F3B81"/>
    <w:rsid w:val="006F4F79"/>
    <w:rsid w:val="00705B37"/>
    <w:rsid w:val="00711FD9"/>
    <w:rsid w:val="00735062"/>
    <w:rsid w:val="00745400"/>
    <w:rsid w:val="00746BA5"/>
    <w:rsid w:val="00751D23"/>
    <w:rsid w:val="00770577"/>
    <w:rsid w:val="00777666"/>
    <w:rsid w:val="0078159B"/>
    <w:rsid w:val="0078296B"/>
    <w:rsid w:val="00782E10"/>
    <w:rsid w:val="0078706B"/>
    <w:rsid w:val="00790836"/>
    <w:rsid w:val="00797131"/>
    <w:rsid w:val="007A3C1D"/>
    <w:rsid w:val="007B285D"/>
    <w:rsid w:val="007C6BC6"/>
    <w:rsid w:val="00807D79"/>
    <w:rsid w:val="00813634"/>
    <w:rsid w:val="00822821"/>
    <w:rsid w:val="00831C29"/>
    <w:rsid w:val="008430A8"/>
    <w:rsid w:val="008431EA"/>
    <w:rsid w:val="008431EF"/>
    <w:rsid w:val="008468E0"/>
    <w:rsid w:val="00865FBA"/>
    <w:rsid w:val="00871B59"/>
    <w:rsid w:val="00876251"/>
    <w:rsid w:val="00877D03"/>
    <w:rsid w:val="00877E96"/>
    <w:rsid w:val="008806CA"/>
    <w:rsid w:val="008815E5"/>
    <w:rsid w:val="00881D8B"/>
    <w:rsid w:val="00887B37"/>
    <w:rsid w:val="008909B9"/>
    <w:rsid w:val="00891DFC"/>
    <w:rsid w:val="008B12B4"/>
    <w:rsid w:val="008B7914"/>
    <w:rsid w:val="008C5D2A"/>
    <w:rsid w:val="008C7AF4"/>
    <w:rsid w:val="008D1EB8"/>
    <w:rsid w:val="008D529F"/>
    <w:rsid w:val="008F02FB"/>
    <w:rsid w:val="008F5CC8"/>
    <w:rsid w:val="009061B8"/>
    <w:rsid w:val="0091008B"/>
    <w:rsid w:val="00911EA2"/>
    <w:rsid w:val="00916C7D"/>
    <w:rsid w:val="00923D6E"/>
    <w:rsid w:val="0092575D"/>
    <w:rsid w:val="009341DA"/>
    <w:rsid w:val="009430F9"/>
    <w:rsid w:val="009442E8"/>
    <w:rsid w:val="009457B6"/>
    <w:rsid w:val="00946BD0"/>
    <w:rsid w:val="00951593"/>
    <w:rsid w:val="0095426C"/>
    <w:rsid w:val="00962196"/>
    <w:rsid w:val="00970087"/>
    <w:rsid w:val="00971074"/>
    <w:rsid w:val="00987B8D"/>
    <w:rsid w:val="00995D86"/>
    <w:rsid w:val="009A5453"/>
    <w:rsid w:val="009B1186"/>
    <w:rsid w:val="009B4D94"/>
    <w:rsid w:val="009C2871"/>
    <w:rsid w:val="009D2600"/>
    <w:rsid w:val="009D3C33"/>
    <w:rsid w:val="009D7F3A"/>
    <w:rsid w:val="009E4885"/>
    <w:rsid w:val="009F5A6D"/>
    <w:rsid w:val="00A03E81"/>
    <w:rsid w:val="00A07DB6"/>
    <w:rsid w:val="00A10A73"/>
    <w:rsid w:val="00A170B3"/>
    <w:rsid w:val="00A223D5"/>
    <w:rsid w:val="00A37D1C"/>
    <w:rsid w:val="00A5453E"/>
    <w:rsid w:val="00A55848"/>
    <w:rsid w:val="00A558E2"/>
    <w:rsid w:val="00A56F6C"/>
    <w:rsid w:val="00A679CB"/>
    <w:rsid w:val="00A76C8C"/>
    <w:rsid w:val="00A85F30"/>
    <w:rsid w:val="00A9099E"/>
    <w:rsid w:val="00A91FB7"/>
    <w:rsid w:val="00A9298F"/>
    <w:rsid w:val="00AA0351"/>
    <w:rsid w:val="00AA0DA9"/>
    <w:rsid w:val="00AA132B"/>
    <w:rsid w:val="00AA5F4A"/>
    <w:rsid w:val="00AB1984"/>
    <w:rsid w:val="00AB52B1"/>
    <w:rsid w:val="00AC1CAB"/>
    <w:rsid w:val="00AC4CB3"/>
    <w:rsid w:val="00AC780D"/>
    <w:rsid w:val="00AD036B"/>
    <w:rsid w:val="00AD1996"/>
    <w:rsid w:val="00AD4099"/>
    <w:rsid w:val="00AD4901"/>
    <w:rsid w:val="00AE5EC3"/>
    <w:rsid w:val="00B02FE0"/>
    <w:rsid w:val="00B057B6"/>
    <w:rsid w:val="00B118C5"/>
    <w:rsid w:val="00B30448"/>
    <w:rsid w:val="00B34786"/>
    <w:rsid w:val="00B400EC"/>
    <w:rsid w:val="00B40162"/>
    <w:rsid w:val="00B41ACE"/>
    <w:rsid w:val="00B50156"/>
    <w:rsid w:val="00B518AD"/>
    <w:rsid w:val="00B60A96"/>
    <w:rsid w:val="00B678EC"/>
    <w:rsid w:val="00B73DDD"/>
    <w:rsid w:val="00B7412F"/>
    <w:rsid w:val="00B76C94"/>
    <w:rsid w:val="00B772D0"/>
    <w:rsid w:val="00B836EA"/>
    <w:rsid w:val="00B84C05"/>
    <w:rsid w:val="00B91B81"/>
    <w:rsid w:val="00B97135"/>
    <w:rsid w:val="00BB3072"/>
    <w:rsid w:val="00BC7632"/>
    <w:rsid w:val="00BD48A9"/>
    <w:rsid w:val="00BD630F"/>
    <w:rsid w:val="00BD7EC6"/>
    <w:rsid w:val="00BE3E91"/>
    <w:rsid w:val="00BE45FE"/>
    <w:rsid w:val="00BE73FA"/>
    <w:rsid w:val="00BF5C2A"/>
    <w:rsid w:val="00BF6B4B"/>
    <w:rsid w:val="00BF6E77"/>
    <w:rsid w:val="00C0511C"/>
    <w:rsid w:val="00C20ACF"/>
    <w:rsid w:val="00C22307"/>
    <w:rsid w:val="00C23469"/>
    <w:rsid w:val="00C30C62"/>
    <w:rsid w:val="00C315BE"/>
    <w:rsid w:val="00C371DF"/>
    <w:rsid w:val="00C42055"/>
    <w:rsid w:val="00C44B4C"/>
    <w:rsid w:val="00C46734"/>
    <w:rsid w:val="00C47A86"/>
    <w:rsid w:val="00C53220"/>
    <w:rsid w:val="00CA3347"/>
    <w:rsid w:val="00CA41EF"/>
    <w:rsid w:val="00CB28AD"/>
    <w:rsid w:val="00CC299A"/>
    <w:rsid w:val="00CD03E3"/>
    <w:rsid w:val="00CD3DF5"/>
    <w:rsid w:val="00CE6BDA"/>
    <w:rsid w:val="00D03DBE"/>
    <w:rsid w:val="00D072C0"/>
    <w:rsid w:val="00D131D2"/>
    <w:rsid w:val="00D34C82"/>
    <w:rsid w:val="00D3757A"/>
    <w:rsid w:val="00D504A9"/>
    <w:rsid w:val="00D5206D"/>
    <w:rsid w:val="00D53CEB"/>
    <w:rsid w:val="00D7177D"/>
    <w:rsid w:val="00D81311"/>
    <w:rsid w:val="00DB201E"/>
    <w:rsid w:val="00DB5D94"/>
    <w:rsid w:val="00DC0E68"/>
    <w:rsid w:val="00DC5D8C"/>
    <w:rsid w:val="00DC744B"/>
    <w:rsid w:val="00DD25ED"/>
    <w:rsid w:val="00DE0D6E"/>
    <w:rsid w:val="00DE3E5A"/>
    <w:rsid w:val="00E1610C"/>
    <w:rsid w:val="00E16D73"/>
    <w:rsid w:val="00E23E9E"/>
    <w:rsid w:val="00E25722"/>
    <w:rsid w:val="00E27F0A"/>
    <w:rsid w:val="00E4231E"/>
    <w:rsid w:val="00E4302C"/>
    <w:rsid w:val="00E44AC7"/>
    <w:rsid w:val="00E45F4B"/>
    <w:rsid w:val="00E50E08"/>
    <w:rsid w:val="00E60A16"/>
    <w:rsid w:val="00E70DCF"/>
    <w:rsid w:val="00E82B6E"/>
    <w:rsid w:val="00E83657"/>
    <w:rsid w:val="00E92110"/>
    <w:rsid w:val="00E94258"/>
    <w:rsid w:val="00E96C18"/>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47695"/>
    <w:rsid w:val="00F53BE2"/>
    <w:rsid w:val="00F55684"/>
    <w:rsid w:val="00F64D5A"/>
    <w:rsid w:val="00F709CD"/>
    <w:rsid w:val="00F906F4"/>
    <w:rsid w:val="00FA0716"/>
    <w:rsid w:val="00FB4629"/>
    <w:rsid w:val="00FB6FB1"/>
    <w:rsid w:val="00FB7063"/>
    <w:rsid w:val="00FC302F"/>
    <w:rsid w:val="00FC5FA1"/>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0B4254E"/>
    <w:rsid w:val="510454D8"/>
    <w:rsid w:val="521E120A"/>
    <w:rsid w:val="5D8505AD"/>
    <w:rsid w:val="71443FBB"/>
    <w:rsid w:val="71463426"/>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styleId="TextonotapieCar1" w:customStyle="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styleId="Appelnotedebasde" w:customStyle="1">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styleId="TextocomentarioCar" w:customStyle="1">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styleId="AsuntodelcomentarioCar" w:customStyle="1">
    <w:name w:val="Asunto del comentario Car"/>
    <w:basedOn w:val="TextocomentarioCar"/>
    <w:link w:val="Asuntodelcomentario"/>
    <w:uiPriority w:val="99"/>
    <w:semiHidden/>
    <w:rsid w:val="00A37D1C"/>
    <w:rPr>
      <w:b/>
      <w:bCs/>
      <w:sz w:val="20"/>
      <w:szCs w:val="20"/>
    </w:rPr>
  </w:style>
  <w:style w:type="paragraph" w:styleId="Normal11pt" w:customStyle="1">
    <w:name w:val="Normal + 11 pt"/>
    <w:aliases w:val="Negro,Justificado,Izquierda:  -0,95 cm,Derecha:  0,04 cm"/>
    <w:basedOn w:val="Normal"/>
    <w:uiPriority w:val="99"/>
    <w:rsid w:val="00B76C94"/>
    <w:pPr>
      <w:spacing w:after="0" w:line="240" w:lineRule="auto"/>
      <w:ind w:left="-540"/>
      <w:jc w:val="both"/>
    </w:pPr>
    <w:rPr>
      <w:rFonts w:ascii="Arial" w:hAnsi="Arial" w:eastAsia="Times New Roman" w:cs="Arial"/>
      <w:color w:val="000000"/>
      <w:lang w:val="es-ES_tradnl" w:eastAsia="es-ES"/>
    </w:rPr>
  </w:style>
  <w:style w:type="paragraph" w:styleId="Revisin">
    <w:name w:val="Revision"/>
    <w:hidden/>
    <w:uiPriority w:val="99"/>
    <w:semiHidden/>
    <w:rsid w:val="00F64D5A"/>
    <w:pPr>
      <w:spacing w:after="0" w:line="240" w:lineRule="auto"/>
    </w:pPr>
  </w:style>
  <w:style w:type="character" w:styleId="cf01" w:customStyle="1">
    <w:name w:val="cf01"/>
    <w:basedOn w:val="Fuentedeprrafopredeter"/>
    <w:rsid w:val="005019AA"/>
    <w:rPr>
      <w:rFonts w:hint="default" w:ascii="Segoe UI" w:hAnsi="Segoe UI" w:cs="Segoe UI"/>
      <w:i/>
      <w:iCs/>
      <w:sz w:val="18"/>
      <w:szCs w:val="18"/>
    </w:rPr>
  </w:style>
  <w:style w:type="character" w:styleId="normaltextrun" w:customStyle="1">
    <w:name w:val="normaltextrun"/>
    <w:basedOn w:val="Fuentedeprrafopredeter"/>
    <w:rsid w:val="5D8505AD"/>
  </w:style>
  <w:style w:type="character" w:styleId="eop" w:customStyle="1">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styleId="Hipervnculo1" w:customStyle="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styleId="TextoindependienteCar" w:customStyle="1">
    <w:name w:val="Texto independiente Car"/>
    <w:basedOn w:val="Fuentedeprrafopredeter"/>
    <w:link w:val="Textoindependiente"/>
    <w:uiPriority w:val="99"/>
    <w:rsid w:val="00430492"/>
  </w:style>
  <w:style w:type="paragraph" w:styleId="Car1" w:customStyle="1">
    <w:name w:val="Car1"/>
    <w:basedOn w:val="Normal"/>
    <w:next w:val="Textonotapie"/>
    <w:uiPriority w:val="99"/>
    <w:unhideWhenUsed/>
    <w:qFormat/>
    <w:rsid w:val="00430492"/>
    <w:pPr>
      <w:spacing w:after="0" w:line="240" w:lineRule="auto"/>
    </w:pPr>
    <w:rPr>
      <w:sz w:val="20"/>
      <w:szCs w:val="20"/>
      <w:lang w:val="es-MX"/>
    </w:rPr>
  </w:style>
  <w:style w:type="paragraph" w:styleId="Cuadrculamedia1-nfasis21" w:customStyle="1">
    <w:name w:val="Cuadrícula media 1 - Énfasis 21"/>
    <w:basedOn w:val="Normal"/>
    <w:uiPriority w:val="34"/>
    <w:qFormat/>
    <w:rsid w:val="009C2871"/>
    <w:pPr>
      <w:ind w:left="720"/>
      <w:contextualSpacing/>
    </w:pPr>
    <w:rPr>
      <w:rFonts w:ascii="Calibri" w:hAnsi="Calibri" w:eastAsia="Calibri" w:cs="Times New Roman"/>
    </w:rPr>
  </w:style>
  <w:style w:type="character" w:styleId="Ttulo1Car" w:customStyle="1">
    <w:name w:val="Título 1 Car"/>
    <w:basedOn w:val="Fuentedeprrafopredeter"/>
    <w:link w:val="Ttulo1"/>
    <w:uiPriority w:val="1"/>
    <w:rsid w:val="00B34786"/>
    <w:rPr>
      <w:rFonts w:ascii="Arial" w:hAnsi="Arial" w:eastAsia="Arial" w:cs="Arial"/>
      <w:b/>
      <w:bCs/>
      <w:lang w:val="es-ES"/>
    </w:rPr>
  </w:style>
  <w:style w:type="paragraph" w:styleId="Default" w:customStyle="1">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B34786"/>
    <w:rPr>
      <w:rFonts w:ascii="Geomanist" w:hAnsi="Geomanist" w:eastAsiaTheme="majorEastAsia" w:cstheme="majorBidi"/>
      <w:spacing w:val="-10"/>
      <w:kern w:val="28"/>
      <w:szCs w:val="56"/>
      <w:lang w:val="es-ES"/>
    </w:rPr>
  </w:style>
  <w:style w:type="table" w:styleId="Tablaconcuadrcula1" w:customStyle="1">
    <w:name w:val="Tabla con cuadrícula1"/>
    <w:basedOn w:val="Tablanormal"/>
    <w:next w:val="Tablaconcuadrcula"/>
    <w:uiPriority w:val="59"/>
    <w:qFormat/>
    <w:rsid w:val="00B347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Sinlista1" w:customStyle="1">
    <w:name w:val="Sin lista1"/>
    <w:next w:val="Sinlista"/>
    <w:uiPriority w:val="99"/>
    <w:semiHidden/>
    <w:unhideWhenUsed/>
    <w:rsid w:val="00B34786"/>
  </w:style>
  <w:style w:type="table" w:styleId="TableNormal" w:customStyle="1">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B34786"/>
    <w:pPr>
      <w:widowControl w:val="0"/>
      <w:autoSpaceDE w:val="0"/>
      <w:autoSpaceDN w:val="0"/>
      <w:spacing w:after="0" w:line="208" w:lineRule="exact"/>
      <w:ind w:left="119"/>
    </w:pPr>
    <w:rPr>
      <w:rFonts w:ascii="Calibri" w:hAnsi="Calibri" w:eastAsia="Calibri" w:cs="Calibri"/>
      <w:lang w:val="es-ES"/>
    </w:rPr>
  </w:style>
  <w:style w:type="table" w:styleId="Tablaconcuadrcula2" w:customStyle="1">
    <w:name w:val="Tabla con cuadrícula2"/>
    <w:basedOn w:val="Tablanormal"/>
    <w:next w:val="Tablaconcuadrcula"/>
    <w:uiPriority w:val="39"/>
    <w:rsid w:val="00B347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1A5DD4"/>
    <w:pPr>
      <w:spacing w:before="100" w:beforeAutospacing="1" w:after="100" w:afterAutospacing="1" w:line="240" w:lineRule="auto"/>
    </w:pPr>
    <w:rPr>
      <w:rFonts w:ascii="Times New Roman" w:hAnsi="Times New Roman" w:eastAsia="Times New Roman" w:cs="Times New Roman"/>
      <w:sz w:val="24"/>
      <w:szCs w:val="24"/>
      <w:lang w:eastAsia="es-ES_tradnl"/>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gerencie.com/precio.html" TargetMode="External" Id="rId13" /><Relationship Type="http://schemas.openxmlformats.org/officeDocument/2006/relationships/hyperlink" Target="https://relatoria.colombiacompra.gov.co/busqueda/conceptos"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nam02.safelinks.protection.outlook.com/?url=https%3A%2F%2Fwww.colombiacompra.gov.co%2Fdocumentos-tipo%2Fdocumentos-tipo&amp;data=05%7C02%7Cmaria.medellin%40colombiacompra.gov.co%7Ca5385b6e6e634a6b840208dca5c36dc1%7C7b09041e245149d08cb179d5e3d8c1be%7C0%7C0%7C638567505994579091%7CUnknown%7CTWFpbGZsb3d8eyJWIjoiMC4wLjAwMDAiLCJQIjoiV2luMzIiLCJBTiI6Ik1haWwiLCJXVCI6Mn0%3D%7C0%7C%7C%7C&amp;sdata=0x2zZrnkfGZZFR%2Bd1eTA5RS6JGYwcyPbTrape8LyJ4Q%3D&amp;reserved=0" TargetMode="External" Id="rId21" /><Relationship Type="http://schemas.openxmlformats.org/officeDocument/2006/relationships/settings" Target="settings.xml" Id="rId7" /><Relationship Type="http://schemas.openxmlformats.org/officeDocument/2006/relationships/hyperlink" Target="http://www.gerencie.com/quienes-son-comerciantes.html" TargetMode="External" Id="rId12" /><Relationship Type="http://schemas.openxmlformats.org/officeDocument/2006/relationships/hyperlink" Target="https://www.colombiacompra.gov.co/manuales-guias-y-pliegos-tipo/manuales-y-guias"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relatoria.colombiacompra.gov.co/providencias-consejo-de-estado/" TargetMode="External" Id="rId16" /><Relationship Type="http://schemas.openxmlformats.org/officeDocument/2006/relationships/hyperlink" Target="https://nam02.safelinks.protection.outlook.com/?url=https%3A%2F%2Fwww.colombiacompra.gov.co%2Fsala-de-prensa%2Fboletin-digital&amp;data=05%7C02%7Cmaria.medellin%40colombiacompra.gov.co%7Ca5385b6e6e634a6b840208dca5c36dc1%7C7b09041e245149d08cb179d5e3d8c1be%7C0%7C0%7C638567505994567484%7CUnknown%7CTWFpbGZsb3d8eyJWIjoiMC4wLjAwMDAiLCJQIjoiV2luMzIiLCJBTiI6Ik1haWwiLCJXVCI6Mn0%3D%7C0%7C%7C%7C&amp;sdata=NvzdrU3KZmJf%2BHBwxHU6GKKRauF6WbobIbQFGIKpoME%3D&amp;reserved=0"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1.xml" Id="rId24" /><Relationship Type="http://schemas.openxmlformats.org/officeDocument/2006/relationships/numbering" Target="numbering.xml" Id="rId5" /><Relationship Type="http://schemas.openxmlformats.org/officeDocument/2006/relationships/hyperlink" Target="https://www.colombiacompra.gov.co/content/04-documentos-tipo-de-licitacion-de-obra-publica-para-proyectos-de-infraestructura-social" TargetMode="External" Id="rId15" /><Relationship Type="http://schemas.openxmlformats.org/officeDocument/2006/relationships/header" Target="header1.xml" Id="rId23" /><Relationship Type="http://schemas.openxmlformats.org/officeDocument/2006/relationships/endnotes" Target="endnotes.xml" Id="rId10" /><Relationship Type="http://schemas.openxmlformats.org/officeDocument/2006/relationships/hyperlink" Target="https://www.colombiacompra.gov.co/sala-de-prensa/boletin-digital"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olombiacompra.gov.co/sites/cce_public/files/cce_circulares/circular_externa_unica_version_3_vf49.pdf" TargetMode="External" Id="rId14" /><Relationship Type="http://schemas.openxmlformats.org/officeDocument/2006/relationships/image" Target="media/image2.png" Id="rId22"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ANCP-SGC</dc:creator>
  <keywords/>
  <dc:description/>
  <lastModifiedBy>Maria Valeska Medellín Mora</lastModifiedBy>
  <revision>77</revision>
  <dcterms:created xsi:type="dcterms:W3CDTF">2024-07-04T20:24:00.0000000Z</dcterms:created>
  <dcterms:modified xsi:type="dcterms:W3CDTF">2024-07-22T16:39:05.2205220Z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